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401BD5D5" w14:textId="77777777" w:rsidR="005A0E74" w:rsidRPr="00F7509D" w:rsidRDefault="005A0E74" w:rsidP="005A0E74">
      <w:pPr>
        <w:spacing w:line="276" w:lineRule="auto"/>
        <w:jc w:val="center"/>
        <w:rPr>
          <w:b/>
        </w:rPr>
      </w:pPr>
      <w:r w:rsidRPr="00F7509D">
        <w:rPr>
          <w:b/>
        </w:rPr>
        <w:t>Vabysmo 120 mg/ml injekcinis tirpalas</w:t>
      </w:r>
    </w:p>
    <w:p w14:paraId="06E72194" w14:textId="77777777" w:rsidR="005A0E74" w:rsidRPr="00F7509D" w:rsidRDefault="005A0E74" w:rsidP="005A0E74">
      <w:pPr>
        <w:spacing w:line="276" w:lineRule="auto"/>
        <w:jc w:val="center"/>
      </w:pPr>
    </w:p>
    <w:p w14:paraId="6BFFCC08" w14:textId="77777777" w:rsidR="005A0E74" w:rsidRPr="00F7509D" w:rsidRDefault="005A0E74" w:rsidP="005A0E74">
      <w:pPr>
        <w:spacing w:line="276" w:lineRule="auto"/>
        <w:jc w:val="center"/>
      </w:pPr>
      <w:r w:rsidRPr="00F7509D">
        <w:t>(</w:t>
      </w:r>
      <w:r w:rsidRPr="00F7509D">
        <w:rPr>
          <w:b/>
        </w:rPr>
        <w:t>Faricimabas</w:t>
      </w:r>
      <w:r w:rsidRPr="00F7509D">
        <w:t>)</w:t>
      </w:r>
    </w:p>
    <w:p w14:paraId="4F43419F" w14:textId="77777777" w:rsidR="005A0E74" w:rsidRPr="00F7509D" w:rsidRDefault="005A0E74" w:rsidP="005A0E74">
      <w:pPr>
        <w:spacing w:line="276" w:lineRule="auto"/>
        <w:jc w:val="center"/>
      </w:pPr>
    </w:p>
    <w:p w14:paraId="62394E32" w14:textId="77777777" w:rsidR="005A0E74" w:rsidRDefault="005A0E74" w:rsidP="005A0E74">
      <w:pPr>
        <w:spacing w:line="276" w:lineRule="auto"/>
        <w:jc w:val="center"/>
        <w:rPr>
          <w:b/>
        </w:rPr>
      </w:pPr>
      <w:r w:rsidRPr="00F7509D">
        <w:rPr>
          <w:b/>
        </w:rPr>
        <w:t>STV-138</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3AE9AA0C" w:rsidR="00B13D65" w:rsidRPr="00E33EFF" w:rsidRDefault="00224160" w:rsidP="00824B92">
            <w:pPr>
              <w:rPr>
                <w:rFonts w:eastAsia="Arial"/>
              </w:rPr>
            </w:pPr>
            <w:r w:rsidRPr="00F7509D">
              <w:rPr>
                <w:color w:val="000000"/>
              </w:rPr>
              <w:t>UAB „Roche Lietuva”</w:t>
            </w: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07AF3B51" w:rsidR="00B13D65" w:rsidRPr="00E33EFF" w:rsidRDefault="00000000" w:rsidP="00824B92">
            <w:pPr>
              <w:rPr>
                <w:rStyle w:val="Style2"/>
              </w:rPr>
            </w:pPr>
            <w:sdt>
              <w:sdtPr>
                <w:rPr>
                  <w:color w:val="000000"/>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Content>
                <w:r w:rsidR="00224160" w:rsidRPr="00224160">
                  <w:rPr>
                    <w:color w:val="000000"/>
                  </w:rPr>
                  <w:t>2022 m. rugsėjo 15 d.</w:t>
                </w:r>
              </w:sdtContent>
            </w:sdt>
          </w:p>
        </w:tc>
      </w:tr>
      <w:tr w:rsidR="00224160" w:rsidRPr="00E33EFF" w14:paraId="15968AE1" w14:textId="77777777" w:rsidTr="0043726F">
        <w:trPr>
          <w:trHeight w:val="1500"/>
        </w:trPr>
        <w:tc>
          <w:tcPr>
            <w:tcW w:w="632" w:type="dxa"/>
          </w:tcPr>
          <w:p w14:paraId="6A784245" w14:textId="1E461489" w:rsidR="00224160" w:rsidRPr="00E33EFF" w:rsidRDefault="00224160" w:rsidP="00224160">
            <w:pPr>
              <w:rPr>
                <w:rFonts w:eastAsia="Arial"/>
              </w:rPr>
            </w:pPr>
            <w:r w:rsidRPr="00E33EFF">
              <w:rPr>
                <w:rFonts w:eastAsia="Arial"/>
              </w:rPr>
              <w:t>1.3</w:t>
            </w:r>
          </w:p>
        </w:tc>
        <w:tc>
          <w:tcPr>
            <w:tcW w:w="3694" w:type="dxa"/>
          </w:tcPr>
          <w:p w14:paraId="22933506" w14:textId="77777777" w:rsidR="00224160" w:rsidRPr="00E33EFF" w:rsidRDefault="00224160" w:rsidP="00224160">
            <w:r w:rsidRPr="00E33EFF">
              <w:t xml:space="preserve">Paraiškos tipas </w:t>
            </w:r>
          </w:p>
          <w:p w14:paraId="0465E680" w14:textId="7F0A0714" w:rsidR="00224160" w:rsidRPr="00E33EFF" w:rsidRDefault="00224160" w:rsidP="00224160">
            <w:r w:rsidRPr="00E33EFF">
              <w:t xml:space="preserve">(pagal </w:t>
            </w:r>
            <w:r w:rsidRPr="00E33EFF">
              <w:rPr>
                <w:color w:val="333333"/>
                <w:shd w:val="clear" w:color="auto" w:fill="FFFFFF"/>
              </w:rPr>
              <w:t>vaistinio preparato registracijos tipą, įtvirtintą</w:t>
            </w:r>
            <w:r w:rsidRPr="00E33EFF">
              <w:t xml:space="preserve"> Direktyvos 2001/83/EB straipsiuose)</w:t>
            </w:r>
          </w:p>
          <w:p w14:paraId="77089D80" w14:textId="6681D72A" w:rsidR="00224160" w:rsidRPr="00E33EFF" w:rsidRDefault="00224160" w:rsidP="00224160">
            <w:pPr>
              <w:rPr>
                <w:bCs/>
                <w:color w:val="000000"/>
                <w:lang w:eastAsia="lt-LT"/>
              </w:rPr>
            </w:pPr>
          </w:p>
        </w:tc>
        <w:tc>
          <w:tcPr>
            <w:tcW w:w="5167" w:type="dxa"/>
            <w:vAlign w:val="center"/>
          </w:tcPr>
          <w:p w14:paraId="50A7164D" w14:textId="77777777" w:rsidR="00224160" w:rsidRPr="00F7509D" w:rsidRDefault="00224160" w:rsidP="00224160">
            <w:pPr>
              <w:spacing w:line="276" w:lineRule="auto"/>
              <w:jc w:val="both"/>
            </w:pPr>
            <w:r w:rsidRPr="00F7509D">
              <w:rPr>
                <w:rFonts w:ascii="Segoe UI Symbol" w:eastAsia="MS Gothic" w:hAnsi="Segoe UI Symbol" w:cs="Segoe UI Symbol"/>
              </w:rPr>
              <w:t>☒</w:t>
            </w:r>
            <w:r w:rsidRPr="00F7509D">
              <w:t xml:space="preserve"> 8.3 str. (pilna byla, pagrįsta savais tyrimais) </w:t>
            </w:r>
          </w:p>
          <w:p w14:paraId="350F7598" w14:textId="77777777" w:rsidR="00224160" w:rsidRPr="00F7509D" w:rsidRDefault="00000000" w:rsidP="00224160">
            <w:pPr>
              <w:spacing w:line="276" w:lineRule="auto"/>
              <w:jc w:val="both"/>
            </w:pPr>
            <w:sdt>
              <w:sdtPr>
                <w:tag w:val="goog_rdk_0"/>
                <w:id w:val="220412432"/>
              </w:sdtPr>
              <w:sdtContent>
                <w:r w:rsidR="00224160" w:rsidRPr="00F7509D">
                  <w:rPr>
                    <w:rFonts w:ascii="Segoe UI Symbol" w:eastAsia="Arial Unicode MS" w:hAnsi="Segoe UI Symbol" w:cs="Segoe UI Symbol"/>
                  </w:rPr>
                  <w:t>☐</w:t>
                </w:r>
              </w:sdtContent>
            </w:sdt>
            <w:r w:rsidR="00224160" w:rsidRPr="00F7509D">
              <w:t xml:space="preserve"> 10 a str. (pripažintas medicininis vartojimas) </w:t>
            </w:r>
          </w:p>
          <w:p w14:paraId="2D1F1818" w14:textId="77777777" w:rsidR="00224160" w:rsidRPr="00F7509D" w:rsidRDefault="00224160" w:rsidP="00224160">
            <w:pPr>
              <w:spacing w:line="276" w:lineRule="auto"/>
              <w:jc w:val="both"/>
            </w:pPr>
            <w:r w:rsidRPr="00F7509D">
              <w:rPr>
                <w:rFonts w:ascii="Segoe UI Symbol" w:eastAsia="MS Gothic" w:hAnsi="Segoe UI Symbol" w:cs="Segoe UI Symbol"/>
              </w:rPr>
              <w:t>☐</w:t>
            </w:r>
            <w:r w:rsidRPr="00F7509D">
              <w:t xml:space="preserve"> 10.1 str. (generinis)</w:t>
            </w:r>
          </w:p>
          <w:p w14:paraId="3B0A4F72" w14:textId="1CEC1C53" w:rsidR="00224160" w:rsidRPr="00E33EFF" w:rsidRDefault="00000000" w:rsidP="00224160">
            <w:pPr>
              <w:rPr>
                <w:rStyle w:val="Style2"/>
                <w:sz w:val="24"/>
              </w:rPr>
            </w:pPr>
            <w:sdt>
              <w:sdtPr>
                <w:rPr>
                  <w:sz w:val="32"/>
                </w:rPr>
                <w:tag w:val="goog_rdk_1"/>
                <w:id w:val="-1126461587"/>
              </w:sdtPr>
              <w:sdtEndPr>
                <w:rPr>
                  <w:sz w:val="24"/>
                </w:rPr>
              </w:sdtEndPr>
              <w:sdtContent>
                <w:r w:rsidR="00224160" w:rsidRPr="00F7509D">
                  <w:rPr>
                    <w:rFonts w:ascii="Segoe UI Symbol" w:eastAsia="Arial Unicode MS" w:hAnsi="Segoe UI Symbol" w:cs="Segoe UI Symbol"/>
                  </w:rPr>
                  <w:t>☐</w:t>
                </w:r>
              </w:sdtContent>
            </w:sdt>
            <w:r w:rsidR="00224160" w:rsidRPr="00F7509D">
              <w:t xml:space="preserve"> 10.3 str. (hibridinis)</w:t>
            </w:r>
          </w:p>
        </w:tc>
      </w:tr>
      <w:tr w:rsidR="00224160" w:rsidRPr="00E33EFF" w14:paraId="310E9662" w14:textId="77777777" w:rsidTr="00BE7489">
        <w:trPr>
          <w:trHeight w:val="1442"/>
        </w:trPr>
        <w:tc>
          <w:tcPr>
            <w:tcW w:w="632" w:type="dxa"/>
          </w:tcPr>
          <w:p w14:paraId="4B5A91A2" w14:textId="561B5E5F" w:rsidR="00224160" w:rsidRPr="00E33EFF" w:rsidRDefault="00224160" w:rsidP="00224160">
            <w:pPr>
              <w:rPr>
                <w:rFonts w:eastAsia="Arial"/>
              </w:rPr>
            </w:pPr>
            <w:r w:rsidRPr="00E33EFF">
              <w:rPr>
                <w:rFonts w:eastAsia="Arial"/>
              </w:rPr>
              <w:t>1.4</w:t>
            </w:r>
          </w:p>
        </w:tc>
        <w:tc>
          <w:tcPr>
            <w:tcW w:w="3694" w:type="dxa"/>
          </w:tcPr>
          <w:p w14:paraId="6C91E105" w14:textId="77777777" w:rsidR="00224160" w:rsidRPr="00E33EFF" w:rsidRDefault="00224160" w:rsidP="00224160">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224160" w:rsidRPr="00E33EFF" w:rsidRDefault="00224160" w:rsidP="00224160">
            <w:pPr>
              <w:rPr>
                <w:bCs/>
                <w:color w:val="000000"/>
                <w:lang w:eastAsia="lt-LT"/>
              </w:rPr>
            </w:pPr>
          </w:p>
        </w:tc>
        <w:tc>
          <w:tcPr>
            <w:tcW w:w="5167" w:type="dxa"/>
          </w:tcPr>
          <w:p w14:paraId="05845C60" w14:textId="10CF4033" w:rsidR="00224160" w:rsidRPr="00E33EFF" w:rsidRDefault="00000000" w:rsidP="00224160">
            <w:sdt>
              <w:sdtPr>
                <w:rPr>
                  <w:rStyle w:val="Style2"/>
                  <w:sz w:val="24"/>
                </w:rPr>
                <w:id w:val="2024432173"/>
                <w15:color w:val="FFCC00"/>
                <w14:checkbox>
                  <w14:checked w14:val="0"/>
                  <w14:checkedState w14:val="2612" w14:font="MS Gothic"/>
                  <w14:uncheckedState w14:val="2610" w14:font="MS Gothic"/>
                </w14:checkbox>
              </w:sdtPr>
              <w:sdtContent>
                <w:r w:rsidR="00224160" w:rsidRPr="00E33EFF">
                  <w:rPr>
                    <w:rStyle w:val="Style2"/>
                    <w:rFonts w:ascii="MS Gothic" w:eastAsia="MS Gothic" w:hAnsi="MS Gothic" w:hint="eastAsia"/>
                    <w:sz w:val="24"/>
                  </w:rPr>
                  <w:t>☐</w:t>
                </w:r>
              </w:sdtContent>
            </w:sdt>
            <w:r w:rsidR="00224160" w:rsidRPr="00E33EFF">
              <w:t xml:space="preserve"> Taip</w:t>
            </w:r>
          </w:p>
          <w:p w14:paraId="41D88067" w14:textId="50A2D786" w:rsidR="00224160" w:rsidRPr="00E33EFF" w:rsidRDefault="00000000" w:rsidP="00224160">
            <w:sdt>
              <w:sdtPr>
                <w:rPr>
                  <w:rStyle w:val="Style2"/>
                  <w:sz w:val="24"/>
                </w:rPr>
                <w:id w:val="-970507926"/>
                <w15:color w:val="FFCC00"/>
                <w14:checkbox>
                  <w14:checked w14:val="1"/>
                  <w14:checkedState w14:val="2612" w14:font="MS Gothic"/>
                  <w14:uncheckedState w14:val="2610" w14:font="MS Gothic"/>
                </w14:checkbox>
              </w:sdtPr>
              <w:sdtContent>
                <w:r w:rsidR="00224160">
                  <w:rPr>
                    <w:rStyle w:val="Style2"/>
                    <w:rFonts w:ascii="MS Gothic" w:eastAsia="MS Gothic" w:hAnsi="MS Gothic" w:hint="eastAsia"/>
                    <w:sz w:val="24"/>
                  </w:rPr>
                  <w:t>☒</w:t>
                </w:r>
              </w:sdtContent>
            </w:sdt>
            <w:r w:rsidR="00224160" w:rsidRPr="00E33EFF">
              <w:t xml:space="preserve"> Ne</w:t>
            </w:r>
          </w:p>
          <w:p w14:paraId="29C2CBBB" w14:textId="77777777" w:rsidR="00224160" w:rsidRPr="00E33EFF" w:rsidRDefault="00000000" w:rsidP="00224160">
            <w:pPr>
              <w:rPr>
                <w:rFonts w:eastAsia="Arial"/>
              </w:rPr>
            </w:pPr>
            <w:sdt>
              <w:sdtPr>
                <w:alias w:val="Nurodykite konkrečią dieną"/>
                <w:tag w:val="Nurodykite pradžios datą"/>
                <w:id w:val="693498901"/>
                <w:placeholder>
                  <w:docPart w:val="3E5C6BB25C3E43AFBD1DCB96D969A0C4"/>
                </w:placeholder>
                <w:showingPlcHdr/>
                <w15:color w:val="FFCC99"/>
                <w:date w:fullDate="2022-05-18T00:00:00Z">
                  <w:dateFormat w:val="yyyy 'm.' MMMM d 'd.'"/>
                  <w:lid w:val="lt-LT"/>
                  <w:storeMappedDataAs w:val="dateTime"/>
                  <w:calendar w:val="gregorian"/>
                </w:date>
              </w:sdtPr>
              <w:sdtContent>
                <w:r w:rsidR="00224160" w:rsidRPr="00E33EFF">
                  <w:rPr>
                    <w:rStyle w:val="Vietosrezervavimoenklotekstas"/>
                  </w:rPr>
                  <w:t>Click here to enter a date.</w:t>
                </w:r>
              </w:sdtContent>
            </w:sdt>
          </w:p>
        </w:tc>
      </w:tr>
      <w:tr w:rsidR="00224160" w:rsidRPr="00E33EFF" w14:paraId="7841E5F8" w14:textId="77777777" w:rsidTr="00BE7489">
        <w:trPr>
          <w:trHeight w:val="476"/>
        </w:trPr>
        <w:tc>
          <w:tcPr>
            <w:tcW w:w="632" w:type="dxa"/>
          </w:tcPr>
          <w:p w14:paraId="109D2861" w14:textId="73BF27DF" w:rsidR="00224160" w:rsidRPr="00E33EFF" w:rsidRDefault="00224160" w:rsidP="00224160">
            <w:pPr>
              <w:rPr>
                <w:rFonts w:eastAsia="Arial"/>
              </w:rPr>
            </w:pPr>
            <w:r w:rsidRPr="00E33EFF">
              <w:rPr>
                <w:rFonts w:eastAsia="Arial"/>
              </w:rPr>
              <w:t>1.5</w:t>
            </w:r>
          </w:p>
        </w:tc>
        <w:tc>
          <w:tcPr>
            <w:tcW w:w="3694" w:type="dxa"/>
          </w:tcPr>
          <w:p w14:paraId="7822D63E" w14:textId="68C38334" w:rsidR="00224160" w:rsidRPr="00E33EFF" w:rsidRDefault="00224160" w:rsidP="00224160">
            <w:pPr>
              <w:rPr>
                <w:bCs/>
                <w:color w:val="000000"/>
                <w:lang w:eastAsia="lt-LT"/>
              </w:rPr>
            </w:pPr>
            <w:r w:rsidRPr="00E33EFF">
              <w:t>STV paraiškos pobūdis</w:t>
            </w:r>
          </w:p>
        </w:tc>
        <w:tc>
          <w:tcPr>
            <w:tcW w:w="5167" w:type="dxa"/>
          </w:tcPr>
          <w:p w14:paraId="403461B9" w14:textId="68A37216" w:rsidR="00224160" w:rsidRPr="00E33EFF" w:rsidRDefault="00000000" w:rsidP="00224160">
            <w:sdt>
              <w:sdtPr>
                <w:rPr>
                  <w:rStyle w:val="Style2"/>
                  <w:sz w:val="24"/>
                </w:rPr>
                <w:id w:val="-468433535"/>
                <w15:color w:val="FFCC00"/>
                <w14:checkbox>
                  <w14:checked w14:val="1"/>
                  <w14:checkedState w14:val="2612" w14:font="MS Gothic"/>
                  <w14:uncheckedState w14:val="2610" w14:font="MS Gothic"/>
                </w14:checkbox>
              </w:sdtPr>
              <w:sdtContent>
                <w:r w:rsidR="00224160">
                  <w:rPr>
                    <w:rStyle w:val="Style2"/>
                    <w:rFonts w:ascii="MS Gothic" w:eastAsia="MS Gothic" w:hAnsi="MS Gothic" w:hint="eastAsia"/>
                    <w:sz w:val="24"/>
                  </w:rPr>
                  <w:t>☒</w:t>
                </w:r>
              </w:sdtContent>
            </w:sdt>
            <w:r w:rsidR="00224160" w:rsidRPr="00E33EFF">
              <w:t xml:space="preserve"> Pilna paraiška</w:t>
            </w:r>
          </w:p>
          <w:p w14:paraId="6B8213E3" w14:textId="3495CDF4" w:rsidR="00224160" w:rsidRPr="00E33EFF" w:rsidRDefault="00000000" w:rsidP="00224160">
            <w:sdt>
              <w:sdtPr>
                <w:rPr>
                  <w:rStyle w:val="Style2"/>
                  <w:sz w:val="24"/>
                </w:rPr>
                <w:id w:val="-1489014904"/>
                <w15:color w:val="FFCC00"/>
                <w14:checkbox>
                  <w14:checked w14:val="0"/>
                  <w14:checkedState w14:val="2612" w14:font="MS Gothic"/>
                  <w14:uncheckedState w14:val="2610" w14:font="MS Gothic"/>
                </w14:checkbox>
              </w:sdtPr>
              <w:sdtContent>
                <w:r w:rsidR="00224160" w:rsidRPr="00E33EFF">
                  <w:rPr>
                    <w:rStyle w:val="Style2"/>
                    <w:rFonts w:ascii="MS Gothic" w:eastAsia="MS Gothic" w:hAnsi="MS Gothic" w:hint="eastAsia"/>
                    <w:sz w:val="24"/>
                  </w:rPr>
                  <w:t>☐</w:t>
                </w:r>
              </w:sdtContent>
            </w:sdt>
            <w:r w:rsidR="00224160" w:rsidRPr="00E33EFF">
              <w:t xml:space="preserve"> Supaprastinta paraiška</w:t>
            </w:r>
          </w:p>
        </w:tc>
      </w:tr>
      <w:tr w:rsidR="00224160" w:rsidRPr="00E33EFF" w14:paraId="274D1DAF" w14:textId="77777777" w:rsidTr="00BE7489">
        <w:trPr>
          <w:trHeight w:val="1922"/>
        </w:trPr>
        <w:tc>
          <w:tcPr>
            <w:tcW w:w="632" w:type="dxa"/>
          </w:tcPr>
          <w:p w14:paraId="17ABF217" w14:textId="14AC00D7" w:rsidR="00224160" w:rsidRPr="00E33EFF" w:rsidRDefault="00224160" w:rsidP="00224160">
            <w:pPr>
              <w:rPr>
                <w:rFonts w:eastAsia="Arial"/>
              </w:rPr>
            </w:pPr>
            <w:r w:rsidRPr="00E33EFF">
              <w:rPr>
                <w:rFonts w:eastAsia="Arial"/>
              </w:rPr>
              <w:t>1.6</w:t>
            </w:r>
          </w:p>
        </w:tc>
        <w:tc>
          <w:tcPr>
            <w:tcW w:w="3694" w:type="dxa"/>
          </w:tcPr>
          <w:p w14:paraId="4D49DBF5" w14:textId="77777777" w:rsidR="00224160" w:rsidRPr="00E33EFF" w:rsidRDefault="00224160" w:rsidP="00224160">
            <w:pPr>
              <w:rPr>
                <w:bCs/>
                <w:color w:val="000000"/>
                <w:lang w:eastAsia="lt-LT"/>
              </w:rPr>
            </w:pPr>
            <w:r w:rsidRPr="00E33EFF">
              <w:rPr>
                <w:bCs/>
                <w:color w:val="000000"/>
                <w:lang w:eastAsia="lt-LT"/>
              </w:rPr>
              <w:t>Pareiškėjo teikiama (-os) kompensuoti vaistinio preparato indikacija (-os)</w:t>
            </w:r>
          </w:p>
          <w:p w14:paraId="09443FF8" w14:textId="4D0006A9" w:rsidR="00224160" w:rsidRDefault="00224160" w:rsidP="00224160">
            <w:pPr>
              <w:rPr>
                <w:bCs/>
                <w:color w:val="000000"/>
                <w:lang w:eastAsia="lt-LT"/>
              </w:rPr>
            </w:pPr>
          </w:p>
          <w:p w14:paraId="150C5C6F" w14:textId="77777777" w:rsidR="00224160" w:rsidRDefault="00224160" w:rsidP="00224160">
            <w:pPr>
              <w:rPr>
                <w:bCs/>
                <w:color w:val="000000"/>
                <w:lang w:eastAsia="lt-LT"/>
              </w:rPr>
            </w:pPr>
          </w:p>
          <w:p w14:paraId="3A6B054C" w14:textId="77777777" w:rsidR="00224160" w:rsidRDefault="00224160" w:rsidP="00224160">
            <w:pPr>
              <w:rPr>
                <w:bCs/>
                <w:color w:val="000000"/>
                <w:lang w:eastAsia="lt-LT"/>
              </w:rPr>
            </w:pPr>
          </w:p>
          <w:p w14:paraId="6B4FEEC1" w14:textId="378668B0" w:rsidR="00224160" w:rsidRPr="00E33EFF" w:rsidRDefault="00224160" w:rsidP="00224160">
            <w:pPr>
              <w:rPr>
                <w:bCs/>
                <w:color w:val="000000"/>
                <w:lang w:eastAsia="lt-LT"/>
              </w:rPr>
            </w:pPr>
            <w:r w:rsidRPr="00E33EFF">
              <w:rPr>
                <w:bCs/>
                <w:color w:val="000000"/>
                <w:lang w:eastAsia="lt-LT"/>
              </w:rPr>
              <w:t>Kodas pagal TLK-10 AM</w:t>
            </w:r>
          </w:p>
        </w:tc>
        <w:tc>
          <w:tcPr>
            <w:tcW w:w="5167" w:type="dxa"/>
          </w:tcPr>
          <w:p w14:paraId="50F2BBF1" w14:textId="77777777" w:rsidR="00224160" w:rsidRPr="00F7509D" w:rsidRDefault="00224160" w:rsidP="00224160">
            <w:pPr>
              <w:pBdr>
                <w:top w:val="nil"/>
                <w:left w:val="nil"/>
                <w:bottom w:val="nil"/>
                <w:right w:val="nil"/>
                <w:between w:val="nil"/>
              </w:pBdr>
              <w:spacing w:line="276" w:lineRule="auto"/>
              <w:jc w:val="both"/>
              <w:rPr>
                <w:color w:val="000000"/>
              </w:rPr>
            </w:pPr>
            <w:r w:rsidRPr="00F7509D">
              <w:rPr>
                <w:color w:val="000000"/>
              </w:rPr>
              <w:t>Vabysmo skirtas suaugusiems pacientams gydyti: </w:t>
            </w:r>
          </w:p>
          <w:p w14:paraId="0B20F155" w14:textId="77777777" w:rsidR="00224160" w:rsidRDefault="00224160" w:rsidP="00224160">
            <w:pPr>
              <w:pBdr>
                <w:top w:val="nil"/>
                <w:left w:val="nil"/>
                <w:bottom w:val="nil"/>
                <w:right w:val="nil"/>
                <w:between w:val="nil"/>
              </w:pBdr>
              <w:spacing w:line="276" w:lineRule="auto"/>
              <w:jc w:val="both"/>
              <w:rPr>
                <w:color w:val="000000"/>
              </w:rPr>
            </w:pPr>
            <w:r w:rsidRPr="00F7509D">
              <w:rPr>
                <w:color w:val="000000"/>
              </w:rPr>
              <w:t xml:space="preserve">• neovaskulinę (eksudacinę) su amžiumi susijusią geltonosios dėmės degeneraciją (angl. </w:t>
            </w:r>
            <w:r w:rsidRPr="00F7509D">
              <w:rPr>
                <w:i/>
                <w:color w:val="000000"/>
              </w:rPr>
              <w:t xml:space="preserve">neovascular </w:t>
            </w:r>
            <w:r w:rsidRPr="00F7509D">
              <w:rPr>
                <w:color w:val="000000"/>
              </w:rPr>
              <w:t>[</w:t>
            </w:r>
            <w:r w:rsidRPr="00F7509D">
              <w:rPr>
                <w:i/>
                <w:color w:val="000000"/>
              </w:rPr>
              <w:t>wet</w:t>
            </w:r>
            <w:r w:rsidRPr="00F7509D">
              <w:rPr>
                <w:color w:val="000000"/>
              </w:rPr>
              <w:t xml:space="preserve">] </w:t>
            </w:r>
            <w:r w:rsidRPr="00F7509D">
              <w:rPr>
                <w:i/>
                <w:color w:val="000000"/>
              </w:rPr>
              <w:t>age-related macular degeneration – nAMD</w:t>
            </w:r>
            <w:r w:rsidRPr="00F7509D">
              <w:rPr>
                <w:color w:val="000000"/>
              </w:rPr>
              <w:t>)</w:t>
            </w:r>
            <w:r>
              <w:rPr>
                <w:color w:val="000000"/>
              </w:rPr>
              <w:t>.</w:t>
            </w:r>
          </w:p>
          <w:p w14:paraId="09D7091F" w14:textId="77777777" w:rsidR="00224160" w:rsidRDefault="00224160" w:rsidP="00224160">
            <w:pPr>
              <w:pBdr>
                <w:top w:val="nil"/>
                <w:left w:val="nil"/>
                <w:bottom w:val="nil"/>
                <w:right w:val="nil"/>
                <w:between w:val="nil"/>
              </w:pBdr>
              <w:spacing w:line="276" w:lineRule="auto"/>
              <w:jc w:val="both"/>
              <w:rPr>
                <w:color w:val="000000"/>
              </w:rPr>
            </w:pPr>
          </w:p>
          <w:p w14:paraId="13F7DFB0" w14:textId="1985A96E" w:rsidR="00224160" w:rsidRPr="00E33EFF" w:rsidRDefault="00224160" w:rsidP="00224160">
            <w:pPr>
              <w:pStyle w:val="Sraopastraipa"/>
              <w:spacing w:after="120" w:line="276" w:lineRule="auto"/>
              <w:ind w:left="0"/>
              <w:contextualSpacing w:val="0"/>
              <w:jc w:val="both"/>
            </w:pPr>
            <w:r w:rsidRPr="00B7647A">
              <w:rPr>
                <w:color w:val="000000"/>
              </w:rPr>
              <w:t>TLK-10-AM kodas – H35.3</w:t>
            </w:r>
          </w:p>
        </w:tc>
      </w:tr>
      <w:tr w:rsidR="00E0281F" w:rsidRPr="00E33EFF" w14:paraId="2F79DC08" w14:textId="77777777" w:rsidTr="00EC7874">
        <w:trPr>
          <w:trHeight w:val="378"/>
        </w:trPr>
        <w:tc>
          <w:tcPr>
            <w:tcW w:w="632" w:type="dxa"/>
          </w:tcPr>
          <w:p w14:paraId="547885A2" w14:textId="08AA8055" w:rsidR="00E0281F" w:rsidRPr="00E33EFF" w:rsidRDefault="00E0281F" w:rsidP="00E0281F">
            <w:pPr>
              <w:rPr>
                <w:rFonts w:eastAsia="Arial"/>
              </w:rPr>
            </w:pPr>
            <w:r w:rsidRPr="00E33EFF">
              <w:rPr>
                <w:rFonts w:eastAsia="Arial"/>
              </w:rPr>
              <w:lastRenderedPageBreak/>
              <w:t>1.6</w:t>
            </w:r>
          </w:p>
        </w:tc>
        <w:tc>
          <w:tcPr>
            <w:tcW w:w="3694" w:type="dxa"/>
          </w:tcPr>
          <w:p w14:paraId="2EAB877F" w14:textId="39A36941" w:rsidR="00E0281F" w:rsidRPr="00E33EFF" w:rsidRDefault="00E0281F" w:rsidP="00E0281F">
            <w:pPr>
              <w:rPr>
                <w:bCs/>
                <w:color w:val="000000"/>
                <w:u w:val="single"/>
                <w:lang w:eastAsia="lt-LT"/>
              </w:rPr>
            </w:pPr>
            <w:r w:rsidRPr="00E33EFF">
              <w:rPr>
                <w:bCs/>
                <w:color w:val="000000"/>
                <w:lang w:eastAsia="lt-LT"/>
              </w:rPr>
              <w:t xml:space="preserve">Pareiškėjo teikiamos skyrimo sąlygos </w:t>
            </w:r>
          </w:p>
        </w:tc>
        <w:tc>
          <w:tcPr>
            <w:tcW w:w="5167" w:type="dxa"/>
            <w:vAlign w:val="center"/>
          </w:tcPr>
          <w:p w14:paraId="25F4D32B"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Gydymą faricimabu pradėti ir tęsti gali tik gydytojas oftalmologas, turintis gydymo šiuo vaistiniu preparatu patirties.</w:t>
            </w:r>
          </w:p>
          <w:p w14:paraId="3C55CDD2"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1. Gydymas faricimabu, kaip gydymas pirmuoju anti-KEAF, taikomas pacientams, kurių ligos būklė atitinka bendrus klinikinius gydymo anti-KEAF preparatais pradžios kriterijus, ir, kai bendri gydymo faricimabu kaštai atitinka mažiausių bendrų PSDF išlaidų ligos gydymui nuostatą, formaliai paskelbtą VVKT vertinimo ir VLK faktinių duomenų pagrindu. Neovaskulinės AGDD gydymas pradedamas, jei gali būti taikomas bent vienas iš šių kriterijų:</w:t>
            </w:r>
          </w:p>
          <w:p w14:paraId="42C5C9C8"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1)</w:t>
            </w:r>
            <w:r w:rsidRPr="00B7647A">
              <w:rPr>
                <w:color w:val="000000"/>
              </w:rPr>
              <w:tab/>
              <w:t>gyslainės neovaskulinės membranos (toliau – GNVM) atsiradimas, jei anksčiau ji nebuvo įtarta ar nustatyta;</w:t>
            </w:r>
          </w:p>
          <w:p w14:paraId="38DAC4FD"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2)</w:t>
            </w:r>
            <w:r w:rsidRPr="00B7647A">
              <w:rPr>
                <w:color w:val="000000"/>
              </w:rPr>
              <w:tab/>
              <w:t>naujų kraujosruvų ir (ar) subretininio skysčio nustatymas;</w:t>
            </w:r>
          </w:p>
          <w:p w14:paraId="3BC3F4C1"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3)</w:t>
            </w:r>
            <w:r w:rsidRPr="00B7647A">
              <w:rPr>
                <w:color w:val="000000"/>
              </w:rPr>
              <w:tab/>
              <w:t>nesenas regos pablogėjimas (jis turi būti dokumentuotas), kai yra GNVM (regėjimo aštrumas po korekcijos – ne mažesnis kaip 0,1);</w:t>
            </w:r>
          </w:p>
          <w:p w14:paraId="67915798"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4)</w:t>
            </w:r>
            <w:r w:rsidRPr="00B7647A">
              <w:rPr>
                <w:color w:val="000000"/>
              </w:rPr>
              <w:tab/>
              <w:t>GNVM padidėjimas, palyginti su jos dydžiu, nustatytu per ankstesnį apsilankymą pas gydytoją specialistą;</w:t>
            </w:r>
          </w:p>
          <w:p w14:paraId="4DDA46FF"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5)</w:t>
            </w:r>
            <w:r w:rsidRPr="00B7647A">
              <w:rPr>
                <w:color w:val="000000"/>
              </w:rPr>
              <w:tab/>
              <w:t>nėra struktūrinio fibrozinio pažeidimo geltonosios dėmės centre (duobutėje);</w:t>
            </w:r>
          </w:p>
          <w:p w14:paraId="49E28A3D"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6)</w:t>
            </w:r>
            <w:r w:rsidRPr="00B7647A">
              <w:rPr>
                <w:color w:val="000000"/>
              </w:rPr>
              <w:tab/>
              <w:t>GNVM pažeidimo plotas ne didesnis kaip 12 regos nervo disko diametrų;</w:t>
            </w:r>
          </w:p>
          <w:p w14:paraId="12DE2BB1"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7)</w:t>
            </w:r>
            <w:r w:rsidRPr="00B7647A">
              <w:rPr>
                <w:color w:val="000000"/>
              </w:rPr>
              <w:tab/>
              <w:t>GNVM sudaro ne mažiau kaip pusę dėl degeneracijos pakenkto tinklainės ploto.</w:t>
            </w:r>
          </w:p>
          <w:p w14:paraId="703EDD7F" w14:textId="77777777" w:rsidR="00E0281F" w:rsidRPr="00B7647A" w:rsidRDefault="00E0281F" w:rsidP="00E0281F">
            <w:pPr>
              <w:pBdr>
                <w:top w:val="nil"/>
                <w:left w:val="nil"/>
                <w:bottom w:val="nil"/>
                <w:right w:val="nil"/>
                <w:between w:val="nil"/>
              </w:pBdr>
              <w:spacing w:line="276" w:lineRule="auto"/>
              <w:ind w:left="22"/>
              <w:jc w:val="both"/>
              <w:rPr>
                <w:color w:val="000000"/>
              </w:rPr>
            </w:pPr>
            <w:r w:rsidRPr="00B7647A">
              <w:rPr>
                <w:color w:val="000000"/>
              </w:rPr>
              <w:t xml:space="preserve">2. Gydymas faricimabu taikomas pacientams, kurie nepakankamai reaguoja į gydymą pirmuoju anti-KEAF, arba, kuriems pirmuoju anti-KEAF pradėtas gydymas buvo nutrauktas dėl netinkamumo, ir, kuriems yra tinkamas kito anti-KEAF vaistinio preparato taikymas. </w:t>
            </w:r>
          </w:p>
          <w:p w14:paraId="0579DF58" w14:textId="36C433D1" w:rsidR="00E0281F" w:rsidRPr="00E33EFF" w:rsidRDefault="00E0281F" w:rsidP="00E0281F">
            <w:r w:rsidRPr="00B7647A">
              <w:rPr>
                <w:color w:val="000000"/>
              </w:rPr>
              <w:t>Gydymo faricimabu dozavimas ir vartojimo metodas turi atitikti numatytąjį vaistinio preparato charakteristikų santraukos (PCS) 4.2 dalyje.</w:t>
            </w:r>
          </w:p>
        </w:tc>
      </w:tr>
      <w:tr w:rsidR="00E0281F" w:rsidRPr="00E33EFF" w14:paraId="3B125269" w14:textId="77777777" w:rsidTr="00BE7489">
        <w:trPr>
          <w:trHeight w:val="378"/>
        </w:trPr>
        <w:tc>
          <w:tcPr>
            <w:tcW w:w="632" w:type="dxa"/>
          </w:tcPr>
          <w:p w14:paraId="0058E11F" w14:textId="77777777" w:rsidR="00E0281F" w:rsidRPr="00E33EFF" w:rsidRDefault="00E0281F" w:rsidP="00E0281F">
            <w:pPr>
              <w:rPr>
                <w:rFonts w:eastAsia="Arial"/>
              </w:rPr>
            </w:pPr>
            <w:r w:rsidRPr="00E33EFF">
              <w:rPr>
                <w:rFonts w:eastAsia="Arial"/>
              </w:rPr>
              <w:t>1.7</w:t>
            </w:r>
          </w:p>
        </w:tc>
        <w:tc>
          <w:tcPr>
            <w:tcW w:w="3694" w:type="dxa"/>
          </w:tcPr>
          <w:p w14:paraId="738E1926" w14:textId="50A9DC79" w:rsidR="00E0281F" w:rsidRDefault="00E0281F" w:rsidP="00E0281F">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1F7BF92F" w14:textId="6E3AE3A9" w:rsidR="00E0281F" w:rsidRDefault="00E0281F" w:rsidP="00E0281F">
            <w:pPr>
              <w:rPr>
                <w:bCs/>
                <w:i/>
                <w:color w:val="000000"/>
                <w:lang w:eastAsia="lt-LT"/>
              </w:rPr>
            </w:pPr>
            <w:r w:rsidRPr="007C7519">
              <w:rPr>
                <w:bCs/>
                <w:i/>
                <w:color w:val="000000"/>
                <w:lang w:eastAsia="lt-LT"/>
              </w:rPr>
              <w:t>Tiesioginis</w:t>
            </w:r>
          </w:p>
          <w:p w14:paraId="643CC07B" w14:textId="2D7C9848" w:rsidR="00E0281F" w:rsidRDefault="00E0281F" w:rsidP="00E0281F">
            <w:pPr>
              <w:rPr>
                <w:bCs/>
                <w:i/>
                <w:color w:val="000000"/>
                <w:lang w:eastAsia="lt-LT"/>
              </w:rPr>
            </w:pPr>
          </w:p>
          <w:p w14:paraId="1FEACC56" w14:textId="0E2E44A3" w:rsidR="00E0281F" w:rsidRDefault="00E0281F" w:rsidP="00E0281F">
            <w:pPr>
              <w:rPr>
                <w:bCs/>
                <w:i/>
                <w:color w:val="000000"/>
                <w:lang w:eastAsia="lt-LT"/>
              </w:rPr>
            </w:pPr>
          </w:p>
          <w:p w14:paraId="200BD3DE" w14:textId="12603D6A" w:rsidR="00E0281F" w:rsidRPr="007C7519" w:rsidRDefault="00E0281F" w:rsidP="00E0281F">
            <w:pPr>
              <w:rPr>
                <w:bCs/>
                <w:i/>
                <w:color w:val="000000"/>
                <w:lang w:eastAsia="lt-LT"/>
              </w:rPr>
            </w:pPr>
            <w:r>
              <w:rPr>
                <w:bCs/>
                <w:i/>
                <w:color w:val="000000"/>
                <w:lang w:eastAsia="lt-LT"/>
              </w:rPr>
              <w:t>Netiesioginis</w:t>
            </w:r>
          </w:p>
          <w:p w14:paraId="62057D94" w14:textId="77777777" w:rsidR="00E0281F" w:rsidRPr="00E33EFF" w:rsidRDefault="00E0281F" w:rsidP="00E0281F">
            <w:pPr>
              <w:rPr>
                <w:bCs/>
                <w:color w:val="000000"/>
                <w:lang w:eastAsia="lt-LT"/>
              </w:rPr>
            </w:pPr>
          </w:p>
          <w:p w14:paraId="6CC1022E" w14:textId="2B6BCEE1" w:rsidR="00E0281F" w:rsidRPr="00E33EFF" w:rsidRDefault="00E0281F" w:rsidP="00E0281F">
            <w:pPr>
              <w:rPr>
                <w:bCs/>
                <w:color w:val="000000"/>
                <w:lang w:eastAsia="lt-LT"/>
              </w:rPr>
            </w:pPr>
          </w:p>
        </w:tc>
        <w:tc>
          <w:tcPr>
            <w:tcW w:w="5167" w:type="dxa"/>
          </w:tcPr>
          <w:p w14:paraId="3E389C70" w14:textId="22AFFC76" w:rsidR="00E0281F" w:rsidRDefault="00E0281F" w:rsidP="00E0281F">
            <w:pPr>
              <w:rPr>
                <w:rStyle w:val="Style2"/>
                <w:sz w:val="24"/>
              </w:rPr>
            </w:pPr>
          </w:p>
          <w:p w14:paraId="0AC43073" w14:textId="77777777" w:rsidR="00E0281F" w:rsidRPr="00E33EFF" w:rsidRDefault="00E0281F" w:rsidP="00E0281F"/>
          <w:p w14:paraId="2383573D" w14:textId="77777777" w:rsidR="00E0281F" w:rsidRPr="00E33EFF" w:rsidRDefault="00000000" w:rsidP="00E0281F">
            <w:sdt>
              <w:sdtPr>
                <w:rPr>
                  <w:rStyle w:val="Style2"/>
                  <w:sz w:val="24"/>
                </w:rPr>
                <w:id w:val="-439376113"/>
                <w15:color w:val="FFCC00"/>
                <w14:checkbox>
                  <w14:checked w14:val="0"/>
                  <w14:checkedState w14:val="2612" w14:font="MS Gothic"/>
                  <w14:uncheckedState w14:val="2610" w14:font="MS Gothic"/>
                </w14:checkbox>
              </w:sdtPr>
              <w:sdtContent>
                <w:r w:rsidR="00E0281F">
                  <w:rPr>
                    <w:rStyle w:val="Style2"/>
                    <w:rFonts w:ascii="MS Gothic" w:eastAsia="MS Gothic" w:hAnsi="MS Gothic" w:hint="eastAsia"/>
                    <w:sz w:val="24"/>
                  </w:rPr>
                  <w:t>☐</w:t>
                </w:r>
              </w:sdtContent>
            </w:sdt>
            <w:r w:rsidR="00E0281F" w:rsidRPr="00E33EFF">
              <w:t xml:space="preserve"> Tinkamas</w:t>
            </w:r>
          </w:p>
          <w:p w14:paraId="5474EFC4" w14:textId="00B68021" w:rsidR="00E0281F" w:rsidRDefault="00000000" w:rsidP="00E0281F">
            <w:pPr>
              <w:rPr>
                <w:rStyle w:val="Style2"/>
                <w:sz w:val="24"/>
              </w:rPr>
            </w:pPr>
            <w:sdt>
              <w:sdtPr>
                <w:rPr>
                  <w:rStyle w:val="Style2"/>
                  <w:sz w:val="24"/>
                </w:rPr>
                <w:id w:val="991603600"/>
                <w15:color w:val="FFCC00"/>
                <w14:checkbox>
                  <w14:checked w14:val="1"/>
                  <w14:checkedState w14:val="2612" w14:font="MS Gothic"/>
                  <w14:uncheckedState w14:val="2610" w14:font="MS Gothic"/>
                </w14:checkbox>
              </w:sdtPr>
              <w:sdtContent>
                <w:r w:rsidR="00E0281F">
                  <w:rPr>
                    <w:rStyle w:val="Style2"/>
                    <w:rFonts w:ascii="MS Gothic" w:eastAsia="MS Gothic" w:hAnsi="MS Gothic" w:hint="eastAsia"/>
                    <w:sz w:val="24"/>
                  </w:rPr>
                  <w:t>☒</w:t>
                </w:r>
              </w:sdtContent>
            </w:sdt>
            <w:r w:rsidR="00E0281F" w:rsidRPr="00E33EFF">
              <w:t xml:space="preserve"> Netinkama</w:t>
            </w:r>
            <w:r w:rsidR="00E0281F">
              <w:t>s</w:t>
            </w:r>
          </w:p>
          <w:p w14:paraId="5481FC83" w14:textId="77777777" w:rsidR="00E0281F" w:rsidRDefault="00E0281F" w:rsidP="00E0281F">
            <w:pPr>
              <w:rPr>
                <w:rStyle w:val="Style2"/>
                <w:sz w:val="24"/>
              </w:rPr>
            </w:pPr>
          </w:p>
          <w:p w14:paraId="66741CBF" w14:textId="03099B04" w:rsidR="00E0281F" w:rsidRPr="00E33EFF" w:rsidRDefault="00000000" w:rsidP="00E0281F">
            <w:sdt>
              <w:sdtPr>
                <w:rPr>
                  <w:rStyle w:val="Style2"/>
                  <w:sz w:val="24"/>
                </w:rPr>
                <w:id w:val="-834302966"/>
                <w15:color w:val="FFCC00"/>
                <w14:checkbox>
                  <w14:checked w14:val="1"/>
                  <w14:checkedState w14:val="2612" w14:font="MS Gothic"/>
                  <w14:uncheckedState w14:val="2610" w14:font="MS Gothic"/>
                </w14:checkbox>
              </w:sdtPr>
              <w:sdtContent>
                <w:r w:rsidR="00E0281F">
                  <w:rPr>
                    <w:rStyle w:val="Style2"/>
                    <w:rFonts w:ascii="MS Gothic" w:eastAsia="MS Gothic" w:hAnsi="MS Gothic" w:hint="eastAsia"/>
                    <w:sz w:val="24"/>
                  </w:rPr>
                  <w:t>☒</w:t>
                </w:r>
              </w:sdtContent>
            </w:sdt>
            <w:r w:rsidR="00E0281F" w:rsidRPr="00E33EFF">
              <w:t xml:space="preserve"> Tinkamas</w:t>
            </w:r>
          </w:p>
          <w:p w14:paraId="41B44044" w14:textId="2E013ACA" w:rsidR="00E0281F" w:rsidRPr="00E33EFF" w:rsidRDefault="00000000" w:rsidP="00E0281F">
            <w:sdt>
              <w:sdtPr>
                <w:rPr>
                  <w:rStyle w:val="Style2"/>
                  <w:sz w:val="24"/>
                </w:rPr>
                <w:id w:val="-352420698"/>
                <w15:color w:val="FFCC00"/>
                <w14:checkbox>
                  <w14:checked w14:val="0"/>
                  <w14:checkedState w14:val="2612" w14:font="MS Gothic"/>
                  <w14:uncheckedState w14:val="2610" w14:font="MS Gothic"/>
                </w14:checkbox>
              </w:sdtPr>
              <w:sdtContent>
                <w:r w:rsidR="00E0281F">
                  <w:rPr>
                    <w:rStyle w:val="Style2"/>
                    <w:rFonts w:ascii="MS Gothic" w:eastAsia="MS Gothic" w:hAnsi="MS Gothic" w:hint="eastAsia"/>
                    <w:sz w:val="24"/>
                  </w:rPr>
                  <w:t>☐</w:t>
                </w:r>
              </w:sdtContent>
            </w:sdt>
            <w:r w:rsidR="00E0281F" w:rsidRPr="00E33EFF">
              <w:t xml:space="preserve"> Netinkama</w:t>
            </w:r>
            <w:r w:rsidR="00E0281F">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4DB97FBF" w14:textId="77777777" w:rsidR="00D94711" w:rsidRDefault="00D94711" w:rsidP="00D94711">
      <w:pPr>
        <w:spacing w:line="276" w:lineRule="auto"/>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27"/>
        <w:gridCol w:w="1915"/>
        <w:gridCol w:w="2351"/>
        <w:gridCol w:w="2725"/>
      </w:tblGrid>
      <w:tr w:rsidR="00D94711" w:rsidRPr="00F7509D" w14:paraId="4F9524F5" w14:textId="77777777" w:rsidTr="00DA0CED">
        <w:trPr>
          <w:trHeight w:val="924"/>
        </w:trPr>
        <w:tc>
          <w:tcPr>
            <w:tcW w:w="2927" w:type="dxa"/>
          </w:tcPr>
          <w:p w14:paraId="606691B2" w14:textId="77777777" w:rsidR="00D94711" w:rsidRPr="00F7509D" w:rsidRDefault="00D94711" w:rsidP="00DA0CED">
            <w:pPr>
              <w:spacing w:line="276" w:lineRule="auto"/>
              <w:jc w:val="both"/>
            </w:pPr>
            <w:r w:rsidRPr="00F7509D">
              <w:t>STV agentūros pavadinimas, šalis</w:t>
            </w:r>
          </w:p>
        </w:tc>
        <w:tc>
          <w:tcPr>
            <w:tcW w:w="1915" w:type="dxa"/>
          </w:tcPr>
          <w:p w14:paraId="59F050F3" w14:textId="77777777" w:rsidR="00D94711" w:rsidRPr="00F7509D" w:rsidRDefault="00D94711" w:rsidP="00DA0CED">
            <w:pPr>
              <w:spacing w:line="276" w:lineRule="auto"/>
              <w:jc w:val="both"/>
            </w:pPr>
            <w:r w:rsidRPr="00F7509D">
              <w:t>STV vertinimas atliktas</w:t>
            </w:r>
          </w:p>
        </w:tc>
        <w:tc>
          <w:tcPr>
            <w:tcW w:w="2351" w:type="dxa"/>
          </w:tcPr>
          <w:p w14:paraId="735E5AB5" w14:textId="77777777" w:rsidR="00D94711" w:rsidRPr="00F7509D" w:rsidRDefault="00D94711" w:rsidP="00DA0CED">
            <w:pPr>
              <w:spacing w:line="276" w:lineRule="auto"/>
              <w:jc w:val="both"/>
            </w:pPr>
            <w:r w:rsidRPr="00F7509D">
              <w:t>Klinikinio vertinimo išvada</w:t>
            </w:r>
          </w:p>
        </w:tc>
        <w:tc>
          <w:tcPr>
            <w:tcW w:w="2725" w:type="dxa"/>
          </w:tcPr>
          <w:p w14:paraId="05CAC932" w14:textId="77777777" w:rsidR="00D94711" w:rsidRPr="00F7509D" w:rsidRDefault="00D94711" w:rsidP="00DA0CED">
            <w:pPr>
              <w:spacing w:line="276" w:lineRule="auto"/>
              <w:jc w:val="both"/>
            </w:pPr>
            <w:r w:rsidRPr="00F7509D">
              <w:t>Farmakoekonominio vertinimo išvada</w:t>
            </w:r>
          </w:p>
        </w:tc>
      </w:tr>
      <w:tr w:rsidR="00921561" w:rsidRPr="00F7509D" w14:paraId="2DA8E148" w14:textId="77777777" w:rsidTr="004D69F9">
        <w:trPr>
          <w:trHeight w:val="1765"/>
        </w:trPr>
        <w:tc>
          <w:tcPr>
            <w:tcW w:w="2927" w:type="dxa"/>
          </w:tcPr>
          <w:p w14:paraId="27B7A1C6" w14:textId="77777777" w:rsidR="00921561" w:rsidRPr="00F7509D" w:rsidRDefault="00921561" w:rsidP="00DA0CED">
            <w:pPr>
              <w:spacing w:line="276" w:lineRule="auto"/>
              <w:jc w:val="both"/>
            </w:pPr>
            <w:r w:rsidRPr="00F7509D">
              <w:t>Nacionalinis sveikatos ir klinikinės kompetencijos institutas, Didžioji Britanija</w:t>
            </w:r>
          </w:p>
          <w:p w14:paraId="4AC5E971" w14:textId="77777777" w:rsidR="00921561" w:rsidRPr="00F7509D" w:rsidRDefault="00921561" w:rsidP="00DA0CED">
            <w:pPr>
              <w:spacing w:line="276" w:lineRule="auto"/>
              <w:jc w:val="both"/>
            </w:pPr>
            <w:r w:rsidRPr="00F7509D">
              <w:t xml:space="preserve">(angl. </w:t>
            </w:r>
            <w:r w:rsidRPr="00F7509D">
              <w:rPr>
                <w:i/>
              </w:rPr>
              <w:t>National Institute for Health and Care Excellence, NICE</w:t>
            </w:r>
            <w:r w:rsidRPr="00F7509D">
              <w:t>)</w:t>
            </w:r>
          </w:p>
        </w:tc>
        <w:tc>
          <w:tcPr>
            <w:tcW w:w="1915" w:type="dxa"/>
          </w:tcPr>
          <w:p w14:paraId="25997CF4" w14:textId="77777777" w:rsidR="00921561" w:rsidRPr="00F7509D" w:rsidRDefault="00921561" w:rsidP="00DA0CED">
            <w:pPr>
              <w:spacing w:line="276" w:lineRule="auto"/>
              <w:jc w:val="both"/>
            </w:pPr>
            <w:r w:rsidRPr="00F7509D">
              <w:rPr>
                <w:rFonts w:ascii="Segoe UI Symbol" w:eastAsia="MS Gothic" w:hAnsi="Segoe UI Symbol" w:cs="Segoe UI Symbol"/>
              </w:rPr>
              <w:t>☒</w:t>
            </w:r>
            <w:r w:rsidRPr="00F7509D">
              <w:t xml:space="preserve"> Taip</w:t>
            </w:r>
          </w:p>
          <w:p w14:paraId="0C5B5B82" w14:textId="77777777" w:rsidR="00921561" w:rsidRPr="00F7509D" w:rsidRDefault="00921561" w:rsidP="00DA0CED">
            <w:pPr>
              <w:spacing w:line="276" w:lineRule="auto"/>
              <w:jc w:val="both"/>
            </w:pPr>
            <w:r w:rsidRPr="00F7509D">
              <w:rPr>
                <w:rFonts w:ascii="Segoe UI Symbol" w:eastAsia="MS Gothic" w:hAnsi="Segoe UI Symbol" w:cs="Segoe UI Symbol"/>
              </w:rPr>
              <w:t>☐</w:t>
            </w:r>
            <w:r w:rsidRPr="00F7509D">
              <w:t xml:space="preserve"> Ne</w:t>
            </w:r>
          </w:p>
          <w:p w14:paraId="27D24CEA" w14:textId="77777777" w:rsidR="00921561" w:rsidRPr="00F7509D" w:rsidRDefault="00921561" w:rsidP="00DA0CED">
            <w:pPr>
              <w:spacing w:line="276" w:lineRule="auto"/>
              <w:jc w:val="both"/>
            </w:pPr>
            <w:r w:rsidRPr="00F7509D">
              <w:rPr>
                <w:color w:val="808080"/>
              </w:rPr>
              <w:t>2022 m. birželio 29 d.</w:t>
            </w:r>
          </w:p>
        </w:tc>
        <w:tc>
          <w:tcPr>
            <w:tcW w:w="5076" w:type="dxa"/>
            <w:gridSpan w:val="2"/>
          </w:tcPr>
          <w:p w14:paraId="54CA91C8" w14:textId="77777777" w:rsidR="00921561" w:rsidRPr="00F7509D" w:rsidRDefault="00921561" w:rsidP="00DA0CED">
            <w:pPr>
              <w:spacing w:line="276" w:lineRule="auto"/>
              <w:jc w:val="both"/>
            </w:pPr>
            <w:r w:rsidRPr="00F7509D">
              <w:t xml:space="preserve">Faricimabas rekomenduojamas, kaip vienas iš </w:t>
            </w:r>
            <w:r w:rsidRPr="00F7509D">
              <w:rPr>
                <w:color w:val="000000"/>
              </w:rPr>
              <w:t xml:space="preserve">neovaskulinės su amžiumi susijusios geltonosios dėmės degeneracijos (nAGDD) </w:t>
            </w:r>
            <w:r w:rsidRPr="00F7509D">
              <w:t>gydymo pasirinkimo variantų suaugusiems pacientams, kuomet:</w:t>
            </w:r>
          </w:p>
          <w:p w14:paraId="7A479B5E" w14:textId="77777777" w:rsidR="00921561" w:rsidRPr="00F7509D" w:rsidRDefault="00921561" w:rsidP="00D94711">
            <w:pPr>
              <w:numPr>
                <w:ilvl w:val="0"/>
                <w:numId w:val="13"/>
              </w:numPr>
              <w:pBdr>
                <w:top w:val="nil"/>
                <w:left w:val="nil"/>
                <w:bottom w:val="nil"/>
                <w:right w:val="nil"/>
                <w:between w:val="nil"/>
              </w:pBdr>
              <w:spacing w:line="276" w:lineRule="auto"/>
              <w:ind w:left="427"/>
              <w:jc w:val="both"/>
              <w:rPr>
                <w:color w:val="000000"/>
              </w:rPr>
            </w:pPr>
            <w:r w:rsidRPr="00F7509D">
              <w:rPr>
                <w:color w:val="000000"/>
              </w:rPr>
              <w:t>Regėjimo aštrumas po korekcijos yra tarp 6/12 ir 6/96.</w:t>
            </w:r>
          </w:p>
          <w:p w14:paraId="28204CB3" w14:textId="77777777" w:rsidR="00921561" w:rsidRPr="00F7509D" w:rsidRDefault="00921561" w:rsidP="00D94711">
            <w:pPr>
              <w:numPr>
                <w:ilvl w:val="0"/>
                <w:numId w:val="13"/>
              </w:numPr>
              <w:pBdr>
                <w:top w:val="nil"/>
                <w:left w:val="nil"/>
                <w:bottom w:val="nil"/>
                <w:right w:val="nil"/>
                <w:between w:val="nil"/>
              </w:pBdr>
              <w:spacing w:line="276" w:lineRule="auto"/>
              <w:ind w:left="427"/>
              <w:jc w:val="both"/>
              <w:rPr>
                <w:color w:val="000000"/>
              </w:rPr>
            </w:pPr>
            <w:r w:rsidRPr="00F7509D">
              <w:rPr>
                <w:color w:val="000000"/>
              </w:rPr>
              <w:t>Nėra išlieksnčio struktūrinio pažeidimo geltonosios dėmės centre (duobutėje);</w:t>
            </w:r>
          </w:p>
          <w:p w14:paraId="7A2B4A10" w14:textId="77777777" w:rsidR="00921561" w:rsidRPr="00F7509D" w:rsidRDefault="00921561" w:rsidP="00D94711">
            <w:pPr>
              <w:numPr>
                <w:ilvl w:val="0"/>
                <w:numId w:val="13"/>
              </w:numPr>
              <w:pBdr>
                <w:top w:val="nil"/>
                <w:left w:val="nil"/>
                <w:bottom w:val="nil"/>
                <w:right w:val="nil"/>
                <w:between w:val="nil"/>
              </w:pBdr>
              <w:spacing w:line="276" w:lineRule="auto"/>
              <w:ind w:left="427"/>
              <w:jc w:val="both"/>
              <w:rPr>
                <w:color w:val="000000"/>
              </w:rPr>
            </w:pPr>
            <w:r w:rsidRPr="00F7509D">
              <w:rPr>
                <w:color w:val="000000"/>
              </w:rPr>
              <w:t>GNVM pažeidimo plotas ne didesnis kaip 12 regos nervo disko diametrų;</w:t>
            </w:r>
          </w:p>
          <w:p w14:paraId="69C53C40" w14:textId="77777777" w:rsidR="00921561" w:rsidRPr="00F7509D" w:rsidRDefault="00921561" w:rsidP="00D94711">
            <w:pPr>
              <w:numPr>
                <w:ilvl w:val="0"/>
                <w:numId w:val="13"/>
              </w:numPr>
              <w:pBdr>
                <w:top w:val="nil"/>
                <w:left w:val="nil"/>
                <w:bottom w:val="nil"/>
                <w:right w:val="nil"/>
                <w:between w:val="nil"/>
              </w:pBdr>
              <w:spacing w:line="276" w:lineRule="auto"/>
              <w:ind w:left="427"/>
              <w:jc w:val="both"/>
              <w:rPr>
                <w:color w:val="000000"/>
              </w:rPr>
            </w:pPr>
            <w:r w:rsidRPr="00F7509D">
              <w:rPr>
                <w:color w:val="000000"/>
              </w:rPr>
              <w:t>Yra ligos progresavimo požymių.</w:t>
            </w:r>
          </w:p>
          <w:p w14:paraId="4EA54794" w14:textId="77777777" w:rsidR="00921561" w:rsidRPr="00F7509D" w:rsidRDefault="00921561" w:rsidP="00D94711">
            <w:pPr>
              <w:numPr>
                <w:ilvl w:val="0"/>
                <w:numId w:val="13"/>
              </w:numPr>
              <w:pBdr>
                <w:top w:val="nil"/>
                <w:left w:val="nil"/>
                <w:bottom w:val="nil"/>
                <w:right w:val="nil"/>
                <w:between w:val="nil"/>
              </w:pBdr>
              <w:spacing w:line="276" w:lineRule="auto"/>
              <w:ind w:left="427"/>
              <w:jc w:val="both"/>
              <w:rPr>
                <w:color w:val="000000"/>
              </w:rPr>
            </w:pPr>
            <w:r w:rsidRPr="00F7509D">
              <w:rPr>
                <w:color w:val="000000"/>
              </w:rPr>
              <w:t>Vykdomas komercinis susitarimas.</w:t>
            </w:r>
          </w:p>
          <w:p w14:paraId="35B7DAEC" w14:textId="77777777" w:rsidR="00921561" w:rsidRPr="00F7509D" w:rsidRDefault="00921561" w:rsidP="00DA0CED">
            <w:pPr>
              <w:spacing w:line="276" w:lineRule="auto"/>
              <w:jc w:val="both"/>
            </w:pPr>
            <w:r w:rsidRPr="00F7509D">
              <w:t xml:space="preserve">Jei pacientui tinkamas gydymas keliais preparatais, rekomenduojama pigesnį rinktis variantą. Tęsti gydymą faricimabu tik esant pakankamam klinikiniam efektui. </w:t>
            </w:r>
          </w:p>
          <w:p w14:paraId="68BCCA46" w14:textId="77777777" w:rsidR="00921561" w:rsidRPr="00F7509D" w:rsidRDefault="00921561" w:rsidP="00DA0CED">
            <w:pPr>
              <w:spacing w:line="276" w:lineRule="auto"/>
              <w:jc w:val="both"/>
            </w:pPr>
          </w:p>
        </w:tc>
      </w:tr>
      <w:tr w:rsidR="00921561" w:rsidRPr="00F7509D" w14:paraId="173DEFDD" w14:textId="77777777" w:rsidTr="00DD4ED7">
        <w:trPr>
          <w:trHeight w:val="1547"/>
        </w:trPr>
        <w:tc>
          <w:tcPr>
            <w:tcW w:w="2927" w:type="dxa"/>
          </w:tcPr>
          <w:p w14:paraId="42D758AE" w14:textId="77777777" w:rsidR="00921561" w:rsidRPr="00F7509D" w:rsidRDefault="00921561" w:rsidP="00DA0CED">
            <w:pPr>
              <w:spacing w:line="276" w:lineRule="auto"/>
              <w:jc w:val="both"/>
            </w:pPr>
            <w:r w:rsidRPr="00F7509D">
              <w:t>Kanados sveikatos technologijų agentūra</w:t>
            </w:r>
          </w:p>
          <w:p w14:paraId="5A71D6AA" w14:textId="77777777" w:rsidR="00921561" w:rsidRPr="00F7509D" w:rsidRDefault="00921561" w:rsidP="00DA0CED">
            <w:pPr>
              <w:spacing w:line="276" w:lineRule="auto"/>
              <w:jc w:val="both"/>
            </w:pPr>
            <w:r w:rsidRPr="00F7509D">
              <w:t xml:space="preserve">(angl. </w:t>
            </w:r>
            <w:r w:rsidRPr="00F7509D">
              <w:rPr>
                <w:i/>
              </w:rPr>
              <w:t>Canadian health Technology Assessment agency, CADTH</w:t>
            </w:r>
            <w:r w:rsidRPr="00F7509D">
              <w:t>)</w:t>
            </w:r>
          </w:p>
        </w:tc>
        <w:tc>
          <w:tcPr>
            <w:tcW w:w="1915" w:type="dxa"/>
          </w:tcPr>
          <w:p w14:paraId="5C450E39" w14:textId="77777777" w:rsidR="00921561" w:rsidRPr="00F7509D" w:rsidRDefault="00921561" w:rsidP="00DA0CED">
            <w:pPr>
              <w:spacing w:line="276" w:lineRule="auto"/>
              <w:jc w:val="both"/>
            </w:pPr>
            <w:r w:rsidRPr="00F7509D">
              <w:rPr>
                <w:rFonts w:ascii="Segoe UI Symbol" w:eastAsia="MS Gothic" w:hAnsi="Segoe UI Symbol" w:cs="Segoe UI Symbol"/>
              </w:rPr>
              <w:t>☒</w:t>
            </w:r>
            <w:r w:rsidRPr="00F7509D">
              <w:t xml:space="preserve"> Taip</w:t>
            </w:r>
          </w:p>
          <w:p w14:paraId="603F9212" w14:textId="77777777" w:rsidR="00921561" w:rsidRPr="00F7509D" w:rsidRDefault="00000000" w:rsidP="00DA0CED">
            <w:pPr>
              <w:spacing w:line="276" w:lineRule="auto"/>
              <w:jc w:val="both"/>
            </w:pPr>
            <w:sdt>
              <w:sdtPr>
                <w:tag w:val="goog_rdk_5"/>
                <w:id w:val="-1389954448"/>
              </w:sdtPr>
              <w:sdtContent>
                <w:r w:rsidR="00921561" w:rsidRPr="00F7509D">
                  <w:rPr>
                    <w:rFonts w:ascii="Segoe UI Symbol" w:eastAsia="Arial Unicode MS" w:hAnsi="Segoe UI Symbol" w:cs="Segoe UI Symbol"/>
                  </w:rPr>
                  <w:t>☐</w:t>
                </w:r>
              </w:sdtContent>
            </w:sdt>
            <w:r w:rsidR="00921561" w:rsidRPr="00F7509D">
              <w:t xml:space="preserve"> Ne</w:t>
            </w:r>
          </w:p>
          <w:p w14:paraId="01D3B5ED" w14:textId="77777777" w:rsidR="00921561" w:rsidRPr="00F7509D" w:rsidRDefault="00921561" w:rsidP="00DA0CED">
            <w:pPr>
              <w:spacing w:line="276" w:lineRule="auto"/>
              <w:jc w:val="both"/>
            </w:pPr>
            <w:r w:rsidRPr="00F7509D">
              <w:t>2022 m. rugpjūčio 12 d.</w:t>
            </w:r>
          </w:p>
        </w:tc>
        <w:tc>
          <w:tcPr>
            <w:tcW w:w="5076" w:type="dxa"/>
            <w:gridSpan w:val="2"/>
          </w:tcPr>
          <w:p w14:paraId="6C266001" w14:textId="4B86E126" w:rsidR="00921561" w:rsidRPr="00F7509D" w:rsidRDefault="00921561" w:rsidP="00DA0CED">
            <w:pPr>
              <w:spacing w:line="276" w:lineRule="auto"/>
              <w:jc w:val="both"/>
            </w:pPr>
            <w:r w:rsidRPr="00F7509D">
              <w:t>Faricimabą rekomenduojama kompensuoti. Turi būti vykdoma sąlyga – pacientą prižiūrėti gyd. oftalmologas, turintis patirties gydyti nAGDD.</w:t>
            </w:r>
          </w:p>
        </w:tc>
      </w:tr>
      <w:tr w:rsidR="00D94711" w:rsidRPr="00F7509D" w14:paraId="630C40DF" w14:textId="77777777" w:rsidTr="00DA0CED">
        <w:trPr>
          <w:trHeight w:val="1927"/>
        </w:trPr>
        <w:tc>
          <w:tcPr>
            <w:tcW w:w="2927" w:type="dxa"/>
          </w:tcPr>
          <w:p w14:paraId="3E27C189" w14:textId="77777777" w:rsidR="00D94711" w:rsidRPr="00F7509D" w:rsidRDefault="00D94711" w:rsidP="00DA0CED">
            <w:pPr>
              <w:spacing w:line="276" w:lineRule="auto"/>
              <w:jc w:val="both"/>
            </w:pPr>
            <w:r w:rsidRPr="00F7509D">
              <w:t>Nacionalinis farmakoekonomikos centras, Airija</w:t>
            </w:r>
          </w:p>
          <w:p w14:paraId="16386CDA" w14:textId="77777777" w:rsidR="00D94711" w:rsidRPr="00F7509D" w:rsidRDefault="00D94711" w:rsidP="00DA0CED">
            <w:pPr>
              <w:spacing w:line="276" w:lineRule="auto"/>
              <w:jc w:val="both"/>
            </w:pPr>
            <w:r w:rsidRPr="00F7509D">
              <w:t>(angl.</w:t>
            </w:r>
            <w:r w:rsidRPr="00F7509D">
              <w:rPr>
                <w:i/>
              </w:rPr>
              <w:t xml:space="preserve"> National Centre for Pharmacoeconomics, NCPE</w:t>
            </w:r>
            <w:r w:rsidRPr="00F7509D">
              <w:t>)</w:t>
            </w:r>
          </w:p>
        </w:tc>
        <w:tc>
          <w:tcPr>
            <w:tcW w:w="1915" w:type="dxa"/>
          </w:tcPr>
          <w:p w14:paraId="0DB4B6FF" w14:textId="77777777" w:rsidR="00D94711" w:rsidRPr="00F7509D" w:rsidRDefault="00D94711" w:rsidP="00DA0CED">
            <w:pPr>
              <w:spacing w:line="276" w:lineRule="auto"/>
              <w:jc w:val="both"/>
            </w:pPr>
            <w:r w:rsidRPr="00F7509D">
              <w:rPr>
                <w:rFonts w:ascii="Segoe UI Symbol" w:eastAsia="MS Gothic" w:hAnsi="Segoe UI Symbol" w:cs="Segoe UI Symbol"/>
              </w:rPr>
              <w:t>☐</w:t>
            </w:r>
            <w:r w:rsidRPr="00F7509D">
              <w:t xml:space="preserve"> Taip</w:t>
            </w:r>
          </w:p>
          <w:p w14:paraId="68DD1945" w14:textId="77777777" w:rsidR="00D94711" w:rsidRPr="00F7509D" w:rsidRDefault="00D94711" w:rsidP="00DA0CED">
            <w:pPr>
              <w:spacing w:line="276" w:lineRule="auto"/>
              <w:jc w:val="both"/>
            </w:pPr>
            <w:r w:rsidRPr="00F7509D">
              <w:rPr>
                <w:rFonts w:ascii="Segoe UI Symbol" w:eastAsia="MS Gothic" w:hAnsi="Segoe UI Symbol" w:cs="Segoe UI Symbol"/>
              </w:rPr>
              <w:t>☒</w:t>
            </w:r>
            <w:r w:rsidRPr="00F7509D">
              <w:t xml:space="preserve"> Ne</w:t>
            </w:r>
          </w:p>
          <w:p w14:paraId="051F5498" w14:textId="77777777" w:rsidR="00D94711" w:rsidRPr="00F7509D" w:rsidRDefault="00D94711" w:rsidP="00DA0CED">
            <w:pPr>
              <w:spacing w:line="276" w:lineRule="auto"/>
              <w:jc w:val="both"/>
            </w:pPr>
            <w:r w:rsidRPr="00F7509D">
              <w:t>2022 m. balandžio 10 d. atliktas greitasis vertinimas, nuspręsta atlikti pilną klinikinį ir ekonominį vertinimą, šiuo metu laukiama Paraiškos.</w:t>
            </w:r>
          </w:p>
        </w:tc>
        <w:tc>
          <w:tcPr>
            <w:tcW w:w="2351" w:type="dxa"/>
          </w:tcPr>
          <w:p w14:paraId="1DFD0D9C" w14:textId="77777777" w:rsidR="00D94711" w:rsidRPr="00F7509D" w:rsidRDefault="00D94711" w:rsidP="00DA0CED">
            <w:pPr>
              <w:spacing w:line="276" w:lineRule="auto"/>
              <w:jc w:val="both"/>
            </w:pPr>
            <w:r w:rsidRPr="00F7509D">
              <w:t>–</w:t>
            </w:r>
          </w:p>
        </w:tc>
        <w:tc>
          <w:tcPr>
            <w:tcW w:w="2725" w:type="dxa"/>
          </w:tcPr>
          <w:p w14:paraId="0FFFCA9A" w14:textId="77777777" w:rsidR="00D94711" w:rsidRPr="00F7509D" w:rsidRDefault="00D94711" w:rsidP="00DA0CED">
            <w:pPr>
              <w:spacing w:line="276" w:lineRule="auto"/>
              <w:jc w:val="both"/>
            </w:pPr>
          </w:p>
        </w:tc>
      </w:tr>
    </w:tbl>
    <w:p w14:paraId="68219D6D" w14:textId="77777777" w:rsidR="00D94711" w:rsidRDefault="00D94711" w:rsidP="00D94711">
      <w:pPr>
        <w:spacing w:line="276" w:lineRule="auto"/>
        <w:jc w:val="both"/>
      </w:pPr>
    </w:p>
    <w:p w14:paraId="5055E8A8" w14:textId="79C2E169" w:rsidR="002E6F80" w:rsidRPr="00E33EFF" w:rsidRDefault="007A2B68" w:rsidP="00841E2B">
      <w:pPr>
        <w:rPr>
          <w:b/>
          <w:bCs/>
          <w:caps/>
        </w:rPr>
      </w:pPr>
      <w:r>
        <w:rPr>
          <w:b/>
          <w:bCs/>
          <w:caps/>
        </w:rPr>
        <w:br w:type="page"/>
      </w:r>
      <w:r w:rsidR="0076674E">
        <w:rPr>
          <w:b/>
          <w:bCs/>
          <w:caps/>
        </w:rPr>
        <w:lastRenderedPageBreak/>
        <w:t xml:space="preserve">2. </w:t>
      </w:r>
      <w:r w:rsidR="00CC7832" w:rsidRPr="00E33EFF">
        <w:rPr>
          <w:b/>
          <w:bCs/>
          <w:caps/>
        </w:rPr>
        <w:t>Klinikinio vertinimo a</w:t>
      </w:r>
      <w:r w:rsidR="00D4485B" w:rsidRPr="00E33EFF">
        <w:rPr>
          <w:b/>
          <w:bCs/>
          <w:caps/>
        </w:rPr>
        <w:t>pibendrinimas</w:t>
      </w:r>
    </w:p>
    <w:p w14:paraId="04D7752B" w14:textId="77777777" w:rsidR="001D389C" w:rsidRDefault="001D389C" w:rsidP="00A93AA6">
      <w:pPr>
        <w:tabs>
          <w:tab w:val="left" w:pos="284"/>
        </w:tabs>
        <w:rPr>
          <w:i/>
          <w:color w:val="00B050"/>
          <w:sz w:val="22"/>
        </w:rPr>
      </w:pPr>
    </w:p>
    <w:p w14:paraId="4D512E7D" w14:textId="7A2D49E1" w:rsidR="001D389C" w:rsidRDefault="001D389C" w:rsidP="00987BC1">
      <w:pPr>
        <w:spacing w:line="276" w:lineRule="auto"/>
        <w:ind w:firstLine="720"/>
        <w:jc w:val="both"/>
        <w:rPr>
          <w:color w:val="000000"/>
        </w:rPr>
      </w:pPr>
      <w:r w:rsidRPr="001D389C">
        <w:rPr>
          <w:color w:val="000000"/>
        </w:rPr>
        <w:t xml:space="preserve">Su amžiumi susijusi geltonosios dėmės degeneracija (AGDD) yra lėtinė, progresuojanti geltonosios dėmės, funkcinės centrinės tinklainės dalies, atsakingos už regėjimo aštrumą (RA) ir spalvų matymą, liga. Šią ligą galima suskirstyti į ankstyvosios ir vėlyvosios stadijos AGDD. Negydant vėlyvosios stadijos, AGDD su choroidine neovaskuliarizacija (kitaip – neovaskulinė su amžiumi susijusios geltonosios dėmės degeneracijos liga, nAGDD) gali sparčiai progresuoti, todėl negrįžtamai prarandamas centrinis regėjimas. </w:t>
      </w:r>
    </w:p>
    <w:p w14:paraId="373C1108" w14:textId="77777777" w:rsidR="00684581" w:rsidRPr="001E1185" w:rsidRDefault="00684581" w:rsidP="00684581">
      <w:pPr>
        <w:spacing w:line="276" w:lineRule="auto"/>
        <w:ind w:firstLine="720"/>
        <w:jc w:val="both"/>
        <w:rPr>
          <w:rFonts w:eastAsia="Arial"/>
          <w:iCs/>
        </w:rPr>
      </w:pPr>
      <w:r w:rsidRPr="001E1185">
        <w:rPr>
          <w:rFonts w:eastAsia="Arial"/>
          <w:iCs/>
        </w:rPr>
        <w:t>Faricimabas yra humanizuotas bispecifinis imunoglobulino G1 (IgG1) klasės antikūnas, kuris veikia slopindamas du skirtingus mechanizmus – neutralizuodamas tiek angiopoetiną-2 (Ang-2), tiek ir kraujagyslių endotelio augimo faktorių A (KEAF-A).</w:t>
      </w:r>
    </w:p>
    <w:p w14:paraId="1666261E" w14:textId="1FF0E6EA" w:rsidR="00684581" w:rsidRPr="001E1185" w:rsidRDefault="00684581" w:rsidP="00E95B88">
      <w:pPr>
        <w:spacing w:line="276" w:lineRule="auto"/>
        <w:ind w:firstLine="720"/>
        <w:jc w:val="both"/>
      </w:pPr>
      <w:r w:rsidRPr="001E1185">
        <w:rPr>
          <w:rFonts w:eastAsia="Arial"/>
          <w:iCs/>
        </w:rPr>
        <w:t xml:space="preserve">Faricimabo veiksmingumas ir saugumas </w:t>
      </w:r>
      <w:r w:rsidR="00921561">
        <w:rPr>
          <w:rFonts w:eastAsia="Arial"/>
          <w:iCs/>
        </w:rPr>
        <w:t>AGDD</w:t>
      </w:r>
      <w:r w:rsidRPr="001E1185">
        <w:rPr>
          <w:rFonts w:eastAsia="Arial"/>
          <w:iCs/>
        </w:rPr>
        <w:t xml:space="preserve"> gydymui buvo tirtas dviejuose identiško dizaino, dvigubai koduotuose, daugiacentriuose, randomizuotuose, aktyviu palyginamuoju vaistiniu preparatu kontroliuojamuose III fazės klinikiniuose tyrimuose </w:t>
      </w:r>
      <w:r w:rsidRPr="001D389C">
        <w:t xml:space="preserve">TENAYA ir LUCERNE </w:t>
      </w:r>
      <w:r>
        <w:rPr>
          <w:rFonts w:eastAsia="Arial"/>
          <w:iCs/>
        </w:rPr>
        <w:t>(n</w:t>
      </w:r>
      <w:r>
        <w:rPr>
          <w:rFonts w:eastAsia="Arial"/>
          <w:iCs/>
          <w:lang w:val="en-GB"/>
        </w:rPr>
        <w:t xml:space="preserve">=671 ir n=658, atitinkamai) </w:t>
      </w:r>
      <w:r w:rsidRPr="001E1185">
        <w:rPr>
          <w:rFonts w:eastAsia="Arial"/>
          <w:iCs/>
        </w:rPr>
        <w:t xml:space="preserve">.  </w:t>
      </w:r>
      <w:r>
        <w:rPr>
          <w:rFonts w:eastAsia="Arial"/>
          <w:iCs/>
        </w:rPr>
        <w:t xml:space="preserve"> </w:t>
      </w:r>
    </w:p>
    <w:p w14:paraId="2AB79512" w14:textId="4330DA04" w:rsidR="001D389C" w:rsidRDefault="001D389C" w:rsidP="00E95B88">
      <w:pPr>
        <w:spacing w:line="276" w:lineRule="auto"/>
        <w:ind w:firstLine="720"/>
        <w:jc w:val="both"/>
      </w:pPr>
      <w:r w:rsidRPr="001D389C">
        <w:t xml:space="preserve">Paraiškoje </w:t>
      </w:r>
      <w:r w:rsidR="00E95B88">
        <w:t xml:space="preserve">buvo </w:t>
      </w:r>
      <w:r w:rsidRPr="001D389C">
        <w:t>pateikta tiesiogin</w:t>
      </w:r>
      <w:r w:rsidR="00987BC1">
        <w:t>io palyginimo</w:t>
      </w:r>
      <w:r w:rsidRPr="001D389C">
        <w:t xml:space="preserve"> klinikinių tyrimų TENAYA ir LUCERNE bendra efektyvumo ir saugumo duomenų analizė. Analizės tikslas buvo įvertinti faricimabo neprastumą (angl. </w:t>
      </w:r>
      <w:r w:rsidRPr="001D389C">
        <w:rPr>
          <w:i/>
        </w:rPr>
        <w:t>non-inferiority</w:t>
      </w:r>
      <w:r w:rsidRPr="001D389C">
        <w:t xml:space="preserve">) aflibercepto atžvilgiu. Taip pat </w:t>
      </w:r>
      <w:r w:rsidR="00030B73">
        <w:t>p</w:t>
      </w:r>
      <w:r w:rsidRPr="001D389C">
        <w:t>araiškoje pateiktas netiesioginis palyginimas – tinkl</w:t>
      </w:r>
      <w:r w:rsidR="00030B73">
        <w:t>inė</w:t>
      </w:r>
      <w:r w:rsidRPr="001D389C">
        <w:t xml:space="preserve"> meta</w:t>
      </w:r>
      <w:r w:rsidR="005A0C41">
        <w:t>-</w:t>
      </w:r>
      <w:r w:rsidRPr="001D389C">
        <w:t xml:space="preserve">analizė (NMA), kuria gydymas faricimabu buvo </w:t>
      </w:r>
      <w:r w:rsidR="00030B73">
        <w:t>pa</w:t>
      </w:r>
      <w:r w:rsidRPr="001D389C">
        <w:t>lygintas su placebu bei gydymu kitais vaistiniais preparatais, įskaitant Lietuvoje skiriamais afliberceptu ir ranibizumabu</w:t>
      </w:r>
      <w:r w:rsidR="00E95B88">
        <w:t>, kai g</w:t>
      </w:r>
      <w:r w:rsidR="00E95B88" w:rsidRPr="00B7647A">
        <w:rPr>
          <w:color w:val="000000"/>
        </w:rPr>
        <w:t xml:space="preserve">ydymas anti-KEAF </w:t>
      </w:r>
      <w:r w:rsidR="00E95B88">
        <w:rPr>
          <w:color w:val="000000"/>
        </w:rPr>
        <w:t>skiriamas pirmą kartą</w:t>
      </w:r>
      <w:r w:rsidRPr="001D389C">
        <w:t xml:space="preserve">. </w:t>
      </w:r>
      <w:r w:rsidR="00030B73">
        <w:t>F</w:t>
      </w:r>
      <w:r w:rsidRPr="001D389C">
        <w:t xml:space="preserve">aricimabo palyginimas su placebu, kai faricimabas skiriamas </w:t>
      </w:r>
      <w:r w:rsidR="00030B73">
        <w:t>p</w:t>
      </w:r>
      <w:r w:rsidRPr="001D389C">
        <w:t xml:space="preserve">acientams, kurie nepakankamai reagavo į gydymą pirmuoju anti-KEAF, arba, kuriems pirmuoju anti-KEAF pradėtas gydymas buvo </w:t>
      </w:r>
      <w:r w:rsidR="00030B73">
        <w:t>neefektyvus, netoleruojamas arba kontraindikuotinas, n</w:t>
      </w:r>
      <w:r w:rsidR="00030B73" w:rsidRPr="001D389C">
        <w:t>epateiktas</w:t>
      </w:r>
      <w:r w:rsidRPr="001D389C">
        <w:t>.</w:t>
      </w:r>
    </w:p>
    <w:p w14:paraId="156BB9F8" w14:textId="5DF44341" w:rsidR="00684581" w:rsidRDefault="00030B73" w:rsidP="00684581">
      <w:pPr>
        <w:tabs>
          <w:tab w:val="left" w:pos="709"/>
        </w:tabs>
        <w:spacing w:line="276" w:lineRule="auto"/>
        <w:jc w:val="both"/>
      </w:pPr>
      <w:r>
        <w:rPr>
          <w:i/>
          <w:iCs/>
        </w:rPr>
        <w:tab/>
      </w:r>
      <w:r>
        <w:rPr>
          <w:i/>
          <w:iCs/>
        </w:rPr>
        <w:tab/>
        <w:t>Tiesioginis palyginimas</w:t>
      </w:r>
      <w:r>
        <w:rPr>
          <w:rFonts w:eastAsia="Arial"/>
          <w:iCs/>
        </w:rPr>
        <w:t xml:space="preserve"> </w:t>
      </w:r>
    </w:p>
    <w:p w14:paraId="5FDE8A4F" w14:textId="7277B283" w:rsidR="001D389C" w:rsidRPr="001D389C" w:rsidRDefault="00684581" w:rsidP="00684581">
      <w:pPr>
        <w:tabs>
          <w:tab w:val="left" w:pos="709"/>
        </w:tabs>
        <w:spacing w:line="276" w:lineRule="auto"/>
        <w:jc w:val="both"/>
      </w:pPr>
      <w:r>
        <w:tab/>
      </w:r>
      <w:r w:rsidR="001D389C" w:rsidRPr="001D389C">
        <w:t>Tyrimų TENAYA</w:t>
      </w:r>
      <w:r w:rsidR="002D611D">
        <w:t xml:space="preserve"> </w:t>
      </w:r>
      <w:r w:rsidR="00987BC1">
        <w:t xml:space="preserve">ir </w:t>
      </w:r>
      <w:r w:rsidR="001D389C" w:rsidRPr="001D389C">
        <w:t xml:space="preserve">LUCERNE duomenimis, buvo pagrįstas </w:t>
      </w:r>
      <w:r w:rsidR="00ED6CFA" w:rsidRPr="00FB0AD4">
        <w:t>faricimabo</w:t>
      </w:r>
      <w:r w:rsidR="001D389C" w:rsidRPr="001D389C">
        <w:t xml:space="preserve"> neprastumas, lyginant su afliberceptu pacientams, kuriems faricimabas skirtas pirma eile. Visi  į tyrimus įtraukti pacientai anksčiau buvo negydyti anti-KEAF. Pagrindinė vertinamoji baigtis buvo regėjimo aštrumo po korekcijos (BCVA) pokytis nuo pradinio įverčio 40, 44 ir 48 tyrimo savaitę bendroje populiacijoje ir pogrupiuose. BVCA pokytis faricimabo ir aflibercepto grupėse nesiskyrė. Faricimabo grupėje koreguotas BCVA pokytis nuo pradinio įverčio 40/44/48 savaitę buvo 6,2 raidės, o aflibercepto grupėje 5,9 raidės. Skirtumas tarp grupių buvo 0,4 raidės (PI 95 %, (-0,9) – 1,6). Visuose pogrupiuose taip pat stebėti nuoseklus rezultatai, skirtumo tarp faricimabo ir aflibercepto grupių nebuvo.</w:t>
      </w:r>
    </w:p>
    <w:p w14:paraId="776CF06E" w14:textId="77777777" w:rsidR="001D389C" w:rsidRPr="001D389C" w:rsidRDefault="001D389C" w:rsidP="001D389C">
      <w:pPr>
        <w:tabs>
          <w:tab w:val="left" w:pos="492"/>
        </w:tabs>
        <w:spacing w:line="276" w:lineRule="auto"/>
        <w:jc w:val="both"/>
      </w:pPr>
      <w:r w:rsidRPr="001D389C">
        <w:tab/>
        <w:t>Nebuvo pagrįstas faricimabo veiksmingumas pacientams, kurie nepakankamai reagavo į gydymą pirmuoju anti-KEAF, arba, kuriems pirmuoju anti-KEAF pradėtas gydymas buvo nutrauktas dėl netinkamumo.</w:t>
      </w:r>
    </w:p>
    <w:p w14:paraId="3A54717F" w14:textId="399E854F" w:rsidR="00030B73" w:rsidRDefault="00030B73" w:rsidP="001D389C">
      <w:pPr>
        <w:spacing w:line="276" w:lineRule="auto"/>
        <w:ind w:firstLine="720"/>
        <w:jc w:val="both"/>
        <w:rPr>
          <w:i/>
          <w:iCs/>
        </w:rPr>
      </w:pPr>
      <w:r w:rsidRPr="00F6038D">
        <w:rPr>
          <w:i/>
          <w:iCs/>
        </w:rPr>
        <w:t>Netiesioginis palyginimas</w:t>
      </w:r>
    </w:p>
    <w:p w14:paraId="0185DDD6" w14:textId="76B95C29" w:rsidR="00525AF7" w:rsidRPr="00684581" w:rsidRDefault="00525AF7" w:rsidP="00684581">
      <w:pPr>
        <w:spacing w:line="276" w:lineRule="auto"/>
        <w:ind w:firstLine="720"/>
        <w:jc w:val="both"/>
        <w:rPr>
          <w:iCs/>
        </w:rPr>
      </w:pPr>
      <w:r w:rsidRPr="007865D3">
        <w:rPr>
          <w:iCs/>
        </w:rPr>
        <w:t>Pateikta tinklo meta</w:t>
      </w:r>
      <w:r w:rsidR="00A153BC">
        <w:rPr>
          <w:iCs/>
        </w:rPr>
        <w:t>-</w:t>
      </w:r>
      <w:r w:rsidRPr="007865D3">
        <w:rPr>
          <w:iCs/>
        </w:rPr>
        <w:t xml:space="preserve">analizė (NMA), kurioje faricimabo efektyvumas ir saugumas lygintas su gydymu afliberceptu ir ranibizumabu. Pirminė sisteminės literatūros apžvalga buvo atlikta 2020 m. spalio mėn. Literatūros apžvalga buvo pakartota 2021 m. rugsėjo mėn. Iš viso buvo peržiūrėtos 5431 publikacijos. Iš 67 atsitiktinių imčių placebu kontroliuojamų klinikinių tyrimų, 44 tyrimai atitiko kriterijus ir buvo įtraukti į NMA. </w:t>
      </w:r>
    </w:p>
    <w:p w14:paraId="116D0331" w14:textId="100A83EE" w:rsidR="00525AF7" w:rsidRPr="007865D3" w:rsidRDefault="00525AF7" w:rsidP="00684581">
      <w:pPr>
        <w:spacing w:line="276" w:lineRule="auto"/>
        <w:ind w:firstLine="720"/>
        <w:jc w:val="both"/>
        <w:rPr>
          <w:iCs/>
        </w:rPr>
      </w:pPr>
      <w:r w:rsidRPr="007865D3">
        <w:rPr>
          <w:iCs/>
        </w:rPr>
        <w:t xml:space="preserve">Meta-analizės pagrindinė vertinamoji baigtis – BCVA pokytis nuo pradinio įverčio, po 12 mėnesių. Remiantis NMA duomenimis, BCVA pokytis nuo pradinio po 12 mėn. statistiškai reikšmingai tarp aktyvaus gydymo režimų nesiskyrė. Faricimabo efektyvumas atitiko gydymo afliberceptu arba ranibizumabu efektyvumo. Faricimabas buvo veiksmingesnis už placebą. Sunkios </w:t>
      </w:r>
      <w:r w:rsidRPr="007865D3">
        <w:rPr>
          <w:iCs/>
        </w:rPr>
        <w:lastRenderedPageBreak/>
        <w:t>su akimis susijusios nepageidaujamos reakcijos tarp gydymo faricimabu ir gydymo kitais vaistiniais pr</w:t>
      </w:r>
      <w:r w:rsidR="002D44AA">
        <w:rPr>
          <w:iCs/>
        </w:rPr>
        <w:t>eparatais reikšmingai nesiskyrė</w:t>
      </w:r>
      <w:r w:rsidRPr="007865D3">
        <w:rPr>
          <w:iCs/>
        </w:rPr>
        <w:t>.</w:t>
      </w:r>
    </w:p>
    <w:p w14:paraId="4BB24D8D" w14:textId="57FCCACC" w:rsidR="00684581" w:rsidRDefault="00684581" w:rsidP="00684581">
      <w:pPr>
        <w:pStyle w:val="Sraopastraipa"/>
        <w:tabs>
          <w:tab w:val="left" w:pos="426"/>
        </w:tabs>
        <w:spacing w:line="276" w:lineRule="auto"/>
        <w:ind w:left="0"/>
        <w:jc w:val="both"/>
      </w:pPr>
      <w:r>
        <w:tab/>
        <w:t>Nebuvo pagrįstas faricimabo veiksmingumas pacientams, kurie nepakankamai reagavo į gydymą pirmuoju anti-KEAF, arba, kuriems pirmuoju anti-KEAF pradėtas gydymas buvo  neefektyvus, netoleruojamas arba kontraindikuotinas. Apibendrinant, faricimabo klinikinis veiksmingumas yra vertinamas kaip nesiskiriantis nuo ranibizumabo arba aflibercepto, g</w:t>
      </w:r>
      <w:r w:rsidR="00921561">
        <w:t>ydant pacientus, sergančius AGDD</w:t>
      </w:r>
      <w:r>
        <w:t xml:space="preserve">, kurie anksčiau nebuvo gydyti anti-KEAF vaistiniais preparatais. </w:t>
      </w:r>
    </w:p>
    <w:p w14:paraId="25F89291" w14:textId="5C45C8FC" w:rsidR="00D4485B" w:rsidRPr="001D389C" w:rsidRDefault="00D4485B" w:rsidP="00684581">
      <w:pPr>
        <w:pStyle w:val="Sraopastraipa"/>
        <w:tabs>
          <w:tab w:val="left" w:pos="426"/>
        </w:tabs>
        <w:spacing w:line="276" w:lineRule="auto"/>
        <w:ind w:left="0"/>
        <w:jc w:val="both"/>
        <w:rPr>
          <w:bCs/>
          <w:caps/>
          <w:color w:val="000000" w:themeColor="text1"/>
        </w:rPr>
      </w:pPr>
    </w:p>
    <w:p w14:paraId="7DE09EB5" w14:textId="675A020C" w:rsidR="00E03C3F" w:rsidRPr="0076674E" w:rsidRDefault="0076674E" w:rsidP="0076674E">
      <w:pPr>
        <w:tabs>
          <w:tab w:val="left" w:pos="567"/>
        </w:tabs>
        <w:ind w:left="360"/>
        <w:rPr>
          <w:b/>
          <w:bCs/>
          <w:caps/>
        </w:rPr>
      </w:pPr>
      <w:r>
        <w:rPr>
          <w:b/>
          <w:bCs/>
          <w:caps/>
        </w:rPr>
        <w:t xml:space="preserve">3. </w:t>
      </w:r>
      <w:r w:rsidR="00CC7832" w:rsidRPr="0076674E">
        <w:rPr>
          <w:b/>
          <w:bCs/>
          <w:caps/>
        </w:rPr>
        <w:t xml:space="preserve">ekonominio vertinimo </w:t>
      </w:r>
      <w:r w:rsidR="002F0E4F" w:rsidRPr="0076674E">
        <w:rPr>
          <w:b/>
          <w:bCs/>
          <w:caps/>
        </w:rPr>
        <w:t>apibendrinimas</w:t>
      </w:r>
    </w:p>
    <w:p w14:paraId="1A900598" w14:textId="4460CFF3" w:rsidR="00C62B36" w:rsidRDefault="00C62B36" w:rsidP="00A93AA6">
      <w:pPr>
        <w:tabs>
          <w:tab w:val="left" w:pos="426"/>
        </w:tabs>
        <w:rPr>
          <w:i/>
          <w:color w:val="00B050"/>
          <w:sz w:val="22"/>
          <w:szCs w:val="22"/>
        </w:rPr>
      </w:pPr>
    </w:p>
    <w:p w14:paraId="5E346079" w14:textId="77777777" w:rsidR="0076674E" w:rsidRDefault="0076674E" w:rsidP="0076674E">
      <w:pPr>
        <w:spacing w:line="276" w:lineRule="auto"/>
        <w:jc w:val="both"/>
        <w:rPr>
          <w:rFonts w:eastAsia="Arial"/>
        </w:rPr>
      </w:pPr>
      <w:r w:rsidRPr="00F22908">
        <w:rPr>
          <w:rFonts w:eastAsia="Arial"/>
        </w:rPr>
        <w:t>Vertinimui pateiktas analizės modelis, kuriame lyginami faricimabo ir aflibercepto kaštai. Tarnyba po pirminio išsamaus vertinimo kreipėsi į Pareiškėją, užduodama klausimus, kilusius vertinimo metu. Tarnyba nurodė, jog remiantis klinikinio vertinimo dalies išvada, prašome faricimabo gydymo kaštus lyginti su ranibizumabo gydymo kaštais. Taip pat, Tarnyba pabrėžė, jog vykdant centralizuotus pirkimus ir vertinant vaisto kainas, yra lyginamos vaisto dozės kainos, o ne gydymo kurso kainos, todėl Pareiškėjo prašėme pateikti analizės scenarijų, kuriame įvadinis dozavimas taikomas pagal preparatų charakteristikų santrauką, o palaikomųjų dozių dažnis yra vienodas (kitaip sakant – analizėje turi būti lyginamos vienos pakuotės kainos, nes šiuo metu Lietuvoje neovaskulinės su amžiumi susijusios geltonosios dėmės degeneracijos gydymas anti-KEAF preparatais yra finansuojamas centralizuotų pirkimų metu). Pareiškėjas atsisakė pateikti tokį analizės scenarijų. Dėl prašomo analizės scenarijaus paprastumo, Tarnyba atlieka</w:t>
      </w:r>
      <w:r>
        <w:rPr>
          <w:rFonts w:eastAsia="Arial"/>
        </w:rPr>
        <w:t xml:space="preserve"> pakuočių</w:t>
      </w:r>
      <w:r w:rsidRPr="00F22908">
        <w:rPr>
          <w:rFonts w:eastAsia="Arial"/>
        </w:rPr>
        <w:t xml:space="preserve"> kainų palyginimą.</w:t>
      </w:r>
    </w:p>
    <w:p w14:paraId="1A65EB9C" w14:textId="77777777" w:rsidR="0076674E" w:rsidRDefault="0076674E" w:rsidP="0076674E">
      <w:pPr>
        <w:spacing w:line="276" w:lineRule="auto"/>
        <w:jc w:val="both"/>
        <w:rPr>
          <w:rFonts w:eastAsia="Arial"/>
        </w:rPr>
      </w:pPr>
      <w:r>
        <w:rPr>
          <w:rFonts w:eastAsia="Arial"/>
        </w:rPr>
        <w:t>Pareiškėjas su paraiška pateikė PGS, tačiau remiantis VLK atliktu įtakos PSDF biudžetui vertinimu, PGS negali būti pritaikoma. Dėl šios priežasties, Tarnyba pateikia pakuočių palyginimą nepritaikius PGS siūlomos kainos ir pritaikius šią kainą, jei būtų rastas kitoks kainų mažinimo būdas.</w:t>
      </w:r>
    </w:p>
    <w:p w14:paraId="530C777E" w14:textId="6F16B302" w:rsidR="0076674E" w:rsidRPr="00F22908" w:rsidRDefault="0076674E" w:rsidP="0076674E">
      <w:pPr>
        <w:spacing w:line="276" w:lineRule="auto"/>
        <w:jc w:val="both"/>
        <w:rPr>
          <w:rFonts w:eastAsia="Arial"/>
        </w:rPr>
      </w:pPr>
      <w:r>
        <w:rPr>
          <w:rFonts w:eastAsia="Arial"/>
        </w:rPr>
        <w:t xml:space="preserve">Atlikus analizės rezultato </w:t>
      </w:r>
      <w:r w:rsidR="00921561">
        <w:rPr>
          <w:rFonts w:eastAsia="Arial"/>
        </w:rPr>
        <w:t>perskaičiavimą, f</w:t>
      </w:r>
      <w:r>
        <w:rPr>
          <w:rFonts w:eastAsia="Arial"/>
        </w:rPr>
        <w:t>aricimabas yra brangesnė gydymo alternatyva, nei ranibizumabas.</w:t>
      </w:r>
    </w:p>
    <w:p w14:paraId="511674A5" w14:textId="77777777" w:rsidR="0076674E" w:rsidRPr="00E33EFF" w:rsidRDefault="0076674E"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W w:w="9908" w:type="dxa"/>
        <w:jc w:val="center"/>
        <w:tblBorders>
          <w:top w:val="single" w:sz="12" w:space="0" w:color="000000"/>
          <w:left w:val="single" w:sz="12" w:space="0" w:color="000000"/>
          <w:bottom w:val="single" w:sz="12" w:space="0" w:color="000000"/>
          <w:right w:val="single" w:sz="12" w:space="0" w:color="000000"/>
          <w:insideH w:val="single" w:sz="4" w:space="0" w:color="1E5492"/>
          <w:insideV w:val="single" w:sz="4" w:space="0" w:color="1E5492"/>
        </w:tblBorders>
        <w:tblLayout w:type="fixed"/>
        <w:tblLook w:val="0400" w:firstRow="0" w:lastRow="0" w:firstColumn="0" w:lastColumn="0" w:noHBand="0" w:noVBand="1"/>
      </w:tblPr>
      <w:tblGrid>
        <w:gridCol w:w="2697"/>
        <w:gridCol w:w="1613"/>
        <w:gridCol w:w="2019"/>
        <w:gridCol w:w="3579"/>
      </w:tblGrid>
      <w:tr w:rsidR="0076674E" w:rsidRPr="00F22908" w14:paraId="7224D733" w14:textId="77777777" w:rsidTr="00464DC5">
        <w:trPr>
          <w:trHeight w:val="364"/>
          <w:jc w:val="center"/>
        </w:trPr>
        <w:tc>
          <w:tcPr>
            <w:tcW w:w="9908" w:type="dxa"/>
            <w:gridSpan w:val="4"/>
            <w:tcBorders>
              <w:top w:val="single" w:sz="12" w:space="0" w:color="000000"/>
              <w:bottom w:val="single" w:sz="4" w:space="0" w:color="000000"/>
            </w:tcBorders>
          </w:tcPr>
          <w:p w14:paraId="3723C40C" w14:textId="77777777" w:rsidR="0076674E" w:rsidRPr="00F22908" w:rsidRDefault="0076674E" w:rsidP="00464DC5">
            <w:pPr>
              <w:tabs>
                <w:tab w:val="left" w:pos="567"/>
              </w:tabs>
              <w:jc w:val="center"/>
              <w:rPr>
                <w:b/>
                <w:i/>
                <w:color w:val="00B050"/>
              </w:rPr>
            </w:pPr>
            <w:r w:rsidRPr="00F22908">
              <w:rPr>
                <w:b/>
              </w:rPr>
              <w:t>Kaštai</w:t>
            </w:r>
          </w:p>
        </w:tc>
      </w:tr>
      <w:tr w:rsidR="0076674E" w:rsidRPr="00F22908" w14:paraId="11FF965F" w14:textId="77777777" w:rsidTr="00464DC5">
        <w:trPr>
          <w:jc w:val="center"/>
        </w:trPr>
        <w:tc>
          <w:tcPr>
            <w:tcW w:w="2697" w:type="dxa"/>
            <w:tcBorders>
              <w:top w:val="single" w:sz="4" w:space="0" w:color="000000"/>
              <w:bottom w:val="single" w:sz="4" w:space="0" w:color="000000"/>
            </w:tcBorders>
          </w:tcPr>
          <w:p w14:paraId="0A60AD60" w14:textId="77777777" w:rsidR="0076674E" w:rsidRPr="00F22908" w:rsidRDefault="0076674E" w:rsidP="00464DC5">
            <w:pPr>
              <w:tabs>
                <w:tab w:val="left" w:pos="567"/>
              </w:tabs>
              <w:jc w:val="both"/>
              <w:rPr>
                <w:color w:val="00B050"/>
              </w:rPr>
            </w:pPr>
          </w:p>
        </w:tc>
        <w:tc>
          <w:tcPr>
            <w:tcW w:w="1613" w:type="dxa"/>
            <w:tcBorders>
              <w:top w:val="single" w:sz="4" w:space="0" w:color="000000"/>
              <w:bottom w:val="single" w:sz="4" w:space="0" w:color="000000"/>
            </w:tcBorders>
          </w:tcPr>
          <w:p w14:paraId="39E7FA71" w14:textId="77777777" w:rsidR="0076674E" w:rsidRPr="00F22908" w:rsidRDefault="0076674E" w:rsidP="00464DC5">
            <w:pPr>
              <w:tabs>
                <w:tab w:val="left" w:pos="567"/>
              </w:tabs>
              <w:jc w:val="both"/>
              <w:rPr>
                <w:i/>
              </w:rPr>
            </w:pPr>
            <w:r w:rsidRPr="00F22908">
              <w:rPr>
                <w:i/>
              </w:rPr>
              <w:t>Faricimabas</w:t>
            </w:r>
          </w:p>
        </w:tc>
        <w:tc>
          <w:tcPr>
            <w:tcW w:w="2019" w:type="dxa"/>
            <w:tcBorders>
              <w:top w:val="single" w:sz="4" w:space="0" w:color="000000"/>
              <w:bottom w:val="single" w:sz="4" w:space="0" w:color="000000"/>
            </w:tcBorders>
          </w:tcPr>
          <w:p w14:paraId="137F8E3B" w14:textId="77777777" w:rsidR="0076674E" w:rsidRPr="00F22908" w:rsidRDefault="0076674E" w:rsidP="00464DC5">
            <w:pPr>
              <w:tabs>
                <w:tab w:val="left" w:pos="567"/>
              </w:tabs>
              <w:jc w:val="both"/>
              <w:rPr>
                <w:i/>
              </w:rPr>
            </w:pPr>
            <w:r w:rsidRPr="00F22908">
              <w:rPr>
                <w:i/>
              </w:rPr>
              <w:t>Ranibizumabas</w:t>
            </w:r>
          </w:p>
        </w:tc>
        <w:tc>
          <w:tcPr>
            <w:tcW w:w="3579" w:type="dxa"/>
            <w:tcBorders>
              <w:top w:val="single" w:sz="4" w:space="0" w:color="000000"/>
              <w:bottom w:val="single" w:sz="4" w:space="0" w:color="000000"/>
            </w:tcBorders>
          </w:tcPr>
          <w:p w14:paraId="1F80245C" w14:textId="77777777" w:rsidR="0076674E" w:rsidRPr="00F22908" w:rsidRDefault="0076674E" w:rsidP="00464DC5">
            <w:pPr>
              <w:tabs>
                <w:tab w:val="left" w:pos="567"/>
              </w:tabs>
              <w:jc w:val="both"/>
              <w:rPr>
                <w:i/>
              </w:rPr>
            </w:pPr>
            <w:r w:rsidRPr="00F22908">
              <w:rPr>
                <w:i/>
              </w:rPr>
              <w:t>Skirtumas</w:t>
            </w:r>
          </w:p>
        </w:tc>
      </w:tr>
      <w:tr w:rsidR="0076674E" w:rsidRPr="00F22908" w14:paraId="3CDB161B" w14:textId="77777777" w:rsidTr="00464DC5">
        <w:trPr>
          <w:jc w:val="center"/>
        </w:trPr>
        <w:tc>
          <w:tcPr>
            <w:tcW w:w="2697" w:type="dxa"/>
            <w:tcBorders>
              <w:top w:val="single" w:sz="4" w:space="0" w:color="000000"/>
              <w:bottom w:val="single" w:sz="4" w:space="0" w:color="000000"/>
            </w:tcBorders>
          </w:tcPr>
          <w:p w14:paraId="15386FCA" w14:textId="77777777" w:rsidR="0076674E" w:rsidRPr="00F22908" w:rsidRDefault="0076674E" w:rsidP="00464DC5">
            <w:pPr>
              <w:tabs>
                <w:tab w:val="left" w:pos="567"/>
              </w:tabs>
              <w:rPr>
                <w:color w:val="000000"/>
              </w:rPr>
            </w:pPr>
            <w:r w:rsidRPr="00F22908">
              <w:rPr>
                <w:color w:val="000000"/>
              </w:rPr>
              <w:t>Vienos pakuotės įsigijimo kaina</w:t>
            </w:r>
          </w:p>
        </w:tc>
        <w:tc>
          <w:tcPr>
            <w:tcW w:w="1613" w:type="dxa"/>
            <w:tcBorders>
              <w:top w:val="single" w:sz="4" w:space="0" w:color="000000"/>
              <w:bottom w:val="single" w:sz="4" w:space="0" w:color="000000"/>
            </w:tcBorders>
          </w:tcPr>
          <w:p w14:paraId="3125517B" w14:textId="1833FFA1" w:rsidR="0076674E" w:rsidRPr="00F22908" w:rsidRDefault="0065548A" w:rsidP="00464DC5">
            <w:pPr>
              <w:tabs>
                <w:tab w:val="left" w:pos="567"/>
              </w:tabs>
              <w:jc w:val="both"/>
              <w:rPr>
                <w:i/>
              </w:rPr>
            </w:pPr>
            <w:r>
              <w:t>***</w:t>
            </w:r>
            <w:r w:rsidR="0076674E" w:rsidRPr="00F22908">
              <w:t xml:space="preserve"> eur</w:t>
            </w:r>
          </w:p>
        </w:tc>
        <w:tc>
          <w:tcPr>
            <w:tcW w:w="2019" w:type="dxa"/>
            <w:tcBorders>
              <w:top w:val="single" w:sz="4" w:space="0" w:color="000000"/>
              <w:bottom w:val="single" w:sz="4" w:space="0" w:color="000000"/>
            </w:tcBorders>
          </w:tcPr>
          <w:p w14:paraId="7FB39EE4" w14:textId="0986820A" w:rsidR="0076674E" w:rsidRPr="00F22908" w:rsidRDefault="0065548A" w:rsidP="00464DC5">
            <w:pPr>
              <w:tabs>
                <w:tab w:val="left" w:pos="567"/>
              </w:tabs>
              <w:jc w:val="both"/>
              <w:rPr>
                <w:i/>
              </w:rPr>
            </w:pPr>
            <w:r>
              <w:t>***</w:t>
            </w:r>
            <w:r w:rsidR="0076674E" w:rsidRPr="00F22908">
              <w:t xml:space="preserve">  eur</w:t>
            </w:r>
          </w:p>
        </w:tc>
        <w:tc>
          <w:tcPr>
            <w:tcW w:w="3579" w:type="dxa"/>
            <w:tcBorders>
              <w:top w:val="single" w:sz="4" w:space="0" w:color="000000"/>
              <w:bottom w:val="single" w:sz="4" w:space="0" w:color="000000"/>
            </w:tcBorders>
          </w:tcPr>
          <w:p w14:paraId="28E38E69" w14:textId="662FC14D" w:rsidR="0076674E" w:rsidRPr="00F22908" w:rsidRDefault="0065548A" w:rsidP="00464DC5">
            <w:pPr>
              <w:tabs>
                <w:tab w:val="left" w:pos="567"/>
              </w:tabs>
              <w:jc w:val="both"/>
            </w:pPr>
            <w:r>
              <w:t>***</w:t>
            </w:r>
            <w:r w:rsidR="0076674E" w:rsidRPr="00F22908">
              <w:t xml:space="preserve"> eur</w:t>
            </w:r>
          </w:p>
        </w:tc>
      </w:tr>
      <w:tr w:rsidR="0076674E" w:rsidRPr="00F22908" w14:paraId="75346C9E" w14:textId="77777777" w:rsidTr="00464DC5">
        <w:trPr>
          <w:jc w:val="center"/>
        </w:trPr>
        <w:tc>
          <w:tcPr>
            <w:tcW w:w="2697" w:type="dxa"/>
            <w:tcBorders>
              <w:top w:val="single" w:sz="4" w:space="0" w:color="000000"/>
              <w:bottom w:val="single" w:sz="4" w:space="0" w:color="000000"/>
            </w:tcBorders>
          </w:tcPr>
          <w:p w14:paraId="3BEBD9FC" w14:textId="77777777" w:rsidR="0076674E" w:rsidRPr="00F22908" w:rsidRDefault="0076674E" w:rsidP="00464DC5">
            <w:pPr>
              <w:tabs>
                <w:tab w:val="left" w:pos="567"/>
              </w:tabs>
              <w:rPr>
                <w:i/>
                <w:color w:val="000000"/>
                <w:sz w:val="20"/>
                <w:szCs w:val="20"/>
              </w:rPr>
            </w:pPr>
            <w:r w:rsidRPr="00F22908">
              <w:rPr>
                <w:i/>
                <w:color w:val="000000"/>
                <w:sz w:val="20"/>
                <w:szCs w:val="20"/>
              </w:rPr>
              <w:t>Vienos pakuotės įsigijimo kaina, taikant Faricimabo PGS (kuri negali būti pritaikoma)</w:t>
            </w:r>
          </w:p>
        </w:tc>
        <w:tc>
          <w:tcPr>
            <w:tcW w:w="1613" w:type="dxa"/>
            <w:tcBorders>
              <w:top w:val="single" w:sz="4" w:space="0" w:color="000000"/>
              <w:bottom w:val="single" w:sz="4" w:space="0" w:color="000000"/>
            </w:tcBorders>
          </w:tcPr>
          <w:p w14:paraId="621659A8" w14:textId="7DFC93EE" w:rsidR="0076674E" w:rsidRPr="00F22908" w:rsidRDefault="0065548A" w:rsidP="00464DC5">
            <w:pPr>
              <w:tabs>
                <w:tab w:val="left" w:pos="567"/>
              </w:tabs>
              <w:jc w:val="both"/>
              <w:rPr>
                <w:i/>
                <w:sz w:val="20"/>
                <w:szCs w:val="20"/>
              </w:rPr>
            </w:pPr>
            <w:r>
              <w:rPr>
                <w:i/>
                <w:sz w:val="20"/>
                <w:szCs w:val="20"/>
              </w:rPr>
              <w:t>***</w:t>
            </w:r>
            <w:r w:rsidR="0076674E" w:rsidRPr="00F22908">
              <w:rPr>
                <w:i/>
                <w:sz w:val="20"/>
                <w:szCs w:val="20"/>
              </w:rPr>
              <w:t xml:space="preserve"> eur</w:t>
            </w:r>
          </w:p>
        </w:tc>
        <w:tc>
          <w:tcPr>
            <w:tcW w:w="2019" w:type="dxa"/>
            <w:tcBorders>
              <w:top w:val="single" w:sz="4" w:space="0" w:color="000000"/>
              <w:bottom w:val="single" w:sz="4" w:space="0" w:color="000000"/>
            </w:tcBorders>
          </w:tcPr>
          <w:p w14:paraId="0E7A7C51" w14:textId="03B5DA0B" w:rsidR="0076674E" w:rsidRPr="00F22908" w:rsidRDefault="0065548A" w:rsidP="00464DC5">
            <w:pPr>
              <w:tabs>
                <w:tab w:val="left" w:pos="567"/>
              </w:tabs>
              <w:jc w:val="both"/>
              <w:rPr>
                <w:i/>
                <w:sz w:val="20"/>
                <w:szCs w:val="20"/>
              </w:rPr>
            </w:pPr>
            <w:r>
              <w:rPr>
                <w:i/>
                <w:sz w:val="20"/>
                <w:szCs w:val="20"/>
              </w:rPr>
              <w:t>***</w:t>
            </w:r>
            <w:r w:rsidR="0076674E" w:rsidRPr="00F22908">
              <w:rPr>
                <w:i/>
                <w:sz w:val="20"/>
                <w:szCs w:val="20"/>
              </w:rPr>
              <w:t xml:space="preserve"> eur</w:t>
            </w:r>
          </w:p>
        </w:tc>
        <w:tc>
          <w:tcPr>
            <w:tcW w:w="3579" w:type="dxa"/>
            <w:tcBorders>
              <w:top w:val="single" w:sz="4" w:space="0" w:color="000000"/>
              <w:bottom w:val="single" w:sz="4" w:space="0" w:color="000000"/>
            </w:tcBorders>
          </w:tcPr>
          <w:p w14:paraId="0BFFF3B0" w14:textId="6FCF6D5B" w:rsidR="0076674E" w:rsidRPr="00F22908" w:rsidRDefault="0065548A" w:rsidP="00464DC5">
            <w:pPr>
              <w:tabs>
                <w:tab w:val="left" w:pos="567"/>
              </w:tabs>
              <w:jc w:val="both"/>
              <w:rPr>
                <w:i/>
                <w:sz w:val="20"/>
                <w:szCs w:val="20"/>
              </w:rPr>
            </w:pPr>
            <w:r>
              <w:rPr>
                <w:i/>
                <w:sz w:val="20"/>
                <w:szCs w:val="20"/>
              </w:rPr>
              <w:t>***</w:t>
            </w:r>
            <w:r w:rsidR="0076674E" w:rsidRPr="00F22908">
              <w:rPr>
                <w:i/>
                <w:sz w:val="20"/>
                <w:szCs w:val="20"/>
              </w:rPr>
              <w:t xml:space="preserve"> eur</w:t>
            </w:r>
          </w:p>
        </w:tc>
      </w:tr>
    </w:tbl>
    <w:p w14:paraId="33875138" w14:textId="1F698150" w:rsidR="0035172D" w:rsidRDefault="0035172D" w:rsidP="00A93AA6">
      <w:pPr>
        <w:tabs>
          <w:tab w:val="left" w:pos="426"/>
        </w:tabs>
        <w:rPr>
          <w:b/>
          <w:bCs/>
          <w:caps/>
        </w:rPr>
      </w:pPr>
    </w:p>
    <w:p w14:paraId="631A202F" w14:textId="77777777" w:rsidR="0076674E" w:rsidRPr="00F22908" w:rsidRDefault="0076674E" w:rsidP="0076674E">
      <w:pPr>
        <w:jc w:val="both"/>
      </w:pPr>
      <w:r w:rsidRPr="00F22908">
        <w:t>Atlikus vaistinių preparatų pakuotės kainos palyginimą, faricimabas yra brangesnė gydymo alternatyva, nei ranibizumabas (netaikant PGS ir pritaikius Pareiškėjo PGS siūlomą kainą, nors remiantis VLK įtakos PSDF biudžetui vertinimu, siūloma PGS yra netinkama).</w:t>
      </w:r>
    </w:p>
    <w:p w14:paraId="2D92A9A3" w14:textId="77777777" w:rsidR="0076674E" w:rsidRPr="00E33EFF" w:rsidRDefault="0076674E" w:rsidP="00A93AA6">
      <w:pPr>
        <w:tabs>
          <w:tab w:val="left" w:pos="426"/>
        </w:tabs>
        <w:rPr>
          <w:b/>
          <w:bCs/>
          <w:caps/>
        </w:rPr>
      </w:pPr>
    </w:p>
    <w:p w14:paraId="4FC424F9" w14:textId="0CEC1264" w:rsidR="00C62B36" w:rsidRPr="0076674E" w:rsidRDefault="0076674E" w:rsidP="0076674E">
      <w:pPr>
        <w:tabs>
          <w:tab w:val="left" w:pos="567"/>
        </w:tabs>
        <w:rPr>
          <w:b/>
          <w:bCs/>
          <w:caps/>
        </w:rPr>
      </w:pPr>
      <w:r>
        <w:rPr>
          <w:b/>
          <w:bCs/>
          <w:caps/>
        </w:rPr>
        <w:t xml:space="preserve">4. </w:t>
      </w:r>
      <w:r w:rsidR="00C62B36" w:rsidRPr="0076674E">
        <w:rPr>
          <w:b/>
          <w:bCs/>
          <w:caps/>
        </w:rPr>
        <w:t xml:space="preserve">Pacientų organizacijų pateikti duomenys </w:t>
      </w:r>
    </w:p>
    <w:p w14:paraId="79BCFF40" w14:textId="25E151BC"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4C0397">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31D5E3"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067096F" w:rsidR="00C62B36" w:rsidRPr="0076674E" w:rsidRDefault="0076674E" w:rsidP="0076674E">
      <w:pPr>
        <w:tabs>
          <w:tab w:val="left" w:pos="567"/>
        </w:tabs>
        <w:rPr>
          <w:b/>
          <w:bCs/>
          <w:caps/>
        </w:rPr>
      </w:pPr>
      <w:r>
        <w:rPr>
          <w:b/>
          <w:bCs/>
          <w:caps/>
        </w:rPr>
        <w:t xml:space="preserve">5. </w:t>
      </w:r>
      <w:r w:rsidR="00C62B36" w:rsidRPr="0076674E">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512DCDBA"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4C0397">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4BE63995" w:rsidR="002F0E4F" w:rsidRPr="0076674E" w:rsidRDefault="0076674E" w:rsidP="0076674E">
      <w:pPr>
        <w:tabs>
          <w:tab w:val="left" w:pos="567"/>
        </w:tabs>
        <w:rPr>
          <w:b/>
          <w:bCs/>
          <w:caps/>
        </w:rPr>
      </w:pPr>
      <w:r>
        <w:rPr>
          <w:b/>
          <w:bCs/>
          <w:caps/>
        </w:rPr>
        <w:t xml:space="preserve">6. </w:t>
      </w:r>
      <w:r w:rsidR="002F0E4F" w:rsidRPr="0076674E">
        <w:rPr>
          <w:b/>
          <w:bCs/>
          <w:caps/>
        </w:rPr>
        <w:t xml:space="preserve">Išvada </w:t>
      </w:r>
    </w:p>
    <w:p w14:paraId="2922DDCD" w14:textId="77777777" w:rsidR="00BD18D3" w:rsidRPr="00E33EFF" w:rsidRDefault="00BD18D3"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3EDD7BC3"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DB4B4D">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64CE0B66"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DB4B4D">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3010D6C3"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w:t>
            </w:r>
            <w:r w:rsidR="0076674E" w:rsidRPr="00700F6E">
              <w:t>atitinka</w:t>
            </w:r>
            <w:r w:rsidR="0076674E">
              <w:t xml:space="preserve"> referencinę naudingumo vertę, taikant PGS, </w:t>
            </w:r>
            <w:r w:rsidR="0076674E" w:rsidRPr="00700F6E">
              <w:t>netaikant PGS</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29A310E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w:t>
            </w:r>
            <w:r w:rsidR="0076674E" w:rsidRPr="00700F6E">
              <w:t>gydymo juo kaštai yra mažesni ar tokie patys esant iš esmės nesiskiriančiam palyginamajam efektyvumui, taikan</w:t>
            </w:r>
            <w:r w:rsidR="0076674E">
              <w:t>t PGS, netaikant PGS</w:t>
            </w:r>
            <w:r w:rsidR="0076674E" w:rsidRPr="00700F6E">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351F12F"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76674E">
                  <w:rPr>
                    <w:rStyle w:val="Style2"/>
                    <w:rFonts w:ascii="MS Gothic" w:eastAsia="MS Gothic" w:hAnsi="MS Gothic" w:hint="eastAsia"/>
                    <w:sz w:val="24"/>
                  </w:rPr>
                  <w:t>☒</w:t>
                </w:r>
              </w:sdtContent>
            </w:sdt>
            <w:r w:rsidR="00B13D65" w:rsidRPr="00E33EFF">
              <w:t xml:space="preserve"> 33.3. </w:t>
            </w:r>
            <w:r w:rsidR="0076674E" w:rsidRPr="00700F6E">
              <w:t>gydymo juo kaštai yra didesni esant iš esmės nesiskirianč</w:t>
            </w:r>
            <w:r w:rsidR="0076674E">
              <w:t xml:space="preserve">iam palyginamajam efektyvumui, </w:t>
            </w:r>
            <w:r w:rsidR="0076674E" w:rsidRPr="00700F6E">
              <w:t>taikant PGS</w:t>
            </w:r>
            <w:r w:rsidR="0076674E">
              <w:t xml:space="preserve">, </w:t>
            </w:r>
            <w:r w:rsidR="0076674E" w:rsidRPr="00700F6E">
              <w:t>neta</w:t>
            </w:r>
            <w:r w:rsidR="0076674E">
              <w:t>ikant PGS</w:t>
            </w:r>
            <w:r w:rsidR="0076674E" w:rsidRPr="00700F6E">
              <w:t>,</w:t>
            </w:r>
            <w:r w:rsidR="0076674E">
              <w:t xml:space="preserve"> </w:t>
            </w:r>
            <w:r w:rsidR="0076674E" w:rsidRPr="00700F6E">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FDA5AD2" w14:textId="77777777" w:rsidR="0076674E" w:rsidRPr="00E95B88" w:rsidRDefault="0076674E" w:rsidP="004F3B2B">
      <w:pPr>
        <w:rPr>
          <w:i/>
        </w:rPr>
      </w:pPr>
    </w:p>
    <w:p w14:paraId="43EBD9ED" w14:textId="1A00A45E" w:rsidR="0076674E" w:rsidRPr="00030B73" w:rsidRDefault="0076674E" w:rsidP="004F3B2B">
      <w:pPr>
        <w:rPr>
          <w:b/>
        </w:rPr>
      </w:pPr>
      <w:r w:rsidRPr="00030B73">
        <w:rPr>
          <w:b/>
        </w:rPr>
        <w:t>7. REKOMENDACIJA</w:t>
      </w:r>
    </w:p>
    <w:p w14:paraId="25AE718F" w14:textId="77777777" w:rsidR="0076674E" w:rsidRPr="00E95B88" w:rsidRDefault="0076674E" w:rsidP="004F3B2B">
      <w:pPr>
        <w:rPr>
          <w:i/>
        </w:rPr>
      </w:pPr>
    </w:p>
    <w:p w14:paraId="145EB45C" w14:textId="77777777" w:rsidR="0076674E" w:rsidRPr="00F22908" w:rsidRDefault="0076674E" w:rsidP="00E95B88">
      <w:pPr>
        <w:spacing w:line="276" w:lineRule="auto"/>
        <w:ind w:firstLine="720"/>
        <w:jc w:val="both"/>
      </w:pPr>
      <w:r w:rsidRPr="00030B73">
        <w:t xml:space="preserve">Vadovaujantis </w:t>
      </w:r>
      <w:r w:rsidRPr="00F22908">
        <w:t xml:space="preserve">Vaistinių preparatų ir medicinos pagalbos priemonių įrašymo į kompensavimo sąrašus ir jų keitimo tvarkos aprašo, patvirtinto Lietuvos Respublikos sveikatos apsaugos ministro </w:t>
      </w:r>
      <w:r w:rsidRPr="00F22908">
        <w:lastRenderedPageBreak/>
        <w:t xml:space="preserve">2002 m. balandžio 5 d. įsakymu Nr. V-159 „Dėl vaistinių preparatų ir medicinos pagalbos priemonių įrašymo į kompensavimo sąrašus ir jų keitimo tvarkos aprašo patvirtinimo“, punktu </w:t>
      </w:r>
    </w:p>
    <w:p w14:paraId="1039E459" w14:textId="774BF548" w:rsidR="0076674E" w:rsidRPr="00F22908" w:rsidRDefault="0076674E" w:rsidP="00E95B88">
      <w:pPr>
        <w:spacing w:line="276" w:lineRule="auto"/>
        <w:jc w:val="both"/>
      </w:pPr>
      <w:r w:rsidRPr="00F22908">
        <w:t xml:space="preserve">34.4. rekomenduojama </w:t>
      </w:r>
      <w:r w:rsidRPr="00F22908">
        <w:rPr>
          <w:i/>
        </w:rPr>
        <w:t xml:space="preserve">nekompensuoti </w:t>
      </w:r>
      <w:r w:rsidRPr="00F22908">
        <w:t>vaistinio prepa</w:t>
      </w:r>
      <w:r>
        <w:t xml:space="preserve">rato pagal paraiškoje nurodytą </w:t>
      </w:r>
      <w:r w:rsidRPr="00F22908">
        <w:t xml:space="preserve">indikaciją su skyrimo sąlygomis, </w:t>
      </w:r>
      <w:r>
        <w:t>taikant PGS ir netaikant PGS</w:t>
      </w:r>
      <w:r w:rsidRPr="00F22908">
        <w:t xml:space="preserve"> dėl vertinimo išvadų, nurodytų 33.3</w:t>
      </w:r>
      <w:r>
        <w:t xml:space="preserve"> papunktyje (žr. 6 skyrių),  neatitikties </w:t>
      </w:r>
      <w:r w:rsidRPr="00F22908">
        <w:t>34.3 papunktyje išdėstytoms sąlygoms</w:t>
      </w:r>
      <w:r>
        <w:t>.</w:t>
      </w:r>
      <w:r w:rsidRPr="00F22908">
        <w:rPr>
          <w:i/>
          <w:color w:val="00B050"/>
        </w:rPr>
        <w:t xml:space="preserve"> </w:t>
      </w:r>
    </w:p>
    <w:p w14:paraId="06BC01EE" w14:textId="44333E0B" w:rsidR="000723FF" w:rsidRPr="00E33EFF" w:rsidRDefault="000723FF" w:rsidP="00381024"/>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81378" w14:textId="77777777" w:rsidR="00FA6E91" w:rsidRDefault="00FA6E91">
      <w:r>
        <w:separator/>
      </w:r>
    </w:p>
  </w:endnote>
  <w:endnote w:type="continuationSeparator" w:id="0">
    <w:p w14:paraId="27951925" w14:textId="77777777" w:rsidR="00FA6E91" w:rsidRDefault="00F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89883" w14:textId="77777777" w:rsidR="00FA6E91" w:rsidRDefault="00FA6E91">
      <w:r>
        <w:separator/>
      </w:r>
    </w:p>
  </w:footnote>
  <w:footnote w:type="continuationSeparator" w:id="0">
    <w:p w14:paraId="1C71ADEA" w14:textId="77777777" w:rsidR="00FA6E91" w:rsidRDefault="00FA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0F1A979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0C41">
      <w:rPr>
        <w:rStyle w:val="Puslapionumeris"/>
        <w:noProof/>
      </w:rPr>
      <w:t>5</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46771"/>
    <w:multiLevelType w:val="multilevel"/>
    <w:tmpl w:val="67C80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762642">
    <w:abstractNumId w:val="6"/>
  </w:num>
  <w:num w:numId="2" w16cid:durableId="1641570881">
    <w:abstractNumId w:val="1"/>
  </w:num>
  <w:num w:numId="3" w16cid:durableId="1959795347">
    <w:abstractNumId w:val="9"/>
  </w:num>
  <w:num w:numId="4" w16cid:durableId="258955461">
    <w:abstractNumId w:val="8"/>
  </w:num>
  <w:num w:numId="5" w16cid:durableId="1773278086">
    <w:abstractNumId w:val="5"/>
  </w:num>
  <w:num w:numId="6" w16cid:durableId="793212641">
    <w:abstractNumId w:val="4"/>
  </w:num>
  <w:num w:numId="7" w16cid:durableId="296188430">
    <w:abstractNumId w:val="3"/>
  </w:num>
  <w:num w:numId="8" w16cid:durableId="1052509219">
    <w:abstractNumId w:val="12"/>
  </w:num>
  <w:num w:numId="9" w16cid:durableId="822433527">
    <w:abstractNumId w:val="0"/>
  </w:num>
  <w:num w:numId="10" w16cid:durableId="1399743318">
    <w:abstractNumId w:val="10"/>
  </w:num>
  <w:num w:numId="11" w16cid:durableId="2127960932">
    <w:abstractNumId w:val="11"/>
  </w:num>
  <w:num w:numId="12" w16cid:durableId="1489135070">
    <w:abstractNumId w:val="2"/>
  </w:num>
  <w:num w:numId="13" w16cid:durableId="1719864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0B73"/>
    <w:rsid w:val="00031D0E"/>
    <w:rsid w:val="000337E6"/>
    <w:rsid w:val="0003402E"/>
    <w:rsid w:val="00034EAE"/>
    <w:rsid w:val="00042924"/>
    <w:rsid w:val="00053975"/>
    <w:rsid w:val="00057A2B"/>
    <w:rsid w:val="000606BE"/>
    <w:rsid w:val="000670FF"/>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5609D"/>
    <w:rsid w:val="00160105"/>
    <w:rsid w:val="00164146"/>
    <w:rsid w:val="0017369C"/>
    <w:rsid w:val="00175D57"/>
    <w:rsid w:val="00180C39"/>
    <w:rsid w:val="00180D96"/>
    <w:rsid w:val="00184BD3"/>
    <w:rsid w:val="001921F3"/>
    <w:rsid w:val="001A01AC"/>
    <w:rsid w:val="001B3C5B"/>
    <w:rsid w:val="001C1B9C"/>
    <w:rsid w:val="001D389C"/>
    <w:rsid w:val="001D746F"/>
    <w:rsid w:val="001E14AE"/>
    <w:rsid w:val="001E4BBB"/>
    <w:rsid w:val="001E6304"/>
    <w:rsid w:val="0020381E"/>
    <w:rsid w:val="00213471"/>
    <w:rsid w:val="00215906"/>
    <w:rsid w:val="00224160"/>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D44AA"/>
    <w:rsid w:val="002D611D"/>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3F5E5A"/>
    <w:rsid w:val="00404E8A"/>
    <w:rsid w:val="0040622F"/>
    <w:rsid w:val="00413F24"/>
    <w:rsid w:val="00422853"/>
    <w:rsid w:val="00423160"/>
    <w:rsid w:val="00453862"/>
    <w:rsid w:val="0045469B"/>
    <w:rsid w:val="00461338"/>
    <w:rsid w:val="004677DB"/>
    <w:rsid w:val="0047414A"/>
    <w:rsid w:val="00476256"/>
    <w:rsid w:val="0048630F"/>
    <w:rsid w:val="004947A1"/>
    <w:rsid w:val="0049482A"/>
    <w:rsid w:val="00497317"/>
    <w:rsid w:val="004979D3"/>
    <w:rsid w:val="004A00E7"/>
    <w:rsid w:val="004A3A61"/>
    <w:rsid w:val="004B205D"/>
    <w:rsid w:val="004B59BA"/>
    <w:rsid w:val="004B5A03"/>
    <w:rsid w:val="004B750E"/>
    <w:rsid w:val="004C0397"/>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25AF7"/>
    <w:rsid w:val="00534E11"/>
    <w:rsid w:val="005378D8"/>
    <w:rsid w:val="005400D9"/>
    <w:rsid w:val="005476A4"/>
    <w:rsid w:val="0055019B"/>
    <w:rsid w:val="00556E63"/>
    <w:rsid w:val="005601A4"/>
    <w:rsid w:val="00566DBB"/>
    <w:rsid w:val="005767DB"/>
    <w:rsid w:val="005815E6"/>
    <w:rsid w:val="0058712F"/>
    <w:rsid w:val="005976CE"/>
    <w:rsid w:val="005A0C41"/>
    <w:rsid w:val="005A0E74"/>
    <w:rsid w:val="005A23D4"/>
    <w:rsid w:val="005A2D1E"/>
    <w:rsid w:val="005B3756"/>
    <w:rsid w:val="005C493F"/>
    <w:rsid w:val="005C6BF7"/>
    <w:rsid w:val="005C71BF"/>
    <w:rsid w:val="005D002C"/>
    <w:rsid w:val="005D032C"/>
    <w:rsid w:val="005D30E1"/>
    <w:rsid w:val="005D6555"/>
    <w:rsid w:val="005D7BDF"/>
    <w:rsid w:val="005E4870"/>
    <w:rsid w:val="005F71D9"/>
    <w:rsid w:val="005F7602"/>
    <w:rsid w:val="006031C8"/>
    <w:rsid w:val="006062BE"/>
    <w:rsid w:val="00613143"/>
    <w:rsid w:val="00613501"/>
    <w:rsid w:val="00613D75"/>
    <w:rsid w:val="0061611B"/>
    <w:rsid w:val="006166A8"/>
    <w:rsid w:val="006174A1"/>
    <w:rsid w:val="00621D6C"/>
    <w:rsid w:val="00633B49"/>
    <w:rsid w:val="0064297F"/>
    <w:rsid w:val="00645102"/>
    <w:rsid w:val="00646CF3"/>
    <w:rsid w:val="00653D11"/>
    <w:rsid w:val="0065548A"/>
    <w:rsid w:val="00662983"/>
    <w:rsid w:val="006834D3"/>
    <w:rsid w:val="00684581"/>
    <w:rsid w:val="00692625"/>
    <w:rsid w:val="00695CD3"/>
    <w:rsid w:val="006A3028"/>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555C"/>
    <w:rsid w:val="00757B7E"/>
    <w:rsid w:val="007656B2"/>
    <w:rsid w:val="0076674E"/>
    <w:rsid w:val="0077016F"/>
    <w:rsid w:val="007713AD"/>
    <w:rsid w:val="00780615"/>
    <w:rsid w:val="007843DC"/>
    <w:rsid w:val="007865D3"/>
    <w:rsid w:val="00795DC5"/>
    <w:rsid w:val="00797153"/>
    <w:rsid w:val="007A21F7"/>
    <w:rsid w:val="007A2B68"/>
    <w:rsid w:val="007B0DDA"/>
    <w:rsid w:val="007C0875"/>
    <w:rsid w:val="007C6794"/>
    <w:rsid w:val="007C7519"/>
    <w:rsid w:val="007D3347"/>
    <w:rsid w:val="007E5466"/>
    <w:rsid w:val="007F1949"/>
    <w:rsid w:val="007F2592"/>
    <w:rsid w:val="00800A08"/>
    <w:rsid w:val="00817A84"/>
    <w:rsid w:val="008225A4"/>
    <w:rsid w:val="00824B92"/>
    <w:rsid w:val="00826D5E"/>
    <w:rsid w:val="00832013"/>
    <w:rsid w:val="00832DB7"/>
    <w:rsid w:val="00834732"/>
    <w:rsid w:val="00841E2B"/>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1561"/>
    <w:rsid w:val="0092297E"/>
    <w:rsid w:val="00923651"/>
    <w:rsid w:val="00927B56"/>
    <w:rsid w:val="009341BF"/>
    <w:rsid w:val="00937907"/>
    <w:rsid w:val="00941739"/>
    <w:rsid w:val="00943E06"/>
    <w:rsid w:val="00951573"/>
    <w:rsid w:val="00951E72"/>
    <w:rsid w:val="00963003"/>
    <w:rsid w:val="00966EEF"/>
    <w:rsid w:val="00971B28"/>
    <w:rsid w:val="00983471"/>
    <w:rsid w:val="00987BC1"/>
    <w:rsid w:val="009909AB"/>
    <w:rsid w:val="009B21CC"/>
    <w:rsid w:val="009B37DB"/>
    <w:rsid w:val="009C7A8C"/>
    <w:rsid w:val="009D23F9"/>
    <w:rsid w:val="009D3AF6"/>
    <w:rsid w:val="009D4FA8"/>
    <w:rsid w:val="009E44AE"/>
    <w:rsid w:val="009E6CD6"/>
    <w:rsid w:val="009F4D66"/>
    <w:rsid w:val="00A00C3C"/>
    <w:rsid w:val="00A01091"/>
    <w:rsid w:val="00A042B9"/>
    <w:rsid w:val="00A06DBB"/>
    <w:rsid w:val="00A153BC"/>
    <w:rsid w:val="00A22ADF"/>
    <w:rsid w:val="00A31E86"/>
    <w:rsid w:val="00A54D87"/>
    <w:rsid w:val="00A5532B"/>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86B21"/>
    <w:rsid w:val="00B908D7"/>
    <w:rsid w:val="00B915AB"/>
    <w:rsid w:val="00B935E8"/>
    <w:rsid w:val="00B93B30"/>
    <w:rsid w:val="00B94CB5"/>
    <w:rsid w:val="00BA0DD9"/>
    <w:rsid w:val="00BA5DBC"/>
    <w:rsid w:val="00BB6312"/>
    <w:rsid w:val="00BC2EE5"/>
    <w:rsid w:val="00BC4D06"/>
    <w:rsid w:val="00BD18D3"/>
    <w:rsid w:val="00BD2E04"/>
    <w:rsid w:val="00BD585E"/>
    <w:rsid w:val="00BD6919"/>
    <w:rsid w:val="00BE1EA7"/>
    <w:rsid w:val="00BE7489"/>
    <w:rsid w:val="00BF2E0D"/>
    <w:rsid w:val="00BF3927"/>
    <w:rsid w:val="00BF3F8B"/>
    <w:rsid w:val="00BF76DA"/>
    <w:rsid w:val="00C054F5"/>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251D0"/>
    <w:rsid w:val="00D3016A"/>
    <w:rsid w:val="00D417D2"/>
    <w:rsid w:val="00D42960"/>
    <w:rsid w:val="00D43BD7"/>
    <w:rsid w:val="00D4485B"/>
    <w:rsid w:val="00D4708D"/>
    <w:rsid w:val="00D4744C"/>
    <w:rsid w:val="00D521DE"/>
    <w:rsid w:val="00D5470B"/>
    <w:rsid w:val="00D63068"/>
    <w:rsid w:val="00D6498C"/>
    <w:rsid w:val="00D76A70"/>
    <w:rsid w:val="00D83182"/>
    <w:rsid w:val="00D84DEB"/>
    <w:rsid w:val="00D8521E"/>
    <w:rsid w:val="00D9291C"/>
    <w:rsid w:val="00D93A97"/>
    <w:rsid w:val="00D94711"/>
    <w:rsid w:val="00D970E4"/>
    <w:rsid w:val="00DB1F64"/>
    <w:rsid w:val="00DB4B4D"/>
    <w:rsid w:val="00DC2F53"/>
    <w:rsid w:val="00DC5BAC"/>
    <w:rsid w:val="00DC6816"/>
    <w:rsid w:val="00DC76C2"/>
    <w:rsid w:val="00DD1CF2"/>
    <w:rsid w:val="00DE4484"/>
    <w:rsid w:val="00DF41B7"/>
    <w:rsid w:val="00DF4A4A"/>
    <w:rsid w:val="00DF583C"/>
    <w:rsid w:val="00E0281F"/>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95B88"/>
    <w:rsid w:val="00EB6FC5"/>
    <w:rsid w:val="00EC2356"/>
    <w:rsid w:val="00EC2582"/>
    <w:rsid w:val="00EC337C"/>
    <w:rsid w:val="00ED0CFF"/>
    <w:rsid w:val="00ED1331"/>
    <w:rsid w:val="00ED31D2"/>
    <w:rsid w:val="00ED6CFA"/>
    <w:rsid w:val="00EE0EAC"/>
    <w:rsid w:val="00EE3322"/>
    <w:rsid w:val="00EE33CB"/>
    <w:rsid w:val="00F0061A"/>
    <w:rsid w:val="00F02834"/>
    <w:rsid w:val="00F04EEB"/>
    <w:rsid w:val="00F05467"/>
    <w:rsid w:val="00F055D2"/>
    <w:rsid w:val="00F07CD7"/>
    <w:rsid w:val="00F127E9"/>
    <w:rsid w:val="00F14B5D"/>
    <w:rsid w:val="00F259FC"/>
    <w:rsid w:val="00F36972"/>
    <w:rsid w:val="00F36AEF"/>
    <w:rsid w:val="00F42426"/>
    <w:rsid w:val="00F456BC"/>
    <w:rsid w:val="00F50666"/>
    <w:rsid w:val="00F6038D"/>
    <w:rsid w:val="00F70C9E"/>
    <w:rsid w:val="00F74A74"/>
    <w:rsid w:val="00F7572C"/>
    <w:rsid w:val="00F8382C"/>
    <w:rsid w:val="00F855D7"/>
    <w:rsid w:val="00F92035"/>
    <w:rsid w:val="00F92748"/>
    <w:rsid w:val="00FA4169"/>
    <w:rsid w:val="00FA6E91"/>
    <w:rsid w:val="00FB0D41"/>
    <w:rsid w:val="00FB2030"/>
    <w:rsid w:val="00FB4678"/>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3E5C6BB25C3E43AFBD1DCB96D969A0C4"/>
        <w:category>
          <w:name w:val="General"/>
          <w:gallery w:val="placeholder"/>
        </w:category>
        <w:types>
          <w:type w:val="bbPlcHdr"/>
        </w:types>
        <w:behaviors>
          <w:behavior w:val="content"/>
        </w:behaviors>
        <w:guid w:val="{AAEEB45D-53D7-406A-BEA5-C8790A9EF49D}"/>
      </w:docPartPr>
      <w:docPartBody>
        <w:p w:rsidR="008F089A" w:rsidRDefault="00B11718" w:rsidP="00B11718">
          <w:pPr>
            <w:pStyle w:val="3E5C6BB25C3E43AFBD1DCB96D969A0C4"/>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1E3F31"/>
    <w:rsid w:val="001F47C5"/>
    <w:rsid w:val="00237556"/>
    <w:rsid w:val="0039303B"/>
    <w:rsid w:val="003E6E2F"/>
    <w:rsid w:val="004144A3"/>
    <w:rsid w:val="004160E7"/>
    <w:rsid w:val="004416C6"/>
    <w:rsid w:val="004B31C4"/>
    <w:rsid w:val="004C2350"/>
    <w:rsid w:val="004F5AB2"/>
    <w:rsid w:val="005074B9"/>
    <w:rsid w:val="005D032C"/>
    <w:rsid w:val="005E40DD"/>
    <w:rsid w:val="00616969"/>
    <w:rsid w:val="006A3028"/>
    <w:rsid w:val="007219C1"/>
    <w:rsid w:val="0074261C"/>
    <w:rsid w:val="00753462"/>
    <w:rsid w:val="00772325"/>
    <w:rsid w:val="007A2FE0"/>
    <w:rsid w:val="007C6D1D"/>
    <w:rsid w:val="008F089A"/>
    <w:rsid w:val="0090074D"/>
    <w:rsid w:val="009B3BF0"/>
    <w:rsid w:val="009D5E5E"/>
    <w:rsid w:val="009F1BB4"/>
    <w:rsid w:val="00AB6ED4"/>
    <w:rsid w:val="00AC31A2"/>
    <w:rsid w:val="00B11718"/>
    <w:rsid w:val="00B14210"/>
    <w:rsid w:val="00B23DC0"/>
    <w:rsid w:val="00B96656"/>
    <w:rsid w:val="00BE29C1"/>
    <w:rsid w:val="00C2401D"/>
    <w:rsid w:val="00C53A68"/>
    <w:rsid w:val="00CA5BB4"/>
    <w:rsid w:val="00CB4BD1"/>
    <w:rsid w:val="00CE2DA9"/>
    <w:rsid w:val="00CE44BE"/>
    <w:rsid w:val="00D107CD"/>
    <w:rsid w:val="00D2468A"/>
    <w:rsid w:val="00D4356B"/>
    <w:rsid w:val="00D7162F"/>
    <w:rsid w:val="00D84DEB"/>
    <w:rsid w:val="00DC3FA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11718"/>
    <w:rPr>
      <w:color w:val="808080"/>
    </w:rPr>
  </w:style>
  <w:style w:type="paragraph" w:customStyle="1" w:styleId="0A1DCC42A2974C359888226B925C8FF8">
    <w:name w:val="0A1DCC42A2974C359888226B925C8FF8"/>
    <w:rsid w:val="005E40DD"/>
  </w:style>
  <w:style w:type="paragraph" w:customStyle="1" w:styleId="3E5C6BB25C3E43AFBD1DCB96D969A0C4">
    <w:name w:val="3E5C6BB25C3E43AFBD1DCB96D969A0C4"/>
    <w:rsid w:val="00B11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9DD40-B7ED-4593-A407-9868AE9C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8744</Words>
  <Characters>4985</Characters>
  <Application>Microsoft Office Word</Application>
  <DocSecurity>0</DocSecurity>
  <Lines>41</Lines>
  <Paragraphs>27</Paragraphs>
  <ScaleCrop>false</ScaleCrop>
  <Company/>
  <LinksUpToDate>false</LinksUpToDate>
  <CharactersWithSpaces>13702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2024-10-21T08:55:00Z</dcterms:created>
  <dcterms:modified xsi:type="dcterms:W3CDTF">2024-11-04T07:22:00Z</dcterms:modified>
</cp:coreProperties>
</file>