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58D32A14" w14:textId="77777777" w:rsidR="000D52F2" w:rsidRPr="008D1264" w:rsidRDefault="000D52F2" w:rsidP="000D52F2">
      <w:pPr>
        <w:spacing w:line="276" w:lineRule="auto"/>
        <w:jc w:val="center"/>
        <w:rPr>
          <w:b/>
        </w:rPr>
      </w:pPr>
      <w:r w:rsidRPr="008D1264">
        <w:rPr>
          <w:b/>
        </w:rPr>
        <w:t>Delstrigo 100 mg/300 mg/245 mg plėvele dengtos tabletės</w:t>
      </w:r>
    </w:p>
    <w:p w14:paraId="380217A9" w14:textId="77777777" w:rsidR="000D52F2" w:rsidRDefault="000D52F2" w:rsidP="000D52F2">
      <w:pPr>
        <w:jc w:val="center"/>
        <w:rPr>
          <w:color w:val="000000"/>
        </w:rPr>
      </w:pPr>
      <w:r w:rsidRPr="000F444F">
        <w:rPr>
          <w:color w:val="000000"/>
        </w:rPr>
        <w:t xml:space="preserve"> </w:t>
      </w:r>
    </w:p>
    <w:p w14:paraId="4352726E" w14:textId="77777777" w:rsidR="000D52F2" w:rsidRPr="008D1264" w:rsidRDefault="000D52F2" w:rsidP="000D52F2">
      <w:pPr>
        <w:pBdr>
          <w:top w:val="nil"/>
          <w:left w:val="nil"/>
          <w:bottom w:val="nil"/>
          <w:right w:val="nil"/>
          <w:between w:val="nil"/>
        </w:pBdr>
        <w:spacing w:line="276" w:lineRule="auto"/>
        <w:jc w:val="center"/>
        <w:rPr>
          <w:rFonts w:eastAsia="Arial"/>
        </w:rPr>
      </w:pPr>
      <w:r w:rsidRPr="008D1264">
        <w:t>(Doravirinas/lamivudinas/tenofoviro dizoproksilis</w:t>
      </w:r>
      <w:r w:rsidRPr="008D1264">
        <w:rPr>
          <w:rFonts w:eastAsia="Arial"/>
        </w:rPr>
        <w:t>)</w:t>
      </w:r>
    </w:p>
    <w:p w14:paraId="4CFCBD1A" w14:textId="77777777" w:rsidR="000D52F2" w:rsidRPr="00D05364" w:rsidRDefault="000D52F2" w:rsidP="000D52F2"/>
    <w:p w14:paraId="16EF71CE" w14:textId="77777777" w:rsidR="000D52F2" w:rsidRPr="00F63888" w:rsidRDefault="000D52F2" w:rsidP="000D52F2">
      <w:pPr>
        <w:jc w:val="center"/>
        <w:rPr>
          <w:b/>
          <w:lang w:val="en-US"/>
        </w:rPr>
      </w:pPr>
      <w:r>
        <w:rPr>
          <w:b/>
        </w:rPr>
        <w:t>STV-</w:t>
      </w:r>
      <w:r>
        <w:rPr>
          <w:b/>
          <w:lang w:val="en-US"/>
        </w:rPr>
        <w:t>156</w:t>
      </w:r>
    </w:p>
    <w:p w14:paraId="7AED99C4" w14:textId="77777777" w:rsidR="000D52F2" w:rsidRPr="00E33EFF" w:rsidRDefault="000D52F2" w:rsidP="000D52F2">
      <w:pPr>
        <w:jc w:val="center"/>
        <w:rPr>
          <w:b/>
        </w:rPr>
      </w:pPr>
    </w:p>
    <w:p w14:paraId="0830DB4F" w14:textId="77777777" w:rsidR="000D52F2" w:rsidRPr="00E33EFF" w:rsidRDefault="000D52F2" w:rsidP="000D52F2">
      <w:pPr>
        <w:pStyle w:val="ListParagraph"/>
        <w:numPr>
          <w:ilvl w:val="0"/>
          <w:numId w:val="12"/>
        </w:numPr>
        <w:tabs>
          <w:tab w:val="left" w:pos="567"/>
        </w:tabs>
        <w:ind w:left="567" w:hanging="567"/>
        <w:rPr>
          <w:b/>
          <w:bCs/>
          <w:caps/>
        </w:rPr>
      </w:pPr>
      <w:r w:rsidRPr="00E33EFF">
        <w:rPr>
          <w:b/>
          <w:bCs/>
          <w:caps/>
        </w:rPr>
        <w:t>Bendroji dalis</w:t>
      </w:r>
    </w:p>
    <w:p w14:paraId="555A16C7" w14:textId="77777777" w:rsidR="000D52F2" w:rsidRPr="00E33EFF" w:rsidRDefault="000D52F2" w:rsidP="000D52F2">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0D52F2" w:rsidRPr="00E33EFF" w14:paraId="77565C8C" w14:textId="77777777" w:rsidTr="00715DDA">
        <w:trPr>
          <w:trHeight w:val="538"/>
        </w:trPr>
        <w:tc>
          <w:tcPr>
            <w:tcW w:w="632" w:type="dxa"/>
          </w:tcPr>
          <w:p w14:paraId="7C28A928" w14:textId="77777777" w:rsidR="000D52F2" w:rsidRPr="00E33EFF" w:rsidRDefault="000D52F2" w:rsidP="00715DDA">
            <w:pPr>
              <w:rPr>
                <w:rFonts w:eastAsia="Arial"/>
              </w:rPr>
            </w:pPr>
            <w:r w:rsidRPr="00E33EFF">
              <w:rPr>
                <w:rFonts w:eastAsia="Arial"/>
              </w:rPr>
              <w:t>1.1</w:t>
            </w:r>
          </w:p>
        </w:tc>
        <w:tc>
          <w:tcPr>
            <w:tcW w:w="3694" w:type="dxa"/>
          </w:tcPr>
          <w:p w14:paraId="3EEE4DB4" w14:textId="77777777" w:rsidR="000D52F2" w:rsidRPr="00E33EFF" w:rsidRDefault="000D52F2" w:rsidP="00715DDA">
            <w:pPr>
              <w:rPr>
                <w:rFonts w:eastAsia="Arial"/>
              </w:rPr>
            </w:pPr>
            <w:r w:rsidRPr="00E33EFF">
              <w:rPr>
                <w:rFonts w:eastAsia="Arial"/>
              </w:rPr>
              <w:t>Pareiškėjas</w:t>
            </w:r>
          </w:p>
          <w:p w14:paraId="5727DB10" w14:textId="77777777" w:rsidR="000D52F2" w:rsidRPr="00E33EFF" w:rsidRDefault="000D52F2" w:rsidP="00715DDA">
            <w:pPr>
              <w:rPr>
                <w:rFonts w:eastAsia="Arial"/>
              </w:rPr>
            </w:pPr>
          </w:p>
        </w:tc>
        <w:tc>
          <w:tcPr>
            <w:tcW w:w="5167" w:type="dxa"/>
          </w:tcPr>
          <w:p w14:paraId="2F0BEB80" w14:textId="77777777" w:rsidR="000D52F2" w:rsidRPr="00E33EFF" w:rsidRDefault="000D52F2" w:rsidP="00715DDA">
            <w:pPr>
              <w:rPr>
                <w:rFonts w:eastAsia="Arial"/>
              </w:rPr>
            </w:pPr>
            <w:r w:rsidRPr="00FA5CBD">
              <w:t>UAB “Merck Sharp &amp; Dohme“</w:t>
            </w:r>
          </w:p>
        </w:tc>
      </w:tr>
      <w:tr w:rsidR="000D52F2" w:rsidRPr="00E33EFF" w14:paraId="6D72826C" w14:textId="77777777" w:rsidTr="00715DDA">
        <w:trPr>
          <w:trHeight w:val="538"/>
        </w:trPr>
        <w:tc>
          <w:tcPr>
            <w:tcW w:w="632" w:type="dxa"/>
          </w:tcPr>
          <w:p w14:paraId="472958E6" w14:textId="77777777" w:rsidR="000D52F2" w:rsidRPr="00E33EFF" w:rsidRDefault="000D52F2" w:rsidP="00715DDA">
            <w:pPr>
              <w:rPr>
                <w:rFonts w:eastAsia="Arial"/>
              </w:rPr>
            </w:pPr>
            <w:r w:rsidRPr="00E33EFF">
              <w:rPr>
                <w:rFonts w:eastAsia="Arial"/>
              </w:rPr>
              <w:t>1.2</w:t>
            </w:r>
          </w:p>
        </w:tc>
        <w:tc>
          <w:tcPr>
            <w:tcW w:w="3694" w:type="dxa"/>
          </w:tcPr>
          <w:p w14:paraId="18445B14" w14:textId="77777777" w:rsidR="000D52F2" w:rsidRPr="00E33EFF" w:rsidRDefault="000D52F2" w:rsidP="00715DDA">
            <w:pPr>
              <w:rPr>
                <w:bCs/>
                <w:color w:val="000000"/>
                <w:lang w:eastAsia="lt-LT"/>
              </w:rPr>
            </w:pPr>
            <w:r w:rsidRPr="00E33EFF">
              <w:rPr>
                <w:bCs/>
                <w:color w:val="000000"/>
                <w:lang w:eastAsia="lt-LT"/>
              </w:rPr>
              <w:t xml:space="preserve">Registracijos data </w:t>
            </w:r>
          </w:p>
          <w:p w14:paraId="1166DAD8" w14:textId="77777777" w:rsidR="000D52F2" w:rsidRPr="00E33EFF" w:rsidRDefault="000D52F2" w:rsidP="00715DDA">
            <w:pPr>
              <w:rPr>
                <w:bCs/>
                <w:color w:val="000000"/>
                <w:lang w:eastAsia="lt-LT"/>
              </w:rPr>
            </w:pPr>
          </w:p>
        </w:tc>
        <w:tc>
          <w:tcPr>
            <w:tcW w:w="5167" w:type="dxa"/>
          </w:tcPr>
          <w:p w14:paraId="31E65C5F" w14:textId="77777777" w:rsidR="000D52F2" w:rsidRPr="00F63888" w:rsidRDefault="00A05ED6" w:rsidP="00715DDA">
            <w:pPr>
              <w:rPr>
                <w:rStyle w:val="Style2"/>
                <w:color w:val="000000" w:themeColor="text1"/>
                <w:sz w:val="24"/>
              </w:rPr>
            </w:pPr>
            <w:sdt>
              <w:sdtPr>
                <w:rPr>
                  <w:sz w:val="32"/>
                </w:rPr>
                <w:alias w:val="Nurodykite konkrečią dieną"/>
                <w:tag w:val="Nurodykite pradžios datą"/>
                <w:id w:val="423238108"/>
                <w:placeholder>
                  <w:docPart w:val="C433CED79BC64451B8866A6F79C69945"/>
                </w:placeholder>
                <w15:color w:val="FFCC99"/>
                <w:date>
                  <w:dateFormat w:val="yyyy 'm.' MMMM d 'd.'"/>
                  <w:lid w:val="lt-LT"/>
                  <w:storeMappedDataAs w:val="dateTime"/>
                  <w:calendar w:val="gregorian"/>
                </w:date>
              </w:sdtPr>
              <w:sdtEndPr/>
              <w:sdtContent>
                <w:r w:rsidR="000D52F2" w:rsidRPr="00FA5CBD">
                  <w:t xml:space="preserve">2018 lapkričio </w:t>
                </w:r>
                <w:r w:rsidR="000D52F2" w:rsidRPr="00FA5CBD">
                  <w:rPr>
                    <w:lang w:val="en-US"/>
                  </w:rPr>
                  <w:t>22</w:t>
                </w:r>
                <w:r w:rsidR="000D52F2" w:rsidRPr="00FA5CBD">
                  <w:t xml:space="preserve"> d.</w:t>
                </w:r>
              </w:sdtContent>
            </w:sdt>
          </w:p>
        </w:tc>
      </w:tr>
      <w:tr w:rsidR="000D52F2" w:rsidRPr="00E33EFF" w14:paraId="72B6E404" w14:textId="77777777" w:rsidTr="00715DDA">
        <w:trPr>
          <w:trHeight w:val="1500"/>
        </w:trPr>
        <w:tc>
          <w:tcPr>
            <w:tcW w:w="632" w:type="dxa"/>
          </w:tcPr>
          <w:p w14:paraId="5D02683D" w14:textId="77777777" w:rsidR="000D52F2" w:rsidRPr="00E33EFF" w:rsidRDefault="000D52F2" w:rsidP="00715DDA">
            <w:pPr>
              <w:rPr>
                <w:rFonts w:eastAsia="Arial"/>
              </w:rPr>
            </w:pPr>
            <w:r w:rsidRPr="00E33EFF">
              <w:rPr>
                <w:rFonts w:eastAsia="Arial"/>
              </w:rPr>
              <w:t>1.3</w:t>
            </w:r>
          </w:p>
        </w:tc>
        <w:tc>
          <w:tcPr>
            <w:tcW w:w="3694" w:type="dxa"/>
          </w:tcPr>
          <w:p w14:paraId="4065C181" w14:textId="77777777" w:rsidR="000D52F2" w:rsidRPr="00E33EFF" w:rsidRDefault="000D52F2" w:rsidP="00715DDA">
            <w:r w:rsidRPr="00E33EFF">
              <w:t xml:space="preserve">Paraiškos tipas </w:t>
            </w:r>
          </w:p>
          <w:p w14:paraId="1ABD476F" w14:textId="77777777" w:rsidR="000D52F2" w:rsidRPr="00E33EFF" w:rsidRDefault="000D52F2" w:rsidP="00715DDA">
            <w:r w:rsidRPr="00E33EFF">
              <w:t xml:space="preserve">(pagal </w:t>
            </w:r>
            <w:r w:rsidRPr="00E33EFF">
              <w:rPr>
                <w:color w:val="333333"/>
                <w:shd w:val="clear" w:color="auto" w:fill="FFFFFF"/>
              </w:rPr>
              <w:t>vaistinio preparato registracijos tipą, įtvirtintą</w:t>
            </w:r>
            <w:r w:rsidRPr="00E33EFF">
              <w:t xml:space="preserve"> Direktyvos 2001/83/EB straipsiuose)</w:t>
            </w:r>
          </w:p>
          <w:p w14:paraId="6A6A316F" w14:textId="77777777" w:rsidR="000D52F2" w:rsidRPr="00E33EFF" w:rsidRDefault="000D52F2" w:rsidP="00715DDA">
            <w:pPr>
              <w:rPr>
                <w:bCs/>
                <w:color w:val="000000"/>
                <w:lang w:eastAsia="lt-LT"/>
              </w:rPr>
            </w:pPr>
          </w:p>
        </w:tc>
        <w:tc>
          <w:tcPr>
            <w:tcW w:w="5167" w:type="dxa"/>
          </w:tcPr>
          <w:p w14:paraId="06F74D70" w14:textId="77777777" w:rsidR="000D52F2" w:rsidRPr="00E33EFF" w:rsidRDefault="00A05ED6" w:rsidP="00715DDA">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0D52F2">
                  <w:rPr>
                    <w:rStyle w:val="Style2"/>
                    <w:rFonts w:ascii="MS Gothic" w:eastAsia="MS Gothic" w:hAnsi="MS Gothic" w:hint="eastAsia"/>
                    <w:sz w:val="22"/>
                    <w:szCs w:val="22"/>
                  </w:rPr>
                  <w:t>☒</w:t>
                </w:r>
              </w:sdtContent>
            </w:sdt>
            <w:r w:rsidR="000D52F2" w:rsidRPr="00E33EFF">
              <w:rPr>
                <w:sz w:val="22"/>
                <w:szCs w:val="22"/>
              </w:rPr>
              <w:t xml:space="preserve">8.3 str. (pilna byla, pagrįsta savais tyrimais) </w:t>
            </w:r>
          </w:p>
          <w:p w14:paraId="58627A8F" w14:textId="77777777" w:rsidR="000D52F2" w:rsidRPr="00E33EFF" w:rsidRDefault="00A05ED6" w:rsidP="00715DDA">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0D52F2" w:rsidRPr="00E33EFF">
                  <w:rPr>
                    <w:rStyle w:val="Style2"/>
                    <w:rFonts w:ascii="Segoe UI Symbol" w:eastAsia="MS Gothic" w:hAnsi="Segoe UI Symbol" w:cs="Segoe UI Symbol"/>
                    <w:sz w:val="22"/>
                    <w:szCs w:val="22"/>
                  </w:rPr>
                  <w:t>☐</w:t>
                </w:r>
              </w:sdtContent>
            </w:sdt>
            <w:r w:rsidR="000D52F2" w:rsidRPr="00E33EFF">
              <w:rPr>
                <w:sz w:val="22"/>
                <w:szCs w:val="22"/>
              </w:rPr>
              <w:t xml:space="preserve">10 a str. (pripažintas medicininis vartojimas) </w:t>
            </w:r>
          </w:p>
          <w:p w14:paraId="5504949E" w14:textId="77777777" w:rsidR="000D52F2" w:rsidRPr="00E33EFF" w:rsidRDefault="00A05ED6" w:rsidP="00715DDA">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0D52F2" w:rsidRPr="00E33EFF">
                  <w:rPr>
                    <w:rStyle w:val="Style2"/>
                    <w:rFonts w:ascii="Segoe UI Symbol" w:eastAsia="MS Gothic" w:hAnsi="Segoe UI Symbol" w:cs="Segoe UI Symbol"/>
                    <w:sz w:val="22"/>
                    <w:szCs w:val="22"/>
                  </w:rPr>
                  <w:t>☐</w:t>
                </w:r>
              </w:sdtContent>
            </w:sdt>
            <w:r w:rsidR="000D52F2" w:rsidRPr="00E33EFF">
              <w:rPr>
                <w:sz w:val="22"/>
                <w:szCs w:val="22"/>
              </w:rPr>
              <w:t>10.1 str. (generinis)</w:t>
            </w:r>
          </w:p>
          <w:p w14:paraId="2BC654FB" w14:textId="77777777" w:rsidR="000D52F2" w:rsidRPr="00E33EFF" w:rsidRDefault="00A05ED6" w:rsidP="00715DDA">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0D52F2" w:rsidRPr="00E33EFF">
                  <w:rPr>
                    <w:rStyle w:val="Style2"/>
                    <w:rFonts w:ascii="Segoe UI Symbol" w:eastAsia="MS Gothic" w:hAnsi="Segoe UI Symbol" w:cs="Segoe UI Symbol"/>
                    <w:sz w:val="22"/>
                    <w:szCs w:val="22"/>
                  </w:rPr>
                  <w:t>☐</w:t>
                </w:r>
              </w:sdtContent>
            </w:sdt>
            <w:r w:rsidR="000D52F2" w:rsidRPr="00E33EFF">
              <w:rPr>
                <w:sz w:val="22"/>
                <w:szCs w:val="22"/>
              </w:rPr>
              <w:t>10.3 str. (hibridinis)</w:t>
            </w:r>
          </w:p>
        </w:tc>
      </w:tr>
      <w:tr w:rsidR="000D52F2" w:rsidRPr="00E33EFF" w14:paraId="7EA459C7" w14:textId="77777777" w:rsidTr="00715DDA">
        <w:trPr>
          <w:trHeight w:val="1442"/>
        </w:trPr>
        <w:tc>
          <w:tcPr>
            <w:tcW w:w="632" w:type="dxa"/>
          </w:tcPr>
          <w:p w14:paraId="6D566E8D" w14:textId="77777777" w:rsidR="000D52F2" w:rsidRPr="00E33EFF" w:rsidRDefault="000D52F2" w:rsidP="00715DDA">
            <w:pPr>
              <w:rPr>
                <w:rFonts w:eastAsia="Arial"/>
              </w:rPr>
            </w:pPr>
            <w:r w:rsidRPr="00E33EFF">
              <w:rPr>
                <w:rFonts w:eastAsia="Arial"/>
              </w:rPr>
              <w:t>1.4</w:t>
            </w:r>
          </w:p>
        </w:tc>
        <w:tc>
          <w:tcPr>
            <w:tcW w:w="3694" w:type="dxa"/>
          </w:tcPr>
          <w:p w14:paraId="27DC163A" w14:textId="77777777" w:rsidR="000D52F2" w:rsidRPr="00E33EFF" w:rsidRDefault="000D52F2" w:rsidP="00715DDA">
            <w:pPr>
              <w:rPr>
                <w:bCs/>
                <w:color w:val="000000"/>
                <w:lang w:eastAsia="lt-LT"/>
              </w:rPr>
            </w:pPr>
            <w:r w:rsidRPr="00E33EFF">
              <w:rPr>
                <w:bCs/>
                <w:color w:val="000000"/>
                <w:lang w:eastAsia="lt-LT"/>
              </w:rPr>
              <w:t xml:space="preserve">Ar vaistinis preparatas įrašytas į Bendrijos retųjų vaistinių preparatų registrą? </w:t>
            </w:r>
          </w:p>
          <w:p w14:paraId="414D846A" w14:textId="77777777" w:rsidR="000D52F2" w:rsidRPr="00E33EFF" w:rsidRDefault="000D52F2" w:rsidP="00715DDA">
            <w:pPr>
              <w:rPr>
                <w:bCs/>
                <w:color w:val="000000"/>
                <w:lang w:eastAsia="lt-LT"/>
              </w:rPr>
            </w:pPr>
          </w:p>
        </w:tc>
        <w:tc>
          <w:tcPr>
            <w:tcW w:w="5167" w:type="dxa"/>
          </w:tcPr>
          <w:p w14:paraId="55DDAC13" w14:textId="77777777" w:rsidR="000D52F2" w:rsidRPr="00E33EFF" w:rsidRDefault="00A05ED6" w:rsidP="00715DDA">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0D52F2" w:rsidRPr="00E33EFF">
                  <w:rPr>
                    <w:rStyle w:val="Style2"/>
                    <w:rFonts w:ascii="MS Gothic" w:eastAsia="MS Gothic" w:hAnsi="MS Gothic" w:hint="eastAsia"/>
                    <w:sz w:val="24"/>
                  </w:rPr>
                  <w:t>☐</w:t>
                </w:r>
              </w:sdtContent>
            </w:sdt>
            <w:r w:rsidR="000D52F2" w:rsidRPr="00E33EFF">
              <w:t xml:space="preserve"> Taip</w:t>
            </w:r>
          </w:p>
          <w:p w14:paraId="341F3F60" w14:textId="77777777" w:rsidR="000D52F2" w:rsidRPr="00E33EFF" w:rsidRDefault="00A05ED6" w:rsidP="00715DDA">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0D52F2">
                  <w:rPr>
                    <w:rStyle w:val="Style2"/>
                    <w:rFonts w:ascii="MS Gothic" w:eastAsia="MS Gothic" w:hAnsi="MS Gothic" w:hint="eastAsia"/>
                    <w:sz w:val="24"/>
                  </w:rPr>
                  <w:t>☒</w:t>
                </w:r>
              </w:sdtContent>
            </w:sdt>
            <w:r w:rsidR="000D52F2" w:rsidRPr="00E33EFF">
              <w:t xml:space="preserve"> Ne</w:t>
            </w:r>
          </w:p>
          <w:p w14:paraId="2DCF23FD" w14:textId="77777777" w:rsidR="000D52F2" w:rsidRPr="00E33EFF" w:rsidRDefault="00A05ED6" w:rsidP="00715DDA">
            <w:pPr>
              <w:rPr>
                <w:rFonts w:eastAsia="Arial"/>
              </w:rPr>
            </w:pPr>
            <w:sdt>
              <w:sdtPr>
                <w:alias w:val="Nurodykite konkrečią dieną"/>
                <w:tag w:val="Nurodykite pradžios datą"/>
                <w:id w:val="693498901"/>
                <w:placeholder>
                  <w:docPart w:val="059B963B4F7B4A3F90825E7AEF723EFC"/>
                </w:placeholder>
                <w:showingPlcHdr/>
                <w15:color w:val="FFCC99"/>
                <w:date w:fullDate="2022-05-18T00:00:00Z">
                  <w:dateFormat w:val="yyyy 'm.' MMMM d 'd.'"/>
                  <w:lid w:val="lt-LT"/>
                  <w:storeMappedDataAs w:val="dateTime"/>
                  <w:calendar w:val="gregorian"/>
                </w:date>
              </w:sdtPr>
              <w:sdtEndPr/>
              <w:sdtContent>
                <w:r w:rsidR="000D52F2" w:rsidRPr="00E33EFF">
                  <w:rPr>
                    <w:rStyle w:val="PlaceholderText"/>
                  </w:rPr>
                  <w:t>Click here to enter a date.</w:t>
                </w:r>
              </w:sdtContent>
            </w:sdt>
          </w:p>
        </w:tc>
      </w:tr>
      <w:tr w:rsidR="000D52F2" w:rsidRPr="00E33EFF" w14:paraId="2E91927F" w14:textId="77777777" w:rsidTr="00715DDA">
        <w:trPr>
          <w:trHeight w:val="476"/>
        </w:trPr>
        <w:tc>
          <w:tcPr>
            <w:tcW w:w="632" w:type="dxa"/>
          </w:tcPr>
          <w:p w14:paraId="02152254" w14:textId="77777777" w:rsidR="000D52F2" w:rsidRPr="00E33EFF" w:rsidRDefault="000D52F2" w:rsidP="00715DDA">
            <w:pPr>
              <w:rPr>
                <w:rFonts w:eastAsia="Arial"/>
              </w:rPr>
            </w:pPr>
            <w:r w:rsidRPr="00E33EFF">
              <w:rPr>
                <w:rFonts w:eastAsia="Arial"/>
              </w:rPr>
              <w:t>1.5</w:t>
            </w:r>
          </w:p>
        </w:tc>
        <w:tc>
          <w:tcPr>
            <w:tcW w:w="3694" w:type="dxa"/>
          </w:tcPr>
          <w:p w14:paraId="7FD2ADE1" w14:textId="77777777" w:rsidR="000D52F2" w:rsidRPr="00E33EFF" w:rsidRDefault="000D52F2" w:rsidP="00715DDA">
            <w:pPr>
              <w:rPr>
                <w:bCs/>
                <w:color w:val="000000"/>
                <w:lang w:eastAsia="lt-LT"/>
              </w:rPr>
            </w:pPr>
            <w:r w:rsidRPr="00E33EFF">
              <w:t>STV paraiškos pobūdis</w:t>
            </w:r>
          </w:p>
        </w:tc>
        <w:tc>
          <w:tcPr>
            <w:tcW w:w="5167" w:type="dxa"/>
          </w:tcPr>
          <w:p w14:paraId="506587E0" w14:textId="77777777" w:rsidR="000D52F2" w:rsidRPr="00E33EFF" w:rsidRDefault="00A05ED6" w:rsidP="00715DDA">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0D52F2">
                  <w:rPr>
                    <w:rStyle w:val="Style2"/>
                    <w:rFonts w:ascii="MS Gothic" w:eastAsia="MS Gothic" w:hAnsi="MS Gothic" w:hint="eastAsia"/>
                    <w:sz w:val="24"/>
                  </w:rPr>
                  <w:t>☒</w:t>
                </w:r>
              </w:sdtContent>
            </w:sdt>
            <w:r w:rsidR="000D52F2" w:rsidRPr="00E33EFF">
              <w:t xml:space="preserve"> Pilna paraiška</w:t>
            </w:r>
          </w:p>
          <w:p w14:paraId="621A85F2" w14:textId="77777777" w:rsidR="000D52F2" w:rsidRPr="00E33EFF" w:rsidRDefault="00A05ED6" w:rsidP="00715DDA">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0D52F2" w:rsidRPr="00E33EFF">
                  <w:rPr>
                    <w:rStyle w:val="Style2"/>
                    <w:rFonts w:ascii="MS Gothic" w:eastAsia="MS Gothic" w:hAnsi="MS Gothic" w:hint="eastAsia"/>
                    <w:sz w:val="24"/>
                  </w:rPr>
                  <w:t>☐</w:t>
                </w:r>
              </w:sdtContent>
            </w:sdt>
            <w:r w:rsidR="000D52F2" w:rsidRPr="00E33EFF">
              <w:t xml:space="preserve"> Supaprastinta paraiška</w:t>
            </w:r>
          </w:p>
        </w:tc>
      </w:tr>
      <w:tr w:rsidR="000D52F2" w:rsidRPr="00E33EFF" w14:paraId="322B311C" w14:textId="77777777" w:rsidTr="00715DDA">
        <w:trPr>
          <w:trHeight w:val="1922"/>
        </w:trPr>
        <w:tc>
          <w:tcPr>
            <w:tcW w:w="632" w:type="dxa"/>
          </w:tcPr>
          <w:p w14:paraId="21ADD619" w14:textId="77777777" w:rsidR="000D52F2" w:rsidRPr="00E33EFF" w:rsidRDefault="000D52F2" w:rsidP="00715DDA">
            <w:pPr>
              <w:rPr>
                <w:rFonts w:eastAsia="Arial"/>
              </w:rPr>
            </w:pPr>
            <w:r w:rsidRPr="00E33EFF">
              <w:rPr>
                <w:rFonts w:eastAsia="Arial"/>
              </w:rPr>
              <w:t>1.6</w:t>
            </w:r>
          </w:p>
        </w:tc>
        <w:tc>
          <w:tcPr>
            <w:tcW w:w="3694" w:type="dxa"/>
          </w:tcPr>
          <w:p w14:paraId="24FB4D42" w14:textId="77777777" w:rsidR="000D52F2" w:rsidRPr="00E33EFF" w:rsidRDefault="000D52F2" w:rsidP="00715DDA">
            <w:pPr>
              <w:rPr>
                <w:bCs/>
                <w:color w:val="000000"/>
                <w:lang w:eastAsia="lt-LT"/>
              </w:rPr>
            </w:pPr>
            <w:r w:rsidRPr="00E33EFF">
              <w:rPr>
                <w:bCs/>
                <w:color w:val="000000"/>
                <w:lang w:eastAsia="lt-LT"/>
              </w:rPr>
              <w:t>Pareiškėjo teikiama (-os) kompensuoti vaistinio preparato indikacija (-os)</w:t>
            </w:r>
          </w:p>
          <w:p w14:paraId="57CF9E17" w14:textId="77777777" w:rsidR="000D52F2" w:rsidRDefault="000D52F2" w:rsidP="00715DDA">
            <w:pPr>
              <w:rPr>
                <w:bCs/>
                <w:color w:val="000000"/>
                <w:lang w:eastAsia="lt-LT"/>
              </w:rPr>
            </w:pPr>
          </w:p>
          <w:p w14:paraId="52F0AC46" w14:textId="77777777" w:rsidR="000D52F2" w:rsidRDefault="000D52F2" w:rsidP="00715DDA">
            <w:pPr>
              <w:rPr>
                <w:bCs/>
                <w:color w:val="000000"/>
                <w:lang w:eastAsia="lt-LT"/>
              </w:rPr>
            </w:pPr>
          </w:p>
          <w:p w14:paraId="760DE40D" w14:textId="77777777" w:rsidR="000D52F2" w:rsidRPr="00E33EFF" w:rsidRDefault="000D52F2" w:rsidP="00715DDA">
            <w:pPr>
              <w:rPr>
                <w:bCs/>
                <w:color w:val="000000"/>
                <w:lang w:eastAsia="lt-LT"/>
              </w:rPr>
            </w:pPr>
            <w:r w:rsidRPr="00E33EFF">
              <w:rPr>
                <w:bCs/>
                <w:color w:val="000000"/>
                <w:lang w:eastAsia="lt-LT"/>
              </w:rPr>
              <w:t>Kodas pagal TLK-10 AM</w:t>
            </w:r>
          </w:p>
        </w:tc>
        <w:tc>
          <w:tcPr>
            <w:tcW w:w="5167" w:type="dxa"/>
          </w:tcPr>
          <w:p w14:paraId="0DF2B2C6" w14:textId="77777777" w:rsidR="000D52F2" w:rsidRPr="00FA5CBD" w:rsidRDefault="000D52F2" w:rsidP="00715DDA">
            <w:pPr>
              <w:spacing w:after="120" w:line="276" w:lineRule="auto"/>
              <w:jc w:val="both"/>
            </w:pPr>
            <w:r w:rsidRPr="00FA5CBD">
              <w:t>Delstrigo skirtas ŽIV-1 infekuotų suaugusiųjų gydymui, kai nėra jokių ankstesnių ar dabartinių duomenų apie atsparumą NNATI klasės vaistiniams preparatams, lamivudinui ar tenofovirui.</w:t>
            </w:r>
          </w:p>
          <w:p w14:paraId="32C106B6" w14:textId="77777777" w:rsidR="000D52F2" w:rsidRPr="00E33EFF" w:rsidRDefault="000D52F2" w:rsidP="00715DDA">
            <w:pPr>
              <w:pStyle w:val="ListParagraph"/>
              <w:spacing w:after="120" w:line="276" w:lineRule="auto"/>
              <w:ind w:left="0"/>
              <w:contextualSpacing w:val="0"/>
              <w:jc w:val="both"/>
            </w:pPr>
            <w:r w:rsidRPr="00FA5CBD">
              <w:t>B20-B24</w:t>
            </w:r>
          </w:p>
        </w:tc>
      </w:tr>
      <w:tr w:rsidR="000D52F2" w:rsidRPr="00E33EFF" w14:paraId="3B48A1A8" w14:textId="77777777" w:rsidTr="00715DDA">
        <w:trPr>
          <w:trHeight w:val="378"/>
        </w:trPr>
        <w:tc>
          <w:tcPr>
            <w:tcW w:w="632" w:type="dxa"/>
          </w:tcPr>
          <w:p w14:paraId="3E07D377" w14:textId="77777777" w:rsidR="000D52F2" w:rsidRPr="00E33EFF" w:rsidRDefault="000D52F2" w:rsidP="00715DDA">
            <w:pPr>
              <w:rPr>
                <w:rFonts w:eastAsia="Arial"/>
              </w:rPr>
            </w:pPr>
            <w:r w:rsidRPr="00E33EFF">
              <w:rPr>
                <w:rFonts w:eastAsia="Arial"/>
              </w:rPr>
              <w:t>1.6</w:t>
            </w:r>
          </w:p>
        </w:tc>
        <w:tc>
          <w:tcPr>
            <w:tcW w:w="3694" w:type="dxa"/>
          </w:tcPr>
          <w:p w14:paraId="4D486355" w14:textId="77777777" w:rsidR="000D52F2" w:rsidRPr="00E33EFF" w:rsidRDefault="000D52F2" w:rsidP="00715DDA">
            <w:pPr>
              <w:rPr>
                <w:bCs/>
                <w:color w:val="000000"/>
                <w:u w:val="single"/>
                <w:lang w:eastAsia="lt-LT"/>
              </w:rPr>
            </w:pPr>
            <w:r w:rsidRPr="00E33EFF">
              <w:rPr>
                <w:bCs/>
                <w:color w:val="000000"/>
                <w:lang w:eastAsia="lt-LT"/>
              </w:rPr>
              <w:t xml:space="preserve">Pareiškėjo teikiamos skyrimo sąlygos </w:t>
            </w:r>
          </w:p>
        </w:tc>
        <w:tc>
          <w:tcPr>
            <w:tcW w:w="5167" w:type="dxa"/>
          </w:tcPr>
          <w:p w14:paraId="6D178B51" w14:textId="77777777" w:rsidR="000D52F2" w:rsidRPr="00E33EFF" w:rsidRDefault="000D52F2" w:rsidP="00715DDA">
            <w:r w:rsidRPr="00FA5CBD">
              <w:t>Antiretrovirusiniais vaistais negydytiems pacientams.</w:t>
            </w:r>
          </w:p>
        </w:tc>
      </w:tr>
      <w:tr w:rsidR="000D52F2" w:rsidRPr="00E33EFF" w14:paraId="0603F198" w14:textId="77777777" w:rsidTr="00715DDA">
        <w:trPr>
          <w:trHeight w:val="378"/>
        </w:trPr>
        <w:tc>
          <w:tcPr>
            <w:tcW w:w="632" w:type="dxa"/>
          </w:tcPr>
          <w:p w14:paraId="6C6E6DFD" w14:textId="77777777" w:rsidR="000D52F2" w:rsidRPr="00E33EFF" w:rsidRDefault="000D52F2" w:rsidP="00715DDA">
            <w:pPr>
              <w:rPr>
                <w:rFonts w:eastAsia="Arial"/>
              </w:rPr>
            </w:pPr>
            <w:r w:rsidRPr="00E33EFF">
              <w:rPr>
                <w:rFonts w:eastAsia="Arial"/>
              </w:rPr>
              <w:lastRenderedPageBreak/>
              <w:t>1.7</w:t>
            </w:r>
          </w:p>
        </w:tc>
        <w:tc>
          <w:tcPr>
            <w:tcW w:w="3694" w:type="dxa"/>
          </w:tcPr>
          <w:p w14:paraId="637E7972" w14:textId="77777777" w:rsidR="000D52F2" w:rsidRDefault="000D52F2" w:rsidP="00715DDA">
            <w:pPr>
              <w:rPr>
                <w:bCs/>
                <w:color w:val="000000"/>
                <w:lang w:eastAsia="lt-LT"/>
              </w:rPr>
            </w:pPr>
            <w:r w:rsidRPr="00E33EFF">
              <w:rPr>
                <w:bCs/>
                <w:color w:val="000000"/>
                <w:lang w:eastAsia="lt-LT"/>
              </w:rPr>
              <w:t>Pareiškėjo teikiamas palyginamasis gydymas</w:t>
            </w:r>
            <w:r>
              <w:rPr>
                <w:bCs/>
                <w:color w:val="000000"/>
                <w:lang w:eastAsia="lt-LT"/>
              </w:rPr>
              <w:t>:</w:t>
            </w:r>
            <w:r w:rsidRPr="00E33EFF">
              <w:rPr>
                <w:bCs/>
                <w:color w:val="000000"/>
                <w:lang w:eastAsia="lt-LT"/>
              </w:rPr>
              <w:t xml:space="preserve"> </w:t>
            </w:r>
          </w:p>
          <w:p w14:paraId="0605F20B" w14:textId="77777777" w:rsidR="000D52F2" w:rsidRDefault="000D52F2" w:rsidP="00715DDA">
            <w:pPr>
              <w:rPr>
                <w:bCs/>
                <w:i/>
                <w:color w:val="000000"/>
                <w:lang w:eastAsia="lt-LT"/>
              </w:rPr>
            </w:pPr>
            <w:r w:rsidRPr="007C7519">
              <w:rPr>
                <w:bCs/>
                <w:i/>
                <w:color w:val="000000"/>
                <w:lang w:eastAsia="lt-LT"/>
              </w:rPr>
              <w:t>Tiesioginis</w:t>
            </w:r>
          </w:p>
          <w:p w14:paraId="2D234B7E" w14:textId="77777777" w:rsidR="000D52F2" w:rsidRDefault="000D52F2" w:rsidP="00715DDA">
            <w:pPr>
              <w:rPr>
                <w:bCs/>
                <w:i/>
                <w:color w:val="000000"/>
                <w:lang w:eastAsia="lt-LT"/>
              </w:rPr>
            </w:pPr>
            <w:r>
              <w:t>Efavirenzo,</w:t>
            </w:r>
            <w:r w:rsidRPr="004A04CD">
              <w:t>emtricit</w:t>
            </w:r>
            <w:r>
              <w:t>abino, tenofoviro derinys</w:t>
            </w:r>
          </w:p>
          <w:p w14:paraId="3E13DCCB" w14:textId="77777777" w:rsidR="000D52F2" w:rsidRDefault="000D52F2" w:rsidP="00715DDA">
            <w:pPr>
              <w:rPr>
                <w:color w:val="000000"/>
                <w:lang w:eastAsia="lt-LT"/>
              </w:rPr>
            </w:pPr>
          </w:p>
          <w:p w14:paraId="1B0A1E2E" w14:textId="77777777" w:rsidR="000D52F2" w:rsidRDefault="000D52F2" w:rsidP="00715DDA">
            <w:pPr>
              <w:rPr>
                <w:bCs/>
                <w:i/>
                <w:color w:val="000000"/>
                <w:lang w:eastAsia="lt-LT"/>
              </w:rPr>
            </w:pPr>
          </w:p>
          <w:p w14:paraId="6E349AA8" w14:textId="77777777" w:rsidR="000D52F2" w:rsidRDefault="000D52F2" w:rsidP="00715DDA">
            <w:pPr>
              <w:rPr>
                <w:bCs/>
                <w:i/>
                <w:color w:val="000000"/>
                <w:lang w:eastAsia="lt-LT"/>
              </w:rPr>
            </w:pPr>
            <w:r>
              <w:rPr>
                <w:bCs/>
                <w:i/>
                <w:color w:val="000000"/>
                <w:lang w:eastAsia="lt-LT"/>
              </w:rPr>
              <w:t>Netiesioginis</w:t>
            </w:r>
          </w:p>
          <w:p w14:paraId="731E17F6" w14:textId="77777777" w:rsidR="000D52F2" w:rsidRPr="004A04CD" w:rsidRDefault="000D52F2" w:rsidP="00715DDA">
            <w:pPr>
              <w:spacing w:line="276" w:lineRule="auto"/>
              <w:ind w:right="10" w:firstLine="720"/>
              <w:jc w:val="both"/>
              <w:outlineLvl w:val="0"/>
            </w:pPr>
            <w:r>
              <w:t>1</w:t>
            </w:r>
            <w:r w:rsidRPr="00850B8C">
              <w:t xml:space="preserve">) </w:t>
            </w:r>
            <w:r w:rsidRPr="004A04CD">
              <w:t xml:space="preserve">abakaviro, lamivudino, dolutegraviro derinys; </w:t>
            </w:r>
          </w:p>
          <w:p w14:paraId="648A3F29" w14:textId="77777777" w:rsidR="000D52F2" w:rsidRPr="004A04CD" w:rsidRDefault="000D52F2" w:rsidP="00715DDA">
            <w:pPr>
              <w:spacing w:line="276" w:lineRule="auto"/>
              <w:ind w:right="10" w:firstLine="720"/>
              <w:jc w:val="both"/>
              <w:outlineLvl w:val="0"/>
            </w:pPr>
            <w:r w:rsidRPr="004A04CD">
              <w:t xml:space="preserve">2) abakaviro, lamivudino, raltegraviro derinys; </w:t>
            </w:r>
          </w:p>
          <w:p w14:paraId="26A5FF68" w14:textId="77777777" w:rsidR="000D52F2" w:rsidRPr="004A04CD" w:rsidRDefault="000D52F2" w:rsidP="00715DDA">
            <w:pPr>
              <w:spacing w:line="276" w:lineRule="auto"/>
              <w:ind w:right="10" w:firstLine="720"/>
              <w:jc w:val="both"/>
              <w:outlineLvl w:val="0"/>
            </w:pPr>
            <w:r w:rsidRPr="004A04CD">
              <w:t xml:space="preserve">3) tenofoviro dizoproksilio, emtricitabino, dolutegraviro derinys ir </w:t>
            </w:r>
          </w:p>
          <w:p w14:paraId="494407C1" w14:textId="77777777" w:rsidR="000D52F2" w:rsidRPr="004A04CD" w:rsidRDefault="000D52F2" w:rsidP="00715DDA">
            <w:pPr>
              <w:spacing w:line="276" w:lineRule="auto"/>
              <w:ind w:right="10" w:firstLine="720"/>
              <w:jc w:val="both"/>
              <w:outlineLvl w:val="0"/>
              <w:rPr>
                <w:bCs/>
                <w:color w:val="000000" w:themeColor="text1"/>
                <w:lang w:eastAsia="lt-LT"/>
              </w:rPr>
            </w:pPr>
            <w:r w:rsidRPr="004A04CD">
              <w:t>4) tenofoviro dizoproksilio, emtricitabino, raltegraviro derinys.</w:t>
            </w:r>
          </w:p>
          <w:p w14:paraId="51EA622F" w14:textId="77777777" w:rsidR="000D52F2" w:rsidRPr="007C7519" w:rsidRDefault="000D52F2" w:rsidP="00715DDA">
            <w:pPr>
              <w:rPr>
                <w:bCs/>
                <w:i/>
                <w:color w:val="000000"/>
                <w:lang w:eastAsia="lt-LT"/>
              </w:rPr>
            </w:pPr>
          </w:p>
          <w:p w14:paraId="27C59492" w14:textId="77777777" w:rsidR="000D52F2" w:rsidRPr="00E33EFF" w:rsidRDefault="000D52F2" w:rsidP="00715DDA">
            <w:pPr>
              <w:rPr>
                <w:bCs/>
                <w:color w:val="000000"/>
                <w:lang w:eastAsia="lt-LT"/>
              </w:rPr>
            </w:pPr>
          </w:p>
        </w:tc>
        <w:tc>
          <w:tcPr>
            <w:tcW w:w="5167" w:type="dxa"/>
          </w:tcPr>
          <w:p w14:paraId="61E1634D" w14:textId="77777777" w:rsidR="000D52F2" w:rsidRDefault="000D52F2" w:rsidP="00715DDA">
            <w:pPr>
              <w:rPr>
                <w:rStyle w:val="Style2"/>
                <w:sz w:val="24"/>
              </w:rPr>
            </w:pPr>
          </w:p>
          <w:p w14:paraId="1EAB7F01" w14:textId="77777777" w:rsidR="000D52F2" w:rsidRPr="00E33EFF" w:rsidRDefault="000D52F2" w:rsidP="00715DDA"/>
          <w:p w14:paraId="343410C5" w14:textId="77777777" w:rsidR="000D52F2" w:rsidRPr="00E33EFF" w:rsidRDefault="00A05ED6" w:rsidP="00715DDA">
            <w:sdt>
              <w:sdtPr>
                <w:rPr>
                  <w:rStyle w:val="Style2"/>
                  <w:sz w:val="24"/>
                </w:rPr>
                <w:id w:val="-439376113"/>
                <w15:color w:val="FFCC00"/>
                <w14:checkbox>
                  <w14:checked w14:val="0"/>
                  <w14:checkedState w14:val="2612" w14:font="MS Gothic"/>
                  <w14:uncheckedState w14:val="2610" w14:font="MS Gothic"/>
                </w14:checkbox>
              </w:sdtPr>
              <w:sdtEndPr>
                <w:rPr>
                  <w:rStyle w:val="Style2"/>
                </w:rPr>
              </w:sdtEndPr>
              <w:sdtContent>
                <w:r w:rsidR="000D52F2">
                  <w:rPr>
                    <w:rStyle w:val="Style2"/>
                    <w:rFonts w:ascii="MS Gothic" w:eastAsia="MS Gothic" w:hAnsi="MS Gothic" w:hint="eastAsia"/>
                    <w:sz w:val="24"/>
                  </w:rPr>
                  <w:t>☐</w:t>
                </w:r>
              </w:sdtContent>
            </w:sdt>
            <w:r w:rsidR="000D52F2" w:rsidRPr="00E33EFF">
              <w:t xml:space="preserve"> Tinkamas</w:t>
            </w:r>
          </w:p>
          <w:p w14:paraId="4C743360" w14:textId="77777777" w:rsidR="000D52F2" w:rsidRDefault="00A05ED6" w:rsidP="00715DDA">
            <w:pPr>
              <w:rPr>
                <w:rStyle w:val="Style2"/>
                <w:sz w:val="24"/>
              </w:rPr>
            </w:pPr>
            <w:sdt>
              <w:sdtPr>
                <w:rPr>
                  <w:rStyle w:val="Style2"/>
                  <w:sz w:val="24"/>
                </w:rPr>
                <w:id w:val="991603600"/>
                <w15:color w:val="FFCC00"/>
                <w14:checkbox>
                  <w14:checked w14:val="1"/>
                  <w14:checkedState w14:val="2612" w14:font="MS Gothic"/>
                  <w14:uncheckedState w14:val="2610" w14:font="MS Gothic"/>
                </w14:checkbox>
              </w:sdtPr>
              <w:sdtEndPr>
                <w:rPr>
                  <w:rStyle w:val="Style2"/>
                </w:rPr>
              </w:sdtEndPr>
              <w:sdtContent>
                <w:r w:rsidR="000D52F2">
                  <w:rPr>
                    <w:rStyle w:val="Style2"/>
                    <w:rFonts w:ascii="MS Gothic" w:eastAsia="MS Gothic" w:hAnsi="MS Gothic" w:hint="eastAsia"/>
                    <w:sz w:val="24"/>
                  </w:rPr>
                  <w:t>☒</w:t>
                </w:r>
              </w:sdtContent>
            </w:sdt>
            <w:r w:rsidR="000D52F2" w:rsidRPr="00E33EFF">
              <w:t xml:space="preserve"> Netinkama</w:t>
            </w:r>
            <w:r w:rsidR="000D52F2">
              <w:t>s</w:t>
            </w:r>
          </w:p>
          <w:p w14:paraId="20E3D39A" w14:textId="77777777" w:rsidR="000D52F2" w:rsidRDefault="000D52F2" w:rsidP="00715DDA">
            <w:pPr>
              <w:rPr>
                <w:rStyle w:val="Style2"/>
                <w:sz w:val="24"/>
              </w:rPr>
            </w:pPr>
          </w:p>
          <w:p w14:paraId="5F3979BC" w14:textId="77777777" w:rsidR="000D52F2" w:rsidRDefault="000D52F2" w:rsidP="00715DDA">
            <w:pPr>
              <w:rPr>
                <w:rStyle w:val="Style2"/>
                <w:sz w:val="24"/>
              </w:rPr>
            </w:pPr>
          </w:p>
          <w:p w14:paraId="3B000361" w14:textId="77777777" w:rsidR="000D52F2" w:rsidRDefault="000D52F2" w:rsidP="00715DDA">
            <w:pPr>
              <w:rPr>
                <w:rStyle w:val="Style2"/>
                <w:sz w:val="24"/>
              </w:rPr>
            </w:pPr>
          </w:p>
          <w:p w14:paraId="0A8E712A" w14:textId="77777777" w:rsidR="000D52F2" w:rsidRPr="00E33EFF" w:rsidRDefault="00A05ED6" w:rsidP="00715DDA">
            <w:sdt>
              <w:sdtPr>
                <w:rPr>
                  <w:rStyle w:val="Style2"/>
                  <w:sz w:val="24"/>
                </w:rPr>
                <w:id w:val="-834302966"/>
                <w15:color w:val="FFCC00"/>
                <w14:checkbox>
                  <w14:checked w14:val="1"/>
                  <w14:checkedState w14:val="2612" w14:font="MS Gothic"/>
                  <w14:uncheckedState w14:val="2610" w14:font="MS Gothic"/>
                </w14:checkbox>
              </w:sdtPr>
              <w:sdtEndPr>
                <w:rPr>
                  <w:rStyle w:val="Style2"/>
                </w:rPr>
              </w:sdtEndPr>
              <w:sdtContent>
                <w:r w:rsidR="000D52F2">
                  <w:rPr>
                    <w:rStyle w:val="Style2"/>
                    <w:rFonts w:ascii="MS Gothic" w:eastAsia="MS Gothic" w:hAnsi="MS Gothic" w:hint="eastAsia"/>
                    <w:sz w:val="24"/>
                  </w:rPr>
                  <w:t>☒</w:t>
                </w:r>
              </w:sdtContent>
            </w:sdt>
            <w:r w:rsidR="000D52F2" w:rsidRPr="00E33EFF">
              <w:t xml:space="preserve"> Tinkamas</w:t>
            </w:r>
          </w:p>
          <w:p w14:paraId="15981255" w14:textId="77777777" w:rsidR="000D52F2" w:rsidRPr="00E33EFF" w:rsidRDefault="00A05ED6" w:rsidP="00715DDA">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0D52F2">
                  <w:rPr>
                    <w:rStyle w:val="Style2"/>
                    <w:rFonts w:ascii="MS Gothic" w:eastAsia="MS Gothic" w:hAnsi="MS Gothic" w:hint="eastAsia"/>
                    <w:sz w:val="24"/>
                  </w:rPr>
                  <w:t>☐</w:t>
                </w:r>
              </w:sdtContent>
            </w:sdt>
            <w:r w:rsidR="000D52F2" w:rsidRPr="00E33EFF">
              <w:t xml:space="preserve"> Netinkama</w:t>
            </w:r>
            <w:r w:rsidR="000D52F2">
              <w:t>s</w:t>
            </w:r>
          </w:p>
        </w:tc>
      </w:tr>
    </w:tbl>
    <w:p w14:paraId="6057F5DC" w14:textId="77777777" w:rsidR="000D52F2" w:rsidRPr="00E33EFF" w:rsidRDefault="000D52F2" w:rsidP="000D52F2">
      <w:pPr>
        <w:pStyle w:val="ListParagraph"/>
        <w:tabs>
          <w:tab w:val="left" w:pos="426"/>
        </w:tabs>
        <w:ind w:left="0"/>
        <w:rPr>
          <w:b/>
          <w:bCs/>
          <w:caps/>
        </w:rPr>
      </w:pPr>
    </w:p>
    <w:p w14:paraId="297FE81E" w14:textId="77777777" w:rsidR="000D52F2" w:rsidRPr="00E33EFF" w:rsidRDefault="000D52F2" w:rsidP="000D52F2">
      <w:pPr>
        <w:spacing w:line="276" w:lineRule="auto"/>
        <w:jc w:val="both"/>
        <w:rPr>
          <w:rFonts w:eastAsia="Arial"/>
          <w:b/>
        </w:rPr>
      </w:pPr>
      <w:r w:rsidRPr="00E33EFF">
        <w:rPr>
          <w:rFonts w:eastAsia="Arial"/>
          <w:b/>
        </w:rPr>
        <w:t>1.8 Kitų valstybių atsakingų institucijų atlikto Sveikatos technologijų vertinimo (toliau – STV) išvados</w:t>
      </w:r>
    </w:p>
    <w:p w14:paraId="2AF88FA8" w14:textId="77777777" w:rsidR="000D52F2" w:rsidRPr="00E33EFF" w:rsidRDefault="000D52F2" w:rsidP="000D52F2">
      <w:pPr>
        <w:spacing w:line="276" w:lineRule="auto"/>
        <w:rPr>
          <w:rFonts w:eastAsia="Arial"/>
        </w:rPr>
      </w:pPr>
    </w:p>
    <w:tbl>
      <w:tblPr>
        <w:tblStyle w:val="TableGrid"/>
        <w:tblW w:w="9918" w:type="dxa"/>
        <w:tblLook w:val="04A0" w:firstRow="1" w:lastRow="0" w:firstColumn="1" w:lastColumn="0" w:noHBand="0" w:noVBand="1"/>
      </w:tblPr>
      <w:tblGrid>
        <w:gridCol w:w="2587"/>
        <w:gridCol w:w="1551"/>
        <w:gridCol w:w="3221"/>
        <w:gridCol w:w="208"/>
        <w:gridCol w:w="2351"/>
      </w:tblGrid>
      <w:tr w:rsidR="000D52F2" w:rsidRPr="00D05364" w14:paraId="7DF5F94E" w14:textId="77777777" w:rsidTr="00715DDA">
        <w:trPr>
          <w:trHeight w:val="924"/>
        </w:trPr>
        <w:tc>
          <w:tcPr>
            <w:tcW w:w="2643" w:type="dxa"/>
          </w:tcPr>
          <w:p w14:paraId="1CABE1D2" w14:textId="77777777" w:rsidR="000D52F2" w:rsidRPr="00D05364" w:rsidRDefault="000D52F2" w:rsidP="00715DDA">
            <w:pPr>
              <w:spacing w:line="276" w:lineRule="auto"/>
              <w:rPr>
                <w:rFonts w:eastAsia="Arial"/>
              </w:rPr>
            </w:pPr>
            <w:r w:rsidRPr="00D05364">
              <w:rPr>
                <w:rFonts w:eastAsia="Arial"/>
              </w:rPr>
              <w:t>STV agentūros pavadinimas, šalis</w:t>
            </w:r>
          </w:p>
        </w:tc>
        <w:tc>
          <w:tcPr>
            <w:tcW w:w="1611" w:type="dxa"/>
          </w:tcPr>
          <w:p w14:paraId="0902FB33" w14:textId="77777777" w:rsidR="000D52F2" w:rsidRPr="00D05364" w:rsidRDefault="000D52F2" w:rsidP="00715DDA">
            <w:pPr>
              <w:spacing w:line="276" w:lineRule="auto"/>
              <w:rPr>
                <w:rFonts w:eastAsia="Arial"/>
              </w:rPr>
            </w:pPr>
            <w:r w:rsidRPr="00D05364">
              <w:rPr>
                <w:rFonts w:eastAsia="Arial"/>
              </w:rPr>
              <w:t>STV vertinimas atliktas</w:t>
            </w:r>
          </w:p>
        </w:tc>
        <w:tc>
          <w:tcPr>
            <w:tcW w:w="3083" w:type="dxa"/>
          </w:tcPr>
          <w:p w14:paraId="526B990F" w14:textId="77777777" w:rsidR="000D52F2" w:rsidRPr="00D05364" w:rsidRDefault="000D52F2" w:rsidP="00715DDA">
            <w:pPr>
              <w:spacing w:line="276" w:lineRule="auto"/>
              <w:rPr>
                <w:rFonts w:eastAsia="Arial"/>
              </w:rPr>
            </w:pPr>
            <w:r w:rsidRPr="00D05364">
              <w:rPr>
                <w:rFonts w:eastAsia="Arial"/>
              </w:rPr>
              <w:t>Klinikinio vertinimo išvada</w:t>
            </w:r>
          </w:p>
        </w:tc>
        <w:tc>
          <w:tcPr>
            <w:tcW w:w="2581" w:type="dxa"/>
            <w:gridSpan w:val="2"/>
          </w:tcPr>
          <w:p w14:paraId="04DBC3DF" w14:textId="77777777" w:rsidR="000D52F2" w:rsidRPr="00D05364" w:rsidRDefault="000D52F2" w:rsidP="00715DDA">
            <w:pPr>
              <w:spacing w:line="276" w:lineRule="auto"/>
              <w:rPr>
                <w:rFonts w:eastAsia="Arial"/>
              </w:rPr>
            </w:pPr>
            <w:r w:rsidRPr="00D05364">
              <w:rPr>
                <w:rFonts w:eastAsia="Arial"/>
              </w:rPr>
              <w:t>Farmakoekonominio vertinimo išvada</w:t>
            </w:r>
          </w:p>
        </w:tc>
      </w:tr>
      <w:tr w:rsidR="000D52F2" w:rsidRPr="00D05364" w14:paraId="15E499A6" w14:textId="77777777" w:rsidTr="00715DDA">
        <w:trPr>
          <w:trHeight w:val="1765"/>
        </w:trPr>
        <w:tc>
          <w:tcPr>
            <w:tcW w:w="2643" w:type="dxa"/>
          </w:tcPr>
          <w:p w14:paraId="606A277C" w14:textId="77777777" w:rsidR="000D52F2" w:rsidRPr="00521380" w:rsidRDefault="000D52F2" w:rsidP="00715DDA">
            <w:pPr>
              <w:autoSpaceDE w:val="0"/>
              <w:autoSpaceDN w:val="0"/>
              <w:adjustRightInd w:val="0"/>
              <w:rPr>
                <w:bCs/>
              </w:rPr>
            </w:pPr>
            <w:r w:rsidRPr="00521380">
              <w:rPr>
                <w:bCs/>
              </w:rPr>
              <w:t>Nacionalinis sveikatos ir klinikinės kompetencijos institutas, Didžioji Britanija</w:t>
            </w:r>
          </w:p>
          <w:p w14:paraId="6379AD84" w14:textId="77777777" w:rsidR="000D52F2" w:rsidRPr="00521380" w:rsidRDefault="000D52F2" w:rsidP="00715DDA">
            <w:pPr>
              <w:spacing w:line="276" w:lineRule="auto"/>
              <w:rPr>
                <w:rFonts w:eastAsia="Arial"/>
              </w:rPr>
            </w:pPr>
            <w:r w:rsidRPr="00521380">
              <w:rPr>
                <w:rFonts w:eastAsia="Arial"/>
              </w:rPr>
              <w:t xml:space="preserve">(angl. </w:t>
            </w:r>
            <w:r w:rsidRPr="00521380">
              <w:rPr>
                <w:rFonts w:eastAsia="Arial"/>
                <w:i/>
              </w:rPr>
              <w:t>National Institute for Health and Care Excellence, NICE</w:t>
            </w:r>
            <w:r w:rsidRPr="00521380">
              <w:rPr>
                <w:rFonts w:eastAsia="Arial"/>
              </w:rPr>
              <w:t>)</w:t>
            </w:r>
          </w:p>
        </w:tc>
        <w:tc>
          <w:tcPr>
            <w:tcW w:w="1611" w:type="dxa"/>
          </w:tcPr>
          <w:p w14:paraId="4E028941" w14:textId="77777777" w:rsidR="000D52F2" w:rsidRPr="008D1264" w:rsidRDefault="00A05ED6" w:rsidP="00715DDA">
            <w:pPr>
              <w:spacing w:line="276" w:lineRule="auto"/>
            </w:pPr>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0D52F2" w:rsidRPr="008D1264">
                  <w:rPr>
                    <w:rStyle w:val="Style2"/>
                    <w:rFonts w:ascii="MS Gothic" w:eastAsia="MS Gothic" w:hAnsi="MS Gothic"/>
                  </w:rPr>
                  <w:t>☐</w:t>
                </w:r>
              </w:sdtContent>
            </w:sdt>
            <w:r w:rsidR="000D52F2" w:rsidRPr="008D1264">
              <w:t xml:space="preserve"> Taip</w:t>
            </w:r>
          </w:p>
          <w:p w14:paraId="52585675" w14:textId="77777777" w:rsidR="000D52F2" w:rsidRPr="008D1264" w:rsidRDefault="00A05ED6" w:rsidP="00715DDA">
            <w:pPr>
              <w:spacing w:line="276" w:lineRule="auto"/>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0D52F2" w:rsidRPr="008D1264">
                  <w:rPr>
                    <w:rStyle w:val="Style2"/>
                    <w:rFonts w:ascii="MS Gothic" w:eastAsia="MS Gothic" w:hAnsi="MS Gothic"/>
                  </w:rPr>
                  <w:t>☒</w:t>
                </w:r>
              </w:sdtContent>
            </w:sdt>
            <w:r w:rsidR="000D52F2" w:rsidRPr="008D1264">
              <w:t xml:space="preserve"> Ne</w:t>
            </w:r>
          </w:p>
          <w:p w14:paraId="21F9AA29" w14:textId="77777777" w:rsidR="000D52F2" w:rsidRPr="00521380" w:rsidRDefault="00A05ED6" w:rsidP="00715DDA">
            <w:sdt>
              <w:sdtPr>
                <w:alias w:val="Nurodykite konkrečią dieną"/>
                <w:tag w:val="Nurodykite pradžios datą"/>
                <w:id w:val="922837954"/>
                <w:placeholder>
                  <w:docPart w:val="D2C43217805F42C5970E298F7985BE0F"/>
                </w:placeholder>
                <w15:color w:val="FFCC99"/>
                <w:date>
                  <w:dateFormat w:val="yyyy 'm.' MMMM d 'd.'"/>
                  <w:lid w:val="lt-LT"/>
                  <w:storeMappedDataAs w:val="dateTime"/>
                  <w:calendar w:val="gregorian"/>
                </w:date>
              </w:sdtPr>
              <w:sdtEndPr/>
              <w:sdtContent>
                <w:r w:rsidR="000D52F2">
                  <w:t>2019 lapkritis</w:t>
                </w:r>
              </w:sdtContent>
            </w:sdt>
          </w:p>
        </w:tc>
        <w:tc>
          <w:tcPr>
            <w:tcW w:w="5664" w:type="dxa"/>
            <w:gridSpan w:val="3"/>
          </w:tcPr>
          <w:p w14:paraId="0201B0B4" w14:textId="77777777" w:rsidR="000D52F2" w:rsidRPr="00521380" w:rsidRDefault="000D52F2" w:rsidP="00715DDA">
            <w:pPr>
              <w:spacing w:line="276" w:lineRule="auto"/>
              <w:rPr>
                <w:rFonts w:eastAsia="Arial"/>
              </w:rPr>
            </w:pPr>
            <w:r w:rsidRPr="008D1264">
              <w:rPr>
                <w:rFonts w:eastAsia="Arial"/>
              </w:rPr>
              <w:t>Vertinimas neatliktas.</w:t>
            </w:r>
          </w:p>
        </w:tc>
      </w:tr>
      <w:tr w:rsidR="000D52F2" w:rsidRPr="00D05364" w14:paraId="3B4F3EF3" w14:textId="77777777" w:rsidTr="00715DDA">
        <w:trPr>
          <w:trHeight w:val="1125"/>
        </w:trPr>
        <w:tc>
          <w:tcPr>
            <w:tcW w:w="2643" w:type="dxa"/>
          </w:tcPr>
          <w:p w14:paraId="7DE727E1" w14:textId="77777777" w:rsidR="000D52F2" w:rsidRPr="00D05364" w:rsidRDefault="000D52F2" w:rsidP="00715DDA">
            <w:pPr>
              <w:spacing w:line="276" w:lineRule="auto"/>
              <w:rPr>
                <w:rFonts w:eastAsia="Arial"/>
              </w:rPr>
            </w:pPr>
            <w:r w:rsidRPr="00D05364">
              <w:rPr>
                <w:rFonts w:eastAsia="Arial"/>
              </w:rPr>
              <w:t>Kanados sveikatos technologijų agentūra</w:t>
            </w:r>
          </w:p>
          <w:p w14:paraId="27F1EAE3" w14:textId="77777777" w:rsidR="000D52F2" w:rsidRPr="00D05364" w:rsidRDefault="000D52F2" w:rsidP="00715DDA">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611" w:type="dxa"/>
          </w:tcPr>
          <w:p w14:paraId="06CCBB98" w14:textId="77777777" w:rsidR="000D52F2" w:rsidRPr="008D1264" w:rsidRDefault="00A05ED6" w:rsidP="00715DDA">
            <w:pPr>
              <w:spacing w:line="276" w:lineRule="auto"/>
            </w:pPr>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0D52F2" w:rsidRPr="008D1264">
                  <w:rPr>
                    <w:rStyle w:val="Style2"/>
                    <w:rFonts w:ascii="MS Gothic" w:eastAsia="MS Gothic" w:hAnsi="MS Gothic"/>
                  </w:rPr>
                  <w:t>☒</w:t>
                </w:r>
              </w:sdtContent>
            </w:sdt>
            <w:r w:rsidR="000D52F2" w:rsidRPr="008D1264">
              <w:t xml:space="preserve"> Taip</w:t>
            </w:r>
          </w:p>
          <w:p w14:paraId="77456160" w14:textId="77777777" w:rsidR="000D52F2" w:rsidRPr="008D1264" w:rsidRDefault="00A05ED6" w:rsidP="00715DDA">
            <w:pPr>
              <w:spacing w:line="276" w:lineRule="auto"/>
            </w:pPr>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0D52F2" w:rsidRPr="008D1264">
                  <w:rPr>
                    <w:rStyle w:val="Style2"/>
                    <w:rFonts w:ascii="Segoe UI Symbol" w:eastAsia="MS Gothic" w:hAnsi="Segoe UI Symbol" w:cs="Segoe UI Symbol"/>
                  </w:rPr>
                  <w:t>☐</w:t>
                </w:r>
              </w:sdtContent>
            </w:sdt>
            <w:r w:rsidR="000D52F2" w:rsidRPr="008D1264">
              <w:t xml:space="preserve"> Ne</w:t>
            </w:r>
          </w:p>
          <w:p w14:paraId="3BB591B1" w14:textId="77777777" w:rsidR="000D52F2" w:rsidRPr="00D05364" w:rsidRDefault="00A05ED6" w:rsidP="00715DDA">
            <w:pPr>
              <w:spacing w:line="276" w:lineRule="auto"/>
              <w:rPr>
                <w:rFonts w:eastAsia="Arial"/>
              </w:rPr>
            </w:pPr>
            <w:sdt>
              <w:sdtPr>
                <w:alias w:val="Nurodykite konkrečią dieną"/>
                <w:tag w:val="Nurodykite pradžios datą"/>
                <w:id w:val="1072468416"/>
                <w:placeholder>
                  <w:docPart w:val="F71CD6E97EFA4392863C0ABD7E377204"/>
                </w:placeholder>
                <w15:color w:val="FFCC99"/>
                <w:date>
                  <w:dateFormat w:val="yyyy 'm.' MMMM d 'd.'"/>
                  <w:lid w:val="lt-LT"/>
                  <w:storeMappedDataAs w:val="dateTime"/>
                  <w:calendar w:val="gregorian"/>
                </w:date>
              </w:sdtPr>
              <w:sdtEndPr/>
              <w:sdtContent>
                <w:r w:rsidR="000D52F2" w:rsidRPr="008D1264">
                  <w:t>2019 gegužės 16 d.</w:t>
                </w:r>
              </w:sdtContent>
            </w:sdt>
          </w:p>
        </w:tc>
        <w:tc>
          <w:tcPr>
            <w:tcW w:w="5664" w:type="dxa"/>
            <w:gridSpan w:val="3"/>
          </w:tcPr>
          <w:p w14:paraId="3FA309D8" w14:textId="77777777" w:rsidR="000D52F2" w:rsidRPr="008D1264" w:rsidRDefault="000D52F2" w:rsidP="00715DDA">
            <w:pPr>
              <w:spacing w:line="276" w:lineRule="auto"/>
              <w:jc w:val="both"/>
              <w:rPr>
                <w:rFonts w:eastAsia="Arial"/>
              </w:rPr>
            </w:pPr>
            <w:r w:rsidRPr="008D1264">
              <w:rPr>
                <w:rFonts w:eastAsia="Arial"/>
              </w:rPr>
              <w:t xml:space="preserve">Kanados ekspertų komitetas rekomenduoja </w:t>
            </w:r>
            <w:r w:rsidRPr="008D1264">
              <w:t>doravirino/lamivudino/tenofoviro dizoproksilio</w:t>
            </w:r>
            <w:r w:rsidRPr="008D1264">
              <w:rPr>
                <w:rFonts w:eastAsia="Arial"/>
              </w:rPr>
              <w:t xml:space="preserve"> derinį kompensuoti kaip pilną gydymo režimą </w:t>
            </w:r>
            <w:r w:rsidRPr="008D1264">
              <w:t>ŽIV-1 infekuotų suaugusiųjų gydymui, kai nėra jokių ankstesnių ar dabartinių duomenų apie atsparumą NNATI klasės vaistiniams preparatams, lamivudinui ar tenofovirui</w:t>
            </w:r>
            <w:r w:rsidRPr="008D1264">
              <w:rPr>
                <w:rFonts w:eastAsia="Arial"/>
              </w:rPr>
              <w:t>, jei išpildoma ši sąlyga:</w:t>
            </w:r>
          </w:p>
          <w:p w14:paraId="6CBD7570" w14:textId="77777777" w:rsidR="000D52F2" w:rsidRPr="00D05364" w:rsidRDefault="000D52F2" w:rsidP="00715DDA">
            <w:pPr>
              <w:spacing w:line="276" w:lineRule="auto"/>
              <w:rPr>
                <w:rFonts w:eastAsia="Arial"/>
              </w:rPr>
            </w:pPr>
            <w:r w:rsidRPr="008D1264">
              <w:rPr>
                <w:rFonts w:eastAsia="Arial"/>
              </w:rPr>
              <w:t xml:space="preserve">-bendra gydymo </w:t>
            </w:r>
            <w:r w:rsidRPr="008D1264">
              <w:t>doravirino/lamivudino/tenofoviro dizoproksilio</w:t>
            </w:r>
            <w:r w:rsidRPr="008D1264">
              <w:rPr>
                <w:rFonts w:eastAsia="Arial"/>
              </w:rPr>
              <w:t xml:space="preserve"> deriniu kaina neturi viršyti bendros alternatyvaus ŽIV-1 vaistų gydymo plano pigiausiu būdu išlaidų.</w:t>
            </w:r>
          </w:p>
        </w:tc>
      </w:tr>
      <w:tr w:rsidR="000D52F2" w:rsidRPr="00D05364" w14:paraId="53993B41" w14:textId="77777777" w:rsidTr="00715DDA">
        <w:trPr>
          <w:trHeight w:val="1927"/>
        </w:trPr>
        <w:tc>
          <w:tcPr>
            <w:tcW w:w="2643" w:type="dxa"/>
          </w:tcPr>
          <w:p w14:paraId="6A2ED474" w14:textId="77777777" w:rsidR="000D52F2" w:rsidRPr="008D1264" w:rsidRDefault="000D52F2" w:rsidP="00715DDA">
            <w:pPr>
              <w:spacing w:line="276" w:lineRule="auto"/>
              <w:rPr>
                <w:rFonts w:eastAsia="Arial"/>
              </w:rPr>
            </w:pPr>
            <w:r w:rsidRPr="008D1264">
              <w:rPr>
                <w:rFonts w:eastAsia="Arial"/>
              </w:rPr>
              <w:lastRenderedPageBreak/>
              <w:t>Nacionalinis farmakoekonomikos centras, Airija</w:t>
            </w:r>
          </w:p>
          <w:p w14:paraId="219960BA" w14:textId="77777777" w:rsidR="000D52F2" w:rsidRPr="00D05364" w:rsidRDefault="000D52F2" w:rsidP="00715DDA">
            <w:pPr>
              <w:spacing w:line="276" w:lineRule="auto"/>
              <w:rPr>
                <w:rFonts w:eastAsia="Arial"/>
              </w:rPr>
            </w:pPr>
            <w:r w:rsidRPr="008D1264">
              <w:rPr>
                <w:rFonts w:eastAsia="Arial"/>
              </w:rPr>
              <w:t>(angl.</w:t>
            </w:r>
            <w:r w:rsidRPr="008D1264">
              <w:rPr>
                <w:rFonts w:eastAsia="Arial"/>
                <w:i/>
              </w:rPr>
              <w:t xml:space="preserve"> National Centre for Pharmacoeconomics, NCPE</w:t>
            </w:r>
            <w:r w:rsidRPr="008D1264">
              <w:rPr>
                <w:rFonts w:eastAsia="Arial"/>
              </w:rPr>
              <w:t>)</w:t>
            </w:r>
          </w:p>
        </w:tc>
        <w:tc>
          <w:tcPr>
            <w:tcW w:w="1611" w:type="dxa"/>
          </w:tcPr>
          <w:p w14:paraId="14207958" w14:textId="77777777" w:rsidR="000D52F2" w:rsidRPr="008D1264" w:rsidRDefault="00A05ED6" w:rsidP="00715DDA">
            <w:pPr>
              <w:spacing w:line="276" w:lineRule="auto"/>
            </w:pPr>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0D52F2" w:rsidRPr="008D1264">
                  <w:rPr>
                    <w:rStyle w:val="Style2"/>
                    <w:rFonts w:ascii="MS Gothic" w:eastAsia="MS Gothic" w:hAnsi="MS Gothic"/>
                  </w:rPr>
                  <w:t>☒</w:t>
                </w:r>
              </w:sdtContent>
            </w:sdt>
            <w:r w:rsidR="000D52F2" w:rsidRPr="008D1264">
              <w:t xml:space="preserve"> Taip</w:t>
            </w:r>
          </w:p>
          <w:p w14:paraId="3CDBDA2B" w14:textId="77777777" w:rsidR="000D52F2" w:rsidRPr="008D1264" w:rsidRDefault="00A05ED6" w:rsidP="00715DDA">
            <w:pPr>
              <w:spacing w:line="276" w:lineRule="auto"/>
            </w:pPr>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0D52F2" w:rsidRPr="008D1264">
                  <w:rPr>
                    <w:rStyle w:val="Style2"/>
                    <w:rFonts w:ascii="Segoe UI Symbol" w:eastAsia="MS Gothic" w:hAnsi="Segoe UI Symbol" w:cs="Segoe UI Symbol"/>
                  </w:rPr>
                  <w:t>☐</w:t>
                </w:r>
              </w:sdtContent>
            </w:sdt>
            <w:r w:rsidR="000D52F2" w:rsidRPr="008D1264">
              <w:t xml:space="preserve"> Ne</w:t>
            </w:r>
          </w:p>
          <w:p w14:paraId="594D7C1C" w14:textId="77777777" w:rsidR="000D52F2" w:rsidRPr="00D05364" w:rsidRDefault="00A05ED6" w:rsidP="00715DDA">
            <w:pPr>
              <w:spacing w:line="276" w:lineRule="auto"/>
              <w:rPr>
                <w:rFonts w:eastAsia="Arial"/>
              </w:rPr>
            </w:pPr>
            <w:sdt>
              <w:sdtPr>
                <w:alias w:val="Nurodykite konkrečią dieną"/>
                <w:tag w:val="Nurodykite pradžios datą"/>
                <w:id w:val="-198323198"/>
                <w:placeholder>
                  <w:docPart w:val="4D44AE8F30874937B98CDB99E74BE548"/>
                </w:placeholder>
                <w15:color w:val="FFCC99"/>
                <w:date>
                  <w:dateFormat w:val="yyyy 'm.' MMMM d 'd.'"/>
                  <w:lid w:val="lt-LT"/>
                  <w:storeMappedDataAs w:val="dateTime"/>
                  <w:calendar w:val="gregorian"/>
                </w:date>
              </w:sdtPr>
              <w:sdtEndPr/>
              <w:sdtContent>
                <w:r w:rsidR="000D52F2" w:rsidRPr="008D1264">
                  <w:t>2019 sausio 16 d.</w:t>
                </w:r>
              </w:sdtContent>
            </w:sdt>
          </w:p>
        </w:tc>
        <w:tc>
          <w:tcPr>
            <w:tcW w:w="3282" w:type="dxa"/>
            <w:gridSpan w:val="2"/>
          </w:tcPr>
          <w:p w14:paraId="0C9F2BDF" w14:textId="77777777" w:rsidR="000D52F2" w:rsidRPr="008D1264" w:rsidRDefault="000D52F2" w:rsidP="00715DDA">
            <w:pPr>
              <w:spacing w:line="276" w:lineRule="auto"/>
              <w:rPr>
                <w:rFonts w:eastAsia="Arial"/>
              </w:rPr>
            </w:pPr>
            <w:r w:rsidRPr="008D1264">
              <w:rPr>
                <w:rFonts w:eastAsia="Arial"/>
              </w:rPr>
              <w:t>Išvada: visiškas STV nerekomenduojamas.</w:t>
            </w:r>
            <w:r>
              <w:t xml:space="preserve"> </w:t>
            </w:r>
            <w:hyperlink r:id="rId8" w:history="1">
              <w:r w:rsidRPr="008D1264">
                <w:rPr>
                  <w:rStyle w:val="Hyperlink"/>
                  <w:rFonts w:eastAsia="Arial"/>
                </w:rPr>
                <w:t>https://www.ncpe.ie/doravirine-lamivudine-tenofovir-disoproxil-fumarate-delstrigo/</w:t>
              </w:r>
            </w:hyperlink>
          </w:p>
        </w:tc>
        <w:tc>
          <w:tcPr>
            <w:tcW w:w="2382" w:type="dxa"/>
          </w:tcPr>
          <w:p w14:paraId="5162BA7D" w14:textId="77777777" w:rsidR="000D52F2" w:rsidRPr="00D05364" w:rsidRDefault="000D52F2" w:rsidP="00715DDA">
            <w:pPr>
              <w:spacing w:line="276" w:lineRule="auto"/>
              <w:rPr>
                <w:rFonts w:eastAsia="Arial"/>
              </w:rPr>
            </w:pPr>
            <w:r w:rsidRPr="008D1264">
              <w:rPr>
                <w:rFonts w:eastAsia="Arial"/>
              </w:rPr>
              <w:t>NCPE rekomenduoja apsvarstyti Destrigo išlaidų kompensavimą</w:t>
            </w:r>
          </w:p>
        </w:tc>
      </w:tr>
      <w:tr w:rsidR="000D52F2" w:rsidRPr="00D05364" w14:paraId="76E48995" w14:textId="77777777" w:rsidTr="00715DDA">
        <w:trPr>
          <w:trHeight w:val="1927"/>
        </w:trPr>
        <w:tc>
          <w:tcPr>
            <w:tcW w:w="2643" w:type="dxa"/>
          </w:tcPr>
          <w:p w14:paraId="38831165" w14:textId="77777777" w:rsidR="000D52F2" w:rsidRPr="008D1264" w:rsidRDefault="000D52F2" w:rsidP="00715DDA">
            <w:pPr>
              <w:spacing w:line="276" w:lineRule="auto"/>
              <w:rPr>
                <w:rFonts w:eastAsia="Arial"/>
              </w:rPr>
            </w:pPr>
            <w:r w:rsidRPr="008D1264">
              <w:t>Scottish Medicines Consortium</w:t>
            </w:r>
            <w:r w:rsidRPr="008D1264">
              <w:rPr>
                <w:color w:val="000000"/>
              </w:rPr>
              <w:t xml:space="preserve"> (SMC) - Škotija</w:t>
            </w:r>
          </w:p>
        </w:tc>
        <w:tc>
          <w:tcPr>
            <w:tcW w:w="1611" w:type="dxa"/>
          </w:tcPr>
          <w:p w14:paraId="173F0EEF" w14:textId="77777777" w:rsidR="000D52F2" w:rsidRPr="008D1264" w:rsidRDefault="00A05ED6" w:rsidP="00715DDA">
            <w:pPr>
              <w:spacing w:line="276" w:lineRule="auto"/>
            </w:pPr>
            <w:sdt>
              <w:sdtPr>
                <w:rPr>
                  <w:rStyle w:val="Style2"/>
                </w:rPr>
                <w:id w:val="1634437882"/>
                <w15:color w:val="FFCC00"/>
                <w14:checkbox>
                  <w14:checked w14:val="1"/>
                  <w14:checkedState w14:val="2612" w14:font="MS Gothic"/>
                  <w14:uncheckedState w14:val="2610" w14:font="MS Gothic"/>
                </w14:checkbox>
              </w:sdtPr>
              <w:sdtEndPr>
                <w:rPr>
                  <w:rStyle w:val="Style2"/>
                </w:rPr>
              </w:sdtEndPr>
              <w:sdtContent>
                <w:r w:rsidR="000D52F2" w:rsidRPr="008D1264">
                  <w:rPr>
                    <w:rStyle w:val="Style2"/>
                    <w:rFonts w:ascii="MS Gothic" w:eastAsia="MS Gothic" w:hAnsi="MS Gothic"/>
                  </w:rPr>
                  <w:t>☒</w:t>
                </w:r>
              </w:sdtContent>
            </w:sdt>
            <w:r w:rsidR="000D52F2" w:rsidRPr="008D1264">
              <w:t xml:space="preserve"> Taip</w:t>
            </w:r>
          </w:p>
          <w:p w14:paraId="692CA5FD" w14:textId="77777777" w:rsidR="000D52F2" w:rsidRPr="008D1264" w:rsidRDefault="00A05ED6" w:rsidP="00715DDA">
            <w:pPr>
              <w:spacing w:line="276" w:lineRule="auto"/>
            </w:pPr>
            <w:sdt>
              <w:sdtPr>
                <w:rPr>
                  <w:rStyle w:val="Style2"/>
                </w:rPr>
                <w:id w:val="85655384"/>
                <w15:color w:val="FFCC00"/>
                <w14:checkbox>
                  <w14:checked w14:val="0"/>
                  <w14:checkedState w14:val="2612" w14:font="MS Gothic"/>
                  <w14:uncheckedState w14:val="2610" w14:font="MS Gothic"/>
                </w14:checkbox>
              </w:sdtPr>
              <w:sdtEndPr>
                <w:rPr>
                  <w:rStyle w:val="Style2"/>
                </w:rPr>
              </w:sdtEndPr>
              <w:sdtContent>
                <w:r w:rsidR="000D52F2" w:rsidRPr="008D1264">
                  <w:rPr>
                    <w:rStyle w:val="Style2"/>
                    <w:rFonts w:ascii="Segoe UI Symbol" w:eastAsia="MS Gothic" w:hAnsi="Segoe UI Symbol" w:cs="Segoe UI Symbol"/>
                  </w:rPr>
                  <w:t>☐</w:t>
                </w:r>
              </w:sdtContent>
            </w:sdt>
            <w:r w:rsidR="000D52F2" w:rsidRPr="008D1264">
              <w:t xml:space="preserve"> Ne</w:t>
            </w:r>
          </w:p>
          <w:p w14:paraId="70E8B978" w14:textId="77777777" w:rsidR="000D52F2" w:rsidRDefault="00A05ED6" w:rsidP="00715DDA">
            <w:pPr>
              <w:spacing w:line="276" w:lineRule="auto"/>
              <w:rPr>
                <w:rStyle w:val="Style2"/>
              </w:rPr>
            </w:pPr>
            <w:sdt>
              <w:sdtPr>
                <w:rPr>
                  <w:sz w:val="32"/>
                </w:rPr>
                <w:alias w:val="Nurodykite konkrečią dieną"/>
                <w:tag w:val="Nurodykite pradžios datą"/>
                <w:id w:val="1004862963"/>
                <w:placeholder>
                  <w:docPart w:val="3C3392291B42403284A9B1BCD4DF213E"/>
                </w:placeholder>
                <w15:color w:val="FFCC99"/>
                <w:date>
                  <w:dateFormat w:val="yyyy 'm.' MMMM d 'd.'"/>
                  <w:lid w:val="lt-LT"/>
                  <w:storeMappedDataAs w:val="dateTime"/>
                  <w:calendar w:val="gregorian"/>
                </w:date>
              </w:sdtPr>
              <w:sdtEndPr/>
              <w:sdtContent>
                <w:r w:rsidR="000D52F2" w:rsidRPr="008D1264">
                  <w:t>2021 vasario 5 d.</w:t>
                </w:r>
              </w:sdtContent>
            </w:sdt>
          </w:p>
        </w:tc>
        <w:tc>
          <w:tcPr>
            <w:tcW w:w="3282" w:type="dxa"/>
            <w:gridSpan w:val="2"/>
          </w:tcPr>
          <w:p w14:paraId="2B201347" w14:textId="77777777" w:rsidR="000D52F2" w:rsidRPr="008D1264" w:rsidRDefault="000D52F2" w:rsidP="00715DDA">
            <w:pPr>
              <w:spacing w:line="276" w:lineRule="auto"/>
              <w:jc w:val="both"/>
              <w:rPr>
                <w:rFonts w:eastAsia="Arial"/>
              </w:rPr>
            </w:pPr>
            <w:r w:rsidRPr="008D1264">
              <w:rPr>
                <w:rFonts w:eastAsia="Arial"/>
              </w:rPr>
              <w:t xml:space="preserve">Doravirino/lamvudino/tenofoviro dizoproksilio fumaratas (Delstrigo) siūlo papildomą NNATI vienos tabletės režimo pasirikimą šiai indikacijai. </w:t>
            </w:r>
          </w:p>
          <w:p w14:paraId="089046D0" w14:textId="77777777" w:rsidR="000D52F2" w:rsidRPr="008D1264" w:rsidRDefault="000D52F2" w:rsidP="00715DDA">
            <w:pPr>
              <w:spacing w:line="276" w:lineRule="auto"/>
              <w:rPr>
                <w:rFonts w:eastAsia="Arial"/>
              </w:rPr>
            </w:pPr>
          </w:p>
        </w:tc>
        <w:tc>
          <w:tcPr>
            <w:tcW w:w="2382" w:type="dxa"/>
          </w:tcPr>
          <w:p w14:paraId="21F95FFF" w14:textId="77777777" w:rsidR="000D52F2" w:rsidRPr="008D1264" w:rsidRDefault="000D52F2" w:rsidP="00715DDA">
            <w:pPr>
              <w:spacing w:line="276" w:lineRule="auto"/>
              <w:rPr>
                <w:rFonts w:eastAsia="Arial"/>
              </w:rPr>
            </w:pPr>
            <w:r w:rsidRPr="008D1264">
              <w:rPr>
                <w:rFonts w:eastAsia="Arial"/>
              </w:rPr>
              <w:t>Vaisto kompensavimas pritartas tik tuo atveju, kai šio vaisto kaina yra lygiavertė ar mažesnė už esančių kompensavimo sąraše.</w:t>
            </w:r>
          </w:p>
        </w:tc>
      </w:tr>
    </w:tbl>
    <w:p w14:paraId="387F1210" w14:textId="77777777" w:rsidR="000D52F2" w:rsidRDefault="000D52F2" w:rsidP="000D52F2">
      <w:pPr>
        <w:pStyle w:val="ListParagraph"/>
        <w:tabs>
          <w:tab w:val="left" w:pos="426"/>
        </w:tabs>
        <w:ind w:left="0"/>
        <w:rPr>
          <w:b/>
          <w:bCs/>
          <w:caps/>
        </w:rPr>
      </w:pPr>
    </w:p>
    <w:p w14:paraId="7DE4D03E" w14:textId="77777777" w:rsidR="000D52F2" w:rsidRDefault="000D52F2" w:rsidP="000D52F2">
      <w:pPr>
        <w:rPr>
          <w:b/>
          <w:bCs/>
          <w:caps/>
        </w:rPr>
      </w:pPr>
      <w:r>
        <w:rPr>
          <w:b/>
          <w:bCs/>
          <w:caps/>
        </w:rPr>
        <w:br w:type="page"/>
      </w:r>
    </w:p>
    <w:p w14:paraId="4E15D1F5" w14:textId="77777777" w:rsidR="000D52F2" w:rsidRPr="00E33EFF" w:rsidRDefault="000D52F2" w:rsidP="000D52F2">
      <w:pPr>
        <w:pStyle w:val="ListParagraph"/>
        <w:numPr>
          <w:ilvl w:val="0"/>
          <w:numId w:val="12"/>
        </w:numPr>
        <w:tabs>
          <w:tab w:val="left" w:pos="567"/>
        </w:tabs>
        <w:ind w:hanging="720"/>
        <w:rPr>
          <w:b/>
          <w:bCs/>
          <w:caps/>
        </w:rPr>
      </w:pPr>
      <w:r w:rsidRPr="00E33EFF">
        <w:rPr>
          <w:b/>
          <w:bCs/>
          <w:caps/>
        </w:rPr>
        <w:lastRenderedPageBreak/>
        <w:t>Klinikinio vertinimo apibendrinimas</w:t>
      </w:r>
    </w:p>
    <w:p w14:paraId="36249286" w14:textId="77777777" w:rsidR="000D52F2" w:rsidRDefault="000D52F2" w:rsidP="000D52F2">
      <w:pPr>
        <w:pStyle w:val="ListParagraph"/>
        <w:tabs>
          <w:tab w:val="left" w:pos="426"/>
        </w:tabs>
        <w:ind w:left="0"/>
        <w:rPr>
          <w:b/>
          <w:bCs/>
          <w:caps/>
        </w:rPr>
      </w:pPr>
    </w:p>
    <w:p w14:paraId="3415F573" w14:textId="77777777" w:rsidR="000D52F2" w:rsidRDefault="000D52F2" w:rsidP="000D52F2">
      <w:pPr>
        <w:pStyle w:val="Tekstas"/>
        <w:spacing w:line="276" w:lineRule="auto"/>
        <w:ind w:firstLine="720"/>
      </w:pPr>
      <w:r w:rsidRPr="008D1264">
        <w:t>Remiantis Nacionalinio visuomenės sveikatos centro (NVSC) duomenimis 2022 m. Lietuvoje diagnozuoti 25 AIDS atvejai. Analizuojant duomenis pagal lytį, 17 susirgusiųjų AIDS buvo vyrai, 8 – moterys</w:t>
      </w:r>
      <w:r>
        <w:t>.</w:t>
      </w:r>
      <w:r w:rsidRPr="008D1264">
        <w:t xml:space="preserve"> Asmenų, kuriems 2022 m. diagnozuotas AIDS, amžiaus vidurkis siekė 46 metus. 16 asmenų 2022 m. ŽIV infekcija buvo diagnozuotas AIDS stadijoje. Tai sudarė 6,3 proc. nuo visų naujų ŽIV atvejų (252), registruotų 2022 m. 2022 m. antiretrovirusinė terapija iš viso pradėta 265 ŽIV užsikrėtusiems asmenims (2021 m. – 177 asm., 2020 m. – 179 asm., 3-jų metų vidurkis – 207 asm.)</w:t>
      </w:r>
      <w:r>
        <w:t>.</w:t>
      </w:r>
    </w:p>
    <w:p w14:paraId="4975FD4A" w14:textId="77777777" w:rsidR="000D52F2" w:rsidRDefault="000D52F2" w:rsidP="000D52F2">
      <w:pPr>
        <w:widowControl w:val="0"/>
        <w:suppressAutoHyphens/>
        <w:spacing w:line="276" w:lineRule="auto"/>
        <w:ind w:firstLine="567"/>
        <w:jc w:val="both"/>
        <w:rPr>
          <w:b/>
          <w:color w:val="000000"/>
        </w:rPr>
      </w:pPr>
      <w:r>
        <w:rPr>
          <w:color w:val="000000"/>
        </w:rPr>
        <w:t>R</w:t>
      </w:r>
      <w:r w:rsidRPr="008D1264">
        <w:rPr>
          <w:rFonts w:eastAsia="Calibri"/>
        </w:rPr>
        <w:t xml:space="preserve">emiantis Lietuvos </w:t>
      </w:r>
      <w:r>
        <w:rPr>
          <w:rFonts w:eastAsia="Calibri"/>
        </w:rPr>
        <w:t xml:space="preserve">Respublikos </w:t>
      </w:r>
      <w:r w:rsidRPr="008D1264">
        <w:rPr>
          <w:rFonts w:eastAsia="Calibri"/>
        </w:rPr>
        <w:t xml:space="preserve">sveikatos apsaugos ministro </w:t>
      </w:r>
      <w:r>
        <w:rPr>
          <w:rFonts w:eastAsia="Calibri"/>
        </w:rPr>
        <w:t xml:space="preserve">įsakymu ,,Dėl kompensuojamųjų vaistų sąrašų patvirtinimo“ </w:t>
      </w:r>
      <w:r w:rsidRPr="008D1264">
        <w:rPr>
          <w:rFonts w:eastAsia="Calibri"/>
        </w:rPr>
        <w:t>20</w:t>
      </w:r>
      <w:r>
        <w:rPr>
          <w:rFonts w:eastAsia="Calibri"/>
        </w:rPr>
        <w:t>00</w:t>
      </w:r>
      <w:r w:rsidRPr="008D1264">
        <w:rPr>
          <w:rFonts w:eastAsia="Calibri"/>
        </w:rPr>
        <w:t xml:space="preserve"> m. </w:t>
      </w:r>
      <w:r>
        <w:rPr>
          <w:rFonts w:eastAsia="Calibri"/>
        </w:rPr>
        <w:t>sausio 1</w:t>
      </w:r>
      <w:r w:rsidRPr="008D1264">
        <w:rPr>
          <w:rFonts w:eastAsia="Calibri"/>
        </w:rPr>
        <w:t xml:space="preserve">0 d.  </w:t>
      </w:r>
      <w:r>
        <w:rPr>
          <w:rFonts w:eastAsia="Calibri"/>
        </w:rPr>
        <w:t xml:space="preserve">Nr. V-49 indikacijai, </w:t>
      </w:r>
      <w:r w:rsidRPr="008D1264">
        <w:rPr>
          <w:color w:val="000000"/>
        </w:rPr>
        <w:t xml:space="preserve">pagal </w:t>
      </w:r>
      <w:r>
        <w:rPr>
          <w:color w:val="000000"/>
        </w:rPr>
        <w:t xml:space="preserve"> TLK 10 AM koduojamai </w:t>
      </w:r>
      <w:r w:rsidRPr="008D1264">
        <w:rPr>
          <w:color w:val="000000"/>
        </w:rPr>
        <w:t>B20-24</w:t>
      </w:r>
      <w:r>
        <w:rPr>
          <w:color w:val="000000"/>
        </w:rPr>
        <w:t>,</w:t>
      </w:r>
      <w:r w:rsidRPr="008D1264">
        <w:rPr>
          <w:color w:val="000000"/>
        </w:rPr>
        <w:t xml:space="preserve"> </w:t>
      </w:r>
      <w:r>
        <w:rPr>
          <w:color w:val="000000"/>
        </w:rPr>
        <w:t xml:space="preserve">Lietuvoje </w:t>
      </w:r>
      <w:r w:rsidRPr="008D1264">
        <w:rPr>
          <w:color w:val="000000"/>
        </w:rPr>
        <w:t xml:space="preserve">yra kompensuojami </w:t>
      </w:r>
      <w:r>
        <w:rPr>
          <w:color w:val="000000"/>
        </w:rPr>
        <w:t xml:space="preserve">sudėtiniai vaistinių preparatų deriniai (antiretrovirusinės terapijos deriniai) skirti pirmos eilės ir alternatyviam ŽIV infekcijos gydymui. </w:t>
      </w:r>
      <w:r w:rsidRPr="008D1264">
        <w:rPr>
          <w:color w:val="000000"/>
        </w:rPr>
        <w:t>Kompensuojamų vaistų skyrimo tvarka pagal B20-24 indikaciją reglamentuo</w:t>
      </w:r>
      <w:r>
        <w:rPr>
          <w:color w:val="000000"/>
        </w:rPr>
        <w:t>ta</w:t>
      </w:r>
      <w:r w:rsidRPr="008D1264">
        <w:rPr>
          <w:color w:val="000000"/>
        </w:rPr>
        <w:t xml:space="preserve"> Lietuvos Respublikos sveikatos apsaugos ministro įsakymu </w:t>
      </w:r>
      <w:r w:rsidRPr="008D1264">
        <w:t>„Dėl žmogaus imunodeficito viruso ligos diagnostikos ir gydymo, kompensuojamo iš Privalomojo sveikatos draudimo fondo biudžeto lėšų, tvarkos aprašo patvirtinimo“</w:t>
      </w:r>
      <w:r w:rsidRPr="00BD0C53">
        <w:rPr>
          <w:color w:val="000000"/>
        </w:rPr>
        <w:t xml:space="preserve"> </w:t>
      </w:r>
      <w:r w:rsidRPr="00BD0C53">
        <w:t>2010</w:t>
      </w:r>
      <w:r w:rsidRPr="004A04CD">
        <w:t xml:space="preserve"> m. gegužės 3 </w:t>
      </w:r>
      <w:r w:rsidRPr="00BD0C53">
        <w:t>d</w:t>
      </w:r>
      <w:r>
        <w:t>.</w:t>
      </w:r>
      <w:r>
        <w:rPr>
          <w:color w:val="000000"/>
        </w:rPr>
        <w:t xml:space="preserve"> įsakymo </w:t>
      </w:r>
      <w:r w:rsidRPr="008D1264">
        <w:rPr>
          <w:color w:val="000000"/>
        </w:rPr>
        <w:t>Nr. V-384</w:t>
      </w:r>
      <w:r>
        <w:rPr>
          <w:color w:val="000000"/>
        </w:rPr>
        <w:t xml:space="preserve"> (toliau- Aprašas). Paraiškoje  </w:t>
      </w:r>
      <w:r w:rsidRPr="00780D3B">
        <w:rPr>
          <w:color w:val="000000"/>
        </w:rPr>
        <w:t xml:space="preserve">kompensavimui teikiamas vaistinis preparatas </w:t>
      </w:r>
      <w:r>
        <w:rPr>
          <w:color w:val="000000"/>
        </w:rPr>
        <w:t>Delstrigo</w:t>
      </w:r>
      <w:r w:rsidRPr="00780D3B">
        <w:rPr>
          <w:color w:val="000000"/>
        </w:rPr>
        <w:t xml:space="preserve"> šiuo metu yra kompensuojamas ir remiantis</w:t>
      </w:r>
      <w:r>
        <w:rPr>
          <w:b/>
          <w:color w:val="000000"/>
        </w:rPr>
        <w:t xml:space="preserve"> </w:t>
      </w:r>
      <w:r>
        <w:t xml:space="preserve">Aprašu, </w:t>
      </w:r>
      <w:r>
        <w:rPr>
          <w:b/>
          <w:color w:val="000000"/>
        </w:rPr>
        <w:t>skiriamas</w:t>
      </w:r>
      <w:r w:rsidRPr="008D1264">
        <w:rPr>
          <w:b/>
          <w:color w:val="000000"/>
        </w:rPr>
        <w:t xml:space="preserve"> alternatyviajai </w:t>
      </w:r>
      <w:r>
        <w:rPr>
          <w:b/>
          <w:color w:val="000000"/>
        </w:rPr>
        <w:t>antiretrovirusinei terapijai (</w:t>
      </w:r>
      <w:r w:rsidRPr="008D1264">
        <w:rPr>
          <w:b/>
          <w:color w:val="000000"/>
        </w:rPr>
        <w:t>ART</w:t>
      </w:r>
      <w:r>
        <w:rPr>
          <w:b/>
          <w:color w:val="000000"/>
        </w:rPr>
        <w:t>)</w:t>
      </w:r>
      <w:r w:rsidRPr="008D1264">
        <w:rPr>
          <w:b/>
          <w:color w:val="000000"/>
        </w:rPr>
        <w:t>.</w:t>
      </w:r>
      <w:r>
        <w:rPr>
          <w:b/>
          <w:color w:val="000000"/>
        </w:rPr>
        <w:t xml:space="preserve"> </w:t>
      </w:r>
    </w:p>
    <w:p w14:paraId="4E82E8C8" w14:textId="77777777" w:rsidR="000D52F2" w:rsidRDefault="000D52F2" w:rsidP="000D52F2">
      <w:pPr>
        <w:spacing w:line="276" w:lineRule="auto"/>
        <w:ind w:firstLine="720"/>
        <w:jc w:val="both"/>
        <w:rPr>
          <w:color w:val="000000"/>
        </w:rPr>
      </w:pPr>
      <w:r w:rsidRPr="00E471EA">
        <w:rPr>
          <w:color w:val="000000"/>
        </w:rPr>
        <w:t xml:space="preserve">Šioje paraiškoje </w:t>
      </w:r>
      <w:r>
        <w:rPr>
          <w:color w:val="000000"/>
        </w:rPr>
        <w:t>pateikti</w:t>
      </w:r>
      <w:r w:rsidRPr="00E471EA">
        <w:rPr>
          <w:color w:val="000000"/>
        </w:rPr>
        <w:t xml:space="preserve"> tiesioginio ir netiesioginio palyginimo klinikini</w:t>
      </w:r>
      <w:r>
        <w:rPr>
          <w:color w:val="000000"/>
        </w:rPr>
        <w:t>ai</w:t>
      </w:r>
      <w:r w:rsidRPr="00E471EA">
        <w:rPr>
          <w:color w:val="000000"/>
        </w:rPr>
        <w:t xml:space="preserve"> duomen</w:t>
      </w:r>
      <w:r>
        <w:rPr>
          <w:color w:val="000000"/>
        </w:rPr>
        <w:t>y</w:t>
      </w:r>
      <w:r w:rsidRPr="00E471EA">
        <w:rPr>
          <w:color w:val="000000"/>
        </w:rPr>
        <w:t>s, kuriais remiantis siekia</w:t>
      </w:r>
      <w:r>
        <w:rPr>
          <w:color w:val="000000"/>
        </w:rPr>
        <w:t>ma</w:t>
      </w:r>
      <w:r w:rsidRPr="00E471EA">
        <w:rPr>
          <w:color w:val="000000"/>
        </w:rPr>
        <w:t xml:space="preserve"> pagrįsti </w:t>
      </w:r>
      <w:r w:rsidRPr="00BD0C53">
        <w:rPr>
          <w:i/>
        </w:rPr>
        <w:t>Delstrigo</w:t>
      </w:r>
      <w:r w:rsidRPr="00E471EA">
        <w:t xml:space="preserve"> (</w:t>
      </w:r>
      <w:r>
        <w:t>d</w:t>
      </w:r>
      <w:r w:rsidRPr="00E471EA">
        <w:t>oravirinas/lamivudinas/tenofoviro dizoproksilis</w:t>
      </w:r>
      <w:r w:rsidRPr="00E471EA">
        <w:rPr>
          <w:rFonts w:eastAsia="Arial"/>
        </w:rPr>
        <w:t>)</w:t>
      </w:r>
      <w:r w:rsidRPr="00E471EA">
        <w:rPr>
          <w:color w:val="000000"/>
        </w:rPr>
        <w:t xml:space="preserve"> klinikinį veiksmingumą</w:t>
      </w:r>
      <w:r>
        <w:rPr>
          <w:color w:val="000000"/>
        </w:rPr>
        <w:t xml:space="preserve"> ir saugumą</w:t>
      </w:r>
      <w:r w:rsidRPr="00E471EA">
        <w:rPr>
          <w:color w:val="000000"/>
        </w:rPr>
        <w:t xml:space="preserve"> jį skiriant pradiniam pirmaeiliam ŽIV infekcijos gydymui.</w:t>
      </w:r>
    </w:p>
    <w:p w14:paraId="0F2925E3" w14:textId="77777777" w:rsidR="000D52F2" w:rsidRDefault="000D52F2" w:rsidP="000D52F2">
      <w:pPr>
        <w:spacing w:line="276" w:lineRule="auto"/>
        <w:ind w:right="10" w:firstLine="720"/>
        <w:jc w:val="both"/>
        <w:outlineLvl w:val="0"/>
        <w:rPr>
          <w:bCs/>
          <w:color w:val="000000" w:themeColor="text1"/>
          <w:lang w:eastAsia="lt-LT"/>
        </w:rPr>
      </w:pPr>
      <w:r w:rsidRPr="008D1264">
        <w:t>Įvertinus tiesioginio</w:t>
      </w:r>
      <w:r>
        <w:t xml:space="preserve"> ir netiesioginio</w:t>
      </w:r>
      <w:r w:rsidRPr="008D1264">
        <w:t xml:space="preserve"> palyginimo klinikinius duomenis bei </w:t>
      </w:r>
      <w:r w:rsidRPr="008D1264">
        <w:rPr>
          <w:color w:val="000000" w:themeColor="text1"/>
        </w:rPr>
        <w:t xml:space="preserve">remiantis </w:t>
      </w:r>
      <w:r w:rsidRPr="008D1264">
        <w:rPr>
          <w:bCs/>
          <w:color w:val="000000" w:themeColor="text1"/>
          <w:lang w:eastAsia="lt-LT"/>
        </w:rPr>
        <w:t xml:space="preserve">Lietuvos Respublikos sveikatos apsaugos ministro </w:t>
      </w:r>
      <w:r>
        <w:rPr>
          <w:bCs/>
          <w:color w:val="000000" w:themeColor="text1"/>
          <w:lang w:eastAsia="lt-LT"/>
        </w:rPr>
        <w:t xml:space="preserve">įsakymu </w:t>
      </w:r>
      <w:r w:rsidRPr="008D1264">
        <w:rPr>
          <w:bCs/>
          <w:color w:val="000000" w:themeColor="text1"/>
          <w:lang w:eastAsia="lt-LT"/>
        </w:rPr>
        <w:t>„Dė</w:t>
      </w:r>
      <w:r w:rsidRPr="008D1264">
        <w:rPr>
          <w:bCs/>
          <w:color w:val="000000" w:themeColor="text1"/>
        </w:rPr>
        <w:t xml:space="preserve">l vaistinių preparatų ir medicinos pagalbos priemonių įrašymo į kompensavimo sąrašus ir jų keitimo tvarkos aprašo patvirtinimo“ </w:t>
      </w:r>
      <w:r w:rsidRPr="008D1264">
        <w:rPr>
          <w:bCs/>
          <w:color w:val="000000" w:themeColor="text1"/>
          <w:lang w:eastAsia="lt-LT"/>
        </w:rPr>
        <w:t>2002 m. balandžio 5 d. įsakymo Nr. V-159</w:t>
      </w:r>
      <w:r>
        <w:rPr>
          <w:bCs/>
          <w:color w:val="000000" w:themeColor="text1"/>
          <w:lang w:eastAsia="lt-LT"/>
        </w:rPr>
        <w:t xml:space="preserve"> </w:t>
      </w:r>
      <w:r w:rsidRPr="00BD0C53">
        <w:rPr>
          <w:bCs/>
          <w:color w:val="000000"/>
        </w:rPr>
        <w:t xml:space="preserve">paraiškos įrašyti vaistinį preparatą į kompensavimo sąrašus </w:t>
      </w:r>
      <w:r w:rsidRPr="008D1264">
        <w:rPr>
          <w:bCs/>
          <w:color w:val="000000" w:themeColor="text1"/>
        </w:rPr>
        <w:t xml:space="preserve">rengimo taisyklių </w:t>
      </w:r>
      <w:r>
        <w:rPr>
          <w:bCs/>
          <w:color w:val="000000" w:themeColor="text1"/>
          <w:lang w:eastAsia="lt-LT"/>
        </w:rPr>
        <w:t>116 - 119 punktais, tinkamu palyginamuoju gydymu laikytini vaistinių preparatų deriniai skirti pirmos eilės ŽIV infekcijos gydymui:</w:t>
      </w:r>
    </w:p>
    <w:p w14:paraId="389F3827" w14:textId="77777777" w:rsidR="000D52F2" w:rsidRDefault="000D52F2" w:rsidP="000D52F2">
      <w:pPr>
        <w:spacing w:line="276" w:lineRule="auto"/>
        <w:ind w:right="10" w:firstLine="720"/>
        <w:jc w:val="both"/>
        <w:outlineLvl w:val="0"/>
      </w:pPr>
      <w:r w:rsidRPr="0009400D">
        <w:rPr>
          <w:lang w:val="en-US"/>
        </w:rPr>
        <w:t xml:space="preserve">1) </w:t>
      </w:r>
      <w:r w:rsidRPr="0009400D">
        <w:t xml:space="preserve">abakaviro, lamivudino, dolutegraviro derinys; </w:t>
      </w:r>
    </w:p>
    <w:p w14:paraId="4F39FCF8" w14:textId="77777777" w:rsidR="000D52F2" w:rsidRDefault="000D52F2" w:rsidP="000D52F2">
      <w:pPr>
        <w:spacing w:line="276" w:lineRule="auto"/>
        <w:ind w:right="10" w:firstLine="720"/>
        <w:jc w:val="both"/>
        <w:outlineLvl w:val="0"/>
      </w:pPr>
      <w:r w:rsidRPr="0009400D">
        <w:t>2) abakaviro, lamivud</w:t>
      </w:r>
      <w:r>
        <w:t>in</w:t>
      </w:r>
      <w:r w:rsidRPr="0009400D">
        <w:t xml:space="preserve">o, raltegraviro derinys; </w:t>
      </w:r>
    </w:p>
    <w:p w14:paraId="7EAA96E6" w14:textId="77777777" w:rsidR="000D52F2" w:rsidRDefault="000D52F2" w:rsidP="000D52F2">
      <w:pPr>
        <w:spacing w:line="276" w:lineRule="auto"/>
        <w:ind w:right="10" w:firstLine="720"/>
        <w:jc w:val="both"/>
        <w:outlineLvl w:val="0"/>
      </w:pPr>
      <w:r w:rsidRPr="0009400D">
        <w:t xml:space="preserve">3) tenofoviro dizoproksilio, emtricitabino, dolutegraviro derinys ir </w:t>
      </w:r>
    </w:p>
    <w:p w14:paraId="716BE977" w14:textId="77777777" w:rsidR="000D52F2" w:rsidRDefault="000D52F2" w:rsidP="000D52F2">
      <w:pPr>
        <w:spacing w:line="276" w:lineRule="auto"/>
        <w:ind w:right="10" w:firstLine="720"/>
        <w:jc w:val="both"/>
        <w:outlineLvl w:val="0"/>
        <w:rPr>
          <w:bCs/>
          <w:color w:val="000000" w:themeColor="text1"/>
          <w:lang w:eastAsia="lt-LT"/>
        </w:rPr>
      </w:pPr>
      <w:r w:rsidRPr="0009400D">
        <w:t>4) tenofoviro dizoproksilio, emtricitabino, raltegraviro derinys</w:t>
      </w:r>
      <w:r>
        <w:t>.</w:t>
      </w:r>
    </w:p>
    <w:p w14:paraId="53E87A6F" w14:textId="77777777" w:rsidR="000D52F2" w:rsidRDefault="000D52F2" w:rsidP="000D52F2">
      <w:pPr>
        <w:tabs>
          <w:tab w:val="left" w:pos="426"/>
        </w:tabs>
        <w:spacing w:line="276" w:lineRule="auto"/>
        <w:jc w:val="both"/>
      </w:pPr>
      <w:r>
        <w:tab/>
      </w:r>
      <w:r w:rsidRPr="004A04CD">
        <w:t xml:space="preserve"> </w:t>
      </w:r>
    </w:p>
    <w:p w14:paraId="18ADC613" w14:textId="77777777" w:rsidR="000D52F2" w:rsidRPr="004A04CD" w:rsidRDefault="000D52F2" w:rsidP="000D52F2">
      <w:pPr>
        <w:tabs>
          <w:tab w:val="left" w:pos="426"/>
        </w:tabs>
        <w:spacing w:line="276" w:lineRule="auto"/>
        <w:jc w:val="both"/>
      </w:pPr>
      <w:r>
        <w:tab/>
        <w:t xml:space="preserve">Paraiškoje </w:t>
      </w:r>
      <w:r w:rsidRPr="004A04CD">
        <w:t xml:space="preserve">palyginamasis efektyvumas ir klinikinis veiksmingumas grindžiamas netiesioginio palyginimo meta-analize. Tiesioginio palyginamojo tyrimo palyginamasis gydymas - efavirenzas+emtricitabinas+tenofoviras </w:t>
      </w:r>
      <w:r w:rsidRPr="00BD0C53">
        <w:rPr>
          <w:i/>
        </w:rPr>
        <w:t>neatitinka</w:t>
      </w:r>
      <w:r w:rsidRPr="004A04CD">
        <w:rPr>
          <w:color w:val="FF0000"/>
        </w:rPr>
        <w:t xml:space="preserve"> </w:t>
      </w:r>
      <w:r w:rsidRPr="004A04CD">
        <w:t xml:space="preserve">įprastinės klinikinės praktikos Lietuvoje skiriant pirmos eilės ŽIV infekcijos gydymui. Šio tyrimo rezultatai bus vertinami kaip papildoma informacija. </w:t>
      </w:r>
    </w:p>
    <w:p w14:paraId="5D9480E5" w14:textId="77777777" w:rsidR="000D52F2" w:rsidRPr="009B0541" w:rsidRDefault="000D52F2" w:rsidP="000D52F2">
      <w:pPr>
        <w:spacing w:line="276" w:lineRule="auto"/>
        <w:jc w:val="both"/>
      </w:pPr>
    </w:p>
    <w:p w14:paraId="2521C1A9" w14:textId="77777777" w:rsidR="000D52F2" w:rsidRDefault="000D52F2" w:rsidP="000D52F2">
      <w:pPr>
        <w:tabs>
          <w:tab w:val="left" w:pos="426"/>
        </w:tabs>
        <w:spacing w:line="276" w:lineRule="auto"/>
        <w:jc w:val="both"/>
        <w:rPr>
          <w:i/>
        </w:rPr>
      </w:pPr>
      <w:r>
        <w:rPr>
          <w:i/>
        </w:rPr>
        <w:tab/>
        <w:t>Tiesioginis palyginimas</w:t>
      </w:r>
      <w:r w:rsidRPr="007D0D14">
        <w:rPr>
          <w:i/>
        </w:rPr>
        <w:t xml:space="preserve">          </w:t>
      </w:r>
    </w:p>
    <w:p w14:paraId="1B0F3C86" w14:textId="77777777" w:rsidR="000D52F2" w:rsidRPr="000F4785" w:rsidRDefault="000D52F2" w:rsidP="000D52F2">
      <w:pPr>
        <w:tabs>
          <w:tab w:val="left" w:pos="426"/>
        </w:tabs>
        <w:spacing w:line="276" w:lineRule="auto"/>
        <w:jc w:val="both"/>
        <w:rPr>
          <w:b/>
          <w:color w:val="000000"/>
        </w:rPr>
      </w:pPr>
      <w:r>
        <w:tab/>
      </w:r>
      <w:r>
        <w:tab/>
      </w:r>
      <w:r w:rsidRPr="000F4785">
        <w:t>Palyginamasis klinikinis veiksmingumas grindžiamas tiesioginio palyginimo 3 fazės tyrimu DRIVE-AHEAD, kuriame vaistinis preparatas Delstrigo (doravirinas/lamivudinas/tenofoviro dizoproksilis</w:t>
      </w:r>
      <w:r w:rsidRPr="000F4785">
        <w:rPr>
          <w:rFonts w:eastAsia="Arial"/>
        </w:rPr>
        <w:t>)</w:t>
      </w:r>
      <w:r w:rsidRPr="000F4785">
        <w:t xml:space="preserve"> lygintas su sudėtiniu vaistiniu preparatu (efavirenzas+emtricitabinas+tenofoviras).</w:t>
      </w:r>
      <w:r>
        <w:rPr>
          <w:b/>
          <w:color w:val="000000"/>
        </w:rPr>
        <w:t xml:space="preserve"> </w:t>
      </w:r>
      <w:r>
        <w:t xml:space="preserve"> </w:t>
      </w:r>
    </w:p>
    <w:p w14:paraId="3291A923" w14:textId="77777777" w:rsidR="000D52F2" w:rsidRDefault="000D52F2" w:rsidP="000D52F2">
      <w:pPr>
        <w:tabs>
          <w:tab w:val="left" w:pos="426"/>
        </w:tabs>
        <w:spacing w:line="276" w:lineRule="auto"/>
        <w:jc w:val="both"/>
      </w:pPr>
      <w:r w:rsidRPr="000F4785">
        <w:t xml:space="preserve">         Apibendrinant, 96 savaičių trukmės DRIVE-AHEAD III fazės, dvigubai koduoto klinikinio tyrimo, kuriame dalyvavo anksčiau negydyti suaugusieji sergantys ŽIV-1, rezultatai patvirtina neprastesnį DOR/3TC/TDF (doravirinas/lamivudinas/tenofoviro dizoproksilis) veiksmingumą lyginant su EFV/FTC/TDF (efavirenzas+emtricitabinas+tenofoviras), nustatyta 48 tyrimo savaitę. 96 </w:t>
      </w:r>
      <w:r w:rsidRPr="000F4785">
        <w:lastRenderedPageBreak/>
        <w:t>tyrimo savaitę 77,5 proc. dalyvių DOR/3TC/TDF grupėje ir 73,6 proc. EFV/FTC/TDF grupėje pasiekė ŽIV-1 RNR &lt;50 kopijų/ml lygį, kuris yra šiek tiek mažesnis nei 48 tyrimo savaitės rezultatus abiejose grupėse (84,3 proc. DOR/3TC/TDF ir 80,8 proc. EFV/FTC/TDF). Duomenų trūkumas/ pacientų iškritimas iš tyrimo dalyvavimo yra viena iš galimų priežasčių lėmusių sumažėjusį veiksmingumą 96 tyrimo savaitę. Nustatytas nuoseklus vaistinių preparatų schemos su doravirinu veiksmingumas, vertinant pagal visus demografinius ir pradinius prognostinius veiksnius.</w:t>
      </w:r>
    </w:p>
    <w:p w14:paraId="19126FFF" w14:textId="77777777" w:rsidR="000D52F2" w:rsidRPr="00DC53D8" w:rsidRDefault="000D52F2" w:rsidP="000D52F2">
      <w:pPr>
        <w:spacing w:line="276" w:lineRule="auto"/>
        <w:ind w:firstLine="720"/>
        <w:jc w:val="both"/>
      </w:pPr>
      <w:r w:rsidRPr="00DC53D8">
        <w:rPr>
          <w:szCs w:val="22"/>
        </w:rPr>
        <w:t xml:space="preserve">DRIVE-AHEAD klinikiniame tyrime pasirinktas palyginamasis gydymas efavirenzu/emtricitabinu/tenofoviru šiuo metu Lietuvoje kompensuojamas kaip alternatyvus, o ne pirmaeilis ŽIV-1 infekcijos gydymas. </w:t>
      </w:r>
      <w:r w:rsidRPr="00DC53D8">
        <w:t>Doravirino/lamivudino/tenofoviro</w:t>
      </w:r>
      <w:r w:rsidRPr="00DC53D8">
        <w:rPr>
          <w:color w:val="000000"/>
        </w:rPr>
        <w:t xml:space="preserve"> klinikinis veiksmingumas ir efektyvumas nustatytas kaip nesiskiriantis nuo šiuo metu kompensuojamo </w:t>
      </w:r>
      <w:r w:rsidRPr="00DC53D8">
        <w:rPr>
          <w:color w:val="000000"/>
          <w:u w:val="single"/>
        </w:rPr>
        <w:t>alternatyvaus</w:t>
      </w:r>
      <w:r w:rsidRPr="00DC53D8">
        <w:rPr>
          <w:color w:val="000000"/>
        </w:rPr>
        <w:t xml:space="preserve"> ŽIV-1 infekcijos gydymo. </w:t>
      </w:r>
    </w:p>
    <w:p w14:paraId="735F39AA" w14:textId="77777777" w:rsidR="000D52F2" w:rsidRPr="000F4785" w:rsidRDefault="000D52F2" w:rsidP="000D52F2">
      <w:pPr>
        <w:spacing w:line="276" w:lineRule="auto"/>
        <w:ind w:firstLine="720"/>
        <w:jc w:val="both"/>
      </w:pPr>
      <w:r>
        <w:t xml:space="preserve">Saugumo rezultatai. </w:t>
      </w:r>
      <w:r w:rsidRPr="00DC53D8">
        <w:t>96-ąją tyrimo savaitę lyginant su EFV/FTC/TDF grupe, Delstrigo gydytiems pacientams stebėta reikšmingai mažiau neuropsichiatrinių sutrikimų ir minimalūs mažo ir ne didelio tankio lipoproteinų cholesterolio koncentracijos pokyčiai bei mažesnė pacientų dalis nutraukė dalyvavimą tyrime iki 96-osios savaitės dėl pasireiškusių nepageidaujamų reiškinių.</w:t>
      </w:r>
    </w:p>
    <w:p w14:paraId="27341928" w14:textId="77777777" w:rsidR="000D52F2" w:rsidRDefault="000D52F2" w:rsidP="000D52F2">
      <w:pPr>
        <w:tabs>
          <w:tab w:val="left" w:pos="426"/>
        </w:tabs>
        <w:spacing w:line="276" w:lineRule="auto"/>
        <w:jc w:val="both"/>
      </w:pPr>
    </w:p>
    <w:p w14:paraId="14B5EAAD" w14:textId="77777777" w:rsidR="000D52F2" w:rsidRPr="00A310D0" w:rsidRDefault="000D52F2" w:rsidP="000D52F2">
      <w:pPr>
        <w:tabs>
          <w:tab w:val="left" w:pos="426"/>
        </w:tabs>
        <w:spacing w:line="276" w:lineRule="auto"/>
        <w:jc w:val="both"/>
        <w:rPr>
          <w:i/>
        </w:rPr>
      </w:pPr>
      <w:r w:rsidRPr="00A310D0">
        <w:rPr>
          <w:i/>
        </w:rPr>
        <w:tab/>
      </w:r>
      <w:r>
        <w:rPr>
          <w:i/>
        </w:rPr>
        <w:tab/>
      </w:r>
      <w:r w:rsidRPr="00A310D0">
        <w:rPr>
          <w:i/>
        </w:rPr>
        <w:t>N</w:t>
      </w:r>
      <w:r>
        <w:rPr>
          <w:i/>
        </w:rPr>
        <w:t>etiesioginis palyginimas</w:t>
      </w:r>
    </w:p>
    <w:p w14:paraId="21F8ABD7" w14:textId="77777777" w:rsidR="000D52F2" w:rsidRPr="00A310D0" w:rsidRDefault="000D52F2" w:rsidP="000D52F2">
      <w:pPr>
        <w:spacing w:line="276" w:lineRule="auto"/>
        <w:ind w:firstLine="720"/>
        <w:jc w:val="both"/>
        <w:rPr>
          <w:rFonts w:eastAsia="Arial"/>
        </w:rPr>
      </w:pPr>
      <w:r w:rsidRPr="00A310D0">
        <w:rPr>
          <w:rFonts w:eastAsia="Arial"/>
        </w:rPr>
        <w:t>Tinklinė meta-analizė rėmėsi sistemine literatūros apžvalga, į kurią buvo įtraukti randomizuoti tyrimai atrinkti pagal įtraukimo kriterijus</w:t>
      </w:r>
      <w:r w:rsidRPr="00A310D0">
        <w:t xml:space="preserve">. Įtraukimo kriterijai: </w:t>
      </w:r>
      <w:r w:rsidRPr="00BD0C53">
        <w:t xml:space="preserve">1) </w:t>
      </w:r>
      <w:r w:rsidRPr="00A310D0">
        <w:rPr>
          <w:rFonts w:eastAsia="Arial"/>
        </w:rPr>
        <w:t>anksčiau negydyti ŽIV-1 infekuoti suaugusieji (III ar IV stadijos klinikiniai tyrimai);</w:t>
      </w:r>
      <w:r w:rsidRPr="00A310D0">
        <w:t xml:space="preserve"> 2) </w:t>
      </w:r>
      <w:r w:rsidRPr="00A310D0">
        <w:rPr>
          <w:rFonts w:eastAsia="Arial"/>
        </w:rPr>
        <w:t xml:space="preserve">skirtas medikamentinis gydymas </w:t>
      </w:r>
      <w:r w:rsidRPr="00A310D0">
        <w:t xml:space="preserve">doravirino/lamivudino/tenofoviro arba doravirino/emtricitabino/tenofoviro arba kiti ART deriniai, kuriuose buvo 2 NATI (angl. backbones)+pagrindinis vaistas (angl. core agent). Pagrinde buvo analizuojami kaip ,,backbones‘‘ tenofoviro+lamivudino/ emtricitabino; tenofoviro alafenamido+emtricitabino, abakaviro+lamivudino ar azidotimidino+lamivudino deriniai. Analizėje įtraukti pagrindiniai vaistai – raltegraviras, elvitegraviras, dolutegraviras, bictegraviras, rilpivirinas, nevirapinas, atazanaviras, lopinaviras, efavirenzas ir darunaviras; 3) </w:t>
      </w:r>
      <w:r w:rsidRPr="00A310D0">
        <w:rPr>
          <w:rFonts w:eastAsia="Arial"/>
        </w:rPr>
        <w:t xml:space="preserve">visi įtraukti vaistai buvo skiriami standartinėmis dozėmis, tačiau buvo įtrauktas ir mažų dozių efavirenzas (400mg); 4) pateiktas bent vienas iš šių rezultatų: 48 sav. virusologinis slopinimas (ŽIV-1 RNR &lt;50 kopijų/ml); nepageidaujami reiškiniai – sunkūs, su vaistais susiję; pogrupių analizė (virusologinis slopinimas žmonėms, kurių pradinis viruso kiekis &gt; 100 000 kopijų/ml). </w:t>
      </w:r>
      <w:r w:rsidRPr="00A310D0">
        <w:t>Po atrankos, atrinkti 39 randomizuoti klinikiniai tyrimai, kurie atitiko įtraukimo kriterijus. Įtrauktų klinikinių tyrimų dalyvių skaičius svyravo nuo 46 iki 1809 ir daugumoje tyrimų daugiausia dalyvavo vyrai. Pradinės charakteristikos (pvz. vidutinis amžius, CD4 ir virusų kiekis) skirtingų gydymo grupių dalyvių buvo panašus.</w:t>
      </w:r>
    </w:p>
    <w:p w14:paraId="5BE52B66" w14:textId="77777777" w:rsidR="000D52F2" w:rsidRDefault="000D52F2" w:rsidP="000D52F2">
      <w:pPr>
        <w:spacing w:line="276" w:lineRule="auto"/>
        <w:ind w:firstLine="720"/>
        <w:jc w:val="both"/>
      </w:pPr>
      <w:r w:rsidRPr="00A310D0">
        <w:t xml:space="preserve">Netiesioginio palyginamojo metu nustatyti įtrauktų klinikinių tyrimų rezultatai parodė, jog doravirino+tenofoviro+lamivudino/emtricitabino sudėtinis vaistas </w:t>
      </w:r>
      <w:r w:rsidRPr="00A310D0">
        <w:rPr>
          <w:b/>
        </w:rPr>
        <w:t>neturėjo statistiškai reikšmingumo skirtumo lyginant su kitais pirmaeiliam ŽIV gydymui skiriamais ART preparatų deriniais</w:t>
      </w:r>
      <w:r w:rsidRPr="00A310D0">
        <w:t xml:space="preserve"> (išskirti deriniai taikomi Lietuvos įprastinėje praktikoje: </w:t>
      </w:r>
      <w:r w:rsidRPr="0088508D">
        <w:t xml:space="preserve">1) </w:t>
      </w:r>
      <w:r w:rsidRPr="00A310D0">
        <w:t>abakaviro, lamivudino, dolutegraviro derinys; 2) abakaviro, lamivudino, raltegraviro derinys; 3) tenofoviro dizoproksilio, emtricitabino, dolutegraviro derinys ir 4) tenofoviro dizoproksilio, emtricitabino, raltegraviro derinys) suaugusiems pacientams, anksčiau negydytiems ATR.</w:t>
      </w:r>
    </w:p>
    <w:p w14:paraId="01BECF29" w14:textId="77777777" w:rsidR="000D52F2" w:rsidRDefault="000D52F2" w:rsidP="000D52F2">
      <w:pPr>
        <w:spacing w:line="276" w:lineRule="auto"/>
        <w:ind w:firstLine="720"/>
        <w:jc w:val="both"/>
      </w:pPr>
      <w:r>
        <w:rPr>
          <w:rFonts w:eastAsia="Arial"/>
        </w:rPr>
        <w:t xml:space="preserve">Saugumo rezultatai. </w:t>
      </w:r>
      <w:r w:rsidRPr="008D1264">
        <w:rPr>
          <w:rFonts w:eastAsia="Arial"/>
        </w:rPr>
        <w:t xml:space="preserve">Iš viso dėl 19 gydymo režimų buvo pateikti duomenys apie nepageidaujamus reiškinius (NR). NR dažnis vartojant </w:t>
      </w:r>
      <w:r w:rsidRPr="008D1264">
        <w:t>doravirino+tenofoviro+lamivudino/emtricitabino buvo mažesnis nei vartojant efavirenzą+tenofovirą+lamivudiną/emtricitabiną ir buvo statistiškai reikšmingas (RS=2,05, 95</w:t>
      </w:r>
      <w:r>
        <w:t xml:space="preserve"> </w:t>
      </w:r>
      <w:r w:rsidRPr="008D1264">
        <w:t xml:space="preserve">proc. PI 1,05-4,0). Lyginant doravirino+tenofoviro+lamivudino/emtricitabino derinį ir ART vaistinius </w:t>
      </w:r>
      <w:r w:rsidRPr="008D1264">
        <w:lastRenderedPageBreak/>
        <w:t>preparatus, išskyrus efavirenzą+tenofovirą+lamivudiną/emtricitabiną neparodė jokių statistinių skirtumų</w:t>
      </w:r>
      <w:r>
        <w:t>.</w:t>
      </w:r>
    </w:p>
    <w:p w14:paraId="101E08FA" w14:textId="13D12C5C" w:rsidR="000D52F2" w:rsidRDefault="000D52F2" w:rsidP="000D52F2">
      <w:pPr>
        <w:spacing w:line="276" w:lineRule="auto"/>
        <w:ind w:firstLine="720"/>
        <w:jc w:val="both"/>
      </w:pPr>
      <w:r w:rsidRPr="004A04CD">
        <w:t xml:space="preserve">Apibendrinant, </w:t>
      </w:r>
      <w:r>
        <w:t xml:space="preserve">remiantis netiesioginio palyginimo metaanlizės duomenimis, </w:t>
      </w:r>
      <w:r w:rsidRPr="004A04CD">
        <w:t xml:space="preserve">doravirino/lamivudino/tenofoviro dizoproksilio derinio klinikinis veiksmingumas, </w:t>
      </w:r>
      <w:r w:rsidRPr="00E33EFF">
        <w:t>įvertintas kaip pagrindžiantis nesiskiriančios naudos pacientų sveikatai sukūrimą, lyginant su įprasta klinikine praktika</w:t>
      </w:r>
      <w:r>
        <w:t>.</w:t>
      </w:r>
    </w:p>
    <w:p w14:paraId="5A9F7D3E" w14:textId="77777777" w:rsidR="000D52F2" w:rsidRDefault="000D52F2" w:rsidP="000D52F2">
      <w:pPr>
        <w:spacing w:line="276" w:lineRule="auto"/>
        <w:ind w:firstLine="720"/>
        <w:jc w:val="both"/>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1371F7BC" w:rsidR="00C62B36" w:rsidRDefault="00C62B36" w:rsidP="00A93AA6">
      <w:pPr>
        <w:tabs>
          <w:tab w:val="left" w:pos="426"/>
        </w:tabs>
        <w:rPr>
          <w:i/>
          <w:color w:val="00B050"/>
          <w:sz w:val="22"/>
          <w:szCs w:val="22"/>
        </w:rPr>
      </w:pPr>
    </w:p>
    <w:p w14:paraId="38228B71" w14:textId="77777777" w:rsidR="00885BA4" w:rsidRPr="00961993" w:rsidRDefault="00885BA4" w:rsidP="00885BA4">
      <w:pPr>
        <w:tabs>
          <w:tab w:val="left" w:pos="567"/>
        </w:tabs>
        <w:jc w:val="both"/>
        <w:rPr>
          <w:iCs/>
          <w:highlight w:val="red"/>
          <w:lang w:eastAsia="lt-LT"/>
        </w:rPr>
      </w:pPr>
      <w:bookmarkStart w:id="0" w:name="OLE_LINK1"/>
      <w:r w:rsidRPr="00961993">
        <w:rPr>
          <w:iCs/>
          <w:lang w:eastAsia="lt-LT"/>
        </w:rPr>
        <w:t>Vertinimui pateikta kaštų mažinimo analizė, lyginant Delstrigo kaštus su alternatyvių gydymo būdų kaštais. Dėl analizės struktūros paprastumo, pilnas STV yra nerekomenduojamas, o sprendimą dėl vaisto kompensavimo galima priimti remiantis VLK atliekamu įtakos PSDF biudžetui skaičiavimu.</w:t>
      </w:r>
    </w:p>
    <w:p w14:paraId="204C469E" w14:textId="77777777" w:rsidR="00885BA4" w:rsidRPr="00961993" w:rsidRDefault="00885BA4" w:rsidP="00885BA4">
      <w:pPr>
        <w:tabs>
          <w:tab w:val="left" w:pos="567"/>
        </w:tabs>
        <w:jc w:val="both"/>
        <w:rPr>
          <w:iCs/>
          <w:highlight w:val="red"/>
          <w:lang w:eastAsia="lt-LT"/>
        </w:rPr>
      </w:pPr>
    </w:p>
    <w:p w14:paraId="293DE9B3" w14:textId="77777777" w:rsidR="00885BA4" w:rsidRPr="00961993" w:rsidRDefault="00885BA4" w:rsidP="00885BA4">
      <w:pPr>
        <w:tabs>
          <w:tab w:val="left" w:pos="567"/>
        </w:tabs>
        <w:jc w:val="both"/>
        <w:rPr>
          <w:iCs/>
          <w:lang w:eastAsia="lt-LT"/>
        </w:rPr>
      </w:pPr>
      <w:r w:rsidRPr="00961993">
        <w:rPr>
          <w:iCs/>
          <w:lang w:eastAsia="lt-LT"/>
        </w:rPr>
        <w:t>Pateiktas Tarnybos atliktas analizės rezultato perskaičiavimas.</w:t>
      </w:r>
    </w:p>
    <w:p w14:paraId="473B4AC0" w14:textId="77777777" w:rsidR="00885BA4" w:rsidRPr="00961993" w:rsidRDefault="00885BA4" w:rsidP="00885BA4">
      <w:pPr>
        <w:tabs>
          <w:tab w:val="left" w:pos="567"/>
        </w:tabs>
        <w:jc w:val="both"/>
        <w:rPr>
          <w:iCs/>
          <w:lang w:eastAsia="lt-LT"/>
        </w:rPr>
      </w:pPr>
    </w:p>
    <w:p w14:paraId="48AF6F9B" w14:textId="77777777" w:rsidR="00885BA4" w:rsidRPr="00961993" w:rsidRDefault="00885BA4" w:rsidP="00885BA4">
      <w:pPr>
        <w:tabs>
          <w:tab w:val="left" w:pos="567"/>
        </w:tabs>
        <w:jc w:val="both"/>
        <w:rPr>
          <w:iCs/>
          <w:lang w:eastAsia="lt-LT"/>
        </w:rPr>
      </w:pPr>
      <w:r w:rsidRPr="00961993">
        <w:rPr>
          <w:iCs/>
          <w:lang w:eastAsia="lt-LT"/>
        </w:rPr>
        <w:t>Perskaičiuojant analizės rezultatą buvo koreguojamos šios prielaidos:</w:t>
      </w:r>
    </w:p>
    <w:p w14:paraId="0D596E92" w14:textId="77777777" w:rsidR="00885BA4" w:rsidRPr="00961993" w:rsidRDefault="00885BA4" w:rsidP="00885BA4">
      <w:pPr>
        <w:tabs>
          <w:tab w:val="left" w:pos="567"/>
        </w:tabs>
        <w:ind w:left="360"/>
        <w:jc w:val="both"/>
        <w:rPr>
          <w:iCs/>
          <w:lang w:eastAsia="lt-LT"/>
        </w:rPr>
      </w:pPr>
      <w:r w:rsidRPr="00961993">
        <w:rPr>
          <w:iCs/>
          <w:lang w:eastAsia="lt-LT"/>
        </w:rPr>
        <w:t>-</w:t>
      </w:r>
      <w:r w:rsidRPr="00961993">
        <w:rPr>
          <w:iCs/>
          <w:lang w:eastAsia="lt-LT"/>
        </w:rPr>
        <w:tab/>
        <w:t>Vaistai vartojami tablečių forma, todėl analizėje netaikomi papildomi vaistų vartojimo kaštai;</w:t>
      </w:r>
    </w:p>
    <w:p w14:paraId="3AF381AD" w14:textId="77777777" w:rsidR="00885BA4" w:rsidRPr="00961993" w:rsidRDefault="00885BA4" w:rsidP="00885BA4">
      <w:pPr>
        <w:pStyle w:val="ListParagraph"/>
        <w:numPr>
          <w:ilvl w:val="0"/>
          <w:numId w:val="13"/>
        </w:numPr>
        <w:tabs>
          <w:tab w:val="left" w:pos="567"/>
        </w:tabs>
        <w:jc w:val="both"/>
        <w:rPr>
          <w:iCs/>
          <w:lang w:eastAsia="lt-LT"/>
        </w:rPr>
      </w:pPr>
      <w:r w:rsidRPr="00961993">
        <w:rPr>
          <w:iCs/>
          <w:lang w:eastAsia="lt-LT"/>
        </w:rPr>
        <w:t>Siekiant užtikrinti palyginamumą, buvo palygintos vienerių metų gydymo išlaidos;</w:t>
      </w:r>
    </w:p>
    <w:p w14:paraId="2AC28AE3" w14:textId="77777777" w:rsidR="00885BA4" w:rsidRPr="00961993" w:rsidRDefault="00885BA4" w:rsidP="00885BA4">
      <w:pPr>
        <w:pStyle w:val="ListParagraph"/>
        <w:numPr>
          <w:ilvl w:val="0"/>
          <w:numId w:val="13"/>
        </w:numPr>
        <w:tabs>
          <w:tab w:val="left" w:pos="567"/>
        </w:tabs>
        <w:jc w:val="both"/>
        <w:rPr>
          <w:iCs/>
          <w:lang w:eastAsia="lt-LT"/>
        </w:rPr>
      </w:pPr>
      <w:r w:rsidRPr="00961993">
        <w:rPr>
          <w:iCs/>
          <w:lang w:eastAsia="lt-LT"/>
        </w:rPr>
        <w:t>Kaštai atnaujinti pagal 2024 m. I pusmečio duomenis.</w:t>
      </w:r>
    </w:p>
    <w:p w14:paraId="0456F36C" w14:textId="77777777" w:rsidR="00885BA4" w:rsidRPr="00961993" w:rsidRDefault="00885BA4" w:rsidP="00885BA4">
      <w:pPr>
        <w:tabs>
          <w:tab w:val="left" w:pos="567"/>
        </w:tabs>
        <w:jc w:val="both"/>
        <w:rPr>
          <w:iCs/>
          <w:lang w:eastAsia="lt-LT"/>
        </w:rPr>
      </w:pPr>
    </w:p>
    <w:p w14:paraId="16C51841" w14:textId="67C892BB" w:rsidR="00885BA4" w:rsidRPr="00961993" w:rsidRDefault="00885BA4" w:rsidP="00885BA4">
      <w:pPr>
        <w:shd w:val="clear" w:color="auto" w:fill="FFFFFF"/>
        <w:spacing w:line="276" w:lineRule="auto"/>
        <w:jc w:val="both"/>
        <w:rPr>
          <w:iCs/>
          <w:lang w:eastAsia="lt-LT"/>
        </w:rPr>
      </w:pPr>
      <w:r w:rsidRPr="00961993">
        <w:rPr>
          <w:iCs/>
          <w:lang w:eastAsia="lt-LT"/>
        </w:rPr>
        <w:t>Atlikus analizės rezultato perskaičiavimą, nustatyta, jog gydymas Delstrigo yra brangesnis nei gydymas alternatyviais vaistų derin</w:t>
      </w:r>
      <w:r w:rsidRPr="00520828">
        <w:rPr>
          <w:iCs/>
          <w:lang w:eastAsia="lt-LT"/>
        </w:rPr>
        <w:t xml:space="preserve">iais. Siekiant, jog gydymas Delstrigo kainuotų panašiai kaip ir gydymas palyginamuoju gydymu reikalinga papildoma </w:t>
      </w:r>
      <w:r>
        <w:rPr>
          <w:iCs/>
          <w:lang w:eastAsia="lt-LT"/>
        </w:rPr>
        <w:t>maždaug  proc. nuolaida</w:t>
      </w:r>
      <w:r w:rsidRPr="00520828">
        <w:rPr>
          <w:iCs/>
          <w:lang w:eastAsia="lt-LT"/>
        </w:rPr>
        <w:t xml:space="preserve">, bei </w:t>
      </w:r>
      <w:r>
        <w:rPr>
          <w:iCs/>
          <w:lang w:eastAsia="lt-LT"/>
        </w:rPr>
        <w:t xml:space="preserve">maždaug  proc. </w:t>
      </w:r>
      <w:r w:rsidRPr="00520828">
        <w:rPr>
          <w:iCs/>
          <w:lang w:eastAsia="lt-LT"/>
        </w:rPr>
        <w:t xml:space="preserve"> nuolaida, kad būtų taupomi 5 proc. kaštų</w:t>
      </w:r>
      <w:r>
        <w:rPr>
          <w:iCs/>
          <w:lang w:eastAsia="lt-LT"/>
        </w:rPr>
        <w:t>.</w:t>
      </w:r>
    </w:p>
    <w:bookmarkEnd w:id="0"/>
    <w:p w14:paraId="33875138" w14:textId="5D2B7CB7" w:rsidR="0035172D" w:rsidRDefault="0035172D" w:rsidP="00A93AA6">
      <w:pPr>
        <w:tabs>
          <w:tab w:val="left" w:pos="426"/>
        </w:tabs>
        <w:rPr>
          <w:b/>
          <w:bCs/>
          <w:caps/>
        </w:rPr>
      </w:pPr>
    </w:p>
    <w:tbl>
      <w:tblPr>
        <w:tblStyle w:val="TableGrid"/>
        <w:tblW w:w="1020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6"/>
        <w:gridCol w:w="1884"/>
        <w:gridCol w:w="2410"/>
        <w:gridCol w:w="2268"/>
        <w:gridCol w:w="2693"/>
      </w:tblGrid>
      <w:tr w:rsidR="00063E72" w:rsidRPr="00ED401D" w14:paraId="6E1B86CB" w14:textId="77777777" w:rsidTr="00A65DAC">
        <w:trPr>
          <w:trHeight w:val="364"/>
          <w:jc w:val="center"/>
        </w:trPr>
        <w:tc>
          <w:tcPr>
            <w:tcW w:w="10201" w:type="dxa"/>
            <w:gridSpan w:val="5"/>
            <w:tcBorders>
              <w:top w:val="single" w:sz="4" w:space="0" w:color="auto"/>
              <w:left w:val="single" w:sz="4" w:space="0" w:color="auto"/>
              <w:bottom w:val="single" w:sz="4" w:space="0" w:color="auto"/>
              <w:right w:val="single" w:sz="4" w:space="0" w:color="auto"/>
            </w:tcBorders>
            <w:vAlign w:val="center"/>
          </w:tcPr>
          <w:p w14:paraId="2A25257A" w14:textId="77777777" w:rsidR="00063E72" w:rsidRPr="00ED401D" w:rsidRDefault="00063E72" w:rsidP="00A65DAC">
            <w:pPr>
              <w:tabs>
                <w:tab w:val="left" w:pos="567"/>
              </w:tabs>
              <w:jc w:val="center"/>
              <w:rPr>
                <w:bCs/>
                <w:sz w:val="20"/>
                <w:lang w:eastAsia="lt-LT"/>
              </w:rPr>
            </w:pPr>
            <w:r w:rsidRPr="00ED401D">
              <w:rPr>
                <w:bCs/>
                <w:sz w:val="20"/>
                <w:lang w:eastAsia="lt-LT"/>
              </w:rPr>
              <w:t>Gydymo kaina per metus (bazines kainos ir konfidencialios nuolaidos)</w:t>
            </w:r>
          </w:p>
        </w:tc>
      </w:tr>
      <w:tr w:rsidR="00063E72" w:rsidRPr="00ED401D" w14:paraId="7168B55C" w14:textId="77777777" w:rsidTr="00A65DAC">
        <w:trPr>
          <w:jc w:val="center"/>
        </w:trPr>
        <w:tc>
          <w:tcPr>
            <w:tcW w:w="946" w:type="dxa"/>
            <w:tcBorders>
              <w:top w:val="single" w:sz="4" w:space="0" w:color="auto"/>
              <w:bottom w:val="single" w:sz="4" w:space="0" w:color="auto"/>
            </w:tcBorders>
          </w:tcPr>
          <w:p w14:paraId="310F12E8" w14:textId="77777777" w:rsidR="00063E72" w:rsidRPr="00ED401D" w:rsidRDefault="00063E72" w:rsidP="00A65DAC">
            <w:pPr>
              <w:tabs>
                <w:tab w:val="left" w:pos="567"/>
              </w:tabs>
              <w:jc w:val="both"/>
              <w:rPr>
                <w:color w:val="00B050"/>
                <w:sz w:val="20"/>
                <w:highlight w:val="red"/>
                <w:lang w:eastAsia="lt-LT"/>
              </w:rPr>
            </w:pPr>
          </w:p>
        </w:tc>
        <w:tc>
          <w:tcPr>
            <w:tcW w:w="1884" w:type="dxa"/>
            <w:tcBorders>
              <w:top w:val="single" w:sz="4" w:space="0" w:color="auto"/>
              <w:bottom w:val="single" w:sz="4" w:space="0" w:color="auto"/>
            </w:tcBorders>
          </w:tcPr>
          <w:p w14:paraId="2A551D2F" w14:textId="77777777" w:rsidR="00063E72" w:rsidRPr="00ED401D" w:rsidRDefault="00063E72" w:rsidP="00A65DAC">
            <w:pPr>
              <w:tabs>
                <w:tab w:val="left" w:pos="567"/>
              </w:tabs>
              <w:jc w:val="both"/>
              <w:rPr>
                <w:i/>
                <w:iCs/>
                <w:sz w:val="20"/>
                <w:lang w:eastAsia="lt-LT"/>
              </w:rPr>
            </w:pPr>
            <w:r w:rsidRPr="00ED401D">
              <w:rPr>
                <w:i/>
                <w:iCs/>
                <w:sz w:val="20"/>
                <w:lang w:eastAsia="lt-LT"/>
              </w:rPr>
              <w:t>Delstrigo</w:t>
            </w:r>
          </w:p>
        </w:tc>
        <w:tc>
          <w:tcPr>
            <w:tcW w:w="2410" w:type="dxa"/>
            <w:tcBorders>
              <w:top w:val="single" w:sz="4" w:space="0" w:color="auto"/>
              <w:bottom w:val="single" w:sz="4" w:space="0" w:color="auto"/>
            </w:tcBorders>
          </w:tcPr>
          <w:p w14:paraId="1E4D51D1" w14:textId="77777777" w:rsidR="00063E72" w:rsidRPr="00ED401D" w:rsidRDefault="00063E72" w:rsidP="00A65DAC">
            <w:pPr>
              <w:tabs>
                <w:tab w:val="left" w:pos="567"/>
              </w:tabs>
              <w:jc w:val="both"/>
              <w:rPr>
                <w:sz w:val="20"/>
                <w:highlight w:val="red"/>
                <w:lang w:eastAsia="lt-LT"/>
              </w:rPr>
            </w:pPr>
            <w:r w:rsidRPr="00ED401D">
              <w:rPr>
                <w:sz w:val="20"/>
                <w:lang w:eastAsia="lt-LT"/>
              </w:rPr>
              <w:t>Dolutegravirum et Abacavirum et Lamivudinum  (Triumeq)</w:t>
            </w:r>
          </w:p>
        </w:tc>
        <w:tc>
          <w:tcPr>
            <w:tcW w:w="2268" w:type="dxa"/>
            <w:tcBorders>
              <w:top w:val="single" w:sz="4" w:space="0" w:color="auto"/>
              <w:bottom w:val="single" w:sz="4" w:space="0" w:color="auto"/>
            </w:tcBorders>
          </w:tcPr>
          <w:p w14:paraId="17488C2E" w14:textId="77777777" w:rsidR="00063E72" w:rsidRPr="00ED401D" w:rsidRDefault="00063E72" w:rsidP="00A65DAC">
            <w:pPr>
              <w:jc w:val="both"/>
              <w:rPr>
                <w:color w:val="000000"/>
                <w:sz w:val="20"/>
              </w:rPr>
            </w:pPr>
            <w:r w:rsidRPr="00ED401D">
              <w:rPr>
                <w:color w:val="000000"/>
                <w:sz w:val="20"/>
              </w:rPr>
              <w:t>Emtricitabinum et Tenofovir disoproxilum; Dolutegravirum</w:t>
            </w:r>
          </w:p>
        </w:tc>
        <w:tc>
          <w:tcPr>
            <w:tcW w:w="2693" w:type="dxa"/>
            <w:tcBorders>
              <w:top w:val="single" w:sz="4" w:space="0" w:color="auto"/>
              <w:bottom w:val="single" w:sz="4" w:space="0" w:color="auto"/>
              <w:right w:val="single" w:sz="4" w:space="0" w:color="auto"/>
            </w:tcBorders>
          </w:tcPr>
          <w:p w14:paraId="55367E9A" w14:textId="77777777" w:rsidR="00063E72" w:rsidRPr="00ED401D" w:rsidRDefault="00063E72" w:rsidP="00A65DAC">
            <w:pPr>
              <w:jc w:val="both"/>
              <w:rPr>
                <w:sz w:val="20"/>
              </w:rPr>
            </w:pPr>
            <w:r w:rsidRPr="00ED401D">
              <w:rPr>
                <w:sz w:val="20"/>
              </w:rPr>
              <w:t>Svertinis rezultatų vidurkis</w:t>
            </w:r>
          </w:p>
          <w:p w14:paraId="26A3B523" w14:textId="77777777" w:rsidR="00063E72" w:rsidRPr="00ED401D" w:rsidRDefault="00063E72" w:rsidP="00A65DAC">
            <w:pPr>
              <w:jc w:val="both"/>
              <w:rPr>
                <w:sz w:val="20"/>
              </w:rPr>
            </w:pPr>
          </w:p>
        </w:tc>
      </w:tr>
      <w:tr w:rsidR="00063E72" w:rsidRPr="00ED401D" w14:paraId="317FD91A" w14:textId="77777777" w:rsidTr="00A65DAC">
        <w:trPr>
          <w:jc w:val="center"/>
        </w:trPr>
        <w:tc>
          <w:tcPr>
            <w:tcW w:w="946" w:type="dxa"/>
            <w:tcBorders>
              <w:top w:val="single" w:sz="4" w:space="0" w:color="auto"/>
              <w:bottom w:val="single" w:sz="4" w:space="0" w:color="auto"/>
            </w:tcBorders>
          </w:tcPr>
          <w:p w14:paraId="59028CB9" w14:textId="77777777" w:rsidR="00063E72" w:rsidRPr="00ED401D" w:rsidRDefault="00063E72" w:rsidP="00A65DAC">
            <w:pPr>
              <w:tabs>
                <w:tab w:val="left" w:pos="567"/>
              </w:tabs>
              <w:rPr>
                <w:iCs/>
                <w:color w:val="000000"/>
                <w:sz w:val="20"/>
                <w:highlight w:val="red"/>
                <w:lang w:eastAsia="lt-LT"/>
              </w:rPr>
            </w:pPr>
            <w:r w:rsidRPr="00ED401D">
              <w:rPr>
                <w:iCs/>
                <w:color w:val="000000"/>
                <w:sz w:val="20"/>
                <w:lang w:eastAsia="lt-LT"/>
              </w:rPr>
              <w:t>Kaštai (</w:t>
            </w:r>
            <w:r w:rsidRPr="00ED401D">
              <w:rPr>
                <w:i/>
                <w:iCs/>
                <w:sz w:val="20"/>
                <w:lang w:eastAsia="lt-LT"/>
              </w:rPr>
              <w:t>€)</w:t>
            </w:r>
          </w:p>
        </w:tc>
        <w:tc>
          <w:tcPr>
            <w:tcW w:w="1884" w:type="dxa"/>
            <w:tcBorders>
              <w:top w:val="single" w:sz="4" w:space="0" w:color="auto"/>
              <w:bottom w:val="single" w:sz="4" w:space="0" w:color="auto"/>
            </w:tcBorders>
          </w:tcPr>
          <w:p w14:paraId="3641F94F" w14:textId="77777777" w:rsidR="00063E72" w:rsidRPr="00ED401D" w:rsidRDefault="00063E72" w:rsidP="00A65DAC">
            <w:pPr>
              <w:tabs>
                <w:tab w:val="left" w:pos="567"/>
              </w:tabs>
              <w:jc w:val="both"/>
              <w:rPr>
                <w:i/>
                <w:iCs/>
                <w:sz w:val="20"/>
                <w:lang w:eastAsia="lt-LT"/>
              </w:rPr>
            </w:pPr>
          </w:p>
        </w:tc>
        <w:tc>
          <w:tcPr>
            <w:tcW w:w="2410" w:type="dxa"/>
            <w:tcBorders>
              <w:top w:val="single" w:sz="4" w:space="0" w:color="auto"/>
              <w:bottom w:val="single" w:sz="4" w:space="0" w:color="auto"/>
            </w:tcBorders>
            <w:vAlign w:val="center"/>
          </w:tcPr>
          <w:p w14:paraId="1C06204C" w14:textId="100E1DEC" w:rsidR="00063E72" w:rsidRPr="00ED401D" w:rsidRDefault="00063E72" w:rsidP="00A65DAC">
            <w:pPr>
              <w:tabs>
                <w:tab w:val="left" w:pos="567"/>
              </w:tabs>
              <w:jc w:val="center"/>
              <w:rPr>
                <w:sz w:val="20"/>
                <w:highlight w:val="red"/>
                <w:lang w:eastAsia="lt-LT"/>
              </w:rPr>
            </w:pPr>
          </w:p>
        </w:tc>
        <w:tc>
          <w:tcPr>
            <w:tcW w:w="2268" w:type="dxa"/>
            <w:tcBorders>
              <w:top w:val="single" w:sz="4" w:space="0" w:color="auto"/>
              <w:bottom w:val="single" w:sz="4" w:space="0" w:color="auto"/>
            </w:tcBorders>
            <w:vAlign w:val="center"/>
          </w:tcPr>
          <w:p w14:paraId="3211B9DC" w14:textId="5C24EFBD" w:rsidR="00063E72" w:rsidRPr="00ED401D" w:rsidRDefault="00063E72" w:rsidP="00A65DAC">
            <w:pPr>
              <w:tabs>
                <w:tab w:val="left" w:pos="567"/>
              </w:tabs>
              <w:jc w:val="center"/>
              <w:rPr>
                <w:i/>
                <w:iCs/>
                <w:sz w:val="20"/>
                <w:lang w:eastAsia="lt-LT"/>
              </w:rPr>
            </w:pPr>
          </w:p>
        </w:tc>
        <w:tc>
          <w:tcPr>
            <w:tcW w:w="2693" w:type="dxa"/>
            <w:tcBorders>
              <w:top w:val="single" w:sz="4" w:space="0" w:color="auto"/>
              <w:right w:val="single" w:sz="4" w:space="0" w:color="auto"/>
            </w:tcBorders>
            <w:vAlign w:val="center"/>
          </w:tcPr>
          <w:p w14:paraId="6D13F3E0" w14:textId="257A33E0" w:rsidR="00063E72" w:rsidRPr="00ED401D" w:rsidRDefault="00063E72" w:rsidP="00A65DAC">
            <w:pPr>
              <w:jc w:val="center"/>
              <w:rPr>
                <w:color w:val="000000"/>
                <w:sz w:val="20"/>
              </w:rPr>
            </w:pPr>
          </w:p>
        </w:tc>
      </w:tr>
      <w:tr w:rsidR="00063E72" w:rsidRPr="00ED401D" w14:paraId="2287A812" w14:textId="77777777" w:rsidTr="00182F85">
        <w:trPr>
          <w:jc w:val="center"/>
        </w:trPr>
        <w:tc>
          <w:tcPr>
            <w:tcW w:w="2830" w:type="dxa"/>
            <w:gridSpan w:val="2"/>
            <w:tcBorders>
              <w:top w:val="single" w:sz="4" w:space="0" w:color="auto"/>
              <w:bottom w:val="single" w:sz="4" w:space="0" w:color="auto"/>
            </w:tcBorders>
          </w:tcPr>
          <w:p w14:paraId="10B896AF" w14:textId="77777777" w:rsidR="00063E72" w:rsidRPr="00ED401D" w:rsidRDefault="00063E72" w:rsidP="00063E72">
            <w:pPr>
              <w:tabs>
                <w:tab w:val="left" w:pos="567"/>
              </w:tabs>
              <w:rPr>
                <w:iCs/>
                <w:color w:val="000000"/>
                <w:sz w:val="20"/>
                <w:lang w:eastAsia="lt-LT"/>
              </w:rPr>
            </w:pPr>
            <w:r w:rsidRPr="00ED401D">
              <w:rPr>
                <w:iCs/>
                <w:color w:val="000000"/>
                <w:sz w:val="20"/>
                <w:lang w:eastAsia="lt-LT"/>
              </w:rPr>
              <w:t>Kaštai (</w:t>
            </w:r>
            <w:r w:rsidRPr="00ED401D">
              <w:rPr>
                <w:i/>
                <w:iCs/>
                <w:sz w:val="20"/>
                <w:lang w:eastAsia="lt-LT"/>
              </w:rPr>
              <w:t>€)</w:t>
            </w:r>
            <w:r w:rsidRPr="00ED401D">
              <w:rPr>
                <w:iCs/>
                <w:color w:val="000000"/>
                <w:sz w:val="20"/>
                <w:lang w:eastAsia="lt-LT"/>
              </w:rPr>
              <w:t xml:space="preserve"> </w:t>
            </w:r>
          </w:p>
          <w:p w14:paraId="1479820E" w14:textId="77777777" w:rsidR="00063E72" w:rsidRPr="00ED401D" w:rsidRDefault="00063E72" w:rsidP="00063E72">
            <w:pPr>
              <w:tabs>
                <w:tab w:val="left" w:pos="567"/>
              </w:tabs>
              <w:rPr>
                <w:iCs/>
                <w:color w:val="000000"/>
                <w:sz w:val="20"/>
                <w:lang w:eastAsia="lt-LT"/>
              </w:rPr>
            </w:pPr>
            <w:r w:rsidRPr="00ED401D">
              <w:rPr>
                <w:iCs/>
                <w:color w:val="000000"/>
                <w:sz w:val="20"/>
                <w:lang w:eastAsia="lt-LT"/>
              </w:rPr>
              <w:t>(su VLK % nuolaida)</w:t>
            </w:r>
          </w:p>
        </w:tc>
        <w:tc>
          <w:tcPr>
            <w:tcW w:w="2410" w:type="dxa"/>
            <w:tcBorders>
              <w:top w:val="single" w:sz="4" w:space="0" w:color="auto"/>
              <w:bottom w:val="single" w:sz="4" w:space="0" w:color="auto"/>
            </w:tcBorders>
            <w:vAlign w:val="center"/>
          </w:tcPr>
          <w:p w14:paraId="147F1BB2" w14:textId="59FB823B" w:rsidR="00063E72" w:rsidRPr="00ED401D" w:rsidRDefault="00063E72" w:rsidP="00063E72">
            <w:pPr>
              <w:jc w:val="center"/>
              <w:rPr>
                <w:sz w:val="20"/>
                <w:lang w:val="en-US"/>
              </w:rPr>
            </w:pPr>
            <w:r>
              <w:rPr>
                <w:color w:val="000000"/>
                <w:sz w:val="20"/>
              </w:rPr>
              <w:t>******</w:t>
            </w:r>
          </w:p>
          <w:p w14:paraId="6B562F83" w14:textId="77777777" w:rsidR="00063E72" w:rsidRPr="00ED401D" w:rsidRDefault="00063E72" w:rsidP="00063E72">
            <w:pPr>
              <w:tabs>
                <w:tab w:val="left" w:pos="567"/>
              </w:tabs>
              <w:jc w:val="center"/>
              <w:rPr>
                <w:i/>
                <w:iCs/>
                <w:sz w:val="20"/>
                <w:lang w:eastAsia="lt-LT"/>
              </w:rPr>
            </w:pPr>
          </w:p>
        </w:tc>
        <w:tc>
          <w:tcPr>
            <w:tcW w:w="2268" w:type="dxa"/>
            <w:tcBorders>
              <w:top w:val="single" w:sz="4" w:space="0" w:color="auto"/>
              <w:bottom w:val="single" w:sz="4" w:space="0" w:color="auto"/>
            </w:tcBorders>
          </w:tcPr>
          <w:p w14:paraId="5EDCB830" w14:textId="43B0407C" w:rsidR="00063E72" w:rsidRPr="00ED401D" w:rsidRDefault="00063E72" w:rsidP="00063E72">
            <w:pPr>
              <w:tabs>
                <w:tab w:val="left" w:pos="567"/>
              </w:tabs>
              <w:jc w:val="center"/>
              <w:rPr>
                <w:i/>
                <w:iCs/>
                <w:sz w:val="20"/>
                <w:lang w:eastAsia="lt-LT"/>
              </w:rPr>
            </w:pPr>
            <w:r w:rsidRPr="0065360D">
              <w:rPr>
                <w:color w:val="000000"/>
                <w:sz w:val="20"/>
              </w:rPr>
              <w:t>******</w:t>
            </w:r>
          </w:p>
        </w:tc>
        <w:tc>
          <w:tcPr>
            <w:tcW w:w="2693" w:type="dxa"/>
            <w:tcBorders>
              <w:bottom w:val="single" w:sz="4" w:space="0" w:color="auto"/>
              <w:right w:val="single" w:sz="4" w:space="0" w:color="auto"/>
            </w:tcBorders>
          </w:tcPr>
          <w:p w14:paraId="5492E5D3" w14:textId="2F5A3ED9" w:rsidR="00063E72" w:rsidRPr="006F3EB5" w:rsidRDefault="00063E72" w:rsidP="00063E72">
            <w:pPr>
              <w:jc w:val="center"/>
              <w:rPr>
                <w:rFonts w:eastAsia="Arial"/>
                <w:sz w:val="20"/>
              </w:rPr>
            </w:pPr>
            <w:r w:rsidRPr="0065360D">
              <w:rPr>
                <w:color w:val="000000"/>
                <w:sz w:val="20"/>
              </w:rPr>
              <w:t>******</w:t>
            </w:r>
          </w:p>
        </w:tc>
      </w:tr>
      <w:tr w:rsidR="00063E72" w:rsidRPr="00ED401D" w14:paraId="18B4B29E" w14:textId="77777777" w:rsidTr="00182F85">
        <w:trPr>
          <w:jc w:val="center"/>
        </w:trPr>
        <w:tc>
          <w:tcPr>
            <w:tcW w:w="2830" w:type="dxa"/>
            <w:gridSpan w:val="2"/>
            <w:tcBorders>
              <w:top w:val="single" w:sz="4" w:space="0" w:color="auto"/>
              <w:bottom w:val="single" w:sz="4" w:space="0" w:color="auto"/>
            </w:tcBorders>
          </w:tcPr>
          <w:p w14:paraId="49477AE7" w14:textId="77777777" w:rsidR="00063E72" w:rsidRPr="00ED401D" w:rsidRDefault="00063E72" w:rsidP="00063E72">
            <w:pPr>
              <w:tabs>
                <w:tab w:val="left" w:pos="567"/>
              </w:tabs>
              <w:jc w:val="both"/>
              <w:rPr>
                <w:i/>
                <w:iCs/>
                <w:sz w:val="20"/>
                <w:lang w:eastAsia="lt-LT"/>
              </w:rPr>
            </w:pPr>
            <w:r w:rsidRPr="00ED401D">
              <w:rPr>
                <w:color w:val="000000"/>
                <w:sz w:val="20"/>
              </w:rPr>
              <w:t xml:space="preserve">Gydymo kaštų skirtumas </w:t>
            </w:r>
            <w:r w:rsidRPr="00ED401D">
              <w:rPr>
                <w:iCs/>
                <w:color w:val="000000"/>
                <w:sz w:val="20"/>
                <w:lang w:eastAsia="lt-LT"/>
              </w:rPr>
              <w:t>(</w:t>
            </w:r>
            <w:r w:rsidRPr="00ED401D">
              <w:rPr>
                <w:i/>
                <w:iCs/>
                <w:sz w:val="20"/>
                <w:lang w:eastAsia="lt-LT"/>
              </w:rPr>
              <w:t>€)</w:t>
            </w:r>
            <w:r w:rsidRPr="00ED401D">
              <w:rPr>
                <w:iCs/>
                <w:color w:val="000000"/>
                <w:sz w:val="20"/>
                <w:lang w:eastAsia="lt-LT"/>
              </w:rPr>
              <w:t xml:space="preserve"> </w:t>
            </w:r>
            <w:r w:rsidRPr="00ED401D">
              <w:rPr>
                <w:color w:val="000000"/>
                <w:sz w:val="20"/>
              </w:rPr>
              <w:t xml:space="preserve">  (palyginus su Delstrigo)</w:t>
            </w:r>
          </w:p>
        </w:tc>
        <w:tc>
          <w:tcPr>
            <w:tcW w:w="2410" w:type="dxa"/>
            <w:tcBorders>
              <w:top w:val="single" w:sz="4" w:space="0" w:color="auto"/>
              <w:bottom w:val="single" w:sz="4" w:space="0" w:color="auto"/>
            </w:tcBorders>
            <w:vAlign w:val="center"/>
          </w:tcPr>
          <w:p w14:paraId="106664A4" w14:textId="77777777" w:rsidR="00063E72" w:rsidRPr="00ED401D" w:rsidRDefault="00063E72" w:rsidP="00063E72">
            <w:pPr>
              <w:jc w:val="center"/>
              <w:rPr>
                <w:sz w:val="20"/>
                <w:lang w:val="en-US"/>
              </w:rPr>
            </w:pPr>
            <w:r>
              <w:rPr>
                <w:color w:val="000000"/>
                <w:sz w:val="20"/>
              </w:rPr>
              <w:t>******</w:t>
            </w:r>
          </w:p>
          <w:p w14:paraId="5B6E0735" w14:textId="77777777" w:rsidR="00063E72" w:rsidRPr="00ED401D" w:rsidRDefault="00063E72" w:rsidP="00063E72">
            <w:pPr>
              <w:tabs>
                <w:tab w:val="left" w:pos="567"/>
              </w:tabs>
              <w:jc w:val="center"/>
              <w:rPr>
                <w:i/>
                <w:iCs/>
                <w:sz w:val="20"/>
                <w:lang w:eastAsia="lt-LT"/>
              </w:rPr>
            </w:pPr>
          </w:p>
        </w:tc>
        <w:tc>
          <w:tcPr>
            <w:tcW w:w="2268" w:type="dxa"/>
            <w:tcBorders>
              <w:top w:val="single" w:sz="4" w:space="0" w:color="auto"/>
              <w:bottom w:val="single" w:sz="4" w:space="0" w:color="auto"/>
            </w:tcBorders>
          </w:tcPr>
          <w:p w14:paraId="2717648E" w14:textId="249B8B9F" w:rsidR="00063E72" w:rsidRPr="00ED401D" w:rsidRDefault="00063E72" w:rsidP="00063E72">
            <w:pPr>
              <w:jc w:val="center"/>
              <w:rPr>
                <w:color w:val="000000"/>
                <w:sz w:val="20"/>
              </w:rPr>
            </w:pPr>
            <w:r w:rsidRPr="0065360D">
              <w:rPr>
                <w:color w:val="000000"/>
                <w:sz w:val="20"/>
              </w:rPr>
              <w:t>******</w:t>
            </w:r>
          </w:p>
        </w:tc>
        <w:tc>
          <w:tcPr>
            <w:tcW w:w="2693" w:type="dxa"/>
            <w:tcBorders>
              <w:top w:val="single" w:sz="4" w:space="0" w:color="auto"/>
              <w:bottom w:val="single" w:sz="4" w:space="0" w:color="auto"/>
              <w:right w:val="single" w:sz="4" w:space="0" w:color="auto"/>
            </w:tcBorders>
          </w:tcPr>
          <w:p w14:paraId="47796F6E" w14:textId="41FD9CC8" w:rsidR="00063E72" w:rsidRPr="00ED401D" w:rsidRDefault="00063E72" w:rsidP="00063E72">
            <w:pPr>
              <w:jc w:val="center"/>
              <w:rPr>
                <w:color w:val="00B050"/>
                <w:sz w:val="20"/>
              </w:rPr>
            </w:pPr>
            <w:r w:rsidRPr="0065360D">
              <w:rPr>
                <w:color w:val="000000"/>
                <w:sz w:val="20"/>
              </w:rPr>
              <w:t>******</w:t>
            </w:r>
          </w:p>
        </w:tc>
      </w:tr>
    </w:tbl>
    <w:p w14:paraId="685C5C48" w14:textId="77777777" w:rsidR="00063E72" w:rsidRPr="00E33EFF" w:rsidRDefault="00063E72"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A05ED6"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4B05F30" w:rsidR="00937907" w:rsidRPr="00E33EFF" w:rsidRDefault="00A05ED6"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37884">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A05ED6"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4C143F8F" w:rsidR="00662983" w:rsidRPr="00E33EFF" w:rsidRDefault="00A05ED6"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37884">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56BEF01F" w14:textId="62AF67C4" w:rsidR="00BD18D3" w:rsidRDefault="00BD18D3" w:rsidP="0061611B">
      <w:pPr>
        <w:rPr>
          <w:i/>
          <w:color w:val="00B050"/>
          <w:szCs w:val="22"/>
        </w:rPr>
      </w:pPr>
    </w:p>
    <w:p w14:paraId="0D2A76D6" w14:textId="77777777" w:rsidR="00B219E3" w:rsidRDefault="00B219E3" w:rsidP="0061611B">
      <w:pPr>
        <w:rPr>
          <w:i/>
          <w:color w:val="00B050"/>
          <w:szCs w:val="22"/>
        </w:rPr>
      </w:pPr>
    </w:p>
    <w:p w14:paraId="654CD99A" w14:textId="2E04DA23" w:rsidR="00BD18D3" w:rsidRDefault="00BD18D3" w:rsidP="0061611B">
      <w:pPr>
        <w:rPr>
          <w:i/>
          <w:color w:val="00B050"/>
          <w:szCs w:val="22"/>
        </w:rPr>
      </w:pPr>
    </w:p>
    <w:tbl>
      <w:tblPr>
        <w:tblStyle w:val="TableGrid"/>
        <w:tblW w:w="9700" w:type="dxa"/>
        <w:tblLook w:val="04A0" w:firstRow="1" w:lastRow="0" w:firstColumn="1" w:lastColumn="0" w:noHBand="0" w:noVBand="1"/>
      </w:tblPr>
      <w:tblGrid>
        <w:gridCol w:w="4815"/>
        <w:gridCol w:w="4814"/>
        <w:gridCol w:w="71"/>
      </w:tblGrid>
      <w:tr w:rsidR="00B13D65" w:rsidRPr="00E33EFF" w14:paraId="25A2473E" w14:textId="77777777" w:rsidTr="00CB270B">
        <w:trPr>
          <w:gridAfter w:val="1"/>
          <w:wAfter w:w="71" w:type="dxa"/>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lastRenderedPageBreak/>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B270B">
        <w:trPr>
          <w:gridAfter w:val="1"/>
          <w:wAfter w:w="71" w:type="dxa"/>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CB270B">
        <w:trPr>
          <w:gridAfter w:val="1"/>
          <w:wAfter w:w="71" w:type="dxa"/>
        </w:trPr>
        <w:tc>
          <w:tcPr>
            <w:tcW w:w="4815" w:type="dxa"/>
          </w:tcPr>
          <w:p w14:paraId="216769B5" w14:textId="144FEB07" w:rsidR="00B13D65" w:rsidRPr="00E33EFF" w:rsidRDefault="00A05ED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4879381B" w:rsidR="00B13D65" w:rsidRPr="00E33EFF" w:rsidRDefault="00A05ED6"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C37884">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A05ED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A05ED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A05ED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A05ED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B270B">
        <w:trPr>
          <w:gridAfter w:val="1"/>
          <w:wAfter w:w="71" w:type="dxa"/>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CB270B">
        <w:trPr>
          <w:gridAfter w:val="1"/>
          <w:wAfter w:w="71" w:type="dxa"/>
        </w:trPr>
        <w:tc>
          <w:tcPr>
            <w:tcW w:w="4815" w:type="dxa"/>
          </w:tcPr>
          <w:p w14:paraId="6897B306" w14:textId="70C15EA4" w:rsidR="00B13D65" w:rsidRPr="00E33EFF" w:rsidRDefault="00A05ED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6EF3DBC4" w:rsidR="00B13D65" w:rsidRPr="00E33EFF" w:rsidRDefault="00A05ED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C37884">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A05ED6"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A05ED6"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CB270B" w:rsidRPr="00E33EFF" w14:paraId="43F2FFF1" w14:textId="77777777" w:rsidTr="009F5706">
        <w:trPr>
          <w:gridAfter w:val="1"/>
          <w:wAfter w:w="71" w:type="dxa"/>
        </w:trPr>
        <w:tc>
          <w:tcPr>
            <w:tcW w:w="9629" w:type="dxa"/>
            <w:gridSpan w:val="2"/>
          </w:tcPr>
          <w:p w14:paraId="16868EA0" w14:textId="77777777" w:rsidR="00CB270B" w:rsidRDefault="00CB270B" w:rsidP="00CB270B">
            <w:pPr>
              <w:jc w:val="center"/>
              <w:rPr>
                <w:rStyle w:val="Style2"/>
                <w:rFonts w:eastAsia="MS Gothic"/>
                <w:b/>
                <w:bCs/>
                <w:sz w:val="24"/>
              </w:rPr>
            </w:pPr>
            <w:r w:rsidRPr="00CB270B">
              <w:rPr>
                <w:rStyle w:val="Style2"/>
                <w:rFonts w:eastAsia="MS Gothic"/>
                <w:b/>
                <w:bCs/>
                <w:sz w:val="24"/>
              </w:rPr>
              <w:t>Kaštų naudingumas</w:t>
            </w:r>
          </w:p>
          <w:p w14:paraId="0F5B7DBA" w14:textId="43FB30A9" w:rsidR="00CB270B" w:rsidRPr="00CB270B" w:rsidRDefault="00CB270B" w:rsidP="00CB270B">
            <w:pPr>
              <w:jc w:val="center"/>
              <w:rPr>
                <w:rStyle w:val="Style2"/>
                <w:sz w:val="24"/>
              </w:rPr>
            </w:pPr>
          </w:p>
        </w:tc>
      </w:tr>
      <w:tr w:rsidR="00CB270B" w:rsidRPr="004A04CD" w14:paraId="78F2D083" w14:textId="77777777" w:rsidTr="00CB270B">
        <w:tc>
          <w:tcPr>
            <w:tcW w:w="4815" w:type="dxa"/>
          </w:tcPr>
          <w:p w14:paraId="67A949BD" w14:textId="77777777" w:rsidR="00CB270B" w:rsidRPr="004A04CD" w:rsidRDefault="00A05ED6"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975984416"/>
                <w15:color w:val="FFCC00"/>
                <w14:checkbox>
                  <w14:checked w14:val="0"/>
                  <w14:checkedState w14:val="2612" w14:font="MS Gothic"/>
                  <w14:uncheckedState w14:val="2610" w14:font="MS Gothic"/>
                </w14:checkbox>
              </w:sdtPr>
              <w:sdtEndPr>
                <w:rPr>
                  <w:rStyle w:val="Style2"/>
                </w:rPr>
              </w:sdtEndPr>
              <w:sdtContent>
                <w:r w:rsidR="00CB270B" w:rsidRPr="004A04CD">
                  <w:rPr>
                    <w:rStyle w:val="Style2"/>
                    <w:rFonts w:ascii="MS Gothic" w:eastAsia="MS Gothic" w:hAnsi="MS Gothic"/>
                  </w:rPr>
                  <w:t>☐</w:t>
                </w:r>
              </w:sdtContent>
            </w:sdt>
            <w:r w:rsidR="00CB270B" w:rsidRPr="004A04CD">
              <w:t xml:space="preserve"> 32.3. atitinka referencinę naudingumo vertę, taikant PGS</w:t>
            </w:r>
          </w:p>
          <w:p w14:paraId="647EC906" w14:textId="77777777" w:rsidR="00CB270B" w:rsidRPr="004A04CD" w:rsidRDefault="00CB270B"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EF2E490" w14:textId="77777777" w:rsidR="00CB270B" w:rsidRPr="004A04CD" w:rsidRDefault="00A05ED6"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rPr>
                <w:id w:val="-1308081728"/>
                <w15:color w:val="FFCC00"/>
                <w14:checkbox>
                  <w14:checked w14:val="0"/>
                  <w14:checkedState w14:val="2612" w14:font="MS Gothic"/>
                  <w14:uncheckedState w14:val="2610" w14:font="MS Gothic"/>
                </w14:checkbox>
              </w:sdtPr>
              <w:sdtEndPr>
                <w:rPr>
                  <w:rStyle w:val="Style2"/>
                </w:rPr>
              </w:sdtEndPr>
              <w:sdtContent>
                <w:r w:rsidR="00CB270B" w:rsidRPr="004A04CD">
                  <w:rPr>
                    <w:rStyle w:val="Style2"/>
                    <w:rFonts w:ascii="Segoe UI Symbol" w:eastAsia="MS Gothic" w:hAnsi="Segoe UI Symbol" w:cs="Segoe UI Symbol"/>
                  </w:rPr>
                  <w:t>☐</w:t>
                </w:r>
              </w:sdtContent>
            </w:sdt>
            <w:r w:rsidR="00CB270B" w:rsidRPr="004A04CD">
              <w:t xml:space="preserve"> 32.3. gydymo juo kaštai yra mažesni ar tokie patys esant iš esmės nesiskiriančiam palyginamajam efektyvumui, taikant PGS, lyginant su įprasta klinikine praktika</w:t>
            </w:r>
          </w:p>
          <w:p w14:paraId="77374C0A" w14:textId="77777777" w:rsidR="00CB270B" w:rsidRPr="004A04CD" w:rsidRDefault="00CB270B"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rPr>
            </w:pPr>
          </w:p>
        </w:tc>
        <w:tc>
          <w:tcPr>
            <w:tcW w:w="4885" w:type="dxa"/>
            <w:gridSpan w:val="2"/>
          </w:tcPr>
          <w:p w14:paraId="1F6D12D9" w14:textId="77777777" w:rsidR="00CB270B" w:rsidRPr="004A04CD" w:rsidRDefault="00A05ED6"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15:color w:val="FFCC00"/>
                <w14:checkbox>
                  <w14:checked w14:val="0"/>
                  <w14:checkedState w14:val="2612" w14:font="MS Gothic"/>
                  <w14:uncheckedState w14:val="2610" w14:font="MS Gothic"/>
                </w14:checkbox>
              </w:sdtPr>
              <w:sdtEndPr>
                <w:rPr>
                  <w:rStyle w:val="Style2"/>
                </w:rPr>
              </w:sdtEndPr>
              <w:sdtContent>
                <w:r w:rsidR="00CB270B" w:rsidRPr="004A04CD">
                  <w:rPr>
                    <w:rStyle w:val="Style2"/>
                    <w:rFonts w:ascii="Segoe UI Symbol" w:eastAsia="MS Gothic" w:hAnsi="Segoe UI Symbol" w:cs="Segoe UI Symbol"/>
                  </w:rPr>
                  <w:t>☐</w:t>
                </w:r>
              </w:sdtContent>
            </w:sdt>
            <w:r w:rsidR="00CB270B" w:rsidRPr="004A04CD">
              <w:t xml:space="preserve"> 33.3. neatitinka referencinės naudingumo vertės Lietuvos Respublikoje</w:t>
            </w:r>
          </w:p>
          <w:p w14:paraId="3678C202" w14:textId="77777777" w:rsidR="00CB270B" w:rsidRPr="004A04CD" w:rsidRDefault="00CB270B"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1B7A2E3" w14:textId="77777777" w:rsidR="00CB270B" w:rsidRPr="004A04CD" w:rsidRDefault="00A05ED6"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15:color w:val="FFCC00"/>
                <w14:checkbox>
                  <w14:checked w14:val="1"/>
                  <w14:checkedState w14:val="2612" w14:font="MS Gothic"/>
                  <w14:uncheckedState w14:val="2610" w14:font="MS Gothic"/>
                </w14:checkbox>
              </w:sdtPr>
              <w:sdtEndPr>
                <w:rPr>
                  <w:rStyle w:val="Style2"/>
                </w:rPr>
              </w:sdtEndPr>
              <w:sdtContent>
                <w:r w:rsidR="00CB270B" w:rsidRPr="004A04CD">
                  <w:rPr>
                    <w:rStyle w:val="Style2"/>
                    <w:rFonts w:ascii="MS Gothic" w:eastAsia="MS Gothic" w:hAnsi="MS Gothic"/>
                  </w:rPr>
                  <w:t>☒</w:t>
                </w:r>
              </w:sdtContent>
            </w:sdt>
            <w:r w:rsidR="00CB270B" w:rsidRPr="004A04CD">
              <w:t xml:space="preserve"> 33.3. gydymo juo kaštai yra didesni esant iš esmės nesiskiriančiam palyginamajam efektyvumui, taikant PGS, lyginant su įprasta klinikine praktika</w:t>
            </w:r>
          </w:p>
          <w:p w14:paraId="0CF0C858" w14:textId="77777777" w:rsidR="00CB270B" w:rsidRPr="004A04CD" w:rsidRDefault="00CB270B"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C427E56" w14:textId="77777777" w:rsidR="00CB270B" w:rsidRPr="004A04CD" w:rsidRDefault="00A05ED6"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2008360022"/>
                <w15:color w:val="FFCC00"/>
                <w14:checkbox>
                  <w14:checked w14:val="0"/>
                  <w14:checkedState w14:val="2612" w14:font="MS Gothic"/>
                  <w14:uncheckedState w14:val="2610" w14:font="MS Gothic"/>
                </w14:checkbox>
              </w:sdtPr>
              <w:sdtEndPr>
                <w:rPr>
                  <w:rStyle w:val="Style2"/>
                </w:rPr>
              </w:sdtEndPr>
              <w:sdtContent>
                <w:r w:rsidR="00CB270B" w:rsidRPr="004A04CD">
                  <w:rPr>
                    <w:rStyle w:val="Style2"/>
                    <w:rFonts w:ascii="Segoe UI Symbol" w:eastAsia="MS Gothic" w:hAnsi="Segoe UI Symbol" w:cs="Segoe UI Symbol"/>
                  </w:rPr>
                  <w:t>☐</w:t>
                </w:r>
              </w:sdtContent>
            </w:sdt>
            <w:r w:rsidR="00CB270B" w:rsidRPr="004A04CD">
              <w:t xml:space="preserve"> 33.3. pateikti duomenys apie kaštų naudingumą yra netinkami vertinti</w:t>
            </w:r>
          </w:p>
          <w:p w14:paraId="6DF55CB7" w14:textId="77777777" w:rsidR="00CB270B" w:rsidRPr="004A04CD" w:rsidRDefault="00CB270B" w:rsidP="00F2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Pr>
            </w:pPr>
          </w:p>
        </w:tc>
      </w:tr>
    </w:tbl>
    <w:p w14:paraId="65ACA3C5" w14:textId="76C604A1"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55789BB6" w14:textId="77777777" w:rsidR="001450EF" w:rsidRPr="004A04CD" w:rsidRDefault="001450EF" w:rsidP="001450EF">
      <w:pPr>
        <w:jc w:val="both"/>
      </w:pPr>
      <w:r w:rsidRPr="004A04CD">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7CDFF220" w14:textId="69A5B914" w:rsidR="000723FF" w:rsidRPr="00F12663" w:rsidRDefault="001450EF" w:rsidP="00F12663">
      <w:pPr>
        <w:jc w:val="both"/>
        <w:rPr>
          <w:rFonts w:eastAsia="Arial"/>
        </w:rPr>
      </w:pPr>
      <w:r w:rsidRPr="004A04CD">
        <w:lastRenderedPageBreak/>
        <w:t xml:space="preserve">34.4. rekomenduojama </w:t>
      </w:r>
      <w:r w:rsidRPr="004A04CD">
        <w:rPr>
          <w:i/>
        </w:rPr>
        <w:t xml:space="preserve">nekompensuoti </w:t>
      </w:r>
      <w:r w:rsidRPr="004A04CD">
        <w:t xml:space="preserve">vaistinio preparato pagal paraiškoje nurodytą indikaciją su skyrimo sąlygomis, netaikant PGS dėl vertinimo išvadų, nurodytų 33.3 papunktyje (žr. 8 ir 17 skyrius),  neatitikties 34.3 papunktyje išdėstytoms sąlygoms. </w:t>
      </w:r>
    </w:p>
    <w:sectPr w:rsidR="000723FF" w:rsidRPr="00F12663" w:rsidSect="005D30E1">
      <w:headerReference w:type="even" r:id="rId9"/>
      <w:head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5E62" w14:textId="77777777" w:rsidR="002B7DEB" w:rsidRDefault="002B7DEB">
      <w:r>
        <w:separator/>
      </w:r>
    </w:p>
  </w:endnote>
  <w:endnote w:type="continuationSeparator" w:id="0">
    <w:p w14:paraId="6305D766" w14:textId="77777777" w:rsidR="002B7DEB" w:rsidRDefault="002B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0CA0" w14:textId="77777777" w:rsidR="002B7DEB" w:rsidRDefault="002B7DEB">
      <w:r>
        <w:separator/>
      </w:r>
    </w:p>
  </w:footnote>
  <w:footnote w:type="continuationSeparator" w:id="0">
    <w:p w14:paraId="192A892F" w14:textId="77777777" w:rsidR="002B7DEB" w:rsidRDefault="002B7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83B0DAE"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E72">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CDF31B3"/>
    <w:multiLevelType w:val="hybridMultilevel"/>
    <w:tmpl w:val="6F36C418"/>
    <w:lvl w:ilvl="0" w:tplc="55947282">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229764">
    <w:abstractNumId w:val="7"/>
  </w:num>
  <w:num w:numId="2" w16cid:durableId="379987145">
    <w:abstractNumId w:val="1"/>
  </w:num>
  <w:num w:numId="3" w16cid:durableId="1887717103">
    <w:abstractNumId w:val="9"/>
  </w:num>
  <w:num w:numId="4" w16cid:durableId="797794333">
    <w:abstractNumId w:val="8"/>
  </w:num>
  <w:num w:numId="5" w16cid:durableId="1093933924">
    <w:abstractNumId w:val="6"/>
  </w:num>
  <w:num w:numId="6" w16cid:durableId="840004813">
    <w:abstractNumId w:val="5"/>
  </w:num>
  <w:num w:numId="7" w16cid:durableId="995495991">
    <w:abstractNumId w:val="3"/>
  </w:num>
  <w:num w:numId="8" w16cid:durableId="785654979">
    <w:abstractNumId w:val="12"/>
  </w:num>
  <w:num w:numId="9" w16cid:durableId="1754625676">
    <w:abstractNumId w:val="0"/>
  </w:num>
  <w:num w:numId="10" w16cid:durableId="1380518281">
    <w:abstractNumId w:val="10"/>
  </w:num>
  <w:num w:numId="11" w16cid:durableId="1320770585">
    <w:abstractNumId w:val="11"/>
  </w:num>
  <w:num w:numId="12" w16cid:durableId="128212111">
    <w:abstractNumId w:val="2"/>
  </w:num>
  <w:num w:numId="13" w16cid:durableId="2058628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0307"/>
    <w:rsid w:val="00031D0E"/>
    <w:rsid w:val="000337E6"/>
    <w:rsid w:val="0003402E"/>
    <w:rsid w:val="00034EAE"/>
    <w:rsid w:val="00042924"/>
    <w:rsid w:val="00053975"/>
    <w:rsid w:val="00057A2B"/>
    <w:rsid w:val="000606BE"/>
    <w:rsid w:val="00063E72"/>
    <w:rsid w:val="000723FF"/>
    <w:rsid w:val="000736B8"/>
    <w:rsid w:val="0008190F"/>
    <w:rsid w:val="00081D9C"/>
    <w:rsid w:val="00082907"/>
    <w:rsid w:val="0008378D"/>
    <w:rsid w:val="000908A5"/>
    <w:rsid w:val="00092805"/>
    <w:rsid w:val="000C454C"/>
    <w:rsid w:val="000D5038"/>
    <w:rsid w:val="000D52F2"/>
    <w:rsid w:val="000E29D4"/>
    <w:rsid w:val="000F3540"/>
    <w:rsid w:val="00100491"/>
    <w:rsid w:val="00104E2E"/>
    <w:rsid w:val="00107287"/>
    <w:rsid w:val="00117406"/>
    <w:rsid w:val="00121EF0"/>
    <w:rsid w:val="00124A9E"/>
    <w:rsid w:val="00130703"/>
    <w:rsid w:val="0013153F"/>
    <w:rsid w:val="001408B8"/>
    <w:rsid w:val="001450EF"/>
    <w:rsid w:val="001517E2"/>
    <w:rsid w:val="001521D9"/>
    <w:rsid w:val="001554E2"/>
    <w:rsid w:val="00160105"/>
    <w:rsid w:val="00164146"/>
    <w:rsid w:val="0017369C"/>
    <w:rsid w:val="00175D57"/>
    <w:rsid w:val="00180C39"/>
    <w:rsid w:val="00180D96"/>
    <w:rsid w:val="00184BD3"/>
    <w:rsid w:val="001921F3"/>
    <w:rsid w:val="001A7A11"/>
    <w:rsid w:val="001B3C5B"/>
    <w:rsid w:val="001D746F"/>
    <w:rsid w:val="001E4BBB"/>
    <w:rsid w:val="001E6304"/>
    <w:rsid w:val="0020381E"/>
    <w:rsid w:val="0021316D"/>
    <w:rsid w:val="00213471"/>
    <w:rsid w:val="00215906"/>
    <w:rsid w:val="00241CD8"/>
    <w:rsid w:val="00244B09"/>
    <w:rsid w:val="002519CB"/>
    <w:rsid w:val="0025697F"/>
    <w:rsid w:val="00260258"/>
    <w:rsid w:val="0026588E"/>
    <w:rsid w:val="00272428"/>
    <w:rsid w:val="00272948"/>
    <w:rsid w:val="00292392"/>
    <w:rsid w:val="002946C7"/>
    <w:rsid w:val="002B3CC1"/>
    <w:rsid w:val="002B7DEB"/>
    <w:rsid w:val="002C09E0"/>
    <w:rsid w:val="002C1BB1"/>
    <w:rsid w:val="002C2786"/>
    <w:rsid w:val="002C3A10"/>
    <w:rsid w:val="002C4A90"/>
    <w:rsid w:val="002C4ED5"/>
    <w:rsid w:val="002D02EF"/>
    <w:rsid w:val="002E0702"/>
    <w:rsid w:val="002E57AD"/>
    <w:rsid w:val="002E6F80"/>
    <w:rsid w:val="002F0E4F"/>
    <w:rsid w:val="002F1053"/>
    <w:rsid w:val="002F7A82"/>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245DC"/>
    <w:rsid w:val="00453862"/>
    <w:rsid w:val="0045469B"/>
    <w:rsid w:val="00461338"/>
    <w:rsid w:val="004677DB"/>
    <w:rsid w:val="0047414A"/>
    <w:rsid w:val="00476256"/>
    <w:rsid w:val="0048630F"/>
    <w:rsid w:val="00492654"/>
    <w:rsid w:val="004947A1"/>
    <w:rsid w:val="0049482A"/>
    <w:rsid w:val="004979D3"/>
    <w:rsid w:val="004A00E7"/>
    <w:rsid w:val="004A3A61"/>
    <w:rsid w:val="004B205D"/>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24295"/>
    <w:rsid w:val="00534E11"/>
    <w:rsid w:val="005378D8"/>
    <w:rsid w:val="005400D9"/>
    <w:rsid w:val="005476A4"/>
    <w:rsid w:val="0055019B"/>
    <w:rsid w:val="00556E63"/>
    <w:rsid w:val="005601A4"/>
    <w:rsid w:val="00566DBB"/>
    <w:rsid w:val="005767DB"/>
    <w:rsid w:val="005815E6"/>
    <w:rsid w:val="0058712F"/>
    <w:rsid w:val="005957FB"/>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7765F"/>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508D"/>
    <w:rsid w:val="00885BA4"/>
    <w:rsid w:val="0088656F"/>
    <w:rsid w:val="008905B5"/>
    <w:rsid w:val="00891EF6"/>
    <w:rsid w:val="008A0303"/>
    <w:rsid w:val="008A5FDD"/>
    <w:rsid w:val="008C3947"/>
    <w:rsid w:val="008C5FD9"/>
    <w:rsid w:val="008E473B"/>
    <w:rsid w:val="008E51A6"/>
    <w:rsid w:val="008E7329"/>
    <w:rsid w:val="008F2ED5"/>
    <w:rsid w:val="0092297E"/>
    <w:rsid w:val="00923651"/>
    <w:rsid w:val="00927B56"/>
    <w:rsid w:val="009341BF"/>
    <w:rsid w:val="00937907"/>
    <w:rsid w:val="00941739"/>
    <w:rsid w:val="00943E06"/>
    <w:rsid w:val="00951573"/>
    <w:rsid w:val="00963003"/>
    <w:rsid w:val="00966EEF"/>
    <w:rsid w:val="00971B28"/>
    <w:rsid w:val="00983471"/>
    <w:rsid w:val="009909AB"/>
    <w:rsid w:val="009A5A9C"/>
    <w:rsid w:val="009B37DB"/>
    <w:rsid w:val="009C7A8C"/>
    <w:rsid w:val="009D23F9"/>
    <w:rsid w:val="009D4FA8"/>
    <w:rsid w:val="009E44AE"/>
    <w:rsid w:val="009E6CD6"/>
    <w:rsid w:val="009F4D66"/>
    <w:rsid w:val="009F6B92"/>
    <w:rsid w:val="00A00C3C"/>
    <w:rsid w:val="00A01091"/>
    <w:rsid w:val="00A042B9"/>
    <w:rsid w:val="00A05ED6"/>
    <w:rsid w:val="00A06DBB"/>
    <w:rsid w:val="00A22ADF"/>
    <w:rsid w:val="00A306E4"/>
    <w:rsid w:val="00A31E86"/>
    <w:rsid w:val="00A54765"/>
    <w:rsid w:val="00A54D87"/>
    <w:rsid w:val="00A5553C"/>
    <w:rsid w:val="00A70083"/>
    <w:rsid w:val="00A701C9"/>
    <w:rsid w:val="00A81785"/>
    <w:rsid w:val="00A84803"/>
    <w:rsid w:val="00A84C51"/>
    <w:rsid w:val="00A86F2B"/>
    <w:rsid w:val="00A91366"/>
    <w:rsid w:val="00A93AA6"/>
    <w:rsid w:val="00AA4E48"/>
    <w:rsid w:val="00AA6202"/>
    <w:rsid w:val="00AA7B57"/>
    <w:rsid w:val="00AB74E7"/>
    <w:rsid w:val="00AC26FC"/>
    <w:rsid w:val="00AC4A99"/>
    <w:rsid w:val="00AC64D2"/>
    <w:rsid w:val="00AD02E7"/>
    <w:rsid w:val="00AE0FE8"/>
    <w:rsid w:val="00AE1322"/>
    <w:rsid w:val="00AF60D5"/>
    <w:rsid w:val="00AF6973"/>
    <w:rsid w:val="00B00959"/>
    <w:rsid w:val="00B04415"/>
    <w:rsid w:val="00B06509"/>
    <w:rsid w:val="00B11D60"/>
    <w:rsid w:val="00B13D65"/>
    <w:rsid w:val="00B21805"/>
    <w:rsid w:val="00B219E3"/>
    <w:rsid w:val="00B3072E"/>
    <w:rsid w:val="00B36E15"/>
    <w:rsid w:val="00B37245"/>
    <w:rsid w:val="00B4017A"/>
    <w:rsid w:val="00B42CFF"/>
    <w:rsid w:val="00B4468D"/>
    <w:rsid w:val="00B71C7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2246"/>
    <w:rsid w:val="00BE7489"/>
    <w:rsid w:val="00BF2E0D"/>
    <w:rsid w:val="00BF3927"/>
    <w:rsid w:val="00BF3F8B"/>
    <w:rsid w:val="00BF76DA"/>
    <w:rsid w:val="00C07C7B"/>
    <w:rsid w:val="00C16245"/>
    <w:rsid w:val="00C22DC5"/>
    <w:rsid w:val="00C24479"/>
    <w:rsid w:val="00C273F2"/>
    <w:rsid w:val="00C37884"/>
    <w:rsid w:val="00C37B53"/>
    <w:rsid w:val="00C517D2"/>
    <w:rsid w:val="00C5772E"/>
    <w:rsid w:val="00C62B36"/>
    <w:rsid w:val="00C7012C"/>
    <w:rsid w:val="00C712EA"/>
    <w:rsid w:val="00CA217D"/>
    <w:rsid w:val="00CB270B"/>
    <w:rsid w:val="00CC09D4"/>
    <w:rsid w:val="00CC668D"/>
    <w:rsid w:val="00CC7832"/>
    <w:rsid w:val="00CF0C1C"/>
    <w:rsid w:val="00CF27FD"/>
    <w:rsid w:val="00CF3C2F"/>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70E4"/>
    <w:rsid w:val="00DA6227"/>
    <w:rsid w:val="00DB1F64"/>
    <w:rsid w:val="00DC2F53"/>
    <w:rsid w:val="00DC5BAC"/>
    <w:rsid w:val="00DC6816"/>
    <w:rsid w:val="00DC76C2"/>
    <w:rsid w:val="00DD1CF2"/>
    <w:rsid w:val="00DE4484"/>
    <w:rsid w:val="00DF2C4A"/>
    <w:rsid w:val="00DF41B7"/>
    <w:rsid w:val="00DF4A4A"/>
    <w:rsid w:val="00DF583C"/>
    <w:rsid w:val="00E03C3F"/>
    <w:rsid w:val="00E06FD7"/>
    <w:rsid w:val="00E07417"/>
    <w:rsid w:val="00E21B6D"/>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A6713"/>
    <w:rsid w:val="00EB5041"/>
    <w:rsid w:val="00EB6FC5"/>
    <w:rsid w:val="00EC2356"/>
    <w:rsid w:val="00EC2582"/>
    <w:rsid w:val="00EC337C"/>
    <w:rsid w:val="00EC5FCA"/>
    <w:rsid w:val="00ED0CFF"/>
    <w:rsid w:val="00ED31D2"/>
    <w:rsid w:val="00EE0EAC"/>
    <w:rsid w:val="00EE3322"/>
    <w:rsid w:val="00EE33CB"/>
    <w:rsid w:val="00EE7426"/>
    <w:rsid w:val="00F0061A"/>
    <w:rsid w:val="00F02834"/>
    <w:rsid w:val="00F04EEB"/>
    <w:rsid w:val="00F05467"/>
    <w:rsid w:val="00F055D2"/>
    <w:rsid w:val="00F07CD7"/>
    <w:rsid w:val="00F12663"/>
    <w:rsid w:val="00F127E9"/>
    <w:rsid w:val="00F14B5D"/>
    <w:rsid w:val="00F259FC"/>
    <w:rsid w:val="00F36972"/>
    <w:rsid w:val="00F42426"/>
    <w:rsid w:val="00F456BC"/>
    <w:rsid w:val="00F50666"/>
    <w:rsid w:val="00F53D22"/>
    <w:rsid w:val="00F63888"/>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paragraph" w:customStyle="1" w:styleId="Tekstas">
    <w:name w:val="Tekstas"/>
    <w:basedOn w:val="Normal"/>
    <w:link w:val="TekstasChar"/>
    <w:qFormat/>
    <w:rsid w:val="00C37884"/>
    <w:pPr>
      <w:spacing w:after="120"/>
      <w:jc w:val="both"/>
    </w:pPr>
  </w:style>
  <w:style w:type="character" w:customStyle="1" w:styleId="TekstasChar">
    <w:name w:val="Tekstas Char"/>
    <w:link w:val="Tekstas"/>
    <w:rsid w:val="00C3788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pe.ie/doravirine-lamivudine-tenofovir-disoproxil-fumarate-delstri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3CED79BC64451B8866A6F79C69945"/>
        <w:category>
          <w:name w:val="General"/>
          <w:gallery w:val="placeholder"/>
        </w:category>
        <w:types>
          <w:type w:val="bbPlcHdr"/>
        </w:types>
        <w:behaviors>
          <w:behavior w:val="content"/>
        </w:behaviors>
        <w:guid w:val="{7E42F496-0C09-4EC0-946F-4F210E0E0211}"/>
      </w:docPartPr>
      <w:docPartBody>
        <w:p w:rsidR="006E142D" w:rsidRDefault="00A34915" w:rsidP="00A34915">
          <w:pPr>
            <w:pStyle w:val="C433CED79BC64451B8866A6F79C69945"/>
          </w:pPr>
          <w:r>
            <w:rPr>
              <w:rStyle w:val="PlaceholderText"/>
            </w:rPr>
            <w:t>Click here to enter a date.</w:t>
          </w:r>
        </w:p>
      </w:docPartBody>
    </w:docPart>
    <w:docPart>
      <w:docPartPr>
        <w:name w:val="059B963B4F7B4A3F90825E7AEF723EFC"/>
        <w:category>
          <w:name w:val="General"/>
          <w:gallery w:val="placeholder"/>
        </w:category>
        <w:types>
          <w:type w:val="bbPlcHdr"/>
        </w:types>
        <w:behaviors>
          <w:behavior w:val="content"/>
        </w:behaviors>
        <w:guid w:val="{C400178B-276C-4BE8-8C05-D312B7644753}"/>
      </w:docPartPr>
      <w:docPartBody>
        <w:p w:rsidR="006E142D" w:rsidRDefault="00A34915" w:rsidP="00A34915">
          <w:pPr>
            <w:pStyle w:val="059B963B4F7B4A3F90825E7AEF723EFC"/>
          </w:pPr>
          <w:r>
            <w:rPr>
              <w:rStyle w:val="PlaceholderText"/>
            </w:rPr>
            <w:t>Click here to enter a date.</w:t>
          </w:r>
        </w:p>
      </w:docPartBody>
    </w:docPart>
    <w:docPart>
      <w:docPartPr>
        <w:name w:val="D2C43217805F42C5970E298F7985BE0F"/>
        <w:category>
          <w:name w:val="General"/>
          <w:gallery w:val="placeholder"/>
        </w:category>
        <w:types>
          <w:type w:val="bbPlcHdr"/>
        </w:types>
        <w:behaviors>
          <w:behavior w:val="content"/>
        </w:behaviors>
        <w:guid w:val="{05683581-C43F-4986-B9FA-0279A171F593}"/>
      </w:docPartPr>
      <w:docPartBody>
        <w:p w:rsidR="006E142D" w:rsidRDefault="00A34915" w:rsidP="00A34915">
          <w:pPr>
            <w:pStyle w:val="D2C43217805F42C5970E298F7985BE0F"/>
          </w:pPr>
          <w:r>
            <w:rPr>
              <w:rStyle w:val="PlaceholderText"/>
            </w:rPr>
            <w:t>Click here to enter a date.</w:t>
          </w:r>
        </w:p>
      </w:docPartBody>
    </w:docPart>
    <w:docPart>
      <w:docPartPr>
        <w:name w:val="F71CD6E97EFA4392863C0ABD7E377204"/>
        <w:category>
          <w:name w:val="General"/>
          <w:gallery w:val="placeholder"/>
        </w:category>
        <w:types>
          <w:type w:val="bbPlcHdr"/>
        </w:types>
        <w:behaviors>
          <w:behavior w:val="content"/>
        </w:behaviors>
        <w:guid w:val="{74425EF3-2ACF-42EE-9352-FF00687E258F}"/>
      </w:docPartPr>
      <w:docPartBody>
        <w:p w:rsidR="006E142D" w:rsidRDefault="00A34915" w:rsidP="00A34915">
          <w:pPr>
            <w:pStyle w:val="F71CD6E97EFA4392863C0ABD7E377204"/>
          </w:pPr>
          <w:r>
            <w:rPr>
              <w:rStyle w:val="PlaceholderText"/>
            </w:rPr>
            <w:t>Click here to enter a date.</w:t>
          </w:r>
        </w:p>
      </w:docPartBody>
    </w:docPart>
    <w:docPart>
      <w:docPartPr>
        <w:name w:val="4D44AE8F30874937B98CDB99E74BE548"/>
        <w:category>
          <w:name w:val="General"/>
          <w:gallery w:val="placeholder"/>
        </w:category>
        <w:types>
          <w:type w:val="bbPlcHdr"/>
        </w:types>
        <w:behaviors>
          <w:behavior w:val="content"/>
        </w:behaviors>
        <w:guid w:val="{1384F5CA-3B55-449C-90FE-E33BF5A875F5}"/>
      </w:docPartPr>
      <w:docPartBody>
        <w:p w:rsidR="006E142D" w:rsidRDefault="00A34915" w:rsidP="00A34915">
          <w:pPr>
            <w:pStyle w:val="4D44AE8F30874937B98CDB99E74BE548"/>
          </w:pPr>
          <w:r>
            <w:rPr>
              <w:rStyle w:val="PlaceholderText"/>
            </w:rPr>
            <w:t>Click here to enter a date.</w:t>
          </w:r>
        </w:p>
      </w:docPartBody>
    </w:docPart>
    <w:docPart>
      <w:docPartPr>
        <w:name w:val="3C3392291B42403284A9B1BCD4DF213E"/>
        <w:category>
          <w:name w:val="General"/>
          <w:gallery w:val="placeholder"/>
        </w:category>
        <w:types>
          <w:type w:val="bbPlcHdr"/>
        </w:types>
        <w:behaviors>
          <w:behavior w:val="content"/>
        </w:behaviors>
        <w:guid w:val="{4A99B5A9-506A-459E-A5E6-B864A27A9201}"/>
      </w:docPartPr>
      <w:docPartBody>
        <w:p w:rsidR="006E142D" w:rsidRDefault="00A34915" w:rsidP="00A34915">
          <w:pPr>
            <w:pStyle w:val="3C3392291B42403284A9B1BCD4DF21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1F47C5"/>
    <w:rsid w:val="00237556"/>
    <w:rsid w:val="002442F8"/>
    <w:rsid w:val="00261B1F"/>
    <w:rsid w:val="002840C8"/>
    <w:rsid w:val="002F7A82"/>
    <w:rsid w:val="00362CDC"/>
    <w:rsid w:val="0039303B"/>
    <w:rsid w:val="004144A3"/>
    <w:rsid w:val="004160E7"/>
    <w:rsid w:val="004238B3"/>
    <w:rsid w:val="004416C6"/>
    <w:rsid w:val="004F5AB2"/>
    <w:rsid w:val="005074B9"/>
    <w:rsid w:val="005957FB"/>
    <w:rsid w:val="005E40DD"/>
    <w:rsid w:val="006D31CE"/>
    <w:rsid w:val="006E142D"/>
    <w:rsid w:val="007219C1"/>
    <w:rsid w:val="0074261C"/>
    <w:rsid w:val="00753462"/>
    <w:rsid w:val="00772325"/>
    <w:rsid w:val="007A2FE0"/>
    <w:rsid w:val="007C6D1D"/>
    <w:rsid w:val="0090074D"/>
    <w:rsid w:val="0098030E"/>
    <w:rsid w:val="009B3BF0"/>
    <w:rsid w:val="009D5E5E"/>
    <w:rsid w:val="009F1BB4"/>
    <w:rsid w:val="00A10547"/>
    <w:rsid w:val="00A34915"/>
    <w:rsid w:val="00AB6ED4"/>
    <w:rsid w:val="00AF669A"/>
    <w:rsid w:val="00B14210"/>
    <w:rsid w:val="00B23DC0"/>
    <w:rsid w:val="00B96656"/>
    <w:rsid w:val="00BE29C1"/>
    <w:rsid w:val="00C2401D"/>
    <w:rsid w:val="00C53A68"/>
    <w:rsid w:val="00C81F76"/>
    <w:rsid w:val="00CA5BB4"/>
    <w:rsid w:val="00CB4BD1"/>
    <w:rsid w:val="00CE2DA9"/>
    <w:rsid w:val="00CE44BE"/>
    <w:rsid w:val="00D107CD"/>
    <w:rsid w:val="00D4356B"/>
    <w:rsid w:val="00D7162F"/>
    <w:rsid w:val="00E21B6D"/>
    <w:rsid w:val="00E44A86"/>
    <w:rsid w:val="00E522EB"/>
    <w:rsid w:val="00E60827"/>
    <w:rsid w:val="00E73FF6"/>
    <w:rsid w:val="00EC316D"/>
    <w:rsid w:val="00ED6508"/>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4915"/>
    <w:rPr>
      <w:color w:val="808080"/>
    </w:rPr>
  </w:style>
  <w:style w:type="paragraph" w:customStyle="1" w:styleId="C433CED79BC64451B8866A6F79C69945">
    <w:name w:val="C433CED79BC64451B8866A6F79C69945"/>
    <w:rsid w:val="00A34915"/>
  </w:style>
  <w:style w:type="paragraph" w:customStyle="1" w:styleId="059B963B4F7B4A3F90825E7AEF723EFC">
    <w:name w:val="059B963B4F7B4A3F90825E7AEF723EFC"/>
    <w:rsid w:val="00A34915"/>
  </w:style>
  <w:style w:type="paragraph" w:customStyle="1" w:styleId="D2C43217805F42C5970E298F7985BE0F">
    <w:name w:val="D2C43217805F42C5970E298F7985BE0F"/>
    <w:rsid w:val="00A34915"/>
  </w:style>
  <w:style w:type="paragraph" w:customStyle="1" w:styleId="F71CD6E97EFA4392863C0ABD7E377204">
    <w:name w:val="F71CD6E97EFA4392863C0ABD7E377204"/>
    <w:rsid w:val="00A34915"/>
  </w:style>
  <w:style w:type="paragraph" w:customStyle="1" w:styleId="4D44AE8F30874937B98CDB99E74BE548">
    <w:name w:val="4D44AE8F30874937B98CDB99E74BE548"/>
    <w:rsid w:val="00A34915"/>
  </w:style>
  <w:style w:type="paragraph" w:customStyle="1" w:styleId="3C3392291B42403284A9B1BCD4DF213E">
    <w:name w:val="3C3392291B42403284A9B1BCD4DF213E"/>
    <w:rsid w:val="00A34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8A85-AD1F-445C-9686-27DBDCC0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1773</Words>
  <Characters>13987</Characters>
  <Application>Microsoft Office Word</Application>
  <DocSecurity>0</DocSecurity>
  <Lines>116</Lines>
  <Paragraphs>31</Paragraphs>
  <ScaleCrop>false</ScaleCrop>
  <Company/>
  <LinksUpToDate>false</LinksUpToDate>
  <CharactersWithSpaces>15729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2024-10-31T13:22:00Z</dcterms:created>
  <dcterms:modified xsi:type="dcterms:W3CDTF">2024-10-31T13:32:00Z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2024-10-31T13:21:59Z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b68b76bb-dec1-4d7a-a860-516b9c304243</vt:lpwstr>
  </property>
  <property fmtid="{D5CDD505-2E9C-101B-9397-08002B2CF9AE}" pid="8" name="MSIP_Label_e81acc0d-dcc4-4dc9-a2c5-be70b05a2fe6_ContentBits">
    <vt:lpwstr>0</vt:lpwstr>
  </property>
  <property fmtid="{D5CDD505-2E9C-101B-9397-08002B2CF9AE}" pid="10" name="_NewReviewCycle">
    <vt:lpwstr/>
  </property>
</Properties>
</file>