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2EFA5F4A" w14:textId="31894474" w:rsidR="00414E1A" w:rsidRDefault="00414E1A" w:rsidP="00414E1A">
      <w:pPr>
        <w:rPr>
          <w:b/>
        </w:rPr>
      </w:pPr>
    </w:p>
    <w:p w14:paraId="191319FB" w14:textId="0398848D" w:rsidR="00DA5285" w:rsidRDefault="00DA5285" w:rsidP="00DA5285">
      <w:pPr>
        <w:spacing w:line="360" w:lineRule="auto"/>
        <w:jc w:val="center"/>
        <w:rPr>
          <w:b/>
          <w:bCs/>
        </w:rPr>
      </w:pPr>
      <w:bookmarkStart w:id="0" w:name="_Hlk175083986"/>
      <w:r w:rsidRPr="00DA5285">
        <w:rPr>
          <w:rFonts w:eastAsia="Arial"/>
          <w:b/>
          <w:bCs/>
          <w:color w:val="000000"/>
        </w:rPr>
        <w:t xml:space="preserve">Lorviqua </w:t>
      </w:r>
      <w:r w:rsidRPr="00DA5285">
        <w:rPr>
          <w:b/>
          <w:bCs/>
        </w:rPr>
        <w:t>25 mg plėvele dengt</w:t>
      </w:r>
      <w:r w:rsidR="00E839D5">
        <w:rPr>
          <w:b/>
          <w:bCs/>
        </w:rPr>
        <w:t>os</w:t>
      </w:r>
      <w:r w:rsidRPr="00DA5285">
        <w:rPr>
          <w:b/>
          <w:bCs/>
        </w:rPr>
        <w:t xml:space="preserve"> tabletė</w:t>
      </w:r>
      <w:r w:rsidR="007F4225">
        <w:rPr>
          <w:b/>
          <w:bCs/>
        </w:rPr>
        <w:t>s</w:t>
      </w:r>
    </w:p>
    <w:p w14:paraId="7AD17C10" w14:textId="19BC66A5" w:rsidR="002B50C0" w:rsidRPr="00DA5285" w:rsidRDefault="002B50C0" w:rsidP="002B50C0">
      <w:pPr>
        <w:spacing w:line="360" w:lineRule="auto"/>
        <w:jc w:val="center"/>
        <w:rPr>
          <w:b/>
          <w:bCs/>
        </w:rPr>
      </w:pPr>
      <w:r w:rsidRPr="00DA5285">
        <w:rPr>
          <w:rFonts w:eastAsia="Arial"/>
          <w:b/>
          <w:bCs/>
          <w:color w:val="000000"/>
        </w:rPr>
        <w:t xml:space="preserve">Lorviqua </w:t>
      </w:r>
      <w:r w:rsidRPr="00DA5285">
        <w:rPr>
          <w:b/>
          <w:bCs/>
        </w:rPr>
        <w:t>100 mg plėvele dengt</w:t>
      </w:r>
      <w:r w:rsidR="00E839D5">
        <w:rPr>
          <w:b/>
          <w:bCs/>
        </w:rPr>
        <w:t>os</w:t>
      </w:r>
      <w:r w:rsidRPr="00DA5285">
        <w:rPr>
          <w:b/>
          <w:bCs/>
        </w:rPr>
        <w:t xml:space="preserve"> tabletė</w:t>
      </w:r>
      <w:r>
        <w:rPr>
          <w:b/>
          <w:bCs/>
        </w:rPr>
        <w:t>s</w:t>
      </w:r>
    </w:p>
    <w:p w14:paraId="75AFF832" w14:textId="77777777" w:rsidR="002B50C0" w:rsidRPr="00DA5285" w:rsidRDefault="002B50C0" w:rsidP="00DA5285">
      <w:pPr>
        <w:spacing w:line="360" w:lineRule="auto"/>
        <w:jc w:val="center"/>
        <w:rPr>
          <w:b/>
          <w:bCs/>
        </w:rPr>
      </w:pPr>
    </w:p>
    <w:p w14:paraId="66BDB62D" w14:textId="77777777" w:rsidR="00DA5285" w:rsidRPr="008A4DDD" w:rsidRDefault="00DA5285" w:rsidP="00DA5285">
      <w:pPr>
        <w:spacing w:line="360" w:lineRule="auto"/>
        <w:jc w:val="center"/>
        <w:rPr>
          <w:b/>
        </w:rPr>
      </w:pPr>
      <w:r w:rsidRPr="008A4DDD">
        <w:rPr>
          <w:b/>
        </w:rPr>
        <w:t>Lorlatinibas</w:t>
      </w:r>
    </w:p>
    <w:p w14:paraId="1702D283" w14:textId="77777777" w:rsidR="00DA5285" w:rsidRPr="008A4DDD" w:rsidRDefault="00DA5285" w:rsidP="00DA5285">
      <w:pPr>
        <w:spacing w:line="360" w:lineRule="auto"/>
        <w:jc w:val="center"/>
        <w:rPr>
          <w:b/>
        </w:rPr>
      </w:pPr>
      <w:r w:rsidRPr="008A4DDD">
        <w:rPr>
          <w:b/>
        </w:rPr>
        <w:t>STV-181</w:t>
      </w:r>
    </w:p>
    <w:bookmarkEnd w:id="0"/>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6067D9" w:rsidRPr="006067D9" w14:paraId="18A83EC2" w14:textId="77777777" w:rsidTr="00BE7489">
        <w:trPr>
          <w:trHeight w:val="538"/>
        </w:trPr>
        <w:tc>
          <w:tcPr>
            <w:tcW w:w="632" w:type="dxa"/>
          </w:tcPr>
          <w:p w14:paraId="0646FBEA" w14:textId="77777777" w:rsidR="006067D9" w:rsidRPr="006067D9" w:rsidRDefault="006067D9" w:rsidP="006067D9">
            <w:pPr>
              <w:rPr>
                <w:rFonts w:eastAsia="Arial"/>
              </w:rPr>
            </w:pPr>
            <w:r w:rsidRPr="006067D9">
              <w:rPr>
                <w:rFonts w:eastAsia="Arial"/>
              </w:rPr>
              <w:t>1.1</w:t>
            </w:r>
          </w:p>
        </w:tc>
        <w:tc>
          <w:tcPr>
            <w:tcW w:w="3694" w:type="dxa"/>
          </w:tcPr>
          <w:p w14:paraId="6C3AE864" w14:textId="77777777" w:rsidR="006067D9" w:rsidRPr="006067D9" w:rsidRDefault="006067D9" w:rsidP="006067D9">
            <w:pPr>
              <w:rPr>
                <w:rFonts w:eastAsia="Arial"/>
              </w:rPr>
            </w:pPr>
            <w:r w:rsidRPr="006067D9">
              <w:rPr>
                <w:rFonts w:eastAsia="Arial"/>
              </w:rPr>
              <w:t>Pareiškėjas</w:t>
            </w:r>
          </w:p>
          <w:p w14:paraId="2AF240DC" w14:textId="77777777" w:rsidR="006067D9" w:rsidRPr="006067D9" w:rsidRDefault="006067D9" w:rsidP="006067D9">
            <w:pPr>
              <w:rPr>
                <w:rFonts w:eastAsia="Arial"/>
              </w:rPr>
            </w:pPr>
          </w:p>
        </w:tc>
        <w:tc>
          <w:tcPr>
            <w:tcW w:w="5167" w:type="dxa"/>
          </w:tcPr>
          <w:p w14:paraId="2AAF0D91" w14:textId="572A8BFB" w:rsidR="006067D9" w:rsidRPr="00DA5285" w:rsidRDefault="003C5248" w:rsidP="006067D9">
            <w:pPr>
              <w:rPr>
                <w:rFonts w:eastAsia="Arial"/>
              </w:rPr>
            </w:pPr>
            <w:r w:rsidRPr="008A4DDD">
              <w:t>UAB „</w:t>
            </w:r>
            <w:r w:rsidRPr="008A4DDD">
              <w:rPr>
                <w:color w:val="000000"/>
              </w:rPr>
              <w:t>Pfizer Europe MA EEIG</w:t>
            </w:r>
            <w:r w:rsidRPr="008A4DDD">
              <w:t>“</w:t>
            </w:r>
          </w:p>
        </w:tc>
      </w:tr>
      <w:tr w:rsidR="006067D9" w:rsidRPr="006067D9" w14:paraId="31998B0D" w14:textId="77777777" w:rsidTr="00BE7489">
        <w:trPr>
          <w:trHeight w:val="538"/>
        </w:trPr>
        <w:tc>
          <w:tcPr>
            <w:tcW w:w="632" w:type="dxa"/>
          </w:tcPr>
          <w:p w14:paraId="2005EC67" w14:textId="662300D0" w:rsidR="006067D9" w:rsidRPr="006067D9" w:rsidRDefault="006067D9" w:rsidP="006067D9">
            <w:pPr>
              <w:rPr>
                <w:rFonts w:eastAsia="Arial"/>
              </w:rPr>
            </w:pPr>
            <w:r w:rsidRPr="006067D9">
              <w:rPr>
                <w:rFonts w:eastAsia="Arial"/>
              </w:rPr>
              <w:t>1.2</w:t>
            </w:r>
          </w:p>
        </w:tc>
        <w:tc>
          <w:tcPr>
            <w:tcW w:w="3694" w:type="dxa"/>
          </w:tcPr>
          <w:p w14:paraId="1E4AE3B1" w14:textId="77777777" w:rsidR="006067D9" w:rsidRPr="006067D9" w:rsidRDefault="006067D9" w:rsidP="006067D9">
            <w:pPr>
              <w:rPr>
                <w:bCs/>
                <w:color w:val="000000"/>
                <w:lang w:eastAsia="lt-LT"/>
              </w:rPr>
            </w:pPr>
            <w:r w:rsidRPr="006067D9">
              <w:rPr>
                <w:bCs/>
                <w:color w:val="000000"/>
                <w:lang w:eastAsia="lt-LT"/>
              </w:rPr>
              <w:t xml:space="preserve">Registracijos data </w:t>
            </w:r>
          </w:p>
          <w:p w14:paraId="3A0DC096" w14:textId="77777777" w:rsidR="006067D9" w:rsidRPr="006067D9" w:rsidRDefault="006067D9" w:rsidP="006067D9">
            <w:pPr>
              <w:rPr>
                <w:bCs/>
                <w:color w:val="000000"/>
                <w:lang w:eastAsia="lt-LT"/>
              </w:rPr>
            </w:pPr>
          </w:p>
        </w:tc>
        <w:tc>
          <w:tcPr>
            <w:tcW w:w="5167" w:type="dxa"/>
          </w:tcPr>
          <w:p w14:paraId="3CA218AD" w14:textId="349CABD7" w:rsidR="006067D9" w:rsidRPr="00DA5285" w:rsidRDefault="00000000" w:rsidP="006067D9">
            <w:pPr>
              <w:rPr>
                <w:rStyle w:val="Style2"/>
                <w:sz w:val="24"/>
              </w:rPr>
            </w:pPr>
            <w:sdt>
              <w:sdtPr>
                <w:rPr>
                  <w:sz w:val="32"/>
                </w:rPr>
                <w:alias w:val="Nurodykite konkrečią dieną"/>
                <w:tag w:val="Nurodykite pradžios datą"/>
                <w:id w:val="423238108"/>
                <w:placeholder>
                  <w:docPart w:val="F74B722AF67947E8A3773F3B8B514738"/>
                </w:placeholder>
                <w:date>
                  <w:dateFormat w:val="yyyy 'm.' MMMM d 'd.'"/>
                  <w:lid w:val="lt-LT"/>
                  <w:storeMappedDataAs w:val="dateTime"/>
                  <w:calendar w:val="gregorian"/>
                </w:date>
              </w:sdtPr>
              <w:sdtEndPr>
                <w:rPr>
                  <w:sz w:val="24"/>
                </w:rPr>
              </w:sdtEndPr>
              <w:sdtContent>
                <w:r w:rsidR="006067D9" w:rsidRPr="00DA5285">
                  <w:t>2022 m. balandžio 4 d.</w:t>
                </w:r>
              </w:sdtContent>
            </w:sdt>
          </w:p>
        </w:tc>
      </w:tr>
      <w:tr w:rsidR="00B13D65" w:rsidRPr="006067D9" w14:paraId="15968AE1" w14:textId="77777777" w:rsidTr="006067D9">
        <w:trPr>
          <w:trHeight w:val="96"/>
        </w:trPr>
        <w:tc>
          <w:tcPr>
            <w:tcW w:w="632" w:type="dxa"/>
          </w:tcPr>
          <w:p w14:paraId="6A784245" w14:textId="1E461489" w:rsidR="00B13D65" w:rsidRPr="006067D9" w:rsidRDefault="002E0702" w:rsidP="00824B92">
            <w:pPr>
              <w:rPr>
                <w:rFonts w:eastAsia="Arial"/>
              </w:rPr>
            </w:pPr>
            <w:r w:rsidRPr="006067D9">
              <w:rPr>
                <w:rFonts w:eastAsia="Arial"/>
              </w:rPr>
              <w:t>1.3</w:t>
            </w:r>
          </w:p>
        </w:tc>
        <w:tc>
          <w:tcPr>
            <w:tcW w:w="3694" w:type="dxa"/>
          </w:tcPr>
          <w:p w14:paraId="22933506" w14:textId="77777777" w:rsidR="00B13D65" w:rsidRPr="006067D9" w:rsidRDefault="00B13D65" w:rsidP="00824B92">
            <w:r w:rsidRPr="006067D9">
              <w:t xml:space="preserve">Paraiškos tipas </w:t>
            </w:r>
          </w:p>
          <w:p w14:paraId="77089D80" w14:textId="7EC15991" w:rsidR="00B13D65" w:rsidRPr="006067D9" w:rsidRDefault="00B13D65" w:rsidP="00824B92">
            <w:r w:rsidRPr="006067D9">
              <w:t>(</w:t>
            </w:r>
            <w:r w:rsidR="00695CD3" w:rsidRPr="006067D9">
              <w:t xml:space="preserve">pagal </w:t>
            </w:r>
            <w:r w:rsidR="0039696E" w:rsidRPr="006067D9">
              <w:rPr>
                <w:color w:val="333333"/>
                <w:shd w:val="clear" w:color="auto" w:fill="FFFFFF"/>
              </w:rPr>
              <w:t>vaistinio preparato registracijos tipą, įtvirtintą</w:t>
            </w:r>
            <w:r w:rsidR="0039696E" w:rsidRPr="006067D9">
              <w:t xml:space="preserve"> </w:t>
            </w:r>
            <w:r w:rsidRPr="006067D9">
              <w:t>Direktyv</w:t>
            </w:r>
            <w:r w:rsidR="00695CD3" w:rsidRPr="006067D9">
              <w:t>os</w:t>
            </w:r>
            <w:r w:rsidRPr="006067D9">
              <w:t xml:space="preserve"> 2001/83/EB</w:t>
            </w:r>
            <w:r w:rsidR="00695CD3" w:rsidRPr="006067D9">
              <w:t xml:space="preserve"> straips</w:t>
            </w:r>
            <w:r w:rsidR="0039696E" w:rsidRPr="006067D9">
              <w:t>iuose</w:t>
            </w:r>
            <w:r w:rsidRPr="006067D9">
              <w:t>)</w:t>
            </w:r>
          </w:p>
        </w:tc>
        <w:tc>
          <w:tcPr>
            <w:tcW w:w="5167" w:type="dxa"/>
          </w:tcPr>
          <w:p w14:paraId="208F40EC" w14:textId="673F54C2" w:rsidR="00B13D65" w:rsidRPr="00DA5285" w:rsidRDefault="00000000" w:rsidP="00824B92">
            <w:sdt>
              <w:sdtPr>
                <w:rPr>
                  <w:rStyle w:val="Style2"/>
                  <w:sz w:val="24"/>
                </w:rPr>
                <w:id w:val="526292078"/>
                <w15:color w:val="FFCC00"/>
                <w14:checkbox>
                  <w14:checked w14:val="1"/>
                  <w14:checkedState w14:val="2612" w14:font="MS Gothic"/>
                  <w14:uncheckedState w14:val="2610" w14:font="MS Gothic"/>
                </w14:checkbox>
              </w:sdtPr>
              <w:sdtContent>
                <w:r w:rsidR="006067D9" w:rsidRPr="00DA5285">
                  <w:rPr>
                    <w:rStyle w:val="Style2"/>
                    <w:rFonts w:ascii="MS Gothic" w:eastAsia="MS Gothic" w:hAnsi="MS Gothic" w:hint="eastAsia"/>
                    <w:sz w:val="24"/>
                  </w:rPr>
                  <w:t>☒</w:t>
                </w:r>
              </w:sdtContent>
            </w:sdt>
            <w:r w:rsidR="00B13D65" w:rsidRPr="00DA5285">
              <w:t xml:space="preserve">8.3 str. (pilna byla, pagrįsta savais tyrimais) </w:t>
            </w:r>
          </w:p>
          <w:p w14:paraId="32BA564E" w14:textId="3FDA3E01" w:rsidR="00B13D65" w:rsidRPr="00DA5285" w:rsidRDefault="00000000" w:rsidP="00824B92">
            <w:sdt>
              <w:sdtPr>
                <w:rPr>
                  <w:rStyle w:val="Style2"/>
                  <w:sz w:val="24"/>
                </w:rPr>
                <w:id w:val="-1497953736"/>
                <w15:color w:val="FFCC00"/>
                <w14:checkbox>
                  <w14:checked w14:val="0"/>
                  <w14:checkedState w14:val="2612" w14:font="MS Gothic"/>
                  <w14:uncheckedState w14:val="2610" w14:font="MS Gothic"/>
                </w14:checkbox>
              </w:sdtPr>
              <w:sdtContent>
                <w:r w:rsidR="00CC7832" w:rsidRPr="00DA5285">
                  <w:rPr>
                    <w:rStyle w:val="Style2"/>
                    <w:rFonts w:ascii="Segoe UI Symbol" w:eastAsia="MS Gothic" w:hAnsi="Segoe UI Symbol" w:cs="Segoe UI Symbol"/>
                    <w:sz w:val="24"/>
                  </w:rPr>
                  <w:t>☐</w:t>
                </w:r>
              </w:sdtContent>
            </w:sdt>
            <w:r w:rsidR="00B13D65" w:rsidRPr="00DA5285">
              <w:t xml:space="preserve">10 a str. (pripažintas medicininis vartojimas) </w:t>
            </w:r>
          </w:p>
          <w:p w14:paraId="318DCD7F" w14:textId="32333E53" w:rsidR="00B13D65" w:rsidRPr="00DA5285" w:rsidRDefault="00000000" w:rsidP="00824B92">
            <w:sdt>
              <w:sdtPr>
                <w:rPr>
                  <w:rStyle w:val="Style2"/>
                  <w:sz w:val="24"/>
                </w:rPr>
                <w:id w:val="204142496"/>
                <w15:color w:val="FFCC00"/>
                <w14:checkbox>
                  <w14:checked w14:val="0"/>
                  <w14:checkedState w14:val="2612" w14:font="MS Gothic"/>
                  <w14:uncheckedState w14:val="2610" w14:font="MS Gothic"/>
                </w14:checkbox>
              </w:sdtPr>
              <w:sdtContent>
                <w:r w:rsidR="00CC7832" w:rsidRPr="00DA5285">
                  <w:rPr>
                    <w:rStyle w:val="Style2"/>
                    <w:rFonts w:ascii="Segoe UI Symbol" w:eastAsia="MS Gothic" w:hAnsi="Segoe UI Symbol" w:cs="Segoe UI Symbol"/>
                    <w:sz w:val="24"/>
                  </w:rPr>
                  <w:t>☐</w:t>
                </w:r>
              </w:sdtContent>
            </w:sdt>
            <w:r w:rsidR="00B13D65" w:rsidRPr="00DA5285">
              <w:t>10.1 str. (generinis)</w:t>
            </w:r>
          </w:p>
          <w:p w14:paraId="3B0A4F72" w14:textId="3F5FB073" w:rsidR="00B13D65" w:rsidRPr="00DA5285" w:rsidRDefault="00000000"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CC7832" w:rsidRPr="00DA5285">
                  <w:rPr>
                    <w:rStyle w:val="Style2"/>
                    <w:rFonts w:ascii="Segoe UI Symbol" w:eastAsia="MS Gothic" w:hAnsi="Segoe UI Symbol" w:cs="Segoe UI Symbol"/>
                    <w:sz w:val="24"/>
                  </w:rPr>
                  <w:t>☐</w:t>
                </w:r>
              </w:sdtContent>
            </w:sdt>
            <w:r w:rsidR="00B13D65" w:rsidRPr="00DA5285">
              <w:t>10.3 str. (hibridinis)</w:t>
            </w:r>
          </w:p>
        </w:tc>
      </w:tr>
      <w:tr w:rsidR="00B13D65" w:rsidRPr="006067D9" w14:paraId="310E9662" w14:textId="77777777" w:rsidTr="006067D9">
        <w:trPr>
          <w:trHeight w:val="96"/>
        </w:trPr>
        <w:tc>
          <w:tcPr>
            <w:tcW w:w="632" w:type="dxa"/>
          </w:tcPr>
          <w:p w14:paraId="4B5A91A2" w14:textId="561B5E5F" w:rsidR="00B13D65" w:rsidRPr="006067D9" w:rsidRDefault="00B13D65" w:rsidP="00824B92">
            <w:pPr>
              <w:rPr>
                <w:rFonts w:eastAsia="Arial"/>
              </w:rPr>
            </w:pPr>
            <w:r w:rsidRPr="006067D9">
              <w:rPr>
                <w:rFonts w:eastAsia="Arial"/>
              </w:rPr>
              <w:t>1.</w:t>
            </w:r>
            <w:r w:rsidR="002E0702" w:rsidRPr="006067D9">
              <w:rPr>
                <w:rFonts w:eastAsia="Arial"/>
              </w:rPr>
              <w:t>4</w:t>
            </w:r>
          </w:p>
        </w:tc>
        <w:tc>
          <w:tcPr>
            <w:tcW w:w="3694" w:type="dxa"/>
          </w:tcPr>
          <w:p w14:paraId="483071A3" w14:textId="3204F304" w:rsidR="00B13D65" w:rsidRPr="006067D9" w:rsidRDefault="00B13D65" w:rsidP="006067D9">
            <w:pPr>
              <w:rPr>
                <w:bCs/>
                <w:color w:val="000000"/>
                <w:lang w:eastAsia="lt-LT"/>
              </w:rPr>
            </w:pPr>
            <w:r w:rsidRPr="006067D9">
              <w:rPr>
                <w:bCs/>
                <w:color w:val="000000"/>
                <w:lang w:eastAsia="lt-LT"/>
              </w:rPr>
              <w:t xml:space="preserve">Ar vaistinis preparatas įrašytas į Bendrijos retųjų vaistinių preparatų registrą? </w:t>
            </w:r>
          </w:p>
        </w:tc>
        <w:tc>
          <w:tcPr>
            <w:tcW w:w="5167" w:type="dxa"/>
          </w:tcPr>
          <w:p w14:paraId="05845C60" w14:textId="77C00D80" w:rsidR="00B13D65" w:rsidRPr="006067D9"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A5285">
                  <w:rPr>
                    <w:rStyle w:val="Style2"/>
                    <w:rFonts w:ascii="MS Gothic" w:eastAsia="MS Gothic" w:hAnsi="MS Gothic" w:hint="eastAsia"/>
                    <w:sz w:val="24"/>
                  </w:rPr>
                  <w:t>☐</w:t>
                </w:r>
              </w:sdtContent>
            </w:sdt>
            <w:r w:rsidR="00B13D65" w:rsidRPr="006067D9">
              <w:t xml:space="preserve"> Taip</w:t>
            </w:r>
          </w:p>
          <w:p w14:paraId="41D88067" w14:textId="3EF0177C" w:rsidR="00B13D65" w:rsidRPr="006067D9"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DA5285">
                  <w:rPr>
                    <w:rStyle w:val="Style2"/>
                    <w:rFonts w:ascii="MS Gothic" w:eastAsia="MS Gothic" w:hAnsi="MS Gothic" w:hint="eastAsia"/>
                    <w:sz w:val="24"/>
                  </w:rPr>
                  <w:t>☒</w:t>
                </w:r>
              </w:sdtContent>
            </w:sdt>
            <w:r w:rsidR="00B13D65" w:rsidRPr="006067D9">
              <w:t xml:space="preserve"> Ne</w:t>
            </w:r>
          </w:p>
          <w:p w14:paraId="29C2CBBB" w14:textId="77777777" w:rsidR="00B13D65" w:rsidRPr="006067D9"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6067D9">
                  <w:rPr>
                    <w:rStyle w:val="Vietosrezervavimoenklotekstas"/>
                  </w:rPr>
                  <w:t>Click here to enter a date.</w:t>
                </w:r>
              </w:sdtContent>
            </w:sdt>
          </w:p>
        </w:tc>
      </w:tr>
      <w:tr w:rsidR="00D417D2" w:rsidRPr="006067D9" w14:paraId="7841E5F8" w14:textId="77777777" w:rsidTr="00BE7489">
        <w:trPr>
          <w:trHeight w:val="476"/>
        </w:trPr>
        <w:tc>
          <w:tcPr>
            <w:tcW w:w="632" w:type="dxa"/>
          </w:tcPr>
          <w:p w14:paraId="109D2861" w14:textId="73BF27DF" w:rsidR="00D417D2" w:rsidRPr="006067D9" w:rsidRDefault="00D417D2" w:rsidP="00824B92">
            <w:pPr>
              <w:rPr>
                <w:rFonts w:eastAsia="Arial"/>
              </w:rPr>
            </w:pPr>
            <w:r w:rsidRPr="006067D9">
              <w:rPr>
                <w:rFonts w:eastAsia="Arial"/>
              </w:rPr>
              <w:t>1.5</w:t>
            </w:r>
          </w:p>
        </w:tc>
        <w:tc>
          <w:tcPr>
            <w:tcW w:w="3694" w:type="dxa"/>
          </w:tcPr>
          <w:p w14:paraId="7822D63E" w14:textId="68C38334" w:rsidR="00D417D2" w:rsidRPr="006067D9" w:rsidRDefault="00D417D2" w:rsidP="00824B92">
            <w:pPr>
              <w:rPr>
                <w:bCs/>
                <w:color w:val="000000"/>
                <w:lang w:eastAsia="lt-LT"/>
              </w:rPr>
            </w:pPr>
            <w:r w:rsidRPr="006067D9">
              <w:t>STV paraiškos pobūdis</w:t>
            </w:r>
          </w:p>
        </w:tc>
        <w:tc>
          <w:tcPr>
            <w:tcW w:w="5167" w:type="dxa"/>
          </w:tcPr>
          <w:p w14:paraId="403461B9" w14:textId="5DAD0016" w:rsidR="00D417D2" w:rsidRPr="006067D9"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6067D9" w:rsidRPr="006067D9">
                  <w:rPr>
                    <w:rStyle w:val="Style2"/>
                    <w:rFonts w:ascii="MS Gothic" w:eastAsia="MS Gothic" w:hAnsi="MS Gothic" w:hint="eastAsia"/>
                    <w:sz w:val="24"/>
                  </w:rPr>
                  <w:t>☒</w:t>
                </w:r>
              </w:sdtContent>
            </w:sdt>
            <w:r w:rsidR="00D417D2" w:rsidRPr="006067D9">
              <w:t xml:space="preserve"> Pilna paraiška</w:t>
            </w:r>
          </w:p>
          <w:p w14:paraId="6B8213E3" w14:textId="3495CDF4" w:rsidR="00D417D2" w:rsidRPr="006067D9"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6067D9">
                  <w:rPr>
                    <w:rStyle w:val="Style2"/>
                    <w:rFonts w:ascii="MS Gothic" w:eastAsia="MS Gothic" w:hAnsi="MS Gothic" w:hint="eastAsia"/>
                    <w:sz w:val="24"/>
                  </w:rPr>
                  <w:t>☐</w:t>
                </w:r>
              </w:sdtContent>
            </w:sdt>
            <w:r w:rsidR="00D417D2" w:rsidRPr="006067D9">
              <w:t xml:space="preserve"> Supaprastinta paraiška</w:t>
            </w:r>
          </w:p>
        </w:tc>
      </w:tr>
      <w:tr w:rsidR="00DA5285" w:rsidRPr="006067D9" w14:paraId="274D1DAF" w14:textId="77777777" w:rsidTr="006067D9">
        <w:trPr>
          <w:trHeight w:val="681"/>
        </w:trPr>
        <w:tc>
          <w:tcPr>
            <w:tcW w:w="632" w:type="dxa"/>
          </w:tcPr>
          <w:p w14:paraId="17ABF217" w14:textId="14AC00D7" w:rsidR="00DA5285" w:rsidRPr="006067D9" w:rsidRDefault="00DA5285" w:rsidP="00DA5285">
            <w:pPr>
              <w:rPr>
                <w:rFonts w:eastAsia="Arial"/>
              </w:rPr>
            </w:pPr>
            <w:r w:rsidRPr="006067D9">
              <w:rPr>
                <w:rFonts w:eastAsia="Arial"/>
              </w:rPr>
              <w:t>1.6</w:t>
            </w:r>
          </w:p>
        </w:tc>
        <w:tc>
          <w:tcPr>
            <w:tcW w:w="3694" w:type="dxa"/>
          </w:tcPr>
          <w:p w14:paraId="4D49DBF5" w14:textId="77777777" w:rsidR="00DA5285" w:rsidRPr="006067D9" w:rsidRDefault="00DA5285" w:rsidP="00DA5285">
            <w:pPr>
              <w:rPr>
                <w:bCs/>
                <w:color w:val="000000"/>
                <w:lang w:eastAsia="lt-LT"/>
              </w:rPr>
            </w:pPr>
            <w:r w:rsidRPr="006067D9">
              <w:rPr>
                <w:bCs/>
                <w:color w:val="000000"/>
                <w:lang w:eastAsia="lt-LT"/>
              </w:rPr>
              <w:t>Pareiškėjo teikiama (-os) kompensuoti vaistinio preparato indikacija (-os)</w:t>
            </w:r>
          </w:p>
          <w:p w14:paraId="3FB07EE5" w14:textId="77777777" w:rsidR="00DA5285" w:rsidRPr="006067D9" w:rsidRDefault="00DA5285" w:rsidP="00DA5285">
            <w:pPr>
              <w:rPr>
                <w:bCs/>
                <w:color w:val="000000"/>
                <w:lang w:eastAsia="lt-LT"/>
              </w:rPr>
            </w:pPr>
          </w:p>
          <w:p w14:paraId="6B4FEEC1" w14:textId="378668B0" w:rsidR="00DA5285" w:rsidRPr="006067D9" w:rsidRDefault="00DA5285" w:rsidP="00DA5285">
            <w:pPr>
              <w:rPr>
                <w:bCs/>
                <w:color w:val="000000"/>
                <w:lang w:eastAsia="lt-LT"/>
              </w:rPr>
            </w:pPr>
            <w:r w:rsidRPr="006067D9">
              <w:rPr>
                <w:bCs/>
                <w:color w:val="000000"/>
                <w:lang w:eastAsia="lt-LT"/>
              </w:rPr>
              <w:t>Kodas pagal TLK-10 AM</w:t>
            </w:r>
          </w:p>
        </w:tc>
        <w:tc>
          <w:tcPr>
            <w:tcW w:w="5167" w:type="dxa"/>
          </w:tcPr>
          <w:p w14:paraId="0EA850E4" w14:textId="77777777" w:rsidR="00DA5285" w:rsidRPr="008A4DDD" w:rsidRDefault="00DA5285" w:rsidP="00DA5285">
            <w:pPr>
              <w:spacing w:after="120"/>
              <w:jc w:val="both"/>
            </w:pPr>
            <w:r w:rsidRPr="008A4DDD">
              <w:rPr>
                <w:rFonts w:eastAsia="Arial"/>
              </w:rPr>
              <w:t>Lorviqua monoterapija skirta anksčiau ALK inhibitorių nevartojusių suaugusių pacientų, sergančių anaplastinės limfomos kinazės (ALK) atžvilgiu teigiamu išplitusiu nesmulkialąsteliniu plaučių vėžiu (NSLPV, angl. non-small cell lung cancer [NSCLC]), gydymui</w:t>
            </w:r>
            <w:r w:rsidRPr="008A4DDD">
              <w:t>.</w:t>
            </w:r>
          </w:p>
          <w:p w14:paraId="13F7DFB0" w14:textId="6A33F007" w:rsidR="00DA5285" w:rsidRPr="006067D9" w:rsidRDefault="00DA5285" w:rsidP="00DA5285">
            <w:r w:rsidRPr="008A4DDD">
              <w:t>TLK kodas C34</w:t>
            </w:r>
          </w:p>
        </w:tc>
      </w:tr>
      <w:tr w:rsidR="00DA5285" w:rsidRPr="006067D9" w14:paraId="2F79DC08" w14:textId="77777777" w:rsidTr="00BE7489">
        <w:trPr>
          <w:trHeight w:val="378"/>
        </w:trPr>
        <w:tc>
          <w:tcPr>
            <w:tcW w:w="632" w:type="dxa"/>
          </w:tcPr>
          <w:p w14:paraId="547885A2" w14:textId="08AA8055" w:rsidR="00DA5285" w:rsidRPr="006067D9" w:rsidRDefault="00DA5285" w:rsidP="00DA5285">
            <w:pPr>
              <w:rPr>
                <w:rFonts w:eastAsia="Arial"/>
              </w:rPr>
            </w:pPr>
            <w:r w:rsidRPr="006067D9">
              <w:rPr>
                <w:rFonts w:eastAsia="Arial"/>
              </w:rPr>
              <w:t>1.6</w:t>
            </w:r>
          </w:p>
        </w:tc>
        <w:tc>
          <w:tcPr>
            <w:tcW w:w="3694" w:type="dxa"/>
          </w:tcPr>
          <w:p w14:paraId="2EAB877F" w14:textId="39A36941" w:rsidR="00DA5285" w:rsidRPr="006067D9" w:rsidRDefault="00DA5285" w:rsidP="00DA5285">
            <w:pPr>
              <w:rPr>
                <w:bCs/>
                <w:color w:val="000000"/>
                <w:u w:val="single"/>
                <w:lang w:eastAsia="lt-LT"/>
              </w:rPr>
            </w:pPr>
            <w:r w:rsidRPr="006067D9">
              <w:rPr>
                <w:bCs/>
                <w:color w:val="000000"/>
                <w:lang w:eastAsia="lt-LT"/>
              </w:rPr>
              <w:t xml:space="preserve">Pareiškėjo teikiamos skyrimo sąlygos </w:t>
            </w:r>
          </w:p>
        </w:tc>
        <w:tc>
          <w:tcPr>
            <w:tcW w:w="5167" w:type="dxa"/>
          </w:tcPr>
          <w:p w14:paraId="0579DF58" w14:textId="4BC8FDC9" w:rsidR="00DA5285" w:rsidRPr="006067D9" w:rsidRDefault="00DA5285" w:rsidP="00DA5285">
            <w:r w:rsidRPr="008A4DDD">
              <w:t>Nėra.</w:t>
            </w:r>
          </w:p>
        </w:tc>
      </w:tr>
      <w:tr w:rsidR="00B13D65" w:rsidRPr="006067D9" w14:paraId="3B125269" w14:textId="77777777" w:rsidTr="006067D9">
        <w:trPr>
          <w:trHeight w:val="96"/>
        </w:trPr>
        <w:tc>
          <w:tcPr>
            <w:tcW w:w="632" w:type="dxa"/>
          </w:tcPr>
          <w:p w14:paraId="0058E11F" w14:textId="77777777" w:rsidR="00B13D65" w:rsidRPr="006067D9" w:rsidRDefault="00B13D65" w:rsidP="00824B92">
            <w:pPr>
              <w:rPr>
                <w:rFonts w:eastAsia="Arial"/>
              </w:rPr>
            </w:pPr>
            <w:r w:rsidRPr="006067D9">
              <w:rPr>
                <w:rFonts w:eastAsia="Arial"/>
              </w:rPr>
              <w:lastRenderedPageBreak/>
              <w:t>1.7</w:t>
            </w:r>
          </w:p>
        </w:tc>
        <w:tc>
          <w:tcPr>
            <w:tcW w:w="3694" w:type="dxa"/>
          </w:tcPr>
          <w:p w14:paraId="6CC1022E" w14:textId="3AE8498A" w:rsidR="009F4D66" w:rsidRPr="006067D9" w:rsidRDefault="007656B2" w:rsidP="00824B92">
            <w:pPr>
              <w:rPr>
                <w:bCs/>
                <w:color w:val="000000"/>
                <w:lang w:eastAsia="lt-LT"/>
              </w:rPr>
            </w:pPr>
            <w:r w:rsidRPr="006067D9">
              <w:rPr>
                <w:bCs/>
                <w:color w:val="000000"/>
                <w:lang w:eastAsia="lt-LT"/>
              </w:rPr>
              <w:t>Pareiškėjo teikiamas p</w:t>
            </w:r>
            <w:r w:rsidR="00B13D65" w:rsidRPr="006067D9">
              <w:rPr>
                <w:bCs/>
                <w:color w:val="000000"/>
                <w:lang w:eastAsia="lt-LT"/>
              </w:rPr>
              <w:t>alyginamasis</w:t>
            </w:r>
            <w:r w:rsidR="005B3756" w:rsidRPr="006067D9">
              <w:rPr>
                <w:bCs/>
                <w:color w:val="000000"/>
                <w:lang w:eastAsia="lt-LT"/>
              </w:rPr>
              <w:t xml:space="preserve"> </w:t>
            </w:r>
            <w:r w:rsidR="00B13D65" w:rsidRPr="006067D9">
              <w:rPr>
                <w:bCs/>
                <w:color w:val="000000"/>
                <w:lang w:eastAsia="lt-LT"/>
              </w:rPr>
              <w:t>gydymas</w:t>
            </w:r>
            <w:r w:rsidR="006067D9">
              <w:rPr>
                <w:bCs/>
                <w:color w:val="000000"/>
                <w:lang w:eastAsia="lt-LT"/>
              </w:rPr>
              <w:t>.</w:t>
            </w:r>
          </w:p>
        </w:tc>
        <w:tc>
          <w:tcPr>
            <w:tcW w:w="5167" w:type="dxa"/>
          </w:tcPr>
          <w:p w14:paraId="1F113AC0" w14:textId="65B6A9B1" w:rsidR="009F4D66" w:rsidRPr="006067D9"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6067D9" w:rsidRPr="006067D9">
                  <w:rPr>
                    <w:rStyle w:val="Style2"/>
                    <w:rFonts w:ascii="MS Gothic" w:eastAsia="MS Gothic" w:hAnsi="MS Gothic" w:hint="eastAsia"/>
                    <w:sz w:val="24"/>
                  </w:rPr>
                  <w:t>☒</w:t>
                </w:r>
              </w:sdtContent>
            </w:sdt>
            <w:r w:rsidR="009F4D66" w:rsidRPr="006067D9">
              <w:t xml:space="preserve"> Tinkamas</w:t>
            </w:r>
          </w:p>
          <w:p w14:paraId="41B44044" w14:textId="199BD9DF" w:rsidR="00B13D65" w:rsidRPr="006067D9"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6067D9">
                  <w:rPr>
                    <w:rStyle w:val="Style2"/>
                    <w:rFonts w:ascii="MS Gothic" w:eastAsia="MS Gothic" w:hAnsi="MS Gothic" w:hint="eastAsia"/>
                    <w:sz w:val="24"/>
                  </w:rPr>
                  <w:t>☐</w:t>
                </w:r>
              </w:sdtContent>
            </w:sdt>
            <w:r w:rsidR="009F4D66" w:rsidRPr="006067D9">
              <w:t xml:space="preserve"> Netinkama</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6067D9" w:rsidRPr="00414E1A" w14:paraId="3971C6DD" w14:textId="77777777" w:rsidTr="006067D9">
        <w:trPr>
          <w:trHeight w:val="924"/>
        </w:trPr>
        <w:tc>
          <w:tcPr>
            <w:tcW w:w="2927" w:type="dxa"/>
            <w:tcBorders>
              <w:top w:val="single" w:sz="4" w:space="0" w:color="auto"/>
              <w:left w:val="single" w:sz="4" w:space="0" w:color="auto"/>
              <w:bottom w:val="single" w:sz="4" w:space="0" w:color="auto"/>
              <w:right w:val="single" w:sz="4" w:space="0" w:color="auto"/>
            </w:tcBorders>
            <w:hideMark/>
          </w:tcPr>
          <w:p w14:paraId="7AA7D988" w14:textId="77777777" w:rsidR="006067D9" w:rsidRPr="00414E1A" w:rsidRDefault="006067D9">
            <w:pPr>
              <w:spacing w:line="276" w:lineRule="auto"/>
              <w:rPr>
                <w:rFonts w:eastAsia="Arial"/>
                <w:sz w:val="22"/>
                <w:szCs w:val="22"/>
              </w:rPr>
            </w:pPr>
            <w:r w:rsidRPr="00414E1A">
              <w:rPr>
                <w:rFonts w:eastAsia="Arial"/>
                <w:sz w:val="22"/>
                <w:szCs w:val="22"/>
              </w:rPr>
              <w:t>STV agentūros pavadinimas, šalis</w:t>
            </w:r>
          </w:p>
        </w:tc>
        <w:tc>
          <w:tcPr>
            <w:tcW w:w="1915" w:type="dxa"/>
            <w:tcBorders>
              <w:top w:val="single" w:sz="4" w:space="0" w:color="auto"/>
              <w:left w:val="single" w:sz="4" w:space="0" w:color="auto"/>
              <w:bottom w:val="single" w:sz="4" w:space="0" w:color="auto"/>
              <w:right w:val="single" w:sz="4" w:space="0" w:color="auto"/>
            </w:tcBorders>
            <w:hideMark/>
          </w:tcPr>
          <w:p w14:paraId="14512740" w14:textId="77777777" w:rsidR="006067D9" w:rsidRPr="00414E1A" w:rsidRDefault="006067D9">
            <w:pPr>
              <w:spacing w:line="276" w:lineRule="auto"/>
              <w:rPr>
                <w:rFonts w:eastAsia="Arial"/>
                <w:sz w:val="22"/>
                <w:szCs w:val="22"/>
              </w:rPr>
            </w:pPr>
            <w:r w:rsidRPr="00414E1A">
              <w:rPr>
                <w:rFonts w:eastAsia="Arial"/>
                <w:sz w:val="22"/>
                <w:szCs w:val="22"/>
              </w:rPr>
              <w:t>STV vertinimas atliktas</w:t>
            </w:r>
          </w:p>
        </w:tc>
        <w:tc>
          <w:tcPr>
            <w:tcW w:w="2351" w:type="dxa"/>
            <w:tcBorders>
              <w:top w:val="single" w:sz="4" w:space="0" w:color="auto"/>
              <w:left w:val="single" w:sz="4" w:space="0" w:color="auto"/>
              <w:bottom w:val="single" w:sz="4" w:space="0" w:color="auto"/>
              <w:right w:val="single" w:sz="4" w:space="0" w:color="auto"/>
            </w:tcBorders>
            <w:hideMark/>
          </w:tcPr>
          <w:p w14:paraId="085B8B02" w14:textId="77777777" w:rsidR="006067D9" w:rsidRPr="00414E1A" w:rsidRDefault="006067D9">
            <w:pPr>
              <w:spacing w:line="276" w:lineRule="auto"/>
              <w:rPr>
                <w:rFonts w:eastAsia="Arial"/>
                <w:sz w:val="22"/>
                <w:szCs w:val="22"/>
              </w:rPr>
            </w:pPr>
            <w:r w:rsidRPr="00414E1A">
              <w:rPr>
                <w:rFonts w:eastAsia="Arial"/>
                <w:sz w:val="22"/>
                <w:szCs w:val="22"/>
              </w:rPr>
              <w:t>Klinikinio vertinimo išvada</w:t>
            </w:r>
          </w:p>
        </w:tc>
        <w:tc>
          <w:tcPr>
            <w:tcW w:w="2725" w:type="dxa"/>
            <w:tcBorders>
              <w:top w:val="single" w:sz="4" w:space="0" w:color="auto"/>
              <w:left w:val="single" w:sz="4" w:space="0" w:color="auto"/>
              <w:bottom w:val="single" w:sz="4" w:space="0" w:color="auto"/>
              <w:right w:val="single" w:sz="4" w:space="0" w:color="auto"/>
            </w:tcBorders>
            <w:hideMark/>
          </w:tcPr>
          <w:p w14:paraId="3AF08D84" w14:textId="77777777" w:rsidR="006067D9" w:rsidRPr="00414E1A" w:rsidRDefault="006067D9">
            <w:pPr>
              <w:spacing w:line="276" w:lineRule="auto"/>
              <w:rPr>
                <w:rFonts w:eastAsia="Arial"/>
                <w:sz w:val="22"/>
                <w:szCs w:val="22"/>
              </w:rPr>
            </w:pPr>
            <w:r w:rsidRPr="00414E1A">
              <w:rPr>
                <w:rFonts w:eastAsia="Arial"/>
                <w:sz w:val="22"/>
                <w:szCs w:val="22"/>
              </w:rPr>
              <w:t>Farmakoekonominio vertinimo išvada</w:t>
            </w:r>
          </w:p>
        </w:tc>
      </w:tr>
      <w:tr w:rsidR="00DA5285" w:rsidRPr="00414E1A" w14:paraId="49323D77" w14:textId="77777777" w:rsidTr="006067D9">
        <w:trPr>
          <w:trHeight w:val="1765"/>
        </w:trPr>
        <w:tc>
          <w:tcPr>
            <w:tcW w:w="2927" w:type="dxa"/>
            <w:tcBorders>
              <w:top w:val="single" w:sz="4" w:space="0" w:color="auto"/>
              <w:left w:val="single" w:sz="4" w:space="0" w:color="auto"/>
              <w:bottom w:val="single" w:sz="4" w:space="0" w:color="auto"/>
              <w:right w:val="single" w:sz="4" w:space="0" w:color="auto"/>
            </w:tcBorders>
            <w:hideMark/>
          </w:tcPr>
          <w:p w14:paraId="5CE6D1D1" w14:textId="77777777" w:rsidR="00DA5285" w:rsidRPr="00414E1A" w:rsidRDefault="00DA5285" w:rsidP="00DA5285">
            <w:pPr>
              <w:autoSpaceDE w:val="0"/>
              <w:autoSpaceDN w:val="0"/>
              <w:adjustRightInd w:val="0"/>
              <w:rPr>
                <w:bCs/>
                <w:sz w:val="22"/>
                <w:szCs w:val="22"/>
              </w:rPr>
            </w:pPr>
            <w:r w:rsidRPr="00414E1A">
              <w:rPr>
                <w:bCs/>
                <w:sz w:val="22"/>
                <w:szCs w:val="22"/>
              </w:rPr>
              <w:t>Nacionalinis sveikatos ir klinikinės kompetencijos institutas, Didžioji Britanija</w:t>
            </w:r>
          </w:p>
          <w:p w14:paraId="1E0C2E59" w14:textId="77777777" w:rsidR="00DA5285" w:rsidRPr="00414E1A" w:rsidRDefault="00DA5285" w:rsidP="00DA5285">
            <w:pPr>
              <w:spacing w:line="276" w:lineRule="auto"/>
              <w:rPr>
                <w:rFonts w:eastAsia="Arial"/>
                <w:sz w:val="22"/>
                <w:szCs w:val="22"/>
              </w:rPr>
            </w:pPr>
            <w:r w:rsidRPr="00414E1A">
              <w:rPr>
                <w:rFonts w:eastAsia="Arial"/>
                <w:sz w:val="22"/>
                <w:szCs w:val="22"/>
              </w:rPr>
              <w:t xml:space="preserve">(angl. </w:t>
            </w:r>
            <w:r w:rsidRPr="00414E1A">
              <w:rPr>
                <w:rFonts w:eastAsia="Arial"/>
                <w:i/>
                <w:sz w:val="22"/>
                <w:szCs w:val="22"/>
              </w:rPr>
              <w:t>National Institute for Health and Care Excellence, NICE</w:t>
            </w:r>
            <w:r w:rsidRPr="00414E1A">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0E4A280D" w14:textId="77777777" w:rsidR="00DA5285" w:rsidRPr="00DA5285" w:rsidRDefault="00000000" w:rsidP="00DA5285">
            <w:sdt>
              <w:sdtPr>
                <w:rPr>
                  <w:rStyle w:val="Style2"/>
                  <w:sz w:val="24"/>
                </w:rPr>
                <w:id w:val="1558205022"/>
                <w15:color w:val="FFCC00"/>
                <w14:checkbox>
                  <w14:checked w14:val="1"/>
                  <w14:checkedState w14:val="2612" w14:font="MS Gothic"/>
                  <w14:uncheckedState w14:val="2610" w14:font="MS Gothic"/>
                </w14:checkbox>
              </w:sdtPr>
              <w:sdtContent>
                <w:r w:rsidR="00DA5285" w:rsidRPr="00DA5285">
                  <w:rPr>
                    <w:rStyle w:val="Style2"/>
                    <w:rFonts w:ascii="MS Gothic" w:eastAsia="MS Gothic" w:hAnsi="MS Gothic"/>
                    <w:sz w:val="24"/>
                  </w:rPr>
                  <w:t>☒</w:t>
                </w:r>
              </w:sdtContent>
            </w:sdt>
            <w:r w:rsidR="00DA5285" w:rsidRPr="00DA5285">
              <w:t xml:space="preserve"> Taip</w:t>
            </w:r>
          </w:p>
          <w:p w14:paraId="4DEF3C82" w14:textId="77777777" w:rsidR="00DA5285" w:rsidRPr="00DA5285" w:rsidRDefault="00000000" w:rsidP="00DA5285">
            <w:sdt>
              <w:sdtPr>
                <w:rPr>
                  <w:rStyle w:val="Style2"/>
                  <w:sz w:val="24"/>
                </w:rPr>
                <w:id w:val="866029625"/>
                <w15:color w:val="FFCC00"/>
                <w14:checkbox>
                  <w14:checked w14:val="0"/>
                  <w14:checkedState w14:val="2612" w14:font="MS Gothic"/>
                  <w14:uncheckedState w14:val="2610" w14:font="MS Gothic"/>
                </w14:checkbox>
              </w:sdtPr>
              <w:sdtContent>
                <w:r w:rsidR="00DA5285" w:rsidRPr="00DA5285">
                  <w:rPr>
                    <w:rStyle w:val="Style2"/>
                    <w:rFonts w:ascii="MS Gothic" w:eastAsia="MS Gothic" w:hAnsi="MS Gothic"/>
                    <w:sz w:val="24"/>
                  </w:rPr>
                  <w:t>☐</w:t>
                </w:r>
              </w:sdtContent>
            </w:sdt>
            <w:r w:rsidR="00DA5285" w:rsidRPr="00DA5285">
              <w:t xml:space="preserve"> Ne</w:t>
            </w:r>
          </w:p>
          <w:p w14:paraId="2F2911D4" w14:textId="6DF1337F" w:rsidR="00DA5285" w:rsidRPr="00DA5285" w:rsidRDefault="00000000" w:rsidP="00DA5285">
            <w:pPr>
              <w:rPr>
                <w:rFonts w:eastAsia="Arial"/>
              </w:rPr>
            </w:pPr>
            <w:sdt>
              <w:sdtPr>
                <w:alias w:val="Nurodykite konkrečią dieną"/>
                <w:tag w:val="Nurodykite pradžios datą"/>
                <w:id w:val="922837954"/>
                <w:placeholder>
                  <w:docPart w:val="CFA21A5F350B4BC4A2026FF689A5BC39"/>
                </w:placeholder>
                <w15:color w:val="FFCC99"/>
                <w:date>
                  <w:dateFormat w:val="yyyy 'm.' MMMM d 'd.'"/>
                  <w:lid w:val="lt-LT"/>
                  <w:storeMappedDataAs w:val="dateTime"/>
                  <w:calendar w:val="gregorian"/>
                </w:date>
              </w:sdtPr>
              <w:sdtContent>
                <w:r w:rsidR="00DA5285" w:rsidRPr="00DA5285">
                  <w:t>2023 m. liepos 12 d.</w:t>
                </w:r>
              </w:sdtContent>
            </w:sdt>
          </w:p>
        </w:tc>
        <w:tc>
          <w:tcPr>
            <w:tcW w:w="5076" w:type="dxa"/>
            <w:gridSpan w:val="2"/>
            <w:tcBorders>
              <w:top w:val="single" w:sz="4" w:space="0" w:color="auto"/>
              <w:left w:val="single" w:sz="4" w:space="0" w:color="auto"/>
              <w:bottom w:val="single" w:sz="4" w:space="0" w:color="auto"/>
              <w:right w:val="single" w:sz="4" w:space="0" w:color="auto"/>
            </w:tcBorders>
            <w:hideMark/>
          </w:tcPr>
          <w:p w14:paraId="44353B56" w14:textId="7DC4BA61" w:rsidR="00DA5285" w:rsidRPr="00DA5285" w:rsidRDefault="00DA5285" w:rsidP="00DA5285">
            <w:pPr>
              <w:spacing w:after="120"/>
              <w:jc w:val="both"/>
            </w:pPr>
            <w:r w:rsidRPr="00DA5285">
              <w:rPr>
                <w:rFonts w:eastAsia="Arial"/>
              </w:rPr>
              <w:t xml:space="preserve">Lorviqua </w:t>
            </w:r>
            <w:r w:rsidRPr="00DA5285">
              <w:rPr>
                <w:b/>
                <w:bCs/>
              </w:rPr>
              <w:t>nerekomenduojamas</w:t>
            </w:r>
            <w:r w:rsidRPr="00DA5285">
              <w:t xml:space="preserve"> kompensuoti kaip </w:t>
            </w:r>
            <w:r w:rsidRPr="00DA5285">
              <w:rPr>
                <w:rFonts w:eastAsia="Arial"/>
              </w:rPr>
              <w:t>monoterapija skirta anksčiau ALK inhibitorių nevartojusių suaugusių pacientų, sergančių ALK atžvilgiu teigiamu išplitusiu NSLPV, gydymui.</w:t>
            </w:r>
          </w:p>
        </w:tc>
      </w:tr>
      <w:tr w:rsidR="00DA5285" w:rsidRPr="00414E1A" w14:paraId="3E4776BA" w14:textId="77777777" w:rsidTr="006067D9">
        <w:trPr>
          <w:trHeight w:val="1547"/>
        </w:trPr>
        <w:tc>
          <w:tcPr>
            <w:tcW w:w="2927" w:type="dxa"/>
            <w:tcBorders>
              <w:top w:val="single" w:sz="4" w:space="0" w:color="auto"/>
              <w:left w:val="single" w:sz="4" w:space="0" w:color="auto"/>
              <w:bottom w:val="single" w:sz="4" w:space="0" w:color="auto"/>
              <w:right w:val="single" w:sz="4" w:space="0" w:color="auto"/>
            </w:tcBorders>
            <w:hideMark/>
          </w:tcPr>
          <w:p w14:paraId="276CD54D" w14:textId="77777777" w:rsidR="00DA5285" w:rsidRPr="00414E1A" w:rsidRDefault="00DA5285" w:rsidP="00DA5285">
            <w:pPr>
              <w:spacing w:line="276" w:lineRule="auto"/>
              <w:rPr>
                <w:rFonts w:eastAsia="Arial"/>
                <w:sz w:val="22"/>
                <w:szCs w:val="22"/>
              </w:rPr>
            </w:pPr>
            <w:r w:rsidRPr="00414E1A">
              <w:rPr>
                <w:rFonts w:eastAsia="Arial"/>
                <w:sz w:val="22"/>
                <w:szCs w:val="22"/>
              </w:rPr>
              <w:t>Kanados sveikatos technologijų agentūra</w:t>
            </w:r>
          </w:p>
          <w:p w14:paraId="153FA100" w14:textId="77777777" w:rsidR="00DA5285" w:rsidRPr="00414E1A" w:rsidRDefault="00DA5285" w:rsidP="00DA5285">
            <w:pPr>
              <w:spacing w:line="276" w:lineRule="auto"/>
              <w:rPr>
                <w:rFonts w:eastAsia="Arial"/>
                <w:sz w:val="22"/>
                <w:szCs w:val="22"/>
              </w:rPr>
            </w:pPr>
            <w:r w:rsidRPr="00414E1A">
              <w:rPr>
                <w:rFonts w:eastAsia="Arial"/>
                <w:sz w:val="22"/>
                <w:szCs w:val="22"/>
              </w:rPr>
              <w:t xml:space="preserve">(angl. </w:t>
            </w:r>
            <w:r w:rsidRPr="00414E1A">
              <w:rPr>
                <w:rFonts w:eastAsia="Arial"/>
                <w:i/>
                <w:sz w:val="22"/>
                <w:szCs w:val="22"/>
              </w:rPr>
              <w:t>Canadian health Technology Assessment agency, CADTH</w:t>
            </w:r>
            <w:r w:rsidRPr="00414E1A">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4B5C8552" w14:textId="77777777" w:rsidR="00DA5285" w:rsidRPr="00DA5285" w:rsidRDefault="00000000" w:rsidP="00DA5285">
            <w:sdt>
              <w:sdtPr>
                <w:rPr>
                  <w:rStyle w:val="Style2"/>
                  <w:sz w:val="24"/>
                </w:rPr>
                <w:id w:val="-372539057"/>
                <w15:color w:val="FFCC00"/>
                <w14:checkbox>
                  <w14:checked w14:val="1"/>
                  <w14:checkedState w14:val="2612" w14:font="MS Gothic"/>
                  <w14:uncheckedState w14:val="2610" w14:font="MS Gothic"/>
                </w14:checkbox>
              </w:sdtPr>
              <w:sdtContent>
                <w:r w:rsidR="00DA5285" w:rsidRPr="00DA5285">
                  <w:rPr>
                    <w:rStyle w:val="Style2"/>
                    <w:rFonts w:ascii="MS Gothic" w:eastAsia="MS Gothic" w:hAnsi="MS Gothic"/>
                    <w:sz w:val="24"/>
                  </w:rPr>
                  <w:t>☒</w:t>
                </w:r>
              </w:sdtContent>
            </w:sdt>
            <w:r w:rsidR="00DA5285" w:rsidRPr="00DA5285">
              <w:t xml:space="preserve"> Taip</w:t>
            </w:r>
          </w:p>
          <w:p w14:paraId="377371EE" w14:textId="77777777" w:rsidR="00DA5285" w:rsidRPr="00DA5285" w:rsidRDefault="00000000" w:rsidP="00DA5285">
            <w:sdt>
              <w:sdtPr>
                <w:rPr>
                  <w:rStyle w:val="Style2"/>
                  <w:sz w:val="24"/>
                </w:rPr>
                <w:id w:val="594442222"/>
                <w15:color w:val="FFCC00"/>
                <w14:checkbox>
                  <w14:checked w14:val="0"/>
                  <w14:checkedState w14:val="2612" w14:font="MS Gothic"/>
                  <w14:uncheckedState w14:val="2610" w14:font="MS Gothic"/>
                </w14:checkbox>
              </w:sdtPr>
              <w:sdtContent>
                <w:r w:rsidR="00DA5285" w:rsidRPr="00DA5285">
                  <w:rPr>
                    <w:rStyle w:val="Style2"/>
                    <w:rFonts w:ascii="MS Gothic" w:eastAsia="MS Gothic" w:hAnsi="MS Gothic"/>
                    <w:sz w:val="24"/>
                  </w:rPr>
                  <w:t>☐</w:t>
                </w:r>
              </w:sdtContent>
            </w:sdt>
            <w:r w:rsidR="00DA5285" w:rsidRPr="00DA5285">
              <w:t xml:space="preserve"> Ne</w:t>
            </w:r>
          </w:p>
          <w:p w14:paraId="6120D2BD" w14:textId="62E69AD0" w:rsidR="00DA5285" w:rsidRPr="00DA5285" w:rsidRDefault="00000000" w:rsidP="00DA5285">
            <w:pPr>
              <w:spacing w:line="276" w:lineRule="auto"/>
              <w:rPr>
                <w:rFonts w:eastAsia="Arial"/>
              </w:rPr>
            </w:pPr>
            <w:sdt>
              <w:sdtPr>
                <w:alias w:val="Nurodykite konkrečią dieną"/>
                <w:tag w:val="Nurodykite pradžios datą"/>
                <w:id w:val="1072468416"/>
                <w:placeholder>
                  <w:docPart w:val="13C9762A58CA4FAAB9AF47B9D5619AB5"/>
                </w:placeholder>
                <w15:color w:val="FFCC99"/>
                <w:date>
                  <w:dateFormat w:val="yyyy 'm.' MMMM d 'd.'"/>
                  <w:lid w:val="lt-LT"/>
                  <w:storeMappedDataAs w:val="dateTime"/>
                  <w:calendar w:val="gregorian"/>
                </w:date>
              </w:sdtPr>
              <w:sdtContent>
                <w:r w:rsidR="00DA5285" w:rsidRPr="00DA5285">
                  <w:t>2022 m. balandžio 04 d.</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445CFC4A" w14:textId="55FA84E7" w:rsidR="00DA5285" w:rsidRPr="00DA5285" w:rsidRDefault="00DA5285" w:rsidP="00DA5285">
            <w:pPr>
              <w:spacing w:line="276" w:lineRule="auto"/>
              <w:jc w:val="both"/>
              <w:rPr>
                <w:rFonts w:eastAsia="Arial"/>
              </w:rPr>
            </w:pPr>
            <w:r w:rsidRPr="00DA5285">
              <w:rPr>
                <w:rFonts w:eastAsia="Arial"/>
              </w:rPr>
              <w:t xml:space="preserve">Lorviqua monoterapija </w:t>
            </w:r>
            <w:r w:rsidRPr="00DA5285">
              <w:rPr>
                <w:rFonts w:eastAsia="Arial"/>
                <w:b/>
                <w:bCs/>
              </w:rPr>
              <w:t>rekomenduojama</w:t>
            </w:r>
            <w:r w:rsidRPr="00DA5285">
              <w:rPr>
                <w:rFonts w:eastAsia="Arial"/>
              </w:rPr>
              <w:t xml:space="preserve"> anksčiau ALK inhibitorių nevartojusių suaugusių pacientų, sergančių ALK atžvilgiu teigiamu išplitusiu NSLPV, gydymui.</w:t>
            </w:r>
          </w:p>
        </w:tc>
      </w:tr>
      <w:tr w:rsidR="00DA5285" w:rsidRPr="00414E1A" w14:paraId="6D1250B9" w14:textId="77777777" w:rsidTr="006067D9">
        <w:trPr>
          <w:trHeight w:val="1927"/>
        </w:trPr>
        <w:tc>
          <w:tcPr>
            <w:tcW w:w="2927" w:type="dxa"/>
            <w:tcBorders>
              <w:top w:val="single" w:sz="4" w:space="0" w:color="auto"/>
              <w:left w:val="single" w:sz="4" w:space="0" w:color="auto"/>
              <w:bottom w:val="single" w:sz="4" w:space="0" w:color="auto"/>
              <w:right w:val="single" w:sz="4" w:space="0" w:color="auto"/>
            </w:tcBorders>
            <w:hideMark/>
          </w:tcPr>
          <w:p w14:paraId="56A2A139" w14:textId="77777777" w:rsidR="00DA5285" w:rsidRPr="00414E1A" w:rsidRDefault="00DA5285" w:rsidP="00DA5285">
            <w:pPr>
              <w:spacing w:line="276" w:lineRule="auto"/>
              <w:rPr>
                <w:rFonts w:eastAsia="Arial"/>
                <w:sz w:val="22"/>
                <w:szCs w:val="22"/>
              </w:rPr>
            </w:pPr>
            <w:r w:rsidRPr="00414E1A">
              <w:rPr>
                <w:rFonts w:eastAsia="Arial"/>
                <w:sz w:val="22"/>
                <w:szCs w:val="22"/>
              </w:rPr>
              <w:t>Nacionalinis farmakoekonomikos centras, Airija</w:t>
            </w:r>
          </w:p>
          <w:p w14:paraId="380FF7E0" w14:textId="77777777" w:rsidR="00DA5285" w:rsidRPr="00414E1A" w:rsidRDefault="00DA5285" w:rsidP="00DA5285">
            <w:pPr>
              <w:spacing w:line="276" w:lineRule="auto"/>
              <w:rPr>
                <w:rFonts w:eastAsia="Arial"/>
                <w:sz w:val="22"/>
                <w:szCs w:val="22"/>
              </w:rPr>
            </w:pPr>
            <w:r w:rsidRPr="00414E1A">
              <w:rPr>
                <w:rFonts w:eastAsia="Arial"/>
                <w:sz w:val="22"/>
                <w:szCs w:val="22"/>
              </w:rPr>
              <w:t>(angl.</w:t>
            </w:r>
            <w:r w:rsidRPr="00414E1A">
              <w:rPr>
                <w:rFonts w:eastAsia="Arial"/>
                <w:i/>
                <w:sz w:val="22"/>
                <w:szCs w:val="22"/>
              </w:rPr>
              <w:t xml:space="preserve"> National Centre for Pharmacoeconomics, NCPE</w:t>
            </w:r>
            <w:r w:rsidRPr="00414E1A">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77A529BE" w14:textId="77777777" w:rsidR="00DA5285" w:rsidRPr="00DA5285" w:rsidRDefault="00000000" w:rsidP="00DA5285">
            <w:sdt>
              <w:sdtPr>
                <w:rPr>
                  <w:rStyle w:val="Style2"/>
                  <w:sz w:val="24"/>
                </w:rPr>
                <w:id w:val="-1888403732"/>
                <w15:color w:val="FFCC00"/>
                <w14:checkbox>
                  <w14:checked w14:val="1"/>
                  <w14:checkedState w14:val="2612" w14:font="MS Gothic"/>
                  <w14:uncheckedState w14:val="2610" w14:font="MS Gothic"/>
                </w14:checkbox>
              </w:sdtPr>
              <w:sdtContent>
                <w:r w:rsidR="00DA5285" w:rsidRPr="00DA5285">
                  <w:rPr>
                    <w:rStyle w:val="Style2"/>
                    <w:rFonts w:ascii="Segoe UI Symbol" w:eastAsia="MS Gothic" w:hAnsi="Segoe UI Symbol" w:cs="Segoe UI Symbol"/>
                    <w:sz w:val="24"/>
                  </w:rPr>
                  <w:t>☒</w:t>
                </w:r>
              </w:sdtContent>
            </w:sdt>
            <w:r w:rsidR="00DA5285" w:rsidRPr="00DA5285">
              <w:t xml:space="preserve"> Taip</w:t>
            </w:r>
          </w:p>
          <w:p w14:paraId="163F49C6" w14:textId="77777777" w:rsidR="00DA5285" w:rsidRPr="00DA5285" w:rsidRDefault="00000000" w:rsidP="00DA5285">
            <w:sdt>
              <w:sdtPr>
                <w:rPr>
                  <w:rStyle w:val="Style2"/>
                  <w:sz w:val="24"/>
                </w:rPr>
                <w:id w:val="1092201793"/>
                <w15:color w:val="FFCC00"/>
                <w14:checkbox>
                  <w14:checked w14:val="0"/>
                  <w14:checkedState w14:val="2612" w14:font="MS Gothic"/>
                  <w14:uncheckedState w14:val="2610" w14:font="MS Gothic"/>
                </w14:checkbox>
              </w:sdtPr>
              <w:sdtContent>
                <w:r w:rsidR="00DA5285" w:rsidRPr="00DA5285">
                  <w:rPr>
                    <w:rStyle w:val="Style2"/>
                    <w:rFonts w:ascii="Segoe UI Symbol" w:eastAsia="MS Gothic" w:hAnsi="Segoe UI Symbol" w:cs="Segoe UI Symbol"/>
                    <w:sz w:val="24"/>
                  </w:rPr>
                  <w:t>☐</w:t>
                </w:r>
              </w:sdtContent>
            </w:sdt>
            <w:r w:rsidR="00DA5285" w:rsidRPr="00DA5285">
              <w:t xml:space="preserve"> Ne</w:t>
            </w:r>
          </w:p>
          <w:p w14:paraId="23EB5FC3" w14:textId="14FDEC33" w:rsidR="00DA5285" w:rsidRPr="00DA5285" w:rsidRDefault="00000000" w:rsidP="00DA5285">
            <w:pPr>
              <w:spacing w:line="276" w:lineRule="auto"/>
              <w:rPr>
                <w:rFonts w:eastAsia="Arial"/>
              </w:rPr>
            </w:pPr>
            <w:sdt>
              <w:sdtPr>
                <w:alias w:val="Nurodykite konkrečią dieną"/>
                <w:tag w:val="Nurodykite pradžios datą"/>
                <w:id w:val="-198323198"/>
                <w:placeholder>
                  <w:docPart w:val="9966FF0B2BF441B58E1E7AF456684223"/>
                </w:placeholder>
                <w15:color w:val="FFCC99"/>
                <w:date>
                  <w:dateFormat w:val="yyyy 'm.' MMMM d 'd.'"/>
                  <w:lid w:val="lt-LT"/>
                  <w:storeMappedDataAs w:val="dateTime"/>
                  <w:calendar w:val="gregorian"/>
                </w:date>
              </w:sdtPr>
              <w:sdtContent>
                <w:r w:rsidR="00DA5285" w:rsidRPr="00DA5285">
                  <w:t>2022 m. spalio mėn.</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0DEA357A" w14:textId="6C77977C" w:rsidR="00DA5285" w:rsidRPr="00DA5285" w:rsidRDefault="00DA5285" w:rsidP="00DA5285">
            <w:pPr>
              <w:spacing w:line="276" w:lineRule="auto"/>
              <w:rPr>
                <w:rFonts w:eastAsia="Arial"/>
              </w:rPr>
            </w:pPr>
            <w:r w:rsidRPr="00DA5285">
              <w:rPr>
                <w:rFonts w:eastAsia="Arial"/>
              </w:rPr>
              <w:t xml:space="preserve">NCPE </w:t>
            </w:r>
            <w:r w:rsidRPr="00DA5285">
              <w:rPr>
                <w:rFonts w:eastAsia="Arial"/>
                <w:b/>
                <w:bCs/>
              </w:rPr>
              <w:t>rekomenduoja</w:t>
            </w:r>
            <w:r w:rsidRPr="00DA5285">
              <w:rPr>
                <w:rFonts w:eastAsia="Arial"/>
              </w:rPr>
              <w:t>, kad Lorviqua būtų kompensuojamas po konfidencialių derybų dėl kainos.</w:t>
            </w:r>
          </w:p>
        </w:tc>
      </w:tr>
    </w:tbl>
    <w:p w14:paraId="73290081" w14:textId="3C1E315B" w:rsidR="007A2B68" w:rsidRDefault="007A2B68">
      <w:pPr>
        <w:rPr>
          <w:b/>
          <w:bCs/>
          <w:caps/>
        </w:rPr>
      </w:pP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25F89291" w14:textId="0B2856E4" w:rsidR="00D4485B" w:rsidRDefault="00D4485B" w:rsidP="00A93AA6">
      <w:pPr>
        <w:pStyle w:val="Sraopastraipa"/>
        <w:tabs>
          <w:tab w:val="left" w:pos="426"/>
        </w:tabs>
        <w:ind w:left="0"/>
        <w:rPr>
          <w:b/>
          <w:bCs/>
          <w:caps/>
        </w:rPr>
      </w:pPr>
    </w:p>
    <w:p w14:paraId="33952FB5" w14:textId="77777777" w:rsidR="00DA5285" w:rsidRPr="008A4DDD" w:rsidRDefault="00DA5285" w:rsidP="00DA5285">
      <w:pPr>
        <w:spacing w:line="360" w:lineRule="auto"/>
        <w:ind w:firstLine="709"/>
        <w:jc w:val="both"/>
        <w:rPr>
          <w:rFonts w:eastAsia="Arial"/>
          <w:iCs/>
          <w:highlight w:val="yellow"/>
        </w:rPr>
      </w:pPr>
      <w:r w:rsidRPr="008A4DDD">
        <w:t xml:space="preserve">Plaučių vėžys (broncho ir plaučio piktybinis navikas, ligos kodas pagal TLK-10-AM C34 - tai plaučių piktybinis navikas. </w:t>
      </w:r>
      <w:r w:rsidRPr="008A4DDD">
        <w:rPr>
          <w:rFonts w:cs="Tahoma"/>
        </w:rPr>
        <w:t xml:space="preserve">Molekulinės pažaidos tiesiogiai susijusios su plaučių kancerogeneze, jos gali daryti įtaką klinikinei ligos eigai, lemti gydymo veiksmingumą. Anaplazinės limfomos receptoriaus (angl. </w:t>
      </w:r>
      <w:r w:rsidRPr="008A4DDD">
        <w:rPr>
          <w:rFonts w:cs="Tahoma"/>
          <w:i/>
        </w:rPr>
        <w:t>Anaplastic lymphoma receptor</w:t>
      </w:r>
      <w:r w:rsidRPr="008A4DDD">
        <w:rPr>
          <w:rFonts w:cs="Tahoma"/>
        </w:rPr>
        <w:t xml:space="preserve">, ALK) tirozino kinazės geno translokacija susijusi su klinikiniu ALK tirozino kinazės inhibitoriaus veiksmingumu. </w:t>
      </w:r>
      <w:r w:rsidRPr="008A4DDD">
        <w:rPr>
          <w:color w:val="000000"/>
        </w:rPr>
        <w:t xml:space="preserve">Lietuvos vėžio registro duomenimis, 2017 m. buvo diagnozuoti 1557 nauji plaučių vėžio atvejai, mirė 1234 asmenys. Higienos instituto duomenimis 2022 m. Lietuvoje gyveno 4,5 tūkst. asmenų, kuriems diagnozuotas plaučių vėžys. </w:t>
      </w:r>
      <w:r w:rsidRPr="008A4DDD">
        <w:rPr>
          <w:rFonts w:eastAsia="Arial"/>
          <w:iCs/>
        </w:rPr>
        <w:t xml:space="preserve">Lietuvoje NSLPV diagnozuojamas ir gydomas atitinka 2023 m. Europos medicinos onkologų draugijos (angl. European Society of Medical Oncology; ESMO) ir 2024 m. </w:t>
      </w:r>
      <w:r w:rsidRPr="008A4DDD">
        <w:rPr>
          <w:rFonts w:eastAsia="Arial"/>
        </w:rPr>
        <w:t>Nacionalinio išplėstinio vėžio tinklo (angl. National Comprehensive Cancer Network, NCCN</w:t>
      </w:r>
      <w:r w:rsidRPr="008A4DDD">
        <w:rPr>
          <w:rFonts w:eastAsia="Arial"/>
          <w:i/>
          <w:iCs/>
        </w:rPr>
        <w:t xml:space="preserve">) </w:t>
      </w:r>
      <w:r w:rsidRPr="008A4DDD">
        <w:rPr>
          <w:rFonts w:eastAsia="Arial"/>
          <w:iCs/>
        </w:rPr>
        <w:t>rekomendacijomis.</w:t>
      </w:r>
    </w:p>
    <w:p w14:paraId="7D53F8CF" w14:textId="6710931E" w:rsidR="00DA5285" w:rsidRPr="008A4DDD" w:rsidRDefault="00DA5285" w:rsidP="00DA5285">
      <w:pPr>
        <w:spacing w:line="360" w:lineRule="auto"/>
        <w:ind w:firstLine="709"/>
        <w:jc w:val="both"/>
        <w:rPr>
          <w:rFonts w:eastAsia="Arial"/>
          <w:iCs/>
        </w:rPr>
      </w:pPr>
      <w:r w:rsidRPr="008A4DDD">
        <w:rPr>
          <w:rFonts w:eastAsia="Arial"/>
        </w:rPr>
        <w:t xml:space="preserve">Remiantis </w:t>
      </w:r>
      <w:r w:rsidRPr="008A4DDD">
        <w:rPr>
          <w:rFonts w:eastAsia="Arial"/>
          <w:iCs/>
        </w:rPr>
        <w:t>2009 m. vasario 20 d. Lietuvos Respublikos sveikatos apsaugos ministro įsakymu „</w:t>
      </w:r>
      <w:r w:rsidRPr="008A4DDD">
        <w:rPr>
          <w:color w:val="000000"/>
        </w:rPr>
        <w:t>Dėl Plaučių vėžio ambulatorinio gydymo, kurio išlaidos kompensuojamos iš Privalomojo sveikatos draudimo fondo biudžeto, tvarkos aprašo patvirtinimo</w:t>
      </w:r>
      <w:r w:rsidRPr="008A4DDD">
        <w:rPr>
          <w:rFonts w:eastAsia="Arial"/>
          <w:iCs/>
        </w:rPr>
        <w:t xml:space="preserve">“ </w:t>
      </w:r>
      <w:r w:rsidR="007418A8" w:rsidRPr="008A4DDD">
        <w:rPr>
          <w:rFonts w:eastAsia="Arial"/>
          <w:iCs/>
        </w:rPr>
        <w:t xml:space="preserve">Nr. V-127 </w:t>
      </w:r>
      <w:r>
        <w:rPr>
          <w:rFonts w:eastAsia="Arial"/>
          <w:iCs/>
        </w:rPr>
        <w:t>ir</w:t>
      </w:r>
      <w:r w:rsidRPr="008A4DDD">
        <w:rPr>
          <w:rFonts w:eastAsia="Arial"/>
        </w:rPr>
        <w:t xml:space="preserve"> </w:t>
      </w:r>
      <w:r w:rsidRPr="008A4DDD">
        <w:rPr>
          <w:rFonts w:eastAsia="Arial"/>
          <w:iCs/>
        </w:rPr>
        <w:t xml:space="preserve">2000 m. sausio 28 d. Lietuvos Respublikos sveikatos apsaugos ministro įsakymu Nr. 49 „Dėl kompensuojamųjų vaistų sąrašų </w:t>
      </w:r>
      <w:r w:rsidRPr="008A4DDD">
        <w:rPr>
          <w:rFonts w:eastAsia="Arial"/>
          <w:iCs/>
        </w:rPr>
        <w:lastRenderedPageBreak/>
        <w:t>patvirtinimo“ į</w:t>
      </w:r>
      <w:r w:rsidRPr="008A4DDD">
        <w:rPr>
          <w:color w:val="000000"/>
        </w:rPr>
        <w:t xml:space="preserve"> kompensuojamųjų vaisų sąrašą taip pat įtrauktas ir brigatinibas, kuriam nustatytos skyrimo sąlygos: „</w:t>
      </w:r>
      <w:r w:rsidRPr="008A4DDD">
        <w:rPr>
          <w:rFonts w:eastAsia="Calibri"/>
        </w:rPr>
        <w:t>Skiriamas kaip monoterapija teigiamu ALK atžvilgiu išplitusiu nesmulkiųjų ląstelių plaučių vėžiu sergantiems suaugusiems pacientams, kurie anksčiau nebuvo gydyti ALK inhibitoriumi.“</w:t>
      </w:r>
      <w:r>
        <w:rPr>
          <w:rFonts w:eastAsia="Calibri"/>
        </w:rPr>
        <w:t xml:space="preserve"> </w:t>
      </w:r>
      <w:r w:rsidRPr="008A4DDD">
        <w:rPr>
          <w:color w:val="000000"/>
        </w:rPr>
        <w:t xml:space="preserve">Lietuvoje išplitusio ALK+ NSLPV pirmos eilės gydymui rekomenduojami kompensuojami ALK TKI krizotinibas, ceritinibas, brigatinibas ir alektinibas. </w:t>
      </w:r>
      <w:r>
        <w:rPr>
          <w:color w:val="000000"/>
        </w:rPr>
        <w:t>VLK duomenimis, d</w:t>
      </w:r>
      <w:r w:rsidRPr="008A4DDD">
        <w:rPr>
          <w:color w:val="000000"/>
        </w:rPr>
        <w:t xml:space="preserve">idžiausia dalis pacientų gydomi alektinibu. </w:t>
      </w:r>
    </w:p>
    <w:p w14:paraId="197D1709" w14:textId="5A28CE24" w:rsidR="00DA5285" w:rsidRPr="008A4DDD" w:rsidRDefault="00DA5285" w:rsidP="00DA5285">
      <w:pPr>
        <w:tabs>
          <w:tab w:val="left" w:pos="426"/>
        </w:tabs>
        <w:spacing w:line="360" w:lineRule="auto"/>
        <w:jc w:val="both"/>
        <w:rPr>
          <w:rFonts w:eastAsia="Arial"/>
        </w:rPr>
      </w:pPr>
      <w:r w:rsidRPr="008A4DDD">
        <w:rPr>
          <w:bCs/>
          <w:lang w:eastAsia="lt-LT"/>
        </w:rPr>
        <w:tab/>
      </w:r>
      <w:r w:rsidRPr="008A4DDD">
        <w:rPr>
          <w:bCs/>
          <w:lang w:eastAsia="lt-LT"/>
        </w:rPr>
        <w:tab/>
        <w:t>Pagal Lietuvos Respublikos sveikatos apsaugos ministro 2002 m. balandžio 5 d. įsakym</w:t>
      </w:r>
      <w:r w:rsidR="007418A8">
        <w:rPr>
          <w:bCs/>
          <w:lang w:eastAsia="lt-LT"/>
        </w:rPr>
        <w:t>o</w:t>
      </w:r>
      <w:r w:rsidRPr="008A4DDD">
        <w:rPr>
          <w:bCs/>
          <w:lang w:eastAsia="lt-LT"/>
        </w:rPr>
        <w:t xml:space="preserve"> „Dė</w:t>
      </w:r>
      <w:r w:rsidRPr="008A4DDD">
        <w:rPr>
          <w:bCs/>
        </w:rPr>
        <w:t>l vaistinių preparatų ir medicinos pagalbos priemonių įrašymo į kompensavimo sąrašus ir jų keitimo tvarkos aprašo patvirtinimo“</w:t>
      </w:r>
      <w:r w:rsidR="007F4225">
        <w:rPr>
          <w:bCs/>
        </w:rPr>
        <w:t xml:space="preserve"> </w:t>
      </w:r>
      <w:r w:rsidR="007418A8" w:rsidRPr="008A4DDD">
        <w:rPr>
          <w:bCs/>
          <w:lang w:eastAsia="lt-LT"/>
        </w:rPr>
        <w:t xml:space="preserve">Nr. V-159 </w:t>
      </w:r>
      <w:r w:rsidRPr="008A4DDD">
        <w:rPr>
          <w:bCs/>
        </w:rPr>
        <w:t xml:space="preserve">116-119 </w:t>
      </w:r>
      <w:r w:rsidR="007F4225">
        <w:rPr>
          <w:bCs/>
        </w:rPr>
        <w:t>punktus</w:t>
      </w:r>
      <w:r w:rsidRPr="008A4DDD">
        <w:rPr>
          <w:bCs/>
        </w:rPr>
        <w:t xml:space="preserve"> tinkamas palyginamasis gydymas –</w:t>
      </w:r>
      <w:r w:rsidRPr="008A4DDD">
        <w:rPr>
          <w:rFonts w:eastAsia="Arial"/>
        </w:rPr>
        <w:t xml:space="preserve"> alektinibas</w:t>
      </w:r>
      <w:r w:rsidRPr="008A4DDD">
        <w:rPr>
          <w:bCs/>
        </w:rPr>
        <w:t xml:space="preserve">. </w:t>
      </w:r>
    </w:p>
    <w:p w14:paraId="6EE9753B" w14:textId="77777777" w:rsidR="00DA5285" w:rsidRPr="005D13FE" w:rsidRDefault="00DA5285" w:rsidP="00DA5285">
      <w:pPr>
        <w:tabs>
          <w:tab w:val="left" w:pos="284"/>
        </w:tabs>
        <w:spacing w:line="360" w:lineRule="auto"/>
        <w:rPr>
          <w:rFonts w:eastAsia="Arial"/>
          <w:b/>
        </w:rPr>
      </w:pPr>
    </w:p>
    <w:p w14:paraId="0D4344C9" w14:textId="77777777" w:rsidR="00DA5285" w:rsidRPr="005D13FE" w:rsidRDefault="00DA5285" w:rsidP="00DA5285">
      <w:pPr>
        <w:tabs>
          <w:tab w:val="left" w:pos="284"/>
        </w:tabs>
        <w:spacing w:line="360" w:lineRule="auto"/>
        <w:rPr>
          <w:rFonts w:eastAsia="Arial"/>
          <w:b/>
        </w:rPr>
      </w:pPr>
      <w:r w:rsidRPr="005D13FE">
        <w:rPr>
          <w:rFonts w:eastAsia="Arial"/>
          <w:b/>
        </w:rPr>
        <w:t>Tiesioginis palyginimas</w:t>
      </w:r>
    </w:p>
    <w:p w14:paraId="68B2794E" w14:textId="77777777" w:rsidR="00DA5285" w:rsidRPr="005D13FE" w:rsidRDefault="00DA5285" w:rsidP="00DA5285">
      <w:pPr>
        <w:tabs>
          <w:tab w:val="left" w:pos="492"/>
        </w:tabs>
        <w:spacing w:line="360" w:lineRule="auto"/>
        <w:jc w:val="both"/>
        <w:outlineLvl w:val="1"/>
      </w:pPr>
      <w:r w:rsidRPr="005D13FE">
        <w:tab/>
      </w:r>
      <w:r w:rsidRPr="005D13FE">
        <w:tab/>
        <w:t xml:space="preserve">Lorlatinibo veiksmingumas gydant ALK teigiamu NSLPV sergančius pacientus, kuriems anksčiau netaikyta sisteminė metastazavusios ligos terapija, nustatytas atvirajame atsitiktinių imčių, veikliąja medžiaga kontroliuojamame daugiacentriame, III fazės tyrime CROWN. </w:t>
      </w:r>
      <w:r w:rsidRPr="005D13FE">
        <w:rPr>
          <w:bCs/>
          <w:lang w:eastAsia="lt-LT"/>
        </w:rPr>
        <w:t xml:space="preserve">Palyginamasis gydymas yra </w:t>
      </w:r>
      <w:r w:rsidRPr="005D13FE">
        <w:rPr>
          <w:color w:val="000000"/>
        </w:rPr>
        <w:t>krizotinibas</w:t>
      </w:r>
      <w:r w:rsidRPr="005D13FE">
        <w:rPr>
          <w:lang w:eastAsia="lt-LT"/>
        </w:rPr>
        <w:t>, kuris</w:t>
      </w:r>
      <w:r w:rsidRPr="005D13FE">
        <w:rPr>
          <w:bCs/>
          <w:lang w:eastAsia="lt-LT"/>
        </w:rPr>
        <w:t xml:space="preserve"> laikomas vienas iš galimų gydymo alternatyvų Lietuvoje. </w:t>
      </w:r>
    </w:p>
    <w:p w14:paraId="21E49E92" w14:textId="77777777" w:rsidR="00DA5285" w:rsidRPr="005D13FE" w:rsidRDefault="00DA5285" w:rsidP="00DA5285">
      <w:pPr>
        <w:tabs>
          <w:tab w:val="left" w:pos="492"/>
        </w:tabs>
        <w:spacing w:line="360" w:lineRule="auto"/>
        <w:jc w:val="both"/>
        <w:outlineLvl w:val="1"/>
        <w:rPr>
          <w:rFonts w:eastAsia="Arial"/>
        </w:rPr>
      </w:pPr>
      <w:r w:rsidRPr="005D13FE">
        <w:rPr>
          <w:rFonts w:eastAsia="Arial"/>
        </w:rPr>
        <w:tab/>
      </w:r>
      <w:r w:rsidRPr="005D13FE">
        <w:rPr>
          <w:rFonts w:eastAsia="Arial"/>
        </w:rPr>
        <w:tab/>
        <w:t>Tyrimo pacientų populiacija atitinka egzistuojančią Lietuvos pacientų populiaciją, kuriai gydymas gali būti skiriamas pagal numatomas lorlatinibo skyrimo indikacijas. Yra tinkamai pasirinkti įtraukimo ir nušalinimo kriterijai, taip pat ir priminės bei antrinės vertinamosios baigtys, kurios leidžia tyrimo rezultatus analizuoti ir pritaikyti įprastai klinikinei praktikai Lietuvoje.</w:t>
      </w:r>
    </w:p>
    <w:p w14:paraId="5AA41CD5" w14:textId="77777777" w:rsidR="00DA5285" w:rsidRPr="005D13FE" w:rsidRDefault="00DA5285" w:rsidP="00DA5285">
      <w:pPr>
        <w:tabs>
          <w:tab w:val="left" w:pos="426"/>
        </w:tabs>
        <w:spacing w:line="360" w:lineRule="auto"/>
        <w:jc w:val="both"/>
      </w:pPr>
      <w:r w:rsidRPr="005D13FE">
        <w:rPr>
          <w:rFonts w:eastAsia="Arial"/>
          <w:color w:val="000000" w:themeColor="text1"/>
        </w:rPr>
        <w:tab/>
      </w:r>
      <w:r w:rsidRPr="005D13FE">
        <w:rPr>
          <w:rFonts w:eastAsia="Arial"/>
          <w:color w:val="000000" w:themeColor="text1"/>
        </w:rPr>
        <w:tab/>
      </w:r>
      <w:r w:rsidRPr="005D13FE">
        <w:rPr>
          <w:rFonts w:eastAsia="Arial"/>
        </w:rPr>
        <w:t xml:space="preserve">Tyrimo pagrindinė (pirminė) veiksmingumo vertinamoji baigtis buvo </w:t>
      </w:r>
      <w:r w:rsidRPr="005D13FE">
        <w:t>IBLP – apibrėžtas kaip laikas nuo randomizacijos iki nustatyto ligos progreso ar mirties dėl bet kokios priežasties atvejo. Nustatytas atlikus NCPpKD pagal v1.1 RECIST kriterijus. Pradiniame duomenų analizės taške (2020 m. kovo 20 d.) IBLP mediana stebėjimo trukmė LORVIQUA grupėje buvo 18,3 mėnesio, o krizotinibo grupėje – 14,8 mėnesio. Tyrimas pasiekė pagrindinį tikslą, parodydamas statistiškai reikšmingą ir kliniškai reikšmingą NCPpKD vertinto IBLP pagerėjimą LORVIQUA grupėje, palyginti su krizotinibu. NCPpKD vertinta IBLP mediana LORVIQUA grupėje nebuvo pasiekta, o krizotinibo grupėje buvo 9,3 mėnesio (95 proc. pasikliautinis intervalas (PI) 7,6 iki 11,1 mėn.). IBLP rizikos santykis (RS) buvo 0,28 (95 proc. PI, 0,19 iki 0,41; p&lt;0,001), nurodantis 72 proc. progresavimo ar mirties rizikos sumažėjimą LORVIQUA naudai. Lorlatinibo IBLP nauda buvo išlaikyta tarp iš anksto nustatytų pogrupių, taip palaikant pagrindinę analizę. Šie pogrupiai apėmė amžių, lytį, smegenų metastazių buvimą, rasę, pradinį ECOG būklės vertinimą.</w:t>
      </w:r>
    </w:p>
    <w:p w14:paraId="64F2F064" w14:textId="77777777" w:rsidR="00DA5285" w:rsidRPr="005D13FE" w:rsidRDefault="00DA5285" w:rsidP="00DA5285">
      <w:pPr>
        <w:tabs>
          <w:tab w:val="left" w:pos="426"/>
        </w:tabs>
        <w:spacing w:line="360" w:lineRule="auto"/>
        <w:jc w:val="both"/>
      </w:pPr>
      <w:r w:rsidRPr="005D13FE">
        <w:tab/>
      </w:r>
      <w:r w:rsidRPr="005D13FE">
        <w:tab/>
        <w:t xml:space="preserve">Atliekant papildomą analizę pacientams, kurie pradiniame etape turėjo smegenų metastazių, LORVIQUA pagerino NCPpKD vertintą IBLP, palyginti su krizotinibu. Iš viso 78 pacientai turėjo smegenų metastazių pradiniame etape: 38 LORVIQUA grupėje ir 40 krizotinibo grupėje. IBLP </w:t>
      </w:r>
      <w:r w:rsidRPr="005D13FE">
        <w:lastRenderedPageBreak/>
        <w:t>mediana nebuvo pasiekta LORVIQUA grupėje, o krizotinibo grupėje buvo 7,2 mėnesio; 12 mėnesių IBLP rodiklis LORVIQUA grupėje buvo 78 proc. (95 proc. PI, 60 proc. iki 88 proc.), o krizotinibo grupėje – 22 proc. (95 proc. PI, 9 proc. iki 39 proc.) (RS 0,20; 95 proc. PI, 0,10 iki 0,43; P &lt; 0,0001).</w:t>
      </w:r>
    </w:p>
    <w:p w14:paraId="56FD2470" w14:textId="77777777" w:rsidR="00DA5285" w:rsidRPr="005D13FE" w:rsidRDefault="00DA5285" w:rsidP="00DA5285">
      <w:pPr>
        <w:tabs>
          <w:tab w:val="left" w:pos="426"/>
        </w:tabs>
        <w:spacing w:line="360" w:lineRule="auto"/>
        <w:jc w:val="both"/>
      </w:pPr>
      <w:r w:rsidRPr="005D13FE">
        <w:tab/>
      </w:r>
      <w:r w:rsidRPr="005D13FE">
        <w:tab/>
        <w:t>Svarbiausios antrinės vertinamosios baigtys buvo:</w:t>
      </w:r>
    </w:p>
    <w:p w14:paraId="486BBD0C" w14:textId="77777777" w:rsidR="00DA5285" w:rsidRPr="005D13FE" w:rsidRDefault="00DA5285" w:rsidP="00DA5285">
      <w:pPr>
        <w:pStyle w:val="Sraopastraipa"/>
        <w:numPr>
          <w:ilvl w:val="0"/>
          <w:numId w:val="16"/>
        </w:numPr>
        <w:tabs>
          <w:tab w:val="left" w:pos="426"/>
        </w:tabs>
        <w:spacing w:line="360" w:lineRule="auto"/>
        <w:jc w:val="both"/>
      </w:pPr>
      <w:r w:rsidRPr="005D13FE">
        <w:t xml:space="preserve">Bendras išgyvenamumas – laikas nuo randomizacijos datos iki mirties dėl bet kokios priežasties. Pradiniame duomenų analizės taške (2020 m. kovo 20 d.) įvyko 51 (26 proc.) iš reikalingų 198 mirčių galutinei BI analizei (23 [15 proc.] LORVIQUA grupėje ir 28 [19 proc.] krizotinibo grupėje), ir dauguma pacientų abiejose gydymo grupėse dar buvo gyvi, todėl BI duomenys </w:t>
      </w:r>
      <w:r w:rsidRPr="005D13FE">
        <w:rPr>
          <w:b/>
          <w:bCs/>
        </w:rPr>
        <w:t>buvo nebrandūs</w:t>
      </w:r>
      <w:r w:rsidRPr="005D13FE">
        <w:t xml:space="preserve">. </w:t>
      </w:r>
    </w:p>
    <w:p w14:paraId="68403F76" w14:textId="77777777" w:rsidR="00DA5285" w:rsidRPr="005D13FE" w:rsidRDefault="00DA5285" w:rsidP="00DA5285">
      <w:pPr>
        <w:pStyle w:val="Sraopastraipa"/>
        <w:numPr>
          <w:ilvl w:val="0"/>
          <w:numId w:val="16"/>
        </w:numPr>
        <w:tabs>
          <w:tab w:val="left" w:pos="426"/>
        </w:tabs>
        <w:spacing w:line="360" w:lineRule="auto"/>
        <w:jc w:val="both"/>
        <w:rPr>
          <w:iCs/>
        </w:rPr>
      </w:pPr>
      <w:r w:rsidRPr="005D13FE">
        <w:t xml:space="preserve">Bendrasis atsakas. Pradiniame duomenų analizės taške pagal NCPpKD vertinimą objektyvią reakciją pasiekė 113 pacientų LORVIQUA grupėje, palyginti su 85 pacientais krizotinibo grupėje. Objektyvios reakcijos dažnis LORVIQUA grupėje buvo reikšmingai didesnis (76 proc.; 95 proc. PI, 68 proc. iki 83 proc.) nei krizotinibo grupėje (58 proc.; 95 proc. PI, 49 proc. iki 66 proc.) (ŠS 2,25; 95 proc. PI, 1,35 iki 3,89). </w:t>
      </w:r>
    </w:p>
    <w:p w14:paraId="03CF845D" w14:textId="77777777" w:rsidR="00DA5285" w:rsidRDefault="00DA5285" w:rsidP="00DA5285">
      <w:pPr>
        <w:tabs>
          <w:tab w:val="left" w:pos="426"/>
        </w:tabs>
        <w:spacing w:line="360" w:lineRule="auto"/>
        <w:jc w:val="both"/>
      </w:pPr>
      <w:r w:rsidRPr="005D13FE">
        <w:tab/>
      </w:r>
      <w:r w:rsidRPr="005D13FE">
        <w:tab/>
        <w:t>Ilgalaikio 37 mėnesių stebėjimo laikotarpiu CROWN tyrimas parodė, kad lorlatini</w:t>
      </w:r>
      <w:r>
        <w:t>b</w:t>
      </w:r>
      <w:r w:rsidRPr="005D13FE">
        <w:t>as toliau užtikrina pranašesnį IBLP, palyginti su krizotinibo gydymu. Antrinių baigčių rezultatai buvo tokie patys kaip pirminės analizės.</w:t>
      </w:r>
    </w:p>
    <w:p w14:paraId="4B1585E1" w14:textId="77777777" w:rsidR="00DA5285" w:rsidRDefault="00DA5285" w:rsidP="00DA5285">
      <w:pPr>
        <w:tabs>
          <w:tab w:val="left" w:pos="426"/>
        </w:tabs>
        <w:spacing w:line="360" w:lineRule="auto"/>
        <w:jc w:val="both"/>
      </w:pPr>
    </w:p>
    <w:p w14:paraId="13BDD505" w14:textId="77777777" w:rsidR="00DA5285" w:rsidRPr="00965295" w:rsidRDefault="00DA5285" w:rsidP="00DA5285">
      <w:pPr>
        <w:spacing w:line="360" w:lineRule="auto"/>
        <w:jc w:val="both"/>
        <w:rPr>
          <w:rFonts w:eastAsia="Arial"/>
          <w:b/>
        </w:rPr>
      </w:pPr>
      <w:r w:rsidRPr="00965295">
        <w:rPr>
          <w:rFonts w:eastAsia="Arial"/>
          <w:b/>
        </w:rPr>
        <w:t>Netiesioginis palyginimas</w:t>
      </w:r>
    </w:p>
    <w:p w14:paraId="74A1D0D8" w14:textId="77777777" w:rsidR="00DA5285" w:rsidRPr="008A4DDD" w:rsidRDefault="00DA5285" w:rsidP="00DA5285">
      <w:pPr>
        <w:spacing w:line="360" w:lineRule="auto"/>
        <w:ind w:firstLine="720"/>
        <w:jc w:val="both"/>
        <w:rPr>
          <w:rFonts w:eastAsia="Arial"/>
          <w:bCs/>
        </w:rPr>
      </w:pPr>
      <w:r w:rsidRPr="008A4DDD">
        <w:rPr>
          <w:rFonts w:eastAsia="Arial"/>
          <w:bCs/>
        </w:rPr>
        <w:t>Literatūros analizė buvo atlikta 2021 m. balandžio 22 d. Šiai apžvalgai buvo nustatyta 10 500 potencialiai svarbių pavadinimų arba santraukų.</w:t>
      </w:r>
    </w:p>
    <w:p w14:paraId="7ED5D8DD" w14:textId="77777777" w:rsidR="00DA5285" w:rsidRPr="008A4DDD" w:rsidRDefault="00DA5285" w:rsidP="00DA5285">
      <w:pPr>
        <w:spacing w:line="360" w:lineRule="auto"/>
        <w:ind w:firstLine="720"/>
        <w:jc w:val="both"/>
        <w:rPr>
          <w:rFonts w:eastAsia="Arial"/>
          <w:bCs/>
          <w:i/>
          <w:iCs/>
        </w:rPr>
      </w:pPr>
      <w:r w:rsidRPr="008A4DDD">
        <w:rPr>
          <w:rFonts w:eastAsia="Arial"/>
          <w:bCs/>
        </w:rPr>
        <w:t>Kadangi CROWN tyrimas buvo atsitiktinių imčių kontroliuojamas tyrimas (angl. randomised controlled trial, RCT), jo stipri tyrimo struktūra buvo panaudota siekiant sukurti įrodymų tinklą ir atlikti tinklo meta-analizes (angl. network meta-analysis, NMA), kurios pasitelkia bendrus lyginamuosius veiksnius netiesioginiams lyginamiesiems tyrimams sudaryti. Šiame dokumente pagrindinis dėmesys skiriamas 10 RCT tyrimų, įskaitant CROWN. Pirmiausia buvo svarstomi tik RCT tyrimų duomenys, kurie susijungia į tinklą. Buvo sudarytas jungiamasis visų dominančių gydymo būdų tinklas, naudojant RCT tyrimus (11 paveikslas).</w:t>
      </w:r>
    </w:p>
    <w:p w14:paraId="6CED93CA" w14:textId="77777777" w:rsidR="00DA5285" w:rsidRPr="008A4DDD" w:rsidRDefault="00DA5285" w:rsidP="00DA5285">
      <w:pPr>
        <w:spacing w:line="360" w:lineRule="auto"/>
        <w:ind w:firstLine="720"/>
        <w:jc w:val="both"/>
        <w:rPr>
          <w:rFonts w:eastAsia="Arial"/>
          <w:bCs/>
        </w:rPr>
      </w:pPr>
      <w:r w:rsidRPr="008A4DDD">
        <w:rPr>
          <w:rFonts w:eastAsia="Arial"/>
          <w:bCs/>
        </w:rPr>
        <w:t xml:space="preserve">Nors bendrosios charakteristikos tarp tyrimų šiek tiek skyrėsi, ryškių nukrypimų, išskyrus rasę, nepastebėta. CROWN tyrime pacientai buvo šiek tiek vyresni (lorlatinibo ir crizotinibo grupių pacientų vidutinis amžius buvo atitinkamai 61 ir 56 metai) nei kituose tyrimuose (vidutinės ribos nuo 48 iki 61 metų). CROWN tyrime taip pat buvo šiek tiek mažesnis vyrų skaičius (atitinkamai 44 proc. ir 38 proc. lorlatinibo ir crizotinibo grupėse), palyginti su kai kuriais kitais tyrimais (proporcijos ribos nuo 37 proc. iki 61 proc.). Manoma, kad šie skirtumai neturėtų reikšmingai paveikti santykinio gydymo poveikio. Niekada nerūkiusių pacientų proporcija svyruoja nuo 54 proc. iki 75 proc. </w:t>
      </w:r>
      <w:r w:rsidRPr="008A4DDD">
        <w:rPr>
          <w:rFonts w:eastAsia="Arial"/>
          <w:bCs/>
        </w:rPr>
        <w:lastRenderedPageBreak/>
        <w:t>Pacientų, kurių pradinis ECOG-PS balas yra 0 arba 1, proporcija visuose tyrimuose buvo panaši (proporcijos ribos nuo 93 proc. iki 98 proc.).</w:t>
      </w:r>
    </w:p>
    <w:p w14:paraId="714B8FCF" w14:textId="77777777" w:rsidR="00DA5285" w:rsidRPr="008A4DDD" w:rsidRDefault="00DA5285" w:rsidP="00DA5285">
      <w:pPr>
        <w:spacing w:line="360" w:lineRule="auto"/>
        <w:ind w:firstLine="720"/>
        <w:jc w:val="both"/>
        <w:rPr>
          <w:rFonts w:eastAsia="Arial"/>
          <w:bCs/>
        </w:rPr>
      </w:pPr>
      <w:r w:rsidRPr="008A4DDD">
        <w:rPr>
          <w:rFonts w:eastAsia="Arial"/>
          <w:bCs/>
        </w:rPr>
        <w:t>CROWN tyrime buvo šiek tiek mažiau pacientų su CNS metastazėmis (atitinkamai 26 proc. ir 27 proc. lorlatinibo ir crizotinibo grupėse) palyginti su kai kuriais kitais tyrimais (proporcijos svyruoja nuo 14 proc. iki 42 proc.). Nors šie skirtumai vargu ar turėjo įtakos santykiniam gydymo poveikiui, buvo atlikti pogrupių analizės smegenų metastazėms, kai rezultatai buvo prieinami, nes ši grupė buvo svarbi modeliui.</w:t>
      </w:r>
    </w:p>
    <w:p w14:paraId="7AD8F9E6" w14:textId="77777777" w:rsidR="00DA5285" w:rsidRPr="008A4DDD" w:rsidRDefault="00DA5285" w:rsidP="00DA5285">
      <w:pPr>
        <w:spacing w:line="360" w:lineRule="auto"/>
        <w:ind w:firstLine="720"/>
        <w:jc w:val="both"/>
        <w:rPr>
          <w:rFonts w:eastAsia="Arial"/>
          <w:bCs/>
        </w:rPr>
      </w:pPr>
      <w:r w:rsidRPr="008A4DDD">
        <w:rPr>
          <w:rFonts w:eastAsia="Arial"/>
          <w:bCs/>
        </w:rPr>
        <w:t xml:space="preserve">Lorlatinibo efektyvumo rezultatai palyginti su visomis gydymo galimybėmis. IBLP atveju, analizė visais palyginimais buvo palanki lorlatinibui. Visuose palyginimuose, išskyrus </w:t>
      </w:r>
      <w:r w:rsidRPr="008A4DDD">
        <w:t xml:space="preserve">alektinibo </w:t>
      </w:r>
      <w:r w:rsidRPr="008A4DDD">
        <w:rPr>
          <w:rFonts w:eastAsia="Arial"/>
          <w:bCs/>
        </w:rPr>
        <w:t xml:space="preserve">(300 mg), PI neperžengia 1, rodančio, kad tarp lorlatinibo ir kitų gydymo galimybių yra reikšmingas skirtumas. Palyginimas, kuris labiausiai palankus lorlatinibui (mažiausias RS), buvo su chemoterapija (RS = 0.12, 95proc. PI = 0.08 iki 0.19), o palyginimas, kuris buvo mažiausiai palankus lorlatinibui (didžiausias RS), buvo su </w:t>
      </w:r>
      <w:r w:rsidRPr="008A4DDD">
        <w:t xml:space="preserve">alektinibu </w:t>
      </w:r>
      <w:r w:rsidRPr="008A4DDD">
        <w:rPr>
          <w:rFonts w:eastAsia="Arial"/>
          <w:bCs/>
        </w:rPr>
        <w:t>(300 mg [RS = 0.76, 95proc. PI = 0.45 iki 1.27]).</w:t>
      </w:r>
    </w:p>
    <w:p w14:paraId="70F7D693" w14:textId="77777777" w:rsidR="00DA5285" w:rsidRPr="008A4DDD" w:rsidRDefault="00DA5285" w:rsidP="00DA5285">
      <w:pPr>
        <w:spacing w:line="360" w:lineRule="auto"/>
        <w:ind w:firstLine="720"/>
        <w:jc w:val="both"/>
        <w:rPr>
          <w:rFonts w:eastAsia="Arial"/>
          <w:bCs/>
        </w:rPr>
      </w:pPr>
      <w:r w:rsidRPr="008A4DDD">
        <w:rPr>
          <w:rFonts w:eastAsia="Arial"/>
          <w:bCs/>
        </w:rPr>
        <w:t xml:space="preserve">Tyrėjo įvertinto IBLP naudojimas nepakeitė analizės išvadų. Daugeliu atveju, lorlatinibo RS reikšmės vertinant pagal tyrėjo nustatytą baigtį, santykinis efektyvumo įvertinimas šiek tiek pagėrėjo (RS skirtumas mažesnis nei 0.1). Palyginimui su </w:t>
      </w:r>
      <w:r w:rsidRPr="008A4DDD">
        <w:t xml:space="preserve">alektinibu </w:t>
      </w:r>
      <w:r w:rsidRPr="008A4DDD">
        <w:rPr>
          <w:rFonts w:eastAsia="Arial"/>
          <w:bCs/>
        </w:rPr>
        <w:t xml:space="preserve">(300 mg), RS (95proc. PI) pasikeitė iš 0.76 (0.45 iki 1.27) į 0.62 (0.34 iki 1.13) tačiau rezultatas vis dar nebuvo reikšmingas. IBLP rezultatai pacientams, kuriems diagnozuotos smegenų metastazės, lorlatinibo atžvilgiu buvo mažiau palankūs, palyginti su visa populiacija; palyginus su </w:t>
      </w:r>
      <w:r w:rsidRPr="008A4DDD">
        <w:t xml:space="preserve">alektinibu </w:t>
      </w:r>
      <w:r w:rsidRPr="008A4DDD">
        <w:rPr>
          <w:rFonts w:eastAsia="Arial"/>
          <w:bCs/>
        </w:rPr>
        <w:t>ir brigatinibu. Tačiau nė vienas iš šių rezultatų nebuvo statistiškai reikšmingas (p &gt; 0.05).</w:t>
      </w:r>
    </w:p>
    <w:p w14:paraId="6EEFC680" w14:textId="77777777" w:rsidR="00DA5285" w:rsidRPr="008A4DDD" w:rsidRDefault="00DA5285" w:rsidP="00DA5285">
      <w:pPr>
        <w:spacing w:line="360" w:lineRule="auto"/>
        <w:ind w:firstLine="720"/>
        <w:jc w:val="both"/>
        <w:rPr>
          <w:rFonts w:eastAsia="Arial"/>
          <w:bCs/>
        </w:rPr>
      </w:pPr>
      <w:r w:rsidRPr="008A4DDD">
        <w:rPr>
          <w:rFonts w:eastAsia="Arial"/>
          <w:bCs/>
        </w:rPr>
        <w:t xml:space="preserve">Lorlatinibo BI rezultatai palyginti su visomis gydymo galimybėmis. Lorlatinibo  pranašumas laikytas, kai RS &lt;1. BI analizė parodė, kad tarp visų palyginimųjų gydymų, </w:t>
      </w:r>
      <w:r>
        <w:rPr>
          <w:rFonts w:eastAsia="Arial"/>
          <w:bCs/>
        </w:rPr>
        <w:t>lorlatinibas</w:t>
      </w:r>
      <w:r w:rsidRPr="008A4DDD">
        <w:rPr>
          <w:rFonts w:eastAsia="Arial"/>
          <w:bCs/>
        </w:rPr>
        <w:t xml:space="preserve"> turėjo pranašumą. Išimtis buvo alektinibas (600 mg), tačiau šie rezultatai nebuvo statistiškai reikšmingi. Palyginimas, kuris labiausiai palankus lorlatinibui (mažiausias RS), buvo alektinibas (600 mg) [RS = 1,23, 95 proc. PI 0,65 iki 2,37].</w:t>
      </w:r>
      <w:r>
        <w:rPr>
          <w:rFonts w:eastAsia="Arial"/>
          <w:bCs/>
        </w:rPr>
        <w:t xml:space="preserve"> </w:t>
      </w:r>
      <w:r w:rsidRPr="008A4DDD">
        <w:rPr>
          <w:rFonts w:eastAsia="Arial"/>
          <w:bCs/>
        </w:rPr>
        <w:t>Buvo atlikta pogrupių analizė pacientams, turintiems smegenų metastazes pradiniame etape, tačiau tinklas buvo labai mažas (trys studijos), todėl buvo sunku palyginti rezultatus. Tačiau rezultatai buvo panašūs.</w:t>
      </w:r>
    </w:p>
    <w:p w14:paraId="7F9F1B80" w14:textId="77777777" w:rsidR="00DA5285" w:rsidRPr="00050DC8" w:rsidRDefault="00DA5285" w:rsidP="00DA5285">
      <w:pPr>
        <w:spacing w:line="360" w:lineRule="auto"/>
        <w:ind w:firstLine="720"/>
        <w:jc w:val="both"/>
        <w:rPr>
          <w:rFonts w:eastAsia="Arial"/>
          <w:bCs/>
        </w:rPr>
      </w:pPr>
      <w:r w:rsidRPr="00050DC8">
        <w:rPr>
          <w:rFonts w:eastAsia="Arial"/>
          <w:bCs/>
        </w:rPr>
        <w:t>Netiesioginis palyginimas buvo grįstas tinklinės metaanalizės rezultatais. Tinklinė meta-analizė įtraukė 10 RCT vertinimui. Rezultatai įrodė, kad:</w:t>
      </w:r>
    </w:p>
    <w:p w14:paraId="15EEF936" w14:textId="77777777" w:rsidR="00DA5285" w:rsidRPr="00050DC8" w:rsidRDefault="00DA5285" w:rsidP="00DA5285">
      <w:pPr>
        <w:pStyle w:val="Sraopastraipa"/>
        <w:numPr>
          <w:ilvl w:val="0"/>
          <w:numId w:val="17"/>
        </w:numPr>
        <w:spacing w:line="360" w:lineRule="auto"/>
        <w:jc w:val="both"/>
        <w:rPr>
          <w:rFonts w:eastAsia="Arial"/>
          <w:bCs/>
        </w:rPr>
      </w:pPr>
      <w:r w:rsidRPr="00050DC8">
        <w:rPr>
          <w:rFonts w:eastAsia="Arial"/>
          <w:bCs/>
        </w:rPr>
        <w:t>IBLP visuose palyginamuosiuose pogrupiuose buvo statistiškai reikšmingai geresnis lorlatinibo grupėje.</w:t>
      </w:r>
    </w:p>
    <w:p w14:paraId="0BDB3BE7" w14:textId="77777777" w:rsidR="00DA5285" w:rsidRPr="00050DC8" w:rsidRDefault="00DA5285" w:rsidP="00DA5285">
      <w:pPr>
        <w:pStyle w:val="Sraopastraipa"/>
        <w:numPr>
          <w:ilvl w:val="0"/>
          <w:numId w:val="17"/>
        </w:numPr>
        <w:spacing w:line="360" w:lineRule="auto"/>
        <w:jc w:val="both"/>
        <w:rPr>
          <w:rFonts w:eastAsia="Arial"/>
          <w:bCs/>
        </w:rPr>
      </w:pPr>
      <w:r w:rsidRPr="00050DC8">
        <w:rPr>
          <w:rFonts w:eastAsia="Arial"/>
          <w:bCs/>
        </w:rPr>
        <w:t>Lorlatinibas neįrodė BI pranašumo prieš kitus ALK TKI, tačiau buvo įrodyta nesiskirianti nauda.</w:t>
      </w:r>
    </w:p>
    <w:p w14:paraId="7495B1A1" w14:textId="0AB59F9C" w:rsidR="00DA5285" w:rsidRDefault="00DA5285" w:rsidP="00DA5285">
      <w:pPr>
        <w:spacing w:line="360" w:lineRule="auto"/>
        <w:ind w:firstLine="720"/>
        <w:jc w:val="both"/>
        <w:rPr>
          <w:iCs/>
        </w:rPr>
      </w:pPr>
      <w:r w:rsidRPr="00050DC8">
        <w:rPr>
          <w:rFonts w:eastAsia="Arial"/>
          <w:iCs/>
        </w:rPr>
        <w:lastRenderedPageBreak/>
        <w:t xml:space="preserve">Remiantis šiais duomenimis, </w:t>
      </w:r>
      <w:r>
        <w:rPr>
          <w:rFonts w:eastAsia="Arial"/>
          <w:iCs/>
        </w:rPr>
        <w:t>lorlatinibo</w:t>
      </w:r>
      <w:r w:rsidRPr="00050DC8">
        <w:rPr>
          <w:rFonts w:eastAsia="Arial"/>
          <w:iCs/>
        </w:rPr>
        <w:t xml:space="preserve"> palyginamasis efektyvumas yra įvertintas, kaip </w:t>
      </w:r>
      <w:r>
        <w:rPr>
          <w:rFonts w:eastAsia="Arial"/>
          <w:iCs/>
        </w:rPr>
        <w:t>iš esmės nesiskiriantis</w:t>
      </w:r>
      <w:r w:rsidRPr="00050DC8">
        <w:rPr>
          <w:rFonts w:eastAsia="Arial"/>
          <w:iCs/>
        </w:rPr>
        <w:t xml:space="preserve">, o klinikinis veiksmingumas </w:t>
      </w:r>
      <w:r w:rsidRPr="00050DC8">
        <w:rPr>
          <w:iCs/>
        </w:rPr>
        <w:t xml:space="preserve">yra įvertintas kaip pagrindžiantis </w:t>
      </w:r>
      <w:r w:rsidRPr="008A4DDD">
        <w:t xml:space="preserve">nesiskiriančios </w:t>
      </w:r>
      <w:r w:rsidRPr="00050DC8">
        <w:rPr>
          <w:iCs/>
        </w:rPr>
        <w:t>naudos pacientų sveikatai sukūrimą, lyginant su įprasta klinikine praktika.</w:t>
      </w:r>
    </w:p>
    <w:p w14:paraId="74B8E8AE" w14:textId="69952EF1" w:rsidR="008C4AF7" w:rsidRDefault="008C4AF7" w:rsidP="00DA5285">
      <w:pPr>
        <w:spacing w:line="360" w:lineRule="auto"/>
        <w:ind w:firstLine="720"/>
        <w:jc w:val="both"/>
        <w:rPr>
          <w:iCs/>
        </w:rPr>
      </w:pPr>
    </w:p>
    <w:p w14:paraId="6A1D24E6" w14:textId="79247BDF" w:rsidR="008C4AF7" w:rsidRPr="008C4AF7" w:rsidRDefault="008C4AF7" w:rsidP="008C4AF7">
      <w:pPr>
        <w:pStyle w:val="Sraopastraipa"/>
        <w:numPr>
          <w:ilvl w:val="0"/>
          <w:numId w:val="18"/>
        </w:numPr>
        <w:tabs>
          <w:tab w:val="left" w:pos="567"/>
        </w:tabs>
        <w:ind w:left="540" w:hanging="540"/>
        <w:rPr>
          <w:b/>
          <w:bCs/>
          <w:caps/>
        </w:rPr>
      </w:pPr>
      <w:r>
        <w:rPr>
          <w:b/>
          <w:bCs/>
          <w:caps/>
        </w:rPr>
        <w:t>EKONOMINIO</w:t>
      </w:r>
      <w:r w:rsidRPr="008C4AF7">
        <w:rPr>
          <w:b/>
          <w:bCs/>
          <w:caps/>
        </w:rPr>
        <w:t xml:space="preserve"> vertinimo apibendrinimas</w:t>
      </w:r>
    </w:p>
    <w:p w14:paraId="1B36BC27" w14:textId="05ACAF17" w:rsidR="008C4AF7" w:rsidRDefault="008C4AF7" w:rsidP="00DA5285">
      <w:pPr>
        <w:spacing w:line="360" w:lineRule="auto"/>
        <w:ind w:firstLine="720"/>
        <w:jc w:val="both"/>
        <w:rPr>
          <w:iCs/>
        </w:rPr>
      </w:pPr>
    </w:p>
    <w:p w14:paraId="508006FF" w14:textId="77777777" w:rsidR="008C4AF7" w:rsidRPr="0071317E" w:rsidRDefault="008C4AF7" w:rsidP="00C252CD">
      <w:pPr>
        <w:pStyle w:val="VVKT"/>
        <w:spacing w:line="360" w:lineRule="auto"/>
        <w:rPr>
          <w:szCs w:val="24"/>
        </w:rPr>
      </w:pPr>
      <w:r w:rsidRPr="0071317E">
        <w:rPr>
          <w:szCs w:val="24"/>
        </w:rPr>
        <w:t xml:space="preserve">Į ekonominę analizę įtraukti pacientai atitinka kompensacijai teikiamas terapines indikacijas. </w:t>
      </w:r>
      <w:r w:rsidRPr="0071317E">
        <w:rPr>
          <w:szCs w:val="24"/>
          <w:shd w:val="clear" w:color="auto" w:fill="FFFFFF"/>
        </w:rPr>
        <w:t xml:space="preserve">Analizės populiaciją sudaro sergantys </w:t>
      </w:r>
      <w:r w:rsidRPr="0071317E">
        <w:rPr>
          <w:color w:val="000000"/>
          <w:szCs w:val="24"/>
          <w:lang w:val="en-US"/>
        </w:rPr>
        <w:t>anaplastin</w:t>
      </w:r>
      <w:r w:rsidRPr="0071317E">
        <w:rPr>
          <w:rFonts w:hint="eastAsia"/>
          <w:color w:val="000000"/>
          <w:szCs w:val="24"/>
          <w:lang w:val="en-US"/>
        </w:rPr>
        <w:t>ė</w:t>
      </w:r>
      <w:r w:rsidRPr="0071317E">
        <w:rPr>
          <w:color w:val="000000"/>
          <w:szCs w:val="24"/>
          <w:lang w:val="en-US"/>
        </w:rPr>
        <w:t>s limfomos kinaz</w:t>
      </w:r>
      <w:r w:rsidRPr="0071317E">
        <w:rPr>
          <w:rFonts w:hint="eastAsia"/>
          <w:color w:val="000000"/>
          <w:szCs w:val="24"/>
          <w:lang w:val="en-US"/>
        </w:rPr>
        <w:t>ė</w:t>
      </w:r>
      <w:r w:rsidRPr="0071317E">
        <w:rPr>
          <w:color w:val="000000"/>
          <w:szCs w:val="24"/>
          <w:lang w:val="en-US"/>
        </w:rPr>
        <w:t>s (ALK) at</w:t>
      </w:r>
      <w:r w:rsidRPr="0071317E">
        <w:rPr>
          <w:rFonts w:hint="eastAsia"/>
          <w:color w:val="000000"/>
          <w:szCs w:val="24"/>
          <w:lang w:val="en-US"/>
        </w:rPr>
        <w:t>ž</w:t>
      </w:r>
      <w:r w:rsidRPr="0071317E">
        <w:rPr>
          <w:color w:val="000000"/>
          <w:szCs w:val="24"/>
          <w:lang w:val="en-US"/>
        </w:rPr>
        <w:t>vilgiu teigiamu i</w:t>
      </w:r>
      <w:r w:rsidRPr="0071317E">
        <w:rPr>
          <w:rFonts w:hint="eastAsia"/>
          <w:color w:val="000000"/>
          <w:szCs w:val="24"/>
          <w:lang w:val="en-US"/>
        </w:rPr>
        <w:t>š</w:t>
      </w:r>
      <w:r w:rsidRPr="0071317E">
        <w:rPr>
          <w:color w:val="000000"/>
          <w:szCs w:val="24"/>
          <w:lang w:val="en-US"/>
        </w:rPr>
        <w:t>plitusiu NSLPV, kurie nebuvo gydyti ALK TKI. Pacientų funkcinė būklė 0-2 balų pagal ECOG skalę, gali turėti CNS metastazes. Pacientų populiacija atitinka į klinikinį tyrimą CROWN įtrauktų pacientų populiaciją.</w:t>
      </w:r>
    </w:p>
    <w:p w14:paraId="5A9934F5" w14:textId="77777777" w:rsidR="008C4AF7" w:rsidRPr="0071317E" w:rsidRDefault="008C4AF7" w:rsidP="00C252CD">
      <w:pPr>
        <w:spacing w:line="360" w:lineRule="auto"/>
        <w:ind w:firstLine="567"/>
        <w:jc w:val="both"/>
        <w:rPr>
          <w:color w:val="000000"/>
        </w:rPr>
      </w:pPr>
      <w:r w:rsidRPr="0071317E">
        <w:rPr>
          <w:color w:val="000000"/>
        </w:rPr>
        <w:t xml:space="preserve">Lietuvoje išplitusio ALK+ NSLPV pirmos eilės gydymui yra kompensuojami ALK TKI krizotinibas, ceritinibas, brigatinibas ir alektinibas. </w:t>
      </w:r>
      <w:r w:rsidRPr="0071317E">
        <w:rPr>
          <w:rFonts w:eastAsia="Arial"/>
        </w:rPr>
        <w:t>Pareiškėjas įprastinę kaštų mažinimo atvejo analizę atlieka lorlatinibą lyginant su</w:t>
      </w:r>
      <w:r w:rsidRPr="0071317E">
        <w:rPr>
          <w:rFonts w:eastAsia="Arial"/>
          <w:b/>
        </w:rPr>
        <w:t xml:space="preserve"> </w:t>
      </w:r>
      <w:r w:rsidRPr="00C43624">
        <w:rPr>
          <w:rFonts w:eastAsia="Arial"/>
        </w:rPr>
        <w:t>alektinibu ir brigatinibu.</w:t>
      </w:r>
      <w:r w:rsidRPr="0071317E">
        <w:rPr>
          <w:rFonts w:eastAsia="Arial"/>
        </w:rPr>
        <w:t xml:space="preserve"> Su Lietuvoje</w:t>
      </w:r>
      <w:r w:rsidRPr="0071317E">
        <w:t xml:space="preserve"> plaučių piktybinio naviko (TLK-10-AM - C34) gydymui - </w:t>
      </w:r>
      <w:r w:rsidRPr="0071317E">
        <w:rPr>
          <w:rFonts w:eastAsia="Arial"/>
        </w:rPr>
        <w:t xml:space="preserve">kompensuojamais </w:t>
      </w:r>
      <w:r w:rsidRPr="0071317E">
        <w:rPr>
          <w:color w:val="000000"/>
        </w:rPr>
        <w:t>ceritinibu ir krizotinibu KMA įtraukiama scenarijų analizėje, kadangi ceritinibas ESMO rekomendacijose nėra rekomenduojamas kaip pirmas pasirinkimas, o krizotinibas kasdienėje klinikinėje praktikoje buvo pakeistas naujos kartos ALK TKI.</w:t>
      </w:r>
    </w:p>
    <w:p w14:paraId="4291906B" w14:textId="77777777" w:rsidR="008C4AF7" w:rsidRPr="0071317E" w:rsidRDefault="008C4AF7" w:rsidP="00C252CD">
      <w:pPr>
        <w:pStyle w:val="VVKT"/>
        <w:spacing w:line="360" w:lineRule="auto"/>
        <w:ind w:firstLine="567"/>
        <w:rPr>
          <w:rFonts w:eastAsia="Arial"/>
          <w:szCs w:val="24"/>
        </w:rPr>
      </w:pPr>
      <w:r w:rsidRPr="0071317E">
        <w:rPr>
          <w:color w:val="000000"/>
          <w:szCs w:val="24"/>
        </w:rPr>
        <w:t xml:space="preserve">Tarnyba sutinka, kad pagrindiniai palyginamieji yra alektinibas ir brigatinibas, atsižvelgiant, jog pagal </w:t>
      </w:r>
      <w:r w:rsidRPr="0071317E">
        <w:rPr>
          <w:szCs w:val="24"/>
        </w:rPr>
        <w:t xml:space="preserve">plaučių piktybinio naviko (TLK-10-AM - C34) gydymui skiriamų </w:t>
      </w:r>
      <w:r w:rsidRPr="0071317E">
        <w:rPr>
          <w:color w:val="000000"/>
          <w:szCs w:val="24"/>
        </w:rPr>
        <w:t>2023 m. vaistinių preparatų pasiskirstymą (pacientų skaičių, VLK duomenys) – didžiausiomis apimtimis yra sk</w:t>
      </w:r>
      <w:r>
        <w:rPr>
          <w:color w:val="000000"/>
          <w:szCs w:val="24"/>
        </w:rPr>
        <w:t>iriamas alektinibas (92 proc</w:t>
      </w:r>
      <w:r w:rsidRPr="00C86AD0">
        <w:rPr>
          <w:color w:val="000000"/>
          <w:szCs w:val="24"/>
        </w:rPr>
        <w:t>.),</w:t>
      </w:r>
      <w:r w:rsidRPr="00C86AD0">
        <w:rPr>
          <w:color w:val="FF0000"/>
          <w:szCs w:val="24"/>
        </w:rPr>
        <w:t xml:space="preserve"> </w:t>
      </w:r>
      <w:r w:rsidRPr="00C86AD0">
        <w:rPr>
          <w:szCs w:val="24"/>
        </w:rPr>
        <w:t xml:space="preserve">2023 m. sausio 31 d. priimtas sprendimas dėl </w:t>
      </w:r>
      <w:r>
        <w:rPr>
          <w:color w:val="000000"/>
          <w:szCs w:val="24"/>
        </w:rPr>
        <w:t>brigatinibo įtraukimo į kompensuojamųjų VP sąrašus</w:t>
      </w:r>
      <w:r w:rsidRPr="0071317E">
        <w:rPr>
          <w:color w:val="000000"/>
          <w:szCs w:val="24"/>
        </w:rPr>
        <w:t xml:space="preserve"> (2 proc.), tuo tarpu krizotinibo (4 proc.) ir ceritinibo (2 proc.). - pavieniai atvejai. </w:t>
      </w:r>
      <w:r w:rsidRPr="0071317E">
        <w:rPr>
          <w:color w:val="000000"/>
          <w:szCs w:val="24"/>
          <w:lang w:val="en-US"/>
        </w:rPr>
        <w:t>Vertinama, kad e</w:t>
      </w:r>
      <w:r w:rsidRPr="0071317E">
        <w:rPr>
          <w:rFonts w:eastAsia="Arial"/>
          <w:szCs w:val="24"/>
        </w:rPr>
        <w:t>konominėje analizėje pateiktas palyginamasis gydymas atitinka įprastą Lietuvos Respublikos klinikinę praktiką.</w:t>
      </w:r>
    </w:p>
    <w:p w14:paraId="655E248C" w14:textId="77777777" w:rsidR="008C4AF7" w:rsidRPr="0071317E" w:rsidRDefault="008C4AF7" w:rsidP="00C252CD">
      <w:pPr>
        <w:tabs>
          <w:tab w:val="left" w:pos="1606"/>
        </w:tabs>
        <w:spacing w:line="360" w:lineRule="auto"/>
        <w:ind w:firstLine="567"/>
        <w:jc w:val="both"/>
      </w:pPr>
      <w:r w:rsidRPr="0071317E">
        <w:t>Vertinama, kad lorlatinibo ir palyginamųjų (brigatinibo, krizotinibo, ceritinibo ir alektinibo) palyginamasis efektyvumas ir klinikinis veiksmingumas yra iš esmės nesiskiriantis, todėl vadovaujantis Lietuvos Respublikos sveikatos apsaugos ministro 2002 m. balandžio 5 d. įsakymu Nr. 159 „Dėl Vaistinių preparatų ir medicinos pagalbos priemonių įrašymo į kompensavimo sąrašus ir jų keitimo tvarkos aprašo patvirtinimo“ patvirtintų „P</w:t>
      </w:r>
      <w:r w:rsidRPr="0071317E">
        <w:rPr>
          <w:bCs/>
        </w:rPr>
        <w:t>araiškos įrašyti vaistinį preparatą į kompensavimo sąrašus rengimo taisyklių</w:t>
      </w:r>
      <w:r w:rsidRPr="0071317E">
        <w:t xml:space="preserve"> 127 punktu“, </w:t>
      </w:r>
      <w:r w:rsidRPr="0071317E">
        <w:rPr>
          <w:rFonts w:eastAsia="Arial"/>
          <w:bCs/>
        </w:rPr>
        <w:t xml:space="preserve">dėl iš esmės nesiskiriančio gydymo efektyvumo ir sukuriamos naudos pacientų sveikatai, lyginant su įprasta klinikine praktika, Tarnyba atlieka kaštų mažinimo analizę (toliau – KMA), </w:t>
      </w:r>
      <w:r w:rsidRPr="0071317E">
        <w:t>kurioje lorlatinibo ir palyginamųjų terapijų</w:t>
      </w:r>
      <w:r w:rsidRPr="0071317E">
        <w:rPr>
          <w:shd w:val="clear" w:color="auto" w:fill="FFFFFF"/>
        </w:rPr>
        <w:t xml:space="preserve"> kaštų lyginamoji analizė atliekama iš kaštų mažinimo perspektyvos (sveikatai sukuriama nauda nevertinama), todėl klinikiniai duomenys KMA neįtraukiami, </w:t>
      </w:r>
      <w:r w:rsidRPr="0071317E">
        <w:t xml:space="preserve">modeliavimas nėra taikomas (ICER nevertinamas). </w:t>
      </w:r>
    </w:p>
    <w:p w14:paraId="67ACFA3B" w14:textId="77777777" w:rsidR="008C4AF7" w:rsidRPr="0071317E" w:rsidRDefault="008C4AF7" w:rsidP="00C252CD">
      <w:pPr>
        <w:tabs>
          <w:tab w:val="left" w:pos="1606"/>
        </w:tabs>
        <w:spacing w:line="360" w:lineRule="auto"/>
        <w:ind w:firstLine="567"/>
        <w:jc w:val="both"/>
        <w:rPr>
          <w:shd w:val="clear" w:color="auto" w:fill="FFFFFF"/>
        </w:rPr>
      </w:pPr>
      <w:r w:rsidRPr="0071317E">
        <w:lastRenderedPageBreak/>
        <w:t>KMA apima tik esminius skirtumus lemiančius kaštus: vaistinių preparatų įsigijimo kaštus. Remiantis klinikiniais duomenimis, taikoma prielaida kad gydymo kaštai nesiskirs, kadangi VP terapinė nauda panaši. Lorlatinibas ir palyginamieji VP yra vartojami per burną ir ambulatoriškai vartojamų vaistų (tablečių) kaštai ekonominėje analizėje papildomai neįtraukiami. Stebėsenos kaštai laikomi vienodais, kadangi priežiūra šiais VP pagal plaučių vėžio ambulatorinio gydymo tvarkos aprašą yra vykdoma tuo pačiu periodiškumu. Atitinkamai, saugumo charakteristikos pagal NMA rezultatus panašios (</w:t>
      </w:r>
      <w:r w:rsidRPr="0071317E">
        <w:rPr>
          <w:shd w:val="clear" w:color="auto" w:fill="FFFFFF"/>
        </w:rPr>
        <w:t>nereikalauja reikšmingai besiskiriančių papildomų kaštų).</w:t>
      </w:r>
    </w:p>
    <w:p w14:paraId="72088E6F" w14:textId="77777777" w:rsidR="008C4AF7" w:rsidRDefault="008C4AF7" w:rsidP="00C252CD">
      <w:pPr>
        <w:tabs>
          <w:tab w:val="left" w:pos="1606"/>
        </w:tabs>
        <w:spacing w:line="360" w:lineRule="auto"/>
        <w:ind w:firstLine="567"/>
        <w:jc w:val="both"/>
        <w:rPr>
          <w:shd w:val="clear" w:color="auto" w:fill="FFFFFF"/>
        </w:rPr>
      </w:pPr>
      <w:r w:rsidRPr="0071317E">
        <w:rPr>
          <w:shd w:val="clear" w:color="auto" w:fill="FFFFFF"/>
        </w:rPr>
        <w:t xml:space="preserve">Lorlatinibo vaistinių preparatų charakteristikų santraukoje nurodyta, kad gydymas tęsiamas iki ligos progresavimo arba nepriimtino toksiško poveikio pasireiškimo. Krizotinibo, alektinibo ir ceritinibo gydymo trukmė nustatyta SAM patvirtintoje plaučių vėžio gydymo tvarkoje. Brigatinibas šiuo metu nėra aprašytas SAM patvirtintoje metodikoje, o VPCS nurodyta, kad gydymas gali būti tęsiamas kol stebima klinikinė nauda. </w:t>
      </w:r>
      <w:r w:rsidRPr="0071317E">
        <w:t xml:space="preserve">Pareiškėjas, atsižvelgiant jog </w:t>
      </w:r>
      <w:r w:rsidRPr="0071317E">
        <w:rPr>
          <w:shd w:val="clear" w:color="auto" w:fill="FFFFFF"/>
        </w:rPr>
        <w:t xml:space="preserve">lyginamų terapijų klinikinis efektyvumas vertinamas kaip nesiskiriantis, bei </w:t>
      </w:r>
      <w:r w:rsidRPr="0071317E">
        <w:t xml:space="preserve"> Tarnybos ankstesne vertinimų praktika (brigatinibo paraiškos vertinimas, kuriame taikyta vienoda 24 mėn. gydymo trukmė), KMA taiko prielaidą, kad lorlatinibo ir palyginamųjų gydymo trukmė bus vienoda (24 mėn.). Tarnyba siekiant išlaikyti vertinimų nuoseklumą bei atsižvelgiant į klinikinius duomenis, sutinka, kad gydymo trukmė KMA būtų taikoma vienoda. Atsižvelgiant, kad </w:t>
      </w:r>
      <w:r w:rsidRPr="0071317E">
        <w:rPr>
          <w:shd w:val="clear" w:color="auto" w:fill="FFFFFF"/>
        </w:rPr>
        <w:t>medikamentinio gydymo brigatinibu kaštai skiriasi nuo sekančių metų dėl dozavimo ypatumų, dviejų metų vertinimo laikotarpis laikomas tinkamu.</w:t>
      </w:r>
    </w:p>
    <w:p w14:paraId="4D4D32D5" w14:textId="0EFD5F1E" w:rsidR="008C4AF7" w:rsidRDefault="008C4AF7" w:rsidP="00C252CD">
      <w:pPr>
        <w:tabs>
          <w:tab w:val="left" w:pos="567"/>
        </w:tabs>
        <w:spacing w:line="360" w:lineRule="auto"/>
        <w:jc w:val="both"/>
        <w:rPr>
          <w:lang w:eastAsia="lt-LT"/>
        </w:rPr>
      </w:pPr>
      <w:r>
        <w:rPr>
          <w:iCs/>
          <w:lang w:eastAsia="lt-LT"/>
        </w:rPr>
        <w:tab/>
      </w:r>
      <w:r w:rsidRPr="000C7B76">
        <w:rPr>
          <w:iCs/>
          <w:lang w:eastAsia="lt-LT"/>
        </w:rPr>
        <w:t>Įprastinė atvejo analizė atliekama lyginant lorlatinibą (</w:t>
      </w:r>
      <w:r>
        <w:rPr>
          <w:iCs/>
          <w:lang w:eastAsia="lt-LT"/>
        </w:rPr>
        <w:t>VLK siūloma kaina</w:t>
      </w:r>
      <w:r w:rsidRPr="000C7B76">
        <w:rPr>
          <w:iCs/>
          <w:lang w:eastAsia="lt-LT"/>
        </w:rPr>
        <w:t xml:space="preserve">, 100 mg, N30 </w:t>
      </w:r>
      <w:r>
        <w:rPr>
          <w:iCs/>
          <w:lang w:eastAsia="lt-LT"/>
        </w:rPr>
        <w:t>–</w:t>
      </w:r>
      <w:r w:rsidRPr="000C7B76">
        <w:rPr>
          <w:iCs/>
          <w:lang w:eastAsia="lt-LT"/>
        </w:rPr>
        <w:t xml:space="preserve"> </w:t>
      </w:r>
      <w:r w:rsidR="00BC23E9">
        <w:rPr>
          <w:highlight w:val="yellow"/>
          <w:lang w:eastAsia="lt-LT"/>
        </w:rPr>
        <w:t>***</w:t>
      </w:r>
      <w:r w:rsidRPr="00EE0E25">
        <w:rPr>
          <w:highlight w:val="yellow"/>
          <w:lang w:eastAsia="lt-LT"/>
        </w:rPr>
        <w:t xml:space="preserve"> Eur</w:t>
      </w:r>
      <w:r w:rsidRPr="000C7B76">
        <w:rPr>
          <w:lang w:eastAsia="lt-LT"/>
        </w:rPr>
        <w:t>) su alektinibu (2024 m. II pusm. kainynas) ir brigatinibu (konfidecialios brigatinibo kainos su PGS) dviejų metų laikotarpiu.</w:t>
      </w:r>
      <w:r>
        <w:rPr>
          <w:lang w:eastAsia="lt-LT"/>
        </w:rPr>
        <w:t xml:space="preserve"> Palyginamųjų kaštams paskaičiuoti taikomas proporcinis pasiskirstymas pagal</w:t>
      </w:r>
      <w:r w:rsidRPr="000C7B76">
        <w:rPr>
          <w:lang w:eastAsia="lt-LT"/>
        </w:rPr>
        <w:t xml:space="preserve"> 2023 m.</w:t>
      </w:r>
      <w:r>
        <w:rPr>
          <w:lang w:eastAsia="lt-LT"/>
        </w:rPr>
        <w:t xml:space="preserve"> C34</w:t>
      </w:r>
      <w:r w:rsidRPr="000C7B76">
        <w:rPr>
          <w:lang w:eastAsia="lt-LT"/>
        </w:rPr>
        <w:t xml:space="preserve"> skirtų pakuoč</w:t>
      </w:r>
      <w:r>
        <w:rPr>
          <w:lang w:eastAsia="lt-LT"/>
        </w:rPr>
        <w:t xml:space="preserve">ių duomenis (proc., VLK duomenys). </w:t>
      </w:r>
    </w:p>
    <w:p w14:paraId="4C6B12FB" w14:textId="678C0B4E" w:rsidR="008C4AF7" w:rsidRDefault="008C4AF7" w:rsidP="008C4AF7">
      <w:pPr>
        <w:tabs>
          <w:tab w:val="left" w:pos="567"/>
        </w:tabs>
        <w:spacing w:line="276" w:lineRule="auto"/>
        <w:jc w:val="both"/>
        <w:rPr>
          <w:lang w:eastAsia="lt-LT"/>
        </w:rPr>
      </w:pPr>
    </w:p>
    <w:p w14:paraId="3ED98073" w14:textId="7DC76E8C" w:rsidR="008C4AF7" w:rsidRPr="008C4AF7" w:rsidRDefault="008C4AF7" w:rsidP="008C4AF7">
      <w:pPr>
        <w:pStyle w:val="Antrat"/>
        <w:jc w:val="center"/>
        <w:rPr>
          <w:b/>
          <w:color w:val="auto"/>
          <w:sz w:val="24"/>
          <w:szCs w:val="20"/>
        </w:rPr>
      </w:pPr>
      <w:r w:rsidRPr="008C4AF7">
        <w:rPr>
          <w:b/>
          <w:color w:val="auto"/>
          <w:sz w:val="24"/>
          <w:szCs w:val="20"/>
        </w:rPr>
        <w:t xml:space="preserve">Pagrindinis ekonominės analizės rezultatas </w:t>
      </w:r>
      <w:r w:rsidRPr="008C4AF7">
        <w:rPr>
          <w:color w:val="auto"/>
          <w:sz w:val="24"/>
          <w:szCs w:val="20"/>
        </w:rPr>
        <w:t>( laiko trukmė – 24 mėn.)</w:t>
      </w:r>
    </w:p>
    <w:tbl>
      <w:tblPr>
        <w:tblStyle w:val="Lentelstinklelis"/>
        <w:tblW w:w="7264" w:type="dxa"/>
        <w:jc w:val="center"/>
        <w:tblLook w:val="04A0" w:firstRow="1" w:lastRow="0" w:firstColumn="1" w:lastColumn="0" w:noHBand="0" w:noVBand="1"/>
      </w:tblPr>
      <w:tblGrid>
        <w:gridCol w:w="2341"/>
        <w:gridCol w:w="1427"/>
        <w:gridCol w:w="1653"/>
        <w:gridCol w:w="1843"/>
      </w:tblGrid>
      <w:tr w:rsidR="008C4AF7" w:rsidRPr="005D24B3" w14:paraId="32F0081B" w14:textId="77777777" w:rsidTr="005D24B3">
        <w:trPr>
          <w:trHeight w:val="249"/>
          <w:jc w:val="center"/>
        </w:trPr>
        <w:tc>
          <w:tcPr>
            <w:tcW w:w="2341" w:type="dxa"/>
            <w:noWrap/>
            <w:vAlign w:val="center"/>
            <w:hideMark/>
          </w:tcPr>
          <w:p w14:paraId="51A56409" w14:textId="77777777" w:rsidR="008C4AF7" w:rsidRPr="005D24B3" w:rsidRDefault="008C4AF7" w:rsidP="001A524F">
            <w:pPr>
              <w:tabs>
                <w:tab w:val="left" w:pos="567"/>
              </w:tabs>
              <w:jc w:val="both"/>
              <w:rPr>
                <w:b/>
                <w:bCs/>
                <w:lang w:eastAsia="lt-LT"/>
              </w:rPr>
            </w:pPr>
            <w:r w:rsidRPr="005D24B3">
              <w:rPr>
                <w:b/>
                <w:bCs/>
                <w:lang w:eastAsia="lt-LT"/>
              </w:rPr>
              <w:t>Vaistas</w:t>
            </w:r>
          </w:p>
        </w:tc>
        <w:tc>
          <w:tcPr>
            <w:tcW w:w="1427" w:type="dxa"/>
            <w:noWrap/>
            <w:vAlign w:val="center"/>
            <w:hideMark/>
          </w:tcPr>
          <w:p w14:paraId="50FB963E" w14:textId="77777777" w:rsidR="008C4AF7" w:rsidRPr="005D24B3" w:rsidRDefault="008C4AF7" w:rsidP="001A524F">
            <w:pPr>
              <w:tabs>
                <w:tab w:val="left" w:pos="567"/>
              </w:tabs>
              <w:jc w:val="both"/>
              <w:rPr>
                <w:b/>
                <w:bCs/>
                <w:lang w:eastAsia="lt-LT"/>
              </w:rPr>
            </w:pPr>
            <w:r w:rsidRPr="005D24B3">
              <w:rPr>
                <w:b/>
                <w:bCs/>
                <w:lang w:eastAsia="lt-LT"/>
              </w:rPr>
              <w:t>Gydymo kaina, Eur</w:t>
            </w:r>
          </w:p>
        </w:tc>
        <w:tc>
          <w:tcPr>
            <w:tcW w:w="1651" w:type="dxa"/>
            <w:noWrap/>
            <w:vAlign w:val="center"/>
            <w:hideMark/>
          </w:tcPr>
          <w:p w14:paraId="5EBFB4B8" w14:textId="77777777" w:rsidR="008C4AF7" w:rsidRPr="005D24B3" w:rsidRDefault="008C4AF7" w:rsidP="001A524F">
            <w:pPr>
              <w:tabs>
                <w:tab w:val="left" w:pos="567"/>
              </w:tabs>
              <w:jc w:val="both"/>
              <w:rPr>
                <w:b/>
                <w:bCs/>
                <w:lang w:eastAsia="lt-LT"/>
              </w:rPr>
            </w:pPr>
            <w:r w:rsidRPr="005D24B3">
              <w:rPr>
                <w:b/>
                <w:bCs/>
                <w:lang w:eastAsia="lt-LT"/>
              </w:rPr>
              <w:t>Suvartojimo dalis</w:t>
            </w:r>
          </w:p>
        </w:tc>
        <w:tc>
          <w:tcPr>
            <w:tcW w:w="1843" w:type="dxa"/>
            <w:noWrap/>
            <w:vAlign w:val="center"/>
            <w:hideMark/>
          </w:tcPr>
          <w:p w14:paraId="7B84DBC5" w14:textId="77777777" w:rsidR="008C4AF7" w:rsidRPr="005D24B3" w:rsidRDefault="008C4AF7" w:rsidP="001A524F">
            <w:pPr>
              <w:tabs>
                <w:tab w:val="left" w:pos="567"/>
              </w:tabs>
              <w:jc w:val="both"/>
              <w:rPr>
                <w:b/>
                <w:bCs/>
                <w:lang w:eastAsia="lt-LT"/>
              </w:rPr>
            </w:pPr>
            <w:r w:rsidRPr="005D24B3">
              <w:rPr>
                <w:b/>
                <w:bCs/>
                <w:lang w:eastAsia="lt-LT"/>
              </w:rPr>
              <w:t>Visos gydymo išlaidos, Eur</w:t>
            </w:r>
          </w:p>
        </w:tc>
      </w:tr>
      <w:tr w:rsidR="008C4AF7" w:rsidRPr="005D24B3" w14:paraId="683AF993" w14:textId="77777777" w:rsidTr="005D24B3">
        <w:trPr>
          <w:trHeight w:val="249"/>
          <w:jc w:val="center"/>
        </w:trPr>
        <w:tc>
          <w:tcPr>
            <w:tcW w:w="2341" w:type="dxa"/>
            <w:noWrap/>
            <w:vAlign w:val="center"/>
          </w:tcPr>
          <w:p w14:paraId="3D73D13F" w14:textId="77777777" w:rsidR="008C4AF7" w:rsidRPr="005D24B3" w:rsidRDefault="008C4AF7" w:rsidP="001A524F">
            <w:pPr>
              <w:tabs>
                <w:tab w:val="left" w:pos="567"/>
              </w:tabs>
              <w:jc w:val="both"/>
              <w:rPr>
                <w:bCs/>
                <w:lang w:eastAsia="lt-LT"/>
              </w:rPr>
            </w:pPr>
            <w:r w:rsidRPr="005D24B3">
              <w:rPr>
                <w:bCs/>
                <w:lang w:eastAsia="lt-LT"/>
              </w:rPr>
              <w:t>Lorlatinibas*</w:t>
            </w:r>
          </w:p>
        </w:tc>
        <w:tc>
          <w:tcPr>
            <w:tcW w:w="3079" w:type="dxa"/>
            <w:gridSpan w:val="2"/>
            <w:vMerge w:val="restart"/>
            <w:noWrap/>
            <w:vAlign w:val="center"/>
          </w:tcPr>
          <w:p w14:paraId="1F2F24C5" w14:textId="77777777" w:rsidR="008C4AF7" w:rsidRPr="005D24B3" w:rsidRDefault="008C4AF7" w:rsidP="001A524F">
            <w:pPr>
              <w:tabs>
                <w:tab w:val="left" w:pos="567"/>
              </w:tabs>
              <w:jc w:val="both"/>
              <w:rPr>
                <w:bCs/>
                <w:lang w:eastAsia="lt-LT"/>
              </w:rPr>
            </w:pPr>
          </w:p>
        </w:tc>
        <w:tc>
          <w:tcPr>
            <w:tcW w:w="1843" w:type="dxa"/>
            <w:noWrap/>
            <w:vAlign w:val="center"/>
          </w:tcPr>
          <w:p w14:paraId="6EA26CF6" w14:textId="2FD98340" w:rsidR="008C4AF7" w:rsidRPr="00EE0E25" w:rsidRDefault="00BC23E9" w:rsidP="001A524F">
            <w:pPr>
              <w:tabs>
                <w:tab w:val="left" w:pos="567"/>
              </w:tabs>
              <w:rPr>
                <w:bCs/>
                <w:highlight w:val="yellow"/>
                <w:lang w:eastAsia="lt-LT"/>
              </w:rPr>
            </w:pPr>
            <w:r>
              <w:rPr>
                <w:bCs/>
                <w:color w:val="000000"/>
                <w:highlight w:val="yellow"/>
                <w:lang w:eastAsia="lt-LT"/>
              </w:rPr>
              <w:t>***</w:t>
            </w:r>
          </w:p>
        </w:tc>
      </w:tr>
      <w:tr w:rsidR="008C4AF7" w:rsidRPr="005D24B3" w14:paraId="1CD6B256" w14:textId="77777777" w:rsidTr="005D24B3">
        <w:trPr>
          <w:trHeight w:val="249"/>
          <w:jc w:val="center"/>
        </w:trPr>
        <w:tc>
          <w:tcPr>
            <w:tcW w:w="2341" w:type="dxa"/>
            <w:noWrap/>
            <w:vAlign w:val="center"/>
          </w:tcPr>
          <w:p w14:paraId="39855EEF" w14:textId="77777777" w:rsidR="008C4AF7" w:rsidRPr="005D24B3" w:rsidRDefault="008C4AF7" w:rsidP="001A524F">
            <w:pPr>
              <w:tabs>
                <w:tab w:val="left" w:pos="567"/>
              </w:tabs>
              <w:jc w:val="both"/>
              <w:rPr>
                <w:bCs/>
                <w:lang w:eastAsia="lt-LT"/>
              </w:rPr>
            </w:pPr>
            <w:r w:rsidRPr="005D24B3">
              <w:rPr>
                <w:bCs/>
                <w:lang w:eastAsia="lt-LT"/>
              </w:rPr>
              <w:t>Lorlatinibas (VLK)**</w:t>
            </w:r>
          </w:p>
        </w:tc>
        <w:tc>
          <w:tcPr>
            <w:tcW w:w="3079" w:type="dxa"/>
            <w:gridSpan w:val="2"/>
            <w:vMerge/>
            <w:noWrap/>
            <w:vAlign w:val="center"/>
          </w:tcPr>
          <w:p w14:paraId="4C97CB31" w14:textId="77777777" w:rsidR="008C4AF7" w:rsidRPr="005D24B3" w:rsidRDefault="008C4AF7" w:rsidP="001A524F">
            <w:pPr>
              <w:tabs>
                <w:tab w:val="left" w:pos="567"/>
              </w:tabs>
              <w:jc w:val="both"/>
              <w:rPr>
                <w:bCs/>
                <w:lang w:eastAsia="lt-LT"/>
              </w:rPr>
            </w:pPr>
          </w:p>
        </w:tc>
        <w:tc>
          <w:tcPr>
            <w:tcW w:w="1843" w:type="dxa"/>
            <w:noWrap/>
            <w:vAlign w:val="center"/>
          </w:tcPr>
          <w:p w14:paraId="765B04DE" w14:textId="298D8CA4" w:rsidR="008C4AF7" w:rsidRPr="00EE0E25" w:rsidRDefault="00BC23E9" w:rsidP="001A524F">
            <w:pPr>
              <w:tabs>
                <w:tab w:val="left" w:pos="567"/>
              </w:tabs>
              <w:rPr>
                <w:bCs/>
                <w:highlight w:val="yellow"/>
                <w:lang w:eastAsia="lt-LT"/>
              </w:rPr>
            </w:pPr>
            <w:r>
              <w:rPr>
                <w:bCs/>
                <w:color w:val="000000"/>
                <w:highlight w:val="yellow"/>
                <w:lang w:eastAsia="lt-LT"/>
              </w:rPr>
              <w:t>***</w:t>
            </w:r>
          </w:p>
        </w:tc>
      </w:tr>
      <w:tr w:rsidR="008C4AF7" w:rsidRPr="005D24B3" w14:paraId="66C98880" w14:textId="77777777" w:rsidTr="005D24B3">
        <w:trPr>
          <w:trHeight w:val="239"/>
          <w:jc w:val="center"/>
        </w:trPr>
        <w:tc>
          <w:tcPr>
            <w:tcW w:w="2341" w:type="dxa"/>
            <w:noWrap/>
            <w:hideMark/>
          </w:tcPr>
          <w:p w14:paraId="7384401E" w14:textId="77777777" w:rsidR="008C4AF7" w:rsidRPr="005D24B3" w:rsidRDefault="008C4AF7" w:rsidP="001A524F">
            <w:pPr>
              <w:tabs>
                <w:tab w:val="left" w:pos="567"/>
              </w:tabs>
              <w:jc w:val="both"/>
              <w:rPr>
                <w:lang w:eastAsia="lt-LT"/>
              </w:rPr>
            </w:pPr>
            <w:r w:rsidRPr="005D24B3">
              <w:rPr>
                <w:lang w:eastAsia="lt-LT"/>
              </w:rPr>
              <w:t>Brigatinibas 30 mg</w:t>
            </w:r>
          </w:p>
        </w:tc>
        <w:tc>
          <w:tcPr>
            <w:tcW w:w="1427" w:type="dxa"/>
            <w:vMerge w:val="restart"/>
            <w:noWrap/>
          </w:tcPr>
          <w:p w14:paraId="339CA58D" w14:textId="10CE1E8B" w:rsidR="008C4AF7" w:rsidRPr="005D24B3" w:rsidRDefault="005D24B3" w:rsidP="001A524F">
            <w:pPr>
              <w:tabs>
                <w:tab w:val="left" w:pos="567"/>
              </w:tabs>
              <w:jc w:val="center"/>
              <w:rPr>
                <w:lang w:eastAsia="lt-LT"/>
              </w:rPr>
            </w:pPr>
            <w:r w:rsidRPr="005D24B3">
              <w:rPr>
                <w:color w:val="000000"/>
                <w:highlight w:val="red"/>
                <w:lang w:eastAsia="lt-LT"/>
              </w:rPr>
              <w:t>***</w:t>
            </w:r>
          </w:p>
        </w:tc>
        <w:tc>
          <w:tcPr>
            <w:tcW w:w="1651" w:type="dxa"/>
            <w:vMerge w:val="restart"/>
            <w:noWrap/>
            <w:vAlign w:val="center"/>
          </w:tcPr>
          <w:p w14:paraId="1B87E65F" w14:textId="77777777" w:rsidR="008C4AF7" w:rsidRPr="005D24B3" w:rsidRDefault="008C4AF7" w:rsidP="001A524F">
            <w:pPr>
              <w:tabs>
                <w:tab w:val="left" w:pos="567"/>
              </w:tabs>
              <w:jc w:val="center"/>
              <w:rPr>
                <w:lang w:eastAsia="lt-LT"/>
              </w:rPr>
            </w:pPr>
            <w:r w:rsidRPr="005D24B3">
              <w:rPr>
                <w:lang w:eastAsia="lt-LT"/>
              </w:rPr>
              <w:t>2.1 proc.</w:t>
            </w:r>
          </w:p>
        </w:tc>
        <w:tc>
          <w:tcPr>
            <w:tcW w:w="1843" w:type="dxa"/>
            <w:vMerge w:val="restart"/>
            <w:noWrap/>
            <w:vAlign w:val="center"/>
          </w:tcPr>
          <w:p w14:paraId="7FDD45BE" w14:textId="7AC0E29E" w:rsidR="008C4AF7" w:rsidRPr="005D24B3" w:rsidRDefault="005D24B3" w:rsidP="001A524F">
            <w:pPr>
              <w:tabs>
                <w:tab w:val="left" w:pos="567"/>
              </w:tabs>
              <w:rPr>
                <w:lang w:eastAsia="lt-LT"/>
              </w:rPr>
            </w:pPr>
            <w:r w:rsidRPr="005D24B3">
              <w:rPr>
                <w:color w:val="000000"/>
                <w:highlight w:val="red"/>
                <w:lang w:eastAsia="lt-LT"/>
              </w:rPr>
              <w:t>***</w:t>
            </w:r>
          </w:p>
        </w:tc>
      </w:tr>
      <w:tr w:rsidR="008C4AF7" w:rsidRPr="005D24B3" w14:paraId="33AF81DA" w14:textId="77777777" w:rsidTr="005D24B3">
        <w:trPr>
          <w:trHeight w:val="239"/>
          <w:jc w:val="center"/>
        </w:trPr>
        <w:tc>
          <w:tcPr>
            <w:tcW w:w="2341" w:type="dxa"/>
            <w:noWrap/>
            <w:hideMark/>
          </w:tcPr>
          <w:p w14:paraId="5C8687B7" w14:textId="77777777" w:rsidR="008C4AF7" w:rsidRPr="005D24B3" w:rsidRDefault="008C4AF7" w:rsidP="001A524F">
            <w:pPr>
              <w:tabs>
                <w:tab w:val="left" w:pos="567"/>
              </w:tabs>
              <w:jc w:val="both"/>
              <w:rPr>
                <w:lang w:eastAsia="lt-LT"/>
              </w:rPr>
            </w:pPr>
            <w:r w:rsidRPr="005D24B3">
              <w:rPr>
                <w:lang w:eastAsia="lt-LT"/>
              </w:rPr>
              <w:t>Brigatinibas 180 mg</w:t>
            </w:r>
          </w:p>
        </w:tc>
        <w:tc>
          <w:tcPr>
            <w:tcW w:w="1427" w:type="dxa"/>
            <w:vMerge/>
            <w:noWrap/>
          </w:tcPr>
          <w:p w14:paraId="301162EE" w14:textId="77777777" w:rsidR="008C4AF7" w:rsidRPr="005D24B3" w:rsidRDefault="008C4AF7" w:rsidP="001A524F">
            <w:pPr>
              <w:tabs>
                <w:tab w:val="left" w:pos="567"/>
              </w:tabs>
              <w:jc w:val="center"/>
              <w:rPr>
                <w:lang w:eastAsia="lt-LT"/>
              </w:rPr>
            </w:pPr>
          </w:p>
        </w:tc>
        <w:tc>
          <w:tcPr>
            <w:tcW w:w="1651" w:type="dxa"/>
            <w:vMerge/>
            <w:noWrap/>
            <w:vAlign w:val="center"/>
          </w:tcPr>
          <w:p w14:paraId="260D0A12" w14:textId="77777777" w:rsidR="008C4AF7" w:rsidRPr="005D24B3" w:rsidRDefault="008C4AF7" w:rsidP="001A524F">
            <w:pPr>
              <w:tabs>
                <w:tab w:val="left" w:pos="567"/>
              </w:tabs>
              <w:jc w:val="center"/>
              <w:rPr>
                <w:lang w:eastAsia="lt-LT"/>
              </w:rPr>
            </w:pPr>
          </w:p>
        </w:tc>
        <w:tc>
          <w:tcPr>
            <w:tcW w:w="1843" w:type="dxa"/>
            <w:vMerge/>
            <w:noWrap/>
            <w:vAlign w:val="center"/>
          </w:tcPr>
          <w:p w14:paraId="5D482490" w14:textId="77777777" w:rsidR="008C4AF7" w:rsidRPr="005D24B3" w:rsidRDefault="008C4AF7" w:rsidP="001A524F">
            <w:pPr>
              <w:tabs>
                <w:tab w:val="left" w:pos="567"/>
              </w:tabs>
              <w:jc w:val="center"/>
              <w:rPr>
                <w:lang w:eastAsia="lt-LT"/>
              </w:rPr>
            </w:pPr>
          </w:p>
        </w:tc>
      </w:tr>
      <w:tr w:rsidR="008C4AF7" w:rsidRPr="005D24B3" w14:paraId="449B7561" w14:textId="77777777" w:rsidTr="005D24B3">
        <w:trPr>
          <w:trHeight w:val="239"/>
          <w:jc w:val="center"/>
        </w:trPr>
        <w:tc>
          <w:tcPr>
            <w:tcW w:w="2341" w:type="dxa"/>
            <w:noWrap/>
          </w:tcPr>
          <w:p w14:paraId="6F15645B" w14:textId="77777777" w:rsidR="008C4AF7" w:rsidRPr="005D24B3" w:rsidRDefault="008C4AF7" w:rsidP="001A524F">
            <w:pPr>
              <w:tabs>
                <w:tab w:val="left" w:pos="567"/>
              </w:tabs>
              <w:jc w:val="both"/>
              <w:rPr>
                <w:lang w:eastAsia="lt-LT"/>
              </w:rPr>
            </w:pPr>
            <w:r w:rsidRPr="005D24B3">
              <w:rPr>
                <w:lang w:eastAsia="lt-LT"/>
              </w:rPr>
              <w:t>Alektinibas 150 mg</w:t>
            </w:r>
          </w:p>
        </w:tc>
        <w:tc>
          <w:tcPr>
            <w:tcW w:w="1427" w:type="dxa"/>
            <w:noWrap/>
          </w:tcPr>
          <w:p w14:paraId="22B7E0EF" w14:textId="77777777" w:rsidR="008C4AF7" w:rsidRPr="005D24B3" w:rsidRDefault="008C4AF7" w:rsidP="001A524F">
            <w:pPr>
              <w:tabs>
                <w:tab w:val="left" w:pos="567"/>
              </w:tabs>
              <w:jc w:val="center"/>
              <w:rPr>
                <w:lang w:eastAsia="lt-LT"/>
              </w:rPr>
            </w:pPr>
            <w:r w:rsidRPr="005D24B3">
              <w:rPr>
                <w:bCs/>
                <w:color w:val="000000"/>
                <w:lang w:eastAsia="lt-LT"/>
              </w:rPr>
              <w:t>110379.9</w:t>
            </w:r>
          </w:p>
        </w:tc>
        <w:tc>
          <w:tcPr>
            <w:tcW w:w="1651" w:type="dxa"/>
            <w:noWrap/>
            <w:vAlign w:val="center"/>
          </w:tcPr>
          <w:p w14:paraId="033CFDA1" w14:textId="77777777" w:rsidR="008C4AF7" w:rsidRPr="005D24B3" w:rsidRDefault="008C4AF7" w:rsidP="001A524F">
            <w:pPr>
              <w:tabs>
                <w:tab w:val="left" w:pos="567"/>
              </w:tabs>
              <w:jc w:val="center"/>
              <w:rPr>
                <w:lang w:eastAsia="lt-LT"/>
              </w:rPr>
            </w:pPr>
            <w:r w:rsidRPr="005D24B3">
              <w:rPr>
                <w:lang w:eastAsia="lt-LT"/>
              </w:rPr>
              <w:t>97.9 proc.</w:t>
            </w:r>
          </w:p>
        </w:tc>
        <w:tc>
          <w:tcPr>
            <w:tcW w:w="1843" w:type="dxa"/>
            <w:vMerge/>
            <w:noWrap/>
            <w:vAlign w:val="center"/>
          </w:tcPr>
          <w:p w14:paraId="55DAC3EE" w14:textId="77777777" w:rsidR="008C4AF7" w:rsidRPr="005D24B3" w:rsidRDefault="008C4AF7" w:rsidP="001A524F">
            <w:pPr>
              <w:tabs>
                <w:tab w:val="left" w:pos="567"/>
              </w:tabs>
              <w:jc w:val="center"/>
              <w:rPr>
                <w:lang w:eastAsia="lt-LT"/>
              </w:rPr>
            </w:pPr>
          </w:p>
        </w:tc>
      </w:tr>
      <w:tr w:rsidR="005D24B3" w:rsidRPr="005D24B3" w14:paraId="717A20E1" w14:textId="77777777" w:rsidTr="005D24B3">
        <w:trPr>
          <w:trHeight w:val="239"/>
          <w:jc w:val="center"/>
        </w:trPr>
        <w:tc>
          <w:tcPr>
            <w:tcW w:w="5421" w:type="dxa"/>
            <w:gridSpan w:val="3"/>
            <w:vMerge w:val="restart"/>
            <w:noWrap/>
          </w:tcPr>
          <w:p w14:paraId="232F2F1A" w14:textId="6A55E05E" w:rsidR="005D24B3" w:rsidRPr="005D24B3" w:rsidRDefault="005D24B3" w:rsidP="005D24B3">
            <w:pPr>
              <w:tabs>
                <w:tab w:val="left" w:pos="567"/>
              </w:tabs>
              <w:jc w:val="right"/>
              <w:rPr>
                <w:lang w:eastAsia="lt-LT"/>
              </w:rPr>
            </w:pPr>
            <w:r w:rsidRPr="005D24B3">
              <w:rPr>
                <w:lang w:eastAsia="lt-LT"/>
              </w:rPr>
              <w:t>Skirtumas*</w:t>
            </w:r>
          </w:p>
        </w:tc>
        <w:tc>
          <w:tcPr>
            <w:tcW w:w="1843" w:type="dxa"/>
            <w:noWrap/>
            <w:vAlign w:val="center"/>
          </w:tcPr>
          <w:p w14:paraId="642EC64B" w14:textId="54A0FEDB" w:rsidR="005D24B3" w:rsidRPr="005D24B3" w:rsidRDefault="005D24B3" w:rsidP="001A524F">
            <w:pPr>
              <w:jc w:val="center"/>
              <w:rPr>
                <w:color w:val="000000"/>
              </w:rPr>
            </w:pPr>
            <w:r w:rsidRPr="005D24B3">
              <w:rPr>
                <w:color w:val="000000"/>
              </w:rPr>
              <w:t>-</w:t>
            </w:r>
            <w:r w:rsidRPr="005D24B3">
              <w:rPr>
                <w:color w:val="000000"/>
                <w:highlight w:val="red"/>
                <w:lang w:eastAsia="lt-LT"/>
              </w:rPr>
              <w:t>***</w:t>
            </w:r>
            <w:r>
              <w:rPr>
                <w:color w:val="000000"/>
                <w:lang w:eastAsia="lt-LT"/>
              </w:rPr>
              <w:t xml:space="preserve"> </w:t>
            </w:r>
            <w:r w:rsidRPr="005D24B3">
              <w:rPr>
                <w:color w:val="000000"/>
              </w:rPr>
              <w:t>Eur.</w:t>
            </w:r>
          </w:p>
        </w:tc>
      </w:tr>
      <w:tr w:rsidR="005D24B3" w:rsidRPr="005D24B3" w14:paraId="6FC882C1" w14:textId="77777777" w:rsidTr="005D24B3">
        <w:trPr>
          <w:trHeight w:val="239"/>
          <w:jc w:val="center"/>
        </w:trPr>
        <w:tc>
          <w:tcPr>
            <w:tcW w:w="5421" w:type="dxa"/>
            <w:gridSpan w:val="3"/>
            <w:vMerge/>
            <w:noWrap/>
          </w:tcPr>
          <w:p w14:paraId="6245A033" w14:textId="77777777" w:rsidR="005D24B3" w:rsidRPr="005D24B3" w:rsidRDefault="005D24B3" w:rsidP="005D24B3">
            <w:pPr>
              <w:tabs>
                <w:tab w:val="left" w:pos="567"/>
              </w:tabs>
              <w:jc w:val="right"/>
              <w:rPr>
                <w:bCs/>
                <w:lang w:eastAsia="lt-LT"/>
              </w:rPr>
            </w:pPr>
          </w:p>
        </w:tc>
        <w:tc>
          <w:tcPr>
            <w:tcW w:w="1843" w:type="dxa"/>
            <w:noWrap/>
            <w:vAlign w:val="center"/>
          </w:tcPr>
          <w:p w14:paraId="241FB752" w14:textId="0515FF17" w:rsidR="005D24B3" w:rsidRPr="005D24B3" w:rsidRDefault="005D24B3" w:rsidP="001A524F">
            <w:pPr>
              <w:jc w:val="center"/>
              <w:rPr>
                <w:color w:val="000000"/>
              </w:rPr>
            </w:pPr>
            <w:r w:rsidRPr="005D24B3">
              <w:rPr>
                <w:color w:val="000000"/>
              </w:rPr>
              <w:t>-</w:t>
            </w:r>
            <w:r w:rsidRPr="005D24B3">
              <w:rPr>
                <w:color w:val="000000"/>
                <w:highlight w:val="red"/>
                <w:lang w:eastAsia="lt-LT"/>
              </w:rPr>
              <w:t>***</w:t>
            </w:r>
            <w:r>
              <w:rPr>
                <w:color w:val="000000"/>
                <w:lang w:eastAsia="lt-LT"/>
              </w:rPr>
              <w:t xml:space="preserve"> </w:t>
            </w:r>
            <w:r w:rsidRPr="005D24B3">
              <w:rPr>
                <w:color w:val="000000"/>
              </w:rPr>
              <w:t>proc.</w:t>
            </w:r>
          </w:p>
        </w:tc>
      </w:tr>
      <w:tr w:rsidR="005D24B3" w:rsidRPr="005D24B3" w14:paraId="214BBD07" w14:textId="77777777" w:rsidTr="005D24B3">
        <w:trPr>
          <w:trHeight w:val="249"/>
          <w:jc w:val="center"/>
        </w:trPr>
        <w:tc>
          <w:tcPr>
            <w:tcW w:w="5421" w:type="dxa"/>
            <w:gridSpan w:val="3"/>
            <w:vMerge w:val="restart"/>
            <w:noWrap/>
          </w:tcPr>
          <w:p w14:paraId="40DA5122" w14:textId="158CFEE7" w:rsidR="005D24B3" w:rsidRPr="005D24B3" w:rsidRDefault="005D24B3" w:rsidP="005D24B3">
            <w:pPr>
              <w:tabs>
                <w:tab w:val="left" w:pos="567"/>
              </w:tabs>
              <w:jc w:val="right"/>
              <w:rPr>
                <w:b/>
                <w:highlight w:val="yellow"/>
                <w:lang w:eastAsia="lt-LT"/>
              </w:rPr>
            </w:pPr>
            <w:r w:rsidRPr="005D24B3">
              <w:rPr>
                <w:b/>
                <w:lang w:eastAsia="lt-LT"/>
              </w:rPr>
              <w:t>Skirtumas (VLK)**</w:t>
            </w:r>
          </w:p>
        </w:tc>
        <w:tc>
          <w:tcPr>
            <w:tcW w:w="1843" w:type="dxa"/>
            <w:noWrap/>
            <w:vAlign w:val="center"/>
          </w:tcPr>
          <w:p w14:paraId="1267559A" w14:textId="5CA7771E" w:rsidR="005D24B3" w:rsidRPr="005D24B3" w:rsidRDefault="005D24B3" w:rsidP="001A524F">
            <w:pPr>
              <w:jc w:val="center"/>
              <w:rPr>
                <w:b/>
                <w:color w:val="000000"/>
              </w:rPr>
            </w:pPr>
            <w:r w:rsidRPr="005D24B3">
              <w:rPr>
                <w:b/>
                <w:color w:val="000000"/>
              </w:rPr>
              <w:t>-</w:t>
            </w:r>
            <w:r w:rsidRPr="005D24B3">
              <w:rPr>
                <w:color w:val="000000"/>
                <w:highlight w:val="red"/>
                <w:lang w:eastAsia="lt-LT"/>
              </w:rPr>
              <w:t>***</w:t>
            </w:r>
            <w:r w:rsidRPr="005D24B3">
              <w:rPr>
                <w:b/>
                <w:color w:val="000000"/>
              </w:rPr>
              <w:t xml:space="preserve"> Eur.</w:t>
            </w:r>
          </w:p>
        </w:tc>
      </w:tr>
      <w:tr w:rsidR="005D24B3" w:rsidRPr="005D24B3" w14:paraId="6B581042" w14:textId="77777777" w:rsidTr="005D24B3">
        <w:trPr>
          <w:trHeight w:val="249"/>
          <w:jc w:val="center"/>
        </w:trPr>
        <w:tc>
          <w:tcPr>
            <w:tcW w:w="5421" w:type="dxa"/>
            <w:gridSpan w:val="3"/>
            <w:vMerge/>
            <w:noWrap/>
          </w:tcPr>
          <w:p w14:paraId="043A0D79" w14:textId="77777777" w:rsidR="005D24B3" w:rsidRPr="005D24B3" w:rsidRDefault="005D24B3" w:rsidP="001A524F">
            <w:pPr>
              <w:tabs>
                <w:tab w:val="left" w:pos="567"/>
              </w:tabs>
              <w:jc w:val="center"/>
              <w:rPr>
                <w:b/>
                <w:highlight w:val="yellow"/>
                <w:lang w:eastAsia="lt-LT"/>
              </w:rPr>
            </w:pPr>
          </w:p>
        </w:tc>
        <w:tc>
          <w:tcPr>
            <w:tcW w:w="1843" w:type="dxa"/>
            <w:noWrap/>
            <w:vAlign w:val="center"/>
          </w:tcPr>
          <w:p w14:paraId="42239D58" w14:textId="15A9DF7C" w:rsidR="005D24B3" w:rsidRPr="005D24B3" w:rsidRDefault="005D24B3" w:rsidP="001A524F">
            <w:pPr>
              <w:tabs>
                <w:tab w:val="left" w:pos="567"/>
              </w:tabs>
              <w:jc w:val="center"/>
              <w:rPr>
                <w:b/>
                <w:lang w:eastAsia="lt-LT"/>
              </w:rPr>
            </w:pPr>
            <w:r w:rsidRPr="005D24B3">
              <w:rPr>
                <w:b/>
                <w:lang w:eastAsia="lt-LT"/>
              </w:rPr>
              <w:t>-</w:t>
            </w:r>
            <w:r w:rsidRPr="005D24B3">
              <w:rPr>
                <w:color w:val="000000"/>
                <w:highlight w:val="red"/>
                <w:lang w:eastAsia="lt-LT"/>
              </w:rPr>
              <w:t>***</w:t>
            </w:r>
            <w:r>
              <w:rPr>
                <w:color w:val="000000"/>
                <w:lang w:eastAsia="lt-LT"/>
              </w:rPr>
              <w:t xml:space="preserve"> </w:t>
            </w:r>
            <w:r w:rsidRPr="005D24B3">
              <w:rPr>
                <w:b/>
                <w:lang w:eastAsia="lt-LT"/>
              </w:rPr>
              <w:t>proc.</w:t>
            </w:r>
          </w:p>
        </w:tc>
      </w:tr>
    </w:tbl>
    <w:p w14:paraId="03D025BC" w14:textId="614A754B" w:rsidR="008C4AF7" w:rsidRPr="009659AA" w:rsidRDefault="008C4AF7" w:rsidP="009659AA">
      <w:pPr>
        <w:tabs>
          <w:tab w:val="left" w:pos="567"/>
        </w:tabs>
        <w:jc w:val="both"/>
        <w:rPr>
          <w:sz w:val="20"/>
          <w:szCs w:val="20"/>
          <w:lang w:val="en-US"/>
        </w:rPr>
      </w:pPr>
      <w:r w:rsidRPr="00370C8C">
        <w:rPr>
          <w:rFonts w:eastAsia="Arial"/>
          <w:b/>
          <w:sz w:val="20"/>
          <w:szCs w:val="20"/>
        </w:rPr>
        <w:t>*</w:t>
      </w:r>
      <w:r w:rsidRPr="00370C8C">
        <w:rPr>
          <w:color w:val="000000"/>
          <w:sz w:val="20"/>
          <w:szCs w:val="20"/>
          <w:lang w:eastAsia="lt-LT"/>
        </w:rPr>
        <w:t xml:space="preserve"> Pareiškėjo teikiama kaina su PGS; ** VLK siūloma bazinė kaina, </w:t>
      </w:r>
      <w:r w:rsidRPr="00370C8C">
        <w:rPr>
          <w:sz w:val="20"/>
          <w:szCs w:val="20"/>
        </w:rPr>
        <w:t>pagal ES valstybėse deklaruojamų trijų mažiausių kainų vidurkį</w:t>
      </w:r>
      <w:r w:rsidRPr="00370C8C">
        <w:rPr>
          <w:sz w:val="20"/>
          <w:szCs w:val="20"/>
          <w:lang w:val="en-US"/>
        </w:rPr>
        <w:t xml:space="preserve"> 2025 m. I pusm.</w:t>
      </w:r>
    </w:p>
    <w:p w14:paraId="09A0FDA0" w14:textId="77777777" w:rsidR="008C4AF7" w:rsidRDefault="008C4AF7" w:rsidP="008C4AF7">
      <w:pPr>
        <w:tabs>
          <w:tab w:val="left" w:pos="567"/>
        </w:tabs>
        <w:spacing w:line="276" w:lineRule="auto"/>
        <w:jc w:val="both"/>
        <w:rPr>
          <w:lang w:eastAsia="lt-LT"/>
        </w:rPr>
      </w:pPr>
    </w:p>
    <w:p w14:paraId="259A1377" w14:textId="39738F21" w:rsidR="006067D9" w:rsidRPr="009659AA" w:rsidRDefault="008C4AF7" w:rsidP="009659AA">
      <w:pPr>
        <w:spacing w:line="276" w:lineRule="auto"/>
        <w:ind w:firstLine="720"/>
        <w:jc w:val="both"/>
        <w:rPr>
          <w:rFonts w:eastAsia="Arial"/>
        </w:rPr>
      </w:pPr>
      <w:r w:rsidRPr="00650566">
        <w:rPr>
          <w:rFonts w:eastAsia="Arial"/>
        </w:rPr>
        <w:t xml:space="preserve">Gautais KMA duomenimis, </w:t>
      </w:r>
      <w:r w:rsidRPr="00650566">
        <w:rPr>
          <w:color w:val="000000"/>
        </w:rPr>
        <w:t xml:space="preserve">gydant išplitusio ALK+ NSLPV </w:t>
      </w:r>
      <w:r w:rsidRPr="00650566">
        <w:rPr>
          <w:rFonts w:eastAsia="Arial"/>
        </w:rPr>
        <w:t>lorlatinibo kaštai</w:t>
      </w:r>
      <w:r w:rsidRPr="00650566">
        <w:rPr>
          <w:color w:val="000000"/>
        </w:rPr>
        <w:t xml:space="preserve"> dviejų metų laikotarpiu yra mažesni</w:t>
      </w:r>
      <w:r>
        <w:rPr>
          <w:color w:val="000000"/>
        </w:rPr>
        <w:t xml:space="preserve"> (-</w:t>
      </w:r>
      <w:r w:rsidR="005D24B3" w:rsidRPr="005D24B3">
        <w:rPr>
          <w:color w:val="000000"/>
          <w:highlight w:val="red"/>
          <w:lang w:eastAsia="lt-LT"/>
        </w:rPr>
        <w:t>***</w:t>
      </w:r>
      <w:r w:rsidR="005D24B3">
        <w:rPr>
          <w:color w:val="000000"/>
          <w:lang w:eastAsia="lt-LT"/>
        </w:rPr>
        <w:t xml:space="preserve"> </w:t>
      </w:r>
      <w:r>
        <w:rPr>
          <w:color w:val="000000"/>
        </w:rPr>
        <w:t xml:space="preserve">Eur., - </w:t>
      </w:r>
      <w:r w:rsidR="005D24B3" w:rsidRPr="005D24B3">
        <w:rPr>
          <w:color w:val="000000"/>
          <w:highlight w:val="red"/>
          <w:lang w:eastAsia="lt-LT"/>
        </w:rPr>
        <w:t>***</w:t>
      </w:r>
      <w:r w:rsidR="005D24B3">
        <w:rPr>
          <w:color w:val="000000"/>
          <w:lang w:eastAsia="lt-LT"/>
        </w:rPr>
        <w:t xml:space="preserve"> </w:t>
      </w:r>
      <w:r>
        <w:rPr>
          <w:color w:val="000000"/>
        </w:rPr>
        <w:t>proc.)</w:t>
      </w:r>
      <w:r w:rsidRPr="00650566">
        <w:rPr>
          <w:color w:val="000000"/>
        </w:rPr>
        <w:t xml:space="preserve"> </w:t>
      </w:r>
      <w:r w:rsidRPr="00650566">
        <w:rPr>
          <w:rFonts w:eastAsia="Arial"/>
        </w:rPr>
        <w:t xml:space="preserve">nei palyginamųjų: brigatinibo ir alektinibo (taikant </w:t>
      </w:r>
      <w:r w:rsidRPr="00650566">
        <w:rPr>
          <w:rFonts w:eastAsia="Arial"/>
        </w:rPr>
        <w:lastRenderedPageBreak/>
        <w:t>procentinį pasiskirstymą pagal ank</w:t>
      </w:r>
      <w:r w:rsidR="00C252CD">
        <w:rPr>
          <w:rFonts w:eastAsia="Arial"/>
        </w:rPr>
        <w:t>st</w:t>
      </w:r>
      <w:r w:rsidRPr="00650566">
        <w:rPr>
          <w:rFonts w:eastAsia="Arial"/>
        </w:rPr>
        <w:t>esniais metais skirt</w:t>
      </w:r>
      <w:r>
        <w:rPr>
          <w:rFonts w:eastAsia="Arial"/>
        </w:rPr>
        <w:t>ų VP</w:t>
      </w:r>
      <w:r w:rsidRPr="00650566">
        <w:rPr>
          <w:rFonts w:eastAsia="Arial"/>
        </w:rPr>
        <w:t xml:space="preserve"> proporcingumą)</w:t>
      </w:r>
      <w:r>
        <w:rPr>
          <w:rFonts w:eastAsia="Arial"/>
        </w:rPr>
        <w:t xml:space="preserve"> ir yra </w:t>
      </w:r>
      <w:r w:rsidRPr="00650566">
        <w:rPr>
          <w:rFonts w:eastAsia="Arial"/>
        </w:rPr>
        <w:t>pasiekiamas kaštų mažinimas.</w:t>
      </w:r>
    </w:p>
    <w:p w14:paraId="48B10700" w14:textId="77777777" w:rsidR="00414E1A" w:rsidRPr="00E33EFF" w:rsidRDefault="00414E1A" w:rsidP="00A93AA6">
      <w:pPr>
        <w:tabs>
          <w:tab w:val="left" w:pos="426"/>
        </w:tabs>
        <w:rPr>
          <w:b/>
          <w:bCs/>
          <w:caps/>
        </w:rPr>
      </w:pPr>
    </w:p>
    <w:p w14:paraId="4FC424F9" w14:textId="4E767245" w:rsidR="00C62B36" w:rsidRPr="00E33EFF" w:rsidRDefault="00C62B36" w:rsidP="008C4AF7">
      <w:pPr>
        <w:pStyle w:val="Sraopastraipa"/>
        <w:numPr>
          <w:ilvl w:val="0"/>
          <w:numId w:val="18"/>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30552421"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DA5285">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8C4AF7">
      <w:pPr>
        <w:pStyle w:val="Sraopastraipa"/>
        <w:numPr>
          <w:ilvl w:val="0"/>
          <w:numId w:val="18"/>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02647DB6"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DA5285">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39E7028D" w14:textId="2583F6CB" w:rsidR="00414E1A" w:rsidRPr="00414E1A" w:rsidRDefault="00414E1A" w:rsidP="008C4AF7">
      <w:pPr>
        <w:pStyle w:val="Sraopastraipa"/>
        <w:numPr>
          <w:ilvl w:val="0"/>
          <w:numId w:val="18"/>
        </w:numPr>
        <w:tabs>
          <w:tab w:val="left" w:pos="630"/>
        </w:tabs>
        <w:ind w:hanging="720"/>
        <w:rPr>
          <w:b/>
          <w:bCs/>
          <w:caps/>
        </w:rPr>
      </w:pPr>
      <w:r w:rsidRPr="00414E1A">
        <w:rPr>
          <w:b/>
          <w:bCs/>
          <w:caps/>
        </w:rPr>
        <w:t xml:space="preserve">Išvada </w:t>
      </w:r>
    </w:p>
    <w:p w14:paraId="6E59B835" w14:textId="77777777" w:rsidR="00414E1A" w:rsidRPr="00797153" w:rsidRDefault="00414E1A" w:rsidP="00414E1A">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414E1A" w:rsidRPr="00414E1A" w14:paraId="1A176D6F" w14:textId="77777777" w:rsidTr="00A144F3">
        <w:tc>
          <w:tcPr>
            <w:tcW w:w="4815" w:type="dxa"/>
          </w:tcPr>
          <w:p w14:paraId="02FCB30F"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414E1A">
              <w:rPr>
                <w:rStyle w:val="Style2"/>
                <w:rFonts w:eastAsia="MS Gothic"/>
                <w:b/>
                <w:bCs/>
                <w:sz w:val="24"/>
              </w:rPr>
              <w:t>Rekomenduojama kompensuoti</w:t>
            </w:r>
          </w:p>
        </w:tc>
        <w:tc>
          <w:tcPr>
            <w:tcW w:w="4814" w:type="dxa"/>
          </w:tcPr>
          <w:p w14:paraId="336DE5D8"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414E1A">
              <w:rPr>
                <w:rStyle w:val="Style2"/>
                <w:rFonts w:eastAsia="MS Gothic"/>
                <w:b/>
                <w:bCs/>
                <w:sz w:val="24"/>
              </w:rPr>
              <w:t xml:space="preserve">Rekomenduojama nekompensuoti </w:t>
            </w:r>
          </w:p>
        </w:tc>
      </w:tr>
      <w:tr w:rsidR="00414E1A" w:rsidRPr="00414E1A" w14:paraId="16DB39BB" w14:textId="77777777" w:rsidTr="00A144F3">
        <w:tc>
          <w:tcPr>
            <w:tcW w:w="9629" w:type="dxa"/>
            <w:gridSpan w:val="2"/>
          </w:tcPr>
          <w:p w14:paraId="0FCDFD44"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14E1A">
              <w:rPr>
                <w:rStyle w:val="Style2"/>
                <w:rFonts w:eastAsia="MS Gothic"/>
                <w:b/>
                <w:bCs/>
                <w:sz w:val="24"/>
              </w:rPr>
              <w:t>Palyginamasis efektyvumas</w:t>
            </w:r>
          </w:p>
          <w:p w14:paraId="6C79C72F"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414E1A" w:rsidRPr="00414E1A" w14:paraId="2C60BF07" w14:textId="77777777" w:rsidTr="00A144F3">
        <w:tc>
          <w:tcPr>
            <w:tcW w:w="4815" w:type="dxa"/>
          </w:tcPr>
          <w:p w14:paraId="734284E3"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32.1. yra didesnis</w:t>
            </w:r>
          </w:p>
          <w:p w14:paraId="59F0DD04"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85BD9AB"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32.1. iš esmės nesiskiria</w:t>
            </w:r>
          </w:p>
        </w:tc>
        <w:tc>
          <w:tcPr>
            <w:tcW w:w="4814" w:type="dxa"/>
          </w:tcPr>
          <w:p w14:paraId="46BA2839"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yra mažesnis</w:t>
            </w:r>
          </w:p>
          <w:p w14:paraId="6EA5E7E6"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DBE508C"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yra neįrodytas kaip toks pat</w:t>
            </w:r>
          </w:p>
          <w:p w14:paraId="3924FD93"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B20CDD6"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neįrodytas kaip didesnis</w:t>
            </w:r>
          </w:p>
          <w:p w14:paraId="148577FE"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F58F84E"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pateikti duomenys apie palyginamąjį efektyvumą yra netinkami vertinti</w:t>
            </w:r>
          </w:p>
          <w:p w14:paraId="733AA88B"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414E1A" w:rsidRPr="00414E1A" w14:paraId="0040BCB2" w14:textId="77777777" w:rsidTr="00A144F3">
        <w:tc>
          <w:tcPr>
            <w:tcW w:w="9629" w:type="dxa"/>
            <w:gridSpan w:val="2"/>
          </w:tcPr>
          <w:p w14:paraId="168D43FD"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14E1A">
              <w:rPr>
                <w:rStyle w:val="Style2"/>
                <w:rFonts w:eastAsia="MS Gothic"/>
                <w:b/>
                <w:bCs/>
                <w:sz w:val="24"/>
              </w:rPr>
              <w:t>Klinikinis veiksmingumas</w:t>
            </w:r>
          </w:p>
          <w:p w14:paraId="44760F96"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414E1A" w:rsidRPr="00414E1A" w14:paraId="1F2BEDF0" w14:textId="77777777" w:rsidTr="00A144F3">
        <w:tc>
          <w:tcPr>
            <w:tcW w:w="4815" w:type="dxa"/>
          </w:tcPr>
          <w:p w14:paraId="4E93ABEA"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32.2. yra įvertintas kaip pagrindžiantis papildomos naudos pacientų sveikatai sukūrimą, lyginant su įprasta klinikine praktika</w:t>
            </w:r>
          </w:p>
          <w:p w14:paraId="12371324"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E619DA"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32.2. įvertintas kaip pagrindžiantis nesiskiriančios naudos pacientų sveikatai sukūrimą, lyginant su įprasta klinikine praktika</w:t>
            </w:r>
          </w:p>
          <w:p w14:paraId="477AAEDD"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489338FD" w14:textId="77777777" w:rsidR="00414E1A" w:rsidRPr="00414E1A" w:rsidRDefault="00000000" w:rsidP="00A144F3">
            <w:pPr>
              <w:jc w:val="both"/>
            </w:pPr>
            <w:sdt>
              <w:sdtPr>
                <w:rPr>
                  <w:rStyle w:val="Style2"/>
                  <w:sz w:val="24"/>
                </w:rPr>
                <w:id w:val="-1034573056"/>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yra įvertintas kaip nepagrindžiantis papildomos naudos pacientų sveikatai sukūrimo, lyginant su  įprasta klinikine praktika.</w:t>
            </w:r>
          </w:p>
          <w:p w14:paraId="52FE208B" w14:textId="77777777" w:rsidR="00414E1A" w:rsidRPr="00414E1A" w:rsidRDefault="00414E1A" w:rsidP="00A144F3">
            <w:pPr>
              <w:jc w:val="both"/>
            </w:pPr>
          </w:p>
          <w:p w14:paraId="7A335E24" w14:textId="77777777" w:rsidR="00414E1A" w:rsidRPr="00414E1A" w:rsidRDefault="00000000" w:rsidP="00A144F3">
            <w:pPr>
              <w:jc w:val="both"/>
            </w:pPr>
            <w:sdt>
              <w:sdtPr>
                <w:rPr>
                  <w:rStyle w:val="Style2"/>
                  <w:sz w:val="24"/>
                </w:rPr>
                <w:id w:val="1289549109"/>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nesiskiriančios naudos pacientų sveikatai sukūrimo, lyginant su įprasta klinikine praktika.</w:t>
            </w:r>
          </w:p>
          <w:p w14:paraId="1FAF8FA1"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D25D367"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414E1A" w:rsidRPr="00414E1A" w14:paraId="7DE4C6C0" w14:textId="77777777" w:rsidTr="00A144F3">
        <w:tc>
          <w:tcPr>
            <w:tcW w:w="9629" w:type="dxa"/>
            <w:gridSpan w:val="2"/>
          </w:tcPr>
          <w:p w14:paraId="7353C9A8"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14E1A">
              <w:rPr>
                <w:rStyle w:val="Style2"/>
                <w:rFonts w:eastAsia="MS Gothic"/>
                <w:b/>
                <w:bCs/>
                <w:sz w:val="24"/>
              </w:rPr>
              <w:t>Kaštų naudingumas</w:t>
            </w:r>
          </w:p>
          <w:p w14:paraId="706C1815"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414E1A" w:rsidRPr="00414E1A" w14:paraId="0CBEB1E7" w14:textId="77777777" w:rsidTr="00A144F3">
        <w:tc>
          <w:tcPr>
            <w:tcW w:w="4815" w:type="dxa"/>
          </w:tcPr>
          <w:p w14:paraId="4CA9ADF5"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32.3. atitinka referencinę naudingumo vertę, taikant PGS</w:t>
            </w:r>
          </w:p>
          <w:p w14:paraId="248373BC"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1FBC411" w14:textId="7FABDC9F"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Content>
                <w:r w:rsidR="003475EE">
                  <w:rPr>
                    <w:rStyle w:val="Style2"/>
                    <w:rFonts w:ascii="MS Gothic" w:eastAsia="MS Gothic" w:hAnsi="MS Gothic" w:hint="eastAsia"/>
                    <w:sz w:val="24"/>
                  </w:rPr>
                  <w:t>☒</w:t>
                </w:r>
              </w:sdtContent>
            </w:sdt>
            <w:r w:rsidR="00414E1A" w:rsidRPr="00414E1A">
              <w:t xml:space="preserve"> 32.3. gydymo juo kaštai yra mažesni ar tokie patys esant iš esmės nesiskiriančiam palyginamajam efektyvumui, taikant PGS</w:t>
            </w:r>
          </w:p>
          <w:p w14:paraId="129DB90A"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47D06795"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33.3. neatitinka referencinės naudingumo vertės Lietuvos Respublikoje;</w:t>
            </w:r>
          </w:p>
          <w:p w14:paraId="2122ACC0"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A4A11A0" w14:textId="3ED0DE16"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DA5285">
                  <w:rPr>
                    <w:rStyle w:val="Style2"/>
                    <w:rFonts w:ascii="MS Gothic" w:eastAsia="MS Gothic" w:hAnsi="MS Gothic" w:hint="eastAsia"/>
                    <w:sz w:val="24"/>
                  </w:rPr>
                  <w:t>☐</w:t>
                </w:r>
              </w:sdtContent>
            </w:sdt>
            <w:r w:rsidR="00414E1A" w:rsidRPr="00414E1A">
              <w:t xml:space="preserve"> 33.3. gydymo juo kaštai yra didesni esant iš esmės nesiskiriančiam palyginamajam efektyvumui, taikant PGS</w:t>
            </w:r>
          </w:p>
          <w:p w14:paraId="1692F2BB"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76ADFA"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33.3. pateikti duomenys apie kaštų naudingumą yra netinkami vertinti</w:t>
            </w:r>
          </w:p>
          <w:p w14:paraId="49FD1295"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0ABBA13F" w14:textId="77777777" w:rsidR="00414E1A" w:rsidRDefault="00414E1A" w:rsidP="00414E1A">
      <w:pPr>
        <w:pStyle w:val="Sraopastraipa"/>
        <w:shd w:val="clear" w:color="auto" w:fill="FFFFFF"/>
        <w:tabs>
          <w:tab w:val="left" w:pos="284"/>
        </w:tabs>
        <w:spacing w:line="276" w:lineRule="auto"/>
        <w:rPr>
          <w:rFonts w:eastAsia="Arial"/>
          <w:b/>
        </w:rPr>
      </w:pPr>
    </w:p>
    <w:p w14:paraId="63014E78" w14:textId="77777777" w:rsidR="00DA5285" w:rsidRPr="00DA5285" w:rsidRDefault="00414E1A" w:rsidP="008C4AF7">
      <w:pPr>
        <w:pStyle w:val="Sraopastraipa"/>
        <w:numPr>
          <w:ilvl w:val="0"/>
          <w:numId w:val="18"/>
        </w:numPr>
        <w:shd w:val="clear" w:color="auto" w:fill="FFFFFF"/>
        <w:tabs>
          <w:tab w:val="left" w:pos="284"/>
          <w:tab w:val="left" w:pos="567"/>
        </w:tabs>
        <w:spacing w:line="276" w:lineRule="auto"/>
        <w:ind w:left="567" w:hanging="567"/>
        <w:jc w:val="both"/>
        <w:rPr>
          <w:b/>
          <w:color w:val="000000"/>
          <w:lang w:eastAsia="lt-LT"/>
        </w:rPr>
      </w:pPr>
      <w:r w:rsidRPr="00DA5285">
        <w:rPr>
          <w:rFonts w:eastAsia="Arial"/>
          <w:b/>
        </w:rPr>
        <w:t>REKOMENDACIJA</w:t>
      </w:r>
    </w:p>
    <w:p w14:paraId="551EF0AD" w14:textId="77777777" w:rsidR="00DA5285" w:rsidRDefault="00DA5285" w:rsidP="00DA5285">
      <w:pPr>
        <w:shd w:val="clear" w:color="auto" w:fill="FFFFFF"/>
        <w:tabs>
          <w:tab w:val="left" w:pos="284"/>
          <w:tab w:val="left" w:pos="567"/>
        </w:tabs>
        <w:spacing w:line="276" w:lineRule="auto"/>
        <w:jc w:val="both"/>
        <w:rPr>
          <w:b/>
          <w:color w:val="000000"/>
          <w:lang w:eastAsia="lt-LT"/>
        </w:rPr>
      </w:pPr>
    </w:p>
    <w:p w14:paraId="72ED3C73" w14:textId="77777777" w:rsidR="005D24B3" w:rsidRDefault="009659AA" w:rsidP="009659AA">
      <w:pPr>
        <w:pStyle w:val="VVKT"/>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w:t>
      </w:r>
      <w:r w:rsidR="00FA74D7" w:rsidRPr="00E33EFF">
        <w:t>34.3</w:t>
      </w:r>
      <w:r w:rsidR="00FA74D7">
        <w:t xml:space="preserve"> </w:t>
      </w:r>
      <w:r w:rsidRPr="00E33EFF">
        <w:t>punktu</w:t>
      </w:r>
      <w:r>
        <w:t xml:space="preserve"> </w:t>
      </w:r>
    </w:p>
    <w:p w14:paraId="1A913961" w14:textId="68E9F873" w:rsidR="009659AA" w:rsidRPr="008A6038" w:rsidRDefault="009659AA" w:rsidP="009659AA">
      <w:pPr>
        <w:pStyle w:val="VVKT"/>
      </w:pPr>
      <w:r w:rsidRPr="00E33EFF">
        <w:t xml:space="preserve"> </w:t>
      </w:r>
      <w:r w:rsidRPr="008A2943">
        <w:rPr>
          <w:i/>
          <w:iCs/>
        </w:rPr>
        <w:t>kompensuoti</w:t>
      </w:r>
      <w:r w:rsidRPr="00E33EFF">
        <w:t xml:space="preserve"> vaistinį preparatą pagal paraiškoje nurodytą indikaciją be skyrimo sąlygų, </w:t>
      </w:r>
      <w:r>
        <w:t xml:space="preserve">taikant pareiškėjo </w:t>
      </w:r>
      <w:r w:rsidRPr="008A6038">
        <w:t>kainą</w:t>
      </w:r>
      <w:r>
        <w:t xml:space="preserve"> su PGS</w:t>
      </w:r>
      <w:r w:rsidRPr="008A6038">
        <w:t xml:space="preserve">, dėl iš esmės nesiskiriančio gydymo efektyvumo ir sukuriamos naudos pacientų sveikatai, lyginant su įprasta klinikine praktika, ir dėl mažesnių gydymo kaštų dydžio (kaštų </w:t>
      </w:r>
      <w:r>
        <w:t>mažinimas</w:t>
      </w:r>
      <w:r w:rsidRPr="008A6038">
        <w:t>).</w:t>
      </w:r>
      <w:r>
        <w:t xml:space="preserve"> </w:t>
      </w:r>
    </w:p>
    <w:p w14:paraId="79B2EE5D" w14:textId="77777777" w:rsidR="00DA5285" w:rsidRPr="00DA5285" w:rsidRDefault="00DA5285" w:rsidP="00DA5285">
      <w:pPr>
        <w:shd w:val="clear" w:color="auto" w:fill="FFFFFF"/>
        <w:tabs>
          <w:tab w:val="left" w:pos="284"/>
          <w:tab w:val="left" w:pos="567"/>
        </w:tabs>
        <w:spacing w:line="276" w:lineRule="auto"/>
        <w:jc w:val="both"/>
        <w:rPr>
          <w:b/>
          <w:color w:val="000000"/>
          <w:lang w:eastAsia="lt-LT"/>
        </w:rPr>
      </w:pPr>
    </w:p>
    <w:p w14:paraId="18B4292E" w14:textId="6325D9EC" w:rsidR="000723FF" w:rsidRPr="00DA5285" w:rsidRDefault="000723FF" w:rsidP="008C4AF7">
      <w:pPr>
        <w:pStyle w:val="Sraopastraipa"/>
        <w:numPr>
          <w:ilvl w:val="0"/>
          <w:numId w:val="18"/>
        </w:numPr>
        <w:shd w:val="clear" w:color="auto" w:fill="FFFFFF"/>
        <w:tabs>
          <w:tab w:val="left" w:pos="284"/>
          <w:tab w:val="left" w:pos="567"/>
        </w:tabs>
        <w:spacing w:line="276" w:lineRule="auto"/>
        <w:ind w:left="567" w:hanging="567"/>
        <w:jc w:val="both"/>
        <w:rPr>
          <w:b/>
          <w:color w:val="000000"/>
          <w:lang w:eastAsia="lt-LT"/>
        </w:rPr>
      </w:pPr>
      <w:r w:rsidRPr="00DA5285">
        <w:rPr>
          <w:b/>
          <w:color w:val="000000"/>
          <w:lang w:eastAsia="lt-LT"/>
        </w:rPr>
        <w:t>SIŪLOMOS KOMPENSUOTI TERAPINĖS</w:t>
      </w:r>
      <w:r w:rsidR="00414E1A" w:rsidRPr="00DA5285">
        <w:rPr>
          <w:b/>
          <w:color w:val="000000"/>
          <w:lang w:eastAsia="lt-LT"/>
        </w:rPr>
        <w:t xml:space="preserve"> INDIKACIJOS IR SKYRIMO SĄLYGOS</w:t>
      </w:r>
      <w:r w:rsidRPr="00DA5285">
        <w:rPr>
          <w:b/>
          <w:color w:val="000000"/>
          <w:lang w:eastAsia="lt-LT"/>
        </w:rPr>
        <w:t xml:space="preserve"> </w:t>
      </w:r>
    </w:p>
    <w:p w14:paraId="691340BB" w14:textId="77777777" w:rsidR="000723FF" w:rsidRPr="00E33EFF" w:rsidRDefault="000723FF" w:rsidP="00455714">
      <w:pPr>
        <w:tabs>
          <w:tab w:val="left" w:pos="426"/>
        </w:tabs>
        <w:spacing w:line="276" w:lineRule="auto"/>
        <w:jc w:val="both"/>
        <w:rPr>
          <w:b/>
          <w:color w:val="000000"/>
          <w:lang w:eastAsia="lt-LT"/>
        </w:rPr>
      </w:pPr>
    </w:p>
    <w:p w14:paraId="516838DD" w14:textId="77777777" w:rsidR="00DA5285" w:rsidRPr="008A4DDD" w:rsidRDefault="00DA5285" w:rsidP="00455714">
      <w:pPr>
        <w:pStyle w:val="Betarp"/>
        <w:spacing w:line="276" w:lineRule="auto"/>
        <w:rPr>
          <w:rFonts w:ascii="Times New Roman" w:hAnsi="Times New Roman"/>
          <w:b/>
          <w:sz w:val="24"/>
          <w:szCs w:val="24"/>
          <w:lang w:eastAsia="lt-LT"/>
        </w:rPr>
      </w:pPr>
      <w:r w:rsidRPr="008A4DDD">
        <w:rPr>
          <w:rFonts w:ascii="Times New Roman" w:hAnsi="Times New Roman"/>
          <w:b/>
          <w:sz w:val="24"/>
          <w:szCs w:val="24"/>
          <w:lang w:eastAsia="lt-LT"/>
        </w:rPr>
        <w:t>Terapinės indikacijos</w:t>
      </w:r>
    </w:p>
    <w:p w14:paraId="265A5DB0" w14:textId="77777777" w:rsidR="00DA5285" w:rsidRPr="008A4DDD" w:rsidRDefault="00000000" w:rsidP="00455714">
      <w:pPr>
        <w:pStyle w:val="Betarp"/>
        <w:spacing w:line="276" w:lineRule="auto"/>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Content>
          <w:r w:rsidR="00DA5285" w:rsidRPr="008A4DDD">
            <w:rPr>
              <w:rStyle w:val="Style2"/>
              <w:rFonts w:ascii="MS Gothic" w:eastAsia="MS Gothic" w:hAnsi="MS Gothic"/>
              <w:sz w:val="24"/>
              <w:szCs w:val="24"/>
            </w:rPr>
            <w:t>☒</w:t>
          </w:r>
        </w:sdtContent>
      </w:sdt>
      <w:r w:rsidR="00DA5285" w:rsidRPr="008A4DDD">
        <w:rPr>
          <w:rFonts w:ascii="Times New Roman" w:hAnsi="Times New Roman"/>
          <w:sz w:val="24"/>
          <w:szCs w:val="24"/>
        </w:rPr>
        <w:t xml:space="preserve"> Siūloma kompensuoti Pareiškėjo teikiamą indikaciją be pakeitimų.</w:t>
      </w:r>
    </w:p>
    <w:p w14:paraId="52D7187E" w14:textId="77777777" w:rsidR="00DA5285" w:rsidRDefault="00DA5285" w:rsidP="00455714">
      <w:pPr>
        <w:pStyle w:val="Betarp"/>
        <w:spacing w:line="276" w:lineRule="auto"/>
        <w:rPr>
          <w:rFonts w:ascii="Times New Roman" w:hAnsi="Times New Roman"/>
          <w:sz w:val="24"/>
          <w:szCs w:val="24"/>
        </w:rPr>
      </w:pPr>
    </w:p>
    <w:p w14:paraId="7F8DF435" w14:textId="49EAE16E" w:rsidR="00DA5285" w:rsidRPr="008A4DDD" w:rsidRDefault="00DA5285" w:rsidP="00455714">
      <w:pPr>
        <w:pStyle w:val="Betarp"/>
        <w:spacing w:line="276" w:lineRule="auto"/>
        <w:jc w:val="both"/>
        <w:rPr>
          <w:rFonts w:ascii="Times New Roman" w:hAnsi="Times New Roman"/>
          <w:sz w:val="24"/>
          <w:szCs w:val="24"/>
        </w:rPr>
      </w:pPr>
      <w:r w:rsidRPr="008A4DDD">
        <w:rPr>
          <w:rFonts w:ascii="Times New Roman" w:hAnsi="Times New Roman"/>
          <w:sz w:val="24"/>
          <w:szCs w:val="24"/>
        </w:rPr>
        <w:t>Lorviqua monoterapija skirta anksčiau ALK inhibitorių nevartojusių suaugusių pacientų, sergančių anaplastinės limfomos kinazės (ALK) atžvilgiu teigiamu išplitusiu nesmulkialąsteliniu plaučių vėžiu (NSLPV, angl. non-small cell lung cancer [NSCLC]), gydymui.</w:t>
      </w:r>
    </w:p>
    <w:p w14:paraId="03DE8114" w14:textId="77777777" w:rsidR="00DA5285" w:rsidRPr="008A4DDD" w:rsidRDefault="00DA5285" w:rsidP="00455714">
      <w:pPr>
        <w:pStyle w:val="Betarp"/>
        <w:spacing w:line="276" w:lineRule="auto"/>
        <w:rPr>
          <w:rFonts w:ascii="Times New Roman" w:hAnsi="Times New Roman"/>
          <w:sz w:val="24"/>
          <w:szCs w:val="24"/>
        </w:rPr>
      </w:pPr>
    </w:p>
    <w:p w14:paraId="0A0A9E6E" w14:textId="77777777" w:rsidR="00DA5285" w:rsidRPr="008A4DDD" w:rsidRDefault="00000000" w:rsidP="00455714">
      <w:pPr>
        <w:pStyle w:val="Betarp"/>
        <w:spacing w:line="276" w:lineRule="auto"/>
        <w:rPr>
          <w:rFonts w:ascii="Times New Roman" w:hAnsi="Times New Roman"/>
          <w:sz w:val="24"/>
          <w:szCs w:val="24"/>
        </w:rPr>
      </w:pPr>
      <w:sdt>
        <w:sdtPr>
          <w:rPr>
            <w:rStyle w:val="Style2"/>
            <w:rFonts w:ascii="Times New Roman" w:hAnsi="Times New Roman"/>
            <w:sz w:val="24"/>
            <w:szCs w:val="24"/>
          </w:rPr>
          <w:id w:val="1467245146"/>
          <w15:color w:val="FFCC00"/>
          <w14:checkbox>
            <w14:checked w14:val="0"/>
            <w14:checkedState w14:val="2612" w14:font="MS Gothic"/>
            <w14:uncheckedState w14:val="2610" w14:font="MS Gothic"/>
          </w14:checkbox>
        </w:sdtPr>
        <w:sdtContent>
          <w:r w:rsidR="00DA5285" w:rsidRPr="008A4DDD">
            <w:rPr>
              <w:rStyle w:val="Style2"/>
              <w:rFonts w:ascii="MS Gothic" w:eastAsia="MS Gothic" w:hAnsi="MS Gothic"/>
              <w:sz w:val="24"/>
              <w:szCs w:val="24"/>
            </w:rPr>
            <w:t>☐</w:t>
          </w:r>
        </w:sdtContent>
      </w:sdt>
      <w:r w:rsidR="00DA5285" w:rsidRPr="008A4DDD">
        <w:rPr>
          <w:rFonts w:ascii="Times New Roman" w:hAnsi="Times New Roman"/>
          <w:sz w:val="24"/>
          <w:szCs w:val="24"/>
        </w:rPr>
        <w:t xml:space="preserve"> Siūloma kompensuoti Pareiškėjo teikiamą indikaciją su pakeitimais.</w:t>
      </w:r>
    </w:p>
    <w:p w14:paraId="7DD65F7E" w14:textId="77777777" w:rsidR="000723FF" w:rsidRPr="00E33EFF" w:rsidRDefault="000723FF" w:rsidP="00455714">
      <w:pPr>
        <w:spacing w:line="276" w:lineRule="auto"/>
      </w:pPr>
    </w:p>
    <w:p w14:paraId="241A6E6B" w14:textId="77777777" w:rsidR="000723FF" w:rsidRDefault="000723FF" w:rsidP="00455714">
      <w:pPr>
        <w:spacing w:line="276" w:lineRule="auto"/>
        <w:rPr>
          <w:b/>
        </w:rPr>
      </w:pPr>
      <w:bookmarkStart w:id="1" w:name="_Hlk182332213"/>
      <w:r w:rsidRPr="00E33EFF">
        <w:rPr>
          <w:b/>
        </w:rPr>
        <w:t>Skyrimo sąlygos</w:t>
      </w:r>
    </w:p>
    <w:p w14:paraId="1E439BB3" w14:textId="77777777" w:rsidR="008A2943" w:rsidRPr="00E33EFF" w:rsidRDefault="008A2943" w:rsidP="00455714">
      <w:pPr>
        <w:spacing w:line="276" w:lineRule="auto"/>
        <w:rPr>
          <w:b/>
        </w:rPr>
      </w:pPr>
    </w:p>
    <w:p w14:paraId="060564DE" w14:textId="77777777" w:rsidR="008A2943" w:rsidRDefault="00A66B4A" w:rsidP="00455714">
      <w:pPr>
        <w:spacing w:line="276" w:lineRule="auto"/>
        <w:jc w:val="both"/>
        <w:rPr>
          <w:bCs/>
        </w:rPr>
      </w:pPr>
      <w:r w:rsidRPr="008A2943">
        <w:rPr>
          <w:bCs/>
        </w:rPr>
        <w:t>Siūlom</w:t>
      </w:r>
      <w:r>
        <w:rPr>
          <w:bCs/>
        </w:rPr>
        <w:t xml:space="preserve">a nustatyti tokias </w:t>
      </w:r>
      <w:r w:rsidRPr="008A2943">
        <w:rPr>
          <w:bCs/>
        </w:rPr>
        <w:t xml:space="preserve">skyrimo </w:t>
      </w:r>
      <w:r w:rsidRPr="00A66B4A">
        <w:rPr>
          <w:bCs/>
        </w:rPr>
        <w:t>sąlyg</w:t>
      </w:r>
      <w:r>
        <w:rPr>
          <w:bCs/>
        </w:rPr>
        <w:t>a</w:t>
      </w:r>
      <w:r w:rsidRPr="00A66B4A">
        <w:rPr>
          <w:bCs/>
        </w:rPr>
        <w:t>s</w:t>
      </w:r>
      <w:r w:rsidR="008A2943">
        <w:rPr>
          <w:bCs/>
        </w:rPr>
        <w:t>:</w:t>
      </w:r>
    </w:p>
    <w:p w14:paraId="3D81FC5B" w14:textId="167E4AB9" w:rsidR="00F21D62" w:rsidRPr="008A2943" w:rsidRDefault="00F21D62" w:rsidP="00455714">
      <w:pPr>
        <w:spacing w:line="276" w:lineRule="auto"/>
        <w:jc w:val="both"/>
        <w:rPr>
          <w:bCs/>
        </w:rPr>
      </w:pPr>
      <w:r>
        <w:rPr>
          <w:lang w:eastAsia="lt-LT"/>
        </w:rPr>
        <w:t xml:space="preserve">Skiriamas monoterapijai </w:t>
      </w:r>
      <w:r w:rsidRPr="00F21D62">
        <w:rPr>
          <w:lang w:eastAsia="lt-LT"/>
        </w:rPr>
        <w:t>anks</w:t>
      </w:r>
      <w:r w:rsidRPr="00F21D62">
        <w:rPr>
          <w:rFonts w:hint="eastAsia"/>
          <w:lang w:eastAsia="lt-LT"/>
        </w:rPr>
        <w:t>č</w:t>
      </w:r>
      <w:r w:rsidRPr="00F21D62">
        <w:rPr>
          <w:lang w:eastAsia="lt-LT"/>
        </w:rPr>
        <w:t>iau ALK inhibitori</w:t>
      </w:r>
      <w:r w:rsidRPr="00F21D62">
        <w:rPr>
          <w:rFonts w:hint="eastAsia"/>
          <w:lang w:eastAsia="lt-LT"/>
        </w:rPr>
        <w:t>ų</w:t>
      </w:r>
      <w:r w:rsidRPr="00F21D62">
        <w:rPr>
          <w:lang w:eastAsia="lt-LT"/>
        </w:rPr>
        <w:t xml:space="preserve"> nevartojusi</w:t>
      </w:r>
      <w:r>
        <w:rPr>
          <w:lang w:eastAsia="lt-LT"/>
        </w:rPr>
        <w:t xml:space="preserve">ems </w:t>
      </w:r>
      <w:r w:rsidRPr="00E65BC7">
        <w:t>suaugusiesiems, sergantiems teigiamu anaplazinės limfomos kinazės (ALK) atžvilgiu išplitusiu NSLPV.</w:t>
      </w:r>
      <w:bookmarkEnd w:id="1"/>
    </w:p>
    <w:sectPr w:rsidR="00F21D62" w:rsidRPr="008A2943"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3C877" w14:textId="77777777" w:rsidR="003A41EE" w:rsidRDefault="003A41EE">
      <w:r>
        <w:separator/>
      </w:r>
    </w:p>
  </w:endnote>
  <w:endnote w:type="continuationSeparator" w:id="0">
    <w:p w14:paraId="05B65E7F" w14:textId="77777777" w:rsidR="003A41EE" w:rsidRDefault="003A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728F8" w14:textId="77777777" w:rsidR="003A41EE" w:rsidRDefault="003A41EE">
      <w:r>
        <w:separator/>
      </w:r>
    </w:p>
  </w:footnote>
  <w:footnote w:type="continuationSeparator" w:id="0">
    <w:p w14:paraId="3551D2CF" w14:textId="77777777" w:rsidR="003A41EE" w:rsidRDefault="003A4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60AEA179"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55714">
      <w:rPr>
        <w:rStyle w:val="Puslapionumeris"/>
        <w:noProof/>
      </w:rPr>
      <w:t>8</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F31EC9"/>
    <w:multiLevelType w:val="hybridMultilevel"/>
    <w:tmpl w:val="83AA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754DA"/>
    <w:multiLevelType w:val="hybridMultilevel"/>
    <w:tmpl w:val="4FFAA8BC"/>
    <w:lvl w:ilvl="0" w:tplc="1B3883C8">
      <w:start w:val="1"/>
      <w:numFmt w:val="decimal"/>
      <w:lvlText w:val="%1."/>
      <w:lvlJc w:val="left"/>
      <w:pPr>
        <w:ind w:left="785" w:hanging="360"/>
      </w:p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250C0963"/>
    <w:multiLevelType w:val="hybridMultilevel"/>
    <w:tmpl w:val="81AAFE8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9C3FC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22B94"/>
    <w:multiLevelType w:val="hybridMultilevel"/>
    <w:tmpl w:val="366A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FF1936"/>
    <w:multiLevelType w:val="hybridMultilevel"/>
    <w:tmpl w:val="BACE2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191779">
    <w:abstractNumId w:val="10"/>
  </w:num>
  <w:num w:numId="2" w16cid:durableId="1947076311">
    <w:abstractNumId w:val="1"/>
  </w:num>
  <w:num w:numId="3" w16cid:durableId="1750154267">
    <w:abstractNumId w:val="13"/>
  </w:num>
  <w:num w:numId="4" w16cid:durableId="1851948174">
    <w:abstractNumId w:val="12"/>
  </w:num>
  <w:num w:numId="5" w16cid:durableId="133718879">
    <w:abstractNumId w:val="9"/>
  </w:num>
  <w:num w:numId="6" w16cid:durableId="2012105005">
    <w:abstractNumId w:val="8"/>
  </w:num>
  <w:num w:numId="7" w16cid:durableId="1375039610">
    <w:abstractNumId w:val="5"/>
  </w:num>
  <w:num w:numId="8" w16cid:durableId="1238635326">
    <w:abstractNumId w:val="17"/>
  </w:num>
  <w:num w:numId="9" w16cid:durableId="1663896457">
    <w:abstractNumId w:val="0"/>
  </w:num>
  <w:num w:numId="10" w16cid:durableId="1590964431">
    <w:abstractNumId w:val="14"/>
  </w:num>
  <w:num w:numId="11" w16cid:durableId="1151294791">
    <w:abstractNumId w:val="16"/>
  </w:num>
  <w:num w:numId="12" w16cid:durableId="1071123925">
    <w:abstractNumId w:val="2"/>
  </w:num>
  <w:num w:numId="13" w16cid:durableId="1559586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5208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3075389">
    <w:abstractNumId w:val="7"/>
  </w:num>
  <w:num w:numId="16" w16cid:durableId="665323275">
    <w:abstractNumId w:val="11"/>
  </w:num>
  <w:num w:numId="17" w16cid:durableId="1687753040">
    <w:abstractNumId w:val="3"/>
  </w:num>
  <w:num w:numId="18" w16cid:durableId="1861314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46"/>
    <w:rsid w:val="00003F5B"/>
    <w:rsid w:val="000114DD"/>
    <w:rsid w:val="000136F7"/>
    <w:rsid w:val="0002686C"/>
    <w:rsid w:val="00031D0E"/>
    <w:rsid w:val="000337E6"/>
    <w:rsid w:val="0003402E"/>
    <w:rsid w:val="00034EAE"/>
    <w:rsid w:val="00042924"/>
    <w:rsid w:val="00053975"/>
    <w:rsid w:val="00057A2B"/>
    <w:rsid w:val="000606BE"/>
    <w:rsid w:val="00066924"/>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B7824"/>
    <w:rsid w:val="001D3F6F"/>
    <w:rsid w:val="001D746F"/>
    <w:rsid w:val="001E4BBB"/>
    <w:rsid w:val="001E6304"/>
    <w:rsid w:val="001F5121"/>
    <w:rsid w:val="0020381E"/>
    <w:rsid w:val="00205C0A"/>
    <w:rsid w:val="00213471"/>
    <w:rsid w:val="00215906"/>
    <w:rsid w:val="00236BA7"/>
    <w:rsid w:val="00241CD8"/>
    <w:rsid w:val="00244B09"/>
    <w:rsid w:val="002519CB"/>
    <w:rsid w:val="0025697F"/>
    <w:rsid w:val="00260258"/>
    <w:rsid w:val="0026588E"/>
    <w:rsid w:val="00272428"/>
    <w:rsid w:val="00272948"/>
    <w:rsid w:val="00274D72"/>
    <w:rsid w:val="00292392"/>
    <w:rsid w:val="002946C7"/>
    <w:rsid w:val="002B3CC1"/>
    <w:rsid w:val="002B50C0"/>
    <w:rsid w:val="002C09E0"/>
    <w:rsid w:val="002C1BB1"/>
    <w:rsid w:val="002C2786"/>
    <w:rsid w:val="002C3A10"/>
    <w:rsid w:val="002C4A90"/>
    <w:rsid w:val="002C4ED5"/>
    <w:rsid w:val="002D02EF"/>
    <w:rsid w:val="002E0702"/>
    <w:rsid w:val="002E57AD"/>
    <w:rsid w:val="002E6F80"/>
    <w:rsid w:val="002F0E4F"/>
    <w:rsid w:val="002F1053"/>
    <w:rsid w:val="00317B0E"/>
    <w:rsid w:val="003475EE"/>
    <w:rsid w:val="00347FAA"/>
    <w:rsid w:val="0035172D"/>
    <w:rsid w:val="0036187D"/>
    <w:rsid w:val="00367EDB"/>
    <w:rsid w:val="00381024"/>
    <w:rsid w:val="00386307"/>
    <w:rsid w:val="003874DE"/>
    <w:rsid w:val="00393E9F"/>
    <w:rsid w:val="0039696E"/>
    <w:rsid w:val="003A41EE"/>
    <w:rsid w:val="003B211A"/>
    <w:rsid w:val="003B35EC"/>
    <w:rsid w:val="003C141F"/>
    <w:rsid w:val="003C5248"/>
    <w:rsid w:val="003C6B0E"/>
    <w:rsid w:val="003C7257"/>
    <w:rsid w:val="003C7E35"/>
    <w:rsid w:val="003D1E99"/>
    <w:rsid w:val="003D6208"/>
    <w:rsid w:val="003F231D"/>
    <w:rsid w:val="00404E8A"/>
    <w:rsid w:val="0040622F"/>
    <w:rsid w:val="00413F24"/>
    <w:rsid w:val="00414E1A"/>
    <w:rsid w:val="00422853"/>
    <w:rsid w:val="00423160"/>
    <w:rsid w:val="004435D6"/>
    <w:rsid w:val="004445E0"/>
    <w:rsid w:val="00453862"/>
    <w:rsid w:val="0045469B"/>
    <w:rsid w:val="00455714"/>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14B6"/>
    <w:rsid w:val="005B3756"/>
    <w:rsid w:val="005C493F"/>
    <w:rsid w:val="005C6BF7"/>
    <w:rsid w:val="005C71BF"/>
    <w:rsid w:val="005D002C"/>
    <w:rsid w:val="005D24B3"/>
    <w:rsid w:val="005D30E1"/>
    <w:rsid w:val="005D6555"/>
    <w:rsid w:val="005D7BDF"/>
    <w:rsid w:val="005E4870"/>
    <w:rsid w:val="005F71D9"/>
    <w:rsid w:val="005F7602"/>
    <w:rsid w:val="006062BE"/>
    <w:rsid w:val="006067D9"/>
    <w:rsid w:val="00613143"/>
    <w:rsid w:val="00613501"/>
    <w:rsid w:val="0061611B"/>
    <w:rsid w:val="006166A8"/>
    <w:rsid w:val="006174A1"/>
    <w:rsid w:val="00621D6C"/>
    <w:rsid w:val="00633B49"/>
    <w:rsid w:val="006361D5"/>
    <w:rsid w:val="0064297F"/>
    <w:rsid w:val="00645102"/>
    <w:rsid w:val="00646CF3"/>
    <w:rsid w:val="00653D11"/>
    <w:rsid w:val="00662983"/>
    <w:rsid w:val="006834D3"/>
    <w:rsid w:val="0069258B"/>
    <w:rsid w:val="00692625"/>
    <w:rsid w:val="00695CD3"/>
    <w:rsid w:val="006A38B6"/>
    <w:rsid w:val="006B1987"/>
    <w:rsid w:val="006B5B71"/>
    <w:rsid w:val="006B6CB0"/>
    <w:rsid w:val="006B7583"/>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18A8"/>
    <w:rsid w:val="007424D5"/>
    <w:rsid w:val="007501AF"/>
    <w:rsid w:val="00750A88"/>
    <w:rsid w:val="007523DD"/>
    <w:rsid w:val="00757B7E"/>
    <w:rsid w:val="007656B2"/>
    <w:rsid w:val="0077016F"/>
    <w:rsid w:val="007713AD"/>
    <w:rsid w:val="00795DC5"/>
    <w:rsid w:val="00797153"/>
    <w:rsid w:val="007A21F7"/>
    <w:rsid w:val="007A2B68"/>
    <w:rsid w:val="007B0DDA"/>
    <w:rsid w:val="007D3347"/>
    <w:rsid w:val="007D6791"/>
    <w:rsid w:val="007E5466"/>
    <w:rsid w:val="007F1949"/>
    <w:rsid w:val="007F2592"/>
    <w:rsid w:val="007F4225"/>
    <w:rsid w:val="00800A08"/>
    <w:rsid w:val="00817A84"/>
    <w:rsid w:val="008225A4"/>
    <w:rsid w:val="00824B92"/>
    <w:rsid w:val="00826D5E"/>
    <w:rsid w:val="00832013"/>
    <w:rsid w:val="00832DB7"/>
    <w:rsid w:val="00834732"/>
    <w:rsid w:val="0085200C"/>
    <w:rsid w:val="00857C52"/>
    <w:rsid w:val="00860D5F"/>
    <w:rsid w:val="008759F1"/>
    <w:rsid w:val="00880A44"/>
    <w:rsid w:val="0088345E"/>
    <w:rsid w:val="0088656F"/>
    <w:rsid w:val="00891EF6"/>
    <w:rsid w:val="008A0303"/>
    <w:rsid w:val="008A2943"/>
    <w:rsid w:val="008A5FDD"/>
    <w:rsid w:val="008C3947"/>
    <w:rsid w:val="008C4AF7"/>
    <w:rsid w:val="008E473B"/>
    <w:rsid w:val="008E51A6"/>
    <w:rsid w:val="008E7329"/>
    <w:rsid w:val="008F2ED5"/>
    <w:rsid w:val="00913D96"/>
    <w:rsid w:val="0092297E"/>
    <w:rsid w:val="00923651"/>
    <w:rsid w:val="00927803"/>
    <w:rsid w:val="00927B56"/>
    <w:rsid w:val="009341BF"/>
    <w:rsid w:val="00937907"/>
    <w:rsid w:val="00941739"/>
    <w:rsid w:val="00951573"/>
    <w:rsid w:val="00963003"/>
    <w:rsid w:val="009659AA"/>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6624B"/>
    <w:rsid w:val="00A66B4A"/>
    <w:rsid w:val="00A701C9"/>
    <w:rsid w:val="00A81785"/>
    <w:rsid w:val="00A84803"/>
    <w:rsid w:val="00A84C51"/>
    <w:rsid w:val="00A86F2B"/>
    <w:rsid w:val="00A91366"/>
    <w:rsid w:val="00A93AA6"/>
    <w:rsid w:val="00A956C6"/>
    <w:rsid w:val="00AA4E48"/>
    <w:rsid w:val="00AA6202"/>
    <w:rsid w:val="00AA7B57"/>
    <w:rsid w:val="00AC26FC"/>
    <w:rsid w:val="00AC2B53"/>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579A6"/>
    <w:rsid w:val="00B71C72"/>
    <w:rsid w:val="00B81E92"/>
    <w:rsid w:val="00B908D7"/>
    <w:rsid w:val="00B915AB"/>
    <w:rsid w:val="00B935E8"/>
    <w:rsid w:val="00B93B30"/>
    <w:rsid w:val="00B94CB5"/>
    <w:rsid w:val="00BA0DD9"/>
    <w:rsid w:val="00BA5DBC"/>
    <w:rsid w:val="00BB6312"/>
    <w:rsid w:val="00BC23E9"/>
    <w:rsid w:val="00BC4D06"/>
    <w:rsid w:val="00BD585E"/>
    <w:rsid w:val="00BD6919"/>
    <w:rsid w:val="00BE1EA7"/>
    <w:rsid w:val="00BE7489"/>
    <w:rsid w:val="00BF2E0D"/>
    <w:rsid w:val="00BF3927"/>
    <w:rsid w:val="00BF3F8B"/>
    <w:rsid w:val="00BF76DA"/>
    <w:rsid w:val="00C03E5A"/>
    <w:rsid w:val="00C07C7B"/>
    <w:rsid w:val="00C16245"/>
    <w:rsid w:val="00C22DC5"/>
    <w:rsid w:val="00C24479"/>
    <w:rsid w:val="00C252CD"/>
    <w:rsid w:val="00C273F2"/>
    <w:rsid w:val="00C37B53"/>
    <w:rsid w:val="00C45969"/>
    <w:rsid w:val="00C517D2"/>
    <w:rsid w:val="00C5772E"/>
    <w:rsid w:val="00C62B36"/>
    <w:rsid w:val="00C7012C"/>
    <w:rsid w:val="00C712EA"/>
    <w:rsid w:val="00C74498"/>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37B9"/>
    <w:rsid w:val="00D76A70"/>
    <w:rsid w:val="00D76AD5"/>
    <w:rsid w:val="00D83182"/>
    <w:rsid w:val="00D8521E"/>
    <w:rsid w:val="00D8661A"/>
    <w:rsid w:val="00D9291C"/>
    <w:rsid w:val="00D93A97"/>
    <w:rsid w:val="00DA262D"/>
    <w:rsid w:val="00DA5285"/>
    <w:rsid w:val="00DB1F64"/>
    <w:rsid w:val="00DC2F53"/>
    <w:rsid w:val="00DC5BAC"/>
    <w:rsid w:val="00DC6816"/>
    <w:rsid w:val="00DC76C2"/>
    <w:rsid w:val="00DD1CF2"/>
    <w:rsid w:val="00DE4484"/>
    <w:rsid w:val="00DF41B7"/>
    <w:rsid w:val="00DF4A4A"/>
    <w:rsid w:val="00DF583C"/>
    <w:rsid w:val="00E03C3F"/>
    <w:rsid w:val="00E06FD7"/>
    <w:rsid w:val="00E07417"/>
    <w:rsid w:val="00E158D0"/>
    <w:rsid w:val="00E24D45"/>
    <w:rsid w:val="00E33DB8"/>
    <w:rsid w:val="00E33EFF"/>
    <w:rsid w:val="00E34387"/>
    <w:rsid w:val="00E348BA"/>
    <w:rsid w:val="00E369FE"/>
    <w:rsid w:val="00E37C6F"/>
    <w:rsid w:val="00E475F8"/>
    <w:rsid w:val="00E5102E"/>
    <w:rsid w:val="00E5721C"/>
    <w:rsid w:val="00E619C6"/>
    <w:rsid w:val="00E745A1"/>
    <w:rsid w:val="00E81529"/>
    <w:rsid w:val="00E839D5"/>
    <w:rsid w:val="00E83A13"/>
    <w:rsid w:val="00EB6FC5"/>
    <w:rsid w:val="00EC2356"/>
    <w:rsid w:val="00EC2582"/>
    <w:rsid w:val="00EC337C"/>
    <w:rsid w:val="00ED0CFF"/>
    <w:rsid w:val="00ED31D2"/>
    <w:rsid w:val="00EE0E25"/>
    <w:rsid w:val="00EE0EAC"/>
    <w:rsid w:val="00EE3322"/>
    <w:rsid w:val="00EE33CB"/>
    <w:rsid w:val="00EF1969"/>
    <w:rsid w:val="00F0061A"/>
    <w:rsid w:val="00F00F88"/>
    <w:rsid w:val="00F02834"/>
    <w:rsid w:val="00F04EEB"/>
    <w:rsid w:val="00F05467"/>
    <w:rsid w:val="00F055D2"/>
    <w:rsid w:val="00F07CD7"/>
    <w:rsid w:val="00F127E9"/>
    <w:rsid w:val="00F14B5D"/>
    <w:rsid w:val="00F21D62"/>
    <w:rsid w:val="00F259FC"/>
    <w:rsid w:val="00F36972"/>
    <w:rsid w:val="00F42426"/>
    <w:rsid w:val="00F456BC"/>
    <w:rsid w:val="00F50666"/>
    <w:rsid w:val="00F55A78"/>
    <w:rsid w:val="00F70C9E"/>
    <w:rsid w:val="00F74A74"/>
    <w:rsid w:val="00F7572C"/>
    <w:rsid w:val="00F8382C"/>
    <w:rsid w:val="00F855D7"/>
    <w:rsid w:val="00F92035"/>
    <w:rsid w:val="00F92748"/>
    <w:rsid w:val="00FA4169"/>
    <w:rsid w:val="00FA74D7"/>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List Paragraph CCT minutes,Section 5,Bullet List 2,Colorful List - Accent 1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qFormat/>
    <w:locked/>
    <w:rsid w:val="006067D9"/>
    <w:rPr>
      <w:sz w:val="24"/>
      <w:szCs w:val="24"/>
      <w:lang w:eastAsia="en-US"/>
    </w:rPr>
  </w:style>
  <w:style w:type="paragraph" w:customStyle="1" w:styleId="VVKT">
    <w:name w:val="VVKT"/>
    <w:basedOn w:val="prastasis"/>
    <w:link w:val="VVKTChar"/>
    <w:qFormat/>
    <w:rsid w:val="00414E1A"/>
    <w:pPr>
      <w:tabs>
        <w:tab w:val="left" w:pos="567"/>
      </w:tabs>
      <w:spacing w:line="276" w:lineRule="auto"/>
      <w:ind w:firstLine="432"/>
      <w:jc w:val="both"/>
    </w:pPr>
    <w:rPr>
      <w:szCs w:val="20"/>
      <w:lang w:eastAsia="lt-LT"/>
    </w:rPr>
  </w:style>
  <w:style w:type="character" w:customStyle="1" w:styleId="VVKTChar">
    <w:name w:val="VVKT Char"/>
    <w:basedOn w:val="Numatytasispastraiposriftas"/>
    <w:link w:val="VVKT"/>
    <w:rsid w:val="00414E1A"/>
    <w:rPr>
      <w:sz w:val="24"/>
    </w:rPr>
  </w:style>
  <w:style w:type="paragraph" w:styleId="Antrat">
    <w:name w:val="caption"/>
    <w:aliases w:val="Tables and Figures,NICE Caption,- H17,Caption 3,TableCaption,Table caption,Char1,c,fig cadre,Caption Char Char,Caption Char Char Char Char,fig cadre Char2,Caption Char2,fig cadre Char Char,Char,SMC Caption,AW Caption,IB Caption,Medical Caption"/>
    <w:basedOn w:val="prastasis"/>
    <w:next w:val="prastasis"/>
    <w:link w:val="AntratDiagrama"/>
    <w:uiPriority w:val="2"/>
    <w:unhideWhenUsed/>
    <w:qFormat/>
    <w:rsid w:val="008C4AF7"/>
    <w:pPr>
      <w:keepNext/>
      <w:spacing w:after="60"/>
      <w:jc w:val="both"/>
    </w:pPr>
    <w:rPr>
      <w:bCs/>
      <w:color w:val="365F91" w:themeColor="accent1" w:themeShade="BF"/>
      <w:sz w:val="23"/>
      <w:szCs w:val="18"/>
      <w:lang w:eastAsia="lt-LT"/>
    </w:rPr>
  </w:style>
  <w:style w:type="character" w:customStyle="1" w:styleId="AntratDiagrama">
    <w:name w:val="Antraštė Diagrama"/>
    <w:aliases w:val="Tables and Figures Diagrama,NICE Caption Diagrama,- H17 Diagrama,Caption 3 Diagrama,TableCaption Diagrama,Table caption Diagrama,Char1 Diagrama,c Diagrama,fig cadre Diagrama,Caption Char Char Diagrama,fig cadre Char2 Diagrama"/>
    <w:basedOn w:val="Numatytasispastraiposriftas"/>
    <w:link w:val="Antrat"/>
    <w:uiPriority w:val="2"/>
    <w:rsid w:val="008C4AF7"/>
    <w:rPr>
      <w:bCs/>
      <w:color w:val="365F91" w:themeColor="accent1" w:themeShade="BF"/>
      <w:sz w:val="23"/>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093196">
      <w:bodyDiv w:val="1"/>
      <w:marLeft w:val="0"/>
      <w:marRight w:val="0"/>
      <w:marTop w:val="0"/>
      <w:marBottom w:val="0"/>
      <w:divBdr>
        <w:top w:val="none" w:sz="0" w:space="0" w:color="auto"/>
        <w:left w:val="none" w:sz="0" w:space="0" w:color="auto"/>
        <w:bottom w:val="none" w:sz="0" w:space="0" w:color="auto"/>
        <w:right w:val="none" w:sz="0" w:space="0" w:color="auto"/>
      </w:divBdr>
    </w:div>
    <w:div w:id="394205156">
      <w:bodyDiv w:val="1"/>
      <w:marLeft w:val="0"/>
      <w:marRight w:val="0"/>
      <w:marTop w:val="0"/>
      <w:marBottom w:val="0"/>
      <w:divBdr>
        <w:top w:val="none" w:sz="0" w:space="0" w:color="auto"/>
        <w:left w:val="none" w:sz="0" w:space="0" w:color="auto"/>
        <w:bottom w:val="none" w:sz="0" w:space="0" w:color="auto"/>
        <w:right w:val="none" w:sz="0" w:space="0" w:color="auto"/>
      </w:divBdr>
    </w:div>
    <w:div w:id="905918120">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67908449">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117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F74B722AF67947E8A3773F3B8B514738"/>
        <w:category>
          <w:name w:val="General"/>
          <w:gallery w:val="placeholder"/>
        </w:category>
        <w:types>
          <w:type w:val="bbPlcHdr"/>
        </w:types>
        <w:behaviors>
          <w:behavior w:val="content"/>
        </w:behaviors>
        <w:guid w:val="{78FA14EB-FE56-492B-A2A8-0556BDCC5452}"/>
      </w:docPartPr>
      <w:docPartBody>
        <w:p w:rsidR="00455E6D" w:rsidRDefault="00D85D57" w:rsidP="00D85D57">
          <w:pPr>
            <w:pStyle w:val="F74B722AF67947E8A3773F3B8B514738"/>
          </w:pPr>
          <w:r>
            <w:rPr>
              <w:rStyle w:val="Vietosrezervavimoenklotekstas"/>
            </w:rPr>
            <w:t>Click here to enter a date.</w:t>
          </w:r>
        </w:p>
      </w:docPartBody>
    </w:docPart>
    <w:docPart>
      <w:docPartPr>
        <w:name w:val="CFA21A5F350B4BC4A2026FF689A5BC39"/>
        <w:category>
          <w:name w:val="General"/>
          <w:gallery w:val="placeholder"/>
        </w:category>
        <w:types>
          <w:type w:val="bbPlcHdr"/>
        </w:types>
        <w:behaviors>
          <w:behavior w:val="content"/>
        </w:behaviors>
        <w:guid w:val="{088CD9D3-140C-4EC7-A677-851DDDFF4FCB}"/>
      </w:docPartPr>
      <w:docPartBody>
        <w:p w:rsidR="009C1F4B" w:rsidRDefault="00246BE8" w:rsidP="00246BE8">
          <w:pPr>
            <w:pStyle w:val="CFA21A5F350B4BC4A2026FF689A5BC39"/>
          </w:pPr>
          <w:r>
            <w:rPr>
              <w:rStyle w:val="Vietosrezervavimoenklotekstas"/>
            </w:rPr>
            <w:t>Click here to enter a date.</w:t>
          </w:r>
        </w:p>
      </w:docPartBody>
    </w:docPart>
    <w:docPart>
      <w:docPartPr>
        <w:name w:val="13C9762A58CA4FAAB9AF47B9D5619AB5"/>
        <w:category>
          <w:name w:val="General"/>
          <w:gallery w:val="placeholder"/>
        </w:category>
        <w:types>
          <w:type w:val="bbPlcHdr"/>
        </w:types>
        <w:behaviors>
          <w:behavior w:val="content"/>
        </w:behaviors>
        <w:guid w:val="{83D2C19A-6D36-4E4F-A17E-A3BA2096835C}"/>
      </w:docPartPr>
      <w:docPartBody>
        <w:p w:rsidR="009C1F4B" w:rsidRDefault="00246BE8" w:rsidP="00246BE8">
          <w:pPr>
            <w:pStyle w:val="13C9762A58CA4FAAB9AF47B9D5619AB5"/>
          </w:pPr>
          <w:r>
            <w:rPr>
              <w:rStyle w:val="Vietosrezervavimoenklotekstas"/>
            </w:rPr>
            <w:t>Click here to enter a date.</w:t>
          </w:r>
        </w:p>
      </w:docPartBody>
    </w:docPart>
    <w:docPart>
      <w:docPartPr>
        <w:name w:val="9966FF0B2BF441B58E1E7AF456684223"/>
        <w:category>
          <w:name w:val="General"/>
          <w:gallery w:val="placeholder"/>
        </w:category>
        <w:types>
          <w:type w:val="bbPlcHdr"/>
        </w:types>
        <w:behaviors>
          <w:behavior w:val="content"/>
        </w:behaviors>
        <w:guid w:val="{F2BA21E5-4248-43CC-B385-E77E42FADB13}"/>
      </w:docPartPr>
      <w:docPartBody>
        <w:p w:rsidR="009C1F4B" w:rsidRDefault="00246BE8" w:rsidP="00246BE8">
          <w:pPr>
            <w:pStyle w:val="9966FF0B2BF441B58E1E7AF456684223"/>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03F46"/>
    <w:rsid w:val="0001247F"/>
    <w:rsid w:val="00061157"/>
    <w:rsid w:val="000937FE"/>
    <w:rsid w:val="000A559A"/>
    <w:rsid w:val="000D24D4"/>
    <w:rsid w:val="00117850"/>
    <w:rsid w:val="001C35A9"/>
    <w:rsid w:val="001D3F6F"/>
    <w:rsid w:val="00237556"/>
    <w:rsid w:val="00246BE8"/>
    <w:rsid w:val="00371DF6"/>
    <w:rsid w:val="0039303B"/>
    <w:rsid w:val="004144A3"/>
    <w:rsid w:val="004160E7"/>
    <w:rsid w:val="004416C6"/>
    <w:rsid w:val="00455E6D"/>
    <w:rsid w:val="004F5AB2"/>
    <w:rsid w:val="005074B9"/>
    <w:rsid w:val="005E40DD"/>
    <w:rsid w:val="007219C1"/>
    <w:rsid w:val="00753462"/>
    <w:rsid w:val="00772325"/>
    <w:rsid w:val="007A2FE0"/>
    <w:rsid w:val="007C6D1D"/>
    <w:rsid w:val="0090074D"/>
    <w:rsid w:val="00913D96"/>
    <w:rsid w:val="009B3BF0"/>
    <w:rsid w:val="009C1F4B"/>
    <w:rsid w:val="009D5E5E"/>
    <w:rsid w:val="009F1BB4"/>
    <w:rsid w:val="009F200E"/>
    <w:rsid w:val="00A66B8F"/>
    <w:rsid w:val="00A955B1"/>
    <w:rsid w:val="00AB6ED4"/>
    <w:rsid w:val="00AE781A"/>
    <w:rsid w:val="00B14210"/>
    <w:rsid w:val="00B23DC0"/>
    <w:rsid w:val="00B96656"/>
    <w:rsid w:val="00B97093"/>
    <w:rsid w:val="00BE29C1"/>
    <w:rsid w:val="00C2401D"/>
    <w:rsid w:val="00C53A68"/>
    <w:rsid w:val="00C74498"/>
    <w:rsid w:val="00CA5BB4"/>
    <w:rsid w:val="00CB4BD1"/>
    <w:rsid w:val="00CE2DA9"/>
    <w:rsid w:val="00CE44BE"/>
    <w:rsid w:val="00D36364"/>
    <w:rsid w:val="00D4356B"/>
    <w:rsid w:val="00D7162F"/>
    <w:rsid w:val="00D85D57"/>
    <w:rsid w:val="00D8661A"/>
    <w:rsid w:val="00E317B4"/>
    <w:rsid w:val="00E429E4"/>
    <w:rsid w:val="00E44A86"/>
    <w:rsid w:val="00E522EB"/>
    <w:rsid w:val="00E60827"/>
    <w:rsid w:val="00E73FF6"/>
    <w:rsid w:val="00EB61B5"/>
    <w:rsid w:val="00EE7676"/>
    <w:rsid w:val="00EF1969"/>
    <w:rsid w:val="00EF6E0C"/>
    <w:rsid w:val="00F00F88"/>
    <w:rsid w:val="00F414D2"/>
    <w:rsid w:val="00F55028"/>
    <w:rsid w:val="00F73776"/>
    <w:rsid w:val="00F77BEF"/>
    <w:rsid w:val="00FC6855"/>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246BE8"/>
    <w:rPr>
      <w:color w:val="808080"/>
    </w:rPr>
  </w:style>
  <w:style w:type="paragraph" w:customStyle="1" w:styleId="CDB60824EC144AB3B75C05A5823BEE2D">
    <w:name w:val="CDB60824EC144AB3B75C05A5823BEE2D"/>
    <w:rsid w:val="005E40DD"/>
  </w:style>
  <w:style w:type="paragraph" w:customStyle="1" w:styleId="CFA21A5F350B4BC4A2026FF689A5BC39">
    <w:name w:val="CFA21A5F350B4BC4A2026FF689A5BC39"/>
    <w:rsid w:val="00246BE8"/>
    <w:pPr>
      <w:spacing w:line="278" w:lineRule="auto"/>
    </w:pPr>
    <w:rPr>
      <w:kern w:val="2"/>
      <w:sz w:val="24"/>
      <w:szCs w:val="24"/>
      <w:lang w:val="en-US" w:eastAsia="en-US"/>
      <w14:ligatures w14:val="standardContextual"/>
    </w:rPr>
  </w:style>
  <w:style w:type="paragraph" w:customStyle="1" w:styleId="13C9762A58CA4FAAB9AF47B9D5619AB5">
    <w:name w:val="13C9762A58CA4FAAB9AF47B9D5619AB5"/>
    <w:rsid w:val="00246BE8"/>
    <w:pPr>
      <w:spacing w:line="278" w:lineRule="auto"/>
    </w:pPr>
    <w:rPr>
      <w:kern w:val="2"/>
      <w:sz w:val="24"/>
      <w:szCs w:val="24"/>
      <w:lang w:val="en-US" w:eastAsia="en-US"/>
      <w14:ligatures w14:val="standardContextual"/>
    </w:rPr>
  </w:style>
  <w:style w:type="paragraph" w:customStyle="1" w:styleId="9966FF0B2BF441B58E1E7AF456684223">
    <w:name w:val="9966FF0B2BF441B58E1E7AF456684223"/>
    <w:rsid w:val="00246BE8"/>
    <w:pPr>
      <w:spacing w:line="278" w:lineRule="auto"/>
    </w:pPr>
    <w:rPr>
      <w:kern w:val="2"/>
      <w:sz w:val="24"/>
      <w:szCs w:val="24"/>
      <w:lang w:val="en-US" w:eastAsia="en-US"/>
      <w14:ligatures w14:val="standardContextual"/>
    </w:rPr>
  </w:style>
  <w:style w:type="paragraph" w:customStyle="1" w:styleId="F74B722AF67947E8A3773F3B8B514738">
    <w:name w:val="F74B722AF67947E8A3773F3B8B514738"/>
    <w:rsid w:val="00D85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64B6D-6697-4922-97B6-5D0288E5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13687</Words>
  <Characters>7803</Characters>
  <Application>Microsoft Office Word</Application>
  <DocSecurity>0</DocSecurity>
  <Lines>65</Lines>
  <Paragraphs>42</Paragraphs>
  <ScaleCrop>false</ScaleCrop>
  <Company/>
  <LinksUpToDate>false</LinksUpToDate>
  <CharactersWithSpaces>21448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2024-11-13T07:27:00Z</dcterms:created>
  <dcterms:modified xsi:type="dcterms:W3CDTF">2024-11-18T14:35:00Z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2024-11-18T06:33:46Z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c1ac59d9-60bb-4201-8894-c5aa480780e4</vt:lpwstr>
  </property>
  <property fmtid="{D5CDD505-2E9C-101B-9397-08002B2CF9AE}" pid="8" name="MSIP_Label_68f72598-90ab-4748-9618-88402b5e95d2_ContentBits">
    <vt:lpwstr>0</vt:lpwstr>
  </property>
</Properties>
</file>