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2EFA5F4A" w14:textId="31894474" w:rsidR="00414E1A" w:rsidRDefault="00414E1A" w:rsidP="00414E1A">
      <w:pPr>
        <w:rPr>
          <w:b/>
        </w:rPr>
      </w:pPr>
    </w:p>
    <w:p w14:paraId="07C4AC64" w14:textId="77777777" w:rsidR="00195B00" w:rsidRDefault="00414E1A" w:rsidP="00414E1A">
      <w:pPr>
        <w:spacing w:line="276" w:lineRule="auto"/>
        <w:jc w:val="center"/>
      </w:pPr>
      <w:r w:rsidRPr="0063161D">
        <w:rPr>
          <w:b/>
        </w:rPr>
        <w:t xml:space="preserve">Orgovyx </w:t>
      </w:r>
      <w:r>
        <w:rPr>
          <w:b/>
        </w:rPr>
        <w:t>12</w:t>
      </w:r>
      <w:r w:rsidRPr="00C133E4">
        <w:rPr>
          <w:b/>
        </w:rPr>
        <w:t xml:space="preserve">0 mg plėvele dengtos tabletės </w:t>
      </w:r>
      <w:r w:rsidRPr="004043D2">
        <w:rPr>
          <w:b/>
        </w:rPr>
        <w:cr/>
      </w:r>
      <w:r w:rsidRPr="00C133E4">
        <w:t xml:space="preserve"> </w:t>
      </w:r>
    </w:p>
    <w:p w14:paraId="5626748C" w14:textId="3A631FB8" w:rsidR="00414E1A" w:rsidRDefault="00414E1A" w:rsidP="00414E1A">
      <w:pPr>
        <w:spacing w:line="276" w:lineRule="auto"/>
        <w:jc w:val="center"/>
        <w:rPr>
          <w:b/>
        </w:rPr>
      </w:pPr>
      <w:r w:rsidRPr="003B0802">
        <w:rPr>
          <w:b/>
        </w:rPr>
        <w:t>Relugoliksas</w:t>
      </w:r>
    </w:p>
    <w:p w14:paraId="07C0CC1A" w14:textId="77777777" w:rsidR="00626D9D" w:rsidRPr="004043D2" w:rsidRDefault="00626D9D" w:rsidP="00414E1A">
      <w:pPr>
        <w:spacing w:line="276" w:lineRule="auto"/>
        <w:jc w:val="center"/>
        <w:rPr>
          <w:b/>
        </w:rPr>
      </w:pPr>
    </w:p>
    <w:p w14:paraId="1C51F075" w14:textId="77777777" w:rsidR="00414E1A" w:rsidRPr="004043D2" w:rsidRDefault="00414E1A" w:rsidP="00414E1A">
      <w:pPr>
        <w:spacing w:line="276" w:lineRule="auto"/>
        <w:jc w:val="center"/>
        <w:rPr>
          <w:b/>
        </w:rPr>
      </w:pPr>
      <w:r>
        <w:rPr>
          <w:b/>
        </w:rPr>
        <w:t>STV-145</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6067D9" w:rsidRPr="006067D9" w14:paraId="18A83EC2" w14:textId="77777777" w:rsidTr="00BE7489">
        <w:trPr>
          <w:trHeight w:val="538"/>
        </w:trPr>
        <w:tc>
          <w:tcPr>
            <w:tcW w:w="632" w:type="dxa"/>
          </w:tcPr>
          <w:p w14:paraId="0646FBEA" w14:textId="77777777" w:rsidR="006067D9" w:rsidRPr="006067D9" w:rsidRDefault="006067D9" w:rsidP="006067D9">
            <w:pPr>
              <w:rPr>
                <w:rFonts w:eastAsia="Arial"/>
              </w:rPr>
            </w:pPr>
            <w:r w:rsidRPr="006067D9">
              <w:rPr>
                <w:rFonts w:eastAsia="Arial"/>
              </w:rPr>
              <w:t>1.1</w:t>
            </w:r>
          </w:p>
        </w:tc>
        <w:tc>
          <w:tcPr>
            <w:tcW w:w="3694" w:type="dxa"/>
          </w:tcPr>
          <w:p w14:paraId="6C3AE864" w14:textId="77777777" w:rsidR="006067D9" w:rsidRPr="006067D9" w:rsidRDefault="006067D9" w:rsidP="006067D9">
            <w:pPr>
              <w:rPr>
                <w:rFonts w:eastAsia="Arial"/>
              </w:rPr>
            </w:pPr>
            <w:r w:rsidRPr="006067D9">
              <w:rPr>
                <w:rFonts w:eastAsia="Arial"/>
              </w:rPr>
              <w:t>Pareiškėjas</w:t>
            </w:r>
          </w:p>
          <w:p w14:paraId="2AF240DC" w14:textId="77777777" w:rsidR="006067D9" w:rsidRPr="006067D9" w:rsidRDefault="006067D9" w:rsidP="006067D9">
            <w:pPr>
              <w:rPr>
                <w:rFonts w:eastAsia="Arial"/>
              </w:rPr>
            </w:pPr>
          </w:p>
        </w:tc>
        <w:tc>
          <w:tcPr>
            <w:tcW w:w="5167" w:type="dxa"/>
          </w:tcPr>
          <w:p w14:paraId="2AAF0D91" w14:textId="7E7F8BB9" w:rsidR="006067D9" w:rsidRPr="006067D9" w:rsidRDefault="006067D9" w:rsidP="006067D9">
            <w:pPr>
              <w:rPr>
                <w:rFonts w:eastAsia="Arial"/>
              </w:rPr>
            </w:pPr>
            <w:r w:rsidRPr="006067D9">
              <w:t>Accord Healthcare AB Lietuvos filialas</w:t>
            </w:r>
          </w:p>
        </w:tc>
      </w:tr>
      <w:tr w:rsidR="006067D9" w:rsidRPr="006067D9" w14:paraId="31998B0D" w14:textId="77777777" w:rsidTr="00BE7489">
        <w:trPr>
          <w:trHeight w:val="538"/>
        </w:trPr>
        <w:tc>
          <w:tcPr>
            <w:tcW w:w="632" w:type="dxa"/>
          </w:tcPr>
          <w:p w14:paraId="2005EC67" w14:textId="662300D0" w:rsidR="006067D9" w:rsidRPr="006067D9" w:rsidRDefault="006067D9" w:rsidP="006067D9">
            <w:pPr>
              <w:rPr>
                <w:rFonts w:eastAsia="Arial"/>
              </w:rPr>
            </w:pPr>
            <w:r w:rsidRPr="006067D9">
              <w:rPr>
                <w:rFonts w:eastAsia="Arial"/>
              </w:rPr>
              <w:t>1.2</w:t>
            </w:r>
          </w:p>
        </w:tc>
        <w:tc>
          <w:tcPr>
            <w:tcW w:w="3694" w:type="dxa"/>
          </w:tcPr>
          <w:p w14:paraId="1E4AE3B1" w14:textId="77777777" w:rsidR="006067D9" w:rsidRPr="006067D9" w:rsidRDefault="006067D9" w:rsidP="006067D9">
            <w:pPr>
              <w:rPr>
                <w:bCs/>
                <w:color w:val="000000"/>
                <w:lang w:eastAsia="lt-LT"/>
              </w:rPr>
            </w:pPr>
            <w:r w:rsidRPr="006067D9">
              <w:rPr>
                <w:bCs/>
                <w:color w:val="000000"/>
                <w:lang w:eastAsia="lt-LT"/>
              </w:rPr>
              <w:t xml:space="preserve">Registracijos data </w:t>
            </w:r>
          </w:p>
          <w:p w14:paraId="3A0DC096" w14:textId="77777777" w:rsidR="006067D9" w:rsidRPr="006067D9" w:rsidRDefault="006067D9" w:rsidP="006067D9">
            <w:pPr>
              <w:rPr>
                <w:bCs/>
                <w:color w:val="000000"/>
                <w:lang w:eastAsia="lt-LT"/>
              </w:rPr>
            </w:pPr>
          </w:p>
        </w:tc>
        <w:tc>
          <w:tcPr>
            <w:tcW w:w="5167" w:type="dxa"/>
          </w:tcPr>
          <w:p w14:paraId="3CA218AD" w14:textId="349CABD7" w:rsidR="006067D9" w:rsidRPr="006067D9" w:rsidRDefault="00000000" w:rsidP="006067D9">
            <w:pPr>
              <w:rPr>
                <w:rStyle w:val="Style2"/>
                <w:sz w:val="24"/>
              </w:rPr>
            </w:pPr>
            <w:sdt>
              <w:sdtPr>
                <w:rPr>
                  <w:sz w:val="32"/>
                </w:rPr>
                <w:alias w:val="Nurodykite konkrečią dieną"/>
                <w:tag w:val="Nurodykite pradžios datą"/>
                <w:id w:val="423238108"/>
                <w:placeholder>
                  <w:docPart w:val="F74B722AF67947E8A3773F3B8B514738"/>
                </w:placeholder>
                <w:date>
                  <w:dateFormat w:val="yyyy 'm.' MMMM d 'd.'"/>
                  <w:lid w:val="lt-LT"/>
                  <w:storeMappedDataAs w:val="dateTime"/>
                  <w:calendar w:val="gregorian"/>
                </w:date>
              </w:sdtPr>
              <w:sdtEndPr>
                <w:rPr>
                  <w:sz w:val="24"/>
                </w:rPr>
              </w:sdtEndPr>
              <w:sdtContent>
                <w:r w:rsidR="006067D9" w:rsidRPr="006067D9">
                  <w:t>2022 m. balandžio 4 d.</w:t>
                </w:r>
              </w:sdtContent>
            </w:sdt>
          </w:p>
        </w:tc>
      </w:tr>
      <w:tr w:rsidR="00B13D65" w:rsidRPr="006067D9" w14:paraId="15968AE1" w14:textId="77777777" w:rsidTr="006067D9">
        <w:trPr>
          <w:trHeight w:val="96"/>
        </w:trPr>
        <w:tc>
          <w:tcPr>
            <w:tcW w:w="632" w:type="dxa"/>
          </w:tcPr>
          <w:p w14:paraId="6A784245" w14:textId="1E461489" w:rsidR="00B13D65" w:rsidRPr="006067D9" w:rsidRDefault="002E0702" w:rsidP="00824B92">
            <w:pPr>
              <w:rPr>
                <w:rFonts w:eastAsia="Arial"/>
              </w:rPr>
            </w:pPr>
            <w:r w:rsidRPr="006067D9">
              <w:rPr>
                <w:rFonts w:eastAsia="Arial"/>
              </w:rPr>
              <w:t>1.3</w:t>
            </w:r>
          </w:p>
        </w:tc>
        <w:tc>
          <w:tcPr>
            <w:tcW w:w="3694" w:type="dxa"/>
          </w:tcPr>
          <w:p w14:paraId="22933506" w14:textId="77777777" w:rsidR="00B13D65" w:rsidRPr="006067D9" w:rsidRDefault="00B13D65" w:rsidP="00824B92">
            <w:r w:rsidRPr="006067D9">
              <w:t xml:space="preserve">Paraiškos tipas </w:t>
            </w:r>
          </w:p>
          <w:p w14:paraId="77089D80" w14:textId="7EC15991" w:rsidR="00B13D65" w:rsidRPr="006067D9" w:rsidRDefault="00B13D65" w:rsidP="00824B92">
            <w:r w:rsidRPr="006067D9">
              <w:t>(</w:t>
            </w:r>
            <w:r w:rsidR="00695CD3" w:rsidRPr="006067D9">
              <w:t xml:space="preserve">pagal </w:t>
            </w:r>
            <w:r w:rsidR="0039696E" w:rsidRPr="006067D9">
              <w:rPr>
                <w:color w:val="333333"/>
                <w:shd w:val="clear" w:color="auto" w:fill="FFFFFF"/>
              </w:rPr>
              <w:t>vaistinio preparato registracijos tipą, įtvirtintą</w:t>
            </w:r>
            <w:r w:rsidR="0039696E" w:rsidRPr="006067D9">
              <w:t xml:space="preserve"> </w:t>
            </w:r>
            <w:r w:rsidRPr="006067D9">
              <w:t>Direktyv</w:t>
            </w:r>
            <w:r w:rsidR="00695CD3" w:rsidRPr="006067D9">
              <w:t>os</w:t>
            </w:r>
            <w:r w:rsidRPr="006067D9">
              <w:t xml:space="preserve"> 2001/83/EB</w:t>
            </w:r>
            <w:r w:rsidR="00695CD3" w:rsidRPr="006067D9">
              <w:t xml:space="preserve"> straips</w:t>
            </w:r>
            <w:r w:rsidR="0039696E" w:rsidRPr="006067D9">
              <w:t>iuose</w:t>
            </w:r>
            <w:r w:rsidRPr="006067D9">
              <w:t>)</w:t>
            </w:r>
          </w:p>
        </w:tc>
        <w:tc>
          <w:tcPr>
            <w:tcW w:w="5167" w:type="dxa"/>
          </w:tcPr>
          <w:p w14:paraId="208F40EC" w14:textId="673F54C2" w:rsidR="00B13D65" w:rsidRPr="006067D9"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6067D9" w:rsidRPr="006067D9">
                  <w:rPr>
                    <w:rStyle w:val="Style2"/>
                    <w:rFonts w:ascii="MS Gothic" w:eastAsia="MS Gothic" w:hAnsi="MS Gothic" w:hint="eastAsia"/>
                    <w:sz w:val="24"/>
                  </w:rPr>
                  <w:t>☒</w:t>
                </w:r>
              </w:sdtContent>
            </w:sdt>
            <w:r w:rsidR="00B13D65" w:rsidRPr="006067D9">
              <w:t xml:space="preserve">8.3 str. (pilna byla, pagrįsta savais tyrimais) </w:t>
            </w:r>
          </w:p>
          <w:p w14:paraId="32BA564E" w14:textId="3FDA3E01" w:rsidR="00B13D65" w:rsidRPr="006067D9"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6067D9">
                  <w:rPr>
                    <w:rStyle w:val="Style2"/>
                    <w:rFonts w:ascii="Segoe UI Symbol" w:eastAsia="MS Gothic" w:hAnsi="Segoe UI Symbol" w:cs="Segoe UI Symbol"/>
                    <w:sz w:val="24"/>
                  </w:rPr>
                  <w:t>☐</w:t>
                </w:r>
              </w:sdtContent>
            </w:sdt>
            <w:r w:rsidR="00B13D65" w:rsidRPr="006067D9">
              <w:t xml:space="preserve">10 a str. (pripažintas medicininis vartojimas) </w:t>
            </w:r>
          </w:p>
          <w:p w14:paraId="318DCD7F" w14:textId="32333E53" w:rsidR="00B13D65" w:rsidRPr="006067D9"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6067D9">
                  <w:rPr>
                    <w:rStyle w:val="Style2"/>
                    <w:rFonts w:ascii="Segoe UI Symbol" w:eastAsia="MS Gothic" w:hAnsi="Segoe UI Symbol" w:cs="Segoe UI Symbol"/>
                    <w:sz w:val="24"/>
                  </w:rPr>
                  <w:t>☐</w:t>
                </w:r>
              </w:sdtContent>
            </w:sdt>
            <w:r w:rsidR="00B13D65" w:rsidRPr="006067D9">
              <w:t>10.1 str. (generinis)</w:t>
            </w:r>
          </w:p>
          <w:p w14:paraId="3B0A4F72" w14:textId="3F5FB073" w:rsidR="00B13D65" w:rsidRPr="006067D9"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6067D9">
                  <w:rPr>
                    <w:rStyle w:val="Style2"/>
                    <w:rFonts w:ascii="Segoe UI Symbol" w:eastAsia="MS Gothic" w:hAnsi="Segoe UI Symbol" w:cs="Segoe UI Symbol"/>
                    <w:sz w:val="24"/>
                  </w:rPr>
                  <w:t>☐</w:t>
                </w:r>
              </w:sdtContent>
            </w:sdt>
            <w:r w:rsidR="00B13D65" w:rsidRPr="006067D9">
              <w:t>10.3 str. (hibridinis)</w:t>
            </w:r>
          </w:p>
        </w:tc>
      </w:tr>
      <w:tr w:rsidR="00B13D65" w:rsidRPr="006067D9" w14:paraId="310E9662" w14:textId="77777777" w:rsidTr="006067D9">
        <w:trPr>
          <w:trHeight w:val="96"/>
        </w:trPr>
        <w:tc>
          <w:tcPr>
            <w:tcW w:w="632" w:type="dxa"/>
          </w:tcPr>
          <w:p w14:paraId="4B5A91A2" w14:textId="561B5E5F" w:rsidR="00B13D65" w:rsidRPr="006067D9" w:rsidRDefault="00B13D65" w:rsidP="00824B92">
            <w:pPr>
              <w:rPr>
                <w:rFonts w:eastAsia="Arial"/>
              </w:rPr>
            </w:pPr>
            <w:r w:rsidRPr="006067D9">
              <w:rPr>
                <w:rFonts w:eastAsia="Arial"/>
              </w:rPr>
              <w:t>1.</w:t>
            </w:r>
            <w:r w:rsidR="002E0702" w:rsidRPr="006067D9">
              <w:rPr>
                <w:rFonts w:eastAsia="Arial"/>
              </w:rPr>
              <w:t>4</w:t>
            </w:r>
          </w:p>
        </w:tc>
        <w:tc>
          <w:tcPr>
            <w:tcW w:w="3694" w:type="dxa"/>
          </w:tcPr>
          <w:p w14:paraId="483071A3" w14:textId="3204F304" w:rsidR="00B13D65" w:rsidRPr="006067D9" w:rsidRDefault="00B13D65" w:rsidP="006067D9">
            <w:pPr>
              <w:rPr>
                <w:bCs/>
                <w:color w:val="000000"/>
                <w:lang w:eastAsia="lt-LT"/>
              </w:rPr>
            </w:pPr>
            <w:r w:rsidRPr="006067D9">
              <w:rPr>
                <w:bCs/>
                <w:color w:val="000000"/>
                <w:lang w:eastAsia="lt-LT"/>
              </w:rPr>
              <w:t xml:space="preserve">Ar vaistinis preparatas įrašytas į Bendrijos retųjų vaistinių preparatų registrą? </w:t>
            </w:r>
          </w:p>
        </w:tc>
        <w:tc>
          <w:tcPr>
            <w:tcW w:w="5167" w:type="dxa"/>
          </w:tcPr>
          <w:p w14:paraId="05845C60" w14:textId="59150D1C" w:rsidR="00B13D65" w:rsidRPr="006067D9" w:rsidRDefault="00000000" w:rsidP="00824B92">
            <w:sdt>
              <w:sdtPr>
                <w:rPr>
                  <w:rStyle w:val="Style2"/>
                  <w:sz w:val="24"/>
                </w:rPr>
                <w:id w:val="2024432173"/>
                <w15:color w:val="FFCC00"/>
                <w14:checkbox>
                  <w14:checked w14:val="1"/>
                  <w14:checkedState w14:val="2612" w14:font="MS Gothic"/>
                  <w14:uncheckedState w14:val="2610" w14:font="MS Gothic"/>
                </w14:checkbox>
              </w:sdtPr>
              <w:sdtContent>
                <w:r w:rsidR="006067D9" w:rsidRPr="006067D9">
                  <w:rPr>
                    <w:rStyle w:val="Style2"/>
                    <w:rFonts w:ascii="MS Gothic" w:eastAsia="MS Gothic" w:hAnsi="MS Gothic" w:hint="eastAsia"/>
                    <w:sz w:val="24"/>
                  </w:rPr>
                  <w:t>☒</w:t>
                </w:r>
              </w:sdtContent>
            </w:sdt>
            <w:r w:rsidR="00B13D65" w:rsidRPr="006067D9">
              <w:t xml:space="preserve"> Taip</w:t>
            </w:r>
          </w:p>
          <w:p w14:paraId="41D88067" w14:textId="30136B84" w:rsidR="00B13D65" w:rsidRPr="006067D9" w:rsidRDefault="00000000" w:rsidP="00824B92">
            <w:sdt>
              <w:sdtPr>
                <w:rPr>
                  <w:rStyle w:val="Style2"/>
                  <w:sz w:val="24"/>
                </w:rPr>
                <w:id w:val="-970507926"/>
                <w15:color w:val="FFCC00"/>
                <w14:checkbox>
                  <w14:checked w14:val="0"/>
                  <w14:checkedState w14:val="2612" w14:font="MS Gothic"/>
                  <w14:uncheckedState w14:val="2610" w14:font="MS Gothic"/>
                </w14:checkbox>
              </w:sdtPr>
              <w:sdtContent>
                <w:r w:rsidR="00CC7832" w:rsidRPr="006067D9">
                  <w:rPr>
                    <w:rStyle w:val="Style2"/>
                    <w:rFonts w:ascii="MS Gothic" w:eastAsia="MS Gothic" w:hAnsi="MS Gothic" w:hint="eastAsia"/>
                    <w:sz w:val="24"/>
                  </w:rPr>
                  <w:t>☐</w:t>
                </w:r>
              </w:sdtContent>
            </w:sdt>
            <w:r w:rsidR="00B13D65" w:rsidRPr="006067D9">
              <w:t xml:space="preserve"> Ne</w:t>
            </w:r>
          </w:p>
          <w:p w14:paraId="29C2CBBB" w14:textId="77777777" w:rsidR="00B13D65" w:rsidRPr="006067D9"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6067D9">
                  <w:rPr>
                    <w:rStyle w:val="Vietosrezervavimoenklotekstas"/>
                  </w:rPr>
                  <w:t>Click here to enter a date.</w:t>
                </w:r>
              </w:sdtContent>
            </w:sdt>
          </w:p>
        </w:tc>
      </w:tr>
      <w:tr w:rsidR="00D417D2" w:rsidRPr="006067D9" w14:paraId="7841E5F8" w14:textId="77777777" w:rsidTr="00BE7489">
        <w:trPr>
          <w:trHeight w:val="476"/>
        </w:trPr>
        <w:tc>
          <w:tcPr>
            <w:tcW w:w="632" w:type="dxa"/>
          </w:tcPr>
          <w:p w14:paraId="109D2861" w14:textId="73BF27DF" w:rsidR="00D417D2" w:rsidRPr="006067D9" w:rsidRDefault="00D417D2" w:rsidP="00824B92">
            <w:pPr>
              <w:rPr>
                <w:rFonts w:eastAsia="Arial"/>
              </w:rPr>
            </w:pPr>
            <w:r w:rsidRPr="006067D9">
              <w:rPr>
                <w:rFonts w:eastAsia="Arial"/>
              </w:rPr>
              <w:t>1.5</w:t>
            </w:r>
          </w:p>
        </w:tc>
        <w:tc>
          <w:tcPr>
            <w:tcW w:w="3694" w:type="dxa"/>
          </w:tcPr>
          <w:p w14:paraId="7822D63E" w14:textId="68C38334" w:rsidR="00D417D2" w:rsidRPr="006067D9" w:rsidRDefault="00D417D2" w:rsidP="00824B92">
            <w:pPr>
              <w:rPr>
                <w:bCs/>
                <w:color w:val="000000"/>
                <w:lang w:eastAsia="lt-LT"/>
              </w:rPr>
            </w:pPr>
            <w:r w:rsidRPr="006067D9">
              <w:t>STV paraiškos pobūdis</w:t>
            </w:r>
          </w:p>
        </w:tc>
        <w:tc>
          <w:tcPr>
            <w:tcW w:w="5167" w:type="dxa"/>
          </w:tcPr>
          <w:p w14:paraId="403461B9" w14:textId="5DAD0016" w:rsidR="00D417D2" w:rsidRPr="006067D9"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6067D9" w:rsidRPr="006067D9">
                  <w:rPr>
                    <w:rStyle w:val="Style2"/>
                    <w:rFonts w:ascii="MS Gothic" w:eastAsia="MS Gothic" w:hAnsi="MS Gothic" w:hint="eastAsia"/>
                    <w:sz w:val="24"/>
                  </w:rPr>
                  <w:t>☒</w:t>
                </w:r>
              </w:sdtContent>
            </w:sdt>
            <w:r w:rsidR="00D417D2" w:rsidRPr="006067D9">
              <w:t xml:space="preserve"> Pilna paraiška</w:t>
            </w:r>
          </w:p>
          <w:p w14:paraId="6B8213E3" w14:textId="3495CDF4" w:rsidR="00D417D2" w:rsidRPr="006067D9"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6067D9">
                  <w:rPr>
                    <w:rStyle w:val="Style2"/>
                    <w:rFonts w:ascii="MS Gothic" w:eastAsia="MS Gothic" w:hAnsi="MS Gothic" w:hint="eastAsia"/>
                    <w:sz w:val="24"/>
                  </w:rPr>
                  <w:t>☐</w:t>
                </w:r>
              </w:sdtContent>
            </w:sdt>
            <w:r w:rsidR="00D417D2" w:rsidRPr="006067D9">
              <w:t xml:space="preserve"> Supaprastinta paraiška</w:t>
            </w:r>
          </w:p>
        </w:tc>
      </w:tr>
      <w:tr w:rsidR="006067D9" w:rsidRPr="006067D9" w14:paraId="274D1DAF" w14:textId="77777777" w:rsidTr="006067D9">
        <w:trPr>
          <w:trHeight w:val="681"/>
        </w:trPr>
        <w:tc>
          <w:tcPr>
            <w:tcW w:w="632" w:type="dxa"/>
          </w:tcPr>
          <w:p w14:paraId="17ABF217" w14:textId="14AC00D7" w:rsidR="006067D9" w:rsidRPr="006067D9" w:rsidRDefault="006067D9" w:rsidP="006067D9">
            <w:pPr>
              <w:rPr>
                <w:rFonts w:eastAsia="Arial"/>
              </w:rPr>
            </w:pPr>
            <w:r w:rsidRPr="006067D9">
              <w:rPr>
                <w:rFonts w:eastAsia="Arial"/>
              </w:rPr>
              <w:t>1.6</w:t>
            </w:r>
          </w:p>
        </w:tc>
        <w:tc>
          <w:tcPr>
            <w:tcW w:w="3694" w:type="dxa"/>
          </w:tcPr>
          <w:p w14:paraId="4D49DBF5" w14:textId="77777777" w:rsidR="006067D9" w:rsidRPr="006067D9" w:rsidRDefault="006067D9" w:rsidP="006067D9">
            <w:pPr>
              <w:rPr>
                <w:bCs/>
                <w:color w:val="000000"/>
                <w:lang w:eastAsia="lt-LT"/>
              </w:rPr>
            </w:pPr>
            <w:r w:rsidRPr="006067D9">
              <w:rPr>
                <w:bCs/>
                <w:color w:val="000000"/>
                <w:lang w:eastAsia="lt-LT"/>
              </w:rPr>
              <w:t>Pareiškėjo teikiama (-os) kompensuoti vaistinio preparato indikacija (-os)</w:t>
            </w:r>
          </w:p>
          <w:p w14:paraId="3FB07EE5" w14:textId="77777777" w:rsidR="006067D9" w:rsidRPr="006067D9" w:rsidRDefault="006067D9" w:rsidP="006067D9">
            <w:pPr>
              <w:rPr>
                <w:bCs/>
                <w:color w:val="000000"/>
                <w:lang w:eastAsia="lt-LT"/>
              </w:rPr>
            </w:pPr>
          </w:p>
          <w:p w14:paraId="6B4FEEC1" w14:textId="378668B0" w:rsidR="006067D9" w:rsidRPr="006067D9" w:rsidRDefault="006067D9" w:rsidP="006067D9">
            <w:pPr>
              <w:rPr>
                <w:bCs/>
                <w:color w:val="000000"/>
                <w:lang w:eastAsia="lt-LT"/>
              </w:rPr>
            </w:pPr>
            <w:r w:rsidRPr="006067D9">
              <w:rPr>
                <w:bCs/>
                <w:color w:val="000000"/>
                <w:lang w:eastAsia="lt-LT"/>
              </w:rPr>
              <w:t>Kodas pagal TLK-10 AM</w:t>
            </w:r>
          </w:p>
        </w:tc>
        <w:tc>
          <w:tcPr>
            <w:tcW w:w="5167" w:type="dxa"/>
          </w:tcPr>
          <w:p w14:paraId="3C8F3D68" w14:textId="77777777" w:rsidR="006067D9" w:rsidRPr="006067D9" w:rsidRDefault="006067D9" w:rsidP="006067D9">
            <w:pPr>
              <w:spacing w:after="120"/>
              <w:jc w:val="both"/>
            </w:pPr>
            <w:r w:rsidRPr="006067D9">
              <w:t>Orgovyx skirtas gydyti suaugusiems pacientams, sergantiems išplitusiu hormonams jautriu prostatos vėžiu.</w:t>
            </w:r>
          </w:p>
          <w:p w14:paraId="13F7DFB0" w14:textId="5E339F70" w:rsidR="006067D9" w:rsidRPr="006067D9" w:rsidRDefault="006067D9" w:rsidP="006067D9">
            <w:r w:rsidRPr="006067D9">
              <w:t>TLK kodas C61</w:t>
            </w:r>
          </w:p>
        </w:tc>
      </w:tr>
      <w:tr w:rsidR="006067D9" w:rsidRPr="006067D9" w14:paraId="2F79DC08" w14:textId="77777777" w:rsidTr="00BE7489">
        <w:trPr>
          <w:trHeight w:val="378"/>
        </w:trPr>
        <w:tc>
          <w:tcPr>
            <w:tcW w:w="632" w:type="dxa"/>
          </w:tcPr>
          <w:p w14:paraId="547885A2" w14:textId="08AA8055" w:rsidR="006067D9" w:rsidRPr="006067D9" w:rsidRDefault="006067D9" w:rsidP="006067D9">
            <w:pPr>
              <w:rPr>
                <w:rFonts w:eastAsia="Arial"/>
              </w:rPr>
            </w:pPr>
            <w:r w:rsidRPr="006067D9">
              <w:rPr>
                <w:rFonts w:eastAsia="Arial"/>
              </w:rPr>
              <w:t>1.6</w:t>
            </w:r>
          </w:p>
        </w:tc>
        <w:tc>
          <w:tcPr>
            <w:tcW w:w="3694" w:type="dxa"/>
          </w:tcPr>
          <w:p w14:paraId="2EAB877F" w14:textId="39A36941" w:rsidR="006067D9" w:rsidRPr="006067D9" w:rsidRDefault="006067D9" w:rsidP="006067D9">
            <w:pPr>
              <w:rPr>
                <w:bCs/>
                <w:color w:val="000000"/>
                <w:u w:val="single"/>
                <w:lang w:eastAsia="lt-LT"/>
              </w:rPr>
            </w:pPr>
            <w:r w:rsidRPr="006067D9">
              <w:rPr>
                <w:bCs/>
                <w:color w:val="000000"/>
                <w:lang w:eastAsia="lt-LT"/>
              </w:rPr>
              <w:t xml:space="preserve">Pareiškėjo teikiamos skyrimo sąlygos </w:t>
            </w:r>
          </w:p>
        </w:tc>
        <w:tc>
          <w:tcPr>
            <w:tcW w:w="5167" w:type="dxa"/>
          </w:tcPr>
          <w:p w14:paraId="0579DF58" w14:textId="7D7871A9" w:rsidR="006067D9" w:rsidRPr="006067D9" w:rsidRDefault="006067D9" w:rsidP="006067D9">
            <w:r w:rsidRPr="006067D9">
              <w:t>Nėra.</w:t>
            </w:r>
          </w:p>
        </w:tc>
      </w:tr>
      <w:tr w:rsidR="00B13D65" w:rsidRPr="006067D9" w14:paraId="3B125269" w14:textId="77777777" w:rsidTr="006067D9">
        <w:trPr>
          <w:trHeight w:val="96"/>
        </w:trPr>
        <w:tc>
          <w:tcPr>
            <w:tcW w:w="632" w:type="dxa"/>
          </w:tcPr>
          <w:p w14:paraId="0058E11F" w14:textId="77777777" w:rsidR="00B13D65" w:rsidRPr="006067D9" w:rsidRDefault="00B13D65" w:rsidP="00824B92">
            <w:pPr>
              <w:rPr>
                <w:rFonts w:eastAsia="Arial"/>
              </w:rPr>
            </w:pPr>
            <w:r w:rsidRPr="006067D9">
              <w:rPr>
                <w:rFonts w:eastAsia="Arial"/>
              </w:rPr>
              <w:t>1.7</w:t>
            </w:r>
          </w:p>
        </w:tc>
        <w:tc>
          <w:tcPr>
            <w:tcW w:w="3694" w:type="dxa"/>
          </w:tcPr>
          <w:p w14:paraId="6CC1022E" w14:textId="3AE8498A" w:rsidR="009F4D66" w:rsidRPr="006067D9" w:rsidRDefault="007656B2" w:rsidP="00824B92">
            <w:pPr>
              <w:rPr>
                <w:bCs/>
                <w:color w:val="000000"/>
                <w:lang w:eastAsia="lt-LT"/>
              </w:rPr>
            </w:pPr>
            <w:r w:rsidRPr="006067D9">
              <w:rPr>
                <w:bCs/>
                <w:color w:val="000000"/>
                <w:lang w:eastAsia="lt-LT"/>
              </w:rPr>
              <w:t>Pareiškėjo teikiamas p</w:t>
            </w:r>
            <w:r w:rsidR="00B13D65" w:rsidRPr="006067D9">
              <w:rPr>
                <w:bCs/>
                <w:color w:val="000000"/>
                <w:lang w:eastAsia="lt-LT"/>
              </w:rPr>
              <w:t>alyginamasis</w:t>
            </w:r>
            <w:r w:rsidR="005B3756" w:rsidRPr="006067D9">
              <w:rPr>
                <w:bCs/>
                <w:color w:val="000000"/>
                <w:lang w:eastAsia="lt-LT"/>
              </w:rPr>
              <w:t xml:space="preserve"> </w:t>
            </w:r>
            <w:r w:rsidR="00B13D65" w:rsidRPr="006067D9">
              <w:rPr>
                <w:bCs/>
                <w:color w:val="000000"/>
                <w:lang w:eastAsia="lt-LT"/>
              </w:rPr>
              <w:t>gydymas</w:t>
            </w:r>
            <w:r w:rsidR="006067D9">
              <w:rPr>
                <w:bCs/>
                <w:color w:val="000000"/>
                <w:lang w:eastAsia="lt-LT"/>
              </w:rPr>
              <w:t>.</w:t>
            </w:r>
          </w:p>
        </w:tc>
        <w:tc>
          <w:tcPr>
            <w:tcW w:w="5167" w:type="dxa"/>
          </w:tcPr>
          <w:p w14:paraId="1F113AC0" w14:textId="65B6A9B1" w:rsidR="009F4D66" w:rsidRPr="006067D9"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6067D9" w:rsidRPr="006067D9">
                  <w:rPr>
                    <w:rStyle w:val="Style2"/>
                    <w:rFonts w:ascii="MS Gothic" w:eastAsia="MS Gothic" w:hAnsi="MS Gothic" w:hint="eastAsia"/>
                    <w:sz w:val="24"/>
                  </w:rPr>
                  <w:t>☒</w:t>
                </w:r>
              </w:sdtContent>
            </w:sdt>
            <w:r w:rsidR="009F4D66" w:rsidRPr="006067D9">
              <w:t xml:space="preserve"> Tinkamas</w:t>
            </w:r>
          </w:p>
          <w:p w14:paraId="41B44044" w14:textId="199BD9DF" w:rsidR="00B13D65" w:rsidRPr="006067D9"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6067D9">
                  <w:rPr>
                    <w:rStyle w:val="Style2"/>
                    <w:rFonts w:ascii="MS Gothic" w:eastAsia="MS Gothic" w:hAnsi="MS Gothic" w:hint="eastAsia"/>
                    <w:sz w:val="24"/>
                  </w:rPr>
                  <w:t>☐</w:t>
                </w:r>
              </w:sdtContent>
            </w:sdt>
            <w:r w:rsidR="009F4D66" w:rsidRPr="006067D9">
              <w:t xml:space="preserve"> Netinkama</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lastRenderedPageBreak/>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6067D9" w:rsidRPr="00414E1A" w14:paraId="3971C6DD" w14:textId="77777777" w:rsidTr="006067D9">
        <w:trPr>
          <w:trHeight w:val="924"/>
        </w:trPr>
        <w:tc>
          <w:tcPr>
            <w:tcW w:w="2927" w:type="dxa"/>
            <w:tcBorders>
              <w:top w:val="single" w:sz="4" w:space="0" w:color="auto"/>
              <w:left w:val="single" w:sz="4" w:space="0" w:color="auto"/>
              <w:bottom w:val="single" w:sz="4" w:space="0" w:color="auto"/>
              <w:right w:val="single" w:sz="4" w:space="0" w:color="auto"/>
            </w:tcBorders>
            <w:hideMark/>
          </w:tcPr>
          <w:p w14:paraId="7AA7D988" w14:textId="77777777" w:rsidR="006067D9" w:rsidRPr="00414E1A" w:rsidRDefault="006067D9">
            <w:pPr>
              <w:spacing w:line="276" w:lineRule="auto"/>
              <w:rPr>
                <w:rFonts w:eastAsia="Arial"/>
                <w:sz w:val="22"/>
                <w:szCs w:val="22"/>
              </w:rPr>
            </w:pPr>
            <w:r w:rsidRPr="00414E1A">
              <w:rPr>
                <w:rFonts w:eastAsia="Arial"/>
                <w:sz w:val="22"/>
                <w:szCs w:val="22"/>
              </w:rPr>
              <w:t>STV agentūros pavadinimas, šalis</w:t>
            </w:r>
          </w:p>
        </w:tc>
        <w:tc>
          <w:tcPr>
            <w:tcW w:w="1915" w:type="dxa"/>
            <w:tcBorders>
              <w:top w:val="single" w:sz="4" w:space="0" w:color="auto"/>
              <w:left w:val="single" w:sz="4" w:space="0" w:color="auto"/>
              <w:bottom w:val="single" w:sz="4" w:space="0" w:color="auto"/>
              <w:right w:val="single" w:sz="4" w:space="0" w:color="auto"/>
            </w:tcBorders>
            <w:hideMark/>
          </w:tcPr>
          <w:p w14:paraId="14512740" w14:textId="77777777" w:rsidR="006067D9" w:rsidRPr="00414E1A" w:rsidRDefault="006067D9">
            <w:pPr>
              <w:spacing w:line="276" w:lineRule="auto"/>
              <w:rPr>
                <w:rFonts w:eastAsia="Arial"/>
                <w:sz w:val="22"/>
                <w:szCs w:val="22"/>
              </w:rPr>
            </w:pPr>
            <w:r w:rsidRPr="00414E1A">
              <w:rPr>
                <w:rFonts w:eastAsia="Arial"/>
                <w:sz w:val="22"/>
                <w:szCs w:val="22"/>
              </w:rPr>
              <w:t>STV vertinimas atliktas</w:t>
            </w:r>
          </w:p>
        </w:tc>
        <w:tc>
          <w:tcPr>
            <w:tcW w:w="2351" w:type="dxa"/>
            <w:tcBorders>
              <w:top w:val="single" w:sz="4" w:space="0" w:color="auto"/>
              <w:left w:val="single" w:sz="4" w:space="0" w:color="auto"/>
              <w:bottom w:val="single" w:sz="4" w:space="0" w:color="auto"/>
              <w:right w:val="single" w:sz="4" w:space="0" w:color="auto"/>
            </w:tcBorders>
            <w:hideMark/>
          </w:tcPr>
          <w:p w14:paraId="085B8B02" w14:textId="77777777" w:rsidR="006067D9" w:rsidRPr="00414E1A" w:rsidRDefault="006067D9">
            <w:pPr>
              <w:spacing w:line="276" w:lineRule="auto"/>
              <w:rPr>
                <w:rFonts w:eastAsia="Arial"/>
                <w:sz w:val="22"/>
                <w:szCs w:val="22"/>
              </w:rPr>
            </w:pPr>
            <w:r w:rsidRPr="00414E1A">
              <w:rPr>
                <w:rFonts w:eastAsia="Arial"/>
                <w:sz w:val="22"/>
                <w:szCs w:val="22"/>
              </w:rPr>
              <w:t>Klinikinio vertinimo išvada</w:t>
            </w:r>
          </w:p>
        </w:tc>
        <w:tc>
          <w:tcPr>
            <w:tcW w:w="2725" w:type="dxa"/>
            <w:tcBorders>
              <w:top w:val="single" w:sz="4" w:space="0" w:color="auto"/>
              <w:left w:val="single" w:sz="4" w:space="0" w:color="auto"/>
              <w:bottom w:val="single" w:sz="4" w:space="0" w:color="auto"/>
              <w:right w:val="single" w:sz="4" w:space="0" w:color="auto"/>
            </w:tcBorders>
            <w:hideMark/>
          </w:tcPr>
          <w:p w14:paraId="3AF08D84" w14:textId="77777777" w:rsidR="006067D9" w:rsidRPr="00414E1A" w:rsidRDefault="006067D9">
            <w:pPr>
              <w:spacing w:line="276" w:lineRule="auto"/>
              <w:rPr>
                <w:rFonts w:eastAsia="Arial"/>
                <w:sz w:val="22"/>
                <w:szCs w:val="22"/>
              </w:rPr>
            </w:pPr>
            <w:r w:rsidRPr="00414E1A">
              <w:rPr>
                <w:rFonts w:eastAsia="Arial"/>
                <w:sz w:val="22"/>
                <w:szCs w:val="22"/>
              </w:rPr>
              <w:t>Farmakoekonominio vertinimo išvada</w:t>
            </w:r>
          </w:p>
        </w:tc>
      </w:tr>
      <w:tr w:rsidR="006067D9" w:rsidRPr="00414E1A" w14:paraId="49323D77" w14:textId="77777777" w:rsidTr="006067D9">
        <w:trPr>
          <w:trHeight w:val="1765"/>
        </w:trPr>
        <w:tc>
          <w:tcPr>
            <w:tcW w:w="2927" w:type="dxa"/>
            <w:tcBorders>
              <w:top w:val="single" w:sz="4" w:space="0" w:color="auto"/>
              <w:left w:val="single" w:sz="4" w:space="0" w:color="auto"/>
              <w:bottom w:val="single" w:sz="4" w:space="0" w:color="auto"/>
              <w:right w:val="single" w:sz="4" w:space="0" w:color="auto"/>
            </w:tcBorders>
            <w:hideMark/>
          </w:tcPr>
          <w:p w14:paraId="5CE6D1D1" w14:textId="77777777" w:rsidR="006067D9" w:rsidRPr="00414E1A" w:rsidRDefault="006067D9">
            <w:pPr>
              <w:autoSpaceDE w:val="0"/>
              <w:autoSpaceDN w:val="0"/>
              <w:adjustRightInd w:val="0"/>
              <w:rPr>
                <w:bCs/>
                <w:sz w:val="22"/>
                <w:szCs w:val="22"/>
              </w:rPr>
            </w:pPr>
            <w:r w:rsidRPr="00414E1A">
              <w:rPr>
                <w:bCs/>
                <w:sz w:val="22"/>
                <w:szCs w:val="22"/>
              </w:rPr>
              <w:t>Nacionalinis sveikatos ir klinikinės kompetencijos institutas, Didžioji Britanija</w:t>
            </w:r>
          </w:p>
          <w:p w14:paraId="1E0C2E59" w14:textId="77777777" w:rsidR="006067D9" w:rsidRPr="00414E1A" w:rsidRDefault="006067D9">
            <w:pPr>
              <w:spacing w:line="276" w:lineRule="auto"/>
              <w:rPr>
                <w:rFonts w:eastAsia="Arial"/>
                <w:sz w:val="22"/>
                <w:szCs w:val="22"/>
              </w:rPr>
            </w:pPr>
            <w:r w:rsidRPr="00414E1A">
              <w:rPr>
                <w:rFonts w:eastAsia="Arial"/>
                <w:sz w:val="22"/>
                <w:szCs w:val="22"/>
              </w:rPr>
              <w:t xml:space="preserve">(angl. </w:t>
            </w:r>
            <w:r w:rsidRPr="00414E1A">
              <w:rPr>
                <w:rFonts w:eastAsia="Arial"/>
                <w:i/>
                <w:sz w:val="22"/>
                <w:szCs w:val="22"/>
              </w:rPr>
              <w:t>National Institute for Health and Care Excellence, NICE</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545AC3A1" w14:textId="77777777" w:rsidR="006067D9" w:rsidRPr="00414E1A" w:rsidRDefault="00000000">
            <w:pPr>
              <w:rPr>
                <w:sz w:val="22"/>
                <w:szCs w:val="22"/>
              </w:rPr>
            </w:pPr>
            <w:sdt>
              <w:sdtPr>
                <w:rPr>
                  <w:rStyle w:val="Style2"/>
                  <w:sz w:val="22"/>
                  <w:szCs w:val="22"/>
                </w:rPr>
                <w:id w:val="1558205022"/>
                <w14:checkbox>
                  <w14:checked w14:val="1"/>
                  <w14:checkedState w14:val="2612" w14:font="MS Gothic"/>
                  <w14:uncheckedState w14:val="2610" w14:font="MS Gothic"/>
                </w14:checkbox>
              </w:sdtPr>
              <w:sdtContent>
                <w:r w:rsidR="006067D9" w:rsidRPr="00414E1A">
                  <w:rPr>
                    <w:rStyle w:val="Style2"/>
                    <w:rFonts w:ascii="Segoe UI Symbol" w:eastAsia="MS Gothic" w:hAnsi="Segoe UI Symbol" w:cs="Segoe UI Symbol"/>
                    <w:sz w:val="22"/>
                    <w:szCs w:val="22"/>
                    <w:lang w:val="en-US"/>
                  </w:rPr>
                  <w:t>☒</w:t>
                </w:r>
              </w:sdtContent>
            </w:sdt>
            <w:r w:rsidR="006067D9" w:rsidRPr="00414E1A">
              <w:rPr>
                <w:sz w:val="22"/>
                <w:szCs w:val="22"/>
              </w:rPr>
              <w:t xml:space="preserve"> Taip</w:t>
            </w:r>
          </w:p>
          <w:p w14:paraId="390FD347" w14:textId="77777777" w:rsidR="006067D9" w:rsidRPr="00414E1A" w:rsidRDefault="00000000">
            <w:pPr>
              <w:rPr>
                <w:sz w:val="22"/>
                <w:szCs w:val="22"/>
              </w:rPr>
            </w:pPr>
            <w:sdt>
              <w:sdtPr>
                <w:rPr>
                  <w:rStyle w:val="Style2"/>
                  <w:sz w:val="22"/>
                  <w:szCs w:val="22"/>
                </w:rPr>
                <w:id w:val="866029625"/>
                <w14:checkbox>
                  <w14:checked w14:val="0"/>
                  <w14:checkedState w14:val="2612" w14:font="MS Gothic"/>
                  <w14:uncheckedState w14:val="2610" w14:font="MS Gothic"/>
                </w14:checkbox>
              </w:sdtPr>
              <w:sdtContent>
                <w:r w:rsidR="006067D9" w:rsidRPr="00414E1A">
                  <w:rPr>
                    <w:rStyle w:val="Style2"/>
                    <w:rFonts w:ascii="Segoe UI Symbol" w:eastAsia="MS Gothic" w:hAnsi="Segoe UI Symbol" w:cs="Segoe UI Symbol"/>
                    <w:sz w:val="22"/>
                    <w:szCs w:val="22"/>
                    <w:lang w:val="en-US"/>
                  </w:rPr>
                  <w:t>☐</w:t>
                </w:r>
              </w:sdtContent>
            </w:sdt>
            <w:r w:rsidR="006067D9" w:rsidRPr="00414E1A">
              <w:rPr>
                <w:sz w:val="22"/>
                <w:szCs w:val="22"/>
              </w:rPr>
              <w:t xml:space="preserve"> Ne</w:t>
            </w:r>
          </w:p>
          <w:p w14:paraId="2F2911D4" w14:textId="77777777" w:rsidR="006067D9" w:rsidRPr="00414E1A" w:rsidRDefault="00000000">
            <w:pPr>
              <w:rPr>
                <w:rFonts w:eastAsia="Arial"/>
                <w:sz w:val="22"/>
                <w:szCs w:val="22"/>
              </w:rPr>
            </w:pPr>
            <w:sdt>
              <w:sdtPr>
                <w:rPr>
                  <w:sz w:val="22"/>
                  <w:szCs w:val="22"/>
                </w:rPr>
                <w:alias w:val="Nurodykite konkrečią dieną"/>
                <w:tag w:val="Nurodykite pradžios datą"/>
                <w:id w:val="922837954"/>
                <w:placeholder>
                  <w:docPart w:val="8BBEBA895B42466D89AD15815CF9F845"/>
                </w:placeholder>
                <w:date>
                  <w:dateFormat w:val="yyyy 'm.' MMMM d 'd.'"/>
                  <w:lid w:val="lt-LT"/>
                  <w:storeMappedDataAs w:val="dateTime"/>
                  <w:calendar w:val="gregorian"/>
                </w:date>
              </w:sdtPr>
              <w:sdtContent>
                <w:r w:rsidR="006067D9" w:rsidRPr="00414E1A">
                  <w:rPr>
                    <w:sz w:val="22"/>
                    <w:szCs w:val="22"/>
                  </w:rPr>
                  <w:t>2024 m. rugpjūčio 14 d.</w:t>
                </w:r>
              </w:sdtContent>
            </w:sdt>
          </w:p>
        </w:tc>
        <w:tc>
          <w:tcPr>
            <w:tcW w:w="5076" w:type="dxa"/>
            <w:gridSpan w:val="2"/>
            <w:tcBorders>
              <w:top w:val="single" w:sz="4" w:space="0" w:color="auto"/>
              <w:left w:val="single" w:sz="4" w:space="0" w:color="auto"/>
              <w:bottom w:val="single" w:sz="4" w:space="0" w:color="auto"/>
              <w:right w:val="single" w:sz="4" w:space="0" w:color="auto"/>
            </w:tcBorders>
            <w:hideMark/>
          </w:tcPr>
          <w:p w14:paraId="559DACFC" w14:textId="77777777" w:rsidR="006067D9" w:rsidRPr="00414E1A" w:rsidRDefault="006067D9">
            <w:pPr>
              <w:spacing w:after="120"/>
              <w:jc w:val="both"/>
              <w:rPr>
                <w:sz w:val="22"/>
                <w:szCs w:val="22"/>
              </w:rPr>
            </w:pPr>
            <w:r w:rsidRPr="00414E1A">
              <w:rPr>
                <w:sz w:val="22"/>
                <w:szCs w:val="22"/>
              </w:rPr>
              <w:t>Relugoliksas rekomenduojamas, laikantis jo rinkodaros leidimo, kaip gydymo galimybė suaugusiems pacientams, sergantiems prostatos vėžiu:</w:t>
            </w:r>
          </w:p>
          <w:p w14:paraId="1D021784" w14:textId="77777777" w:rsidR="006067D9" w:rsidRPr="00414E1A" w:rsidRDefault="006067D9" w:rsidP="006067D9">
            <w:pPr>
              <w:pStyle w:val="Sraopastraipa"/>
              <w:numPr>
                <w:ilvl w:val="0"/>
                <w:numId w:val="13"/>
              </w:numPr>
              <w:spacing w:after="120"/>
              <w:jc w:val="both"/>
              <w:rPr>
                <w:sz w:val="22"/>
                <w:szCs w:val="22"/>
              </w:rPr>
            </w:pPr>
            <w:r w:rsidRPr="00414E1A">
              <w:rPr>
                <w:sz w:val="22"/>
                <w:szCs w:val="22"/>
              </w:rPr>
              <w:t>esant pažengusiam hormonams jautriam prostatos vėžiui</w:t>
            </w:r>
          </w:p>
          <w:p w14:paraId="744CDFDE" w14:textId="77777777" w:rsidR="006067D9" w:rsidRPr="00414E1A" w:rsidRDefault="006067D9" w:rsidP="006067D9">
            <w:pPr>
              <w:pStyle w:val="Sraopastraipa"/>
              <w:numPr>
                <w:ilvl w:val="0"/>
                <w:numId w:val="13"/>
              </w:numPr>
              <w:spacing w:after="120"/>
              <w:jc w:val="both"/>
              <w:rPr>
                <w:sz w:val="22"/>
                <w:szCs w:val="22"/>
              </w:rPr>
            </w:pPr>
            <w:r w:rsidRPr="00414E1A">
              <w:rPr>
                <w:sz w:val="22"/>
                <w:szCs w:val="22"/>
              </w:rPr>
              <w:t>kartu su spinduline terapija gydant didelės rizikos lokalizuotą arba lokaliai pažengusį hormonams jautrų prostatos vėžį</w:t>
            </w:r>
          </w:p>
          <w:p w14:paraId="44353B56" w14:textId="77777777" w:rsidR="006067D9" w:rsidRPr="00414E1A" w:rsidRDefault="006067D9" w:rsidP="006067D9">
            <w:pPr>
              <w:pStyle w:val="Sraopastraipa"/>
              <w:numPr>
                <w:ilvl w:val="0"/>
                <w:numId w:val="13"/>
              </w:numPr>
              <w:spacing w:after="120"/>
              <w:jc w:val="both"/>
              <w:rPr>
                <w:sz w:val="22"/>
                <w:szCs w:val="22"/>
              </w:rPr>
            </w:pPr>
            <w:r w:rsidRPr="00414E1A">
              <w:rPr>
                <w:sz w:val="22"/>
                <w:szCs w:val="22"/>
              </w:rPr>
              <w:t>kaip neoadjuvantinis gydymas prieš spindulinę terapiją didelės rizikos lokalizuotam arba lokaliai pažengusiam hormonams jautriam prostatos vėžiui.</w:t>
            </w:r>
          </w:p>
        </w:tc>
      </w:tr>
      <w:tr w:rsidR="006067D9" w:rsidRPr="00414E1A" w14:paraId="3E4776BA" w14:textId="77777777" w:rsidTr="006067D9">
        <w:trPr>
          <w:trHeight w:val="1547"/>
        </w:trPr>
        <w:tc>
          <w:tcPr>
            <w:tcW w:w="2927" w:type="dxa"/>
            <w:tcBorders>
              <w:top w:val="single" w:sz="4" w:space="0" w:color="auto"/>
              <w:left w:val="single" w:sz="4" w:space="0" w:color="auto"/>
              <w:bottom w:val="single" w:sz="4" w:space="0" w:color="auto"/>
              <w:right w:val="single" w:sz="4" w:space="0" w:color="auto"/>
            </w:tcBorders>
            <w:hideMark/>
          </w:tcPr>
          <w:p w14:paraId="276CD54D" w14:textId="77777777" w:rsidR="006067D9" w:rsidRPr="00414E1A" w:rsidRDefault="006067D9">
            <w:pPr>
              <w:spacing w:line="276" w:lineRule="auto"/>
              <w:rPr>
                <w:rFonts w:eastAsia="Arial"/>
                <w:sz w:val="22"/>
                <w:szCs w:val="22"/>
              </w:rPr>
            </w:pPr>
            <w:r w:rsidRPr="00414E1A">
              <w:rPr>
                <w:rFonts w:eastAsia="Arial"/>
                <w:sz w:val="22"/>
                <w:szCs w:val="22"/>
              </w:rPr>
              <w:t>Kanados sveikatos technologijų agentūra</w:t>
            </w:r>
          </w:p>
          <w:p w14:paraId="153FA100" w14:textId="77777777" w:rsidR="006067D9" w:rsidRPr="00414E1A" w:rsidRDefault="006067D9">
            <w:pPr>
              <w:spacing w:line="276" w:lineRule="auto"/>
              <w:rPr>
                <w:rFonts w:eastAsia="Arial"/>
                <w:sz w:val="22"/>
                <w:szCs w:val="22"/>
              </w:rPr>
            </w:pPr>
            <w:r w:rsidRPr="00414E1A">
              <w:rPr>
                <w:rFonts w:eastAsia="Arial"/>
                <w:sz w:val="22"/>
                <w:szCs w:val="22"/>
              </w:rPr>
              <w:t xml:space="preserve">(angl. </w:t>
            </w:r>
            <w:r w:rsidRPr="00414E1A">
              <w:rPr>
                <w:rFonts w:eastAsia="Arial"/>
                <w:i/>
                <w:sz w:val="22"/>
                <w:szCs w:val="22"/>
              </w:rPr>
              <w:t>Canadian health Technology Assessment agency, CADTH</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45102F0D" w14:textId="77777777" w:rsidR="006067D9" w:rsidRPr="00414E1A" w:rsidRDefault="00000000">
            <w:pPr>
              <w:rPr>
                <w:sz w:val="22"/>
                <w:szCs w:val="22"/>
              </w:rPr>
            </w:pPr>
            <w:sdt>
              <w:sdtPr>
                <w:rPr>
                  <w:rStyle w:val="Style2"/>
                  <w:sz w:val="22"/>
                  <w:szCs w:val="22"/>
                </w:rPr>
                <w:id w:val="-372539057"/>
                <w14:checkbox>
                  <w14:checked w14:val="1"/>
                  <w14:checkedState w14:val="2612" w14:font="MS Gothic"/>
                  <w14:uncheckedState w14:val="2610" w14:font="MS Gothic"/>
                </w14:checkbox>
              </w:sdtPr>
              <w:sdtContent>
                <w:r w:rsidR="006067D9" w:rsidRPr="00414E1A">
                  <w:rPr>
                    <w:rStyle w:val="Style2"/>
                    <w:rFonts w:ascii="Segoe UI Symbol" w:eastAsia="MS Gothic" w:hAnsi="Segoe UI Symbol" w:cs="Segoe UI Symbol"/>
                    <w:sz w:val="22"/>
                    <w:szCs w:val="22"/>
                    <w:lang w:val="en-US"/>
                  </w:rPr>
                  <w:t>☒</w:t>
                </w:r>
              </w:sdtContent>
            </w:sdt>
            <w:r w:rsidR="006067D9" w:rsidRPr="00414E1A">
              <w:rPr>
                <w:sz w:val="22"/>
                <w:szCs w:val="22"/>
              </w:rPr>
              <w:t xml:space="preserve"> Taip</w:t>
            </w:r>
          </w:p>
          <w:p w14:paraId="18E9EC74" w14:textId="77777777" w:rsidR="006067D9" w:rsidRPr="00414E1A" w:rsidRDefault="00000000">
            <w:pPr>
              <w:rPr>
                <w:sz w:val="22"/>
                <w:szCs w:val="22"/>
              </w:rPr>
            </w:pPr>
            <w:sdt>
              <w:sdtPr>
                <w:rPr>
                  <w:rStyle w:val="Style2"/>
                  <w:sz w:val="22"/>
                  <w:szCs w:val="22"/>
                </w:rPr>
                <w:id w:val="594442222"/>
                <w14:checkbox>
                  <w14:checked w14:val="0"/>
                  <w14:checkedState w14:val="2612" w14:font="MS Gothic"/>
                  <w14:uncheckedState w14:val="2610" w14:font="MS Gothic"/>
                </w14:checkbox>
              </w:sdtPr>
              <w:sdtContent>
                <w:r w:rsidR="006067D9" w:rsidRPr="00414E1A">
                  <w:rPr>
                    <w:rStyle w:val="Style2"/>
                    <w:rFonts w:ascii="Segoe UI Symbol" w:eastAsia="MS Gothic" w:hAnsi="Segoe UI Symbol" w:cs="Segoe UI Symbol"/>
                    <w:sz w:val="22"/>
                    <w:szCs w:val="22"/>
                    <w:lang w:val="en-US"/>
                  </w:rPr>
                  <w:t>☐</w:t>
                </w:r>
              </w:sdtContent>
            </w:sdt>
            <w:r w:rsidR="006067D9" w:rsidRPr="00414E1A">
              <w:rPr>
                <w:sz w:val="22"/>
                <w:szCs w:val="22"/>
              </w:rPr>
              <w:t xml:space="preserve"> Ne</w:t>
            </w:r>
          </w:p>
          <w:p w14:paraId="6120D2BD" w14:textId="77777777" w:rsidR="006067D9" w:rsidRPr="00414E1A" w:rsidRDefault="00000000">
            <w:pPr>
              <w:spacing w:line="276" w:lineRule="auto"/>
              <w:rPr>
                <w:rFonts w:eastAsia="Arial"/>
                <w:sz w:val="22"/>
                <w:szCs w:val="22"/>
              </w:rPr>
            </w:pPr>
            <w:sdt>
              <w:sdtPr>
                <w:rPr>
                  <w:sz w:val="22"/>
                  <w:szCs w:val="22"/>
                </w:rPr>
                <w:alias w:val="Nurodykite konkrečią dieną"/>
                <w:tag w:val="Nurodykite pradžios datą"/>
                <w:id w:val="1072468416"/>
                <w:placeholder>
                  <w:docPart w:val="DACE72654AE343BBB73A45CE06A1B68E"/>
                </w:placeholder>
                <w:date>
                  <w:dateFormat w:val="yyyy 'm.' MMMM d 'd.'"/>
                  <w:lid w:val="lt-LT"/>
                  <w:storeMappedDataAs w:val="dateTime"/>
                  <w:calendar w:val="gregorian"/>
                </w:date>
              </w:sdtPr>
              <w:sdtContent>
                <w:r w:rsidR="006067D9" w:rsidRPr="00414E1A">
                  <w:rPr>
                    <w:sz w:val="22"/>
                    <w:szCs w:val="22"/>
                  </w:rPr>
                  <w:t>2024 m. liepos 22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43418A21" w14:textId="77777777" w:rsidR="006067D9" w:rsidRPr="00414E1A" w:rsidRDefault="006067D9">
            <w:pPr>
              <w:spacing w:line="276" w:lineRule="auto"/>
              <w:jc w:val="both"/>
              <w:rPr>
                <w:rFonts w:eastAsia="Arial"/>
                <w:sz w:val="22"/>
                <w:szCs w:val="22"/>
              </w:rPr>
            </w:pPr>
            <w:r w:rsidRPr="00414E1A">
              <w:rPr>
                <w:rFonts w:eastAsia="Arial"/>
                <w:sz w:val="22"/>
                <w:szCs w:val="22"/>
              </w:rPr>
              <w:t>Rekomenduoja, kad relugoliksas būtų kompensuojamas suaugusių pacientų pažengusio prostatos vėžio gydymui.</w:t>
            </w:r>
          </w:p>
          <w:p w14:paraId="445CFC4A" w14:textId="77777777" w:rsidR="006067D9" w:rsidRPr="00414E1A" w:rsidRDefault="006067D9">
            <w:pPr>
              <w:spacing w:line="276" w:lineRule="auto"/>
              <w:jc w:val="both"/>
              <w:rPr>
                <w:rFonts w:eastAsia="Arial"/>
                <w:sz w:val="22"/>
                <w:szCs w:val="22"/>
              </w:rPr>
            </w:pPr>
          </w:p>
        </w:tc>
      </w:tr>
      <w:tr w:rsidR="006067D9" w:rsidRPr="00414E1A" w14:paraId="6D1250B9" w14:textId="77777777" w:rsidTr="006067D9">
        <w:trPr>
          <w:trHeight w:val="1927"/>
        </w:trPr>
        <w:tc>
          <w:tcPr>
            <w:tcW w:w="2927" w:type="dxa"/>
            <w:tcBorders>
              <w:top w:val="single" w:sz="4" w:space="0" w:color="auto"/>
              <w:left w:val="single" w:sz="4" w:space="0" w:color="auto"/>
              <w:bottom w:val="single" w:sz="4" w:space="0" w:color="auto"/>
              <w:right w:val="single" w:sz="4" w:space="0" w:color="auto"/>
            </w:tcBorders>
            <w:hideMark/>
          </w:tcPr>
          <w:p w14:paraId="56A2A139" w14:textId="77777777" w:rsidR="006067D9" w:rsidRPr="00414E1A" w:rsidRDefault="006067D9">
            <w:pPr>
              <w:spacing w:line="276" w:lineRule="auto"/>
              <w:rPr>
                <w:rFonts w:eastAsia="Arial"/>
                <w:sz w:val="22"/>
                <w:szCs w:val="22"/>
              </w:rPr>
            </w:pPr>
            <w:r w:rsidRPr="00414E1A">
              <w:rPr>
                <w:rFonts w:eastAsia="Arial"/>
                <w:sz w:val="22"/>
                <w:szCs w:val="22"/>
              </w:rPr>
              <w:t>Nacionalinis farmakoekonomikos centras, Airija</w:t>
            </w:r>
          </w:p>
          <w:p w14:paraId="380FF7E0" w14:textId="77777777" w:rsidR="006067D9" w:rsidRPr="00414E1A" w:rsidRDefault="006067D9">
            <w:pPr>
              <w:spacing w:line="276" w:lineRule="auto"/>
              <w:rPr>
                <w:rFonts w:eastAsia="Arial"/>
                <w:sz w:val="22"/>
                <w:szCs w:val="22"/>
              </w:rPr>
            </w:pPr>
            <w:r w:rsidRPr="00414E1A">
              <w:rPr>
                <w:rFonts w:eastAsia="Arial"/>
                <w:sz w:val="22"/>
                <w:szCs w:val="22"/>
              </w:rPr>
              <w:t>(angl.</w:t>
            </w:r>
            <w:r w:rsidRPr="00414E1A">
              <w:rPr>
                <w:rFonts w:eastAsia="Arial"/>
                <w:i/>
                <w:sz w:val="22"/>
                <w:szCs w:val="22"/>
              </w:rPr>
              <w:t xml:space="preserve"> National Centre for Pharmacoeconomics, NCPE</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57A522FE" w14:textId="77777777" w:rsidR="006067D9" w:rsidRPr="00414E1A" w:rsidRDefault="00000000">
            <w:pPr>
              <w:rPr>
                <w:sz w:val="22"/>
                <w:szCs w:val="22"/>
              </w:rPr>
            </w:pPr>
            <w:sdt>
              <w:sdtPr>
                <w:rPr>
                  <w:rStyle w:val="Style2"/>
                  <w:sz w:val="22"/>
                  <w:szCs w:val="22"/>
                </w:rPr>
                <w:id w:val="-1888403732"/>
                <w14:checkbox>
                  <w14:checked w14:val="1"/>
                  <w14:checkedState w14:val="2612" w14:font="MS Gothic"/>
                  <w14:uncheckedState w14:val="2610" w14:font="MS Gothic"/>
                </w14:checkbox>
              </w:sdtPr>
              <w:sdtContent>
                <w:r w:rsidR="006067D9" w:rsidRPr="00414E1A">
                  <w:rPr>
                    <w:rStyle w:val="Style2"/>
                    <w:rFonts w:ascii="Segoe UI Symbol" w:eastAsia="MS Gothic" w:hAnsi="Segoe UI Symbol" w:cs="Segoe UI Symbol"/>
                    <w:sz w:val="22"/>
                    <w:szCs w:val="22"/>
                  </w:rPr>
                  <w:t>☒</w:t>
                </w:r>
              </w:sdtContent>
            </w:sdt>
            <w:r w:rsidR="006067D9" w:rsidRPr="00414E1A">
              <w:rPr>
                <w:sz w:val="22"/>
                <w:szCs w:val="22"/>
              </w:rPr>
              <w:t xml:space="preserve"> Taip</w:t>
            </w:r>
          </w:p>
          <w:p w14:paraId="753C4336" w14:textId="77777777" w:rsidR="006067D9" w:rsidRPr="00414E1A" w:rsidRDefault="00000000">
            <w:pPr>
              <w:rPr>
                <w:sz w:val="22"/>
                <w:szCs w:val="22"/>
              </w:rPr>
            </w:pPr>
            <w:sdt>
              <w:sdtPr>
                <w:rPr>
                  <w:rStyle w:val="Style2"/>
                  <w:sz w:val="22"/>
                  <w:szCs w:val="22"/>
                </w:rPr>
                <w:id w:val="1092201793"/>
                <w14:checkbox>
                  <w14:checked w14:val="0"/>
                  <w14:checkedState w14:val="2612" w14:font="MS Gothic"/>
                  <w14:uncheckedState w14:val="2610" w14:font="MS Gothic"/>
                </w14:checkbox>
              </w:sdtPr>
              <w:sdtContent>
                <w:r w:rsidR="006067D9" w:rsidRPr="00414E1A">
                  <w:rPr>
                    <w:rStyle w:val="Style2"/>
                    <w:rFonts w:ascii="Segoe UI Symbol" w:eastAsia="MS Gothic" w:hAnsi="Segoe UI Symbol" w:cs="Segoe UI Symbol"/>
                    <w:sz w:val="22"/>
                    <w:szCs w:val="22"/>
                  </w:rPr>
                  <w:t>☐</w:t>
                </w:r>
              </w:sdtContent>
            </w:sdt>
            <w:r w:rsidR="006067D9" w:rsidRPr="00414E1A">
              <w:rPr>
                <w:sz w:val="22"/>
                <w:szCs w:val="22"/>
              </w:rPr>
              <w:t xml:space="preserve"> Ne</w:t>
            </w:r>
          </w:p>
          <w:p w14:paraId="23EB5FC3" w14:textId="77777777" w:rsidR="006067D9" w:rsidRPr="00414E1A" w:rsidRDefault="00000000">
            <w:pPr>
              <w:spacing w:line="276" w:lineRule="auto"/>
              <w:rPr>
                <w:rFonts w:eastAsia="Arial"/>
                <w:sz w:val="22"/>
                <w:szCs w:val="22"/>
              </w:rPr>
            </w:pPr>
            <w:sdt>
              <w:sdtPr>
                <w:rPr>
                  <w:sz w:val="22"/>
                  <w:szCs w:val="22"/>
                </w:rPr>
                <w:alias w:val="Nurodykite konkrečią dieną"/>
                <w:tag w:val="Nurodykite pradžios datą"/>
                <w:id w:val="-198323198"/>
                <w:placeholder>
                  <w:docPart w:val="381DEF4F0D37463C990F1E8979171748"/>
                </w:placeholder>
                <w:date>
                  <w:dateFormat w:val="yyyy 'm.' MMMM d 'd.'"/>
                  <w:lid w:val="lt-LT"/>
                  <w:storeMappedDataAs w:val="dateTime"/>
                  <w:calendar w:val="gregorian"/>
                </w:date>
              </w:sdtPr>
              <w:sdtContent>
                <w:r w:rsidR="006067D9" w:rsidRPr="00414E1A">
                  <w:rPr>
                    <w:sz w:val="22"/>
                    <w:szCs w:val="22"/>
                  </w:rPr>
                  <w:t>2023 m. kovo  31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17C57A1C" w14:textId="0A6E0045" w:rsidR="006067D9" w:rsidRPr="00414E1A" w:rsidRDefault="006067D9">
            <w:pPr>
              <w:spacing w:line="276" w:lineRule="auto"/>
              <w:jc w:val="both"/>
              <w:rPr>
                <w:rFonts w:eastAsia="Arial"/>
                <w:sz w:val="22"/>
                <w:szCs w:val="22"/>
              </w:rPr>
            </w:pPr>
            <w:r w:rsidRPr="00414E1A">
              <w:rPr>
                <w:rFonts w:eastAsia="Arial"/>
                <w:sz w:val="22"/>
                <w:szCs w:val="22"/>
              </w:rPr>
              <w:t xml:space="preserve">NCPE rekomenduoja, kad </w:t>
            </w:r>
            <w:r w:rsidR="00E255F1">
              <w:rPr>
                <w:rFonts w:eastAsia="Arial"/>
                <w:sz w:val="22"/>
                <w:szCs w:val="22"/>
              </w:rPr>
              <w:t>relugoliksas</w:t>
            </w:r>
            <w:r w:rsidRPr="00414E1A">
              <w:rPr>
                <w:rFonts w:eastAsia="Arial"/>
                <w:sz w:val="22"/>
                <w:szCs w:val="22"/>
              </w:rPr>
              <w:t xml:space="preserve"> nebūtų kompensuojamas, nebent jo sąnaudų efektyvumas būtų pagerintas, palyginti su esamais gydymo būdais.</w:t>
            </w:r>
          </w:p>
          <w:p w14:paraId="0DEA357A" w14:textId="77777777" w:rsidR="006067D9" w:rsidRPr="00414E1A" w:rsidRDefault="006067D9">
            <w:pPr>
              <w:spacing w:line="276" w:lineRule="auto"/>
              <w:rPr>
                <w:rFonts w:eastAsia="Arial"/>
                <w:sz w:val="22"/>
                <w:szCs w:val="22"/>
              </w:rPr>
            </w:pPr>
          </w:p>
        </w:tc>
      </w:tr>
    </w:tbl>
    <w:p w14:paraId="73290081" w14:textId="3C1E315B" w:rsidR="007A2B68" w:rsidRDefault="007A2B68">
      <w:pPr>
        <w:rPr>
          <w:b/>
          <w:bCs/>
          <w:caps/>
        </w:rPr>
      </w:pP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5F89291" w14:textId="0B2856E4" w:rsidR="00D4485B" w:rsidRDefault="00D4485B" w:rsidP="00A93AA6">
      <w:pPr>
        <w:pStyle w:val="Sraopastraipa"/>
        <w:tabs>
          <w:tab w:val="left" w:pos="426"/>
        </w:tabs>
        <w:ind w:left="0"/>
        <w:rPr>
          <w:b/>
          <w:bCs/>
          <w:caps/>
        </w:rPr>
      </w:pPr>
    </w:p>
    <w:p w14:paraId="0C98DA99" w14:textId="77777777" w:rsidR="006067D9" w:rsidRDefault="006067D9" w:rsidP="00414E1A">
      <w:pPr>
        <w:spacing w:line="276" w:lineRule="auto"/>
        <w:ind w:firstLine="720"/>
        <w:jc w:val="both"/>
        <w:rPr>
          <w:rFonts w:eastAsia="Arial"/>
          <w:iCs/>
        </w:rPr>
      </w:pPr>
      <w:r>
        <w:rPr>
          <w:rFonts w:eastAsia="Arial"/>
          <w:iCs/>
        </w:rPr>
        <w:t>Lietuvoje prostatos vėžys yra dažniausia vyrų onkologinė liga. Per metus nustatoma jau apie 2000 naujų atvejų, sergamumas šia liga nuolat auga. Dėl Lietuvoje taikomos priešinės liaukos vėžio ankstyvosios diagnostikos programos, didžioji dalis ligos atvejų diagnozuojami pirmose ligos stadijose, o tik apie 3,2% naujai diagnozuotų ligos atvejų yra IV stadijos, t. y. nustatomas lokaliai išplitęs arba metastazavęs vėžys. Sergamumo rodikliai Lietuvoje didėja, o mirčių skaičius kinta nežymiai, t.y. 2016 metais priešinės liaukos vėžiu sirgo 17 034 (605/ 100 000 gyventojų (gyv.)), o 2020 metais sergančiųjų skaičius sudarė 21769 (777/100000 gyv.), o mirčių 537 (19,21/100000 gyv.). Lietuvoje sergančiųjų amžiaus mediana 70 metų sergančiųjų, o bendro išgyvenamumo mediana apie 20 mėn.</w:t>
      </w:r>
    </w:p>
    <w:p w14:paraId="5F06EA0D" w14:textId="77777777" w:rsidR="006067D9" w:rsidRDefault="006067D9" w:rsidP="00414E1A">
      <w:pPr>
        <w:spacing w:line="276" w:lineRule="auto"/>
        <w:ind w:firstLine="720"/>
        <w:jc w:val="both"/>
        <w:rPr>
          <w:rFonts w:eastAsia="Arial"/>
          <w:iCs/>
        </w:rPr>
      </w:pPr>
      <w:r>
        <w:rPr>
          <w:rFonts w:eastAsia="Arial"/>
          <w:iCs/>
        </w:rPr>
        <w:t>Apie prostatos vėžio agresyvumą galimą spręsti pagal vėžio ląstelių diferenciacijos laipsnį. Vėžio išplitimui apibūdinti onkologijoje skiriamos 4 vėžio stadijos: maži ar neišplitę už organo ribų navikai – pirma arba antra stadija, išplitę į gretimas struktūras – trečia, išplitę į kitus, toli nuo pirminio židinio esančius organus navikai – ketvirta stadija.</w:t>
      </w:r>
    </w:p>
    <w:p w14:paraId="274DD470" w14:textId="77777777" w:rsidR="006067D9" w:rsidRDefault="006067D9" w:rsidP="00414E1A">
      <w:pPr>
        <w:spacing w:line="276" w:lineRule="auto"/>
        <w:ind w:firstLine="720"/>
        <w:jc w:val="both"/>
        <w:rPr>
          <w:rFonts w:eastAsia="Arial"/>
        </w:rPr>
      </w:pPr>
      <w:r>
        <w:rPr>
          <w:rFonts w:eastAsia="Arial"/>
          <w:iCs/>
        </w:rPr>
        <w:t xml:space="preserve">Prostatos vėžio gydymas pradedamas įvertinus ligos progresavimo rizikos grupę, išaiškinus pacientui visas prostatos vėžio gydymo pasekmes ir gavus paciento sutikimą taikyti gydytojo specialisto paskirtą gydymą pagal paciento stebėjimo ir gydymo schemą. Kai prostatos vėžys išplitęs </w:t>
      </w:r>
      <w:r>
        <w:rPr>
          <w:rFonts w:eastAsia="Arial"/>
          <w:iCs/>
        </w:rPr>
        <w:lastRenderedPageBreak/>
        <w:t xml:space="preserve">į kitus organus (metastazės dažniausios kauluose), taikomas gydymas hormonais. Metastazavusio kastracijai jautraus prostatos vėžio gydymui skiriama chirurginė kastracija, o pacientui atsisakius chirurginės kastracijos, skiriama kastracija vaistais (GISH analogu, kurio veikimo trukmė ne ilgesnė kaip 6 mėnesiai, ir papildomai gydymo pradžioje ne ilgiau kaip 1 mėnesį kartu skiriamas gydymas antiandrogenu). </w:t>
      </w:r>
    </w:p>
    <w:p w14:paraId="6FDB85DB" w14:textId="77777777" w:rsidR="006067D9" w:rsidRDefault="006067D9" w:rsidP="00414E1A">
      <w:pPr>
        <w:tabs>
          <w:tab w:val="left" w:pos="426"/>
        </w:tabs>
        <w:spacing w:line="276" w:lineRule="auto"/>
        <w:jc w:val="both"/>
        <w:rPr>
          <w:rFonts w:eastAsia="Arial"/>
        </w:rPr>
      </w:pPr>
      <w:r>
        <w:rPr>
          <w:rFonts w:eastAsia="Arial"/>
        </w:rPr>
        <w:tab/>
      </w:r>
      <w:r>
        <w:rPr>
          <w:rFonts w:eastAsia="Arial"/>
        </w:rPr>
        <w:tab/>
        <w:t>Relugolikso f</w:t>
      </w:r>
      <w:r>
        <w:t xml:space="preserve">armakoterapinė grupė – endokrininė terapija, kiti hormonų antagonistai ir panašūs vaistiniai preparatai; ATC kodas – L02BX04. </w:t>
      </w:r>
      <w:r>
        <w:rPr>
          <w:rFonts w:eastAsia="Arial"/>
        </w:rPr>
        <w:t xml:space="preserve">Relugoliksas yra nebaltyminis GnRH receptorių antagonistas, konkurenciniu būdu prisijungiantis ir slopinantis GnRH receptorius priekinėje hipofizės dalyje bei neleidžiantis natūraliems GnRH prisijungti ir skatinti liuteinizuojančio hormono (LH) ir folikulus stimuliuojančio hormono (FSH) sekrecijos. Todėl sumažėja testosterono gamyba sėklidėse. </w:t>
      </w:r>
    </w:p>
    <w:p w14:paraId="53AB131A" w14:textId="7E6AE173" w:rsidR="006067D9" w:rsidRDefault="006067D9" w:rsidP="00414E1A">
      <w:pPr>
        <w:spacing w:line="276" w:lineRule="auto"/>
        <w:ind w:firstLine="720"/>
        <w:jc w:val="both"/>
        <w:rPr>
          <w:rFonts w:eastAsia="Arial"/>
        </w:rPr>
      </w:pPr>
      <w:r>
        <w:rPr>
          <w:rFonts w:eastAsia="Arial"/>
          <w:iCs/>
        </w:rPr>
        <w:t xml:space="preserve">Lietuvoje prostatos vėžio gydymą reglamentuoja 2011 m. lapkričio 2 d. Lietuvos Respublikos sveikatos apsaugos ministro įsakymas Nr. V-941 „Dėl priešinės liaukos (prostatos) piktybinio naviko ambulatorinio gydymo kompensuojamaisiais vaistais tvarkos aprašo patvirtinimo“ ir 2000 m. sausio 28 d. Lietuvos Respublikos sveikatos apsaugos ministro įsakymas Nr. 49 „Dėl kompensuojamųjų vaistų sąrašų patvirtinimo“. Remiantis nurodytais dokumentais, </w:t>
      </w:r>
      <w:r>
        <w:rPr>
          <w:rFonts w:eastAsia="Arial"/>
        </w:rPr>
        <w:t>Lietuvoje klinikinėje praktikoje šiems pacientams, šiuo metu taikomas gydymas GISH analogais (</w:t>
      </w:r>
      <w:r w:rsidR="00195B00">
        <w:rPr>
          <w:rFonts w:eastAsia="Arial"/>
          <w:iCs/>
        </w:rPr>
        <w:t>t</w:t>
      </w:r>
      <w:r>
        <w:rPr>
          <w:rFonts w:eastAsia="Arial"/>
          <w:iCs/>
        </w:rPr>
        <w:t xml:space="preserve">riptorelinu, </w:t>
      </w:r>
      <w:r w:rsidR="00195B00">
        <w:rPr>
          <w:rFonts w:eastAsia="Arial"/>
          <w:iCs/>
        </w:rPr>
        <w:t>g</w:t>
      </w:r>
      <w:r>
        <w:rPr>
          <w:rFonts w:eastAsia="Arial"/>
          <w:iCs/>
        </w:rPr>
        <w:t xml:space="preserve">oserelinu, </w:t>
      </w:r>
      <w:r w:rsidR="00195B00">
        <w:rPr>
          <w:rFonts w:eastAsia="Arial"/>
          <w:iCs/>
        </w:rPr>
        <w:t>l</w:t>
      </w:r>
      <w:r>
        <w:rPr>
          <w:rFonts w:eastAsia="Arial"/>
          <w:iCs/>
        </w:rPr>
        <w:t>euprorelinu</w:t>
      </w:r>
      <w:r>
        <w:rPr>
          <w:rFonts w:eastAsia="Arial"/>
        </w:rPr>
        <w:t>), todėl šis palyginamasis gydymas nurodomas, kaip palyginamasis vaistinis preparatas.</w:t>
      </w:r>
    </w:p>
    <w:p w14:paraId="65089FB0" w14:textId="527E68A9" w:rsidR="006067D9" w:rsidRDefault="006067D9" w:rsidP="00414E1A">
      <w:pPr>
        <w:tabs>
          <w:tab w:val="left" w:pos="426"/>
        </w:tabs>
        <w:spacing w:line="276" w:lineRule="auto"/>
        <w:jc w:val="both"/>
        <w:rPr>
          <w:rFonts w:eastAsia="Arial"/>
        </w:rPr>
      </w:pPr>
      <w:r>
        <w:rPr>
          <w:bCs/>
          <w:lang w:eastAsia="lt-LT"/>
        </w:rPr>
        <w:tab/>
      </w:r>
      <w:r>
        <w:rPr>
          <w:bCs/>
          <w:lang w:eastAsia="lt-LT"/>
        </w:rPr>
        <w:tab/>
      </w:r>
      <w:r>
        <w:rPr>
          <w:bCs/>
          <w:iCs/>
          <w:lang w:eastAsia="lt-LT"/>
        </w:rPr>
        <w:t>Palyginamasis gydymas parenkant vieną iš kompensuojamų GISH analogų (</w:t>
      </w:r>
      <w:r w:rsidR="00195B00">
        <w:rPr>
          <w:rFonts w:eastAsia="Arial"/>
          <w:iCs/>
        </w:rPr>
        <w:t>t</w:t>
      </w:r>
      <w:r>
        <w:rPr>
          <w:rFonts w:eastAsia="Arial"/>
          <w:iCs/>
        </w:rPr>
        <w:t xml:space="preserve">riptorelino, </w:t>
      </w:r>
      <w:r w:rsidR="00195B00">
        <w:rPr>
          <w:rFonts w:eastAsia="Arial"/>
          <w:iCs/>
        </w:rPr>
        <w:t>g</w:t>
      </w:r>
      <w:r>
        <w:rPr>
          <w:rFonts w:eastAsia="Arial"/>
          <w:iCs/>
        </w:rPr>
        <w:t xml:space="preserve">oserelino, </w:t>
      </w:r>
      <w:r w:rsidR="00195B00">
        <w:rPr>
          <w:rFonts w:eastAsia="Arial"/>
          <w:iCs/>
        </w:rPr>
        <w:t>l</w:t>
      </w:r>
      <w:r>
        <w:rPr>
          <w:rFonts w:eastAsia="Arial"/>
          <w:iCs/>
        </w:rPr>
        <w:t>euprorelino</w:t>
      </w:r>
      <w:r>
        <w:rPr>
          <w:bCs/>
          <w:iCs/>
          <w:lang w:eastAsia="lt-LT"/>
        </w:rPr>
        <w:t>) yra laikomas atitinkantis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r>
        <w:rPr>
          <w:bCs/>
        </w:rPr>
        <w:t xml:space="preserve"> </w:t>
      </w:r>
    </w:p>
    <w:p w14:paraId="16E31B93" w14:textId="77777777" w:rsidR="006067D9" w:rsidRPr="008463B1" w:rsidRDefault="006067D9" w:rsidP="00414E1A">
      <w:pPr>
        <w:spacing w:line="276" w:lineRule="auto"/>
        <w:rPr>
          <w:rFonts w:eastAsia="Arial"/>
          <w:b/>
          <w:bCs/>
          <w:i/>
          <w:highlight w:val="yellow"/>
        </w:rPr>
      </w:pPr>
    </w:p>
    <w:p w14:paraId="21A59AD0" w14:textId="77777777" w:rsidR="006067D9" w:rsidRDefault="006067D9" w:rsidP="00414E1A">
      <w:pPr>
        <w:tabs>
          <w:tab w:val="left" w:pos="426"/>
        </w:tabs>
        <w:spacing w:line="276" w:lineRule="auto"/>
        <w:jc w:val="both"/>
        <w:rPr>
          <w:color w:val="000000"/>
          <w:lang w:eastAsia="lt-LT"/>
        </w:rPr>
      </w:pPr>
      <w:r w:rsidRPr="00626D9D">
        <w:rPr>
          <w:b/>
          <w:bCs/>
          <w:color w:val="000000"/>
          <w:lang w:eastAsia="lt-LT"/>
        </w:rPr>
        <w:t>Tiesioginis palyginimas</w:t>
      </w:r>
    </w:p>
    <w:p w14:paraId="6930F12E" w14:textId="77777777" w:rsidR="006067D9" w:rsidRDefault="006067D9" w:rsidP="00414E1A">
      <w:pPr>
        <w:tabs>
          <w:tab w:val="left" w:pos="426"/>
        </w:tabs>
        <w:spacing w:line="276" w:lineRule="auto"/>
        <w:jc w:val="both"/>
        <w:rPr>
          <w:b/>
          <w:color w:val="000000"/>
          <w:highlight w:val="yellow"/>
          <w:lang w:eastAsia="lt-LT"/>
        </w:rPr>
      </w:pPr>
    </w:p>
    <w:p w14:paraId="5046403D" w14:textId="68BB7438" w:rsidR="00192FB1" w:rsidRDefault="00192FB1" w:rsidP="00414E1A">
      <w:pPr>
        <w:tabs>
          <w:tab w:val="left" w:pos="492"/>
        </w:tabs>
        <w:spacing w:line="276" w:lineRule="auto"/>
        <w:jc w:val="both"/>
        <w:outlineLvl w:val="1"/>
      </w:pPr>
      <w:r w:rsidRPr="00192FB1">
        <w:tab/>
      </w:r>
      <w:r w:rsidRPr="00192FB1">
        <w:tab/>
        <w:t>Orgovyx veiksmingumas ir saugumas buvo įvertinti 3 fazės daugianacionaliniame, atsitiktinės parinkties, paralelinių grupių atvirajame tyrime HERO, kurio tikslas buvo nustatyti neprastesnį relugolikso veiksmingumą ir saugumą (angl. non-inferiority study) lyginant su leuprorelinu vyrams, sergantiems androgenams jautriu išplitusiu prostatos vėžiu, kuriam reikia bent 1 metų trukmės androgenų kiekį mažinančio gydymo, ir kurie nebuvo tinkami chirurginiam gydymui arba spindulinei terapijai gydomuoju tikslu.</w:t>
      </w:r>
    </w:p>
    <w:p w14:paraId="6BF282D1" w14:textId="716BD138" w:rsidR="006067D9" w:rsidRDefault="006067D9" w:rsidP="00414E1A">
      <w:pPr>
        <w:tabs>
          <w:tab w:val="left" w:pos="492"/>
        </w:tabs>
        <w:spacing w:line="276" w:lineRule="auto"/>
        <w:jc w:val="both"/>
        <w:outlineLvl w:val="1"/>
        <w:rPr>
          <w:szCs w:val="20"/>
          <w:lang w:eastAsia="lt-LT"/>
        </w:rPr>
      </w:pPr>
      <w:r>
        <w:rPr>
          <w:rFonts w:eastAsia="Arial"/>
        </w:rPr>
        <w:tab/>
      </w:r>
      <w:r>
        <w:rPr>
          <w:rFonts w:eastAsia="Arial"/>
        </w:rPr>
        <w:tab/>
        <w:t xml:space="preserve">Tyrimo pacientų populiacija atitinka Lietuvos pacientų populiaciją, kuriai gydymas gali būti skiriamas pagal numatomas Orgovyx skyrimo indikacijas. </w:t>
      </w:r>
      <w:r>
        <w:t xml:space="preserve">Iš viso 934 pacientai atsitiktine tvarka santykiu 2:1 buvo suskirstyti į grupes, 624 pacientai atsitiktiniu būdu buvo atrinkti į Relugolikso grupę ir 310 pacientai – į leuprorelino grupę. </w:t>
      </w:r>
      <w:r>
        <w:rPr>
          <w:noProof/>
        </w:rPr>
        <w:t xml:space="preserve">Pacientai buvo stratifikuojami pagal metastazinės ligos buvimą, amžių bei geografinį regioną. </w:t>
      </w:r>
      <w:r>
        <w:t xml:space="preserve">Pagrindinis veiksmingumo vertinamosios baigties kriterijus buvo medicininės kastracijos dažnis, apibrėžtas kaip testosterono slopinimo pasiekimas iki kastracinio lygio (&lt; 50 ng/dl) iki 29-osios dienos bei palaikymas iki 48-osios gydymo savaitės, taip pat buvo įvertintas relugolikso ne mažesnis nei leuprorelino veiksmingumas. </w:t>
      </w:r>
      <w:r>
        <w:rPr>
          <w:lang w:eastAsia="lt-LT"/>
        </w:rPr>
        <w:t xml:space="preserve">Tyrimo dizainas atitinka III fazės klinikinių tyrimų reikalavimą, yra tinkamas išsikeltoms hipotezėms pagrįsti. Statistiniai metodai buvo taikomi tinkamai, tyrime vertintos pirminės ir antrinės baigtys atitinka klinikinėje praktikoje reikšmingus gydymo efektyvumo vertinimo kriterijus ir atspindi gydymo tikslus. Pagrindinė vertinamoji baigtis, </w:t>
      </w:r>
      <w:r>
        <w:t>kastracijos dažnis</w:t>
      </w:r>
      <w:r>
        <w:rPr>
          <w:lang w:eastAsia="lt-LT"/>
        </w:rPr>
        <w:t>, laikomas tinkama pirmine baigtimi.</w:t>
      </w:r>
    </w:p>
    <w:p w14:paraId="519187C8" w14:textId="77777777" w:rsidR="006067D9" w:rsidRDefault="006067D9" w:rsidP="00414E1A">
      <w:pPr>
        <w:tabs>
          <w:tab w:val="left" w:pos="426"/>
        </w:tabs>
        <w:spacing w:line="276" w:lineRule="auto"/>
        <w:jc w:val="both"/>
        <w:rPr>
          <w:rFonts w:eastAsia="Arial"/>
          <w:highlight w:val="yellow"/>
        </w:rPr>
      </w:pPr>
      <w:r>
        <w:lastRenderedPageBreak/>
        <w:tab/>
      </w:r>
      <w:r>
        <w:tab/>
        <w:t xml:space="preserve">Pradinės pacientų charakteristikos abiejose grupėse buvo panašios. </w:t>
      </w:r>
      <w:r>
        <w:rPr>
          <w:rFonts w:eastAsia="Arial"/>
          <w:iCs/>
          <w:color w:val="000000" w:themeColor="text1"/>
        </w:rPr>
        <w:t>Tyrime dalyvavusių pacientų demografiniai bei ligos rodikliai atspindi realią pacientų populiaciją, kuriai šis vaistai yra skiriamas Lietuvoje.</w:t>
      </w:r>
      <w:r>
        <w:rPr>
          <w:rFonts w:eastAsia="Arial"/>
          <w:highlight w:val="yellow"/>
        </w:rPr>
        <w:t xml:space="preserve"> </w:t>
      </w:r>
    </w:p>
    <w:p w14:paraId="5712E73C" w14:textId="77777777" w:rsidR="006067D9" w:rsidRDefault="006067D9" w:rsidP="00414E1A">
      <w:pPr>
        <w:tabs>
          <w:tab w:val="left" w:pos="426"/>
        </w:tabs>
        <w:spacing w:line="276" w:lineRule="auto"/>
        <w:jc w:val="both"/>
      </w:pPr>
      <w:r>
        <w:tab/>
      </w:r>
      <w:r>
        <w:tab/>
      </w:r>
      <w:r>
        <w:rPr>
          <w:u w:val="single"/>
        </w:rPr>
        <w:t>P</w:t>
      </w:r>
      <w:r>
        <w:rPr>
          <w:rFonts w:eastAsia="Arial"/>
          <w:u w:val="single"/>
        </w:rPr>
        <w:t>agrindinė</w:t>
      </w:r>
      <w:r>
        <w:rPr>
          <w:rFonts w:eastAsia="Arial"/>
        </w:rPr>
        <w:t xml:space="preserve"> (pirminė) </w:t>
      </w:r>
      <w:r>
        <w:t xml:space="preserve">veiksmingumo </w:t>
      </w:r>
      <w:r>
        <w:rPr>
          <w:rFonts w:eastAsia="Arial"/>
        </w:rPr>
        <w:t xml:space="preserve">vertinamoji </w:t>
      </w:r>
      <w:r>
        <w:t xml:space="preserve">baigtis buvo medicininės kastracijos dažnis, apibrėžtas kaip testosterono slopinimo pasiekimas iki kastracinio lygio (&lt; 50 ng/dl) iki 29-osios dienos bei palaikymas iki 48-osios gydymo savaitės, taip pat buvo įvertintas relugolikso ne mažesnis nei leuprorelino veiksmingumas. </w:t>
      </w:r>
      <w:r>
        <w:tab/>
        <w:t xml:space="preserve">Tyrime HERO relugoliksas pasiekė statistiškai reikšmingai didesnį medicininės kastracijos dažnį (testosterono koncentracija &lt; 50 ng/dl) nuo 5 savaitės 1-osios dienos (29 diena) iki 49 savaitės 1-osios dienos (337 diena) lyginant jį su leuprorelinu (96,7 proc. [95 proc. pasikliautiniai intervalai [PI] 94.9 proc., 97.9 proc.] vs 88,8 proc. [95 proc.  PI 84.6 proc.; 91.8 proc.], p&lt;0.0001). Skirtumas 7.9 proc. (95 proc.  PI 4.1%, 11.8%). </w:t>
      </w:r>
      <w:r>
        <w:rPr>
          <w:lang w:val="en-US"/>
        </w:rPr>
        <w:t>Buvo atlikta i</w:t>
      </w:r>
      <w:r>
        <w:rPr>
          <w:rFonts w:eastAsia="Arial"/>
          <w:iCs/>
        </w:rPr>
        <w:t>š anksto numatytų pogrupių analizė. Tarp visų numatytų porgrupių buvo įrodytas ne prastesnis poveikis (angl. non-inferiority) relugolikso grupėje palyginus su leuprorelinu.</w:t>
      </w:r>
    </w:p>
    <w:p w14:paraId="0B3DD200" w14:textId="77777777" w:rsidR="006067D9" w:rsidRDefault="006067D9" w:rsidP="00414E1A">
      <w:pPr>
        <w:tabs>
          <w:tab w:val="left" w:pos="426"/>
        </w:tabs>
        <w:spacing w:line="276" w:lineRule="auto"/>
        <w:jc w:val="both"/>
        <w:rPr>
          <w:b/>
          <w:szCs w:val="20"/>
        </w:rPr>
      </w:pPr>
      <w:r>
        <w:rPr>
          <w:b/>
        </w:rPr>
        <w:tab/>
      </w:r>
    </w:p>
    <w:p w14:paraId="5DADFE60" w14:textId="0F593A64" w:rsidR="006067D9" w:rsidRDefault="006067D9" w:rsidP="00626D9D">
      <w:pPr>
        <w:tabs>
          <w:tab w:val="left" w:pos="0"/>
        </w:tabs>
        <w:spacing w:line="276" w:lineRule="auto"/>
        <w:jc w:val="both"/>
        <w:rPr>
          <w:b/>
        </w:rPr>
      </w:pPr>
      <w:r>
        <w:rPr>
          <w:b/>
        </w:rPr>
        <w:t>Antrinių baigčių analizė</w:t>
      </w:r>
    </w:p>
    <w:p w14:paraId="41E41B37" w14:textId="77777777" w:rsidR="00626D9D" w:rsidRDefault="00626D9D" w:rsidP="00626D9D">
      <w:pPr>
        <w:tabs>
          <w:tab w:val="left" w:pos="0"/>
        </w:tabs>
        <w:spacing w:line="276" w:lineRule="auto"/>
        <w:jc w:val="both"/>
        <w:rPr>
          <w:b/>
        </w:rPr>
      </w:pPr>
    </w:p>
    <w:p w14:paraId="77048170" w14:textId="77777777" w:rsidR="006067D9" w:rsidRDefault="006067D9" w:rsidP="00626D9D">
      <w:pPr>
        <w:pStyle w:val="Sraopastraipa"/>
        <w:numPr>
          <w:ilvl w:val="0"/>
          <w:numId w:val="14"/>
        </w:numPr>
        <w:tabs>
          <w:tab w:val="left" w:pos="426"/>
        </w:tabs>
        <w:spacing w:line="276" w:lineRule="auto"/>
        <w:ind w:left="426" w:hanging="284"/>
        <w:jc w:val="both"/>
      </w:pPr>
      <w:r>
        <w:t>Relugoliksas pasiekė statistiškai reikšmingai didesnę tikimybė, kad kaupiamoji testosterono koncentracija bus &lt;50 ng/dl prieš vartojant dozę 4-ąją dieną lyginant jį su leuprorelinu: 56,04 proc. (95 PI 52,18 proc.; 59,97 proc.) vs. 0 proc. (95 proc.  PI 0 proc.; 0 proc.], p&lt;0.0001) atitinkamai. Skirtumas 56,04 proc.</w:t>
      </w:r>
    </w:p>
    <w:p w14:paraId="02E69A5B" w14:textId="77777777" w:rsidR="006067D9" w:rsidRDefault="006067D9" w:rsidP="00626D9D">
      <w:pPr>
        <w:pStyle w:val="Sraopastraipa"/>
        <w:numPr>
          <w:ilvl w:val="0"/>
          <w:numId w:val="14"/>
        </w:numPr>
        <w:tabs>
          <w:tab w:val="left" w:pos="0"/>
        </w:tabs>
        <w:spacing w:line="276" w:lineRule="auto"/>
        <w:ind w:left="426"/>
        <w:jc w:val="both"/>
      </w:pPr>
      <w:r>
        <w:t>Relugoliksas pasiekė statistiškai reikšmingai didesnę tikimybė, kad kaupiamoji testosterono koncentracija bus &lt;50 ng/dl prieš vartojant dozę 15-ąją dieną lyginant jį su leuprorelinu: 98,71 proc. (95 PI 97,56 proc.; 99,39 proc.) vs. 12,05 proc. (95 proc.  PI 8,88 proc.; 16,25 proc.], p&lt;0.0001) atitinkamai. Skirtumas 86.66 proc. (95 proc. PI 82.91 proc., 90.41 proc.).</w:t>
      </w:r>
    </w:p>
    <w:p w14:paraId="63BC417D" w14:textId="77777777" w:rsidR="006067D9" w:rsidRDefault="006067D9" w:rsidP="00626D9D">
      <w:pPr>
        <w:pStyle w:val="Sraopastraipa"/>
        <w:numPr>
          <w:ilvl w:val="0"/>
          <w:numId w:val="14"/>
        </w:numPr>
        <w:tabs>
          <w:tab w:val="left" w:pos="0"/>
        </w:tabs>
        <w:spacing w:line="276" w:lineRule="auto"/>
        <w:ind w:left="426"/>
        <w:jc w:val="both"/>
      </w:pPr>
      <w:r>
        <w:t>Relugoliksas pasiekė statistiškai reikšmingai didesnę tikimybė, kad kaupiamoji testosterono koncentracija bus &lt;20 ng/dl prieš vartojant dozę 15-ąją dieną lyginant jį su leuprorelinu: 78,38 proc. (95 PI 75,06 proc.; 81,53 proc.) vs. 0,98 proc. (95 proc.  PI 0,32 proc.; 3,00 proc.], p&lt;0.0001) atitinkamai. Skirtumas 77,41 proc. (95 proc. PI 73,98 proc., 80,83 proc.).</w:t>
      </w:r>
    </w:p>
    <w:p w14:paraId="48294D9A" w14:textId="77777777" w:rsidR="006067D9" w:rsidRDefault="006067D9" w:rsidP="00626D9D">
      <w:pPr>
        <w:pStyle w:val="Sraopastraipa"/>
        <w:numPr>
          <w:ilvl w:val="0"/>
          <w:numId w:val="14"/>
        </w:numPr>
        <w:tabs>
          <w:tab w:val="left" w:pos="0"/>
        </w:tabs>
        <w:spacing w:line="276" w:lineRule="auto"/>
        <w:ind w:left="426" w:hanging="284"/>
        <w:jc w:val="both"/>
        <w:rPr>
          <w:szCs w:val="20"/>
        </w:rPr>
      </w:pPr>
      <w:r>
        <w:t>Relugoliksas statistiškai reikšmingai dažniau sumažino PAS atsaką &gt; 50 proc. nuo pradinio įverčio iki 15 d. tyrimo lyginant jį su leuprorelinu: 498 pacientai (80,1 proc.) vs. 62 pacientai (20,1 proc.) p&lt;0.0001, atitinkamai.</w:t>
      </w:r>
    </w:p>
    <w:p w14:paraId="7392DAB8" w14:textId="77777777" w:rsidR="006067D9" w:rsidRDefault="006067D9" w:rsidP="00414E1A">
      <w:pPr>
        <w:tabs>
          <w:tab w:val="left" w:pos="426"/>
        </w:tabs>
        <w:spacing w:line="276" w:lineRule="auto"/>
        <w:jc w:val="both"/>
        <w:rPr>
          <w:b/>
          <w:lang w:val="en-US"/>
        </w:rPr>
      </w:pPr>
    </w:p>
    <w:p w14:paraId="63DDB383" w14:textId="25687180" w:rsidR="006067D9" w:rsidRDefault="006067D9" w:rsidP="00414E1A">
      <w:pPr>
        <w:tabs>
          <w:tab w:val="left" w:pos="426"/>
        </w:tabs>
        <w:spacing w:line="276" w:lineRule="auto"/>
        <w:jc w:val="both"/>
        <w:rPr>
          <w:b/>
          <w:lang w:val="en-US"/>
        </w:rPr>
      </w:pPr>
      <w:r>
        <w:rPr>
          <w:b/>
          <w:lang w:val="en-US"/>
        </w:rPr>
        <w:t>Gyvenimo kokokybės vertinimas</w:t>
      </w:r>
    </w:p>
    <w:p w14:paraId="7F85C5D8" w14:textId="77777777" w:rsidR="00346CCA" w:rsidRDefault="00346CCA" w:rsidP="00414E1A">
      <w:pPr>
        <w:tabs>
          <w:tab w:val="left" w:pos="426"/>
        </w:tabs>
        <w:spacing w:line="276" w:lineRule="auto"/>
        <w:jc w:val="both"/>
        <w:rPr>
          <w:b/>
          <w:lang w:val="en-US"/>
        </w:rPr>
      </w:pPr>
    </w:p>
    <w:p w14:paraId="4B3C8D5E" w14:textId="77777777" w:rsidR="006067D9" w:rsidRDefault="006067D9" w:rsidP="00414E1A">
      <w:pPr>
        <w:tabs>
          <w:tab w:val="left" w:pos="426"/>
        </w:tabs>
        <w:spacing w:line="276" w:lineRule="auto"/>
        <w:jc w:val="both"/>
        <w:rPr>
          <w:rFonts w:eastAsia="Arial"/>
          <w:iCs/>
          <w:color w:val="000000" w:themeColor="text1"/>
        </w:rPr>
      </w:pPr>
      <w:r>
        <w:rPr>
          <w:b/>
          <w:lang w:val="en-US"/>
        </w:rPr>
        <w:tab/>
      </w:r>
      <w:r>
        <w:rPr>
          <w:b/>
          <w:lang w:val="en-US"/>
        </w:rPr>
        <w:tab/>
      </w:r>
      <w:r>
        <w:rPr>
          <w:rFonts w:eastAsia="Arial"/>
          <w:iCs/>
          <w:color w:val="000000" w:themeColor="text1"/>
        </w:rPr>
        <w:t>Gyvenimo kokybės vertinimas tyrime nesiskyrė tarp grupių. Tiesa, nebuvo pateikta skaitinių verčių, kurie parodytų skirtumą ir pagrįstų, kad tarp grupių skirtumo nebuvo. Pareiškėjas neįrodo papildomos naudos pacientų sveikatai sukūrimo.</w:t>
      </w:r>
    </w:p>
    <w:p w14:paraId="1DE6FB4F" w14:textId="77777777" w:rsidR="008463B1" w:rsidRDefault="008463B1" w:rsidP="00414E1A">
      <w:pPr>
        <w:tabs>
          <w:tab w:val="left" w:pos="426"/>
        </w:tabs>
        <w:spacing w:line="276" w:lineRule="auto"/>
        <w:jc w:val="both"/>
        <w:rPr>
          <w:rFonts w:eastAsia="Arial"/>
          <w:iCs/>
          <w:color w:val="000000" w:themeColor="text1"/>
        </w:rPr>
      </w:pPr>
    </w:p>
    <w:p w14:paraId="6EDC8F46" w14:textId="4143CCCE" w:rsidR="006067D9" w:rsidRDefault="006067D9" w:rsidP="00414E1A">
      <w:pPr>
        <w:spacing w:line="276" w:lineRule="auto"/>
        <w:ind w:firstLine="720"/>
        <w:jc w:val="both"/>
        <w:rPr>
          <w:rFonts w:eastAsia="Arial"/>
          <w:szCs w:val="20"/>
        </w:rPr>
      </w:pPr>
      <w:bookmarkStart w:id="0" w:name="_Hlk184047650"/>
      <w:r>
        <w:rPr>
          <w:rFonts w:eastAsia="Arial"/>
        </w:rPr>
        <w:t>Apibendrinant, klinikini</w:t>
      </w:r>
      <w:r w:rsidR="0056568B">
        <w:rPr>
          <w:rFonts w:eastAsia="Arial"/>
        </w:rPr>
        <w:t>o tyrimo</w:t>
      </w:r>
      <w:r w:rsidR="00192FB1">
        <w:rPr>
          <w:rFonts w:eastAsia="Arial"/>
        </w:rPr>
        <w:t xml:space="preserve"> HERO rezultatai</w:t>
      </w:r>
      <w:r>
        <w:rPr>
          <w:rFonts w:eastAsia="Arial"/>
        </w:rPr>
        <w:t xml:space="preserve"> parodė, kad </w:t>
      </w:r>
      <w:r w:rsidR="0056568B">
        <w:t>gydant suaugusiu</w:t>
      </w:r>
      <w:r w:rsidR="008463B1">
        <w:t>s</w:t>
      </w:r>
      <w:r w:rsidR="0056568B">
        <w:t xml:space="preserve"> pacientus, sergančius išplitusiu hormonams jautriu prostatos vėžiu</w:t>
      </w:r>
      <w:r w:rsidR="0056568B">
        <w:rPr>
          <w:rFonts w:eastAsia="Arial"/>
        </w:rPr>
        <w:t>, relugolikso poveikis yra neprastesnis už</w:t>
      </w:r>
      <w:r>
        <w:rPr>
          <w:rFonts w:eastAsia="Arial"/>
        </w:rPr>
        <w:t xml:space="preserve"> </w:t>
      </w:r>
      <w:r>
        <w:t>leuprorelin</w:t>
      </w:r>
      <w:r w:rsidR="0056568B">
        <w:t xml:space="preserve">o. </w:t>
      </w:r>
    </w:p>
    <w:p w14:paraId="1E71756E" w14:textId="00B19280" w:rsidR="006067D9" w:rsidRDefault="006067D9" w:rsidP="00414E1A">
      <w:pPr>
        <w:spacing w:line="276" w:lineRule="auto"/>
        <w:jc w:val="both"/>
        <w:rPr>
          <w:iCs/>
        </w:rPr>
      </w:pPr>
      <w:r>
        <w:rPr>
          <w:rFonts w:eastAsia="Arial"/>
        </w:rPr>
        <w:tab/>
      </w:r>
      <w:r>
        <w:rPr>
          <w:rFonts w:eastAsia="Arial"/>
          <w:iCs/>
        </w:rPr>
        <w:t xml:space="preserve">Remiantis šiais duomenimis, </w:t>
      </w:r>
      <w:r w:rsidR="0056568B">
        <w:t xml:space="preserve">relugolikso </w:t>
      </w:r>
      <w:r>
        <w:rPr>
          <w:rFonts w:eastAsia="Arial"/>
          <w:iCs/>
        </w:rPr>
        <w:t xml:space="preserve">palyginamasis efektyvumas yra įvertintas, kaip iš esmės nesiskiriantis, o klinikinis veiksmingumas </w:t>
      </w:r>
      <w:r>
        <w:rPr>
          <w:iCs/>
        </w:rPr>
        <w:t xml:space="preserve">yra įvertintas kaip pagrindžiantis </w:t>
      </w:r>
      <w:r>
        <w:t xml:space="preserve">nesiskiriančios </w:t>
      </w:r>
      <w:r>
        <w:rPr>
          <w:iCs/>
        </w:rPr>
        <w:t>naudos pacientų sveikatai sukūrimą, lyginant su įprasta klinikine praktika.</w:t>
      </w:r>
    </w:p>
    <w:bookmarkEnd w:id="0"/>
    <w:p w14:paraId="259A1377" w14:textId="56C1E45B" w:rsidR="006067D9" w:rsidRDefault="006067D9"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33875138" w14:textId="0F444252" w:rsidR="0035172D" w:rsidRDefault="0035172D" w:rsidP="00A93AA6">
      <w:pPr>
        <w:tabs>
          <w:tab w:val="left" w:pos="426"/>
        </w:tabs>
        <w:rPr>
          <w:b/>
          <w:bCs/>
          <w:caps/>
        </w:rPr>
      </w:pPr>
    </w:p>
    <w:p w14:paraId="5CE2BC0E" w14:textId="77777777" w:rsidR="00E255F1" w:rsidRPr="00FE6612" w:rsidRDefault="00E255F1" w:rsidP="00E255F1">
      <w:pPr>
        <w:spacing w:line="276" w:lineRule="auto"/>
        <w:ind w:firstLine="450"/>
        <w:jc w:val="both"/>
      </w:pPr>
      <w:r w:rsidRPr="00FE6612">
        <w:t xml:space="preserve">Pareiškėjas kompensavimui paraišką teikia pagal indikaciją: Orgovyx skirtas gydyti suaugusiems pacientams, sergantiems išplitusiu hormonams jautriu prostatos vėžiu. </w:t>
      </w:r>
    </w:p>
    <w:p w14:paraId="01553ABC" w14:textId="77777777" w:rsidR="00E255F1" w:rsidRDefault="00E255F1" w:rsidP="00E255F1">
      <w:pPr>
        <w:pStyle w:val="VVKT"/>
        <w:rPr>
          <w:rFonts w:eastAsia="Arial"/>
        </w:rPr>
      </w:pPr>
      <w:r w:rsidRPr="00FE6612">
        <w:rPr>
          <w:szCs w:val="24"/>
        </w:rPr>
        <w:t xml:space="preserve">Lietuvoje prostatos vėžio gydymui yra skiriami šie GISH analogai: </w:t>
      </w:r>
      <w:r w:rsidRPr="00FE6612">
        <w:rPr>
          <w:i/>
          <w:szCs w:val="24"/>
        </w:rPr>
        <w:t>triptorelinas</w:t>
      </w:r>
      <w:r w:rsidRPr="00FE6612">
        <w:rPr>
          <w:szCs w:val="24"/>
        </w:rPr>
        <w:t xml:space="preserve">, </w:t>
      </w:r>
      <w:r w:rsidRPr="00FE6612">
        <w:rPr>
          <w:i/>
          <w:szCs w:val="24"/>
        </w:rPr>
        <w:t>goserelinas</w:t>
      </w:r>
      <w:r w:rsidRPr="00FE6612">
        <w:rPr>
          <w:szCs w:val="24"/>
        </w:rPr>
        <w:t xml:space="preserve"> bei </w:t>
      </w:r>
      <w:r w:rsidRPr="00FE6612">
        <w:rPr>
          <w:i/>
          <w:szCs w:val="24"/>
        </w:rPr>
        <w:t>leuprorelinas</w:t>
      </w:r>
      <w:r w:rsidRPr="00FE6612">
        <w:rPr>
          <w:szCs w:val="24"/>
        </w:rPr>
        <w:t xml:space="preserve">. Gydymas reglamentuojamas gydymo kompensuojamaisiais vaistais tvarkos aprašu, patvirtintu Sveikatos apsaugos ministro įsakymu. </w:t>
      </w:r>
      <w:r w:rsidRPr="00FE6612">
        <w:rPr>
          <w:rFonts w:eastAsia="Arial"/>
          <w:szCs w:val="24"/>
        </w:rPr>
        <w:t>Pateiktoje ekonominėje analizėje palyginamasis gydymas yra triptorelinas. Atsižvelgiant, kad yra kompensuojami ir kiti aktualūs palyginamieji, Tarnyba kreipėsi</w:t>
      </w:r>
      <w:r>
        <w:rPr>
          <w:rFonts w:eastAsia="Arial"/>
        </w:rPr>
        <w:t xml:space="preserve"> pakartotinai į Pareiškėją prašant KMA papildyti goserelino ir leuprorelino palyginamaisiais. Pareiškėjui papildžius KMA yra laikoma, kad ekonominėje analizėje pateikti palyginamieji gydymai </w:t>
      </w:r>
      <w:r w:rsidRPr="0073329D">
        <w:rPr>
          <w:rFonts w:eastAsia="Arial"/>
        </w:rPr>
        <w:t>atitinka įprastą Lietuvos Respublikos klinikinę praktik</w:t>
      </w:r>
      <w:r>
        <w:rPr>
          <w:rFonts w:eastAsia="Arial"/>
        </w:rPr>
        <w:t>ą ir yra tinkami palyginamieji.</w:t>
      </w:r>
    </w:p>
    <w:p w14:paraId="3DBAE303" w14:textId="77777777" w:rsidR="00E255F1" w:rsidRDefault="00E255F1" w:rsidP="00E255F1">
      <w:pPr>
        <w:pStyle w:val="Sraopastraipa"/>
        <w:spacing w:line="276" w:lineRule="auto"/>
        <w:ind w:left="0" w:firstLine="567"/>
        <w:jc w:val="both"/>
        <w:rPr>
          <w:shd w:val="clear" w:color="auto" w:fill="FFFFFF"/>
        </w:rPr>
      </w:pPr>
      <w:r w:rsidRPr="00276C08">
        <w:t xml:space="preserve">Relugolikso palyginamasis veiksmingumas ir saugumas lyginant su leuprorelinu grindžiamas tiesioginio palyginamojo tyrimo (HERO) duomenimis. Paraiškoje taip pat pateikti netiesioginio palyginimo duomenys, kurie lygina relugolikso bei vaistų grupės – GISH analogų – efektyvumą, pateikta sisteminė literatūros apžvalga, remiantis PROSPERO tarptautinės prospektyvinių tyrimų bazės duomeninis, kurioje </w:t>
      </w:r>
      <w:r>
        <w:t>lygin</w:t>
      </w:r>
      <w:r w:rsidRPr="00276C08">
        <w:t>tos leuprolelino ir triptorelino efektyvumas.</w:t>
      </w:r>
      <w:r>
        <w:rPr>
          <w:rFonts w:ascii="Calibri" w:hAnsi="Calibri" w:cs="Calibri"/>
          <w:sz w:val="20"/>
        </w:rPr>
        <w:t xml:space="preserve"> </w:t>
      </w:r>
      <w:r w:rsidRPr="00207229">
        <w:rPr>
          <w:bCs/>
        </w:rPr>
        <w:t>Klinikinio veiksmingumo ir saugumo duomenys yra plačiau analizuojam</w:t>
      </w:r>
      <w:r>
        <w:rPr>
          <w:bCs/>
        </w:rPr>
        <w:t xml:space="preserve">i protokolo klinikinėje dalyje. </w:t>
      </w:r>
      <w:r w:rsidRPr="00207229">
        <w:rPr>
          <w:bCs/>
        </w:rPr>
        <w:t xml:space="preserve">Ekonominėje dalyje modeliavimas nėra </w:t>
      </w:r>
      <w:r w:rsidRPr="00FE6612">
        <w:rPr>
          <w:bCs/>
        </w:rPr>
        <w:t>taikomas ir klinikiniai duomenys nėra įtraukiami.</w:t>
      </w:r>
      <w:r w:rsidRPr="00207229">
        <w:rPr>
          <w:bCs/>
        </w:rPr>
        <w:t xml:space="preserve"> </w:t>
      </w:r>
      <w:r w:rsidRPr="00207229">
        <w:t xml:space="preserve">Pareiškėjas analizę atlieka iš kaštų mažinimo perspektyvos. </w:t>
      </w:r>
      <w:r w:rsidRPr="00F2676B">
        <w:t xml:space="preserve">Tarnyba atsižvelgiant, kad pagal klinikinėje dalyje pateiktus netiesioginio palyginimo analizės duomenis, nustatyta, kad suaugusių pacientų populiacijoje, kuriems nustatytas </w:t>
      </w:r>
      <w:r>
        <w:t>išplitęs</w:t>
      </w:r>
      <w:r w:rsidRPr="007137DB">
        <w:t xml:space="preserve"> ho</w:t>
      </w:r>
      <w:r>
        <w:t>rmonams jautrus prostatos vėžys</w:t>
      </w:r>
      <w:r w:rsidRPr="00F2676B">
        <w:t xml:space="preserve">, </w:t>
      </w:r>
      <w:r>
        <w:t>relugolikso</w:t>
      </w:r>
      <w:r w:rsidRPr="00F2676B">
        <w:t xml:space="preserve">  klinikinis efektyvumas nesiskiria</w:t>
      </w:r>
      <w:r w:rsidRPr="004A3E79">
        <w:t xml:space="preserve"> nuo</w:t>
      </w:r>
      <w:r>
        <w:t xml:space="preserve"> palyginamųjų</w:t>
      </w:r>
      <w:r w:rsidRPr="004A3E79">
        <w:t xml:space="preserve"> ir vadovaujantis Lietuvos Respublikos sveikatos apsaugos ministro 2002 m. balandžio 5 d. įsakymu Nr. 159 „Dėl Vaistinių preparatų ir medicinos pagalbos priemonių įrašymo į kompensavimo sąrašus ir jų keitimo tvarkos aprašo patvirtinimo“ patvirtintų „P</w:t>
      </w:r>
      <w:r w:rsidRPr="004A3E79">
        <w:rPr>
          <w:bCs/>
        </w:rPr>
        <w:t>araiškos įrašyti vaistinį preparatą į kompensavimo sąrašus rengimo taisyklių</w:t>
      </w:r>
      <w:r w:rsidRPr="004A3E79">
        <w:t xml:space="preserve"> 127 punktu“, </w:t>
      </w:r>
      <w:r w:rsidRPr="004A3E79">
        <w:rPr>
          <w:rFonts w:eastAsia="Arial"/>
          <w:bCs/>
        </w:rPr>
        <w:t>dėl iš esmės nesiskiriančio gydymo efektyvumo ir sukuriamos naudos pacientų sveikatai, lyginant</w:t>
      </w:r>
      <w:r>
        <w:rPr>
          <w:rFonts w:eastAsia="Arial"/>
          <w:bCs/>
        </w:rPr>
        <w:t xml:space="preserve"> su įprasta klinikine praktika, atlieka </w:t>
      </w:r>
      <w:r w:rsidRPr="00A5393C">
        <w:rPr>
          <w:rFonts w:eastAsia="Arial"/>
          <w:bCs/>
        </w:rPr>
        <w:t xml:space="preserve">kaštų mažinimo analizę (toliau – KMA), </w:t>
      </w:r>
      <w:r w:rsidRPr="00A5393C">
        <w:t xml:space="preserve">kurioje </w:t>
      </w:r>
      <w:r>
        <w:t>relugolikso ir palyginamųjų (</w:t>
      </w:r>
      <w:r>
        <w:rPr>
          <w:lang w:eastAsia="lt-LT"/>
        </w:rPr>
        <w:t>triptorelino</w:t>
      </w:r>
      <w:r w:rsidRPr="00B65ECB">
        <w:rPr>
          <w:lang w:eastAsia="lt-LT"/>
        </w:rPr>
        <w:t xml:space="preserve">, </w:t>
      </w:r>
      <w:r>
        <w:rPr>
          <w:lang w:eastAsia="lt-LT"/>
        </w:rPr>
        <w:t>leuprolino ir goserelino)</w:t>
      </w:r>
      <w:r w:rsidRPr="00A5393C">
        <w:rPr>
          <w:shd w:val="clear" w:color="auto" w:fill="FFFFFF"/>
        </w:rPr>
        <w:t xml:space="preserve"> kaštų lyginamoji analizė</w:t>
      </w:r>
      <w:r>
        <w:rPr>
          <w:shd w:val="clear" w:color="auto" w:fill="FFFFFF"/>
        </w:rPr>
        <w:t xml:space="preserve"> vertinama</w:t>
      </w:r>
      <w:r w:rsidRPr="00A5393C">
        <w:rPr>
          <w:shd w:val="clear" w:color="auto" w:fill="FFFFFF"/>
        </w:rPr>
        <w:t xml:space="preserve"> iš kaštų mažinimo perspektyvos (sveikat</w:t>
      </w:r>
      <w:r>
        <w:rPr>
          <w:shd w:val="clear" w:color="auto" w:fill="FFFFFF"/>
        </w:rPr>
        <w:t>ai sukuriama nauda nevertinama) ir įtraukiami esminius skirtumus lemiantys kaštai.</w:t>
      </w:r>
    </w:p>
    <w:p w14:paraId="45A3C414" w14:textId="77777777" w:rsidR="00E255F1" w:rsidRDefault="00E255F1" w:rsidP="00E255F1">
      <w:pPr>
        <w:pStyle w:val="Sraopastraipa"/>
        <w:spacing w:line="276" w:lineRule="auto"/>
        <w:ind w:left="0" w:firstLine="567"/>
        <w:jc w:val="both"/>
        <w:rPr>
          <w:shd w:val="clear" w:color="auto" w:fill="FFFFFF"/>
        </w:rPr>
      </w:pPr>
      <w:r>
        <w:rPr>
          <w:iCs/>
          <w:lang w:eastAsia="lt-LT"/>
        </w:rPr>
        <w:t xml:space="preserve">Ekonominėje analizėje vertinami vaistinių preparatų įsigijimo, skyrimo ir stebėsenos, nepageidaujamo poveikio kaštai 3 m. laikotarpiu. </w:t>
      </w:r>
      <w:r w:rsidRPr="00B65ECB">
        <w:rPr>
          <w:iCs/>
          <w:lang w:eastAsia="lt-LT"/>
        </w:rPr>
        <w:t>Palyginamojo gydymo įsigijimo kaštai apskaičiuojami kaip svertinis vidurkis, atsižvelgiant, kad šiuo metu Lietuvoje yra kompensuojami aktualūs palyginamieji VP</w:t>
      </w:r>
      <w:r w:rsidRPr="00B65ECB">
        <w:t xml:space="preserve">: </w:t>
      </w:r>
      <w:r w:rsidRPr="00B65ECB">
        <w:rPr>
          <w:lang w:eastAsia="lt-LT"/>
        </w:rPr>
        <w:t xml:space="preserve">triptorelinas, leuprolinas, goserelinas. </w:t>
      </w:r>
      <w:r>
        <w:rPr>
          <w:iCs/>
          <w:lang w:eastAsia="lt-LT"/>
        </w:rPr>
        <w:t>GIS</w:t>
      </w:r>
      <w:r w:rsidRPr="00B65ECB">
        <w:rPr>
          <w:iCs/>
          <w:lang w:eastAsia="lt-LT"/>
        </w:rPr>
        <w:t xml:space="preserve">H analogų vidurkis apskaičiuotas taikant procentinį pasiskirstymą pagal </w:t>
      </w:r>
      <w:r w:rsidRPr="00B65ECB">
        <w:t xml:space="preserve">2023 m. </w:t>
      </w:r>
      <w:r w:rsidRPr="00B65ECB">
        <w:rPr>
          <w:iCs/>
          <w:lang w:val="en-US" w:eastAsia="lt-LT"/>
        </w:rPr>
        <w:t>p</w:t>
      </w:r>
      <w:r w:rsidRPr="00B65ECB">
        <w:t>rostatos vėžiui gydyti (TLK-10-AM kodas – C61) skirtus VP ir pacien</w:t>
      </w:r>
      <w:r>
        <w:t>tų skaičių (</w:t>
      </w:r>
      <w:r w:rsidRPr="00B65ECB">
        <w:t>VLK duomenys, ir 2024 m. II pusm. kainyno bazines kainas.</w:t>
      </w:r>
      <w:r>
        <w:t xml:space="preserve"> KMA taikoma Pareiškėjo pateikta (relugolikso) bazinė kaina su nuolaida (su PGS).</w:t>
      </w:r>
    </w:p>
    <w:p w14:paraId="36A61E57" w14:textId="77777777" w:rsidR="00E255F1" w:rsidRDefault="00E255F1" w:rsidP="00E255F1">
      <w:pPr>
        <w:spacing w:line="276" w:lineRule="auto"/>
        <w:ind w:firstLine="360"/>
        <w:jc w:val="both"/>
      </w:pPr>
      <w:r>
        <w:t>Tarnyba atkreipia dėmesį, kad remiantis informacija gauta iš gydytojų specialistų</w:t>
      </w:r>
      <w:r w:rsidRPr="00C63FD2">
        <w:t>, reali</w:t>
      </w:r>
      <w:r>
        <w:t>oje</w:t>
      </w:r>
      <w:r w:rsidRPr="00C63FD2">
        <w:t xml:space="preserve"> klinikin</w:t>
      </w:r>
      <w:r>
        <w:t>ėje</w:t>
      </w:r>
      <w:r w:rsidRPr="00C63FD2">
        <w:t xml:space="preserve"> praktik</w:t>
      </w:r>
      <w:r>
        <w:t>oje</w:t>
      </w:r>
      <w:r w:rsidRPr="00C63FD2">
        <w:t xml:space="preserve"> palyginamųjų </w:t>
      </w:r>
      <w:r>
        <w:t>vaistinių preparatų</w:t>
      </w:r>
      <w:r w:rsidRPr="00C63FD2">
        <w:t xml:space="preserve"> injekcijos į raumen</w:t>
      </w:r>
      <w:r>
        <w:t>is</w:t>
      </w:r>
      <w:r w:rsidRPr="00C63FD2">
        <w:t xml:space="preserve"> yra skiriamos urologo konsultacijos metu</w:t>
      </w:r>
      <w:r>
        <w:t xml:space="preserve">, tačiau atsižvelgiant, kad nėra aišku kokiomis apimtis Lietuvoje injekcijos yra skiriamos urologo konsultacijos paslaugos apimtyje ir kokiomis apimtimis dienos stacionaro paslaugos metu, Tarnyba vertina, kad skyrimo kaštai pagal apmokėjimo aprašą labiau atitinka dienos stacionaro paslaugą (vadovaujantis dienos stacionaro paslaugos apmokėjimo aprašymu bei vėžio instituto klinikine praktika) ir apskaičiuojant bendruosius kaštus įtraukia palyginamiesiems vaistiniams preparatams skyrimo kaštus (dienos stacionaro paslauga, pagal tvarkos aprašą kas 3 mėn.). Nors Pareiškėjas nurodo, kad gydymo efektyvumo priežiūra – stebėsena, skiriant tablečių </w:t>
      </w:r>
      <w:r>
        <w:lastRenderedPageBreak/>
        <w:t xml:space="preserve">formą tikėtina bus vykdoma rečiau, Tarnyba įprastinėje atvejo analizėje apskaičiuojant bendruosius kaštus, taiko konservatyvesnę prielaidą, kad stebėsena Orgovyx ir palyginamiesiems bus vykdoma tuo pačiu periodiškumu (pagal tvarkos aprašą gydymo efektyvumas vertinamas kas 3 mėn. nepriklausomai nuo vaisto farmacinės formos), todėl stebėsenos kaštai KMA neįtraukiami. </w:t>
      </w:r>
    </w:p>
    <w:p w14:paraId="1DE6B8BD" w14:textId="77777777" w:rsidR="00E255F1" w:rsidRDefault="00E255F1" w:rsidP="00E255F1">
      <w:pPr>
        <w:spacing w:line="276" w:lineRule="auto"/>
        <w:ind w:firstLine="360"/>
        <w:jc w:val="both"/>
      </w:pPr>
      <w:r>
        <w:t>Nepageidaujamų įvykių valdymo kaštai apskaičiuojami remiantis</w:t>
      </w:r>
      <w:r w:rsidRPr="00A17384">
        <w:t xml:space="preserve"> registracinių klinikinių tyrimų duomenimis</w:t>
      </w:r>
      <w:r>
        <w:t xml:space="preserve"> ir pagal DRG apskaičiavimo metodiką (</w:t>
      </w:r>
      <w:r w:rsidRPr="006B492F">
        <w:rPr>
          <w:lang w:val="en-US"/>
        </w:rPr>
        <w:t>2023 m. atvejų skaičių ir 2024 m II pusm. DRG įkainius)</w:t>
      </w:r>
      <w:r>
        <w:t xml:space="preserve">. </w:t>
      </w:r>
    </w:p>
    <w:p w14:paraId="2F8CA20E" w14:textId="77777777" w:rsidR="00414E1A" w:rsidRDefault="00414E1A" w:rsidP="00414E1A">
      <w:pPr>
        <w:tabs>
          <w:tab w:val="left" w:pos="360"/>
        </w:tabs>
        <w:spacing w:line="276" w:lineRule="auto"/>
        <w:jc w:val="both"/>
        <w:rPr>
          <w:color w:val="000000"/>
          <w:lang w:eastAsia="lt-LT"/>
        </w:rPr>
      </w:pPr>
    </w:p>
    <w:p w14:paraId="4131CB94" w14:textId="77777777" w:rsidR="00414E1A" w:rsidRDefault="00414E1A" w:rsidP="00414E1A">
      <w:pPr>
        <w:tabs>
          <w:tab w:val="left" w:pos="567"/>
        </w:tabs>
        <w:jc w:val="center"/>
        <w:rPr>
          <w:i/>
          <w:iCs/>
          <w:lang w:eastAsia="lt-LT"/>
        </w:rPr>
      </w:pPr>
      <w:r w:rsidRPr="005519A7">
        <w:rPr>
          <w:b/>
          <w:iCs/>
          <w:lang w:eastAsia="lt-LT"/>
        </w:rPr>
        <w:t>Galutinis ekonominės analizės rezultatas</w:t>
      </w:r>
    </w:p>
    <w:p w14:paraId="2E5BB419" w14:textId="77777777" w:rsidR="00414E1A" w:rsidRPr="00D65100" w:rsidRDefault="00414E1A" w:rsidP="00414E1A">
      <w:pPr>
        <w:tabs>
          <w:tab w:val="left" w:pos="567"/>
        </w:tabs>
        <w:jc w:val="center"/>
        <w:rPr>
          <w:i/>
          <w:iCs/>
          <w:lang w:eastAsia="lt-LT"/>
        </w:rPr>
      </w:pPr>
    </w:p>
    <w:tbl>
      <w:tblPr>
        <w:tblStyle w:val="Lentelstinklelis"/>
        <w:tblW w:w="0" w:type="auto"/>
        <w:tblLook w:val="04A0" w:firstRow="1" w:lastRow="0" w:firstColumn="1" w:lastColumn="0" w:noHBand="0" w:noVBand="1"/>
      </w:tblPr>
      <w:tblGrid>
        <w:gridCol w:w="2418"/>
        <w:gridCol w:w="2404"/>
        <w:gridCol w:w="2410"/>
        <w:gridCol w:w="2397"/>
      </w:tblGrid>
      <w:tr w:rsidR="00E255F1" w:rsidRPr="00581FBD" w14:paraId="1A470E3C" w14:textId="77777777" w:rsidTr="002B2BB6">
        <w:tc>
          <w:tcPr>
            <w:tcW w:w="2442" w:type="dxa"/>
          </w:tcPr>
          <w:p w14:paraId="25223F17" w14:textId="77777777" w:rsidR="00E255F1" w:rsidRPr="00581FBD" w:rsidRDefault="00E255F1" w:rsidP="002B2BB6">
            <w:pPr>
              <w:tabs>
                <w:tab w:val="left" w:pos="567"/>
              </w:tabs>
              <w:jc w:val="both"/>
              <w:rPr>
                <w:b/>
                <w:iCs/>
                <w:lang w:eastAsia="lt-LT"/>
              </w:rPr>
            </w:pPr>
            <w:r w:rsidRPr="00581FBD">
              <w:rPr>
                <w:b/>
                <w:iCs/>
                <w:lang w:eastAsia="lt-LT"/>
              </w:rPr>
              <w:t>Kaštų stuktūra</w:t>
            </w:r>
          </w:p>
        </w:tc>
        <w:tc>
          <w:tcPr>
            <w:tcW w:w="2443" w:type="dxa"/>
          </w:tcPr>
          <w:p w14:paraId="2DDB25D4" w14:textId="77777777" w:rsidR="00E255F1" w:rsidRPr="00581FBD" w:rsidRDefault="00E255F1" w:rsidP="002B2BB6">
            <w:pPr>
              <w:tabs>
                <w:tab w:val="left" w:pos="567"/>
              </w:tabs>
              <w:jc w:val="both"/>
              <w:rPr>
                <w:b/>
                <w:iCs/>
                <w:lang w:eastAsia="lt-LT"/>
              </w:rPr>
            </w:pPr>
            <w:r w:rsidRPr="005D5C2B">
              <w:rPr>
                <w:b/>
                <w:lang w:eastAsia="lt-LT"/>
              </w:rPr>
              <w:t>Relugoliksas (Orgovyx)</w:t>
            </w:r>
          </w:p>
        </w:tc>
        <w:tc>
          <w:tcPr>
            <w:tcW w:w="2443" w:type="dxa"/>
          </w:tcPr>
          <w:p w14:paraId="4B471300" w14:textId="77777777" w:rsidR="00E255F1" w:rsidRPr="008D0CCD" w:rsidRDefault="00E255F1" w:rsidP="002B2BB6">
            <w:pPr>
              <w:tabs>
                <w:tab w:val="left" w:pos="567"/>
              </w:tabs>
              <w:jc w:val="both"/>
              <w:rPr>
                <w:b/>
                <w:iCs/>
                <w:lang w:val="en-US" w:eastAsia="lt-LT"/>
              </w:rPr>
            </w:pPr>
            <w:r>
              <w:rPr>
                <w:b/>
                <w:i/>
                <w:lang w:eastAsia="lt-LT"/>
              </w:rPr>
              <w:t>Palyginamasis gydymas</w:t>
            </w:r>
            <w:r>
              <w:rPr>
                <w:b/>
                <w:i/>
                <w:lang w:val="en-US" w:eastAsia="lt-LT"/>
              </w:rPr>
              <w:t>*</w:t>
            </w:r>
          </w:p>
        </w:tc>
        <w:tc>
          <w:tcPr>
            <w:tcW w:w="2443" w:type="dxa"/>
          </w:tcPr>
          <w:p w14:paraId="00B0D0CE" w14:textId="77777777" w:rsidR="00E255F1" w:rsidRPr="00581FBD" w:rsidRDefault="00E255F1" w:rsidP="002B2BB6">
            <w:pPr>
              <w:tabs>
                <w:tab w:val="left" w:pos="567"/>
              </w:tabs>
              <w:jc w:val="both"/>
              <w:rPr>
                <w:b/>
                <w:iCs/>
                <w:lang w:eastAsia="lt-LT"/>
              </w:rPr>
            </w:pPr>
            <w:r w:rsidRPr="00581FBD">
              <w:rPr>
                <w:b/>
                <w:iCs/>
                <w:lang w:eastAsia="lt-LT"/>
              </w:rPr>
              <w:t>Skirtumas</w:t>
            </w:r>
            <w:r>
              <w:rPr>
                <w:b/>
                <w:iCs/>
                <w:lang w:eastAsia="lt-LT"/>
              </w:rPr>
              <w:t>, Eur.</w:t>
            </w:r>
          </w:p>
        </w:tc>
      </w:tr>
      <w:tr w:rsidR="00E255F1" w:rsidRPr="00581FBD" w14:paraId="7FFD8544" w14:textId="77777777" w:rsidTr="002B2BB6">
        <w:tc>
          <w:tcPr>
            <w:tcW w:w="2442" w:type="dxa"/>
          </w:tcPr>
          <w:p w14:paraId="32F9CB65" w14:textId="77777777" w:rsidR="00E255F1" w:rsidRPr="00581FBD" w:rsidRDefault="00E255F1" w:rsidP="002B2BB6">
            <w:pPr>
              <w:tabs>
                <w:tab w:val="left" w:pos="567"/>
              </w:tabs>
              <w:jc w:val="both"/>
              <w:rPr>
                <w:iCs/>
                <w:lang w:eastAsia="lt-LT"/>
              </w:rPr>
            </w:pPr>
            <w:r w:rsidRPr="00581FBD">
              <w:rPr>
                <w:iCs/>
                <w:lang w:eastAsia="lt-LT"/>
              </w:rPr>
              <w:t>VP įsigijimo</w:t>
            </w:r>
          </w:p>
        </w:tc>
        <w:tc>
          <w:tcPr>
            <w:tcW w:w="2443" w:type="dxa"/>
          </w:tcPr>
          <w:p w14:paraId="33FCBE7E" w14:textId="5271ABE8" w:rsidR="00E255F1" w:rsidRPr="00FA5C23" w:rsidRDefault="00C829A8" w:rsidP="002B2BB6">
            <w:pPr>
              <w:tabs>
                <w:tab w:val="left" w:pos="567"/>
              </w:tabs>
              <w:jc w:val="both"/>
              <w:rPr>
                <w:iCs/>
                <w:color w:val="FF0000"/>
                <w:lang w:val="en-US" w:eastAsia="lt-LT"/>
              </w:rPr>
            </w:pPr>
            <w:r>
              <w:rPr>
                <w:bCs/>
                <w:color w:val="000000"/>
                <w:lang w:eastAsia="lt-LT"/>
              </w:rPr>
              <w:t>***</w:t>
            </w:r>
          </w:p>
        </w:tc>
        <w:tc>
          <w:tcPr>
            <w:tcW w:w="2443" w:type="dxa"/>
          </w:tcPr>
          <w:p w14:paraId="0224ACF9" w14:textId="38CEB251" w:rsidR="00E255F1" w:rsidRPr="00FA5C23" w:rsidRDefault="00C829A8" w:rsidP="002B2BB6">
            <w:pPr>
              <w:jc w:val="both"/>
              <w:rPr>
                <w:color w:val="000000"/>
              </w:rPr>
            </w:pPr>
            <w:r>
              <w:rPr>
                <w:bCs/>
                <w:color w:val="000000"/>
                <w:lang w:eastAsia="lt-LT"/>
              </w:rPr>
              <w:t>***</w:t>
            </w:r>
          </w:p>
        </w:tc>
        <w:tc>
          <w:tcPr>
            <w:tcW w:w="2443" w:type="dxa"/>
          </w:tcPr>
          <w:p w14:paraId="540C8956" w14:textId="0C92413B" w:rsidR="00E255F1" w:rsidRPr="00BA6259" w:rsidRDefault="00C829A8" w:rsidP="002B2BB6">
            <w:pPr>
              <w:jc w:val="both"/>
              <w:rPr>
                <w:color w:val="000000"/>
              </w:rPr>
            </w:pPr>
            <w:r>
              <w:rPr>
                <w:color w:val="000000"/>
              </w:rPr>
              <w:t>***</w:t>
            </w:r>
          </w:p>
        </w:tc>
      </w:tr>
      <w:tr w:rsidR="00E255F1" w:rsidRPr="00581FBD" w14:paraId="3DB314C5" w14:textId="77777777" w:rsidTr="002B2BB6">
        <w:tc>
          <w:tcPr>
            <w:tcW w:w="2442" w:type="dxa"/>
          </w:tcPr>
          <w:p w14:paraId="3BEE72C5" w14:textId="77777777" w:rsidR="00E255F1" w:rsidRPr="00581FBD" w:rsidRDefault="00E255F1" w:rsidP="002B2BB6">
            <w:pPr>
              <w:tabs>
                <w:tab w:val="left" w:pos="567"/>
              </w:tabs>
              <w:jc w:val="both"/>
              <w:rPr>
                <w:iCs/>
                <w:lang w:eastAsia="lt-LT"/>
              </w:rPr>
            </w:pPr>
            <w:r>
              <w:rPr>
                <w:iCs/>
                <w:lang w:eastAsia="lt-LT"/>
              </w:rPr>
              <w:t xml:space="preserve">VP skyrimo </w:t>
            </w:r>
          </w:p>
        </w:tc>
        <w:tc>
          <w:tcPr>
            <w:tcW w:w="2443" w:type="dxa"/>
          </w:tcPr>
          <w:p w14:paraId="45B5CD27" w14:textId="77777777" w:rsidR="00E255F1" w:rsidRPr="00FA5C23" w:rsidRDefault="00E255F1" w:rsidP="002B2BB6">
            <w:pPr>
              <w:tabs>
                <w:tab w:val="left" w:pos="567"/>
              </w:tabs>
              <w:jc w:val="both"/>
              <w:rPr>
                <w:bCs/>
                <w:color w:val="000000"/>
                <w:lang w:eastAsia="lt-LT"/>
              </w:rPr>
            </w:pPr>
            <w:r>
              <w:rPr>
                <w:bCs/>
                <w:color w:val="000000"/>
                <w:lang w:eastAsia="lt-LT"/>
              </w:rPr>
              <w:t>-</w:t>
            </w:r>
          </w:p>
        </w:tc>
        <w:tc>
          <w:tcPr>
            <w:tcW w:w="2443" w:type="dxa"/>
          </w:tcPr>
          <w:p w14:paraId="6A8C25FC" w14:textId="7808F5C9" w:rsidR="00E255F1" w:rsidRPr="00FA5C23" w:rsidRDefault="00C829A8" w:rsidP="002B2BB6">
            <w:pPr>
              <w:jc w:val="both"/>
              <w:rPr>
                <w:bCs/>
                <w:color w:val="000000"/>
                <w:lang w:eastAsia="lt-LT"/>
              </w:rPr>
            </w:pPr>
            <w:r>
              <w:rPr>
                <w:bCs/>
                <w:color w:val="000000"/>
                <w:lang w:eastAsia="lt-LT"/>
              </w:rPr>
              <w:t>***</w:t>
            </w:r>
          </w:p>
        </w:tc>
        <w:tc>
          <w:tcPr>
            <w:tcW w:w="2443" w:type="dxa"/>
          </w:tcPr>
          <w:p w14:paraId="1D9A2611" w14:textId="4D07AA0C" w:rsidR="00E255F1" w:rsidRPr="008B303B" w:rsidRDefault="00C829A8" w:rsidP="002B2BB6">
            <w:pPr>
              <w:jc w:val="both"/>
              <w:rPr>
                <w:color w:val="000000"/>
                <w:lang w:val="en-US"/>
              </w:rPr>
            </w:pPr>
            <w:r>
              <w:rPr>
                <w:color w:val="000000"/>
              </w:rPr>
              <w:t>***</w:t>
            </w:r>
          </w:p>
        </w:tc>
      </w:tr>
      <w:tr w:rsidR="00E255F1" w:rsidRPr="00581FBD" w14:paraId="069B10BA" w14:textId="77777777" w:rsidTr="002B2BB6">
        <w:tc>
          <w:tcPr>
            <w:tcW w:w="2442" w:type="dxa"/>
          </w:tcPr>
          <w:p w14:paraId="1A30A50E" w14:textId="77777777" w:rsidR="00E255F1" w:rsidRPr="00581FBD" w:rsidRDefault="00E255F1" w:rsidP="002B2BB6">
            <w:pPr>
              <w:tabs>
                <w:tab w:val="left" w:pos="567"/>
              </w:tabs>
              <w:jc w:val="both"/>
              <w:rPr>
                <w:iCs/>
                <w:lang w:eastAsia="lt-LT"/>
              </w:rPr>
            </w:pPr>
            <w:r w:rsidRPr="00581FBD">
              <w:rPr>
                <w:iCs/>
                <w:lang w:eastAsia="lt-LT"/>
              </w:rPr>
              <w:t>Nepageidaujamo poveikio</w:t>
            </w:r>
          </w:p>
        </w:tc>
        <w:tc>
          <w:tcPr>
            <w:tcW w:w="2443" w:type="dxa"/>
            <w:vAlign w:val="center"/>
          </w:tcPr>
          <w:p w14:paraId="5738DB9B" w14:textId="3532FBA8" w:rsidR="00E255F1" w:rsidRPr="00581FBD" w:rsidRDefault="00C829A8" w:rsidP="002B2BB6">
            <w:pPr>
              <w:tabs>
                <w:tab w:val="left" w:pos="567"/>
              </w:tabs>
              <w:jc w:val="both"/>
              <w:rPr>
                <w:iCs/>
                <w:lang w:eastAsia="lt-LT"/>
              </w:rPr>
            </w:pPr>
            <w:r>
              <w:rPr>
                <w:color w:val="000000"/>
              </w:rPr>
              <w:t>***</w:t>
            </w:r>
          </w:p>
        </w:tc>
        <w:tc>
          <w:tcPr>
            <w:tcW w:w="2443" w:type="dxa"/>
            <w:vAlign w:val="center"/>
          </w:tcPr>
          <w:p w14:paraId="3B4DBB20" w14:textId="168985B9" w:rsidR="00E255F1" w:rsidRPr="00581FBD" w:rsidRDefault="00C829A8" w:rsidP="002B2BB6">
            <w:pPr>
              <w:tabs>
                <w:tab w:val="left" w:pos="567"/>
              </w:tabs>
              <w:jc w:val="both"/>
              <w:rPr>
                <w:iCs/>
                <w:lang w:eastAsia="lt-LT"/>
              </w:rPr>
            </w:pPr>
            <w:r>
              <w:rPr>
                <w:color w:val="000000"/>
              </w:rPr>
              <w:t>***</w:t>
            </w:r>
          </w:p>
        </w:tc>
        <w:tc>
          <w:tcPr>
            <w:tcW w:w="2443" w:type="dxa"/>
            <w:vAlign w:val="center"/>
          </w:tcPr>
          <w:p w14:paraId="30109118" w14:textId="792198D9" w:rsidR="00E255F1" w:rsidRPr="00581FBD" w:rsidRDefault="00C829A8" w:rsidP="002B2BB6">
            <w:pPr>
              <w:tabs>
                <w:tab w:val="left" w:pos="567"/>
              </w:tabs>
              <w:jc w:val="both"/>
              <w:rPr>
                <w:iCs/>
                <w:lang w:eastAsia="lt-LT"/>
              </w:rPr>
            </w:pPr>
            <w:r>
              <w:rPr>
                <w:iCs/>
              </w:rPr>
              <w:t>***</w:t>
            </w:r>
          </w:p>
        </w:tc>
      </w:tr>
      <w:tr w:rsidR="00E255F1" w:rsidRPr="00581FBD" w14:paraId="01DBAEA2" w14:textId="77777777" w:rsidTr="002B2BB6">
        <w:tc>
          <w:tcPr>
            <w:tcW w:w="2442" w:type="dxa"/>
          </w:tcPr>
          <w:p w14:paraId="05DD5C3B" w14:textId="77777777" w:rsidR="00E255F1" w:rsidRPr="00581FBD" w:rsidRDefault="00E255F1" w:rsidP="002B2BB6">
            <w:pPr>
              <w:tabs>
                <w:tab w:val="left" w:pos="567"/>
              </w:tabs>
              <w:jc w:val="both"/>
              <w:rPr>
                <w:iCs/>
                <w:lang w:eastAsia="lt-LT"/>
              </w:rPr>
            </w:pPr>
            <w:r w:rsidRPr="00581FBD">
              <w:rPr>
                <w:iCs/>
                <w:lang w:eastAsia="lt-LT"/>
              </w:rPr>
              <w:t>Viso (bendrieji kaštai)</w:t>
            </w:r>
          </w:p>
        </w:tc>
        <w:tc>
          <w:tcPr>
            <w:tcW w:w="2443" w:type="dxa"/>
            <w:vAlign w:val="center"/>
          </w:tcPr>
          <w:p w14:paraId="182800CD" w14:textId="69906F26" w:rsidR="00E255F1" w:rsidRPr="00581FBD" w:rsidRDefault="00C829A8" w:rsidP="002B2BB6">
            <w:pPr>
              <w:tabs>
                <w:tab w:val="left" w:pos="567"/>
              </w:tabs>
              <w:jc w:val="both"/>
              <w:rPr>
                <w:iCs/>
                <w:lang w:eastAsia="lt-LT"/>
              </w:rPr>
            </w:pPr>
            <w:r>
              <w:rPr>
                <w:b/>
                <w:bCs/>
                <w:color w:val="000000"/>
              </w:rPr>
              <w:t>***</w:t>
            </w:r>
          </w:p>
        </w:tc>
        <w:tc>
          <w:tcPr>
            <w:tcW w:w="2443" w:type="dxa"/>
            <w:vAlign w:val="center"/>
          </w:tcPr>
          <w:p w14:paraId="51B3893F" w14:textId="42062A78" w:rsidR="00E255F1" w:rsidRPr="00581FBD" w:rsidRDefault="00C829A8" w:rsidP="002B2BB6">
            <w:pPr>
              <w:tabs>
                <w:tab w:val="left" w:pos="567"/>
              </w:tabs>
              <w:jc w:val="both"/>
              <w:rPr>
                <w:iCs/>
                <w:lang w:eastAsia="lt-LT"/>
              </w:rPr>
            </w:pPr>
            <w:r>
              <w:rPr>
                <w:b/>
                <w:bCs/>
                <w:color w:val="000000"/>
              </w:rPr>
              <w:t>***</w:t>
            </w:r>
          </w:p>
        </w:tc>
        <w:tc>
          <w:tcPr>
            <w:tcW w:w="2443" w:type="dxa"/>
            <w:vAlign w:val="center"/>
          </w:tcPr>
          <w:p w14:paraId="6FA50861" w14:textId="013F0C3D" w:rsidR="00E255F1" w:rsidRDefault="00C829A8" w:rsidP="002B2BB6">
            <w:pPr>
              <w:tabs>
                <w:tab w:val="left" w:pos="567"/>
              </w:tabs>
              <w:jc w:val="both"/>
              <w:rPr>
                <w:b/>
                <w:bCs/>
                <w:color w:val="000000"/>
              </w:rPr>
            </w:pPr>
            <w:r>
              <w:rPr>
                <w:b/>
                <w:bCs/>
                <w:color w:val="000000"/>
              </w:rPr>
              <w:t xml:space="preserve">*** </w:t>
            </w:r>
            <w:r w:rsidR="00E255F1">
              <w:rPr>
                <w:b/>
                <w:bCs/>
                <w:color w:val="000000"/>
              </w:rPr>
              <w:t xml:space="preserve">Eur. </w:t>
            </w:r>
          </w:p>
          <w:p w14:paraId="293F70EB" w14:textId="484BC66B" w:rsidR="00E255F1" w:rsidRPr="00581FBD" w:rsidRDefault="00E255F1" w:rsidP="002B2BB6">
            <w:pPr>
              <w:tabs>
                <w:tab w:val="left" w:pos="567"/>
              </w:tabs>
              <w:jc w:val="both"/>
              <w:rPr>
                <w:iCs/>
                <w:lang w:eastAsia="lt-LT"/>
              </w:rPr>
            </w:pPr>
            <w:r>
              <w:rPr>
                <w:b/>
                <w:bCs/>
                <w:color w:val="000000"/>
              </w:rPr>
              <w:t>(</w:t>
            </w:r>
            <w:r w:rsidR="00C829A8">
              <w:rPr>
                <w:b/>
                <w:bCs/>
                <w:color w:val="000000"/>
              </w:rPr>
              <w:t>***</w:t>
            </w:r>
            <w:r>
              <w:rPr>
                <w:b/>
                <w:bCs/>
                <w:color w:val="000000"/>
              </w:rPr>
              <w:t>proc.)</w:t>
            </w:r>
          </w:p>
        </w:tc>
      </w:tr>
    </w:tbl>
    <w:p w14:paraId="63C7265C" w14:textId="01DD89C8" w:rsidR="00E255F1" w:rsidRDefault="00E255F1" w:rsidP="00E255F1">
      <w:pPr>
        <w:tabs>
          <w:tab w:val="left" w:pos="567"/>
        </w:tabs>
        <w:jc w:val="both"/>
        <w:rPr>
          <w:lang w:eastAsia="lt-LT"/>
        </w:rPr>
      </w:pPr>
      <w:r>
        <w:rPr>
          <w:b/>
          <w:i/>
          <w:lang w:eastAsia="lt-LT"/>
        </w:rPr>
        <w:t xml:space="preserve">Palyginamasis gydymas: </w:t>
      </w:r>
      <w:r>
        <w:rPr>
          <w:lang w:eastAsia="lt-LT"/>
        </w:rPr>
        <w:t>t</w:t>
      </w:r>
      <w:r w:rsidRPr="004B63F6">
        <w:rPr>
          <w:lang w:eastAsia="lt-LT"/>
        </w:rPr>
        <w:t>riptorelinas</w:t>
      </w:r>
      <w:r>
        <w:rPr>
          <w:lang w:eastAsia="lt-LT"/>
        </w:rPr>
        <w:t xml:space="preserve"> (</w:t>
      </w:r>
      <w:r w:rsidR="00C829A8">
        <w:rPr>
          <w:lang w:eastAsia="lt-LT"/>
        </w:rPr>
        <w:t>***</w:t>
      </w:r>
      <w:r>
        <w:rPr>
          <w:lang w:eastAsia="lt-LT"/>
        </w:rPr>
        <w:t xml:space="preserve"> proc.), leuprolinas (</w:t>
      </w:r>
      <w:r w:rsidR="00C829A8">
        <w:rPr>
          <w:lang w:eastAsia="lt-LT"/>
        </w:rPr>
        <w:t>***</w:t>
      </w:r>
      <w:r>
        <w:rPr>
          <w:lang w:eastAsia="lt-LT"/>
        </w:rPr>
        <w:t>proc.), goserelinas (</w:t>
      </w:r>
      <w:r w:rsidR="00C829A8">
        <w:rPr>
          <w:lang w:eastAsia="lt-LT"/>
        </w:rPr>
        <w:t>***</w:t>
      </w:r>
      <w:r>
        <w:rPr>
          <w:lang w:eastAsia="lt-LT"/>
        </w:rPr>
        <w:t xml:space="preserve"> proc.) + ciprotrenonas</w:t>
      </w:r>
    </w:p>
    <w:p w14:paraId="0E15A80B" w14:textId="52385E64" w:rsidR="00E255F1" w:rsidRPr="008D0CCD" w:rsidRDefault="00E255F1" w:rsidP="00E255F1">
      <w:pPr>
        <w:tabs>
          <w:tab w:val="left" w:pos="567"/>
        </w:tabs>
        <w:jc w:val="both"/>
        <w:rPr>
          <w:iCs/>
          <w:lang w:eastAsia="lt-LT"/>
        </w:rPr>
      </w:pPr>
    </w:p>
    <w:p w14:paraId="6FDC6045" w14:textId="293A9398" w:rsidR="00E255F1" w:rsidRDefault="00E255F1" w:rsidP="00E255F1">
      <w:pPr>
        <w:spacing w:line="276" w:lineRule="auto"/>
        <w:ind w:firstLine="360"/>
        <w:jc w:val="both"/>
        <w:rPr>
          <w:iCs/>
          <w:lang w:eastAsia="lt-LT"/>
        </w:rPr>
      </w:pPr>
      <w:r>
        <w:rPr>
          <w:iCs/>
          <w:lang w:eastAsia="lt-LT"/>
        </w:rPr>
        <w:t>Gautais rezultatais, l</w:t>
      </w:r>
      <w:r w:rsidRPr="00873789">
        <w:rPr>
          <w:iCs/>
          <w:lang w:eastAsia="lt-LT"/>
        </w:rPr>
        <w:t xml:space="preserve">yginant </w:t>
      </w:r>
      <w:r>
        <w:rPr>
          <w:iCs/>
          <w:lang w:eastAsia="lt-LT"/>
        </w:rPr>
        <w:t>relugolikso</w:t>
      </w:r>
      <w:r w:rsidRPr="00873789">
        <w:rPr>
          <w:iCs/>
          <w:lang w:eastAsia="lt-LT"/>
        </w:rPr>
        <w:t xml:space="preserve"> ir </w:t>
      </w:r>
      <w:r>
        <w:rPr>
          <w:iCs/>
          <w:lang w:eastAsia="lt-LT"/>
        </w:rPr>
        <w:t>palyginamojo gydymo (</w:t>
      </w:r>
      <w:r w:rsidRPr="00B65ECB">
        <w:rPr>
          <w:lang w:eastAsia="lt-LT"/>
        </w:rPr>
        <w:t>triptorelinas, leuprolinas, goserelinas</w:t>
      </w:r>
      <w:r>
        <w:rPr>
          <w:lang w:eastAsia="lt-LT"/>
        </w:rPr>
        <w:t>)</w:t>
      </w:r>
      <w:r w:rsidRPr="00873789">
        <w:rPr>
          <w:iCs/>
          <w:lang w:eastAsia="lt-LT"/>
        </w:rPr>
        <w:t xml:space="preserve"> bendruosius kaštus per </w:t>
      </w:r>
      <w:r>
        <w:rPr>
          <w:iCs/>
          <w:lang w:eastAsia="lt-LT"/>
        </w:rPr>
        <w:t>3</w:t>
      </w:r>
      <w:r w:rsidRPr="00873789">
        <w:rPr>
          <w:iCs/>
          <w:lang w:eastAsia="lt-LT"/>
        </w:rPr>
        <w:t xml:space="preserve"> metų gydymo laikotarpį, Tarnybai taikant aukščiau aprašytas kaštų mažinimo prielaidas,  kaštų skirtumas yra </w:t>
      </w:r>
      <w:r>
        <w:rPr>
          <w:iCs/>
          <w:lang w:eastAsia="lt-LT"/>
        </w:rPr>
        <w:t>-</w:t>
      </w:r>
      <w:r w:rsidR="00C829A8">
        <w:rPr>
          <w:iCs/>
          <w:lang w:eastAsia="lt-LT"/>
        </w:rPr>
        <w:t>***</w:t>
      </w:r>
      <w:r>
        <w:rPr>
          <w:iCs/>
          <w:lang w:eastAsia="lt-LT"/>
        </w:rPr>
        <w:t xml:space="preserve"> Eur. arba -</w:t>
      </w:r>
      <w:r w:rsidR="00C829A8">
        <w:rPr>
          <w:iCs/>
          <w:lang w:eastAsia="lt-LT"/>
        </w:rPr>
        <w:t>***</w:t>
      </w:r>
      <w:r w:rsidRPr="00873789">
        <w:rPr>
          <w:iCs/>
          <w:lang w:eastAsia="lt-LT"/>
        </w:rPr>
        <w:t xml:space="preserve"> pr</w:t>
      </w:r>
      <w:r>
        <w:rPr>
          <w:iCs/>
          <w:lang w:eastAsia="lt-LT"/>
        </w:rPr>
        <w:t xml:space="preserve">oc., t.y, kaštų mažinimas yra </w:t>
      </w:r>
      <w:r w:rsidRPr="00873789">
        <w:rPr>
          <w:iCs/>
          <w:lang w:eastAsia="lt-LT"/>
        </w:rPr>
        <w:t xml:space="preserve">pasiekiamas ir </w:t>
      </w:r>
      <w:r>
        <w:rPr>
          <w:iCs/>
          <w:lang w:eastAsia="lt-LT"/>
        </w:rPr>
        <w:t>relugoliksas</w:t>
      </w:r>
      <w:r w:rsidRPr="00873789">
        <w:rPr>
          <w:iCs/>
          <w:lang w:eastAsia="lt-LT"/>
        </w:rPr>
        <w:t xml:space="preserve"> yra </w:t>
      </w:r>
      <w:r>
        <w:rPr>
          <w:iCs/>
          <w:lang w:eastAsia="lt-LT"/>
        </w:rPr>
        <w:t>pigesnė</w:t>
      </w:r>
      <w:r w:rsidRPr="00873789">
        <w:rPr>
          <w:iCs/>
          <w:lang w:eastAsia="lt-LT"/>
        </w:rPr>
        <w:t xml:space="preserve"> gydymo alternatyva.</w:t>
      </w:r>
    </w:p>
    <w:p w14:paraId="48B10700" w14:textId="4CFF9E7E" w:rsidR="00414E1A" w:rsidRPr="00E33EFF" w:rsidRDefault="00414E1A"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89E4BE0"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6067D9">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5C3AF1C3"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6067D9">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39E7028D" w14:textId="2583F6CB" w:rsidR="00414E1A" w:rsidRPr="00414E1A" w:rsidRDefault="00414E1A" w:rsidP="00414E1A">
      <w:pPr>
        <w:pStyle w:val="Sraopastraipa"/>
        <w:numPr>
          <w:ilvl w:val="0"/>
          <w:numId w:val="12"/>
        </w:numPr>
        <w:tabs>
          <w:tab w:val="left" w:pos="630"/>
        </w:tabs>
        <w:ind w:hanging="720"/>
        <w:rPr>
          <w:b/>
          <w:bCs/>
          <w:caps/>
        </w:rPr>
      </w:pPr>
      <w:r w:rsidRPr="00414E1A">
        <w:rPr>
          <w:b/>
          <w:bCs/>
          <w:caps/>
        </w:rPr>
        <w:t xml:space="preserve">Išvada </w:t>
      </w:r>
    </w:p>
    <w:p w14:paraId="6E59B835" w14:textId="77777777" w:rsidR="00414E1A" w:rsidRPr="00797153" w:rsidRDefault="00414E1A" w:rsidP="00414E1A">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414E1A" w:rsidRPr="00414E1A" w14:paraId="1A176D6F" w14:textId="77777777" w:rsidTr="00A144F3">
        <w:tc>
          <w:tcPr>
            <w:tcW w:w="4815" w:type="dxa"/>
          </w:tcPr>
          <w:p w14:paraId="02FCB30F"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14E1A">
              <w:rPr>
                <w:rStyle w:val="Style2"/>
                <w:rFonts w:eastAsia="MS Gothic"/>
                <w:b/>
                <w:bCs/>
                <w:sz w:val="24"/>
              </w:rPr>
              <w:t>Rekomenduojama kompensuoti</w:t>
            </w:r>
          </w:p>
        </w:tc>
        <w:tc>
          <w:tcPr>
            <w:tcW w:w="4814" w:type="dxa"/>
          </w:tcPr>
          <w:p w14:paraId="336DE5D8"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14E1A">
              <w:rPr>
                <w:rStyle w:val="Style2"/>
                <w:rFonts w:eastAsia="MS Gothic"/>
                <w:b/>
                <w:bCs/>
                <w:sz w:val="24"/>
              </w:rPr>
              <w:t xml:space="preserve">Rekomenduojama nekompensuoti </w:t>
            </w:r>
          </w:p>
        </w:tc>
      </w:tr>
      <w:tr w:rsidR="00414E1A" w:rsidRPr="00414E1A" w14:paraId="16DB39BB" w14:textId="77777777" w:rsidTr="00A144F3">
        <w:tc>
          <w:tcPr>
            <w:tcW w:w="9629" w:type="dxa"/>
            <w:gridSpan w:val="2"/>
          </w:tcPr>
          <w:p w14:paraId="0FCDFD44"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14E1A">
              <w:rPr>
                <w:rStyle w:val="Style2"/>
                <w:rFonts w:eastAsia="MS Gothic"/>
                <w:b/>
                <w:bCs/>
                <w:sz w:val="24"/>
              </w:rPr>
              <w:t>Palyginamasis efektyvumas</w:t>
            </w:r>
          </w:p>
          <w:p w14:paraId="6C79C72F"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414E1A" w:rsidRPr="00414E1A" w14:paraId="2C60BF07" w14:textId="77777777" w:rsidTr="00A144F3">
        <w:tc>
          <w:tcPr>
            <w:tcW w:w="4815" w:type="dxa"/>
          </w:tcPr>
          <w:p w14:paraId="734284E3"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32.1. yra didesnis</w:t>
            </w:r>
          </w:p>
          <w:p w14:paraId="59F0DD04"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85BD9AB"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32.1. iš esmės nesiskiria</w:t>
            </w:r>
          </w:p>
        </w:tc>
        <w:tc>
          <w:tcPr>
            <w:tcW w:w="4814" w:type="dxa"/>
          </w:tcPr>
          <w:p w14:paraId="46BA2839"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yra mažesnis</w:t>
            </w:r>
          </w:p>
          <w:p w14:paraId="6EA5E7E6"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DBE508C"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yra neįrodytas kaip toks pat</w:t>
            </w:r>
          </w:p>
          <w:p w14:paraId="3924FD93"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B20CDD6"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neįrodytas kaip didesnis</w:t>
            </w:r>
          </w:p>
          <w:p w14:paraId="148577FE"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F58F84E"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pateikti duomenys apie palyginamąjį efektyvumą yra netinkami vertinti</w:t>
            </w:r>
          </w:p>
          <w:p w14:paraId="733AA88B"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414E1A" w:rsidRPr="00414E1A" w14:paraId="0040BCB2" w14:textId="77777777" w:rsidTr="00A144F3">
        <w:tc>
          <w:tcPr>
            <w:tcW w:w="9629" w:type="dxa"/>
            <w:gridSpan w:val="2"/>
          </w:tcPr>
          <w:p w14:paraId="168D43FD"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14E1A">
              <w:rPr>
                <w:rStyle w:val="Style2"/>
                <w:rFonts w:eastAsia="MS Gothic"/>
                <w:b/>
                <w:bCs/>
                <w:sz w:val="24"/>
              </w:rPr>
              <w:lastRenderedPageBreak/>
              <w:t>Klinikinis veiksmingumas</w:t>
            </w:r>
          </w:p>
          <w:p w14:paraId="44760F96"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414E1A" w:rsidRPr="00414E1A" w14:paraId="1F2BEDF0" w14:textId="77777777" w:rsidTr="00A144F3">
        <w:tc>
          <w:tcPr>
            <w:tcW w:w="4815" w:type="dxa"/>
          </w:tcPr>
          <w:p w14:paraId="4E93ABEA"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32.2. yra įvertintas kaip pagrindžiantis papildomos naudos pacientų sveikatai sukūrimą, lyginant su įprasta klinikine praktika</w:t>
            </w:r>
          </w:p>
          <w:p w14:paraId="12371324"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E619DA"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32.2. įvertintas kaip pagrindžiantis nesiskiriančios naudos pacientų sveikatai sukūrimą, lyginant su įprasta klinikine praktika</w:t>
            </w:r>
          </w:p>
          <w:p w14:paraId="477AAEDD"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489338FD" w14:textId="77777777" w:rsidR="00414E1A" w:rsidRPr="00414E1A" w:rsidRDefault="00000000" w:rsidP="00A144F3">
            <w:pPr>
              <w:jc w:val="both"/>
            </w:pPr>
            <w:sdt>
              <w:sdtPr>
                <w:rPr>
                  <w:rStyle w:val="Style2"/>
                  <w:sz w:val="24"/>
                </w:rPr>
                <w:id w:val="-1034573056"/>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yra įvertintas kaip nepagrindžiantis papildomos naudos pacientų sveikatai sukūrimo, lyginant su  įprasta klinikine praktika.</w:t>
            </w:r>
          </w:p>
          <w:p w14:paraId="52FE208B" w14:textId="77777777" w:rsidR="00414E1A" w:rsidRPr="00414E1A" w:rsidRDefault="00414E1A" w:rsidP="00A144F3">
            <w:pPr>
              <w:jc w:val="both"/>
            </w:pPr>
          </w:p>
          <w:p w14:paraId="7A335E24" w14:textId="77777777" w:rsidR="00414E1A" w:rsidRPr="00414E1A" w:rsidRDefault="00000000" w:rsidP="00A144F3">
            <w:pPr>
              <w:jc w:val="both"/>
            </w:pPr>
            <w:sdt>
              <w:sdtPr>
                <w:rPr>
                  <w:rStyle w:val="Style2"/>
                  <w:sz w:val="24"/>
                </w:rPr>
                <w:id w:val="1289549109"/>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33.1. nesiskiriančios naudos pacientų sveikatai sukūrimo, lyginant su įprasta klinikine praktika.</w:t>
            </w:r>
          </w:p>
          <w:p w14:paraId="1FAF8FA1"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D25D367"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414E1A" w:rsidRPr="00414E1A" w14:paraId="7DE4C6C0" w14:textId="77777777" w:rsidTr="00A144F3">
        <w:tc>
          <w:tcPr>
            <w:tcW w:w="9629" w:type="dxa"/>
            <w:gridSpan w:val="2"/>
          </w:tcPr>
          <w:p w14:paraId="7353C9A8"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14E1A">
              <w:rPr>
                <w:rStyle w:val="Style2"/>
                <w:rFonts w:eastAsia="MS Gothic"/>
                <w:b/>
                <w:bCs/>
                <w:sz w:val="24"/>
              </w:rPr>
              <w:t>Kaštų naudingumas</w:t>
            </w:r>
          </w:p>
          <w:p w14:paraId="706C1815"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414E1A" w:rsidRPr="00414E1A" w14:paraId="0CBEB1E7" w14:textId="77777777" w:rsidTr="00A144F3">
        <w:tc>
          <w:tcPr>
            <w:tcW w:w="4815" w:type="dxa"/>
          </w:tcPr>
          <w:p w14:paraId="4CA9ADF5"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32.3. atitinka referencinę naudingumo vertę, taikant PGS</w:t>
            </w:r>
          </w:p>
          <w:p w14:paraId="248373BC"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1FBC411" w14:textId="64D3511D"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Content>
                <w:r w:rsidR="00E255F1">
                  <w:rPr>
                    <w:rStyle w:val="Style2"/>
                    <w:rFonts w:ascii="MS Gothic" w:eastAsia="MS Gothic" w:hAnsi="MS Gothic" w:hint="eastAsia"/>
                    <w:sz w:val="24"/>
                  </w:rPr>
                  <w:t>☒</w:t>
                </w:r>
              </w:sdtContent>
            </w:sdt>
            <w:r w:rsidR="00414E1A" w:rsidRPr="00414E1A">
              <w:t xml:space="preserve"> 32.3. gydymo juo kaštai yra mažesni ar tokie patys esant iš esmės nesiskiriančiam palyginamajam efektyvumui, taikant PGS</w:t>
            </w:r>
          </w:p>
          <w:p w14:paraId="129DB90A"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47D06795"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33.3. neatitinka referencinės naudingumo vertės Lietuvos Respublikoje;</w:t>
            </w:r>
          </w:p>
          <w:p w14:paraId="2122ACC0"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A4A11A0" w14:textId="7E43C984"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E255F1">
                  <w:rPr>
                    <w:rStyle w:val="Style2"/>
                    <w:rFonts w:ascii="MS Gothic" w:eastAsia="MS Gothic" w:hAnsi="MS Gothic" w:hint="eastAsia"/>
                    <w:sz w:val="24"/>
                  </w:rPr>
                  <w:t>☐</w:t>
                </w:r>
              </w:sdtContent>
            </w:sdt>
            <w:r w:rsidR="00414E1A" w:rsidRPr="00414E1A">
              <w:t xml:space="preserve"> 33.3. gydymo juo kaštai yra didesni esant iš esmės nesiskiriančiam palyginamajam efektyvumui, taikant PGS</w:t>
            </w:r>
          </w:p>
          <w:p w14:paraId="1692F2BB"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76ADFA" w14:textId="77777777" w:rsidR="00414E1A" w:rsidRPr="00414E1A" w:rsidRDefault="00000000"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414E1A" w:rsidRPr="00414E1A">
                  <w:rPr>
                    <w:rStyle w:val="Style2"/>
                    <w:rFonts w:ascii="Segoe UI Symbol" w:eastAsia="MS Gothic" w:hAnsi="Segoe UI Symbol" w:cs="Segoe UI Symbol"/>
                    <w:sz w:val="24"/>
                  </w:rPr>
                  <w:t>☐</w:t>
                </w:r>
              </w:sdtContent>
            </w:sdt>
            <w:r w:rsidR="00414E1A" w:rsidRPr="00414E1A">
              <w:t xml:space="preserve"> 33.3. pateikti duomenys apie kaštų naudingumą yra netinkami vertinti</w:t>
            </w:r>
          </w:p>
          <w:p w14:paraId="49FD1295" w14:textId="77777777" w:rsidR="00414E1A" w:rsidRPr="00414E1A" w:rsidRDefault="00414E1A" w:rsidP="00A1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0ABBA13F" w14:textId="77777777" w:rsidR="00414E1A" w:rsidRDefault="00414E1A" w:rsidP="00414E1A">
      <w:pPr>
        <w:pStyle w:val="Sraopastraipa"/>
        <w:shd w:val="clear" w:color="auto" w:fill="FFFFFF"/>
        <w:tabs>
          <w:tab w:val="left" w:pos="284"/>
        </w:tabs>
        <w:spacing w:line="276" w:lineRule="auto"/>
        <w:rPr>
          <w:rFonts w:eastAsia="Arial"/>
          <w:b/>
        </w:rPr>
      </w:pPr>
    </w:p>
    <w:p w14:paraId="5B259573" w14:textId="77777777" w:rsidR="00414E1A" w:rsidRPr="00253CF8" w:rsidRDefault="00414E1A" w:rsidP="00414E1A">
      <w:pPr>
        <w:pStyle w:val="Sraopastraipa"/>
        <w:numPr>
          <w:ilvl w:val="0"/>
          <w:numId w:val="12"/>
        </w:numPr>
        <w:shd w:val="clear" w:color="auto" w:fill="FFFFFF"/>
        <w:tabs>
          <w:tab w:val="left" w:pos="284"/>
        </w:tabs>
        <w:spacing w:line="276" w:lineRule="auto"/>
        <w:rPr>
          <w:rFonts w:eastAsia="Arial"/>
          <w:b/>
        </w:rPr>
      </w:pPr>
      <w:r w:rsidRPr="00253CF8">
        <w:rPr>
          <w:rFonts w:eastAsia="Arial"/>
          <w:b/>
        </w:rPr>
        <w:t>REKOMENDACIJA</w:t>
      </w:r>
    </w:p>
    <w:p w14:paraId="4BE33305" w14:textId="77777777" w:rsidR="00414E1A" w:rsidRPr="005F26B1" w:rsidRDefault="00414E1A" w:rsidP="00414E1A">
      <w:pPr>
        <w:pStyle w:val="Sraopastraipa"/>
        <w:shd w:val="clear" w:color="auto" w:fill="FFFFFF"/>
        <w:tabs>
          <w:tab w:val="left" w:pos="284"/>
        </w:tabs>
        <w:spacing w:line="276" w:lineRule="auto"/>
        <w:ind w:left="426"/>
        <w:rPr>
          <w:rFonts w:eastAsia="Arial"/>
          <w:b/>
        </w:rPr>
      </w:pPr>
    </w:p>
    <w:p w14:paraId="4C79DC6E" w14:textId="77777777" w:rsidR="00E255F1" w:rsidRPr="001704EF" w:rsidRDefault="00E255F1" w:rsidP="00E255F1">
      <w:pPr>
        <w:spacing w:line="276" w:lineRule="auto"/>
        <w:ind w:firstLine="567"/>
        <w:jc w:val="both"/>
        <w:rPr>
          <w:color w:val="000000" w:themeColor="text1"/>
        </w:rPr>
      </w:pPr>
      <w:r w:rsidRPr="001704EF">
        <w:t>Vadovaujantis</w:t>
      </w:r>
      <w:r w:rsidRPr="001704EF">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7A0A531B" w14:textId="77777777" w:rsidR="00E255F1" w:rsidRPr="00691DA6" w:rsidRDefault="00E255F1" w:rsidP="00E255F1">
      <w:pPr>
        <w:spacing w:line="276" w:lineRule="auto"/>
        <w:jc w:val="both"/>
        <w:rPr>
          <w:szCs w:val="20"/>
        </w:rPr>
      </w:pPr>
      <w:r>
        <w:rPr>
          <w:color w:val="000000"/>
        </w:rPr>
        <w:t>34.3</w:t>
      </w:r>
      <w:r w:rsidRPr="001704EF">
        <w:rPr>
          <w:color w:val="000000"/>
        </w:rPr>
        <w:t>.</w:t>
      </w:r>
      <w:r w:rsidRPr="001704EF">
        <w:rPr>
          <w:color w:val="000000" w:themeColor="text1"/>
        </w:rPr>
        <w:t xml:space="preserve"> </w:t>
      </w:r>
      <w:r w:rsidRPr="001704EF">
        <w:t xml:space="preserve">rekomenduojama </w:t>
      </w:r>
      <w:r w:rsidRPr="001704EF">
        <w:rPr>
          <w:i/>
        </w:rPr>
        <w:t xml:space="preserve">kompensuoti </w:t>
      </w:r>
      <w:r>
        <w:t>vaistinį preparatą</w:t>
      </w:r>
      <w:r w:rsidRPr="001704EF">
        <w:t xml:space="preserve"> pagal paraiškoje nurodytą indikaciją, taikant PGS, dėl iš esmės nesiskiriančio gydymo efektyvumo ir sukuriamos naudos pacientų sveikatai, lyginant s</w:t>
      </w:r>
      <w:r>
        <w:t>u įprasta klinikine praktika ir</w:t>
      </w:r>
      <w:r w:rsidRPr="008B649B">
        <w:t xml:space="preserve"> dėl mažesnių gydymo kaštų dydžio (kaštų </w:t>
      </w:r>
      <w:r>
        <w:t>mažinimas</w:t>
      </w:r>
      <w:r w:rsidRPr="008B649B">
        <w:t>).</w:t>
      </w:r>
    </w:p>
    <w:p w14:paraId="3403A326" w14:textId="77777777" w:rsidR="00743DA7" w:rsidRDefault="00743DA7" w:rsidP="00743DA7">
      <w:pPr>
        <w:rPr>
          <w:lang w:eastAsia="lt-LT"/>
        </w:rPr>
      </w:pPr>
    </w:p>
    <w:p w14:paraId="1FFFD011" w14:textId="0C18EBB3" w:rsidR="00743DA7" w:rsidRPr="00192FB1" w:rsidRDefault="00743DA7" w:rsidP="00212E73">
      <w:pPr>
        <w:spacing w:line="276" w:lineRule="auto"/>
        <w:rPr>
          <w:b/>
          <w:i/>
          <w:iCs/>
        </w:rPr>
      </w:pPr>
      <w:bookmarkStart w:id="1" w:name="_Hlk183887742"/>
      <w:r w:rsidRPr="00192FB1">
        <w:rPr>
          <w:i/>
          <w:iCs/>
          <w:lang w:eastAsia="lt-LT"/>
        </w:rPr>
        <w:t>Pastab</w:t>
      </w:r>
      <w:r w:rsidR="005A1D73">
        <w:rPr>
          <w:i/>
          <w:iCs/>
          <w:lang w:eastAsia="lt-LT"/>
        </w:rPr>
        <w:t>a</w:t>
      </w:r>
    </w:p>
    <w:p w14:paraId="06BC01EE" w14:textId="6D23A416" w:rsidR="000723FF" w:rsidRDefault="005A1D73" w:rsidP="00212E73">
      <w:pPr>
        <w:spacing w:line="276" w:lineRule="auto"/>
        <w:jc w:val="both"/>
      </w:pPr>
      <w:r>
        <w:rPr>
          <w:rFonts w:eastAsia="Arial"/>
          <w:iCs/>
        </w:rPr>
        <w:t xml:space="preserve">Atsižvelgiant į tai, kad  Lietuvoje prostatos vėžio gydymą reglamentuoja 2011 m. lapkričio 2 d. Lietuvos Respublikos sveikatos apsaugos ministro įsakymas Nr. V-941 „Dėl priešinės liaukos (prostatos) piktybinio naviko ambulatorinio gydymo kompensuojamaisiais vaistais tvarkos aprašo patvirtinimo“ (toliau – Aprašas), priėmus sprendimą </w:t>
      </w:r>
      <w:r w:rsidRPr="001704EF">
        <w:rPr>
          <w:i/>
        </w:rPr>
        <w:t xml:space="preserve">kompensuoti </w:t>
      </w:r>
      <w:r>
        <w:t>vaistinį preparatą</w:t>
      </w:r>
      <w:r w:rsidRPr="001704EF">
        <w:t xml:space="preserve"> pagal paraiškoje nurodytą indikaciją</w:t>
      </w:r>
      <w:r>
        <w:t xml:space="preserve"> būtina papildyti aprašą.</w:t>
      </w:r>
    </w:p>
    <w:bookmarkEnd w:id="1"/>
    <w:p w14:paraId="0C6EA1B0" w14:textId="77777777" w:rsidR="00743DA7" w:rsidRDefault="00743DA7" w:rsidP="00381024"/>
    <w:p w14:paraId="49AA7829" w14:textId="77777777" w:rsidR="00192FB1" w:rsidRPr="00E33EFF" w:rsidRDefault="00192FB1" w:rsidP="00381024"/>
    <w:p w14:paraId="18B4292E" w14:textId="2A917EE5"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w:t>
      </w:r>
      <w:r w:rsidR="00414E1A">
        <w:rPr>
          <w:b/>
          <w:color w:val="000000"/>
          <w:lang w:eastAsia="lt-LT"/>
        </w:rPr>
        <w:t xml:space="preserve"> INDIKACIJOS IR SKYRIMO SĄLYGOS</w:t>
      </w:r>
      <w:r w:rsidR="000723FF" w:rsidRPr="00E33EFF">
        <w:rPr>
          <w:b/>
          <w:color w:val="000000"/>
          <w:lang w:eastAsia="lt-LT"/>
        </w:rPr>
        <w:t xml:space="preserve"> </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344FEAE6" w:rsidR="000723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414E1A">
            <w:rPr>
              <w:rStyle w:val="Style2"/>
              <w:rFonts w:ascii="MS Gothic" w:eastAsia="MS Gothic" w:hAnsi="MS Gothic" w:hint="eastAsia"/>
            </w:rPr>
            <w:t>☒</w:t>
          </w:r>
        </w:sdtContent>
      </w:sdt>
      <w:r w:rsidR="000723FF" w:rsidRPr="00E33EFF">
        <w:t xml:space="preserve"> Siūloma kompensuoti Pareiškėjo teikiamą indikaciją be pakeitimų.</w:t>
      </w:r>
    </w:p>
    <w:p w14:paraId="78F35231" w14:textId="7ED40120" w:rsidR="00414E1A" w:rsidRPr="00414E1A" w:rsidRDefault="00414E1A" w:rsidP="00414E1A">
      <w:pPr>
        <w:spacing w:after="120"/>
        <w:jc w:val="both"/>
        <w:rPr>
          <w:i/>
        </w:rPr>
      </w:pPr>
      <w:r w:rsidRPr="00414E1A">
        <w:rPr>
          <w:i/>
        </w:rPr>
        <w:t>Orgovyx skirtas gydyti suaugusiems pacientams, sergantiems išplitusiu hormonams jautriu prostatos vėžiu.</w:t>
      </w:r>
    </w:p>
    <w:p w14:paraId="597367EF" w14:textId="77777777"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241A6E6B" w14:textId="77777777" w:rsidR="000723FF" w:rsidRDefault="000723FF" w:rsidP="00824B92">
      <w:pPr>
        <w:rPr>
          <w:b/>
        </w:rPr>
      </w:pPr>
      <w:r w:rsidRPr="00E33EFF">
        <w:rPr>
          <w:b/>
        </w:rPr>
        <w:t>Skyrimo sąlygos</w:t>
      </w:r>
    </w:p>
    <w:p w14:paraId="16B47620" w14:textId="77777777" w:rsidR="00743DA7" w:rsidRDefault="00743DA7" w:rsidP="00824B92">
      <w:pPr>
        <w:rPr>
          <w:b/>
        </w:rPr>
      </w:pPr>
    </w:p>
    <w:p w14:paraId="57B3145B" w14:textId="207C8CC2" w:rsidR="00743DA7" w:rsidRPr="00192FB1" w:rsidRDefault="00743DA7" w:rsidP="00824B92">
      <w:pPr>
        <w:rPr>
          <w:bCs/>
          <w:i/>
          <w:iCs/>
        </w:rPr>
      </w:pPr>
      <w:bookmarkStart w:id="2" w:name="_Hlk183887824"/>
      <w:r w:rsidRPr="00192FB1">
        <w:rPr>
          <w:bCs/>
          <w:i/>
          <w:iCs/>
        </w:rPr>
        <w:t>Siūlomos skyrimo sąlygos</w:t>
      </w:r>
      <w:r w:rsidR="005A1D73">
        <w:rPr>
          <w:bCs/>
          <w:i/>
          <w:iCs/>
        </w:rPr>
        <w:t xml:space="preserve"> </w:t>
      </w:r>
    </w:p>
    <w:p w14:paraId="7CDFF220" w14:textId="3A6632CB" w:rsidR="000723FF" w:rsidRDefault="00743DA7" w:rsidP="00824B92">
      <w:pPr>
        <w:rPr>
          <w:lang w:eastAsia="lt-LT"/>
        </w:rPr>
      </w:pPr>
      <w:r w:rsidRPr="00E65BC7">
        <w:rPr>
          <w:lang w:eastAsia="lt-LT"/>
        </w:rPr>
        <w:t>Skiriamas sveikatos apsaugos ministro nustatyta tvarka.</w:t>
      </w:r>
    </w:p>
    <w:bookmarkEnd w:id="2"/>
    <w:p w14:paraId="6E88C73E" w14:textId="77777777" w:rsidR="00743DA7" w:rsidRDefault="00743DA7" w:rsidP="00824B92">
      <w:pPr>
        <w:rPr>
          <w:lang w:eastAsia="lt-LT"/>
        </w:rPr>
      </w:pPr>
    </w:p>
    <w:p w14:paraId="0A402B0A" w14:textId="61E16C2C" w:rsidR="00743DA7" w:rsidRPr="000723FF" w:rsidRDefault="00743DA7" w:rsidP="00743DA7">
      <w:pPr>
        <w:rPr>
          <w:b/>
        </w:rPr>
      </w:pPr>
    </w:p>
    <w:sectPr w:rsidR="00743DA7"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3463D" w14:textId="77777777" w:rsidR="007912AF" w:rsidRDefault="007912AF">
      <w:r>
        <w:separator/>
      </w:r>
    </w:p>
  </w:endnote>
  <w:endnote w:type="continuationSeparator" w:id="0">
    <w:p w14:paraId="3000A0ED" w14:textId="77777777" w:rsidR="007912AF" w:rsidRDefault="0079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A7A75" w14:textId="77777777" w:rsidR="007912AF" w:rsidRDefault="007912AF">
      <w:r>
        <w:separator/>
      </w:r>
    </w:p>
  </w:footnote>
  <w:footnote w:type="continuationSeparator" w:id="0">
    <w:p w14:paraId="08F9A3E4" w14:textId="77777777" w:rsidR="007912AF" w:rsidRDefault="0079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7A5B4B39"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55F1">
      <w:rPr>
        <w:rStyle w:val="Puslapionumeris"/>
        <w:noProof/>
      </w:rPr>
      <w:t>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6754DA"/>
    <w:multiLevelType w:val="hybridMultilevel"/>
    <w:tmpl w:val="4FFAA8BC"/>
    <w:lvl w:ilvl="0" w:tplc="1B3883C8">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2E9C3FC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FF1936"/>
    <w:multiLevelType w:val="hybridMultilevel"/>
    <w:tmpl w:val="BACE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1624455">
    <w:abstractNumId w:val="8"/>
  </w:num>
  <w:num w:numId="2" w16cid:durableId="1508860301">
    <w:abstractNumId w:val="1"/>
  </w:num>
  <w:num w:numId="3" w16cid:durableId="1389065158">
    <w:abstractNumId w:val="10"/>
  </w:num>
  <w:num w:numId="4" w16cid:durableId="318701585">
    <w:abstractNumId w:val="9"/>
  </w:num>
  <w:num w:numId="5" w16cid:durableId="80419575">
    <w:abstractNumId w:val="7"/>
  </w:num>
  <w:num w:numId="6" w16cid:durableId="1087775001">
    <w:abstractNumId w:val="6"/>
  </w:num>
  <w:num w:numId="7" w16cid:durableId="713427187">
    <w:abstractNumId w:val="4"/>
  </w:num>
  <w:num w:numId="8" w16cid:durableId="498544605">
    <w:abstractNumId w:val="14"/>
  </w:num>
  <w:num w:numId="9" w16cid:durableId="751127928">
    <w:abstractNumId w:val="0"/>
  </w:num>
  <w:num w:numId="10" w16cid:durableId="782722603">
    <w:abstractNumId w:val="11"/>
  </w:num>
  <w:num w:numId="11" w16cid:durableId="1039284086">
    <w:abstractNumId w:val="13"/>
  </w:num>
  <w:num w:numId="12" w16cid:durableId="890306801">
    <w:abstractNumId w:val="2"/>
  </w:num>
  <w:num w:numId="13" w16cid:durableId="91125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08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02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02EF"/>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D5DC0"/>
    <w:rsid w:val="000E29D4"/>
    <w:rsid w:val="000F3540"/>
    <w:rsid w:val="00100491"/>
    <w:rsid w:val="001015B6"/>
    <w:rsid w:val="00104E2E"/>
    <w:rsid w:val="00107287"/>
    <w:rsid w:val="00117406"/>
    <w:rsid w:val="00117F2E"/>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92FB1"/>
    <w:rsid w:val="00195B00"/>
    <w:rsid w:val="001B3C5B"/>
    <w:rsid w:val="001D746F"/>
    <w:rsid w:val="001E4BBB"/>
    <w:rsid w:val="001E4C25"/>
    <w:rsid w:val="001E6304"/>
    <w:rsid w:val="0020381E"/>
    <w:rsid w:val="00212E73"/>
    <w:rsid w:val="00213471"/>
    <w:rsid w:val="00215906"/>
    <w:rsid w:val="00241CD8"/>
    <w:rsid w:val="00244B09"/>
    <w:rsid w:val="00246414"/>
    <w:rsid w:val="002477C5"/>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417F"/>
    <w:rsid w:val="00346CCA"/>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3F231D"/>
    <w:rsid w:val="00404E8A"/>
    <w:rsid w:val="0040622F"/>
    <w:rsid w:val="00413F24"/>
    <w:rsid w:val="00414E1A"/>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07C2D"/>
    <w:rsid w:val="005123C2"/>
    <w:rsid w:val="0052144B"/>
    <w:rsid w:val="00524066"/>
    <w:rsid w:val="00534E11"/>
    <w:rsid w:val="005378D8"/>
    <w:rsid w:val="005400D9"/>
    <w:rsid w:val="005476A4"/>
    <w:rsid w:val="0055019B"/>
    <w:rsid w:val="00556E63"/>
    <w:rsid w:val="005601A4"/>
    <w:rsid w:val="0056568B"/>
    <w:rsid w:val="00566DBB"/>
    <w:rsid w:val="005767DB"/>
    <w:rsid w:val="005815E6"/>
    <w:rsid w:val="0058712F"/>
    <w:rsid w:val="005976CE"/>
    <w:rsid w:val="005A1D73"/>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067D9"/>
    <w:rsid w:val="00613143"/>
    <w:rsid w:val="00613501"/>
    <w:rsid w:val="0061611B"/>
    <w:rsid w:val="006166A8"/>
    <w:rsid w:val="006174A1"/>
    <w:rsid w:val="00621D6C"/>
    <w:rsid w:val="00626D9D"/>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E7695"/>
    <w:rsid w:val="006F1251"/>
    <w:rsid w:val="006F1C23"/>
    <w:rsid w:val="00702C18"/>
    <w:rsid w:val="00703166"/>
    <w:rsid w:val="007127F3"/>
    <w:rsid w:val="00723FFD"/>
    <w:rsid w:val="007301CF"/>
    <w:rsid w:val="007316FB"/>
    <w:rsid w:val="007374D0"/>
    <w:rsid w:val="00737E2D"/>
    <w:rsid w:val="007424D5"/>
    <w:rsid w:val="00743DA7"/>
    <w:rsid w:val="007501AF"/>
    <w:rsid w:val="00750A88"/>
    <w:rsid w:val="007523DD"/>
    <w:rsid w:val="00757B7E"/>
    <w:rsid w:val="007656B2"/>
    <w:rsid w:val="0077016F"/>
    <w:rsid w:val="007713AD"/>
    <w:rsid w:val="007912AF"/>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463B1"/>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577DD"/>
    <w:rsid w:val="00A6624B"/>
    <w:rsid w:val="00A701C9"/>
    <w:rsid w:val="00A73A82"/>
    <w:rsid w:val="00A81785"/>
    <w:rsid w:val="00A84803"/>
    <w:rsid w:val="00A84C51"/>
    <w:rsid w:val="00A86F2B"/>
    <w:rsid w:val="00A91366"/>
    <w:rsid w:val="00A93AA6"/>
    <w:rsid w:val="00AA4E48"/>
    <w:rsid w:val="00AA6202"/>
    <w:rsid w:val="00AA7B57"/>
    <w:rsid w:val="00AC26FC"/>
    <w:rsid w:val="00AC4A99"/>
    <w:rsid w:val="00AC64D2"/>
    <w:rsid w:val="00AD02E7"/>
    <w:rsid w:val="00AE0039"/>
    <w:rsid w:val="00AE0FE8"/>
    <w:rsid w:val="00AE1322"/>
    <w:rsid w:val="00AF60D5"/>
    <w:rsid w:val="00B00959"/>
    <w:rsid w:val="00B04415"/>
    <w:rsid w:val="00B06509"/>
    <w:rsid w:val="00B11D60"/>
    <w:rsid w:val="00B13D65"/>
    <w:rsid w:val="00B20935"/>
    <w:rsid w:val="00B21805"/>
    <w:rsid w:val="00B3072E"/>
    <w:rsid w:val="00B36E15"/>
    <w:rsid w:val="00B37245"/>
    <w:rsid w:val="00B4017A"/>
    <w:rsid w:val="00B4468D"/>
    <w:rsid w:val="00B579A6"/>
    <w:rsid w:val="00B70FD9"/>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6445"/>
    <w:rsid w:val="00C517D2"/>
    <w:rsid w:val="00C5772E"/>
    <w:rsid w:val="00C62B36"/>
    <w:rsid w:val="00C7012C"/>
    <w:rsid w:val="00C712EA"/>
    <w:rsid w:val="00C829A8"/>
    <w:rsid w:val="00C936E4"/>
    <w:rsid w:val="00CA217D"/>
    <w:rsid w:val="00CA3BA2"/>
    <w:rsid w:val="00CC09D4"/>
    <w:rsid w:val="00CC668D"/>
    <w:rsid w:val="00CC7832"/>
    <w:rsid w:val="00CF0C1C"/>
    <w:rsid w:val="00CF27FD"/>
    <w:rsid w:val="00CF5F12"/>
    <w:rsid w:val="00D00D8F"/>
    <w:rsid w:val="00D21F3A"/>
    <w:rsid w:val="00D23808"/>
    <w:rsid w:val="00D3016A"/>
    <w:rsid w:val="00D417D2"/>
    <w:rsid w:val="00D42960"/>
    <w:rsid w:val="00D43BD7"/>
    <w:rsid w:val="00D43C94"/>
    <w:rsid w:val="00D4485B"/>
    <w:rsid w:val="00D4708D"/>
    <w:rsid w:val="00D4744C"/>
    <w:rsid w:val="00D521DE"/>
    <w:rsid w:val="00D5470B"/>
    <w:rsid w:val="00D63068"/>
    <w:rsid w:val="00D6498C"/>
    <w:rsid w:val="00D737B9"/>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255F1"/>
    <w:rsid w:val="00E33DB8"/>
    <w:rsid w:val="00E33EFF"/>
    <w:rsid w:val="00E34387"/>
    <w:rsid w:val="00E348BA"/>
    <w:rsid w:val="00E369FE"/>
    <w:rsid w:val="00E37C6F"/>
    <w:rsid w:val="00E475F8"/>
    <w:rsid w:val="00E5102E"/>
    <w:rsid w:val="00E5721C"/>
    <w:rsid w:val="00E619C6"/>
    <w:rsid w:val="00E745A1"/>
    <w:rsid w:val="00E81529"/>
    <w:rsid w:val="00E83A13"/>
    <w:rsid w:val="00E8795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List Paragraph CCT minutes,Section 5,Bullet List 2,Colorful List - Accent 1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locked/>
    <w:rsid w:val="006067D9"/>
    <w:rPr>
      <w:sz w:val="24"/>
      <w:szCs w:val="24"/>
      <w:lang w:eastAsia="en-US"/>
    </w:rPr>
  </w:style>
  <w:style w:type="paragraph" w:customStyle="1" w:styleId="VVKT">
    <w:name w:val="VVKT"/>
    <w:basedOn w:val="prastasis"/>
    <w:link w:val="VVKTChar"/>
    <w:qFormat/>
    <w:rsid w:val="00414E1A"/>
    <w:pPr>
      <w:tabs>
        <w:tab w:val="left" w:pos="567"/>
      </w:tabs>
      <w:spacing w:line="276" w:lineRule="auto"/>
      <w:ind w:firstLine="432"/>
      <w:jc w:val="both"/>
    </w:pPr>
    <w:rPr>
      <w:szCs w:val="20"/>
      <w:lang w:eastAsia="lt-LT"/>
    </w:rPr>
  </w:style>
  <w:style w:type="character" w:customStyle="1" w:styleId="VVKTChar">
    <w:name w:val="VVKT Char"/>
    <w:basedOn w:val="Numatytasispastraiposriftas"/>
    <w:link w:val="VVKT"/>
    <w:rsid w:val="00414E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093196">
      <w:bodyDiv w:val="1"/>
      <w:marLeft w:val="0"/>
      <w:marRight w:val="0"/>
      <w:marTop w:val="0"/>
      <w:marBottom w:val="0"/>
      <w:divBdr>
        <w:top w:val="none" w:sz="0" w:space="0" w:color="auto"/>
        <w:left w:val="none" w:sz="0" w:space="0" w:color="auto"/>
        <w:bottom w:val="none" w:sz="0" w:space="0" w:color="auto"/>
        <w:right w:val="none" w:sz="0" w:space="0" w:color="auto"/>
      </w:divBdr>
    </w:div>
    <w:div w:id="394205156">
      <w:bodyDiv w:val="1"/>
      <w:marLeft w:val="0"/>
      <w:marRight w:val="0"/>
      <w:marTop w:val="0"/>
      <w:marBottom w:val="0"/>
      <w:divBdr>
        <w:top w:val="none" w:sz="0" w:space="0" w:color="auto"/>
        <w:left w:val="none" w:sz="0" w:space="0" w:color="auto"/>
        <w:bottom w:val="none" w:sz="0" w:space="0" w:color="auto"/>
        <w:right w:val="none" w:sz="0" w:space="0" w:color="auto"/>
      </w:divBdr>
    </w:div>
    <w:div w:id="905918120">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67908449">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117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F74B722AF67947E8A3773F3B8B514738"/>
        <w:category>
          <w:name w:val="General"/>
          <w:gallery w:val="placeholder"/>
        </w:category>
        <w:types>
          <w:type w:val="bbPlcHdr"/>
        </w:types>
        <w:behaviors>
          <w:behavior w:val="content"/>
        </w:behaviors>
        <w:guid w:val="{78FA14EB-FE56-492B-A2A8-0556BDCC5452}"/>
      </w:docPartPr>
      <w:docPartBody>
        <w:p w:rsidR="00455E6D" w:rsidRDefault="00D85D57" w:rsidP="00D85D57">
          <w:pPr>
            <w:pStyle w:val="F74B722AF67947E8A3773F3B8B514738"/>
          </w:pPr>
          <w:r>
            <w:rPr>
              <w:rStyle w:val="Vietosrezervavimoenklotekstas"/>
            </w:rPr>
            <w:t>Click here to enter a date.</w:t>
          </w:r>
        </w:p>
      </w:docPartBody>
    </w:docPart>
    <w:docPart>
      <w:docPartPr>
        <w:name w:val="8BBEBA895B42466D89AD15815CF9F845"/>
        <w:category>
          <w:name w:val="General"/>
          <w:gallery w:val="placeholder"/>
        </w:category>
        <w:types>
          <w:type w:val="bbPlcHdr"/>
        </w:types>
        <w:behaviors>
          <w:behavior w:val="content"/>
        </w:behaviors>
        <w:guid w:val="{BF1B7E29-7350-4303-9700-4F2FE529D131}"/>
      </w:docPartPr>
      <w:docPartBody>
        <w:p w:rsidR="00455E6D" w:rsidRDefault="00D85D57" w:rsidP="00D85D57">
          <w:pPr>
            <w:pStyle w:val="8BBEBA895B42466D89AD15815CF9F845"/>
          </w:pPr>
          <w:r>
            <w:rPr>
              <w:rStyle w:val="Vietosrezervavimoenklotekstas"/>
            </w:rPr>
            <w:t>Click here to enter a date.</w:t>
          </w:r>
        </w:p>
      </w:docPartBody>
    </w:docPart>
    <w:docPart>
      <w:docPartPr>
        <w:name w:val="DACE72654AE343BBB73A45CE06A1B68E"/>
        <w:category>
          <w:name w:val="General"/>
          <w:gallery w:val="placeholder"/>
        </w:category>
        <w:types>
          <w:type w:val="bbPlcHdr"/>
        </w:types>
        <w:behaviors>
          <w:behavior w:val="content"/>
        </w:behaviors>
        <w:guid w:val="{B0EB4B52-637C-46DB-8197-B078E7D98A99}"/>
      </w:docPartPr>
      <w:docPartBody>
        <w:p w:rsidR="00455E6D" w:rsidRDefault="00D85D57" w:rsidP="00D85D57">
          <w:pPr>
            <w:pStyle w:val="DACE72654AE343BBB73A45CE06A1B68E"/>
          </w:pPr>
          <w:r>
            <w:rPr>
              <w:rStyle w:val="Vietosrezervavimoenklotekstas"/>
            </w:rPr>
            <w:t>Click here to enter a date.</w:t>
          </w:r>
        </w:p>
      </w:docPartBody>
    </w:docPart>
    <w:docPart>
      <w:docPartPr>
        <w:name w:val="381DEF4F0D37463C990F1E8979171748"/>
        <w:category>
          <w:name w:val="General"/>
          <w:gallery w:val="placeholder"/>
        </w:category>
        <w:types>
          <w:type w:val="bbPlcHdr"/>
        </w:types>
        <w:behaviors>
          <w:behavior w:val="content"/>
        </w:behaviors>
        <w:guid w:val="{5FBDBBFB-AC78-4AC3-A1AA-BED0F4773E19}"/>
      </w:docPartPr>
      <w:docPartBody>
        <w:p w:rsidR="00455E6D" w:rsidRDefault="00D85D57" w:rsidP="00D85D57">
          <w:pPr>
            <w:pStyle w:val="381DEF4F0D37463C990F1E897917174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02EF"/>
    <w:rsid w:val="0001247F"/>
    <w:rsid w:val="00061157"/>
    <w:rsid w:val="000937FE"/>
    <w:rsid w:val="000A559A"/>
    <w:rsid w:val="000C202F"/>
    <w:rsid w:val="000D24D4"/>
    <w:rsid w:val="001C35A9"/>
    <w:rsid w:val="00227A02"/>
    <w:rsid w:val="00237556"/>
    <w:rsid w:val="00242051"/>
    <w:rsid w:val="002555EC"/>
    <w:rsid w:val="00282B55"/>
    <w:rsid w:val="0039303B"/>
    <w:rsid w:val="004144A3"/>
    <w:rsid w:val="004160E7"/>
    <w:rsid w:val="004416C6"/>
    <w:rsid w:val="00455E6D"/>
    <w:rsid w:val="004A3A6D"/>
    <w:rsid w:val="004F5AB2"/>
    <w:rsid w:val="005074B9"/>
    <w:rsid w:val="005E40DD"/>
    <w:rsid w:val="00700EC2"/>
    <w:rsid w:val="007219C1"/>
    <w:rsid w:val="00753462"/>
    <w:rsid w:val="00772325"/>
    <w:rsid w:val="007A2FE0"/>
    <w:rsid w:val="007C6D1D"/>
    <w:rsid w:val="0090074D"/>
    <w:rsid w:val="009B3BF0"/>
    <w:rsid w:val="009D5E5E"/>
    <w:rsid w:val="009F1BB4"/>
    <w:rsid w:val="00A577DD"/>
    <w:rsid w:val="00A73A82"/>
    <w:rsid w:val="00AB6ED4"/>
    <w:rsid w:val="00B14210"/>
    <w:rsid w:val="00B20935"/>
    <w:rsid w:val="00B23DC0"/>
    <w:rsid w:val="00B96656"/>
    <w:rsid w:val="00BE29C1"/>
    <w:rsid w:val="00C2401D"/>
    <w:rsid w:val="00C53A68"/>
    <w:rsid w:val="00C936E4"/>
    <w:rsid w:val="00CA3BA2"/>
    <w:rsid w:val="00CA5BB4"/>
    <w:rsid w:val="00CB4BD1"/>
    <w:rsid w:val="00CE2DA9"/>
    <w:rsid w:val="00CE44BE"/>
    <w:rsid w:val="00D36364"/>
    <w:rsid w:val="00D4356B"/>
    <w:rsid w:val="00D7162F"/>
    <w:rsid w:val="00D85D57"/>
    <w:rsid w:val="00E44A86"/>
    <w:rsid w:val="00E522EB"/>
    <w:rsid w:val="00E60827"/>
    <w:rsid w:val="00E73FF6"/>
    <w:rsid w:val="00EE7676"/>
    <w:rsid w:val="00EF6E0C"/>
    <w:rsid w:val="00F55028"/>
    <w:rsid w:val="00F77BEF"/>
    <w:rsid w:val="00FC2AD6"/>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85D57"/>
  </w:style>
  <w:style w:type="paragraph" w:customStyle="1" w:styleId="CDB60824EC144AB3B75C05A5823BEE2D">
    <w:name w:val="CDB60824EC144AB3B75C05A5823BEE2D"/>
    <w:rsid w:val="005E40DD"/>
  </w:style>
  <w:style w:type="paragraph" w:customStyle="1" w:styleId="F74B722AF67947E8A3773F3B8B514738">
    <w:name w:val="F74B722AF67947E8A3773F3B8B514738"/>
    <w:rsid w:val="00D85D57"/>
  </w:style>
  <w:style w:type="paragraph" w:customStyle="1" w:styleId="8BBEBA895B42466D89AD15815CF9F845">
    <w:name w:val="8BBEBA895B42466D89AD15815CF9F845"/>
    <w:rsid w:val="00D85D57"/>
  </w:style>
  <w:style w:type="paragraph" w:customStyle="1" w:styleId="DACE72654AE343BBB73A45CE06A1B68E">
    <w:name w:val="DACE72654AE343BBB73A45CE06A1B68E"/>
    <w:rsid w:val="00D85D57"/>
  </w:style>
  <w:style w:type="paragraph" w:customStyle="1" w:styleId="381DEF4F0D37463C990F1E8979171748">
    <w:name w:val="381DEF4F0D37463C990F1E8979171748"/>
    <w:rsid w:val="00D85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71FE-BB5C-4E45-9435-30828C5B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12693</Words>
  <Characters>7236</Characters>
  <Application>Microsoft Office Word</Application>
  <DocSecurity>0</DocSecurity>
  <Lines>60</Lines>
  <Paragraphs>39</Paragraphs>
  <ScaleCrop>false</ScaleCrop>
  <Company/>
  <LinksUpToDate>false</LinksUpToDate>
  <CharactersWithSpaces>19890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2024-12-04T06:44:00Z</dcterms:created>
  <dcterms:modified xsi:type="dcterms:W3CDTF">2024-12-09T10:11:00Z</dcterms:modified>
</cp:coreProperties>
</file>