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C03C9E" w:rsidRDefault="005F7602" w:rsidP="002946C7">
      <w:pPr>
        <w:ind w:left="5529"/>
        <w:rPr>
          <w:lang w:val="en-US"/>
        </w:rPr>
      </w:pPr>
    </w:p>
    <w:p w14:paraId="12FA4B9E" w14:textId="77777777" w:rsidR="001B3C5B" w:rsidRPr="00BB3F13" w:rsidRDefault="001B3C5B" w:rsidP="001B3C5B">
      <w:pPr>
        <w:ind w:left="6096"/>
      </w:pPr>
      <w:r w:rsidRPr="00BB3F13">
        <w:t>Forma patvirtinta</w:t>
      </w:r>
    </w:p>
    <w:p w14:paraId="7206970B" w14:textId="70E9BD2E" w:rsidR="004C263A" w:rsidRPr="00BB3F13" w:rsidRDefault="001B3C5B" w:rsidP="001B3C5B">
      <w:pPr>
        <w:ind w:left="6096"/>
      </w:pPr>
      <w:r w:rsidRPr="00BB3F13">
        <w:t>Valstybinės vaistų kontrolės tarnybos prie Lietuvos Respublikos sveikatos apsaugos ministerijos viršininko 2021 m</w:t>
      </w:r>
      <w:r w:rsidR="004C263A" w:rsidRPr="00BB3F13">
        <w:t xml:space="preserve">. lapkričio 12 </w:t>
      </w:r>
      <w:r w:rsidRPr="00BB3F13">
        <w:t>d. įsakymu Nr.</w:t>
      </w:r>
      <w:r w:rsidR="004C263A" w:rsidRPr="00BB3F13">
        <w:t xml:space="preserve"> (1.72E)1A-1418</w:t>
      </w:r>
    </w:p>
    <w:p w14:paraId="5B219AA6" w14:textId="520B9136" w:rsidR="001B3C5B" w:rsidRPr="00BB3F13" w:rsidRDefault="004C263A" w:rsidP="001B3C5B">
      <w:pPr>
        <w:ind w:left="6096"/>
      </w:pPr>
      <w:r w:rsidRPr="00BB3F13">
        <w:t>(Valstybinės vaistų kontrolės tarnybos prie Lietuvos Respublikos sveikatos apsaugos ministerijos viršininko 2022 m.                         d. įsakymo Nr.                    redakcija)</w:t>
      </w:r>
    </w:p>
    <w:p w14:paraId="3336BD74" w14:textId="77777777" w:rsidR="001B3C5B" w:rsidRPr="00BB3F13" w:rsidRDefault="001B3C5B" w:rsidP="00FA4169"/>
    <w:p w14:paraId="77AFB67E" w14:textId="16397257" w:rsidR="00613501" w:rsidRPr="00BB3F13" w:rsidRDefault="002F0E4F" w:rsidP="003B211A">
      <w:pPr>
        <w:jc w:val="center"/>
        <w:rPr>
          <w:b/>
          <w:bCs/>
          <w:caps/>
        </w:rPr>
      </w:pPr>
      <w:r w:rsidRPr="00BB3F13">
        <w:rPr>
          <w:b/>
        </w:rPr>
        <w:t xml:space="preserve">REKOMENDACIJA DĖL VAISTINIO PREPARATO </w:t>
      </w:r>
      <w:r w:rsidRPr="00BB3F13">
        <w:rPr>
          <w:b/>
          <w:bCs/>
          <w:caps/>
        </w:rPr>
        <w:t>Lietuvos Respublikos Sveikatos apsaugos ministerijos vaistinių preparatų ir medicinos pagalbos priemonių kompensavimo komisijai</w:t>
      </w:r>
    </w:p>
    <w:p w14:paraId="34E4395D" w14:textId="623D0445" w:rsidR="00B13D65" w:rsidRPr="00BB3F13" w:rsidRDefault="00B13D65" w:rsidP="003B211A">
      <w:pPr>
        <w:jc w:val="center"/>
        <w:rPr>
          <w:b/>
        </w:rPr>
      </w:pPr>
    </w:p>
    <w:p w14:paraId="330AE555" w14:textId="2AA77D7C" w:rsidR="008B2311" w:rsidRPr="00BB3F13" w:rsidRDefault="00CF4B7A" w:rsidP="008B2311">
      <w:pPr>
        <w:jc w:val="center"/>
        <w:rPr>
          <w:rFonts w:eastAsia="Arial"/>
          <w:b/>
          <w:color w:val="000000"/>
        </w:rPr>
      </w:pPr>
      <w:bookmarkStart w:id="0" w:name="_Hlk183699965"/>
      <w:proofErr w:type="spellStart"/>
      <w:r w:rsidRPr="00BB3F13">
        <w:rPr>
          <w:b/>
        </w:rPr>
        <w:t>Monofer</w:t>
      </w:r>
      <w:proofErr w:type="spellEnd"/>
      <w:r w:rsidRPr="00BB3F13">
        <w:rPr>
          <w:b/>
        </w:rPr>
        <w:t xml:space="preserve"> </w:t>
      </w:r>
      <w:r w:rsidRPr="00BB3F13">
        <w:rPr>
          <w:b/>
          <w:color w:val="000000" w:themeColor="text1"/>
          <w:shd w:val="clear" w:color="auto" w:fill="FFFFFF" w:themeFill="background1"/>
        </w:rPr>
        <w:t>100 mg/ml</w:t>
      </w:r>
      <w:r w:rsidRPr="00BB3F13">
        <w:rPr>
          <w:b/>
          <w:color w:val="000000" w:themeColor="text1"/>
          <w:shd w:val="clear" w:color="auto" w:fill="F5F5F5"/>
        </w:rPr>
        <w:t xml:space="preserve"> </w:t>
      </w:r>
      <w:r w:rsidRPr="00BB3F13">
        <w:rPr>
          <w:rFonts w:eastAsia="Arial"/>
          <w:b/>
          <w:color w:val="000000" w:themeColor="text1"/>
        </w:rPr>
        <w:t xml:space="preserve">injekcinis </w:t>
      </w:r>
      <w:r w:rsidRPr="00BB3F13">
        <w:rPr>
          <w:rFonts w:eastAsia="Arial"/>
          <w:b/>
          <w:color w:val="000000"/>
        </w:rPr>
        <w:t>ar infuzinis tirpalas</w:t>
      </w:r>
    </w:p>
    <w:p w14:paraId="7685CF6A" w14:textId="77777777" w:rsidR="00CF4B7A" w:rsidRPr="00BB3F13" w:rsidRDefault="00CF4B7A" w:rsidP="008B2311">
      <w:pPr>
        <w:jc w:val="center"/>
        <w:rPr>
          <w:b/>
        </w:rPr>
      </w:pPr>
    </w:p>
    <w:p w14:paraId="440CC52C" w14:textId="7ACB8DEF" w:rsidR="008B2311" w:rsidRPr="00BB3F13" w:rsidRDefault="008B2311" w:rsidP="005227E0">
      <w:pPr>
        <w:jc w:val="center"/>
        <w:rPr>
          <w:b/>
        </w:rPr>
      </w:pPr>
      <w:r w:rsidRPr="00BB3F13">
        <w:rPr>
          <w:b/>
        </w:rPr>
        <w:t>(</w:t>
      </w:r>
      <w:r w:rsidR="00CF4B7A" w:rsidRPr="00BB3F13">
        <w:rPr>
          <w:rFonts w:eastAsia="Arial"/>
          <w:b/>
          <w:color w:val="000000"/>
        </w:rPr>
        <w:t xml:space="preserve">Geležies (III) </w:t>
      </w:r>
      <w:proofErr w:type="spellStart"/>
      <w:r w:rsidR="00CF4B7A" w:rsidRPr="00BB3F13">
        <w:rPr>
          <w:rFonts w:eastAsia="Arial"/>
          <w:b/>
          <w:color w:val="000000"/>
        </w:rPr>
        <w:t>derisomaltozė</w:t>
      </w:r>
      <w:proofErr w:type="spellEnd"/>
      <w:r w:rsidRPr="00BB3F13">
        <w:rPr>
          <w:b/>
        </w:rPr>
        <w:t>)</w:t>
      </w:r>
    </w:p>
    <w:bookmarkEnd w:id="0"/>
    <w:p w14:paraId="38F4F3EA" w14:textId="77777777" w:rsidR="008B2311" w:rsidRPr="00BB3F13" w:rsidRDefault="008B2311" w:rsidP="008B2311">
      <w:pPr>
        <w:jc w:val="center"/>
      </w:pPr>
    </w:p>
    <w:p w14:paraId="71C9E00F" w14:textId="4515E709" w:rsidR="001A0642" w:rsidRPr="00BB3F13" w:rsidRDefault="008B2311" w:rsidP="008B2311">
      <w:pPr>
        <w:jc w:val="center"/>
        <w:rPr>
          <w:b/>
        </w:rPr>
      </w:pPr>
      <w:r w:rsidRPr="00BB3F13">
        <w:rPr>
          <w:b/>
        </w:rPr>
        <w:t>STV-</w:t>
      </w:r>
      <w:r w:rsidR="00CF4B7A" w:rsidRPr="00BB3F13">
        <w:rPr>
          <w:b/>
        </w:rPr>
        <w:t>163</w:t>
      </w:r>
    </w:p>
    <w:p w14:paraId="1E2B8830" w14:textId="77777777" w:rsidR="008B2311" w:rsidRPr="00BB3F13" w:rsidRDefault="008B2311" w:rsidP="006F3037">
      <w:pPr>
        <w:rPr>
          <w:b/>
        </w:rPr>
      </w:pPr>
    </w:p>
    <w:p w14:paraId="33D987A0" w14:textId="77777777" w:rsidR="001A0642" w:rsidRPr="00BB3F13" w:rsidRDefault="001A0642" w:rsidP="003B211A">
      <w:pPr>
        <w:jc w:val="center"/>
        <w:rPr>
          <w:b/>
        </w:rPr>
      </w:pPr>
    </w:p>
    <w:p w14:paraId="78C89D1C" w14:textId="0DA88316" w:rsidR="00D4485B" w:rsidRPr="00BB3F13" w:rsidRDefault="00B13D65" w:rsidP="00937907">
      <w:pPr>
        <w:pStyle w:val="ListParagraph"/>
        <w:numPr>
          <w:ilvl w:val="0"/>
          <w:numId w:val="12"/>
        </w:numPr>
        <w:tabs>
          <w:tab w:val="left" w:pos="284"/>
        </w:tabs>
        <w:rPr>
          <w:b/>
          <w:bCs/>
          <w:caps/>
        </w:rPr>
      </w:pPr>
      <w:r w:rsidRPr="00BB3F13">
        <w:rPr>
          <w:b/>
          <w:bCs/>
          <w:caps/>
        </w:rPr>
        <w:t>Bendroji dalis</w:t>
      </w:r>
    </w:p>
    <w:p w14:paraId="108176F7" w14:textId="4BE301B3" w:rsidR="00F70C9E" w:rsidRPr="00BB3F13" w:rsidRDefault="00F70C9E" w:rsidP="00E03C3F">
      <w:pPr>
        <w:pStyle w:val="ListParagraph"/>
        <w:tabs>
          <w:tab w:val="left" w:pos="426"/>
        </w:tabs>
        <w:ind w:left="0"/>
        <w:rPr>
          <w:b/>
          <w:bCs/>
          <w:caps/>
        </w:rPr>
      </w:pPr>
    </w:p>
    <w:tbl>
      <w:tblPr>
        <w:tblStyle w:val="TableGrid"/>
        <w:tblW w:w="9493" w:type="dxa"/>
        <w:tblLook w:val="04A0" w:firstRow="1" w:lastRow="0" w:firstColumn="1" w:lastColumn="0" w:noHBand="0" w:noVBand="1"/>
      </w:tblPr>
      <w:tblGrid>
        <w:gridCol w:w="632"/>
        <w:gridCol w:w="3694"/>
        <w:gridCol w:w="5167"/>
      </w:tblGrid>
      <w:tr w:rsidR="00275A18" w:rsidRPr="00BB3F13" w14:paraId="4FDF1F82" w14:textId="77777777" w:rsidTr="00B84419">
        <w:trPr>
          <w:trHeight w:val="538"/>
        </w:trPr>
        <w:tc>
          <w:tcPr>
            <w:tcW w:w="632" w:type="dxa"/>
          </w:tcPr>
          <w:p w14:paraId="238DB55B" w14:textId="77777777" w:rsidR="00275A18" w:rsidRPr="00BB3F13" w:rsidRDefault="00275A18" w:rsidP="00B84419">
            <w:pPr>
              <w:rPr>
                <w:rFonts w:eastAsia="Arial"/>
              </w:rPr>
            </w:pPr>
            <w:r w:rsidRPr="00BB3F13">
              <w:rPr>
                <w:rFonts w:eastAsia="Arial"/>
              </w:rPr>
              <w:t>1.1</w:t>
            </w:r>
          </w:p>
        </w:tc>
        <w:tc>
          <w:tcPr>
            <w:tcW w:w="3694" w:type="dxa"/>
          </w:tcPr>
          <w:p w14:paraId="0E733176" w14:textId="77777777" w:rsidR="00275A18" w:rsidRPr="00BB3F13" w:rsidRDefault="00275A18" w:rsidP="00B84419">
            <w:pPr>
              <w:rPr>
                <w:rFonts w:eastAsia="Arial"/>
              </w:rPr>
            </w:pPr>
            <w:r w:rsidRPr="00BB3F13">
              <w:rPr>
                <w:rFonts w:eastAsia="Arial"/>
              </w:rPr>
              <w:t>Pareiškėjas</w:t>
            </w:r>
          </w:p>
          <w:p w14:paraId="743D47B1" w14:textId="77777777" w:rsidR="00275A18" w:rsidRPr="00BB3F13" w:rsidRDefault="00275A18" w:rsidP="00B84419">
            <w:pPr>
              <w:rPr>
                <w:rFonts w:eastAsia="Arial"/>
              </w:rPr>
            </w:pPr>
          </w:p>
        </w:tc>
        <w:tc>
          <w:tcPr>
            <w:tcW w:w="5167" w:type="dxa"/>
          </w:tcPr>
          <w:p w14:paraId="6DF44A9B" w14:textId="29368143" w:rsidR="00275A18" w:rsidRPr="00BB3F13" w:rsidRDefault="00275A18" w:rsidP="00B84419">
            <w:pPr>
              <w:rPr>
                <w:rFonts w:eastAsia="Arial"/>
              </w:rPr>
            </w:pPr>
            <w:r w:rsidRPr="00BB3F13">
              <w:t xml:space="preserve">UAB </w:t>
            </w:r>
            <w:proofErr w:type="spellStart"/>
            <w:r w:rsidRPr="00BB3F13">
              <w:t>Orivas</w:t>
            </w:r>
            <w:proofErr w:type="spellEnd"/>
          </w:p>
        </w:tc>
      </w:tr>
      <w:tr w:rsidR="00275A18" w:rsidRPr="00BB3F13" w14:paraId="227ED9E9" w14:textId="77777777" w:rsidTr="00B84419">
        <w:trPr>
          <w:trHeight w:val="538"/>
        </w:trPr>
        <w:tc>
          <w:tcPr>
            <w:tcW w:w="632" w:type="dxa"/>
          </w:tcPr>
          <w:p w14:paraId="3DC89A2A" w14:textId="77777777" w:rsidR="00275A18" w:rsidRPr="00BB3F13" w:rsidRDefault="00275A18" w:rsidP="00B84419">
            <w:pPr>
              <w:rPr>
                <w:rFonts w:eastAsia="Arial"/>
              </w:rPr>
            </w:pPr>
            <w:r w:rsidRPr="00BB3F13">
              <w:rPr>
                <w:rFonts w:eastAsia="Arial"/>
              </w:rPr>
              <w:t>1.2</w:t>
            </w:r>
          </w:p>
        </w:tc>
        <w:tc>
          <w:tcPr>
            <w:tcW w:w="3694" w:type="dxa"/>
          </w:tcPr>
          <w:p w14:paraId="53CF123A" w14:textId="77777777" w:rsidR="00275A18" w:rsidRPr="00BB3F13" w:rsidRDefault="00275A18" w:rsidP="00B84419">
            <w:pPr>
              <w:rPr>
                <w:bCs/>
                <w:color w:val="000000"/>
                <w:lang w:eastAsia="lt-LT"/>
              </w:rPr>
            </w:pPr>
            <w:r w:rsidRPr="00BB3F13">
              <w:rPr>
                <w:bCs/>
                <w:color w:val="000000"/>
                <w:lang w:eastAsia="lt-LT"/>
              </w:rPr>
              <w:t xml:space="preserve">Registracijos data </w:t>
            </w:r>
          </w:p>
          <w:p w14:paraId="49FB1429" w14:textId="77777777" w:rsidR="00275A18" w:rsidRPr="00BB3F13" w:rsidRDefault="00275A18" w:rsidP="00B84419">
            <w:pPr>
              <w:rPr>
                <w:bCs/>
                <w:color w:val="000000"/>
                <w:lang w:eastAsia="lt-LT"/>
              </w:rPr>
            </w:pPr>
          </w:p>
        </w:tc>
        <w:tc>
          <w:tcPr>
            <w:tcW w:w="5167" w:type="dxa"/>
          </w:tcPr>
          <w:p w14:paraId="4041419C" w14:textId="1A201EAE" w:rsidR="00275A18" w:rsidRPr="00BB3F13" w:rsidRDefault="00000000" w:rsidP="00B84419">
            <w:pPr>
              <w:rPr>
                <w:rStyle w:val="Style2"/>
                <w:color w:val="000000" w:themeColor="text1"/>
                <w:sz w:val="24"/>
              </w:rPr>
            </w:pPr>
            <w:sdt>
              <w:sdtPr>
                <w:rPr>
                  <w:color w:val="000000" w:themeColor="text1"/>
                  <w:sz w:val="32"/>
                  <w:shd w:val="clear" w:color="auto" w:fill="FFFFFF"/>
                  <w:lang w:eastAsia="en-GB"/>
                </w:rPr>
                <w:alias w:val="Nurodykite konkrečią dieną"/>
                <w:tag w:val="Nurodykite pradžios datą"/>
                <w:id w:val="-1917936273"/>
                <w:placeholder>
                  <w:docPart w:val="CD55409E77AD4C8CAF19CDECAF30E17D"/>
                </w:placeholder>
                <w15:color w:val="FFCC99"/>
                <w:date>
                  <w:dateFormat w:val="yyyy 'm.' MMMM d 'd.'"/>
                  <w:lid w:val="lt-LT"/>
                  <w:storeMappedDataAs w:val="dateTime"/>
                  <w:calendar w:val="gregorian"/>
                </w:date>
              </w:sdtPr>
              <w:sdtContent>
                <w:r w:rsidR="00275A18" w:rsidRPr="00BB3F13">
                  <w:rPr>
                    <w:color w:val="000000" w:themeColor="text1"/>
                    <w:shd w:val="clear" w:color="auto" w:fill="FFFFFF"/>
                    <w:lang w:eastAsia="en-GB"/>
                  </w:rPr>
                  <w:t>2010 m. kovo 5 d.</w:t>
                </w:r>
                <w:r w:rsidR="00275A18" w:rsidRPr="00BB3F13">
                  <w:rPr>
                    <w:color w:val="000000" w:themeColor="text1"/>
                    <w:shd w:val="clear" w:color="auto" w:fill="FFFFFF"/>
                    <w:lang w:eastAsia="en-GB"/>
                  </w:rPr>
                  <w:cr/>
                </w:r>
              </w:sdtContent>
            </w:sdt>
          </w:p>
        </w:tc>
      </w:tr>
      <w:tr w:rsidR="00275A18" w:rsidRPr="00BB3F13" w14:paraId="5C72A702" w14:textId="77777777" w:rsidTr="00B84419">
        <w:trPr>
          <w:trHeight w:val="1500"/>
        </w:trPr>
        <w:tc>
          <w:tcPr>
            <w:tcW w:w="632" w:type="dxa"/>
          </w:tcPr>
          <w:p w14:paraId="777A8A1F" w14:textId="77777777" w:rsidR="00275A18" w:rsidRPr="00BB3F13" w:rsidRDefault="00275A18" w:rsidP="00B84419">
            <w:pPr>
              <w:rPr>
                <w:rFonts w:eastAsia="Arial"/>
              </w:rPr>
            </w:pPr>
            <w:r w:rsidRPr="00BB3F13">
              <w:rPr>
                <w:rFonts w:eastAsia="Arial"/>
              </w:rPr>
              <w:t>1.3</w:t>
            </w:r>
          </w:p>
        </w:tc>
        <w:tc>
          <w:tcPr>
            <w:tcW w:w="3694" w:type="dxa"/>
          </w:tcPr>
          <w:p w14:paraId="3311B63B" w14:textId="77777777" w:rsidR="00275A18" w:rsidRPr="00BB3F13" w:rsidRDefault="00275A18" w:rsidP="00B84419">
            <w:r w:rsidRPr="00BB3F13">
              <w:t xml:space="preserve">Paraiškos tipas </w:t>
            </w:r>
          </w:p>
          <w:p w14:paraId="4988CFB9" w14:textId="77777777" w:rsidR="00275A18" w:rsidRPr="00BB3F13" w:rsidRDefault="00275A18" w:rsidP="00B84419">
            <w:r w:rsidRPr="00BB3F13">
              <w:t xml:space="preserve">(pagal </w:t>
            </w:r>
            <w:r w:rsidRPr="00BB3F13">
              <w:rPr>
                <w:color w:val="333333"/>
                <w:shd w:val="clear" w:color="auto" w:fill="FFFFFF"/>
              </w:rPr>
              <w:t>vaistinio preparato registracijos tipą, įtvirtintą</w:t>
            </w:r>
            <w:r w:rsidRPr="00BB3F13">
              <w:t xml:space="preserve"> Direktyvos 2001/83/EB </w:t>
            </w:r>
            <w:proofErr w:type="spellStart"/>
            <w:r w:rsidRPr="00BB3F13">
              <w:t>straipsiuose</w:t>
            </w:r>
            <w:proofErr w:type="spellEnd"/>
            <w:r w:rsidRPr="00BB3F13">
              <w:t>)</w:t>
            </w:r>
          </w:p>
          <w:p w14:paraId="2095C154" w14:textId="77777777" w:rsidR="00275A18" w:rsidRPr="00BB3F13" w:rsidRDefault="00275A18" w:rsidP="00B84419">
            <w:pPr>
              <w:rPr>
                <w:bCs/>
                <w:color w:val="000000"/>
                <w:lang w:eastAsia="lt-LT"/>
              </w:rPr>
            </w:pPr>
          </w:p>
        </w:tc>
        <w:tc>
          <w:tcPr>
            <w:tcW w:w="5167" w:type="dxa"/>
          </w:tcPr>
          <w:p w14:paraId="2C26742E" w14:textId="77777777" w:rsidR="00275A18" w:rsidRPr="00BB3F13" w:rsidRDefault="00000000" w:rsidP="00B84419">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275A18" w:rsidRPr="00BB3F13">
                  <w:rPr>
                    <w:rStyle w:val="Style2"/>
                    <w:rFonts w:ascii="MS Gothic" w:eastAsia="MS Gothic" w:hAnsi="MS Gothic"/>
                    <w:sz w:val="22"/>
                    <w:szCs w:val="22"/>
                  </w:rPr>
                  <w:t>☒</w:t>
                </w:r>
              </w:sdtContent>
            </w:sdt>
            <w:r w:rsidR="00275A18" w:rsidRPr="00BB3F13">
              <w:rPr>
                <w:sz w:val="22"/>
                <w:szCs w:val="22"/>
              </w:rPr>
              <w:t xml:space="preserve">8.3 str. (pilna byla, pagrįsta savais tyrimais) </w:t>
            </w:r>
          </w:p>
          <w:p w14:paraId="5A43D92F" w14:textId="77777777" w:rsidR="00275A18" w:rsidRPr="00BB3F13" w:rsidRDefault="00000000" w:rsidP="00B84419">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275A18" w:rsidRPr="00BB3F13">
                  <w:rPr>
                    <w:rStyle w:val="Style2"/>
                    <w:rFonts w:ascii="Segoe UI Symbol" w:eastAsia="MS Gothic" w:hAnsi="Segoe UI Symbol" w:cs="Segoe UI Symbol"/>
                    <w:sz w:val="22"/>
                    <w:szCs w:val="22"/>
                  </w:rPr>
                  <w:t>☐</w:t>
                </w:r>
              </w:sdtContent>
            </w:sdt>
            <w:r w:rsidR="00275A18" w:rsidRPr="00BB3F13">
              <w:rPr>
                <w:sz w:val="22"/>
                <w:szCs w:val="22"/>
              </w:rPr>
              <w:t xml:space="preserve">10 a str. (pripažintas medicininis vartojimas) </w:t>
            </w:r>
          </w:p>
          <w:p w14:paraId="77EFBD0F" w14:textId="77777777" w:rsidR="00275A18" w:rsidRPr="00BB3F13" w:rsidRDefault="00000000" w:rsidP="00B84419">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275A18" w:rsidRPr="00BB3F13">
                  <w:rPr>
                    <w:rStyle w:val="Style2"/>
                    <w:rFonts w:ascii="Segoe UI Symbol" w:eastAsia="MS Gothic" w:hAnsi="Segoe UI Symbol" w:cs="Segoe UI Symbol"/>
                    <w:sz w:val="22"/>
                    <w:szCs w:val="22"/>
                  </w:rPr>
                  <w:t>☐</w:t>
                </w:r>
              </w:sdtContent>
            </w:sdt>
            <w:r w:rsidR="00275A18" w:rsidRPr="00BB3F13">
              <w:rPr>
                <w:sz w:val="22"/>
                <w:szCs w:val="22"/>
              </w:rPr>
              <w:t>10.1 str. (</w:t>
            </w:r>
            <w:proofErr w:type="spellStart"/>
            <w:r w:rsidR="00275A18" w:rsidRPr="00BB3F13">
              <w:rPr>
                <w:sz w:val="22"/>
                <w:szCs w:val="22"/>
              </w:rPr>
              <w:t>generinis</w:t>
            </w:r>
            <w:proofErr w:type="spellEnd"/>
            <w:r w:rsidR="00275A18" w:rsidRPr="00BB3F13">
              <w:rPr>
                <w:sz w:val="22"/>
                <w:szCs w:val="22"/>
              </w:rPr>
              <w:t>)</w:t>
            </w:r>
          </w:p>
          <w:p w14:paraId="4334D240" w14:textId="77777777" w:rsidR="00275A18" w:rsidRPr="00BB3F13" w:rsidRDefault="00000000" w:rsidP="00B84419">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275A18" w:rsidRPr="00BB3F13">
                  <w:rPr>
                    <w:rStyle w:val="Style2"/>
                    <w:rFonts w:ascii="Segoe UI Symbol" w:eastAsia="MS Gothic" w:hAnsi="Segoe UI Symbol" w:cs="Segoe UI Symbol"/>
                    <w:sz w:val="22"/>
                    <w:szCs w:val="22"/>
                  </w:rPr>
                  <w:t>☐</w:t>
                </w:r>
              </w:sdtContent>
            </w:sdt>
            <w:r w:rsidR="00275A18" w:rsidRPr="00BB3F13">
              <w:rPr>
                <w:sz w:val="22"/>
                <w:szCs w:val="22"/>
              </w:rPr>
              <w:t>10.3 str. (hibridinis)</w:t>
            </w:r>
          </w:p>
        </w:tc>
      </w:tr>
      <w:tr w:rsidR="00275A18" w:rsidRPr="00BB3F13" w14:paraId="7D2C97E6" w14:textId="77777777" w:rsidTr="00B84419">
        <w:trPr>
          <w:trHeight w:val="1442"/>
        </w:trPr>
        <w:tc>
          <w:tcPr>
            <w:tcW w:w="632" w:type="dxa"/>
          </w:tcPr>
          <w:p w14:paraId="357DD5B0" w14:textId="77777777" w:rsidR="00275A18" w:rsidRPr="00BB3F13" w:rsidRDefault="00275A18" w:rsidP="00B84419">
            <w:pPr>
              <w:rPr>
                <w:rFonts w:eastAsia="Arial"/>
              </w:rPr>
            </w:pPr>
            <w:r w:rsidRPr="00BB3F13">
              <w:rPr>
                <w:rFonts w:eastAsia="Arial"/>
              </w:rPr>
              <w:t>1.4</w:t>
            </w:r>
          </w:p>
        </w:tc>
        <w:tc>
          <w:tcPr>
            <w:tcW w:w="3694" w:type="dxa"/>
          </w:tcPr>
          <w:p w14:paraId="377B923C" w14:textId="77777777" w:rsidR="00275A18" w:rsidRPr="00BB3F13" w:rsidRDefault="00275A18" w:rsidP="00B84419">
            <w:pPr>
              <w:rPr>
                <w:bCs/>
                <w:color w:val="000000"/>
                <w:lang w:eastAsia="lt-LT"/>
              </w:rPr>
            </w:pPr>
            <w:r w:rsidRPr="00BB3F13">
              <w:rPr>
                <w:bCs/>
                <w:color w:val="000000"/>
                <w:lang w:eastAsia="lt-LT"/>
              </w:rPr>
              <w:t xml:space="preserve">Ar vaistinis preparatas įrašytas į Bendrijos retųjų vaistinių preparatų registrą? </w:t>
            </w:r>
          </w:p>
          <w:p w14:paraId="1AA5E4B6" w14:textId="77777777" w:rsidR="00275A18" w:rsidRPr="00BB3F13" w:rsidRDefault="00275A18" w:rsidP="00B84419">
            <w:pPr>
              <w:rPr>
                <w:bCs/>
                <w:color w:val="000000"/>
                <w:lang w:eastAsia="lt-LT"/>
              </w:rPr>
            </w:pPr>
          </w:p>
        </w:tc>
        <w:tc>
          <w:tcPr>
            <w:tcW w:w="5167" w:type="dxa"/>
          </w:tcPr>
          <w:p w14:paraId="6943D695" w14:textId="77777777" w:rsidR="00275A18" w:rsidRPr="00BB3F13" w:rsidRDefault="00000000" w:rsidP="00B84419">
            <w:sdt>
              <w:sdtPr>
                <w:rPr>
                  <w:rStyle w:val="Style2"/>
                  <w:sz w:val="24"/>
                </w:rPr>
                <w:id w:val="512807561"/>
                <w15:color w:val="FFCC00"/>
                <w14:checkbox>
                  <w14:checked w14:val="0"/>
                  <w14:checkedState w14:val="2612" w14:font="MS Gothic"/>
                  <w14:uncheckedState w14:val="2610" w14:font="MS Gothic"/>
                </w14:checkbox>
              </w:sdtPr>
              <w:sdtContent>
                <w:r w:rsidR="00275A18" w:rsidRPr="00BB3F13">
                  <w:rPr>
                    <w:rStyle w:val="Style2"/>
                    <w:rFonts w:ascii="MS Gothic" w:eastAsia="MS Gothic" w:hAnsi="MS Gothic"/>
                    <w:sz w:val="24"/>
                  </w:rPr>
                  <w:t>☐</w:t>
                </w:r>
              </w:sdtContent>
            </w:sdt>
            <w:r w:rsidR="00275A18" w:rsidRPr="00BB3F13">
              <w:t xml:space="preserve"> Taip</w:t>
            </w:r>
          </w:p>
          <w:p w14:paraId="6A8C025F" w14:textId="77777777" w:rsidR="00275A18" w:rsidRPr="00BB3F13" w:rsidRDefault="00000000" w:rsidP="00B84419">
            <w:sdt>
              <w:sdtPr>
                <w:rPr>
                  <w:rStyle w:val="Style2"/>
                  <w:sz w:val="24"/>
                </w:rPr>
                <w:id w:val="1025214495"/>
                <w15:color w:val="FFCC00"/>
                <w14:checkbox>
                  <w14:checked w14:val="1"/>
                  <w14:checkedState w14:val="2612" w14:font="MS Gothic"/>
                  <w14:uncheckedState w14:val="2610" w14:font="MS Gothic"/>
                </w14:checkbox>
              </w:sdtPr>
              <w:sdtContent>
                <w:r w:rsidR="00275A18" w:rsidRPr="00BB3F13">
                  <w:rPr>
                    <w:rStyle w:val="Style2"/>
                    <w:rFonts w:ascii="MS Gothic" w:eastAsia="MS Gothic" w:hAnsi="MS Gothic"/>
                    <w:sz w:val="24"/>
                  </w:rPr>
                  <w:t>☒</w:t>
                </w:r>
              </w:sdtContent>
            </w:sdt>
            <w:r w:rsidR="00275A18" w:rsidRPr="00BB3F13">
              <w:t xml:space="preserve"> Ne</w:t>
            </w:r>
          </w:p>
          <w:p w14:paraId="1843D41A" w14:textId="77777777" w:rsidR="00275A18" w:rsidRPr="00BB3F13" w:rsidRDefault="00000000" w:rsidP="00B84419">
            <w:pPr>
              <w:rPr>
                <w:rFonts w:eastAsia="Arial"/>
              </w:rPr>
            </w:pPr>
            <w:sdt>
              <w:sdtPr>
                <w:alias w:val="Nurodykite konkrečią dieną"/>
                <w:tag w:val="Nurodykite pradžios datą"/>
                <w:id w:val="693498901"/>
                <w:placeholder>
                  <w:docPart w:val="EA9742CCD7F640D1A15DCC8925B00A21"/>
                </w:placeholder>
                <w:showingPlcHdr/>
                <w15:color w:val="FFCC99"/>
                <w:date w:fullDate="2022-05-18T00:00:00Z">
                  <w:dateFormat w:val="yyyy 'm.' MMMM d 'd.'"/>
                  <w:lid w:val="lt-LT"/>
                  <w:storeMappedDataAs w:val="dateTime"/>
                  <w:calendar w:val="gregorian"/>
                </w:date>
              </w:sdtPr>
              <w:sdtContent>
                <w:r w:rsidR="00275A18" w:rsidRPr="00BB3F13">
                  <w:rPr>
                    <w:rStyle w:val="PlaceholderText"/>
                  </w:rPr>
                  <w:t>Click here to enter a date.</w:t>
                </w:r>
              </w:sdtContent>
            </w:sdt>
          </w:p>
        </w:tc>
      </w:tr>
      <w:tr w:rsidR="00275A18" w:rsidRPr="00BB3F13" w14:paraId="27D758F6" w14:textId="77777777" w:rsidTr="00B84419">
        <w:trPr>
          <w:trHeight w:val="476"/>
        </w:trPr>
        <w:tc>
          <w:tcPr>
            <w:tcW w:w="632" w:type="dxa"/>
          </w:tcPr>
          <w:p w14:paraId="32CC4412" w14:textId="77777777" w:rsidR="00275A18" w:rsidRPr="00BB3F13" w:rsidRDefault="00275A18" w:rsidP="00B84419">
            <w:pPr>
              <w:rPr>
                <w:rFonts w:eastAsia="Arial"/>
              </w:rPr>
            </w:pPr>
            <w:r w:rsidRPr="00BB3F13">
              <w:rPr>
                <w:rFonts w:eastAsia="Arial"/>
              </w:rPr>
              <w:t>1.5</w:t>
            </w:r>
          </w:p>
        </w:tc>
        <w:tc>
          <w:tcPr>
            <w:tcW w:w="3694" w:type="dxa"/>
          </w:tcPr>
          <w:p w14:paraId="615C4792" w14:textId="77777777" w:rsidR="00275A18" w:rsidRPr="00BB3F13" w:rsidRDefault="00275A18" w:rsidP="00B84419">
            <w:pPr>
              <w:rPr>
                <w:bCs/>
                <w:color w:val="000000"/>
                <w:lang w:eastAsia="lt-LT"/>
              </w:rPr>
            </w:pPr>
            <w:r w:rsidRPr="00BB3F13">
              <w:t>STV paraiškos pobūdis</w:t>
            </w:r>
          </w:p>
        </w:tc>
        <w:tc>
          <w:tcPr>
            <w:tcW w:w="5167" w:type="dxa"/>
          </w:tcPr>
          <w:p w14:paraId="2C328E7F" w14:textId="77777777" w:rsidR="00275A18" w:rsidRPr="00BB3F13" w:rsidRDefault="00000000" w:rsidP="00B84419">
            <w:sdt>
              <w:sdtPr>
                <w:rPr>
                  <w:rStyle w:val="Style2"/>
                  <w:sz w:val="24"/>
                </w:rPr>
                <w:id w:val="1643304929"/>
                <w15:color w:val="FFCC00"/>
                <w14:checkbox>
                  <w14:checked w14:val="1"/>
                  <w14:checkedState w14:val="2612" w14:font="MS Gothic"/>
                  <w14:uncheckedState w14:val="2610" w14:font="MS Gothic"/>
                </w14:checkbox>
              </w:sdtPr>
              <w:sdtContent>
                <w:r w:rsidR="00275A18" w:rsidRPr="00BB3F13">
                  <w:rPr>
                    <w:rStyle w:val="Style2"/>
                    <w:rFonts w:ascii="MS Gothic" w:eastAsia="MS Gothic" w:hAnsi="MS Gothic"/>
                    <w:sz w:val="24"/>
                  </w:rPr>
                  <w:t>☒</w:t>
                </w:r>
              </w:sdtContent>
            </w:sdt>
            <w:r w:rsidR="00275A18" w:rsidRPr="00BB3F13">
              <w:t xml:space="preserve"> Pilna paraiška</w:t>
            </w:r>
          </w:p>
          <w:p w14:paraId="2A916B8A" w14:textId="77777777" w:rsidR="00275A18" w:rsidRPr="00BB3F13" w:rsidRDefault="00000000" w:rsidP="00B84419">
            <w:sdt>
              <w:sdtPr>
                <w:rPr>
                  <w:rStyle w:val="Style2"/>
                  <w:sz w:val="24"/>
                </w:rPr>
                <w:id w:val="907579136"/>
                <w15:color w:val="FFCC00"/>
                <w14:checkbox>
                  <w14:checked w14:val="0"/>
                  <w14:checkedState w14:val="2612" w14:font="MS Gothic"/>
                  <w14:uncheckedState w14:val="2610" w14:font="MS Gothic"/>
                </w14:checkbox>
              </w:sdtPr>
              <w:sdtContent>
                <w:r w:rsidR="00275A18" w:rsidRPr="00BB3F13">
                  <w:rPr>
                    <w:rStyle w:val="Style2"/>
                    <w:rFonts w:ascii="MS Gothic" w:eastAsia="MS Gothic" w:hAnsi="MS Gothic"/>
                    <w:sz w:val="24"/>
                  </w:rPr>
                  <w:t>☐</w:t>
                </w:r>
              </w:sdtContent>
            </w:sdt>
            <w:r w:rsidR="00275A18" w:rsidRPr="00BB3F13">
              <w:t xml:space="preserve"> Supaprastinta paraiška</w:t>
            </w:r>
          </w:p>
        </w:tc>
      </w:tr>
      <w:tr w:rsidR="00275A18" w:rsidRPr="00BB3F13" w14:paraId="6319C2D3" w14:textId="77777777" w:rsidTr="00275A18">
        <w:trPr>
          <w:trHeight w:val="557"/>
        </w:trPr>
        <w:tc>
          <w:tcPr>
            <w:tcW w:w="632" w:type="dxa"/>
          </w:tcPr>
          <w:p w14:paraId="0B7CA851" w14:textId="77777777" w:rsidR="00275A18" w:rsidRPr="00BB3F13" w:rsidRDefault="00275A18" w:rsidP="00B84419">
            <w:pPr>
              <w:rPr>
                <w:rFonts w:eastAsia="Arial"/>
              </w:rPr>
            </w:pPr>
            <w:r w:rsidRPr="00BB3F13">
              <w:rPr>
                <w:rFonts w:eastAsia="Arial"/>
              </w:rPr>
              <w:t>1.6</w:t>
            </w:r>
          </w:p>
        </w:tc>
        <w:tc>
          <w:tcPr>
            <w:tcW w:w="3694" w:type="dxa"/>
          </w:tcPr>
          <w:p w14:paraId="4851E1D3" w14:textId="77777777" w:rsidR="00275A18" w:rsidRPr="00BB3F13" w:rsidRDefault="00275A18" w:rsidP="00B84419">
            <w:pPr>
              <w:rPr>
                <w:bCs/>
                <w:color w:val="000000"/>
                <w:lang w:eastAsia="lt-LT"/>
              </w:rPr>
            </w:pPr>
            <w:r w:rsidRPr="00BB3F13">
              <w:rPr>
                <w:bCs/>
                <w:color w:val="000000"/>
                <w:lang w:eastAsia="lt-LT"/>
              </w:rPr>
              <w:t>Pareiškėjo teikiama (-</w:t>
            </w:r>
            <w:proofErr w:type="spellStart"/>
            <w:r w:rsidRPr="00BB3F13">
              <w:rPr>
                <w:bCs/>
                <w:color w:val="000000"/>
                <w:lang w:eastAsia="lt-LT"/>
              </w:rPr>
              <w:t>os</w:t>
            </w:r>
            <w:proofErr w:type="spellEnd"/>
            <w:r w:rsidRPr="00BB3F13">
              <w:rPr>
                <w:bCs/>
                <w:color w:val="000000"/>
                <w:lang w:eastAsia="lt-LT"/>
              </w:rPr>
              <w:t>) kompensuoti vaistinio preparato indikacija (-</w:t>
            </w:r>
            <w:proofErr w:type="spellStart"/>
            <w:r w:rsidRPr="00BB3F13">
              <w:rPr>
                <w:bCs/>
                <w:color w:val="000000"/>
                <w:lang w:eastAsia="lt-LT"/>
              </w:rPr>
              <w:t>os</w:t>
            </w:r>
            <w:proofErr w:type="spellEnd"/>
            <w:r w:rsidRPr="00BB3F13">
              <w:rPr>
                <w:bCs/>
                <w:color w:val="000000"/>
                <w:lang w:eastAsia="lt-LT"/>
              </w:rPr>
              <w:t>)</w:t>
            </w:r>
          </w:p>
          <w:p w14:paraId="0851308D" w14:textId="77777777" w:rsidR="00275A18" w:rsidRPr="00BB3F13" w:rsidRDefault="00275A18" w:rsidP="00B84419">
            <w:pPr>
              <w:rPr>
                <w:bCs/>
                <w:color w:val="000000"/>
                <w:lang w:eastAsia="lt-LT"/>
              </w:rPr>
            </w:pPr>
          </w:p>
          <w:p w14:paraId="2DC03CFB" w14:textId="0654D8B9" w:rsidR="00275A18" w:rsidRPr="00BB3F13" w:rsidRDefault="00275A18" w:rsidP="00B84419">
            <w:pPr>
              <w:rPr>
                <w:bCs/>
                <w:color w:val="000000"/>
                <w:lang w:eastAsia="lt-LT"/>
              </w:rPr>
            </w:pPr>
          </w:p>
          <w:p w14:paraId="000AE357" w14:textId="3CC02193" w:rsidR="00275A18" w:rsidRPr="00BB3F13" w:rsidRDefault="00275A18" w:rsidP="00B84419">
            <w:pPr>
              <w:rPr>
                <w:bCs/>
                <w:color w:val="000000"/>
                <w:lang w:eastAsia="lt-LT"/>
              </w:rPr>
            </w:pPr>
          </w:p>
          <w:p w14:paraId="31D4DB3F" w14:textId="4DEBD501" w:rsidR="00275A18" w:rsidRPr="00BB3F13" w:rsidRDefault="00275A18" w:rsidP="00B84419">
            <w:pPr>
              <w:rPr>
                <w:bCs/>
                <w:color w:val="000000"/>
                <w:lang w:eastAsia="lt-LT"/>
              </w:rPr>
            </w:pPr>
          </w:p>
          <w:p w14:paraId="6B576E63" w14:textId="1432C2CE" w:rsidR="00275A18" w:rsidRPr="00BB3F13" w:rsidRDefault="00275A18" w:rsidP="00B84419">
            <w:pPr>
              <w:rPr>
                <w:bCs/>
                <w:color w:val="000000"/>
                <w:lang w:eastAsia="lt-LT"/>
              </w:rPr>
            </w:pPr>
          </w:p>
          <w:p w14:paraId="654C75F7" w14:textId="79874A97" w:rsidR="00275A18" w:rsidRPr="00BB3F13" w:rsidRDefault="00275A18" w:rsidP="00B84419">
            <w:pPr>
              <w:rPr>
                <w:bCs/>
                <w:color w:val="000000"/>
                <w:lang w:eastAsia="lt-LT"/>
              </w:rPr>
            </w:pPr>
          </w:p>
          <w:p w14:paraId="42F04605" w14:textId="77777777" w:rsidR="00275A18" w:rsidRPr="00BB3F13" w:rsidRDefault="00275A18" w:rsidP="00B84419">
            <w:pPr>
              <w:rPr>
                <w:bCs/>
                <w:color w:val="000000"/>
                <w:lang w:eastAsia="lt-LT"/>
              </w:rPr>
            </w:pPr>
            <w:r w:rsidRPr="00BB3F13">
              <w:rPr>
                <w:bCs/>
                <w:color w:val="000000"/>
                <w:lang w:eastAsia="lt-LT"/>
              </w:rPr>
              <w:lastRenderedPageBreak/>
              <w:t>Kodas pagal TLK-10 AM</w:t>
            </w:r>
          </w:p>
        </w:tc>
        <w:tc>
          <w:tcPr>
            <w:tcW w:w="5167" w:type="dxa"/>
          </w:tcPr>
          <w:p w14:paraId="0D265D37" w14:textId="77777777" w:rsidR="00275A18" w:rsidRPr="00BB3F13" w:rsidRDefault="00275A18" w:rsidP="00275A18">
            <w:pPr>
              <w:spacing w:after="60" w:line="276" w:lineRule="auto"/>
              <w:rPr>
                <w:rFonts w:eastAsia="Arial"/>
                <w:color w:val="000000"/>
              </w:rPr>
            </w:pPr>
            <w:proofErr w:type="spellStart"/>
            <w:r w:rsidRPr="00BB3F13">
              <w:rPr>
                <w:rFonts w:eastAsia="Arial"/>
                <w:color w:val="000000"/>
              </w:rPr>
              <w:lastRenderedPageBreak/>
              <w:t>Monofer</w:t>
            </w:r>
            <w:proofErr w:type="spellEnd"/>
            <w:r w:rsidRPr="00BB3F13">
              <w:rPr>
                <w:rFonts w:eastAsia="Arial"/>
                <w:color w:val="000000"/>
              </w:rPr>
              <w:t xml:space="preserve"> yra skirtas geležies stokos gydymui, esant toliau išvardintoms būklėms:</w:t>
            </w:r>
          </w:p>
          <w:p w14:paraId="13D2CC5E" w14:textId="77777777" w:rsidR="00275A18" w:rsidRPr="00BB3F13" w:rsidRDefault="00275A18" w:rsidP="00275A18">
            <w:pPr>
              <w:pStyle w:val="ListParagraph"/>
              <w:numPr>
                <w:ilvl w:val="0"/>
                <w:numId w:val="18"/>
              </w:numPr>
              <w:spacing w:after="60" w:line="276" w:lineRule="auto"/>
              <w:contextualSpacing w:val="0"/>
              <w:rPr>
                <w:rFonts w:eastAsia="Arial"/>
                <w:color w:val="000000"/>
              </w:rPr>
            </w:pPr>
            <w:r w:rsidRPr="00BB3F13">
              <w:rPr>
                <w:rFonts w:eastAsia="Arial"/>
                <w:color w:val="000000"/>
              </w:rPr>
              <w:t>kai negalima vartoti geriamųjų geležies preparatų arba jų vartojimas yra neveiksmingas</w:t>
            </w:r>
          </w:p>
          <w:p w14:paraId="18F6ED45" w14:textId="77777777" w:rsidR="00275A18" w:rsidRPr="00BB3F13" w:rsidRDefault="00275A18" w:rsidP="00275A18">
            <w:pPr>
              <w:numPr>
                <w:ilvl w:val="0"/>
                <w:numId w:val="18"/>
              </w:numPr>
              <w:spacing w:before="60" w:after="60" w:line="276" w:lineRule="auto"/>
              <w:jc w:val="both"/>
              <w:rPr>
                <w:rFonts w:eastAsia="Arial"/>
                <w:color w:val="000000"/>
              </w:rPr>
            </w:pPr>
            <w:r w:rsidRPr="00BB3F13">
              <w:rPr>
                <w:rFonts w:eastAsia="Arial"/>
                <w:color w:val="000000"/>
              </w:rPr>
              <w:t>kliniškai būtina greitai papildyti geležies atsargas.</w:t>
            </w:r>
          </w:p>
          <w:p w14:paraId="206F2637" w14:textId="08FBC1C9" w:rsidR="00275A18" w:rsidRPr="00BB3F13" w:rsidRDefault="00275A18" w:rsidP="00275A18">
            <w:pPr>
              <w:pStyle w:val="ListParagraph"/>
              <w:spacing w:after="120" w:line="276" w:lineRule="auto"/>
              <w:ind w:left="0"/>
              <w:contextualSpacing w:val="0"/>
              <w:jc w:val="both"/>
            </w:pPr>
            <w:r w:rsidRPr="00BB3F13">
              <w:lastRenderedPageBreak/>
              <w:t>D50</w:t>
            </w:r>
          </w:p>
        </w:tc>
      </w:tr>
      <w:tr w:rsidR="00275A18" w:rsidRPr="00BB3F13" w14:paraId="2FCD4B91" w14:textId="77777777" w:rsidTr="00B84419">
        <w:trPr>
          <w:trHeight w:val="378"/>
        </w:trPr>
        <w:tc>
          <w:tcPr>
            <w:tcW w:w="632" w:type="dxa"/>
          </w:tcPr>
          <w:p w14:paraId="6E54175B" w14:textId="77777777" w:rsidR="00275A18" w:rsidRPr="00BB3F13" w:rsidRDefault="00275A18" w:rsidP="00B84419">
            <w:pPr>
              <w:rPr>
                <w:rFonts w:eastAsia="Arial"/>
              </w:rPr>
            </w:pPr>
            <w:r w:rsidRPr="00BB3F13">
              <w:rPr>
                <w:rFonts w:eastAsia="Arial"/>
              </w:rPr>
              <w:lastRenderedPageBreak/>
              <w:t>1.6</w:t>
            </w:r>
          </w:p>
        </w:tc>
        <w:tc>
          <w:tcPr>
            <w:tcW w:w="3694" w:type="dxa"/>
          </w:tcPr>
          <w:p w14:paraId="2B10DDD2" w14:textId="77777777" w:rsidR="00275A18" w:rsidRPr="00BB3F13" w:rsidRDefault="00275A18" w:rsidP="00B84419">
            <w:pPr>
              <w:rPr>
                <w:bCs/>
                <w:color w:val="000000"/>
                <w:u w:val="single"/>
                <w:lang w:eastAsia="lt-LT"/>
              </w:rPr>
            </w:pPr>
            <w:r w:rsidRPr="00BB3F13">
              <w:rPr>
                <w:bCs/>
                <w:color w:val="000000"/>
                <w:lang w:eastAsia="lt-LT"/>
              </w:rPr>
              <w:t xml:space="preserve">Pareiškėjo teikiamos skyrimo sąlygos </w:t>
            </w:r>
          </w:p>
        </w:tc>
        <w:tc>
          <w:tcPr>
            <w:tcW w:w="5167" w:type="dxa"/>
          </w:tcPr>
          <w:p w14:paraId="411A7A29" w14:textId="63412B79" w:rsidR="00275A18" w:rsidRPr="00BB3F13" w:rsidRDefault="00275A18" w:rsidP="00B84419">
            <w:r w:rsidRPr="00BB3F13">
              <w:rPr>
                <w:rFonts w:eastAsia="Arial"/>
                <w:color w:val="000000"/>
              </w:rPr>
              <w:t>Skiriamas geležies stokos gydymui, sąlygotai lėtinių ligų (</w:t>
            </w:r>
            <w:proofErr w:type="spellStart"/>
            <w:r w:rsidRPr="00BB3F13">
              <w:rPr>
                <w:rFonts w:eastAsia="Arial"/>
                <w:color w:val="000000"/>
              </w:rPr>
              <w:t>Hb</w:t>
            </w:r>
            <w:proofErr w:type="spellEnd"/>
            <w:r w:rsidRPr="00BB3F13">
              <w:rPr>
                <w:rFonts w:eastAsia="Arial"/>
                <w:color w:val="000000"/>
              </w:rPr>
              <w:t xml:space="preserve"> &lt;110 g/l), kai negalima vartoti geriamųjų geležies preparatų arba jų vartojimas yra neveiksmingas (</w:t>
            </w:r>
            <w:proofErr w:type="spellStart"/>
            <w:r w:rsidRPr="00BB3F13">
              <w:rPr>
                <w:rFonts w:eastAsia="Arial"/>
                <w:color w:val="000000"/>
              </w:rPr>
              <w:t>Hb</w:t>
            </w:r>
            <w:proofErr w:type="spellEnd"/>
            <w:r w:rsidRPr="00BB3F13">
              <w:rPr>
                <w:rFonts w:eastAsia="Arial"/>
                <w:color w:val="000000"/>
              </w:rPr>
              <w:t xml:space="preserve"> per 2 sav. nepadidėjo 20 g/l arba nepasiekė 120 g/l moterims, 130 g/l vyrams), išskyrus </w:t>
            </w:r>
            <w:proofErr w:type="spellStart"/>
            <w:r w:rsidRPr="00BB3F13">
              <w:rPr>
                <w:rFonts w:eastAsia="Arial"/>
                <w:color w:val="000000"/>
              </w:rPr>
              <w:t>dializuojamus</w:t>
            </w:r>
            <w:proofErr w:type="spellEnd"/>
            <w:r w:rsidRPr="00BB3F13">
              <w:rPr>
                <w:rFonts w:eastAsia="Arial"/>
                <w:color w:val="000000"/>
              </w:rPr>
              <w:t xml:space="preserve"> pacientus.</w:t>
            </w:r>
          </w:p>
        </w:tc>
      </w:tr>
      <w:tr w:rsidR="006E49D5" w:rsidRPr="00BB3F13" w14:paraId="626DA1B8" w14:textId="77777777" w:rsidTr="00B84419">
        <w:trPr>
          <w:trHeight w:val="378"/>
        </w:trPr>
        <w:tc>
          <w:tcPr>
            <w:tcW w:w="632" w:type="dxa"/>
          </w:tcPr>
          <w:p w14:paraId="71D8B6E4" w14:textId="77777777" w:rsidR="006E49D5" w:rsidRPr="00BB3F13" w:rsidRDefault="006E49D5" w:rsidP="006E49D5">
            <w:pPr>
              <w:rPr>
                <w:rFonts w:eastAsia="Arial"/>
              </w:rPr>
            </w:pPr>
            <w:r w:rsidRPr="00BB3F13">
              <w:rPr>
                <w:rFonts w:eastAsia="Arial"/>
              </w:rPr>
              <w:t>1.7</w:t>
            </w:r>
          </w:p>
        </w:tc>
        <w:tc>
          <w:tcPr>
            <w:tcW w:w="3694" w:type="dxa"/>
          </w:tcPr>
          <w:p w14:paraId="1EE2C38C" w14:textId="77777777" w:rsidR="006E49D5" w:rsidRPr="00BB3F13" w:rsidRDefault="006E49D5" w:rsidP="006E49D5">
            <w:pPr>
              <w:rPr>
                <w:bCs/>
                <w:color w:val="000000"/>
                <w:lang w:eastAsia="lt-LT"/>
              </w:rPr>
            </w:pPr>
            <w:r w:rsidRPr="00BB3F13">
              <w:rPr>
                <w:bCs/>
                <w:color w:val="000000"/>
                <w:lang w:eastAsia="lt-LT"/>
              </w:rPr>
              <w:t xml:space="preserve">Pareiškėjo teikiamas palyginamasis gydymas: </w:t>
            </w:r>
          </w:p>
          <w:p w14:paraId="7C748256" w14:textId="77777777" w:rsidR="006E49D5" w:rsidRPr="00BB3F13" w:rsidRDefault="006E49D5" w:rsidP="006E49D5">
            <w:pPr>
              <w:rPr>
                <w:bCs/>
                <w:i/>
                <w:color w:val="000000"/>
                <w:lang w:eastAsia="lt-LT"/>
              </w:rPr>
            </w:pPr>
            <w:r w:rsidRPr="00BB3F13">
              <w:rPr>
                <w:bCs/>
                <w:i/>
                <w:color w:val="000000"/>
                <w:lang w:eastAsia="lt-LT"/>
              </w:rPr>
              <w:t>Tiesioginis</w:t>
            </w:r>
          </w:p>
          <w:p w14:paraId="1CB90B17" w14:textId="77777777" w:rsidR="006E49D5" w:rsidRPr="00BB3F13" w:rsidRDefault="006E49D5" w:rsidP="006E49D5">
            <w:pPr>
              <w:rPr>
                <w:color w:val="000000"/>
                <w:lang w:eastAsia="lt-LT"/>
              </w:rPr>
            </w:pPr>
            <w:proofErr w:type="spellStart"/>
            <w:r w:rsidRPr="00BB3F13">
              <w:rPr>
                <w:rFonts w:eastAsia="Arial"/>
              </w:rPr>
              <w:t>Monofer</w:t>
            </w:r>
            <w:proofErr w:type="spellEnd"/>
            <w:r w:rsidRPr="00BB3F13">
              <w:rPr>
                <w:rFonts w:eastAsia="Arial"/>
              </w:rPr>
              <w:t xml:space="preserve"> </w:t>
            </w:r>
            <w:proofErr w:type="spellStart"/>
            <w:r w:rsidRPr="00BB3F13">
              <w:rPr>
                <w:rFonts w:eastAsia="Arial"/>
              </w:rPr>
              <w:t>vs</w:t>
            </w:r>
            <w:proofErr w:type="spellEnd"/>
            <w:r w:rsidRPr="00BB3F13">
              <w:rPr>
                <w:rFonts w:eastAsia="Arial"/>
              </w:rPr>
              <w:t xml:space="preserve"> EMT</w:t>
            </w:r>
          </w:p>
          <w:p w14:paraId="01EB2FED" w14:textId="77777777" w:rsidR="006E49D5" w:rsidRPr="00BB3F13" w:rsidRDefault="006E49D5" w:rsidP="006E49D5">
            <w:pPr>
              <w:rPr>
                <w:bCs/>
                <w:i/>
                <w:color w:val="000000"/>
                <w:lang w:eastAsia="lt-LT"/>
              </w:rPr>
            </w:pPr>
          </w:p>
          <w:p w14:paraId="369A3DE9" w14:textId="77777777" w:rsidR="006E49D5" w:rsidRPr="00BB3F13" w:rsidRDefault="006E49D5" w:rsidP="006E49D5">
            <w:pPr>
              <w:rPr>
                <w:bCs/>
                <w:i/>
                <w:color w:val="000000"/>
                <w:lang w:eastAsia="lt-LT"/>
              </w:rPr>
            </w:pPr>
            <w:r w:rsidRPr="00BB3F13">
              <w:rPr>
                <w:bCs/>
                <w:i/>
                <w:color w:val="000000"/>
                <w:lang w:eastAsia="lt-LT"/>
              </w:rPr>
              <w:t>Tiesioginis</w:t>
            </w:r>
          </w:p>
          <w:p w14:paraId="5645F0EE" w14:textId="77777777" w:rsidR="006E49D5" w:rsidRPr="00BB3F13" w:rsidRDefault="006E49D5" w:rsidP="006E49D5">
            <w:pPr>
              <w:widowControl w:val="0"/>
              <w:pBdr>
                <w:top w:val="nil"/>
                <w:left w:val="nil"/>
                <w:bottom w:val="nil"/>
                <w:right w:val="nil"/>
                <w:between w:val="nil"/>
              </w:pBdr>
              <w:spacing w:line="276" w:lineRule="auto"/>
              <w:rPr>
                <w:rFonts w:eastAsia="Arial"/>
              </w:rPr>
            </w:pPr>
            <w:r w:rsidRPr="00BB3F13">
              <w:rPr>
                <w:rFonts w:eastAsia="Arial"/>
              </w:rPr>
              <w:t>FERWON 1 IDA-03</w:t>
            </w:r>
          </w:p>
          <w:p w14:paraId="5438D0C6" w14:textId="77777777" w:rsidR="006E49D5" w:rsidRPr="00BB3F13" w:rsidRDefault="006E49D5" w:rsidP="006E49D5">
            <w:pPr>
              <w:rPr>
                <w:rFonts w:eastAsia="Arial"/>
              </w:rPr>
            </w:pPr>
            <w:proofErr w:type="spellStart"/>
            <w:r w:rsidRPr="00BB3F13">
              <w:rPr>
                <w:rFonts w:eastAsia="Arial"/>
              </w:rPr>
              <w:t>Monofer</w:t>
            </w:r>
            <w:proofErr w:type="spellEnd"/>
            <w:r w:rsidRPr="00BB3F13">
              <w:rPr>
                <w:rFonts w:eastAsia="Arial"/>
              </w:rPr>
              <w:t xml:space="preserve"> </w:t>
            </w:r>
            <w:proofErr w:type="spellStart"/>
            <w:r w:rsidRPr="00BB3F13">
              <w:rPr>
                <w:rFonts w:eastAsia="Arial"/>
              </w:rPr>
              <w:t>vs</w:t>
            </w:r>
            <w:proofErr w:type="spellEnd"/>
            <w:r w:rsidRPr="00BB3F13">
              <w:rPr>
                <w:rFonts w:eastAsia="Arial"/>
              </w:rPr>
              <w:t xml:space="preserve"> geležies </w:t>
            </w:r>
            <w:proofErr w:type="spellStart"/>
            <w:r w:rsidRPr="00BB3F13">
              <w:rPr>
                <w:rFonts w:eastAsia="Arial"/>
              </w:rPr>
              <w:t>cukrozė</w:t>
            </w:r>
            <w:proofErr w:type="spellEnd"/>
          </w:p>
          <w:p w14:paraId="22AE0E81" w14:textId="77777777" w:rsidR="006E49D5" w:rsidRPr="00BB3F13" w:rsidRDefault="006E49D5" w:rsidP="006E49D5">
            <w:pPr>
              <w:rPr>
                <w:bCs/>
                <w:i/>
                <w:color w:val="000000"/>
                <w:lang w:eastAsia="lt-LT"/>
              </w:rPr>
            </w:pPr>
          </w:p>
          <w:p w14:paraId="0A6F24C9" w14:textId="77777777" w:rsidR="006E49D5" w:rsidRPr="00BB3F13" w:rsidRDefault="006E49D5" w:rsidP="006E49D5">
            <w:pPr>
              <w:widowControl w:val="0"/>
              <w:pBdr>
                <w:top w:val="nil"/>
                <w:left w:val="nil"/>
                <w:bottom w:val="nil"/>
                <w:right w:val="nil"/>
                <w:between w:val="nil"/>
              </w:pBdr>
              <w:spacing w:line="276" w:lineRule="auto"/>
              <w:rPr>
                <w:rFonts w:eastAsia="Arial"/>
              </w:rPr>
            </w:pPr>
            <w:r w:rsidRPr="00BB3F13">
              <w:rPr>
                <w:rFonts w:eastAsia="Arial"/>
              </w:rPr>
              <w:t>PROVIDE IDA-01</w:t>
            </w:r>
          </w:p>
          <w:p w14:paraId="64E2F627" w14:textId="77777777" w:rsidR="006E49D5" w:rsidRPr="00BB3F13" w:rsidRDefault="006E49D5" w:rsidP="006E49D5">
            <w:pPr>
              <w:rPr>
                <w:rFonts w:eastAsia="Arial"/>
              </w:rPr>
            </w:pPr>
            <w:proofErr w:type="spellStart"/>
            <w:r w:rsidRPr="00BB3F13">
              <w:rPr>
                <w:rFonts w:eastAsia="Arial"/>
              </w:rPr>
              <w:t>Monofer</w:t>
            </w:r>
            <w:proofErr w:type="spellEnd"/>
            <w:r w:rsidRPr="00BB3F13">
              <w:rPr>
                <w:rFonts w:eastAsia="Arial"/>
              </w:rPr>
              <w:t xml:space="preserve"> </w:t>
            </w:r>
            <w:proofErr w:type="spellStart"/>
            <w:r w:rsidRPr="00BB3F13">
              <w:rPr>
                <w:rFonts w:eastAsia="Arial"/>
              </w:rPr>
              <w:t>vs</w:t>
            </w:r>
            <w:proofErr w:type="spellEnd"/>
            <w:r w:rsidRPr="00BB3F13">
              <w:rPr>
                <w:rFonts w:eastAsia="Arial"/>
              </w:rPr>
              <w:t xml:space="preserve"> geležies </w:t>
            </w:r>
            <w:proofErr w:type="spellStart"/>
            <w:r w:rsidRPr="00BB3F13">
              <w:rPr>
                <w:rFonts w:eastAsia="Arial"/>
              </w:rPr>
              <w:t>cukrozė</w:t>
            </w:r>
            <w:proofErr w:type="spellEnd"/>
          </w:p>
          <w:p w14:paraId="720A2CC7" w14:textId="77777777" w:rsidR="006E49D5" w:rsidRPr="00BB3F13" w:rsidRDefault="006E49D5" w:rsidP="006E49D5">
            <w:pPr>
              <w:rPr>
                <w:bCs/>
                <w:i/>
                <w:color w:val="000000"/>
                <w:lang w:eastAsia="lt-LT"/>
              </w:rPr>
            </w:pPr>
          </w:p>
          <w:p w14:paraId="0B64BCBE" w14:textId="77777777" w:rsidR="006E49D5" w:rsidRPr="00BB3F13" w:rsidRDefault="006E49D5" w:rsidP="006E49D5">
            <w:pPr>
              <w:rPr>
                <w:bCs/>
                <w:i/>
                <w:color w:val="000000"/>
                <w:lang w:eastAsia="lt-LT"/>
              </w:rPr>
            </w:pPr>
            <w:r w:rsidRPr="00BB3F13">
              <w:rPr>
                <w:bCs/>
                <w:i/>
                <w:color w:val="000000"/>
                <w:lang w:eastAsia="lt-LT"/>
              </w:rPr>
              <w:t>Realaus stebėjimo tyrimas</w:t>
            </w:r>
          </w:p>
          <w:p w14:paraId="32A96E9C" w14:textId="77777777" w:rsidR="006E49D5" w:rsidRPr="00BB3F13" w:rsidRDefault="006E49D5" w:rsidP="006E49D5">
            <w:pPr>
              <w:widowControl w:val="0"/>
              <w:pBdr>
                <w:top w:val="nil"/>
                <w:left w:val="nil"/>
                <w:bottom w:val="nil"/>
                <w:right w:val="nil"/>
                <w:between w:val="nil"/>
              </w:pBdr>
              <w:spacing w:line="276" w:lineRule="auto"/>
              <w:rPr>
                <w:rFonts w:eastAsia="Arial"/>
              </w:rPr>
            </w:pPr>
            <w:proofErr w:type="spellStart"/>
            <w:r w:rsidRPr="00BB3F13">
              <w:rPr>
                <w:rFonts w:eastAsia="Arial"/>
              </w:rPr>
              <w:t>SoftDent</w:t>
            </w:r>
            <w:proofErr w:type="spellEnd"/>
            <w:r w:rsidRPr="00BB3F13">
              <w:rPr>
                <w:rFonts w:eastAsia="Arial"/>
              </w:rPr>
              <w:t xml:space="preserve"> realaus gydymo įrodymai Lietuvoje</w:t>
            </w:r>
          </w:p>
          <w:p w14:paraId="2905293F" w14:textId="77777777" w:rsidR="006E49D5" w:rsidRPr="00BB3F13" w:rsidRDefault="006E49D5" w:rsidP="006E49D5">
            <w:pPr>
              <w:rPr>
                <w:rFonts w:eastAsia="Arial"/>
              </w:rPr>
            </w:pPr>
            <w:proofErr w:type="spellStart"/>
            <w:r w:rsidRPr="00BB3F13">
              <w:rPr>
                <w:rFonts w:eastAsia="Arial"/>
              </w:rPr>
              <w:t>Monofer</w:t>
            </w:r>
            <w:proofErr w:type="spellEnd"/>
            <w:r w:rsidRPr="00BB3F13">
              <w:rPr>
                <w:rFonts w:eastAsia="Arial"/>
              </w:rPr>
              <w:t xml:space="preserve"> </w:t>
            </w:r>
            <w:proofErr w:type="spellStart"/>
            <w:r w:rsidRPr="00BB3F13">
              <w:rPr>
                <w:rFonts w:eastAsia="Arial"/>
              </w:rPr>
              <w:t>vs</w:t>
            </w:r>
            <w:proofErr w:type="spellEnd"/>
            <w:r w:rsidRPr="00BB3F13">
              <w:rPr>
                <w:rFonts w:eastAsia="Arial"/>
              </w:rPr>
              <w:t xml:space="preserve"> stebėjimas</w:t>
            </w:r>
          </w:p>
          <w:p w14:paraId="460C0FCE" w14:textId="77777777" w:rsidR="006E49D5" w:rsidRPr="00BB3F13" w:rsidRDefault="006E49D5" w:rsidP="006E49D5">
            <w:pPr>
              <w:rPr>
                <w:rFonts w:eastAsia="Arial"/>
              </w:rPr>
            </w:pPr>
          </w:p>
          <w:p w14:paraId="57C73B55" w14:textId="77777777" w:rsidR="006E49D5" w:rsidRPr="00BB3F13" w:rsidRDefault="006E49D5" w:rsidP="006E49D5">
            <w:pPr>
              <w:rPr>
                <w:bCs/>
                <w:i/>
                <w:color w:val="000000"/>
                <w:lang w:eastAsia="lt-LT"/>
              </w:rPr>
            </w:pPr>
            <w:r w:rsidRPr="00BB3F13">
              <w:rPr>
                <w:bCs/>
                <w:i/>
                <w:color w:val="000000"/>
                <w:lang w:eastAsia="lt-LT"/>
              </w:rPr>
              <w:t>Realaus stebėjimo tyrimas</w:t>
            </w:r>
          </w:p>
          <w:p w14:paraId="113C227E" w14:textId="77777777" w:rsidR="006E49D5" w:rsidRPr="00BB3F13" w:rsidRDefault="006E49D5" w:rsidP="006E49D5">
            <w:pPr>
              <w:widowControl w:val="0"/>
              <w:pBdr>
                <w:top w:val="nil"/>
                <w:left w:val="nil"/>
                <w:bottom w:val="nil"/>
                <w:right w:val="nil"/>
                <w:between w:val="nil"/>
              </w:pBdr>
              <w:spacing w:line="276" w:lineRule="auto"/>
              <w:rPr>
                <w:rFonts w:eastAsia="Arial"/>
              </w:rPr>
            </w:pPr>
            <w:proofErr w:type="spellStart"/>
            <w:r w:rsidRPr="00BB3F13">
              <w:t>Sinclair</w:t>
            </w:r>
            <w:proofErr w:type="spellEnd"/>
            <w:r w:rsidRPr="00BB3F13">
              <w:t xml:space="preserve"> et al 2022</w:t>
            </w:r>
          </w:p>
          <w:p w14:paraId="4B0403DB" w14:textId="77777777" w:rsidR="006E49D5" w:rsidRPr="00BB3F13" w:rsidRDefault="006E49D5" w:rsidP="006E49D5">
            <w:pPr>
              <w:widowControl w:val="0"/>
              <w:pBdr>
                <w:top w:val="nil"/>
                <w:left w:val="nil"/>
                <w:bottom w:val="nil"/>
                <w:right w:val="nil"/>
                <w:between w:val="nil"/>
              </w:pBdr>
              <w:spacing w:line="276" w:lineRule="auto"/>
              <w:rPr>
                <w:rFonts w:eastAsia="Arial"/>
              </w:rPr>
            </w:pPr>
            <w:r w:rsidRPr="00BB3F13">
              <w:rPr>
                <w:rFonts w:eastAsia="Arial"/>
              </w:rPr>
              <w:t xml:space="preserve">Realaus gydymo įrodymai Jungtinėje Karalystėje </w:t>
            </w:r>
          </w:p>
          <w:p w14:paraId="7414B85B" w14:textId="77777777" w:rsidR="006E49D5" w:rsidRPr="00BB3F13" w:rsidRDefault="006E49D5" w:rsidP="006E49D5">
            <w:pPr>
              <w:rPr>
                <w:bCs/>
                <w:i/>
                <w:color w:val="000000"/>
                <w:lang w:eastAsia="lt-LT"/>
              </w:rPr>
            </w:pPr>
            <w:proofErr w:type="spellStart"/>
            <w:r w:rsidRPr="00BB3F13">
              <w:rPr>
                <w:rFonts w:eastAsia="Arial"/>
              </w:rPr>
              <w:t>Monofer</w:t>
            </w:r>
            <w:proofErr w:type="spellEnd"/>
            <w:r w:rsidRPr="00BB3F13">
              <w:rPr>
                <w:rFonts w:eastAsia="Arial"/>
              </w:rPr>
              <w:t xml:space="preserve"> </w:t>
            </w:r>
            <w:proofErr w:type="spellStart"/>
            <w:r w:rsidRPr="00BB3F13">
              <w:rPr>
                <w:rFonts w:eastAsia="Arial"/>
              </w:rPr>
              <w:t>vs</w:t>
            </w:r>
            <w:proofErr w:type="spellEnd"/>
            <w:r w:rsidRPr="00BB3F13">
              <w:rPr>
                <w:rFonts w:eastAsia="Arial"/>
              </w:rPr>
              <w:t xml:space="preserve"> stebėjimas</w:t>
            </w:r>
          </w:p>
          <w:p w14:paraId="60783522" w14:textId="77777777" w:rsidR="006E49D5" w:rsidRPr="00BB3F13" w:rsidRDefault="006E49D5" w:rsidP="006E49D5">
            <w:pPr>
              <w:rPr>
                <w:bCs/>
                <w:color w:val="000000"/>
                <w:lang w:eastAsia="lt-LT"/>
              </w:rPr>
            </w:pPr>
          </w:p>
        </w:tc>
        <w:tc>
          <w:tcPr>
            <w:tcW w:w="5167" w:type="dxa"/>
          </w:tcPr>
          <w:p w14:paraId="59F1660E" w14:textId="77777777" w:rsidR="006E49D5" w:rsidRPr="00BB3F13" w:rsidRDefault="006E49D5" w:rsidP="006E49D5">
            <w:pPr>
              <w:rPr>
                <w:rStyle w:val="Style2"/>
                <w:sz w:val="24"/>
              </w:rPr>
            </w:pPr>
          </w:p>
          <w:p w14:paraId="1CE50F9D" w14:textId="77777777" w:rsidR="006E49D5" w:rsidRPr="00BB3F13" w:rsidRDefault="006E49D5" w:rsidP="006E49D5"/>
          <w:p w14:paraId="1A94BC6D" w14:textId="77777777" w:rsidR="006E49D5" w:rsidRPr="00BB3F13" w:rsidRDefault="00000000" w:rsidP="006E49D5">
            <w:sdt>
              <w:sdtPr>
                <w:rPr>
                  <w:rStyle w:val="Style2"/>
                  <w:sz w:val="24"/>
                </w:rPr>
                <w:id w:val="-439376113"/>
                <w15:color w:val="FFCC00"/>
                <w14:checkbox>
                  <w14:checked w14:val="1"/>
                  <w14:checkedState w14:val="2612" w14:font="MS Gothic"/>
                  <w14:uncheckedState w14:val="2610" w14:font="MS Gothic"/>
                </w14:checkbox>
              </w:sdtPr>
              <w:sdtContent>
                <w:r w:rsidR="006E49D5" w:rsidRPr="00BB3F13">
                  <w:rPr>
                    <w:rStyle w:val="Style2"/>
                    <w:rFonts w:ascii="MS Gothic" w:eastAsia="MS Gothic" w:hAnsi="MS Gothic"/>
                    <w:sz w:val="24"/>
                  </w:rPr>
                  <w:t>☒</w:t>
                </w:r>
              </w:sdtContent>
            </w:sdt>
            <w:r w:rsidR="006E49D5" w:rsidRPr="00BB3F13">
              <w:t xml:space="preserve"> Tinkamas</w:t>
            </w:r>
          </w:p>
          <w:p w14:paraId="570D5286" w14:textId="77777777" w:rsidR="006E49D5" w:rsidRPr="00BB3F13" w:rsidRDefault="00000000" w:rsidP="006E49D5">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Content>
                <w:r w:rsidR="006E49D5" w:rsidRPr="00BB3F13">
                  <w:rPr>
                    <w:rStyle w:val="Style2"/>
                    <w:rFonts w:ascii="MS Gothic" w:eastAsia="MS Gothic" w:hAnsi="MS Gothic"/>
                    <w:sz w:val="24"/>
                  </w:rPr>
                  <w:t>☐</w:t>
                </w:r>
              </w:sdtContent>
            </w:sdt>
            <w:r w:rsidR="006E49D5" w:rsidRPr="00BB3F13">
              <w:t xml:space="preserve"> Netinkamas</w:t>
            </w:r>
          </w:p>
          <w:p w14:paraId="3523CFF9" w14:textId="77777777" w:rsidR="006E49D5" w:rsidRPr="00BB3F13" w:rsidRDefault="006E49D5" w:rsidP="006E49D5">
            <w:pPr>
              <w:rPr>
                <w:rStyle w:val="Style2"/>
                <w:sz w:val="24"/>
              </w:rPr>
            </w:pPr>
          </w:p>
          <w:p w14:paraId="39EE4F83" w14:textId="77777777" w:rsidR="006E49D5" w:rsidRPr="00BB3F13" w:rsidRDefault="00000000" w:rsidP="006E49D5">
            <w:sdt>
              <w:sdtPr>
                <w:rPr>
                  <w:rStyle w:val="Style2"/>
                  <w:sz w:val="24"/>
                </w:rPr>
                <w:id w:val="-834302966"/>
                <w15:color w:val="FFCC00"/>
                <w14:checkbox>
                  <w14:checked w14:val="0"/>
                  <w14:checkedState w14:val="2612" w14:font="MS Gothic"/>
                  <w14:uncheckedState w14:val="2610" w14:font="MS Gothic"/>
                </w14:checkbox>
              </w:sdtPr>
              <w:sdtContent>
                <w:r w:rsidR="006E49D5" w:rsidRPr="00BB3F13">
                  <w:rPr>
                    <w:rStyle w:val="Style2"/>
                    <w:rFonts w:ascii="MS Gothic" w:eastAsia="MS Gothic" w:hAnsi="MS Gothic"/>
                    <w:sz w:val="24"/>
                  </w:rPr>
                  <w:t>☐</w:t>
                </w:r>
              </w:sdtContent>
            </w:sdt>
            <w:r w:rsidR="006E49D5" w:rsidRPr="00BB3F13">
              <w:t xml:space="preserve"> Tinkamas</w:t>
            </w:r>
          </w:p>
          <w:p w14:paraId="066D1615" w14:textId="77777777" w:rsidR="006E49D5" w:rsidRPr="00BB3F13" w:rsidRDefault="00000000" w:rsidP="006E49D5">
            <w:sdt>
              <w:sdtPr>
                <w:rPr>
                  <w:rStyle w:val="Style2"/>
                  <w:sz w:val="24"/>
                </w:rPr>
                <w:id w:val="-352420698"/>
                <w15:color w:val="FFCC00"/>
                <w14:checkbox>
                  <w14:checked w14:val="0"/>
                  <w14:checkedState w14:val="2612" w14:font="MS Gothic"/>
                  <w14:uncheckedState w14:val="2610" w14:font="MS Gothic"/>
                </w14:checkbox>
              </w:sdtPr>
              <w:sdtContent>
                <w:r w:rsidR="006E49D5" w:rsidRPr="00BB3F13">
                  <w:rPr>
                    <w:rStyle w:val="Style2"/>
                    <w:rFonts w:ascii="MS Gothic" w:eastAsia="MS Gothic" w:hAnsi="MS Gothic"/>
                    <w:sz w:val="24"/>
                  </w:rPr>
                  <w:t>☐</w:t>
                </w:r>
              </w:sdtContent>
            </w:sdt>
            <w:r w:rsidR="006E49D5" w:rsidRPr="00BB3F13">
              <w:t xml:space="preserve"> Netinkamas</w:t>
            </w:r>
          </w:p>
          <w:p w14:paraId="21F4CDAA" w14:textId="77777777" w:rsidR="006E49D5" w:rsidRPr="00BB3F13" w:rsidRDefault="006E49D5" w:rsidP="006E49D5"/>
          <w:p w14:paraId="4782C8C6" w14:textId="77777777" w:rsidR="006E49D5" w:rsidRPr="00BB3F13" w:rsidRDefault="006E49D5" w:rsidP="006E49D5"/>
          <w:p w14:paraId="7F5D41D9" w14:textId="77777777" w:rsidR="006E49D5" w:rsidRPr="00BB3F13" w:rsidRDefault="00000000" w:rsidP="006E49D5">
            <w:sdt>
              <w:sdtPr>
                <w:rPr>
                  <w:rStyle w:val="Style2"/>
                  <w:sz w:val="24"/>
                </w:rPr>
                <w:id w:val="938648138"/>
                <w15:color w:val="FFCC00"/>
                <w14:checkbox>
                  <w14:checked w14:val="0"/>
                  <w14:checkedState w14:val="2612" w14:font="MS Gothic"/>
                  <w14:uncheckedState w14:val="2610" w14:font="MS Gothic"/>
                </w14:checkbox>
              </w:sdtPr>
              <w:sdtContent>
                <w:r w:rsidR="006E49D5" w:rsidRPr="00BB3F13">
                  <w:rPr>
                    <w:rStyle w:val="Style2"/>
                    <w:rFonts w:ascii="MS Gothic" w:eastAsia="MS Gothic" w:hAnsi="MS Gothic"/>
                    <w:sz w:val="24"/>
                  </w:rPr>
                  <w:t>☐</w:t>
                </w:r>
              </w:sdtContent>
            </w:sdt>
            <w:r w:rsidR="006E49D5" w:rsidRPr="00BB3F13">
              <w:t xml:space="preserve"> Tinkamas</w:t>
            </w:r>
          </w:p>
          <w:p w14:paraId="37B40D94" w14:textId="77777777" w:rsidR="006E49D5" w:rsidRPr="00BB3F13" w:rsidRDefault="00000000" w:rsidP="006E49D5">
            <w:sdt>
              <w:sdtPr>
                <w:rPr>
                  <w:rStyle w:val="Style2"/>
                  <w:sz w:val="24"/>
                </w:rPr>
                <w:id w:val="1524977787"/>
                <w15:color w:val="FFCC00"/>
                <w14:checkbox>
                  <w14:checked w14:val="1"/>
                  <w14:checkedState w14:val="2612" w14:font="MS Gothic"/>
                  <w14:uncheckedState w14:val="2610" w14:font="MS Gothic"/>
                </w14:checkbox>
              </w:sdtPr>
              <w:sdtContent>
                <w:r w:rsidR="006E49D5" w:rsidRPr="00BB3F13">
                  <w:rPr>
                    <w:rStyle w:val="Style2"/>
                    <w:rFonts w:ascii="MS Gothic" w:eastAsia="MS Gothic" w:hAnsi="MS Gothic"/>
                    <w:sz w:val="24"/>
                  </w:rPr>
                  <w:t>☒</w:t>
                </w:r>
              </w:sdtContent>
            </w:sdt>
            <w:r w:rsidR="006E49D5" w:rsidRPr="00BB3F13">
              <w:t xml:space="preserve"> Netinkamas</w:t>
            </w:r>
          </w:p>
          <w:p w14:paraId="1179C866" w14:textId="77777777" w:rsidR="006E49D5" w:rsidRPr="00BB3F13" w:rsidRDefault="006E49D5" w:rsidP="006E49D5"/>
          <w:p w14:paraId="0809BE89" w14:textId="77777777" w:rsidR="006E49D5" w:rsidRPr="00BB3F13" w:rsidRDefault="00000000" w:rsidP="006E49D5">
            <w:sdt>
              <w:sdtPr>
                <w:rPr>
                  <w:rStyle w:val="Style2"/>
                  <w:sz w:val="24"/>
                </w:rPr>
                <w:id w:val="1771658034"/>
                <w15:color w:val="FFCC00"/>
                <w14:checkbox>
                  <w14:checked w14:val="0"/>
                  <w14:checkedState w14:val="2612" w14:font="MS Gothic"/>
                  <w14:uncheckedState w14:val="2610" w14:font="MS Gothic"/>
                </w14:checkbox>
              </w:sdtPr>
              <w:sdtContent>
                <w:r w:rsidR="006E49D5" w:rsidRPr="00BB3F13">
                  <w:rPr>
                    <w:rStyle w:val="Style2"/>
                    <w:rFonts w:ascii="MS Gothic" w:eastAsia="MS Gothic" w:hAnsi="MS Gothic"/>
                    <w:sz w:val="24"/>
                  </w:rPr>
                  <w:t>☐</w:t>
                </w:r>
              </w:sdtContent>
            </w:sdt>
            <w:r w:rsidR="006E49D5" w:rsidRPr="00BB3F13">
              <w:t xml:space="preserve"> Tinkamas</w:t>
            </w:r>
          </w:p>
          <w:p w14:paraId="78DF3A33" w14:textId="77777777" w:rsidR="006E49D5" w:rsidRPr="00BB3F13" w:rsidRDefault="00000000" w:rsidP="006E49D5">
            <w:sdt>
              <w:sdtPr>
                <w:rPr>
                  <w:rStyle w:val="Style2"/>
                  <w:sz w:val="24"/>
                </w:rPr>
                <w:id w:val="-471203376"/>
                <w15:color w:val="FFCC00"/>
                <w14:checkbox>
                  <w14:checked w14:val="0"/>
                  <w14:checkedState w14:val="2612" w14:font="MS Gothic"/>
                  <w14:uncheckedState w14:val="2610" w14:font="MS Gothic"/>
                </w14:checkbox>
              </w:sdtPr>
              <w:sdtContent>
                <w:r w:rsidR="006E49D5" w:rsidRPr="00BB3F13">
                  <w:rPr>
                    <w:rStyle w:val="Style2"/>
                    <w:rFonts w:ascii="MS Gothic" w:eastAsia="MS Gothic" w:hAnsi="MS Gothic"/>
                    <w:sz w:val="24"/>
                  </w:rPr>
                  <w:t>☐</w:t>
                </w:r>
              </w:sdtContent>
            </w:sdt>
            <w:r w:rsidR="006E49D5" w:rsidRPr="00BB3F13">
              <w:t xml:space="preserve"> Netinkamas</w:t>
            </w:r>
          </w:p>
          <w:p w14:paraId="26C8ABB8" w14:textId="77777777" w:rsidR="006E49D5" w:rsidRPr="00BB3F13" w:rsidRDefault="006E49D5" w:rsidP="006E49D5"/>
          <w:p w14:paraId="7B70689D" w14:textId="77777777" w:rsidR="006E49D5" w:rsidRPr="00BB3F13" w:rsidRDefault="006E49D5" w:rsidP="006E49D5"/>
          <w:p w14:paraId="226A46C6" w14:textId="77777777" w:rsidR="006E49D5" w:rsidRPr="00BB3F13" w:rsidRDefault="006E49D5" w:rsidP="006E49D5"/>
          <w:p w14:paraId="6229D798" w14:textId="77777777" w:rsidR="006E49D5" w:rsidRPr="00BB3F13" w:rsidRDefault="00000000" w:rsidP="006E49D5">
            <w:sdt>
              <w:sdtPr>
                <w:rPr>
                  <w:rStyle w:val="Style2"/>
                  <w:sz w:val="24"/>
                </w:rPr>
                <w:id w:val="855775056"/>
                <w15:color w:val="FFCC00"/>
                <w14:checkbox>
                  <w14:checked w14:val="0"/>
                  <w14:checkedState w14:val="2612" w14:font="MS Gothic"/>
                  <w14:uncheckedState w14:val="2610" w14:font="MS Gothic"/>
                </w14:checkbox>
              </w:sdtPr>
              <w:sdtContent>
                <w:r w:rsidR="006E49D5" w:rsidRPr="00BB3F13">
                  <w:rPr>
                    <w:rStyle w:val="Style2"/>
                    <w:rFonts w:ascii="MS Gothic" w:eastAsia="MS Gothic" w:hAnsi="MS Gothic"/>
                    <w:sz w:val="24"/>
                  </w:rPr>
                  <w:t>☐</w:t>
                </w:r>
              </w:sdtContent>
            </w:sdt>
            <w:r w:rsidR="006E49D5" w:rsidRPr="00BB3F13">
              <w:t xml:space="preserve"> Tinkamas</w:t>
            </w:r>
          </w:p>
          <w:p w14:paraId="66AEFEB0" w14:textId="7A40CEDD" w:rsidR="006E49D5" w:rsidRPr="00BB3F13" w:rsidRDefault="00000000" w:rsidP="006E49D5">
            <w:sdt>
              <w:sdtPr>
                <w:rPr>
                  <w:rStyle w:val="Style2"/>
                  <w:sz w:val="24"/>
                </w:rPr>
                <w:id w:val="-1497114352"/>
                <w15:color w:val="FFCC00"/>
                <w14:checkbox>
                  <w14:checked w14:val="0"/>
                  <w14:checkedState w14:val="2612" w14:font="MS Gothic"/>
                  <w14:uncheckedState w14:val="2610" w14:font="MS Gothic"/>
                </w14:checkbox>
              </w:sdtPr>
              <w:sdtContent>
                <w:r w:rsidR="006E49D5" w:rsidRPr="00BB3F13">
                  <w:rPr>
                    <w:rStyle w:val="Style2"/>
                    <w:rFonts w:ascii="MS Gothic" w:eastAsia="MS Gothic" w:hAnsi="MS Gothic"/>
                    <w:sz w:val="24"/>
                  </w:rPr>
                  <w:t>☐</w:t>
                </w:r>
              </w:sdtContent>
            </w:sdt>
            <w:r w:rsidR="006E49D5" w:rsidRPr="00BB3F13">
              <w:t xml:space="preserve"> Netinkamas</w:t>
            </w:r>
          </w:p>
        </w:tc>
      </w:tr>
    </w:tbl>
    <w:p w14:paraId="175653D2" w14:textId="77777777" w:rsidR="00275A18" w:rsidRPr="00BB3F13" w:rsidRDefault="00275A18" w:rsidP="00E03C3F">
      <w:pPr>
        <w:pStyle w:val="ListParagraph"/>
        <w:tabs>
          <w:tab w:val="left" w:pos="426"/>
        </w:tabs>
        <w:ind w:left="0"/>
        <w:rPr>
          <w:b/>
          <w:bCs/>
          <w:caps/>
        </w:rPr>
      </w:pPr>
    </w:p>
    <w:p w14:paraId="2ACFCA02" w14:textId="00856A39" w:rsidR="008B2311" w:rsidRPr="00BB3F13" w:rsidRDefault="008B2311" w:rsidP="00E03C3F">
      <w:pPr>
        <w:pStyle w:val="ListParagraph"/>
        <w:tabs>
          <w:tab w:val="left" w:pos="426"/>
        </w:tabs>
        <w:ind w:left="0"/>
        <w:rPr>
          <w:b/>
          <w:bCs/>
          <w:caps/>
        </w:rPr>
      </w:pPr>
    </w:p>
    <w:p w14:paraId="1948C8BA" w14:textId="77777777" w:rsidR="008B2311" w:rsidRPr="00BB3F13" w:rsidRDefault="008B2311" w:rsidP="00E03C3F">
      <w:pPr>
        <w:pStyle w:val="ListParagraph"/>
        <w:tabs>
          <w:tab w:val="left" w:pos="426"/>
        </w:tabs>
        <w:ind w:left="0"/>
        <w:rPr>
          <w:b/>
          <w:bCs/>
          <w:caps/>
        </w:rPr>
      </w:pPr>
    </w:p>
    <w:p w14:paraId="1242813B" w14:textId="75D28358" w:rsidR="0032204D" w:rsidRPr="00BB3F13" w:rsidRDefault="00F70C9E" w:rsidP="0032204D">
      <w:pPr>
        <w:pStyle w:val="ListParagraph"/>
        <w:numPr>
          <w:ilvl w:val="1"/>
          <w:numId w:val="12"/>
        </w:numPr>
        <w:spacing w:line="276" w:lineRule="auto"/>
        <w:jc w:val="both"/>
        <w:rPr>
          <w:rFonts w:eastAsia="Arial"/>
          <w:b/>
        </w:rPr>
      </w:pPr>
      <w:r w:rsidRPr="00BB3F13">
        <w:rPr>
          <w:rFonts w:eastAsia="Arial"/>
          <w:b/>
        </w:rPr>
        <w:t xml:space="preserve">Kitų </w:t>
      </w:r>
      <w:r w:rsidR="00DF583C" w:rsidRPr="00BB3F13">
        <w:rPr>
          <w:rFonts w:eastAsia="Arial"/>
          <w:b/>
        </w:rPr>
        <w:t xml:space="preserve">valstybių </w:t>
      </w:r>
      <w:r w:rsidRPr="00BB3F13">
        <w:rPr>
          <w:rFonts w:eastAsia="Arial"/>
          <w:b/>
        </w:rPr>
        <w:t xml:space="preserve">atsakingų institucijų atlikto </w:t>
      </w:r>
      <w:r w:rsidR="00DF583C" w:rsidRPr="00BB3F13">
        <w:rPr>
          <w:rFonts w:eastAsia="Arial"/>
          <w:b/>
        </w:rPr>
        <w:t>Sveikatos technologijų vertinimo (toliau – STV)</w:t>
      </w:r>
      <w:r w:rsidRPr="00BB3F13">
        <w:rPr>
          <w:rFonts w:eastAsia="Arial"/>
          <w:b/>
        </w:rPr>
        <w:t xml:space="preserve"> išvados</w:t>
      </w:r>
    </w:p>
    <w:p w14:paraId="2805AC0C" w14:textId="7CA6238B" w:rsidR="0032204D" w:rsidRPr="00BB3F13" w:rsidRDefault="0032204D" w:rsidP="0032204D">
      <w:pPr>
        <w:pStyle w:val="ListParagraph"/>
        <w:spacing w:line="276" w:lineRule="auto"/>
        <w:jc w:val="both"/>
        <w:rPr>
          <w:rFonts w:eastAsia="Arial"/>
          <w:b/>
        </w:rPr>
      </w:pPr>
    </w:p>
    <w:tbl>
      <w:tblPr>
        <w:tblStyle w:val="TableGrid"/>
        <w:tblW w:w="9918" w:type="dxa"/>
        <w:tblLook w:val="04A0" w:firstRow="1" w:lastRow="0" w:firstColumn="1" w:lastColumn="0" w:noHBand="0" w:noVBand="1"/>
      </w:tblPr>
      <w:tblGrid>
        <w:gridCol w:w="2927"/>
        <w:gridCol w:w="1915"/>
        <w:gridCol w:w="2808"/>
        <w:gridCol w:w="2268"/>
      </w:tblGrid>
      <w:tr w:rsidR="00E073B4" w:rsidRPr="00BB3F13" w14:paraId="7A4E6A48" w14:textId="77777777" w:rsidTr="00CF4B7A">
        <w:trPr>
          <w:trHeight w:val="924"/>
        </w:trPr>
        <w:tc>
          <w:tcPr>
            <w:tcW w:w="2927" w:type="dxa"/>
          </w:tcPr>
          <w:p w14:paraId="10324BAC" w14:textId="77777777" w:rsidR="0032204D" w:rsidRPr="00BB3F13" w:rsidRDefault="0032204D" w:rsidP="00C44ADA">
            <w:pPr>
              <w:spacing w:line="276" w:lineRule="auto"/>
              <w:rPr>
                <w:rFonts w:eastAsia="Arial"/>
              </w:rPr>
            </w:pPr>
            <w:r w:rsidRPr="00BB3F13">
              <w:rPr>
                <w:rFonts w:eastAsia="Arial"/>
              </w:rPr>
              <w:t>STV agentūros pavadinimas, šalis</w:t>
            </w:r>
          </w:p>
        </w:tc>
        <w:tc>
          <w:tcPr>
            <w:tcW w:w="1915" w:type="dxa"/>
          </w:tcPr>
          <w:p w14:paraId="748DC58C" w14:textId="77777777" w:rsidR="0032204D" w:rsidRPr="00BB3F13" w:rsidRDefault="0032204D" w:rsidP="00C44ADA">
            <w:pPr>
              <w:spacing w:line="276" w:lineRule="auto"/>
              <w:rPr>
                <w:rFonts w:eastAsia="Arial"/>
              </w:rPr>
            </w:pPr>
            <w:r w:rsidRPr="00BB3F13">
              <w:rPr>
                <w:rFonts w:eastAsia="Arial"/>
              </w:rPr>
              <w:t>STV vertinimas atliktas</w:t>
            </w:r>
          </w:p>
        </w:tc>
        <w:tc>
          <w:tcPr>
            <w:tcW w:w="2808" w:type="dxa"/>
          </w:tcPr>
          <w:p w14:paraId="7DE0714F" w14:textId="77777777" w:rsidR="0032204D" w:rsidRPr="00BB3F13" w:rsidRDefault="0032204D" w:rsidP="00C44ADA">
            <w:pPr>
              <w:spacing w:line="276" w:lineRule="auto"/>
              <w:rPr>
                <w:rFonts w:eastAsia="Arial"/>
              </w:rPr>
            </w:pPr>
            <w:r w:rsidRPr="00BB3F13">
              <w:rPr>
                <w:rFonts w:eastAsia="Arial"/>
              </w:rPr>
              <w:t>Klinikinio vertinimo išvada</w:t>
            </w:r>
          </w:p>
        </w:tc>
        <w:tc>
          <w:tcPr>
            <w:tcW w:w="2268" w:type="dxa"/>
          </w:tcPr>
          <w:p w14:paraId="2667E1CE" w14:textId="77777777" w:rsidR="0032204D" w:rsidRPr="00BB3F13" w:rsidRDefault="0032204D" w:rsidP="00C44ADA">
            <w:pPr>
              <w:spacing w:line="276" w:lineRule="auto"/>
              <w:rPr>
                <w:rFonts w:eastAsia="Arial"/>
              </w:rPr>
            </w:pPr>
            <w:proofErr w:type="spellStart"/>
            <w:r w:rsidRPr="00BB3F13">
              <w:rPr>
                <w:rFonts w:eastAsia="Arial"/>
              </w:rPr>
              <w:t>Farmakoekonominio</w:t>
            </w:r>
            <w:proofErr w:type="spellEnd"/>
            <w:r w:rsidRPr="00BB3F13">
              <w:rPr>
                <w:rFonts w:eastAsia="Arial"/>
              </w:rPr>
              <w:t xml:space="preserve"> vertinimo išvada</w:t>
            </w:r>
          </w:p>
        </w:tc>
      </w:tr>
      <w:tr w:rsidR="000340A1" w:rsidRPr="00BB3F13" w14:paraId="2A46B181" w14:textId="77777777" w:rsidTr="00B129D0">
        <w:trPr>
          <w:trHeight w:val="1765"/>
        </w:trPr>
        <w:tc>
          <w:tcPr>
            <w:tcW w:w="2927" w:type="dxa"/>
          </w:tcPr>
          <w:p w14:paraId="7D93CB79" w14:textId="589FA1C8" w:rsidR="000340A1" w:rsidRPr="00BB3F13" w:rsidRDefault="000340A1" w:rsidP="00C44ADA">
            <w:pPr>
              <w:spacing w:line="276" w:lineRule="auto"/>
              <w:rPr>
                <w:rFonts w:eastAsia="Arial"/>
              </w:rPr>
            </w:pPr>
            <w:proofErr w:type="spellStart"/>
            <w:r w:rsidRPr="00BB3F13">
              <w:rPr>
                <w:color w:val="000000"/>
              </w:rPr>
              <w:t>Tandvårds</w:t>
            </w:r>
            <w:proofErr w:type="spellEnd"/>
            <w:r w:rsidRPr="00BB3F13">
              <w:rPr>
                <w:color w:val="000000"/>
              </w:rPr>
              <w:t xml:space="preserve">- </w:t>
            </w:r>
            <w:proofErr w:type="spellStart"/>
            <w:r w:rsidRPr="00BB3F13">
              <w:rPr>
                <w:color w:val="000000"/>
              </w:rPr>
              <w:t>och</w:t>
            </w:r>
            <w:proofErr w:type="spellEnd"/>
            <w:r w:rsidRPr="00BB3F13">
              <w:rPr>
                <w:color w:val="000000"/>
              </w:rPr>
              <w:t xml:space="preserve"> </w:t>
            </w:r>
            <w:proofErr w:type="spellStart"/>
            <w:r w:rsidRPr="00BB3F13">
              <w:rPr>
                <w:color w:val="000000"/>
              </w:rPr>
              <w:t>läkemedelsförmånsverket</w:t>
            </w:r>
            <w:proofErr w:type="spellEnd"/>
            <w:r w:rsidRPr="00BB3F13">
              <w:rPr>
                <w:color w:val="000000"/>
              </w:rPr>
              <w:t xml:space="preserve"> (TLV), Švedija</w:t>
            </w:r>
          </w:p>
        </w:tc>
        <w:tc>
          <w:tcPr>
            <w:tcW w:w="1915" w:type="dxa"/>
          </w:tcPr>
          <w:p w14:paraId="29F1D0E7" w14:textId="6D1D883F" w:rsidR="000340A1" w:rsidRPr="00BB3F13" w:rsidRDefault="00000000" w:rsidP="00C44ADA">
            <w:sdt>
              <w:sdtPr>
                <w:rPr>
                  <w:rStyle w:val="Style2"/>
                </w:rPr>
                <w:id w:val="1785611796"/>
              </w:sdtPr>
              <w:sdtContent>
                <w:sdt>
                  <w:sdtPr>
                    <w:rPr>
                      <w:rStyle w:val="Style2"/>
                    </w:rPr>
                    <w:id w:val="-982931360"/>
                  </w:sdtPr>
                  <w:sdtContent>
                    <w:r w:rsidR="000340A1" w:rsidRPr="00BB3F13">
                      <w:rPr>
                        <w:rStyle w:val="Style2"/>
                        <w:rFonts w:ascii="MS Gothic" w:eastAsia="MS Gothic" w:hAnsi="MS Gothic"/>
                      </w:rPr>
                      <w:t>☒</w:t>
                    </w:r>
                  </w:sdtContent>
                </w:sdt>
              </w:sdtContent>
            </w:sdt>
            <w:r w:rsidR="000340A1" w:rsidRPr="00BB3F13">
              <w:t xml:space="preserve"> Taip</w:t>
            </w:r>
          </w:p>
          <w:p w14:paraId="7B1C36C5" w14:textId="77777777" w:rsidR="000340A1" w:rsidRPr="00BB3F13" w:rsidRDefault="00000000" w:rsidP="00CF4B7A">
            <w:sdt>
              <w:sdtPr>
                <w:rPr>
                  <w:rStyle w:val="Style2"/>
                </w:rPr>
                <w:id w:val="-926799301"/>
              </w:sdtPr>
              <w:sdtContent>
                <w:sdt>
                  <w:sdtPr>
                    <w:rPr>
                      <w:rStyle w:val="Style2"/>
                    </w:rPr>
                    <w:id w:val="1680694926"/>
                  </w:sdtPr>
                  <w:sdtContent>
                    <w:r w:rsidR="000340A1" w:rsidRPr="00BB3F13">
                      <w:rPr>
                        <w:rStyle w:val="Style2"/>
                        <w:rFonts w:ascii="MS Gothic" w:eastAsia="MS Gothic" w:hAnsi="MS Gothic"/>
                      </w:rPr>
                      <w:t>☐</w:t>
                    </w:r>
                  </w:sdtContent>
                </w:sdt>
              </w:sdtContent>
            </w:sdt>
            <w:r w:rsidR="000340A1" w:rsidRPr="00BB3F13">
              <w:t xml:space="preserve"> Ne</w:t>
            </w:r>
          </w:p>
          <w:p w14:paraId="3CE7EFC8" w14:textId="759035A4" w:rsidR="000340A1" w:rsidRPr="00BB3F13" w:rsidRDefault="00000000" w:rsidP="00CF4B7A">
            <w:sdt>
              <w:sdtPr>
                <w:alias w:val="Nurodykite konkrečią dieną"/>
                <w:tag w:val="Nurodykite pradžios datą"/>
                <w:id w:val="922837954"/>
                <w:placeholder>
                  <w:docPart w:val="573BBD3796ED4243A5424CB95BA715E1"/>
                </w:placeholder>
                <w15:color w:val="FFCC99"/>
                <w:date>
                  <w:dateFormat w:val="yyyy 'm.' MMMM d 'd.'"/>
                  <w:lid w:val="lt-LT"/>
                  <w:storeMappedDataAs w:val="dateTime"/>
                  <w:calendar w:val="gregorian"/>
                </w:date>
              </w:sdtPr>
              <w:sdtContent>
                <w:r w:rsidR="000340A1" w:rsidRPr="00BB3F13">
                  <w:t xml:space="preserve">2010 m. </w:t>
                </w:r>
                <w:proofErr w:type="spellStart"/>
                <w:r w:rsidR="000340A1" w:rsidRPr="00BB3F13">
                  <w:t>lakpričio</w:t>
                </w:r>
                <w:proofErr w:type="spellEnd"/>
                <w:r w:rsidR="000340A1" w:rsidRPr="00BB3F13">
                  <w:t xml:space="preserve"> 3 d.</w:t>
                </w:r>
              </w:sdtContent>
            </w:sdt>
          </w:p>
        </w:tc>
        <w:tc>
          <w:tcPr>
            <w:tcW w:w="5076" w:type="dxa"/>
            <w:gridSpan w:val="2"/>
          </w:tcPr>
          <w:p w14:paraId="48E904D0" w14:textId="77777777" w:rsidR="000340A1" w:rsidRPr="00BB3F13" w:rsidRDefault="000340A1" w:rsidP="00CF4B7A">
            <w:pPr>
              <w:spacing w:line="276" w:lineRule="auto"/>
              <w:rPr>
                <w:rFonts w:eastAsia="Arial"/>
              </w:rPr>
            </w:pPr>
            <w:r w:rsidRPr="00BB3F13">
              <w:rPr>
                <w:rFonts w:eastAsia="Arial"/>
              </w:rPr>
              <w:t>Rekomenduojama skirti geležies stokos anemijos gydymui, kuomet yra neefektyvūs ar negalima skirti geriamųjų geležies preparatų ar yra klinikinės būklės, reikalaujančios greito geležies atstatymo.</w:t>
            </w:r>
          </w:p>
          <w:p w14:paraId="3176812F" w14:textId="2E6A7C8D" w:rsidR="000340A1" w:rsidRPr="00BB3F13" w:rsidRDefault="000340A1" w:rsidP="00CF4B7A">
            <w:pPr>
              <w:spacing w:line="276" w:lineRule="auto"/>
              <w:rPr>
                <w:rFonts w:eastAsia="Arial"/>
              </w:rPr>
            </w:pPr>
            <w:r w:rsidRPr="00BB3F13">
              <w:rPr>
                <w:rFonts w:eastAsia="Arial"/>
              </w:rPr>
              <w:t xml:space="preserve">Apribojimas: neturi būti skiriamas </w:t>
            </w:r>
            <w:proofErr w:type="spellStart"/>
            <w:r w:rsidRPr="00BB3F13">
              <w:rPr>
                <w:rFonts w:eastAsia="Arial"/>
              </w:rPr>
              <w:t>dializuojamiems</w:t>
            </w:r>
            <w:proofErr w:type="spellEnd"/>
            <w:r w:rsidRPr="00BB3F13">
              <w:rPr>
                <w:rFonts w:eastAsia="Arial"/>
              </w:rPr>
              <w:t xml:space="preserve"> pacientams. Palyginamieji preparatai: </w:t>
            </w:r>
            <w:r w:rsidRPr="00BB3F13">
              <w:rPr>
                <w:color w:val="000000"/>
                <w:shd w:val="clear" w:color="auto" w:fill="FFFFFF"/>
              </w:rPr>
              <w:t xml:space="preserve">Geležies </w:t>
            </w:r>
            <w:proofErr w:type="spellStart"/>
            <w:r w:rsidRPr="00BB3F13">
              <w:rPr>
                <w:color w:val="000000"/>
                <w:shd w:val="clear" w:color="auto" w:fill="FFFFFF"/>
              </w:rPr>
              <w:t>karboksimaltozė</w:t>
            </w:r>
            <w:proofErr w:type="spellEnd"/>
          </w:p>
        </w:tc>
      </w:tr>
      <w:tr w:rsidR="000340A1" w:rsidRPr="00BB3F13" w14:paraId="31D618AE" w14:textId="77777777" w:rsidTr="009131EC">
        <w:trPr>
          <w:trHeight w:val="1125"/>
        </w:trPr>
        <w:tc>
          <w:tcPr>
            <w:tcW w:w="2927" w:type="dxa"/>
          </w:tcPr>
          <w:p w14:paraId="75147C00" w14:textId="77777777" w:rsidR="000340A1" w:rsidRPr="00BB3F13" w:rsidRDefault="000340A1" w:rsidP="00C44ADA">
            <w:pPr>
              <w:spacing w:line="276" w:lineRule="auto"/>
              <w:rPr>
                <w:rFonts w:eastAsia="Arial"/>
              </w:rPr>
            </w:pPr>
            <w:r w:rsidRPr="00BB3F13">
              <w:rPr>
                <w:rFonts w:eastAsia="Arial"/>
              </w:rPr>
              <w:lastRenderedPageBreak/>
              <w:t>Kanados sveikatos technologijų agentūra</w:t>
            </w:r>
          </w:p>
          <w:p w14:paraId="2DE5F98C" w14:textId="77777777" w:rsidR="000340A1" w:rsidRPr="00BB3F13" w:rsidRDefault="000340A1" w:rsidP="00C44ADA">
            <w:pPr>
              <w:spacing w:line="276" w:lineRule="auto"/>
              <w:rPr>
                <w:rFonts w:eastAsia="Arial"/>
              </w:rPr>
            </w:pPr>
            <w:r w:rsidRPr="00BB3F13">
              <w:rPr>
                <w:rFonts w:eastAsia="Arial"/>
              </w:rPr>
              <w:t xml:space="preserve">(angl. </w:t>
            </w:r>
            <w:proofErr w:type="spellStart"/>
            <w:r w:rsidRPr="00BB3F13">
              <w:rPr>
                <w:rFonts w:eastAsia="Arial"/>
                <w:i/>
              </w:rPr>
              <w:t>Canadian</w:t>
            </w:r>
            <w:proofErr w:type="spellEnd"/>
            <w:r w:rsidRPr="00BB3F13">
              <w:rPr>
                <w:rFonts w:eastAsia="Arial"/>
                <w:i/>
              </w:rPr>
              <w:t xml:space="preserve"> </w:t>
            </w:r>
            <w:proofErr w:type="spellStart"/>
            <w:r w:rsidRPr="00BB3F13">
              <w:rPr>
                <w:rFonts w:eastAsia="Arial"/>
                <w:i/>
              </w:rPr>
              <w:t>health</w:t>
            </w:r>
            <w:proofErr w:type="spellEnd"/>
            <w:r w:rsidRPr="00BB3F13">
              <w:rPr>
                <w:rFonts w:eastAsia="Arial"/>
                <w:i/>
              </w:rPr>
              <w:t xml:space="preserve"> </w:t>
            </w:r>
            <w:proofErr w:type="spellStart"/>
            <w:r w:rsidRPr="00BB3F13">
              <w:rPr>
                <w:rFonts w:eastAsia="Arial"/>
                <w:i/>
              </w:rPr>
              <w:t>Technology</w:t>
            </w:r>
            <w:proofErr w:type="spellEnd"/>
            <w:r w:rsidRPr="00BB3F13">
              <w:rPr>
                <w:rFonts w:eastAsia="Arial"/>
                <w:i/>
              </w:rPr>
              <w:t xml:space="preserve"> </w:t>
            </w:r>
            <w:proofErr w:type="spellStart"/>
            <w:r w:rsidRPr="00BB3F13">
              <w:rPr>
                <w:rFonts w:eastAsia="Arial"/>
                <w:i/>
              </w:rPr>
              <w:t>Assessment</w:t>
            </w:r>
            <w:proofErr w:type="spellEnd"/>
            <w:r w:rsidRPr="00BB3F13">
              <w:rPr>
                <w:rFonts w:eastAsia="Arial"/>
                <w:i/>
              </w:rPr>
              <w:t xml:space="preserve"> </w:t>
            </w:r>
            <w:proofErr w:type="spellStart"/>
            <w:r w:rsidRPr="00BB3F13">
              <w:rPr>
                <w:rFonts w:eastAsia="Arial"/>
                <w:i/>
              </w:rPr>
              <w:t>agency</w:t>
            </w:r>
            <w:proofErr w:type="spellEnd"/>
            <w:r w:rsidRPr="00BB3F13">
              <w:rPr>
                <w:rFonts w:eastAsia="Arial"/>
                <w:i/>
              </w:rPr>
              <w:t>, CADTH</w:t>
            </w:r>
            <w:r w:rsidRPr="00BB3F13">
              <w:rPr>
                <w:rFonts w:eastAsia="Arial"/>
              </w:rPr>
              <w:t>)</w:t>
            </w:r>
          </w:p>
        </w:tc>
        <w:tc>
          <w:tcPr>
            <w:tcW w:w="1915" w:type="dxa"/>
          </w:tcPr>
          <w:p w14:paraId="6AA338EA" w14:textId="1952FBA1" w:rsidR="000340A1" w:rsidRPr="00BB3F13" w:rsidRDefault="00000000" w:rsidP="00C44ADA">
            <w:sdt>
              <w:sdtPr>
                <w:rPr>
                  <w:rStyle w:val="Style2"/>
                </w:rPr>
                <w:id w:val="119269425"/>
              </w:sdtPr>
              <w:sdtContent>
                <w:sdt>
                  <w:sdtPr>
                    <w:rPr>
                      <w:rStyle w:val="Style2"/>
                    </w:rPr>
                    <w:id w:val="-103806876"/>
                  </w:sdtPr>
                  <w:sdtContent>
                    <w:r w:rsidR="000340A1" w:rsidRPr="00BB3F13">
                      <w:rPr>
                        <w:rStyle w:val="Style2"/>
                        <w:rFonts w:ascii="MS Gothic" w:eastAsia="MS Gothic" w:hAnsi="MS Gothic"/>
                      </w:rPr>
                      <w:t>☒</w:t>
                    </w:r>
                  </w:sdtContent>
                </w:sdt>
              </w:sdtContent>
            </w:sdt>
            <w:r w:rsidR="000340A1" w:rsidRPr="00BB3F13">
              <w:t xml:space="preserve"> Taip</w:t>
            </w:r>
          </w:p>
          <w:p w14:paraId="12CB46AC" w14:textId="769C68BF" w:rsidR="000340A1" w:rsidRPr="00BB3F13" w:rsidRDefault="00000000" w:rsidP="00C44ADA">
            <w:sdt>
              <w:sdtPr>
                <w:rPr>
                  <w:rStyle w:val="Style2"/>
                </w:rPr>
                <w:id w:val="1916654976"/>
              </w:sdtPr>
              <w:sdtContent>
                <w:sdt>
                  <w:sdtPr>
                    <w:rPr>
                      <w:rStyle w:val="Style2"/>
                    </w:rPr>
                    <w:id w:val="1151873390"/>
                  </w:sdtPr>
                  <w:sdtContent>
                    <w:r w:rsidR="000340A1" w:rsidRPr="00BB3F13">
                      <w:rPr>
                        <w:rStyle w:val="Style2"/>
                        <w:rFonts w:ascii="MS Gothic" w:eastAsia="MS Gothic" w:hAnsi="MS Gothic"/>
                      </w:rPr>
                      <w:t>☐</w:t>
                    </w:r>
                  </w:sdtContent>
                </w:sdt>
              </w:sdtContent>
            </w:sdt>
            <w:r w:rsidR="000340A1" w:rsidRPr="00BB3F13">
              <w:t xml:space="preserve"> Ne</w:t>
            </w:r>
          </w:p>
          <w:p w14:paraId="696B6A95" w14:textId="54BF0B05" w:rsidR="000340A1" w:rsidRPr="00BB3F13" w:rsidRDefault="00000000" w:rsidP="00C44ADA">
            <w:sdt>
              <w:sdtPr>
                <w:alias w:val="Nurodykite konkrečią dieną"/>
                <w:tag w:val="Nurodykite pradžios datą"/>
                <w:id w:val="-198323198"/>
                <w:placeholder>
                  <w:docPart w:val="C59C80CBC3ED481282AE91A509BA1926"/>
                </w:placeholder>
                <w15:color w:val="FFCC99"/>
                <w:date>
                  <w:dateFormat w:val="yyyy 'm.' MMMM d 'd.'"/>
                  <w:lid w:val="lt-LT"/>
                  <w:storeMappedDataAs w:val="dateTime"/>
                  <w:calendar w:val="gregorian"/>
                </w:date>
              </w:sdtPr>
              <w:sdtContent>
                <w:r w:rsidR="000340A1" w:rsidRPr="00BB3F13">
                  <w:t xml:space="preserve">2011 balandžio 8 d. </w:t>
                </w:r>
              </w:sdtContent>
            </w:sdt>
          </w:p>
          <w:p w14:paraId="1B62E9E9" w14:textId="1CC00CD4" w:rsidR="000340A1" w:rsidRPr="00BB3F13" w:rsidRDefault="00000000" w:rsidP="00C44ADA">
            <w:pPr>
              <w:spacing w:line="276" w:lineRule="auto"/>
              <w:rPr>
                <w:rFonts w:eastAsia="Arial"/>
              </w:rPr>
            </w:pPr>
            <w:sdt>
              <w:sdtPr>
                <w:alias w:val="Nurodykite konkrečią dieną"/>
                <w:tag w:val="Nurodykite pradžios datą"/>
                <w:id w:val="119276294"/>
                <w:showingPlcHdr/>
                <w:date>
                  <w:dateFormat w:val="yyyy 'm.' MMMM d 'd.'"/>
                  <w:lid w:val="lt-LT"/>
                  <w:storeMappedDataAs w:val="dateTime"/>
                  <w:calendar w:val="gregorian"/>
                </w:date>
              </w:sdtPr>
              <w:sdtContent>
                <w:r w:rsidR="000340A1" w:rsidRPr="00BB3F13">
                  <w:t xml:space="preserve">     </w:t>
                </w:r>
              </w:sdtContent>
            </w:sdt>
          </w:p>
        </w:tc>
        <w:tc>
          <w:tcPr>
            <w:tcW w:w="5076" w:type="dxa"/>
            <w:gridSpan w:val="2"/>
          </w:tcPr>
          <w:p w14:paraId="6D6E0C2D" w14:textId="006E3863" w:rsidR="000340A1" w:rsidRPr="00BB3F13" w:rsidRDefault="000340A1" w:rsidP="00CF4B7A">
            <w:pPr>
              <w:spacing w:line="276" w:lineRule="auto"/>
              <w:rPr>
                <w:rFonts w:eastAsia="Arial"/>
              </w:rPr>
            </w:pPr>
            <w:r w:rsidRPr="00BB3F13">
              <w:rPr>
                <w:rFonts w:eastAsia="Arial"/>
              </w:rPr>
              <w:t xml:space="preserve">Rekomenduojama skirti geležies stokos anemijos gydymui, kuomet yra neefektyvūs ar negalima skirti geriamųjų geležies preparatų ar yra klinikinės būklės, reikalaujančios greito geležies atstatymo. Palyginamieji preparatai: geležies </w:t>
            </w:r>
            <w:proofErr w:type="spellStart"/>
            <w:r w:rsidRPr="00BB3F13">
              <w:rPr>
                <w:rFonts w:eastAsia="Arial"/>
              </w:rPr>
              <w:t>cukrozė</w:t>
            </w:r>
            <w:proofErr w:type="spellEnd"/>
            <w:r w:rsidRPr="00BB3F13">
              <w:rPr>
                <w:rFonts w:eastAsia="Arial"/>
              </w:rPr>
              <w:t xml:space="preserve">, </w:t>
            </w:r>
            <w:proofErr w:type="spellStart"/>
            <w:r w:rsidRPr="00BB3F13">
              <w:rPr>
                <w:rFonts w:eastAsia="Arial"/>
              </w:rPr>
              <w:t>legežies</w:t>
            </w:r>
            <w:proofErr w:type="spellEnd"/>
            <w:r w:rsidRPr="00BB3F13">
              <w:rPr>
                <w:rFonts w:eastAsia="Arial"/>
              </w:rPr>
              <w:t xml:space="preserve"> </w:t>
            </w:r>
            <w:proofErr w:type="spellStart"/>
            <w:r w:rsidRPr="00BB3F13">
              <w:rPr>
                <w:rFonts w:eastAsia="Arial"/>
              </w:rPr>
              <w:t>dekstrazė</w:t>
            </w:r>
            <w:proofErr w:type="spellEnd"/>
            <w:r w:rsidRPr="00BB3F13">
              <w:rPr>
                <w:rFonts w:eastAsia="Arial"/>
              </w:rPr>
              <w:t xml:space="preserve">, geležies </w:t>
            </w:r>
            <w:proofErr w:type="spellStart"/>
            <w:r w:rsidRPr="00BB3F13">
              <w:rPr>
                <w:rFonts w:eastAsia="Arial"/>
              </w:rPr>
              <w:t>karboksimaltozė</w:t>
            </w:r>
            <w:proofErr w:type="spellEnd"/>
            <w:r w:rsidRPr="00BB3F13">
              <w:rPr>
                <w:color w:val="000000"/>
              </w:rPr>
              <w:t xml:space="preserve"> ir EMT pacientai, kurie nėra </w:t>
            </w:r>
            <w:proofErr w:type="spellStart"/>
            <w:r w:rsidRPr="00BB3F13">
              <w:rPr>
                <w:color w:val="000000"/>
              </w:rPr>
              <w:t>dializuojami</w:t>
            </w:r>
            <w:proofErr w:type="spellEnd"/>
            <w:r w:rsidRPr="00BB3F13">
              <w:rPr>
                <w:color w:val="000000"/>
              </w:rPr>
              <w:t>.</w:t>
            </w:r>
          </w:p>
        </w:tc>
      </w:tr>
      <w:tr w:rsidR="000340A1" w:rsidRPr="00BB3F13" w14:paraId="5FAB6A50" w14:textId="77777777" w:rsidTr="00A737ED">
        <w:trPr>
          <w:trHeight w:val="1125"/>
        </w:trPr>
        <w:tc>
          <w:tcPr>
            <w:tcW w:w="2927" w:type="dxa"/>
          </w:tcPr>
          <w:p w14:paraId="2FD087D8" w14:textId="77777777" w:rsidR="000340A1" w:rsidRPr="00BB3F13" w:rsidRDefault="000340A1" w:rsidP="00FF57BB">
            <w:pPr>
              <w:spacing w:line="276" w:lineRule="auto"/>
              <w:rPr>
                <w:rFonts w:eastAsia="Arial"/>
              </w:rPr>
            </w:pPr>
            <w:r w:rsidRPr="00BB3F13">
              <w:rPr>
                <w:rFonts w:eastAsia="Arial"/>
              </w:rPr>
              <w:t>Medicinos konsorciumas Švedijoje</w:t>
            </w:r>
          </w:p>
          <w:p w14:paraId="48E025C8" w14:textId="6DF84182" w:rsidR="000340A1" w:rsidRPr="00BB3F13" w:rsidRDefault="000340A1" w:rsidP="00FF57BB">
            <w:pPr>
              <w:spacing w:line="276" w:lineRule="auto"/>
              <w:rPr>
                <w:rFonts w:eastAsia="Arial"/>
              </w:rPr>
            </w:pPr>
            <w:r w:rsidRPr="00BB3F13">
              <w:rPr>
                <w:rFonts w:eastAsia="Arial"/>
              </w:rPr>
              <w:t xml:space="preserve">(angl. </w:t>
            </w:r>
            <w:proofErr w:type="spellStart"/>
            <w:r w:rsidRPr="00BB3F13">
              <w:rPr>
                <w:rFonts w:eastAsia="Arial"/>
                <w:i/>
              </w:rPr>
              <w:t>Scottish</w:t>
            </w:r>
            <w:proofErr w:type="spellEnd"/>
            <w:r w:rsidRPr="00BB3F13">
              <w:rPr>
                <w:rFonts w:eastAsia="Arial"/>
                <w:i/>
              </w:rPr>
              <w:t xml:space="preserve">  </w:t>
            </w:r>
            <w:proofErr w:type="spellStart"/>
            <w:r w:rsidRPr="00BB3F13">
              <w:rPr>
                <w:rFonts w:eastAsia="Arial"/>
                <w:i/>
              </w:rPr>
              <w:t>Medicines</w:t>
            </w:r>
            <w:proofErr w:type="spellEnd"/>
            <w:r w:rsidRPr="00BB3F13">
              <w:rPr>
                <w:rFonts w:eastAsia="Arial"/>
                <w:i/>
              </w:rPr>
              <w:t xml:space="preserve"> </w:t>
            </w:r>
            <w:proofErr w:type="spellStart"/>
            <w:r w:rsidRPr="00BB3F13">
              <w:rPr>
                <w:rFonts w:eastAsia="Arial"/>
                <w:i/>
              </w:rPr>
              <w:t>Consortium</w:t>
            </w:r>
            <w:proofErr w:type="spellEnd"/>
            <w:r w:rsidRPr="00BB3F13">
              <w:rPr>
                <w:rFonts w:eastAsia="Arial"/>
              </w:rPr>
              <w:t>)</w:t>
            </w:r>
          </w:p>
        </w:tc>
        <w:tc>
          <w:tcPr>
            <w:tcW w:w="1915" w:type="dxa"/>
          </w:tcPr>
          <w:p w14:paraId="3400D2AC" w14:textId="77777777" w:rsidR="000340A1" w:rsidRPr="00BB3F13" w:rsidRDefault="00000000" w:rsidP="00FF57BB">
            <w:pPr>
              <w:spacing w:line="276" w:lineRule="auto"/>
            </w:pPr>
            <w:sdt>
              <w:sdtPr>
                <w:rPr>
                  <w:rStyle w:val="Style2"/>
                </w:rPr>
                <w:id w:val="-1888403732"/>
                <w15:color w:val="FFCC00"/>
                <w14:checkbox>
                  <w14:checked w14:val="1"/>
                  <w14:checkedState w14:val="2612" w14:font="MS Gothic"/>
                  <w14:uncheckedState w14:val="2610" w14:font="MS Gothic"/>
                </w14:checkbox>
              </w:sdtPr>
              <w:sdtContent>
                <w:r w:rsidR="000340A1" w:rsidRPr="00BB3F13">
                  <w:rPr>
                    <w:rStyle w:val="Style2"/>
                    <w:rFonts w:ascii="MS Gothic" w:eastAsia="MS Gothic" w:hAnsi="MS Gothic"/>
                  </w:rPr>
                  <w:t>☒</w:t>
                </w:r>
              </w:sdtContent>
            </w:sdt>
            <w:r w:rsidR="000340A1" w:rsidRPr="00BB3F13">
              <w:t xml:space="preserve"> Taip</w:t>
            </w:r>
          </w:p>
          <w:p w14:paraId="1E9ECF47" w14:textId="77777777" w:rsidR="000340A1" w:rsidRPr="00BB3F13" w:rsidRDefault="00000000" w:rsidP="00FF57BB">
            <w:pPr>
              <w:spacing w:line="276" w:lineRule="auto"/>
            </w:pPr>
            <w:sdt>
              <w:sdtPr>
                <w:rPr>
                  <w:rStyle w:val="Style2"/>
                </w:rPr>
                <w:id w:val="1092201793"/>
                <w15:color w:val="FFCC00"/>
                <w14:checkbox>
                  <w14:checked w14:val="0"/>
                  <w14:checkedState w14:val="2612" w14:font="MS Gothic"/>
                  <w14:uncheckedState w14:val="2610" w14:font="MS Gothic"/>
                </w14:checkbox>
              </w:sdtPr>
              <w:sdtContent>
                <w:r w:rsidR="000340A1" w:rsidRPr="00BB3F13">
                  <w:rPr>
                    <w:rStyle w:val="Style2"/>
                    <w:rFonts w:ascii="Segoe UI Symbol" w:eastAsia="MS Gothic" w:hAnsi="Segoe UI Symbol" w:cs="Segoe UI Symbol"/>
                  </w:rPr>
                  <w:t>☐</w:t>
                </w:r>
              </w:sdtContent>
            </w:sdt>
            <w:r w:rsidR="000340A1" w:rsidRPr="00BB3F13">
              <w:t xml:space="preserve"> Ne</w:t>
            </w:r>
          </w:p>
          <w:p w14:paraId="5A16399A" w14:textId="4D829283" w:rsidR="000340A1" w:rsidRPr="00BB3F13" w:rsidRDefault="00000000" w:rsidP="00FF57BB">
            <w:pPr>
              <w:rPr>
                <w:rStyle w:val="Style2"/>
              </w:rPr>
            </w:pPr>
            <w:sdt>
              <w:sdtPr>
                <w:rPr>
                  <w:sz w:val="32"/>
                </w:rPr>
                <w:alias w:val="Nurodykite konkrečią dieną"/>
                <w:tag w:val="Nurodykite pradžios datą"/>
                <w:id w:val="-1144960911"/>
                <w:placeholder>
                  <w:docPart w:val="52AF6D4CEF03448395194FEEEC9B5961"/>
                </w:placeholder>
                <w15:color w:val="FFCC99"/>
                <w:date>
                  <w:dateFormat w:val="yyyy 'm.' MMMM d 'd.'"/>
                  <w:lid w:val="lt-LT"/>
                  <w:storeMappedDataAs w:val="dateTime"/>
                  <w:calendar w:val="gregorian"/>
                </w:date>
              </w:sdtPr>
              <w:sdtEndPr>
                <w:rPr>
                  <w:sz w:val="24"/>
                </w:rPr>
              </w:sdtEndPr>
              <w:sdtContent>
                <w:r w:rsidR="000340A1" w:rsidRPr="00BB3F13">
                  <w:t xml:space="preserve">2011 balandžio 8 d. </w:t>
                </w:r>
              </w:sdtContent>
            </w:sdt>
          </w:p>
        </w:tc>
        <w:tc>
          <w:tcPr>
            <w:tcW w:w="5076" w:type="dxa"/>
            <w:gridSpan w:val="2"/>
          </w:tcPr>
          <w:p w14:paraId="14BCD24E" w14:textId="77777777" w:rsidR="000340A1" w:rsidRPr="00BB3F13" w:rsidRDefault="000340A1" w:rsidP="00FF57BB">
            <w:pPr>
              <w:spacing w:line="276" w:lineRule="auto"/>
              <w:rPr>
                <w:rFonts w:eastAsia="Arial"/>
              </w:rPr>
            </w:pPr>
            <w:r w:rsidRPr="00BB3F13">
              <w:rPr>
                <w:rFonts w:eastAsia="Arial"/>
              </w:rPr>
              <w:t>Rekomenduojama skirti geležies stokos anemijos gydymui, kuomet yra neefektyvūs ar negalima skirti geriamųjų geležies preparatų ar yra klinikinės būklės, reikalaujančios greito geležies atstatymo.</w:t>
            </w:r>
          </w:p>
          <w:p w14:paraId="7B96B505" w14:textId="2ADCBA40" w:rsidR="000340A1" w:rsidRPr="00BB3F13" w:rsidRDefault="000340A1" w:rsidP="00CF4B7A">
            <w:pPr>
              <w:spacing w:line="276" w:lineRule="auto"/>
              <w:rPr>
                <w:rFonts w:eastAsia="Arial"/>
              </w:rPr>
            </w:pPr>
            <w:r w:rsidRPr="00BB3F13">
              <w:rPr>
                <w:rFonts w:eastAsia="Arial"/>
              </w:rPr>
              <w:t xml:space="preserve">Palyginamieji preparatai: geležies </w:t>
            </w:r>
            <w:proofErr w:type="spellStart"/>
            <w:r w:rsidRPr="00BB3F13">
              <w:rPr>
                <w:rFonts w:eastAsia="Arial"/>
              </w:rPr>
              <w:t>cukrozė</w:t>
            </w:r>
            <w:proofErr w:type="spellEnd"/>
            <w:r w:rsidRPr="00BB3F13">
              <w:rPr>
                <w:rFonts w:eastAsia="Arial"/>
              </w:rPr>
              <w:t xml:space="preserve">, </w:t>
            </w:r>
            <w:proofErr w:type="spellStart"/>
            <w:r w:rsidRPr="00BB3F13">
              <w:rPr>
                <w:rFonts w:eastAsia="Arial"/>
              </w:rPr>
              <w:t>legežies</w:t>
            </w:r>
            <w:proofErr w:type="spellEnd"/>
            <w:r w:rsidRPr="00BB3F13">
              <w:rPr>
                <w:rFonts w:eastAsia="Arial"/>
              </w:rPr>
              <w:t xml:space="preserve"> </w:t>
            </w:r>
            <w:proofErr w:type="spellStart"/>
            <w:r w:rsidRPr="00BB3F13">
              <w:rPr>
                <w:rFonts w:eastAsia="Arial"/>
              </w:rPr>
              <w:t>dekstrazė</w:t>
            </w:r>
            <w:proofErr w:type="spellEnd"/>
            <w:r w:rsidRPr="00BB3F13">
              <w:rPr>
                <w:rFonts w:eastAsia="Arial"/>
              </w:rPr>
              <w:t xml:space="preserve">, geležies </w:t>
            </w:r>
            <w:proofErr w:type="spellStart"/>
            <w:r w:rsidRPr="00BB3F13">
              <w:rPr>
                <w:rFonts w:eastAsia="Arial"/>
              </w:rPr>
              <w:t>karboksimaltozė</w:t>
            </w:r>
            <w:proofErr w:type="spellEnd"/>
            <w:r w:rsidRPr="00BB3F13">
              <w:rPr>
                <w:color w:val="000000"/>
              </w:rPr>
              <w:t xml:space="preserve"> ir EMT pacientai, kurie nėra </w:t>
            </w:r>
            <w:proofErr w:type="spellStart"/>
            <w:r w:rsidRPr="00BB3F13">
              <w:rPr>
                <w:color w:val="000000"/>
              </w:rPr>
              <w:t>dializuojami</w:t>
            </w:r>
            <w:proofErr w:type="spellEnd"/>
            <w:r w:rsidRPr="00BB3F13">
              <w:rPr>
                <w:color w:val="000000"/>
              </w:rPr>
              <w:t>.</w:t>
            </w:r>
          </w:p>
        </w:tc>
      </w:tr>
    </w:tbl>
    <w:p w14:paraId="5F8A623F" w14:textId="77777777" w:rsidR="0032204D" w:rsidRPr="00BB3F13" w:rsidRDefault="0032204D" w:rsidP="00521380">
      <w:pPr>
        <w:spacing w:line="276" w:lineRule="auto"/>
        <w:jc w:val="both"/>
        <w:rPr>
          <w:rFonts w:eastAsia="Arial"/>
          <w:b/>
        </w:rPr>
      </w:pPr>
    </w:p>
    <w:p w14:paraId="5E82BD7C" w14:textId="77777777" w:rsidR="008651E2" w:rsidRPr="00BB3F13" w:rsidRDefault="008651E2" w:rsidP="00E03C3F">
      <w:pPr>
        <w:pStyle w:val="ListParagraph"/>
        <w:tabs>
          <w:tab w:val="left" w:pos="426"/>
        </w:tabs>
        <w:ind w:left="0"/>
        <w:rPr>
          <w:b/>
          <w:bCs/>
          <w:caps/>
        </w:rPr>
      </w:pPr>
    </w:p>
    <w:p w14:paraId="5055E8A8" w14:textId="22BF33DB" w:rsidR="002E6F80" w:rsidRPr="00BB3F13" w:rsidRDefault="00CC7832" w:rsidP="00937907">
      <w:pPr>
        <w:pStyle w:val="ListParagraph"/>
        <w:numPr>
          <w:ilvl w:val="0"/>
          <w:numId w:val="12"/>
        </w:numPr>
        <w:tabs>
          <w:tab w:val="left" w:pos="284"/>
        </w:tabs>
        <w:rPr>
          <w:b/>
          <w:bCs/>
          <w:caps/>
        </w:rPr>
      </w:pPr>
      <w:r w:rsidRPr="00BB3F13">
        <w:rPr>
          <w:b/>
          <w:bCs/>
          <w:caps/>
        </w:rPr>
        <w:t>Klinikinio vertinimo a</w:t>
      </w:r>
      <w:r w:rsidR="00D4485B" w:rsidRPr="00BB3F13">
        <w:rPr>
          <w:b/>
          <w:bCs/>
          <w:caps/>
        </w:rPr>
        <w:t>pibendrinimas</w:t>
      </w:r>
    </w:p>
    <w:p w14:paraId="1C351554" w14:textId="77777777" w:rsidR="00CF4B7A" w:rsidRPr="00BB3F13" w:rsidRDefault="00CF4B7A" w:rsidP="007215D3">
      <w:pPr>
        <w:tabs>
          <w:tab w:val="left" w:pos="284"/>
        </w:tabs>
        <w:spacing w:line="276" w:lineRule="auto"/>
        <w:ind w:left="360"/>
        <w:rPr>
          <w:b/>
          <w:bCs/>
          <w:caps/>
        </w:rPr>
      </w:pPr>
    </w:p>
    <w:p w14:paraId="0DB0E52B" w14:textId="77EEEFF1" w:rsidR="002829D6" w:rsidRPr="002829D6" w:rsidRDefault="002829D6" w:rsidP="007215D3">
      <w:pPr>
        <w:pStyle w:val="Tekstas"/>
        <w:spacing w:line="276" w:lineRule="auto"/>
        <w:ind w:firstLine="720"/>
      </w:pPr>
      <w:bookmarkStart w:id="1" w:name="_Hlk184402365"/>
      <w:r>
        <w:t xml:space="preserve">Geležies stokos </w:t>
      </w:r>
      <w:r w:rsidR="007215D3">
        <w:t>anemija</w:t>
      </w:r>
      <w:r>
        <w:t xml:space="preserve"> (TLK 10 -AM D 50</w:t>
      </w:r>
      <w:r w:rsidRPr="002829D6">
        <w:t>) – tai patologinė būklė, kuriai būdingas per mažas eritrocitų ir/ar hemoglobino kiekis kraujyje</w:t>
      </w:r>
      <w:r w:rsidR="0017423F">
        <w:t xml:space="preserve"> (</w:t>
      </w:r>
      <w:proofErr w:type="spellStart"/>
      <w:r w:rsidR="0017423F" w:rsidRPr="00595799">
        <w:t>Hb</w:t>
      </w:r>
      <w:proofErr w:type="spellEnd"/>
      <w:r w:rsidR="0017423F" w:rsidRPr="00595799">
        <w:t xml:space="preserve"> &lt;120 g/l moterims ir &lt;130 g/l vyrams</w:t>
      </w:r>
      <w:r w:rsidR="0017423F">
        <w:t>)</w:t>
      </w:r>
      <w:r w:rsidRPr="002829D6">
        <w:t>, dėl ko pablogėja deguonies transportas į audinius ir kyla audinių hipoksija. Geležies stokos anemija - tai dažniausiai pasitaikanti mažakraujystės forma.</w:t>
      </w:r>
    </w:p>
    <w:p w14:paraId="0B30A957" w14:textId="5F2316B0" w:rsidR="00B358C7" w:rsidRPr="004C04A8" w:rsidRDefault="00CF4B7A" w:rsidP="00B358C7">
      <w:pPr>
        <w:pStyle w:val="Tekstas"/>
        <w:spacing w:line="276" w:lineRule="auto"/>
        <w:ind w:firstLine="720"/>
      </w:pPr>
      <w:r w:rsidRPr="00BB3F13">
        <w:t>Tarptautinių geležies stokos anemijų diagnostikos, gydymo ir profilaktikos gairių nėra. Skelbiamos tik specifinės gairės, kurios nurodo anemijos diagnostiką ir gydymą sergant tam tikromis ligomis, pvz., virškinimo sistemos, širdies ir kraujagyslių sistemos, inkstų ir kitomis. Lietuvos Respublikos S</w:t>
      </w:r>
      <w:r w:rsidR="007215D3">
        <w:t xml:space="preserve">veikatos apsaugos ministro įsakymu </w:t>
      </w:r>
      <w:r w:rsidRPr="00BB3F13">
        <w:t>patvirtintų suaugusiųjų geležies stokos anemij</w:t>
      </w:r>
      <w:r w:rsidR="007215D3">
        <w:t>os</w:t>
      </w:r>
      <w:r w:rsidRPr="00BB3F13">
        <w:t xml:space="preserve"> diagnostikos, gydymo ir profilaktikos gairių nėra.</w:t>
      </w:r>
      <w:r w:rsidR="004C04A8">
        <w:t xml:space="preserve"> Lietuvoje eritrocitų masės transfuzijos </w:t>
      </w:r>
      <w:r w:rsidR="00AD681C">
        <w:t xml:space="preserve">  </w:t>
      </w:r>
      <w:r w:rsidR="004C04A8">
        <w:t>indikacijos nustatytos</w:t>
      </w:r>
      <w:r w:rsidR="007215D3">
        <w:t xml:space="preserve"> Lietuvos Respublikos Sveikatos apsaugos ministro įsakymo </w:t>
      </w:r>
      <w:r w:rsidR="007215D3" w:rsidRPr="007215D3">
        <w:t>„</w:t>
      </w:r>
      <w:r w:rsidR="007215D3">
        <w:t>D</w:t>
      </w:r>
      <w:r w:rsidR="007215D3" w:rsidRPr="007215D3">
        <w:t>ėl kraujo komponentų transfuzijos indikacijų patvirtinimo“</w:t>
      </w:r>
      <w:r w:rsidR="007215D3">
        <w:rPr>
          <w:b/>
          <w:bCs/>
        </w:rPr>
        <w:t xml:space="preserve"> </w:t>
      </w:r>
      <w:r w:rsidR="007215D3" w:rsidRPr="007215D3">
        <w:t>2009 m.</w:t>
      </w:r>
      <w:r w:rsidR="007215D3">
        <w:t xml:space="preserve"> gruodžio 30 d. Nr.V-1087</w:t>
      </w:r>
      <w:r w:rsidRPr="00BB3F13">
        <w:t xml:space="preserve"> </w:t>
      </w:r>
      <w:r w:rsidR="007215D3">
        <w:t xml:space="preserve"> </w:t>
      </w:r>
      <w:r w:rsidR="004C04A8">
        <w:t xml:space="preserve"> </w:t>
      </w:r>
      <w:r w:rsidR="007215D3">
        <w:t>4.2.</w:t>
      </w:r>
      <w:r w:rsidR="004C04A8">
        <w:t xml:space="preserve"> </w:t>
      </w:r>
      <w:r w:rsidR="007215D3">
        <w:t xml:space="preserve"> papunkčiu</w:t>
      </w:r>
      <w:r w:rsidR="006D5B6A">
        <w:t xml:space="preserve"> (toliau – Įsakymas)</w:t>
      </w:r>
      <w:r w:rsidR="004C04A8">
        <w:t>.</w:t>
      </w:r>
      <w:r w:rsidR="00B358C7">
        <w:t xml:space="preserve"> Vadovaujantis Įsakymu, eritrocitų masės </w:t>
      </w:r>
      <w:r w:rsidR="00B358C7" w:rsidRPr="004C04A8">
        <w:t>transfuzij</w:t>
      </w:r>
      <w:r w:rsidR="00B358C7">
        <w:t xml:space="preserve">a (toliau- EMT) </w:t>
      </w:r>
      <w:proofErr w:type="spellStart"/>
      <w:r w:rsidR="00B358C7">
        <w:t>indikuotina</w:t>
      </w:r>
      <w:proofErr w:type="spellEnd"/>
      <w:r w:rsidR="00B358C7">
        <w:t xml:space="preserve"> kai</w:t>
      </w:r>
      <w:r w:rsidR="00B358C7" w:rsidRPr="004C04A8">
        <w:t>:</w:t>
      </w:r>
    </w:p>
    <w:p w14:paraId="64DD28D3" w14:textId="77777777" w:rsidR="00B358C7" w:rsidRPr="004C04A8" w:rsidRDefault="00B358C7" w:rsidP="00B358C7">
      <w:pPr>
        <w:pStyle w:val="Tekstas"/>
        <w:numPr>
          <w:ilvl w:val="0"/>
          <w:numId w:val="22"/>
        </w:numPr>
        <w:spacing w:line="276" w:lineRule="auto"/>
        <w:ind w:left="709" w:hanging="425"/>
      </w:pPr>
      <w:r w:rsidRPr="004C04A8">
        <w:t>klinikiniai ar laboratoriniai hipoksijos požymiai dėl mažakraujystės, jei mažakraujystę būtina sumažinti per trumpesnį laiką, nei tai galima pasiekti kitais metodais ar nėra alternatyvių mažakraujystės mažinimo metodų</w:t>
      </w:r>
      <w:r>
        <w:t xml:space="preserve"> (Įsakymo 4.2.1 papunktis)</w:t>
      </w:r>
      <w:r w:rsidRPr="004C04A8">
        <w:t>;</w:t>
      </w:r>
    </w:p>
    <w:p w14:paraId="137405AA" w14:textId="77777777" w:rsidR="00B358C7" w:rsidRPr="004C04A8" w:rsidRDefault="00B358C7" w:rsidP="00B358C7">
      <w:pPr>
        <w:pStyle w:val="Tekstas"/>
        <w:numPr>
          <w:ilvl w:val="0"/>
          <w:numId w:val="22"/>
        </w:numPr>
        <w:spacing w:line="276" w:lineRule="auto"/>
        <w:ind w:left="709" w:hanging="425"/>
      </w:pPr>
      <w:proofErr w:type="spellStart"/>
      <w:r w:rsidRPr="004C04A8">
        <w:t>Hb</w:t>
      </w:r>
      <w:proofErr w:type="spellEnd"/>
      <w:r w:rsidRPr="004C04A8">
        <w:t xml:space="preserve"> &lt; 60 – 70 g/l, esant </w:t>
      </w:r>
      <w:proofErr w:type="spellStart"/>
      <w:r w:rsidRPr="004C04A8">
        <w:t>normovolemijai</w:t>
      </w:r>
      <w:proofErr w:type="spellEnd"/>
      <w:r w:rsidRPr="004C04A8">
        <w:t xml:space="preserve">, eritrocitai </w:t>
      </w:r>
      <w:proofErr w:type="spellStart"/>
      <w:r w:rsidRPr="004C04A8">
        <w:t>indikuotini</w:t>
      </w:r>
      <w:proofErr w:type="spellEnd"/>
      <w:r w:rsidRPr="004C04A8">
        <w:t xml:space="preserve"> daugumai ligonių</w:t>
      </w:r>
      <w:r>
        <w:t xml:space="preserve"> (Įsakymo 4.2.2 papunktis)</w:t>
      </w:r>
      <w:r w:rsidRPr="004C04A8">
        <w:t>;</w:t>
      </w:r>
    </w:p>
    <w:p w14:paraId="650A0A85" w14:textId="77777777" w:rsidR="00B358C7" w:rsidRPr="004C04A8" w:rsidRDefault="00B358C7" w:rsidP="00B358C7">
      <w:pPr>
        <w:pStyle w:val="Tekstas"/>
        <w:numPr>
          <w:ilvl w:val="0"/>
          <w:numId w:val="22"/>
        </w:numPr>
        <w:spacing w:line="276" w:lineRule="auto"/>
        <w:ind w:left="709" w:hanging="425"/>
      </w:pPr>
      <w:proofErr w:type="spellStart"/>
      <w:r w:rsidRPr="004C04A8">
        <w:t>Hb</w:t>
      </w:r>
      <w:proofErr w:type="spellEnd"/>
      <w:r w:rsidRPr="004C04A8">
        <w:t xml:space="preserve"> &lt; 80 – 100 g/l, kai yra rizikos veiksnių, kurie gali sunkinti hipoksiją (koronarinė širdies liga, širdies vožtuvų patologija, galvos smegenų kraujagyslių patologija ar trauma, sunkios plaučių ligos, kt.)</w:t>
      </w:r>
      <w:r>
        <w:t xml:space="preserve"> (Įsakymo 4.2.3 papunktis).</w:t>
      </w:r>
    </w:p>
    <w:p w14:paraId="68CE4AF6" w14:textId="10C8D225" w:rsidR="008B3C48" w:rsidRDefault="004C04A8" w:rsidP="00BF5C0C">
      <w:pPr>
        <w:pStyle w:val="Tekstas"/>
        <w:spacing w:line="276" w:lineRule="auto"/>
        <w:ind w:firstLine="720"/>
        <w:rPr>
          <w:rFonts w:eastAsia="WarnockPro-Regular"/>
          <w:i/>
        </w:rPr>
      </w:pPr>
      <w:r>
        <w:t xml:space="preserve"> </w:t>
      </w:r>
      <w:bookmarkStart w:id="2" w:name="part_c16bce8d3b54451baa890ae408ee9225"/>
      <w:bookmarkEnd w:id="2"/>
      <w:r w:rsidR="00CF4B7A" w:rsidRPr="00BB3F13">
        <w:rPr>
          <w:bCs/>
        </w:rPr>
        <w:t xml:space="preserve">Atsižvelgiant į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116 </w:t>
      </w:r>
      <w:r w:rsidR="00CF4B7A" w:rsidRPr="00BB3F13">
        <w:rPr>
          <w:bCs/>
        </w:rPr>
        <w:lastRenderedPageBreak/>
        <w:t xml:space="preserve">- 119 punktus (toliau - Tvarkos aprašas) nustatyta, kad  </w:t>
      </w:r>
      <w:r w:rsidR="008B3C48">
        <w:rPr>
          <w:b/>
          <w:bCs/>
        </w:rPr>
        <w:t>e</w:t>
      </w:r>
      <w:r w:rsidR="00AD681C">
        <w:rPr>
          <w:b/>
          <w:bCs/>
        </w:rPr>
        <w:t>ritrocitų masės transfuzija (</w:t>
      </w:r>
      <w:r w:rsidR="00CF4B7A" w:rsidRPr="00BB3F13">
        <w:rPr>
          <w:b/>
          <w:bCs/>
        </w:rPr>
        <w:t>EMT</w:t>
      </w:r>
      <w:r w:rsidR="008B3C48">
        <w:rPr>
          <w:b/>
          <w:bCs/>
        </w:rPr>
        <w:t>)</w:t>
      </w:r>
      <w:r w:rsidR="000F564C">
        <w:rPr>
          <w:b/>
          <w:bCs/>
        </w:rPr>
        <w:t xml:space="preserve"> </w:t>
      </w:r>
      <w:r w:rsidR="000F564C" w:rsidRPr="000F564C">
        <w:t>yra</w:t>
      </w:r>
      <w:r w:rsidR="00DC7C44" w:rsidRPr="000F564C">
        <w:t xml:space="preserve"> </w:t>
      </w:r>
      <w:r w:rsidR="000F564C">
        <w:rPr>
          <w:bCs/>
        </w:rPr>
        <w:t xml:space="preserve">galimas </w:t>
      </w:r>
      <w:r w:rsidR="000F564C" w:rsidRPr="00BB3F13">
        <w:rPr>
          <w:bCs/>
        </w:rPr>
        <w:t>palyginam</w:t>
      </w:r>
      <w:r w:rsidR="000F564C">
        <w:rPr>
          <w:bCs/>
        </w:rPr>
        <w:t>asis</w:t>
      </w:r>
      <w:r w:rsidR="000F564C" w:rsidRPr="00BB3F13">
        <w:rPr>
          <w:bCs/>
        </w:rPr>
        <w:t xml:space="preserve"> gydyma</w:t>
      </w:r>
      <w:r w:rsidR="000F564C">
        <w:rPr>
          <w:bCs/>
        </w:rPr>
        <w:t xml:space="preserve">s. </w:t>
      </w:r>
      <w:proofErr w:type="spellStart"/>
      <w:r w:rsidR="00CF4B7A" w:rsidRPr="00BB3F13">
        <w:rPr>
          <w:rFonts w:eastAsia="WarnockPro-Regular"/>
        </w:rPr>
        <w:t>Monofer</w:t>
      </w:r>
      <w:proofErr w:type="spellEnd"/>
      <w:r w:rsidR="00CF4B7A" w:rsidRPr="00BB3F13">
        <w:rPr>
          <w:rFonts w:eastAsia="WarnockPro-Regular"/>
        </w:rPr>
        <w:t xml:space="preserve"> palyginamasis veiksmingumas grindžiamas stebėjimo ir realaus gyvenimo tyrimų rezultatais.  </w:t>
      </w:r>
    </w:p>
    <w:p w14:paraId="7709A65E" w14:textId="6601A971" w:rsidR="00CF4B7A" w:rsidRDefault="00CF4B7A" w:rsidP="00CF4B7A">
      <w:pPr>
        <w:tabs>
          <w:tab w:val="left" w:pos="426"/>
        </w:tabs>
        <w:spacing w:line="276" w:lineRule="auto"/>
        <w:jc w:val="both"/>
        <w:rPr>
          <w:rFonts w:eastAsia="WarnockPro-Regular"/>
          <w:i/>
        </w:rPr>
      </w:pPr>
      <w:r w:rsidRPr="00BB3F13">
        <w:rPr>
          <w:rFonts w:eastAsia="WarnockPro-Regular"/>
          <w:i/>
        </w:rPr>
        <w:t>Tiesioginis palyginimas</w:t>
      </w:r>
    </w:p>
    <w:p w14:paraId="47AC8F29" w14:textId="77777777" w:rsidR="000F564C" w:rsidRDefault="000F564C" w:rsidP="00CF4B7A">
      <w:pPr>
        <w:tabs>
          <w:tab w:val="left" w:pos="426"/>
        </w:tabs>
        <w:spacing w:line="276" w:lineRule="auto"/>
        <w:jc w:val="both"/>
        <w:rPr>
          <w:rFonts w:eastAsia="WarnockPro-Regular"/>
          <w:i/>
        </w:rPr>
      </w:pPr>
    </w:p>
    <w:p w14:paraId="48406C38" w14:textId="77777777" w:rsidR="00CF4B7A" w:rsidRPr="00BB3F13" w:rsidRDefault="00CF4B7A" w:rsidP="00CF4B7A">
      <w:pPr>
        <w:spacing w:line="276" w:lineRule="auto"/>
        <w:ind w:firstLine="360"/>
        <w:jc w:val="both"/>
      </w:pPr>
      <w:r w:rsidRPr="00BB3F13">
        <w:rPr>
          <w:color w:val="000000" w:themeColor="text1"/>
          <w:lang w:eastAsia="lt-LT"/>
        </w:rPr>
        <w:t xml:space="preserve">Pateikti paraiškoje klinikinio tyrimo </w:t>
      </w:r>
      <w:r w:rsidRPr="00BB3F13">
        <w:t xml:space="preserve">PROACTIVE PP-02 </w:t>
      </w:r>
      <w:r w:rsidRPr="00BB3F13">
        <w:rPr>
          <w:color w:val="000000" w:themeColor="text1"/>
          <w:lang w:eastAsia="lt-LT"/>
        </w:rPr>
        <w:t xml:space="preserve">duomenys atspindi pacientų populiaciją ir jo gydymo poreikį Lietuvoje. O šio tyrimo gauti rezultatai rodo, jog </w:t>
      </w:r>
      <w:r w:rsidRPr="00BB3F13">
        <w:rPr>
          <w:rFonts w:eastAsia="Arial"/>
        </w:rPr>
        <w:t xml:space="preserve">gimdžiusioms moterims, nepriklausomai nuo gimdymo būdo, kuomet pogimdyvinis kraujavimas &gt; 1000 ml ir </w:t>
      </w:r>
      <w:proofErr w:type="spellStart"/>
      <w:r w:rsidRPr="00BB3F13">
        <w:rPr>
          <w:rFonts w:eastAsia="Arial"/>
        </w:rPr>
        <w:t>Hb</w:t>
      </w:r>
      <w:proofErr w:type="spellEnd"/>
      <w:r w:rsidRPr="00BB3F13">
        <w:rPr>
          <w:rFonts w:eastAsia="Arial"/>
        </w:rPr>
        <w:t xml:space="preserve"> &lt;70-80 g/l nustačius mažiausiai 12 valandų po gimdymo, </w:t>
      </w:r>
      <w:proofErr w:type="spellStart"/>
      <w:r w:rsidRPr="00BB3F13">
        <w:rPr>
          <w:rFonts w:eastAsia="Arial"/>
        </w:rPr>
        <w:t>Monofer</w:t>
      </w:r>
      <w:proofErr w:type="spellEnd"/>
      <w:r w:rsidRPr="00BB3F13">
        <w:rPr>
          <w:rFonts w:eastAsia="Arial"/>
        </w:rPr>
        <w:t xml:space="preserve"> skyrimas</w:t>
      </w:r>
      <w:r w:rsidRPr="00BB3F13">
        <w:rPr>
          <w:color w:val="000000" w:themeColor="text1"/>
          <w:lang w:eastAsia="lt-LT"/>
        </w:rPr>
        <w:t xml:space="preserve"> gali būti pakankamai efektyvus. </w:t>
      </w:r>
      <w:r w:rsidRPr="00BB3F13">
        <w:rPr>
          <w:i/>
        </w:rPr>
        <w:t xml:space="preserve"> </w:t>
      </w:r>
      <w:r w:rsidRPr="00BB3F13">
        <w:t xml:space="preserve">      </w:t>
      </w:r>
    </w:p>
    <w:p w14:paraId="6A8474C9" w14:textId="78209D49" w:rsidR="00CF4B7A" w:rsidRPr="00BB3F13" w:rsidRDefault="00CF4B7A" w:rsidP="00CF4B7A">
      <w:pPr>
        <w:spacing w:line="276" w:lineRule="auto"/>
        <w:ind w:firstLine="720"/>
        <w:jc w:val="both"/>
      </w:pPr>
      <w:r w:rsidRPr="00BB3F13">
        <w:t xml:space="preserve">PROACTIVE PP-02 yra pirmasis tyrimas, kurio metu testuojamas didelės vienkartinės geležies </w:t>
      </w:r>
      <w:proofErr w:type="spellStart"/>
      <w:r w:rsidRPr="00BB3F13">
        <w:t>izomaltozido</w:t>
      </w:r>
      <w:proofErr w:type="spellEnd"/>
      <w:r w:rsidRPr="00BB3F13">
        <w:t xml:space="preserve"> dozės infuzijos taikymas ir tiriamieji rezultatai lyginant su EMT, gydant sunkią pogimdyvinę anemiją. Į tyrimą įrauktos, </w:t>
      </w:r>
      <w:r w:rsidRPr="00BB3F13">
        <w:rPr>
          <w:rFonts w:eastAsia="Arial"/>
        </w:rPr>
        <w:t xml:space="preserve">gimdžiusios moterys, nepriklausomai nuo gimdymo būdo, kuomet pogimdyvinis kraujavimas &gt; 1000 ml ir </w:t>
      </w:r>
      <w:proofErr w:type="spellStart"/>
      <w:r w:rsidRPr="00BB3F13">
        <w:rPr>
          <w:rFonts w:eastAsia="Arial"/>
        </w:rPr>
        <w:t>Hb</w:t>
      </w:r>
      <w:proofErr w:type="spellEnd"/>
      <w:r w:rsidRPr="00BB3F13">
        <w:rPr>
          <w:rFonts w:eastAsia="Arial"/>
        </w:rPr>
        <w:t xml:space="preserve"> 56-81 g/l nustačius mažiausiai 12 valandų po gimdymo.</w:t>
      </w:r>
      <w:r w:rsidRPr="00BB3F13">
        <w:t xml:space="preserve"> Į klinikinį tyrimą atrinktos 62 pacientės, tačiau didelė dalis moterų atitikusių įtraukimo kriterijus atsisakė dalyvauti klinikiniame tyrime (79 proc.). </w:t>
      </w:r>
      <w:r w:rsidRPr="00BB3F13">
        <w:rPr>
          <w:rStyle w:val="y2iqfc"/>
          <w:color w:val="202124"/>
        </w:rPr>
        <w:t>13 moterų davė raštišką sutikimą dalyvauti tyrime per 48 valandas po gimdymo ir buvo atsitiktinai suskirstytos į intravenin</w:t>
      </w:r>
      <w:r w:rsidR="008B3C48">
        <w:rPr>
          <w:rStyle w:val="y2iqfc"/>
          <w:color w:val="202124"/>
        </w:rPr>
        <w:t>ės</w:t>
      </w:r>
      <w:r w:rsidRPr="00BB3F13">
        <w:rPr>
          <w:rStyle w:val="y2iqfc"/>
          <w:color w:val="202124"/>
        </w:rPr>
        <w:t xml:space="preserve"> geležies grupę (n=7) arba eritrocitų masės transfuzijos (EMT) grupę (n=6</w:t>
      </w:r>
      <w:r w:rsidRPr="00BB3F13">
        <w:t xml:space="preserve"> ). </w:t>
      </w:r>
    </w:p>
    <w:p w14:paraId="7681380E" w14:textId="77777777" w:rsidR="00CF4B7A" w:rsidRPr="00BB3F13" w:rsidRDefault="00CF4B7A" w:rsidP="00CF4B7A">
      <w:pPr>
        <w:spacing w:line="276" w:lineRule="auto"/>
        <w:ind w:firstLine="720"/>
        <w:jc w:val="both"/>
        <w:rPr>
          <w:u w:val="single"/>
        </w:rPr>
      </w:pPr>
      <w:r w:rsidRPr="00BB3F13">
        <w:t>Vertinant nuovargio ir depresijos klausimynų vertinimo skalių balus (</w:t>
      </w:r>
      <w:r w:rsidRPr="00BB3F13">
        <w:rPr>
          <w:u w:val="single"/>
        </w:rPr>
        <w:t>pirminė vertinamoji baigtis),</w:t>
      </w:r>
      <w:r w:rsidRPr="00BB3F13">
        <w:t xml:space="preserve"> jie laikui bėgant sumažėjo nuo 1 iki 12 savaičių po gimdymo, tačiau per pirmąją savaitę nuovargio rezultatai nepasikeitė ir kliniškai </w:t>
      </w:r>
      <w:r w:rsidRPr="00BB3F13">
        <w:rPr>
          <w:color w:val="000000" w:themeColor="text1"/>
        </w:rPr>
        <w:t xml:space="preserve">reikšmingų skirtumų tarp grupių nebuvo. </w:t>
      </w:r>
    </w:p>
    <w:p w14:paraId="565066A6" w14:textId="1F5F959D" w:rsidR="00CF4B7A" w:rsidRPr="00BB3F13" w:rsidRDefault="00CF4B7A" w:rsidP="00CF4B7A">
      <w:pPr>
        <w:spacing w:line="276" w:lineRule="auto"/>
        <w:ind w:firstLine="720"/>
        <w:jc w:val="both"/>
      </w:pPr>
      <w:r w:rsidRPr="00BB3F13">
        <w:t xml:space="preserve">Pagal </w:t>
      </w:r>
      <w:r w:rsidRPr="00BB3F13">
        <w:rPr>
          <w:u w:val="single"/>
        </w:rPr>
        <w:t xml:space="preserve">antrinės vertinamosios baigties (hematologiniai ir geležies rodikliai) </w:t>
      </w:r>
      <w:r w:rsidRPr="00BB3F13">
        <w:t xml:space="preserve">rezultatus, EMT lėmė trumpalaikį teigiamą poveikį </w:t>
      </w:r>
      <w:proofErr w:type="spellStart"/>
      <w:r w:rsidRPr="00BB3F13">
        <w:t>Hb</w:t>
      </w:r>
      <w:proofErr w:type="spellEnd"/>
      <w:r w:rsidRPr="00BB3F13">
        <w:t xml:space="preserve"> pirmąją tyrimo dieną, o geležies atsargos ir </w:t>
      </w:r>
      <w:proofErr w:type="spellStart"/>
      <w:r w:rsidRPr="00BB3F13">
        <w:t>kraujodaros</w:t>
      </w:r>
      <w:proofErr w:type="spellEnd"/>
      <w:r w:rsidRPr="00BB3F13">
        <w:t xml:space="preserve"> sistemos atsakas buvo reikšmingai nepakankami. </w:t>
      </w:r>
      <w:r w:rsidR="008B3C48">
        <w:t>Į veną vartota g</w:t>
      </w:r>
      <w:r w:rsidRPr="00BB3F13">
        <w:t>eleži</w:t>
      </w:r>
      <w:r w:rsidR="008B3C48">
        <w:t>es preparatas</w:t>
      </w:r>
      <w:r w:rsidRPr="00BB3F13">
        <w:t xml:space="preserve"> </w:t>
      </w:r>
      <w:r w:rsidRPr="008B3C48">
        <w:rPr>
          <w:bCs/>
        </w:rPr>
        <w:t xml:space="preserve">pagerino geležies biocheminius rodiklius, lėmė pilną geležies </w:t>
      </w:r>
      <w:proofErr w:type="spellStart"/>
      <w:r w:rsidRPr="008B3C48">
        <w:rPr>
          <w:bCs/>
        </w:rPr>
        <w:t>hematopoetinį</w:t>
      </w:r>
      <w:proofErr w:type="spellEnd"/>
      <w:r w:rsidRPr="008B3C48">
        <w:rPr>
          <w:bCs/>
        </w:rPr>
        <w:t xml:space="preserve"> atsaką esant sunkiai pogimdyvinei anemijai ir suteikė ilgalaikį </w:t>
      </w:r>
      <w:proofErr w:type="spellStart"/>
      <w:r w:rsidRPr="008B3C48">
        <w:rPr>
          <w:bCs/>
        </w:rPr>
        <w:t>Hb</w:t>
      </w:r>
      <w:proofErr w:type="spellEnd"/>
      <w:r w:rsidRPr="008B3C48">
        <w:rPr>
          <w:bCs/>
        </w:rPr>
        <w:t xml:space="preserve"> rodiklio normalizavimą.</w:t>
      </w:r>
    </w:p>
    <w:p w14:paraId="657EC7FE" w14:textId="75170A14" w:rsidR="00CF4B7A" w:rsidRPr="00BB3F13" w:rsidRDefault="00CF4B7A" w:rsidP="00CF4B7A">
      <w:pPr>
        <w:spacing w:line="276" w:lineRule="auto"/>
        <w:ind w:firstLine="720"/>
        <w:jc w:val="both"/>
        <w:rPr>
          <w:rFonts w:eastAsia="Arial"/>
        </w:rPr>
      </w:pPr>
      <w:r w:rsidRPr="00BB3F13">
        <w:rPr>
          <w:rFonts w:eastAsia="Arial"/>
        </w:rPr>
        <w:t xml:space="preserve">Abiejose tyrimo grupėse buvo pranešta apie nepageidaujamas reakcijas, kurios buvo </w:t>
      </w:r>
      <w:r w:rsidR="008B3C48">
        <w:rPr>
          <w:rFonts w:eastAsia="Arial"/>
        </w:rPr>
        <w:t>nesunkio</w:t>
      </w:r>
      <w:r w:rsidRPr="00BB3F13">
        <w:rPr>
          <w:rFonts w:eastAsia="Arial"/>
        </w:rPr>
        <w:t xml:space="preserve">s. Intraveninės geležies grupėje 3 dalyviai patyrė reiškinių, klasifikuojamų kaip bendrieji sutrikimai / vaisto </w:t>
      </w:r>
      <w:r w:rsidR="008B3C48">
        <w:rPr>
          <w:rFonts w:eastAsia="Arial"/>
        </w:rPr>
        <w:t>vartojimo</w:t>
      </w:r>
      <w:r w:rsidRPr="00BB3F13">
        <w:rPr>
          <w:rFonts w:eastAsia="Arial"/>
        </w:rPr>
        <w:t xml:space="preserve"> vietos reakcijomis, o EMT grupės 2 dalyviai patyrė karščiavimą, o 1 dalyvis juto nugaros skausmą. Nugaros skausmas nebuvo susijęs su kitais kraujo perpylimo patirtais simptomais ar klinikiniais požymiais. Intraveninės geležies infuzija buvo nutraukta 1 dalyviui dėl ūm</w:t>
      </w:r>
      <w:r w:rsidR="008B3C48">
        <w:rPr>
          <w:rFonts w:eastAsia="Arial"/>
        </w:rPr>
        <w:t>inio</w:t>
      </w:r>
      <w:r w:rsidRPr="00BB3F13">
        <w:rPr>
          <w:rFonts w:eastAsia="Arial"/>
        </w:rPr>
        <w:t xml:space="preserve"> nugaros ir krūtinės skausmo (priskirta </w:t>
      </w:r>
      <w:r w:rsidR="008B3C48">
        <w:rPr>
          <w:rFonts w:eastAsia="Arial"/>
        </w:rPr>
        <w:t>kategorijai „B</w:t>
      </w:r>
      <w:r w:rsidRPr="00BB3F13">
        <w:rPr>
          <w:rFonts w:eastAsia="Arial"/>
        </w:rPr>
        <w:t>endr</w:t>
      </w:r>
      <w:r w:rsidR="008B3C48">
        <w:rPr>
          <w:rFonts w:eastAsia="Arial"/>
        </w:rPr>
        <w:t>ieji</w:t>
      </w:r>
      <w:r w:rsidRPr="00BB3F13">
        <w:rPr>
          <w:rFonts w:eastAsia="Arial"/>
        </w:rPr>
        <w:t xml:space="preserve"> sutrikim</w:t>
      </w:r>
      <w:r w:rsidR="008B3C48">
        <w:rPr>
          <w:rFonts w:eastAsia="Arial"/>
        </w:rPr>
        <w:t>ai“</w:t>
      </w:r>
      <w:r w:rsidRPr="00BB3F13">
        <w:rPr>
          <w:rFonts w:eastAsia="Arial"/>
        </w:rPr>
        <w:t xml:space="preserve">). Simptomas pasireiškė per pirmąsias 2 infuzijos minutes ir savaime išnyko per kelias minutes, nepakitus gyvybiniams požymiams ar neatsiradus padidėjusio jautrumo reakcijai, o infuzija buvo pradėta iš naujo, simptomams nesikartojant. Vienam intraveninės geležies grupės dalyviui </w:t>
      </w:r>
      <w:r w:rsidR="008B3C48">
        <w:rPr>
          <w:rFonts w:eastAsia="Arial"/>
        </w:rPr>
        <w:t xml:space="preserve">12 savaitę </w:t>
      </w:r>
      <w:r w:rsidRPr="00BB3F13">
        <w:rPr>
          <w:rFonts w:eastAsia="Arial"/>
        </w:rPr>
        <w:t>nustat</w:t>
      </w:r>
      <w:r w:rsidR="008B3C48">
        <w:rPr>
          <w:rFonts w:eastAsia="Arial"/>
        </w:rPr>
        <w:t>ytas</w:t>
      </w:r>
      <w:r w:rsidRPr="00BB3F13">
        <w:rPr>
          <w:rFonts w:eastAsia="Arial"/>
        </w:rPr>
        <w:t xml:space="preserve"> </w:t>
      </w:r>
      <w:proofErr w:type="spellStart"/>
      <w:r w:rsidRPr="00BB3F13">
        <w:rPr>
          <w:rFonts w:eastAsia="Arial"/>
        </w:rPr>
        <w:t>alanino</w:t>
      </w:r>
      <w:proofErr w:type="spellEnd"/>
      <w:r w:rsidRPr="00BB3F13">
        <w:rPr>
          <w:rFonts w:eastAsia="Arial"/>
        </w:rPr>
        <w:t xml:space="preserve"> </w:t>
      </w:r>
      <w:proofErr w:type="spellStart"/>
      <w:r w:rsidRPr="00BB3F13">
        <w:rPr>
          <w:rFonts w:eastAsia="Arial"/>
        </w:rPr>
        <w:t>aminotransferazė</w:t>
      </w:r>
      <w:r w:rsidR="008B3C48">
        <w:rPr>
          <w:rFonts w:eastAsia="Arial"/>
        </w:rPr>
        <w:t>s</w:t>
      </w:r>
      <w:proofErr w:type="spellEnd"/>
      <w:r w:rsidRPr="00BB3F13">
        <w:rPr>
          <w:rFonts w:eastAsia="Arial"/>
        </w:rPr>
        <w:t xml:space="preserve"> </w:t>
      </w:r>
      <w:r w:rsidR="008B3C48" w:rsidRPr="00BB3F13">
        <w:rPr>
          <w:rFonts w:eastAsia="Arial"/>
        </w:rPr>
        <w:t>padidėj</w:t>
      </w:r>
      <w:r w:rsidR="008B3C48">
        <w:rPr>
          <w:rFonts w:eastAsia="Arial"/>
        </w:rPr>
        <w:t>imas</w:t>
      </w:r>
      <w:r w:rsidR="008B3C48" w:rsidRPr="00BB3F13">
        <w:rPr>
          <w:rFonts w:eastAsia="Arial"/>
        </w:rPr>
        <w:t xml:space="preserve"> </w:t>
      </w:r>
      <w:r w:rsidRPr="00BB3F13">
        <w:rPr>
          <w:rFonts w:eastAsia="Arial"/>
        </w:rPr>
        <w:t>be klinikinių simptomų. Šis požymis buvo klasifikuojamas kaip nesusijęs su vaist</w:t>
      </w:r>
      <w:r w:rsidR="008B3C48">
        <w:rPr>
          <w:rFonts w:eastAsia="Arial"/>
        </w:rPr>
        <w:t>inio preparato vartojimu</w:t>
      </w:r>
      <w:r w:rsidRPr="00BB3F13">
        <w:rPr>
          <w:rFonts w:eastAsia="Arial"/>
        </w:rPr>
        <w:t>.</w:t>
      </w:r>
    </w:p>
    <w:p w14:paraId="50312F25" w14:textId="3C2D5A93" w:rsidR="00CF4B7A" w:rsidRPr="003B79D4" w:rsidRDefault="00CF4B7A" w:rsidP="00CF4B7A">
      <w:pPr>
        <w:pStyle w:val="Tekstas"/>
        <w:spacing w:line="276" w:lineRule="auto"/>
        <w:rPr>
          <w:rFonts w:eastAsia="Arial"/>
          <w:strike/>
        </w:rPr>
      </w:pPr>
      <w:r w:rsidRPr="00BB3F13">
        <w:t xml:space="preserve">       Apibendrinant, šio tyrimo praneštų pacientų baigčių rezultatai nebuvo įtikinami, tačiau laboratoriniai tyrimai (hematologiniai ir geležies </w:t>
      </w:r>
      <w:r w:rsidR="008B3C48">
        <w:t>rodmenys</w:t>
      </w:r>
      <w:r w:rsidRPr="00BB3F13">
        <w:t xml:space="preserve">) parodė, kad vienos dozės geležies </w:t>
      </w:r>
      <w:proofErr w:type="spellStart"/>
      <w:r w:rsidRPr="00BB3F13">
        <w:t>izomaltozido</w:t>
      </w:r>
      <w:proofErr w:type="spellEnd"/>
      <w:r w:rsidRPr="00BB3F13">
        <w:t xml:space="preserve"> infuzija gali būti alternatyva EMT gydant sunkią pogimdyvinę anemiją. </w:t>
      </w:r>
      <w:r w:rsidR="003B79D4">
        <w:t>Žvalgomojo</w:t>
      </w:r>
      <w:r w:rsidRPr="00BB3F13">
        <w:t xml:space="preserve"> tyrimo PROACTIVE PP-02 rezultatai laikomi priimtinais, nepaisant mažos tyrimo imties. Tyrimo populiacija yra moterys po gimdymo (&lt;48 val. po gimdymo), todėl suprantama, kad didelės imties tokio pobūdžio populiaciją surinkti yra ypatingai sunku dėl moterų emocinės, fizinės ir sveikatos būklės praėjus vos kelioms paroms po gimdymo.</w:t>
      </w:r>
      <w:r w:rsidRPr="00BB3F13">
        <w:rPr>
          <w:b/>
        </w:rPr>
        <w:t xml:space="preserve"> </w:t>
      </w:r>
    </w:p>
    <w:p w14:paraId="09EA6BEC" w14:textId="77777777" w:rsidR="00CF4B7A" w:rsidRPr="00BB3F13" w:rsidRDefault="00CF4B7A" w:rsidP="00CF4B7A">
      <w:pPr>
        <w:tabs>
          <w:tab w:val="left" w:pos="426"/>
        </w:tabs>
        <w:spacing w:line="276" w:lineRule="auto"/>
        <w:jc w:val="both"/>
        <w:rPr>
          <w:i/>
          <w:color w:val="000000"/>
          <w:lang w:eastAsia="lt-LT"/>
        </w:rPr>
      </w:pPr>
      <w:r w:rsidRPr="00BB3F13">
        <w:rPr>
          <w:i/>
          <w:color w:val="000000"/>
          <w:lang w:eastAsia="lt-LT"/>
        </w:rPr>
        <w:tab/>
        <w:t>Kiti tyrimai</w:t>
      </w:r>
    </w:p>
    <w:p w14:paraId="013AE92C" w14:textId="77777777" w:rsidR="00CF4B7A" w:rsidRPr="00BB3F13" w:rsidRDefault="00CF4B7A" w:rsidP="00CF4B7A">
      <w:pPr>
        <w:tabs>
          <w:tab w:val="left" w:pos="426"/>
        </w:tabs>
        <w:spacing w:line="276" w:lineRule="auto"/>
        <w:jc w:val="both"/>
        <w:rPr>
          <w:i/>
          <w:color w:val="000000"/>
          <w:lang w:eastAsia="lt-LT"/>
        </w:rPr>
      </w:pPr>
      <w:r w:rsidRPr="00BB3F13">
        <w:rPr>
          <w:i/>
          <w:color w:val="000000"/>
          <w:lang w:eastAsia="lt-LT"/>
        </w:rPr>
        <w:tab/>
        <w:t>R</w:t>
      </w:r>
      <w:r w:rsidRPr="00BB3F13">
        <w:rPr>
          <w:i/>
        </w:rPr>
        <w:t>ealaus stebėjimo tyrimas Jungtinėje Karalystėje</w:t>
      </w:r>
    </w:p>
    <w:p w14:paraId="4C0FE572" w14:textId="32A36B18" w:rsidR="00CF4B7A" w:rsidRPr="00BB3F13" w:rsidRDefault="00CF4B7A" w:rsidP="00CF4B7A">
      <w:pPr>
        <w:spacing w:before="60" w:after="60" w:line="276" w:lineRule="auto"/>
        <w:jc w:val="both"/>
      </w:pPr>
      <w:r w:rsidRPr="00BB3F13">
        <w:lastRenderedPageBreak/>
        <w:t xml:space="preserve"> </w:t>
      </w:r>
      <w:r w:rsidRPr="00BB3F13">
        <w:tab/>
      </w:r>
      <w:r w:rsidRPr="00BB3F13">
        <w:rPr>
          <w:rFonts w:eastAsia="Arial"/>
          <w:color w:val="000000"/>
        </w:rPr>
        <w:t xml:space="preserve">Tai retrospektyvinis, </w:t>
      </w:r>
      <w:proofErr w:type="spellStart"/>
      <w:r w:rsidRPr="00BB3F13">
        <w:rPr>
          <w:rFonts w:eastAsia="Arial"/>
          <w:color w:val="000000"/>
        </w:rPr>
        <w:t>multicentrinis</w:t>
      </w:r>
      <w:proofErr w:type="spellEnd"/>
      <w:r w:rsidRPr="00BB3F13">
        <w:rPr>
          <w:rFonts w:eastAsia="Arial"/>
          <w:color w:val="000000"/>
        </w:rPr>
        <w:t xml:space="preserve">, audito kontroliuojamas </w:t>
      </w:r>
      <w:r w:rsidRPr="00BB3F13">
        <w:rPr>
          <w:rFonts w:eastAsia="Arial"/>
          <w:color w:val="000000" w:themeColor="text1"/>
        </w:rPr>
        <w:t>stebėjimo tyrimas</w:t>
      </w:r>
      <w:r w:rsidRPr="00BB3F13">
        <w:rPr>
          <w:color w:val="000000" w:themeColor="text1"/>
        </w:rPr>
        <w:t xml:space="preserve">. </w:t>
      </w:r>
      <w:r w:rsidRPr="00BB3F13">
        <w:t xml:space="preserve">Tyrimo imtis - 7354 pacientai, kuriems buvo skirta intraveninė geležis </w:t>
      </w:r>
      <w:proofErr w:type="spellStart"/>
      <w:r w:rsidRPr="00BB3F13">
        <w:t>Monofer</w:t>
      </w:r>
      <w:proofErr w:type="spellEnd"/>
      <w:r w:rsidRPr="00BB3F13">
        <w:t>.  Iš 6899 pacientų, didesnė dalis sirgo anemija (84,5 proc.) ir ja nesergantys sudarė 9,3 proc. pacientų</w:t>
      </w:r>
      <w:r w:rsidR="00374301">
        <w:t>.</w:t>
      </w:r>
      <w:r w:rsidRPr="00BB3F13">
        <w:t xml:space="preserve"> Visos populiacijos vidutinis </w:t>
      </w:r>
      <w:proofErr w:type="spellStart"/>
      <w:r w:rsidRPr="00BB3F13">
        <w:t>Hb</w:t>
      </w:r>
      <w:proofErr w:type="spellEnd"/>
      <w:r w:rsidRPr="00BB3F13">
        <w:t xml:space="preserve"> buvo 99,6 g/l (SN 17,6). </w:t>
      </w:r>
    </w:p>
    <w:p w14:paraId="18E2238E" w14:textId="3F98BE3A" w:rsidR="00CF4B7A" w:rsidRPr="00BB3F13" w:rsidRDefault="00DC7C44" w:rsidP="00CF4B7A">
      <w:pPr>
        <w:spacing w:before="60" w:after="60" w:line="276" w:lineRule="auto"/>
        <w:ind w:firstLine="720"/>
        <w:jc w:val="both"/>
      </w:pPr>
      <w:r>
        <w:t>Pagrindiniai tyrimo rezultat</w:t>
      </w:r>
      <w:r w:rsidR="00B358C7">
        <w:t>a</w:t>
      </w:r>
      <w:r>
        <w:t>i parodė, kad h</w:t>
      </w:r>
      <w:r w:rsidR="00CF4B7A" w:rsidRPr="00BB3F13">
        <w:t xml:space="preserve">emoglobino padidėjimas nuo pradinio buvo statistiškai reikšmingas visose amžiaus grupėse 4 tyrimo mėnesį (p&lt;0,0001). Vidutinis </w:t>
      </w:r>
      <w:proofErr w:type="spellStart"/>
      <w:r w:rsidR="00CF4B7A" w:rsidRPr="00BB3F13">
        <w:t>feritino</w:t>
      </w:r>
      <w:proofErr w:type="spellEnd"/>
      <w:r w:rsidR="00CF4B7A" w:rsidRPr="00BB3F13">
        <w:t xml:space="preserve"> koncentracijos padidėjimas po 4 mėnesių lyginant su pradiniu buvo 209,6 mg/l ir buvo statistiškai reikšmingai daugiau 4 mėnesį lyginant su pradiniu (&lt;0,0001). </w:t>
      </w:r>
    </w:p>
    <w:p w14:paraId="1C80DC50" w14:textId="58E218E6" w:rsidR="00CF4B7A" w:rsidRPr="00BB3F13" w:rsidRDefault="00CF4B7A" w:rsidP="00DC7C44">
      <w:pPr>
        <w:spacing w:before="60" w:after="60" w:line="276" w:lineRule="auto"/>
        <w:jc w:val="both"/>
      </w:pPr>
      <w:r w:rsidRPr="00BB3F13">
        <w:t xml:space="preserve">     Nors nepageidaujamų reakcijų tarp anemija sergančių ir ja nesergančių pacientų skaičius buvo panašus (atitinkamai 1,7 proc. ir 2,2 proc.), padidėjusio jautrumo reakcijų dažnis buvo mažesnis anemija sergančiųjų tarpe (0,3 proc.) lyginant su ja nesergančiaisiais (0,9 proc.). </w:t>
      </w:r>
    </w:p>
    <w:p w14:paraId="48CBBE06" w14:textId="74E20D5D" w:rsidR="00CF4B7A" w:rsidRPr="00BB3F13" w:rsidRDefault="00CF4B7A" w:rsidP="00CF4B7A">
      <w:pPr>
        <w:tabs>
          <w:tab w:val="left" w:pos="426"/>
        </w:tabs>
        <w:spacing w:line="276" w:lineRule="auto"/>
        <w:jc w:val="both"/>
      </w:pPr>
      <w:r w:rsidRPr="00BB3F13">
        <w:t xml:space="preserve">       Atsižvelgiant į realaus stebėjimo Jungtinėje Karalystėje pradines pacientų charakteristikas ir gautus stebėjimo tyrimo rezultatus didelėje imtyje, tikėtina, jog gydymas </w:t>
      </w:r>
      <w:proofErr w:type="spellStart"/>
      <w:r w:rsidRPr="00BB3F13">
        <w:t>Monofer</w:t>
      </w:r>
      <w:proofErr w:type="spellEnd"/>
      <w:r w:rsidRPr="00BB3F13">
        <w:t xml:space="preserve"> </w:t>
      </w:r>
      <w:r w:rsidR="00374301">
        <w:t>yra</w:t>
      </w:r>
      <w:r w:rsidR="00374301" w:rsidRPr="00BB3F13">
        <w:t xml:space="preserve"> </w:t>
      </w:r>
      <w:r w:rsidRPr="00BB3F13">
        <w:t xml:space="preserve">veiksmingas tikslinei populiacijai, kurioje pacientai serga anemija susijusia su kitomis lėtinėmis ligomis (nefrologinėmis, </w:t>
      </w:r>
      <w:proofErr w:type="spellStart"/>
      <w:r w:rsidRPr="00BB3F13">
        <w:t>gastroenterologinėmis</w:t>
      </w:r>
      <w:proofErr w:type="spellEnd"/>
      <w:r w:rsidRPr="00BB3F13">
        <w:t xml:space="preserve"> ir akušerinėmis) ar anemijos korekcijai po taikyto chirurginio gydymo.</w:t>
      </w:r>
    </w:p>
    <w:p w14:paraId="4B45C485" w14:textId="77777777" w:rsidR="00CF4B7A" w:rsidRPr="00BB3F13" w:rsidRDefault="00CF4B7A" w:rsidP="00CF4B7A">
      <w:pPr>
        <w:spacing w:before="60" w:after="60" w:line="276" w:lineRule="auto"/>
        <w:ind w:firstLine="720"/>
        <w:jc w:val="both"/>
        <w:rPr>
          <w:i/>
        </w:rPr>
      </w:pPr>
      <w:r w:rsidRPr="00BB3F13">
        <w:rPr>
          <w:i/>
        </w:rPr>
        <w:t>Realaus stebėjimo tyrimas Lietuvoje</w:t>
      </w:r>
    </w:p>
    <w:bookmarkEnd w:id="1"/>
    <w:p w14:paraId="76C24D38" w14:textId="53242B4C" w:rsidR="00CF4B7A" w:rsidRPr="00BB3F13" w:rsidRDefault="00C03C9E" w:rsidP="00CA1DF4">
      <w:pPr>
        <w:tabs>
          <w:tab w:val="left" w:pos="284"/>
        </w:tabs>
        <w:rPr>
          <w:b/>
          <w:bCs/>
          <w:caps/>
        </w:rPr>
      </w:pPr>
      <w:r>
        <w:t>(Konfidencialu)</w:t>
      </w:r>
    </w:p>
    <w:p w14:paraId="7DE09EB5" w14:textId="04C72FFD" w:rsidR="00E03C3F" w:rsidRPr="00BB3F13" w:rsidRDefault="00CC7832" w:rsidP="00937907">
      <w:pPr>
        <w:pStyle w:val="ListParagraph"/>
        <w:numPr>
          <w:ilvl w:val="0"/>
          <w:numId w:val="12"/>
        </w:numPr>
        <w:tabs>
          <w:tab w:val="left" w:pos="426"/>
        </w:tabs>
        <w:rPr>
          <w:b/>
          <w:bCs/>
          <w:caps/>
        </w:rPr>
      </w:pPr>
      <w:r w:rsidRPr="00BB3F13">
        <w:rPr>
          <w:b/>
          <w:bCs/>
          <w:caps/>
        </w:rPr>
        <w:t xml:space="preserve">Farmakoekonominio vertinimo </w:t>
      </w:r>
      <w:r w:rsidR="002F0E4F" w:rsidRPr="00BB3F13">
        <w:rPr>
          <w:b/>
          <w:bCs/>
          <w:caps/>
        </w:rPr>
        <w:t>apibendrinimas</w:t>
      </w:r>
    </w:p>
    <w:p w14:paraId="1A900598" w14:textId="65638B29" w:rsidR="00C62B36" w:rsidRPr="00BB3F13" w:rsidRDefault="00C62B36" w:rsidP="00A93AA6">
      <w:pPr>
        <w:tabs>
          <w:tab w:val="left" w:pos="426"/>
        </w:tabs>
        <w:rPr>
          <w:i/>
          <w:color w:val="00B050"/>
          <w:sz w:val="22"/>
          <w:szCs w:val="22"/>
        </w:rPr>
      </w:pPr>
    </w:p>
    <w:p w14:paraId="6BF321CA" w14:textId="50B3A16B" w:rsidR="00B90325" w:rsidRPr="00BB3F13" w:rsidRDefault="005648CF" w:rsidP="00BB3F13">
      <w:pPr>
        <w:tabs>
          <w:tab w:val="left" w:pos="567"/>
        </w:tabs>
        <w:spacing w:line="276" w:lineRule="auto"/>
        <w:jc w:val="both"/>
        <w:rPr>
          <w:bCs/>
          <w:color w:val="000000"/>
          <w:lang w:eastAsia="lt-LT"/>
        </w:rPr>
      </w:pPr>
      <w:r w:rsidRPr="00BB3F13">
        <w:rPr>
          <w:rFonts w:eastAsia="Arial"/>
        </w:rPr>
        <w:tab/>
      </w:r>
      <w:r w:rsidR="00B90325" w:rsidRPr="00BB3F13">
        <w:rPr>
          <w:bCs/>
          <w:color w:val="000000"/>
          <w:lang w:eastAsia="lt-LT"/>
        </w:rPr>
        <w:t>Vertinimui pateikta kaštų mažinimo analizė, kurioje lygina</w:t>
      </w:r>
      <w:r w:rsidR="00BB3F13">
        <w:rPr>
          <w:bCs/>
          <w:color w:val="000000"/>
          <w:lang w:eastAsia="lt-LT"/>
        </w:rPr>
        <w:t>mi</w:t>
      </w:r>
      <w:r w:rsidR="00B90325" w:rsidRPr="00BB3F13">
        <w:rPr>
          <w:bCs/>
          <w:color w:val="000000"/>
          <w:lang w:eastAsia="lt-LT"/>
        </w:rPr>
        <w:t xml:space="preserve"> </w:t>
      </w:r>
      <w:proofErr w:type="spellStart"/>
      <w:r w:rsidR="00BB3F13">
        <w:rPr>
          <w:bCs/>
          <w:color w:val="000000"/>
          <w:lang w:eastAsia="lt-LT"/>
        </w:rPr>
        <w:t>M</w:t>
      </w:r>
      <w:r w:rsidR="00B90325" w:rsidRPr="00BB3F13">
        <w:rPr>
          <w:bCs/>
          <w:color w:val="000000"/>
          <w:lang w:eastAsia="lt-LT"/>
        </w:rPr>
        <w:t>onofer</w:t>
      </w:r>
      <w:proofErr w:type="spellEnd"/>
      <w:r w:rsidR="00B90325" w:rsidRPr="00BB3F13">
        <w:rPr>
          <w:bCs/>
          <w:color w:val="000000"/>
          <w:lang w:eastAsia="lt-LT"/>
        </w:rPr>
        <w:t xml:space="preserve"> ir eritrocitų masės transfuzijos gydymo kašt</w:t>
      </w:r>
      <w:r w:rsidR="00BB3F13">
        <w:rPr>
          <w:bCs/>
          <w:color w:val="000000"/>
          <w:lang w:eastAsia="lt-LT"/>
        </w:rPr>
        <w:t>ai</w:t>
      </w:r>
      <w:r w:rsidR="00B90325" w:rsidRPr="00BB3F13">
        <w:rPr>
          <w:bCs/>
          <w:color w:val="000000"/>
          <w:lang w:eastAsia="lt-LT"/>
        </w:rPr>
        <w:t xml:space="preserve"> vienerių metų laikotarpiu. </w:t>
      </w:r>
      <w:r w:rsidR="00BB3F13">
        <w:rPr>
          <w:bCs/>
          <w:color w:val="000000"/>
          <w:lang w:eastAsia="lt-LT"/>
        </w:rPr>
        <w:t>T</w:t>
      </w:r>
      <w:r w:rsidR="00B90325" w:rsidRPr="00BB3F13">
        <w:rPr>
          <w:bCs/>
          <w:color w:val="000000"/>
          <w:lang w:eastAsia="lt-LT"/>
        </w:rPr>
        <w:t xml:space="preserve">oks gydymo kaštų palyginimas yra nepriimtinas, nes nėra aišku, kokia tiksli </w:t>
      </w:r>
      <w:proofErr w:type="spellStart"/>
      <w:r w:rsidR="00BB3F13">
        <w:rPr>
          <w:bCs/>
          <w:color w:val="000000"/>
          <w:lang w:eastAsia="lt-LT"/>
        </w:rPr>
        <w:t>M</w:t>
      </w:r>
      <w:r w:rsidR="00B90325" w:rsidRPr="00BB3F13">
        <w:rPr>
          <w:bCs/>
          <w:color w:val="000000"/>
          <w:lang w:eastAsia="lt-LT"/>
        </w:rPr>
        <w:t>onofer</w:t>
      </w:r>
      <w:proofErr w:type="spellEnd"/>
      <w:r w:rsidR="00B90325" w:rsidRPr="00BB3F13">
        <w:rPr>
          <w:bCs/>
          <w:color w:val="000000"/>
          <w:lang w:eastAsia="lt-LT"/>
        </w:rPr>
        <w:t xml:space="preserve"> dozė būtų sunaudota Lietuvos pacientams gydyti kompensavimui </w:t>
      </w:r>
      <w:r w:rsidR="00BB3F13">
        <w:rPr>
          <w:bCs/>
          <w:color w:val="000000"/>
          <w:lang w:eastAsia="lt-LT"/>
        </w:rPr>
        <w:t>teikiamai terapinei</w:t>
      </w:r>
      <w:r w:rsidR="00B90325" w:rsidRPr="00BB3F13">
        <w:rPr>
          <w:bCs/>
          <w:color w:val="000000"/>
          <w:lang w:eastAsia="lt-LT"/>
        </w:rPr>
        <w:t xml:space="preserve"> indikacij</w:t>
      </w:r>
      <w:r w:rsidR="00BB3F13">
        <w:rPr>
          <w:bCs/>
          <w:color w:val="000000"/>
          <w:lang w:eastAsia="lt-LT"/>
        </w:rPr>
        <w:t>ai</w:t>
      </w:r>
      <w:r w:rsidR="00B90325" w:rsidRPr="00BB3F13">
        <w:rPr>
          <w:bCs/>
          <w:color w:val="000000"/>
          <w:lang w:eastAsia="lt-LT"/>
        </w:rPr>
        <w:t xml:space="preserve">. Klinikiniame tyrime (PROACTIVE-PP02), kuriuo buvo įrodyta nesiskirianti vienkartinės </w:t>
      </w:r>
      <w:proofErr w:type="spellStart"/>
      <w:r w:rsidR="00BB3F13">
        <w:rPr>
          <w:bCs/>
          <w:color w:val="000000"/>
          <w:lang w:eastAsia="lt-LT"/>
        </w:rPr>
        <w:t>M</w:t>
      </w:r>
      <w:r w:rsidR="00B90325" w:rsidRPr="00BB3F13">
        <w:rPr>
          <w:bCs/>
          <w:color w:val="000000"/>
          <w:lang w:eastAsia="lt-LT"/>
        </w:rPr>
        <w:t>onofer</w:t>
      </w:r>
      <w:proofErr w:type="spellEnd"/>
      <w:r w:rsidR="00B90325" w:rsidRPr="00BB3F13">
        <w:rPr>
          <w:bCs/>
          <w:color w:val="000000"/>
          <w:lang w:eastAsia="lt-LT"/>
        </w:rPr>
        <w:t xml:space="preserve"> ir eritrocitų masės transfuzijos dozės nauda, pacientės gavo vienkartinę </w:t>
      </w:r>
      <w:proofErr w:type="spellStart"/>
      <w:r w:rsidR="00BB3F13">
        <w:rPr>
          <w:bCs/>
          <w:color w:val="000000"/>
          <w:lang w:eastAsia="lt-LT"/>
        </w:rPr>
        <w:t>M</w:t>
      </w:r>
      <w:r w:rsidR="00B90325" w:rsidRPr="00BB3F13">
        <w:rPr>
          <w:bCs/>
          <w:color w:val="000000"/>
          <w:lang w:eastAsia="lt-LT"/>
        </w:rPr>
        <w:t>onofer</w:t>
      </w:r>
      <w:proofErr w:type="spellEnd"/>
      <w:r w:rsidR="00B90325" w:rsidRPr="00BB3F13">
        <w:rPr>
          <w:bCs/>
          <w:color w:val="000000"/>
          <w:lang w:eastAsia="lt-LT"/>
        </w:rPr>
        <w:t xml:space="preserve"> doz</w:t>
      </w:r>
      <w:r w:rsidR="00BB3F13">
        <w:rPr>
          <w:bCs/>
          <w:color w:val="000000"/>
          <w:lang w:eastAsia="lt-LT"/>
        </w:rPr>
        <w:t>ę</w:t>
      </w:r>
      <w:r w:rsidR="00B90325" w:rsidRPr="00BB3F13">
        <w:rPr>
          <w:bCs/>
          <w:color w:val="000000"/>
          <w:lang w:eastAsia="lt-LT"/>
        </w:rPr>
        <w:t xml:space="preserve"> (1500 mg) ir 1-2 eritrocitų masės vienetus (2 eritrocitų masės vienetus gavo viena pacientė klinikiniame tyrime). Šiame tyrime nebuvo palygintos metinės </w:t>
      </w:r>
      <w:proofErr w:type="spellStart"/>
      <w:r w:rsidR="00BB3F13">
        <w:rPr>
          <w:bCs/>
          <w:color w:val="000000"/>
          <w:lang w:eastAsia="lt-LT"/>
        </w:rPr>
        <w:t>M</w:t>
      </w:r>
      <w:r w:rsidR="00B90325" w:rsidRPr="00BB3F13">
        <w:rPr>
          <w:bCs/>
          <w:color w:val="000000"/>
          <w:lang w:eastAsia="lt-LT"/>
        </w:rPr>
        <w:t>onofer</w:t>
      </w:r>
      <w:proofErr w:type="spellEnd"/>
      <w:r w:rsidR="00B90325" w:rsidRPr="00BB3F13">
        <w:rPr>
          <w:bCs/>
          <w:color w:val="000000"/>
          <w:lang w:eastAsia="lt-LT"/>
        </w:rPr>
        <w:t xml:space="preserve"> ir eritrocitų masės transfuzijos dozės. Dėl šios priežasties, </w:t>
      </w:r>
      <w:r w:rsidR="00BB3F13">
        <w:rPr>
          <w:bCs/>
          <w:color w:val="000000"/>
          <w:lang w:eastAsia="lt-LT"/>
        </w:rPr>
        <w:t xml:space="preserve">Valstybinė vaistų kontrolės tarnyba prie Lietuvos Respublikos sveikatos apsaugos ministerijos (toliau – </w:t>
      </w:r>
      <w:r w:rsidR="00B90325" w:rsidRPr="00BB3F13">
        <w:rPr>
          <w:bCs/>
          <w:color w:val="000000"/>
          <w:lang w:eastAsia="lt-LT"/>
        </w:rPr>
        <w:t>Tarnyba</w:t>
      </w:r>
      <w:r w:rsidR="00BB3F13">
        <w:rPr>
          <w:bCs/>
          <w:color w:val="000000"/>
          <w:lang w:eastAsia="lt-LT"/>
        </w:rPr>
        <w:t>)</w:t>
      </w:r>
      <w:r w:rsidR="00B90325" w:rsidRPr="00BB3F13">
        <w:rPr>
          <w:bCs/>
          <w:color w:val="000000"/>
          <w:lang w:eastAsia="lt-LT"/>
        </w:rPr>
        <w:t xml:space="preserve"> kreipėsi į Pareiškėją, nurodydama, jog kaštų palyginimas turi atitikti klin</w:t>
      </w:r>
      <w:r w:rsidR="00BB3F13">
        <w:rPr>
          <w:bCs/>
          <w:color w:val="000000"/>
          <w:lang w:eastAsia="lt-LT"/>
        </w:rPr>
        <w:t>i</w:t>
      </w:r>
      <w:r w:rsidR="00B90325" w:rsidRPr="00BB3F13">
        <w:rPr>
          <w:bCs/>
          <w:color w:val="000000"/>
          <w:lang w:eastAsia="lt-LT"/>
        </w:rPr>
        <w:t>kiniame tyrime taikomą dozavimą.</w:t>
      </w:r>
    </w:p>
    <w:p w14:paraId="2698DDAA" w14:textId="71C30B3E" w:rsidR="00B90325" w:rsidRPr="00BB3F13" w:rsidRDefault="00B90325" w:rsidP="00BB3F13">
      <w:pPr>
        <w:tabs>
          <w:tab w:val="left" w:pos="567"/>
        </w:tabs>
        <w:spacing w:line="276" w:lineRule="auto"/>
        <w:jc w:val="both"/>
        <w:rPr>
          <w:bCs/>
          <w:color w:val="000000"/>
          <w:lang w:eastAsia="lt-LT"/>
        </w:rPr>
      </w:pPr>
      <w:r w:rsidRPr="00BB3F13">
        <w:rPr>
          <w:bCs/>
          <w:color w:val="000000"/>
          <w:lang w:eastAsia="lt-LT"/>
        </w:rPr>
        <w:tab/>
      </w:r>
      <w:r w:rsidR="00BB3F13">
        <w:rPr>
          <w:bCs/>
          <w:color w:val="000000"/>
          <w:lang w:eastAsia="lt-LT"/>
        </w:rPr>
        <w:t>Pažymėtina</w:t>
      </w:r>
      <w:r w:rsidRPr="00BB3F13">
        <w:rPr>
          <w:bCs/>
          <w:color w:val="000000"/>
          <w:lang w:eastAsia="lt-LT"/>
        </w:rPr>
        <w:t xml:space="preserve">, jog Tarnybos žiniomis nėra metodo, kuriuo būtų galima tiksliai apskaičiuoti vieno eritrocitų masės vieneto kaštus, kuriuos </w:t>
      </w:r>
      <w:r w:rsidR="00C46097">
        <w:rPr>
          <w:bCs/>
          <w:color w:val="000000"/>
          <w:lang w:eastAsia="lt-LT"/>
        </w:rPr>
        <w:t xml:space="preserve">Valstybinė ligonių kasa prie Sveikatos apsaugos ministerijos (toliau - </w:t>
      </w:r>
      <w:r w:rsidRPr="00BB3F13">
        <w:rPr>
          <w:bCs/>
          <w:color w:val="000000"/>
          <w:lang w:eastAsia="lt-LT"/>
        </w:rPr>
        <w:t>VLK</w:t>
      </w:r>
      <w:r w:rsidR="00C46097">
        <w:rPr>
          <w:bCs/>
          <w:color w:val="000000"/>
          <w:lang w:eastAsia="lt-LT"/>
        </w:rPr>
        <w:t>)</w:t>
      </w:r>
      <w:r w:rsidRPr="00BB3F13">
        <w:rPr>
          <w:bCs/>
          <w:color w:val="000000"/>
          <w:lang w:eastAsia="lt-LT"/>
        </w:rPr>
        <w:t xml:space="preserve"> sumoka gydymo įstaigoms, nes gydymo įstaigos vertina ne atskirai vienam pacientui sunaudotus eritrocitų masės vienetus, bet bendrai gydymo įstaigos sunaudotus eritrocitų masės vienetus per atitinkamą laikotarpį. Tiksliam apskaičiavimui reiktų žinoti, kiek eritrocitų masės vienetų sunaudojo kiekviena Lietuvos gydymo įstaiga ir į kurį sunaudotų kraujo komponentų vertės rėžį patenka atitinkamos gydymo įstaigos sunaudotų kraujo komponentų vertė. Tokia informacija Tarnybai yra neprieinama.</w:t>
      </w:r>
    </w:p>
    <w:p w14:paraId="31DE8A4B" w14:textId="77777777" w:rsidR="00B90325" w:rsidRPr="00BB3F13" w:rsidRDefault="00B90325" w:rsidP="00BB3F13">
      <w:pPr>
        <w:spacing w:line="276" w:lineRule="auto"/>
        <w:ind w:firstLine="720"/>
        <w:jc w:val="both"/>
        <w:rPr>
          <w:rFonts w:eastAsia="Arial"/>
        </w:rPr>
      </w:pPr>
      <w:r w:rsidRPr="00BB3F13">
        <w:rPr>
          <w:rFonts w:eastAsia="Arial"/>
        </w:rPr>
        <w:t xml:space="preserve">Vis dėlto, atsižvelgiant į tai, jog eritrocitų masės transfuzija VLK yra apmokama gydymo įstaigoms pagal panaudotų kraujo komponentų vertę, Tarnyba siekia apskaičiuoti pinigų sumą, kurią VLK gali sumokėti gydymo įstaigoms, pagal panaudotų kraujo komponentų vertę ir įvertinti galimą 1 eritrocitų masės vieneto kainą. </w:t>
      </w:r>
    </w:p>
    <w:p w14:paraId="416C303E" w14:textId="1AFF8BA4" w:rsidR="00B90325" w:rsidRPr="00BB3F13" w:rsidRDefault="00B90325" w:rsidP="00BB3F13">
      <w:pPr>
        <w:spacing w:line="276" w:lineRule="auto"/>
        <w:ind w:firstLine="720"/>
        <w:jc w:val="both"/>
        <w:rPr>
          <w:rFonts w:eastAsia="Arial"/>
          <w:b/>
        </w:rPr>
      </w:pPr>
      <w:r w:rsidRPr="00BB3F13">
        <w:rPr>
          <w:rFonts w:eastAsia="Arial"/>
        </w:rPr>
        <w:t xml:space="preserve">Tarnyba pabrėžia, jog Tarnybos atliktas skaičiavimas yra </w:t>
      </w:r>
      <w:r w:rsidR="00BB3F13">
        <w:rPr>
          <w:rFonts w:eastAsia="Arial"/>
        </w:rPr>
        <w:t>apytikris</w:t>
      </w:r>
      <w:r w:rsidRPr="00BB3F13">
        <w:rPr>
          <w:rFonts w:eastAsia="Arial"/>
        </w:rPr>
        <w:t xml:space="preserve">. Tarnyba neturi informacijos, kiek eritrocitų masės vienetų ir kokiam pacientų skaičiui sunaudoja skirtingos gydymo įstaigos. </w:t>
      </w:r>
      <w:r w:rsidR="00BB3F13">
        <w:rPr>
          <w:rFonts w:eastAsia="Arial"/>
        </w:rPr>
        <w:t>Atkreiptinas dėmesys į tai, kad</w:t>
      </w:r>
      <w:r w:rsidRPr="00BB3F13">
        <w:rPr>
          <w:rFonts w:eastAsia="Arial"/>
        </w:rPr>
        <w:t xml:space="preserve">  gydymo įstaig</w:t>
      </w:r>
      <w:r w:rsidR="00BB3F13">
        <w:rPr>
          <w:rFonts w:eastAsia="Arial"/>
        </w:rPr>
        <w:t>ai</w:t>
      </w:r>
      <w:r w:rsidRPr="00BB3F13">
        <w:rPr>
          <w:rFonts w:eastAsia="Arial"/>
        </w:rPr>
        <w:t xml:space="preserve"> sunaudoj</w:t>
      </w:r>
      <w:r w:rsidR="00BB3F13">
        <w:rPr>
          <w:rFonts w:eastAsia="Arial"/>
        </w:rPr>
        <w:t>us</w:t>
      </w:r>
      <w:r w:rsidRPr="00BB3F13">
        <w:rPr>
          <w:rFonts w:eastAsia="Arial"/>
        </w:rPr>
        <w:t xml:space="preserve"> daug daugiau nei 72,32 </w:t>
      </w:r>
      <w:r w:rsidRPr="00BB3F13">
        <w:rPr>
          <w:rFonts w:eastAsia="Arial"/>
        </w:rPr>
        <w:lastRenderedPageBreak/>
        <w:t xml:space="preserve">eritrocitų masės vienetus, vieno eritrocitų masės vieneto kaina mažėja. </w:t>
      </w:r>
      <w:r w:rsidR="00C03C9E">
        <w:rPr>
          <w:rFonts w:eastAsia="Arial"/>
        </w:rPr>
        <w:t xml:space="preserve">(Konfidencialu) </w:t>
      </w:r>
      <w:r w:rsidRPr="00BB3F13">
        <w:rPr>
          <w:rFonts w:eastAsia="Arial"/>
        </w:rPr>
        <w:t xml:space="preserve">Laikant, jog visi šie eritrocitų masės vienetai buvo sunaudoti vienoje gydymo įstaigoje, galime įvertinti sunaudotų kraujo komponentų vertę: sunaudotų kraujo komponentų vertė: </w:t>
      </w:r>
      <w:r w:rsidR="00C03C9E">
        <w:rPr>
          <w:rFonts w:eastAsia="Arial"/>
        </w:rPr>
        <w:t>(konfidencialu).</w:t>
      </w:r>
      <w:r w:rsidRPr="00BB3F13">
        <w:rPr>
          <w:rFonts w:eastAsia="Arial"/>
        </w:rPr>
        <w:t xml:space="preserve"> Atsižvelgiant į šią panaudotų kraujo komponentų vertę, VLK gydymo įstaigoms sumokėtų </w:t>
      </w:r>
      <w:r w:rsidR="00C03C9E">
        <w:rPr>
          <w:rFonts w:eastAsia="Arial"/>
        </w:rPr>
        <w:t>(konfidencialu)</w:t>
      </w:r>
      <w:r w:rsidRPr="00BB3F13">
        <w:rPr>
          <w:rFonts w:eastAsia="Arial"/>
        </w:rPr>
        <w:t xml:space="preserve">. Pagal šį skaičiavimą, vienas </w:t>
      </w:r>
      <w:r w:rsidR="00C46097" w:rsidRPr="00BB3F13">
        <w:rPr>
          <w:rFonts w:eastAsia="Arial"/>
        </w:rPr>
        <w:t>eritrocitų</w:t>
      </w:r>
      <w:r w:rsidRPr="00BB3F13">
        <w:rPr>
          <w:rFonts w:eastAsia="Arial"/>
        </w:rPr>
        <w:t xml:space="preserve"> masės vienetas VLK kainuotų: </w:t>
      </w:r>
      <w:r w:rsidR="00C03C9E">
        <w:rPr>
          <w:rFonts w:eastAsia="Arial"/>
        </w:rPr>
        <w:t xml:space="preserve"> (konfidencialu)</w:t>
      </w:r>
    </w:p>
    <w:p w14:paraId="08A357B5" w14:textId="7E3CB113" w:rsidR="00B90325" w:rsidRPr="00BB3F13" w:rsidRDefault="00B90325" w:rsidP="00BB3F13">
      <w:pPr>
        <w:tabs>
          <w:tab w:val="left" w:pos="426"/>
        </w:tabs>
        <w:spacing w:line="276" w:lineRule="auto"/>
        <w:jc w:val="both"/>
        <w:rPr>
          <w:rFonts w:eastAsia="Arial"/>
        </w:rPr>
      </w:pPr>
      <w:r w:rsidRPr="00BB3F13">
        <w:rPr>
          <w:rFonts w:eastAsia="Arial"/>
        </w:rPr>
        <w:tab/>
        <w:t xml:space="preserve">Siekiant analizės konservatyvumo, Tarnyba pagrindinio atvejo analizėje pateikia 1400 mg </w:t>
      </w:r>
      <w:proofErr w:type="spellStart"/>
      <w:r w:rsidR="00BB3F13">
        <w:rPr>
          <w:rFonts w:eastAsia="Arial"/>
        </w:rPr>
        <w:t>M</w:t>
      </w:r>
      <w:r w:rsidRPr="00BB3F13">
        <w:rPr>
          <w:rFonts w:eastAsia="Arial"/>
        </w:rPr>
        <w:t>onofer</w:t>
      </w:r>
      <w:proofErr w:type="spellEnd"/>
      <w:r w:rsidRPr="00BB3F13">
        <w:rPr>
          <w:rFonts w:eastAsia="Arial"/>
        </w:rPr>
        <w:t xml:space="preserve"> kaštų (laikant, jog pacientas sveria 70 kg) palyginimą su</w:t>
      </w:r>
      <w:r w:rsidR="00C46097">
        <w:rPr>
          <w:rFonts w:eastAsia="Arial"/>
        </w:rPr>
        <w:t xml:space="preserve"> nustatyta </w:t>
      </w:r>
      <w:r w:rsidRPr="00BB3F13">
        <w:rPr>
          <w:rFonts w:eastAsia="Arial"/>
        </w:rPr>
        <w:t>vidutine mažiausia suma</w:t>
      </w:r>
      <w:r w:rsidR="002829D6">
        <w:rPr>
          <w:rFonts w:eastAsia="Arial"/>
        </w:rPr>
        <w:t xml:space="preserve"> </w:t>
      </w:r>
      <w:r w:rsidR="002829D6" w:rsidRPr="00BB3F13">
        <w:rPr>
          <w:rFonts w:eastAsia="Arial"/>
        </w:rPr>
        <w:t>(</w:t>
      </w:r>
      <w:proofErr w:type="spellStart"/>
      <w:r w:rsidR="002829D6" w:rsidRPr="00BB3F13">
        <w:rPr>
          <w:rFonts w:eastAsia="Arial"/>
        </w:rPr>
        <w:t>t.y</w:t>
      </w:r>
      <w:proofErr w:type="spellEnd"/>
      <w:r w:rsidR="002829D6" w:rsidRPr="00BB3F13">
        <w:rPr>
          <w:rFonts w:eastAsia="Arial"/>
        </w:rPr>
        <w:t xml:space="preserve">. </w:t>
      </w:r>
      <w:r w:rsidR="00C03C9E">
        <w:rPr>
          <w:rFonts w:eastAsia="Arial"/>
        </w:rPr>
        <w:t>(konfidencialu</w:t>
      </w:r>
      <w:r w:rsidR="00C03C9E">
        <w:rPr>
          <w:rFonts w:eastAsia="Arial"/>
        </w:rPr>
        <w:t>)</w:t>
      </w:r>
      <w:r w:rsidR="002829D6" w:rsidRPr="00BB3F13">
        <w:rPr>
          <w:rFonts w:eastAsia="Arial"/>
        </w:rPr>
        <w:t>)</w:t>
      </w:r>
      <w:r w:rsidRPr="00BB3F13">
        <w:rPr>
          <w:rFonts w:eastAsia="Arial"/>
        </w:rPr>
        <w:t>, kurią už 1 eritrocitų masės vienetą gydymo įstaigoms sumoka VLK bei su kaina, kuria</w:t>
      </w:r>
      <w:r w:rsidR="00C46097">
        <w:rPr>
          <w:rFonts w:eastAsia="Arial"/>
        </w:rPr>
        <w:t xml:space="preserve"> remiantis</w:t>
      </w:r>
      <w:r w:rsidRPr="00BB3F13">
        <w:rPr>
          <w:rFonts w:eastAsia="Arial"/>
        </w:rPr>
        <w:t xml:space="preserve"> </w:t>
      </w:r>
      <w:r w:rsidR="00C46097">
        <w:rPr>
          <w:rFonts w:eastAsia="Arial"/>
        </w:rPr>
        <w:t>Lietuvos Respublikos Sveikatos apsaugos ministro įsakymu „ Dėl kraujo komponentų didžiausių leistinų kainų sąrašo patvirtinimo“</w:t>
      </w:r>
      <w:r w:rsidR="002829D6">
        <w:rPr>
          <w:rFonts w:eastAsia="Arial"/>
        </w:rPr>
        <w:t>,</w:t>
      </w:r>
      <w:r w:rsidR="00C46097" w:rsidRPr="00BB3F13">
        <w:rPr>
          <w:rFonts w:eastAsia="Arial"/>
        </w:rPr>
        <w:t xml:space="preserve"> 2009 m. gruodžio 31 d</w:t>
      </w:r>
      <w:r w:rsidR="00C46097">
        <w:rPr>
          <w:rFonts w:eastAsia="Arial"/>
        </w:rPr>
        <w:t>.</w:t>
      </w:r>
      <w:r w:rsidR="00C46097" w:rsidRPr="00BB3F13">
        <w:rPr>
          <w:rFonts w:eastAsia="Arial"/>
        </w:rPr>
        <w:t xml:space="preserve"> Nr. V-1127 </w:t>
      </w:r>
      <w:r w:rsidR="00C46097">
        <w:rPr>
          <w:rFonts w:eastAsia="Arial"/>
        </w:rPr>
        <w:t xml:space="preserve">nustatytu </w:t>
      </w:r>
      <w:r w:rsidR="00C46097" w:rsidRPr="00BB3F13">
        <w:rPr>
          <w:rFonts w:eastAsia="Arial"/>
        </w:rPr>
        <w:t>Kraujo ir jo komponentų didžiausių leistinų kainų sąrašu</w:t>
      </w:r>
      <w:r w:rsidR="002829D6">
        <w:rPr>
          <w:rFonts w:eastAsia="Arial"/>
        </w:rPr>
        <w:t>,</w:t>
      </w:r>
      <w:r w:rsidR="00C46097">
        <w:rPr>
          <w:rFonts w:eastAsia="Arial"/>
        </w:rPr>
        <w:t xml:space="preserve"> </w:t>
      </w:r>
      <w:r w:rsidRPr="00BB3F13">
        <w:rPr>
          <w:rFonts w:eastAsia="Arial"/>
        </w:rPr>
        <w:t xml:space="preserve">yra įvertintas 1 eritrocitų masės vienetas - 89,2 </w:t>
      </w:r>
      <w:r w:rsidR="00C46097">
        <w:rPr>
          <w:rFonts w:eastAsia="Arial"/>
        </w:rPr>
        <w:t>E</w:t>
      </w:r>
      <w:r w:rsidRPr="00BB3F13">
        <w:rPr>
          <w:rFonts w:eastAsia="Arial"/>
        </w:rPr>
        <w:t xml:space="preserve">ur. </w:t>
      </w:r>
    </w:p>
    <w:p w14:paraId="6F94B783" w14:textId="2651B58E" w:rsidR="00B90325" w:rsidRPr="00BB3F13" w:rsidRDefault="00B90325" w:rsidP="002829D6">
      <w:pPr>
        <w:tabs>
          <w:tab w:val="left" w:pos="426"/>
        </w:tabs>
        <w:spacing w:line="276" w:lineRule="auto"/>
        <w:jc w:val="both"/>
        <w:rPr>
          <w:rFonts w:eastAsia="Arial"/>
        </w:rPr>
      </w:pPr>
      <w:r w:rsidRPr="00BB3F13">
        <w:rPr>
          <w:rFonts w:eastAsia="Arial"/>
        </w:rPr>
        <w:tab/>
      </w:r>
    </w:p>
    <w:p w14:paraId="6D2E3CC2" w14:textId="77777777" w:rsidR="00B90325" w:rsidRDefault="00B90325" w:rsidP="00B90325">
      <w:pPr>
        <w:tabs>
          <w:tab w:val="left" w:pos="426"/>
        </w:tabs>
        <w:rPr>
          <w:b/>
          <w:lang w:eastAsia="lt-LT"/>
        </w:rPr>
      </w:pPr>
      <w:r w:rsidRPr="00BB3F13">
        <w:rPr>
          <w:b/>
          <w:lang w:eastAsia="lt-LT"/>
        </w:rPr>
        <w:t>Ekonominės analizės rezultatas</w:t>
      </w:r>
    </w:p>
    <w:p w14:paraId="759CA18B" w14:textId="77777777" w:rsidR="002829D6" w:rsidRPr="00BB3F13" w:rsidRDefault="002829D6" w:rsidP="00B90325">
      <w:pPr>
        <w:tabs>
          <w:tab w:val="left" w:pos="426"/>
        </w:tabs>
        <w:rPr>
          <w:b/>
          <w:lang w:eastAsia="lt-LT"/>
        </w:rPr>
      </w:pPr>
    </w:p>
    <w:tbl>
      <w:tblPr>
        <w:tblStyle w:val="TableGrid"/>
        <w:tblW w:w="9908" w:type="dxa"/>
        <w:jc w:val="center"/>
        <w:tblLayout w:type="fixed"/>
        <w:tblLook w:val="04A0" w:firstRow="1" w:lastRow="0" w:firstColumn="1" w:lastColumn="0" w:noHBand="0" w:noVBand="1"/>
      </w:tblPr>
      <w:tblGrid>
        <w:gridCol w:w="1479"/>
        <w:gridCol w:w="1635"/>
        <w:gridCol w:w="2054"/>
        <w:gridCol w:w="1722"/>
        <w:gridCol w:w="1509"/>
        <w:gridCol w:w="1509"/>
      </w:tblGrid>
      <w:tr w:rsidR="00B90325" w:rsidRPr="00BB3F13" w14:paraId="08E3F3F1" w14:textId="77777777" w:rsidTr="00C03C9E">
        <w:trPr>
          <w:trHeight w:val="364"/>
          <w:jc w:val="center"/>
        </w:trPr>
        <w:tc>
          <w:tcPr>
            <w:tcW w:w="9908" w:type="dxa"/>
            <w:gridSpan w:val="6"/>
            <w:vAlign w:val="center"/>
          </w:tcPr>
          <w:p w14:paraId="10E0532F" w14:textId="77777777" w:rsidR="00B90325" w:rsidRPr="00BB3F13" w:rsidRDefault="00B90325" w:rsidP="00CE0954">
            <w:pPr>
              <w:tabs>
                <w:tab w:val="left" w:pos="567"/>
              </w:tabs>
              <w:jc w:val="center"/>
              <w:rPr>
                <w:b/>
                <w:i/>
                <w:iCs/>
                <w:color w:val="00B050"/>
                <w:sz w:val="22"/>
                <w:szCs w:val="22"/>
                <w:lang w:eastAsia="lt-LT"/>
              </w:rPr>
            </w:pPr>
            <w:r w:rsidRPr="00BB3F13">
              <w:rPr>
                <w:b/>
                <w:lang w:eastAsia="lt-LT"/>
              </w:rPr>
              <w:t>Kaštai</w:t>
            </w:r>
          </w:p>
        </w:tc>
      </w:tr>
      <w:tr w:rsidR="00B90325" w:rsidRPr="00BB3F13" w14:paraId="75BE7348" w14:textId="77777777" w:rsidTr="00C03C9E">
        <w:trPr>
          <w:jc w:val="center"/>
        </w:trPr>
        <w:tc>
          <w:tcPr>
            <w:tcW w:w="1479" w:type="dxa"/>
          </w:tcPr>
          <w:p w14:paraId="2C120B11" w14:textId="77777777" w:rsidR="00B90325" w:rsidRPr="00BB3F13" w:rsidRDefault="00B90325" w:rsidP="00CE0954">
            <w:pPr>
              <w:tabs>
                <w:tab w:val="left" w:pos="567"/>
              </w:tabs>
              <w:jc w:val="both"/>
              <w:rPr>
                <w:color w:val="00B050"/>
                <w:lang w:eastAsia="lt-LT"/>
              </w:rPr>
            </w:pPr>
          </w:p>
        </w:tc>
        <w:tc>
          <w:tcPr>
            <w:tcW w:w="1635" w:type="dxa"/>
          </w:tcPr>
          <w:p w14:paraId="4B3F4C96" w14:textId="77777777" w:rsidR="00B90325" w:rsidRPr="00BB3F13" w:rsidRDefault="00B90325" w:rsidP="00CE0954">
            <w:pPr>
              <w:tabs>
                <w:tab w:val="left" w:pos="567"/>
              </w:tabs>
              <w:jc w:val="both"/>
              <w:rPr>
                <w:i/>
                <w:iCs/>
                <w:lang w:eastAsia="lt-LT"/>
              </w:rPr>
            </w:pPr>
            <w:proofErr w:type="spellStart"/>
            <w:r w:rsidRPr="00BB3F13">
              <w:rPr>
                <w:i/>
                <w:iCs/>
                <w:lang w:eastAsia="lt-LT"/>
              </w:rPr>
              <w:t>Monofer</w:t>
            </w:r>
            <w:proofErr w:type="spellEnd"/>
            <w:r w:rsidRPr="00BB3F13">
              <w:rPr>
                <w:i/>
                <w:iCs/>
                <w:lang w:eastAsia="lt-LT"/>
              </w:rPr>
              <w:t xml:space="preserve"> </w:t>
            </w:r>
          </w:p>
          <w:p w14:paraId="566A0649" w14:textId="77777777" w:rsidR="00B90325" w:rsidRPr="00BB3F13" w:rsidRDefault="00B90325" w:rsidP="00CE0954">
            <w:pPr>
              <w:tabs>
                <w:tab w:val="left" w:pos="567"/>
              </w:tabs>
              <w:jc w:val="both"/>
              <w:rPr>
                <w:i/>
                <w:iCs/>
                <w:lang w:eastAsia="lt-LT"/>
              </w:rPr>
            </w:pPr>
          </w:p>
        </w:tc>
        <w:tc>
          <w:tcPr>
            <w:tcW w:w="2054" w:type="dxa"/>
          </w:tcPr>
          <w:p w14:paraId="3C7FF8A9" w14:textId="77777777" w:rsidR="00B90325" w:rsidRPr="00BB3F13" w:rsidRDefault="00B90325" w:rsidP="00CE0954">
            <w:pPr>
              <w:tabs>
                <w:tab w:val="left" w:pos="567"/>
              </w:tabs>
              <w:jc w:val="both"/>
              <w:rPr>
                <w:i/>
                <w:iCs/>
                <w:lang w:eastAsia="lt-LT"/>
              </w:rPr>
            </w:pPr>
            <w:r w:rsidRPr="00BB3F13">
              <w:rPr>
                <w:i/>
                <w:iCs/>
                <w:lang w:eastAsia="lt-LT"/>
              </w:rPr>
              <w:t>1 EMT vienetas (pagal VLK gydymo įstaigoms mokamą sumą) (1)</w:t>
            </w:r>
          </w:p>
        </w:tc>
        <w:tc>
          <w:tcPr>
            <w:tcW w:w="1722" w:type="dxa"/>
          </w:tcPr>
          <w:p w14:paraId="14733294" w14:textId="77777777" w:rsidR="00B90325" w:rsidRPr="00BB3F13" w:rsidRDefault="00B90325" w:rsidP="00CE0954">
            <w:pPr>
              <w:tabs>
                <w:tab w:val="left" w:pos="567"/>
              </w:tabs>
              <w:jc w:val="both"/>
              <w:rPr>
                <w:i/>
                <w:iCs/>
                <w:lang w:eastAsia="lt-LT"/>
              </w:rPr>
            </w:pPr>
            <w:r w:rsidRPr="00BB3F13">
              <w:rPr>
                <w:i/>
                <w:iCs/>
                <w:lang w:eastAsia="lt-LT"/>
              </w:rPr>
              <w:t>1 EMT vienetas pagal V-1127 įsakymą (2)</w:t>
            </w:r>
          </w:p>
        </w:tc>
        <w:tc>
          <w:tcPr>
            <w:tcW w:w="1509" w:type="dxa"/>
          </w:tcPr>
          <w:p w14:paraId="226820AC" w14:textId="77777777" w:rsidR="00B90325" w:rsidRPr="00BB3F13" w:rsidRDefault="00B90325" w:rsidP="00CE0954">
            <w:pPr>
              <w:tabs>
                <w:tab w:val="left" w:pos="567"/>
              </w:tabs>
              <w:jc w:val="both"/>
              <w:rPr>
                <w:b/>
                <w:i/>
                <w:lang w:eastAsia="lt-LT"/>
              </w:rPr>
            </w:pPr>
            <w:r w:rsidRPr="00BB3F13">
              <w:rPr>
                <w:b/>
                <w:i/>
                <w:lang w:eastAsia="lt-LT"/>
              </w:rPr>
              <w:t>Skirtumas (1)</w:t>
            </w:r>
          </w:p>
        </w:tc>
        <w:tc>
          <w:tcPr>
            <w:tcW w:w="1509" w:type="dxa"/>
          </w:tcPr>
          <w:p w14:paraId="0FBA3636" w14:textId="77777777" w:rsidR="00B90325" w:rsidRPr="00BB3F13" w:rsidRDefault="00B90325" w:rsidP="00CE0954">
            <w:pPr>
              <w:tabs>
                <w:tab w:val="left" w:pos="567"/>
              </w:tabs>
              <w:jc w:val="both"/>
              <w:rPr>
                <w:b/>
                <w:i/>
                <w:lang w:eastAsia="lt-LT"/>
              </w:rPr>
            </w:pPr>
            <w:r w:rsidRPr="00BB3F13">
              <w:rPr>
                <w:b/>
                <w:i/>
                <w:lang w:eastAsia="lt-LT"/>
              </w:rPr>
              <w:t>Skirtumas (2)</w:t>
            </w:r>
          </w:p>
        </w:tc>
      </w:tr>
      <w:tr w:rsidR="00B90325" w:rsidRPr="00BB3F13" w14:paraId="1A1D97BB" w14:textId="77777777" w:rsidTr="00C03C9E">
        <w:trPr>
          <w:jc w:val="center"/>
        </w:trPr>
        <w:tc>
          <w:tcPr>
            <w:tcW w:w="1479" w:type="dxa"/>
          </w:tcPr>
          <w:p w14:paraId="26597DCE" w14:textId="77777777" w:rsidR="00B90325" w:rsidRPr="00BB3F13" w:rsidRDefault="00B90325" w:rsidP="00CE0954">
            <w:pPr>
              <w:tabs>
                <w:tab w:val="left" w:pos="567"/>
              </w:tabs>
              <w:jc w:val="both"/>
              <w:rPr>
                <w:b/>
                <w:iCs/>
                <w:color w:val="00B050"/>
                <w:lang w:eastAsia="lt-LT"/>
              </w:rPr>
            </w:pPr>
            <w:r w:rsidRPr="00BB3F13">
              <w:rPr>
                <w:b/>
                <w:iCs/>
                <w:color w:val="000000"/>
                <w:lang w:eastAsia="lt-LT"/>
              </w:rPr>
              <w:t>Gydymo kaštai</w:t>
            </w:r>
          </w:p>
        </w:tc>
        <w:tc>
          <w:tcPr>
            <w:tcW w:w="1635" w:type="dxa"/>
          </w:tcPr>
          <w:p w14:paraId="523C09FF" w14:textId="743E1E60" w:rsidR="00B90325" w:rsidRPr="00BB3F13" w:rsidRDefault="00C03C9E" w:rsidP="00CE0954">
            <w:pPr>
              <w:tabs>
                <w:tab w:val="left" w:pos="567"/>
              </w:tabs>
              <w:jc w:val="both"/>
              <w:rPr>
                <w:i/>
                <w:iCs/>
                <w:lang w:eastAsia="lt-LT"/>
              </w:rPr>
            </w:pPr>
            <w:r>
              <w:rPr>
                <w:rFonts w:eastAsia="Arial"/>
              </w:rPr>
              <w:t>(konf</w:t>
            </w:r>
            <w:r>
              <w:rPr>
                <w:rFonts w:eastAsia="Arial"/>
              </w:rPr>
              <w:t>id</w:t>
            </w:r>
            <w:r>
              <w:rPr>
                <w:rFonts w:eastAsia="Arial"/>
              </w:rPr>
              <w:t>encialu)</w:t>
            </w:r>
          </w:p>
        </w:tc>
        <w:tc>
          <w:tcPr>
            <w:tcW w:w="2054" w:type="dxa"/>
          </w:tcPr>
          <w:p w14:paraId="64586462" w14:textId="51895C07" w:rsidR="00B90325" w:rsidRPr="00BB3F13" w:rsidRDefault="00C03C9E" w:rsidP="00CE0954">
            <w:pPr>
              <w:tabs>
                <w:tab w:val="left" w:pos="567"/>
              </w:tabs>
              <w:jc w:val="both"/>
              <w:rPr>
                <w:i/>
                <w:iCs/>
                <w:lang w:eastAsia="lt-LT"/>
              </w:rPr>
            </w:pPr>
            <w:r>
              <w:rPr>
                <w:rFonts w:eastAsia="Arial"/>
              </w:rPr>
              <w:t>(konfidencialu)</w:t>
            </w:r>
          </w:p>
        </w:tc>
        <w:tc>
          <w:tcPr>
            <w:tcW w:w="1722" w:type="dxa"/>
          </w:tcPr>
          <w:p w14:paraId="2E100142" w14:textId="11E601B5" w:rsidR="00B90325" w:rsidRPr="00BB3F13" w:rsidRDefault="00C03C9E" w:rsidP="00CE0954">
            <w:pPr>
              <w:tabs>
                <w:tab w:val="left" w:pos="567"/>
              </w:tabs>
              <w:jc w:val="both"/>
              <w:rPr>
                <w:i/>
                <w:iCs/>
                <w:lang w:eastAsia="lt-LT"/>
              </w:rPr>
            </w:pPr>
            <w:r>
              <w:rPr>
                <w:rFonts w:eastAsia="Arial"/>
              </w:rPr>
              <w:t>(konfidencialu)</w:t>
            </w:r>
          </w:p>
        </w:tc>
        <w:tc>
          <w:tcPr>
            <w:tcW w:w="1509" w:type="dxa"/>
            <w:shd w:val="clear" w:color="auto" w:fill="FFFFFF" w:themeFill="background1"/>
          </w:tcPr>
          <w:p w14:paraId="370D0BE8" w14:textId="7D6C9684" w:rsidR="00B90325" w:rsidRPr="00BB3F13" w:rsidRDefault="00C03C9E" w:rsidP="00CE0954">
            <w:pPr>
              <w:tabs>
                <w:tab w:val="left" w:pos="567"/>
              </w:tabs>
              <w:jc w:val="both"/>
              <w:rPr>
                <w:b/>
                <w:lang w:eastAsia="lt-LT"/>
              </w:rPr>
            </w:pPr>
            <w:r>
              <w:rPr>
                <w:rFonts w:eastAsia="Arial"/>
              </w:rPr>
              <w:t>(konfidencialu)</w:t>
            </w:r>
          </w:p>
        </w:tc>
        <w:tc>
          <w:tcPr>
            <w:tcW w:w="1509" w:type="dxa"/>
          </w:tcPr>
          <w:p w14:paraId="0A8E8F56" w14:textId="61BF88E2" w:rsidR="00B90325" w:rsidRPr="00BB3F13" w:rsidRDefault="00C03C9E" w:rsidP="00CE0954">
            <w:pPr>
              <w:tabs>
                <w:tab w:val="left" w:pos="567"/>
              </w:tabs>
              <w:jc w:val="both"/>
              <w:rPr>
                <w:b/>
                <w:lang w:eastAsia="lt-LT"/>
              </w:rPr>
            </w:pPr>
            <w:r>
              <w:rPr>
                <w:rFonts w:eastAsia="Arial"/>
              </w:rPr>
              <w:t>(konfidencialu)</w:t>
            </w:r>
          </w:p>
        </w:tc>
      </w:tr>
    </w:tbl>
    <w:p w14:paraId="652D799C" w14:textId="77777777" w:rsidR="00B90325" w:rsidRPr="00BB3F13" w:rsidRDefault="00B90325" w:rsidP="00B90325">
      <w:pPr>
        <w:tabs>
          <w:tab w:val="left" w:pos="426"/>
        </w:tabs>
        <w:jc w:val="both"/>
        <w:rPr>
          <w:rFonts w:eastAsia="Arial"/>
        </w:rPr>
      </w:pPr>
    </w:p>
    <w:p w14:paraId="36DEA333" w14:textId="4645DD94" w:rsidR="00E84FAD" w:rsidRPr="00BB3F13" w:rsidRDefault="00C03C9E" w:rsidP="00B90325">
      <w:pPr>
        <w:tabs>
          <w:tab w:val="left" w:pos="426"/>
        </w:tabs>
        <w:jc w:val="both"/>
        <w:rPr>
          <w:b/>
          <w:bCs/>
          <w:caps/>
        </w:rPr>
      </w:pPr>
      <w:r>
        <w:rPr>
          <w:rFonts w:eastAsia="Arial"/>
        </w:rPr>
        <w:t>(</w:t>
      </w:r>
      <w:proofErr w:type="spellStart"/>
      <w:r>
        <w:rPr>
          <w:rFonts w:eastAsia="Arial"/>
        </w:rPr>
        <w:t>konfencialu</w:t>
      </w:r>
      <w:proofErr w:type="spellEnd"/>
      <w:r>
        <w:rPr>
          <w:rFonts w:eastAsia="Arial"/>
        </w:rPr>
        <w:t>)</w:t>
      </w:r>
    </w:p>
    <w:p w14:paraId="5C5D38CC" w14:textId="77777777" w:rsidR="005648CF" w:rsidRPr="00BB3F13" w:rsidRDefault="005648CF" w:rsidP="00A93AA6">
      <w:pPr>
        <w:tabs>
          <w:tab w:val="left" w:pos="426"/>
        </w:tabs>
        <w:rPr>
          <w:b/>
          <w:bCs/>
          <w:caps/>
        </w:rPr>
      </w:pPr>
    </w:p>
    <w:p w14:paraId="4FC424F9" w14:textId="4E767245" w:rsidR="00C62B36" w:rsidRPr="00BB3F13" w:rsidRDefault="00C62B36" w:rsidP="00937907">
      <w:pPr>
        <w:pStyle w:val="ListParagraph"/>
        <w:numPr>
          <w:ilvl w:val="0"/>
          <w:numId w:val="12"/>
        </w:numPr>
        <w:tabs>
          <w:tab w:val="left" w:pos="284"/>
        </w:tabs>
        <w:rPr>
          <w:b/>
          <w:bCs/>
          <w:caps/>
        </w:rPr>
      </w:pPr>
      <w:r w:rsidRPr="00BB3F13">
        <w:rPr>
          <w:b/>
          <w:bCs/>
          <w:caps/>
        </w:rPr>
        <w:t xml:space="preserve">Pacientų organizacijų pateikti duomenys </w:t>
      </w:r>
    </w:p>
    <w:p w14:paraId="79BCFF40" w14:textId="35449A71" w:rsidR="00937907" w:rsidRPr="00BB3F13"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D30DA5" w:rsidRPr="00BB3F13">
            <w:rPr>
              <w:rStyle w:val="Style2"/>
              <w:rFonts w:ascii="MS Gothic" w:eastAsia="MS Gothic" w:hAnsi="MS Gothic"/>
            </w:rPr>
            <w:t>☐</w:t>
          </w:r>
        </w:sdtContent>
      </w:sdt>
      <w:r w:rsidR="00937907" w:rsidRPr="00BB3F13">
        <w:t xml:space="preserve"> Pacientų organizacijos pozicija pateikta. </w:t>
      </w:r>
    </w:p>
    <w:p w14:paraId="62992180" w14:textId="33C68BBF" w:rsidR="00937907" w:rsidRPr="00BB3F13"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D30DA5" w:rsidRPr="00BB3F13">
            <w:rPr>
              <w:rStyle w:val="Style2"/>
              <w:rFonts w:ascii="MS Gothic" w:eastAsia="MS Gothic" w:hAnsi="MS Gothic"/>
            </w:rPr>
            <w:t>☒</w:t>
          </w:r>
        </w:sdtContent>
      </w:sdt>
      <w:r w:rsidR="00937907" w:rsidRPr="00BB3F13">
        <w:t xml:space="preserve"> Pacientų organizacijos pozicija </w:t>
      </w:r>
      <w:r w:rsidR="00880A44" w:rsidRPr="00BB3F13">
        <w:t>ne</w:t>
      </w:r>
      <w:r w:rsidR="00937907" w:rsidRPr="00BB3F13">
        <w:t>pateikta.</w:t>
      </w:r>
    </w:p>
    <w:p w14:paraId="3D3277FA" w14:textId="3CEEB2D2" w:rsidR="00C62B36" w:rsidRPr="00BB3F13" w:rsidRDefault="00C62B36" w:rsidP="00937907">
      <w:pPr>
        <w:pStyle w:val="ListParagraph"/>
        <w:numPr>
          <w:ilvl w:val="0"/>
          <w:numId w:val="12"/>
        </w:numPr>
        <w:tabs>
          <w:tab w:val="left" w:pos="426"/>
        </w:tabs>
        <w:rPr>
          <w:b/>
          <w:bCs/>
          <w:caps/>
        </w:rPr>
      </w:pPr>
      <w:r w:rsidRPr="00BB3F13">
        <w:rPr>
          <w:b/>
          <w:bCs/>
          <w:caps/>
        </w:rPr>
        <w:t>Gydytojų organizacijų pateikti duomenys</w:t>
      </w:r>
    </w:p>
    <w:p w14:paraId="389A346C" w14:textId="223B515F" w:rsidR="00937907" w:rsidRPr="00BB3F13" w:rsidRDefault="00000000" w:rsidP="00662983">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D30DA5" w:rsidRPr="00BB3F13">
            <w:rPr>
              <w:rStyle w:val="Style2"/>
              <w:rFonts w:ascii="MS Gothic" w:eastAsia="MS Gothic" w:hAnsi="MS Gothic"/>
            </w:rPr>
            <w:t>☐</w:t>
          </w:r>
        </w:sdtContent>
      </w:sdt>
      <w:r w:rsidR="00662983" w:rsidRPr="00BB3F13">
        <w:t xml:space="preserve"> </w:t>
      </w:r>
      <w:r w:rsidR="00937907" w:rsidRPr="00BB3F13">
        <w:t xml:space="preserve">Gydytojų specialistų organizacijos pozicija pateikta. </w:t>
      </w:r>
    </w:p>
    <w:p w14:paraId="5D8CC48C" w14:textId="5F2904B0" w:rsidR="00662983" w:rsidRPr="00BB3F13" w:rsidRDefault="00000000" w:rsidP="00662983">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D30DA5" w:rsidRPr="00BB3F13">
            <w:rPr>
              <w:rStyle w:val="Style2"/>
              <w:rFonts w:ascii="MS Gothic" w:eastAsia="MS Gothic" w:hAnsi="MS Gothic"/>
            </w:rPr>
            <w:t>☒</w:t>
          </w:r>
        </w:sdtContent>
      </w:sdt>
      <w:r w:rsidR="00662983" w:rsidRPr="00BB3F13">
        <w:t xml:space="preserve"> </w:t>
      </w:r>
      <w:r w:rsidR="00937907" w:rsidRPr="00BB3F13">
        <w:t xml:space="preserve">Gydytojų specialistų organizacijos pozicija </w:t>
      </w:r>
      <w:r w:rsidR="00880A44" w:rsidRPr="00BB3F13">
        <w:t>ne</w:t>
      </w:r>
      <w:r w:rsidR="00937907" w:rsidRPr="00BB3F13">
        <w:t>pateikta.</w:t>
      </w:r>
    </w:p>
    <w:p w14:paraId="43A5C621" w14:textId="77777777" w:rsidR="00B90325" w:rsidRPr="00BB3F13" w:rsidRDefault="00B90325" w:rsidP="00662983">
      <w:pPr>
        <w:spacing w:after="120"/>
        <w:jc w:val="both"/>
      </w:pPr>
    </w:p>
    <w:p w14:paraId="78F23ECB" w14:textId="23A3A002" w:rsidR="002F0E4F" w:rsidRPr="00BB3F13" w:rsidRDefault="002F0E4F" w:rsidP="00937907">
      <w:pPr>
        <w:pStyle w:val="ListParagraph"/>
        <w:numPr>
          <w:ilvl w:val="0"/>
          <w:numId w:val="12"/>
        </w:numPr>
        <w:tabs>
          <w:tab w:val="left" w:pos="426"/>
        </w:tabs>
        <w:rPr>
          <w:b/>
          <w:bCs/>
          <w:caps/>
        </w:rPr>
      </w:pPr>
      <w:r w:rsidRPr="00BB3F13">
        <w:rPr>
          <w:b/>
          <w:bCs/>
          <w:caps/>
        </w:rPr>
        <w:t xml:space="preserve">Išvada </w:t>
      </w:r>
    </w:p>
    <w:p w14:paraId="573E407F" w14:textId="77777777" w:rsidR="00797153" w:rsidRPr="00BB3F13" w:rsidRDefault="00797153" w:rsidP="00797153">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B13D65" w:rsidRPr="00BB3F13" w14:paraId="25A2473E" w14:textId="77777777" w:rsidTr="00BD1E5A">
        <w:tc>
          <w:tcPr>
            <w:tcW w:w="4981" w:type="dxa"/>
          </w:tcPr>
          <w:p w14:paraId="7EFE6941" w14:textId="23B8BB6D" w:rsidR="00B13D65" w:rsidRPr="00BB3F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BB3F13">
              <w:rPr>
                <w:rStyle w:val="Style2"/>
                <w:rFonts w:eastAsia="MS Gothic"/>
                <w:b/>
                <w:bCs/>
                <w:sz w:val="24"/>
              </w:rPr>
              <w:t>Rekomenduojama kompensuoti</w:t>
            </w:r>
          </w:p>
        </w:tc>
        <w:tc>
          <w:tcPr>
            <w:tcW w:w="4981" w:type="dxa"/>
          </w:tcPr>
          <w:p w14:paraId="330A1A5E" w14:textId="19247DC1" w:rsidR="00B13D65" w:rsidRPr="00BB3F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BB3F13">
              <w:rPr>
                <w:rStyle w:val="Style2"/>
                <w:rFonts w:eastAsia="MS Gothic"/>
                <w:b/>
                <w:bCs/>
                <w:sz w:val="24"/>
              </w:rPr>
              <w:t xml:space="preserve">Rekomenduojama nekompensuoti </w:t>
            </w:r>
          </w:p>
        </w:tc>
      </w:tr>
      <w:tr w:rsidR="00B13D65" w:rsidRPr="00BB3F13" w14:paraId="143A7356" w14:textId="77777777" w:rsidTr="00BD1E5A">
        <w:tc>
          <w:tcPr>
            <w:tcW w:w="9962" w:type="dxa"/>
            <w:gridSpan w:val="2"/>
          </w:tcPr>
          <w:p w14:paraId="5D93D240" w14:textId="77777777" w:rsidR="00B13D65" w:rsidRPr="00BB3F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B3F13">
              <w:rPr>
                <w:rStyle w:val="Style2"/>
                <w:rFonts w:eastAsia="MS Gothic"/>
                <w:b/>
                <w:bCs/>
                <w:sz w:val="24"/>
              </w:rPr>
              <w:t>Palyginamasis efektyvumas</w:t>
            </w:r>
          </w:p>
          <w:p w14:paraId="0AF5D6B4" w14:textId="77777777" w:rsidR="00B13D65" w:rsidRPr="00BB3F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B3F13" w14:paraId="28A0C814" w14:textId="77777777" w:rsidTr="00BD1E5A">
        <w:tc>
          <w:tcPr>
            <w:tcW w:w="4981" w:type="dxa"/>
          </w:tcPr>
          <w:p w14:paraId="216769B5" w14:textId="5CF3FFA7" w:rsidR="00B13D65" w:rsidRPr="00BB3F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480304" w:rsidRPr="00BB3F13">
                  <w:rPr>
                    <w:rStyle w:val="Style2"/>
                    <w:rFonts w:ascii="MS Gothic" w:eastAsia="MS Gothic" w:hAnsi="MS Gothic"/>
                    <w:sz w:val="24"/>
                  </w:rPr>
                  <w:t>☐</w:t>
                </w:r>
              </w:sdtContent>
            </w:sdt>
            <w:r w:rsidR="00B13D65" w:rsidRPr="00BB3F13">
              <w:t xml:space="preserve"> 32.1. yra didesnis</w:t>
            </w:r>
          </w:p>
          <w:p w14:paraId="3B48F372" w14:textId="77777777" w:rsidR="00662983" w:rsidRPr="00BB3F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F74FAA2" w:rsidR="00B13D65" w:rsidRPr="00BB3F13"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480304" w:rsidRPr="00BB3F13">
                  <w:rPr>
                    <w:rStyle w:val="Style2"/>
                    <w:rFonts w:ascii="MS Gothic" w:eastAsia="MS Gothic" w:hAnsi="MS Gothic"/>
                    <w:sz w:val="24"/>
                  </w:rPr>
                  <w:t>☒</w:t>
                </w:r>
              </w:sdtContent>
            </w:sdt>
            <w:r w:rsidR="00B13D65" w:rsidRPr="00BB3F13">
              <w:t xml:space="preserve"> 32.1. iš esmės nesiskiria</w:t>
            </w:r>
          </w:p>
        </w:tc>
        <w:tc>
          <w:tcPr>
            <w:tcW w:w="4981" w:type="dxa"/>
          </w:tcPr>
          <w:p w14:paraId="507828D9" w14:textId="09AE523F" w:rsidR="00B13D65" w:rsidRPr="00BB3F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BB3F13">
                  <w:rPr>
                    <w:rStyle w:val="Style2"/>
                    <w:rFonts w:ascii="Segoe UI Symbol" w:eastAsia="MS Gothic" w:hAnsi="Segoe UI Symbol" w:cs="Segoe UI Symbol"/>
                    <w:sz w:val="24"/>
                  </w:rPr>
                  <w:t>☐</w:t>
                </w:r>
              </w:sdtContent>
            </w:sdt>
            <w:r w:rsidR="00B13D65" w:rsidRPr="00BB3F13">
              <w:t xml:space="preserve"> 33.1. yra mažesnis</w:t>
            </w:r>
          </w:p>
          <w:p w14:paraId="7F95DEEC" w14:textId="77777777" w:rsidR="00662983" w:rsidRPr="00BB3F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BB3F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BB3F13">
                  <w:rPr>
                    <w:rStyle w:val="Style2"/>
                    <w:rFonts w:ascii="Segoe UI Symbol" w:eastAsia="MS Gothic" w:hAnsi="Segoe UI Symbol" w:cs="Segoe UI Symbol"/>
                    <w:sz w:val="24"/>
                  </w:rPr>
                  <w:t>☐</w:t>
                </w:r>
              </w:sdtContent>
            </w:sdt>
            <w:r w:rsidR="00B13D65" w:rsidRPr="00BB3F13">
              <w:t xml:space="preserve"> 33.1. yra neįrodytas kaip toks pat</w:t>
            </w:r>
          </w:p>
          <w:p w14:paraId="35205E85" w14:textId="77777777" w:rsidR="00662983" w:rsidRPr="00BB3F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BB3F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BB3F13">
                  <w:rPr>
                    <w:rStyle w:val="Style2"/>
                    <w:rFonts w:ascii="Segoe UI Symbol" w:eastAsia="MS Gothic" w:hAnsi="Segoe UI Symbol" w:cs="Segoe UI Symbol"/>
                    <w:sz w:val="24"/>
                  </w:rPr>
                  <w:t>☐</w:t>
                </w:r>
              </w:sdtContent>
            </w:sdt>
            <w:r w:rsidR="00662983" w:rsidRPr="00BB3F13">
              <w:t xml:space="preserve"> 33.1 </w:t>
            </w:r>
            <w:r w:rsidR="00B13D65" w:rsidRPr="00BB3F13">
              <w:t>neįrodytas kaip didesnis</w:t>
            </w:r>
          </w:p>
          <w:p w14:paraId="512E653B" w14:textId="77777777" w:rsidR="00662983" w:rsidRPr="00BB3F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BB3F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BB3F13">
                  <w:rPr>
                    <w:rStyle w:val="Style2"/>
                    <w:rFonts w:ascii="Segoe UI Symbol" w:eastAsia="MS Gothic" w:hAnsi="Segoe UI Symbol" w:cs="Segoe UI Symbol"/>
                    <w:sz w:val="24"/>
                  </w:rPr>
                  <w:t>☐</w:t>
                </w:r>
              </w:sdtContent>
            </w:sdt>
            <w:r w:rsidR="00B13D65" w:rsidRPr="00BB3F13">
              <w:t xml:space="preserve"> 33.1. pateikti duomenys apie palyginamąjį efektyvumą yra netinkami vertinti</w:t>
            </w:r>
          </w:p>
          <w:p w14:paraId="5DDAA961" w14:textId="77777777" w:rsidR="00B13D65" w:rsidRPr="00BB3F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B3F13" w14:paraId="161CC3FE" w14:textId="77777777" w:rsidTr="00BD1E5A">
        <w:tc>
          <w:tcPr>
            <w:tcW w:w="9962" w:type="dxa"/>
            <w:gridSpan w:val="2"/>
          </w:tcPr>
          <w:p w14:paraId="3B2878F0" w14:textId="77777777" w:rsidR="00B13D65" w:rsidRPr="00BB3F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B3F13">
              <w:rPr>
                <w:rStyle w:val="Style2"/>
                <w:rFonts w:eastAsia="MS Gothic"/>
                <w:b/>
                <w:bCs/>
                <w:sz w:val="24"/>
              </w:rPr>
              <w:lastRenderedPageBreak/>
              <w:t>Klinikinis veiksmingumas</w:t>
            </w:r>
          </w:p>
          <w:p w14:paraId="1AB46894" w14:textId="77777777" w:rsidR="00B13D65" w:rsidRPr="00BB3F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B3F13" w14:paraId="3C60570A" w14:textId="77777777" w:rsidTr="00BD1E5A">
        <w:tc>
          <w:tcPr>
            <w:tcW w:w="4981" w:type="dxa"/>
          </w:tcPr>
          <w:p w14:paraId="6897B306" w14:textId="5BD44DED" w:rsidR="00B13D65" w:rsidRPr="00BB3F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480304" w:rsidRPr="00BB3F13">
                  <w:rPr>
                    <w:rStyle w:val="Style2"/>
                    <w:rFonts w:ascii="MS Gothic" w:eastAsia="MS Gothic" w:hAnsi="MS Gothic"/>
                    <w:sz w:val="24"/>
                  </w:rPr>
                  <w:t>☐</w:t>
                </w:r>
              </w:sdtContent>
            </w:sdt>
            <w:r w:rsidR="00B13D65" w:rsidRPr="00BB3F13">
              <w:t xml:space="preserve"> 32.2. yra įvertintas kaip pagrindžiantis papildomos naudos pacientų sveikatai sukūrimą, lyginant su įprasta klinikine praktika</w:t>
            </w:r>
          </w:p>
          <w:p w14:paraId="71D57105" w14:textId="77777777" w:rsidR="00662983" w:rsidRPr="00BB3F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48A2367C" w:rsidR="00B13D65" w:rsidRPr="00BB3F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480304" w:rsidRPr="00BB3F13">
                  <w:rPr>
                    <w:rStyle w:val="Style2"/>
                    <w:rFonts w:ascii="MS Gothic" w:eastAsia="MS Gothic" w:hAnsi="MS Gothic"/>
                    <w:sz w:val="24"/>
                  </w:rPr>
                  <w:t>☒</w:t>
                </w:r>
              </w:sdtContent>
            </w:sdt>
            <w:r w:rsidR="00B13D65" w:rsidRPr="00BB3F13">
              <w:t xml:space="preserve"> 32.2. įvertintas kaip pagrindžiantis nesiskiriančios naudos pacientų sveikatai sukūrimą, lyginant su įprasta klinikine praktika</w:t>
            </w:r>
          </w:p>
          <w:p w14:paraId="287AD233" w14:textId="77777777" w:rsidR="00B13D65" w:rsidRPr="00BB3F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BB3F13"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BB3F13">
                  <w:rPr>
                    <w:rStyle w:val="Style2"/>
                    <w:rFonts w:ascii="Segoe UI Symbol" w:eastAsia="MS Gothic" w:hAnsi="Segoe UI Symbol" w:cs="Segoe UI Symbol"/>
                    <w:sz w:val="24"/>
                  </w:rPr>
                  <w:t>☐</w:t>
                </w:r>
              </w:sdtContent>
            </w:sdt>
            <w:r w:rsidR="00B13D65" w:rsidRPr="00BB3F13">
              <w:t xml:space="preserve"> 33.1. yra įvertintas kaip nepagrindžiantis papildomos </w:t>
            </w:r>
            <w:r w:rsidR="00662983" w:rsidRPr="00BB3F13">
              <w:t>naudos pacientų sveikatai sukūrimo, lyginant su  įprasta klinikine praktika.</w:t>
            </w:r>
          </w:p>
          <w:p w14:paraId="6C70BCFC" w14:textId="77777777" w:rsidR="00662983" w:rsidRPr="00BB3F13" w:rsidRDefault="00662983" w:rsidP="00BD1E5A">
            <w:pPr>
              <w:jc w:val="both"/>
            </w:pPr>
          </w:p>
          <w:p w14:paraId="0ADEC30D" w14:textId="25150412" w:rsidR="00B13D65" w:rsidRPr="00BB3F13"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BB3F13">
                  <w:rPr>
                    <w:rStyle w:val="Style2"/>
                    <w:rFonts w:ascii="Segoe UI Symbol" w:eastAsia="MS Gothic" w:hAnsi="Segoe UI Symbol" w:cs="Segoe UI Symbol"/>
                    <w:sz w:val="24"/>
                  </w:rPr>
                  <w:t>☐</w:t>
                </w:r>
              </w:sdtContent>
            </w:sdt>
            <w:r w:rsidR="00B13D65" w:rsidRPr="00BB3F13">
              <w:t xml:space="preserve"> </w:t>
            </w:r>
            <w:r w:rsidR="00662983" w:rsidRPr="00BB3F13">
              <w:t xml:space="preserve">33.1. </w:t>
            </w:r>
            <w:r w:rsidR="00B13D65" w:rsidRPr="00BB3F13">
              <w:t>nesiskiriančios naudos pacientų sveikatai sukūrimo, lyginant su įprasta klinikine praktika.</w:t>
            </w:r>
          </w:p>
          <w:p w14:paraId="1EED7901" w14:textId="77777777" w:rsidR="00B13D65" w:rsidRPr="00BB3F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BB3F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B3F13" w14:paraId="1C75AE76" w14:textId="77777777" w:rsidTr="00BD1E5A">
        <w:tc>
          <w:tcPr>
            <w:tcW w:w="9962" w:type="dxa"/>
            <w:gridSpan w:val="2"/>
          </w:tcPr>
          <w:p w14:paraId="56F7FA3E" w14:textId="77777777" w:rsidR="00B13D65" w:rsidRPr="00BB3F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B3F13">
              <w:rPr>
                <w:rStyle w:val="Style2"/>
                <w:rFonts w:eastAsia="MS Gothic"/>
                <w:b/>
                <w:bCs/>
                <w:sz w:val="24"/>
              </w:rPr>
              <w:t>Kaštų naudingumas</w:t>
            </w:r>
          </w:p>
          <w:p w14:paraId="0247EDAD" w14:textId="77777777" w:rsidR="00B13D65" w:rsidRPr="00BB3F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B3F13" w14:paraId="7091A05B" w14:textId="77777777" w:rsidTr="00BD1E5A">
        <w:tc>
          <w:tcPr>
            <w:tcW w:w="4981" w:type="dxa"/>
          </w:tcPr>
          <w:p w14:paraId="69B2A994" w14:textId="1DDC157B" w:rsidR="00B13D65" w:rsidRPr="00BB3F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480304" w:rsidRPr="00BB3F13">
                  <w:rPr>
                    <w:rStyle w:val="Style2"/>
                    <w:rFonts w:ascii="MS Gothic" w:eastAsia="MS Gothic" w:hAnsi="MS Gothic"/>
                    <w:sz w:val="24"/>
                  </w:rPr>
                  <w:t>☐</w:t>
                </w:r>
              </w:sdtContent>
            </w:sdt>
            <w:r w:rsidR="00B13D65" w:rsidRPr="00BB3F13">
              <w:t xml:space="preserve"> 32.3. atitinka referencinę naudingumo vertę, </w:t>
            </w:r>
            <w:r w:rsidR="00B90325" w:rsidRPr="00BB3F13">
              <w:t>ne</w:t>
            </w:r>
            <w:r w:rsidR="00B13D65" w:rsidRPr="00BB3F13">
              <w:t>taikant</w:t>
            </w:r>
            <w:r w:rsidR="00662983" w:rsidRPr="00BB3F13">
              <w:t xml:space="preserve"> PGS</w:t>
            </w:r>
            <w:r w:rsidR="00B90325" w:rsidRPr="00BB3F13">
              <w:t>.</w:t>
            </w:r>
          </w:p>
          <w:p w14:paraId="3F76F153" w14:textId="77777777" w:rsidR="00662983" w:rsidRPr="00BB3F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7736718C" w:rsidR="00B13D65" w:rsidRPr="00BB3F13" w:rsidRDefault="00000000"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3C63AF" w:rsidRPr="00BB3F13">
                  <w:rPr>
                    <w:rStyle w:val="Style2"/>
                    <w:rFonts w:ascii="MS Gothic" w:eastAsia="MS Gothic" w:hAnsi="MS Gothic"/>
                    <w:sz w:val="24"/>
                  </w:rPr>
                  <w:t>☐</w:t>
                </w:r>
              </w:sdtContent>
            </w:sdt>
            <w:r w:rsidR="00B13D65" w:rsidRPr="00BB3F13">
              <w:t xml:space="preserve"> 32.3. </w:t>
            </w:r>
            <w:r w:rsidR="005648CF" w:rsidRPr="00BB3F13">
              <w:t xml:space="preserve">gydymo juo kaštai yra mažesni ar tokie patys esant iš esmės nesiskiriančiam palyginamajam efektyvumui, </w:t>
            </w:r>
            <w:r w:rsidR="00B90325" w:rsidRPr="00BB3F13">
              <w:t>ne</w:t>
            </w:r>
            <w:r w:rsidR="005648CF" w:rsidRPr="00BB3F13">
              <w:t>taikant PGS.</w:t>
            </w:r>
          </w:p>
        </w:tc>
        <w:tc>
          <w:tcPr>
            <w:tcW w:w="4981" w:type="dxa"/>
          </w:tcPr>
          <w:p w14:paraId="53380063" w14:textId="5CB4F681" w:rsidR="00B13D65" w:rsidRPr="00BB3F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BB3F13">
                  <w:rPr>
                    <w:rStyle w:val="Style2"/>
                    <w:rFonts w:ascii="Segoe UI Symbol" w:eastAsia="MS Gothic" w:hAnsi="Segoe UI Symbol" w:cs="Segoe UI Symbol"/>
                    <w:sz w:val="24"/>
                  </w:rPr>
                  <w:t>☐</w:t>
                </w:r>
              </w:sdtContent>
            </w:sdt>
            <w:r w:rsidR="00B13D65" w:rsidRPr="00BB3F13">
              <w:t xml:space="preserve"> 33.3. neatitinka referencinės naudingu</w:t>
            </w:r>
            <w:r w:rsidR="00B90325" w:rsidRPr="00BB3F13">
              <w:t>mo vertės Lietuvos Respublikoje.</w:t>
            </w:r>
          </w:p>
          <w:p w14:paraId="229ED51A" w14:textId="77777777" w:rsidR="00662983" w:rsidRPr="00BB3F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37C7C3B8" w:rsidR="00B13D65" w:rsidRPr="00BB3F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Content>
                <w:r w:rsidR="00B90325" w:rsidRPr="00BB3F13">
                  <w:rPr>
                    <w:rStyle w:val="Style2"/>
                    <w:rFonts w:ascii="MS Gothic" w:eastAsia="MS Gothic" w:hAnsi="MS Gothic"/>
                    <w:sz w:val="24"/>
                  </w:rPr>
                  <w:t>☒</w:t>
                </w:r>
              </w:sdtContent>
            </w:sdt>
            <w:r w:rsidR="00B13D65" w:rsidRPr="00BB3F13">
              <w:t xml:space="preserve"> 33.3. gydymo juo kaštai yra didesni esant iš esmės nesiskiriančiam palyginamajam efektyvumui, netaikant PGS</w:t>
            </w:r>
            <w:r w:rsidR="00B90325" w:rsidRPr="00BB3F13">
              <w:t>.</w:t>
            </w:r>
          </w:p>
          <w:p w14:paraId="4A9C7D2A" w14:textId="77777777" w:rsidR="00662983" w:rsidRPr="00BB3F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083D98AB" w:rsidR="00B13D65" w:rsidRPr="00BB3F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BB3F13">
                  <w:rPr>
                    <w:rStyle w:val="Style2"/>
                    <w:rFonts w:ascii="Segoe UI Symbol" w:eastAsia="MS Gothic" w:hAnsi="Segoe UI Symbol" w:cs="Segoe UI Symbol"/>
                    <w:sz w:val="24"/>
                  </w:rPr>
                  <w:t>☐</w:t>
                </w:r>
              </w:sdtContent>
            </w:sdt>
            <w:r w:rsidR="00B13D65" w:rsidRPr="00BB3F13">
              <w:t xml:space="preserve"> 33.3. pateikti duomenys apie kaštų na</w:t>
            </w:r>
            <w:r w:rsidR="00662983" w:rsidRPr="00BB3F13">
              <w:t>udingumą yra netinkami vertinti</w:t>
            </w:r>
            <w:r w:rsidR="00B90325" w:rsidRPr="00BB3F13">
              <w:t>.</w:t>
            </w:r>
          </w:p>
          <w:p w14:paraId="470A48A4" w14:textId="77777777" w:rsidR="00B13D65" w:rsidRPr="00BB3F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BB3F13" w:rsidRDefault="0055060B" w:rsidP="0055060B">
      <w:pPr>
        <w:rPr>
          <w:b/>
        </w:rPr>
      </w:pPr>
    </w:p>
    <w:p w14:paraId="4761590D" w14:textId="77777777" w:rsidR="0055060B" w:rsidRPr="00BB3F13" w:rsidRDefault="0055060B" w:rsidP="0055060B">
      <w:pPr>
        <w:pStyle w:val="ListParagraph"/>
        <w:numPr>
          <w:ilvl w:val="0"/>
          <w:numId w:val="12"/>
        </w:numPr>
        <w:ind w:left="567" w:hanging="567"/>
        <w:rPr>
          <w:b/>
        </w:rPr>
      </w:pPr>
      <w:r w:rsidRPr="00BB3F13">
        <w:rPr>
          <w:b/>
        </w:rPr>
        <w:t>REKOMENDACIJA</w:t>
      </w:r>
    </w:p>
    <w:p w14:paraId="7CA221DC" w14:textId="77777777" w:rsidR="0055060B" w:rsidRPr="00BB3F13" w:rsidRDefault="0055060B" w:rsidP="0055060B">
      <w:pPr>
        <w:rPr>
          <w:i/>
          <w:color w:val="00B050"/>
        </w:rPr>
      </w:pPr>
    </w:p>
    <w:p w14:paraId="194FF4F9" w14:textId="77777777" w:rsidR="00B90325" w:rsidRPr="00BB3F13" w:rsidRDefault="00B90325" w:rsidP="00BB3F13">
      <w:pPr>
        <w:spacing w:line="276" w:lineRule="auto"/>
        <w:jc w:val="both"/>
      </w:pPr>
      <w:r w:rsidRPr="00BB3F13">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2B75A816" w14:textId="13556ED1" w:rsidR="00B90325" w:rsidRPr="00BB3F13" w:rsidRDefault="00B90325" w:rsidP="00BB3F13">
      <w:pPr>
        <w:spacing w:line="276" w:lineRule="auto"/>
        <w:jc w:val="both"/>
      </w:pPr>
      <w:r w:rsidRPr="00BB3F13">
        <w:t xml:space="preserve">34.4. rekomenduojama </w:t>
      </w:r>
      <w:r w:rsidRPr="00BB3F13">
        <w:rPr>
          <w:i/>
        </w:rPr>
        <w:t xml:space="preserve">nekompensuoti </w:t>
      </w:r>
      <w:r w:rsidRPr="00BB3F13">
        <w:t>vaistinio preparato pagal paraiškoje nurodytą indikaciją su skyrimo sąlygomis, netaikant PGS dėl vertinimo išvadų, nurodytų 33.3 papunktyje (žr. 6 skyrių),  neatitikties 34.3 papunktyje išdėstytoms sąlygoms.</w:t>
      </w:r>
    </w:p>
    <w:p w14:paraId="4675BD1C" w14:textId="77777777" w:rsidR="0055060B" w:rsidRPr="00BB3F13" w:rsidRDefault="0055060B" w:rsidP="0055060B"/>
    <w:p w14:paraId="00238513" w14:textId="0D952701" w:rsidR="000915AB" w:rsidRPr="00BB3F13" w:rsidRDefault="000915AB" w:rsidP="000915AB">
      <w:pPr>
        <w:pStyle w:val="NoSpacing"/>
        <w:spacing w:line="276" w:lineRule="auto"/>
        <w:jc w:val="both"/>
        <w:rPr>
          <w:rFonts w:ascii="Times New Roman" w:hAnsi="Times New Roman"/>
          <w:i/>
          <w:iCs/>
          <w:sz w:val="24"/>
          <w:szCs w:val="24"/>
        </w:rPr>
      </w:pPr>
    </w:p>
    <w:sectPr w:rsidR="000915AB" w:rsidRPr="00BB3F13"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C6B7F" w14:textId="77777777" w:rsidR="0030140A" w:rsidRDefault="0030140A">
      <w:r>
        <w:separator/>
      </w:r>
    </w:p>
  </w:endnote>
  <w:endnote w:type="continuationSeparator" w:id="0">
    <w:p w14:paraId="04F452FD" w14:textId="77777777" w:rsidR="0030140A" w:rsidRDefault="0030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arnockPro-Regular">
    <w:altName w:val="Yu Gothic"/>
    <w:panose1 w:val="020B0604020202020204"/>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784E2" w14:textId="77777777" w:rsidR="0030140A" w:rsidRDefault="0030140A">
      <w:r>
        <w:separator/>
      </w:r>
    </w:p>
  </w:footnote>
  <w:footnote w:type="continuationSeparator" w:id="0">
    <w:p w14:paraId="5F2D9C3F" w14:textId="77777777" w:rsidR="0030140A" w:rsidRDefault="0030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3F2BF365"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60E8">
      <w:rPr>
        <w:rStyle w:val="PageNumber"/>
        <w:noProof/>
      </w:rPr>
      <w:t>2</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multilevel"/>
    <w:tmpl w:val="82660BE8"/>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278F598F"/>
    <w:multiLevelType w:val="hybridMultilevel"/>
    <w:tmpl w:val="3AB4803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6" w15:restartNumberingAfterBreak="0">
    <w:nsid w:val="332605BF"/>
    <w:multiLevelType w:val="hybridMultilevel"/>
    <w:tmpl w:val="484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72D7D"/>
    <w:multiLevelType w:val="hybridMultilevel"/>
    <w:tmpl w:val="B4662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6243C"/>
    <w:multiLevelType w:val="hybridMultilevel"/>
    <w:tmpl w:val="074A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6DD97575"/>
    <w:multiLevelType w:val="hybridMultilevel"/>
    <w:tmpl w:val="02582A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4A7E79"/>
    <w:multiLevelType w:val="hybridMultilevel"/>
    <w:tmpl w:val="6386987C"/>
    <w:lvl w:ilvl="0" w:tplc="3AC02242">
      <w:start w:val="1"/>
      <w:numFmt w:val="bullet"/>
      <w:lvlText w:val="•"/>
      <w:lvlJc w:val="left"/>
      <w:pPr>
        <w:tabs>
          <w:tab w:val="num" w:pos="720"/>
        </w:tabs>
        <w:ind w:left="720" w:hanging="360"/>
      </w:pPr>
      <w:rPr>
        <w:rFonts w:ascii="Arial" w:hAnsi="Arial" w:hint="default"/>
      </w:rPr>
    </w:lvl>
    <w:lvl w:ilvl="1" w:tplc="B6D24430" w:tentative="1">
      <w:start w:val="1"/>
      <w:numFmt w:val="bullet"/>
      <w:lvlText w:val="•"/>
      <w:lvlJc w:val="left"/>
      <w:pPr>
        <w:tabs>
          <w:tab w:val="num" w:pos="1440"/>
        </w:tabs>
        <w:ind w:left="1440" w:hanging="360"/>
      </w:pPr>
      <w:rPr>
        <w:rFonts w:ascii="Arial" w:hAnsi="Arial" w:hint="default"/>
      </w:rPr>
    </w:lvl>
    <w:lvl w:ilvl="2" w:tplc="71123138" w:tentative="1">
      <w:start w:val="1"/>
      <w:numFmt w:val="bullet"/>
      <w:lvlText w:val="•"/>
      <w:lvlJc w:val="left"/>
      <w:pPr>
        <w:tabs>
          <w:tab w:val="num" w:pos="2160"/>
        </w:tabs>
        <w:ind w:left="2160" w:hanging="360"/>
      </w:pPr>
      <w:rPr>
        <w:rFonts w:ascii="Arial" w:hAnsi="Arial" w:hint="default"/>
      </w:rPr>
    </w:lvl>
    <w:lvl w:ilvl="3" w:tplc="76DA11D6" w:tentative="1">
      <w:start w:val="1"/>
      <w:numFmt w:val="bullet"/>
      <w:lvlText w:val="•"/>
      <w:lvlJc w:val="left"/>
      <w:pPr>
        <w:tabs>
          <w:tab w:val="num" w:pos="2880"/>
        </w:tabs>
        <w:ind w:left="2880" w:hanging="360"/>
      </w:pPr>
      <w:rPr>
        <w:rFonts w:ascii="Arial" w:hAnsi="Arial" w:hint="default"/>
      </w:rPr>
    </w:lvl>
    <w:lvl w:ilvl="4" w:tplc="BF20A232" w:tentative="1">
      <w:start w:val="1"/>
      <w:numFmt w:val="bullet"/>
      <w:lvlText w:val="•"/>
      <w:lvlJc w:val="left"/>
      <w:pPr>
        <w:tabs>
          <w:tab w:val="num" w:pos="3600"/>
        </w:tabs>
        <w:ind w:left="3600" w:hanging="360"/>
      </w:pPr>
      <w:rPr>
        <w:rFonts w:ascii="Arial" w:hAnsi="Arial" w:hint="default"/>
      </w:rPr>
    </w:lvl>
    <w:lvl w:ilvl="5" w:tplc="E200B782" w:tentative="1">
      <w:start w:val="1"/>
      <w:numFmt w:val="bullet"/>
      <w:lvlText w:val="•"/>
      <w:lvlJc w:val="left"/>
      <w:pPr>
        <w:tabs>
          <w:tab w:val="num" w:pos="4320"/>
        </w:tabs>
        <w:ind w:left="4320" w:hanging="360"/>
      </w:pPr>
      <w:rPr>
        <w:rFonts w:ascii="Arial" w:hAnsi="Arial" w:hint="default"/>
      </w:rPr>
    </w:lvl>
    <w:lvl w:ilvl="6" w:tplc="9B163878" w:tentative="1">
      <w:start w:val="1"/>
      <w:numFmt w:val="bullet"/>
      <w:lvlText w:val="•"/>
      <w:lvlJc w:val="left"/>
      <w:pPr>
        <w:tabs>
          <w:tab w:val="num" w:pos="5040"/>
        </w:tabs>
        <w:ind w:left="5040" w:hanging="360"/>
      </w:pPr>
      <w:rPr>
        <w:rFonts w:ascii="Arial" w:hAnsi="Arial" w:hint="default"/>
      </w:rPr>
    </w:lvl>
    <w:lvl w:ilvl="7" w:tplc="CB089340" w:tentative="1">
      <w:start w:val="1"/>
      <w:numFmt w:val="bullet"/>
      <w:lvlText w:val="•"/>
      <w:lvlJc w:val="left"/>
      <w:pPr>
        <w:tabs>
          <w:tab w:val="num" w:pos="5760"/>
        </w:tabs>
        <w:ind w:left="5760" w:hanging="360"/>
      </w:pPr>
      <w:rPr>
        <w:rFonts w:ascii="Arial" w:hAnsi="Arial" w:hint="default"/>
      </w:rPr>
    </w:lvl>
    <w:lvl w:ilvl="8" w:tplc="A3B49FA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933478">
    <w:abstractNumId w:val="10"/>
  </w:num>
  <w:num w:numId="2" w16cid:durableId="1865752957">
    <w:abstractNumId w:val="2"/>
  </w:num>
  <w:num w:numId="3" w16cid:durableId="1571387527">
    <w:abstractNumId w:val="12"/>
  </w:num>
  <w:num w:numId="4" w16cid:durableId="2097826559">
    <w:abstractNumId w:val="11"/>
  </w:num>
  <w:num w:numId="5" w16cid:durableId="1945569853">
    <w:abstractNumId w:val="9"/>
  </w:num>
  <w:num w:numId="6" w16cid:durableId="1487017143">
    <w:abstractNumId w:val="8"/>
  </w:num>
  <w:num w:numId="7" w16cid:durableId="209650499">
    <w:abstractNumId w:val="4"/>
  </w:num>
  <w:num w:numId="8" w16cid:durableId="1684161897">
    <w:abstractNumId w:val="19"/>
  </w:num>
  <w:num w:numId="9" w16cid:durableId="916210268">
    <w:abstractNumId w:val="0"/>
  </w:num>
  <w:num w:numId="10" w16cid:durableId="1984265181">
    <w:abstractNumId w:val="13"/>
  </w:num>
  <w:num w:numId="11" w16cid:durableId="1500999095">
    <w:abstractNumId w:val="16"/>
  </w:num>
  <w:num w:numId="12" w16cid:durableId="1047606305">
    <w:abstractNumId w:val="3"/>
  </w:num>
  <w:num w:numId="13" w16cid:durableId="918908392">
    <w:abstractNumId w:val="1"/>
  </w:num>
  <w:num w:numId="14" w16cid:durableId="1626157494">
    <w:abstractNumId w:val="14"/>
  </w:num>
  <w:num w:numId="15" w16cid:durableId="964233271">
    <w:abstractNumId w:val="21"/>
  </w:num>
  <w:num w:numId="16" w16cid:durableId="878317486">
    <w:abstractNumId w:val="17"/>
  </w:num>
  <w:num w:numId="17" w16cid:durableId="592864100">
    <w:abstractNumId w:val="6"/>
  </w:num>
  <w:num w:numId="18" w16cid:durableId="156381287">
    <w:abstractNumId w:val="15"/>
  </w:num>
  <w:num w:numId="19" w16cid:durableId="1810708370">
    <w:abstractNumId w:val="7"/>
  </w:num>
  <w:num w:numId="20" w16cid:durableId="12803705">
    <w:abstractNumId w:val="5"/>
  </w:num>
  <w:num w:numId="21" w16cid:durableId="810249987">
    <w:abstractNumId w:val="20"/>
  </w:num>
  <w:num w:numId="22" w16cid:durableId="12207462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1EF0"/>
    <w:rsid w:val="00003F5B"/>
    <w:rsid w:val="00006B7A"/>
    <w:rsid w:val="00010786"/>
    <w:rsid w:val="000114DD"/>
    <w:rsid w:val="000136DE"/>
    <w:rsid w:val="000136F7"/>
    <w:rsid w:val="0002686C"/>
    <w:rsid w:val="00031D0E"/>
    <w:rsid w:val="000337E6"/>
    <w:rsid w:val="0003402E"/>
    <w:rsid w:val="000340A1"/>
    <w:rsid w:val="00034EAE"/>
    <w:rsid w:val="000606BE"/>
    <w:rsid w:val="000736B8"/>
    <w:rsid w:val="00081215"/>
    <w:rsid w:val="0008190F"/>
    <w:rsid w:val="00081D9C"/>
    <w:rsid w:val="00082907"/>
    <w:rsid w:val="0008378D"/>
    <w:rsid w:val="000908A5"/>
    <w:rsid w:val="000915AB"/>
    <w:rsid w:val="00092805"/>
    <w:rsid w:val="000B5ABB"/>
    <w:rsid w:val="000C454C"/>
    <w:rsid w:val="000D5038"/>
    <w:rsid w:val="000E229F"/>
    <w:rsid w:val="000E29D4"/>
    <w:rsid w:val="000F3540"/>
    <w:rsid w:val="000F564C"/>
    <w:rsid w:val="00100491"/>
    <w:rsid w:val="00104E2E"/>
    <w:rsid w:val="00107287"/>
    <w:rsid w:val="00112736"/>
    <w:rsid w:val="00117406"/>
    <w:rsid w:val="00121EF0"/>
    <w:rsid w:val="00124A9E"/>
    <w:rsid w:val="00130703"/>
    <w:rsid w:val="0013153F"/>
    <w:rsid w:val="001408B8"/>
    <w:rsid w:val="001521D9"/>
    <w:rsid w:val="00154B01"/>
    <w:rsid w:val="001554E2"/>
    <w:rsid w:val="00164146"/>
    <w:rsid w:val="00165F83"/>
    <w:rsid w:val="0017369C"/>
    <w:rsid w:val="0017423F"/>
    <w:rsid w:val="00180C39"/>
    <w:rsid w:val="00180D96"/>
    <w:rsid w:val="001921F3"/>
    <w:rsid w:val="001A0642"/>
    <w:rsid w:val="001B0084"/>
    <w:rsid w:val="001B3C5B"/>
    <w:rsid w:val="001D46A7"/>
    <w:rsid w:val="001E4BBB"/>
    <w:rsid w:val="001E6304"/>
    <w:rsid w:val="0020381E"/>
    <w:rsid w:val="00213471"/>
    <w:rsid w:val="00214F6C"/>
    <w:rsid w:val="00215906"/>
    <w:rsid w:val="0025123D"/>
    <w:rsid w:val="0025697F"/>
    <w:rsid w:val="00260258"/>
    <w:rsid w:val="00263EE8"/>
    <w:rsid w:val="00272428"/>
    <w:rsid w:val="00272461"/>
    <w:rsid w:val="00272948"/>
    <w:rsid w:val="00275A18"/>
    <w:rsid w:val="002829D6"/>
    <w:rsid w:val="002946C7"/>
    <w:rsid w:val="002A6B73"/>
    <w:rsid w:val="002B3CC1"/>
    <w:rsid w:val="002C09E0"/>
    <w:rsid w:val="002C3A10"/>
    <w:rsid w:val="002C44E9"/>
    <w:rsid w:val="002C4A90"/>
    <w:rsid w:val="002D02EF"/>
    <w:rsid w:val="002D3679"/>
    <w:rsid w:val="002E0702"/>
    <w:rsid w:val="002E6F80"/>
    <w:rsid w:val="002F0E4F"/>
    <w:rsid w:val="002F1053"/>
    <w:rsid w:val="002F38DE"/>
    <w:rsid w:val="0030140A"/>
    <w:rsid w:val="0030290F"/>
    <w:rsid w:val="00306D00"/>
    <w:rsid w:val="00317B0E"/>
    <w:rsid w:val="0032204D"/>
    <w:rsid w:val="003458C3"/>
    <w:rsid w:val="00347FAA"/>
    <w:rsid w:val="0035172D"/>
    <w:rsid w:val="0036187D"/>
    <w:rsid w:val="003664F3"/>
    <w:rsid w:val="00374301"/>
    <w:rsid w:val="00381024"/>
    <w:rsid w:val="00386307"/>
    <w:rsid w:val="003874DE"/>
    <w:rsid w:val="00390F3E"/>
    <w:rsid w:val="00393E9F"/>
    <w:rsid w:val="0039696E"/>
    <w:rsid w:val="003B211A"/>
    <w:rsid w:val="003B79D4"/>
    <w:rsid w:val="003C12B3"/>
    <w:rsid w:val="003C141F"/>
    <w:rsid w:val="003C63AF"/>
    <w:rsid w:val="003C6B0E"/>
    <w:rsid w:val="003C7257"/>
    <w:rsid w:val="003C7E35"/>
    <w:rsid w:val="003E5FCD"/>
    <w:rsid w:val="003F580E"/>
    <w:rsid w:val="00404E8A"/>
    <w:rsid w:val="0040622F"/>
    <w:rsid w:val="004073C9"/>
    <w:rsid w:val="00417DCF"/>
    <w:rsid w:val="00420BF8"/>
    <w:rsid w:val="00423160"/>
    <w:rsid w:val="00451B43"/>
    <w:rsid w:val="00453862"/>
    <w:rsid w:val="00454D29"/>
    <w:rsid w:val="00461338"/>
    <w:rsid w:val="0046202F"/>
    <w:rsid w:val="0046313A"/>
    <w:rsid w:val="00464659"/>
    <w:rsid w:val="004677DB"/>
    <w:rsid w:val="00480304"/>
    <w:rsid w:val="0048630F"/>
    <w:rsid w:val="004947A1"/>
    <w:rsid w:val="0049482A"/>
    <w:rsid w:val="00496070"/>
    <w:rsid w:val="004979D3"/>
    <w:rsid w:val="004A00E7"/>
    <w:rsid w:val="004A3A61"/>
    <w:rsid w:val="004B59BA"/>
    <w:rsid w:val="004C04A8"/>
    <w:rsid w:val="004C263A"/>
    <w:rsid w:val="004C6085"/>
    <w:rsid w:val="004D7B8F"/>
    <w:rsid w:val="004E6458"/>
    <w:rsid w:val="004E6E7D"/>
    <w:rsid w:val="004F1AAC"/>
    <w:rsid w:val="004F1AE2"/>
    <w:rsid w:val="004F34F0"/>
    <w:rsid w:val="005005EF"/>
    <w:rsid w:val="00521380"/>
    <w:rsid w:val="005227E0"/>
    <w:rsid w:val="005270F1"/>
    <w:rsid w:val="00534E11"/>
    <w:rsid w:val="00535FA3"/>
    <w:rsid w:val="0053651E"/>
    <w:rsid w:val="005400D9"/>
    <w:rsid w:val="00540135"/>
    <w:rsid w:val="005476A4"/>
    <w:rsid w:val="0055019B"/>
    <w:rsid w:val="0055060B"/>
    <w:rsid w:val="00556E63"/>
    <w:rsid w:val="005601A4"/>
    <w:rsid w:val="005648CF"/>
    <w:rsid w:val="00566DBB"/>
    <w:rsid w:val="00591462"/>
    <w:rsid w:val="005976CE"/>
    <w:rsid w:val="005A23D4"/>
    <w:rsid w:val="005A2D1E"/>
    <w:rsid w:val="005C493F"/>
    <w:rsid w:val="005C6BF7"/>
    <w:rsid w:val="005C71BF"/>
    <w:rsid w:val="005D002C"/>
    <w:rsid w:val="005D30E1"/>
    <w:rsid w:val="005D6555"/>
    <w:rsid w:val="005D7BDF"/>
    <w:rsid w:val="005F2950"/>
    <w:rsid w:val="005F71D9"/>
    <w:rsid w:val="005F7602"/>
    <w:rsid w:val="006108BA"/>
    <w:rsid w:val="00613501"/>
    <w:rsid w:val="006166A8"/>
    <w:rsid w:val="00616854"/>
    <w:rsid w:val="006174A1"/>
    <w:rsid w:val="006221D7"/>
    <w:rsid w:val="006339ED"/>
    <w:rsid w:val="00633B49"/>
    <w:rsid w:val="00636A50"/>
    <w:rsid w:val="0064297F"/>
    <w:rsid w:val="00646CF3"/>
    <w:rsid w:val="00652D6E"/>
    <w:rsid w:val="00653896"/>
    <w:rsid w:val="00662983"/>
    <w:rsid w:val="006661F8"/>
    <w:rsid w:val="006705B8"/>
    <w:rsid w:val="006834D3"/>
    <w:rsid w:val="00690A36"/>
    <w:rsid w:val="00692625"/>
    <w:rsid w:val="00695CD3"/>
    <w:rsid w:val="006A38B6"/>
    <w:rsid w:val="006B1987"/>
    <w:rsid w:val="006B5B71"/>
    <w:rsid w:val="006B6CB0"/>
    <w:rsid w:val="006C2B64"/>
    <w:rsid w:val="006D4C85"/>
    <w:rsid w:val="006D5B6A"/>
    <w:rsid w:val="006E33F6"/>
    <w:rsid w:val="006E49D5"/>
    <w:rsid w:val="006E4A7C"/>
    <w:rsid w:val="006F1251"/>
    <w:rsid w:val="006F1C23"/>
    <w:rsid w:val="006F3037"/>
    <w:rsid w:val="00703166"/>
    <w:rsid w:val="007127F3"/>
    <w:rsid w:val="007215D3"/>
    <w:rsid w:val="007301CF"/>
    <w:rsid w:val="007316FB"/>
    <w:rsid w:val="00737E2D"/>
    <w:rsid w:val="00740204"/>
    <w:rsid w:val="00742033"/>
    <w:rsid w:val="007424D5"/>
    <w:rsid w:val="007523DD"/>
    <w:rsid w:val="00757B7E"/>
    <w:rsid w:val="00764A08"/>
    <w:rsid w:val="00771743"/>
    <w:rsid w:val="00771A84"/>
    <w:rsid w:val="00795DC5"/>
    <w:rsid w:val="00797153"/>
    <w:rsid w:val="007A07B9"/>
    <w:rsid w:val="007A2412"/>
    <w:rsid w:val="007A32B7"/>
    <w:rsid w:val="007A53C7"/>
    <w:rsid w:val="007B0DDA"/>
    <w:rsid w:val="007B2749"/>
    <w:rsid w:val="007B3C4D"/>
    <w:rsid w:val="007C5B6E"/>
    <w:rsid w:val="007D6482"/>
    <w:rsid w:val="007E4A19"/>
    <w:rsid w:val="007E52C1"/>
    <w:rsid w:val="007E5466"/>
    <w:rsid w:val="007F1949"/>
    <w:rsid w:val="00802956"/>
    <w:rsid w:val="008060E8"/>
    <w:rsid w:val="008075B7"/>
    <w:rsid w:val="00817A84"/>
    <w:rsid w:val="008225A4"/>
    <w:rsid w:val="00826D5E"/>
    <w:rsid w:val="00832013"/>
    <w:rsid w:val="00834732"/>
    <w:rsid w:val="00843554"/>
    <w:rsid w:val="0085200C"/>
    <w:rsid w:val="00855FD0"/>
    <w:rsid w:val="00857C52"/>
    <w:rsid w:val="008651E2"/>
    <w:rsid w:val="00880A44"/>
    <w:rsid w:val="0088345E"/>
    <w:rsid w:val="0088656F"/>
    <w:rsid w:val="008A0303"/>
    <w:rsid w:val="008A5FDD"/>
    <w:rsid w:val="008B1DB8"/>
    <w:rsid w:val="008B2311"/>
    <w:rsid w:val="008B3C48"/>
    <w:rsid w:val="008C223C"/>
    <w:rsid w:val="008C3947"/>
    <w:rsid w:val="008E7329"/>
    <w:rsid w:val="008F2ED5"/>
    <w:rsid w:val="009145D2"/>
    <w:rsid w:val="00916202"/>
    <w:rsid w:val="00917BFE"/>
    <w:rsid w:val="0092297E"/>
    <w:rsid w:val="009302F5"/>
    <w:rsid w:val="0093069F"/>
    <w:rsid w:val="009341BF"/>
    <w:rsid w:val="00937907"/>
    <w:rsid w:val="00941739"/>
    <w:rsid w:val="00951573"/>
    <w:rsid w:val="009623CB"/>
    <w:rsid w:val="00963003"/>
    <w:rsid w:val="00983471"/>
    <w:rsid w:val="00987C49"/>
    <w:rsid w:val="009909AB"/>
    <w:rsid w:val="009A47C0"/>
    <w:rsid w:val="009B37DB"/>
    <w:rsid w:val="009C239B"/>
    <w:rsid w:val="009C7A8C"/>
    <w:rsid w:val="009D23F9"/>
    <w:rsid w:val="009D4FA8"/>
    <w:rsid w:val="009E5A8B"/>
    <w:rsid w:val="009E6CD6"/>
    <w:rsid w:val="009F4DE9"/>
    <w:rsid w:val="00A00C3C"/>
    <w:rsid w:val="00A01091"/>
    <w:rsid w:val="00A06DBB"/>
    <w:rsid w:val="00A1335C"/>
    <w:rsid w:val="00A2645F"/>
    <w:rsid w:val="00A31E86"/>
    <w:rsid w:val="00A54D87"/>
    <w:rsid w:val="00A5553C"/>
    <w:rsid w:val="00A62678"/>
    <w:rsid w:val="00A71554"/>
    <w:rsid w:val="00A77F0C"/>
    <w:rsid w:val="00A81785"/>
    <w:rsid w:val="00A84803"/>
    <w:rsid w:val="00A84C51"/>
    <w:rsid w:val="00A86F2B"/>
    <w:rsid w:val="00A91366"/>
    <w:rsid w:val="00A93AA6"/>
    <w:rsid w:val="00AA4E48"/>
    <w:rsid w:val="00AA6202"/>
    <w:rsid w:val="00AC4A99"/>
    <w:rsid w:val="00AC64D2"/>
    <w:rsid w:val="00AD681C"/>
    <w:rsid w:val="00AE0FE8"/>
    <w:rsid w:val="00AF0CB4"/>
    <w:rsid w:val="00AF60D5"/>
    <w:rsid w:val="00B04415"/>
    <w:rsid w:val="00B11D60"/>
    <w:rsid w:val="00B11E4B"/>
    <w:rsid w:val="00B13D65"/>
    <w:rsid w:val="00B15903"/>
    <w:rsid w:val="00B22497"/>
    <w:rsid w:val="00B35176"/>
    <w:rsid w:val="00B351ED"/>
    <w:rsid w:val="00B358C7"/>
    <w:rsid w:val="00B37245"/>
    <w:rsid w:val="00B4017A"/>
    <w:rsid w:val="00B4468D"/>
    <w:rsid w:val="00B71C72"/>
    <w:rsid w:val="00B81E92"/>
    <w:rsid w:val="00B90325"/>
    <w:rsid w:val="00B93B30"/>
    <w:rsid w:val="00B94CB5"/>
    <w:rsid w:val="00BA0DD9"/>
    <w:rsid w:val="00BB3F13"/>
    <w:rsid w:val="00BB6312"/>
    <w:rsid w:val="00BC4D06"/>
    <w:rsid w:val="00BD585E"/>
    <w:rsid w:val="00BF26A2"/>
    <w:rsid w:val="00BF2E0D"/>
    <w:rsid w:val="00BF3F8B"/>
    <w:rsid w:val="00BF5C0C"/>
    <w:rsid w:val="00BF76DA"/>
    <w:rsid w:val="00C03C9E"/>
    <w:rsid w:val="00C07C7B"/>
    <w:rsid w:val="00C24479"/>
    <w:rsid w:val="00C35B63"/>
    <w:rsid w:val="00C37B53"/>
    <w:rsid w:val="00C46097"/>
    <w:rsid w:val="00C517D2"/>
    <w:rsid w:val="00C62B36"/>
    <w:rsid w:val="00C638D6"/>
    <w:rsid w:val="00C7012C"/>
    <w:rsid w:val="00C80C49"/>
    <w:rsid w:val="00C96915"/>
    <w:rsid w:val="00CA1DF4"/>
    <w:rsid w:val="00CB1C5E"/>
    <w:rsid w:val="00CC668D"/>
    <w:rsid w:val="00CC7832"/>
    <w:rsid w:val="00CF0C1C"/>
    <w:rsid w:val="00CF1FFA"/>
    <w:rsid w:val="00CF4B7A"/>
    <w:rsid w:val="00D1611D"/>
    <w:rsid w:val="00D2102A"/>
    <w:rsid w:val="00D23808"/>
    <w:rsid w:val="00D2781D"/>
    <w:rsid w:val="00D3016A"/>
    <w:rsid w:val="00D30DA5"/>
    <w:rsid w:val="00D317D4"/>
    <w:rsid w:val="00D31A86"/>
    <w:rsid w:val="00D42960"/>
    <w:rsid w:val="00D43BD7"/>
    <w:rsid w:val="00D4485B"/>
    <w:rsid w:val="00D46408"/>
    <w:rsid w:val="00D4708D"/>
    <w:rsid w:val="00D4744C"/>
    <w:rsid w:val="00D55286"/>
    <w:rsid w:val="00D63068"/>
    <w:rsid w:val="00D6498C"/>
    <w:rsid w:val="00D8521E"/>
    <w:rsid w:val="00D9291C"/>
    <w:rsid w:val="00D93A97"/>
    <w:rsid w:val="00D960E7"/>
    <w:rsid w:val="00DA018E"/>
    <w:rsid w:val="00DB0A92"/>
    <w:rsid w:val="00DB1F64"/>
    <w:rsid w:val="00DC2F53"/>
    <w:rsid w:val="00DC6816"/>
    <w:rsid w:val="00DC76C2"/>
    <w:rsid w:val="00DC7C44"/>
    <w:rsid w:val="00DD1CF2"/>
    <w:rsid w:val="00DF0B08"/>
    <w:rsid w:val="00DF41B7"/>
    <w:rsid w:val="00DF4A4A"/>
    <w:rsid w:val="00DF583C"/>
    <w:rsid w:val="00E03C3F"/>
    <w:rsid w:val="00E061AE"/>
    <w:rsid w:val="00E073B4"/>
    <w:rsid w:val="00E13F26"/>
    <w:rsid w:val="00E24D45"/>
    <w:rsid w:val="00E33DB8"/>
    <w:rsid w:val="00E34387"/>
    <w:rsid w:val="00E369FE"/>
    <w:rsid w:val="00E37C6F"/>
    <w:rsid w:val="00E475F8"/>
    <w:rsid w:val="00E5102E"/>
    <w:rsid w:val="00E5721C"/>
    <w:rsid w:val="00E619C6"/>
    <w:rsid w:val="00E745A1"/>
    <w:rsid w:val="00E81529"/>
    <w:rsid w:val="00E83A13"/>
    <w:rsid w:val="00E84FAD"/>
    <w:rsid w:val="00EB1C74"/>
    <w:rsid w:val="00EC2356"/>
    <w:rsid w:val="00EC2582"/>
    <w:rsid w:val="00EC337C"/>
    <w:rsid w:val="00EC476D"/>
    <w:rsid w:val="00ED0CFF"/>
    <w:rsid w:val="00ED31D2"/>
    <w:rsid w:val="00EE0ACF"/>
    <w:rsid w:val="00EE0EAC"/>
    <w:rsid w:val="00EE33CB"/>
    <w:rsid w:val="00F0061A"/>
    <w:rsid w:val="00F02834"/>
    <w:rsid w:val="00F07CD7"/>
    <w:rsid w:val="00F11DD7"/>
    <w:rsid w:val="00F127E9"/>
    <w:rsid w:val="00F174C8"/>
    <w:rsid w:val="00F36972"/>
    <w:rsid w:val="00F42426"/>
    <w:rsid w:val="00F456BC"/>
    <w:rsid w:val="00F50666"/>
    <w:rsid w:val="00F524B0"/>
    <w:rsid w:val="00F60C95"/>
    <w:rsid w:val="00F70C9E"/>
    <w:rsid w:val="00F74A74"/>
    <w:rsid w:val="00F8382C"/>
    <w:rsid w:val="00F855D7"/>
    <w:rsid w:val="00F92035"/>
    <w:rsid w:val="00F92748"/>
    <w:rsid w:val="00F938D8"/>
    <w:rsid w:val="00F953C7"/>
    <w:rsid w:val="00FA4169"/>
    <w:rsid w:val="00FB0D41"/>
    <w:rsid w:val="00FB2030"/>
    <w:rsid w:val="00FD1CF2"/>
    <w:rsid w:val="00FD3EDF"/>
    <w:rsid w:val="00FD6192"/>
    <w:rsid w:val="00FD793C"/>
    <w:rsid w:val="00FE20E6"/>
    <w:rsid w:val="00FE3E3B"/>
    <w:rsid w:val="00FF4032"/>
    <w:rsid w:val="00FF57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Dossier table,Section 3- footnotes"/>
    <w:basedOn w:val="TableNormal"/>
    <w:uiPriority w:val="5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Use Case List Paragraph,List Paragraph1,Body Bullet,Table Number Paragraph,Ref,B1,bu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Use Case List Paragraph Char"/>
    <w:link w:val="ListParagraph"/>
    <w:uiPriority w:val="34"/>
    <w:qFormat/>
    <w:locked/>
    <w:rsid w:val="0055060B"/>
    <w:rPr>
      <w:sz w:val="24"/>
      <w:szCs w:val="24"/>
      <w:lang w:eastAsia="en-US"/>
    </w:rPr>
  </w:style>
  <w:style w:type="paragraph" w:styleId="EndnoteText">
    <w:name w:val="endnote text"/>
    <w:basedOn w:val="Normal"/>
    <w:link w:val="EndnoteTextChar"/>
    <w:semiHidden/>
    <w:unhideWhenUsed/>
    <w:rsid w:val="0055060B"/>
    <w:rPr>
      <w:sz w:val="20"/>
      <w:szCs w:val="20"/>
    </w:rPr>
  </w:style>
  <w:style w:type="character" w:customStyle="1" w:styleId="EndnoteTextChar">
    <w:name w:val="Endnote Text Char"/>
    <w:basedOn w:val="DefaultParagraphFont"/>
    <w:link w:val="EndnoteText"/>
    <w:semiHidden/>
    <w:rsid w:val="0055060B"/>
    <w:rPr>
      <w:lang w:eastAsia="en-US"/>
    </w:rPr>
  </w:style>
  <w:style w:type="character" w:styleId="EndnoteReference">
    <w:name w:val="endnote reference"/>
    <w:basedOn w:val="DefaultParagraphFont"/>
    <w:semiHidden/>
    <w:unhideWhenUsed/>
    <w:rsid w:val="0055060B"/>
    <w:rPr>
      <w:vertAlign w:val="superscript"/>
    </w:rPr>
  </w:style>
  <w:style w:type="paragraph" w:styleId="HTMLPreformatted">
    <w:name w:val="HTML Preformatted"/>
    <w:basedOn w:val="Normal"/>
    <w:link w:val="HTMLPreformattedChar"/>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651E2"/>
    <w:rPr>
      <w:rFonts w:ascii="Courier New" w:hAnsi="Courier New" w:cs="Courier New"/>
      <w:lang w:eastAsia="en-GB"/>
    </w:rPr>
  </w:style>
  <w:style w:type="character" w:customStyle="1" w:styleId="y2iqfc">
    <w:name w:val="y2iqfc"/>
    <w:basedOn w:val="DefaultParagraphFont"/>
    <w:rsid w:val="008651E2"/>
  </w:style>
  <w:style w:type="paragraph" w:styleId="NormalWeb">
    <w:name w:val="Normal (Web)"/>
    <w:basedOn w:val="Normal"/>
    <w:uiPriority w:val="99"/>
    <w:unhideWhenUsed/>
    <w:rsid w:val="003C12B3"/>
    <w:pPr>
      <w:spacing w:before="100" w:beforeAutospacing="1" w:after="100" w:afterAutospacing="1"/>
    </w:pPr>
    <w:rPr>
      <w:lang w:val="en-US"/>
    </w:rPr>
  </w:style>
  <w:style w:type="paragraph" w:customStyle="1" w:styleId="Tekstas">
    <w:name w:val="Tekstas"/>
    <w:basedOn w:val="Normal"/>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 w:type="character" w:styleId="FootnoteReference">
    <w:name w:val="footnote reference"/>
    <w:basedOn w:val="DefaultParagraphFont"/>
    <w:semiHidden/>
    <w:unhideWhenUsed/>
    <w:rsid w:val="00D960E7"/>
    <w:rPr>
      <w:vertAlign w:val="superscript"/>
    </w:rPr>
  </w:style>
  <w:style w:type="paragraph" w:styleId="FootnoteText">
    <w:name w:val="footnote text"/>
    <w:basedOn w:val="Normal"/>
    <w:link w:val="FootnoteTextChar"/>
    <w:semiHidden/>
    <w:unhideWhenUsed/>
    <w:rsid w:val="00D960E7"/>
    <w:rPr>
      <w:sz w:val="20"/>
      <w:szCs w:val="20"/>
    </w:rPr>
  </w:style>
  <w:style w:type="character" w:customStyle="1" w:styleId="FootnoteTextChar">
    <w:name w:val="Footnote Text Char"/>
    <w:basedOn w:val="DefaultParagraphFont"/>
    <w:link w:val="FootnoteText"/>
    <w:semiHidden/>
    <w:rsid w:val="00D960E7"/>
    <w:rPr>
      <w:lang w:eastAsia="en-US"/>
    </w:rPr>
  </w:style>
  <w:style w:type="paragraph" w:styleId="Revision">
    <w:name w:val="Revision"/>
    <w:hidden/>
    <w:uiPriority w:val="99"/>
    <w:semiHidden/>
    <w:rsid w:val="003B79D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84804">
      <w:bodyDiv w:val="1"/>
      <w:marLeft w:val="0"/>
      <w:marRight w:val="0"/>
      <w:marTop w:val="0"/>
      <w:marBottom w:val="0"/>
      <w:divBdr>
        <w:top w:val="none" w:sz="0" w:space="0" w:color="auto"/>
        <w:left w:val="none" w:sz="0" w:space="0" w:color="auto"/>
        <w:bottom w:val="none" w:sz="0" w:space="0" w:color="auto"/>
        <w:right w:val="none" w:sz="0" w:space="0" w:color="auto"/>
      </w:divBdr>
      <w:divsChild>
        <w:div w:id="353726240">
          <w:marLeft w:val="0"/>
          <w:marRight w:val="0"/>
          <w:marTop w:val="0"/>
          <w:marBottom w:val="0"/>
          <w:divBdr>
            <w:top w:val="none" w:sz="0" w:space="0" w:color="auto"/>
            <w:left w:val="none" w:sz="0" w:space="0" w:color="auto"/>
            <w:bottom w:val="none" w:sz="0" w:space="0" w:color="auto"/>
            <w:right w:val="none" w:sz="0" w:space="0" w:color="auto"/>
          </w:divBdr>
        </w:div>
        <w:div w:id="1187449896">
          <w:marLeft w:val="0"/>
          <w:marRight w:val="0"/>
          <w:marTop w:val="0"/>
          <w:marBottom w:val="0"/>
          <w:divBdr>
            <w:top w:val="none" w:sz="0" w:space="0" w:color="auto"/>
            <w:left w:val="none" w:sz="0" w:space="0" w:color="auto"/>
            <w:bottom w:val="none" w:sz="0" w:space="0" w:color="auto"/>
            <w:right w:val="none" w:sz="0" w:space="0" w:color="auto"/>
          </w:divBdr>
        </w:div>
        <w:div w:id="1765950919">
          <w:marLeft w:val="0"/>
          <w:marRight w:val="0"/>
          <w:marTop w:val="0"/>
          <w:marBottom w:val="0"/>
          <w:divBdr>
            <w:top w:val="none" w:sz="0" w:space="0" w:color="auto"/>
            <w:left w:val="none" w:sz="0" w:space="0" w:color="auto"/>
            <w:bottom w:val="none" w:sz="0" w:space="0" w:color="auto"/>
            <w:right w:val="none" w:sz="0" w:space="0" w:color="auto"/>
          </w:divBdr>
        </w:div>
        <w:div w:id="2109736160">
          <w:marLeft w:val="0"/>
          <w:marRight w:val="0"/>
          <w:marTop w:val="0"/>
          <w:marBottom w:val="0"/>
          <w:divBdr>
            <w:top w:val="none" w:sz="0" w:space="0" w:color="auto"/>
            <w:left w:val="none" w:sz="0" w:space="0" w:color="auto"/>
            <w:bottom w:val="none" w:sz="0" w:space="0" w:color="auto"/>
            <w:right w:val="none" w:sz="0" w:space="0" w:color="auto"/>
          </w:divBdr>
        </w:div>
      </w:divsChild>
    </w:div>
    <w:div w:id="264584673">
      <w:bodyDiv w:val="1"/>
      <w:marLeft w:val="0"/>
      <w:marRight w:val="0"/>
      <w:marTop w:val="0"/>
      <w:marBottom w:val="0"/>
      <w:divBdr>
        <w:top w:val="none" w:sz="0" w:space="0" w:color="auto"/>
        <w:left w:val="none" w:sz="0" w:space="0" w:color="auto"/>
        <w:bottom w:val="none" w:sz="0" w:space="0" w:color="auto"/>
        <w:right w:val="none" w:sz="0" w:space="0" w:color="auto"/>
      </w:divBdr>
      <w:divsChild>
        <w:div w:id="214633571">
          <w:marLeft w:val="0"/>
          <w:marRight w:val="0"/>
          <w:marTop w:val="0"/>
          <w:marBottom w:val="0"/>
          <w:divBdr>
            <w:top w:val="none" w:sz="0" w:space="0" w:color="auto"/>
            <w:left w:val="none" w:sz="0" w:space="0" w:color="auto"/>
            <w:bottom w:val="none" w:sz="0" w:space="0" w:color="auto"/>
            <w:right w:val="none" w:sz="0" w:space="0" w:color="auto"/>
          </w:divBdr>
        </w:div>
        <w:div w:id="1061442200">
          <w:marLeft w:val="0"/>
          <w:marRight w:val="0"/>
          <w:marTop w:val="0"/>
          <w:marBottom w:val="0"/>
          <w:divBdr>
            <w:top w:val="none" w:sz="0" w:space="0" w:color="auto"/>
            <w:left w:val="none" w:sz="0" w:space="0" w:color="auto"/>
            <w:bottom w:val="none" w:sz="0" w:space="0" w:color="auto"/>
            <w:right w:val="none" w:sz="0" w:space="0" w:color="auto"/>
          </w:divBdr>
        </w:div>
        <w:div w:id="745225139">
          <w:marLeft w:val="0"/>
          <w:marRight w:val="0"/>
          <w:marTop w:val="0"/>
          <w:marBottom w:val="0"/>
          <w:divBdr>
            <w:top w:val="none" w:sz="0" w:space="0" w:color="auto"/>
            <w:left w:val="none" w:sz="0" w:space="0" w:color="auto"/>
            <w:bottom w:val="none" w:sz="0" w:space="0" w:color="auto"/>
            <w:right w:val="none" w:sz="0" w:space="0" w:color="auto"/>
          </w:divBdr>
        </w:div>
        <w:div w:id="1577856924">
          <w:marLeft w:val="0"/>
          <w:marRight w:val="0"/>
          <w:marTop w:val="0"/>
          <w:marBottom w:val="0"/>
          <w:divBdr>
            <w:top w:val="none" w:sz="0" w:space="0" w:color="auto"/>
            <w:left w:val="none" w:sz="0" w:space="0" w:color="auto"/>
            <w:bottom w:val="none" w:sz="0" w:space="0" w:color="auto"/>
            <w:right w:val="none" w:sz="0" w:space="0" w:color="auto"/>
          </w:divBdr>
        </w:div>
      </w:divsChild>
    </w:div>
    <w:div w:id="844707649">
      <w:bodyDiv w:val="1"/>
      <w:marLeft w:val="0"/>
      <w:marRight w:val="0"/>
      <w:marTop w:val="0"/>
      <w:marBottom w:val="0"/>
      <w:divBdr>
        <w:top w:val="none" w:sz="0" w:space="0" w:color="auto"/>
        <w:left w:val="none" w:sz="0" w:space="0" w:color="auto"/>
        <w:bottom w:val="none" w:sz="0" w:space="0" w:color="auto"/>
        <w:right w:val="none" w:sz="0" w:space="0" w:color="auto"/>
      </w:divBdr>
      <w:divsChild>
        <w:div w:id="1353798303">
          <w:marLeft w:val="360"/>
          <w:marRight w:val="0"/>
          <w:marTop w:val="200"/>
          <w:marBottom w:val="0"/>
          <w:divBdr>
            <w:top w:val="none" w:sz="0" w:space="0" w:color="auto"/>
            <w:left w:val="none" w:sz="0" w:space="0" w:color="auto"/>
            <w:bottom w:val="none" w:sz="0" w:space="0" w:color="auto"/>
            <w:right w:val="none" w:sz="0" w:space="0" w:color="auto"/>
          </w:divBdr>
        </w:div>
      </w:divsChild>
    </w:div>
    <w:div w:id="1033387087">
      <w:bodyDiv w:val="1"/>
      <w:marLeft w:val="0"/>
      <w:marRight w:val="0"/>
      <w:marTop w:val="0"/>
      <w:marBottom w:val="0"/>
      <w:divBdr>
        <w:top w:val="none" w:sz="0" w:space="0" w:color="auto"/>
        <w:left w:val="none" w:sz="0" w:space="0" w:color="auto"/>
        <w:bottom w:val="none" w:sz="0" w:space="0" w:color="auto"/>
        <w:right w:val="none" w:sz="0" w:space="0" w:color="auto"/>
      </w:divBdr>
      <w:divsChild>
        <w:div w:id="1255091933">
          <w:marLeft w:val="0"/>
          <w:marRight w:val="0"/>
          <w:marTop w:val="0"/>
          <w:marBottom w:val="0"/>
          <w:divBdr>
            <w:top w:val="none" w:sz="0" w:space="0" w:color="auto"/>
            <w:left w:val="none" w:sz="0" w:space="0" w:color="auto"/>
            <w:bottom w:val="none" w:sz="0" w:space="0" w:color="auto"/>
            <w:right w:val="none" w:sz="0" w:space="0" w:color="auto"/>
          </w:divBdr>
        </w:div>
        <w:div w:id="1853370492">
          <w:marLeft w:val="0"/>
          <w:marRight w:val="0"/>
          <w:marTop w:val="0"/>
          <w:marBottom w:val="0"/>
          <w:divBdr>
            <w:top w:val="none" w:sz="0" w:space="0" w:color="auto"/>
            <w:left w:val="none" w:sz="0" w:space="0" w:color="auto"/>
            <w:bottom w:val="none" w:sz="0" w:space="0" w:color="auto"/>
            <w:right w:val="none" w:sz="0" w:space="0" w:color="auto"/>
          </w:divBdr>
        </w:div>
        <w:div w:id="648752402">
          <w:marLeft w:val="0"/>
          <w:marRight w:val="0"/>
          <w:marTop w:val="0"/>
          <w:marBottom w:val="0"/>
          <w:divBdr>
            <w:top w:val="none" w:sz="0" w:space="0" w:color="auto"/>
            <w:left w:val="none" w:sz="0" w:space="0" w:color="auto"/>
            <w:bottom w:val="none" w:sz="0" w:space="0" w:color="auto"/>
            <w:right w:val="none" w:sz="0" w:space="0" w:color="auto"/>
          </w:divBdr>
        </w:div>
        <w:div w:id="244345018">
          <w:marLeft w:val="0"/>
          <w:marRight w:val="0"/>
          <w:marTop w:val="0"/>
          <w:marBottom w:val="0"/>
          <w:divBdr>
            <w:top w:val="none" w:sz="0" w:space="0" w:color="auto"/>
            <w:left w:val="none" w:sz="0" w:space="0" w:color="auto"/>
            <w:bottom w:val="none" w:sz="0" w:space="0" w:color="auto"/>
            <w:right w:val="none" w:sz="0" w:space="0" w:color="auto"/>
          </w:divBdr>
        </w:div>
      </w:divsChild>
    </w:div>
    <w:div w:id="1183088379">
      <w:bodyDiv w:val="1"/>
      <w:marLeft w:val="0"/>
      <w:marRight w:val="0"/>
      <w:marTop w:val="0"/>
      <w:marBottom w:val="0"/>
      <w:divBdr>
        <w:top w:val="none" w:sz="0" w:space="0" w:color="auto"/>
        <w:left w:val="none" w:sz="0" w:space="0" w:color="auto"/>
        <w:bottom w:val="none" w:sz="0" w:space="0" w:color="auto"/>
        <w:right w:val="none" w:sz="0" w:space="0" w:color="auto"/>
      </w:divBdr>
      <w:divsChild>
        <w:div w:id="835876838">
          <w:marLeft w:val="0"/>
          <w:marRight w:val="0"/>
          <w:marTop w:val="0"/>
          <w:marBottom w:val="0"/>
          <w:divBdr>
            <w:top w:val="none" w:sz="0" w:space="0" w:color="auto"/>
            <w:left w:val="none" w:sz="0" w:space="0" w:color="auto"/>
            <w:bottom w:val="none" w:sz="0" w:space="0" w:color="auto"/>
            <w:right w:val="none" w:sz="0" w:space="0" w:color="auto"/>
          </w:divBdr>
        </w:div>
        <w:div w:id="1813785414">
          <w:marLeft w:val="0"/>
          <w:marRight w:val="0"/>
          <w:marTop w:val="0"/>
          <w:marBottom w:val="0"/>
          <w:divBdr>
            <w:top w:val="none" w:sz="0" w:space="0" w:color="auto"/>
            <w:left w:val="none" w:sz="0" w:space="0" w:color="auto"/>
            <w:bottom w:val="none" w:sz="0" w:space="0" w:color="auto"/>
            <w:right w:val="none" w:sz="0" w:space="0" w:color="auto"/>
          </w:divBdr>
        </w:div>
        <w:div w:id="952516048">
          <w:marLeft w:val="0"/>
          <w:marRight w:val="0"/>
          <w:marTop w:val="0"/>
          <w:marBottom w:val="0"/>
          <w:divBdr>
            <w:top w:val="none" w:sz="0" w:space="0" w:color="auto"/>
            <w:left w:val="none" w:sz="0" w:space="0" w:color="auto"/>
            <w:bottom w:val="none" w:sz="0" w:space="0" w:color="auto"/>
            <w:right w:val="none" w:sz="0" w:space="0" w:color="auto"/>
          </w:divBdr>
        </w:div>
        <w:div w:id="1982660793">
          <w:marLeft w:val="0"/>
          <w:marRight w:val="0"/>
          <w:marTop w:val="0"/>
          <w:marBottom w:val="0"/>
          <w:divBdr>
            <w:top w:val="none" w:sz="0" w:space="0" w:color="auto"/>
            <w:left w:val="none" w:sz="0" w:space="0" w:color="auto"/>
            <w:bottom w:val="none" w:sz="0" w:space="0" w:color="auto"/>
            <w:right w:val="none" w:sz="0" w:space="0" w:color="auto"/>
          </w:divBdr>
        </w:div>
      </w:divsChild>
    </w:div>
    <w:div w:id="1191259059">
      <w:bodyDiv w:val="1"/>
      <w:marLeft w:val="0"/>
      <w:marRight w:val="0"/>
      <w:marTop w:val="0"/>
      <w:marBottom w:val="0"/>
      <w:divBdr>
        <w:top w:val="none" w:sz="0" w:space="0" w:color="auto"/>
        <w:left w:val="none" w:sz="0" w:space="0" w:color="auto"/>
        <w:bottom w:val="none" w:sz="0" w:space="0" w:color="auto"/>
        <w:right w:val="none" w:sz="0" w:space="0" w:color="auto"/>
      </w:divBdr>
      <w:divsChild>
        <w:div w:id="1943803572">
          <w:marLeft w:val="0"/>
          <w:marRight w:val="0"/>
          <w:marTop w:val="0"/>
          <w:marBottom w:val="0"/>
          <w:divBdr>
            <w:top w:val="none" w:sz="0" w:space="0" w:color="auto"/>
            <w:left w:val="none" w:sz="0" w:space="0" w:color="auto"/>
            <w:bottom w:val="none" w:sz="0" w:space="0" w:color="auto"/>
            <w:right w:val="none" w:sz="0" w:space="0" w:color="auto"/>
          </w:divBdr>
        </w:div>
        <w:div w:id="84109926">
          <w:marLeft w:val="0"/>
          <w:marRight w:val="0"/>
          <w:marTop w:val="0"/>
          <w:marBottom w:val="0"/>
          <w:divBdr>
            <w:top w:val="none" w:sz="0" w:space="0" w:color="auto"/>
            <w:left w:val="none" w:sz="0" w:space="0" w:color="auto"/>
            <w:bottom w:val="none" w:sz="0" w:space="0" w:color="auto"/>
            <w:right w:val="none" w:sz="0" w:space="0" w:color="auto"/>
          </w:divBdr>
        </w:div>
        <w:div w:id="1763338738">
          <w:marLeft w:val="0"/>
          <w:marRight w:val="0"/>
          <w:marTop w:val="0"/>
          <w:marBottom w:val="0"/>
          <w:divBdr>
            <w:top w:val="none" w:sz="0" w:space="0" w:color="auto"/>
            <w:left w:val="none" w:sz="0" w:space="0" w:color="auto"/>
            <w:bottom w:val="none" w:sz="0" w:space="0" w:color="auto"/>
            <w:right w:val="none" w:sz="0" w:space="0" w:color="auto"/>
          </w:divBdr>
        </w:div>
        <w:div w:id="352804806">
          <w:marLeft w:val="0"/>
          <w:marRight w:val="0"/>
          <w:marTop w:val="0"/>
          <w:marBottom w:val="0"/>
          <w:divBdr>
            <w:top w:val="none" w:sz="0" w:space="0" w:color="auto"/>
            <w:left w:val="none" w:sz="0" w:space="0" w:color="auto"/>
            <w:bottom w:val="none" w:sz="0" w:space="0" w:color="auto"/>
            <w:right w:val="none" w:sz="0" w:space="0" w:color="auto"/>
          </w:divBdr>
        </w:div>
      </w:divsChild>
    </w:div>
    <w:div w:id="1332443062">
      <w:bodyDiv w:val="1"/>
      <w:marLeft w:val="0"/>
      <w:marRight w:val="0"/>
      <w:marTop w:val="0"/>
      <w:marBottom w:val="0"/>
      <w:divBdr>
        <w:top w:val="none" w:sz="0" w:space="0" w:color="auto"/>
        <w:left w:val="none" w:sz="0" w:space="0" w:color="auto"/>
        <w:bottom w:val="none" w:sz="0" w:space="0" w:color="auto"/>
        <w:right w:val="none" w:sz="0" w:space="0" w:color="auto"/>
      </w:divBdr>
      <w:divsChild>
        <w:div w:id="1366175650">
          <w:marLeft w:val="0"/>
          <w:marRight w:val="0"/>
          <w:marTop w:val="0"/>
          <w:marBottom w:val="0"/>
          <w:divBdr>
            <w:top w:val="none" w:sz="0" w:space="0" w:color="auto"/>
            <w:left w:val="none" w:sz="0" w:space="0" w:color="auto"/>
            <w:bottom w:val="none" w:sz="0" w:space="0" w:color="auto"/>
            <w:right w:val="none" w:sz="0" w:space="0" w:color="auto"/>
          </w:divBdr>
        </w:div>
        <w:div w:id="2143304409">
          <w:marLeft w:val="0"/>
          <w:marRight w:val="0"/>
          <w:marTop w:val="0"/>
          <w:marBottom w:val="0"/>
          <w:divBdr>
            <w:top w:val="none" w:sz="0" w:space="0" w:color="auto"/>
            <w:left w:val="none" w:sz="0" w:space="0" w:color="auto"/>
            <w:bottom w:val="none" w:sz="0" w:space="0" w:color="auto"/>
            <w:right w:val="none" w:sz="0" w:space="0" w:color="auto"/>
          </w:divBdr>
        </w:div>
        <w:div w:id="947736238">
          <w:marLeft w:val="0"/>
          <w:marRight w:val="0"/>
          <w:marTop w:val="0"/>
          <w:marBottom w:val="0"/>
          <w:divBdr>
            <w:top w:val="none" w:sz="0" w:space="0" w:color="auto"/>
            <w:left w:val="none" w:sz="0" w:space="0" w:color="auto"/>
            <w:bottom w:val="none" w:sz="0" w:space="0" w:color="auto"/>
            <w:right w:val="none" w:sz="0" w:space="0" w:color="auto"/>
          </w:divBdr>
        </w:div>
        <w:div w:id="235747434">
          <w:marLeft w:val="0"/>
          <w:marRight w:val="0"/>
          <w:marTop w:val="0"/>
          <w:marBottom w:val="0"/>
          <w:divBdr>
            <w:top w:val="none" w:sz="0" w:space="0" w:color="auto"/>
            <w:left w:val="none" w:sz="0" w:space="0" w:color="auto"/>
            <w:bottom w:val="none" w:sz="0" w:space="0" w:color="auto"/>
            <w:right w:val="none" w:sz="0" w:space="0" w:color="auto"/>
          </w:divBdr>
        </w:div>
      </w:divsChild>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55409E77AD4C8CAF19CDECAF30E17D"/>
        <w:category>
          <w:name w:val="General"/>
          <w:gallery w:val="placeholder"/>
        </w:category>
        <w:types>
          <w:type w:val="bbPlcHdr"/>
        </w:types>
        <w:behaviors>
          <w:behavior w:val="content"/>
        </w:behaviors>
        <w:guid w:val="{14351036-5730-4F28-B5F1-71E92A051325}"/>
      </w:docPartPr>
      <w:docPartBody>
        <w:p w:rsidR="00E25CBC" w:rsidRDefault="00A958F6" w:rsidP="00A958F6">
          <w:pPr>
            <w:pStyle w:val="CD55409E77AD4C8CAF19CDECAF30E17D"/>
          </w:pPr>
          <w:r>
            <w:rPr>
              <w:rStyle w:val="PlaceholderText"/>
            </w:rPr>
            <w:t>Click here to enter a date.</w:t>
          </w:r>
        </w:p>
      </w:docPartBody>
    </w:docPart>
    <w:docPart>
      <w:docPartPr>
        <w:name w:val="EA9742CCD7F640D1A15DCC8925B00A21"/>
        <w:category>
          <w:name w:val="General"/>
          <w:gallery w:val="placeholder"/>
        </w:category>
        <w:types>
          <w:type w:val="bbPlcHdr"/>
        </w:types>
        <w:behaviors>
          <w:behavior w:val="content"/>
        </w:behaviors>
        <w:guid w:val="{96C279E9-6557-4205-B7D0-A6CD769D5BF3}"/>
      </w:docPartPr>
      <w:docPartBody>
        <w:p w:rsidR="00E25CBC" w:rsidRDefault="00A958F6" w:rsidP="00A958F6">
          <w:pPr>
            <w:pStyle w:val="EA9742CCD7F640D1A15DCC8925B00A21"/>
          </w:pPr>
          <w:r>
            <w:rPr>
              <w:rStyle w:val="PlaceholderText"/>
            </w:rPr>
            <w:t>Click here to enter a date.</w:t>
          </w:r>
        </w:p>
      </w:docPartBody>
    </w:docPart>
    <w:docPart>
      <w:docPartPr>
        <w:name w:val="573BBD3796ED4243A5424CB95BA715E1"/>
        <w:category>
          <w:name w:val="General"/>
          <w:gallery w:val="placeholder"/>
        </w:category>
        <w:types>
          <w:type w:val="bbPlcHdr"/>
        </w:types>
        <w:behaviors>
          <w:behavior w:val="content"/>
        </w:behaviors>
        <w:guid w:val="{F5A205FF-C29A-4EC2-B65F-82B3BE8C6487}"/>
      </w:docPartPr>
      <w:docPartBody>
        <w:p w:rsidR="0085684D" w:rsidRDefault="00045BD8" w:rsidP="00045BD8">
          <w:pPr>
            <w:pStyle w:val="573BBD3796ED4243A5424CB95BA715E1"/>
          </w:pPr>
          <w:r>
            <w:rPr>
              <w:rStyle w:val="PlaceholderText"/>
            </w:rPr>
            <w:t>Click here to enter a date.</w:t>
          </w:r>
        </w:p>
      </w:docPartBody>
    </w:docPart>
    <w:docPart>
      <w:docPartPr>
        <w:name w:val="C59C80CBC3ED481282AE91A509BA1926"/>
        <w:category>
          <w:name w:val="General"/>
          <w:gallery w:val="placeholder"/>
        </w:category>
        <w:types>
          <w:type w:val="bbPlcHdr"/>
        </w:types>
        <w:behaviors>
          <w:behavior w:val="content"/>
        </w:behaviors>
        <w:guid w:val="{F3F1E619-D626-40D6-8C20-2E9C2D23423E}"/>
      </w:docPartPr>
      <w:docPartBody>
        <w:p w:rsidR="0085684D" w:rsidRDefault="00045BD8" w:rsidP="00045BD8">
          <w:pPr>
            <w:pStyle w:val="C59C80CBC3ED481282AE91A509BA1926"/>
          </w:pPr>
          <w:r>
            <w:rPr>
              <w:rStyle w:val="PlaceholderText"/>
            </w:rPr>
            <w:t>Click here to enter a date.</w:t>
          </w:r>
        </w:p>
      </w:docPartBody>
    </w:docPart>
    <w:docPart>
      <w:docPartPr>
        <w:name w:val="52AF6D4CEF03448395194FEEEC9B5961"/>
        <w:category>
          <w:name w:val="General"/>
          <w:gallery w:val="placeholder"/>
        </w:category>
        <w:types>
          <w:type w:val="bbPlcHdr"/>
        </w:types>
        <w:behaviors>
          <w:behavior w:val="content"/>
        </w:behaviors>
        <w:guid w:val="{3999EFC1-4050-4168-AD10-757CE9C64B8A}"/>
      </w:docPartPr>
      <w:docPartBody>
        <w:p w:rsidR="0085684D" w:rsidRDefault="00045BD8" w:rsidP="00045BD8">
          <w:pPr>
            <w:pStyle w:val="52AF6D4CEF03448395194FEEEC9B5961"/>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arnockPro-Regular">
    <w:altName w:val="Yu Gothic"/>
    <w:panose1 w:val="020B0604020202020204"/>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45BD8"/>
    <w:rsid w:val="000937FE"/>
    <w:rsid w:val="000A559A"/>
    <w:rsid w:val="000F54F6"/>
    <w:rsid w:val="00106A56"/>
    <w:rsid w:val="001227E4"/>
    <w:rsid w:val="00211441"/>
    <w:rsid w:val="00220729"/>
    <w:rsid w:val="002224E2"/>
    <w:rsid w:val="00342EE8"/>
    <w:rsid w:val="0035266A"/>
    <w:rsid w:val="003664F3"/>
    <w:rsid w:val="003A2F2A"/>
    <w:rsid w:val="003C1AE1"/>
    <w:rsid w:val="004144A3"/>
    <w:rsid w:val="004160E7"/>
    <w:rsid w:val="00454D29"/>
    <w:rsid w:val="0046202F"/>
    <w:rsid w:val="004F31CA"/>
    <w:rsid w:val="005074B9"/>
    <w:rsid w:val="005A3A75"/>
    <w:rsid w:val="005E40DD"/>
    <w:rsid w:val="006155A7"/>
    <w:rsid w:val="007126F3"/>
    <w:rsid w:val="00732269"/>
    <w:rsid w:val="00764A08"/>
    <w:rsid w:val="007C6D1D"/>
    <w:rsid w:val="007D17CA"/>
    <w:rsid w:val="007E6506"/>
    <w:rsid w:val="00843AE5"/>
    <w:rsid w:val="00855FD0"/>
    <w:rsid w:val="0085684D"/>
    <w:rsid w:val="008C49D4"/>
    <w:rsid w:val="00936288"/>
    <w:rsid w:val="0096442F"/>
    <w:rsid w:val="00964DDE"/>
    <w:rsid w:val="00965277"/>
    <w:rsid w:val="009B3BF0"/>
    <w:rsid w:val="009D5E5E"/>
    <w:rsid w:val="00A04012"/>
    <w:rsid w:val="00A15070"/>
    <w:rsid w:val="00A44CB3"/>
    <w:rsid w:val="00A958F6"/>
    <w:rsid w:val="00B23DC0"/>
    <w:rsid w:val="00BB16D6"/>
    <w:rsid w:val="00BC77C7"/>
    <w:rsid w:val="00CB4BD1"/>
    <w:rsid w:val="00CE2DA9"/>
    <w:rsid w:val="00CE44BE"/>
    <w:rsid w:val="00CE49F2"/>
    <w:rsid w:val="00CE5289"/>
    <w:rsid w:val="00CF66F6"/>
    <w:rsid w:val="00D22A54"/>
    <w:rsid w:val="00D92532"/>
    <w:rsid w:val="00E10A30"/>
    <w:rsid w:val="00E25CBC"/>
    <w:rsid w:val="00E425CC"/>
    <w:rsid w:val="00E44A86"/>
    <w:rsid w:val="00EC476D"/>
    <w:rsid w:val="00EF6E0C"/>
    <w:rsid w:val="00F64D17"/>
    <w:rsid w:val="00F773C6"/>
    <w:rsid w:val="00F949D2"/>
    <w:rsid w:val="00FE0D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45BD8"/>
    <w:rPr>
      <w:color w:val="808080"/>
    </w:rPr>
  </w:style>
  <w:style w:type="paragraph" w:customStyle="1" w:styleId="CD55409E77AD4C8CAF19CDECAF30E17D">
    <w:name w:val="CD55409E77AD4C8CAF19CDECAF30E17D"/>
    <w:rsid w:val="00A958F6"/>
  </w:style>
  <w:style w:type="paragraph" w:customStyle="1" w:styleId="EA9742CCD7F640D1A15DCC8925B00A21">
    <w:name w:val="EA9742CCD7F640D1A15DCC8925B00A21"/>
    <w:rsid w:val="00A958F6"/>
  </w:style>
  <w:style w:type="paragraph" w:customStyle="1" w:styleId="573BBD3796ED4243A5424CB95BA715E1">
    <w:name w:val="573BBD3796ED4243A5424CB95BA715E1"/>
    <w:rsid w:val="00045BD8"/>
  </w:style>
  <w:style w:type="paragraph" w:customStyle="1" w:styleId="C59C80CBC3ED481282AE91A509BA1926">
    <w:name w:val="C59C80CBC3ED481282AE91A509BA1926"/>
    <w:rsid w:val="00045BD8"/>
  </w:style>
  <w:style w:type="paragraph" w:customStyle="1" w:styleId="52AF6D4CEF03448395194FEEEC9B5961">
    <w:name w:val="52AF6D4CEF03448395194FEEEC9B5961"/>
    <w:rsid w:val="00045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2554</Words>
  <Characters>14564</Characters>
  <Application>Microsoft Office Word</Application>
  <DocSecurity>0</DocSecurity>
  <Lines>121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17084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2024-12-09T05:46:00Z</dcterms:created>
  <dcterms:modified xsi:type="dcterms:W3CDTF">2024-12-17T13:07:00Z</dcterms:modified>
</cp:coreProperties>
</file>