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9463CD" w:rsidRDefault="005F7602" w:rsidP="009463CD"/>
    <w:p w14:paraId="12FA4B9E" w14:textId="77777777" w:rsidR="001B3C5B" w:rsidRPr="009463CD" w:rsidRDefault="001B3C5B" w:rsidP="001B3C5B">
      <w:pPr>
        <w:ind w:left="6096"/>
      </w:pPr>
      <w:r w:rsidRPr="009463CD">
        <w:t>Forma patvirtinta</w:t>
      </w:r>
    </w:p>
    <w:p w14:paraId="7206970B" w14:textId="70E9BD2E" w:rsidR="004C263A" w:rsidRPr="009463CD" w:rsidRDefault="001B3C5B" w:rsidP="001B3C5B">
      <w:pPr>
        <w:ind w:left="6096"/>
      </w:pPr>
      <w:r w:rsidRPr="009463CD">
        <w:t>Valstybinės vaistų kontrolės tarnybos prie Lietuvos Respublikos sveikatos apsaugos ministerijos viršininko 2021 m</w:t>
      </w:r>
      <w:r w:rsidR="004C263A" w:rsidRPr="009463CD">
        <w:t xml:space="preserve">. lapkričio 12 </w:t>
      </w:r>
      <w:r w:rsidRPr="009463CD">
        <w:t>d. įsakymu Nr.</w:t>
      </w:r>
      <w:r w:rsidR="004C263A" w:rsidRPr="009463CD">
        <w:t xml:space="preserve"> (1.72E)1A-1418</w:t>
      </w:r>
    </w:p>
    <w:p w14:paraId="5B219AA6" w14:textId="520B9136" w:rsidR="001B3C5B" w:rsidRPr="009463CD" w:rsidRDefault="004C263A" w:rsidP="001B3C5B">
      <w:pPr>
        <w:ind w:left="6096"/>
      </w:pPr>
      <w:r w:rsidRPr="009463CD">
        <w:t>(Valstybinės vaistų kontrolės tarnybos prie Lietuvos Respublikos sveikatos apsaugos ministerijos viršininko 2022 m.                         d. įsakymo Nr.                    redakcija)</w:t>
      </w:r>
    </w:p>
    <w:p w14:paraId="3336BD74" w14:textId="77777777" w:rsidR="001B3C5B" w:rsidRPr="009463CD" w:rsidRDefault="001B3C5B" w:rsidP="00FA4169"/>
    <w:p w14:paraId="77AFB67E" w14:textId="16397257" w:rsidR="00613501" w:rsidRPr="009463CD" w:rsidRDefault="002F0E4F" w:rsidP="003B211A">
      <w:pPr>
        <w:jc w:val="center"/>
        <w:rPr>
          <w:b/>
          <w:bCs/>
          <w:caps/>
        </w:rPr>
      </w:pPr>
      <w:r w:rsidRPr="009463CD">
        <w:rPr>
          <w:b/>
        </w:rPr>
        <w:t xml:space="preserve">REKOMENDACIJA DĖL VAISTINIO PREPARATO </w:t>
      </w:r>
      <w:r w:rsidRPr="009463CD">
        <w:rPr>
          <w:b/>
          <w:bCs/>
          <w:caps/>
        </w:rPr>
        <w:t>Lietuvos Respublikos Sveikatos apsaugos ministerijos vaistinių preparatų ir medicinos pagalbos priemonių kompensavimo komisijai</w:t>
      </w:r>
    </w:p>
    <w:p w14:paraId="34E4395D" w14:textId="623D0445" w:rsidR="00B13D65" w:rsidRPr="009463CD" w:rsidRDefault="00B13D65" w:rsidP="003B211A">
      <w:pPr>
        <w:jc w:val="center"/>
        <w:rPr>
          <w:b/>
        </w:rPr>
      </w:pPr>
    </w:p>
    <w:p w14:paraId="373EC087" w14:textId="77777777" w:rsidR="000D4EA2" w:rsidRPr="00B878E3" w:rsidRDefault="000D4EA2" w:rsidP="000D4EA2">
      <w:pPr>
        <w:spacing w:line="271" w:lineRule="auto"/>
        <w:jc w:val="center"/>
        <w:rPr>
          <w:b/>
        </w:rPr>
      </w:pPr>
      <w:r w:rsidRPr="00B878E3">
        <w:rPr>
          <w:b/>
        </w:rPr>
        <w:t>KEYTRUDA 50 mg milteliai infuzinio tirpalo koncentratui</w:t>
      </w:r>
    </w:p>
    <w:p w14:paraId="7D6CBE54" w14:textId="77777777" w:rsidR="000D4EA2" w:rsidRPr="00B878E3" w:rsidRDefault="000D4EA2" w:rsidP="000D4EA2">
      <w:pPr>
        <w:spacing w:line="271" w:lineRule="auto"/>
        <w:jc w:val="center"/>
      </w:pPr>
    </w:p>
    <w:p w14:paraId="283793E4" w14:textId="484B6A24" w:rsidR="000D4EA2" w:rsidRDefault="000D4EA2" w:rsidP="000D4EA2">
      <w:pPr>
        <w:jc w:val="center"/>
        <w:rPr>
          <w:b/>
        </w:rPr>
      </w:pPr>
      <w:r w:rsidRPr="00B878E3">
        <w:t>(</w:t>
      </w:r>
      <w:r w:rsidRPr="00B878E3">
        <w:rPr>
          <w:b/>
        </w:rPr>
        <w:t>Pembrolizumabas</w:t>
      </w:r>
      <w:r>
        <w:rPr>
          <w:b/>
        </w:rPr>
        <w:t>)</w:t>
      </w:r>
    </w:p>
    <w:p w14:paraId="1033D168" w14:textId="77777777" w:rsidR="000D4EA2" w:rsidRPr="000D4EA2" w:rsidRDefault="000D4EA2" w:rsidP="000D4EA2">
      <w:pPr>
        <w:jc w:val="center"/>
        <w:rPr>
          <w:b/>
        </w:rPr>
      </w:pPr>
    </w:p>
    <w:p w14:paraId="4D81A534" w14:textId="118ED120" w:rsidR="004F39B8" w:rsidRPr="009463CD" w:rsidRDefault="000D4EA2" w:rsidP="004F39B8">
      <w:pPr>
        <w:jc w:val="center"/>
        <w:rPr>
          <w:b/>
        </w:rPr>
      </w:pPr>
      <w:r>
        <w:rPr>
          <w:b/>
        </w:rPr>
        <w:t>STV-84</w:t>
      </w:r>
    </w:p>
    <w:p w14:paraId="1E2B8830" w14:textId="77777777" w:rsidR="008B2311" w:rsidRPr="009463CD" w:rsidRDefault="008B2311" w:rsidP="006F3037">
      <w:pPr>
        <w:rPr>
          <w:b/>
        </w:rPr>
      </w:pPr>
    </w:p>
    <w:p w14:paraId="33D987A0" w14:textId="77777777" w:rsidR="001A0642" w:rsidRPr="009463CD" w:rsidRDefault="001A0642" w:rsidP="003B211A">
      <w:pPr>
        <w:jc w:val="center"/>
        <w:rPr>
          <w:b/>
        </w:rPr>
      </w:pPr>
    </w:p>
    <w:p w14:paraId="78C89D1C" w14:textId="0DA88316" w:rsidR="00D4485B" w:rsidRPr="009463CD" w:rsidRDefault="00B13D65" w:rsidP="00937907">
      <w:pPr>
        <w:pStyle w:val="ListParagraph"/>
        <w:numPr>
          <w:ilvl w:val="0"/>
          <w:numId w:val="12"/>
        </w:numPr>
        <w:tabs>
          <w:tab w:val="left" w:pos="284"/>
        </w:tabs>
        <w:rPr>
          <w:b/>
          <w:bCs/>
          <w:caps/>
        </w:rPr>
      </w:pPr>
      <w:r w:rsidRPr="009463CD">
        <w:rPr>
          <w:b/>
          <w:bCs/>
          <w:caps/>
        </w:rPr>
        <w:t>Bendroji dalis</w:t>
      </w:r>
    </w:p>
    <w:p w14:paraId="04A7C7A7" w14:textId="77777777" w:rsidR="00B13D65" w:rsidRPr="009463CD" w:rsidRDefault="00B13D65" w:rsidP="00E03C3F">
      <w:pPr>
        <w:pStyle w:val="ListParagraph"/>
        <w:tabs>
          <w:tab w:val="left" w:pos="284"/>
        </w:tabs>
        <w:ind w:left="0"/>
        <w:rPr>
          <w:b/>
          <w:bCs/>
          <w:caps/>
        </w:rPr>
      </w:pPr>
    </w:p>
    <w:tbl>
      <w:tblPr>
        <w:tblStyle w:val="TableGrid"/>
        <w:tblW w:w="9918" w:type="dxa"/>
        <w:tblLook w:val="04A0" w:firstRow="1" w:lastRow="0" w:firstColumn="1" w:lastColumn="0" w:noHBand="0" w:noVBand="1"/>
      </w:tblPr>
      <w:tblGrid>
        <w:gridCol w:w="705"/>
        <w:gridCol w:w="4117"/>
        <w:gridCol w:w="5096"/>
      </w:tblGrid>
      <w:tr w:rsidR="004F39B8" w:rsidRPr="009463CD" w14:paraId="16FE3559" w14:textId="77777777" w:rsidTr="000D5E12">
        <w:trPr>
          <w:trHeight w:val="342"/>
        </w:trPr>
        <w:tc>
          <w:tcPr>
            <w:tcW w:w="705" w:type="dxa"/>
          </w:tcPr>
          <w:p w14:paraId="42604F2C" w14:textId="77777777" w:rsidR="004F39B8" w:rsidRPr="009463CD" w:rsidRDefault="004F39B8" w:rsidP="000D5E12">
            <w:pPr>
              <w:tabs>
                <w:tab w:val="left" w:pos="284"/>
              </w:tabs>
              <w:spacing w:line="280" w:lineRule="atLeast"/>
              <w:rPr>
                <w:rFonts w:eastAsia="Arial"/>
                <w:b/>
              </w:rPr>
            </w:pPr>
            <w:r w:rsidRPr="009463CD">
              <w:rPr>
                <w:rFonts w:eastAsia="Arial"/>
                <w:b/>
              </w:rPr>
              <w:t>1.1</w:t>
            </w:r>
          </w:p>
        </w:tc>
        <w:tc>
          <w:tcPr>
            <w:tcW w:w="4117" w:type="dxa"/>
          </w:tcPr>
          <w:p w14:paraId="03CA340A"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Pareiškėjas</w:t>
            </w:r>
          </w:p>
        </w:tc>
        <w:tc>
          <w:tcPr>
            <w:tcW w:w="5096" w:type="dxa"/>
          </w:tcPr>
          <w:p w14:paraId="7F3B0A11" w14:textId="29AC13DA" w:rsidR="004F39B8" w:rsidRPr="009463CD" w:rsidRDefault="000D4EA2" w:rsidP="000D5E12">
            <w:pPr>
              <w:pStyle w:val="ListParagraph"/>
              <w:spacing w:after="120"/>
              <w:ind w:left="0"/>
              <w:contextualSpacing w:val="0"/>
              <w:jc w:val="both"/>
            </w:pPr>
            <w:r w:rsidRPr="00B878E3">
              <w:t>UAB “Merck Sharp &amp; Dohme“</w:t>
            </w:r>
          </w:p>
        </w:tc>
      </w:tr>
      <w:tr w:rsidR="004F39B8" w:rsidRPr="009463CD" w14:paraId="44D06F1B" w14:textId="77777777" w:rsidTr="000D5E12">
        <w:trPr>
          <w:trHeight w:val="479"/>
        </w:trPr>
        <w:tc>
          <w:tcPr>
            <w:tcW w:w="705" w:type="dxa"/>
          </w:tcPr>
          <w:p w14:paraId="315164E2" w14:textId="77777777" w:rsidR="004F39B8" w:rsidRPr="009463CD" w:rsidRDefault="004F39B8" w:rsidP="000D5E12">
            <w:pPr>
              <w:tabs>
                <w:tab w:val="left" w:pos="284"/>
              </w:tabs>
              <w:spacing w:line="280" w:lineRule="atLeast"/>
              <w:rPr>
                <w:rFonts w:eastAsia="Arial"/>
                <w:b/>
              </w:rPr>
            </w:pPr>
            <w:r w:rsidRPr="009463CD">
              <w:rPr>
                <w:rFonts w:eastAsia="Arial"/>
                <w:b/>
              </w:rPr>
              <w:t>1.2</w:t>
            </w:r>
          </w:p>
        </w:tc>
        <w:tc>
          <w:tcPr>
            <w:tcW w:w="4117" w:type="dxa"/>
          </w:tcPr>
          <w:p w14:paraId="1A980BDE"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Registracijos data (EVA)</w:t>
            </w:r>
          </w:p>
          <w:p w14:paraId="560C0E5A" w14:textId="77777777" w:rsidR="004F39B8" w:rsidRPr="009463CD" w:rsidRDefault="004F39B8" w:rsidP="000D5E12">
            <w:pPr>
              <w:tabs>
                <w:tab w:val="left" w:pos="284"/>
              </w:tabs>
              <w:spacing w:line="280" w:lineRule="atLeast"/>
              <w:rPr>
                <w:bCs/>
                <w:color w:val="000000"/>
                <w:lang w:eastAsia="lt-LT"/>
              </w:rPr>
            </w:pPr>
          </w:p>
        </w:tc>
        <w:tc>
          <w:tcPr>
            <w:tcW w:w="5096" w:type="dxa"/>
          </w:tcPr>
          <w:p w14:paraId="278F7035" w14:textId="38D11356" w:rsidR="004F39B8" w:rsidRPr="009463CD" w:rsidRDefault="00DD7AAE" w:rsidP="000D5E12">
            <w:pPr>
              <w:pStyle w:val="ListParagraph"/>
              <w:spacing w:after="120"/>
              <w:ind w:left="0"/>
              <w:contextualSpacing w:val="0"/>
              <w:jc w:val="both"/>
              <w:rPr>
                <w:rStyle w:val="Style2"/>
              </w:rPr>
            </w:pPr>
            <w:sdt>
              <w:sdtPr>
                <w:rPr>
                  <w:sz w:val="32"/>
                </w:rPr>
                <w:alias w:val="Nurodykite konkrečią dieną"/>
                <w:tag w:val="Nurodykite pradžios datą"/>
                <w:id w:val="423238108"/>
                <w:placeholder>
                  <w:docPart w:val="5D1B531EE8774159A74F151C7D24BC66"/>
                </w:placeholder>
                <w15:color w:val="FFCC99"/>
                <w:date>
                  <w:dateFormat w:val="yyyy 'm.' MMMM d 'd.'"/>
                  <w:lid w:val="lt-LT"/>
                  <w:storeMappedDataAs w:val="dateTime"/>
                  <w:calendar w:val="gregorian"/>
                </w:date>
              </w:sdtPr>
              <w:sdtEndPr>
                <w:rPr>
                  <w:sz w:val="24"/>
                </w:rPr>
              </w:sdtEndPr>
              <w:sdtContent>
                <w:r w:rsidR="000D4EA2" w:rsidRPr="000D4EA2">
                  <w:t>2015 liepos 17 d</w:t>
                </w:r>
              </w:sdtContent>
            </w:sdt>
          </w:p>
        </w:tc>
      </w:tr>
      <w:tr w:rsidR="004F39B8" w:rsidRPr="009463CD" w14:paraId="1BA8E355" w14:textId="77777777" w:rsidTr="000D5E12">
        <w:trPr>
          <w:trHeight w:val="1328"/>
        </w:trPr>
        <w:tc>
          <w:tcPr>
            <w:tcW w:w="705" w:type="dxa"/>
          </w:tcPr>
          <w:p w14:paraId="0B432E16" w14:textId="77777777" w:rsidR="004F39B8" w:rsidRPr="009463CD" w:rsidRDefault="004F39B8" w:rsidP="000D5E12">
            <w:pPr>
              <w:tabs>
                <w:tab w:val="left" w:pos="284"/>
              </w:tabs>
              <w:spacing w:line="280" w:lineRule="atLeast"/>
              <w:rPr>
                <w:rFonts w:eastAsia="Arial"/>
                <w:b/>
              </w:rPr>
            </w:pPr>
            <w:r w:rsidRPr="009463CD">
              <w:rPr>
                <w:rFonts w:eastAsia="Arial"/>
                <w:b/>
              </w:rPr>
              <w:t>1.3</w:t>
            </w:r>
          </w:p>
        </w:tc>
        <w:tc>
          <w:tcPr>
            <w:tcW w:w="4117" w:type="dxa"/>
          </w:tcPr>
          <w:p w14:paraId="2B4BBC37" w14:textId="77777777" w:rsidR="004F39B8" w:rsidRPr="009463CD" w:rsidRDefault="004F39B8" w:rsidP="000D5E12">
            <w:pPr>
              <w:pStyle w:val="NoSpacing"/>
              <w:rPr>
                <w:rFonts w:ascii="Times New Roman" w:hAnsi="Times New Roman"/>
                <w:b/>
                <w:sz w:val="24"/>
                <w:szCs w:val="24"/>
              </w:rPr>
            </w:pPr>
            <w:r w:rsidRPr="009463CD">
              <w:rPr>
                <w:rFonts w:ascii="Times New Roman" w:hAnsi="Times New Roman"/>
                <w:b/>
                <w:sz w:val="24"/>
                <w:szCs w:val="24"/>
              </w:rPr>
              <w:t xml:space="preserve">Paraiškos tipas </w:t>
            </w:r>
          </w:p>
          <w:p w14:paraId="138042A1" w14:textId="77777777" w:rsidR="004F39B8" w:rsidRPr="009463CD" w:rsidRDefault="004F39B8" w:rsidP="000D5E12">
            <w:pPr>
              <w:rPr>
                <w:b/>
              </w:rPr>
            </w:pPr>
            <w:r w:rsidRPr="009463CD">
              <w:rPr>
                <w:b/>
              </w:rPr>
              <w:t xml:space="preserve">(pagal </w:t>
            </w:r>
            <w:r w:rsidRPr="009463CD">
              <w:rPr>
                <w:b/>
                <w:shd w:val="clear" w:color="auto" w:fill="FFFFFF"/>
              </w:rPr>
              <w:t>vaistinio preparato registracijos tipą, įtvirtintą</w:t>
            </w:r>
            <w:r w:rsidRPr="009463CD">
              <w:rPr>
                <w:b/>
              </w:rPr>
              <w:t xml:space="preserve"> Direktyvos 2001/83/EB straipsniuose)</w:t>
            </w:r>
          </w:p>
          <w:p w14:paraId="3A88DA41" w14:textId="77777777" w:rsidR="004F39B8" w:rsidRPr="009463CD" w:rsidRDefault="004F39B8" w:rsidP="000D5E12">
            <w:pPr>
              <w:tabs>
                <w:tab w:val="left" w:pos="284"/>
              </w:tabs>
              <w:spacing w:line="280" w:lineRule="atLeast"/>
              <w:rPr>
                <w:b/>
                <w:bCs/>
                <w:color w:val="000000"/>
                <w:lang w:eastAsia="lt-LT"/>
              </w:rPr>
            </w:pPr>
          </w:p>
        </w:tc>
        <w:tc>
          <w:tcPr>
            <w:tcW w:w="5096" w:type="dxa"/>
          </w:tcPr>
          <w:p w14:paraId="2F29B932" w14:textId="77777777" w:rsidR="004F39B8" w:rsidRPr="009463CD" w:rsidRDefault="00DD7AAE" w:rsidP="000D5E12">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4F39B8" w:rsidRPr="009463CD">
                  <w:rPr>
                    <w:rStyle w:val="Style2"/>
                    <w:rFonts w:ascii="MS Gothic" w:eastAsia="MS Gothic" w:hAnsi="MS Gothic"/>
                  </w:rPr>
                  <w:t>☒</w:t>
                </w:r>
              </w:sdtContent>
            </w:sdt>
            <w:r w:rsidR="004F39B8" w:rsidRPr="009463CD">
              <w:t xml:space="preserve"> 8.3 str. (pilna byla, pagrįsta savais tyrimais) </w:t>
            </w:r>
          </w:p>
          <w:p w14:paraId="6EB274E0" w14:textId="77777777" w:rsidR="004F39B8" w:rsidRPr="009463CD" w:rsidRDefault="00DD7AAE" w:rsidP="000D5E12">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4F39B8" w:rsidRPr="009463CD">
                  <w:rPr>
                    <w:rStyle w:val="Style2"/>
                    <w:rFonts w:ascii="Segoe UI Symbol" w:eastAsia="MS Gothic" w:hAnsi="Segoe UI Symbol" w:cs="Segoe UI Symbol"/>
                  </w:rPr>
                  <w:t>☐</w:t>
                </w:r>
              </w:sdtContent>
            </w:sdt>
            <w:r w:rsidR="004F39B8" w:rsidRPr="009463CD">
              <w:t xml:space="preserve"> 10 a str. (pripažintas medicininis vartojimas) </w:t>
            </w:r>
          </w:p>
          <w:p w14:paraId="4F3A9AAD" w14:textId="77777777" w:rsidR="004F39B8" w:rsidRPr="009463CD" w:rsidRDefault="00DD7AAE" w:rsidP="000D5E12">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4F39B8" w:rsidRPr="009463CD">
                  <w:rPr>
                    <w:rStyle w:val="Style2"/>
                    <w:rFonts w:ascii="MS Gothic" w:eastAsia="MS Gothic" w:hAnsi="MS Gothic"/>
                  </w:rPr>
                  <w:t>☐</w:t>
                </w:r>
              </w:sdtContent>
            </w:sdt>
            <w:r w:rsidR="004F39B8" w:rsidRPr="009463CD">
              <w:t xml:space="preserve"> 10.1 str. (generinis)</w:t>
            </w:r>
          </w:p>
          <w:p w14:paraId="164CCEDE" w14:textId="77777777" w:rsidR="004F39B8" w:rsidRPr="009463CD" w:rsidRDefault="00DD7AAE" w:rsidP="000D5E12">
            <w:pPr>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4F39B8" w:rsidRPr="009463CD">
                  <w:rPr>
                    <w:rStyle w:val="Style2"/>
                    <w:rFonts w:ascii="Segoe UI Symbol" w:eastAsia="MS Gothic" w:hAnsi="Segoe UI Symbol" w:cs="Segoe UI Symbol"/>
                  </w:rPr>
                  <w:t>☐</w:t>
                </w:r>
              </w:sdtContent>
            </w:sdt>
            <w:r w:rsidR="004F39B8" w:rsidRPr="009463CD">
              <w:t xml:space="preserve"> 10.3 str. (hibridinis)</w:t>
            </w:r>
          </w:p>
        </w:tc>
      </w:tr>
      <w:tr w:rsidR="004F39B8" w:rsidRPr="009463CD" w14:paraId="64056F78" w14:textId="77777777" w:rsidTr="000D5E12">
        <w:trPr>
          <w:trHeight w:val="1109"/>
        </w:trPr>
        <w:tc>
          <w:tcPr>
            <w:tcW w:w="705" w:type="dxa"/>
          </w:tcPr>
          <w:p w14:paraId="3925EEB3" w14:textId="77777777" w:rsidR="004F39B8" w:rsidRPr="009463CD" w:rsidRDefault="004F39B8" w:rsidP="000D5E12">
            <w:pPr>
              <w:tabs>
                <w:tab w:val="left" w:pos="284"/>
              </w:tabs>
              <w:spacing w:line="280" w:lineRule="atLeast"/>
              <w:rPr>
                <w:rFonts w:eastAsia="Arial"/>
                <w:b/>
              </w:rPr>
            </w:pPr>
            <w:r w:rsidRPr="009463CD">
              <w:rPr>
                <w:rFonts w:eastAsia="Arial"/>
                <w:b/>
              </w:rPr>
              <w:t>1.4</w:t>
            </w:r>
          </w:p>
        </w:tc>
        <w:tc>
          <w:tcPr>
            <w:tcW w:w="4117" w:type="dxa"/>
          </w:tcPr>
          <w:p w14:paraId="7F43130E"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Ar vaistinis preparatas įrašytas į Bendrijos retųjų vaistinių preparatų registrą?</w:t>
            </w:r>
          </w:p>
          <w:p w14:paraId="4B3EEB9C" w14:textId="77777777" w:rsidR="004F39B8" w:rsidRPr="009463CD" w:rsidRDefault="004F39B8" w:rsidP="000D5E12">
            <w:pPr>
              <w:tabs>
                <w:tab w:val="left" w:pos="284"/>
              </w:tabs>
              <w:spacing w:line="280" w:lineRule="atLeast"/>
              <w:jc w:val="both"/>
              <w:rPr>
                <w:b/>
                <w:bCs/>
                <w:color w:val="000000"/>
                <w:sz w:val="22"/>
                <w:szCs w:val="22"/>
                <w:lang w:eastAsia="lt-LT"/>
              </w:rPr>
            </w:pPr>
          </w:p>
        </w:tc>
        <w:tc>
          <w:tcPr>
            <w:tcW w:w="5096" w:type="dxa"/>
          </w:tcPr>
          <w:p w14:paraId="47E18C53" w14:textId="77777777" w:rsidR="004F39B8" w:rsidRPr="009463CD" w:rsidRDefault="00DD7AAE" w:rsidP="000D5E12">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4F39B8" w:rsidRPr="009463CD">
                  <w:rPr>
                    <w:rStyle w:val="Style2"/>
                    <w:rFonts w:ascii="Segoe UI Symbol" w:eastAsia="MS Gothic" w:hAnsi="Segoe UI Symbol" w:cs="Segoe UI Symbol"/>
                  </w:rPr>
                  <w:t>☐</w:t>
                </w:r>
              </w:sdtContent>
            </w:sdt>
            <w:r w:rsidR="004F39B8" w:rsidRPr="009463CD">
              <w:t xml:space="preserve"> Taip</w:t>
            </w:r>
          </w:p>
          <w:p w14:paraId="32D11F06" w14:textId="77777777" w:rsidR="004F39B8" w:rsidRPr="009463CD" w:rsidRDefault="00DD7AAE" w:rsidP="000D5E12">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4F39B8" w:rsidRPr="009463CD">
                  <w:rPr>
                    <w:rStyle w:val="Style2"/>
                    <w:rFonts w:ascii="MS Gothic" w:eastAsia="MS Gothic" w:hAnsi="MS Gothic"/>
                  </w:rPr>
                  <w:t>☒</w:t>
                </w:r>
              </w:sdtContent>
            </w:sdt>
            <w:r w:rsidR="004F39B8" w:rsidRPr="009463CD">
              <w:t xml:space="preserve"> Ne</w:t>
            </w:r>
          </w:p>
          <w:p w14:paraId="1B9FFEFA" w14:textId="77777777" w:rsidR="004F39B8" w:rsidRPr="009463CD" w:rsidRDefault="00DD7AAE" w:rsidP="000D5E12">
            <w:pPr>
              <w:rPr>
                <w:rFonts w:eastAsia="Arial"/>
                <w:b/>
              </w:rPr>
            </w:pPr>
            <w:sdt>
              <w:sdtPr>
                <w:alias w:val="Nurodykite konkrečią dieną"/>
                <w:tag w:val="Nurodykite pradžios datą"/>
                <w:id w:val="693498901"/>
                <w:placeholder>
                  <w:docPart w:val="9F6DC770B7CD44C2823B997493D494FC"/>
                </w:placeholder>
                <w:showingPlcHdr/>
                <w15:color w:val="FFCC99"/>
                <w:date w:fullDate="2022-05-18T00:00:00Z">
                  <w:dateFormat w:val="yyyy 'm.' MMMM d 'd.'"/>
                  <w:lid w:val="lt-LT"/>
                  <w:storeMappedDataAs w:val="dateTime"/>
                  <w:calendar w:val="gregorian"/>
                </w:date>
              </w:sdtPr>
              <w:sdtEndPr/>
              <w:sdtContent>
                <w:r w:rsidR="004F39B8" w:rsidRPr="009463CD">
                  <w:rPr>
                    <w:rStyle w:val="PlaceholderText"/>
                  </w:rPr>
                  <w:t>Click here to enter a date.</w:t>
                </w:r>
              </w:sdtContent>
            </w:sdt>
          </w:p>
        </w:tc>
      </w:tr>
      <w:tr w:rsidR="000D4EA2" w:rsidRPr="009463CD" w14:paraId="1EDB1A86" w14:textId="77777777" w:rsidTr="000D5E12">
        <w:trPr>
          <w:trHeight w:val="958"/>
        </w:trPr>
        <w:tc>
          <w:tcPr>
            <w:tcW w:w="705" w:type="dxa"/>
            <w:tcBorders>
              <w:bottom w:val="single" w:sz="4" w:space="0" w:color="auto"/>
            </w:tcBorders>
          </w:tcPr>
          <w:p w14:paraId="3F9246B4" w14:textId="77777777" w:rsidR="000D4EA2" w:rsidRPr="009463CD" w:rsidRDefault="000D4EA2" w:rsidP="000D4EA2">
            <w:pPr>
              <w:tabs>
                <w:tab w:val="left" w:pos="284"/>
              </w:tabs>
              <w:spacing w:line="280" w:lineRule="atLeast"/>
              <w:rPr>
                <w:rFonts w:eastAsia="Arial"/>
                <w:b/>
              </w:rPr>
            </w:pPr>
            <w:r w:rsidRPr="009463CD">
              <w:rPr>
                <w:rFonts w:eastAsia="Arial"/>
                <w:b/>
              </w:rPr>
              <w:t>1.5</w:t>
            </w:r>
          </w:p>
        </w:tc>
        <w:tc>
          <w:tcPr>
            <w:tcW w:w="4117" w:type="dxa"/>
            <w:tcBorders>
              <w:bottom w:val="single" w:sz="4" w:space="0" w:color="auto"/>
            </w:tcBorders>
          </w:tcPr>
          <w:p w14:paraId="69AF47BF" w14:textId="77777777" w:rsidR="000D4EA2" w:rsidRPr="009463CD" w:rsidRDefault="000D4EA2" w:rsidP="000D4EA2">
            <w:pPr>
              <w:tabs>
                <w:tab w:val="left" w:pos="284"/>
              </w:tabs>
              <w:spacing w:line="280" w:lineRule="atLeast"/>
              <w:rPr>
                <w:b/>
                <w:bCs/>
                <w:color w:val="000000"/>
                <w:lang w:eastAsia="lt-LT"/>
              </w:rPr>
            </w:pPr>
            <w:r w:rsidRPr="009463CD">
              <w:rPr>
                <w:b/>
                <w:bCs/>
                <w:color w:val="000000"/>
                <w:lang w:eastAsia="lt-LT"/>
              </w:rPr>
              <w:t>Pareiškėjo teikiama (-os) kompensuoti preparato indikacija (-os)</w:t>
            </w:r>
          </w:p>
          <w:p w14:paraId="0FC9964B" w14:textId="77777777" w:rsidR="000D4EA2" w:rsidRDefault="000D4EA2" w:rsidP="000D4EA2">
            <w:pPr>
              <w:tabs>
                <w:tab w:val="left" w:pos="284"/>
              </w:tabs>
              <w:spacing w:line="280" w:lineRule="atLeast"/>
              <w:rPr>
                <w:b/>
                <w:bCs/>
                <w:color w:val="000000"/>
                <w:lang w:eastAsia="lt-LT"/>
              </w:rPr>
            </w:pPr>
          </w:p>
          <w:p w14:paraId="21B95551" w14:textId="77777777" w:rsidR="000D4EA2" w:rsidRDefault="000D4EA2" w:rsidP="000D4EA2">
            <w:pPr>
              <w:tabs>
                <w:tab w:val="left" w:pos="284"/>
              </w:tabs>
              <w:spacing w:line="280" w:lineRule="atLeast"/>
              <w:rPr>
                <w:b/>
                <w:bCs/>
                <w:color w:val="000000"/>
                <w:lang w:eastAsia="lt-LT"/>
              </w:rPr>
            </w:pPr>
          </w:p>
          <w:p w14:paraId="5C046D2D" w14:textId="77777777" w:rsidR="000D4EA2" w:rsidRDefault="000D4EA2" w:rsidP="000D4EA2">
            <w:pPr>
              <w:tabs>
                <w:tab w:val="left" w:pos="284"/>
              </w:tabs>
              <w:spacing w:line="280" w:lineRule="atLeast"/>
              <w:rPr>
                <w:b/>
                <w:bCs/>
                <w:color w:val="000000"/>
                <w:lang w:eastAsia="lt-LT"/>
              </w:rPr>
            </w:pPr>
          </w:p>
          <w:p w14:paraId="317E070F" w14:textId="77777777" w:rsidR="000D4EA2" w:rsidRDefault="000D4EA2" w:rsidP="000D4EA2">
            <w:pPr>
              <w:tabs>
                <w:tab w:val="left" w:pos="284"/>
              </w:tabs>
              <w:spacing w:line="280" w:lineRule="atLeast"/>
              <w:rPr>
                <w:b/>
                <w:bCs/>
                <w:color w:val="000000"/>
                <w:lang w:eastAsia="lt-LT"/>
              </w:rPr>
            </w:pPr>
          </w:p>
          <w:p w14:paraId="4A5A9FBB" w14:textId="77777777" w:rsidR="000D4EA2" w:rsidRDefault="000D4EA2" w:rsidP="000D4EA2">
            <w:pPr>
              <w:tabs>
                <w:tab w:val="left" w:pos="284"/>
              </w:tabs>
              <w:spacing w:line="280" w:lineRule="atLeast"/>
              <w:rPr>
                <w:b/>
                <w:bCs/>
                <w:color w:val="000000"/>
                <w:lang w:eastAsia="lt-LT"/>
              </w:rPr>
            </w:pPr>
          </w:p>
          <w:p w14:paraId="74D809E4" w14:textId="77777777" w:rsidR="000D4EA2" w:rsidRDefault="000D4EA2" w:rsidP="000D4EA2">
            <w:pPr>
              <w:tabs>
                <w:tab w:val="left" w:pos="284"/>
              </w:tabs>
              <w:spacing w:line="280" w:lineRule="atLeast"/>
              <w:rPr>
                <w:b/>
                <w:bCs/>
                <w:color w:val="000000"/>
                <w:lang w:eastAsia="lt-LT"/>
              </w:rPr>
            </w:pPr>
          </w:p>
          <w:p w14:paraId="6C8C4F08" w14:textId="77777777" w:rsidR="000D4EA2" w:rsidRDefault="000D4EA2" w:rsidP="000D4EA2">
            <w:pPr>
              <w:tabs>
                <w:tab w:val="left" w:pos="284"/>
              </w:tabs>
              <w:spacing w:line="280" w:lineRule="atLeast"/>
              <w:rPr>
                <w:b/>
                <w:bCs/>
                <w:color w:val="000000"/>
                <w:lang w:eastAsia="lt-LT"/>
              </w:rPr>
            </w:pPr>
          </w:p>
          <w:p w14:paraId="4CC42C6F" w14:textId="77777777" w:rsidR="000D4EA2" w:rsidRDefault="000D4EA2" w:rsidP="000D4EA2">
            <w:pPr>
              <w:tabs>
                <w:tab w:val="left" w:pos="284"/>
              </w:tabs>
              <w:spacing w:line="280" w:lineRule="atLeast"/>
              <w:rPr>
                <w:b/>
                <w:bCs/>
                <w:color w:val="000000"/>
                <w:lang w:eastAsia="lt-LT"/>
              </w:rPr>
            </w:pPr>
          </w:p>
          <w:p w14:paraId="04605ADC" w14:textId="5DC0E954" w:rsidR="000D4EA2" w:rsidRPr="009463CD" w:rsidRDefault="000D4EA2" w:rsidP="000D4EA2">
            <w:pPr>
              <w:tabs>
                <w:tab w:val="left" w:pos="284"/>
              </w:tabs>
              <w:spacing w:line="280" w:lineRule="atLeast"/>
              <w:rPr>
                <w:b/>
                <w:bCs/>
                <w:color w:val="000000"/>
                <w:lang w:eastAsia="lt-LT"/>
              </w:rPr>
            </w:pPr>
            <w:r w:rsidRPr="009463CD">
              <w:rPr>
                <w:b/>
                <w:bCs/>
                <w:color w:val="000000"/>
                <w:lang w:eastAsia="lt-LT"/>
              </w:rPr>
              <w:t xml:space="preserve">Kodas pagal TLK-10 AM  </w:t>
            </w:r>
          </w:p>
        </w:tc>
        <w:tc>
          <w:tcPr>
            <w:tcW w:w="5096" w:type="dxa"/>
            <w:tcBorders>
              <w:bottom w:val="single" w:sz="4" w:space="0" w:color="auto"/>
            </w:tcBorders>
          </w:tcPr>
          <w:p w14:paraId="047F4AFD" w14:textId="77777777" w:rsidR="000D4EA2" w:rsidRPr="00B878E3" w:rsidRDefault="000D4EA2" w:rsidP="000D4EA2">
            <w:pPr>
              <w:spacing w:before="20" w:after="120" w:line="271" w:lineRule="auto"/>
              <w:jc w:val="both"/>
            </w:pPr>
            <w:r w:rsidRPr="00B878E3">
              <w:t xml:space="preserve">KEYTRUDA monoterapija skirta metastazavusio storosios ir tiesiosios žarnos vėžio </w:t>
            </w:r>
            <w:r w:rsidRPr="00B878E3">
              <w:rPr>
                <w:b/>
              </w:rPr>
              <w:t>pirmaeiliam gydymui</w:t>
            </w:r>
            <w:r w:rsidRPr="00B878E3">
              <w:t xml:space="preserve"> suaugusiems pacientams, kai nustatytas didelis mikrosatelitų nestabilumo rodmuo (angl. </w:t>
            </w:r>
            <w:r w:rsidRPr="00B878E3">
              <w:rPr>
                <w:i/>
                <w:iCs/>
              </w:rPr>
              <w:t>microsatellite instability-high, MSI-H</w:t>
            </w:r>
            <w:r w:rsidRPr="00B878E3">
              <w:t xml:space="preserve">) arba klaidingai suporuotų nukleotidų DNR pažaidų taisymo sistemos stoka (angl. </w:t>
            </w:r>
            <w:r w:rsidRPr="00B878E3">
              <w:rPr>
                <w:i/>
                <w:iCs/>
              </w:rPr>
              <w:t>mismatch repair deficient, dMMR</w:t>
            </w:r>
            <w:r w:rsidRPr="00B878E3">
              <w:t xml:space="preserve">). </w:t>
            </w:r>
          </w:p>
          <w:p w14:paraId="226C8575" w14:textId="77777777" w:rsidR="000D4EA2" w:rsidRPr="00B878E3" w:rsidRDefault="000D4EA2" w:rsidP="000D4EA2">
            <w:pPr>
              <w:spacing w:before="20" w:after="120" w:line="271" w:lineRule="auto"/>
              <w:jc w:val="both"/>
              <w:rPr>
                <w:i/>
                <w:iCs/>
              </w:rPr>
            </w:pPr>
          </w:p>
          <w:p w14:paraId="0CEDEE49" w14:textId="3848A029" w:rsidR="000D4EA2" w:rsidRPr="009463CD" w:rsidRDefault="000D4EA2" w:rsidP="000D4EA2">
            <w:pPr>
              <w:pStyle w:val="ListParagraph"/>
              <w:spacing w:after="120"/>
              <w:ind w:left="0"/>
              <w:contextualSpacing w:val="0"/>
              <w:jc w:val="both"/>
            </w:pPr>
            <w:r w:rsidRPr="00B878E3">
              <w:t>TLK-10-AM kodai: C18 – C20</w:t>
            </w:r>
          </w:p>
        </w:tc>
      </w:tr>
      <w:tr w:rsidR="000D4EA2" w:rsidRPr="009463CD" w14:paraId="4E700477" w14:textId="77777777" w:rsidTr="000D5E12">
        <w:trPr>
          <w:trHeight w:val="479"/>
        </w:trPr>
        <w:tc>
          <w:tcPr>
            <w:tcW w:w="705" w:type="dxa"/>
            <w:tcBorders>
              <w:top w:val="single" w:sz="4" w:space="0" w:color="auto"/>
              <w:left w:val="single" w:sz="4" w:space="0" w:color="auto"/>
              <w:bottom w:val="single" w:sz="4" w:space="0" w:color="auto"/>
              <w:right w:val="single" w:sz="4" w:space="0" w:color="auto"/>
            </w:tcBorders>
          </w:tcPr>
          <w:p w14:paraId="56953C67" w14:textId="77777777" w:rsidR="000D4EA2" w:rsidRPr="009463CD" w:rsidRDefault="000D4EA2" w:rsidP="000D4EA2">
            <w:pPr>
              <w:tabs>
                <w:tab w:val="left" w:pos="284"/>
              </w:tabs>
              <w:spacing w:line="280" w:lineRule="atLeast"/>
              <w:rPr>
                <w:rFonts w:eastAsia="Arial"/>
                <w:b/>
              </w:rPr>
            </w:pPr>
            <w:r w:rsidRPr="009463CD">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363B1E53" w14:textId="77777777" w:rsidR="000D4EA2" w:rsidRPr="009463CD" w:rsidRDefault="000D4EA2" w:rsidP="000D4EA2">
            <w:pPr>
              <w:tabs>
                <w:tab w:val="left" w:pos="284"/>
              </w:tabs>
              <w:spacing w:line="280" w:lineRule="atLeast"/>
              <w:rPr>
                <w:bCs/>
                <w:color w:val="000000"/>
                <w:u w:val="single"/>
                <w:lang w:eastAsia="lt-LT"/>
              </w:rPr>
            </w:pPr>
            <w:r w:rsidRPr="009463CD">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15072701" w14:textId="77777777" w:rsidR="000D4EA2" w:rsidRPr="009463CD" w:rsidRDefault="000D4EA2" w:rsidP="000D4EA2">
            <w:pPr>
              <w:pStyle w:val="ListParagraph"/>
              <w:spacing w:after="120"/>
              <w:ind w:left="0"/>
              <w:contextualSpacing w:val="0"/>
              <w:jc w:val="both"/>
            </w:pPr>
            <w:r w:rsidRPr="009463CD">
              <w:t>Nesiūloma</w:t>
            </w:r>
          </w:p>
        </w:tc>
      </w:tr>
      <w:tr w:rsidR="000D4EA2" w:rsidRPr="009463CD" w14:paraId="35C10584" w14:textId="77777777" w:rsidTr="000D5E12">
        <w:trPr>
          <w:trHeight w:val="479"/>
        </w:trPr>
        <w:tc>
          <w:tcPr>
            <w:tcW w:w="705" w:type="dxa"/>
            <w:tcBorders>
              <w:top w:val="single" w:sz="4" w:space="0" w:color="auto"/>
              <w:left w:val="single" w:sz="4" w:space="0" w:color="auto"/>
              <w:bottom w:val="single" w:sz="4" w:space="0" w:color="auto"/>
              <w:right w:val="single" w:sz="4" w:space="0" w:color="auto"/>
            </w:tcBorders>
          </w:tcPr>
          <w:p w14:paraId="3A681E6D" w14:textId="77777777" w:rsidR="000D4EA2" w:rsidRPr="009463CD" w:rsidRDefault="000D4EA2" w:rsidP="000D4EA2">
            <w:pPr>
              <w:tabs>
                <w:tab w:val="left" w:pos="284"/>
              </w:tabs>
              <w:spacing w:line="280" w:lineRule="atLeast"/>
              <w:rPr>
                <w:rFonts w:eastAsia="Arial"/>
                <w:b/>
              </w:rPr>
            </w:pPr>
            <w:r w:rsidRPr="009463CD">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1E23B811" w14:textId="548D9BFE" w:rsidR="000D4EA2" w:rsidRDefault="000D4EA2" w:rsidP="000D4EA2">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57A650B7" w14:textId="77777777" w:rsidR="000D4EA2" w:rsidRDefault="000D4EA2" w:rsidP="000D4EA2">
            <w:pPr>
              <w:rPr>
                <w:bCs/>
                <w:color w:val="000000"/>
                <w:lang w:eastAsia="lt-LT"/>
              </w:rPr>
            </w:pPr>
          </w:p>
          <w:p w14:paraId="5B5938C5" w14:textId="791EA29E" w:rsidR="000D4EA2" w:rsidRDefault="000D4EA2" w:rsidP="000D4EA2">
            <w:pPr>
              <w:rPr>
                <w:bCs/>
                <w:i/>
                <w:color w:val="000000"/>
                <w:lang w:eastAsia="lt-LT"/>
              </w:rPr>
            </w:pPr>
            <w:r w:rsidRPr="007C7519">
              <w:rPr>
                <w:bCs/>
                <w:i/>
                <w:color w:val="000000"/>
                <w:lang w:eastAsia="lt-LT"/>
              </w:rPr>
              <w:t>Tiesioginis</w:t>
            </w:r>
          </w:p>
          <w:p w14:paraId="27518712" w14:textId="1C4190E4" w:rsidR="000D4EA2" w:rsidRDefault="000D4EA2" w:rsidP="000D4EA2">
            <w:pPr>
              <w:rPr>
                <w:bCs/>
                <w:i/>
                <w:color w:val="000000"/>
                <w:lang w:eastAsia="lt-LT"/>
              </w:rPr>
            </w:pPr>
            <w:r>
              <w:rPr>
                <w:bCs/>
                <w:i/>
                <w:color w:val="000000"/>
                <w:lang w:eastAsia="lt-LT"/>
              </w:rPr>
              <w:t>KEYNOTE-177</w:t>
            </w:r>
          </w:p>
          <w:p w14:paraId="2F9791E8" w14:textId="42961679" w:rsidR="000D4EA2" w:rsidRDefault="000D4EA2" w:rsidP="000D4EA2">
            <w:pPr>
              <w:rPr>
                <w:bCs/>
                <w:i/>
                <w:color w:val="000000"/>
                <w:lang w:eastAsia="lt-LT"/>
              </w:rPr>
            </w:pPr>
            <w:r>
              <w:rPr>
                <w:bCs/>
                <w:i/>
                <w:color w:val="000000"/>
                <w:lang w:eastAsia="lt-LT"/>
              </w:rPr>
              <w:t>Įprastinė chemoterapija mSTŽV gydymui vs pembrolizumabas</w:t>
            </w:r>
          </w:p>
          <w:p w14:paraId="2556ABA0" w14:textId="77777777" w:rsidR="000D4EA2" w:rsidRDefault="000D4EA2" w:rsidP="000D4EA2">
            <w:pPr>
              <w:rPr>
                <w:bCs/>
                <w:i/>
                <w:color w:val="000000"/>
                <w:lang w:eastAsia="lt-LT"/>
              </w:rPr>
            </w:pPr>
          </w:p>
          <w:p w14:paraId="3DCCA37C" w14:textId="5919FC30" w:rsidR="000D4EA2" w:rsidRDefault="000D4EA2" w:rsidP="000D4EA2">
            <w:pPr>
              <w:rPr>
                <w:bCs/>
                <w:i/>
                <w:color w:val="000000"/>
                <w:lang w:eastAsia="lt-LT"/>
              </w:rPr>
            </w:pPr>
            <w:r>
              <w:rPr>
                <w:bCs/>
                <w:i/>
                <w:color w:val="000000"/>
                <w:lang w:eastAsia="lt-LT"/>
              </w:rPr>
              <w:t>Netiesioginis</w:t>
            </w:r>
          </w:p>
          <w:p w14:paraId="2D41DE94" w14:textId="37DBC156" w:rsidR="000D4EA2" w:rsidRDefault="000D4EA2" w:rsidP="000D4EA2">
            <w:pPr>
              <w:rPr>
                <w:bCs/>
                <w:i/>
                <w:color w:val="000000"/>
                <w:lang w:eastAsia="lt-LT"/>
              </w:rPr>
            </w:pPr>
            <w:r>
              <w:rPr>
                <w:bCs/>
                <w:i/>
                <w:color w:val="000000"/>
                <w:lang w:eastAsia="lt-LT"/>
              </w:rPr>
              <w:t>Įprastinė chemoterapija mSTŽV gydymui vs pembrolizumabas</w:t>
            </w:r>
          </w:p>
          <w:p w14:paraId="0F7B4F18" w14:textId="5AF381AC" w:rsidR="000D4EA2" w:rsidRDefault="000D4EA2" w:rsidP="000D4EA2">
            <w:pPr>
              <w:rPr>
                <w:rFonts w:eastAsia="Arial"/>
              </w:rPr>
            </w:pPr>
          </w:p>
          <w:p w14:paraId="0896135B" w14:textId="77777777" w:rsidR="000D4EA2" w:rsidRDefault="000D4EA2" w:rsidP="000D4EA2">
            <w:pPr>
              <w:rPr>
                <w:bCs/>
                <w:i/>
                <w:color w:val="000000"/>
                <w:lang w:eastAsia="lt-LT"/>
              </w:rPr>
            </w:pPr>
          </w:p>
          <w:p w14:paraId="0071470E" w14:textId="4DF5413B" w:rsidR="000D4EA2" w:rsidRDefault="000D4EA2" w:rsidP="000D4EA2">
            <w:pPr>
              <w:rPr>
                <w:bCs/>
                <w:i/>
                <w:color w:val="000000"/>
                <w:lang w:eastAsia="lt-LT"/>
              </w:rPr>
            </w:pPr>
            <w:r>
              <w:rPr>
                <w:bCs/>
                <w:i/>
                <w:color w:val="000000"/>
                <w:lang w:eastAsia="lt-LT"/>
              </w:rPr>
              <w:t>Realaus stebėjimo tyrimas</w:t>
            </w:r>
          </w:p>
          <w:p w14:paraId="4764033B" w14:textId="039CBEFF" w:rsidR="000D4EA2" w:rsidRPr="009463CD" w:rsidRDefault="000D4EA2" w:rsidP="000D4EA2">
            <w:pPr>
              <w:widowControl w:val="0"/>
              <w:pBdr>
                <w:top w:val="nil"/>
                <w:left w:val="nil"/>
                <w:bottom w:val="nil"/>
                <w:right w:val="nil"/>
                <w:between w:val="nil"/>
              </w:pBdr>
              <w:spacing w:line="276" w:lineRule="auto"/>
              <w:rPr>
                <w:b/>
                <w:bCs/>
                <w:color w:val="000000"/>
                <w:lang w:eastAsia="lt-LT"/>
              </w:rPr>
            </w:pPr>
          </w:p>
        </w:tc>
        <w:tc>
          <w:tcPr>
            <w:tcW w:w="5096" w:type="dxa"/>
            <w:tcBorders>
              <w:top w:val="single" w:sz="4" w:space="0" w:color="auto"/>
              <w:left w:val="single" w:sz="4" w:space="0" w:color="auto"/>
              <w:bottom w:val="single" w:sz="4" w:space="0" w:color="auto"/>
              <w:right w:val="single" w:sz="4" w:space="0" w:color="auto"/>
            </w:tcBorders>
          </w:tcPr>
          <w:p w14:paraId="3C362E0C" w14:textId="77777777" w:rsidR="000D4EA2" w:rsidRDefault="000D4EA2" w:rsidP="000D4EA2">
            <w:pPr>
              <w:rPr>
                <w:rStyle w:val="Style2"/>
                <w:sz w:val="24"/>
              </w:rPr>
            </w:pPr>
          </w:p>
          <w:p w14:paraId="059160A0" w14:textId="039A16CE" w:rsidR="000D4EA2" w:rsidRDefault="000D4EA2" w:rsidP="000D4EA2"/>
          <w:p w14:paraId="496982AD" w14:textId="0001C63C" w:rsidR="000D4EA2" w:rsidRDefault="000D4EA2" w:rsidP="000D4EA2"/>
          <w:p w14:paraId="5F1EA3FE" w14:textId="77777777" w:rsidR="000D4EA2" w:rsidRPr="00E33EFF" w:rsidRDefault="000D4EA2" w:rsidP="000D4EA2"/>
          <w:p w14:paraId="35347A92" w14:textId="6110018B" w:rsidR="000D4EA2" w:rsidRPr="00E33EFF" w:rsidRDefault="00DD7AAE" w:rsidP="000D4EA2">
            <w:sdt>
              <w:sdtPr>
                <w:rPr>
                  <w:rStyle w:val="Style2"/>
                  <w:sz w:val="24"/>
                </w:rPr>
                <w:id w:val="-439376113"/>
                <w15:color w:val="FFCC00"/>
                <w14:checkbox>
                  <w14:checked w14:val="1"/>
                  <w14:checkedState w14:val="2612" w14:font="MS Gothic"/>
                  <w14:uncheckedState w14:val="2610" w14:font="MS Gothic"/>
                </w14:checkbox>
              </w:sdtPr>
              <w:sdtEndPr>
                <w:rPr>
                  <w:rStyle w:val="Style2"/>
                </w:rPr>
              </w:sdtEndPr>
              <w:sdtContent>
                <w:r w:rsidR="000D4EA2">
                  <w:rPr>
                    <w:rStyle w:val="Style2"/>
                    <w:rFonts w:ascii="MS Gothic" w:eastAsia="MS Gothic" w:hAnsi="MS Gothic" w:hint="eastAsia"/>
                    <w:sz w:val="24"/>
                  </w:rPr>
                  <w:t>☒</w:t>
                </w:r>
              </w:sdtContent>
            </w:sdt>
            <w:r w:rsidR="000D4EA2" w:rsidRPr="00E33EFF">
              <w:t xml:space="preserve"> Tinkamas</w:t>
            </w:r>
          </w:p>
          <w:p w14:paraId="394EFF77" w14:textId="77777777" w:rsidR="000D4EA2" w:rsidRDefault="00DD7AAE" w:rsidP="000D4EA2">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EndPr>
                <w:rPr>
                  <w:rStyle w:val="Style2"/>
                </w:rPr>
              </w:sdtEndPr>
              <w:sdtContent>
                <w:r w:rsidR="000D4EA2">
                  <w:rPr>
                    <w:rStyle w:val="Style2"/>
                    <w:rFonts w:ascii="MS Gothic" w:eastAsia="MS Gothic" w:hAnsi="MS Gothic" w:hint="eastAsia"/>
                    <w:sz w:val="24"/>
                  </w:rPr>
                  <w:t>☐</w:t>
                </w:r>
              </w:sdtContent>
            </w:sdt>
            <w:r w:rsidR="000D4EA2" w:rsidRPr="00E33EFF">
              <w:t xml:space="preserve"> Netinkama</w:t>
            </w:r>
            <w:r w:rsidR="000D4EA2">
              <w:t>s</w:t>
            </w:r>
          </w:p>
          <w:p w14:paraId="26AB5C90" w14:textId="22E814EA" w:rsidR="000D4EA2" w:rsidRDefault="000D4EA2" w:rsidP="000D4EA2">
            <w:pPr>
              <w:rPr>
                <w:rStyle w:val="Style2"/>
                <w:sz w:val="24"/>
              </w:rPr>
            </w:pPr>
          </w:p>
          <w:p w14:paraId="3C772C00" w14:textId="0F69C188" w:rsidR="000D4EA2" w:rsidRDefault="000D4EA2" w:rsidP="000D4EA2">
            <w:pPr>
              <w:rPr>
                <w:rStyle w:val="Style2"/>
                <w:sz w:val="24"/>
              </w:rPr>
            </w:pPr>
          </w:p>
          <w:p w14:paraId="67324570" w14:textId="77777777" w:rsidR="000D4EA2" w:rsidRDefault="000D4EA2" w:rsidP="000D4EA2">
            <w:pPr>
              <w:rPr>
                <w:rStyle w:val="Style2"/>
                <w:sz w:val="24"/>
              </w:rPr>
            </w:pPr>
          </w:p>
          <w:p w14:paraId="170ABC1C" w14:textId="0BF6A5A8" w:rsidR="000D4EA2" w:rsidRPr="00E33EFF" w:rsidRDefault="00DD7AAE" w:rsidP="000D4EA2">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0D4EA2">
                  <w:rPr>
                    <w:rStyle w:val="Style2"/>
                    <w:rFonts w:ascii="MS Gothic" w:eastAsia="MS Gothic" w:hAnsi="MS Gothic" w:hint="eastAsia"/>
                    <w:sz w:val="24"/>
                  </w:rPr>
                  <w:t>☒</w:t>
                </w:r>
              </w:sdtContent>
            </w:sdt>
            <w:r w:rsidR="000D4EA2" w:rsidRPr="00E33EFF">
              <w:t xml:space="preserve"> Tinkamas</w:t>
            </w:r>
          </w:p>
          <w:p w14:paraId="11DF2FB4" w14:textId="77777777" w:rsidR="000D4EA2" w:rsidRDefault="00DD7AAE" w:rsidP="000D4EA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0D4EA2">
                  <w:rPr>
                    <w:rStyle w:val="Style2"/>
                    <w:rFonts w:ascii="MS Gothic" w:eastAsia="MS Gothic" w:hAnsi="MS Gothic" w:hint="eastAsia"/>
                    <w:sz w:val="24"/>
                  </w:rPr>
                  <w:t>☐</w:t>
                </w:r>
              </w:sdtContent>
            </w:sdt>
            <w:r w:rsidR="000D4EA2" w:rsidRPr="00E33EFF">
              <w:t xml:space="preserve"> Netinkama</w:t>
            </w:r>
            <w:r w:rsidR="000D4EA2">
              <w:t>s</w:t>
            </w:r>
          </w:p>
          <w:p w14:paraId="3A35C257" w14:textId="77777777" w:rsidR="000D4EA2" w:rsidRDefault="000D4EA2" w:rsidP="000D4EA2"/>
          <w:p w14:paraId="3B6D550E" w14:textId="77777777" w:rsidR="000D4EA2" w:rsidRDefault="000D4EA2" w:rsidP="000D4EA2"/>
          <w:p w14:paraId="6C64BE91" w14:textId="2AC1F0EF" w:rsidR="000D4EA2" w:rsidRPr="00E33EFF" w:rsidRDefault="00DD7AAE" w:rsidP="000D4EA2">
            <w:sdt>
              <w:sdtPr>
                <w:rPr>
                  <w:rStyle w:val="Style2"/>
                  <w:sz w:val="24"/>
                </w:rPr>
                <w:id w:val="938648138"/>
                <w15:color w:val="FFCC00"/>
                <w14:checkbox>
                  <w14:checked w14:val="1"/>
                  <w14:checkedState w14:val="2612" w14:font="MS Gothic"/>
                  <w14:uncheckedState w14:val="2610" w14:font="MS Gothic"/>
                </w14:checkbox>
              </w:sdtPr>
              <w:sdtEndPr>
                <w:rPr>
                  <w:rStyle w:val="Style2"/>
                </w:rPr>
              </w:sdtEndPr>
              <w:sdtContent>
                <w:r w:rsidR="000D4EA2">
                  <w:rPr>
                    <w:rStyle w:val="Style2"/>
                    <w:rFonts w:ascii="MS Gothic" w:eastAsia="MS Gothic" w:hAnsi="MS Gothic" w:hint="eastAsia"/>
                    <w:sz w:val="24"/>
                  </w:rPr>
                  <w:t>☒</w:t>
                </w:r>
              </w:sdtContent>
            </w:sdt>
            <w:r w:rsidR="000D4EA2" w:rsidRPr="00E33EFF">
              <w:t xml:space="preserve"> Tinkamas</w:t>
            </w:r>
          </w:p>
          <w:p w14:paraId="6FEFC1A0" w14:textId="53404714" w:rsidR="000D4EA2" w:rsidRDefault="00DD7AAE" w:rsidP="000D4EA2">
            <w:sdt>
              <w:sdtPr>
                <w:rPr>
                  <w:rStyle w:val="Style2"/>
                  <w:sz w:val="24"/>
                </w:rPr>
                <w:id w:val="1524977787"/>
                <w15:color w:val="FFCC00"/>
                <w14:checkbox>
                  <w14:checked w14:val="0"/>
                  <w14:checkedState w14:val="2612" w14:font="MS Gothic"/>
                  <w14:uncheckedState w14:val="2610" w14:font="MS Gothic"/>
                </w14:checkbox>
              </w:sdtPr>
              <w:sdtEndPr>
                <w:rPr>
                  <w:rStyle w:val="Style2"/>
                </w:rPr>
              </w:sdtEndPr>
              <w:sdtContent>
                <w:r w:rsidR="000D4EA2">
                  <w:rPr>
                    <w:rStyle w:val="Style2"/>
                    <w:rFonts w:ascii="MS Gothic" w:eastAsia="MS Gothic" w:hAnsi="MS Gothic" w:hint="eastAsia"/>
                    <w:sz w:val="24"/>
                  </w:rPr>
                  <w:t>☐</w:t>
                </w:r>
              </w:sdtContent>
            </w:sdt>
            <w:r w:rsidR="000D4EA2" w:rsidRPr="00E33EFF">
              <w:t xml:space="preserve"> Netinkama</w:t>
            </w:r>
            <w:r w:rsidR="000D4EA2">
              <w:t>s</w:t>
            </w:r>
          </w:p>
          <w:p w14:paraId="48F68E61" w14:textId="3764D01F" w:rsidR="000D4EA2" w:rsidRPr="009463CD" w:rsidRDefault="000D4EA2" w:rsidP="000D4EA2">
            <w:pPr>
              <w:rPr>
                <w:rStyle w:val="Style2"/>
              </w:rPr>
            </w:pPr>
          </w:p>
        </w:tc>
      </w:tr>
    </w:tbl>
    <w:p w14:paraId="108176F7" w14:textId="3D3163D5" w:rsidR="00F70C9E" w:rsidRPr="009463CD" w:rsidRDefault="00F70C9E" w:rsidP="00E03C3F">
      <w:pPr>
        <w:pStyle w:val="ListParagraph"/>
        <w:tabs>
          <w:tab w:val="left" w:pos="426"/>
        </w:tabs>
        <w:ind w:left="0"/>
        <w:rPr>
          <w:b/>
          <w:bCs/>
          <w:caps/>
        </w:rPr>
      </w:pPr>
    </w:p>
    <w:p w14:paraId="1948C8BA" w14:textId="77777777" w:rsidR="008B2311" w:rsidRPr="009463CD" w:rsidRDefault="008B2311" w:rsidP="00E03C3F">
      <w:pPr>
        <w:pStyle w:val="ListParagraph"/>
        <w:tabs>
          <w:tab w:val="left" w:pos="426"/>
        </w:tabs>
        <w:ind w:left="0"/>
        <w:rPr>
          <w:b/>
          <w:bCs/>
          <w:caps/>
        </w:rPr>
      </w:pPr>
    </w:p>
    <w:p w14:paraId="1242813B" w14:textId="5A72B6B9" w:rsidR="0032204D" w:rsidRDefault="00F70C9E" w:rsidP="0032204D">
      <w:pPr>
        <w:pStyle w:val="ListParagraph"/>
        <w:numPr>
          <w:ilvl w:val="1"/>
          <w:numId w:val="12"/>
        </w:numPr>
        <w:spacing w:line="276" w:lineRule="auto"/>
        <w:jc w:val="both"/>
        <w:rPr>
          <w:rFonts w:eastAsia="Arial"/>
          <w:b/>
        </w:rPr>
      </w:pPr>
      <w:r w:rsidRPr="009463CD">
        <w:rPr>
          <w:rFonts w:eastAsia="Arial"/>
          <w:b/>
        </w:rPr>
        <w:t xml:space="preserve">Kitų </w:t>
      </w:r>
      <w:r w:rsidR="00DF583C" w:rsidRPr="009463CD">
        <w:rPr>
          <w:rFonts w:eastAsia="Arial"/>
          <w:b/>
        </w:rPr>
        <w:t xml:space="preserve">valstybių </w:t>
      </w:r>
      <w:r w:rsidRPr="009463CD">
        <w:rPr>
          <w:rFonts w:eastAsia="Arial"/>
          <w:b/>
        </w:rPr>
        <w:t xml:space="preserve">atsakingų institucijų atlikto </w:t>
      </w:r>
      <w:r w:rsidR="00DF583C" w:rsidRPr="009463CD">
        <w:rPr>
          <w:rFonts w:eastAsia="Arial"/>
          <w:b/>
        </w:rPr>
        <w:t>Sveikatos technologijų vertinimo (toliau – STV)</w:t>
      </w:r>
      <w:r w:rsidRPr="009463CD">
        <w:rPr>
          <w:rFonts w:eastAsia="Arial"/>
          <w:b/>
        </w:rPr>
        <w:t xml:space="preserve"> išvados</w:t>
      </w:r>
    </w:p>
    <w:tbl>
      <w:tblPr>
        <w:tblStyle w:val="TableGrid"/>
        <w:tblW w:w="9918" w:type="dxa"/>
        <w:tblLook w:val="04A0" w:firstRow="1" w:lastRow="0" w:firstColumn="1" w:lastColumn="0" w:noHBand="0" w:noVBand="1"/>
      </w:tblPr>
      <w:tblGrid>
        <w:gridCol w:w="2459"/>
        <w:gridCol w:w="1412"/>
        <w:gridCol w:w="3696"/>
        <w:gridCol w:w="2351"/>
      </w:tblGrid>
      <w:tr w:rsidR="000D4EA2" w:rsidRPr="00B878E3" w14:paraId="7573339C" w14:textId="77777777" w:rsidTr="006369BA">
        <w:trPr>
          <w:trHeight w:val="924"/>
        </w:trPr>
        <w:tc>
          <w:tcPr>
            <w:tcW w:w="2459" w:type="dxa"/>
          </w:tcPr>
          <w:p w14:paraId="6D424DF1" w14:textId="77777777" w:rsidR="000D4EA2" w:rsidRPr="00B878E3" w:rsidRDefault="000D4EA2" w:rsidP="006369BA">
            <w:pPr>
              <w:spacing w:line="271" w:lineRule="auto"/>
              <w:rPr>
                <w:rFonts w:eastAsia="Arial"/>
              </w:rPr>
            </w:pPr>
            <w:r w:rsidRPr="00B878E3">
              <w:rPr>
                <w:rFonts w:eastAsia="Arial"/>
              </w:rPr>
              <w:t>STV agentūros pavadinimas, šalis</w:t>
            </w:r>
          </w:p>
        </w:tc>
        <w:tc>
          <w:tcPr>
            <w:tcW w:w="1412" w:type="dxa"/>
          </w:tcPr>
          <w:p w14:paraId="23B50692" w14:textId="77777777" w:rsidR="000D4EA2" w:rsidRPr="00B878E3" w:rsidRDefault="000D4EA2" w:rsidP="006369BA">
            <w:pPr>
              <w:spacing w:line="271" w:lineRule="auto"/>
              <w:rPr>
                <w:rFonts w:eastAsia="Arial"/>
              </w:rPr>
            </w:pPr>
            <w:r w:rsidRPr="00B878E3">
              <w:rPr>
                <w:rFonts w:eastAsia="Arial"/>
              </w:rPr>
              <w:t>STV vertinimas atliktas</w:t>
            </w:r>
          </w:p>
        </w:tc>
        <w:tc>
          <w:tcPr>
            <w:tcW w:w="3696" w:type="dxa"/>
          </w:tcPr>
          <w:p w14:paraId="72C9D7CB" w14:textId="77777777" w:rsidR="000D4EA2" w:rsidRPr="00B878E3" w:rsidRDefault="000D4EA2" w:rsidP="006369BA">
            <w:pPr>
              <w:spacing w:line="271" w:lineRule="auto"/>
              <w:rPr>
                <w:rFonts w:eastAsia="Arial"/>
              </w:rPr>
            </w:pPr>
            <w:r w:rsidRPr="00B878E3">
              <w:rPr>
                <w:rFonts w:eastAsia="Arial"/>
              </w:rPr>
              <w:t>Klinikinio vertinimo išvada</w:t>
            </w:r>
          </w:p>
        </w:tc>
        <w:tc>
          <w:tcPr>
            <w:tcW w:w="2351" w:type="dxa"/>
          </w:tcPr>
          <w:p w14:paraId="44686EE6" w14:textId="77777777" w:rsidR="000D4EA2" w:rsidRPr="00B878E3" w:rsidRDefault="000D4EA2" w:rsidP="006369BA">
            <w:pPr>
              <w:spacing w:line="271" w:lineRule="auto"/>
              <w:rPr>
                <w:rFonts w:eastAsia="Arial"/>
              </w:rPr>
            </w:pPr>
            <w:r w:rsidRPr="00B878E3">
              <w:rPr>
                <w:rFonts w:eastAsia="Arial"/>
              </w:rPr>
              <w:t>Farmakoekonominio vertinimo išvada</w:t>
            </w:r>
          </w:p>
        </w:tc>
      </w:tr>
      <w:tr w:rsidR="000D4EA2" w:rsidRPr="00B878E3" w14:paraId="4A8D2585" w14:textId="77777777" w:rsidTr="006369BA">
        <w:trPr>
          <w:trHeight w:val="1765"/>
        </w:trPr>
        <w:tc>
          <w:tcPr>
            <w:tcW w:w="2459" w:type="dxa"/>
          </w:tcPr>
          <w:p w14:paraId="5F8FE181" w14:textId="77777777" w:rsidR="000D4EA2" w:rsidRPr="00B878E3" w:rsidRDefault="000D4EA2" w:rsidP="006369BA">
            <w:pPr>
              <w:autoSpaceDE w:val="0"/>
              <w:autoSpaceDN w:val="0"/>
              <w:adjustRightInd w:val="0"/>
              <w:spacing w:line="271" w:lineRule="auto"/>
              <w:rPr>
                <w:bCs/>
              </w:rPr>
            </w:pPr>
            <w:r w:rsidRPr="00B878E3">
              <w:rPr>
                <w:bCs/>
              </w:rPr>
              <w:t>Nacionalinis sveikatos ir klinikinės kompetencijos institutas, Didžioji Britanija</w:t>
            </w:r>
          </w:p>
          <w:p w14:paraId="2DCAF931" w14:textId="77777777" w:rsidR="000D4EA2" w:rsidRPr="00B878E3" w:rsidRDefault="000D4EA2" w:rsidP="006369BA">
            <w:pPr>
              <w:spacing w:line="271" w:lineRule="auto"/>
              <w:rPr>
                <w:rFonts w:eastAsia="Arial"/>
              </w:rPr>
            </w:pPr>
            <w:r w:rsidRPr="00B878E3">
              <w:rPr>
                <w:rFonts w:eastAsia="Arial"/>
              </w:rPr>
              <w:t xml:space="preserve">(angl. </w:t>
            </w:r>
            <w:r w:rsidRPr="00B878E3">
              <w:rPr>
                <w:rFonts w:eastAsia="Arial"/>
                <w:i/>
              </w:rPr>
              <w:t>National Institute for Health and Care Excellence, NICE</w:t>
            </w:r>
            <w:r w:rsidRPr="00B878E3">
              <w:rPr>
                <w:rFonts w:eastAsia="Arial"/>
              </w:rPr>
              <w:t>)</w:t>
            </w:r>
          </w:p>
        </w:tc>
        <w:tc>
          <w:tcPr>
            <w:tcW w:w="1412" w:type="dxa"/>
          </w:tcPr>
          <w:p w14:paraId="5EC692C8" w14:textId="77777777" w:rsidR="000D4EA2" w:rsidRPr="00B878E3" w:rsidRDefault="00DD7AAE" w:rsidP="006369BA">
            <w:pPr>
              <w:spacing w:line="271" w:lineRule="auto"/>
            </w:pPr>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0D4EA2" w:rsidRPr="00B878E3">
                  <w:rPr>
                    <w:rStyle w:val="Style2"/>
                    <w:rFonts w:ascii="Segoe UI Symbol" w:eastAsia="MS Gothic" w:hAnsi="Segoe UI Symbol" w:cs="Segoe UI Symbol"/>
                  </w:rPr>
                  <w:t>☒</w:t>
                </w:r>
              </w:sdtContent>
            </w:sdt>
            <w:r w:rsidR="000D4EA2" w:rsidRPr="00B878E3">
              <w:t xml:space="preserve"> Taip</w:t>
            </w:r>
          </w:p>
          <w:p w14:paraId="02F9F586" w14:textId="77777777" w:rsidR="000D4EA2" w:rsidRPr="00B878E3" w:rsidRDefault="00DD7AAE" w:rsidP="006369BA">
            <w:pPr>
              <w:spacing w:line="271" w:lineRule="auto"/>
            </w:pPr>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0D4EA2" w:rsidRPr="00B878E3">
                  <w:rPr>
                    <w:rStyle w:val="Style2"/>
                    <w:rFonts w:ascii="Segoe UI Symbol" w:eastAsia="MS Gothic" w:hAnsi="Segoe UI Symbol" w:cs="Segoe UI Symbol"/>
                  </w:rPr>
                  <w:t>☐</w:t>
                </w:r>
              </w:sdtContent>
            </w:sdt>
            <w:r w:rsidR="000D4EA2" w:rsidRPr="00B878E3">
              <w:t xml:space="preserve"> Ne</w:t>
            </w:r>
          </w:p>
          <w:p w14:paraId="4A4CDA9D" w14:textId="77777777" w:rsidR="000D4EA2" w:rsidRPr="00B878E3" w:rsidRDefault="00DD7AAE" w:rsidP="006369BA">
            <w:pPr>
              <w:spacing w:line="271" w:lineRule="auto"/>
              <w:rPr>
                <w:rFonts w:eastAsia="Arial"/>
              </w:rPr>
            </w:pPr>
            <w:sdt>
              <w:sdtPr>
                <w:alias w:val="Nurodykite konkrečią dieną"/>
                <w:tag w:val="Nurodykite pradžios datą"/>
                <w:id w:val="922837954"/>
                <w:placeholder>
                  <w:docPart w:val="6D283B51C46845E690EF0F79A9015EF0"/>
                </w:placeholder>
                <w15:color w:val="FFCC99"/>
                <w:date>
                  <w:dateFormat w:val="yyyy 'm.' MMMM d 'd.'"/>
                  <w:lid w:val="lt-LT"/>
                  <w:storeMappedDataAs w:val="dateTime"/>
                  <w:calendar w:val="gregorian"/>
                </w:date>
              </w:sdtPr>
              <w:sdtEndPr/>
              <w:sdtContent>
                <w:r w:rsidR="000D4EA2" w:rsidRPr="00B878E3">
                  <w:t>2021 gegužės 14 d.</w:t>
                </w:r>
              </w:sdtContent>
            </w:sdt>
          </w:p>
        </w:tc>
        <w:tc>
          <w:tcPr>
            <w:tcW w:w="6047" w:type="dxa"/>
            <w:gridSpan w:val="2"/>
          </w:tcPr>
          <w:p w14:paraId="016B9714" w14:textId="77777777" w:rsidR="000D4EA2" w:rsidRPr="00B878E3" w:rsidRDefault="000D4EA2" w:rsidP="006369BA">
            <w:pPr>
              <w:spacing w:before="20" w:after="120" w:line="271" w:lineRule="auto"/>
              <w:jc w:val="both"/>
            </w:pPr>
            <w:r w:rsidRPr="00B878E3">
              <w:rPr>
                <w:rFonts w:eastAsia="Arial"/>
              </w:rPr>
              <w:t xml:space="preserve">Pembrolizumabas rekomenduojamas kaip alternatyva negydytam metastazavusiam gaubtinės ir tiesiosios žarnos vėžiui, kuriam nustatytas didelis mikrosatelito nestabilumas (MSI) arba </w:t>
            </w:r>
            <w:r w:rsidRPr="00B878E3">
              <w:t>klaidingai suporuotų nukleotidų DNR pažaidų taisymo sistemos stoka (MMR) suaugusiems, jei:</w:t>
            </w:r>
          </w:p>
          <w:p w14:paraId="178F7CCF" w14:textId="77777777" w:rsidR="000D4EA2" w:rsidRPr="00B878E3" w:rsidRDefault="000D4EA2" w:rsidP="000D4EA2">
            <w:pPr>
              <w:pStyle w:val="ListParagraph"/>
              <w:numPr>
                <w:ilvl w:val="0"/>
                <w:numId w:val="24"/>
              </w:numPr>
              <w:spacing w:before="20" w:after="120" w:line="271" w:lineRule="auto"/>
              <w:contextualSpacing w:val="0"/>
              <w:jc w:val="both"/>
            </w:pPr>
            <w:r w:rsidRPr="00B878E3">
              <w:t>Pembrolizumabas nutraukiamas po 2 metų ir nėra dokumentuoto ligos progresavimo ir</w:t>
            </w:r>
          </w:p>
          <w:p w14:paraId="76B3E0EC" w14:textId="77777777" w:rsidR="000D4EA2" w:rsidRPr="00B878E3" w:rsidRDefault="000D4EA2" w:rsidP="000D4EA2">
            <w:pPr>
              <w:pStyle w:val="ListParagraph"/>
              <w:numPr>
                <w:ilvl w:val="0"/>
                <w:numId w:val="24"/>
              </w:numPr>
              <w:spacing w:before="20" w:after="120" w:line="271" w:lineRule="auto"/>
              <w:contextualSpacing w:val="0"/>
              <w:jc w:val="both"/>
            </w:pPr>
            <w:r w:rsidRPr="00B878E3">
              <w:t>Kompanija tiekia pembrolizumabą, pagal komercinį susitarimą.</w:t>
            </w:r>
          </w:p>
          <w:p w14:paraId="6DC8AD43" w14:textId="77777777" w:rsidR="000D4EA2" w:rsidRPr="00B878E3" w:rsidRDefault="000D4EA2" w:rsidP="006369BA">
            <w:pPr>
              <w:spacing w:before="20" w:after="120" w:line="271" w:lineRule="auto"/>
              <w:jc w:val="both"/>
              <w:rPr>
                <w:i/>
                <w:iCs/>
              </w:rPr>
            </w:pPr>
          </w:p>
          <w:p w14:paraId="46ABDEBF" w14:textId="77777777" w:rsidR="000D4EA2" w:rsidRPr="00B878E3" w:rsidRDefault="000D4EA2" w:rsidP="006369BA">
            <w:pPr>
              <w:spacing w:line="271" w:lineRule="auto"/>
              <w:rPr>
                <w:rFonts w:eastAsia="Arial"/>
              </w:rPr>
            </w:pPr>
          </w:p>
        </w:tc>
      </w:tr>
      <w:tr w:rsidR="000D4EA2" w:rsidRPr="00B878E3" w14:paraId="64FF9C6D" w14:textId="77777777" w:rsidTr="006369BA">
        <w:trPr>
          <w:trHeight w:val="1547"/>
        </w:trPr>
        <w:tc>
          <w:tcPr>
            <w:tcW w:w="2459" w:type="dxa"/>
          </w:tcPr>
          <w:p w14:paraId="23E53AE1" w14:textId="77777777" w:rsidR="000D4EA2" w:rsidRPr="00B878E3" w:rsidRDefault="000D4EA2" w:rsidP="006369BA">
            <w:pPr>
              <w:spacing w:line="271" w:lineRule="auto"/>
              <w:rPr>
                <w:rFonts w:eastAsia="Arial"/>
              </w:rPr>
            </w:pPr>
            <w:r w:rsidRPr="00B878E3">
              <w:rPr>
                <w:rFonts w:eastAsia="Arial"/>
              </w:rPr>
              <w:t>Kanados sveikatos technologijų agentūra</w:t>
            </w:r>
          </w:p>
          <w:p w14:paraId="2C10A23B" w14:textId="77777777" w:rsidR="000D4EA2" w:rsidRPr="00B878E3" w:rsidRDefault="000D4EA2" w:rsidP="006369BA">
            <w:pPr>
              <w:spacing w:line="271" w:lineRule="auto"/>
              <w:rPr>
                <w:rFonts w:eastAsia="Arial"/>
              </w:rPr>
            </w:pPr>
            <w:r w:rsidRPr="00B878E3">
              <w:rPr>
                <w:rFonts w:eastAsia="Arial"/>
              </w:rPr>
              <w:t xml:space="preserve">(angl. </w:t>
            </w:r>
            <w:r w:rsidRPr="00B878E3">
              <w:rPr>
                <w:rFonts w:eastAsia="Arial"/>
                <w:i/>
              </w:rPr>
              <w:t>Canadian health Technology Assessment agency, CADTH</w:t>
            </w:r>
            <w:r w:rsidRPr="00B878E3">
              <w:rPr>
                <w:rFonts w:eastAsia="Arial"/>
              </w:rPr>
              <w:t>)</w:t>
            </w:r>
          </w:p>
        </w:tc>
        <w:tc>
          <w:tcPr>
            <w:tcW w:w="1412" w:type="dxa"/>
          </w:tcPr>
          <w:p w14:paraId="152C78C5" w14:textId="77777777" w:rsidR="000D4EA2" w:rsidRPr="00B878E3" w:rsidRDefault="00DD7AAE" w:rsidP="006369BA">
            <w:pPr>
              <w:spacing w:line="271" w:lineRule="auto"/>
            </w:pPr>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0D4EA2" w:rsidRPr="00B878E3">
                  <w:rPr>
                    <w:rStyle w:val="Style2"/>
                    <w:rFonts w:ascii="Segoe UI Symbol" w:eastAsia="MS Gothic" w:hAnsi="Segoe UI Symbol" w:cs="Segoe UI Symbol"/>
                  </w:rPr>
                  <w:t>☒</w:t>
                </w:r>
              </w:sdtContent>
            </w:sdt>
            <w:r w:rsidR="000D4EA2" w:rsidRPr="00B878E3">
              <w:t xml:space="preserve"> Taip</w:t>
            </w:r>
          </w:p>
          <w:p w14:paraId="6621CE0B" w14:textId="77777777" w:rsidR="000D4EA2" w:rsidRPr="00B878E3" w:rsidRDefault="00DD7AAE" w:rsidP="006369BA">
            <w:pPr>
              <w:spacing w:line="271" w:lineRule="auto"/>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0D4EA2" w:rsidRPr="00B878E3">
                  <w:rPr>
                    <w:rStyle w:val="Style2"/>
                    <w:rFonts w:ascii="Segoe UI Symbol" w:eastAsia="MS Gothic" w:hAnsi="Segoe UI Symbol" w:cs="Segoe UI Symbol"/>
                  </w:rPr>
                  <w:t>☐</w:t>
                </w:r>
              </w:sdtContent>
            </w:sdt>
            <w:r w:rsidR="000D4EA2" w:rsidRPr="00B878E3">
              <w:t xml:space="preserve"> Ne</w:t>
            </w:r>
          </w:p>
          <w:p w14:paraId="39EA69D7" w14:textId="77777777" w:rsidR="000D4EA2" w:rsidRPr="00B878E3" w:rsidRDefault="00DD7AAE" w:rsidP="006369BA">
            <w:pPr>
              <w:spacing w:line="271" w:lineRule="auto"/>
              <w:rPr>
                <w:rFonts w:eastAsia="Arial"/>
              </w:rPr>
            </w:pPr>
            <w:sdt>
              <w:sdtPr>
                <w:alias w:val="Nurodykite konkrečią dieną"/>
                <w:tag w:val="Nurodykite pradžios datą"/>
                <w:id w:val="1072468416"/>
                <w:placeholder>
                  <w:docPart w:val="81A97D20F0DB480C929875C11FC534CE"/>
                </w:placeholder>
                <w15:color w:val="FFCC99"/>
                <w:date>
                  <w:dateFormat w:val="yyyy 'm.' MMMM d 'd.'"/>
                  <w:lid w:val="lt-LT"/>
                  <w:storeMappedDataAs w:val="dateTime"/>
                  <w:calendar w:val="gregorian"/>
                </w:date>
              </w:sdtPr>
              <w:sdtEndPr/>
              <w:sdtContent>
                <w:r w:rsidR="000D4EA2" w:rsidRPr="00B878E3">
                  <w:t>2022 liepa</w:t>
                </w:r>
              </w:sdtContent>
            </w:sdt>
          </w:p>
        </w:tc>
        <w:tc>
          <w:tcPr>
            <w:tcW w:w="3696" w:type="dxa"/>
          </w:tcPr>
          <w:p w14:paraId="70EB41E2" w14:textId="77777777" w:rsidR="000D4EA2" w:rsidRPr="00B878E3" w:rsidRDefault="000D4EA2" w:rsidP="006369BA">
            <w:pPr>
              <w:spacing w:line="271" w:lineRule="auto"/>
            </w:pPr>
            <w:r w:rsidRPr="00B878E3">
              <w:rPr>
                <w:rFonts w:eastAsia="Arial"/>
              </w:rPr>
              <w:t xml:space="preserve">Pembrolizumabas rekomenduojamas pirmos eilės gydymui negydytam metastazavusiam gaubtinės ir tiesiosios žarnos vėžiui, kuriam nustatytas didelis mikrosatelito nestabilumas (MSI) arba </w:t>
            </w:r>
            <w:r w:rsidRPr="00B878E3">
              <w:t>klaidingai suporuotų nukleotidų DNR pažaidų taisymo sistemos stoka (MMR) suaugusiems. Skyrimo sąlygos:</w:t>
            </w:r>
          </w:p>
          <w:p w14:paraId="0C4B60B5" w14:textId="77777777" w:rsidR="000D4EA2" w:rsidRPr="00B878E3" w:rsidRDefault="000D4EA2" w:rsidP="000D4EA2">
            <w:pPr>
              <w:pStyle w:val="ListParagraph"/>
              <w:numPr>
                <w:ilvl w:val="0"/>
                <w:numId w:val="25"/>
              </w:numPr>
              <w:spacing w:line="271" w:lineRule="auto"/>
              <w:contextualSpacing w:val="0"/>
              <w:rPr>
                <w:rFonts w:eastAsia="Arial"/>
              </w:rPr>
            </w:pPr>
            <w:r w:rsidRPr="00B878E3">
              <w:rPr>
                <w:rFonts w:eastAsia="Arial"/>
              </w:rPr>
              <w:lastRenderedPageBreak/>
              <w:t>Pacientai anksčiau negydyti dėl metastazavusio MSI/dMMR gaubtinės ir tiesiosios žarnos vėžio;</w:t>
            </w:r>
          </w:p>
          <w:p w14:paraId="42C9BEEB" w14:textId="77777777" w:rsidR="000D4EA2" w:rsidRPr="00B878E3" w:rsidRDefault="000D4EA2" w:rsidP="000D4EA2">
            <w:pPr>
              <w:pStyle w:val="ListParagraph"/>
              <w:numPr>
                <w:ilvl w:val="0"/>
                <w:numId w:val="25"/>
              </w:numPr>
              <w:spacing w:line="271" w:lineRule="auto"/>
              <w:contextualSpacing w:val="0"/>
              <w:rPr>
                <w:rFonts w:eastAsia="Arial"/>
              </w:rPr>
            </w:pPr>
            <w:r w:rsidRPr="00B878E3">
              <w:rPr>
                <w:rFonts w:eastAsia="Arial"/>
              </w:rPr>
              <w:t>Pacientai geros funkcinės klasės (ECOG &lt;1)</w:t>
            </w:r>
          </w:p>
          <w:p w14:paraId="50AE1BEE" w14:textId="77777777" w:rsidR="000D4EA2" w:rsidRPr="00B878E3" w:rsidRDefault="000D4EA2" w:rsidP="000D4EA2">
            <w:pPr>
              <w:pStyle w:val="ListParagraph"/>
              <w:numPr>
                <w:ilvl w:val="0"/>
                <w:numId w:val="25"/>
              </w:numPr>
              <w:spacing w:line="271" w:lineRule="auto"/>
              <w:contextualSpacing w:val="0"/>
              <w:rPr>
                <w:rFonts w:eastAsia="Arial"/>
              </w:rPr>
            </w:pPr>
            <w:r w:rsidRPr="00B878E3">
              <w:rPr>
                <w:rFonts w:eastAsia="Arial"/>
              </w:rPr>
              <w:t>Vaistas nutraukiamas esant ligos progresavimui pagal RECIST kriterijus ar nekontroliuojamam/sunkiam imunoterapijos sukeltam toksiškumui;</w:t>
            </w:r>
          </w:p>
          <w:p w14:paraId="42725C24" w14:textId="77777777" w:rsidR="000D4EA2" w:rsidRPr="00B878E3" w:rsidRDefault="000D4EA2" w:rsidP="000D4EA2">
            <w:pPr>
              <w:pStyle w:val="ListParagraph"/>
              <w:numPr>
                <w:ilvl w:val="0"/>
                <w:numId w:val="25"/>
              </w:numPr>
              <w:spacing w:line="271" w:lineRule="auto"/>
              <w:contextualSpacing w:val="0"/>
              <w:rPr>
                <w:rFonts w:eastAsia="Arial"/>
              </w:rPr>
            </w:pPr>
            <w:r w:rsidRPr="00B878E3">
              <w:rPr>
                <w:rFonts w:eastAsia="Arial"/>
              </w:rPr>
              <w:t>Maksimalus skyrimo laikas 2 metai arba 35 dozės pacientams be ligos progresavimo požymių (remiantis produkto aprašymu).</w:t>
            </w:r>
          </w:p>
        </w:tc>
        <w:tc>
          <w:tcPr>
            <w:tcW w:w="2351" w:type="dxa"/>
          </w:tcPr>
          <w:p w14:paraId="3845B363" w14:textId="77777777" w:rsidR="000D4EA2" w:rsidRPr="00B878E3" w:rsidRDefault="000D4EA2" w:rsidP="006369BA">
            <w:pPr>
              <w:spacing w:line="271" w:lineRule="auto"/>
              <w:rPr>
                <w:rFonts w:eastAsia="Arial"/>
              </w:rPr>
            </w:pPr>
            <w:r w:rsidRPr="00B878E3">
              <w:rPr>
                <w:rFonts w:eastAsia="Arial"/>
              </w:rPr>
              <w:lastRenderedPageBreak/>
              <w:t xml:space="preserve">CADTH rekomenduoja, kad pembrolizumabas būtų kompensuojamas kaip monoterapija pirminės eilės metastazavusio mikrosatelito nestabilumo (MSI-H) </w:t>
            </w:r>
            <w:r w:rsidRPr="00B878E3">
              <w:rPr>
                <w:rFonts w:eastAsia="Arial"/>
              </w:rPr>
              <w:lastRenderedPageBreak/>
              <w:t>arba neatitikimo atstatymo stokos gaubtinės ir tiesiosios žarnos vėžio gydymui.</w:t>
            </w:r>
          </w:p>
        </w:tc>
      </w:tr>
      <w:tr w:rsidR="000D4EA2" w:rsidRPr="00B878E3" w14:paraId="118966EE" w14:textId="77777777" w:rsidTr="006369BA">
        <w:trPr>
          <w:trHeight w:val="1927"/>
        </w:trPr>
        <w:tc>
          <w:tcPr>
            <w:tcW w:w="2459" w:type="dxa"/>
          </w:tcPr>
          <w:p w14:paraId="3D20FC08" w14:textId="77777777" w:rsidR="000D4EA2" w:rsidRPr="00B878E3" w:rsidRDefault="000D4EA2" w:rsidP="006369BA">
            <w:pPr>
              <w:spacing w:line="271" w:lineRule="auto"/>
              <w:rPr>
                <w:rFonts w:eastAsia="Arial"/>
              </w:rPr>
            </w:pPr>
            <w:r w:rsidRPr="00B878E3">
              <w:rPr>
                <w:rFonts w:eastAsia="Arial"/>
              </w:rPr>
              <w:lastRenderedPageBreak/>
              <w:t>Nacionalinis farmakoekonomikos centras, Airija</w:t>
            </w:r>
          </w:p>
          <w:p w14:paraId="3571911B" w14:textId="77777777" w:rsidR="000D4EA2" w:rsidRPr="00B878E3" w:rsidRDefault="000D4EA2" w:rsidP="006369BA">
            <w:pPr>
              <w:spacing w:line="271" w:lineRule="auto"/>
              <w:rPr>
                <w:rFonts w:eastAsia="Arial"/>
              </w:rPr>
            </w:pPr>
            <w:r w:rsidRPr="00B878E3">
              <w:rPr>
                <w:rFonts w:eastAsia="Arial"/>
              </w:rPr>
              <w:t>(angl.</w:t>
            </w:r>
            <w:r w:rsidRPr="00B878E3">
              <w:rPr>
                <w:rFonts w:eastAsia="Arial"/>
                <w:i/>
              </w:rPr>
              <w:t xml:space="preserve"> National Centre for Pharmacoeconomics, NCPE</w:t>
            </w:r>
            <w:r w:rsidRPr="00B878E3">
              <w:rPr>
                <w:rFonts w:eastAsia="Arial"/>
              </w:rPr>
              <w:t>)</w:t>
            </w:r>
          </w:p>
        </w:tc>
        <w:tc>
          <w:tcPr>
            <w:tcW w:w="1412" w:type="dxa"/>
          </w:tcPr>
          <w:p w14:paraId="60D87640" w14:textId="77777777" w:rsidR="000D4EA2" w:rsidRPr="00B878E3" w:rsidRDefault="00DD7AAE" w:rsidP="006369BA">
            <w:pPr>
              <w:spacing w:line="271" w:lineRule="auto"/>
            </w:pPr>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0D4EA2" w:rsidRPr="00B878E3">
                  <w:rPr>
                    <w:rStyle w:val="Style2"/>
                    <w:rFonts w:ascii="MS Gothic" w:eastAsia="MS Gothic" w:hAnsi="MS Gothic"/>
                  </w:rPr>
                  <w:t>☒</w:t>
                </w:r>
              </w:sdtContent>
            </w:sdt>
            <w:r w:rsidR="000D4EA2" w:rsidRPr="00B878E3">
              <w:t xml:space="preserve"> Taip</w:t>
            </w:r>
          </w:p>
          <w:p w14:paraId="6B3D4CFD" w14:textId="77777777" w:rsidR="000D4EA2" w:rsidRPr="00B878E3" w:rsidRDefault="00DD7AAE" w:rsidP="006369BA">
            <w:pPr>
              <w:spacing w:line="271" w:lineRule="auto"/>
            </w:pPr>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0D4EA2" w:rsidRPr="00B878E3">
                  <w:rPr>
                    <w:rStyle w:val="Style2"/>
                    <w:rFonts w:ascii="MS Gothic" w:eastAsia="MS Gothic" w:hAnsi="MS Gothic"/>
                  </w:rPr>
                  <w:t>☐</w:t>
                </w:r>
              </w:sdtContent>
            </w:sdt>
            <w:r w:rsidR="000D4EA2" w:rsidRPr="00B878E3">
              <w:t xml:space="preserve"> Ne</w:t>
            </w:r>
          </w:p>
          <w:p w14:paraId="29BF7AA6" w14:textId="77777777" w:rsidR="000D4EA2" w:rsidRPr="00B878E3" w:rsidRDefault="00DD7AAE" w:rsidP="006369BA">
            <w:pPr>
              <w:spacing w:line="271" w:lineRule="auto"/>
              <w:rPr>
                <w:rFonts w:eastAsia="Arial"/>
              </w:rPr>
            </w:pPr>
            <w:sdt>
              <w:sdtPr>
                <w:alias w:val="Nurodykite konkrečią dieną"/>
                <w:tag w:val="Nurodykite pradžios datą"/>
                <w:id w:val="-198323198"/>
                <w:placeholder>
                  <w:docPart w:val="1F50935A5FA74CE2BD3BAFC251141AA6"/>
                </w:placeholder>
                <w15:color w:val="FFCC99"/>
                <w:date>
                  <w:dateFormat w:val="yyyy 'm.' MMMM d 'd.'"/>
                  <w:lid w:val="lt-LT"/>
                  <w:storeMappedDataAs w:val="dateTime"/>
                  <w:calendar w:val="gregorian"/>
                </w:date>
              </w:sdtPr>
              <w:sdtEndPr/>
              <w:sdtContent>
                <w:r w:rsidR="000D4EA2" w:rsidRPr="00B878E3">
                  <w:t>2022 spalio 13 d.</w:t>
                </w:r>
              </w:sdtContent>
            </w:sdt>
          </w:p>
        </w:tc>
        <w:tc>
          <w:tcPr>
            <w:tcW w:w="6047" w:type="dxa"/>
            <w:gridSpan w:val="2"/>
          </w:tcPr>
          <w:p w14:paraId="31D10C25" w14:textId="77777777" w:rsidR="000D4EA2" w:rsidRPr="00B878E3" w:rsidRDefault="000D4EA2" w:rsidP="006369BA">
            <w:pPr>
              <w:spacing w:line="271" w:lineRule="auto"/>
              <w:rPr>
                <w:rFonts w:eastAsia="Arial"/>
              </w:rPr>
            </w:pPr>
            <w:r w:rsidRPr="00B878E3">
              <w:rPr>
                <w:rFonts w:eastAsia="Arial"/>
              </w:rPr>
              <w:t>Rekomenduoja apsvarstyti galimybę kompensuoti pembrolizumabą, jei bus pritaikytas kainų efektyvumas lyginant su esamais gydymo būdais.</w:t>
            </w:r>
          </w:p>
          <w:p w14:paraId="3BCBB91D" w14:textId="77777777" w:rsidR="000D4EA2" w:rsidRPr="00B878E3" w:rsidRDefault="000D4EA2" w:rsidP="006369BA">
            <w:pPr>
              <w:spacing w:line="271" w:lineRule="auto"/>
              <w:rPr>
                <w:rFonts w:eastAsia="Arial"/>
              </w:rPr>
            </w:pPr>
            <w:r w:rsidRPr="00B878E3">
              <w:rPr>
                <w:rFonts w:eastAsia="Arial"/>
              </w:rPr>
              <w:t>NCPE rekomenduoja apsvarstyti galimybę kompensuoti pembrolizumabą, jei galima pagerinti sąnaudų efektyvumą, palyginti su esamais gydymo būdais.</w:t>
            </w:r>
          </w:p>
        </w:tc>
      </w:tr>
    </w:tbl>
    <w:p w14:paraId="7DD8AA73" w14:textId="77777777" w:rsidR="000D4EA2" w:rsidRPr="000D4EA2" w:rsidRDefault="000D4EA2" w:rsidP="000D4EA2">
      <w:pPr>
        <w:spacing w:line="276" w:lineRule="auto"/>
        <w:ind w:left="360"/>
        <w:jc w:val="both"/>
        <w:rPr>
          <w:rFonts w:eastAsia="Arial"/>
          <w:b/>
        </w:rPr>
      </w:pPr>
    </w:p>
    <w:p w14:paraId="5E82BD7C" w14:textId="2A60CFA6" w:rsidR="00F93EB1" w:rsidRPr="009463CD" w:rsidRDefault="00F93EB1">
      <w:pPr>
        <w:rPr>
          <w:b/>
          <w:bCs/>
          <w:caps/>
        </w:rPr>
      </w:pPr>
      <w:r w:rsidRPr="009463CD">
        <w:rPr>
          <w:b/>
          <w:bCs/>
          <w:caps/>
        </w:rPr>
        <w:br w:type="page"/>
      </w:r>
    </w:p>
    <w:p w14:paraId="5F0ADBE9" w14:textId="77777777" w:rsidR="008651E2" w:rsidRPr="009463CD" w:rsidRDefault="008651E2" w:rsidP="00E03C3F">
      <w:pPr>
        <w:pStyle w:val="ListParagraph"/>
        <w:tabs>
          <w:tab w:val="left" w:pos="426"/>
        </w:tabs>
        <w:ind w:left="0"/>
        <w:rPr>
          <w:b/>
          <w:bCs/>
          <w:caps/>
        </w:rPr>
      </w:pPr>
    </w:p>
    <w:p w14:paraId="5055E8A8" w14:textId="6B3820E3" w:rsidR="002E6F80" w:rsidRPr="009463CD" w:rsidRDefault="00CC7832" w:rsidP="00937907">
      <w:pPr>
        <w:pStyle w:val="ListParagraph"/>
        <w:numPr>
          <w:ilvl w:val="0"/>
          <w:numId w:val="12"/>
        </w:numPr>
        <w:tabs>
          <w:tab w:val="left" w:pos="284"/>
        </w:tabs>
        <w:rPr>
          <w:b/>
          <w:bCs/>
          <w:caps/>
        </w:rPr>
      </w:pPr>
      <w:r w:rsidRPr="009463CD">
        <w:rPr>
          <w:b/>
          <w:bCs/>
          <w:caps/>
        </w:rPr>
        <w:t>Klinikinio vertinimo a</w:t>
      </w:r>
      <w:r w:rsidR="00D4485B" w:rsidRPr="009463CD">
        <w:rPr>
          <w:b/>
          <w:bCs/>
          <w:caps/>
        </w:rPr>
        <w:t>pibendrinimas</w:t>
      </w:r>
    </w:p>
    <w:p w14:paraId="2A8F36F6" w14:textId="77777777" w:rsidR="00F00A34" w:rsidRPr="009463CD" w:rsidRDefault="00F00A34" w:rsidP="00A93AA6">
      <w:pPr>
        <w:pStyle w:val="ListParagraph"/>
        <w:tabs>
          <w:tab w:val="left" w:pos="426"/>
        </w:tabs>
        <w:ind w:left="0"/>
        <w:rPr>
          <w:i/>
          <w:iCs/>
          <w:u w:val="single"/>
        </w:rPr>
      </w:pPr>
    </w:p>
    <w:p w14:paraId="46A20C13" w14:textId="77777777" w:rsidR="008E331E" w:rsidRPr="00741801" w:rsidRDefault="008E331E" w:rsidP="008E331E">
      <w:pPr>
        <w:pStyle w:val="Tekstas"/>
        <w:spacing w:line="271" w:lineRule="auto"/>
        <w:ind w:firstLine="720"/>
      </w:pPr>
      <w:r w:rsidRPr="00741801">
        <w:t xml:space="preserve">Pembrolizumabas kaip monoterapija skirtas metastazavusio storosios ir tiesiosios žarnos vėžio (mSTŽV) pirmaeiliam gydymui suaugusiems pacientams, kai nustatytas didelis mikrosatelitų nestabilumo rodmuo (angl. </w:t>
      </w:r>
      <w:r w:rsidRPr="00741801">
        <w:rPr>
          <w:i/>
          <w:iCs/>
        </w:rPr>
        <w:t>microsatellite instability-high, MSI-H</w:t>
      </w:r>
      <w:r w:rsidRPr="00741801">
        <w:t xml:space="preserve">) arba klaidingai suporuotų nukleotidų DNR pažaidų taisymo sistemos stoka (angl. </w:t>
      </w:r>
      <w:r w:rsidRPr="00741801">
        <w:rPr>
          <w:i/>
          <w:iCs/>
        </w:rPr>
        <w:t>mismatch repair deficient, dMMR</w:t>
      </w:r>
      <w:r w:rsidRPr="00741801">
        <w:t xml:space="preserve">). Ligos kodai pagal TLK-10-AM klasifikaciją – C18-C20. Atsižvelgiant į siūlomą kompensuoti indikaciją aktuali metastazavusi ligos forma. </w:t>
      </w:r>
    </w:p>
    <w:p w14:paraId="51B6024D" w14:textId="46DFC6D9" w:rsidR="008E331E" w:rsidRPr="00741801" w:rsidRDefault="008E331E" w:rsidP="008E331E">
      <w:pPr>
        <w:pStyle w:val="Tekstas"/>
        <w:spacing w:line="271" w:lineRule="auto"/>
        <w:ind w:firstLine="720"/>
      </w:pPr>
      <w:r w:rsidRPr="00741801">
        <w:t xml:space="preserve">Remiantis De' Angelis et al. 2018 m. duomenimis, </w:t>
      </w:r>
      <w:r w:rsidRPr="00902D57">
        <w:rPr>
          <w:bCs/>
        </w:rPr>
        <w:t>MSI-H/dMMR rodmuo nustatomas 15% visų mSTŽV atvejų.</w:t>
      </w:r>
      <w:r w:rsidRPr="00741801">
        <w:t xml:space="preserve"> Remiantis Battaglin et al. 2018 m. duomenimis, IV stadija sudaro 4% visų STŽV su MSI-H/dMMR rodmeniu atvejų. Planuojama gydyti po </w:t>
      </w:r>
      <w:r w:rsidR="00A11C95">
        <w:t xml:space="preserve">XX </w:t>
      </w:r>
      <w:r w:rsidRPr="00741801">
        <w:t xml:space="preserve">pacientus kasmet. </w:t>
      </w:r>
    </w:p>
    <w:p w14:paraId="4E83362A" w14:textId="77777777" w:rsidR="008E331E" w:rsidRPr="00741801" w:rsidRDefault="008E331E" w:rsidP="008E331E">
      <w:pPr>
        <w:pStyle w:val="Tekstas"/>
        <w:spacing w:line="271" w:lineRule="auto"/>
        <w:ind w:firstLine="360"/>
      </w:pPr>
      <w:r w:rsidRPr="00741801">
        <w:t>mSTŽV diagnostika ir gydymas reglamentuojami Lietuvos Respublikos Sveikatos apsaugos ministro įsakymu Nr. V- 657 „Dėl storosios (gaubtinės) žarnos piktybinio naviko, tiesiosios ir riestinės gaubtinės žarnos jungties piktybinio naviko ir tiesiosios žarnos piktybinio naviko diagnostikos ir gydymo tvarkos aprašo patvirtinimo“ (toliau –aprašas). Skiriamos chemoterapijos schemos gali būti modifikuojamos, atsižvelgiant į paciento gretutines ligas, vaistų šalutinį poveikį. Pagrindinės chemoterapijos schemos:</w:t>
      </w:r>
    </w:p>
    <w:p w14:paraId="1AC1BC35" w14:textId="77777777" w:rsidR="008E331E" w:rsidRPr="00741801" w:rsidRDefault="008E331E" w:rsidP="008E331E">
      <w:pPr>
        <w:pStyle w:val="Tekstas"/>
        <w:numPr>
          <w:ilvl w:val="0"/>
          <w:numId w:val="26"/>
        </w:numPr>
        <w:spacing w:before="120" w:line="271" w:lineRule="auto"/>
      </w:pPr>
      <w:r w:rsidRPr="00741801">
        <w:t>FOLFOX (oksaliplatina, kalcio folinatas, fluorouracilas);</w:t>
      </w:r>
    </w:p>
    <w:p w14:paraId="155DF3A8" w14:textId="77777777" w:rsidR="008E331E" w:rsidRPr="00741801" w:rsidRDefault="008E331E" w:rsidP="008E331E">
      <w:pPr>
        <w:pStyle w:val="Tekstas"/>
        <w:numPr>
          <w:ilvl w:val="0"/>
          <w:numId w:val="26"/>
        </w:numPr>
        <w:spacing w:before="120" w:line="271" w:lineRule="auto"/>
      </w:pPr>
      <w:r w:rsidRPr="00741801">
        <w:t>XELOX (oksaliplatina, kapecitabinas);</w:t>
      </w:r>
    </w:p>
    <w:p w14:paraId="50592290" w14:textId="77777777" w:rsidR="008E331E" w:rsidRPr="00741801" w:rsidRDefault="008E331E" w:rsidP="008E331E">
      <w:pPr>
        <w:pStyle w:val="Tekstas"/>
        <w:numPr>
          <w:ilvl w:val="0"/>
          <w:numId w:val="26"/>
        </w:numPr>
        <w:spacing w:before="120" w:line="271" w:lineRule="auto"/>
      </w:pPr>
      <w:r w:rsidRPr="00741801">
        <w:t>FOLFIRI (irinotekanas, kalcio folinatas, fluorouracilas);</w:t>
      </w:r>
    </w:p>
    <w:p w14:paraId="068FC070" w14:textId="77777777" w:rsidR="008E331E" w:rsidRPr="00741801" w:rsidRDefault="008E331E" w:rsidP="008E331E">
      <w:pPr>
        <w:pStyle w:val="Tekstas"/>
        <w:numPr>
          <w:ilvl w:val="0"/>
          <w:numId w:val="26"/>
        </w:numPr>
        <w:spacing w:before="120" w:line="271" w:lineRule="auto"/>
      </w:pPr>
      <w:r w:rsidRPr="00741801">
        <w:t>FOLFOXIRI (irinotekanas, oksaliplatina, kalcio folinatas, fluorouracilas) ir kt.</w:t>
      </w:r>
    </w:p>
    <w:p w14:paraId="53D63F29" w14:textId="77777777" w:rsidR="008E331E" w:rsidRPr="00741801" w:rsidRDefault="008E331E" w:rsidP="008E331E">
      <w:pPr>
        <w:pStyle w:val="Tekstas"/>
        <w:spacing w:line="271" w:lineRule="auto"/>
        <w:ind w:firstLine="360"/>
      </w:pPr>
      <w:r w:rsidRPr="00741801">
        <w:t>Remiantis Lietuvos onkologų chemoterapeutų draugijos ir Lietuvos onkologų draugijos pateikta informacija, Lietuvos klinikinėje praktikoje mSTŽV I-os eilės gydymui šiuo metu naudojama chemoterapijos oksaliplatinos, irinotekano, fluoropirimidinų deriniai su biologine terapija bevacizumabu arba panitumumabu. Gydymo schemos pasirinkimas priklauso nuo RAS mutacijų ir naviko lokalizacijos/pusės. Atsižvelgiant į tai, Lietuvoje pagal Pareiškėjo siūlomą indikaciją gydymui dažniausiai skiriama:</w:t>
      </w:r>
    </w:p>
    <w:p w14:paraId="5D41E3C1" w14:textId="77777777" w:rsidR="008E331E" w:rsidRPr="00741801" w:rsidRDefault="008E331E" w:rsidP="008E331E">
      <w:pPr>
        <w:numPr>
          <w:ilvl w:val="0"/>
          <w:numId w:val="27"/>
        </w:numPr>
        <w:spacing w:before="20" w:after="120" w:line="271" w:lineRule="auto"/>
        <w:jc w:val="both"/>
      </w:pPr>
      <w:r w:rsidRPr="00741801">
        <w:t>laukinio RAS tipo kairės pusės navikams (apie 25 proc.) gydyti skiriamas FOLFOX+ panitumumabas;</w:t>
      </w:r>
    </w:p>
    <w:p w14:paraId="43CB577A" w14:textId="77777777" w:rsidR="008E331E" w:rsidRPr="00741801" w:rsidRDefault="008E331E" w:rsidP="008E331E">
      <w:pPr>
        <w:numPr>
          <w:ilvl w:val="0"/>
          <w:numId w:val="27"/>
        </w:numPr>
        <w:spacing w:before="20" w:after="120" w:line="271" w:lineRule="auto"/>
        <w:jc w:val="both"/>
        <w:rPr>
          <w:color w:val="000000" w:themeColor="text1"/>
        </w:rPr>
      </w:pPr>
      <w:r w:rsidRPr="00741801">
        <w:t>mutavusio RAS tipo kairės pusės ir visiems dešinės pusės navikams (apie 75 proc.) gydyti skiriamas FOLFOX/XELOX+ bevacizumabas;</w:t>
      </w:r>
    </w:p>
    <w:p w14:paraId="6AE7C087" w14:textId="77777777" w:rsidR="008E331E" w:rsidRPr="00741801" w:rsidRDefault="008E331E" w:rsidP="008E331E">
      <w:pPr>
        <w:numPr>
          <w:ilvl w:val="0"/>
          <w:numId w:val="27"/>
        </w:numPr>
        <w:spacing w:before="20" w:after="120" w:line="271" w:lineRule="auto"/>
        <w:jc w:val="both"/>
        <w:rPr>
          <w:color w:val="000000" w:themeColor="text1"/>
        </w:rPr>
      </w:pPr>
      <w:r w:rsidRPr="00741801">
        <w:t>retais atvejais skiriamas FOLFIRI su vienu iš biologinės terapijos vaistų (bevacizumabas, panitumumabas) ar FOLFOXIRI+bevacizumabu.</w:t>
      </w:r>
    </w:p>
    <w:p w14:paraId="57D1F9BF" w14:textId="77777777" w:rsidR="008E331E" w:rsidRPr="00741801" w:rsidRDefault="008E331E" w:rsidP="008E331E">
      <w:pPr>
        <w:pStyle w:val="Tekstas"/>
        <w:spacing w:line="271" w:lineRule="auto"/>
        <w:ind w:firstLine="360"/>
      </w:pPr>
      <w:r w:rsidRPr="00741801">
        <w:t>Tarptautiniu mastu išplitusio storosios ir tiesiosios žarnos vėžio gydymas reglamentuojamas Europos medicinos onkologijos draugijos (</w:t>
      </w:r>
      <w:r w:rsidRPr="00741801">
        <w:rPr>
          <w:i/>
        </w:rPr>
        <w:t>angl. European Society for Medical Oncology</w:t>
      </w:r>
      <w:r w:rsidRPr="00741801">
        <w:t>, ESMO) ir Nacionalinio visuotinio vėžio tinklo (</w:t>
      </w:r>
      <w:r w:rsidRPr="00741801">
        <w:rPr>
          <w:i/>
        </w:rPr>
        <w:t>angl. National Comprehensive Cancer Network</w:t>
      </w:r>
      <w:r w:rsidRPr="00741801">
        <w:t>, NCCN) rekomendacijose. ESMO (2023 m.) ir NCCN (2021 m.) rekomendacijose prašomai kompensuoti indikacijai jau rekomenduojamas ir pembrolizumabas.</w:t>
      </w:r>
    </w:p>
    <w:p w14:paraId="2D66F439" w14:textId="77777777" w:rsidR="008E331E" w:rsidRPr="00741801" w:rsidRDefault="008E331E" w:rsidP="008E331E">
      <w:pPr>
        <w:spacing w:before="20" w:after="120" w:line="271" w:lineRule="auto"/>
        <w:ind w:firstLine="720"/>
        <w:jc w:val="both"/>
      </w:pPr>
      <w:r w:rsidRPr="00741801">
        <w:t xml:space="preserve">Gydymą taip pat apibrėžia kompensuojamų ir centralizuotai perkamų vaistų sąrašai. </w:t>
      </w:r>
      <w:r w:rsidRPr="00741801">
        <w:rPr>
          <w:rFonts w:eastAsia="Calibri"/>
        </w:rPr>
        <w:t xml:space="preserve">Remiantis Lietuvos sveikatos apsaugos ministro 2010 m. birželio 30 d. patvirtinta įsakymo Nr. V-599 redakcija ,, Ligų ir kompensuojamųjų vaistų joms gydyti sąrašu (A sąrašu)“, šiuo metu Lietuvoje </w:t>
      </w:r>
      <w:r w:rsidRPr="00741801">
        <w:rPr>
          <w:rFonts w:eastAsia="Calibri"/>
        </w:rPr>
        <w:lastRenderedPageBreak/>
        <w:t xml:space="preserve">pagal TLK-10 kodus C18-20 kompensuojami šie vaistiniai preparatai - </w:t>
      </w:r>
      <w:r w:rsidRPr="00741801">
        <w:rPr>
          <w:rFonts w:eastAsia="Calibri"/>
          <w:i/>
        </w:rPr>
        <w:t xml:space="preserve">kapecitabinas, kalcio folinatas, fluorouracilas, tegafurumas, regorafenibas, </w:t>
      </w:r>
      <w:r w:rsidRPr="00741801">
        <w:rPr>
          <w:i/>
          <w:iCs/>
          <w:sz w:val="23"/>
          <w:szCs w:val="23"/>
        </w:rPr>
        <w:t xml:space="preserve">trifluridinas ir tipiracilas. </w:t>
      </w:r>
      <w:r w:rsidRPr="00741801">
        <w:rPr>
          <w:iCs/>
          <w:sz w:val="23"/>
          <w:szCs w:val="23"/>
        </w:rPr>
        <w:t xml:space="preserve">Vadovaujantis </w:t>
      </w:r>
      <w:r w:rsidRPr="00741801">
        <w:rPr>
          <w:rFonts w:eastAsia="Calibri"/>
        </w:rPr>
        <w:t xml:space="preserve">Lietuvos sveikatos apsaugos ministro 2014 m. rugpjūčio 28 d. patvirtinta įsakymo Nr. V-910 redakcija ,,Dėl centralizuotai apmokamų vaistinių preparatų ir medicinos pagalbos priemonių sąrašo patvirtinimo“, šiuo metu Lietuvoje pagal TLK-10 kodus C18-20 kompensuojami šie vaistiniai preparatai: </w:t>
      </w:r>
      <w:r w:rsidRPr="00741801">
        <w:rPr>
          <w:rFonts w:eastAsia="Calibri"/>
          <w:i/>
        </w:rPr>
        <w:t>bevacizumabas, cetuksimabas, panitumabas ir afliberceptas.</w:t>
      </w:r>
    </w:p>
    <w:p w14:paraId="61B3EE65" w14:textId="77777777" w:rsidR="008E331E" w:rsidRPr="00741801" w:rsidRDefault="008E331E" w:rsidP="008E331E">
      <w:pPr>
        <w:pStyle w:val="Tekstas"/>
        <w:spacing w:line="271" w:lineRule="auto"/>
        <w:ind w:firstLine="720"/>
      </w:pPr>
      <w:r w:rsidRPr="00741801">
        <w:t>Šiuo metu nesant tikslinio mSTŽV su MSI-H/dMMR rodmeniu I-os eilės gydymo rekomenduojama ir skiriama chemoterapija (FOLFOX, FOLFIRI, XELOX, FOLFOXIRI) arba chemoterapija su biologiniais preparatais (FOLFOX arba FOLFIRI arba XELOX su bevacizumabu arba cetuksimabu arba panitumumabu, FOLFOXIRI su bevacizumabu).</w:t>
      </w:r>
    </w:p>
    <w:p w14:paraId="4ECD81AA" w14:textId="77777777" w:rsidR="008E331E" w:rsidRPr="00741801" w:rsidRDefault="008E331E" w:rsidP="008E331E">
      <w:pPr>
        <w:pStyle w:val="Tekstas"/>
        <w:spacing w:line="271" w:lineRule="auto"/>
        <w:ind w:firstLine="720"/>
      </w:pPr>
      <w:r w:rsidRPr="00741801">
        <w:t xml:space="preserve">Aukščiau minėtuose chemoterapiniuose deriniuose įeinantys vaistiniai preparatai </w:t>
      </w:r>
      <w:r w:rsidRPr="00741801">
        <w:rPr>
          <w:rFonts w:eastAsia="Calibri"/>
          <w:i/>
        </w:rPr>
        <w:t>irinotekanas</w:t>
      </w:r>
      <w:r w:rsidRPr="00741801">
        <w:rPr>
          <w:rFonts w:eastAsia="Calibri"/>
        </w:rPr>
        <w:t xml:space="preserve"> (įeina į  FOLFIRI, FOLFOXIRI chemoterapines gydymo schemas) šiuo metu kompensuojamas pagal TLK-10 kodą C25, o vaistinis preparatas </w:t>
      </w:r>
      <w:r w:rsidRPr="00741801">
        <w:rPr>
          <w:i/>
        </w:rPr>
        <w:t>oksaliplatina</w:t>
      </w:r>
      <w:r w:rsidRPr="00741801">
        <w:t xml:space="preserve"> (įeina į FOLFOX, XELOX ir FOLFOXIRI chemoterapijos schemas) nėra kompensuojama Lietuvoje, remiantis </w:t>
      </w:r>
      <w:r w:rsidRPr="00741801">
        <w:rPr>
          <w:rFonts w:eastAsia="Calibri"/>
        </w:rPr>
        <w:t>Lietuvos sveikatos apsaugos ministro 2014 m. rugpjūčio 28 d. patvirtinta įsakymo Nr. V-910 redakcija ,,Dėl centralizuotai apmokamų vaistinių preparatų ir medicinos pagalbos priemonių sąrašo patvirtinimo“ ir Lietuvos sveikatos apsaugos ministro 2010 m. birželio 30 d. patvirtinta įsakymo Nr. V-599 redakcija ,, Ligų ir kompensuojamųjų vaistų joms gydyti sąrašu (A sąrašu)“.</w:t>
      </w:r>
    </w:p>
    <w:p w14:paraId="3CF442F4" w14:textId="77777777" w:rsidR="008E331E" w:rsidRPr="00741801" w:rsidRDefault="008E331E" w:rsidP="008E331E">
      <w:pPr>
        <w:spacing w:line="271" w:lineRule="auto"/>
        <w:ind w:firstLine="720"/>
        <w:jc w:val="both"/>
      </w:pPr>
      <w:r w:rsidRPr="00741801">
        <w:t xml:space="preserve">Įvertinus palyginamojo gydymo klinikinius duomenis bei </w:t>
      </w:r>
      <w:r w:rsidRPr="00741801">
        <w:rPr>
          <w:color w:val="000000" w:themeColor="text1"/>
        </w:rPr>
        <w:t xml:space="preserve">remiantis </w:t>
      </w:r>
      <w:r w:rsidRPr="00741801">
        <w:rPr>
          <w:bCs/>
          <w:color w:val="000000" w:themeColor="text1"/>
          <w:lang w:eastAsia="lt-LT"/>
        </w:rPr>
        <w:t>Lietuvos Respublikos sveikatos apsaugos ministro 2002 m. balandžio 5 d. įsakymo Nr. V-159 „Dė</w:t>
      </w:r>
      <w:r w:rsidRPr="00741801">
        <w:rPr>
          <w:bCs/>
          <w:color w:val="000000" w:themeColor="text1"/>
        </w:rPr>
        <w:t xml:space="preserve">l vaistinių preparatų ir medicinos pagalbos priemonių įrašymo į kompensavimo sąrašus ir jų keitimo tvarkos aprašo patvirtinimo“ rengimo taisyklių </w:t>
      </w:r>
      <w:r w:rsidRPr="00741801">
        <w:rPr>
          <w:bCs/>
          <w:color w:val="000000" w:themeColor="text1"/>
          <w:lang w:eastAsia="lt-LT"/>
        </w:rPr>
        <w:t xml:space="preserve">116.1 punktu, tinkamas palyginamasis gydymas yra įprastinis standartinis </w:t>
      </w:r>
      <w:r w:rsidRPr="00741801">
        <w:t xml:space="preserve">mSTŽV gydymas, kuris atitinka įprastinę klinikinę praktiką Lietuvoje. </w:t>
      </w:r>
    </w:p>
    <w:p w14:paraId="01B96F93" w14:textId="5A90449F" w:rsidR="008E331E" w:rsidRPr="00741801" w:rsidRDefault="008E331E" w:rsidP="008E331E">
      <w:pPr>
        <w:spacing w:line="271" w:lineRule="auto"/>
        <w:ind w:firstLine="720"/>
        <w:jc w:val="both"/>
      </w:pPr>
      <w:r w:rsidRPr="00741801">
        <w:t xml:space="preserve">Pembrolizumabo palyginamasis efektyvumas ir klinikinis veiksmingumas grindžiamas tiesioginio palyginimo klinikinio tyrimo KEYNOTE 177 duomenimis ir netiesioginio palyginimo (tinklinės meta-analizės) duomenimis. </w:t>
      </w:r>
      <w:r w:rsidRPr="00741801">
        <w:rPr>
          <w:rFonts w:eastAsia="Arial"/>
        </w:rPr>
        <w:t xml:space="preserve">Pateikti realaus stebėjimo tyrimo rezultatai </w:t>
      </w:r>
      <w:r w:rsidR="00BF556E" w:rsidRPr="00741801">
        <w:rPr>
          <w:rFonts w:eastAsia="Arial"/>
        </w:rPr>
        <w:t>vertinami</w:t>
      </w:r>
      <w:r w:rsidRPr="00741801">
        <w:rPr>
          <w:rFonts w:eastAsia="Arial"/>
        </w:rPr>
        <w:t xml:space="preserve"> kaip pildoma informacija dėl pembrolizumabo klinikinio veiksmingumo gydant pacientus, sergančius MSI-H/dMMR </w:t>
      </w:r>
      <w:r w:rsidR="007C62E5" w:rsidRPr="00741801">
        <w:rPr>
          <w:rFonts w:eastAsia="Arial"/>
        </w:rPr>
        <w:t>rodmenis</w:t>
      </w:r>
      <w:r w:rsidRPr="00741801">
        <w:rPr>
          <w:rFonts w:eastAsia="Arial"/>
        </w:rPr>
        <w:t xml:space="preserve"> SŽV.</w:t>
      </w:r>
    </w:p>
    <w:p w14:paraId="41FA0137" w14:textId="77777777" w:rsidR="008E331E" w:rsidRPr="00741801" w:rsidRDefault="008E331E" w:rsidP="008E331E">
      <w:pPr>
        <w:tabs>
          <w:tab w:val="left" w:pos="284"/>
        </w:tabs>
        <w:spacing w:line="276" w:lineRule="auto"/>
      </w:pPr>
    </w:p>
    <w:p w14:paraId="2F0D7845" w14:textId="77777777" w:rsidR="008E331E" w:rsidRPr="00741801" w:rsidRDefault="008E331E" w:rsidP="008E331E">
      <w:pPr>
        <w:tabs>
          <w:tab w:val="left" w:pos="426"/>
        </w:tabs>
        <w:spacing w:line="276" w:lineRule="auto"/>
        <w:jc w:val="both"/>
        <w:rPr>
          <w:i/>
        </w:rPr>
      </w:pPr>
      <w:r w:rsidRPr="00741801">
        <w:rPr>
          <w:i/>
        </w:rPr>
        <w:t>Tiesioginis palyginimas</w:t>
      </w:r>
    </w:p>
    <w:p w14:paraId="32CBBF04" w14:textId="77777777" w:rsidR="008E331E" w:rsidRPr="00741801" w:rsidRDefault="008E331E" w:rsidP="008E331E">
      <w:pPr>
        <w:tabs>
          <w:tab w:val="left" w:pos="426"/>
        </w:tabs>
        <w:spacing w:line="271" w:lineRule="auto"/>
        <w:jc w:val="both"/>
      </w:pPr>
      <w:r w:rsidRPr="00741801">
        <w:tab/>
        <w:t xml:space="preserve">Tiesioginiame palyginamajame tyrime KEYNOTE-177 pateiktos FOLFOX6, FOLFIRI ir FOLFOX6, FOLFIRI su bevacizumabu arba su cetuksimabu gydymo derinių schemos. </w:t>
      </w:r>
    </w:p>
    <w:p w14:paraId="4D6BCF06" w14:textId="77777777" w:rsidR="008E331E" w:rsidRPr="00741801" w:rsidRDefault="008E331E" w:rsidP="008E331E">
      <w:pPr>
        <w:pStyle w:val="Tekstas"/>
        <w:spacing w:line="271" w:lineRule="auto"/>
        <w:ind w:firstLine="720"/>
      </w:pPr>
      <w:r w:rsidRPr="00741801">
        <w:t>Pareiškėjas pateikė klinikinio tyrimo rezultatus, kur buvo apjungti visų gydymo režimų duomenis siekiant juos palyginti su pembrolizumabu – taikytas mišrus lyginamasis preparatas. Tai reiškia, kad nėra duomenų tiesiogiai leidžiančių palyginti pembrolizumabą atskirai su kiekvienu gydymo režimu įprastinio gydymo kontrolinėje grupėje.  Mišraus lyginamojo vaisto komponentai turi skirting naudos laipsnį ir pritaikant mišrų lyginamąjį metodą, įtrauktų gydymo būdų klinikinis veiksmingumas yra vidutinis, rezultatai yra labiau neapibrėžti. Palyginamasis gydymas su FOLFOX6, FOLFOX6+bevacizumabu, FOLFIRI+bevacizumabu, FOLFOX+panitumabu laikomi tinkamu palyginamuoju gydymu pagal įprastinę klinikinę praktiką Lietuvoje, todėl atsižvelgiant, kad rezultatai skaičiuoti apjungiant visus įprastinėje praktikoje taikomus gydymo režimus, palyginamasis gydymas taikytas klinikiniame tyrime ne visiškai atitinka įprastinę klinikinę praktiką Lietuvoje.</w:t>
      </w:r>
    </w:p>
    <w:p w14:paraId="3BF1F977" w14:textId="77777777" w:rsidR="008E331E" w:rsidRPr="00741801" w:rsidRDefault="008E331E" w:rsidP="008E331E">
      <w:pPr>
        <w:pStyle w:val="Tekstas"/>
        <w:spacing w:line="271" w:lineRule="auto"/>
        <w:ind w:firstLine="720"/>
      </w:pPr>
      <w:r w:rsidRPr="00741801">
        <w:t>Taip pat, pažymime, kad apie 70 proc. randomizuotų pacientų į įprastinio gydymo grupę KEYNOTE-177 gavo gydymo režimą į kurį įėjo bevacizumabas. Nacionalinio sveikatos ir priežiūros instituto (</w:t>
      </w:r>
      <w:r w:rsidRPr="00741801">
        <w:rPr>
          <w:i/>
        </w:rPr>
        <w:t>angl. National Health and Care Excellence)</w:t>
      </w:r>
      <w:r w:rsidRPr="00741801">
        <w:t xml:space="preserve"> galutiniame Keytruda vertinime (pagal </w:t>
      </w:r>
      <w:r w:rsidRPr="00741801">
        <w:lastRenderedPageBreak/>
        <w:t>Pareiškėjo teikiamą indikaciją), ekspertų grupė pažymėjo, jog bevacizumabas yra itin efektyvus pacientams, sergantiems SŽV su dideliu MSI ar dMMR trūkumu. Tačiau duomenų apie šią populiaciją yra nedaug, todėl naudos mastas nežinomas. Ekspertų grupė pabrėžė, kad bevacizumabas yra efektyvesnis nei kiti gydymo režimai ir kad rezultatai KEYNOTE-177 gali nepakankamai įvertinti santykinį pembrolizumabo veiksmingumą analizuotą klinikiniame tyrime.</w:t>
      </w:r>
    </w:p>
    <w:p w14:paraId="4CFC0D5E" w14:textId="4486CCA2" w:rsidR="008E331E" w:rsidRPr="00741801" w:rsidRDefault="008E331E" w:rsidP="008E331E">
      <w:pPr>
        <w:tabs>
          <w:tab w:val="left" w:pos="426"/>
        </w:tabs>
        <w:spacing w:line="271" w:lineRule="auto"/>
        <w:jc w:val="both"/>
        <w:rPr>
          <w:rFonts w:eastAsia="Arial"/>
        </w:rPr>
      </w:pPr>
      <w:r w:rsidRPr="00741801">
        <w:rPr>
          <w:rFonts w:eastAsia="Arial"/>
        </w:rPr>
        <w:tab/>
        <w:t xml:space="preserve">Tyrime planuota atlikti dvi tarpines analizes ir galutinę analizę. Pirminės vertinamosios baigtys </w:t>
      </w:r>
      <w:r w:rsidR="007C62E5" w:rsidRPr="00741801">
        <w:rPr>
          <w:rFonts w:eastAsia="Arial"/>
        </w:rPr>
        <w:t>galutinėje</w:t>
      </w:r>
      <w:r w:rsidRPr="00741801">
        <w:rPr>
          <w:rFonts w:eastAsia="Arial"/>
        </w:rPr>
        <w:t xml:space="preserve"> analizėje buvo dvi: išgyvenamumas be ligos progresavimo (IBPL) ir bendras išgyvenamumas (BI). Antrinės vertinamosios baigtys – objektyvaus atsako dažnis, pacientų praneštos baigtys. Iš anksto nustatytos pogrupių kategorijos, skirtos BI analizei apėmė amžių, geografinį regioną, pasikartojanį ir naujai diagnozuotą vėžį, BRAF laukinio tipo ir BRAF V600E ir pirminio naviko lokalizaciją. Post-hoc pogrupiai apėmė lytį, ECOG balą ir KRAS mutacijos buvimą. Oficialus statistinis testavimas nebuvo nustatytas BI pagal pogrupius, o P vertės buvo nominalios.</w:t>
      </w:r>
      <w:r w:rsidRPr="00741801">
        <w:rPr>
          <w:rFonts w:eastAsia="Arial"/>
          <w:b/>
        </w:rPr>
        <w:t xml:space="preserve"> </w:t>
      </w:r>
    </w:p>
    <w:p w14:paraId="7C999F65" w14:textId="77777777" w:rsidR="008E331E" w:rsidRPr="00741801" w:rsidRDefault="008E331E" w:rsidP="008E331E">
      <w:pPr>
        <w:tabs>
          <w:tab w:val="left" w:pos="426"/>
        </w:tabs>
        <w:spacing w:line="271" w:lineRule="auto"/>
        <w:jc w:val="both"/>
        <w:rPr>
          <w:rFonts w:eastAsia="Arial"/>
        </w:rPr>
      </w:pPr>
      <w:r w:rsidRPr="00741801">
        <w:rPr>
          <w:rFonts w:eastAsia="Arial"/>
          <w:b/>
        </w:rPr>
        <w:tab/>
      </w:r>
      <w:r w:rsidRPr="00741801">
        <w:rPr>
          <w:rFonts w:eastAsia="Arial"/>
        </w:rPr>
        <w:t xml:space="preserve">Vidutinis tyrimo stebėjimo laikotarpis buvo 44,5 mėnesio (36-60,3) vartojant pembrolizumabą lyginant su 44,4 mėnesio (36,2-58,6) su chemoterapija. Atkreiptinas dėmesys, kad gydymas pembrolizumabu tyrime buvo skirtas 2 metus. </w:t>
      </w:r>
    </w:p>
    <w:p w14:paraId="2C84D423" w14:textId="63ACF827" w:rsidR="008E331E" w:rsidRPr="00741801" w:rsidRDefault="008E331E" w:rsidP="008E331E">
      <w:pPr>
        <w:tabs>
          <w:tab w:val="left" w:pos="426"/>
        </w:tabs>
        <w:spacing w:line="271" w:lineRule="auto"/>
        <w:jc w:val="both"/>
      </w:pPr>
      <w:r w:rsidRPr="00741801">
        <w:tab/>
        <w:t xml:space="preserve">Apibendrinant tiesioginio palyginamojo tyrimo KEYNOTE-177 rezultatus, nustatytas statistiškai reikšmingai ilgesnis IBPL - rizikos santykis (RS) buvo 0,60 (p=0,0002), t. y. ligos progresavimo ar mirties rizika gydant pembrolizumabu sumažėjo 40%. Tačiau proporcingas RS buvo pažeistas (planuotas RS 0,55 pasiektas 0,60) ir tuomet buvo atlikta vidutinė išgyvenimo laiko analizė, kuri neparodė </w:t>
      </w:r>
      <w:r w:rsidR="007C62E5" w:rsidRPr="00741801">
        <w:t>statistiškai</w:t>
      </w:r>
      <w:r w:rsidRPr="00741801">
        <w:t xml:space="preserve"> reikšmingo skirtumo. Pembrolizumabo pranašumas lyginant su chemoterapija nebuvo įrodytas atliekant tarpinę analizę.</w:t>
      </w:r>
    </w:p>
    <w:p w14:paraId="7ECB12A9" w14:textId="57398B59" w:rsidR="008E331E" w:rsidRPr="00741801" w:rsidRDefault="008E331E" w:rsidP="008E331E">
      <w:pPr>
        <w:tabs>
          <w:tab w:val="left" w:pos="426"/>
        </w:tabs>
        <w:spacing w:line="271" w:lineRule="auto"/>
        <w:jc w:val="both"/>
        <w:rPr>
          <w:rFonts w:eastAsia="Arial"/>
          <w:color w:val="000000" w:themeColor="text1"/>
        </w:rPr>
      </w:pPr>
      <w:r w:rsidRPr="00741801">
        <w:tab/>
        <w:t xml:space="preserve">Pembrolizumabo grupėje IBLP mediana buvo du kartus ilgesnė nei standartinio gydymo grupėje (16,5 mėn. lyginant 8,2 mėn.). </w:t>
      </w:r>
      <w:r w:rsidRPr="00741801">
        <w:rPr>
          <w:rFonts w:eastAsia="Arial"/>
          <w:color w:val="000000" w:themeColor="text1"/>
        </w:rPr>
        <w:t xml:space="preserve">Vertinant pagrindinės analizės BI rezultatus, pembrolizumabo pranašumas lyginant su chemoterapija laikomas neįrodytas, nes nebuvo pasiektas iš anksto nustatytas alfa 0,025 lygmuo reikalingas statistiniam reikšmingumui, t.y. PI </w:t>
      </w:r>
      <w:r w:rsidR="007C62E5" w:rsidRPr="00741801">
        <w:rPr>
          <w:rFonts w:eastAsia="Arial"/>
          <w:color w:val="000000" w:themeColor="text1"/>
        </w:rPr>
        <w:t>viršutin</w:t>
      </w:r>
      <w:r w:rsidR="0001417F">
        <w:rPr>
          <w:rFonts w:eastAsia="Arial"/>
          <w:color w:val="000000" w:themeColor="text1"/>
        </w:rPr>
        <w:t>ė</w:t>
      </w:r>
      <w:r w:rsidRPr="00741801">
        <w:rPr>
          <w:rFonts w:eastAsia="Arial"/>
          <w:color w:val="000000" w:themeColor="text1"/>
        </w:rPr>
        <w:t xml:space="preserve"> riba viršiją 1.0 (RS 0,74; 95 proc. PI: 0,53-1,03; p=0,036). Detalaus vertinio metu nustatyta, kad reikalingi </w:t>
      </w:r>
      <w:r w:rsidR="0001417F" w:rsidRPr="00741801">
        <w:rPr>
          <w:rFonts w:eastAsia="Arial"/>
          <w:color w:val="000000" w:themeColor="text1"/>
        </w:rPr>
        <w:t>ilgesnio</w:t>
      </w:r>
      <w:r w:rsidRPr="00741801">
        <w:rPr>
          <w:rFonts w:eastAsia="Arial"/>
          <w:color w:val="000000" w:themeColor="text1"/>
        </w:rPr>
        <w:t xml:space="preserve"> stebėjimo palyginamieji BI duomenys, kurie įrodytų pembrolizumabo pranašumą prieš chemoterapiją.</w:t>
      </w:r>
    </w:p>
    <w:p w14:paraId="4F97D654" w14:textId="77777777" w:rsidR="008E331E" w:rsidRPr="00741801" w:rsidRDefault="008E331E" w:rsidP="008E331E">
      <w:pPr>
        <w:pStyle w:val="Tekstas"/>
        <w:spacing w:line="271" w:lineRule="auto"/>
        <w:ind w:firstLine="720"/>
      </w:pPr>
      <w:r w:rsidRPr="00741801">
        <w:t>Lyginant su standartiniu gydymu, pembrolizumabu gydytų pacientų gyvenimo kokybė buvo statistiškai ir kliniškai geresnė. Gyvenimo kokybės gerėjimas nuo klinikinio tyrimo pradžios pembrolizumabo grupėje stebėtas iki 45-os tyrimo savaitės imtinai. 18-ą tyrimo savaitę pembrolizumabo grupės pacientų fizinio, rolės, socialinio funkcionavimo ir nuovargio rodikliai buvo stabilūs arba gerėjantys,  o standartinio gydymo grupėje stebėtas šių rodiklių blogėjimas.</w:t>
      </w:r>
    </w:p>
    <w:p w14:paraId="0F0634F4" w14:textId="77777777" w:rsidR="008E331E" w:rsidRPr="00741801" w:rsidRDefault="008E331E" w:rsidP="008E331E">
      <w:pPr>
        <w:tabs>
          <w:tab w:val="left" w:pos="426"/>
        </w:tabs>
        <w:spacing w:line="276" w:lineRule="auto"/>
        <w:jc w:val="both"/>
      </w:pPr>
      <w:r w:rsidRPr="00741801">
        <w:rPr>
          <w:lang w:eastAsia="en-GB"/>
        </w:rPr>
        <w:tab/>
      </w:r>
      <w:r w:rsidRPr="00741801">
        <w:rPr>
          <w:lang w:eastAsia="en-GB"/>
        </w:rPr>
        <w:tab/>
      </w:r>
      <w:r w:rsidRPr="00C55608">
        <w:rPr>
          <w:lang w:eastAsia="en-GB"/>
        </w:rPr>
        <w:t>Atsižvelgiant į IBLP ir BI rezultatus pembrolizumabo pranašumas neįrodytas prieš chemoterapiją be ar su imunoterapija</w:t>
      </w:r>
      <w:r w:rsidRPr="00741801">
        <w:rPr>
          <w:lang w:eastAsia="en-GB"/>
        </w:rPr>
        <w:t xml:space="preserve"> (m</w:t>
      </w:r>
      <w:r w:rsidRPr="00741801">
        <w:t>FOLFOX6, mFOLFOX6+bevacizumabu, mFOLFOX6+cetuximabu, FOLFIRI, FOLFIRI+bevacizumabu, FOLFIRI+cetuximabu</w:t>
      </w:r>
      <w:r w:rsidRPr="00741801">
        <w:rPr>
          <w:lang w:eastAsia="en-GB"/>
        </w:rPr>
        <w:t>).</w:t>
      </w:r>
    </w:p>
    <w:p w14:paraId="7C2A1F59" w14:textId="77777777" w:rsidR="008E331E" w:rsidRPr="00741801" w:rsidRDefault="008E331E" w:rsidP="008E331E">
      <w:pPr>
        <w:tabs>
          <w:tab w:val="left" w:pos="426"/>
        </w:tabs>
        <w:spacing w:line="276" w:lineRule="auto"/>
        <w:jc w:val="both"/>
        <w:rPr>
          <w:i/>
        </w:rPr>
      </w:pPr>
    </w:p>
    <w:p w14:paraId="770187B3" w14:textId="77777777" w:rsidR="008E331E" w:rsidRPr="00741801" w:rsidRDefault="008E331E" w:rsidP="008E331E">
      <w:pPr>
        <w:tabs>
          <w:tab w:val="left" w:pos="426"/>
        </w:tabs>
        <w:spacing w:line="276" w:lineRule="auto"/>
        <w:jc w:val="both"/>
        <w:rPr>
          <w:i/>
        </w:rPr>
      </w:pPr>
      <w:r w:rsidRPr="00741801">
        <w:rPr>
          <w:i/>
        </w:rPr>
        <w:t>Netiesioginis palyginimas</w:t>
      </w:r>
    </w:p>
    <w:p w14:paraId="10BFCD4D" w14:textId="77777777" w:rsidR="008E331E" w:rsidRPr="00741801" w:rsidRDefault="008E331E" w:rsidP="008E331E">
      <w:pPr>
        <w:pStyle w:val="Tekstas"/>
        <w:spacing w:line="271" w:lineRule="auto"/>
        <w:ind w:firstLine="720"/>
        <w:rPr>
          <w:rFonts w:eastAsia="Arial"/>
        </w:rPr>
      </w:pPr>
      <w:r w:rsidRPr="00741801">
        <w:rPr>
          <w:rFonts w:eastAsia="Arial"/>
        </w:rPr>
        <w:t xml:space="preserve">Netiesioginiame palyginime taikytas tinklinės meta-analizės metodas. Į tinklinės meta-analizės vertinimą įtraukti 31 klinikiniai tyrimai, iš visų įtrauktų tyrimų tik KEYNOTE-177 ir CALGB 80405 buvo atlikti su MSI-H/dMMR rodmenimis mSŽV sergančiais pacientų pogrupio rezultatais. Likę 29 tyrimai buvo atlikti su mSŽV arba mSŽV KRAS laukinio tipo pacientais. </w:t>
      </w:r>
    </w:p>
    <w:p w14:paraId="2933AC69" w14:textId="77777777" w:rsidR="008E331E" w:rsidRPr="00741801" w:rsidRDefault="008E331E" w:rsidP="008E331E">
      <w:pPr>
        <w:pStyle w:val="Tekstas"/>
        <w:spacing w:line="271" w:lineRule="auto"/>
        <w:ind w:firstLine="720"/>
        <w:rPr>
          <w:rFonts w:eastAsia="Arial"/>
        </w:rPr>
      </w:pPr>
      <w:r w:rsidRPr="00741801">
        <w:t>Šiuo</w:t>
      </w:r>
      <w:r w:rsidRPr="00741801">
        <w:rPr>
          <w:rFonts w:eastAsia="Arial"/>
        </w:rPr>
        <w:t xml:space="preserve"> tyrimu buvo siekiama palyginti pembrolizumabo veiksmingumą ir saugumą lyginant su kitais konkuruojančiais gydymo metodais, atsižvelgiant į BI, IBPL, OAD ir saugumo rezultatus pacientams, kurie anksčiau nebuvo gydyti MSI-h/dMMR mSŽV.</w:t>
      </w:r>
    </w:p>
    <w:p w14:paraId="3E69FCC7" w14:textId="77777777" w:rsidR="008E331E" w:rsidRPr="00741801" w:rsidRDefault="008E331E" w:rsidP="008E331E">
      <w:pPr>
        <w:pStyle w:val="Tekstas"/>
        <w:spacing w:line="271" w:lineRule="auto"/>
        <w:ind w:firstLine="720"/>
        <w:rPr>
          <w:rFonts w:eastAsia="Arial"/>
        </w:rPr>
      </w:pPr>
      <w:r w:rsidRPr="00741801">
        <w:lastRenderedPageBreak/>
        <w:t>Tinklo meta-analizė gali būti atliekama naudojant fiksuoto efekto arba atsitiktinių efektų modelius. Apskirtai pirmenybė teikiama atsitiktinių efektų modelių prielaidoms, nes tikimasi, kad jos bus labiau tikėtinos nei fiksuoto poveikio. Atsižvelgiant į tai, kad dauguma gydymo palyginimų buvo pagrįsti daugiau nei vienu tyrimu,  buvo svarstomi ir fiksuoto ir atsitiktinio poveikio modeliai.</w:t>
      </w:r>
    </w:p>
    <w:p w14:paraId="031346D2" w14:textId="069715A2" w:rsidR="008E331E" w:rsidRPr="00741801" w:rsidRDefault="008E331E" w:rsidP="008E331E">
      <w:pPr>
        <w:pStyle w:val="Tekstas"/>
        <w:spacing w:line="271" w:lineRule="auto"/>
        <w:ind w:firstLine="720"/>
        <w:rPr>
          <w:rFonts w:eastAsia="Arial"/>
        </w:rPr>
      </w:pPr>
      <w:r w:rsidRPr="00741801">
        <w:rPr>
          <w:rFonts w:eastAsia="Arial"/>
        </w:rPr>
        <w:t xml:space="preserve">Atkreiptinas dėmesys, jog šioje tinklinėje meta-analizėje naudotas metodas yra bandymas maksimaliai padidinti turimą įrodymų bazę, kartu sumažinant galimus šališkumo šaltinius tinkluose. Tinklinės meta-analizės rezultatai vertinami kaip papildoma informacija STV vertinimui, kurie rodo, kad pembrolizumabo  veiksmingumas yra panašus į šiuo metu taikomas gydymo schemas pacientams, sergantiems negydytu MSI-H/dMMR mSŽV lyginant su kitais gydymo metodais, taikomais šiai populiacijai gydyti. Klinkinio tyrimo KEYNOTE177 rezultatus laikome pagrindiniais Sveikatos technologijų vertinime, nes tai yra tiesioginis </w:t>
      </w:r>
      <w:r w:rsidR="0001417F" w:rsidRPr="00741801">
        <w:rPr>
          <w:rFonts w:eastAsia="Arial"/>
        </w:rPr>
        <w:t>palyginamasis</w:t>
      </w:r>
      <w:r w:rsidRPr="00741801">
        <w:rPr>
          <w:rFonts w:eastAsia="Arial"/>
        </w:rPr>
        <w:t xml:space="preserve"> tyrimas. Pateikti netiesioginio palyginimo analizės </w:t>
      </w:r>
      <w:r w:rsidR="0001417F" w:rsidRPr="00741801">
        <w:rPr>
          <w:rFonts w:eastAsia="Arial"/>
        </w:rPr>
        <w:t>rezultatai</w:t>
      </w:r>
      <w:r w:rsidRPr="00741801">
        <w:rPr>
          <w:rFonts w:eastAsia="Arial"/>
        </w:rPr>
        <w:t xml:space="preserve"> gali būti naudingi </w:t>
      </w:r>
      <w:r w:rsidR="0001417F" w:rsidRPr="00741801">
        <w:rPr>
          <w:rFonts w:eastAsia="Arial"/>
        </w:rPr>
        <w:t>klinikinėje</w:t>
      </w:r>
      <w:r w:rsidRPr="00741801">
        <w:rPr>
          <w:rFonts w:eastAsia="Arial"/>
        </w:rPr>
        <w:t xml:space="preserve"> praktikoje individualizuojant gydymą pacientams, tačiau pembrolizumabo pranašumas laikomas neįrodytu, palyginus su įprasta </w:t>
      </w:r>
      <w:r w:rsidR="0001417F" w:rsidRPr="00741801">
        <w:rPr>
          <w:rFonts w:eastAsia="Arial"/>
        </w:rPr>
        <w:t>klinikine</w:t>
      </w:r>
      <w:r w:rsidRPr="00741801">
        <w:rPr>
          <w:rFonts w:eastAsia="Arial"/>
        </w:rPr>
        <w:t xml:space="preserve"> praktika Lietuvoje.</w:t>
      </w:r>
    </w:p>
    <w:p w14:paraId="1590A8AE" w14:textId="7BF56001" w:rsidR="008E331E" w:rsidRPr="00741801" w:rsidRDefault="008E331E" w:rsidP="008E331E">
      <w:pPr>
        <w:spacing w:line="276" w:lineRule="auto"/>
        <w:ind w:right="10" w:firstLine="720"/>
        <w:jc w:val="both"/>
        <w:outlineLvl w:val="0"/>
      </w:pPr>
      <w:r w:rsidRPr="00741801">
        <w:t>Atlikus detalų tiesioginio kinkinio tyrimo KETNOTE 177 ir netiesioginio palyginimo analizės rezultatų vertinimą, nustatyta, kad pembrolizumabo pranašumas nebuvo įrodytas pagal pateiktus paraiškoje bendro išgyven</w:t>
      </w:r>
      <w:r w:rsidR="005E70C5">
        <w:t>amumo</w:t>
      </w:r>
      <w:r w:rsidRPr="00741801">
        <w:t xml:space="preserve"> </w:t>
      </w:r>
      <w:r w:rsidR="005E70C5" w:rsidRPr="00741801">
        <w:t>klinikinius</w:t>
      </w:r>
      <w:r w:rsidRPr="00741801">
        <w:t xml:space="preserve"> duomenis. KEYNOTE 177 klinikiniame tyrime BI rizikos santykis yra 0,74 (95 proc. PI:0,53-1,03) (pirminė vertinamoji baigtis). Pareiškėjui nesutikus su klinikinio vertinimo išvada, pateiktas prašymas pateikti papildomus tiesioginio palyginimo arba realaus gyvenimo duomenys, įrodančius pembrolizumabo pranašumą lyginant su įprastine klinikine praktike Lietuvoje remiantis bendru išgyvenamumu.</w:t>
      </w:r>
    </w:p>
    <w:p w14:paraId="69A3CC24" w14:textId="468A0CCA" w:rsidR="008E331E" w:rsidRPr="00C009DE" w:rsidRDefault="008E331E" w:rsidP="008E331E">
      <w:pPr>
        <w:spacing w:line="276" w:lineRule="auto"/>
        <w:ind w:right="10" w:firstLine="720"/>
        <w:jc w:val="both"/>
        <w:outlineLvl w:val="0"/>
        <w:rPr>
          <w:color w:val="242424"/>
        </w:rPr>
      </w:pPr>
      <w:r w:rsidRPr="00741801">
        <w:t>Pareiškėjas pateikė pagrindinio tyrimo KEYNOTE-177 5-erių metų ilgalaikio stebėjimo rezultatus (Shiu et al 2023)</w:t>
      </w:r>
      <w:r w:rsidRPr="00741801">
        <w:rPr>
          <w:color w:val="242424"/>
        </w:rPr>
        <w:t xml:space="preserve">: </w:t>
      </w:r>
      <w:r w:rsidRPr="00741801">
        <w:rPr>
          <w:bCs/>
          <w:color w:val="242424"/>
        </w:rPr>
        <w:t>BI mediana vartojant pembrolizumabą buvo 77,5 mėnesio (6,5 m.; 95% PI 49,2 mėn. - nepasiekta), palyginti su 36,7 mėnesio (3,1 m.; 95% PI 27,6–65,3 mėn.) taikant chemoterapiją; RS 0,73 (95% PI 0,53 - 0,99).</w:t>
      </w:r>
      <w:r w:rsidRPr="00741801">
        <w:rPr>
          <w:color w:val="242424"/>
        </w:rPr>
        <w:t>  5 metų BI dažnis buvo 54,8% pembrolizumabo grupėje ir 44,2% chemoterapijos grupėje.  Nors ilgalaikio stebėjimo metu vyko kryžminis pacientų pasiskirstymas (angl. </w:t>
      </w:r>
      <w:r w:rsidRPr="00741801">
        <w:rPr>
          <w:i/>
          <w:iCs/>
          <w:color w:val="242424"/>
        </w:rPr>
        <w:t>cross-over</w:t>
      </w:r>
      <w:r w:rsidRPr="00741801">
        <w:rPr>
          <w:color w:val="242424"/>
        </w:rPr>
        <w:t xml:space="preserve">) iš chemoterapijos grupės į monoterapjos pembrolizumabu grupę (iki 62 proc. pacientų), bendrai įvertinus 5-erių metų stebėjimo duomenis BI trukmė pembrolizumabo grupėje buvo </w:t>
      </w:r>
      <w:r w:rsidR="00001B30" w:rsidRPr="00741801">
        <w:rPr>
          <w:color w:val="242424"/>
        </w:rPr>
        <w:t>statistiškai</w:t>
      </w:r>
      <w:r w:rsidRPr="00741801">
        <w:rPr>
          <w:color w:val="242424"/>
        </w:rPr>
        <w:t xml:space="preserve"> reikšmingai</w:t>
      </w:r>
      <w:r w:rsidRPr="00741801" w:rsidDel="006471A5">
        <w:rPr>
          <w:color w:val="242424"/>
        </w:rPr>
        <w:t xml:space="preserve"> </w:t>
      </w:r>
      <w:r w:rsidRPr="00741801">
        <w:rPr>
          <w:color w:val="242424"/>
        </w:rPr>
        <w:t xml:space="preserve">ilgesnė. Tarnyba šią papildomą informaciją įvertino kaip </w:t>
      </w:r>
      <w:r w:rsidRPr="00C009DE">
        <w:rPr>
          <w:color w:val="242424"/>
        </w:rPr>
        <w:t>monoterapijos pembrolizumabu efektyvumo pranašumo prieš chemoterapiją įrodymą.</w:t>
      </w:r>
    </w:p>
    <w:p w14:paraId="4BDB6302" w14:textId="0265A1BC" w:rsidR="008E331E" w:rsidRPr="00741801" w:rsidRDefault="008E331E" w:rsidP="008E331E">
      <w:pPr>
        <w:spacing w:line="276" w:lineRule="auto"/>
        <w:ind w:right="10" w:firstLine="720"/>
        <w:jc w:val="both"/>
        <w:outlineLvl w:val="0"/>
      </w:pPr>
      <w:r w:rsidRPr="00C009DE">
        <w:t>Apibendrinant, nustatyta, kad, skiriant pirmaeiliam gydymui pacientams su metastazavusiu</w:t>
      </w:r>
      <w:r w:rsidRPr="00741801">
        <w:t xml:space="preserve"> storosios ir tiesiosios žarnos vėžiu, kai nustatytas didelis mikrosatelitų nestabilumo rodmuo (angl. </w:t>
      </w:r>
      <w:r w:rsidRPr="00741801">
        <w:rPr>
          <w:i/>
          <w:iCs/>
        </w:rPr>
        <w:t>microsatellite instability-high, MSI-H</w:t>
      </w:r>
      <w:r w:rsidRPr="00741801">
        <w:t xml:space="preserve">) arba klaidingai suporuotų nukleotidų DNR pažaidų taisymo sistemos stoka (angl. </w:t>
      </w:r>
      <w:r w:rsidRPr="00741801">
        <w:rPr>
          <w:i/>
          <w:iCs/>
        </w:rPr>
        <w:t>mismatch repair deficient, dMMR</w:t>
      </w:r>
      <w:r w:rsidRPr="00741801">
        <w:t>), monoterapijos klinikinis veiksmingumas yra didesnis, palyginus su chemoterapija</w:t>
      </w:r>
      <w:r w:rsidR="00902D57">
        <w:t>.</w:t>
      </w:r>
      <w:r w:rsidRPr="00741801">
        <w:t xml:space="preserve"> </w:t>
      </w:r>
    </w:p>
    <w:p w14:paraId="2A2E17BD" w14:textId="3EC5B3CB" w:rsidR="00975331" w:rsidRPr="009463CD" w:rsidRDefault="00975331" w:rsidP="009753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206F8A2F" w:rsidR="00E03C3F" w:rsidRPr="009463CD" w:rsidRDefault="00CC7832" w:rsidP="00937907">
      <w:pPr>
        <w:pStyle w:val="ListParagraph"/>
        <w:numPr>
          <w:ilvl w:val="0"/>
          <w:numId w:val="12"/>
        </w:numPr>
        <w:tabs>
          <w:tab w:val="left" w:pos="426"/>
        </w:tabs>
        <w:rPr>
          <w:b/>
          <w:bCs/>
          <w:caps/>
        </w:rPr>
      </w:pPr>
      <w:r w:rsidRPr="009463CD">
        <w:rPr>
          <w:b/>
          <w:bCs/>
          <w:caps/>
        </w:rPr>
        <w:t xml:space="preserve">Farmakoekonominio vertinimo </w:t>
      </w:r>
      <w:r w:rsidR="002F0E4F" w:rsidRPr="009463CD">
        <w:rPr>
          <w:b/>
          <w:bCs/>
          <w:caps/>
        </w:rPr>
        <w:t>apibendrinimas</w:t>
      </w:r>
    </w:p>
    <w:p w14:paraId="28372708" w14:textId="0A4F5324" w:rsidR="00B83467" w:rsidRDefault="00B83467" w:rsidP="0079741F">
      <w:pPr>
        <w:shd w:val="clear" w:color="auto" w:fill="FFFFFF"/>
        <w:spacing w:line="276" w:lineRule="auto"/>
        <w:jc w:val="both"/>
        <w:rPr>
          <w:rFonts w:eastAsia="Arial"/>
        </w:rPr>
      </w:pPr>
    </w:p>
    <w:p w14:paraId="6EC201FF" w14:textId="71ECE4EF" w:rsidR="00FE4790" w:rsidRDefault="00FE4790" w:rsidP="00FE4790">
      <w:pPr>
        <w:shd w:val="clear" w:color="auto" w:fill="FFFFFF"/>
        <w:spacing w:line="276" w:lineRule="auto"/>
        <w:jc w:val="both"/>
        <w:rPr>
          <w:rFonts w:eastAsia="Arial"/>
          <w:bCs/>
        </w:rPr>
      </w:pPr>
      <w:r>
        <w:rPr>
          <w:rFonts w:eastAsia="Arial"/>
          <w:bCs/>
        </w:rPr>
        <w:t>Vertinimui pateikta kaštų naudingumo analizė, kurioje įvertinamas pembrolizumabo, kaip pirmaeilės terapijos, kaštų naudingumas pacientams, sergantiems metastazavusiu storosios ir tiesiosios žarnos vėžiu. Laikoma, jog į KN177 klinikinį tyrimą įtraukti pacientai atitinka ko</w:t>
      </w:r>
      <w:r w:rsidR="00CF6CE5">
        <w:rPr>
          <w:rFonts w:eastAsia="Arial"/>
          <w:bCs/>
        </w:rPr>
        <w:t>mp</w:t>
      </w:r>
      <w:r>
        <w:rPr>
          <w:rFonts w:eastAsia="Arial"/>
          <w:bCs/>
        </w:rPr>
        <w:t>ensavimui teikiamą indikaciją. Taip pat, palyginamasis tyrimas klinikiniame tyrime KN177 reprezentuoja metastazavusiu storosios ir tiesiosio</w:t>
      </w:r>
      <w:r w:rsidR="00CF6CE5">
        <w:rPr>
          <w:rFonts w:eastAsia="Arial"/>
          <w:bCs/>
        </w:rPr>
        <w:t>s</w:t>
      </w:r>
      <w:r>
        <w:rPr>
          <w:rFonts w:eastAsia="Arial"/>
          <w:bCs/>
        </w:rPr>
        <w:t xml:space="preserve"> žarnos vėžiu sergančių pacientų populiaciją.</w:t>
      </w:r>
    </w:p>
    <w:p w14:paraId="23D387ED" w14:textId="77777777" w:rsidR="00FE4790" w:rsidRDefault="00FE4790" w:rsidP="00FE4790">
      <w:pPr>
        <w:shd w:val="clear" w:color="auto" w:fill="FFFFFF"/>
        <w:spacing w:line="276" w:lineRule="auto"/>
        <w:jc w:val="both"/>
        <w:rPr>
          <w:iCs/>
        </w:rPr>
      </w:pPr>
      <w:r>
        <w:rPr>
          <w:rFonts w:eastAsia="Arial"/>
          <w:bCs/>
        </w:rPr>
        <w:t xml:space="preserve">Po išsamaus vertinimo, Tarnyba kreipėsi į Pareiškėją, prašydama pateikti atnaujintą ekonominę analizę,  kuri būtų grįsta brandesniu KN177 duomenų rinkiniu. Pareiškėjas ekonominėje analizėje </w:t>
      </w:r>
      <w:r>
        <w:rPr>
          <w:rFonts w:eastAsia="Arial"/>
          <w:bCs/>
        </w:rPr>
        <w:lastRenderedPageBreak/>
        <w:t xml:space="preserve">atnaujino tik kaštus, o </w:t>
      </w:r>
      <w:r w:rsidRPr="009E6B6B">
        <w:rPr>
          <w:iCs/>
        </w:rPr>
        <w:t>esminiai klinikiniai modelio parametrai išliko tie patys.</w:t>
      </w:r>
      <w:r>
        <w:rPr>
          <w:iCs/>
        </w:rPr>
        <w:t xml:space="preserve"> Tarnyba mano, jog patikslintas modelis, tikėtina, pasižymėtų tikslesniu analizės rezultatu. Vis dėlto, </w:t>
      </w:r>
      <w:r w:rsidRPr="009E6B6B">
        <w:rPr>
          <w:iCs/>
        </w:rPr>
        <w:t>dėl nedidelio duomenų pjūvio skirtumo, laikoma, jog galime interpretuoti</w:t>
      </w:r>
      <w:r>
        <w:rPr>
          <w:iCs/>
        </w:rPr>
        <w:t xml:space="preserve"> ir pateiktos</w:t>
      </w:r>
      <w:r w:rsidRPr="009E6B6B">
        <w:rPr>
          <w:iCs/>
        </w:rPr>
        <w:t xml:space="preserve"> ekonominės analizės rezultatą.</w:t>
      </w:r>
    </w:p>
    <w:p w14:paraId="05126558" w14:textId="77777777" w:rsidR="00FE4790" w:rsidRDefault="00FE4790" w:rsidP="00FE4790">
      <w:pPr>
        <w:shd w:val="clear" w:color="auto" w:fill="FFFFFF"/>
        <w:spacing w:line="276" w:lineRule="auto"/>
        <w:jc w:val="both"/>
        <w:rPr>
          <w:rFonts w:eastAsia="Arial"/>
          <w:bCs/>
        </w:rPr>
      </w:pPr>
      <w:r>
        <w:rPr>
          <w:iCs/>
        </w:rPr>
        <w:t>Tarnyba atliko analizės rezultato perskaičiavimą, pakoregavus dozės intensyvumo prielaidą (pakeitus į 100 proc.), siekiant konservatyvesnio analizės rezultato. Apskaičiuota ligos našta atitinka sunkios ligos naštos slenkstį. Įvertinus analizės rezultatą, referencinė kaštų naudingumo vertė nėra viršijama, nei pagrindinio atvejo analizėje, nei jautrumo analizėje. Laikoma, jog pembrolizumabas yra kaštams efektyvus.</w:t>
      </w:r>
    </w:p>
    <w:p w14:paraId="203535BE" w14:textId="77777777" w:rsidR="00FE4790" w:rsidRPr="009463CD" w:rsidRDefault="00FE4790" w:rsidP="0079741F">
      <w:pPr>
        <w:shd w:val="clear" w:color="auto" w:fill="FFFFFF"/>
        <w:spacing w:line="276" w:lineRule="auto"/>
        <w:jc w:val="both"/>
        <w:rPr>
          <w:rFonts w:eastAsia="Arial"/>
        </w:rPr>
      </w:pPr>
    </w:p>
    <w:p w14:paraId="4FC424F9" w14:textId="4E767245" w:rsidR="00C62B36" w:rsidRPr="009463CD" w:rsidRDefault="00C62B36" w:rsidP="00937907">
      <w:pPr>
        <w:pStyle w:val="ListParagraph"/>
        <w:numPr>
          <w:ilvl w:val="0"/>
          <w:numId w:val="12"/>
        </w:numPr>
        <w:tabs>
          <w:tab w:val="left" w:pos="284"/>
        </w:tabs>
        <w:rPr>
          <w:b/>
          <w:bCs/>
          <w:caps/>
        </w:rPr>
      </w:pPr>
      <w:r w:rsidRPr="009463CD">
        <w:rPr>
          <w:b/>
          <w:bCs/>
          <w:caps/>
        </w:rPr>
        <w:t xml:space="preserve">Pacientų organizacijų pateikti duomenys </w:t>
      </w:r>
    </w:p>
    <w:p w14:paraId="79BCFF40" w14:textId="419A79E8" w:rsidR="00937907" w:rsidRPr="009463CD" w:rsidRDefault="00DD7AAE"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F00A34" w:rsidRPr="009463CD">
            <w:rPr>
              <w:rStyle w:val="Style2"/>
              <w:rFonts w:ascii="MS Gothic" w:eastAsia="MS Gothic" w:hAnsi="MS Gothic"/>
            </w:rPr>
            <w:t>☐</w:t>
          </w:r>
        </w:sdtContent>
      </w:sdt>
      <w:r w:rsidR="00937907" w:rsidRPr="009463CD">
        <w:t xml:space="preserve"> Pacientų organizacijos pozicija pateikta. Žr. priedą.</w:t>
      </w:r>
    </w:p>
    <w:p w14:paraId="62992180" w14:textId="2FDA4BD3" w:rsidR="00937907" w:rsidRPr="009463CD" w:rsidRDefault="00DD7AAE"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F00A34" w:rsidRPr="009463CD">
            <w:rPr>
              <w:rStyle w:val="Style2"/>
              <w:rFonts w:ascii="MS Gothic" w:eastAsia="MS Gothic" w:hAnsi="MS Gothic"/>
            </w:rPr>
            <w:t>☒</w:t>
          </w:r>
        </w:sdtContent>
      </w:sdt>
      <w:r w:rsidR="00937907" w:rsidRPr="009463CD">
        <w:t xml:space="preserve"> Pacientų organizacijos pozicija </w:t>
      </w:r>
      <w:r w:rsidR="00880A44" w:rsidRPr="009463CD">
        <w:t>ne</w:t>
      </w:r>
      <w:r w:rsidR="00937907" w:rsidRPr="009463CD">
        <w:t>pateikta.</w:t>
      </w:r>
    </w:p>
    <w:p w14:paraId="3D3277FA" w14:textId="3CEEB2D2" w:rsidR="00C62B36" w:rsidRPr="009463CD" w:rsidRDefault="00C62B36" w:rsidP="00937907">
      <w:pPr>
        <w:pStyle w:val="ListParagraph"/>
        <w:numPr>
          <w:ilvl w:val="0"/>
          <w:numId w:val="12"/>
        </w:numPr>
        <w:tabs>
          <w:tab w:val="left" w:pos="426"/>
        </w:tabs>
        <w:rPr>
          <w:b/>
          <w:bCs/>
          <w:caps/>
        </w:rPr>
      </w:pPr>
      <w:r w:rsidRPr="009463CD">
        <w:rPr>
          <w:b/>
          <w:bCs/>
          <w:caps/>
        </w:rPr>
        <w:t>Gydytojų organizacijų pateikti duomenys</w:t>
      </w:r>
    </w:p>
    <w:p w14:paraId="389A346C" w14:textId="21CE4896" w:rsidR="00937907" w:rsidRPr="009463CD" w:rsidRDefault="00DD7AAE"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6221D7" w:rsidRPr="009463CD">
            <w:rPr>
              <w:rStyle w:val="Style2"/>
              <w:rFonts w:ascii="MS Gothic" w:eastAsia="MS Gothic" w:hAnsi="MS Gothic"/>
            </w:rPr>
            <w:t>☒</w:t>
          </w:r>
        </w:sdtContent>
      </w:sdt>
      <w:r w:rsidR="00662983" w:rsidRPr="009463CD">
        <w:t xml:space="preserve"> </w:t>
      </w:r>
      <w:r w:rsidR="00937907" w:rsidRPr="009463CD">
        <w:t xml:space="preserve">Gydytojų specialistų organizacijos pozicija pateikta. </w:t>
      </w:r>
      <w:r w:rsidR="00662983" w:rsidRPr="009463CD">
        <w:t>Žr. priedą</w:t>
      </w:r>
      <w:r w:rsidR="00937907" w:rsidRPr="009463CD">
        <w:t>.</w:t>
      </w:r>
    </w:p>
    <w:p w14:paraId="5D8CC48C" w14:textId="2FE8FC1C" w:rsidR="00662983" w:rsidRPr="009463CD" w:rsidRDefault="00DD7AAE"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6221D7" w:rsidRPr="009463CD">
            <w:rPr>
              <w:rStyle w:val="Style2"/>
              <w:rFonts w:ascii="MS Gothic" w:eastAsia="MS Gothic" w:hAnsi="MS Gothic"/>
            </w:rPr>
            <w:t>☐</w:t>
          </w:r>
        </w:sdtContent>
      </w:sdt>
      <w:r w:rsidR="00662983" w:rsidRPr="009463CD">
        <w:t xml:space="preserve"> </w:t>
      </w:r>
      <w:r w:rsidR="00937907" w:rsidRPr="009463CD">
        <w:t xml:space="preserve">Gydytojų specialistų organizacijos pozicija </w:t>
      </w:r>
      <w:r w:rsidR="00880A44" w:rsidRPr="009463CD">
        <w:t>ne</w:t>
      </w:r>
      <w:r w:rsidR="00937907" w:rsidRPr="009463CD">
        <w:t>pateikta.</w:t>
      </w:r>
    </w:p>
    <w:p w14:paraId="78F23ECB" w14:textId="23A3A002" w:rsidR="002F0E4F" w:rsidRPr="009463CD" w:rsidRDefault="002F0E4F" w:rsidP="00937907">
      <w:pPr>
        <w:pStyle w:val="ListParagraph"/>
        <w:numPr>
          <w:ilvl w:val="0"/>
          <w:numId w:val="12"/>
        </w:numPr>
        <w:tabs>
          <w:tab w:val="left" w:pos="426"/>
        </w:tabs>
        <w:rPr>
          <w:b/>
          <w:bCs/>
          <w:caps/>
        </w:rPr>
      </w:pPr>
      <w:r w:rsidRPr="009463CD">
        <w:rPr>
          <w:b/>
          <w:bCs/>
          <w:caps/>
        </w:rPr>
        <w:t xml:space="preserve">Išvada </w:t>
      </w:r>
    </w:p>
    <w:p w14:paraId="573E407F" w14:textId="77777777" w:rsidR="00797153" w:rsidRPr="009463CD"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9463CD" w14:paraId="25A2473E" w14:textId="77777777" w:rsidTr="00BD1E5A">
        <w:tc>
          <w:tcPr>
            <w:tcW w:w="4981" w:type="dxa"/>
          </w:tcPr>
          <w:p w14:paraId="7EFE6941" w14:textId="23B8BB6D" w:rsidR="00B13D65"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bookmarkStart w:id="0" w:name="_Hlk185456676"/>
            <w:r w:rsidRPr="009463CD">
              <w:rPr>
                <w:rStyle w:val="Style2"/>
                <w:rFonts w:eastAsia="MS Gothic"/>
                <w:b/>
                <w:bCs/>
                <w:sz w:val="24"/>
              </w:rPr>
              <w:t>Rekomenduojama kompensuoti</w:t>
            </w:r>
          </w:p>
        </w:tc>
        <w:tc>
          <w:tcPr>
            <w:tcW w:w="4981" w:type="dxa"/>
          </w:tcPr>
          <w:p w14:paraId="330A1A5E" w14:textId="19247DC1" w:rsidR="00B13D65"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9463CD">
              <w:rPr>
                <w:rStyle w:val="Style2"/>
                <w:rFonts w:eastAsia="MS Gothic"/>
                <w:b/>
                <w:bCs/>
                <w:sz w:val="24"/>
              </w:rPr>
              <w:t xml:space="preserve">Rekomenduojama nekompensuoti </w:t>
            </w:r>
          </w:p>
        </w:tc>
      </w:tr>
      <w:tr w:rsidR="00B13D65" w:rsidRPr="009463CD" w14:paraId="143A7356" w14:textId="77777777" w:rsidTr="00BD1E5A">
        <w:tc>
          <w:tcPr>
            <w:tcW w:w="9962" w:type="dxa"/>
            <w:gridSpan w:val="2"/>
          </w:tcPr>
          <w:p w14:paraId="5D93D240"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463CD">
              <w:rPr>
                <w:rStyle w:val="Style2"/>
                <w:rFonts w:eastAsia="MS Gothic"/>
                <w:b/>
                <w:bCs/>
                <w:sz w:val="24"/>
              </w:rPr>
              <w:t>Palyginamasis efektyvumas</w:t>
            </w:r>
          </w:p>
          <w:p w14:paraId="0AF5D6B4"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463CD" w14:paraId="28A0C814" w14:textId="77777777" w:rsidTr="00BD1E5A">
        <w:tc>
          <w:tcPr>
            <w:tcW w:w="4981" w:type="dxa"/>
          </w:tcPr>
          <w:p w14:paraId="216769B5" w14:textId="41E5CB42"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1B4425">
                  <w:rPr>
                    <w:rStyle w:val="Style2"/>
                    <w:rFonts w:ascii="MS Gothic" w:eastAsia="MS Gothic" w:hAnsi="MS Gothic" w:hint="eastAsia"/>
                    <w:sz w:val="24"/>
                  </w:rPr>
                  <w:t>☒</w:t>
                </w:r>
              </w:sdtContent>
            </w:sdt>
            <w:r w:rsidR="00B13D65" w:rsidRPr="009463CD">
              <w:t xml:space="preserve"> 32.1. yra didesnis</w:t>
            </w:r>
          </w:p>
          <w:p w14:paraId="3B48F372"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B9DA8C0" w:rsidR="00B13D65" w:rsidRPr="009463CD" w:rsidRDefault="00DD7AAE"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1B4425">
                  <w:rPr>
                    <w:rStyle w:val="Style2"/>
                    <w:rFonts w:ascii="MS Gothic" w:eastAsia="MS Gothic" w:hAnsi="MS Gothic" w:hint="eastAsia"/>
                    <w:sz w:val="24"/>
                  </w:rPr>
                  <w:t>☐</w:t>
                </w:r>
              </w:sdtContent>
            </w:sdt>
            <w:r w:rsidR="00B13D65" w:rsidRPr="009463CD">
              <w:t xml:space="preserve"> 32.1. iš esmės nesiskiria</w:t>
            </w:r>
          </w:p>
        </w:tc>
        <w:tc>
          <w:tcPr>
            <w:tcW w:w="4981" w:type="dxa"/>
          </w:tcPr>
          <w:p w14:paraId="507828D9" w14:textId="09AE523F"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9463CD">
                  <w:rPr>
                    <w:rStyle w:val="Style2"/>
                    <w:rFonts w:ascii="Segoe UI Symbol" w:eastAsia="MS Gothic" w:hAnsi="Segoe UI Symbol" w:cs="Segoe UI Symbol"/>
                    <w:sz w:val="24"/>
                  </w:rPr>
                  <w:t>☐</w:t>
                </w:r>
              </w:sdtContent>
            </w:sdt>
            <w:r w:rsidR="00B13D65" w:rsidRPr="009463CD">
              <w:t xml:space="preserve"> 33.1. yra mažesnis</w:t>
            </w:r>
          </w:p>
          <w:p w14:paraId="7F95DEEC"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4A920610" w:rsidR="00662983"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3A5E33" w:rsidRPr="009463CD">
                  <w:rPr>
                    <w:rStyle w:val="Style2"/>
                    <w:rFonts w:ascii="MS Gothic" w:eastAsia="MS Gothic" w:hAnsi="MS Gothic"/>
                    <w:sz w:val="24"/>
                  </w:rPr>
                  <w:t>☐</w:t>
                </w:r>
              </w:sdtContent>
            </w:sdt>
            <w:r w:rsidR="00B13D65" w:rsidRPr="009463CD">
              <w:t xml:space="preserve"> 33.1. yra neįrodytas kaip toks pat</w:t>
            </w:r>
          </w:p>
          <w:p w14:paraId="35205E85"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48592A25"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F2582E" w:rsidRPr="009463CD">
                  <w:rPr>
                    <w:rStyle w:val="Style2"/>
                    <w:rFonts w:ascii="MS Gothic" w:eastAsia="MS Gothic" w:hAnsi="MS Gothic"/>
                    <w:sz w:val="24"/>
                  </w:rPr>
                  <w:t>☐</w:t>
                </w:r>
              </w:sdtContent>
            </w:sdt>
            <w:r w:rsidR="00662983" w:rsidRPr="009463CD">
              <w:t xml:space="preserve"> 33.1 </w:t>
            </w:r>
            <w:r w:rsidR="00B13D65" w:rsidRPr="009463CD">
              <w:t>neįrodytas kaip didesnis</w:t>
            </w:r>
          </w:p>
          <w:p w14:paraId="512E653B"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9463CD">
                  <w:rPr>
                    <w:rStyle w:val="Style2"/>
                    <w:rFonts w:ascii="Segoe UI Symbol" w:eastAsia="MS Gothic" w:hAnsi="Segoe UI Symbol" w:cs="Segoe UI Symbol"/>
                    <w:sz w:val="24"/>
                  </w:rPr>
                  <w:t>☐</w:t>
                </w:r>
              </w:sdtContent>
            </w:sdt>
            <w:r w:rsidR="00B13D65" w:rsidRPr="009463CD">
              <w:t xml:space="preserve"> 33.1. pateikti duomenys apie palyginamąjį efektyvumą yra netinkami vertinti</w:t>
            </w:r>
          </w:p>
          <w:p w14:paraId="5DDAA961"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9463CD" w14:paraId="161CC3FE" w14:textId="77777777" w:rsidTr="00BD1E5A">
        <w:tc>
          <w:tcPr>
            <w:tcW w:w="9962" w:type="dxa"/>
            <w:gridSpan w:val="2"/>
          </w:tcPr>
          <w:p w14:paraId="3B2878F0"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463CD">
              <w:rPr>
                <w:rStyle w:val="Style2"/>
                <w:rFonts w:eastAsia="MS Gothic"/>
                <w:b/>
                <w:bCs/>
                <w:sz w:val="24"/>
              </w:rPr>
              <w:t>Klinikinis veiksmingumas</w:t>
            </w:r>
          </w:p>
          <w:p w14:paraId="1AB46894"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bookmarkStart w:id="1" w:name="_Hlk185456639"/>
      <w:tr w:rsidR="00B13D65" w:rsidRPr="009463CD" w14:paraId="3C60570A" w14:textId="77777777" w:rsidTr="00BD1E5A">
        <w:tc>
          <w:tcPr>
            <w:tcW w:w="4981" w:type="dxa"/>
          </w:tcPr>
          <w:p w14:paraId="6897B306" w14:textId="16DD813F"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5E15E7">
                  <w:rPr>
                    <w:rStyle w:val="Style2"/>
                    <w:rFonts w:ascii="MS Gothic" w:eastAsia="MS Gothic" w:hAnsi="MS Gothic" w:hint="eastAsia"/>
                    <w:sz w:val="24"/>
                  </w:rPr>
                  <w:t>☒</w:t>
                </w:r>
              </w:sdtContent>
            </w:sdt>
            <w:r w:rsidR="00B13D65" w:rsidRPr="009463CD">
              <w:t xml:space="preserve"> 32.2. yra įvertintas kaip pagrindžiantis papildomos naudos pacientų sveikatai sukūrimą, lyginant su įprasta klinikine praktika</w:t>
            </w:r>
          </w:p>
          <w:p w14:paraId="71D57105"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2462B1E5"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5E15E7">
                  <w:rPr>
                    <w:rStyle w:val="Style2"/>
                    <w:rFonts w:ascii="MS Gothic" w:eastAsia="MS Gothic" w:hAnsi="MS Gothic" w:hint="eastAsia"/>
                    <w:sz w:val="24"/>
                  </w:rPr>
                  <w:t>☐</w:t>
                </w:r>
              </w:sdtContent>
            </w:sdt>
            <w:r w:rsidR="00B13D65" w:rsidRPr="009463CD">
              <w:t xml:space="preserve"> 32.2. įvertintas kaip pagrindžiantis nesiskiriančios naudos pacientų sveikatai sukūrimą, lyginant su įprasta klinikine praktika</w:t>
            </w:r>
          </w:p>
          <w:p w14:paraId="287AD233"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028E972D" w:rsidR="00662983" w:rsidRPr="009463CD" w:rsidRDefault="00DD7AAE"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F2582E" w:rsidRPr="009463CD">
                  <w:rPr>
                    <w:rStyle w:val="Style2"/>
                    <w:rFonts w:ascii="MS Gothic" w:eastAsia="MS Gothic" w:hAnsi="MS Gothic"/>
                    <w:sz w:val="24"/>
                  </w:rPr>
                  <w:t>☐</w:t>
                </w:r>
              </w:sdtContent>
            </w:sdt>
            <w:r w:rsidR="00B13D65" w:rsidRPr="009463CD">
              <w:t xml:space="preserve"> 33.1. yra įvertintas kaip nepagrindžiantis papildomos </w:t>
            </w:r>
            <w:r w:rsidR="00662983" w:rsidRPr="009463CD">
              <w:t>naudos pacientų sveikatai sukūrimo, lyginant su  įprasta klinikine praktika.</w:t>
            </w:r>
          </w:p>
          <w:p w14:paraId="6C70BCFC" w14:textId="77777777" w:rsidR="00662983" w:rsidRPr="009463CD" w:rsidRDefault="00662983" w:rsidP="00BD1E5A">
            <w:pPr>
              <w:jc w:val="both"/>
            </w:pPr>
          </w:p>
          <w:p w14:paraId="0ADEC30D" w14:textId="7B798451" w:rsidR="00B13D65" w:rsidRPr="009463CD" w:rsidRDefault="00DD7AAE"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3A5E33" w:rsidRPr="009463CD">
                  <w:rPr>
                    <w:rStyle w:val="Style2"/>
                    <w:rFonts w:ascii="MS Gothic" w:eastAsia="MS Gothic" w:hAnsi="MS Gothic"/>
                    <w:sz w:val="24"/>
                  </w:rPr>
                  <w:t>☐</w:t>
                </w:r>
              </w:sdtContent>
            </w:sdt>
            <w:r w:rsidR="00B13D65" w:rsidRPr="009463CD">
              <w:t xml:space="preserve"> </w:t>
            </w:r>
            <w:r w:rsidR="00662983" w:rsidRPr="009463CD">
              <w:t xml:space="preserve">33.1. </w:t>
            </w:r>
            <w:r w:rsidR="00F2582E" w:rsidRPr="009463CD">
              <w:t xml:space="preserve">yra įvertintas kaip nepagrindžiantis </w:t>
            </w:r>
            <w:r w:rsidR="00B13D65" w:rsidRPr="009463CD">
              <w:t>nesiskiriančios naudos pacientų sveikatai sukūrimo, lyginant su įprasta klinikine praktika.</w:t>
            </w:r>
          </w:p>
          <w:p w14:paraId="1EED7901"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1"/>
      <w:tr w:rsidR="00B13D65" w:rsidRPr="009463CD" w14:paraId="1C75AE76" w14:textId="77777777" w:rsidTr="00BD1E5A">
        <w:tc>
          <w:tcPr>
            <w:tcW w:w="9962" w:type="dxa"/>
            <w:gridSpan w:val="2"/>
          </w:tcPr>
          <w:p w14:paraId="56F7FA3E"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463CD">
              <w:rPr>
                <w:rStyle w:val="Style2"/>
                <w:rFonts w:eastAsia="MS Gothic"/>
                <w:b/>
                <w:bCs/>
                <w:sz w:val="24"/>
              </w:rPr>
              <w:t>Kaštų naudingumas</w:t>
            </w:r>
          </w:p>
          <w:p w14:paraId="0247EDAD"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463CD" w14:paraId="7091A05B" w14:textId="77777777" w:rsidTr="00BD1E5A">
        <w:tc>
          <w:tcPr>
            <w:tcW w:w="4981" w:type="dxa"/>
          </w:tcPr>
          <w:p w14:paraId="69B2A994" w14:textId="5B841DA4"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FE4790">
                  <w:rPr>
                    <w:rStyle w:val="Style2"/>
                    <w:rFonts w:ascii="MS Gothic" w:eastAsia="MS Gothic" w:hAnsi="MS Gothic" w:hint="eastAsia"/>
                    <w:sz w:val="24"/>
                  </w:rPr>
                  <w:t>☒</w:t>
                </w:r>
              </w:sdtContent>
            </w:sdt>
            <w:r w:rsidR="00B13D65" w:rsidRPr="009463CD">
              <w:t xml:space="preserve"> 32.3. atitinka referencinę naudingumo vertę, taikant</w:t>
            </w:r>
            <w:r w:rsidR="00662983" w:rsidRPr="009463CD">
              <w:t xml:space="preserve"> PGS</w:t>
            </w:r>
            <w:r w:rsidR="003C63AF" w:rsidRPr="009463CD">
              <w:t xml:space="preserve"> tam tikrais pacientų atvejais.</w:t>
            </w:r>
          </w:p>
          <w:p w14:paraId="3F76F153"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69A4F1F3" w:rsidR="00B13D65" w:rsidRPr="009463CD" w:rsidRDefault="00DD7AAE"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3C63AF" w:rsidRPr="009463CD">
                  <w:rPr>
                    <w:rStyle w:val="Style2"/>
                    <w:rFonts w:ascii="MS Gothic" w:eastAsia="MS Gothic" w:hAnsi="MS Gothic"/>
                    <w:sz w:val="24"/>
                  </w:rPr>
                  <w:t>☐</w:t>
                </w:r>
              </w:sdtContent>
            </w:sdt>
            <w:r w:rsidR="00B13D65" w:rsidRPr="009463CD">
              <w:t xml:space="preserve"> 32.3. </w:t>
            </w:r>
            <w:r w:rsidR="005648CF" w:rsidRPr="009463CD">
              <w:t>gydymo juo kaštai yra mažesni ar tokie patys esant iš esmės nesiskiriančiam palyginamajam efektyvumui, taikant PGS.</w:t>
            </w:r>
          </w:p>
        </w:tc>
        <w:tc>
          <w:tcPr>
            <w:tcW w:w="4981" w:type="dxa"/>
          </w:tcPr>
          <w:p w14:paraId="53380063" w14:textId="07F023EC"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9463CD">
                  <w:rPr>
                    <w:rStyle w:val="Style2"/>
                    <w:rFonts w:ascii="Segoe UI Symbol" w:eastAsia="MS Gothic" w:hAnsi="Segoe UI Symbol" w:cs="Segoe UI Symbol"/>
                    <w:sz w:val="24"/>
                  </w:rPr>
                  <w:t>☐</w:t>
                </w:r>
              </w:sdtContent>
            </w:sdt>
            <w:r w:rsidR="00B13D65" w:rsidRPr="009463CD">
              <w:t xml:space="preserve"> 33.3. neatitinka referencinės naudingumo vertės Lietuvos Respublikoje;</w:t>
            </w:r>
          </w:p>
          <w:p w14:paraId="229ED51A"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01A0683"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9463CD">
                  <w:rPr>
                    <w:rStyle w:val="Style2"/>
                    <w:rFonts w:ascii="Segoe UI Symbol" w:eastAsia="MS Gothic" w:hAnsi="Segoe UI Symbol" w:cs="Segoe UI Symbol"/>
                    <w:sz w:val="24"/>
                  </w:rPr>
                  <w:t>☐</w:t>
                </w:r>
              </w:sdtContent>
            </w:sdt>
            <w:r w:rsidR="00B13D65" w:rsidRPr="009463CD">
              <w:t xml:space="preserve"> 33.3. gydymo juo kaštai yra didesni esant iš esmės nesiskiriančiam palyginamajam efektyvumui, taikant</w:t>
            </w:r>
            <w:r w:rsidR="00662983" w:rsidRPr="009463CD">
              <w:t xml:space="preserve"> PGS</w:t>
            </w:r>
          </w:p>
          <w:p w14:paraId="4A9C7D2A"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33F2A8E6" w:rsidR="00B13D65" w:rsidRPr="009463CD" w:rsidRDefault="00DD7AA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975331" w:rsidRPr="009463CD">
                  <w:rPr>
                    <w:rStyle w:val="Style2"/>
                    <w:rFonts w:ascii="MS Gothic" w:eastAsia="MS Gothic" w:hAnsi="MS Gothic"/>
                    <w:sz w:val="24"/>
                  </w:rPr>
                  <w:t>☐</w:t>
                </w:r>
              </w:sdtContent>
            </w:sdt>
            <w:r w:rsidR="00B13D65" w:rsidRPr="009463CD">
              <w:t xml:space="preserve"> 33.3. pateikti duomenys apie kaštų na</w:t>
            </w:r>
            <w:r w:rsidR="00662983" w:rsidRPr="009463CD">
              <w:t>udingumą yra netinkami vertinti</w:t>
            </w:r>
          </w:p>
          <w:p w14:paraId="470A48A4"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tbl>
    <w:p w14:paraId="6E54D44C" w14:textId="77777777" w:rsidR="0055060B" w:rsidRPr="009463CD" w:rsidRDefault="0055060B" w:rsidP="0055060B">
      <w:pPr>
        <w:rPr>
          <w:b/>
        </w:rPr>
      </w:pPr>
    </w:p>
    <w:p w14:paraId="4761590D" w14:textId="77777777" w:rsidR="0055060B" w:rsidRPr="009463CD" w:rsidRDefault="0055060B" w:rsidP="0055060B">
      <w:pPr>
        <w:pStyle w:val="ListParagraph"/>
        <w:numPr>
          <w:ilvl w:val="0"/>
          <w:numId w:val="12"/>
        </w:numPr>
        <w:ind w:left="567" w:hanging="567"/>
        <w:rPr>
          <w:b/>
        </w:rPr>
      </w:pPr>
      <w:r w:rsidRPr="009463CD">
        <w:rPr>
          <w:b/>
        </w:rPr>
        <w:t>REKOMENDACIJA</w:t>
      </w:r>
    </w:p>
    <w:p w14:paraId="7CA221DC" w14:textId="77777777" w:rsidR="0055060B" w:rsidRPr="009463CD" w:rsidRDefault="0055060B" w:rsidP="0055060B">
      <w:pPr>
        <w:rPr>
          <w:i/>
          <w:color w:val="00B050"/>
        </w:rPr>
      </w:pPr>
    </w:p>
    <w:p w14:paraId="69719FAD" w14:textId="77777777" w:rsidR="00FE4790" w:rsidRPr="00E33EFF" w:rsidRDefault="00FE4790" w:rsidP="00C009DE">
      <w:pPr>
        <w:spacing w:line="276" w:lineRule="auto"/>
        <w:ind w:firstLine="567"/>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p>
    <w:p w14:paraId="4707ADF4" w14:textId="77777777" w:rsidR="00FE4790" w:rsidRPr="009E0E39" w:rsidRDefault="00FE4790" w:rsidP="00C009DE">
      <w:pPr>
        <w:spacing w:line="276" w:lineRule="auto"/>
        <w:jc w:val="both"/>
        <w:rPr>
          <w:i/>
          <w:color w:val="00B050"/>
        </w:rPr>
      </w:pPr>
      <w:r w:rsidRPr="00E33EFF">
        <w:t xml:space="preserve">34.1. rekomenduojama </w:t>
      </w:r>
      <w:r w:rsidRPr="00E33EFF">
        <w:rPr>
          <w:i/>
        </w:rPr>
        <w:t xml:space="preserve">kompensuoti </w:t>
      </w:r>
      <w:r w:rsidRPr="00E33EFF">
        <w:t>vaistinį prepa</w:t>
      </w:r>
      <w:r>
        <w:t xml:space="preserve">ratą pagal paraiškoje nurodytą </w:t>
      </w:r>
      <w:r w:rsidRPr="00E33EFF">
        <w:t>indikaciją</w:t>
      </w:r>
      <w:r>
        <w:t xml:space="preserve"> </w:t>
      </w:r>
      <w:r w:rsidRPr="00E33EFF">
        <w:t>su skyrimo sąlygomis, taikant PGS, dėl didesnio palyginamojo efektyvumo ir gydymo sukuriamos papildomos naudos pacientų sveikatai, lyginant su įprasta klinikine praktika, ir atitikties r</w:t>
      </w:r>
      <w:r>
        <w:t>eferencinei naudingumo vertei.</w:t>
      </w:r>
    </w:p>
    <w:p w14:paraId="64A1BB6B" w14:textId="77777777" w:rsidR="0097328F" w:rsidRPr="009463CD" w:rsidRDefault="0097328F" w:rsidP="0097328F">
      <w:pPr>
        <w:spacing w:line="276" w:lineRule="auto"/>
        <w:jc w:val="both"/>
        <w:rPr>
          <w:i/>
          <w:iCs/>
        </w:rPr>
      </w:pPr>
    </w:p>
    <w:p w14:paraId="2F3CADC5" w14:textId="77777777" w:rsidR="0097328F" w:rsidRPr="009463CD" w:rsidRDefault="0097328F" w:rsidP="0097328F">
      <w:pPr>
        <w:spacing w:line="276" w:lineRule="auto"/>
        <w:jc w:val="both"/>
        <w:rPr>
          <w:i/>
          <w:iCs/>
        </w:rPr>
      </w:pPr>
    </w:p>
    <w:p w14:paraId="1ABB3738" w14:textId="77777777" w:rsidR="00164CD9" w:rsidRPr="00E33EFF" w:rsidRDefault="00164CD9" w:rsidP="00164CD9">
      <w:pPr>
        <w:tabs>
          <w:tab w:val="left" w:pos="567"/>
        </w:tabs>
        <w:ind w:left="567" w:hanging="567"/>
        <w:jc w:val="both"/>
        <w:rPr>
          <w:b/>
          <w:color w:val="000000"/>
          <w:lang w:eastAsia="lt-LT"/>
        </w:rPr>
      </w:pPr>
      <w:r>
        <w:rPr>
          <w:b/>
          <w:color w:val="000000"/>
          <w:lang w:eastAsia="lt-LT"/>
        </w:rPr>
        <w:t>8.</w:t>
      </w:r>
      <w:r>
        <w:rPr>
          <w:b/>
          <w:color w:val="000000"/>
          <w:lang w:eastAsia="lt-LT"/>
        </w:rPr>
        <w:tab/>
      </w:r>
      <w:r w:rsidRPr="00E33EFF">
        <w:rPr>
          <w:b/>
          <w:color w:val="000000"/>
          <w:lang w:eastAsia="lt-LT"/>
        </w:rPr>
        <w:t xml:space="preserve">SIŪLOMOS KOMPENSUOTI TERAPINĖS INDIKACIJOS IR SKYRIMO SĄLYGOS </w:t>
      </w:r>
    </w:p>
    <w:p w14:paraId="1B421D89" w14:textId="77777777" w:rsidR="00164CD9" w:rsidRPr="00E33EFF" w:rsidRDefault="00164CD9" w:rsidP="00164CD9">
      <w:pPr>
        <w:tabs>
          <w:tab w:val="left" w:pos="426"/>
        </w:tabs>
        <w:jc w:val="both"/>
        <w:rPr>
          <w:b/>
          <w:color w:val="000000"/>
          <w:lang w:eastAsia="lt-LT"/>
        </w:rPr>
      </w:pPr>
    </w:p>
    <w:p w14:paraId="5273E177" w14:textId="77777777" w:rsidR="00164CD9" w:rsidRPr="00DC5BAC" w:rsidRDefault="00164CD9" w:rsidP="00164CD9">
      <w:pPr>
        <w:rPr>
          <w:b/>
          <w:lang w:eastAsia="lt-LT"/>
        </w:rPr>
      </w:pPr>
      <w:r w:rsidRPr="00DC5BAC">
        <w:rPr>
          <w:b/>
          <w:lang w:eastAsia="lt-LT"/>
        </w:rPr>
        <w:t>Terapinės indikacijos</w:t>
      </w:r>
    </w:p>
    <w:p w14:paraId="429D841F" w14:textId="77777777" w:rsidR="00164CD9" w:rsidRPr="00E33EFF" w:rsidRDefault="00DD7AAE" w:rsidP="00164CD9">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164CD9">
            <w:rPr>
              <w:rStyle w:val="Style2"/>
              <w:rFonts w:ascii="MS Gothic" w:eastAsia="MS Gothic" w:hAnsi="MS Gothic" w:hint="eastAsia"/>
            </w:rPr>
            <w:t>☒</w:t>
          </w:r>
        </w:sdtContent>
      </w:sdt>
      <w:r w:rsidR="00164CD9" w:rsidRPr="00E33EFF">
        <w:t xml:space="preserve"> Siūloma kompensuoti Pareiškėjo teikiamą indikaciją be pakeitimų.</w:t>
      </w:r>
    </w:p>
    <w:p w14:paraId="5D4B8A0D" w14:textId="77777777" w:rsidR="00164CD9" w:rsidRPr="00F6241B" w:rsidRDefault="00164CD9" w:rsidP="00164CD9">
      <w:pPr>
        <w:spacing w:before="20" w:after="120" w:line="271" w:lineRule="auto"/>
        <w:jc w:val="both"/>
      </w:pPr>
      <w:r w:rsidRPr="00F6241B">
        <w:t xml:space="preserve">KEYTRUDA monoterapija skirta metastazavusio storosios ir tiesiosios žarnos vėžio pirmaeiliam gydymui suaugusiems pacientams, kai nustatytas didelis mikrosatelitų nestabilumo rodmuo (angl. </w:t>
      </w:r>
      <w:r w:rsidRPr="00571065">
        <w:rPr>
          <w:i/>
          <w:iCs/>
        </w:rPr>
        <w:t>microsatellite instability-high, MSI-H</w:t>
      </w:r>
      <w:r w:rsidRPr="00F6241B">
        <w:t xml:space="preserve">) arba klaidingai suporuotų nukleotidų DNR pažaidų taisymo sistemos stoka (angl. </w:t>
      </w:r>
      <w:r w:rsidRPr="00F6241B">
        <w:rPr>
          <w:i/>
          <w:iCs/>
        </w:rPr>
        <w:t>mismatch repair deficient, dMMR</w:t>
      </w:r>
      <w:r w:rsidRPr="00F6241B">
        <w:t xml:space="preserve">). </w:t>
      </w:r>
    </w:p>
    <w:p w14:paraId="6442D4D7" w14:textId="77777777" w:rsidR="00164CD9" w:rsidRPr="00E33EFF" w:rsidRDefault="00164CD9" w:rsidP="00164CD9"/>
    <w:p w14:paraId="72EC1EA2" w14:textId="77777777" w:rsidR="00164CD9" w:rsidRPr="00E33EFF" w:rsidRDefault="00164CD9" w:rsidP="00164CD9">
      <w:pPr>
        <w:rPr>
          <w:b/>
        </w:rPr>
      </w:pPr>
      <w:r w:rsidRPr="00E33EFF">
        <w:rPr>
          <w:b/>
        </w:rPr>
        <w:t>Skyrimo sąlygos</w:t>
      </w:r>
    </w:p>
    <w:p w14:paraId="34950201" w14:textId="77777777" w:rsidR="00164CD9" w:rsidRPr="00023294" w:rsidRDefault="00DD7AAE" w:rsidP="00164CD9">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164CD9" w:rsidRPr="00023294">
            <w:rPr>
              <w:rStyle w:val="Style2"/>
              <w:rFonts w:ascii="MS Gothic" w:eastAsia="MS Gothic" w:hAnsi="MS Gothic" w:hint="eastAsia"/>
            </w:rPr>
            <w:t>☒</w:t>
          </w:r>
        </w:sdtContent>
      </w:sdt>
      <w:r w:rsidR="00164CD9" w:rsidRPr="00023294">
        <w:t xml:space="preserve"> Pareiškėjo siūlomos skyrimo sąlygos nepriimtinos. </w:t>
      </w:r>
    </w:p>
    <w:p w14:paraId="537AAF69" w14:textId="77777777" w:rsidR="00164CD9" w:rsidRPr="00023294" w:rsidRDefault="00164CD9" w:rsidP="00164CD9">
      <w:r w:rsidRPr="00023294">
        <w:t>Siūlomos skyrimo sąlygos:</w:t>
      </w:r>
    </w:p>
    <w:p w14:paraId="3D906760" w14:textId="4708CFE4" w:rsidR="00651F9C" w:rsidRPr="00023294" w:rsidRDefault="00651F9C" w:rsidP="00C02AF1">
      <w:pPr>
        <w:spacing w:before="20" w:after="120" w:line="271" w:lineRule="auto"/>
        <w:jc w:val="both"/>
      </w:pPr>
      <w:bookmarkStart w:id="2" w:name="_Hlk185456889"/>
      <w:r w:rsidRPr="00023294">
        <w:t xml:space="preserve">Skiriamas kaip monoterapija pirmaeiliam metastazavusio storosios ir tiesiosios žarnos vėžio gydymui suaugusiesiems, kai nustatytas didelis mikrosatelitų nestabilumo rodmuo (angl. </w:t>
      </w:r>
      <w:r w:rsidRPr="00C02AF1">
        <w:rPr>
          <w:i/>
          <w:iCs/>
        </w:rPr>
        <w:t>microsatellite instability-high, MSI-H</w:t>
      </w:r>
      <w:r w:rsidRPr="00023294">
        <w:t xml:space="preserve">) arba klaidingai suporuotų nukleotidų DNR pažaidų taisymo sistemos stoka (angl. </w:t>
      </w:r>
      <w:r w:rsidRPr="00023294">
        <w:rPr>
          <w:i/>
          <w:iCs/>
        </w:rPr>
        <w:t>mismatch repair deficient, dMMR</w:t>
      </w:r>
      <w:r w:rsidRPr="00023294">
        <w:t xml:space="preserve">). </w:t>
      </w:r>
      <w:r w:rsidR="00F6241B" w:rsidRPr="00023294">
        <w:t xml:space="preserve">Gydymas tęsiamas iki </w:t>
      </w:r>
      <w:r w:rsidR="00023294" w:rsidRPr="00023294">
        <w:t xml:space="preserve">ligos progresavimo, </w:t>
      </w:r>
      <w:r w:rsidR="00F6241B" w:rsidRPr="00023294">
        <w:t xml:space="preserve">nepriimtino toksinio poveikio atsiradimo arba </w:t>
      </w:r>
      <w:r w:rsidR="00023294" w:rsidRPr="00023294">
        <w:t>iki 24 mėnesių.</w:t>
      </w:r>
    </w:p>
    <w:bookmarkEnd w:id="2"/>
    <w:p w14:paraId="628B4639" w14:textId="77777777" w:rsidR="00651F9C" w:rsidRDefault="00651F9C" w:rsidP="00651F9C">
      <w:pPr>
        <w:pStyle w:val="NoSpacing"/>
        <w:spacing w:line="276" w:lineRule="auto"/>
        <w:jc w:val="both"/>
        <w:rPr>
          <w:rFonts w:ascii="Times New Roman" w:hAnsi="Times New Roman"/>
          <w:i/>
          <w:iCs/>
          <w:sz w:val="24"/>
          <w:szCs w:val="24"/>
        </w:rPr>
      </w:pPr>
    </w:p>
    <w:p w14:paraId="30A05AE3" w14:textId="1411E3EF" w:rsidR="00F6241B" w:rsidRPr="009463CD" w:rsidRDefault="00F6241B" w:rsidP="000915AB">
      <w:pPr>
        <w:pStyle w:val="NoSpacing"/>
        <w:spacing w:line="276" w:lineRule="auto"/>
        <w:jc w:val="both"/>
        <w:rPr>
          <w:rFonts w:ascii="Times New Roman" w:hAnsi="Times New Roman"/>
          <w:i/>
          <w:iCs/>
          <w:sz w:val="24"/>
          <w:szCs w:val="24"/>
        </w:rPr>
      </w:pPr>
    </w:p>
    <w:sectPr w:rsidR="00F6241B" w:rsidRPr="009463CD" w:rsidSect="005D30E1">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F5E3" w14:textId="77777777" w:rsidR="007C0DA0" w:rsidRDefault="007C0DA0">
      <w:r>
        <w:separator/>
      </w:r>
    </w:p>
  </w:endnote>
  <w:endnote w:type="continuationSeparator" w:id="0">
    <w:p w14:paraId="1ED54DF3" w14:textId="77777777" w:rsidR="007C0DA0" w:rsidRDefault="007C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3B96" w14:textId="77777777" w:rsidR="007C0DA0" w:rsidRDefault="007C0DA0">
      <w:r>
        <w:separator/>
      </w:r>
    </w:p>
  </w:footnote>
  <w:footnote w:type="continuationSeparator" w:id="0">
    <w:p w14:paraId="48A36484" w14:textId="77777777" w:rsidR="007C0DA0" w:rsidRDefault="007C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1EE3260E" w:rsidR="00347FAA" w:rsidRDefault="00DD7AAE">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B37AD5F" wp14:editId="5E1564BE">
              <wp:simplePos x="635" y="635"/>
              <wp:positionH relativeFrom="page">
                <wp:align>left</wp:align>
              </wp:positionH>
              <wp:positionV relativeFrom="page">
                <wp:align>top</wp:align>
              </wp:positionV>
              <wp:extent cx="443865" cy="443865"/>
              <wp:effectExtent l="0" t="0" r="1270" b="4445"/>
              <wp:wrapNone/>
              <wp:docPr id="551680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6634E" w14:textId="419C97F4" w:rsidR="00DD7AAE" w:rsidRPr="00DD7AAE" w:rsidRDefault="00DD7AAE" w:rsidP="00DD7AAE">
                          <w:pPr>
                            <w:rPr>
                              <w:rFonts w:ascii="Calibri" w:eastAsia="Calibri" w:hAnsi="Calibri" w:cs="Calibri"/>
                              <w:noProof/>
                              <w:color w:val="03C03C"/>
                            </w:rPr>
                          </w:pPr>
                          <w:r w:rsidRPr="00DD7AAE">
                            <w:rPr>
                              <w:rFonts w:ascii="Calibri" w:eastAsia="Calibri" w:hAnsi="Calibri" w:cs="Calibri"/>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37AD5F"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5F86634E" w14:textId="419C97F4" w:rsidR="00DD7AAE" w:rsidRPr="00DD7AAE" w:rsidRDefault="00DD7AAE" w:rsidP="00DD7AAE">
                    <w:pPr>
                      <w:rPr>
                        <w:rFonts w:ascii="Calibri" w:eastAsia="Calibri" w:hAnsi="Calibri" w:cs="Calibri"/>
                        <w:noProof/>
                        <w:color w:val="03C03C"/>
                      </w:rPr>
                    </w:pPr>
                    <w:r w:rsidRPr="00DD7AAE">
                      <w:rPr>
                        <w:rFonts w:ascii="Calibri" w:eastAsia="Calibri" w:hAnsi="Calibri" w:cs="Calibri"/>
                        <w:noProof/>
                        <w:color w:val="03C03C"/>
                      </w:rPr>
                      <w:t>Public</w:t>
                    </w:r>
                  </w:p>
                </w:txbxContent>
              </v:textbox>
              <w10:wrap anchorx="page" anchory="page"/>
            </v:shape>
          </w:pict>
        </mc:Fallback>
      </mc:AlternateContent>
    </w:r>
    <w:r w:rsidR="00347FAA">
      <w:rPr>
        <w:rStyle w:val="PageNumber"/>
      </w:rPr>
      <w:fldChar w:fldCharType="begin"/>
    </w:r>
    <w:r w:rsidR="00347FAA">
      <w:rPr>
        <w:rStyle w:val="PageNumber"/>
      </w:rPr>
      <w:instrText xml:space="preserve">PAGE  </w:instrText>
    </w:r>
    <w:r w:rsidR="00347FAA">
      <w:rPr>
        <w:rStyle w:val="PageNumber"/>
      </w:rPr>
      <w:fldChar w:fldCharType="separate"/>
    </w:r>
    <w:r w:rsidR="00347FAA">
      <w:rPr>
        <w:rStyle w:val="PageNumber"/>
        <w:noProof/>
      </w:rPr>
      <w:t>1</w:t>
    </w:r>
    <w:r w:rsidR="00347FAA">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64F8B00B" w:rsidR="00347FAA" w:rsidRDefault="00DD7AAE">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338690A8" wp14:editId="0DD9944E">
              <wp:simplePos x="635" y="635"/>
              <wp:positionH relativeFrom="page">
                <wp:align>left</wp:align>
              </wp:positionH>
              <wp:positionV relativeFrom="page">
                <wp:align>top</wp:align>
              </wp:positionV>
              <wp:extent cx="443865" cy="443865"/>
              <wp:effectExtent l="0" t="0" r="1270" b="4445"/>
              <wp:wrapNone/>
              <wp:docPr id="21581845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FD398" w14:textId="15053208" w:rsidR="00DD7AAE" w:rsidRPr="00DD7AAE" w:rsidRDefault="00DD7AAE" w:rsidP="00DD7AAE">
                          <w:pPr>
                            <w:rPr>
                              <w:rFonts w:ascii="Calibri" w:eastAsia="Calibri" w:hAnsi="Calibri" w:cs="Calibri"/>
                              <w:noProof/>
                              <w:color w:val="03C03C"/>
                            </w:rPr>
                          </w:pPr>
                          <w:r w:rsidRPr="00DD7AAE">
                            <w:rPr>
                              <w:rFonts w:ascii="Calibri" w:eastAsia="Calibri" w:hAnsi="Calibri" w:cs="Calibri"/>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8690A8"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391FD398" w14:textId="15053208" w:rsidR="00DD7AAE" w:rsidRPr="00DD7AAE" w:rsidRDefault="00DD7AAE" w:rsidP="00DD7AAE">
                    <w:pPr>
                      <w:rPr>
                        <w:rFonts w:ascii="Calibri" w:eastAsia="Calibri" w:hAnsi="Calibri" w:cs="Calibri"/>
                        <w:noProof/>
                        <w:color w:val="03C03C"/>
                      </w:rPr>
                    </w:pPr>
                    <w:r w:rsidRPr="00DD7AAE">
                      <w:rPr>
                        <w:rFonts w:ascii="Calibri" w:eastAsia="Calibri" w:hAnsi="Calibri" w:cs="Calibri"/>
                        <w:noProof/>
                        <w:color w:val="03C03C"/>
                      </w:rPr>
                      <w:t>Public</w:t>
                    </w:r>
                  </w:p>
                </w:txbxContent>
              </v:textbox>
              <w10:wrap anchorx="page" anchory="page"/>
            </v:shape>
          </w:pict>
        </mc:Fallback>
      </mc:AlternateContent>
    </w:r>
    <w:r w:rsidR="00347FAA">
      <w:rPr>
        <w:rStyle w:val="PageNumber"/>
      </w:rPr>
      <w:fldChar w:fldCharType="begin"/>
    </w:r>
    <w:r w:rsidR="00347FAA">
      <w:rPr>
        <w:rStyle w:val="PageNumber"/>
      </w:rPr>
      <w:instrText xml:space="preserve">PAGE  </w:instrText>
    </w:r>
    <w:r w:rsidR="00347FAA">
      <w:rPr>
        <w:rStyle w:val="PageNumber"/>
      </w:rPr>
      <w:fldChar w:fldCharType="separate"/>
    </w:r>
    <w:r w:rsidR="00FE4790">
      <w:rPr>
        <w:rStyle w:val="PageNumber"/>
        <w:noProof/>
      </w:rPr>
      <w:t>2</w:t>
    </w:r>
    <w:r w:rsidR="00347FAA">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2A08258E" w:rsidR="00347FAA" w:rsidRDefault="00DD7AAE" w:rsidP="00FD793C">
    <w:pPr>
      <w:pStyle w:val="Header"/>
      <w:ind w:left="612"/>
      <w:rPr>
        <w:sz w:val="2"/>
        <w:szCs w:val="2"/>
      </w:rPr>
    </w:pPr>
    <w:r>
      <w:rPr>
        <w:noProof/>
        <w:sz w:val="2"/>
        <w:szCs w:val="2"/>
      </w:rPr>
      <mc:AlternateContent>
        <mc:Choice Requires="wps">
          <w:drawing>
            <wp:anchor distT="0" distB="0" distL="0" distR="0" simplePos="0" relativeHeight="251658240" behindDoc="0" locked="0" layoutInCell="1" allowOverlap="1" wp14:anchorId="15958AC9" wp14:editId="6E3C59EA">
              <wp:simplePos x="1080655" y="413113"/>
              <wp:positionH relativeFrom="page">
                <wp:align>left</wp:align>
              </wp:positionH>
              <wp:positionV relativeFrom="page">
                <wp:align>top</wp:align>
              </wp:positionV>
              <wp:extent cx="443865" cy="443865"/>
              <wp:effectExtent l="0" t="0" r="1270" b="4445"/>
              <wp:wrapNone/>
              <wp:docPr id="27669978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D4B0D" w14:textId="0564E50D" w:rsidR="00DD7AAE" w:rsidRPr="00DD7AAE" w:rsidRDefault="00DD7AAE" w:rsidP="00DD7AAE">
                          <w:pPr>
                            <w:rPr>
                              <w:rFonts w:ascii="Calibri" w:eastAsia="Calibri" w:hAnsi="Calibri" w:cs="Calibri"/>
                              <w:noProof/>
                              <w:color w:val="03C03C"/>
                            </w:rPr>
                          </w:pPr>
                          <w:r w:rsidRPr="00DD7AAE">
                            <w:rPr>
                              <w:rFonts w:ascii="Calibri" w:eastAsia="Calibri" w:hAnsi="Calibri" w:cs="Calibri"/>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58AC9" id="_x0000_t202" coordsize="21600,21600" o:spt="202" path="m,l,21600r21600,l21600,xe">
              <v:stroke joinstyle="miter"/>
              <v:path gradientshapeok="t" o:connecttype="rect"/>
            </v:shapetype>
            <v:shape id="Text Box 1" o:spid="_x0000_s1028" type="#_x0000_t202" alt="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17ED4B0D" w14:textId="0564E50D" w:rsidR="00DD7AAE" w:rsidRPr="00DD7AAE" w:rsidRDefault="00DD7AAE" w:rsidP="00DD7AAE">
                    <w:pPr>
                      <w:rPr>
                        <w:rFonts w:ascii="Calibri" w:eastAsia="Calibri" w:hAnsi="Calibri" w:cs="Calibri"/>
                        <w:noProof/>
                        <w:color w:val="03C03C"/>
                      </w:rPr>
                    </w:pPr>
                    <w:r w:rsidRPr="00DD7AAE">
                      <w:rPr>
                        <w:rFonts w:ascii="Calibri" w:eastAsia="Calibri" w:hAnsi="Calibri" w:cs="Calibri"/>
                        <w:noProof/>
                        <w:color w:val="03C03C"/>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0D879C6"/>
    <w:multiLevelType w:val="hybridMultilevel"/>
    <w:tmpl w:val="F3F8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860F3"/>
    <w:multiLevelType w:val="hybridMultilevel"/>
    <w:tmpl w:val="38EC480C"/>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4"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830DB5"/>
    <w:multiLevelType w:val="multilevel"/>
    <w:tmpl w:val="06E627C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A3F12"/>
    <w:multiLevelType w:val="hybridMultilevel"/>
    <w:tmpl w:val="C27248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436987"/>
    <w:multiLevelType w:val="hybridMultilevel"/>
    <w:tmpl w:val="7152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19E2"/>
    <w:multiLevelType w:val="multilevel"/>
    <w:tmpl w:val="3294E9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9F546C3"/>
    <w:multiLevelType w:val="hybridMultilevel"/>
    <w:tmpl w:val="B1D84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E95EA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87D92"/>
    <w:multiLevelType w:val="hybridMultilevel"/>
    <w:tmpl w:val="63A8A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7A688E"/>
    <w:multiLevelType w:val="hybridMultilevel"/>
    <w:tmpl w:val="2E0AABD4"/>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2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531993">
    <w:abstractNumId w:val="11"/>
  </w:num>
  <w:num w:numId="2" w16cid:durableId="1635717460">
    <w:abstractNumId w:val="4"/>
  </w:num>
  <w:num w:numId="3" w16cid:durableId="652492952">
    <w:abstractNumId w:val="16"/>
  </w:num>
  <w:num w:numId="4" w16cid:durableId="270283157">
    <w:abstractNumId w:val="13"/>
  </w:num>
  <w:num w:numId="5" w16cid:durableId="652569582">
    <w:abstractNumId w:val="9"/>
  </w:num>
  <w:num w:numId="6" w16cid:durableId="1541670763">
    <w:abstractNumId w:val="8"/>
  </w:num>
  <w:num w:numId="7" w16cid:durableId="227964674">
    <w:abstractNumId w:val="6"/>
  </w:num>
  <w:num w:numId="8" w16cid:durableId="954403963">
    <w:abstractNumId w:val="25"/>
  </w:num>
  <w:num w:numId="9" w16cid:durableId="1444374324">
    <w:abstractNumId w:val="0"/>
  </w:num>
  <w:num w:numId="10" w16cid:durableId="1810170401">
    <w:abstractNumId w:val="18"/>
  </w:num>
  <w:num w:numId="11" w16cid:durableId="23292340">
    <w:abstractNumId w:val="23"/>
  </w:num>
  <w:num w:numId="12" w16cid:durableId="654531963">
    <w:abstractNumId w:val="5"/>
  </w:num>
  <w:num w:numId="13" w16cid:durableId="2098748623">
    <w:abstractNumId w:val="2"/>
  </w:num>
  <w:num w:numId="14" w16cid:durableId="212621518">
    <w:abstractNumId w:val="20"/>
  </w:num>
  <w:num w:numId="15" w16cid:durableId="667291433">
    <w:abstractNumId w:val="26"/>
  </w:num>
  <w:num w:numId="16" w16cid:durableId="519396237">
    <w:abstractNumId w:val="24"/>
  </w:num>
  <w:num w:numId="17" w16cid:durableId="910849537">
    <w:abstractNumId w:val="7"/>
  </w:num>
  <w:num w:numId="18" w16cid:durableId="705568755">
    <w:abstractNumId w:val="1"/>
  </w:num>
  <w:num w:numId="19" w16cid:durableId="361513116">
    <w:abstractNumId w:val="21"/>
  </w:num>
  <w:num w:numId="20" w16cid:durableId="719860391">
    <w:abstractNumId w:val="19"/>
  </w:num>
  <w:num w:numId="21" w16cid:durableId="638415045">
    <w:abstractNumId w:val="10"/>
  </w:num>
  <w:num w:numId="22" w16cid:durableId="1641688500">
    <w:abstractNumId w:val="15"/>
  </w:num>
  <w:num w:numId="23" w16cid:durableId="1917781891">
    <w:abstractNumId w:val="12"/>
  </w:num>
  <w:num w:numId="24" w16cid:durableId="741678863">
    <w:abstractNumId w:val="3"/>
  </w:num>
  <w:num w:numId="25" w16cid:durableId="266547090">
    <w:abstractNumId w:val="17"/>
  </w:num>
  <w:num w:numId="26" w16cid:durableId="608313407">
    <w:abstractNumId w:val="22"/>
  </w:num>
  <w:num w:numId="27" w16cid:durableId="1372337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C01"/>
    <w:rsid w:val="00001B30"/>
    <w:rsid w:val="000036E8"/>
    <w:rsid w:val="00003F5B"/>
    <w:rsid w:val="00010786"/>
    <w:rsid w:val="000114DD"/>
    <w:rsid w:val="000136DE"/>
    <w:rsid w:val="000136F7"/>
    <w:rsid w:val="0001417F"/>
    <w:rsid w:val="00023294"/>
    <w:rsid w:val="0002686C"/>
    <w:rsid w:val="00031D0E"/>
    <w:rsid w:val="000337E6"/>
    <w:rsid w:val="0003402E"/>
    <w:rsid w:val="00034EAE"/>
    <w:rsid w:val="00040236"/>
    <w:rsid w:val="000606BE"/>
    <w:rsid w:val="000736B8"/>
    <w:rsid w:val="0008190F"/>
    <w:rsid w:val="00081D9C"/>
    <w:rsid w:val="00082907"/>
    <w:rsid w:val="0008378D"/>
    <w:rsid w:val="000908A5"/>
    <w:rsid w:val="000915AB"/>
    <w:rsid w:val="00092805"/>
    <w:rsid w:val="000C454C"/>
    <w:rsid w:val="000C4CDB"/>
    <w:rsid w:val="000D4EA2"/>
    <w:rsid w:val="000D5038"/>
    <w:rsid w:val="000E229F"/>
    <w:rsid w:val="000E29D4"/>
    <w:rsid w:val="000F3540"/>
    <w:rsid w:val="00100491"/>
    <w:rsid w:val="00104E2E"/>
    <w:rsid w:val="00107287"/>
    <w:rsid w:val="00117406"/>
    <w:rsid w:val="00117E3D"/>
    <w:rsid w:val="00121EF0"/>
    <w:rsid w:val="00124A9E"/>
    <w:rsid w:val="00130703"/>
    <w:rsid w:val="0013153F"/>
    <w:rsid w:val="001408B8"/>
    <w:rsid w:val="001521D9"/>
    <w:rsid w:val="00154B01"/>
    <w:rsid w:val="001554E2"/>
    <w:rsid w:val="00164146"/>
    <w:rsid w:val="00164CD9"/>
    <w:rsid w:val="00164F07"/>
    <w:rsid w:val="00165F83"/>
    <w:rsid w:val="0017369C"/>
    <w:rsid w:val="00180C39"/>
    <w:rsid w:val="00180D96"/>
    <w:rsid w:val="001921F3"/>
    <w:rsid w:val="001A0642"/>
    <w:rsid w:val="001A3610"/>
    <w:rsid w:val="001B3C5B"/>
    <w:rsid w:val="001B4425"/>
    <w:rsid w:val="001D46A7"/>
    <w:rsid w:val="001E4BBB"/>
    <w:rsid w:val="001E6304"/>
    <w:rsid w:val="0020381E"/>
    <w:rsid w:val="00213471"/>
    <w:rsid w:val="00214F6C"/>
    <w:rsid w:val="00215906"/>
    <w:rsid w:val="002246A3"/>
    <w:rsid w:val="0025697F"/>
    <w:rsid w:val="00260258"/>
    <w:rsid w:val="00272428"/>
    <w:rsid w:val="00272461"/>
    <w:rsid w:val="00272948"/>
    <w:rsid w:val="00273D45"/>
    <w:rsid w:val="00274B92"/>
    <w:rsid w:val="002779AB"/>
    <w:rsid w:val="002946C7"/>
    <w:rsid w:val="002A0EA3"/>
    <w:rsid w:val="002A6B73"/>
    <w:rsid w:val="002B3CC1"/>
    <w:rsid w:val="002C09E0"/>
    <w:rsid w:val="002C3A10"/>
    <w:rsid w:val="002C4A90"/>
    <w:rsid w:val="002D02EF"/>
    <w:rsid w:val="002D3679"/>
    <w:rsid w:val="002E0702"/>
    <w:rsid w:val="002E6F80"/>
    <w:rsid w:val="002F0E4F"/>
    <w:rsid w:val="002F1053"/>
    <w:rsid w:val="00306AB6"/>
    <w:rsid w:val="00306D00"/>
    <w:rsid w:val="00317B0E"/>
    <w:rsid w:val="0032204D"/>
    <w:rsid w:val="0032354B"/>
    <w:rsid w:val="003446FE"/>
    <w:rsid w:val="003458C3"/>
    <w:rsid w:val="00347864"/>
    <w:rsid w:val="00347FAA"/>
    <w:rsid w:val="0035172D"/>
    <w:rsid w:val="0036187D"/>
    <w:rsid w:val="00381024"/>
    <w:rsid w:val="00386307"/>
    <w:rsid w:val="003874DE"/>
    <w:rsid w:val="00390F3E"/>
    <w:rsid w:val="00393E9F"/>
    <w:rsid w:val="0039696E"/>
    <w:rsid w:val="00397394"/>
    <w:rsid w:val="003A5E33"/>
    <w:rsid w:val="003B211A"/>
    <w:rsid w:val="003C12B3"/>
    <w:rsid w:val="003C141F"/>
    <w:rsid w:val="003C63AF"/>
    <w:rsid w:val="003C6B0E"/>
    <w:rsid w:val="003C7257"/>
    <w:rsid w:val="003C7E35"/>
    <w:rsid w:val="003D4998"/>
    <w:rsid w:val="003E5FCD"/>
    <w:rsid w:val="00404E8A"/>
    <w:rsid w:val="0040622F"/>
    <w:rsid w:val="00417DCF"/>
    <w:rsid w:val="00420BF8"/>
    <w:rsid w:val="00423160"/>
    <w:rsid w:val="00436E2F"/>
    <w:rsid w:val="00443009"/>
    <w:rsid w:val="00451B6B"/>
    <w:rsid w:val="00453862"/>
    <w:rsid w:val="00461338"/>
    <w:rsid w:val="00464659"/>
    <w:rsid w:val="004677DB"/>
    <w:rsid w:val="0048630F"/>
    <w:rsid w:val="004947A1"/>
    <w:rsid w:val="0049482A"/>
    <w:rsid w:val="00495B92"/>
    <w:rsid w:val="00496070"/>
    <w:rsid w:val="004979D3"/>
    <w:rsid w:val="004A00E7"/>
    <w:rsid w:val="004A3A61"/>
    <w:rsid w:val="004B59BA"/>
    <w:rsid w:val="004C263A"/>
    <w:rsid w:val="004D7B8F"/>
    <w:rsid w:val="004D7BDC"/>
    <w:rsid w:val="004E0ADB"/>
    <w:rsid w:val="004E6458"/>
    <w:rsid w:val="004E6E7D"/>
    <w:rsid w:val="004F1AAC"/>
    <w:rsid w:val="004F1AE2"/>
    <w:rsid w:val="004F34F0"/>
    <w:rsid w:val="004F39B8"/>
    <w:rsid w:val="005005EF"/>
    <w:rsid w:val="005125A2"/>
    <w:rsid w:val="00521380"/>
    <w:rsid w:val="005227E0"/>
    <w:rsid w:val="005270F1"/>
    <w:rsid w:val="00534E11"/>
    <w:rsid w:val="0053651E"/>
    <w:rsid w:val="005400D9"/>
    <w:rsid w:val="00540135"/>
    <w:rsid w:val="00540971"/>
    <w:rsid w:val="0054469F"/>
    <w:rsid w:val="005476A4"/>
    <w:rsid w:val="0055019B"/>
    <w:rsid w:val="0055060B"/>
    <w:rsid w:val="00554967"/>
    <w:rsid w:val="00556E63"/>
    <w:rsid w:val="005601A4"/>
    <w:rsid w:val="005648CF"/>
    <w:rsid w:val="00566DBB"/>
    <w:rsid w:val="00571065"/>
    <w:rsid w:val="00574C72"/>
    <w:rsid w:val="005976CE"/>
    <w:rsid w:val="005A23D4"/>
    <w:rsid w:val="005A2D1E"/>
    <w:rsid w:val="005C493F"/>
    <w:rsid w:val="005C6BF7"/>
    <w:rsid w:val="005C71BF"/>
    <w:rsid w:val="005C73C9"/>
    <w:rsid w:val="005D002C"/>
    <w:rsid w:val="005D30E1"/>
    <w:rsid w:val="005D499E"/>
    <w:rsid w:val="005D6555"/>
    <w:rsid w:val="005D7BDF"/>
    <w:rsid w:val="005E15E7"/>
    <w:rsid w:val="005E1D3C"/>
    <w:rsid w:val="005E70C5"/>
    <w:rsid w:val="005F2950"/>
    <w:rsid w:val="005F71D9"/>
    <w:rsid w:val="005F7602"/>
    <w:rsid w:val="006108BA"/>
    <w:rsid w:val="00613501"/>
    <w:rsid w:val="006166A8"/>
    <w:rsid w:val="00616854"/>
    <w:rsid w:val="006174A1"/>
    <w:rsid w:val="006221D7"/>
    <w:rsid w:val="00633B49"/>
    <w:rsid w:val="00636A50"/>
    <w:rsid w:val="0064297F"/>
    <w:rsid w:val="00646CF3"/>
    <w:rsid w:val="00651F9C"/>
    <w:rsid w:val="00662983"/>
    <w:rsid w:val="006661F8"/>
    <w:rsid w:val="006705B8"/>
    <w:rsid w:val="006834D3"/>
    <w:rsid w:val="00690A36"/>
    <w:rsid w:val="00692625"/>
    <w:rsid w:val="00695CD3"/>
    <w:rsid w:val="006A38B6"/>
    <w:rsid w:val="006B1987"/>
    <w:rsid w:val="006B5B71"/>
    <w:rsid w:val="006B6CB0"/>
    <w:rsid w:val="006C2B64"/>
    <w:rsid w:val="006D4C85"/>
    <w:rsid w:val="006E33F6"/>
    <w:rsid w:val="006E6020"/>
    <w:rsid w:val="006F1251"/>
    <w:rsid w:val="006F1C23"/>
    <w:rsid w:val="006F3037"/>
    <w:rsid w:val="00703166"/>
    <w:rsid w:val="007127F3"/>
    <w:rsid w:val="007301CF"/>
    <w:rsid w:val="007316FB"/>
    <w:rsid w:val="00737E2D"/>
    <w:rsid w:val="00742033"/>
    <w:rsid w:val="007424D5"/>
    <w:rsid w:val="00751FFA"/>
    <w:rsid w:val="007523DD"/>
    <w:rsid w:val="00757B7E"/>
    <w:rsid w:val="00771743"/>
    <w:rsid w:val="00771A84"/>
    <w:rsid w:val="00795DC5"/>
    <w:rsid w:val="00797153"/>
    <w:rsid w:val="0079741F"/>
    <w:rsid w:val="007B0DDA"/>
    <w:rsid w:val="007B2749"/>
    <w:rsid w:val="007B3C4D"/>
    <w:rsid w:val="007C0DA0"/>
    <w:rsid w:val="007C5B6E"/>
    <w:rsid w:val="007C62E5"/>
    <w:rsid w:val="007C7EFB"/>
    <w:rsid w:val="007D6482"/>
    <w:rsid w:val="007E4A19"/>
    <w:rsid w:val="007E52C1"/>
    <w:rsid w:val="007E5466"/>
    <w:rsid w:val="007F1949"/>
    <w:rsid w:val="00802956"/>
    <w:rsid w:val="008075B7"/>
    <w:rsid w:val="00817A84"/>
    <w:rsid w:val="008225A4"/>
    <w:rsid w:val="00826D5E"/>
    <w:rsid w:val="00832013"/>
    <w:rsid w:val="00834732"/>
    <w:rsid w:val="0084148C"/>
    <w:rsid w:val="00843554"/>
    <w:rsid w:val="0085200C"/>
    <w:rsid w:val="00857C52"/>
    <w:rsid w:val="008651E2"/>
    <w:rsid w:val="00880A44"/>
    <w:rsid w:val="008827CC"/>
    <w:rsid w:val="0088345E"/>
    <w:rsid w:val="0088656F"/>
    <w:rsid w:val="008A0303"/>
    <w:rsid w:val="008A5FDD"/>
    <w:rsid w:val="008B0234"/>
    <w:rsid w:val="008B2311"/>
    <w:rsid w:val="008C223C"/>
    <w:rsid w:val="008C3947"/>
    <w:rsid w:val="008C5560"/>
    <w:rsid w:val="008E331E"/>
    <w:rsid w:val="008E7329"/>
    <w:rsid w:val="008F2ED5"/>
    <w:rsid w:val="00902D57"/>
    <w:rsid w:val="00913589"/>
    <w:rsid w:val="009145D2"/>
    <w:rsid w:val="00916202"/>
    <w:rsid w:val="00917BFE"/>
    <w:rsid w:val="0092297E"/>
    <w:rsid w:val="009302F5"/>
    <w:rsid w:val="0093069F"/>
    <w:rsid w:val="009341BF"/>
    <w:rsid w:val="009342B2"/>
    <w:rsid w:val="00937907"/>
    <w:rsid w:val="00941739"/>
    <w:rsid w:val="009450E4"/>
    <w:rsid w:val="009463CD"/>
    <w:rsid w:val="00951573"/>
    <w:rsid w:val="009623CB"/>
    <w:rsid w:val="00963003"/>
    <w:rsid w:val="0097328F"/>
    <w:rsid w:val="00975331"/>
    <w:rsid w:val="00983471"/>
    <w:rsid w:val="009909AB"/>
    <w:rsid w:val="009B37DB"/>
    <w:rsid w:val="009C31E9"/>
    <w:rsid w:val="009C7A8C"/>
    <w:rsid w:val="009D23F9"/>
    <w:rsid w:val="009D4FA8"/>
    <w:rsid w:val="009E5A8B"/>
    <w:rsid w:val="009E6CD6"/>
    <w:rsid w:val="009F4DE9"/>
    <w:rsid w:val="00A00C3C"/>
    <w:rsid w:val="00A01091"/>
    <w:rsid w:val="00A06DBB"/>
    <w:rsid w:val="00A11C95"/>
    <w:rsid w:val="00A31E86"/>
    <w:rsid w:val="00A3757E"/>
    <w:rsid w:val="00A54D87"/>
    <w:rsid w:val="00A5553C"/>
    <w:rsid w:val="00A71554"/>
    <w:rsid w:val="00A81785"/>
    <w:rsid w:val="00A84803"/>
    <w:rsid w:val="00A84C51"/>
    <w:rsid w:val="00A86F2B"/>
    <w:rsid w:val="00A91366"/>
    <w:rsid w:val="00A93AA6"/>
    <w:rsid w:val="00AA4E48"/>
    <w:rsid w:val="00AA6202"/>
    <w:rsid w:val="00AA6AC8"/>
    <w:rsid w:val="00AA7883"/>
    <w:rsid w:val="00AC4A99"/>
    <w:rsid w:val="00AC64D2"/>
    <w:rsid w:val="00AE0FE8"/>
    <w:rsid w:val="00AE39C1"/>
    <w:rsid w:val="00AF0CB4"/>
    <w:rsid w:val="00AF60D5"/>
    <w:rsid w:val="00B04415"/>
    <w:rsid w:val="00B10046"/>
    <w:rsid w:val="00B11D60"/>
    <w:rsid w:val="00B11E4B"/>
    <w:rsid w:val="00B13D65"/>
    <w:rsid w:val="00B15903"/>
    <w:rsid w:val="00B22497"/>
    <w:rsid w:val="00B236E0"/>
    <w:rsid w:val="00B35176"/>
    <w:rsid w:val="00B351ED"/>
    <w:rsid w:val="00B37245"/>
    <w:rsid w:val="00B4017A"/>
    <w:rsid w:val="00B4468D"/>
    <w:rsid w:val="00B46A10"/>
    <w:rsid w:val="00B51BB1"/>
    <w:rsid w:val="00B625C5"/>
    <w:rsid w:val="00B71C72"/>
    <w:rsid w:val="00B81E92"/>
    <w:rsid w:val="00B83467"/>
    <w:rsid w:val="00B93B30"/>
    <w:rsid w:val="00B94CB5"/>
    <w:rsid w:val="00BA0DD9"/>
    <w:rsid w:val="00BB6312"/>
    <w:rsid w:val="00BC4D06"/>
    <w:rsid w:val="00BD0837"/>
    <w:rsid w:val="00BD585E"/>
    <w:rsid w:val="00BE5DED"/>
    <w:rsid w:val="00BF26A2"/>
    <w:rsid w:val="00BF2E0D"/>
    <w:rsid w:val="00BF3F8B"/>
    <w:rsid w:val="00BF556E"/>
    <w:rsid w:val="00BF76DA"/>
    <w:rsid w:val="00C009DE"/>
    <w:rsid w:val="00C02AF1"/>
    <w:rsid w:val="00C0391A"/>
    <w:rsid w:val="00C07C7B"/>
    <w:rsid w:val="00C24479"/>
    <w:rsid w:val="00C35B63"/>
    <w:rsid w:val="00C37B53"/>
    <w:rsid w:val="00C517D2"/>
    <w:rsid w:val="00C62B36"/>
    <w:rsid w:val="00C638D6"/>
    <w:rsid w:val="00C7012C"/>
    <w:rsid w:val="00C91C2D"/>
    <w:rsid w:val="00C96915"/>
    <w:rsid w:val="00CB1C5E"/>
    <w:rsid w:val="00CC201F"/>
    <w:rsid w:val="00CC668D"/>
    <w:rsid w:val="00CC7832"/>
    <w:rsid w:val="00CF0C1C"/>
    <w:rsid w:val="00CF1FFA"/>
    <w:rsid w:val="00CF6CE5"/>
    <w:rsid w:val="00D1611D"/>
    <w:rsid w:val="00D2102A"/>
    <w:rsid w:val="00D23808"/>
    <w:rsid w:val="00D2781D"/>
    <w:rsid w:val="00D3016A"/>
    <w:rsid w:val="00D317D4"/>
    <w:rsid w:val="00D31A86"/>
    <w:rsid w:val="00D42960"/>
    <w:rsid w:val="00D43BD7"/>
    <w:rsid w:val="00D4485B"/>
    <w:rsid w:val="00D46408"/>
    <w:rsid w:val="00D4708D"/>
    <w:rsid w:val="00D4744C"/>
    <w:rsid w:val="00D5152F"/>
    <w:rsid w:val="00D63068"/>
    <w:rsid w:val="00D6498C"/>
    <w:rsid w:val="00D8521E"/>
    <w:rsid w:val="00D9291C"/>
    <w:rsid w:val="00D93A97"/>
    <w:rsid w:val="00D960E7"/>
    <w:rsid w:val="00DA0AF0"/>
    <w:rsid w:val="00DA2D6E"/>
    <w:rsid w:val="00DB0A92"/>
    <w:rsid w:val="00DB1F64"/>
    <w:rsid w:val="00DC1346"/>
    <w:rsid w:val="00DC2F53"/>
    <w:rsid w:val="00DC6816"/>
    <w:rsid w:val="00DC76C2"/>
    <w:rsid w:val="00DD0059"/>
    <w:rsid w:val="00DD1CF2"/>
    <w:rsid w:val="00DD7AAE"/>
    <w:rsid w:val="00DE6596"/>
    <w:rsid w:val="00DF36A5"/>
    <w:rsid w:val="00DF41B7"/>
    <w:rsid w:val="00DF4A4A"/>
    <w:rsid w:val="00DF583C"/>
    <w:rsid w:val="00E03C3F"/>
    <w:rsid w:val="00E073B4"/>
    <w:rsid w:val="00E13F26"/>
    <w:rsid w:val="00E23050"/>
    <w:rsid w:val="00E24D45"/>
    <w:rsid w:val="00E33DB8"/>
    <w:rsid w:val="00E34387"/>
    <w:rsid w:val="00E369FE"/>
    <w:rsid w:val="00E37C6F"/>
    <w:rsid w:val="00E41656"/>
    <w:rsid w:val="00E475F8"/>
    <w:rsid w:val="00E5102E"/>
    <w:rsid w:val="00E5721C"/>
    <w:rsid w:val="00E6025D"/>
    <w:rsid w:val="00E619C6"/>
    <w:rsid w:val="00E732AB"/>
    <w:rsid w:val="00E745A1"/>
    <w:rsid w:val="00E81529"/>
    <w:rsid w:val="00E83A13"/>
    <w:rsid w:val="00E84FAD"/>
    <w:rsid w:val="00EB1C74"/>
    <w:rsid w:val="00EC2356"/>
    <w:rsid w:val="00EC2582"/>
    <w:rsid w:val="00EC337C"/>
    <w:rsid w:val="00EC3531"/>
    <w:rsid w:val="00ED0C4D"/>
    <w:rsid w:val="00ED0CFF"/>
    <w:rsid w:val="00ED31D2"/>
    <w:rsid w:val="00EE0ACF"/>
    <w:rsid w:val="00EE0EAC"/>
    <w:rsid w:val="00EE33CB"/>
    <w:rsid w:val="00EE400D"/>
    <w:rsid w:val="00EE7BAD"/>
    <w:rsid w:val="00F0061A"/>
    <w:rsid w:val="00F00A34"/>
    <w:rsid w:val="00F02834"/>
    <w:rsid w:val="00F07CD7"/>
    <w:rsid w:val="00F127E9"/>
    <w:rsid w:val="00F174C8"/>
    <w:rsid w:val="00F2582E"/>
    <w:rsid w:val="00F36972"/>
    <w:rsid w:val="00F42426"/>
    <w:rsid w:val="00F456BC"/>
    <w:rsid w:val="00F50666"/>
    <w:rsid w:val="00F60C95"/>
    <w:rsid w:val="00F6241B"/>
    <w:rsid w:val="00F62B5B"/>
    <w:rsid w:val="00F70C9E"/>
    <w:rsid w:val="00F74A74"/>
    <w:rsid w:val="00F8382C"/>
    <w:rsid w:val="00F855D7"/>
    <w:rsid w:val="00F92035"/>
    <w:rsid w:val="00F92748"/>
    <w:rsid w:val="00F938D8"/>
    <w:rsid w:val="00F93EB1"/>
    <w:rsid w:val="00F953C7"/>
    <w:rsid w:val="00FA4169"/>
    <w:rsid w:val="00FB0D41"/>
    <w:rsid w:val="00FB2030"/>
    <w:rsid w:val="00FB7086"/>
    <w:rsid w:val="00FD1CF2"/>
    <w:rsid w:val="00FD3EDF"/>
    <w:rsid w:val="00FD6192"/>
    <w:rsid w:val="00FD793C"/>
    <w:rsid w:val="00FE0C24"/>
    <w:rsid w:val="00FE20E6"/>
    <w:rsid w:val="00FE3248"/>
    <w:rsid w:val="00FE3E3B"/>
    <w:rsid w:val="00FE4790"/>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ummary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Tekstas">
    <w:name w:val="Tekstas"/>
    <w:basedOn w:val="Normal"/>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FootnoteReference">
    <w:name w:val="footnote reference"/>
    <w:basedOn w:val="DefaultParagraphFont"/>
    <w:semiHidden/>
    <w:unhideWhenUsed/>
    <w:rsid w:val="00D960E7"/>
    <w:rPr>
      <w:vertAlign w:val="superscript"/>
    </w:rPr>
  </w:style>
  <w:style w:type="paragraph" w:styleId="FootnoteText">
    <w:name w:val="footnote text"/>
    <w:basedOn w:val="Normal"/>
    <w:link w:val="FootnoteTextChar"/>
    <w:semiHidden/>
    <w:unhideWhenUsed/>
    <w:rsid w:val="00D960E7"/>
    <w:rPr>
      <w:sz w:val="20"/>
      <w:szCs w:val="20"/>
    </w:rPr>
  </w:style>
  <w:style w:type="character" w:customStyle="1" w:styleId="FootnoteTextChar">
    <w:name w:val="Footnote Text Char"/>
    <w:basedOn w:val="DefaultParagraphFont"/>
    <w:link w:val="FootnoteText"/>
    <w:semiHidden/>
    <w:rsid w:val="00D960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10394">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65247025">
      <w:bodyDiv w:val="1"/>
      <w:marLeft w:val="0"/>
      <w:marRight w:val="0"/>
      <w:marTop w:val="0"/>
      <w:marBottom w:val="0"/>
      <w:divBdr>
        <w:top w:val="none" w:sz="0" w:space="0" w:color="auto"/>
        <w:left w:val="none" w:sz="0" w:space="0" w:color="auto"/>
        <w:bottom w:val="none" w:sz="0" w:space="0" w:color="auto"/>
        <w:right w:val="none" w:sz="0" w:space="0" w:color="auto"/>
      </w:divBdr>
    </w:div>
    <w:div w:id="19298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B531EE8774159A74F151C7D24BC66"/>
        <w:category>
          <w:name w:val="General"/>
          <w:gallery w:val="placeholder"/>
        </w:category>
        <w:types>
          <w:type w:val="bbPlcHdr"/>
        </w:types>
        <w:behaviors>
          <w:behavior w:val="content"/>
        </w:behaviors>
        <w:guid w:val="{9873E93F-F3B7-4B7E-93F7-14D6AB587651}"/>
      </w:docPartPr>
      <w:docPartBody>
        <w:p w:rsidR="00176847" w:rsidRDefault="00895DD5" w:rsidP="00895DD5">
          <w:pPr>
            <w:pStyle w:val="5D1B531EE8774159A74F151C7D24BC66"/>
          </w:pPr>
          <w:r>
            <w:rPr>
              <w:rStyle w:val="PlaceholderText"/>
            </w:rPr>
            <w:t>Click here to enter a date.</w:t>
          </w:r>
        </w:p>
      </w:docPartBody>
    </w:docPart>
    <w:docPart>
      <w:docPartPr>
        <w:name w:val="9F6DC770B7CD44C2823B997493D494FC"/>
        <w:category>
          <w:name w:val="General"/>
          <w:gallery w:val="placeholder"/>
        </w:category>
        <w:types>
          <w:type w:val="bbPlcHdr"/>
        </w:types>
        <w:behaviors>
          <w:behavior w:val="content"/>
        </w:behaviors>
        <w:guid w:val="{E4F28F7B-861E-4A89-99A7-B222F8661FFA}"/>
      </w:docPartPr>
      <w:docPartBody>
        <w:p w:rsidR="00176847" w:rsidRDefault="00895DD5" w:rsidP="00895DD5">
          <w:pPr>
            <w:pStyle w:val="9F6DC770B7CD44C2823B997493D494FC"/>
          </w:pPr>
          <w:r>
            <w:rPr>
              <w:rStyle w:val="PlaceholderText"/>
            </w:rPr>
            <w:t>Click here to enter a date.</w:t>
          </w:r>
        </w:p>
      </w:docPartBody>
    </w:docPart>
    <w:docPart>
      <w:docPartPr>
        <w:name w:val="6D283B51C46845E690EF0F79A9015EF0"/>
        <w:category>
          <w:name w:val="General"/>
          <w:gallery w:val="placeholder"/>
        </w:category>
        <w:types>
          <w:type w:val="bbPlcHdr"/>
        </w:types>
        <w:behaviors>
          <w:behavior w:val="content"/>
        </w:behaviors>
        <w:guid w:val="{B5D8BF5B-E0DD-4601-B296-51D256548FE2}"/>
      </w:docPartPr>
      <w:docPartBody>
        <w:p w:rsidR="00930345" w:rsidRDefault="009A1B91" w:rsidP="009A1B91">
          <w:pPr>
            <w:pStyle w:val="6D283B51C46845E690EF0F79A9015EF0"/>
          </w:pPr>
          <w:r>
            <w:rPr>
              <w:rStyle w:val="PlaceholderText"/>
            </w:rPr>
            <w:t>Click here to enter a date.</w:t>
          </w:r>
        </w:p>
      </w:docPartBody>
    </w:docPart>
    <w:docPart>
      <w:docPartPr>
        <w:name w:val="81A97D20F0DB480C929875C11FC534CE"/>
        <w:category>
          <w:name w:val="General"/>
          <w:gallery w:val="placeholder"/>
        </w:category>
        <w:types>
          <w:type w:val="bbPlcHdr"/>
        </w:types>
        <w:behaviors>
          <w:behavior w:val="content"/>
        </w:behaviors>
        <w:guid w:val="{818F635A-CEA1-4FD8-8051-B00CCBB9EC66}"/>
      </w:docPartPr>
      <w:docPartBody>
        <w:p w:rsidR="00930345" w:rsidRDefault="009A1B91" w:rsidP="009A1B91">
          <w:pPr>
            <w:pStyle w:val="81A97D20F0DB480C929875C11FC534CE"/>
          </w:pPr>
          <w:r>
            <w:rPr>
              <w:rStyle w:val="PlaceholderText"/>
            </w:rPr>
            <w:t>Click here to enter a date.</w:t>
          </w:r>
        </w:p>
      </w:docPartBody>
    </w:docPart>
    <w:docPart>
      <w:docPartPr>
        <w:name w:val="1F50935A5FA74CE2BD3BAFC251141AA6"/>
        <w:category>
          <w:name w:val="General"/>
          <w:gallery w:val="placeholder"/>
        </w:category>
        <w:types>
          <w:type w:val="bbPlcHdr"/>
        </w:types>
        <w:behaviors>
          <w:behavior w:val="content"/>
        </w:behaviors>
        <w:guid w:val="{A4D4B701-D6A0-41F5-A327-2A0EB8F7D869}"/>
      </w:docPartPr>
      <w:docPartBody>
        <w:p w:rsidR="00930345" w:rsidRDefault="009A1B91" w:rsidP="009A1B91">
          <w:pPr>
            <w:pStyle w:val="1F50935A5FA74CE2BD3BAFC251141AA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3250"/>
    <w:rsid w:val="00031C95"/>
    <w:rsid w:val="000937FE"/>
    <w:rsid w:val="000A559A"/>
    <w:rsid w:val="00106A56"/>
    <w:rsid w:val="001227E4"/>
    <w:rsid w:val="00176847"/>
    <w:rsid w:val="00211441"/>
    <w:rsid w:val="00220729"/>
    <w:rsid w:val="002224E2"/>
    <w:rsid w:val="002859A3"/>
    <w:rsid w:val="003A2F2A"/>
    <w:rsid w:val="003C1AE1"/>
    <w:rsid w:val="003D402D"/>
    <w:rsid w:val="004144A3"/>
    <w:rsid w:val="004160E7"/>
    <w:rsid w:val="004B78E8"/>
    <w:rsid w:val="004C5A06"/>
    <w:rsid w:val="004F31CA"/>
    <w:rsid w:val="005074B9"/>
    <w:rsid w:val="00541B52"/>
    <w:rsid w:val="00552E58"/>
    <w:rsid w:val="005E40DD"/>
    <w:rsid w:val="007126F3"/>
    <w:rsid w:val="007C6D1D"/>
    <w:rsid w:val="007D17CA"/>
    <w:rsid w:val="007E115F"/>
    <w:rsid w:val="007E6506"/>
    <w:rsid w:val="00843AE5"/>
    <w:rsid w:val="00895DD5"/>
    <w:rsid w:val="008A34C5"/>
    <w:rsid w:val="008B0234"/>
    <w:rsid w:val="008C49D4"/>
    <w:rsid w:val="009218B9"/>
    <w:rsid w:val="00930345"/>
    <w:rsid w:val="00936288"/>
    <w:rsid w:val="0096442F"/>
    <w:rsid w:val="00964DDE"/>
    <w:rsid w:val="00965277"/>
    <w:rsid w:val="009774A4"/>
    <w:rsid w:val="009A1B91"/>
    <w:rsid w:val="009B3BF0"/>
    <w:rsid w:val="009D5E5E"/>
    <w:rsid w:val="00A04012"/>
    <w:rsid w:val="00A93542"/>
    <w:rsid w:val="00B23DC0"/>
    <w:rsid w:val="00B34FCC"/>
    <w:rsid w:val="00CB4BD1"/>
    <w:rsid w:val="00CE2DA9"/>
    <w:rsid w:val="00CE44BE"/>
    <w:rsid w:val="00CE49F2"/>
    <w:rsid w:val="00CE5289"/>
    <w:rsid w:val="00CF66F6"/>
    <w:rsid w:val="00DA2D6E"/>
    <w:rsid w:val="00DC6D61"/>
    <w:rsid w:val="00DE62BE"/>
    <w:rsid w:val="00E44A86"/>
    <w:rsid w:val="00E86D0F"/>
    <w:rsid w:val="00EC3531"/>
    <w:rsid w:val="00ED448A"/>
    <w:rsid w:val="00EF6E0C"/>
    <w:rsid w:val="00F64D17"/>
    <w:rsid w:val="00FB276D"/>
    <w:rsid w:val="00FB5553"/>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1B91"/>
    <w:rPr>
      <w:color w:val="808080"/>
    </w:rPr>
  </w:style>
  <w:style w:type="paragraph" w:customStyle="1" w:styleId="5D1B531EE8774159A74F151C7D24BC66">
    <w:name w:val="5D1B531EE8774159A74F151C7D24BC66"/>
    <w:rsid w:val="00895DD5"/>
  </w:style>
  <w:style w:type="paragraph" w:customStyle="1" w:styleId="9F6DC770B7CD44C2823B997493D494FC">
    <w:name w:val="9F6DC770B7CD44C2823B997493D494FC"/>
    <w:rsid w:val="00895DD5"/>
  </w:style>
  <w:style w:type="paragraph" w:customStyle="1" w:styleId="6D283B51C46845E690EF0F79A9015EF0">
    <w:name w:val="6D283B51C46845E690EF0F79A9015EF0"/>
    <w:rsid w:val="009A1B91"/>
  </w:style>
  <w:style w:type="paragraph" w:customStyle="1" w:styleId="81A97D20F0DB480C929875C11FC534CE">
    <w:name w:val="81A97D20F0DB480C929875C11FC534CE"/>
    <w:rsid w:val="009A1B91"/>
  </w:style>
  <w:style w:type="paragraph" w:customStyle="1" w:styleId="1F50935A5FA74CE2BD3BAFC251141AA6">
    <w:name w:val="1F50935A5FA74CE2BD3BAFC251141AA6"/>
    <w:rsid w:val="009A1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903966-769d-4fcd-90af-b732ac575edf">
      <Terms xmlns="http://schemas.microsoft.com/office/infopath/2007/PartnerControls"/>
    </lcf76f155ced4ddcb4097134ff3c332f>
    <_ip_UnifiedCompliancePolicyProperties xmlns="http://schemas.microsoft.com/sharepoint/v3" xsi:nil="true"/>
    <TaxCatchAll xmlns="1ff7177e-2940-42ec-b6b2-087f2b2654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4D035E302E4049B0DD8FFEAA012F92" ma:contentTypeVersion="16" ma:contentTypeDescription="Create a new document." ma:contentTypeScope="" ma:versionID="e635d71810016bcae9dcefe8f3045b38">
  <xsd:schema xmlns:xsd="http://www.w3.org/2001/XMLSchema" xmlns:xs="http://www.w3.org/2001/XMLSchema" xmlns:p="http://schemas.microsoft.com/office/2006/metadata/properties" xmlns:ns1="http://schemas.microsoft.com/sharepoint/v3" xmlns:ns2="d6903966-769d-4fcd-90af-b732ac575edf" xmlns:ns3="1ff7177e-2940-42ec-b6b2-087f2b2654a0" targetNamespace="http://schemas.microsoft.com/office/2006/metadata/properties" ma:root="true" ma:fieldsID="f9d10a8503cc3a90cf09f023b15da047" ns1:_="" ns2:_="" ns3:_="">
    <xsd:import namespace="http://schemas.microsoft.com/sharepoint/v3"/>
    <xsd:import namespace="d6903966-769d-4fcd-90af-b732ac575edf"/>
    <xsd:import namespace="1ff7177e-2940-42ec-b6b2-087f2b265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03966-769d-4fcd-90af-b732ac575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f7177e-2940-42ec-b6b2-087f2b2654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9e76a63-17b5-4d1d-a793-4d3855153cf9}" ma:internalName="TaxCatchAll" ma:showField="CatchAllData" ma:web="1ff7177e-2940-42ec-b6b2-087f2b26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13DB3-8A47-4B6C-9FA4-ABBA6561208E}">
  <ds:schemaRefs>
    <ds:schemaRef ds:uri="http://schemas.microsoft.com/office/2006/metadata/properties"/>
    <ds:schemaRef ds:uri="http://schemas.microsoft.com/office/infopath/2007/PartnerControls"/>
    <ds:schemaRef ds:uri="http://schemas.microsoft.com/sharepoint/v3"/>
    <ds:schemaRef ds:uri="d6903966-769d-4fcd-90af-b732ac575edf"/>
    <ds:schemaRef ds:uri="1ff7177e-2940-42ec-b6b2-087f2b2654a0"/>
  </ds:schemaRefs>
</ds:datastoreItem>
</file>

<file path=customXml/itemProps2.xml><?xml version="1.0" encoding="utf-8"?>
<ds:datastoreItem xmlns:ds="http://schemas.openxmlformats.org/officeDocument/2006/customXml" ds:itemID="{16F53E6A-FE3F-4F4C-9B99-8F6A8DD04E19}">
  <ds:schemaRefs>
    <ds:schemaRef ds:uri="http://schemas.microsoft.com/sharepoint/v3/contenttype/forms"/>
  </ds:schemaRefs>
</ds:datastoreItem>
</file>

<file path=customXml/itemProps3.xml><?xml version="1.0" encoding="utf-8"?>
<ds:datastoreItem xmlns:ds="http://schemas.openxmlformats.org/officeDocument/2006/customXml" ds:itemID="{DB806CE3-DB4C-4518-9248-F18A04A57B4D}">
  <ds:schemaRefs>
    <ds:schemaRef ds:uri="http://schemas.openxmlformats.org/officeDocument/2006/bibliography"/>
  </ds:schemaRefs>
</ds:datastoreItem>
</file>

<file path=customXml/itemProps4.xml><?xml version="1.0" encoding="utf-8"?>
<ds:datastoreItem xmlns:ds="http://schemas.openxmlformats.org/officeDocument/2006/customXml" ds:itemID="{D81A12B4-9E95-485C-A52A-FD00014F3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903966-769d-4fcd-90af-b732ac575edf"/>
    <ds:schemaRef ds:uri="1ff7177e-2940-42ec-b6b2-087f2b26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2683</Words>
  <Characters>20169</Characters>
  <Application>Microsoft Office Word</Application>
  <DocSecurity>0</DocSecurity>
  <Lines>168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22807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2025-01-02T09:35:00Z</dcterms:created>
  <dcterms:modified xsi:type="dcterms:W3CDTF">2025-01-02T09:43:00Z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0x0101004C4D035E302E4049B0DD8FFEAA012F92</vt:lpwstr>
  </property>
  <property fmtid="{D5CDD505-2E9C-101B-9397-08002B2CF9AE}" pid="3" name="ClassificationContentMarkingHeaderShapeIds">
    <vt:lpwstr>107e1a86,20e1f85c,cdd20d5</vt:lpwstr>
  </property>
  <property fmtid="{D5CDD505-2E9C-101B-9397-08002B2CF9AE}" pid="4" name="ClassificationContentMarkingHeaderFontProps">
    <vt:lpwstr>#03c03c,12,Calibri</vt:lpwstr>
  </property>
  <property fmtid="{D5CDD505-2E9C-101B-9397-08002B2CF9AE}" pid="5" name="ClassificationContentMarkingHeaderText">
    <vt:lpwstr>Public</vt:lpwstr>
  </property>
  <property fmtid="{D5CDD505-2E9C-101B-9397-08002B2CF9AE}" pid="6" name="MSIP_Label_794a5f65-4bbe-4bbe-bb66-e23e35795661_Enabled">
    <vt:lpwstr>true</vt:lpwstr>
  </property>
  <property fmtid="{D5CDD505-2E9C-101B-9397-08002B2CF9AE}" pid="7" name="MSIP_Label_794a5f65-4bbe-4bbe-bb66-e23e35795661_SetDate">
    <vt:lpwstr>2025-01-02T09:43:32Z</vt:lpwstr>
  </property>
  <property fmtid="{D5CDD505-2E9C-101B-9397-08002B2CF9AE}" pid="8" name="MSIP_Label_794a5f65-4bbe-4bbe-bb66-e23e35795661_Method">
    <vt:lpwstr>Privileged</vt:lpwstr>
  </property>
  <property fmtid="{D5CDD505-2E9C-101B-9397-08002B2CF9AE}" pid="9" name="MSIP_Label_794a5f65-4bbe-4bbe-bb66-e23e35795661_Name">
    <vt:lpwstr>794a5f65-4bbe-4bbe-bb66-e23e35795661</vt:lpwstr>
  </property>
  <property fmtid="{D5CDD505-2E9C-101B-9397-08002B2CF9AE}" pid="10" name="MSIP_Label_794a5f65-4bbe-4bbe-bb66-e23e35795661_SiteId">
    <vt:lpwstr>a00de4ec-48a8-43a6-be74-e31274e2060d</vt:lpwstr>
  </property>
  <property fmtid="{D5CDD505-2E9C-101B-9397-08002B2CF9AE}" pid="11" name="MSIP_Label_794a5f65-4bbe-4bbe-bb66-e23e35795661_ActionId">
    <vt:lpwstr>b31a60bc-448c-4af2-83fd-7ce56b7313d6</vt:lpwstr>
  </property>
  <property fmtid="{D5CDD505-2E9C-101B-9397-08002B2CF9AE}" pid="12" name="MSIP_Label_794a5f65-4bbe-4bbe-bb66-e23e35795661_ContentBits">
    <vt:lpwstr>1</vt:lpwstr>
  </property>
  <property fmtid="{D5CDD505-2E9C-101B-9397-08002B2CF9AE}" pid="15" name="MediaServiceImageTags">
    <vt:lpwstr/>
  </property>
  <property fmtid="{D5CDD505-2E9C-101B-9397-08002B2CF9AE}" pid="17" name="_NewReviewCycle">
    <vt:lpwstr/>
  </property>
</Properties>
</file>