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B2D9A19" w14:textId="77777777" w:rsidR="00264EA2" w:rsidRPr="0073329D" w:rsidRDefault="00264EA2" w:rsidP="00264EA2">
      <w:pPr>
        <w:jc w:val="center"/>
        <w:rPr>
          <w:b/>
        </w:rPr>
      </w:pPr>
      <w:r>
        <w:rPr>
          <w:b/>
        </w:rPr>
        <w:t xml:space="preserve">Vyvgart </w:t>
      </w:r>
      <w:r w:rsidRPr="0073329D">
        <w:rPr>
          <w:b/>
        </w:rPr>
        <w:t xml:space="preserve"> </w:t>
      </w:r>
      <w:r>
        <w:rPr>
          <w:b/>
        </w:rPr>
        <w:t>20 mg/ml 20 ml koncentratas infuziniam tirpalui</w:t>
      </w:r>
    </w:p>
    <w:p w14:paraId="5F7D8A05" w14:textId="77777777" w:rsidR="00264EA2" w:rsidRPr="0073329D" w:rsidRDefault="00264EA2" w:rsidP="00264EA2">
      <w:pPr>
        <w:jc w:val="center"/>
      </w:pPr>
    </w:p>
    <w:p w14:paraId="6E24D2F5" w14:textId="77777777" w:rsidR="00264EA2" w:rsidRPr="0073329D" w:rsidRDefault="00264EA2" w:rsidP="00264EA2">
      <w:pPr>
        <w:jc w:val="center"/>
      </w:pPr>
      <w:r w:rsidRPr="0073329D">
        <w:t>(</w:t>
      </w:r>
      <w:r w:rsidRPr="003E6B7C">
        <w:rPr>
          <w:b/>
        </w:rPr>
        <w:t>E</w:t>
      </w:r>
      <w:r>
        <w:rPr>
          <w:b/>
        </w:rPr>
        <w:t>f</w:t>
      </w:r>
      <w:r w:rsidRPr="003E6B7C">
        <w:rPr>
          <w:b/>
        </w:rPr>
        <w:t>gartigimod</w:t>
      </w:r>
      <w:r>
        <w:rPr>
          <w:b/>
        </w:rPr>
        <w:t>as</w:t>
      </w:r>
      <w:r w:rsidRPr="003E6B7C">
        <w:rPr>
          <w:b/>
        </w:rPr>
        <w:t xml:space="preserve"> al</w:t>
      </w:r>
      <w:r>
        <w:rPr>
          <w:b/>
        </w:rPr>
        <w:t>fa</w:t>
      </w:r>
      <w:r w:rsidRPr="0073329D">
        <w:t>)</w:t>
      </w:r>
    </w:p>
    <w:p w14:paraId="15BDE57C" w14:textId="77777777" w:rsidR="00264EA2" w:rsidRPr="0073329D" w:rsidRDefault="00264EA2" w:rsidP="00264EA2">
      <w:pPr>
        <w:jc w:val="center"/>
      </w:pPr>
    </w:p>
    <w:p w14:paraId="31198FDA" w14:textId="77777777" w:rsidR="00264EA2" w:rsidRPr="0073329D" w:rsidRDefault="00264EA2" w:rsidP="00264EA2">
      <w:pPr>
        <w:jc w:val="center"/>
        <w:rPr>
          <w:b/>
        </w:rPr>
      </w:pPr>
      <w:r>
        <w:rPr>
          <w:b/>
        </w:rPr>
        <w:t>STV 146</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264EA2" w:rsidRPr="000203E1" w14:paraId="18A83EC2" w14:textId="77777777" w:rsidTr="00BE7489">
        <w:trPr>
          <w:trHeight w:val="538"/>
        </w:trPr>
        <w:tc>
          <w:tcPr>
            <w:tcW w:w="632" w:type="dxa"/>
          </w:tcPr>
          <w:p w14:paraId="0646FBEA" w14:textId="77777777" w:rsidR="00264EA2" w:rsidRPr="000203E1" w:rsidRDefault="00264EA2" w:rsidP="00264EA2">
            <w:pPr>
              <w:rPr>
                <w:rFonts w:eastAsia="Arial"/>
              </w:rPr>
            </w:pPr>
            <w:r w:rsidRPr="000203E1">
              <w:rPr>
                <w:rFonts w:eastAsia="Arial"/>
              </w:rPr>
              <w:t>1.1</w:t>
            </w:r>
          </w:p>
        </w:tc>
        <w:tc>
          <w:tcPr>
            <w:tcW w:w="3694" w:type="dxa"/>
          </w:tcPr>
          <w:p w14:paraId="6C3AE864" w14:textId="77777777" w:rsidR="00264EA2" w:rsidRPr="000203E1" w:rsidRDefault="00264EA2" w:rsidP="00264EA2">
            <w:pPr>
              <w:rPr>
                <w:rFonts w:eastAsia="Arial"/>
              </w:rPr>
            </w:pPr>
            <w:r w:rsidRPr="000203E1">
              <w:rPr>
                <w:rFonts w:eastAsia="Arial"/>
              </w:rPr>
              <w:t>Pareiškėjas</w:t>
            </w:r>
          </w:p>
          <w:p w14:paraId="2AF240DC" w14:textId="77777777" w:rsidR="00264EA2" w:rsidRPr="000203E1" w:rsidRDefault="00264EA2" w:rsidP="00264EA2">
            <w:pPr>
              <w:rPr>
                <w:rFonts w:eastAsia="Arial"/>
              </w:rPr>
            </w:pPr>
          </w:p>
        </w:tc>
        <w:tc>
          <w:tcPr>
            <w:tcW w:w="5167" w:type="dxa"/>
          </w:tcPr>
          <w:p w14:paraId="2AAF0D91" w14:textId="0628BBF6" w:rsidR="00264EA2" w:rsidRPr="000203E1" w:rsidRDefault="00264EA2" w:rsidP="00264EA2">
            <w:pPr>
              <w:rPr>
                <w:rFonts w:eastAsia="Arial"/>
              </w:rPr>
            </w:pPr>
            <w:r w:rsidRPr="003E6B7C">
              <w:rPr>
                <w:lang w:eastAsia="lt-LT"/>
              </w:rPr>
              <w:t>Medison Pharma Lithuania, UAB</w:t>
            </w:r>
          </w:p>
        </w:tc>
      </w:tr>
      <w:tr w:rsidR="00264EA2" w:rsidRPr="000203E1" w14:paraId="31998B0D" w14:textId="77777777" w:rsidTr="00BE7489">
        <w:trPr>
          <w:trHeight w:val="538"/>
        </w:trPr>
        <w:tc>
          <w:tcPr>
            <w:tcW w:w="632" w:type="dxa"/>
          </w:tcPr>
          <w:p w14:paraId="2005EC67" w14:textId="662300D0" w:rsidR="00264EA2" w:rsidRPr="000203E1" w:rsidRDefault="00264EA2" w:rsidP="00264EA2">
            <w:pPr>
              <w:rPr>
                <w:rFonts w:eastAsia="Arial"/>
              </w:rPr>
            </w:pPr>
            <w:r w:rsidRPr="000203E1">
              <w:rPr>
                <w:rFonts w:eastAsia="Arial"/>
              </w:rPr>
              <w:t>1.2</w:t>
            </w:r>
          </w:p>
        </w:tc>
        <w:tc>
          <w:tcPr>
            <w:tcW w:w="3694" w:type="dxa"/>
          </w:tcPr>
          <w:p w14:paraId="1E4AE3B1" w14:textId="77777777" w:rsidR="00264EA2" w:rsidRPr="000203E1" w:rsidRDefault="00264EA2" w:rsidP="00264EA2">
            <w:pPr>
              <w:rPr>
                <w:bCs/>
                <w:lang w:eastAsia="lt-LT"/>
              </w:rPr>
            </w:pPr>
            <w:r w:rsidRPr="000203E1">
              <w:rPr>
                <w:bCs/>
                <w:lang w:eastAsia="lt-LT"/>
              </w:rPr>
              <w:t xml:space="preserve">Registracijos data </w:t>
            </w:r>
          </w:p>
          <w:p w14:paraId="3A0DC096" w14:textId="77777777" w:rsidR="00264EA2" w:rsidRPr="000203E1" w:rsidRDefault="00264EA2" w:rsidP="00264EA2">
            <w:pPr>
              <w:rPr>
                <w:bCs/>
                <w:lang w:eastAsia="lt-LT"/>
              </w:rPr>
            </w:pPr>
          </w:p>
        </w:tc>
        <w:tc>
          <w:tcPr>
            <w:tcW w:w="5167" w:type="dxa"/>
          </w:tcPr>
          <w:p w14:paraId="3CA218AD" w14:textId="53C13998" w:rsidR="00264EA2" w:rsidRPr="00264EA2" w:rsidRDefault="00000000" w:rsidP="00264EA2">
            <w:pPr>
              <w:rPr>
                <w:rStyle w:val="Style2"/>
                <w:sz w:val="24"/>
              </w:rPr>
            </w:pPr>
            <w:sdt>
              <w:sdtPr>
                <w:rPr>
                  <w:sz w:val="32"/>
                </w:rPr>
                <w:alias w:val="Nurodykite konkrečią dieną"/>
                <w:tag w:val="Nurodykite pradžios datą"/>
                <w:id w:val="423238108"/>
                <w:placeholder>
                  <w:docPart w:val="5BAF010C7AB2BE4CAF9048EB3499E153"/>
                </w:placeholder>
                <w15:color w:val="FFCC99"/>
                <w:date>
                  <w:dateFormat w:val="yyyy 'm.' MMMM d 'd.'"/>
                  <w:lid w:val="lt-LT"/>
                  <w:storeMappedDataAs w:val="dateTime"/>
                  <w:calendar w:val="gregorian"/>
                </w:date>
              </w:sdtPr>
              <w:sdtEndPr>
                <w:rPr>
                  <w:sz w:val="24"/>
                </w:rPr>
              </w:sdtEndPr>
              <w:sdtContent>
                <w:r w:rsidR="00264EA2" w:rsidRPr="00264EA2">
                  <w:t>2020 rugpjūčio 10 d.</w:t>
                </w:r>
              </w:sdtContent>
            </w:sdt>
          </w:p>
        </w:tc>
      </w:tr>
      <w:tr w:rsidR="00264EA2" w:rsidRPr="000203E1" w14:paraId="15968AE1" w14:textId="77777777" w:rsidTr="00BE7489">
        <w:trPr>
          <w:trHeight w:val="1500"/>
        </w:trPr>
        <w:tc>
          <w:tcPr>
            <w:tcW w:w="632" w:type="dxa"/>
          </w:tcPr>
          <w:p w14:paraId="6A784245" w14:textId="1E461489" w:rsidR="00264EA2" w:rsidRPr="000203E1" w:rsidRDefault="00264EA2" w:rsidP="00264EA2">
            <w:pPr>
              <w:rPr>
                <w:rFonts w:eastAsia="Arial"/>
              </w:rPr>
            </w:pPr>
            <w:r w:rsidRPr="000203E1">
              <w:rPr>
                <w:rFonts w:eastAsia="Arial"/>
              </w:rPr>
              <w:t>1.3</w:t>
            </w:r>
          </w:p>
        </w:tc>
        <w:tc>
          <w:tcPr>
            <w:tcW w:w="3694" w:type="dxa"/>
          </w:tcPr>
          <w:p w14:paraId="22933506" w14:textId="77777777" w:rsidR="00264EA2" w:rsidRPr="000203E1" w:rsidRDefault="00264EA2" w:rsidP="00264EA2">
            <w:r w:rsidRPr="000203E1">
              <w:t xml:space="preserve">Paraiškos tipas </w:t>
            </w:r>
          </w:p>
          <w:p w14:paraId="0465E680" w14:textId="7F0A0714" w:rsidR="00264EA2" w:rsidRPr="000203E1" w:rsidRDefault="00264EA2" w:rsidP="00264EA2">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264EA2" w:rsidRPr="000203E1" w:rsidRDefault="00264EA2" w:rsidP="00264EA2">
            <w:pPr>
              <w:rPr>
                <w:bCs/>
                <w:lang w:eastAsia="lt-LT"/>
              </w:rPr>
            </w:pPr>
          </w:p>
        </w:tc>
        <w:tc>
          <w:tcPr>
            <w:tcW w:w="5167" w:type="dxa"/>
          </w:tcPr>
          <w:p w14:paraId="208F40EC" w14:textId="00CF5DEF" w:rsidR="00264EA2" w:rsidRPr="000203E1" w:rsidRDefault="00000000" w:rsidP="00264EA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2"/>
                    <w:szCs w:val="22"/>
                  </w:rPr>
                  <w:t>☒</w:t>
                </w:r>
              </w:sdtContent>
            </w:sdt>
            <w:r w:rsidR="00264EA2" w:rsidRPr="000203E1">
              <w:rPr>
                <w:sz w:val="22"/>
                <w:szCs w:val="22"/>
              </w:rPr>
              <w:t xml:space="preserve">8.3 str. (pilna byla, pagrįsta savais tyrimais) </w:t>
            </w:r>
          </w:p>
          <w:p w14:paraId="32BA564E" w14:textId="3FDA3E01" w:rsidR="00264EA2" w:rsidRPr="000203E1" w:rsidRDefault="00000000" w:rsidP="00264EA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264EA2" w:rsidRPr="000203E1">
                  <w:rPr>
                    <w:rStyle w:val="Style2"/>
                    <w:rFonts w:ascii="Segoe UI Symbol" w:eastAsia="MS Gothic" w:hAnsi="Segoe UI Symbol" w:cs="Segoe UI Symbol"/>
                    <w:sz w:val="22"/>
                    <w:szCs w:val="22"/>
                  </w:rPr>
                  <w:t>☐</w:t>
                </w:r>
              </w:sdtContent>
            </w:sdt>
            <w:r w:rsidR="00264EA2" w:rsidRPr="000203E1">
              <w:rPr>
                <w:sz w:val="22"/>
                <w:szCs w:val="22"/>
              </w:rPr>
              <w:t xml:space="preserve">10 a str. (pripažintas medicininis vartojimas) </w:t>
            </w:r>
          </w:p>
          <w:p w14:paraId="318DCD7F" w14:textId="32333E53" w:rsidR="00264EA2" w:rsidRPr="000203E1" w:rsidRDefault="00000000" w:rsidP="00264EA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264EA2" w:rsidRPr="000203E1">
                  <w:rPr>
                    <w:rStyle w:val="Style2"/>
                    <w:rFonts w:ascii="Segoe UI Symbol" w:eastAsia="MS Gothic" w:hAnsi="Segoe UI Symbol" w:cs="Segoe UI Symbol"/>
                    <w:sz w:val="22"/>
                    <w:szCs w:val="22"/>
                  </w:rPr>
                  <w:t>☐</w:t>
                </w:r>
              </w:sdtContent>
            </w:sdt>
            <w:r w:rsidR="00264EA2" w:rsidRPr="000203E1">
              <w:rPr>
                <w:sz w:val="22"/>
                <w:szCs w:val="22"/>
              </w:rPr>
              <w:t>10.1 str. (generinis)</w:t>
            </w:r>
          </w:p>
          <w:p w14:paraId="3B0A4F72" w14:textId="3F5FB073" w:rsidR="00264EA2" w:rsidRPr="000203E1" w:rsidRDefault="00000000" w:rsidP="00264EA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264EA2" w:rsidRPr="000203E1">
                  <w:rPr>
                    <w:rStyle w:val="Style2"/>
                    <w:rFonts w:ascii="Segoe UI Symbol" w:eastAsia="MS Gothic" w:hAnsi="Segoe UI Symbol" w:cs="Segoe UI Symbol"/>
                    <w:sz w:val="22"/>
                    <w:szCs w:val="22"/>
                  </w:rPr>
                  <w:t>☐</w:t>
                </w:r>
              </w:sdtContent>
            </w:sdt>
            <w:r w:rsidR="00264EA2" w:rsidRPr="000203E1">
              <w:rPr>
                <w:sz w:val="22"/>
                <w:szCs w:val="22"/>
              </w:rPr>
              <w:t>10.3 str. (hibridinis)</w:t>
            </w:r>
          </w:p>
        </w:tc>
      </w:tr>
      <w:tr w:rsidR="00264EA2" w:rsidRPr="000203E1" w14:paraId="310E9662" w14:textId="77777777" w:rsidTr="00BE7489">
        <w:trPr>
          <w:trHeight w:val="1442"/>
        </w:trPr>
        <w:tc>
          <w:tcPr>
            <w:tcW w:w="632" w:type="dxa"/>
          </w:tcPr>
          <w:p w14:paraId="4B5A91A2" w14:textId="561B5E5F" w:rsidR="00264EA2" w:rsidRPr="000203E1" w:rsidRDefault="00264EA2" w:rsidP="00264EA2">
            <w:pPr>
              <w:rPr>
                <w:rFonts w:eastAsia="Arial"/>
              </w:rPr>
            </w:pPr>
            <w:r w:rsidRPr="000203E1">
              <w:rPr>
                <w:rFonts w:eastAsia="Arial"/>
              </w:rPr>
              <w:t>1.4</w:t>
            </w:r>
          </w:p>
        </w:tc>
        <w:tc>
          <w:tcPr>
            <w:tcW w:w="3694" w:type="dxa"/>
          </w:tcPr>
          <w:p w14:paraId="6C91E105" w14:textId="77777777" w:rsidR="00264EA2" w:rsidRPr="000203E1" w:rsidRDefault="00264EA2" w:rsidP="00264EA2">
            <w:pPr>
              <w:rPr>
                <w:bCs/>
                <w:lang w:eastAsia="lt-LT"/>
              </w:rPr>
            </w:pPr>
            <w:r w:rsidRPr="000203E1">
              <w:rPr>
                <w:bCs/>
                <w:lang w:eastAsia="lt-LT"/>
              </w:rPr>
              <w:t xml:space="preserve">Ar vaistinis preparatas įrašytas į Bendrijos retųjų vaistinių preparatų registrą? </w:t>
            </w:r>
          </w:p>
          <w:p w14:paraId="33726F9C" w14:textId="77777777" w:rsidR="00264EA2" w:rsidRPr="000203E1" w:rsidRDefault="00264EA2" w:rsidP="00264EA2">
            <w:pPr>
              <w:rPr>
                <w:bCs/>
                <w:i/>
                <w:lang w:eastAsia="lt-LT"/>
              </w:rPr>
            </w:pPr>
          </w:p>
          <w:p w14:paraId="483071A3" w14:textId="0F633FFC" w:rsidR="00264EA2" w:rsidRPr="000203E1" w:rsidRDefault="00264EA2" w:rsidP="00264EA2">
            <w:pPr>
              <w:rPr>
                <w:bCs/>
                <w:lang w:eastAsia="lt-LT"/>
              </w:rPr>
            </w:pPr>
            <w:r w:rsidRPr="000203E1">
              <w:rPr>
                <w:bCs/>
                <w:i/>
                <w:sz w:val="20"/>
                <w:lang w:eastAsia="lt-LT"/>
              </w:rPr>
              <w:t>Jei taip, nurodykite įrašymo datą ir numerį</w:t>
            </w:r>
          </w:p>
        </w:tc>
        <w:tc>
          <w:tcPr>
            <w:tcW w:w="5167" w:type="dxa"/>
          </w:tcPr>
          <w:p w14:paraId="05845C60" w14:textId="46A6D35C" w:rsidR="00264EA2" w:rsidRPr="000203E1" w:rsidRDefault="00000000" w:rsidP="00264EA2">
            <w:sdt>
              <w:sdtPr>
                <w:rPr>
                  <w:rStyle w:val="Style2"/>
                  <w:sz w:val="24"/>
                </w:rPr>
                <w:id w:val="2024432173"/>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264EA2" w:rsidRPr="000203E1">
              <w:t xml:space="preserve"> Taip</w:t>
            </w:r>
          </w:p>
          <w:p w14:paraId="41D88067" w14:textId="30136B84" w:rsidR="00264EA2" w:rsidRPr="000203E1" w:rsidRDefault="00000000" w:rsidP="00264EA2">
            <w:sdt>
              <w:sdtPr>
                <w:rPr>
                  <w:rStyle w:val="Style2"/>
                  <w:sz w:val="24"/>
                </w:rPr>
                <w:id w:val="-970507926"/>
                <w15:color w:val="FFCC00"/>
                <w14:checkbox>
                  <w14:checked w14:val="0"/>
                  <w14:checkedState w14:val="2612" w14:font="MS Gothic"/>
                  <w14:uncheckedState w14:val="2610" w14:font="MS Gothic"/>
                </w14:checkbox>
              </w:sdtPr>
              <w:sdtContent>
                <w:r w:rsidR="00264EA2" w:rsidRPr="000203E1">
                  <w:rPr>
                    <w:rStyle w:val="Style2"/>
                    <w:rFonts w:ascii="MS Gothic" w:eastAsia="MS Gothic" w:hAnsi="MS Gothic" w:hint="eastAsia"/>
                    <w:sz w:val="24"/>
                  </w:rPr>
                  <w:t>☐</w:t>
                </w:r>
              </w:sdtContent>
            </w:sdt>
            <w:r w:rsidR="00264EA2" w:rsidRPr="000203E1">
              <w:t xml:space="preserve"> Ne</w:t>
            </w:r>
          </w:p>
          <w:p w14:paraId="5F45C26B" w14:textId="77777777" w:rsidR="00264EA2" w:rsidRDefault="00000000" w:rsidP="00264EA2">
            <w:pPr>
              <w:rPr>
                <w:szCs w:val="20"/>
              </w:rPr>
            </w:pPr>
            <w:sdt>
              <w:sdtPr>
                <w:rPr>
                  <w:szCs w:val="20"/>
                </w:rPr>
                <w:alias w:val="Nurodykite konkrečią dieną"/>
                <w:tag w:val="Nurodykite pradžios datą"/>
                <w:id w:val="693498901"/>
                <w:placeholder>
                  <w:docPart w:val="FE1DEB706E5BDC40A932EF783CC84474"/>
                </w:placeholder>
                <w15:color w:val="FFCC99"/>
                <w:date w:fullDate="2018-03-21T00:00:00Z">
                  <w:dateFormat w:val="yyyy 'm.' MMMM d 'd.'"/>
                  <w:lid w:val="lt-LT"/>
                  <w:storeMappedDataAs w:val="dateTime"/>
                  <w:calendar w:val="gregorian"/>
                </w:date>
              </w:sdtPr>
              <w:sdtContent>
                <w:r w:rsidR="00264EA2">
                  <w:rPr>
                    <w:szCs w:val="20"/>
                  </w:rPr>
                  <w:t>2018 m. kovo 21 d.</w:t>
                </w:r>
              </w:sdtContent>
            </w:sdt>
          </w:p>
          <w:p w14:paraId="29C2CBBB" w14:textId="21CDDCDC" w:rsidR="00264EA2" w:rsidRPr="00264EA2" w:rsidRDefault="00264EA2" w:rsidP="00264EA2">
            <w:pPr>
              <w:rPr>
                <w:rFonts w:eastAsia="Arial"/>
              </w:rPr>
            </w:pPr>
            <w:r w:rsidRPr="004477EC">
              <w:rPr>
                <w:rFonts w:eastAsia="Arial"/>
                <w:bCs/>
              </w:rPr>
              <w:t>EU/3/18/1992; 21/3/2018</w:t>
            </w:r>
          </w:p>
        </w:tc>
      </w:tr>
      <w:tr w:rsidR="00264EA2" w:rsidRPr="000203E1" w14:paraId="7841E5F8" w14:textId="77777777" w:rsidTr="00BE7489">
        <w:trPr>
          <w:trHeight w:val="476"/>
        </w:trPr>
        <w:tc>
          <w:tcPr>
            <w:tcW w:w="632" w:type="dxa"/>
          </w:tcPr>
          <w:p w14:paraId="109D2861" w14:textId="73BF27DF" w:rsidR="00264EA2" w:rsidRPr="000203E1" w:rsidRDefault="00264EA2" w:rsidP="00264EA2">
            <w:pPr>
              <w:rPr>
                <w:rFonts w:eastAsia="Arial"/>
              </w:rPr>
            </w:pPr>
            <w:r w:rsidRPr="000203E1">
              <w:rPr>
                <w:rFonts w:eastAsia="Arial"/>
              </w:rPr>
              <w:t>1.5</w:t>
            </w:r>
          </w:p>
        </w:tc>
        <w:tc>
          <w:tcPr>
            <w:tcW w:w="3694" w:type="dxa"/>
          </w:tcPr>
          <w:p w14:paraId="7822D63E" w14:textId="68C38334" w:rsidR="00264EA2" w:rsidRPr="000203E1" w:rsidRDefault="00264EA2" w:rsidP="00264EA2">
            <w:pPr>
              <w:rPr>
                <w:bCs/>
                <w:lang w:eastAsia="lt-LT"/>
              </w:rPr>
            </w:pPr>
            <w:r w:rsidRPr="000203E1">
              <w:t>STV paraiškos pobūdis</w:t>
            </w:r>
          </w:p>
        </w:tc>
        <w:tc>
          <w:tcPr>
            <w:tcW w:w="5167" w:type="dxa"/>
          </w:tcPr>
          <w:p w14:paraId="403461B9" w14:textId="32025E75" w:rsidR="00264EA2" w:rsidRPr="000203E1" w:rsidRDefault="00000000" w:rsidP="00264EA2">
            <w:sdt>
              <w:sdtPr>
                <w:rPr>
                  <w:rStyle w:val="Style2"/>
                  <w:sz w:val="24"/>
                </w:rPr>
                <w:id w:val="-468433535"/>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264EA2" w:rsidRPr="000203E1">
              <w:t xml:space="preserve"> Pilna paraiška</w:t>
            </w:r>
          </w:p>
          <w:p w14:paraId="6B8213E3" w14:textId="3495CDF4" w:rsidR="00264EA2" w:rsidRPr="000203E1" w:rsidRDefault="00000000" w:rsidP="00264EA2">
            <w:sdt>
              <w:sdtPr>
                <w:rPr>
                  <w:rStyle w:val="Style2"/>
                  <w:sz w:val="24"/>
                </w:rPr>
                <w:id w:val="-1489014904"/>
                <w15:color w:val="FFCC00"/>
                <w14:checkbox>
                  <w14:checked w14:val="0"/>
                  <w14:checkedState w14:val="2612" w14:font="MS Gothic"/>
                  <w14:uncheckedState w14:val="2610" w14:font="MS Gothic"/>
                </w14:checkbox>
              </w:sdtPr>
              <w:sdtContent>
                <w:r w:rsidR="00264EA2" w:rsidRPr="000203E1">
                  <w:rPr>
                    <w:rStyle w:val="Style2"/>
                    <w:rFonts w:ascii="MS Gothic" w:eastAsia="MS Gothic" w:hAnsi="MS Gothic" w:hint="eastAsia"/>
                    <w:sz w:val="24"/>
                  </w:rPr>
                  <w:t>☐</w:t>
                </w:r>
              </w:sdtContent>
            </w:sdt>
            <w:r w:rsidR="00264EA2" w:rsidRPr="000203E1">
              <w:t xml:space="preserve"> Supaprastinta paraiška</w:t>
            </w:r>
          </w:p>
        </w:tc>
      </w:tr>
      <w:tr w:rsidR="00264EA2" w:rsidRPr="000203E1" w14:paraId="274D1DAF" w14:textId="77777777" w:rsidTr="00BE7489">
        <w:trPr>
          <w:trHeight w:val="1922"/>
        </w:trPr>
        <w:tc>
          <w:tcPr>
            <w:tcW w:w="632" w:type="dxa"/>
          </w:tcPr>
          <w:p w14:paraId="17ABF217" w14:textId="14AC00D7" w:rsidR="00264EA2" w:rsidRPr="000203E1" w:rsidRDefault="00264EA2" w:rsidP="00264EA2">
            <w:pPr>
              <w:rPr>
                <w:rFonts w:eastAsia="Arial"/>
              </w:rPr>
            </w:pPr>
            <w:r w:rsidRPr="000203E1">
              <w:rPr>
                <w:rFonts w:eastAsia="Arial"/>
              </w:rPr>
              <w:t>1.6</w:t>
            </w:r>
          </w:p>
        </w:tc>
        <w:tc>
          <w:tcPr>
            <w:tcW w:w="3694" w:type="dxa"/>
          </w:tcPr>
          <w:p w14:paraId="4D49DBF5" w14:textId="71C5529A" w:rsidR="00264EA2" w:rsidRDefault="00264EA2" w:rsidP="00264EA2">
            <w:pPr>
              <w:rPr>
                <w:bCs/>
                <w:lang w:eastAsia="lt-LT"/>
              </w:rPr>
            </w:pPr>
            <w:r w:rsidRPr="000203E1">
              <w:rPr>
                <w:bCs/>
                <w:lang w:eastAsia="lt-LT"/>
              </w:rPr>
              <w:t>Pareiškėjo teikiama (-os) kompensuoti vaistinio preparato indikacija (-os)</w:t>
            </w:r>
          </w:p>
          <w:p w14:paraId="39FEC1AD" w14:textId="7D58DAB1" w:rsidR="00264EA2" w:rsidRDefault="00264EA2" w:rsidP="00264EA2">
            <w:pPr>
              <w:rPr>
                <w:bCs/>
                <w:lang w:eastAsia="lt-LT"/>
              </w:rPr>
            </w:pPr>
          </w:p>
          <w:p w14:paraId="191B5573" w14:textId="77777777" w:rsidR="00264EA2" w:rsidRPr="000203E1" w:rsidRDefault="00264EA2" w:rsidP="00264EA2">
            <w:pPr>
              <w:rPr>
                <w:bCs/>
                <w:lang w:eastAsia="lt-LT"/>
              </w:rPr>
            </w:pPr>
          </w:p>
          <w:p w14:paraId="6B4FEEC1" w14:textId="6A619694" w:rsidR="00264EA2" w:rsidRPr="000203E1" w:rsidRDefault="00264EA2" w:rsidP="00264EA2">
            <w:pPr>
              <w:rPr>
                <w:bCs/>
                <w:lang w:eastAsia="lt-LT"/>
              </w:rPr>
            </w:pPr>
            <w:r w:rsidRPr="000203E1">
              <w:rPr>
                <w:bCs/>
                <w:lang w:eastAsia="lt-LT"/>
              </w:rPr>
              <w:t>Kodas pagal TLK-10 AM</w:t>
            </w:r>
          </w:p>
        </w:tc>
        <w:tc>
          <w:tcPr>
            <w:tcW w:w="5167" w:type="dxa"/>
          </w:tcPr>
          <w:p w14:paraId="430E383A" w14:textId="35AABA99" w:rsidR="00264EA2" w:rsidRPr="000203E1" w:rsidRDefault="00264EA2" w:rsidP="00264EA2">
            <w:pPr>
              <w:pStyle w:val="Sraopastraipa"/>
              <w:spacing w:after="120"/>
              <w:ind w:left="0"/>
              <w:contextualSpacing w:val="0"/>
              <w:jc w:val="both"/>
            </w:pPr>
            <w:r w:rsidRPr="003E6B7C">
              <w:t>Vyvgart yra standartinį gydymą papildantis vaistinis preparatas, skirtas suaugusiesiems, kurie serga generalizuota miastenija (GM) ir kuriems nustatyta antikūnų prieš acetilcholino receptorius (AChR).</w:t>
            </w:r>
          </w:p>
          <w:p w14:paraId="13F7DFB0" w14:textId="11236E8A" w:rsidR="00264EA2" w:rsidRPr="000203E1" w:rsidRDefault="00264EA2" w:rsidP="00264EA2">
            <w:pPr>
              <w:pStyle w:val="Sraopastraipa"/>
              <w:spacing w:after="120"/>
              <w:ind w:left="0"/>
              <w:contextualSpacing w:val="0"/>
              <w:jc w:val="both"/>
            </w:pPr>
            <w:r>
              <w:t>G70.0</w:t>
            </w:r>
          </w:p>
        </w:tc>
      </w:tr>
      <w:tr w:rsidR="00264EA2" w:rsidRPr="000203E1" w14:paraId="2F79DC08" w14:textId="77777777" w:rsidTr="00BE7489">
        <w:trPr>
          <w:trHeight w:val="378"/>
        </w:trPr>
        <w:tc>
          <w:tcPr>
            <w:tcW w:w="632" w:type="dxa"/>
          </w:tcPr>
          <w:p w14:paraId="547885A2" w14:textId="2EE70237" w:rsidR="00264EA2" w:rsidRPr="000203E1" w:rsidRDefault="00264EA2" w:rsidP="00264EA2">
            <w:pPr>
              <w:rPr>
                <w:rFonts w:eastAsia="Arial"/>
              </w:rPr>
            </w:pPr>
            <w:r w:rsidRPr="000203E1">
              <w:rPr>
                <w:rFonts w:eastAsia="Arial"/>
              </w:rPr>
              <w:t>1.</w:t>
            </w:r>
            <w:r>
              <w:rPr>
                <w:rFonts w:eastAsia="Arial"/>
              </w:rPr>
              <w:t>7</w:t>
            </w:r>
          </w:p>
        </w:tc>
        <w:tc>
          <w:tcPr>
            <w:tcW w:w="3694" w:type="dxa"/>
          </w:tcPr>
          <w:p w14:paraId="2EAB877F" w14:textId="39A36941" w:rsidR="00264EA2" w:rsidRPr="000203E1" w:rsidRDefault="00264EA2" w:rsidP="00264EA2">
            <w:pPr>
              <w:rPr>
                <w:bCs/>
                <w:u w:val="single"/>
                <w:lang w:eastAsia="lt-LT"/>
              </w:rPr>
            </w:pPr>
            <w:r w:rsidRPr="000203E1">
              <w:rPr>
                <w:bCs/>
                <w:lang w:eastAsia="lt-LT"/>
              </w:rPr>
              <w:t xml:space="preserve">Pareiškėjo teikiamos skyrimo sąlygos </w:t>
            </w:r>
          </w:p>
        </w:tc>
        <w:tc>
          <w:tcPr>
            <w:tcW w:w="5167" w:type="dxa"/>
          </w:tcPr>
          <w:p w14:paraId="0579DF58" w14:textId="7E7DD08C" w:rsidR="00264EA2" w:rsidRPr="000203E1" w:rsidRDefault="00264EA2" w:rsidP="00264EA2">
            <w:r>
              <w:t>Neteikiamos.</w:t>
            </w:r>
          </w:p>
        </w:tc>
      </w:tr>
      <w:tr w:rsidR="00264EA2" w:rsidRPr="000203E1" w14:paraId="3B125269" w14:textId="77777777" w:rsidTr="00BE7489">
        <w:trPr>
          <w:trHeight w:val="378"/>
        </w:trPr>
        <w:tc>
          <w:tcPr>
            <w:tcW w:w="632" w:type="dxa"/>
          </w:tcPr>
          <w:p w14:paraId="0058E11F" w14:textId="3C0D7626" w:rsidR="00264EA2" w:rsidRPr="000203E1" w:rsidRDefault="00264EA2" w:rsidP="00264EA2">
            <w:pPr>
              <w:rPr>
                <w:rFonts w:eastAsia="Arial"/>
              </w:rPr>
            </w:pPr>
            <w:r w:rsidRPr="000203E1">
              <w:rPr>
                <w:rFonts w:eastAsia="Arial"/>
              </w:rPr>
              <w:lastRenderedPageBreak/>
              <w:t>1.</w:t>
            </w:r>
            <w:r>
              <w:rPr>
                <w:rFonts w:eastAsia="Arial"/>
              </w:rPr>
              <w:t>8</w:t>
            </w:r>
          </w:p>
        </w:tc>
        <w:tc>
          <w:tcPr>
            <w:tcW w:w="3694" w:type="dxa"/>
          </w:tcPr>
          <w:p w14:paraId="738E1926" w14:textId="77777777" w:rsidR="00264EA2" w:rsidRPr="000203E1" w:rsidRDefault="00264EA2" w:rsidP="00264EA2">
            <w:pPr>
              <w:rPr>
                <w:bCs/>
                <w:lang w:eastAsia="lt-LT"/>
              </w:rPr>
            </w:pPr>
            <w:r w:rsidRPr="000203E1">
              <w:rPr>
                <w:bCs/>
                <w:lang w:eastAsia="lt-LT"/>
              </w:rPr>
              <w:t xml:space="preserve">Pareiškėjo teikiamas palyginamasis gydymas </w:t>
            </w:r>
          </w:p>
          <w:p w14:paraId="61EC5BBD" w14:textId="7A8BD8B4" w:rsidR="00264EA2" w:rsidRPr="000203E1" w:rsidRDefault="00264EA2" w:rsidP="00264EA2">
            <w:pPr>
              <w:rPr>
                <w:bCs/>
                <w:lang w:eastAsia="lt-LT"/>
              </w:rPr>
            </w:pPr>
          </w:p>
          <w:p w14:paraId="62057D94" w14:textId="77777777" w:rsidR="00264EA2" w:rsidRPr="000203E1" w:rsidRDefault="00264EA2" w:rsidP="00264EA2">
            <w:pPr>
              <w:rPr>
                <w:bCs/>
                <w:lang w:eastAsia="lt-LT"/>
              </w:rPr>
            </w:pPr>
          </w:p>
          <w:p w14:paraId="6CC1022E" w14:textId="2B6BCEE1" w:rsidR="00264EA2" w:rsidRPr="000203E1" w:rsidRDefault="00264EA2" w:rsidP="00264EA2">
            <w:pPr>
              <w:rPr>
                <w:bCs/>
                <w:lang w:eastAsia="lt-LT"/>
              </w:rPr>
            </w:pPr>
          </w:p>
        </w:tc>
        <w:tc>
          <w:tcPr>
            <w:tcW w:w="5167" w:type="dxa"/>
          </w:tcPr>
          <w:p w14:paraId="1F113AC0" w14:textId="182B22D0" w:rsidR="00264EA2" w:rsidRPr="000203E1" w:rsidRDefault="00000000" w:rsidP="00264EA2">
            <w:sdt>
              <w:sdtPr>
                <w:rPr>
                  <w:rStyle w:val="Style2"/>
                  <w:sz w:val="24"/>
                </w:rPr>
                <w:id w:val="1480955706"/>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264EA2" w:rsidRPr="000203E1">
              <w:t xml:space="preserve"> Tinkamas</w:t>
            </w:r>
            <w:r w:rsidR="00264EA2">
              <w:t xml:space="preserve"> - placebo</w:t>
            </w:r>
          </w:p>
          <w:p w14:paraId="41B44044" w14:textId="199BD9DF" w:rsidR="00264EA2" w:rsidRPr="000203E1" w:rsidRDefault="00000000" w:rsidP="00264EA2">
            <w:sdt>
              <w:sdtPr>
                <w:rPr>
                  <w:rStyle w:val="Style2"/>
                  <w:sz w:val="24"/>
                </w:rPr>
                <w:id w:val="-352420698"/>
                <w15:color w:val="FFCC00"/>
                <w14:checkbox>
                  <w14:checked w14:val="0"/>
                  <w14:checkedState w14:val="2612" w14:font="MS Gothic"/>
                  <w14:uncheckedState w14:val="2610" w14:font="MS Gothic"/>
                </w14:checkbox>
              </w:sdtPr>
              <w:sdtContent>
                <w:r w:rsidR="00264EA2" w:rsidRPr="000203E1">
                  <w:rPr>
                    <w:rStyle w:val="Style2"/>
                    <w:rFonts w:ascii="MS Gothic" w:eastAsia="MS Gothic" w:hAnsi="MS Gothic" w:hint="eastAsia"/>
                    <w:sz w:val="24"/>
                  </w:rPr>
                  <w:t>☐</w:t>
                </w:r>
              </w:sdtContent>
            </w:sdt>
            <w:r w:rsidR="00264EA2"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729"/>
        <w:gridCol w:w="1701"/>
        <w:gridCol w:w="2922"/>
        <w:gridCol w:w="2566"/>
      </w:tblGrid>
      <w:tr w:rsidR="00264EA2" w:rsidRPr="0073329D" w14:paraId="2E2EA3A7" w14:textId="77777777" w:rsidTr="004045D1">
        <w:trPr>
          <w:trHeight w:val="924"/>
        </w:trPr>
        <w:tc>
          <w:tcPr>
            <w:tcW w:w="2729" w:type="dxa"/>
          </w:tcPr>
          <w:p w14:paraId="783AA8FB" w14:textId="77777777" w:rsidR="00264EA2" w:rsidRPr="0073329D" w:rsidRDefault="00264EA2" w:rsidP="004045D1">
            <w:pPr>
              <w:spacing w:line="276" w:lineRule="auto"/>
              <w:rPr>
                <w:rFonts w:eastAsia="Arial"/>
              </w:rPr>
            </w:pPr>
            <w:r w:rsidRPr="0073329D">
              <w:rPr>
                <w:rFonts w:eastAsia="Arial"/>
              </w:rPr>
              <w:t>STV agentūros pavadinimas, šalis</w:t>
            </w:r>
          </w:p>
        </w:tc>
        <w:tc>
          <w:tcPr>
            <w:tcW w:w="1701" w:type="dxa"/>
          </w:tcPr>
          <w:p w14:paraId="7D71A994" w14:textId="77777777" w:rsidR="00264EA2" w:rsidRPr="0073329D" w:rsidRDefault="00264EA2" w:rsidP="004045D1">
            <w:pPr>
              <w:spacing w:line="276" w:lineRule="auto"/>
              <w:rPr>
                <w:rFonts w:eastAsia="Arial"/>
              </w:rPr>
            </w:pPr>
            <w:r w:rsidRPr="0073329D">
              <w:rPr>
                <w:rFonts w:eastAsia="Arial"/>
              </w:rPr>
              <w:t>STV vertinimas atliktas</w:t>
            </w:r>
          </w:p>
        </w:tc>
        <w:tc>
          <w:tcPr>
            <w:tcW w:w="2922" w:type="dxa"/>
          </w:tcPr>
          <w:p w14:paraId="0C839179" w14:textId="77777777" w:rsidR="00264EA2" w:rsidRPr="0073329D" w:rsidRDefault="00264EA2" w:rsidP="004045D1">
            <w:pPr>
              <w:spacing w:line="276" w:lineRule="auto"/>
              <w:rPr>
                <w:rFonts w:eastAsia="Arial"/>
              </w:rPr>
            </w:pPr>
            <w:r w:rsidRPr="0073329D">
              <w:rPr>
                <w:rFonts w:eastAsia="Arial"/>
              </w:rPr>
              <w:t>Klinikinio vertinimo išvada</w:t>
            </w:r>
          </w:p>
        </w:tc>
        <w:tc>
          <w:tcPr>
            <w:tcW w:w="2566" w:type="dxa"/>
          </w:tcPr>
          <w:p w14:paraId="2E70886E" w14:textId="77777777" w:rsidR="00264EA2" w:rsidRPr="0073329D" w:rsidRDefault="00264EA2" w:rsidP="004045D1">
            <w:pPr>
              <w:spacing w:line="276" w:lineRule="auto"/>
              <w:rPr>
                <w:rFonts w:eastAsia="Arial"/>
              </w:rPr>
            </w:pPr>
            <w:r w:rsidRPr="0073329D">
              <w:rPr>
                <w:rFonts w:eastAsia="Arial"/>
              </w:rPr>
              <w:t>Farmakoekonominio vertinimo išvada</w:t>
            </w:r>
          </w:p>
        </w:tc>
      </w:tr>
      <w:tr w:rsidR="002676A7" w:rsidRPr="0073329D" w14:paraId="707B3CCC" w14:textId="77777777" w:rsidTr="00162A1D">
        <w:trPr>
          <w:trHeight w:val="1765"/>
        </w:trPr>
        <w:tc>
          <w:tcPr>
            <w:tcW w:w="2729" w:type="dxa"/>
          </w:tcPr>
          <w:p w14:paraId="4E490047" w14:textId="77777777" w:rsidR="002676A7" w:rsidRPr="0073329D" w:rsidRDefault="002676A7" w:rsidP="004045D1">
            <w:pPr>
              <w:autoSpaceDE w:val="0"/>
              <w:autoSpaceDN w:val="0"/>
              <w:adjustRightInd w:val="0"/>
              <w:rPr>
                <w:bCs/>
              </w:rPr>
            </w:pPr>
            <w:r w:rsidRPr="0073329D">
              <w:rPr>
                <w:bCs/>
              </w:rPr>
              <w:t>Nacionalinis sveikatos ir klinikinės kompetencijos institutas, Didžioji Britanija</w:t>
            </w:r>
          </w:p>
          <w:p w14:paraId="619C8FFD" w14:textId="77777777" w:rsidR="002676A7" w:rsidRPr="0073329D" w:rsidRDefault="002676A7" w:rsidP="004045D1">
            <w:pPr>
              <w:spacing w:line="276" w:lineRule="auto"/>
              <w:rPr>
                <w:rFonts w:eastAsia="Arial"/>
              </w:rPr>
            </w:pPr>
            <w:r w:rsidRPr="0073329D">
              <w:rPr>
                <w:rFonts w:eastAsia="Arial"/>
              </w:rPr>
              <w:t xml:space="preserve">(angl. </w:t>
            </w:r>
            <w:r w:rsidRPr="0073329D">
              <w:rPr>
                <w:rFonts w:eastAsia="Arial"/>
                <w:i/>
              </w:rPr>
              <w:t>National Institute for Health and Care Excellence, NICE</w:t>
            </w:r>
            <w:r w:rsidRPr="0073329D">
              <w:rPr>
                <w:rFonts w:eastAsia="Arial"/>
              </w:rPr>
              <w:t>)</w:t>
            </w:r>
          </w:p>
        </w:tc>
        <w:tc>
          <w:tcPr>
            <w:tcW w:w="1701" w:type="dxa"/>
          </w:tcPr>
          <w:p w14:paraId="4E4CC1D7" w14:textId="77777777" w:rsidR="002676A7" w:rsidRPr="0073329D" w:rsidRDefault="00000000" w:rsidP="004045D1">
            <w:sdt>
              <w:sdtPr>
                <w:rPr>
                  <w:rStyle w:val="Style2"/>
                </w:rPr>
                <w:id w:val="1558205022"/>
                <w15:color w:val="FFCC00"/>
                <w14:checkbox>
                  <w14:checked w14:val="0"/>
                  <w14:checkedState w14:val="2612" w14:font="MS Gothic"/>
                  <w14:uncheckedState w14:val="2610" w14:font="MS Gothic"/>
                </w14:checkbox>
              </w:sdtPr>
              <w:sdtContent>
                <w:r w:rsidR="002676A7" w:rsidRPr="0073329D">
                  <w:rPr>
                    <w:rStyle w:val="Style2"/>
                    <w:rFonts w:ascii="MS Gothic" w:eastAsia="MS Gothic" w:hAnsi="MS Gothic" w:hint="eastAsia"/>
                  </w:rPr>
                  <w:t>☐</w:t>
                </w:r>
              </w:sdtContent>
            </w:sdt>
            <w:r w:rsidR="002676A7" w:rsidRPr="0073329D">
              <w:t xml:space="preserve"> Taip</w:t>
            </w:r>
          </w:p>
          <w:p w14:paraId="71B52247" w14:textId="77777777" w:rsidR="002676A7" w:rsidRPr="0073329D" w:rsidRDefault="00000000" w:rsidP="004045D1">
            <w:sdt>
              <w:sdtPr>
                <w:rPr>
                  <w:rStyle w:val="Style2"/>
                </w:rPr>
                <w:id w:val="866029625"/>
                <w15:color w:val="FFCC00"/>
                <w14:checkbox>
                  <w14:checked w14:val="1"/>
                  <w14:checkedState w14:val="2612" w14:font="MS Gothic"/>
                  <w14:uncheckedState w14:val="2610" w14:font="MS Gothic"/>
                </w14:checkbox>
              </w:sdtPr>
              <w:sdtContent>
                <w:r w:rsidR="002676A7">
                  <w:rPr>
                    <w:rStyle w:val="Style2"/>
                    <w:rFonts w:ascii="MS Gothic" w:eastAsia="MS Gothic" w:hAnsi="MS Gothic" w:hint="eastAsia"/>
                  </w:rPr>
                  <w:t>☒</w:t>
                </w:r>
              </w:sdtContent>
            </w:sdt>
            <w:r w:rsidR="002676A7" w:rsidRPr="0073329D">
              <w:t xml:space="preserve"> Ne</w:t>
            </w:r>
          </w:p>
          <w:p w14:paraId="4CF10171" w14:textId="77777777" w:rsidR="002676A7" w:rsidRPr="0073329D" w:rsidRDefault="00000000" w:rsidP="004045D1">
            <w:pPr>
              <w:rPr>
                <w:rFonts w:eastAsia="Arial"/>
              </w:rPr>
            </w:pPr>
            <w:sdt>
              <w:sdtPr>
                <w:alias w:val="Nurodykite konkrečią dieną"/>
                <w:tag w:val="Nurodykite pradžios datą"/>
                <w:id w:val="922837954"/>
                <w:placeholder>
                  <w:docPart w:val="FD600C642EA1428E80E59AEBABA38599"/>
                </w:placeholder>
                <w:showingPlcHdr/>
                <w15:color w:val="FFCC99"/>
                <w:date w:fullDate="2022-05-18T00:00:00Z">
                  <w:dateFormat w:val="yyyy 'm.' MMMM d 'd.'"/>
                  <w:lid w:val="lt-LT"/>
                  <w:storeMappedDataAs w:val="dateTime"/>
                  <w:calendar w:val="gregorian"/>
                </w:date>
              </w:sdtPr>
              <w:sdtContent>
                <w:r w:rsidR="002676A7" w:rsidRPr="0073329D">
                  <w:rPr>
                    <w:rStyle w:val="Vietosrezervavimoenklotekstas"/>
                  </w:rPr>
                  <w:t>Click here to enter a date.</w:t>
                </w:r>
              </w:sdtContent>
            </w:sdt>
          </w:p>
        </w:tc>
        <w:tc>
          <w:tcPr>
            <w:tcW w:w="5488" w:type="dxa"/>
            <w:gridSpan w:val="2"/>
          </w:tcPr>
          <w:p w14:paraId="777C23ED" w14:textId="3E629691" w:rsidR="002676A7" w:rsidRPr="0073329D" w:rsidRDefault="002676A7" w:rsidP="004045D1">
            <w:pPr>
              <w:spacing w:line="276" w:lineRule="auto"/>
              <w:rPr>
                <w:rFonts w:eastAsia="Arial"/>
              </w:rPr>
            </w:pPr>
            <w:r>
              <w:rPr>
                <w:rFonts w:eastAsia="Arial"/>
              </w:rPr>
              <w:t>Vyksta vertinimas.</w:t>
            </w:r>
          </w:p>
        </w:tc>
      </w:tr>
      <w:tr w:rsidR="002676A7" w:rsidRPr="0073329D" w14:paraId="5A402FAC" w14:textId="77777777" w:rsidTr="007B09BE">
        <w:trPr>
          <w:trHeight w:val="1547"/>
        </w:trPr>
        <w:tc>
          <w:tcPr>
            <w:tcW w:w="2729" w:type="dxa"/>
          </w:tcPr>
          <w:p w14:paraId="42D84822" w14:textId="77777777" w:rsidR="002676A7" w:rsidRPr="0073329D" w:rsidRDefault="002676A7" w:rsidP="004045D1">
            <w:pPr>
              <w:spacing w:line="276" w:lineRule="auto"/>
              <w:rPr>
                <w:rFonts w:eastAsia="Arial"/>
              </w:rPr>
            </w:pPr>
            <w:r w:rsidRPr="0073329D">
              <w:rPr>
                <w:rFonts w:eastAsia="Arial"/>
              </w:rPr>
              <w:t>Kanados sveikatos technologijų agentūra</w:t>
            </w:r>
          </w:p>
          <w:p w14:paraId="7E541B16" w14:textId="77777777" w:rsidR="002676A7" w:rsidRPr="0073329D" w:rsidRDefault="002676A7" w:rsidP="004045D1">
            <w:pPr>
              <w:spacing w:line="276" w:lineRule="auto"/>
              <w:rPr>
                <w:rFonts w:eastAsia="Arial"/>
              </w:rPr>
            </w:pPr>
            <w:r w:rsidRPr="0073329D">
              <w:rPr>
                <w:rFonts w:eastAsia="Arial"/>
              </w:rPr>
              <w:t xml:space="preserve">(angl. </w:t>
            </w:r>
            <w:r w:rsidRPr="0073329D">
              <w:rPr>
                <w:rFonts w:eastAsia="Arial"/>
                <w:i/>
              </w:rPr>
              <w:t>Canadian health Technology Assessment agency, CADTH</w:t>
            </w:r>
            <w:r w:rsidRPr="0073329D">
              <w:rPr>
                <w:rFonts w:eastAsia="Arial"/>
              </w:rPr>
              <w:t>)</w:t>
            </w:r>
          </w:p>
        </w:tc>
        <w:tc>
          <w:tcPr>
            <w:tcW w:w="1701" w:type="dxa"/>
          </w:tcPr>
          <w:p w14:paraId="7BA019EB" w14:textId="77777777" w:rsidR="002676A7" w:rsidRPr="0073329D" w:rsidRDefault="00000000" w:rsidP="004045D1">
            <w:sdt>
              <w:sdtPr>
                <w:rPr>
                  <w:rStyle w:val="Style2"/>
                </w:rPr>
                <w:id w:val="-372539057"/>
                <w15:color w:val="FFCC00"/>
                <w14:checkbox>
                  <w14:checked w14:val="1"/>
                  <w14:checkedState w14:val="2612" w14:font="MS Gothic"/>
                  <w14:uncheckedState w14:val="2610" w14:font="MS Gothic"/>
                </w14:checkbox>
              </w:sdtPr>
              <w:sdtContent>
                <w:r w:rsidR="002676A7">
                  <w:rPr>
                    <w:rStyle w:val="Style2"/>
                    <w:rFonts w:ascii="MS Gothic" w:eastAsia="MS Gothic" w:hAnsi="MS Gothic" w:hint="eastAsia"/>
                  </w:rPr>
                  <w:t>☒</w:t>
                </w:r>
              </w:sdtContent>
            </w:sdt>
            <w:r w:rsidR="002676A7" w:rsidRPr="0073329D">
              <w:t xml:space="preserve"> Taip</w:t>
            </w:r>
          </w:p>
          <w:p w14:paraId="480F412F" w14:textId="77777777" w:rsidR="002676A7" w:rsidRPr="0073329D" w:rsidRDefault="00000000" w:rsidP="004045D1">
            <w:sdt>
              <w:sdtPr>
                <w:rPr>
                  <w:rStyle w:val="Style2"/>
                </w:rPr>
                <w:id w:val="594442222"/>
                <w15:color w:val="FFCC00"/>
                <w14:checkbox>
                  <w14:checked w14:val="0"/>
                  <w14:checkedState w14:val="2612" w14:font="MS Gothic"/>
                  <w14:uncheckedState w14:val="2610" w14:font="MS Gothic"/>
                </w14:checkbox>
              </w:sdtPr>
              <w:sdtContent>
                <w:r w:rsidR="002676A7" w:rsidRPr="0073329D">
                  <w:rPr>
                    <w:rStyle w:val="Style2"/>
                    <w:rFonts w:ascii="Segoe UI Symbol" w:eastAsia="MS Gothic" w:hAnsi="Segoe UI Symbol" w:cs="Segoe UI Symbol"/>
                  </w:rPr>
                  <w:t>☐</w:t>
                </w:r>
              </w:sdtContent>
            </w:sdt>
            <w:r w:rsidR="002676A7" w:rsidRPr="0073329D">
              <w:t xml:space="preserve"> Ne</w:t>
            </w:r>
          </w:p>
          <w:p w14:paraId="0C4488CF" w14:textId="77777777" w:rsidR="002676A7" w:rsidRPr="0073329D" w:rsidRDefault="00000000" w:rsidP="004045D1">
            <w:pPr>
              <w:spacing w:line="276" w:lineRule="auto"/>
              <w:rPr>
                <w:rFonts w:eastAsia="Arial"/>
              </w:rPr>
            </w:pPr>
            <w:sdt>
              <w:sdtPr>
                <w:alias w:val="Nurodykite konkrečią dieną"/>
                <w:tag w:val="Nurodykite pradžios datą"/>
                <w:id w:val="1072468416"/>
                <w:placeholder>
                  <w:docPart w:val="CACE376CBFFD4A0D80A9BE2B5C662937"/>
                </w:placeholder>
                <w15:color w:val="FFCC99"/>
                <w:date>
                  <w:dateFormat w:val="yyyy 'm.' MMMM d 'd.'"/>
                  <w:lid w:val="lt-LT"/>
                  <w:storeMappedDataAs w:val="dateTime"/>
                  <w:calendar w:val="gregorian"/>
                </w:date>
              </w:sdtPr>
              <w:sdtContent>
                <w:r w:rsidR="002676A7">
                  <w:t>2024 balandžio 24 d.</w:t>
                </w:r>
              </w:sdtContent>
            </w:sdt>
          </w:p>
        </w:tc>
        <w:tc>
          <w:tcPr>
            <w:tcW w:w="5488" w:type="dxa"/>
            <w:gridSpan w:val="2"/>
          </w:tcPr>
          <w:p w14:paraId="28B8408B" w14:textId="77777777" w:rsidR="002676A7" w:rsidRDefault="002676A7" w:rsidP="004045D1">
            <w:pPr>
              <w:spacing w:line="276" w:lineRule="auto"/>
              <w:rPr>
                <w:rFonts w:eastAsia="Arial"/>
              </w:rPr>
            </w:pPr>
            <w:r>
              <w:rPr>
                <w:rFonts w:eastAsia="Arial"/>
              </w:rPr>
              <w:t>Rekomenduojama kompensuosi efgartigimodą alfa suaugusiems generalizuota sunkiąja miastenija sergantiems pacientams, kuriems nustatyta antikūnų prieš acetilcholino receptorius (AChR), jeigu išpildomos šios sąlygos:</w:t>
            </w:r>
          </w:p>
          <w:p w14:paraId="3F90CDE4" w14:textId="77777777" w:rsidR="002676A7" w:rsidRDefault="002676A7" w:rsidP="00264EA2">
            <w:pPr>
              <w:pStyle w:val="Sraopastraipa"/>
              <w:numPr>
                <w:ilvl w:val="0"/>
                <w:numId w:val="13"/>
              </w:numPr>
              <w:spacing w:line="276" w:lineRule="auto"/>
              <w:rPr>
                <w:rFonts w:eastAsia="Arial"/>
              </w:rPr>
            </w:pPr>
            <w:r>
              <w:rPr>
                <w:rFonts w:eastAsia="Arial"/>
              </w:rPr>
              <w:t>Serologiniais testais nustatyti antikūnai prieš AChR.</w:t>
            </w:r>
          </w:p>
          <w:p w14:paraId="313782EA" w14:textId="77777777" w:rsidR="002676A7" w:rsidRDefault="002676A7" w:rsidP="00264EA2">
            <w:pPr>
              <w:pStyle w:val="Sraopastraipa"/>
              <w:numPr>
                <w:ilvl w:val="0"/>
                <w:numId w:val="13"/>
              </w:numPr>
              <w:spacing w:line="276" w:lineRule="auto"/>
              <w:rPr>
                <w:rFonts w:eastAsia="Arial"/>
              </w:rPr>
            </w:pPr>
            <w:r>
              <w:rPr>
                <w:rFonts w:eastAsia="Arial"/>
              </w:rPr>
              <w:t>MG-ADL skalės pradinis įvertis ≥5.</w:t>
            </w:r>
          </w:p>
          <w:p w14:paraId="39A611BE" w14:textId="77777777" w:rsidR="002676A7" w:rsidRDefault="002676A7" w:rsidP="00264EA2">
            <w:pPr>
              <w:pStyle w:val="Sraopastraipa"/>
              <w:numPr>
                <w:ilvl w:val="0"/>
                <w:numId w:val="13"/>
              </w:numPr>
              <w:spacing w:line="276" w:lineRule="auto"/>
              <w:rPr>
                <w:rFonts w:eastAsia="Arial"/>
              </w:rPr>
            </w:pPr>
            <w:r>
              <w:rPr>
                <w:rFonts w:eastAsia="Arial"/>
              </w:rPr>
              <w:t>MFGA II-IV klasė.</w:t>
            </w:r>
          </w:p>
          <w:p w14:paraId="33036B7C" w14:textId="77777777" w:rsidR="002676A7" w:rsidRDefault="002676A7" w:rsidP="00264EA2">
            <w:pPr>
              <w:pStyle w:val="Sraopastraipa"/>
              <w:numPr>
                <w:ilvl w:val="0"/>
                <w:numId w:val="13"/>
              </w:numPr>
              <w:spacing w:line="276" w:lineRule="auto"/>
              <w:rPr>
                <w:rFonts w:eastAsia="Arial"/>
              </w:rPr>
            </w:pPr>
            <w:r>
              <w:rPr>
                <w:rFonts w:eastAsia="Arial"/>
              </w:rPr>
              <w:t>Išlieka ligos simptomai, nepaisant įprasto gydymo acetilcholinesterazės inhibitoriais, kortikosteroidais ir/ar ne steroidiniais imunosupresiniais preparatais.</w:t>
            </w:r>
          </w:p>
          <w:p w14:paraId="253F3623" w14:textId="77777777" w:rsidR="002676A7" w:rsidRDefault="002676A7" w:rsidP="004045D1">
            <w:pPr>
              <w:spacing w:line="276" w:lineRule="auto"/>
              <w:rPr>
                <w:rFonts w:eastAsia="Arial"/>
              </w:rPr>
            </w:pPr>
            <w:r>
              <w:rPr>
                <w:rFonts w:eastAsia="Arial"/>
              </w:rPr>
              <w:t>Gydymas efgartigimodu alfa neturėtų būti pradedamas per ligos paūmėjimą ar krizę, taip pat per pirmus 3 mėnesius po čiobrialiaukės pašalinimo.</w:t>
            </w:r>
          </w:p>
          <w:p w14:paraId="347A7DFD" w14:textId="050C9823" w:rsidR="002676A7" w:rsidRPr="0073329D" w:rsidRDefault="002676A7" w:rsidP="004045D1">
            <w:pPr>
              <w:spacing w:line="276" w:lineRule="auto"/>
              <w:rPr>
                <w:rFonts w:eastAsia="Arial"/>
              </w:rPr>
            </w:pPr>
            <w:r>
              <w:rPr>
                <w:rFonts w:eastAsia="Arial"/>
              </w:rPr>
              <w:t>Gydymas po pirmų 3 ciklų turėtų būti tęsiamas, jeigu yra dokumentuotas ligos pagerėjimas ≥2 balais MG-ADL skalėje.</w:t>
            </w:r>
          </w:p>
        </w:tc>
      </w:tr>
      <w:tr w:rsidR="002676A7" w:rsidRPr="0073329D" w14:paraId="4F94198A" w14:textId="77777777" w:rsidTr="00D415BC">
        <w:trPr>
          <w:trHeight w:val="1927"/>
        </w:trPr>
        <w:tc>
          <w:tcPr>
            <w:tcW w:w="2729" w:type="dxa"/>
          </w:tcPr>
          <w:p w14:paraId="6B71AE60" w14:textId="77777777" w:rsidR="002676A7" w:rsidRPr="0073329D" w:rsidRDefault="002676A7" w:rsidP="004045D1">
            <w:pPr>
              <w:spacing w:line="276" w:lineRule="auto"/>
              <w:rPr>
                <w:rFonts w:eastAsia="Arial"/>
              </w:rPr>
            </w:pPr>
            <w:r w:rsidRPr="0073329D">
              <w:rPr>
                <w:rFonts w:eastAsia="Arial"/>
              </w:rPr>
              <w:t>Nacionalinis farmakoekonomikos centras, Airija</w:t>
            </w:r>
          </w:p>
          <w:p w14:paraId="033B915D" w14:textId="77777777" w:rsidR="002676A7" w:rsidRPr="0073329D" w:rsidRDefault="002676A7" w:rsidP="004045D1">
            <w:pPr>
              <w:spacing w:line="276" w:lineRule="auto"/>
              <w:rPr>
                <w:rFonts w:eastAsia="Arial"/>
              </w:rPr>
            </w:pPr>
            <w:r w:rsidRPr="0073329D">
              <w:rPr>
                <w:rFonts w:eastAsia="Arial"/>
              </w:rPr>
              <w:t>(angl.</w:t>
            </w:r>
            <w:r w:rsidRPr="0073329D">
              <w:rPr>
                <w:rFonts w:eastAsia="Arial"/>
                <w:i/>
              </w:rPr>
              <w:t xml:space="preserve"> National Centre for Pharmacoeconomics, NCPE</w:t>
            </w:r>
            <w:r w:rsidRPr="0073329D">
              <w:rPr>
                <w:rFonts w:eastAsia="Arial"/>
              </w:rPr>
              <w:t>)</w:t>
            </w:r>
          </w:p>
        </w:tc>
        <w:tc>
          <w:tcPr>
            <w:tcW w:w="1701" w:type="dxa"/>
          </w:tcPr>
          <w:p w14:paraId="1F445343" w14:textId="77777777" w:rsidR="002676A7" w:rsidRPr="0073329D" w:rsidRDefault="00000000" w:rsidP="004045D1">
            <w:sdt>
              <w:sdtPr>
                <w:rPr>
                  <w:rStyle w:val="Style2"/>
                </w:rPr>
                <w:id w:val="-1888403732"/>
                <w15:color w:val="FFCC00"/>
                <w14:checkbox>
                  <w14:checked w14:val="0"/>
                  <w14:checkedState w14:val="2612" w14:font="MS Gothic"/>
                  <w14:uncheckedState w14:val="2610" w14:font="MS Gothic"/>
                </w14:checkbox>
              </w:sdtPr>
              <w:sdtContent>
                <w:r w:rsidR="002676A7" w:rsidRPr="0073329D">
                  <w:rPr>
                    <w:rStyle w:val="Style2"/>
                    <w:rFonts w:ascii="Segoe UI Symbol" w:eastAsia="MS Gothic" w:hAnsi="Segoe UI Symbol" w:cs="Segoe UI Symbol"/>
                  </w:rPr>
                  <w:t>☐</w:t>
                </w:r>
              </w:sdtContent>
            </w:sdt>
            <w:r w:rsidR="002676A7" w:rsidRPr="0073329D">
              <w:t xml:space="preserve"> Taip</w:t>
            </w:r>
          </w:p>
          <w:p w14:paraId="1B3AE6D8" w14:textId="77777777" w:rsidR="002676A7" w:rsidRPr="0073329D" w:rsidRDefault="00000000" w:rsidP="004045D1">
            <w:sdt>
              <w:sdtPr>
                <w:rPr>
                  <w:rStyle w:val="Style2"/>
                </w:rPr>
                <w:id w:val="1092201793"/>
                <w15:color w:val="FFCC00"/>
                <w14:checkbox>
                  <w14:checked w14:val="1"/>
                  <w14:checkedState w14:val="2612" w14:font="MS Gothic"/>
                  <w14:uncheckedState w14:val="2610" w14:font="MS Gothic"/>
                </w14:checkbox>
              </w:sdtPr>
              <w:sdtContent>
                <w:r w:rsidR="002676A7">
                  <w:rPr>
                    <w:rStyle w:val="Style2"/>
                    <w:rFonts w:ascii="MS Gothic" w:eastAsia="MS Gothic" w:hAnsi="MS Gothic" w:hint="eastAsia"/>
                  </w:rPr>
                  <w:t>☒</w:t>
                </w:r>
              </w:sdtContent>
            </w:sdt>
            <w:r w:rsidR="002676A7" w:rsidRPr="0073329D">
              <w:t xml:space="preserve"> Ne</w:t>
            </w:r>
          </w:p>
          <w:p w14:paraId="3DB6AB1C" w14:textId="77777777" w:rsidR="002676A7" w:rsidRPr="0073329D" w:rsidRDefault="00000000" w:rsidP="004045D1">
            <w:pPr>
              <w:spacing w:line="276" w:lineRule="auto"/>
              <w:rPr>
                <w:rFonts w:eastAsia="Arial"/>
              </w:rPr>
            </w:pPr>
            <w:sdt>
              <w:sdtPr>
                <w:alias w:val="Nurodykite konkrečią dieną"/>
                <w:tag w:val="Nurodykite pradžios datą"/>
                <w:id w:val="-198323198"/>
                <w:placeholder>
                  <w:docPart w:val="6680119C14764588A72E3782A5944DE5"/>
                </w:placeholder>
                <w:showingPlcHdr/>
                <w15:color w:val="FFCC99"/>
                <w:date w:fullDate="2022-05-18T00:00:00Z">
                  <w:dateFormat w:val="yyyy 'm.' MMMM d 'd.'"/>
                  <w:lid w:val="lt-LT"/>
                  <w:storeMappedDataAs w:val="dateTime"/>
                  <w:calendar w:val="gregorian"/>
                </w:date>
              </w:sdtPr>
              <w:sdtContent>
                <w:r w:rsidR="002676A7" w:rsidRPr="0073329D">
                  <w:rPr>
                    <w:rStyle w:val="Vietosrezervavimoenklotekstas"/>
                  </w:rPr>
                  <w:t>Click here to enter a date.</w:t>
                </w:r>
              </w:sdtContent>
            </w:sdt>
          </w:p>
        </w:tc>
        <w:tc>
          <w:tcPr>
            <w:tcW w:w="5488" w:type="dxa"/>
            <w:gridSpan w:val="2"/>
          </w:tcPr>
          <w:p w14:paraId="5CD76D97" w14:textId="27C4F30D" w:rsidR="002676A7" w:rsidRPr="0073329D" w:rsidRDefault="002676A7" w:rsidP="004045D1">
            <w:pPr>
              <w:spacing w:line="276" w:lineRule="auto"/>
              <w:rPr>
                <w:rFonts w:eastAsia="Arial"/>
              </w:rPr>
            </w:pPr>
            <w:r>
              <w:rPr>
                <w:rFonts w:eastAsia="Arial"/>
              </w:rPr>
              <w:t>Vyksta vertinimas.</w:t>
            </w: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0A6FF67D" w:rsidR="002E6F80"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E64BA23" w14:textId="5D5D3D52" w:rsidR="00264EA2" w:rsidRPr="00CB3CE4" w:rsidRDefault="00264EA2" w:rsidP="00264EA2">
      <w:pPr>
        <w:pStyle w:val="0TEXT"/>
        <w:rPr>
          <w:lang w:val="lt-LT"/>
        </w:rPr>
      </w:pPr>
      <w:r>
        <w:rPr>
          <w:lang w:val="lt-LT"/>
        </w:rPr>
        <w:t>Generalizuota s</w:t>
      </w:r>
      <w:r w:rsidRPr="009829D2">
        <w:rPr>
          <w:lang w:val="lt-LT"/>
        </w:rPr>
        <w:t>unkioji miastenija</w:t>
      </w:r>
      <w:r>
        <w:rPr>
          <w:lang w:val="lt-LT"/>
        </w:rPr>
        <w:t xml:space="preserve"> (gMG)</w:t>
      </w:r>
      <w:r w:rsidRPr="009829D2">
        <w:rPr>
          <w:lang w:val="lt-LT"/>
        </w:rPr>
        <w:t xml:space="preserve"> yra įgytas autoimuninis sutrikimas, kurį sukelia autoantikūnai prieš neuroraumeninio perdavimo grandinės elementus. Ši autoimuninė blokada lemia skeleto raumenų – dažniausiai akių, veido, bulbarinių, galūnių proksimalinių ir ašinių – silpnumą. Dažniausiai miastenijos išsivystymą lemia autoantikūnai – imunoglobulinai G (IgG) prieš neuroraumeninės jungties postsinapsinėje membranoje esančius skeleto raumenų nikotininius acetilcholino receptorius (anti-AChR)</w:t>
      </w:r>
      <w:r>
        <w:rPr>
          <w:lang w:val="lt-LT"/>
        </w:rPr>
        <w:t>, tačiau g</w:t>
      </w:r>
      <w:r w:rsidRPr="009829D2">
        <w:rPr>
          <w:lang w:val="lt-LT"/>
        </w:rPr>
        <w:t>ali būti pažeidžiami kiti neuromuskulinės jungties komponentai – raumenims specifinė tirozinkinazė (pasigamina anti-MuSK) ir baltymas, susijęs su mažo tankio lipoproteinų receptoriais (anti-LRP4</w:t>
      </w:r>
      <w:r w:rsidRPr="00D93AED">
        <w:rPr>
          <w:lang w:val="lt-LT"/>
        </w:rPr>
        <w:t>)</w:t>
      </w:r>
      <w:r w:rsidRPr="00D93AED">
        <w:t>.</w:t>
      </w:r>
      <w:r w:rsidRPr="00D93AED">
        <w:rPr>
          <w:lang w:val="lt-LT"/>
        </w:rPr>
        <w:t xml:space="preserve"> Pacientai</w:t>
      </w:r>
      <w:r w:rsidRPr="00904C93">
        <w:rPr>
          <w:lang w:val="lt-LT"/>
        </w:rPr>
        <w:t xml:space="preserve">, sergantys gMG patiria nuolatinį silpnumą ir nuovargį tam tikrose raumenų grupėse, kurių paūmėjimai gali sukelti gyvybei pavojingas miastenines krizes. </w:t>
      </w:r>
      <w:r w:rsidRPr="005D6755">
        <w:rPr>
          <w:lang w:val="fr-FR"/>
        </w:rPr>
        <w:t>Kai liga progresuoja, silpnumas ir nuovargis stiprėj</w:t>
      </w:r>
      <w:r>
        <w:rPr>
          <w:lang w:val="fr-FR"/>
        </w:rPr>
        <w:t>a</w:t>
      </w:r>
      <w:r w:rsidRPr="005D6755">
        <w:rPr>
          <w:lang w:val="fr-FR"/>
        </w:rPr>
        <w:t xml:space="preserve">. </w:t>
      </w:r>
      <w:r>
        <w:rPr>
          <w:lang w:val="fr-FR"/>
        </w:rPr>
        <w:t>S</w:t>
      </w:r>
      <w:r w:rsidRPr="005D6755">
        <w:rPr>
          <w:lang w:val="fr-FR"/>
        </w:rPr>
        <w:t xml:space="preserve">ergamumas </w:t>
      </w:r>
      <w:r>
        <w:rPr>
          <w:lang w:val="fr-FR"/>
        </w:rPr>
        <w:t xml:space="preserve">gMG </w:t>
      </w:r>
      <w:r w:rsidRPr="005D6755">
        <w:rPr>
          <w:lang w:val="fr-FR"/>
        </w:rPr>
        <w:t>svyruoja nuo 0,3 iki 3,0 atvej</w:t>
      </w:r>
      <w:r>
        <w:rPr>
          <w:lang w:val="fr-FR"/>
        </w:rPr>
        <w:t>ų</w:t>
      </w:r>
      <w:r w:rsidRPr="005D6755">
        <w:rPr>
          <w:lang w:val="fr-FR"/>
        </w:rPr>
        <w:t xml:space="preserve"> 100 000 žmonių per metus visame pasaulyje. </w:t>
      </w:r>
      <w:r>
        <w:rPr>
          <w:lang w:val="fr-FR"/>
        </w:rPr>
        <w:t xml:space="preserve">gMG yra neišgydoma liga, </w:t>
      </w:r>
      <w:r w:rsidRPr="00904C93">
        <w:rPr>
          <w:lang w:val="fr-FR"/>
        </w:rPr>
        <w:t>maždaug 80 % pacientų nuolat kenčia nuo gMG sukeliamų simptomų ir požymių</w:t>
      </w:r>
      <w:r>
        <w:rPr>
          <w:lang w:val="fr-FR"/>
        </w:rPr>
        <w:t>. M</w:t>
      </w:r>
      <w:r w:rsidRPr="00904C93">
        <w:rPr>
          <w:lang w:val="fr-FR"/>
        </w:rPr>
        <w:t xml:space="preserve">aždaug 10 % pacientų nepakankamai reaguoja į </w:t>
      </w:r>
      <w:r>
        <w:rPr>
          <w:lang w:val="fr-FR"/>
        </w:rPr>
        <w:t>esamas gydymo galimybes</w:t>
      </w:r>
      <w:r w:rsidRPr="00904C93">
        <w:rPr>
          <w:lang w:val="fr-FR"/>
        </w:rPr>
        <w:t xml:space="preserve"> ir yra laikomi nepasiduodančiais gydymui</w:t>
      </w:r>
      <w:r>
        <w:rPr>
          <w:lang w:val="fr-FR"/>
        </w:rPr>
        <w:t xml:space="preserve">. </w:t>
      </w:r>
      <w:r w:rsidRPr="00FC6045">
        <w:rPr>
          <w:lang w:val="lt-LT" w:eastAsia="lt-LT"/>
        </w:rPr>
        <w:t>Gydymo tikslas – efektyviai valdyti simptomus ir kontroliuoti imuninės sistemos veiklą.</w:t>
      </w:r>
    </w:p>
    <w:p w14:paraId="69459C3E" w14:textId="77777777" w:rsidR="00264EA2" w:rsidRPr="00F57C9E" w:rsidRDefault="00264EA2" w:rsidP="00264EA2">
      <w:pPr>
        <w:pStyle w:val="0TEXT"/>
        <w:rPr>
          <w:lang w:val="lt-LT"/>
        </w:rPr>
      </w:pPr>
      <w:r w:rsidRPr="00FC6045">
        <w:rPr>
          <w:lang w:val="lt-LT" w:eastAsia="lt-LT"/>
        </w:rPr>
        <w:t xml:space="preserve">Lietuvoje </w:t>
      </w:r>
      <w:r w:rsidRPr="00FC6045">
        <w:rPr>
          <w:lang w:val="lt-LT"/>
        </w:rPr>
        <w:t xml:space="preserve">gMG </w:t>
      </w:r>
      <w:r w:rsidRPr="00FC6045">
        <w:rPr>
          <w:lang w:val="lt-LT" w:eastAsia="lt-LT"/>
        </w:rPr>
        <w:t xml:space="preserve">sergantys pacientai gydomi </w:t>
      </w:r>
      <w:r>
        <w:rPr>
          <w:lang w:val="lt-LT" w:eastAsia="lt-LT"/>
        </w:rPr>
        <w:t>acetilcholinesterazės inhibitoriais (</w:t>
      </w:r>
      <w:r w:rsidRPr="00FC6045">
        <w:rPr>
          <w:lang w:val="lt-LT" w:eastAsia="lt-LT"/>
        </w:rPr>
        <w:t>AChE</w:t>
      </w:r>
      <w:r>
        <w:rPr>
          <w:lang w:val="lt-LT" w:eastAsia="lt-LT"/>
        </w:rPr>
        <w:t>)</w:t>
      </w:r>
      <w:r w:rsidRPr="00FC6045">
        <w:rPr>
          <w:lang w:val="lt-LT" w:eastAsia="lt-LT"/>
        </w:rPr>
        <w:t xml:space="preserve">, </w:t>
      </w:r>
      <w:r>
        <w:rPr>
          <w:lang w:val="lt-LT" w:eastAsia="lt-LT"/>
        </w:rPr>
        <w:t>geriamaisias ne steroidiniais imunosupresantais (</w:t>
      </w:r>
      <w:r w:rsidRPr="00FC6045">
        <w:rPr>
          <w:lang w:val="lt-LT" w:eastAsia="lt-LT"/>
        </w:rPr>
        <w:t>GNSIS</w:t>
      </w:r>
      <w:r>
        <w:rPr>
          <w:lang w:val="lt-LT" w:eastAsia="lt-LT"/>
        </w:rPr>
        <w:t>)</w:t>
      </w:r>
      <w:r w:rsidRPr="00FC6045">
        <w:rPr>
          <w:lang w:val="lt-LT" w:eastAsia="lt-LT"/>
        </w:rPr>
        <w:t xml:space="preserve"> ir steroid</w:t>
      </w:r>
      <w:r>
        <w:rPr>
          <w:lang w:val="lt-LT" w:eastAsia="lt-LT"/>
        </w:rPr>
        <w:t xml:space="preserve">ais. </w:t>
      </w:r>
      <w:r w:rsidRPr="00FC6045">
        <w:rPr>
          <w:lang w:val="lt-LT"/>
        </w:rPr>
        <w:t>Miasteninė krizė gydoma intraveniniu imunoglobulinu, plazmafereze ir steroidų terapij</w:t>
      </w:r>
      <w:r>
        <w:rPr>
          <w:lang w:val="lt-LT"/>
        </w:rPr>
        <w:t>a</w:t>
      </w:r>
      <w:r w:rsidRPr="00FC6045">
        <w:rPr>
          <w:lang w:val="lt-LT"/>
        </w:rPr>
        <w:t>.</w:t>
      </w:r>
      <w:r>
        <w:rPr>
          <w:lang w:val="lt-LT"/>
        </w:rPr>
        <w:t xml:space="preserve"> </w:t>
      </w:r>
      <w:r w:rsidRPr="00FC6045">
        <w:rPr>
          <w:lang w:val="lt-LT" w:eastAsia="lt-LT"/>
        </w:rPr>
        <w:t>Pacientams, kuriems simptominis gydymas AChE nėra efektyvus, skiriamas pirmojo pasirinkimo imunosupresinis gydymas kortikosteroidais, azatioprinu, atliekama timektomija. Antrojo pasirinkimo imunosupresinei terapijai priskiriam</w:t>
      </w:r>
      <w:r>
        <w:rPr>
          <w:lang w:val="lt-LT" w:eastAsia="lt-LT"/>
        </w:rPr>
        <w:t>i</w:t>
      </w:r>
      <w:r w:rsidRPr="00FC6045">
        <w:rPr>
          <w:lang w:val="lt-LT" w:eastAsia="lt-LT"/>
        </w:rPr>
        <w:t xml:space="preserve"> ciklosporinas, ciklofosfamidas, metotreksatas, mikofenolato mofetilis ir takrolimas. </w:t>
      </w:r>
      <w:r w:rsidRPr="003C34DA">
        <w:rPr>
          <w:lang w:val="lt-LT" w:eastAsia="lt-LT"/>
        </w:rPr>
        <w:t>Rituksimabas yra naujas vaistas sunkiai generalizuotai miastenijai gydyti</w:t>
      </w:r>
      <w:r>
        <w:rPr>
          <w:lang w:val="lt-LT" w:eastAsia="lt-LT"/>
        </w:rPr>
        <w:t>.</w:t>
      </w:r>
      <w:r>
        <w:rPr>
          <w:lang w:val="lt-LT"/>
        </w:rPr>
        <w:t xml:space="preserve"> </w:t>
      </w:r>
      <w:r w:rsidRPr="00F57C9E">
        <w:rPr>
          <w:lang w:val="lt-LT"/>
        </w:rPr>
        <w:t>Pasireiškus sunkiosios miastenijos simptomų paūmėjimui, vystantis krizei, papildomai taikomas gydymas plazmaferezėmis (PE) arba žmogaus intraveniniu imunoglobulinu (IvIg). Šiai pacientų grupei, remiantis moksliniuose tyrimuose parodytais rezultatais,  būtų  indikuotinas gydymas efgartigimodu</w:t>
      </w:r>
    </w:p>
    <w:p w14:paraId="2E87D3F6" w14:textId="77777777" w:rsidR="00264EA2" w:rsidRPr="003E6B7C" w:rsidRDefault="00264EA2" w:rsidP="00264EA2">
      <w:pPr>
        <w:pStyle w:val="Protokolas"/>
      </w:pPr>
      <w:r w:rsidRPr="003E6B7C">
        <w:t xml:space="preserve">Efgartigimodas alfa yra žmogaus IgG1 antikūno fragmentas, sukurtas didesniu afiniškumu jungtis prie neonatalinio Fc receptoriaus (FcRn). Efgartigimodas alfa prisijungia prie FcRn, todėl sumažėja cirkuliuojančio IgG koncentracija, įskaitant patogeninius IgG autoantikūnus. Efgartigimodas alfa neveikia kitų imunoglobulinų (IgA, IgD, IgE ar IgM) ir albumino koncentracijų. </w:t>
      </w:r>
    </w:p>
    <w:p w14:paraId="2BDB4B40" w14:textId="77777777" w:rsidR="00264EA2" w:rsidRPr="003E6B7C" w:rsidRDefault="00264EA2" w:rsidP="00264EA2">
      <w:pPr>
        <w:pStyle w:val="Protokolas"/>
      </w:pPr>
    </w:p>
    <w:p w14:paraId="16E2A9A6" w14:textId="77777777" w:rsidR="00264EA2" w:rsidRPr="00202C77" w:rsidRDefault="00264EA2" w:rsidP="00264EA2">
      <w:pPr>
        <w:pStyle w:val="Protokolas"/>
      </w:pPr>
      <w:r w:rsidRPr="00202C77">
        <w:t>Palyginamasis gydymas – placebo, kuris šioje paraiškoje atitinka standartinį gMG gydymą acetilcholinesterazės inhibitoriais, kortikosteroidais ir/ar ne steroidiniais imunosupresiniais preparatais</w:t>
      </w:r>
      <w:r>
        <w:t xml:space="preserve"> (azatioprinas, mikofenolato mofetilis, ciklofosfamidas, ciklosporinas, takrolimusas, metotreksatas)</w:t>
      </w:r>
      <w:r w:rsidRPr="00202C77">
        <w:t>.</w:t>
      </w:r>
      <w:r>
        <w:t xml:space="preserve"> Lietyvoje generalizuotos miastenijos gydymui šiuo metu kompensuojami a</w:t>
      </w:r>
      <w:r w:rsidRPr="000E51B4">
        <w:t>zatioprin</w:t>
      </w:r>
      <w:r>
        <w:t>as, deksametazonas, metilprednizolonas, piridostigminas ir prednizolonas. Efgartigimonas alfa būtų skiriamas kaip antros eilės, papildomas pridėtinis gydymas, nesant pakankamai efektyviam pirmos eilės gydymui (AChE, steroidais ir/ar ne steroidiniais imunosupresantais). Palyginamasis gydymas laikomas tinkamu ir klinikinę praktiką atitinkančiu palyginamuoju gydymu.</w:t>
      </w:r>
    </w:p>
    <w:p w14:paraId="1092FF27" w14:textId="77777777" w:rsidR="00264EA2" w:rsidRDefault="00264EA2" w:rsidP="00264EA2">
      <w:pPr>
        <w:tabs>
          <w:tab w:val="left" w:pos="284"/>
        </w:tabs>
        <w:rPr>
          <w:b/>
          <w:bCs/>
          <w:caps/>
        </w:rPr>
      </w:pPr>
    </w:p>
    <w:p w14:paraId="72533755" w14:textId="77777777" w:rsidR="00264EA2" w:rsidRDefault="00264EA2" w:rsidP="00264EA2">
      <w:pPr>
        <w:pStyle w:val="Protokolas"/>
        <w:ind w:firstLine="0"/>
        <w:rPr>
          <w:i/>
          <w:iCs/>
        </w:rPr>
      </w:pPr>
      <w:r>
        <w:rPr>
          <w:i/>
          <w:iCs/>
        </w:rPr>
        <w:t>Tiesioginis palyginimas</w:t>
      </w:r>
    </w:p>
    <w:p w14:paraId="7D7EB29C" w14:textId="77777777" w:rsidR="00264EA2" w:rsidRDefault="00264EA2" w:rsidP="00264EA2">
      <w:pPr>
        <w:pStyle w:val="Protokolas"/>
      </w:pPr>
      <w:r w:rsidRPr="000D4C88">
        <w:t xml:space="preserve">Klinikinis </w:t>
      </w:r>
      <w:r w:rsidRPr="00E54D71">
        <w:t>veiksmingumas</w:t>
      </w:r>
      <w:r w:rsidRPr="000D4C88">
        <w:t xml:space="preserve"> vertintas remiantis tiesioginiu palyginimu su placebo, tai yra tinkamas palyginamasis gydymas. Tiesioginiam palyginimui pateiktas daugiacentris, dvigubai aklas, placebo kontroliuojamas III fazes, atsitiktinių imčių klinikinis</w:t>
      </w:r>
      <w:r>
        <w:t xml:space="preserve"> ADAPT tyrimas. Tyrimo tikslas buvo </w:t>
      </w:r>
      <w:r w:rsidRPr="00967112">
        <w:t>įvertinti efgartigimodo alfa efektyvumą, saugumą, poveikį gyvenimo kokybei ir kasdienei veiklai pacientams, sergantiems gMG esant nustatytiems antikūnams prieš acetilcholino receptorius.</w:t>
      </w:r>
      <w:r>
        <w:t xml:space="preserve"> </w:t>
      </w:r>
      <w:r w:rsidRPr="00967112">
        <w:t>Tyrimui atrinki 167 pacientei, kurie suskirstyti į dvi grupes: 84 pacientai priskirti efgartigimodo grupei, 83 pacientai priskirti placebo grupei.</w:t>
      </w:r>
      <w:r>
        <w:t xml:space="preserve"> </w:t>
      </w:r>
      <w:r w:rsidRPr="00967112">
        <w:t>Pacientų pradiniai rodikliai tarp grupių buvo pasiskirstę panašiai ir atitinka realią pacientų populiaciją. Dauguma pacientų gydomo pradžioje vartojo steroidus arba NSIS.</w:t>
      </w:r>
      <w:r>
        <w:t xml:space="preserve"> </w:t>
      </w:r>
      <w:r w:rsidRPr="00967112">
        <w:t>Pagrindinė vertinamoji baigtis: pacientų, kuriems buvo atsakas į gydymą pagal MG-ADL skalę, buvo statistiškai reikšmingai didesnė efgartigidomo grupėje nei placebo grupėje (67,7% [44/65) vs 29,7% [19/64]; šansų santykis (ŠS) 4,95 [95% PI 2,21, 11,53]; p&lt;0,0001).</w:t>
      </w:r>
      <w:r>
        <w:t xml:space="preserve"> Efgartigimodo naudai stebėta </w:t>
      </w:r>
      <w:r>
        <w:lastRenderedPageBreak/>
        <w:t xml:space="preserve">statistiškai reikšmingai didesnė dalis pacientų, pasiekusių atsaką į gydymą per pirmą gydymo ciklą pagal QMG skalę (63,1% </w:t>
      </w:r>
      <w:r>
        <w:rPr>
          <w:i/>
          <w:iCs/>
        </w:rPr>
        <w:t xml:space="preserve">vs </w:t>
      </w:r>
      <w:r>
        <w:t xml:space="preserve">14,1%, p&lt;0,0001), bei ilgesnis laiko dalis gydymo metu, kuriuo pacientai jautė kliniškai reikšmingą pagerėjimą pagal MG-ADL skalę (48,7% </w:t>
      </w:r>
      <w:r>
        <w:rPr>
          <w:i/>
          <w:iCs/>
        </w:rPr>
        <w:t>vs</w:t>
      </w:r>
      <w:r>
        <w:t xml:space="preserve"> 26,6%, p=0,0001). Laiko iki pakartotinio gydymo poreikio statistiškai reikšmingai tarp grupių nesiskyrė, ir nors pacientų dalis, patiriančių ankstyvą atsaką pagal MG-ADL skalę pirmo ciklo metu buvo ženkliai didesnė efgartigimodo grupėje (</w:t>
      </w:r>
      <w:r w:rsidRPr="00A85A59">
        <w:t>56</w:t>
      </w:r>
      <w:r>
        <w:t>,</w:t>
      </w:r>
      <w:r w:rsidRPr="00A85A59">
        <w:t xml:space="preserve">9% </w:t>
      </w:r>
      <w:r>
        <w:rPr>
          <w:i/>
          <w:iCs/>
        </w:rPr>
        <w:t>vs</w:t>
      </w:r>
      <w:r w:rsidRPr="00A85A59">
        <w:t xml:space="preserve"> 25</w:t>
      </w:r>
      <w:r>
        <w:t>,</w:t>
      </w:r>
      <w:r w:rsidRPr="00A85A59">
        <w:t>0%</w:t>
      </w:r>
      <w:r>
        <w:t>), dėl hierarchinės analizės statistinis reikšmingumas nevertintas. Gyvenimo kokybė pagal</w:t>
      </w:r>
      <w:r w:rsidRPr="00FA013B">
        <w:t xml:space="preserve"> EQ-5D-5L</w:t>
      </w:r>
      <w:r>
        <w:t xml:space="preserve"> skalę efgartigimodo grupėje pagerėjo, maksimalus pagerėjimas pasiektas 4 gydymo savaitę. </w:t>
      </w:r>
      <w:r>
        <w:rPr>
          <w:i/>
          <w:iCs/>
        </w:rPr>
        <w:t>Post-hoc</w:t>
      </w:r>
      <w:r>
        <w:t xml:space="preserve"> analizėje e</w:t>
      </w:r>
      <w:r w:rsidRPr="00C43F5D">
        <w:t>fgartigimonas buvo reikšmingai efektyvesnis už placebo visuose gydymo pogrupiuose (tik AChE, steroidai, NSIS, timektomija) ir efgartigimodo efektyvumas nepriklausė nuo gaunamo standartinio gMG gydymo.</w:t>
      </w:r>
    </w:p>
    <w:p w14:paraId="0096F8E5" w14:textId="77777777" w:rsidR="00264EA2" w:rsidRPr="00FA013B" w:rsidRDefault="00264EA2" w:rsidP="00264EA2">
      <w:pPr>
        <w:pStyle w:val="Protokolas"/>
        <w:rPr>
          <w:i/>
          <w:iCs/>
        </w:rPr>
      </w:pPr>
      <w:r>
        <w:t>Tyrimas ADAPT buvo tęsiamas kaip atviros fazės tyrimas ADAPT+. Tyrimo trukmė 3 metai. Tęsiant gydymą efgartigimodu alfa, klinikinis pagerėjimas pagal MG-ADL buvo stebimas su kiekvienu gydymo ciklu. &gt;90% pacientų pasiekė ≥2 balų (kliniškai reikšmingas) pagerėjimą ir &gt;50% pacientų pasiekė ≥5 balų pagerėjimą. Tokia pati tendencija stebėta vertinant atsaką į gydymą pagal QMG skalę.</w:t>
      </w:r>
    </w:p>
    <w:p w14:paraId="3AD72429" w14:textId="77777777" w:rsidR="00264EA2" w:rsidRDefault="00264EA2" w:rsidP="00264EA2">
      <w:pPr>
        <w:pStyle w:val="Protokolas"/>
        <w:ind w:firstLine="0"/>
        <w:rPr>
          <w:i/>
          <w:iCs/>
        </w:rPr>
      </w:pPr>
    </w:p>
    <w:p w14:paraId="6A9310DC" w14:textId="77777777" w:rsidR="00264EA2" w:rsidRDefault="00264EA2" w:rsidP="00264EA2">
      <w:pPr>
        <w:pStyle w:val="Protokolas"/>
        <w:ind w:firstLine="0"/>
        <w:rPr>
          <w:i/>
          <w:iCs/>
        </w:rPr>
      </w:pPr>
      <w:r>
        <w:rPr>
          <w:i/>
          <w:iCs/>
        </w:rPr>
        <w:t>Palyginamasis saugumas</w:t>
      </w:r>
    </w:p>
    <w:p w14:paraId="26FAB6AB" w14:textId="77777777" w:rsidR="00264EA2" w:rsidRPr="00CB3CE4" w:rsidRDefault="00264EA2" w:rsidP="00264EA2">
      <w:pPr>
        <w:pStyle w:val="Protokolas"/>
      </w:pPr>
      <w:r>
        <w:t>Palyginamasis saugumas vertintas remiantis ADAPT tyrimo rezultatais. Bendra saugumo populiacija – 167 pacientai. Dauguma NR buvo mažo ir vidurinio intensyvumo. 11% tiriamųjų efgartigimodo grupėje ir 10% placebo grupėje patyrė rimtų NR. Nebuvo užfiksuota reikšmingų laboratorinių, elektrokardiologinių ar gyvybinių rodiklių pokyčių nei vienoje grupėje. Gydymą dėl NR efgartigimodo grupėje nutraukė 3 (3,6%) pacientai, placebo grupėje 2 (2,4%) pacientai. Gelbstinčio gydymo poreikis lėmė gydymo nutraukimą 1 (1,2%) pacientui efgartigimodo grupėje ir 2 (2,4%) pacientams placebo grupėje. Su gydymu susiję NR stebėti 39 (46%) pacientams efgartigimodo grupėje ir 31 (37%) pacientams placebo grupėje. Dažniausi NR buvo nazofaringitas, viršutinių kvėpavimo takų infekcijos, šlapimo infekcijos ir bronchitas. Dauguma infekcijų buvo lengvos arba vidutinio sunkumo ir nebuvo susijusios su gydymo nutraukimu.</w:t>
      </w:r>
    </w:p>
    <w:p w14:paraId="7B3E836D" w14:textId="77777777" w:rsidR="00264EA2" w:rsidRDefault="00264EA2" w:rsidP="00264EA2">
      <w:pPr>
        <w:pStyle w:val="Protokolas"/>
      </w:pPr>
      <w:r>
        <w:t>Efgartigimodo grupėje su gydymu susijusius rimtus NR patyrė 4 (5%) pacientai: trombocitozė, tiesiosios žarnos adenokarcinoma, gMG pablogėjimas, depresija. Placebo grupėje su gydymu susijusius rimtus NR patyrė 7 (8%) pacientų: miokardo išemija, prieširdžių virpėjimas, stuburo raiščių kaulėjimas, viršutinių kvepavimo takų infekcija, stuburo kompresinis lūžis, gMG pablogėjimas, gMG krizė. Tyrime mirčių fiksuota nebuvo.</w:t>
      </w:r>
    </w:p>
    <w:p w14:paraId="2844ED7A" w14:textId="77777777" w:rsidR="00264EA2" w:rsidRPr="00187081" w:rsidRDefault="00264EA2" w:rsidP="00264EA2">
      <w:pPr>
        <w:pStyle w:val="Protokolas"/>
      </w:pPr>
      <w:r>
        <w:t>Remiantis pateiktais duomenimis, efgartigimodo saugumo duomenys atitinka žinomą saugumo profilį, o preparatas yra pakankamai saugus gMG populiacijoje, atsižvelgiant į ligos eigą ir gydymo metodų specifiką.</w:t>
      </w:r>
    </w:p>
    <w:p w14:paraId="775724FA" w14:textId="77777777" w:rsidR="00264EA2" w:rsidRDefault="00264EA2" w:rsidP="00264EA2">
      <w:pPr>
        <w:pStyle w:val="Protokolas"/>
        <w:ind w:firstLine="0"/>
        <w:rPr>
          <w:i/>
          <w:iCs/>
        </w:rPr>
      </w:pPr>
    </w:p>
    <w:p w14:paraId="65328BD8" w14:textId="77777777" w:rsidR="00264EA2" w:rsidRDefault="00264EA2" w:rsidP="00264EA2">
      <w:pPr>
        <w:pStyle w:val="Protokolas"/>
        <w:ind w:firstLine="0"/>
        <w:rPr>
          <w:i/>
          <w:iCs/>
        </w:rPr>
      </w:pPr>
      <w:r>
        <w:rPr>
          <w:i/>
          <w:iCs/>
        </w:rPr>
        <w:t>Privalumai ir trūkumai</w:t>
      </w:r>
    </w:p>
    <w:p w14:paraId="5F2BD594" w14:textId="77777777" w:rsidR="00264EA2" w:rsidRDefault="00264EA2" w:rsidP="00264EA2">
      <w:pPr>
        <w:pStyle w:val="Protokolas"/>
        <w:ind w:firstLine="0"/>
      </w:pPr>
      <w:r w:rsidRPr="00187081">
        <w:t>Jei vaistinis preparatas būtų įrašytas į kompensavimo sąrašus, gydymo šiuo vaistiniu preparatu taikymas klinikinėje praktikoje galėtų turėti privalumų ir trūkumų medicininėms paslaugoms ar pacientams.</w:t>
      </w:r>
    </w:p>
    <w:p w14:paraId="2FAD6F20" w14:textId="3377F551" w:rsidR="00264EA2" w:rsidRPr="00187081" w:rsidRDefault="00264EA2" w:rsidP="00264EA2">
      <w:pPr>
        <w:pStyle w:val="Protokolas"/>
        <w:ind w:firstLine="0"/>
      </w:pPr>
      <w:r>
        <w:rPr>
          <w:i/>
          <w:iCs/>
        </w:rPr>
        <w:t>Privalumai.</w:t>
      </w:r>
      <w:r>
        <w:t xml:space="preserve"> Pacientams ir medicinos paslaugoms - efektyvaus gydymo galimybė nesant veiksmingam standartiniam gydymui, tikėtina retesni ligos pablogėjimai ir geresnė kontrolė.</w:t>
      </w:r>
      <w:r w:rsidR="00A34BD6">
        <w:t xml:space="preserve"> . Pacientų gyvenimo kokybė pagerėja.</w:t>
      </w:r>
    </w:p>
    <w:p w14:paraId="2B8CE8BB" w14:textId="77777777" w:rsidR="00264EA2" w:rsidRPr="00187081" w:rsidRDefault="00264EA2" w:rsidP="00264EA2">
      <w:pPr>
        <w:pStyle w:val="Protokolas"/>
        <w:ind w:firstLine="0"/>
      </w:pPr>
      <w:r>
        <w:rPr>
          <w:i/>
          <w:iCs/>
        </w:rPr>
        <w:t>Trūkumai.</w:t>
      </w:r>
      <w:r>
        <w:t xml:space="preserve"> Pacientams ir medicinos paslaugoms – esminių trūkumų nėra. </w:t>
      </w:r>
    </w:p>
    <w:p w14:paraId="57C91A0F" w14:textId="77777777" w:rsidR="00264EA2" w:rsidRDefault="00264EA2" w:rsidP="00264EA2">
      <w:pPr>
        <w:pStyle w:val="Protokolas"/>
        <w:ind w:firstLine="0"/>
        <w:rPr>
          <w:i/>
          <w:iCs/>
        </w:rPr>
      </w:pPr>
    </w:p>
    <w:p w14:paraId="044FD50F" w14:textId="58F9A044" w:rsidR="00264EA2" w:rsidRPr="00264EA2" w:rsidRDefault="00264EA2" w:rsidP="00264EA2">
      <w:pPr>
        <w:pStyle w:val="Protokolas"/>
        <w:rPr>
          <w:caps/>
        </w:rPr>
      </w:pPr>
      <w:r w:rsidRPr="00CB3CE4">
        <w:t>Apibendrinant Paraiškoje pateiktus duomenis daroma išvada, kad</w:t>
      </w:r>
      <w:r>
        <w:t xml:space="preserve"> efgartigimodas alfa yra didesnio palyginamojo efektyvumo nei standartinis gydymas suaugusiems pacientams, sergantiems </w:t>
      </w:r>
      <w:r w:rsidRPr="00CB3CE4">
        <w:t>generalizuota miastenija (GM) ir kuriems nustatyta antikūnų prieš acetilcholino receptorius (AChR)</w:t>
      </w:r>
      <w:r>
        <w:t>, bei pagrindžia papildomos naudos pacientų sveikatai sukūrimą, lyginant su įprastine klinikine praktika.</w:t>
      </w:r>
    </w:p>
    <w:p w14:paraId="25F89291" w14:textId="5C45C8FC" w:rsidR="00D4485B" w:rsidRPr="000203E1" w:rsidRDefault="00D4485B"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439D7538" w14:textId="77777777" w:rsidR="002676A7" w:rsidRDefault="002676A7" w:rsidP="002676A7">
      <w:pPr>
        <w:spacing w:line="276" w:lineRule="auto"/>
        <w:ind w:firstLine="360"/>
        <w:jc w:val="both"/>
        <w:rPr>
          <w:lang w:eastAsia="lt-LT"/>
        </w:rPr>
      </w:pPr>
      <w:r>
        <w:lastRenderedPageBreak/>
        <w:t>Įprastinė atvejo</w:t>
      </w:r>
      <w:r w:rsidRPr="00CE3DF3">
        <w:t xml:space="preserve"> analizė apima suaugusių pacientų populiaciją su AChR-Ab+ gMG</w:t>
      </w:r>
      <w:r>
        <w:t xml:space="preserve"> (</w:t>
      </w:r>
      <w:r w:rsidRPr="00CE3DF3">
        <w:t>AChR-Ab+</w:t>
      </w:r>
      <w:r>
        <w:t xml:space="preserve"> t</w:t>
      </w:r>
      <w:r w:rsidRPr="0049366F">
        <w:rPr>
          <w:lang w:eastAsia="lt-LT"/>
        </w:rPr>
        <w:t>eigiami acetilcholino receptorių antikūnai</w:t>
      </w:r>
      <w:r w:rsidRPr="00CE3DF3">
        <w:t>,</w:t>
      </w:r>
      <w:r>
        <w:t xml:space="preserve"> gMG (angl. </w:t>
      </w:r>
      <w:r>
        <w:rPr>
          <w:lang w:eastAsia="lt-LT"/>
        </w:rPr>
        <w:t>g</w:t>
      </w:r>
      <w:r w:rsidRPr="0049366F">
        <w:rPr>
          <w:lang w:eastAsia="lt-LT"/>
        </w:rPr>
        <w:t>eneralizuota miastenija</w:t>
      </w:r>
      <w:r>
        <w:rPr>
          <w:lang w:eastAsia="lt-LT"/>
        </w:rPr>
        <w:t xml:space="preserve"> (generalized Myasthenia Gravis))</w:t>
      </w:r>
      <w:r w:rsidRPr="002462EE">
        <w:t xml:space="preserve"> pagal vertinamą klinikinę indikaciją. </w:t>
      </w:r>
      <w:r w:rsidRPr="002462EE">
        <w:rPr>
          <w:rFonts w:eastAsia="CIDFont+F1"/>
        </w:rPr>
        <w:t>Efgartigimodo alfa klinikinio veiksmingumo gydant suaugusiuosius, sergančius generalizuota miasten</w:t>
      </w:r>
      <w:r>
        <w:rPr>
          <w:rFonts w:eastAsia="CIDFont+F1"/>
        </w:rPr>
        <w:t>ija</w:t>
      </w:r>
      <w:r w:rsidRPr="002462EE">
        <w:rPr>
          <w:rFonts w:eastAsia="CIDFont+F1"/>
        </w:rPr>
        <w:t xml:space="preserve"> duomenys KNA pagrįsti 26 savaičių trukmės, daugiacentriu, atsitiktinių imčių, dvigubai koduotu, placebu kontroliuojamu klinikiniu tyrimu (ADAPT).</w:t>
      </w:r>
      <w:r w:rsidRPr="00C117B8">
        <w:rPr>
          <w:lang w:eastAsia="lt-LT"/>
        </w:rPr>
        <w:t xml:space="preserve"> </w:t>
      </w:r>
      <w:r w:rsidRPr="00B408C6">
        <w:rPr>
          <w:lang w:eastAsia="lt-LT"/>
        </w:rPr>
        <w:t xml:space="preserve">Klinikiniai įrodymai, naudojami ekonominio vertinimo dalyje, atitinka </w:t>
      </w:r>
      <w:r>
        <w:rPr>
          <w:lang w:eastAsia="lt-LT"/>
        </w:rPr>
        <w:t>klinikinei daliai teikiamus ir plačiau klinikinio tyrimo rezultatai pateikiami klinikinėje protokolo dalyje.</w:t>
      </w:r>
    </w:p>
    <w:p w14:paraId="0AA6AFE7" w14:textId="77777777" w:rsidR="002676A7" w:rsidRPr="009C4804" w:rsidRDefault="002676A7" w:rsidP="002676A7">
      <w:pPr>
        <w:spacing w:line="276" w:lineRule="auto"/>
        <w:ind w:firstLine="360"/>
        <w:jc w:val="both"/>
      </w:pPr>
      <w:r w:rsidRPr="00A5775C">
        <w:rPr>
          <w:rFonts w:eastAsia="Arial"/>
        </w:rPr>
        <w:t>Ekonominėje analizėje p</w:t>
      </w:r>
      <w:r>
        <w:rPr>
          <w:lang w:eastAsia="lt-LT"/>
        </w:rPr>
        <w:t xml:space="preserve">alyginamasis </w:t>
      </w:r>
      <w:r w:rsidRPr="0049366F">
        <w:rPr>
          <w:lang w:eastAsia="lt-LT"/>
        </w:rPr>
        <w:t>AChR-Ab+ gMG</w:t>
      </w:r>
      <w:r>
        <w:rPr>
          <w:lang w:eastAsia="lt-LT"/>
        </w:rPr>
        <w:t xml:space="preserve"> gydymas – s</w:t>
      </w:r>
      <w:r w:rsidRPr="0049366F">
        <w:rPr>
          <w:lang w:eastAsia="lt-LT"/>
        </w:rPr>
        <w:t>tandartinis</w:t>
      </w:r>
      <w:r>
        <w:rPr>
          <w:lang w:eastAsia="lt-LT"/>
        </w:rPr>
        <w:t xml:space="preserve"> (įprastas) klinikinės praktikos gydymas ( angl. SoC), pritaikytas pagal </w:t>
      </w:r>
      <w:r>
        <w:t>Lietuvos (</w:t>
      </w:r>
      <w:r w:rsidRPr="00655556">
        <w:t>VLK ir klinikinės praktikos ekspertų</w:t>
      </w:r>
      <w:r>
        <w:t>) duomenis:</w:t>
      </w:r>
    </w:p>
    <w:p w14:paraId="37B6DA21" w14:textId="77777777" w:rsidR="002676A7" w:rsidRPr="009C4804" w:rsidRDefault="002676A7" w:rsidP="002676A7">
      <w:pPr>
        <w:pStyle w:val="Sraopastraipa"/>
        <w:numPr>
          <w:ilvl w:val="0"/>
          <w:numId w:val="14"/>
        </w:numPr>
        <w:tabs>
          <w:tab w:val="left" w:pos="270"/>
        </w:tabs>
        <w:spacing w:line="276" w:lineRule="auto"/>
        <w:ind w:left="0" w:firstLine="0"/>
        <w:jc w:val="both"/>
      </w:pPr>
      <w:r w:rsidRPr="009C4804">
        <w:t>58 proc. visų pacientų KKS generalizuotai miastenijai yra skiriami didelėmis dozėmis;</w:t>
      </w:r>
    </w:p>
    <w:p w14:paraId="7CDAFA14" w14:textId="77777777" w:rsidR="002676A7" w:rsidRPr="009C4804" w:rsidRDefault="002676A7" w:rsidP="002676A7">
      <w:pPr>
        <w:pStyle w:val="Sraopastraipa"/>
        <w:numPr>
          <w:ilvl w:val="0"/>
          <w:numId w:val="14"/>
        </w:numPr>
        <w:tabs>
          <w:tab w:val="left" w:pos="270"/>
        </w:tabs>
        <w:spacing w:line="276" w:lineRule="auto"/>
        <w:ind w:left="0" w:firstLine="0"/>
        <w:jc w:val="both"/>
      </w:pPr>
      <w:r w:rsidRPr="009C4804">
        <w:t xml:space="preserve">Lietuvos klinikinėje praktikoje nėra taikoma IVIg generalizuotai miastenijai gydyti todėl, kad šis gydymas kol kas nėra kompensuojamas ir KNA neįtraukiama; </w:t>
      </w:r>
    </w:p>
    <w:p w14:paraId="77B8C627" w14:textId="77777777" w:rsidR="002676A7" w:rsidRPr="009C4804" w:rsidRDefault="002676A7" w:rsidP="002676A7">
      <w:pPr>
        <w:pStyle w:val="Sraopastraipa"/>
        <w:numPr>
          <w:ilvl w:val="0"/>
          <w:numId w:val="14"/>
        </w:numPr>
        <w:tabs>
          <w:tab w:val="left" w:pos="270"/>
        </w:tabs>
        <w:spacing w:line="276" w:lineRule="auto"/>
        <w:ind w:left="0" w:firstLine="0"/>
        <w:jc w:val="both"/>
      </w:pPr>
      <w:r w:rsidRPr="009C4804">
        <w:t xml:space="preserve">Kraujo plazmos keitimai Lietuvos klinikinėje praktikoje naudojami pasireiškus sunkiosios miastenijos simptomų paūmėjimui, vystantis krizei ir sudarytų 30% visų MG pacientų. Tai atitinka pradinius modelio nustatymus; </w:t>
      </w:r>
    </w:p>
    <w:p w14:paraId="0696ADCC" w14:textId="77777777" w:rsidR="002676A7" w:rsidRPr="009C4804" w:rsidRDefault="002676A7" w:rsidP="002676A7">
      <w:pPr>
        <w:pStyle w:val="Sraopastraipa"/>
        <w:numPr>
          <w:ilvl w:val="0"/>
          <w:numId w:val="14"/>
        </w:numPr>
        <w:tabs>
          <w:tab w:val="left" w:pos="270"/>
        </w:tabs>
        <w:spacing w:line="276" w:lineRule="auto"/>
        <w:ind w:left="0" w:firstLine="0"/>
        <w:jc w:val="both"/>
      </w:pPr>
      <w:r w:rsidRPr="009C4804">
        <w:t>Lietuvoje rituksimabo generalizuotai miastenijai nėra kompensuojamas, bet vis dažniau naudojams esant sunkiai generalizuotai miastenijai gydyti, nes lieka vienintelis prieinamas gydymas šiems pacientams. Tokių gali būti apie 6 proc.;</w:t>
      </w:r>
    </w:p>
    <w:p w14:paraId="5D9626AD" w14:textId="77777777" w:rsidR="002676A7" w:rsidRPr="0056319D" w:rsidRDefault="002676A7" w:rsidP="002676A7">
      <w:pPr>
        <w:pStyle w:val="Sraopastraipa"/>
        <w:numPr>
          <w:ilvl w:val="0"/>
          <w:numId w:val="14"/>
        </w:numPr>
        <w:tabs>
          <w:tab w:val="left" w:pos="270"/>
        </w:tabs>
        <w:spacing w:line="276" w:lineRule="auto"/>
        <w:ind w:left="0" w:firstLine="0"/>
        <w:jc w:val="both"/>
      </w:pPr>
      <w:r w:rsidRPr="009C4804">
        <w:t xml:space="preserve">Dėl </w:t>
      </w:r>
      <w:r w:rsidRPr="009C4804">
        <w:rPr>
          <w:bCs/>
        </w:rPr>
        <w:t>gliukokortikoidų, imunosupresantų ir anticholinesterazės inhibitorių proporcijų Lietuvos klinikinėje praktikoje remiamasi VLK 2023 m. duomenimis: AchE – 59 proc.; KKS – 27 proc. ir azatioprinas – 14 proc.</w:t>
      </w:r>
    </w:p>
    <w:p w14:paraId="6456A432" w14:textId="77777777" w:rsidR="002676A7" w:rsidRPr="00655556" w:rsidRDefault="002676A7" w:rsidP="002676A7">
      <w:pPr>
        <w:spacing w:line="276" w:lineRule="auto"/>
        <w:ind w:firstLine="360"/>
        <w:jc w:val="both"/>
        <w:rPr>
          <w:szCs w:val="20"/>
        </w:rPr>
      </w:pPr>
      <w:r w:rsidRPr="00913B28">
        <w:t xml:space="preserve">Pareiškėjas ekonominėje analizėje taiko viso gyvenimo laiko </w:t>
      </w:r>
      <w:r w:rsidRPr="008F71E0">
        <w:t>perspektyvą (53 m.), atsižvelgiant</w:t>
      </w:r>
      <w:r w:rsidRPr="00913B28">
        <w:t xml:space="preserve">, kad vidutinis pacientų amžius patenkant į modelį – 46,93 m. </w:t>
      </w:r>
      <w:r w:rsidRPr="00CF700D">
        <w:rPr>
          <w:color w:val="000000"/>
        </w:rPr>
        <w:t xml:space="preserve">Laikoma, kad laikotarpis yra pakankamas sveikatai sukuriamai naudai ir </w:t>
      </w:r>
      <w:r w:rsidRPr="00F64CCE">
        <w:rPr>
          <w:color w:val="000000"/>
        </w:rPr>
        <w:t xml:space="preserve">patiriamiems kaštams užfiksuoti </w:t>
      </w:r>
      <w:r>
        <w:rPr>
          <w:color w:val="000000"/>
        </w:rPr>
        <w:t>GM</w:t>
      </w:r>
      <w:r w:rsidRPr="00F64CCE">
        <w:rPr>
          <w:color w:val="000000"/>
        </w:rPr>
        <w:t xml:space="preserve"> pacientų vi</w:t>
      </w:r>
      <w:r>
        <w:rPr>
          <w:color w:val="000000"/>
        </w:rPr>
        <w:t xml:space="preserve">so gyvenimo laiko perspektyvoje. </w:t>
      </w:r>
      <w:r>
        <w:t xml:space="preserve">Taikomas </w:t>
      </w:r>
      <w:r w:rsidRPr="007F6773">
        <w:rPr>
          <w:i/>
          <w:lang w:eastAsia="lt-LT"/>
        </w:rPr>
        <w:t>de novo</w:t>
      </w:r>
      <w:r>
        <w:rPr>
          <w:lang w:eastAsia="lt-LT"/>
        </w:rPr>
        <w:t xml:space="preserve"> </w:t>
      </w:r>
      <w:r w:rsidRPr="007F6773">
        <w:rPr>
          <w:lang w:eastAsia="lt-LT"/>
        </w:rPr>
        <w:t xml:space="preserve">Markovo simuliacijos </w:t>
      </w:r>
      <w:r>
        <w:rPr>
          <w:lang w:eastAsia="lt-LT"/>
        </w:rPr>
        <w:t>farmakoekonominis</w:t>
      </w:r>
      <w:r w:rsidRPr="007F6773">
        <w:rPr>
          <w:lang w:eastAsia="lt-LT"/>
        </w:rPr>
        <w:t xml:space="preserve"> </w:t>
      </w:r>
      <w:r>
        <w:rPr>
          <w:lang w:eastAsia="lt-LT"/>
        </w:rPr>
        <w:t xml:space="preserve">kaštų naudingumo modelis. </w:t>
      </w:r>
      <w:r w:rsidRPr="00CF700D">
        <w:t>Analizė atlikta iš PSDF biudžeto perspektyvos, įtraukti tiesiogiai su sveikatos sistema susiję kaštai. Tai atitinka teisės aktuose nustatytus paraiškos rengimo taisyklių reikalavimus.</w:t>
      </w:r>
    </w:p>
    <w:p w14:paraId="6AE5FAD6" w14:textId="77777777" w:rsidR="002676A7" w:rsidRDefault="002676A7" w:rsidP="002676A7">
      <w:pPr>
        <w:tabs>
          <w:tab w:val="left" w:pos="360"/>
        </w:tabs>
        <w:spacing w:line="276" w:lineRule="auto"/>
        <w:jc w:val="both"/>
        <w:rPr>
          <w:color w:val="000000" w:themeColor="text1"/>
          <w:lang w:eastAsia="lt-LT"/>
        </w:rPr>
      </w:pPr>
      <w:r>
        <w:rPr>
          <w:sz w:val="23"/>
          <w:szCs w:val="23"/>
        </w:rPr>
        <w:tab/>
        <w:t>V</w:t>
      </w:r>
      <w:r w:rsidRPr="00B408C6">
        <w:rPr>
          <w:color w:val="000000"/>
          <w:lang w:eastAsia="lt-LT"/>
        </w:rPr>
        <w:t xml:space="preserve">ertinant efektyvumo skirtumus tarp siūlomo ir palyginamojo gydymo ilgajame laikotarpyje </w:t>
      </w:r>
      <w:r>
        <w:rPr>
          <w:color w:val="000000"/>
          <w:lang w:eastAsia="lt-LT"/>
        </w:rPr>
        <w:t xml:space="preserve">taikomos prielaidos yra laikomos </w:t>
      </w:r>
      <w:r>
        <w:rPr>
          <w:color w:val="000000" w:themeColor="text1"/>
          <w:lang w:eastAsia="lt-LT"/>
        </w:rPr>
        <w:t xml:space="preserve">pagrįstomis, t.y. </w:t>
      </w:r>
      <w:r>
        <w:rPr>
          <w:color w:val="000000"/>
          <w:lang w:eastAsia="lt-LT"/>
        </w:rPr>
        <w:t>Pareiškėjas pateikė išsamius atsakymus. Žemiau pateikiamos p</w:t>
      </w:r>
      <w:r>
        <w:rPr>
          <w:color w:val="000000" w:themeColor="text1"/>
          <w:lang w:eastAsia="lt-LT"/>
        </w:rPr>
        <w:t>agrindinės (daugiausiai įtakos galutiniam ekonominės analizės rezultatui turėjusios) prielaidos, kurios yra taikomos Tarnybos:</w:t>
      </w:r>
    </w:p>
    <w:p w14:paraId="13D4DA6E" w14:textId="77777777" w:rsidR="002676A7" w:rsidRPr="00BD5E31" w:rsidRDefault="002676A7" w:rsidP="002676A7">
      <w:pPr>
        <w:pStyle w:val="Sraopastraipa"/>
        <w:numPr>
          <w:ilvl w:val="0"/>
          <w:numId w:val="14"/>
        </w:numPr>
        <w:tabs>
          <w:tab w:val="left" w:pos="270"/>
        </w:tabs>
        <w:spacing w:line="276" w:lineRule="auto"/>
        <w:ind w:left="0" w:firstLine="0"/>
        <w:jc w:val="both"/>
      </w:pPr>
      <w:r w:rsidRPr="00BD5E31">
        <w:t>Taikomas Pareiškėjo atnaujintas palyginamojo - standartinio gydymo krepšelis, kurio VP pasiskirstymas pritaikytas pagal turimus VLK ir klinikinės praktikos ekspertų duomenis.</w:t>
      </w:r>
    </w:p>
    <w:p w14:paraId="67CC7D02" w14:textId="77777777" w:rsidR="002676A7" w:rsidRPr="00BD5E31" w:rsidRDefault="002676A7" w:rsidP="002676A7">
      <w:pPr>
        <w:pStyle w:val="Sraopastraipa"/>
        <w:numPr>
          <w:ilvl w:val="0"/>
          <w:numId w:val="14"/>
        </w:numPr>
        <w:tabs>
          <w:tab w:val="left" w:pos="270"/>
        </w:tabs>
        <w:spacing w:line="276" w:lineRule="auto"/>
        <w:ind w:left="0" w:firstLine="0"/>
        <w:jc w:val="both"/>
      </w:pPr>
      <w:r w:rsidRPr="00BD5E31">
        <w:t>Efgartigimodo ir palyginamojo gydymo grupėse taikomi skirtingi (priklausomi nuo taikomo gydymo) gyvenimo kokybės įverčiai.</w:t>
      </w:r>
    </w:p>
    <w:p w14:paraId="2AE4A7C5" w14:textId="77777777" w:rsidR="002676A7" w:rsidRPr="00BD5E31" w:rsidRDefault="002676A7" w:rsidP="002676A7">
      <w:pPr>
        <w:pStyle w:val="Sraopastraipa"/>
        <w:numPr>
          <w:ilvl w:val="0"/>
          <w:numId w:val="14"/>
        </w:numPr>
        <w:tabs>
          <w:tab w:val="left" w:pos="270"/>
        </w:tabs>
        <w:spacing w:line="276" w:lineRule="auto"/>
        <w:ind w:left="0" w:firstLine="0"/>
        <w:jc w:val="both"/>
      </w:pPr>
      <w:r w:rsidRPr="00BD5E31">
        <w:t xml:space="preserve">Taikomas 10 proc. efgartigimodo dozės ribojimas buteliukų dalijimo (angl. vial sharing) prielaidoje, taikomas 100 proc. dozės intensyvumo rodiklis (angl. relative dose intensity). </w:t>
      </w:r>
    </w:p>
    <w:p w14:paraId="2104F594" w14:textId="77777777" w:rsidR="002676A7" w:rsidRPr="00BD5E31" w:rsidRDefault="002676A7" w:rsidP="002676A7">
      <w:pPr>
        <w:pStyle w:val="Sraopastraipa"/>
        <w:numPr>
          <w:ilvl w:val="0"/>
          <w:numId w:val="14"/>
        </w:numPr>
        <w:tabs>
          <w:tab w:val="left" w:pos="270"/>
        </w:tabs>
        <w:spacing w:line="276" w:lineRule="auto"/>
        <w:ind w:left="0" w:firstLine="0"/>
        <w:jc w:val="both"/>
      </w:pPr>
      <w:r w:rsidRPr="00BD5E31">
        <w:t>Tarnyba įprastinėje atvejo analizėje taiko Pareiškėjo pradiniame modelyje pateiktus ADAPT klinikinio tyrimo pradžioje stebėtus pacientų charakteristikų duomenis: vidutinis pacientų amžius - 46,93 m., vidutinis pacientų svoris – 80,6 kg (atižvelgiant, kad taikomas 10 proc. efgartigimodo dozės ribojimas).</w:t>
      </w:r>
    </w:p>
    <w:p w14:paraId="564DED68" w14:textId="77777777" w:rsidR="002676A7" w:rsidRPr="00BD5E31" w:rsidRDefault="002676A7" w:rsidP="002676A7">
      <w:pPr>
        <w:pStyle w:val="Sraopastraipa"/>
        <w:numPr>
          <w:ilvl w:val="0"/>
          <w:numId w:val="14"/>
        </w:numPr>
        <w:tabs>
          <w:tab w:val="left" w:pos="270"/>
        </w:tabs>
        <w:spacing w:line="276" w:lineRule="auto"/>
        <w:ind w:left="0" w:firstLine="0"/>
        <w:jc w:val="both"/>
      </w:pPr>
      <w:r w:rsidRPr="00BD5E31">
        <w:t xml:space="preserve">KNA įtraukiamos tik tiesiogiai su gydymu susijusios išlaidos (PSDF biudžeto) ir sveikatai sukuriama nauda susijusi su vertinama (indikaciją atitinkančia) populiacija, todėl gyvenimo kokybės praradimų įverčiai dėl artimųjų patiriamos slaugos poreikio KNA yra neįtraukiami. </w:t>
      </w:r>
    </w:p>
    <w:p w14:paraId="069982EE" w14:textId="0D622213" w:rsidR="002676A7" w:rsidRPr="0056319D" w:rsidRDefault="002676A7" w:rsidP="002676A7">
      <w:pPr>
        <w:pStyle w:val="Sraopastraipa"/>
        <w:numPr>
          <w:ilvl w:val="0"/>
          <w:numId w:val="14"/>
        </w:numPr>
        <w:tabs>
          <w:tab w:val="left" w:pos="270"/>
        </w:tabs>
        <w:spacing w:line="276" w:lineRule="auto"/>
        <w:ind w:left="0" w:firstLine="0"/>
        <w:jc w:val="both"/>
      </w:pPr>
      <w:r w:rsidRPr="00BD5E31">
        <w:rPr>
          <w:bCs/>
        </w:rPr>
        <w:lastRenderedPageBreak/>
        <w:t xml:space="preserve">KNA taikoma Pareiškėjo teikiama Vyvgart kaina - </w:t>
      </w:r>
      <w:r w:rsidR="00867420">
        <w:rPr>
          <w:bCs/>
        </w:rPr>
        <w:t>***</w:t>
      </w:r>
      <w:r w:rsidRPr="00BD5E31">
        <w:rPr>
          <w:bCs/>
        </w:rPr>
        <w:t xml:space="preserve"> Eur.</w:t>
      </w:r>
      <w:r>
        <w:rPr>
          <w:bCs/>
        </w:rPr>
        <w:t xml:space="preserve">, </w:t>
      </w:r>
      <w:r>
        <w:t>2024 m. II pusm. kainyno ir ASPP įkainiai.</w:t>
      </w:r>
    </w:p>
    <w:p w14:paraId="1A900598" w14:textId="4826E5DF" w:rsidR="00C62B36" w:rsidRPr="00164D64" w:rsidRDefault="00C62B36"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2676A7">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2717EE7C" w:rsidR="00BA5DBC" w:rsidRPr="000203E1" w:rsidRDefault="00867420" w:rsidP="00BA5DBC">
            <w:pPr>
              <w:tabs>
                <w:tab w:val="left" w:pos="567"/>
              </w:tabs>
              <w:jc w:val="both"/>
              <w:rPr>
                <w:i/>
                <w:iCs/>
                <w:lang w:eastAsia="lt-LT"/>
              </w:rPr>
            </w:pPr>
            <w:r>
              <w:rPr>
                <w:sz w:val="22"/>
                <w:szCs w:val="22"/>
                <w:lang w:eastAsia="lt-LT"/>
              </w:rPr>
              <w:t>***</w:t>
            </w:r>
          </w:p>
        </w:tc>
      </w:tr>
      <w:tr w:rsidR="000203E1" w:rsidRPr="000203E1" w14:paraId="49F818A3" w14:textId="77777777" w:rsidTr="002676A7">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4954817B" w14:textId="4A6B360F" w:rsidR="00BA5DBC" w:rsidRPr="000203E1" w:rsidRDefault="00867420" w:rsidP="00BA5DBC">
            <w:pPr>
              <w:tabs>
                <w:tab w:val="left" w:pos="567"/>
              </w:tabs>
              <w:jc w:val="both"/>
              <w:rPr>
                <w:i/>
                <w:iCs/>
                <w:lang w:eastAsia="lt-LT"/>
              </w:rPr>
            </w:pPr>
            <w:r>
              <w:rPr>
                <w:color w:val="000000"/>
                <w:lang w:eastAsia="lt-LT"/>
              </w:rPr>
              <w:t>***</w:t>
            </w:r>
          </w:p>
        </w:tc>
      </w:tr>
      <w:tr w:rsidR="000203E1" w:rsidRPr="000203E1" w14:paraId="20ADA742" w14:textId="77777777" w:rsidTr="002676A7">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9" w:type="dxa"/>
            <w:tcBorders>
              <w:right w:val="single" w:sz="4" w:space="0" w:color="auto"/>
            </w:tcBorders>
          </w:tcPr>
          <w:p w14:paraId="02E4DAE1" w14:textId="462299A2" w:rsidR="00BA5DBC" w:rsidRPr="000203E1" w:rsidRDefault="00867420" w:rsidP="00BA5DBC">
            <w:pPr>
              <w:tabs>
                <w:tab w:val="left" w:pos="567"/>
              </w:tabs>
              <w:jc w:val="both"/>
              <w:rPr>
                <w:i/>
                <w:iCs/>
                <w:lang w:eastAsia="lt-LT"/>
              </w:rPr>
            </w:pPr>
            <w:r>
              <w:rPr>
                <w:lang w:eastAsia="lt-LT"/>
              </w:rPr>
              <w:t>***</w:t>
            </w:r>
          </w:p>
        </w:tc>
      </w:tr>
      <w:tr w:rsidR="002676A7" w:rsidRPr="000203E1" w14:paraId="1FADA2B3" w14:textId="77777777" w:rsidTr="002676A7">
        <w:trPr>
          <w:trHeight w:val="267"/>
          <w:jc w:val="center"/>
        </w:trPr>
        <w:tc>
          <w:tcPr>
            <w:tcW w:w="6200" w:type="dxa"/>
            <w:tcBorders>
              <w:left w:val="single" w:sz="4" w:space="0" w:color="auto"/>
            </w:tcBorders>
          </w:tcPr>
          <w:p w14:paraId="13E089E8" w14:textId="0BCEB339" w:rsidR="002676A7" w:rsidRPr="000203E1" w:rsidRDefault="002676A7" w:rsidP="002676A7">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2817448D" w14:textId="085BE2A4" w:rsidR="002676A7" w:rsidRPr="000203E1" w:rsidRDefault="00867420" w:rsidP="002676A7">
            <w:pPr>
              <w:tabs>
                <w:tab w:val="left" w:pos="567"/>
              </w:tabs>
              <w:jc w:val="both"/>
              <w:rPr>
                <w:i/>
                <w:iCs/>
                <w:lang w:eastAsia="lt-LT"/>
              </w:rPr>
            </w:pPr>
            <w:r>
              <w:rPr>
                <w:color w:val="000000"/>
              </w:rPr>
              <w:t>***</w:t>
            </w:r>
          </w:p>
        </w:tc>
      </w:tr>
      <w:tr w:rsidR="002676A7" w:rsidRPr="000203E1" w14:paraId="250DE960" w14:textId="77777777" w:rsidTr="002676A7">
        <w:trPr>
          <w:trHeight w:val="267"/>
          <w:jc w:val="center"/>
        </w:trPr>
        <w:tc>
          <w:tcPr>
            <w:tcW w:w="6200" w:type="dxa"/>
            <w:tcBorders>
              <w:left w:val="single" w:sz="4" w:space="0" w:color="auto"/>
            </w:tcBorders>
          </w:tcPr>
          <w:p w14:paraId="207EFB23" w14:textId="77777777" w:rsidR="002676A7" w:rsidRPr="000203E1" w:rsidRDefault="002676A7" w:rsidP="002676A7">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275320D" w14:textId="0AB56527" w:rsidR="002676A7" w:rsidRPr="000203E1" w:rsidRDefault="00867420" w:rsidP="002676A7">
            <w:pPr>
              <w:tabs>
                <w:tab w:val="left" w:pos="567"/>
              </w:tabs>
              <w:jc w:val="both"/>
              <w:rPr>
                <w:i/>
                <w:iCs/>
                <w:lang w:eastAsia="lt-LT"/>
              </w:rPr>
            </w:pPr>
            <w:r>
              <w:rPr>
                <w:color w:val="000000"/>
              </w:rPr>
              <w:t>***</w:t>
            </w:r>
          </w:p>
        </w:tc>
      </w:tr>
      <w:tr w:rsidR="002676A7" w:rsidRPr="000203E1" w14:paraId="2C4C68BA" w14:textId="77777777" w:rsidTr="002676A7">
        <w:trPr>
          <w:trHeight w:val="267"/>
          <w:jc w:val="center"/>
        </w:trPr>
        <w:tc>
          <w:tcPr>
            <w:tcW w:w="6200" w:type="dxa"/>
            <w:tcBorders>
              <w:left w:val="single" w:sz="4" w:space="0" w:color="auto"/>
              <w:bottom w:val="single" w:sz="4" w:space="0" w:color="auto"/>
              <w:right w:val="single" w:sz="4" w:space="0" w:color="auto"/>
            </w:tcBorders>
          </w:tcPr>
          <w:p w14:paraId="21BEDABF" w14:textId="77777777" w:rsidR="002676A7" w:rsidRPr="000203E1" w:rsidRDefault="002676A7" w:rsidP="002676A7">
            <w:pPr>
              <w:tabs>
                <w:tab w:val="left" w:pos="567"/>
              </w:tabs>
              <w:jc w:val="right"/>
              <w:rPr>
                <w:iCs/>
                <w:lang w:eastAsia="lt-LT"/>
              </w:rPr>
            </w:pPr>
            <w:r w:rsidRPr="000203E1">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068AC19C" w:rsidR="002676A7" w:rsidRPr="000203E1" w:rsidRDefault="00867420" w:rsidP="002676A7">
            <w:pPr>
              <w:tabs>
                <w:tab w:val="left" w:pos="567"/>
              </w:tabs>
              <w:jc w:val="both"/>
              <w:rPr>
                <w:i/>
                <w:iCs/>
                <w:lang w:eastAsia="lt-LT"/>
              </w:rPr>
            </w:pPr>
            <w:r>
              <w:t>***</w:t>
            </w:r>
            <w:r w:rsidR="002676A7">
              <w:t xml:space="preserve"> Eur.</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3301F48A" w:rsidR="0035172D" w:rsidRDefault="0035172D" w:rsidP="00A93AA6">
      <w:pPr>
        <w:tabs>
          <w:tab w:val="left" w:pos="426"/>
        </w:tabs>
        <w:rPr>
          <w:b/>
          <w:bCs/>
          <w:caps/>
        </w:rPr>
      </w:pPr>
    </w:p>
    <w:p w14:paraId="5BAF1280" w14:textId="369EA131" w:rsidR="002676A7" w:rsidRDefault="002676A7" w:rsidP="002676A7">
      <w:pPr>
        <w:spacing w:line="276" w:lineRule="auto"/>
        <w:ind w:firstLine="360"/>
        <w:jc w:val="both"/>
        <w:rPr>
          <w:rFonts w:eastAsia="Arial"/>
        </w:rPr>
      </w:pPr>
      <w:r>
        <w:rPr>
          <w:rFonts w:eastAsia="Arial"/>
        </w:rPr>
        <w:t>Galutiniais ekonominės analizės rezultatais,</w:t>
      </w:r>
      <w:r w:rsidRPr="00B21A20">
        <w:rPr>
          <w:rFonts w:eastAsia="Arial"/>
        </w:rPr>
        <w:t xml:space="preserve"> </w:t>
      </w:r>
      <w:r>
        <w:rPr>
          <w:rFonts w:eastAsia="Arial"/>
        </w:rPr>
        <w:t xml:space="preserve">efgartigimodą alfa lyginant su įprastiniu gydymu papildomai sveikatai sukuriama nauda yra – </w:t>
      </w:r>
      <w:r w:rsidR="00867420">
        <w:rPr>
          <w:rFonts w:eastAsia="Arial"/>
        </w:rPr>
        <w:t>***</w:t>
      </w:r>
      <w:r>
        <w:rPr>
          <w:rFonts w:eastAsia="Arial"/>
        </w:rPr>
        <w:t xml:space="preserve"> QALYS, </w:t>
      </w:r>
      <w:r>
        <w:t>o efgartigimodo alfa gydymo</w:t>
      </w:r>
      <w:r w:rsidRPr="00B21A20">
        <w:t xml:space="preserve"> kaštai yra </w:t>
      </w:r>
      <w:r w:rsidRPr="00B21A20">
        <w:rPr>
          <w:lang w:eastAsia="lt-LT"/>
        </w:rPr>
        <w:t xml:space="preserve"> </w:t>
      </w:r>
      <w:r w:rsidR="00867420">
        <w:rPr>
          <w:sz w:val="22"/>
          <w:szCs w:val="22"/>
          <w:lang w:eastAsia="lt-LT"/>
        </w:rPr>
        <w:t>***</w:t>
      </w:r>
      <w:r>
        <w:rPr>
          <w:lang w:eastAsia="lt-LT"/>
        </w:rPr>
        <w:t xml:space="preserve"> </w:t>
      </w:r>
      <w:r w:rsidRPr="00B21A20">
        <w:rPr>
          <w:lang w:eastAsia="lt-LT"/>
        </w:rPr>
        <w:t xml:space="preserve">Eur. </w:t>
      </w:r>
      <w:r w:rsidRPr="00B21A20">
        <w:t>didesni nei standartinio šiuo metu Lietuvoje taikomo gydymo.</w:t>
      </w:r>
      <w:r>
        <w:rPr>
          <w:lang w:eastAsia="lt-LT"/>
        </w:rPr>
        <w:t xml:space="preserve"> Apskaičiuotas ICER – </w:t>
      </w:r>
      <w:r w:rsidR="00867420">
        <w:rPr>
          <w:color w:val="000000"/>
        </w:rPr>
        <w:t>***</w:t>
      </w:r>
      <w:r>
        <w:rPr>
          <w:color w:val="000000"/>
        </w:rPr>
        <w:t xml:space="preserve"> </w:t>
      </w:r>
      <w:r w:rsidRPr="00B21A20">
        <w:rPr>
          <w:color w:val="000000"/>
        </w:rPr>
        <w:t>Eur./QALY</w:t>
      </w:r>
      <w:r>
        <w:rPr>
          <w:color w:val="000000"/>
          <w:lang w:eastAsia="lt-LT"/>
        </w:rPr>
        <w:t xml:space="preserve"> </w:t>
      </w:r>
      <w:r>
        <w:rPr>
          <w:lang w:eastAsia="lt-LT"/>
        </w:rPr>
        <w:t>viršija lengvai ligos naštai taikomą referencinę kaštų naudingumo vertę (&gt;</w:t>
      </w:r>
      <w:r w:rsidR="00867420">
        <w:t>***</w:t>
      </w:r>
      <w:r>
        <w:t xml:space="preserve"> Eur.)</w:t>
      </w:r>
      <w:r>
        <w:rPr>
          <w:lang w:eastAsia="lt-LT"/>
        </w:rPr>
        <w:t>.</w:t>
      </w:r>
    </w:p>
    <w:p w14:paraId="6D0F1AD0" w14:textId="77777777" w:rsidR="002676A7" w:rsidRPr="000203E1" w:rsidRDefault="002676A7"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79BCFF40" w14:textId="1992DF4A"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3D95D51F"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389A346C" w14:textId="6D59150C"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7AA56ADF"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08D5B3B6" w14:textId="0D89518B" w:rsidR="0061611B" w:rsidRPr="000203E1"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60330FB3"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46ED5D75"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264EA2">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68A24FB3"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32.3. atitinka referencinę naudingumo vertę, </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9A1B95F"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w:t>
            </w:r>
            <w:r w:rsidR="00B00959" w:rsidRPr="000203E1">
              <w:t>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2AB8D6E0"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2676A7">
                  <w:rPr>
                    <w:rStyle w:val="Style2"/>
                    <w:rFonts w:ascii="MS Gothic" w:eastAsia="MS Gothic" w:hAnsi="MS Gothic" w:hint="eastAsia"/>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B3DF846"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w:t>
            </w:r>
            <w:r w:rsidR="00B00959" w:rsidRPr="000203E1">
              <w:t>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23CF000D"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43D7CF9" w14:textId="0280F75D" w:rsidR="002676A7" w:rsidRPr="0073329D" w:rsidRDefault="002676A7" w:rsidP="002676A7">
      <w:pPr>
        <w:rPr>
          <w:b/>
        </w:rPr>
      </w:pPr>
    </w:p>
    <w:p w14:paraId="75F047AD" w14:textId="77777777" w:rsidR="002676A7" w:rsidRPr="002A024D" w:rsidRDefault="002676A7" w:rsidP="002676A7">
      <w:pPr>
        <w:spacing w:line="276" w:lineRule="auto"/>
        <w:ind w:firstLine="360"/>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1DFAB55B" w14:textId="77777777" w:rsidR="002676A7" w:rsidRPr="002A024D" w:rsidRDefault="002676A7" w:rsidP="002676A7">
      <w:pPr>
        <w:spacing w:line="276" w:lineRule="auto"/>
        <w:jc w:val="both"/>
      </w:pPr>
      <w:r w:rsidRPr="002A024D">
        <w:t xml:space="preserve">34.4. rekomenduojama </w:t>
      </w:r>
      <w:r w:rsidRPr="002A024D">
        <w:rPr>
          <w:i/>
          <w:iCs/>
        </w:rPr>
        <w:t xml:space="preserve">nekompensuoti </w:t>
      </w:r>
      <w:r w:rsidRPr="002A024D">
        <w:t>vaistinio preparato pagal paraiškoje nurodytą indikaciją su skyrimo sąlygomis, taikant PGS, dėl vertinimo išvadų, nurodytų 33.1 papunktyje, neatitikties 34.1 papunktyje išdėstytoms sąlygoms.</w:t>
      </w:r>
    </w:p>
    <w:sectPr w:rsidR="002676A7" w:rsidRPr="002A024D"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F205" w14:textId="77777777" w:rsidR="00D94E7D" w:rsidRDefault="00D94E7D">
      <w:r>
        <w:separator/>
      </w:r>
    </w:p>
  </w:endnote>
  <w:endnote w:type="continuationSeparator" w:id="0">
    <w:p w14:paraId="545A1FB8" w14:textId="77777777" w:rsidR="00D94E7D" w:rsidRDefault="00D9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r(--font-claude-messag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0F5B" w14:textId="77777777" w:rsidR="00D94E7D" w:rsidRDefault="00D94E7D">
      <w:r>
        <w:separator/>
      </w:r>
    </w:p>
  </w:footnote>
  <w:footnote w:type="continuationSeparator" w:id="0">
    <w:p w14:paraId="40038C22" w14:textId="77777777" w:rsidR="00D94E7D" w:rsidRDefault="00D9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685E3118"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3691">
      <w:rPr>
        <w:rStyle w:val="Puslapionumeris"/>
        <w:noProof/>
      </w:rPr>
      <w:t>3</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817640"/>
    <w:multiLevelType w:val="hybridMultilevel"/>
    <w:tmpl w:val="4FE215F4"/>
    <w:lvl w:ilvl="0" w:tplc="B8CACF7C">
      <w:start w:val="10"/>
      <w:numFmt w:val="bullet"/>
      <w:lvlText w:val="-"/>
      <w:lvlJc w:val="left"/>
      <w:pPr>
        <w:ind w:left="720" w:hanging="360"/>
      </w:pPr>
      <w:rPr>
        <w:rFonts w:ascii="var(--font-claude-message)" w:eastAsia="Times New Roman" w:hAnsi="var(--font-claude-messag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A2899"/>
    <w:multiLevelType w:val="hybridMultilevel"/>
    <w:tmpl w:val="6248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4063723">
    <w:abstractNumId w:val="9"/>
  </w:num>
  <w:num w:numId="2" w16cid:durableId="1713844394">
    <w:abstractNumId w:val="1"/>
  </w:num>
  <w:num w:numId="3" w16cid:durableId="1675304370">
    <w:abstractNumId w:val="11"/>
  </w:num>
  <w:num w:numId="4" w16cid:durableId="1517574948">
    <w:abstractNumId w:val="10"/>
  </w:num>
  <w:num w:numId="5" w16cid:durableId="305162822">
    <w:abstractNumId w:val="8"/>
  </w:num>
  <w:num w:numId="6" w16cid:durableId="2143301837">
    <w:abstractNumId w:val="7"/>
  </w:num>
  <w:num w:numId="7" w16cid:durableId="451749636">
    <w:abstractNumId w:val="3"/>
  </w:num>
  <w:num w:numId="8" w16cid:durableId="1254436948">
    <w:abstractNumId w:val="14"/>
  </w:num>
  <w:num w:numId="9" w16cid:durableId="1309238270">
    <w:abstractNumId w:val="0"/>
  </w:num>
  <w:num w:numId="10" w16cid:durableId="504369200">
    <w:abstractNumId w:val="12"/>
  </w:num>
  <w:num w:numId="11" w16cid:durableId="1566718939">
    <w:abstractNumId w:val="13"/>
  </w:num>
  <w:num w:numId="12" w16cid:durableId="1313947920">
    <w:abstractNumId w:val="2"/>
  </w:num>
  <w:num w:numId="13" w16cid:durableId="1643118841">
    <w:abstractNumId w:val="6"/>
  </w:num>
  <w:num w:numId="14" w16cid:durableId="1422263376">
    <w:abstractNumId w:val="5"/>
  </w:num>
  <w:num w:numId="15" w16cid:durableId="2018270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14F6"/>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3C5B"/>
    <w:rsid w:val="001D5B91"/>
    <w:rsid w:val="001D746F"/>
    <w:rsid w:val="001E4BBB"/>
    <w:rsid w:val="001E6304"/>
    <w:rsid w:val="0020381E"/>
    <w:rsid w:val="00213471"/>
    <w:rsid w:val="00215906"/>
    <w:rsid w:val="00241CD8"/>
    <w:rsid w:val="00244B09"/>
    <w:rsid w:val="002519CB"/>
    <w:rsid w:val="0025697F"/>
    <w:rsid w:val="00260258"/>
    <w:rsid w:val="00264EA2"/>
    <w:rsid w:val="0026588E"/>
    <w:rsid w:val="002676A7"/>
    <w:rsid w:val="00272428"/>
    <w:rsid w:val="00272948"/>
    <w:rsid w:val="00283E59"/>
    <w:rsid w:val="00292392"/>
    <w:rsid w:val="002946C7"/>
    <w:rsid w:val="002B3CC1"/>
    <w:rsid w:val="002C09E0"/>
    <w:rsid w:val="002C1BB1"/>
    <w:rsid w:val="002C2786"/>
    <w:rsid w:val="002C3A10"/>
    <w:rsid w:val="002C4A90"/>
    <w:rsid w:val="002C4ED5"/>
    <w:rsid w:val="002D02EF"/>
    <w:rsid w:val="002D2886"/>
    <w:rsid w:val="002E0702"/>
    <w:rsid w:val="002E57AD"/>
    <w:rsid w:val="002E6F80"/>
    <w:rsid w:val="002F0E4F"/>
    <w:rsid w:val="002F1053"/>
    <w:rsid w:val="00314816"/>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24A1"/>
    <w:rsid w:val="004677DB"/>
    <w:rsid w:val="00476256"/>
    <w:rsid w:val="0048630F"/>
    <w:rsid w:val="004947A1"/>
    <w:rsid w:val="0049482A"/>
    <w:rsid w:val="004979D3"/>
    <w:rsid w:val="004A00E7"/>
    <w:rsid w:val="004A3A61"/>
    <w:rsid w:val="004B59BA"/>
    <w:rsid w:val="004B5A03"/>
    <w:rsid w:val="004C263A"/>
    <w:rsid w:val="004D48A6"/>
    <w:rsid w:val="004D7B8F"/>
    <w:rsid w:val="004E241F"/>
    <w:rsid w:val="004E42FB"/>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49D0"/>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E4969"/>
    <w:rsid w:val="006F1251"/>
    <w:rsid w:val="006F1C23"/>
    <w:rsid w:val="006F69CF"/>
    <w:rsid w:val="00702C18"/>
    <w:rsid w:val="00703166"/>
    <w:rsid w:val="007127F3"/>
    <w:rsid w:val="007301CF"/>
    <w:rsid w:val="007316FB"/>
    <w:rsid w:val="00737E2D"/>
    <w:rsid w:val="007424D5"/>
    <w:rsid w:val="00744F6E"/>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67420"/>
    <w:rsid w:val="00880A44"/>
    <w:rsid w:val="0088345E"/>
    <w:rsid w:val="0088656F"/>
    <w:rsid w:val="00891EF6"/>
    <w:rsid w:val="008A0303"/>
    <w:rsid w:val="008A0EF9"/>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34BD6"/>
    <w:rsid w:val="00A54D87"/>
    <w:rsid w:val="00A5553C"/>
    <w:rsid w:val="00A701C9"/>
    <w:rsid w:val="00A81785"/>
    <w:rsid w:val="00A84803"/>
    <w:rsid w:val="00A84C51"/>
    <w:rsid w:val="00A86F2B"/>
    <w:rsid w:val="00A91366"/>
    <w:rsid w:val="00A92F91"/>
    <w:rsid w:val="00A93691"/>
    <w:rsid w:val="00A93AA6"/>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35E8"/>
    <w:rsid w:val="00B93B30"/>
    <w:rsid w:val="00B94CB5"/>
    <w:rsid w:val="00BA0DD9"/>
    <w:rsid w:val="00BA38F5"/>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7012C"/>
    <w:rsid w:val="00C712EA"/>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521E"/>
    <w:rsid w:val="00D9291C"/>
    <w:rsid w:val="00D93A97"/>
    <w:rsid w:val="00D94E7D"/>
    <w:rsid w:val="00DB1F64"/>
    <w:rsid w:val="00DB6A40"/>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D5612"/>
    <w:rsid w:val="00EE0EAC"/>
    <w:rsid w:val="00EE3322"/>
    <w:rsid w:val="00EE33CB"/>
    <w:rsid w:val="00EF1A92"/>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264EA2"/>
    <w:rPr>
      <w:sz w:val="24"/>
      <w:szCs w:val="24"/>
      <w:lang w:eastAsia="en-US"/>
    </w:rPr>
  </w:style>
  <w:style w:type="paragraph" w:customStyle="1" w:styleId="Protokolas">
    <w:name w:val="Protokolas"/>
    <w:basedOn w:val="prastasis"/>
    <w:qFormat/>
    <w:rsid w:val="00264EA2"/>
    <w:pPr>
      <w:tabs>
        <w:tab w:val="left" w:pos="426"/>
      </w:tabs>
      <w:ind w:firstLine="425"/>
      <w:jc w:val="both"/>
    </w:pPr>
    <w:rPr>
      <w:rFonts w:eastAsia="Arial"/>
      <w:bCs/>
    </w:rPr>
  </w:style>
  <w:style w:type="paragraph" w:customStyle="1" w:styleId="0TEXT">
    <w:name w:val="0: TEXT"/>
    <w:basedOn w:val="prastasis"/>
    <w:link w:val="0TEXTChar"/>
    <w:qFormat/>
    <w:rsid w:val="00264EA2"/>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264EA2"/>
    <w:rPr>
      <w:rFonts w:eastAsiaTheme="minorHAnsi"/>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F010C7AB2BE4CAF9048EB3499E153"/>
        <w:category>
          <w:name w:val="General"/>
          <w:gallery w:val="placeholder"/>
        </w:category>
        <w:types>
          <w:type w:val="bbPlcHdr"/>
        </w:types>
        <w:behaviors>
          <w:behavior w:val="content"/>
        </w:behaviors>
        <w:guid w:val="{8C4F3811-8B85-5E47-AB9D-E0B94E510003}"/>
      </w:docPartPr>
      <w:docPartBody>
        <w:p w:rsidR="00B62095" w:rsidRDefault="005B137C" w:rsidP="005B137C">
          <w:pPr>
            <w:pStyle w:val="5BAF010C7AB2BE4CAF9048EB3499E153"/>
          </w:pPr>
          <w:r>
            <w:rPr>
              <w:rStyle w:val="Vietosrezervavimoenklotekstas"/>
            </w:rPr>
            <w:t>Click here to enter a date.</w:t>
          </w:r>
        </w:p>
      </w:docPartBody>
    </w:docPart>
    <w:docPart>
      <w:docPartPr>
        <w:name w:val="FE1DEB706E5BDC40A932EF783CC84474"/>
        <w:category>
          <w:name w:val="General"/>
          <w:gallery w:val="placeholder"/>
        </w:category>
        <w:types>
          <w:type w:val="bbPlcHdr"/>
        </w:types>
        <w:behaviors>
          <w:behavior w:val="content"/>
        </w:behaviors>
        <w:guid w:val="{53125DDB-6B10-A843-AB62-BBA0884B89EF}"/>
      </w:docPartPr>
      <w:docPartBody>
        <w:p w:rsidR="00B62095" w:rsidRDefault="005B137C" w:rsidP="005B137C">
          <w:pPr>
            <w:pStyle w:val="FE1DEB706E5BDC40A932EF783CC84474"/>
          </w:pPr>
          <w:r>
            <w:rPr>
              <w:rStyle w:val="Vietosrezervavimoenklotekstas"/>
            </w:rPr>
            <w:t>Click here to enter a date.</w:t>
          </w:r>
        </w:p>
      </w:docPartBody>
    </w:docPart>
    <w:docPart>
      <w:docPartPr>
        <w:name w:val="6680119C14764588A72E3782A5944DE5"/>
        <w:category>
          <w:name w:val="General"/>
          <w:gallery w:val="placeholder"/>
        </w:category>
        <w:types>
          <w:type w:val="bbPlcHdr"/>
        </w:types>
        <w:behaviors>
          <w:behavior w:val="content"/>
        </w:behaviors>
        <w:guid w:val="{AF6FE240-5875-4474-8BF8-09A3D3188590}"/>
      </w:docPartPr>
      <w:docPartBody>
        <w:p w:rsidR="00DE067A" w:rsidRDefault="00B62095" w:rsidP="00B62095">
          <w:pPr>
            <w:pStyle w:val="6680119C14764588A72E3782A5944DE5"/>
          </w:pPr>
          <w:r>
            <w:rPr>
              <w:rStyle w:val="Vietosrezervavimoenklotekstas"/>
            </w:rPr>
            <w:t>Click here to enter a date.</w:t>
          </w:r>
        </w:p>
      </w:docPartBody>
    </w:docPart>
    <w:docPart>
      <w:docPartPr>
        <w:name w:val="CACE376CBFFD4A0D80A9BE2B5C662937"/>
        <w:category>
          <w:name w:val="General"/>
          <w:gallery w:val="placeholder"/>
        </w:category>
        <w:types>
          <w:type w:val="bbPlcHdr"/>
        </w:types>
        <w:behaviors>
          <w:behavior w:val="content"/>
        </w:behaviors>
        <w:guid w:val="{8FF10C60-09BA-45A5-A597-065A2A64947A}"/>
      </w:docPartPr>
      <w:docPartBody>
        <w:p w:rsidR="00DE067A" w:rsidRDefault="00B62095" w:rsidP="00B62095">
          <w:pPr>
            <w:pStyle w:val="CACE376CBFFD4A0D80A9BE2B5C662937"/>
          </w:pPr>
          <w:r>
            <w:rPr>
              <w:rStyle w:val="Vietosrezervavimoenklotekstas"/>
            </w:rPr>
            <w:t>Click here to enter a date.</w:t>
          </w:r>
        </w:p>
      </w:docPartBody>
    </w:docPart>
    <w:docPart>
      <w:docPartPr>
        <w:name w:val="FD600C642EA1428E80E59AEBABA38599"/>
        <w:category>
          <w:name w:val="General"/>
          <w:gallery w:val="placeholder"/>
        </w:category>
        <w:types>
          <w:type w:val="bbPlcHdr"/>
        </w:types>
        <w:behaviors>
          <w:behavior w:val="content"/>
        </w:behaviors>
        <w:guid w:val="{C0EE5347-0E4A-4146-A873-4CC7DEE2921D}"/>
      </w:docPartPr>
      <w:docPartBody>
        <w:p w:rsidR="00DE067A" w:rsidRDefault="00B62095" w:rsidP="00B62095">
          <w:pPr>
            <w:pStyle w:val="FD600C642EA1428E80E59AEBABA3859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r(--font-claude-messag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14F6"/>
    <w:rsid w:val="0005423B"/>
    <w:rsid w:val="00061157"/>
    <w:rsid w:val="000937FE"/>
    <w:rsid w:val="000A559A"/>
    <w:rsid w:val="000C2109"/>
    <w:rsid w:val="000D24D4"/>
    <w:rsid w:val="001C35A9"/>
    <w:rsid w:val="00237556"/>
    <w:rsid w:val="0039303B"/>
    <w:rsid w:val="004144A3"/>
    <w:rsid w:val="004160E7"/>
    <w:rsid w:val="004416C6"/>
    <w:rsid w:val="00456E96"/>
    <w:rsid w:val="004F5AB2"/>
    <w:rsid w:val="005074B9"/>
    <w:rsid w:val="005449D0"/>
    <w:rsid w:val="005B137C"/>
    <w:rsid w:val="005C62E5"/>
    <w:rsid w:val="005E40DD"/>
    <w:rsid w:val="007219C1"/>
    <w:rsid w:val="00753462"/>
    <w:rsid w:val="00772325"/>
    <w:rsid w:val="007A2FE0"/>
    <w:rsid w:val="007C6D1D"/>
    <w:rsid w:val="008A0EF9"/>
    <w:rsid w:val="0090074D"/>
    <w:rsid w:val="009B3BF0"/>
    <w:rsid w:val="009D5E5E"/>
    <w:rsid w:val="009F1BB4"/>
    <w:rsid w:val="00AB6ED4"/>
    <w:rsid w:val="00B14210"/>
    <w:rsid w:val="00B22ED6"/>
    <w:rsid w:val="00B23DC0"/>
    <w:rsid w:val="00B62095"/>
    <w:rsid w:val="00B96656"/>
    <w:rsid w:val="00BB661B"/>
    <w:rsid w:val="00C2401D"/>
    <w:rsid w:val="00C250D7"/>
    <w:rsid w:val="00C40822"/>
    <w:rsid w:val="00C53A68"/>
    <w:rsid w:val="00CA5BB4"/>
    <w:rsid w:val="00CB4BD1"/>
    <w:rsid w:val="00CD139C"/>
    <w:rsid w:val="00CE2DA9"/>
    <w:rsid w:val="00CE44BE"/>
    <w:rsid w:val="00D0142D"/>
    <w:rsid w:val="00D4356B"/>
    <w:rsid w:val="00D7162F"/>
    <w:rsid w:val="00DB4DB5"/>
    <w:rsid w:val="00DE067A"/>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62095"/>
    <w:rPr>
      <w:color w:val="808080"/>
    </w:rPr>
  </w:style>
  <w:style w:type="paragraph" w:customStyle="1" w:styleId="5BAF010C7AB2BE4CAF9048EB3499E153">
    <w:name w:val="5BAF010C7AB2BE4CAF9048EB3499E153"/>
    <w:rsid w:val="005B137C"/>
    <w:pPr>
      <w:spacing w:after="0" w:line="240" w:lineRule="auto"/>
    </w:pPr>
    <w:rPr>
      <w:sz w:val="24"/>
      <w:szCs w:val="24"/>
      <w:lang w:eastAsia="en-GB"/>
    </w:rPr>
  </w:style>
  <w:style w:type="paragraph" w:customStyle="1" w:styleId="FE1DEB706E5BDC40A932EF783CC84474">
    <w:name w:val="FE1DEB706E5BDC40A932EF783CC84474"/>
    <w:rsid w:val="005B137C"/>
    <w:pPr>
      <w:spacing w:after="0" w:line="240" w:lineRule="auto"/>
    </w:pPr>
    <w:rPr>
      <w:sz w:val="24"/>
      <w:szCs w:val="24"/>
      <w:lang w:eastAsia="en-GB"/>
    </w:rPr>
  </w:style>
  <w:style w:type="paragraph" w:customStyle="1" w:styleId="6680119C14764588A72E3782A5944DE5">
    <w:name w:val="6680119C14764588A72E3782A5944DE5"/>
    <w:rsid w:val="00B62095"/>
  </w:style>
  <w:style w:type="paragraph" w:customStyle="1" w:styleId="CACE376CBFFD4A0D80A9BE2B5C662937">
    <w:name w:val="CACE376CBFFD4A0D80A9BE2B5C662937"/>
    <w:rsid w:val="00B62095"/>
  </w:style>
  <w:style w:type="paragraph" w:customStyle="1" w:styleId="FD600C642EA1428E80E59AEBABA38599">
    <w:name w:val="FD600C642EA1428E80E59AEBABA38599"/>
    <w:rsid w:val="00B62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4606-5469-4348-BB0B-831C4153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11901</Words>
  <Characters>6784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2024-12-18T22:44:00Z</dcterms:created>
  <dcterms:modified xsi:type="dcterms:W3CDTF">2025-01-02T11:20:00Z</dcterms:modified>
</cp:coreProperties>
</file>