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62C75541" w14:textId="72A1A8E5" w:rsidR="009B2F9C" w:rsidRDefault="009B2F9C" w:rsidP="009B2F9C">
      <w:pPr>
        <w:jc w:val="center"/>
        <w:rPr>
          <w:b/>
        </w:rPr>
      </w:pPr>
      <w:r>
        <w:rPr>
          <w:b/>
        </w:rPr>
        <w:t>Kerendia</w:t>
      </w:r>
      <w:r w:rsidRPr="0073329D">
        <w:rPr>
          <w:b/>
        </w:rPr>
        <w:t xml:space="preserve"> </w:t>
      </w:r>
      <w:r>
        <w:rPr>
          <w:b/>
        </w:rPr>
        <w:t>10 mg</w:t>
      </w:r>
      <w:r w:rsidR="006859A4">
        <w:rPr>
          <w:b/>
        </w:rPr>
        <w:t xml:space="preserve"> </w:t>
      </w:r>
      <w:r>
        <w:rPr>
          <w:b/>
        </w:rPr>
        <w:t>plėvele dengtos tabletės</w:t>
      </w:r>
    </w:p>
    <w:p w14:paraId="31871986" w14:textId="5BED481C" w:rsidR="006859A4" w:rsidRPr="0073329D" w:rsidRDefault="006859A4" w:rsidP="006859A4">
      <w:pPr>
        <w:jc w:val="center"/>
        <w:rPr>
          <w:b/>
        </w:rPr>
      </w:pPr>
      <w:r>
        <w:rPr>
          <w:b/>
        </w:rPr>
        <w:t>Kerendia</w:t>
      </w:r>
      <w:r w:rsidRPr="0073329D">
        <w:rPr>
          <w:b/>
        </w:rPr>
        <w:t xml:space="preserve"> </w:t>
      </w:r>
      <w:r>
        <w:rPr>
          <w:b/>
        </w:rPr>
        <w:t>20 mg</w:t>
      </w:r>
      <w:r w:rsidRPr="0073329D">
        <w:rPr>
          <w:b/>
        </w:rPr>
        <w:t xml:space="preserve"> </w:t>
      </w:r>
      <w:r>
        <w:rPr>
          <w:b/>
        </w:rPr>
        <w:t>plėvele dengtos tabletės</w:t>
      </w:r>
    </w:p>
    <w:p w14:paraId="164D60CB" w14:textId="77777777" w:rsidR="006859A4" w:rsidRPr="0073329D" w:rsidRDefault="006859A4" w:rsidP="009B2F9C">
      <w:pPr>
        <w:jc w:val="center"/>
        <w:rPr>
          <w:b/>
        </w:rPr>
      </w:pPr>
    </w:p>
    <w:p w14:paraId="141E8EA2" w14:textId="77777777" w:rsidR="009B2F9C" w:rsidRPr="0073329D" w:rsidRDefault="009B2F9C" w:rsidP="009B2F9C">
      <w:pPr>
        <w:jc w:val="center"/>
      </w:pPr>
    </w:p>
    <w:p w14:paraId="7352A587" w14:textId="77777777" w:rsidR="009B2F9C" w:rsidRPr="0073329D" w:rsidRDefault="009B2F9C" w:rsidP="009B2F9C">
      <w:pPr>
        <w:jc w:val="center"/>
      </w:pPr>
      <w:r w:rsidRPr="0073329D">
        <w:t>(</w:t>
      </w:r>
      <w:r>
        <w:rPr>
          <w:b/>
        </w:rPr>
        <w:t>Finerenonas</w:t>
      </w:r>
      <w:r w:rsidRPr="0073329D">
        <w:t>)</w:t>
      </w:r>
    </w:p>
    <w:p w14:paraId="44A53397" w14:textId="77777777" w:rsidR="009B2F9C" w:rsidRPr="0073329D" w:rsidRDefault="009B2F9C" w:rsidP="009B2F9C">
      <w:pPr>
        <w:jc w:val="center"/>
      </w:pPr>
    </w:p>
    <w:p w14:paraId="10B8F1F6" w14:textId="77777777" w:rsidR="009B2F9C" w:rsidRPr="0073329D" w:rsidRDefault="009B2F9C" w:rsidP="009B2F9C">
      <w:pPr>
        <w:jc w:val="center"/>
        <w:rPr>
          <w:b/>
        </w:rPr>
      </w:pPr>
      <w:r>
        <w:rPr>
          <w:b/>
        </w:rPr>
        <w:t>STV 159</w:t>
      </w:r>
    </w:p>
    <w:p w14:paraId="453197C8" w14:textId="77777777" w:rsidR="00D4708D" w:rsidRPr="000203E1" w:rsidRDefault="00D4708D" w:rsidP="009B2F9C">
      <w:pP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0203E1" w:rsidRPr="000203E1" w14:paraId="18A83EC2" w14:textId="77777777" w:rsidTr="00BE7489">
        <w:trPr>
          <w:trHeight w:val="538"/>
        </w:trPr>
        <w:tc>
          <w:tcPr>
            <w:tcW w:w="632" w:type="dxa"/>
          </w:tcPr>
          <w:p w14:paraId="0646FBEA" w14:textId="77777777" w:rsidR="00B13D65" w:rsidRPr="000203E1" w:rsidRDefault="00B13D65" w:rsidP="00824B92">
            <w:pPr>
              <w:rPr>
                <w:rFonts w:eastAsia="Arial"/>
              </w:rPr>
            </w:pPr>
            <w:r w:rsidRPr="000203E1">
              <w:rPr>
                <w:rFonts w:eastAsia="Arial"/>
              </w:rPr>
              <w:t>1.1</w:t>
            </w:r>
          </w:p>
        </w:tc>
        <w:tc>
          <w:tcPr>
            <w:tcW w:w="3694" w:type="dxa"/>
          </w:tcPr>
          <w:p w14:paraId="6C3AE864" w14:textId="77777777" w:rsidR="00B13D65" w:rsidRPr="000203E1" w:rsidRDefault="00B13D65" w:rsidP="00824B92">
            <w:pPr>
              <w:rPr>
                <w:rFonts w:eastAsia="Arial"/>
              </w:rPr>
            </w:pPr>
            <w:r w:rsidRPr="000203E1">
              <w:rPr>
                <w:rFonts w:eastAsia="Arial"/>
              </w:rPr>
              <w:t>Pareiškėjas</w:t>
            </w:r>
          </w:p>
          <w:p w14:paraId="2AF240DC" w14:textId="77777777" w:rsidR="00B13D65" w:rsidRPr="000203E1" w:rsidRDefault="00B13D65" w:rsidP="00824B92">
            <w:pPr>
              <w:rPr>
                <w:rFonts w:eastAsia="Arial"/>
              </w:rPr>
            </w:pPr>
          </w:p>
        </w:tc>
        <w:tc>
          <w:tcPr>
            <w:tcW w:w="5167" w:type="dxa"/>
          </w:tcPr>
          <w:p w14:paraId="1ABCE5DE" w14:textId="393302B7" w:rsidR="00937907" w:rsidRPr="000203E1" w:rsidRDefault="009B2F9C" w:rsidP="00824B92">
            <w:r w:rsidRPr="00163B04">
              <w:t xml:space="preserve">UAB </w:t>
            </w:r>
            <w:r>
              <w:t>„</w:t>
            </w:r>
            <w:r w:rsidRPr="00163B04">
              <w:t>Bayer</w:t>
            </w:r>
            <w:r>
              <w:t>“</w:t>
            </w:r>
          </w:p>
          <w:p w14:paraId="2AAF0D91" w14:textId="77777777" w:rsidR="00B13D65" w:rsidRPr="000203E1" w:rsidRDefault="00B13D65" w:rsidP="00824B92">
            <w:pPr>
              <w:rPr>
                <w:rFonts w:eastAsia="Arial"/>
              </w:rPr>
            </w:pPr>
          </w:p>
        </w:tc>
      </w:tr>
      <w:tr w:rsidR="000203E1" w:rsidRPr="000203E1" w14:paraId="31998B0D" w14:textId="77777777" w:rsidTr="00BE7489">
        <w:trPr>
          <w:trHeight w:val="538"/>
        </w:trPr>
        <w:tc>
          <w:tcPr>
            <w:tcW w:w="632" w:type="dxa"/>
          </w:tcPr>
          <w:p w14:paraId="2005EC67" w14:textId="662300D0" w:rsidR="00B13D65" w:rsidRPr="000203E1" w:rsidRDefault="002E0702" w:rsidP="00824B92">
            <w:pPr>
              <w:rPr>
                <w:rFonts w:eastAsia="Arial"/>
              </w:rPr>
            </w:pPr>
            <w:r w:rsidRPr="000203E1">
              <w:rPr>
                <w:rFonts w:eastAsia="Arial"/>
              </w:rPr>
              <w:t>1.2</w:t>
            </w:r>
          </w:p>
        </w:tc>
        <w:tc>
          <w:tcPr>
            <w:tcW w:w="3694" w:type="dxa"/>
          </w:tcPr>
          <w:p w14:paraId="1E4AE3B1" w14:textId="77777777" w:rsidR="00B13D65" w:rsidRPr="000203E1" w:rsidRDefault="00B13D65" w:rsidP="00824B92">
            <w:pPr>
              <w:rPr>
                <w:bCs/>
                <w:lang w:eastAsia="lt-LT"/>
              </w:rPr>
            </w:pPr>
            <w:r w:rsidRPr="000203E1">
              <w:rPr>
                <w:bCs/>
                <w:lang w:eastAsia="lt-LT"/>
              </w:rPr>
              <w:t xml:space="preserve">Registracijos data </w:t>
            </w:r>
          </w:p>
          <w:p w14:paraId="3A0DC096" w14:textId="77777777" w:rsidR="00B13D65" w:rsidRPr="000203E1" w:rsidRDefault="00B13D65" w:rsidP="00824B92">
            <w:pPr>
              <w:rPr>
                <w:bCs/>
                <w:lang w:eastAsia="lt-LT"/>
              </w:rPr>
            </w:pPr>
          </w:p>
        </w:tc>
        <w:tc>
          <w:tcPr>
            <w:tcW w:w="5167" w:type="dxa"/>
          </w:tcPr>
          <w:p w14:paraId="3CA218AD" w14:textId="669742BB" w:rsidR="009B2F9C" w:rsidRPr="000203E1" w:rsidRDefault="00000000" w:rsidP="00824B92">
            <w:pPr>
              <w:rPr>
                <w:rStyle w:val="Style2"/>
              </w:rPr>
            </w:pPr>
            <w:sdt>
              <w:sdtPr>
                <w:rPr>
                  <w:sz w:val="32"/>
                </w:rPr>
                <w:alias w:val="Nurodykite konkrečią dieną"/>
                <w:tag w:val="Nurodykite pradžios datą"/>
                <w:id w:val="423238108"/>
                <w:placeholder>
                  <w:docPart w:val="B5DD268B8B439E49AA53F38DBAA54E63"/>
                </w:placeholder>
                <w15:color w:val="FFCC99"/>
                <w:date>
                  <w:dateFormat w:val="yyyy 'm.' MMMM d 'd.'"/>
                  <w:lid w:val="lt-LT"/>
                  <w:storeMappedDataAs w:val="dateTime"/>
                  <w:calendar w:val="gregorian"/>
                </w:date>
              </w:sdtPr>
              <w:sdtContent>
                <w:r w:rsidR="009B2F9C" w:rsidRPr="007227E7">
                  <w:t>2022 vasario 16 d.</w:t>
                </w:r>
              </w:sdtContent>
            </w:sdt>
          </w:p>
        </w:tc>
      </w:tr>
      <w:tr w:rsidR="000203E1" w:rsidRPr="000203E1" w14:paraId="15968AE1" w14:textId="77777777" w:rsidTr="00BE7489">
        <w:trPr>
          <w:trHeight w:val="1500"/>
        </w:trPr>
        <w:tc>
          <w:tcPr>
            <w:tcW w:w="632" w:type="dxa"/>
          </w:tcPr>
          <w:p w14:paraId="6A784245" w14:textId="1E461489" w:rsidR="00B13D65" w:rsidRPr="000203E1" w:rsidRDefault="002E0702" w:rsidP="00824B92">
            <w:pPr>
              <w:rPr>
                <w:rFonts w:eastAsia="Arial"/>
              </w:rPr>
            </w:pPr>
            <w:r w:rsidRPr="000203E1">
              <w:rPr>
                <w:rFonts w:eastAsia="Arial"/>
              </w:rPr>
              <w:t>1.3</w:t>
            </w:r>
          </w:p>
        </w:tc>
        <w:tc>
          <w:tcPr>
            <w:tcW w:w="3694" w:type="dxa"/>
          </w:tcPr>
          <w:p w14:paraId="22933506" w14:textId="77777777" w:rsidR="00B13D65" w:rsidRPr="000203E1" w:rsidRDefault="00B13D65" w:rsidP="00824B92">
            <w:r w:rsidRPr="000203E1">
              <w:t xml:space="preserve">Paraiškos tipas </w:t>
            </w:r>
          </w:p>
          <w:p w14:paraId="0465E680" w14:textId="7F0A0714" w:rsidR="00B13D65" w:rsidRPr="000203E1" w:rsidRDefault="00B13D65" w:rsidP="00824B92">
            <w:r w:rsidRPr="000203E1">
              <w:t>(</w:t>
            </w:r>
            <w:r w:rsidR="00695CD3" w:rsidRPr="000203E1">
              <w:t xml:space="preserve">pagal </w:t>
            </w:r>
            <w:r w:rsidR="0039696E" w:rsidRPr="000203E1">
              <w:rPr>
                <w:shd w:val="clear" w:color="auto" w:fill="FFFFFF"/>
              </w:rPr>
              <w:t>vaistinio preparato registracijos tipą, įtvirtintą</w:t>
            </w:r>
            <w:r w:rsidR="0039696E" w:rsidRPr="000203E1">
              <w:t xml:space="preserve"> </w:t>
            </w:r>
            <w:r w:rsidRPr="000203E1">
              <w:t>Direktyv</w:t>
            </w:r>
            <w:r w:rsidR="00695CD3" w:rsidRPr="000203E1">
              <w:t>os</w:t>
            </w:r>
            <w:r w:rsidRPr="000203E1">
              <w:t xml:space="preserve"> 2001/83/EB</w:t>
            </w:r>
            <w:r w:rsidR="00695CD3" w:rsidRPr="000203E1">
              <w:t xml:space="preserve"> straips</w:t>
            </w:r>
            <w:r w:rsidR="0039696E" w:rsidRPr="000203E1">
              <w:t>iuose</w:t>
            </w:r>
            <w:r w:rsidRPr="000203E1">
              <w:t>)</w:t>
            </w:r>
          </w:p>
          <w:p w14:paraId="77089D80" w14:textId="6681D72A" w:rsidR="00B13D65" w:rsidRPr="000203E1" w:rsidRDefault="00B13D65" w:rsidP="00824B92">
            <w:pPr>
              <w:rPr>
                <w:bCs/>
                <w:lang w:eastAsia="lt-LT"/>
              </w:rPr>
            </w:pPr>
          </w:p>
        </w:tc>
        <w:tc>
          <w:tcPr>
            <w:tcW w:w="5167" w:type="dxa"/>
          </w:tcPr>
          <w:p w14:paraId="208F40EC" w14:textId="72AD270C" w:rsidR="00B13D65" w:rsidRPr="009B2F9C"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9B2F9C" w:rsidRPr="009B2F9C">
                  <w:rPr>
                    <w:rStyle w:val="Style2"/>
                    <w:rFonts w:ascii="Segoe UI Symbol" w:eastAsia="MS Gothic" w:hAnsi="Segoe UI Symbol" w:cs="Segoe UI Symbol"/>
                    <w:sz w:val="24"/>
                  </w:rPr>
                  <w:t>☒</w:t>
                </w:r>
              </w:sdtContent>
            </w:sdt>
            <w:r w:rsidR="00B13D65" w:rsidRPr="009B2F9C">
              <w:t xml:space="preserve">8.3 str. (pilna byla, pagrįsta savais tyrimais) </w:t>
            </w:r>
          </w:p>
          <w:p w14:paraId="32BA564E" w14:textId="3FDA3E01" w:rsidR="00B13D65" w:rsidRPr="009B2F9C"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 xml:space="preserve">10 a str. (pripažintas medicininis vartojimas) </w:t>
            </w:r>
          </w:p>
          <w:p w14:paraId="318DCD7F" w14:textId="32333E53" w:rsidR="00B13D65" w:rsidRPr="009B2F9C"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10.1 str. (generinis)</w:t>
            </w:r>
          </w:p>
          <w:p w14:paraId="3B0A4F72" w14:textId="3F5FB073" w:rsidR="00B13D65" w:rsidRPr="000203E1"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10.3 str. (hibridinis)</w:t>
            </w:r>
          </w:p>
        </w:tc>
      </w:tr>
      <w:tr w:rsidR="000203E1" w:rsidRPr="000203E1" w14:paraId="310E9662" w14:textId="77777777" w:rsidTr="00BE7489">
        <w:trPr>
          <w:trHeight w:val="1442"/>
        </w:trPr>
        <w:tc>
          <w:tcPr>
            <w:tcW w:w="632" w:type="dxa"/>
          </w:tcPr>
          <w:p w14:paraId="4B5A91A2" w14:textId="561B5E5F" w:rsidR="00B13D65" w:rsidRPr="000203E1" w:rsidRDefault="00B13D65" w:rsidP="00824B92">
            <w:pPr>
              <w:rPr>
                <w:rFonts w:eastAsia="Arial"/>
              </w:rPr>
            </w:pPr>
            <w:r w:rsidRPr="000203E1">
              <w:rPr>
                <w:rFonts w:eastAsia="Arial"/>
              </w:rPr>
              <w:t>1.</w:t>
            </w:r>
            <w:r w:rsidR="002E0702" w:rsidRPr="000203E1">
              <w:rPr>
                <w:rFonts w:eastAsia="Arial"/>
              </w:rPr>
              <w:t>4</w:t>
            </w:r>
          </w:p>
        </w:tc>
        <w:tc>
          <w:tcPr>
            <w:tcW w:w="3694" w:type="dxa"/>
          </w:tcPr>
          <w:p w14:paraId="6C91E105" w14:textId="77777777" w:rsidR="00B13D65" w:rsidRPr="000203E1" w:rsidRDefault="00B13D65" w:rsidP="00824B92">
            <w:pPr>
              <w:rPr>
                <w:bCs/>
                <w:lang w:eastAsia="lt-LT"/>
              </w:rPr>
            </w:pPr>
            <w:r w:rsidRPr="000203E1">
              <w:rPr>
                <w:bCs/>
                <w:lang w:eastAsia="lt-LT"/>
              </w:rPr>
              <w:t xml:space="preserve">Ar vaistinis preparatas įrašytas į Bendrijos retųjų vaistinių preparatų registrą? </w:t>
            </w:r>
          </w:p>
          <w:p w14:paraId="33726F9C" w14:textId="77777777" w:rsidR="00B13D65" w:rsidRPr="000203E1" w:rsidRDefault="00B13D65" w:rsidP="00824B92">
            <w:pPr>
              <w:rPr>
                <w:bCs/>
                <w:i/>
                <w:lang w:eastAsia="lt-LT"/>
              </w:rPr>
            </w:pPr>
          </w:p>
          <w:p w14:paraId="483071A3" w14:textId="0F633FFC" w:rsidR="00B13D65" w:rsidRPr="000203E1" w:rsidRDefault="00DF583C" w:rsidP="00824B92">
            <w:pPr>
              <w:rPr>
                <w:bCs/>
                <w:lang w:eastAsia="lt-LT"/>
              </w:rPr>
            </w:pPr>
            <w:r w:rsidRPr="000203E1">
              <w:rPr>
                <w:bCs/>
                <w:i/>
                <w:sz w:val="20"/>
                <w:lang w:eastAsia="lt-LT"/>
              </w:rPr>
              <w:t>Jei taip, n</w:t>
            </w:r>
            <w:r w:rsidR="00B13D65" w:rsidRPr="000203E1">
              <w:rPr>
                <w:bCs/>
                <w:i/>
                <w:sz w:val="20"/>
                <w:lang w:eastAsia="lt-LT"/>
              </w:rPr>
              <w:t xml:space="preserve">urodykite </w:t>
            </w:r>
            <w:r w:rsidR="007656B2" w:rsidRPr="000203E1">
              <w:rPr>
                <w:bCs/>
                <w:i/>
                <w:sz w:val="20"/>
                <w:lang w:eastAsia="lt-LT"/>
              </w:rPr>
              <w:t>įrašymo</w:t>
            </w:r>
            <w:r w:rsidR="00B13D65" w:rsidRPr="000203E1">
              <w:rPr>
                <w:bCs/>
                <w:i/>
                <w:sz w:val="20"/>
                <w:lang w:eastAsia="lt-LT"/>
              </w:rPr>
              <w:t xml:space="preserve"> datą ir numerį</w:t>
            </w:r>
          </w:p>
        </w:tc>
        <w:tc>
          <w:tcPr>
            <w:tcW w:w="5167" w:type="dxa"/>
          </w:tcPr>
          <w:p w14:paraId="05845C60" w14:textId="10CF4033" w:rsidR="00B13D65" w:rsidRPr="000203E1"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B13D65" w:rsidRPr="000203E1">
              <w:t xml:space="preserve"> Taip</w:t>
            </w:r>
          </w:p>
          <w:p w14:paraId="41D88067" w14:textId="289F3BDA" w:rsidR="00B13D65" w:rsidRPr="000203E1"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sz w:val="24"/>
                  </w:rPr>
                  <w:t>☒</w:t>
                </w:r>
              </w:sdtContent>
            </w:sdt>
            <w:r w:rsidR="00B13D65" w:rsidRPr="000203E1">
              <w:t xml:space="preserve"> Ne</w:t>
            </w:r>
          </w:p>
          <w:p w14:paraId="29C2CBBB" w14:textId="77777777" w:rsidR="00B13D65" w:rsidRPr="000203E1"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0203E1">
                  <w:rPr>
                    <w:rStyle w:val="Vietosrezervavimoenklotekstas"/>
                    <w:color w:val="auto"/>
                  </w:rPr>
                  <w:t>Click here to enter a date.</w:t>
                </w:r>
              </w:sdtContent>
            </w:sdt>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24A140BD" w:rsidR="00D417D2" w:rsidRPr="000203E1"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712A92">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BE7489">
        <w:trPr>
          <w:trHeight w:val="1922"/>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(-os) kompensuoti vaistinio preparato indikacija (-os)</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430E383A" w14:textId="2BBF399F" w:rsidR="00B13D65" w:rsidRPr="000203E1" w:rsidRDefault="009B2F9C" w:rsidP="009B2F9C">
            <w:pPr>
              <w:pStyle w:val="Sraopastraipa"/>
              <w:spacing w:after="120"/>
              <w:ind w:left="0"/>
              <w:contextualSpacing w:val="0"/>
              <w:jc w:val="both"/>
            </w:pPr>
            <w:r w:rsidRPr="007227E7">
              <w:t>Kerendia skirtas gydyti suaugusiesiems, sergantiems lėtine inkstų liga (su albuminurija), susijusia su 2 tipo cukriniu diabetu</w:t>
            </w:r>
          </w:p>
          <w:p w14:paraId="13F7DFB0" w14:textId="429EA40A" w:rsidR="00B13D65" w:rsidRPr="000203E1" w:rsidRDefault="009B2F9C" w:rsidP="00824B92">
            <w:r>
              <w:t>N18.1 – N18.4</w:t>
            </w:r>
          </w:p>
        </w:tc>
      </w:tr>
      <w:tr w:rsidR="000203E1" w:rsidRPr="000203E1" w14:paraId="2F79DC08" w14:textId="77777777" w:rsidTr="00BE7489">
        <w:trPr>
          <w:trHeight w:val="378"/>
        </w:trPr>
        <w:tc>
          <w:tcPr>
            <w:tcW w:w="632" w:type="dxa"/>
          </w:tcPr>
          <w:p w14:paraId="547885A2" w14:textId="2EE70237" w:rsidR="00B13D65" w:rsidRPr="000203E1" w:rsidRDefault="00B13D65" w:rsidP="00164D64">
            <w:pPr>
              <w:rPr>
                <w:rFonts w:eastAsia="Arial"/>
              </w:rPr>
            </w:pPr>
            <w:r w:rsidRPr="000203E1">
              <w:rPr>
                <w:rFonts w:eastAsia="Arial"/>
              </w:rPr>
              <w:lastRenderedPageBreak/>
              <w:t>1.</w:t>
            </w:r>
            <w:r w:rsidR="00164D64">
              <w:rPr>
                <w:rFonts w:eastAsia="Arial"/>
              </w:rPr>
              <w:t>7</w:t>
            </w:r>
          </w:p>
        </w:tc>
        <w:tc>
          <w:tcPr>
            <w:tcW w:w="3694" w:type="dxa"/>
          </w:tcPr>
          <w:p w14:paraId="2EAB877F" w14:textId="39A36941" w:rsidR="00B13D65" w:rsidRPr="000203E1" w:rsidRDefault="007656B2" w:rsidP="00824B92">
            <w:pPr>
              <w:rPr>
                <w:bCs/>
                <w:u w:val="single"/>
                <w:lang w:eastAsia="lt-LT"/>
              </w:rPr>
            </w:pPr>
            <w:r w:rsidRPr="000203E1">
              <w:rPr>
                <w:bCs/>
                <w:lang w:eastAsia="lt-LT"/>
              </w:rPr>
              <w:t>Pareiškėjo t</w:t>
            </w:r>
            <w:r w:rsidR="00B13D65" w:rsidRPr="000203E1">
              <w:rPr>
                <w:bCs/>
                <w:lang w:eastAsia="lt-LT"/>
              </w:rPr>
              <w:t>eikiamos skyrimo sąlygos</w:t>
            </w:r>
            <w:r w:rsidR="005B3756" w:rsidRPr="000203E1">
              <w:rPr>
                <w:bCs/>
                <w:lang w:eastAsia="lt-LT"/>
              </w:rPr>
              <w:t xml:space="preserve"> </w:t>
            </w:r>
          </w:p>
        </w:tc>
        <w:tc>
          <w:tcPr>
            <w:tcW w:w="5167" w:type="dxa"/>
          </w:tcPr>
          <w:p w14:paraId="0579DF58" w14:textId="535856A1" w:rsidR="00B13D65" w:rsidRPr="000203E1" w:rsidRDefault="009B2F9C" w:rsidP="009B2F9C">
            <w:pPr>
              <w:tabs>
                <w:tab w:val="left" w:pos="3324"/>
              </w:tabs>
            </w:pPr>
            <w:r>
              <w:t>Pagal registruotą indikaciją</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63B3C782" w:rsidR="009F4D66" w:rsidRPr="000203E1"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sz w:val="24"/>
                  </w:rPr>
                  <w:t>☒</w:t>
                </w:r>
              </w:sdtContent>
            </w:sdt>
            <w:r w:rsidR="009F4D66" w:rsidRPr="000203E1">
              <w:t xml:space="preserve"> Tinkamas</w:t>
            </w:r>
            <w:r w:rsidR="009B2F9C">
              <w:t xml:space="preserve"> (placeb</w:t>
            </w:r>
            <w:r w:rsidR="008C467D">
              <w:t>as</w:t>
            </w:r>
            <w:r w:rsidR="009B2F9C">
              <w:t>)</w:t>
            </w:r>
          </w:p>
          <w:p w14:paraId="41B44044" w14:textId="199BD9DF" w:rsidR="00B13D65" w:rsidRPr="000203E1"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0203E1">
                  <w:rPr>
                    <w:rStyle w:val="Style2"/>
                    <w:rFonts w:ascii="MS Gothic" w:eastAsia="MS Gothic" w:hAnsi="MS Gothic" w:hint="eastAsia"/>
                    <w:sz w:val="24"/>
                  </w:rPr>
                  <w:t>☐</w:t>
                </w:r>
              </w:sdtContent>
            </w:sdt>
            <w:r w:rsidR="009F4D66" w:rsidRPr="000203E1">
              <w:t xml:space="preserve"> Netinkama</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773"/>
        <w:gridCol w:w="2351"/>
        <w:gridCol w:w="2725"/>
      </w:tblGrid>
      <w:tr w:rsidR="009B2F9C" w:rsidRPr="0073329D" w14:paraId="1C373D6B" w14:textId="77777777" w:rsidTr="009B2F9C">
        <w:trPr>
          <w:trHeight w:val="924"/>
        </w:trPr>
        <w:tc>
          <w:tcPr>
            <w:tcW w:w="2613" w:type="dxa"/>
          </w:tcPr>
          <w:p w14:paraId="3AD71E01" w14:textId="77777777" w:rsidR="009B2F9C" w:rsidRPr="0073329D" w:rsidRDefault="009B2F9C" w:rsidP="00280B23">
            <w:pPr>
              <w:spacing w:line="276" w:lineRule="auto"/>
              <w:rPr>
                <w:rFonts w:eastAsia="Arial"/>
              </w:rPr>
            </w:pPr>
            <w:r w:rsidRPr="0073329D">
              <w:rPr>
                <w:rFonts w:eastAsia="Arial"/>
              </w:rPr>
              <w:t>STV agentūros pavadinimas, šalis</w:t>
            </w:r>
          </w:p>
        </w:tc>
        <w:tc>
          <w:tcPr>
            <w:tcW w:w="1773" w:type="dxa"/>
          </w:tcPr>
          <w:p w14:paraId="69A6DB69" w14:textId="77777777" w:rsidR="009B2F9C" w:rsidRPr="0073329D" w:rsidRDefault="009B2F9C" w:rsidP="00280B23">
            <w:pPr>
              <w:spacing w:line="276" w:lineRule="auto"/>
              <w:rPr>
                <w:rFonts w:eastAsia="Arial"/>
              </w:rPr>
            </w:pPr>
            <w:r w:rsidRPr="0073329D">
              <w:rPr>
                <w:rFonts w:eastAsia="Arial"/>
              </w:rPr>
              <w:t>STV vertinimas atliktas</w:t>
            </w:r>
          </w:p>
        </w:tc>
        <w:tc>
          <w:tcPr>
            <w:tcW w:w="2351" w:type="dxa"/>
          </w:tcPr>
          <w:p w14:paraId="413C3D30" w14:textId="77777777" w:rsidR="009B2F9C" w:rsidRPr="0073329D" w:rsidRDefault="009B2F9C" w:rsidP="00280B23">
            <w:pPr>
              <w:spacing w:line="276" w:lineRule="auto"/>
              <w:rPr>
                <w:rFonts w:eastAsia="Arial"/>
              </w:rPr>
            </w:pPr>
            <w:r w:rsidRPr="0073329D">
              <w:rPr>
                <w:rFonts w:eastAsia="Arial"/>
              </w:rPr>
              <w:t>Klinikinio vertinimo išvada</w:t>
            </w:r>
          </w:p>
        </w:tc>
        <w:tc>
          <w:tcPr>
            <w:tcW w:w="2725" w:type="dxa"/>
          </w:tcPr>
          <w:p w14:paraId="3F041F72" w14:textId="77777777" w:rsidR="009B2F9C" w:rsidRPr="0073329D" w:rsidRDefault="009B2F9C" w:rsidP="00280B23">
            <w:pPr>
              <w:spacing w:line="276" w:lineRule="auto"/>
              <w:rPr>
                <w:rFonts w:eastAsia="Arial"/>
              </w:rPr>
            </w:pPr>
            <w:r w:rsidRPr="0073329D">
              <w:rPr>
                <w:rFonts w:eastAsia="Arial"/>
              </w:rPr>
              <w:t>Farmakoekonominio vertinimo išvada</w:t>
            </w:r>
          </w:p>
        </w:tc>
      </w:tr>
      <w:tr w:rsidR="009B2F9C" w:rsidRPr="0073329D" w14:paraId="44D2F72E" w14:textId="77777777" w:rsidTr="009B2F9C">
        <w:trPr>
          <w:trHeight w:val="1765"/>
        </w:trPr>
        <w:tc>
          <w:tcPr>
            <w:tcW w:w="2613" w:type="dxa"/>
          </w:tcPr>
          <w:p w14:paraId="0E3C0605" w14:textId="77777777" w:rsidR="009B2F9C" w:rsidRPr="0073329D" w:rsidRDefault="009B2F9C" w:rsidP="00280B23">
            <w:pPr>
              <w:autoSpaceDE w:val="0"/>
              <w:autoSpaceDN w:val="0"/>
              <w:adjustRightInd w:val="0"/>
              <w:rPr>
                <w:bCs/>
              </w:rPr>
            </w:pPr>
            <w:r w:rsidRPr="0073329D">
              <w:rPr>
                <w:bCs/>
              </w:rPr>
              <w:t>Nacionalinis sveikatos ir klinikinės kompetencijos institutas, Didžioji Britanija</w:t>
            </w:r>
          </w:p>
          <w:p w14:paraId="2FBFA09E" w14:textId="77777777" w:rsidR="009B2F9C" w:rsidRPr="0073329D" w:rsidRDefault="009B2F9C" w:rsidP="00280B23">
            <w:pPr>
              <w:spacing w:line="276" w:lineRule="auto"/>
              <w:rPr>
                <w:rFonts w:eastAsia="Arial"/>
              </w:rPr>
            </w:pPr>
            <w:r w:rsidRPr="0073329D">
              <w:rPr>
                <w:rFonts w:eastAsia="Arial"/>
              </w:rPr>
              <w:t xml:space="preserve">(angl. </w:t>
            </w:r>
            <w:r w:rsidRPr="0073329D">
              <w:rPr>
                <w:rFonts w:eastAsia="Arial"/>
                <w:i/>
              </w:rPr>
              <w:t>National Institute for Health and Care Excellence, NICE</w:t>
            </w:r>
            <w:r w:rsidRPr="0073329D">
              <w:rPr>
                <w:rFonts w:eastAsia="Arial"/>
              </w:rPr>
              <w:t>)</w:t>
            </w:r>
          </w:p>
        </w:tc>
        <w:tc>
          <w:tcPr>
            <w:tcW w:w="1773" w:type="dxa"/>
          </w:tcPr>
          <w:p w14:paraId="6581AD14" w14:textId="77777777" w:rsidR="009B2F9C" w:rsidRPr="0073329D" w:rsidRDefault="00000000" w:rsidP="00280B23">
            <w:sdt>
              <w:sdtPr>
                <w:rPr>
                  <w:rStyle w:val="Style2"/>
                </w:rPr>
                <w:id w:val="1558205022"/>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rPr>
                  <w:t>☒</w:t>
                </w:r>
              </w:sdtContent>
            </w:sdt>
            <w:r w:rsidR="009B2F9C" w:rsidRPr="0073329D">
              <w:t xml:space="preserve"> Taip</w:t>
            </w:r>
          </w:p>
          <w:p w14:paraId="3AD9D6BF" w14:textId="77777777" w:rsidR="009B2F9C" w:rsidRPr="0073329D" w:rsidRDefault="00000000" w:rsidP="00280B23">
            <w:sdt>
              <w:sdtPr>
                <w:rPr>
                  <w:rStyle w:val="Style2"/>
                </w:rPr>
                <w:id w:val="866029625"/>
                <w15:color w:val="FFCC00"/>
                <w14:checkbox>
                  <w14:checked w14:val="0"/>
                  <w14:checkedState w14:val="2612" w14:font="MS Gothic"/>
                  <w14:uncheckedState w14:val="2610" w14:font="MS Gothic"/>
                </w14:checkbox>
              </w:sdtPr>
              <w:sdtContent>
                <w:r w:rsidR="009B2F9C" w:rsidRPr="0073329D">
                  <w:rPr>
                    <w:rStyle w:val="Style2"/>
                    <w:rFonts w:ascii="MS Gothic" w:eastAsia="MS Gothic" w:hAnsi="MS Gothic" w:hint="eastAsia"/>
                  </w:rPr>
                  <w:t>☐</w:t>
                </w:r>
              </w:sdtContent>
            </w:sdt>
            <w:r w:rsidR="009B2F9C" w:rsidRPr="0073329D">
              <w:t xml:space="preserve"> Ne</w:t>
            </w:r>
          </w:p>
          <w:p w14:paraId="5210283D" w14:textId="77777777" w:rsidR="009B2F9C" w:rsidRPr="0073329D" w:rsidRDefault="00000000" w:rsidP="00280B23">
            <w:pPr>
              <w:rPr>
                <w:rFonts w:eastAsia="Arial"/>
              </w:rPr>
            </w:pPr>
            <w:sdt>
              <w:sdtPr>
                <w:alias w:val="Nurodykite konkrečią dieną"/>
                <w:tag w:val="Nurodykite pradžios datą"/>
                <w:id w:val="922837954"/>
                <w:placeholder>
                  <w:docPart w:val="204382964A570A4C90B96C93579DC565"/>
                </w:placeholder>
                <w15:color w:val="FFCC99"/>
                <w:date>
                  <w:dateFormat w:val="yyyy 'm.' MMMM d 'd.'"/>
                  <w:lid w:val="lt-LT"/>
                  <w:storeMappedDataAs w:val="dateTime"/>
                  <w:calendar w:val="gregorian"/>
                </w:date>
              </w:sdtPr>
              <w:sdtContent>
                <w:r w:rsidR="009B2F9C">
                  <w:t>2023 kovo 23 d.</w:t>
                </w:r>
              </w:sdtContent>
            </w:sdt>
          </w:p>
        </w:tc>
        <w:tc>
          <w:tcPr>
            <w:tcW w:w="2351" w:type="dxa"/>
          </w:tcPr>
          <w:p w14:paraId="50E4979B" w14:textId="77777777" w:rsidR="009B2F9C" w:rsidRPr="0073329D" w:rsidRDefault="009B2F9C" w:rsidP="00280B23">
            <w:pPr>
              <w:spacing w:line="276" w:lineRule="auto"/>
              <w:rPr>
                <w:rFonts w:eastAsia="Arial"/>
              </w:rPr>
            </w:pPr>
            <w:r w:rsidRPr="007227E7">
              <w:rPr>
                <w:rFonts w:eastAsia="Arial"/>
              </w:rPr>
              <w:t>Finerenonas rekomenduojamas kompensuoti  suaugusiems, sergantiems lėtine inkstų liga (3 ir 4 stadijos su albuminurija), susijusia su 2 tipo cukriniu diabetu.</w:t>
            </w:r>
            <w:r>
              <w:rPr>
                <w:rFonts w:eastAsia="Arial"/>
              </w:rPr>
              <w:t xml:space="preserve"> </w:t>
            </w:r>
            <w:r w:rsidRPr="007227E7">
              <w:rPr>
                <w:rFonts w:eastAsia="Arial"/>
              </w:rPr>
              <w:t>Kaip papildomas gydymas prie įprastinio gydymo, kai įprastinis gydymas apima SGLT2 inhibitorius</w:t>
            </w:r>
            <w:r>
              <w:rPr>
                <w:rFonts w:eastAsia="Arial"/>
              </w:rPr>
              <w:t xml:space="preserve"> ir AKFi arba ARB</w:t>
            </w:r>
            <w:r w:rsidRPr="007227E7">
              <w:rPr>
                <w:rFonts w:eastAsia="Arial"/>
              </w:rPr>
              <w:t>; ir aGFG ≥ 25 ml/min/1</w:t>
            </w:r>
            <w:r>
              <w:rPr>
                <w:rFonts w:eastAsia="Arial"/>
              </w:rPr>
              <w:t>,</w:t>
            </w:r>
            <w:r w:rsidRPr="007227E7">
              <w:rPr>
                <w:rFonts w:eastAsia="Arial"/>
              </w:rPr>
              <w:t>73</w:t>
            </w:r>
            <w:r>
              <w:rPr>
                <w:rFonts w:eastAsia="Arial"/>
              </w:rPr>
              <w:t>m2.</w:t>
            </w:r>
          </w:p>
        </w:tc>
        <w:tc>
          <w:tcPr>
            <w:tcW w:w="2725" w:type="dxa"/>
          </w:tcPr>
          <w:p w14:paraId="6C990147" w14:textId="77777777" w:rsidR="009B2F9C" w:rsidRPr="0073329D" w:rsidRDefault="009B2F9C" w:rsidP="00280B23">
            <w:pPr>
              <w:spacing w:line="276" w:lineRule="auto"/>
              <w:rPr>
                <w:rFonts w:eastAsia="Arial"/>
              </w:rPr>
            </w:pPr>
            <w:r w:rsidRPr="007227E7">
              <w:rPr>
                <w:rFonts w:eastAsia="Arial"/>
              </w:rPr>
              <w:t>Kaštų efektyvumo analizės rezultatai atitinka NICE kompensavimo ribas, todėl sveikatos sistemos išlaidų panaudojimas finerenono kompensavimui yra priimtinas</w:t>
            </w:r>
          </w:p>
        </w:tc>
      </w:tr>
      <w:tr w:rsidR="009B2F9C" w:rsidRPr="0073329D" w14:paraId="2CB3112A" w14:textId="77777777" w:rsidTr="009B2F9C">
        <w:trPr>
          <w:trHeight w:val="1547"/>
        </w:trPr>
        <w:tc>
          <w:tcPr>
            <w:tcW w:w="2613" w:type="dxa"/>
          </w:tcPr>
          <w:p w14:paraId="6C61793F" w14:textId="77777777" w:rsidR="009B2F9C" w:rsidRPr="0073329D" w:rsidRDefault="009B2F9C" w:rsidP="00280B23">
            <w:pPr>
              <w:spacing w:line="276" w:lineRule="auto"/>
              <w:rPr>
                <w:rFonts w:eastAsia="Arial"/>
              </w:rPr>
            </w:pPr>
            <w:r w:rsidRPr="0073329D">
              <w:rPr>
                <w:rFonts w:eastAsia="Arial"/>
              </w:rPr>
              <w:t>Kanados sveikatos technologijų agentūra</w:t>
            </w:r>
          </w:p>
          <w:p w14:paraId="72756869" w14:textId="77777777" w:rsidR="009B2F9C" w:rsidRPr="0073329D" w:rsidRDefault="009B2F9C" w:rsidP="00280B23">
            <w:pPr>
              <w:spacing w:line="276" w:lineRule="auto"/>
              <w:rPr>
                <w:rFonts w:eastAsia="Arial"/>
              </w:rPr>
            </w:pPr>
            <w:r w:rsidRPr="0073329D">
              <w:rPr>
                <w:rFonts w:eastAsia="Arial"/>
              </w:rPr>
              <w:t xml:space="preserve">(angl. </w:t>
            </w:r>
            <w:r w:rsidRPr="0073329D">
              <w:rPr>
                <w:rFonts w:eastAsia="Arial"/>
                <w:i/>
              </w:rPr>
              <w:t>Canadian health Technology Assessment agency, CADTH</w:t>
            </w:r>
            <w:r w:rsidRPr="0073329D">
              <w:rPr>
                <w:rFonts w:eastAsia="Arial"/>
              </w:rPr>
              <w:t>)</w:t>
            </w:r>
          </w:p>
        </w:tc>
        <w:tc>
          <w:tcPr>
            <w:tcW w:w="1773" w:type="dxa"/>
          </w:tcPr>
          <w:p w14:paraId="1D336E2C" w14:textId="77777777" w:rsidR="009B2F9C" w:rsidRPr="0073329D" w:rsidRDefault="00000000" w:rsidP="00280B23">
            <w:sdt>
              <w:sdtPr>
                <w:rPr>
                  <w:rStyle w:val="Style2"/>
                </w:rPr>
                <w:id w:val="-372539057"/>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rPr>
                  <w:t>☒</w:t>
                </w:r>
              </w:sdtContent>
            </w:sdt>
            <w:r w:rsidR="009B2F9C" w:rsidRPr="0073329D">
              <w:t xml:space="preserve"> Taip</w:t>
            </w:r>
          </w:p>
          <w:p w14:paraId="5916425C" w14:textId="77777777" w:rsidR="009B2F9C" w:rsidRPr="0073329D" w:rsidRDefault="00000000" w:rsidP="00280B23">
            <w:sdt>
              <w:sdtPr>
                <w:rPr>
                  <w:rStyle w:val="Style2"/>
                </w:rPr>
                <w:id w:val="594442222"/>
                <w15:color w:val="FFCC00"/>
                <w14:checkbox>
                  <w14:checked w14:val="0"/>
                  <w14:checkedState w14:val="2612" w14:font="MS Gothic"/>
                  <w14:uncheckedState w14:val="2610" w14:font="MS Gothic"/>
                </w14:checkbox>
              </w:sdtPr>
              <w:sdtContent>
                <w:r w:rsidR="009B2F9C" w:rsidRPr="0073329D">
                  <w:rPr>
                    <w:rStyle w:val="Style2"/>
                    <w:rFonts w:ascii="Segoe UI Symbol" w:eastAsia="MS Gothic" w:hAnsi="Segoe UI Symbol" w:cs="Segoe UI Symbol"/>
                  </w:rPr>
                  <w:t>☐</w:t>
                </w:r>
              </w:sdtContent>
            </w:sdt>
            <w:r w:rsidR="009B2F9C" w:rsidRPr="0073329D">
              <w:t xml:space="preserve"> Ne</w:t>
            </w:r>
          </w:p>
          <w:p w14:paraId="45FC9BFD" w14:textId="77777777" w:rsidR="009B2F9C" w:rsidRPr="0073329D" w:rsidRDefault="00000000" w:rsidP="00280B23">
            <w:pPr>
              <w:spacing w:line="276" w:lineRule="auto"/>
              <w:rPr>
                <w:rFonts w:eastAsia="Arial"/>
              </w:rPr>
            </w:pPr>
            <w:sdt>
              <w:sdtPr>
                <w:alias w:val="Nurodykite konkrečią dieną"/>
                <w:tag w:val="Nurodykite pradžios datą"/>
                <w:id w:val="1072468416"/>
                <w:placeholder>
                  <w:docPart w:val="1021C91013244A4FB9C0819F4B034FC7"/>
                </w:placeholder>
                <w15:color w:val="FFCC99"/>
                <w:date>
                  <w:dateFormat w:val="yyyy 'm.' MMMM d 'd.'"/>
                  <w:lid w:val="lt-LT"/>
                  <w:storeMappedDataAs w:val="dateTime"/>
                  <w:calendar w:val="gregorian"/>
                </w:date>
              </w:sdtPr>
              <w:sdtContent>
                <w:r w:rsidR="009B2F9C">
                  <w:t>2023 gegužės 18 d.</w:t>
                </w:r>
              </w:sdtContent>
            </w:sdt>
          </w:p>
        </w:tc>
        <w:tc>
          <w:tcPr>
            <w:tcW w:w="2351" w:type="dxa"/>
          </w:tcPr>
          <w:p w14:paraId="06F90737" w14:textId="77777777" w:rsidR="009B2F9C" w:rsidRPr="007227E7" w:rsidRDefault="009B2F9C" w:rsidP="00280B23">
            <w:pPr>
              <w:spacing w:line="276" w:lineRule="auto"/>
              <w:rPr>
                <w:rFonts w:eastAsia="Arial"/>
              </w:rPr>
            </w:pPr>
            <w:r w:rsidRPr="007227E7">
              <w:rPr>
                <w:rFonts w:eastAsia="Arial"/>
              </w:rPr>
              <w:t xml:space="preserve">Finerenonas rekomenduojamas kompensuoti  suaugusiems, sergantiems lėtine inkstų liga </w:t>
            </w:r>
            <w:r>
              <w:rPr>
                <w:rFonts w:eastAsia="Arial"/>
              </w:rPr>
              <w:t>ir</w:t>
            </w:r>
            <w:r w:rsidRPr="007227E7">
              <w:rPr>
                <w:rFonts w:eastAsia="Arial"/>
              </w:rPr>
              <w:t xml:space="preserve"> 2 tipo cukriniu diabetu.</w:t>
            </w:r>
            <w:r>
              <w:rPr>
                <w:rFonts w:eastAsia="Arial"/>
              </w:rPr>
              <w:t xml:space="preserve"> Rekomenduojama komensuoti pacientams, kurių aGFG &gt;</w:t>
            </w:r>
            <w:r w:rsidRPr="007227E7">
              <w:rPr>
                <w:rFonts w:eastAsia="Arial"/>
              </w:rPr>
              <w:t>25</w:t>
            </w:r>
          </w:p>
          <w:p w14:paraId="1A967557" w14:textId="77777777" w:rsidR="009B2F9C" w:rsidRPr="007227E7" w:rsidRDefault="009B2F9C" w:rsidP="00280B23">
            <w:pPr>
              <w:spacing w:line="276" w:lineRule="auto"/>
              <w:rPr>
                <w:rFonts w:eastAsia="Arial"/>
              </w:rPr>
            </w:pPr>
            <w:r w:rsidRPr="007227E7">
              <w:rPr>
                <w:rFonts w:eastAsia="Arial"/>
              </w:rPr>
              <w:t>mL/min/1</w:t>
            </w:r>
            <w:r>
              <w:rPr>
                <w:rFonts w:eastAsia="Arial"/>
              </w:rPr>
              <w:t>,</w:t>
            </w:r>
            <w:r w:rsidRPr="007227E7">
              <w:rPr>
                <w:rFonts w:eastAsia="Arial"/>
              </w:rPr>
              <w:t xml:space="preserve">73 m2 </w:t>
            </w:r>
            <w:r>
              <w:rPr>
                <w:rFonts w:eastAsia="Arial"/>
              </w:rPr>
              <w:t>ir</w:t>
            </w:r>
            <w:r w:rsidRPr="007227E7">
              <w:rPr>
                <w:rFonts w:eastAsia="Arial"/>
              </w:rPr>
              <w:t xml:space="preserve"> albuminuri</w:t>
            </w:r>
            <w:r>
              <w:rPr>
                <w:rFonts w:eastAsia="Arial"/>
              </w:rPr>
              <w:t>ja</w:t>
            </w:r>
          </w:p>
          <w:p w14:paraId="19205277" w14:textId="77777777" w:rsidR="009B2F9C" w:rsidRPr="007227E7" w:rsidRDefault="009B2F9C" w:rsidP="00280B23">
            <w:pPr>
              <w:spacing w:line="276" w:lineRule="auto"/>
              <w:rPr>
                <w:rFonts w:eastAsia="Arial"/>
              </w:rPr>
            </w:pPr>
            <w:r>
              <w:rPr>
                <w:rFonts w:eastAsia="Arial"/>
              </w:rPr>
              <w:lastRenderedPageBreak/>
              <w:t>≥</w:t>
            </w:r>
            <w:r w:rsidRPr="007227E7">
              <w:rPr>
                <w:rFonts w:eastAsia="Arial"/>
              </w:rPr>
              <w:t>30 mg/g (3 mg/</w:t>
            </w:r>
          </w:p>
          <w:p w14:paraId="08085A21" w14:textId="77777777" w:rsidR="009B2F9C" w:rsidRPr="0073329D" w:rsidRDefault="009B2F9C" w:rsidP="00280B23">
            <w:pPr>
              <w:spacing w:line="276" w:lineRule="auto"/>
              <w:rPr>
                <w:rFonts w:eastAsia="Arial"/>
              </w:rPr>
            </w:pPr>
            <w:r w:rsidRPr="007227E7">
              <w:rPr>
                <w:rFonts w:eastAsia="Arial"/>
              </w:rPr>
              <w:t>mmol).</w:t>
            </w:r>
          </w:p>
        </w:tc>
        <w:tc>
          <w:tcPr>
            <w:tcW w:w="2725" w:type="dxa"/>
          </w:tcPr>
          <w:p w14:paraId="43764E9F" w14:textId="77777777" w:rsidR="009B2F9C" w:rsidRPr="0073329D" w:rsidRDefault="009B2F9C" w:rsidP="00280B23">
            <w:pPr>
              <w:spacing w:line="276" w:lineRule="auto"/>
              <w:rPr>
                <w:rFonts w:eastAsia="Arial"/>
              </w:rPr>
            </w:pPr>
            <w:r>
              <w:rPr>
                <w:rFonts w:eastAsia="Arial"/>
              </w:rPr>
              <w:lastRenderedPageBreak/>
              <w:t>Rekomenduojamas finerenono kainos sumažinimas bent 55%, kad būtų pasiektas tikslinis $50000 QALY.</w:t>
            </w:r>
          </w:p>
        </w:tc>
      </w:tr>
      <w:tr w:rsidR="009B2F9C" w:rsidRPr="0073329D" w14:paraId="46AEF77F" w14:textId="77777777" w:rsidTr="009B2F9C">
        <w:trPr>
          <w:trHeight w:val="1927"/>
        </w:trPr>
        <w:tc>
          <w:tcPr>
            <w:tcW w:w="2613" w:type="dxa"/>
          </w:tcPr>
          <w:p w14:paraId="6CA64535" w14:textId="77777777" w:rsidR="009B2F9C" w:rsidRPr="0073329D" w:rsidRDefault="009B2F9C" w:rsidP="00280B23">
            <w:pPr>
              <w:spacing w:line="276" w:lineRule="auto"/>
              <w:rPr>
                <w:rFonts w:eastAsia="Arial"/>
              </w:rPr>
            </w:pPr>
            <w:r w:rsidRPr="0073329D">
              <w:rPr>
                <w:rFonts w:eastAsia="Arial"/>
              </w:rPr>
              <w:t>Nacionalinis farmakoekonomikos centras, Airija</w:t>
            </w:r>
          </w:p>
          <w:p w14:paraId="41B9F100" w14:textId="77777777" w:rsidR="009B2F9C" w:rsidRPr="0073329D" w:rsidRDefault="009B2F9C" w:rsidP="00280B23">
            <w:pPr>
              <w:spacing w:line="276" w:lineRule="auto"/>
              <w:rPr>
                <w:rFonts w:eastAsia="Arial"/>
              </w:rPr>
            </w:pPr>
            <w:r w:rsidRPr="0073329D">
              <w:rPr>
                <w:rFonts w:eastAsia="Arial"/>
              </w:rPr>
              <w:t>(angl.</w:t>
            </w:r>
            <w:r w:rsidRPr="0073329D">
              <w:rPr>
                <w:rFonts w:eastAsia="Arial"/>
                <w:i/>
              </w:rPr>
              <w:t xml:space="preserve"> National Centre for Pharmacoeconomics, NCPE</w:t>
            </w:r>
            <w:r w:rsidRPr="0073329D">
              <w:rPr>
                <w:rFonts w:eastAsia="Arial"/>
              </w:rPr>
              <w:t>)</w:t>
            </w:r>
          </w:p>
        </w:tc>
        <w:tc>
          <w:tcPr>
            <w:tcW w:w="1773" w:type="dxa"/>
          </w:tcPr>
          <w:p w14:paraId="155F5276" w14:textId="77777777" w:rsidR="009B2F9C" w:rsidRPr="0073329D" w:rsidRDefault="00000000" w:rsidP="00280B23">
            <w:sdt>
              <w:sdtPr>
                <w:rPr>
                  <w:rStyle w:val="Style2"/>
                </w:rPr>
                <w:id w:val="-1888403732"/>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rPr>
                  <w:t>☒</w:t>
                </w:r>
              </w:sdtContent>
            </w:sdt>
            <w:r w:rsidR="009B2F9C" w:rsidRPr="0073329D">
              <w:t xml:space="preserve"> Taip</w:t>
            </w:r>
          </w:p>
          <w:p w14:paraId="04EB3AF5" w14:textId="77777777" w:rsidR="009B2F9C" w:rsidRPr="0073329D" w:rsidRDefault="00000000" w:rsidP="00280B23">
            <w:sdt>
              <w:sdtPr>
                <w:rPr>
                  <w:rStyle w:val="Style2"/>
                </w:rPr>
                <w:id w:val="1092201793"/>
                <w15:color w:val="FFCC00"/>
                <w14:checkbox>
                  <w14:checked w14:val="0"/>
                  <w14:checkedState w14:val="2612" w14:font="MS Gothic"/>
                  <w14:uncheckedState w14:val="2610" w14:font="MS Gothic"/>
                </w14:checkbox>
              </w:sdtPr>
              <w:sdtContent>
                <w:r w:rsidR="009B2F9C" w:rsidRPr="0073329D">
                  <w:rPr>
                    <w:rStyle w:val="Style2"/>
                    <w:rFonts w:ascii="Segoe UI Symbol" w:eastAsia="MS Gothic" w:hAnsi="Segoe UI Symbol" w:cs="Segoe UI Symbol"/>
                  </w:rPr>
                  <w:t>☐</w:t>
                </w:r>
              </w:sdtContent>
            </w:sdt>
            <w:r w:rsidR="009B2F9C" w:rsidRPr="0073329D">
              <w:t xml:space="preserve"> Ne</w:t>
            </w:r>
          </w:p>
          <w:p w14:paraId="4F41846C" w14:textId="77777777" w:rsidR="009B2F9C" w:rsidRPr="0073329D" w:rsidRDefault="00000000" w:rsidP="00280B23">
            <w:pPr>
              <w:spacing w:line="276" w:lineRule="auto"/>
              <w:rPr>
                <w:rFonts w:eastAsia="Arial"/>
              </w:rPr>
            </w:pPr>
            <w:sdt>
              <w:sdtPr>
                <w:alias w:val="Nurodykite konkrečią dieną"/>
                <w:tag w:val="Nurodykite pradžios datą"/>
                <w:id w:val="-198323198"/>
                <w:placeholder>
                  <w:docPart w:val="4989C9A038B32944881B17250F847A71"/>
                </w:placeholder>
                <w15:color w:val="FFCC99"/>
                <w:date>
                  <w:dateFormat w:val="yyyy 'm.' MMMM d 'd.'"/>
                  <w:lid w:val="lt-LT"/>
                  <w:storeMappedDataAs w:val="dateTime"/>
                  <w:calendar w:val="gregorian"/>
                </w:date>
              </w:sdtPr>
              <w:sdtContent>
                <w:r w:rsidR="009B2F9C">
                  <w:t>2023 rugpjūčio 22 d.</w:t>
                </w:r>
              </w:sdtContent>
            </w:sdt>
          </w:p>
        </w:tc>
        <w:tc>
          <w:tcPr>
            <w:tcW w:w="2351" w:type="dxa"/>
          </w:tcPr>
          <w:p w14:paraId="1F81FEA6" w14:textId="77777777" w:rsidR="009B2F9C" w:rsidRPr="0073329D" w:rsidRDefault="009B2F9C" w:rsidP="00280B23">
            <w:pPr>
              <w:spacing w:line="276" w:lineRule="auto"/>
              <w:rPr>
                <w:rFonts w:eastAsia="Arial"/>
              </w:rPr>
            </w:pPr>
            <w:r w:rsidRPr="007227E7">
              <w:rPr>
                <w:rFonts w:eastAsia="Arial"/>
              </w:rPr>
              <w:t>Finerenonas rekomenduojamas kompensuoti  suaugusiems, sergantiems lėtine inkstų liga (3 ir 4 stadijos su albuminurija), susijusia su 2 tipo cukriniu diabetu.</w:t>
            </w:r>
          </w:p>
        </w:tc>
        <w:tc>
          <w:tcPr>
            <w:tcW w:w="2725" w:type="dxa"/>
          </w:tcPr>
          <w:p w14:paraId="5912F0DB" w14:textId="77777777" w:rsidR="009B2F9C" w:rsidRPr="0073329D" w:rsidRDefault="009B2F9C" w:rsidP="00280B23">
            <w:pPr>
              <w:spacing w:line="276" w:lineRule="auto"/>
              <w:rPr>
                <w:rFonts w:eastAsia="Arial"/>
              </w:rPr>
            </w:pPr>
            <w:r>
              <w:rPr>
                <w:rFonts w:eastAsia="Arial"/>
              </w:rPr>
              <w:t>Rekomenduojama kompensuoti finerenoną, jeigu bus pagerintas kainos ir efektyvumo santykis.</w:t>
            </w:r>
          </w:p>
        </w:tc>
      </w:tr>
    </w:tbl>
    <w:p w14:paraId="2EB7FD31" w14:textId="4D2A8479" w:rsidR="007A2B68" w:rsidRPr="000203E1" w:rsidRDefault="007A2B68" w:rsidP="00E03C3F">
      <w:pPr>
        <w:pStyle w:val="Sraopastraipa"/>
        <w:tabs>
          <w:tab w:val="left" w:pos="426"/>
        </w:tabs>
        <w:ind w:left="0"/>
        <w:rPr>
          <w:b/>
          <w:bCs/>
          <w:caps/>
        </w:rPr>
      </w:pPr>
    </w:p>
    <w:p w14:paraId="5055E8A8" w14:textId="471A9757" w:rsidR="002E6F80" w:rsidRPr="000203E1" w:rsidRDefault="00CC7832" w:rsidP="00CC09D4">
      <w:pPr>
        <w:pStyle w:val="Sraopastraipa"/>
        <w:numPr>
          <w:ilvl w:val="0"/>
          <w:numId w:val="12"/>
        </w:numPr>
        <w:tabs>
          <w:tab w:val="left" w:pos="567"/>
        </w:tabs>
        <w:ind w:hanging="720"/>
        <w:rPr>
          <w:b/>
          <w:bCs/>
          <w:caps/>
        </w:rPr>
      </w:pPr>
      <w:r w:rsidRPr="000203E1">
        <w:rPr>
          <w:b/>
          <w:bCs/>
          <w:caps/>
        </w:rPr>
        <w:t>Klinikinio vertinimo a</w:t>
      </w:r>
      <w:r w:rsidR="00D4485B" w:rsidRPr="000203E1">
        <w:rPr>
          <w:b/>
          <w:bCs/>
          <w:caps/>
        </w:rPr>
        <w:t>pibendrinimas</w:t>
      </w:r>
    </w:p>
    <w:p w14:paraId="0ACD4596" w14:textId="77777777" w:rsidR="00C21A99" w:rsidRDefault="00C21A99" w:rsidP="00C21A99">
      <w:pPr>
        <w:pStyle w:val="Style1"/>
        <w:spacing w:line="276" w:lineRule="auto"/>
        <w:jc w:val="both"/>
      </w:pPr>
    </w:p>
    <w:p w14:paraId="4F16E88A" w14:textId="57FFC8F5" w:rsidR="009B2F9C" w:rsidRPr="004A4600" w:rsidRDefault="009B2F9C" w:rsidP="00C21A99">
      <w:pPr>
        <w:pStyle w:val="Style1"/>
        <w:spacing w:line="276" w:lineRule="auto"/>
        <w:jc w:val="both"/>
      </w:pPr>
      <w:r w:rsidRPr="004A2102">
        <w:t>L</w:t>
      </w:r>
      <w:r>
        <w:t>ėtinė inkstų liga (LIL), TLK 10 AM kodas N18, yra</w:t>
      </w:r>
      <w:r w:rsidRPr="004A2102">
        <w:t xml:space="preserve"> laikomas inkst</w:t>
      </w:r>
      <w:r w:rsidRPr="004A2102">
        <w:rPr>
          <w:rFonts w:hint="eastAsia"/>
        </w:rPr>
        <w:t>ų</w:t>
      </w:r>
      <w:r w:rsidRPr="004A2102">
        <w:t xml:space="preserve"> funkcijos sutrikimas ar strukt</w:t>
      </w:r>
      <w:r w:rsidRPr="004A2102">
        <w:rPr>
          <w:rFonts w:hint="eastAsia"/>
        </w:rPr>
        <w:t>ū</w:t>
      </w:r>
      <w:r w:rsidRPr="004A2102">
        <w:t>ros pakitimai,</w:t>
      </w:r>
      <w:r>
        <w:t xml:space="preserve"> </w:t>
      </w:r>
      <w:r w:rsidRPr="004A2102">
        <w:t>trunka</w:t>
      </w:r>
      <w:r>
        <w:t>n</w:t>
      </w:r>
      <w:r w:rsidRPr="004A2102">
        <w:t>tys ilgiau kaip 3 m</w:t>
      </w:r>
      <w:r w:rsidRPr="004A2102">
        <w:rPr>
          <w:rFonts w:hint="eastAsia"/>
        </w:rPr>
        <w:t>ė</w:t>
      </w:r>
      <w:r w:rsidRPr="004A2102">
        <w:t xml:space="preserve">nesius ir turintys </w:t>
      </w:r>
      <w:r w:rsidRPr="004A2102">
        <w:rPr>
          <w:rFonts w:hint="eastAsia"/>
        </w:rPr>
        <w:t>į</w:t>
      </w:r>
      <w:r w:rsidRPr="004A2102">
        <w:t>takos sveikatos b</w:t>
      </w:r>
      <w:r w:rsidRPr="004A2102">
        <w:rPr>
          <w:rFonts w:hint="eastAsia"/>
        </w:rPr>
        <w:t>ū</w:t>
      </w:r>
      <w:r w:rsidRPr="004A2102">
        <w:t>klei</w:t>
      </w:r>
      <w:r>
        <w:t xml:space="preserve">. LIL yra </w:t>
      </w:r>
      <w:r w:rsidRPr="004A2102">
        <w:t>progresuojantis glomerulų filtracijos greičio (toliau – GFG) mažėjimas dėl negrįžtamos nefronų žūties, sergant lėtinėmis inkstų ligomis.</w:t>
      </w:r>
      <w:r>
        <w:t xml:space="preserve"> Sergantys LIL dažnai miršta nuo kardiovaskulinių ligų, cukrinio diabeto komplikacijų. LIL paplitimas tarp vyresnių asmenų didėja, be to, su amžiumi liga progresuoja.</w:t>
      </w:r>
      <w:r w:rsidRPr="00216CB1">
        <w:t xml:space="preserve"> </w:t>
      </w:r>
      <w:r>
        <w:t>LIL</w:t>
      </w:r>
      <w:r w:rsidRPr="00216CB1">
        <w:t xml:space="preserve"> pacientai, sergantys T2</w:t>
      </w:r>
      <w:r>
        <w:t>C</w:t>
      </w:r>
      <w:r w:rsidRPr="00216CB1">
        <w:t xml:space="preserve">D, </w:t>
      </w:r>
      <w:r>
        <w:t>dažniau patiria</w:t>
      </w:r>
      <w:r w:rsidRPr="00216CB1">
        <w:t xml:space="preserve"> rimt</w:t>
      </w:r>
      <w:r>
        <w:t>ų</w:t>
      </w:r>
      <w:r w:rsidRPr="00216CB1">
        <w:t xml:space="preserve"> širdies ir kraujagyslių ligų</w:t>
      </w:r>
      <w:r>
        <w:t xml:space="preserve"> (ŠKL)</w:t>
      </w:r>
      <w:r w:rsidRPr="00216CB1">
        <w:t xml:space="preserve"> komplikacij</w:t>
      </w:r>
      <w:r>
        <w:t>ų</w:t>
      </w:r>
      <w:r w:rsidRPr="00216CB1">
        <w:t xml:space="preserve">, įskaitant padidėjusią </w:t>
      </w:r>
      <w:r>
        <w:t xml:space="preserve">ŠKL </w:t>
      </w:r>
      <w:r w:rsidRPr="00216CB1">
        <w:t>reiškinių ir mirties</w:t>
      </w:r>
      <w:r>
        <w:t xml:space="preserve"> nuo</w:t>
      </w:r>
      <w:r w:rsidRPr="00216CB1">
        <w:t xml:space="preserve"> </w:t>
      </w:r>
      <w:r>
        <w:t>ŠKL</w:t>
      </w:r>
      <w:r w:rsidRPr="00216CB1">
        <w:t xml:space="preserve"> riziką. Pacientams, sergantiems </w:t>
      </w:r>
      <w:r>
        <w:t>LIL</w:t>
      </w:r>
      <w:r w:rsidRPr="00216CB1">
        <w:t xml:space="preserve"> ir T2</w:t>
      </w:r>
      <w:r>
        <w:t>C</w:t>
      </w:r>
      <w:r w:rsidRPr="00216CB1">
        <w:t xml:space="preserve">D, </w:t>
      </w:r>
      <w:r>
        <w:t>ŠKL</w:t>
      </w:r>
      <w:r w:rsidRPr="00216CB1">
        <w:t xml:space="preserve"> mirties rizika yra maždaug 3 kartus didesnė nei pacientams, sergantiems vien T2</w:t>
      </w:r>
      <w:r>
        <w:t>C</w:t>
      </w:r>
      <w:r w:rsidRPr="00216CB1">
        <w:t xml:space="preserve">D, ir maždaug 6 kartus didesnė nei pacientams, nesergantiems </w:t>
      </w:r>
      <w:r>
        <w:t>LIL</w:t>
      </w:r>
      <w:r w:rsidRPr="00216CB1">
        <w:t xml:space="preserve"> ir T2</w:t>
      </w:r>
      <w:r>
        <w:t>C</w:t>
      </w:r>
      <w:r w:rsidRPr="00216CB1">
        <w:t>D</w:t>
      </w:r>
      <w:r>
        <w:t xml:space="preserve">. </w:t>
      </w:r>
      <w:r w:rsidRPr="00406541">
        <w:rPr>
          <w:rFonts w:eastAsia="Arial"/>
          <w:bCs/>
        </w:rPr>
        <w:t>Tarptautinėse</w:t>
      </w:r>
      <w:r>
        <w:rPr>
          <w:rFonts w:eastAsia="Arial"/>
          <w:bCs/>
        </w:rPr>
        <w:t xml:space="preserve"> atnaujintose 2024 m. KIDGO gairėse rekomenduojama skirti nesteroidinį mineralkortikoidinių receptorių antagonistą pacientams, sergantiems lėtine inkstų liga (LIL) ir 2 tipo cukriniu diabetu (2TCD), kurių apskaičiuotas glomerulų filtracijos greitis (aGFG) yra &gt;25 ml/min/1,73 m</w:t>
      </w:r>
      <w:r w:rsidRPr="00FE35CE">
        <w:rPr>
          <w:rFonts w:eastAsia="Arial"/>
          <w:bCs/>
          <w:vertAlign w:val="superscript"/>
        </w:rPr>
        <w:t>2</w:t>
      </w:r>
      <w:r>
        <w:rPr>
          <w:rFonts w:eastAsia="Arial"/>
          <w:bCs/>
        </w:rPr>
        <w:t xml:space="preserve">, yra normali kalio koncentracija kraujo serume ir albuminurija yra &gt;30 mg/g (3mg/mmol), ir šiems pacientams yra skiriamos maksimalios toleruojamos renino-angiotenzino-aldosterono sistemos inhibitorių (RASI) dozės. Gydymą galima skirti ir kaip papildomą gydymą su RASI ir SGLT2 inhibitoriumi. Šiuo metu Lietuvoje nuo </w:t>
      </w:r>
      <w:r w:rsidRPr="00F56659">
        <w:rPr>
          <w:rFonts w:eastAsia="Arial"/>
          <w:bCs/>
        </w:rPr>
        <w:t>2024 m. gegužės 17 d</w:t>
      </w:r>
      <w:r>
        <w:rPr>
          <w:rFonts w:eastAsia="Arial"/>
          <w:i/>
        </w:rPr>
        <w:t>.</w:t>
      </w:r>
      <w:r>
        <w:rPr>
          <w:rFonts w:eastAsia="Arial"/>
          <w:iCs/>
        </w:rPr>
        <w:t xml:space="preserve"> į kompensuojamų vaistų sąrašus įtrauktas LIL gydymui indikuotinas SLGT2 inhibitorius dapafliflozinas. Tarptautinėse gairėse LIL progresavimo lėtinimui rekomenduojami RASI inhibitoriai nėra kompensuojami pagal LIL diagnozę, tačiau dėl pacientų komorbidiškumo ŠKL ligomis, LIL pacientams skiriamas kompensuojamas gydymas RASI pagal kitas indikacijas. P</w:t>
      </w:r>
      <w:r w:rsidRPr="004A4600">
        <w:rPr>
          <w:rFonts w:eastAsia="Arial"/>
          <w:iCs/>
        </w:rPr>
        <w:t>alyginamuoju gydymu laikomas placebo, atitinkantis standartinį palyginamąjį gydymą RASI.</w:t>
      </w:r>
    </w:p>
    <w:p w14:paraId="3CE3DF8F" w14:textId="77777777" w:rsidR="009B2F9C" w:rsidRDefault="009B2F9C" w:rsidP="00C21A99">
      <w:pPr>
        <w:pStyle w:val="Style1"/>
        <w:spacing w:line="276" w:lineRule="auto"/>
        <w:jc w:val="both"/>
      </w:pPr>
      <w:r w:rsidRPr="000A3D9F">
        <w:t>Finerenonas yra nesteroidinis, selektyvus mineralkortikoidų receptorių (MR) antagonistas, kur</w:t>
      </w:r>
      <w:r>
        <w:t>iuos</w:t>
      </w:r>
      <w:r w:rsidRPr="000A3D9F">
        <w:t xml:space="preserve"> aktyvina aldosteronas ir kortizolis; ji</w:t>
      </w:r>
      <w:r>
        <w:t>e</w:t>
      </w:r>
      <w:r w:rsidRPr="000A3D9F">
        <w:t xml:space="preserve"> reguliuoja genų transkripciją. Dėl </w:t>
      </w:r>
      <w:r>
        <w:t>finerenono</w:t>
      </w:r>
      <w:r w:rsidRPr="000A3D9F">
        <w:t xml:space="preserve"> jungimosi su MR susidaro specifinis receptoriaus-ligando kompleksas, kuris blokuoja transkripcijos koaktyvatorių, susijusių su</w:t>
      </w:r>
      <w:r>
        <w:t xml:space="preserve"> </w:t>
      </w:r>
      <w:r w:rsidRPr="000A3D9F">
        <w:t>prouždegiminių ir profibrozinių mediatorių raiška, įtraukimą</w:t>
      </w:r>
      <w:r>
        <w:t>.</w:t>
      </w:r>
    </w:p>
    <w:p w14:paraId="0D043A3C" w14:textId="77777777" w:rsidR="009B2F9C" w:rsidRDefault="009B2F9C" w:rsidP="00C21A99">
      <w:pPr>
        <w:pStyle w:val="Style1"/>
        <w:spacing w:line="276" w:lineRule="auto"/>
        <w:jc w:val="both"/>
      </w:pPr>
    </w:p>
    <w:p w14:paraId="763AB5A2" w14:textId="77777777" w:rsidR="009B2F9C" w:rsidRPr="004A4600" w:rsidRDefault="009B2F9C" w:rsidP="00C21A99">
      <w:pPr>
        <w:pStyle w:val="Style1"/>
        <w:spacing w:line="276" w:lineRule="auto"/>
        <w:ind w:firstLine="0"/>
        <w:jc w:val="both"/>
        <w:rPr>
          <w:i/>
          <w:iCs/>
        </w:rPr>
      </w:pPr>
      <w:r w:rsidRPr="004A4600">
        <w:rPr>
          <w:i/>
          <w:iCs/>
        </w:rPr>
        <w:t>Tiesioginis palyginimas</w:t>
      </w:r>
    </w:p>
    <w:p w14:paraId="4556FDA4" w14:textId="77777777" w:rsidR="009B2F9C" w:rsidRPr="00924F4F" w:rsidRDefault="009B2F9C" w:rsidP="00C21A99">
      <w:pPr>
        <w:pStyle w:val="Style1"/>
        <w:spacing w:line="276" w:lineRule="auto"/>
        <w:jc w:val="both"/>
      </w:pPr>
      <w:r w:rsidRPr="00A47629">
        <w:lastRenderedPageBreak/>
        <w:t>Klinikinis veiksmingumas vertintas remiantis tiesioginiu palyginimu su placebo, tai yra tinkamas palyginamasis gydymas. Tiesioginiam palyginimui pateikt</w:t>
      </w:r>
      <w:r>
        <w:t xml:space="preserve">i </w:t>
      </w:r>
      <w:r>
        <w:rPr>
          <w:rFonts w:eastAsia="Arial"/>
          <w:bCs/>
        </w:rPr>
        <w:t xml:space="preserve">du vienodo dizaino, populiacijos ir vertinamųjų baigčių tyrimai </w:t>
      </w:r>
      <w:r>
        <w:rPr>
          <w:rFonts w:eastAsia="Arial"/>
        </w:rPr>
        <w:t xml:space="preserve">FIDELIO-DKD ir FIGARO-DKD. Dėl tyrimų panašumo buvo atlikta suminė analizė FIDELITY. </w:t>
      </w:r>
      <w:r>
        <w:rPr>
          <w:rFonts w:eastAsia="Arial"/>
          <w:bCs/>
        </w:rPr>
        <w:t xml:space="preserve">FIDELIO-DKD tyrimui atrinkti 5734 pacientai. 99,9 proc. pacientų vartojo RASI, 97,4% pacientų vartojo 2TCD vaistus, 4,6% pacientų vartojo SGLT2 inhibitorius. Tyrimo dalyvių pagrindiniai demografiniai ir ligos duomenys tarp grupių buvo pasiskirstę tolygiai ir atitinką realią pacientų populiaciją. Vidutinis sekimo periodas buvo 2,6 metų.  </w:t>
      </w:r>
      <w:r>
        <w:rPr>
          <w:rFonts w:eastAsia="Arial"/>
        </w:rPr>
        <w:t xml:space="preserve">FIGARO-DKD tyrimui atrinkti 7437. 99,9 proc. pacientų vartojo RASI, 97,9% pacientų vartojo 2TCD vaistus, 8,4% pacientų vartojo SGLT2 inhibitorius. Tyrimo dalyvių pagrindiniai demografiniai ir ligos duomenys tarp grupių buvo pasiskirstę tolygiai ir atitinką realią pacientų populiaciją. Vidutinis sekimo periodas buvo 3,4 metų. Suminėje FIDELITY analizėje pacientų pradiniai demografiniai ir klinikiniai rodikliai taip pat buvo pasiskirstę panašiai ir atitinka realią pacientų populiaciją. </w:t>
      </w:r>
      <w:r>
        <w:t xml:space="preserve"> </w:t>
      </w:r>
      <w:r w:rsidRPr="00947695">
        <w:rPr>
          <w:rFonts w:eastAsia="Arial"/>
        </w:rPr>
        <w:t xml:space="preserve">Pagrindinė (inkstų ligos) vertinamoji sudėtinė baigtis (inkstų funkcijos nepakankamumas (aGFG sumažėjimas ≤15 ml/min/1,73m2, dializės poreikis arba inksto transplantacija), bent 4 sav. išliekantis ≥40% aGFG pablogėjimas nuo pradinio, arba mirtis dėl inkstų ligos) finerenono grupėje pasireiškė statistiškai reikšmingai rečiau, nei placebo grupėje (13,1% </w:t>
      </w:r>
      <w:r w:rsidRPr="00947695">
        <w:rPr>
          <w:rFonts w:eastAsia="Arial"/>
          <w:i/>
          <w:iCs/>
        </w:rPr>
        <w:t xml:space="preserve">vs </w:t>
      </w:r>
      <w:r w:rsidRPr="00947695">
        <w:rPr>
          <w:rFonts w:eastAsia="Arial"/>
        </w:rPr>
        <w:t>15,3% atitinkamai, rizikos santykis (RS) 0,85; 95% PI 0,77-0,93, p=0,0004).</w:t>
      </w:r>
      <w:r>
        <w:rPr>
          <w:rFonts w:eastAsia="Arial"/>
        </w:rPr>
        <w:t xml:space="preserve"> </w:t>
      </w:r>
      <w:r w:rsidRPr="00947695">
        <w:rPr>
          <w:rFonts w:eastAsia="Arial"/>
        </w:rPr>
        <w:t>Pagrindinė (širdies ir kraujagyslių ligos) vertinamoji sudėtinė baigtis (mirtis nuo ŠKL ligos, arba ne mirtinas miokardo infarktas, arba ne mirtinas insultas, arba iki hospitalizacija dėl širdies nepakankamumo) įvyko 825 (12,7%) pacientų, gydytų finerenonu ir 939 (14,4%) placebo gydytų pacientų, statistiškai reikšmingai mažiau finerenono grupėje (RS 0,86; 95% PI 0,78-0,95, p=0,0018).</w:t>
      </w:r>
      <w:r>
        <w:rPr>
          <w:rFonts w:eastAsia="Arial"/>
        </w:rPr>
        <w:t xml:space="preserve"> </w:t>
      </w:r>
      <w:r w:rsidRPr="00947695">
        <w:rPr>
          <w:rFonts w:eastAsia="Arial"/>
        </w:rPr>
        <w:t>Sudėtinė baigtis</w:t>
      </w:r>
      <w:r>
        <w:rPr>
          <w:rFonts w:eastAsia="Arial"/>
        </w:rPr>
        <w:t xml:space="preserve"> </w:t>
      </w:r>
      <w:r w:rsidRPr="00947695">
        <w:rPr>
          <w:rFonts w:eastAsia="Arial"/>
        </w:rPr>
        <w:t xml:space="preserve"> </w:t>
      </w:r>
      <w:r>
        <w:rPr>
          <w:rFonts w:eastAsia="Arial"/>
        </w:rPr>
        <w:t>(</w:t>
      </w:r>
      <w:r w:rsidRPr="00947695">
        <w:rPr>
          <w:rFonts w:eastAsia="Arial"/>
        </w:rPr>
        <w:t>laikas iki inkstų funkcijos nepakankamumo, arba išliekantis aGFG pablogėjimas ≥57% nuo pradinio, arba mirtis dėl inkstų ligos</w:t>
      </w:r>
      <w:r>
        <w:rPr>
          <w:rFonts w:eastAsia="Arial"/>
        </w:rPr>
        <w:t>)</w:t>
      </w:r>
      <w:r w:rsidRPr="00947695">
        <w:rPr>
          <w:rFonts w:eastAsia="Arial"/>
        </w:rPr>
        <w:t xml:space="preserve"> finerenono grupėje įvyko statistiškai reikšmingai rečiau, lyginant su placebo grupe (5,5% </w:t>
      </w:r>
      <w:r w:rsidRPr="00947695">
        <w:rPr>
          <w:rFonts w:eastAsia="Arial"/>
          <w:i/>
          <w:iCs/>
        </w:rPr>
        <w:t>vs</w:t>
      </w:r>
      <w:r w:rsidRPr="00947695">
        <w:rPr>
          <w:rFonts w:eastAsia="Arial"/>
        </w:rPr>
        <w:t xml:space="preserve"> 7,2%, RS 0,77; 95% PI 0,67-0,88, p=0,0002).</w:t>
      </w:r>
      <w:r>
        <w:rPr>
          <w:rFonts w:eastAsia="Arial"/>
        </w:rPr>
        <w:t xml:space="preserve"> </w:t>
      </w:r>
      <w:r w:rsidRPr="00947695">
        <w:rPr>
          <w:rFonts w:eastAsia="Arial"/>
        </w:rPr>
        <w:t>Mirties dėl bet kokios priežasties dažnis finerenono grupėje statistiškai reikšmingai nuo placebo grupės nesiskyrė (p=0,051).</w:t>
      </w:r>
      <w:r>
        <w:rPr>
          <w:rFonts w:eastAsia="Arial"/>
        </w:rPr>
        <w:t xml:space="preserve"> </w:t>
      </w:r>
      <w:r w:rsidRPr="00947695">
        <w:rPr>
          <w:rFonts w:eastAsia="Arial"/>
        </w:rPr>
        <w:t>Hospitalizacijos dėl bet kokios priežasties dažnis finerenono grupėje statistiškai reikšmingai nuo placebo grupės nesiskyrė (p=0,087). Šlapimo albumino-kreatinino santykis nuo pradinio finerenono grupėje lyginant su placebo sumažėjo 32%, statistiškai reikšmingai labiau, nei placebo (mažiausias kvadratų santykis 0,68, 95% PI 0,66-0,70).</w:t>
      </w:r>
      <w:r>
        <w:rPr>
          <w:rFonts w:eastAsia="Arial"/>
        </w:rPr>
        <w:t xml:space="preserve"> Pogrupių analizėse statistiškai reikšmingų skirtumų tarp demografinių ir klinikinių grupių nebuvo. Pacientų praneštos baigtys (su sveikata susijusi gyvenimo kokybė), vertinant pagal KDQOL-36 skalę, indikuoja vėlesnį gyvenimo kokybės pablogėjimą, vartojant finerenoną. Remiantis EQ-5D VAS skalės rezultatais, finerenoną vartojančių pacientų gyvenimo kokybė pablogėja statistiškai reikšmingai vėliau, nei vartojant placebo (mažiausias kvadratų skirtumas 0,81, 95% PI 0,006-1,56, p=0,0354).</w:t>
      </w:r>
    </w:p>
    <w:p w14:paraId="354D44BC" w14:textId="77777777" w:rsidR="009B2F9C" w:rsidRDefault="009B2F9C" w:rsidP="00C21A99">
      <w:pPr>
        <w:pStyle w:val="Style1"/>
        <w:spacing w:line="276" w:lineRule="auto"/>
        <w:jc w:val="both"/>
      </w:pPr>
    </w:p>
    <w:p w14:paraId="7052B710" w14:textId="77777777" w:rsidR="009B2F9C" w:rsidRPr="00442615" w:rsidRDefault="009B2F9C" w:rsidP="00C21A99">
      <w:pPr>
        <w:pStyle w:val="Style1"/>
        <w:spacing w:line="276" w:lineRule="auto"/>
        <w:ind w:firstLine="0"/>
        <w:jc w:val="both"/>
        <w:rPr>
          <w:i/>
          <w:iCs/>
        </w:rPr>
      </w:pPr>
      <w:r w:rsidRPr="00442615">
        <w:rPr>
          <w:i/>
          <w:iCs/>
        </w:rPr>
        <w:t>Palyginamasis saugumas</w:t>
      </w:r>
    </w:p>
    <w:p w14:paraId="3045C7B1" w14:textId="77777777" w:rsidR="009B2F9C" w:rsidRDefault="009B2F9C" w:rsidP="00C21A99">
      <w:pPr>
        <w:pStyle w:val="Style1"/>
        <w:spacing w:line="276" w:lineRule="auto"/>
        <w:jc w:val="both"/>
      </w:pPr>
      <w:r w:rsidRPr="00442615">
        <w:t>Finerenono saugumo rezultatai buvo aptarti EVA mokslinėje diskusijoje (EMA/78746/2022) ir įtraukti į preparato charakteristikų santrauką, todėl šiame sveikatos technologijų vertinimo protokole bus aptariami trumpai.</w:t>
      </w:r>
      <w:r>
        <w:t xml:space="preserve">  </w:t>
      </w:r>
      <w:r w:rsidRPr="00442615">
        <w:t xml:space="preserve">Palyginamasis saugumas vertintas remiantis FIDELIO-DKD ir FIGARO-DKD tyrimų populiacijomis. Bendra finerenono populiacija 6510 pacientų, bendra placebo populiacija 6489 pacientai. </w:t>
      </w:r>
      <w:r>
        <w:t xml:space="preserve"> </w:t>
      </w:r>
      <w:r w:rsidRPr="00442615">
        <w:t>Pateiktuose tyrimuose finerenono saugumo profilis atitiko žinomą saugumo profilį, atsižvelgiant į lėtinės inkstų ligos sunkumą ir ligos eigą.</w:t>
      </w:r>
      <w:r>
        <w:t xml:space="preserve"> Hiperkalemija nesukėlė mirčių, tačiau sukėlė nežymiai didesnį hospitalizacijos dažnį.</w:t>
      </w:r>
      <w:r w:rsidRPr="00442615">
        <w:t xml:space="preserve"> Finerenono naudos/rizikos santykis yra patenkinamas LIL sergantiems suaugusiems pacientams, kurių aGFG yra ≥25ml/min/1,73 m2 prieš pradedant gydymą.</w:t>
      </w:r>
    </w:p>
    <w:p w14:paraId="000A93EB" w14:textId="77777777" w:rsidR="009B2F9C" w:rsidRDefault="009B2F9C" w:rsidP="00C21A99">
      <w:pPr>
        <w:pStyle w:val="Style1"/>
        <w:spacing w:line="276" w:lineRule="auto"/>
        <w:jc w:val="both"/>
      </w:pPr>
    </w:p>
    <w:p w14:paraId="3EC233A7" w14:textId="77777777" w:rsidR="009B2F9C" w:rsidRDefault="009B2F9C" w:rsidP="00C21A99">
      <w:pPr>
        <w:spacing w:line="276" w:lineRule="auto"/>
        <w:ind w:firstLine="709"/>
        <w:jc w:val="both"/>
        <w:rPr>
          <w:color w:val="000000"/>
        </w:rPr>
      </w:pPr>
      <w:r>
        <w:rPr>
          <w:color w:val="000000"/>
        </w:rPr>
        <w:lastRenderedPageBreak/>
        <w:t>Apibendrinant Paraiškoje pateiktus duomenis daroma išvada, kad finerenono palyginamasis efektyvumas yra didesnis, o klinikinis veiksmingumas pagrindžia papildomos naudos pacientų sveikatai sukūrimą lėtine inkstų liga susijusia su 2 tipo cukriniu diabetu sergantiems pacientams. Remiantis finerenono tyrimų įtraukimo ir atmetimo kriterijais bei KIDGO rekomendacijomis, siūloma skyrimo sąlyga, kurios pagrindu gydymas finerenonu būtų skiriamas pacientams, kuriems finerenono sukuriama nauda yra pagrįsta aukštos kokybės klinikiniais įrodymais.</w:t>
      </w:r>
    </w:p>
    <w:p w14:paraId="074BA203" w14:textId="3B447465" w:rsidR="009B2F9C" w:rsidRPr="009B2F9C" w:rsidRDefault="009B2F9C" w:rsidP="00A93AA6">
      <w:pPr>
        <w:tabs>
          <w:tab w:val="left" w:pos="284"/>
        </w:tabs>
        <w:rPr>
          <w:iCs/>
        </w:rPr>
      </w:pPr>
    </w:p>
    <w:p w14:paraId="25F89291" w14:textId="5C45C8FC" w:rsidR="00D4485B" w:rsidRPr="000203E1" w:rsidRDefault="00D4485B" w:rsidP="00A93AA6">
      <w:pPr>
        <w:pStyle w:val="Sraopastraipa"/>
        <w:tabs>
          <w:tab w:val="left" w:pos="426"/>
        </w:tabs>
        <w:ind w:left="0"/>
        <w:rPr>
          <w:b/>
          <w:bCs/>
          <w:cap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6A019F56" w:rsidR="00C62B36" w:rsidRDefault="00C62B36" w:rsidP="00A93AA6">
      <w:pPr>
        <w:tabs>
          <w:tab w:val="left" w:pos="426"/>
        </w:tabs>
        <w:rPr>
          <w:i/>
        </w:rPr>
      </w:pPr>
    </w:p>
    <w:p w14:paraId="7C663685" w14:textId="77777777" w:rsidR="00450075" w:rsidRPr="00B75F80" w:rsidRDefault="00450075" w:rsidP="00450075">
      <w:pPr>
        <w:spacing w:line="276" w:lineRule="auto"/>
        <w:ind w:firstLine="360"/>
        <w:jc w:val="both"/>
      </w:pPr>
      <w:r w:rsidRPr="00B75F80">
        <w:rPr>
          <w:color w:val="000000"/>
        </w:rPr>
        <w:t xml:space="preserve">Pateiktoje paraiškoje </w:t>
      </w:r>
      <w:r w:rsidRPr="00B75F80">
        <w:t xml:space="preserve">finerenoną (Kerendia) </w:t>
      </w:r>
      <w:r w:rsidRPr="00B75F80">
        <w:rPr>
          <w:color w:val="000000"/>
        </w:rPr>
        <w:t xml:space="preserve">siūloma kompensuoti pagal indikaciją registruotą </w:t>
      </w:r>
      <w:r w:rsidRPr="00B75F80">
        <w:t>preparato charakteristikų santraukoje</w:t>
      </w:r>
      <w:r w:rsidRPr="00B75F80">
        <w:rPr>
          <w:color w:val="000000"/>
          <w:lang w:eastAsia="lt-LT"/>
        </w:rPr>
        <w:t xml:space="preserve"> „Kerendia skirtas gydyti suaugusiesiems, sergantiems lėtine inkstų liga (su albuminurija), susijusia su 2 tipo cukriniu diabetu</w:t>
      </w:r>
      <w:r w:rsidRPr="00B75F80">
        <w:rPr>
          <w:color w:val="000000"/>
        </w:rPr>
        <w:t>“.</w:t>
      </w:r>
      <w:r>
        <w:t xml:space="preserve"> </w:t>
      </w:r>
      <w:r w:rsidRPr="00A87A6B">
        <w:rPr>
          <w:color w:val="000000"/>
        </w:rPr>
        <w:t xml:space="preserve">Kadangi KNA populiacijos duomenys pagrįsti </w:t>
      </w:r>
      <w:r w:rsidRPr="00A87A6B">
        <w:t>FIDELIO-DKD ir FIGARO-DKD</w:t>
      </w:r>
      <w:r w:rsidRPr="00A87A6B">
        <w:rPr>
          <w:color w:val="000000"/>
        </w:rPr>
        <w:t xml:space="preserve"> klinikinių tyrimų duomenimis, </w:t>
      </w:r>
      <w:r>
        <w:rPr>
          <w:color w:val="000000"/>
        </w:rPr>
        <w:t xml:space="preserve">siekiant, kad indikacija su skyrimo sąlygomis atitiktų tiriamąją populiaciją (pagal FIDELIO ir FIGARO klinikinius tyrimus, </w:t>
      </w:r>
      <w:r w:rsidRPr="00A87A6B">
        <w:rPr>
          <w:color w:val="000000"/>
        </w:rPr>
        <w:t>Pareiškėjui si</w:t>
      </w:r>
      <w:r>
        <w:rPr>
          <w:color w:val="000000"/>
        </w:rPr>
        <w:t>ūloma siaurinti skyrimo sąlygas (žr. skyrimo sąlygas).</w:t>
      </w:r>
      <w:r w:rsidRPr="00A87A6B">
        <w:rPr>
          <w:color w:val="000000"/>
        </w:rPr>
        <w:t xml:space="preserve"> </w:t>
      </w:r>
    </w:p>
    <w:p w14:paraId="78468FD0" w14:textId="77777777" w:rsidR="00450075" w:rsidRDefault="00450075" w:rsidP="00450075">
      <w:pPr>
        <w:spacing w:line="276" w:lineRule="auto"/>
        <w:ind w:firstLine="360"/>
        <w:jc w:val="both"/>
        <w:rPr>
          <w:bCs/>
          <w:iCs/>
        </w:rPr>
      </w:pPr>
      <w:r w:rsidRPr="00B75F80">
        <w:t xml:space="preserve">Finerenono klinikinis efektyvumas LIL gydymui įrodytas </w:t>
      </w:r>
      <w:r w:rsidRPr="00B75F80">
        <w:rPr>
          <w:lang w:eastAsia="lt-LT"/>
        </w:rPr>
        <w:t>FIDELIO-DKD ir FIGARO-DKD klinikinių tyrimų metu</w:t>
      </w:r>
      <w:r w:rsidRPr="00B75F80">
        <w:t xml:space="preserve">, kuriuose lygintas finerenono ir placebo poveikis, papildantis įprastinį gydymą, įskaitant angiotenziną konvertuojančio fermento inhibitorius (AKFI) ar angiotenzino receptorių blokatorius (ARB) bei </w:t>
      </w:r>
      <w:r w:rsidRPr="00B75F80">
        <w:rPr>
          <w:lang w:eastAsia="lt-LT"/>
        </w:rPr>
        <w:t>gliukozės kiekį mažinančius vaistus</w:t>
      </w:r>
      <w:r w:rsidRPr="00B75F80">
        <w:t>. Ekonominė analizė atliekama finerenoną (Kerendia) skiriant kaip papildomą gydymą prie standartinio optimalaus gydymo lyginant su placebo (standartiniu optimaliu gydymu). Laikoma, kad aktyvaus gydymo, su kuriuo galėtų būti lyginamas finerenonas Lietuvos klinikinėje praktikoje nėra ir ekonominėje analizėje palyginamasis – įprastinės praktikos gydymas (angl. standart of Care, SoC). E</w:t>
      </w:r>
      <w:r w:rsidRPr="00B75F80">
        <w:rPr>
          <w:bCs/>
          <w:szCs w:val="22"/>
        </w:rPr>
        <w:t>konominėje analizėje pateiktas palyginamasis gydymas atitinka klinikinio paraiškos vertinimo dalyj</w:t>
      </w:r>
      <w:r>
        <w:rPr>
          <w:bCs/>
          <w:szCs w:val="22"/>
        </w:rPr>
        <w:t xml:space="preserve">e pateiktą palyginamąjį gydymą </w:t>
      </w:r>
      <w:r w:rsidRPr="00B75F80">
        <w:rPr>
          <w:bCs/>
          <w:szCs w:val="22"/>
        </w:rPr>
        <w:t>ir įprastą Lietuvos Respublikos klinikinę praktiką.</w:t>
      </w:r>
      <w:r w:rsidRPr="00B75F80">
        <w:rPr>
          <w:bCs/>
          <w:iCs/>
        </w:rPr>
        <w:t xml:space="preserve"> </w:t>
      </w:r>
    </w:p>
    <w:p w14:paraId="4608165F" w14:textId="77777777" w:rsidR="00450075" w:rsidRPr="006651BB" w:rsidRDefault="00450075" w:rsidP="00450075">
      <w:pPr>
        <w:spacing w:line="276" w:lineRule="auto"/>
        <w:ind w:firstLine="360"/>
        <w:jc w:val="both"/>
        <w:rPr>
          <w:bCs/>
          <w:iCs/>
        </w:rPr>
      </w:pPr>
      <w:r w:rsidRPr="00B75F80">
        <w:t xml:space="preserve">Atsižvelgiant, kad lėtinė inkstų liga (LIL) yra lėtinė liga trunkanti visą gyvenimą ir yra susijusi su padidėjusia mirties rizika (LIL susijusio su diabetu ir širdies-kraujagyslių ligų rizikomis), ekonominėje analizėje yra taikoma viso gyvenimo laiko perspektyva (100 m.). </w:t>
      </w:r>
      <w:r w:rsidRPr="00B75F80">
        <w:rPr>
          <w:lang w:eastAsia="lt-LT"/>
        </w:rPr>
        <w:t xml:space="preserve">Tarnyba vertina, kad pasirinkta laiko perspektyva yra tinkama siekiant, kad laikotarpis būtų pakankamas sveikatai sukuriamai naudai ir patiriamiems kaštams užfiksuoti (vidutinis LIL pacientų amžius – </w:t>
      </w:r>
      <w:r w:rsidRPr="00B75F80">
        <w:rPr>
          <w:lang w:val="en-US" w:eastAsia="lt-LT"/>
        </w:rPr>
        <w:t>64,8</w:t>
      </w:r>
      <w:r w:rsidRPr="00B75F80">
        <w:rPr>
          <w:lang w:eastAsia="lt-LT"/>
        </w:rPr>
        <w:t xml:space="preserve"> m.).</w:t>
      </w:r>
      <w:r>
        <w:rPr>
          <w:bCs/>
          <w:iCs/>
        </w:rPr>
        <w:t xml:space="preserve"> </w:t>
      </w:r>
      <w:r w:rsidRPr="00B75F80">
        <w:rPr>
          <w:bCs/>
          <w:lang w:eastAsia="lt-LT"/>
        </w:rPr>
        <w:t xml:space="preserve">Lėtinės inkstų ligos modeliavimui taikoma Markovo grandinių modelio struktūra priimtina ir tinkama. </w:t>
      </w:r>
      <w:r>
        <w:rPr>
          <w:lang w:eastAsia="lt-LT"/>
        </w:rPr>
        <w:t>M</w:t>
      </w:r>
      <w:r w:rsidRPr="00B75F80">
        <w:rPr>
          <w:lang w:eastAsia="lt-LT"/>
        </w:rPr>
        <w:t>odeliuojant sveikatos būklių (CKD ligos progresą), širdies ir kraujagyslių ligų įvykių bei mirčių rizikas</w:t>
      </w:r>
      <w:r w:rsidRPr="006651BB">
        <w:rPr>
          <w:lang w:eastAsia="lt-LT"/>
        </w:rPr>
        <w:t xml:space="preserve"> </w:t>
      </w:r>
      <w:r w:rsidRPr="00B75F80">
        <w:rPr>
          <w:lang w:eastAsia="lt-LT"/>
        </w:rPr>
        <w:t>KNA</w:t>
      </w:r>
      <w:r w:rsidRPr="006651BB">
        <w:rPr>
          <w:lang w:eastAsia="lt-LT"/>
        </w:rPr>
        <w:t xml:space="preserve"> </w:t>
      </w:r>
      <w:r w:rsidRPr="00B75F80">
        <w:rPr>
          <w:lang w:eastAsia="lt-LT"/>
        </w:rPr>
        <w:t>įraukti</w:t>
      </w:r>
      <w:r w:rsidRPr="00B75F80">
        <w:rPr>
          <w:bCs/>
          <w:lang w:eastAsia="lt-LT"/>
        </w:rPr>
        <w:t xml:space="preserve"> </w:t>
      </w:r>
      <w:r w:rsidRPr="00B75F80">
        <w:rPr>
          <w:color w:val="000000"/>
          <w:lang w:eastAsia="lt-LT"/>
        </w:rPr>
        <w:t xml:space="preserve">FIDELIO-DKD klinikinio tyrimo </w:t>
      </w:r>
      <w:r>
        <w:rPr>
          <w:lang w:eastAsia="lt-LT"/>
        </w:rPr>
        <w:t>vertinamųjų baigčių rezultatai.</w:t>
      </w:r>
      <w:r>
        <w:rPr>
          <w:bCs/>
          <w:lang w:eastAsia="lt-LT"/>
        </w:rPr>
        <w:t xml:space="preserve"> </w:t>
      </w:r>
      <w:r w:rsidRPr="00B75F80">
        <w:rPr>
          <w:lang w:eastAsia="lt-LT"/>
        </w:rPr>
        <w:t xml:space="preserve">Klinikiniai įrodymai, naudojami ekonominio vertinimo dalyje, atitinka </w:t>
      </w:r>
      <w:r w:rsidRPr="00B75F80">
        <w:rPr>
          <w:bCs/>
          <w:lang w:eastAsia="lt-LT"/>
        </w:rPr>
        <w:t>klinikinėje dalyje teikiamus įrodymus.</w:t>
      </w:r>
      <w:r>
        <w:rPr>
          <w:bCs/>
          <w:lang w:eastAsia="lt-LT"/>
        </w:rPr>
        <w:t xml:space="preserve"> </w:t>
      </w:r>
      <w:r w:rsidRPr="00B75F80">
        <w:rPr>
          <w:lang w:eastAsia="lt-LT"/>
        </w:rPr>
        <w:t>Apibendrinant ekonominėje analizėje įtrauktus klinikinius duomenis ir duomenų ekstrapoliacijai taikomas prielaidas, tam tikrais atvejais trūksta išsamaus pagrindimo ir paaiškinimo. Tarnyba vertina, kad Pareiškėjo taikomos prielaidos, vertinant efektyvumo skirtumus tarp siūlomo ir palyginamojo gydymo ilgajame laikotarpyje yra pagrįstos.</w:t>
      </w:r>
    </w:p>
    <w:p w14:paraId="3F4F256F" w14:textId="77777777" w:rsidR="00450075" w:rsidRPr="00B75F80" w:rsidRDefault="00450075" w:rsidP="00450075">
      <w:pPr>
        <w:spacing w:line="276" w:lineRule="auto"/>
        <w:ind w:right="14" w:firstLine="360"/>
        <w:jc w:val="both"/>
        <w:outlineLvl w:val="0"/>
      </w:pPr>
      <w:r w:rsidRPr="00B75F80">
        <w:t xml:space="preserve">Atsižvelgiant, kad Pareiškėjo KNA taikomi gyvenimo kokybės įverčiai remiantis pagrindiniu klinikiniu tyrimu (FIDELITY) reikšmingai skiriasi lyginant su kitais STV LIL vertinimo praktikoje taikomais (publikuojamais) įverčiais ir gyvenimo kokybė vertinama prasčiau (mažesni koeficientai), Tarnyba įprastinėje atvejo analizėje siekiant išlaikyti vertinimų praktikos nuoseklumą sveikatos būklių gyvenimo kokybės koeficientus taiko tuos pačius (pagal Jesky et al. šaltinį), kuriais remiantis buvo priimti sprendimai dėl LIL vaistų kompensavimo Lietuvoje. </w:t>
      </w:r>
    </w:p>
    <w:p w14:paraId="5A5BF4E1" w14:textId="679BAA56" w:rsidR="00450075" w:rsidRDefault="00450075" w:rsidP="00450075">
      <w:pPr>
        <w:spacing w:line="276" w:lineRule="auto"/>
        <w:ind w:right="14" w:firstLine="360"/>
        <w:jc w:val="both"/>
        <w:outlineLvl w:val="0"/>
      </w:pPr>
      <w:r w:rsidRPr="00B75F80">
        <w:lastRenderedPageBreak/>
        <w:t xml:space="preserve">Tarnybai liekai neaiškumų dėl Pareiškėjo apskaičiuotų kaštų, atsižvelgiant, kad atnaujinus paraišką  yra keičiama apskaičiavimo metodika vertinant hemodializės ir transplantacijos kaštus (neaiškios ambulatorinių paslaugų apimtys), nepateikti VLK šaltiniai dėl proporcinio pasiskirstymo, neaišku dėl kitų analizėje įtrauktų kaštų apskaičiavimo pagrįstumo. Atkreiptinas dėmesys, kad dializės, transplantacijos, gyvenimo pabaigos ir kiti kaštai apskaičiuoti pirminėje paraiškoje 2-3 k. mažesni nei taikomi atnaujintoje (keičiant metodikas). Tarnyba perskaičiuoja transplantacijos ir hemodializės kaštus pagal turimus VLK duomenis. Pareiškėjas teikia atnaujintą Kerendia kainą (su PGS, </w:t>
      </w:r>
      <w:r w:rsidR="000320C2">
        <w:t>***</w:t>
      </w:r>
      <w:r w:rsidRPr="00B75F80">
        <w:t xml:space="preserve"> Eur.).</w:t>
      </w:r>
    </w:p>
    <w:p w14:paraId="5ABBEF66" w14:textId="795659C0" w:rsidR="00C21EB8" w:rsidRPr="007768AA" w:rsidRDefault="00C21EB8" w:rsidP="00C21EB8">
      <w:pPr>
        <w:spacing w:line="276" w:lineRule="auto"/>
        <w:ind w:firstLine="360"/>
        <w:jc w:val="both"/>
        <w:rPr>
          <w:rFonts w:eastAsia="Arial"/>
          <w:iCs/>
        </w:rPr>
      </w:pPr>
      <w:bookmarkStart w:id="0" w:name="_Hlk185371683"/>
      <w:r w:rsidRPr="007768AA">
        <w:rPr>
          <w:iCs/>
          <w:lang w:eastAsia="lt-LT"/>
        </w:rPr>
        <w:t xml:space="preserve">Siekiant, kad atitiktų referencinę kaštų naudingumo vertę, Kerendia pakuotės kaina turi būti </w:t>
      </w:r>
      <w:r w:rsidR="000320C2">
        <w:rPr>
          <w:iCs/>
          <w:lang w:eastAsia="lt-LT"/>
        </w:rPr>
        <w:t>***</w:t>
      </w:r>
      <w:r w:rsidRPr="007768AA">
        <w:rPr>
          <w:iCs/>
          <w:lang w:eastAsia="lt-LT"/>
        </w:rPr>
        <w:t xml:space="preserve"> Eur. ir reikalinga </w:t>
      </w:r>
      <w:r w:rsidR="000320C2">
        <w:rPr>
          <w:iCs/>
          <w:lang w:eastAsia="lt-LT"/>
        </w:rPr>
        <w:t>***</w:t>
      </w:r>
      <w:r w:rsidRPr="007768AA">
        <w:rPr>
          <w:iCs/>
          <w:lang w:eastAsia="lt-LT"/>
        </w:rPr>
        <w:t xml:space="preserve"> proc. nuolaida nuo taikytos KNA (</w:t>
      </w:r>
      <w:r w:rsidR="000320C2">
        <w:rPr>
          <w:iCs/>
          <w:lang w:eastAsia="lt-LT"/>
        </w:rPr>
        <w:t>***</w:t>
      </w:r>
      <w:r w:rsidRPr="007768AA">
        <w:rPr>
          <w:iCs/>
          <w:lang w:eastAsia="lt-LT"/>
        </w:rPr>
        <w:t xml:space="preserve"> Eur.).</w:t>
      </w:r>
    </w:p>
    <w:bookmarkEnd w:id="0"/>
    <w:p w14:paraId="0061004E" w14:textId="77777777" w:rsidR="00C21EB8" w:rsidRPr="00B75F80" w:rsidRDefault="00C21EB8" w:rsidP="00450075">
      <w:pPr>
        <w:spacing w:line="276" w:lineRule="auto"/>
        <w:ind w:right="14" w:firstLine="360"/>
        <w:jc w:val="both"/>
        <w:outlineLvl w:val="0"/>
      </w:pPr>
    </w:p>
    <w:p w14:paraId="5B4A8AB8" w14:textId="77777777" w:rsidR="00450075" w:rsidRPr="00164D64" w:rsidRDefault="00450075"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BE7489">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8" w:type="dxa"/>
            <w:tcBorders>
              <w:right w:val="single" w:sz="4" w:space="0" w:color="auto"/>
            </w:tcBorders>
          </w:tcPr>
          <w:p w14:paraId="1CACF0B4" w14:textId="27A9C7CE" w:rsidR="00BA5DBC" w:rsidRPr="002B50EA" w:rsidRDefault="000320C2" w:rsidP="00BA5DBC">
            <w:pPr>
              <w:tabs>
                <w:tab w:val="left" w:pos="567"/>
              </w:tabs>
              <w:jc w:val="both"/>
              <w:rPr>
                <w:iCs/>
                <w:lang w:eastAsia="lt-LT"/>
              </w:rPr>
            </w:pPr>
            <w:r>
              <w:rPr>
                <w:iCs/>
                <w:lang w:eastAsia="lt-LT"/>
              </w:rPr>
              <w:t>***</w:t>
            </w:r>
          </w:p>
        </w:tc>
      </w:tr>
      <w:tr w:rsidR="000203E1" w:rsidRPr="000203E1" w14:paraId="49F818A3" w14:textId="77777777" w:rsidTr="00BE7489">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8" w:type="dxa"/>
            <w:tcBorders>
              <w:right w:val="single" w:sz="4" w:space="0" w:color="auto"/>
            </w:tcBorders>
          </w:tcPr>
          <w:p w14:paraId="4954817B" w14:textId="3AF113E5" w:rsidR="00BA5DBC" w:rsidRPr="00E27419" w:rsidRDefault="000320C2" w:rsidP="00E27419">
            <w:pPr>
              <w:jc w:val="both"/>
            </w:pPr>
            <w:r>
              <w:t>***</w:t>
            </w:r>
          </w:p>
        </w:tc>
      </w:tr>
      <w:tr w:rsidR="000203E1" w:rsidRPr="000203E1" w14:paraId="20ADA742" w14:textId="77777777" w:rsidTr="00BE7489">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8" w:type="dxa"/>
            <w:tcBorders>
              <w:right w:val="single" w:sz="4" w:space="0" w:color="auto"/>
            </w:tcBorders>
          </w:tcPr>
          <w:p w14:paraId="02E4DAE1" w14:textId="129205BE" w:rsidR="00BA5DBC" w:rsidRPr="002B50EA" w:rsidRDefault="000320C2" w:rsidP="00BA5DBC">
            <w:pPr>
              <w:tabs>
                <w:tab w:val="left" w:pos="567"/>
              </w:tabs>
              <w:jc w:val="both"/>
              <w:rPr>
                <w:iCs/>
                <w:lang w:eastAsia="lt-LT"/>
              </w:rPr>
            </w:pPr>
            <w:r>
              <w:rPr>
                <w:iCs/>
                <w:lang w:eastAsia="lt-LT"/>
              </w:rPr>
              <w:t>***</w:t>
            </w:r>
          </w:p>
        </w:tc>
      </w:tr>
      <w:tr w:rsidR="000203E1" w:rsidRPr="000203E1" w14:paraId="1FADA2B3" w14:textId="77777777" w:rsidTr="00BE7489">
        <w:trPr>
          <w:trHeight w:val="267"/>
          <w:jc w:val="center"/>
        </w:trPr>
        <w:tc>
          <w:tcPr>
            <w:tcW w:w="6200" w:type="dxa"/>
            <w:tcBorders>
              <w:left w:val="single" w:sz="4" w:space="0" w:color="auto"/>
            </w:tcBorders>
          </w:tcPr>
          <w:p w14:paraId="13E089E8" w14:textId="0BCEB339" w:rsidR="00BA5DBC" w:rsidRPr="000203E1" w:rsidRDefault="00BA5DBC" w:rsidP="009E44AE">
            <w:pPr>
              <w:tabs>
                <w:tab w:val="left" w:pos="567"/>
              </w:tabs>
              <w:jc w:val="right"/>
              <w:rPr>
                <w:iCs/>
                <w:lang w:eastAsia="lt-LT"/>
              </w:rPr>
            </w:pPr>
            <w:r w:rsidRPr="000203E1">
              <w:rPr>
                <w:iCs/>
                <w:lang w:eastAsia="lt-LT"/>
              </w:rPr>
              <w:t>ICER už LY</w:t>
            </w:r>
          </w:p>
        </w:tc>
        <w:tc>
          <w:tcPr>
            <w:tcW w:w="3238" w:type="dxa"/>
            <w:tcBorders>
              <w:right w:val="single" w:sz="4" w:space="0" w:color="auto"/>
            </w:tcBorders>
          </w:tcPr>
          <w:p w14:paraId="2817448D" w14:textId="1999DBBB" w:rsidR="00BA5DBC" w:rsidRPr="002B50EA" w:rsidRDefault="000320C2" w:rsidP="009E44AE">
            <w:pPr>
              <w:tabs>
                <w:tab w:val="left" w:pos="567"/>
              </w:tabs>
              <w:jc w:val="both"/>
              <w:rPr>
                <w:iCs/>
                <w:lang w:eastAsia="lt-LT"/>
              </w:rPr>
            </w:pPr>
            <w:r>
              <w:t>***</w:t>
            </w:r>
          </w:p>
        </w:tc>
      </w:tr>
      <w:tr w:rsidR="000203E1" w:rsidRPr="000203E1" w14:paraId="250DE960" w14:textId="77777777" w:rsidTr="00BE7489">
        <w:trPr>
          <w:trHeight w:val="267"/>
          <w:jc w:val="center"/>
        </w:trPr>
        <w:tc>
          <w:tcPr>
            <w:tcW w:w="6200" w:type="dxa"/>
            <w:tcBorders>
              <w:left w:val="single" w:sz="4" w:space="0" w:color="auto"/>
            </w:tcBorders>
          </w:tcPr>
          <w:p w14:paraId="207EFB23" w14:textId="77777777" w:rsidR="009E44AE" w:rsidRPr="000203E1" w:rsidRDefault="009E44AE" w:rsidP="009E44AE">
            <w:pPr>
              <w:tabs>
                <w:tab w:val="left" w:pos="567"/>
              </w:tabs>
              <w:jc w:val="right"/>
              <w:rPr>
                <w:iCs/>
                <w:lang w:eastAsia="lt-LT"/>
              </w:rPr>
            </w:pPr>
            <w:r w:rsidRPr="000203E1">
              <w:rPr>
                <w:iCs/>
                <w:lang w:eastAsia="lt-LT"/>
              </w:rPr>
              <w:t>ICER už QALY</w:t>
            </w:r>
          </w:p>
        </w:tc>
        <w:tc>
          <w:tcPr>
            <w:tcW w:w="3238" w:type="dxa"/>
            <w:tcBorders>
              <w:right w:val="single" w:sz="4" w:space="0" w:color="auto"/>
            </w:tcBorders>
          </w:tcPr>
          <w:p w14:paraId="4275320D" w14:textId="536870EA" w:rsidR="009E44AE" w:rsidRPr="002B50EA" w:rsidRDefault="000320C2" w:rsidP="009E44AE">
            <w:pPr>
              <w:tabs>
                <w:tab w:val="left" w:pos="567"/>
              </w:tabs>
              <w:jc w:val="both"/>
              <w:rPr>
                <w:iCs/>
                <w:lang w:eastAsia="lt-LT"/>
              </w:rPr>
            </w:pPr>
            <w:r>
              <w:rPr>
                <w:lang w:eastAsia="lt-LT"/>
              </w:rPr>
              <w:t>***</w:t>
            </w:r>
          </w:p>
        </w:tc>
      </w:tr>
      <w:tr w:rsidR="000203E1" w:rsidRPr="000203E1"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0203E1" w:rsidRDefault="009E44AE" w:rsidP="009E44AE">
            <w:pPr>
              <w:tabs>
                <w:tab w:val="left" w:pos="567"/>
              </w:tabs>
              <w:jc w:val="right"/>
              <w:rPr>
                <w:iCs/>
                <w:lang w:eastAsia="lt-LT"/>
              </w:rPr>
            </w:pPr>
            <w:r w:rsidRPr="000203E1">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135AB0B8" w:rsidR="009E44AE" w:rsidRPr="002B50EA" w:rsidRDefault="000320C2" w:rsidP="009E44AE">
            <w:pPr>
              <w:tabs>
                <w:tab w:val="left" w:pos="567"/>
              </w:tabs>
              <w:jc w:val="both"/>
              <w:rPr>
                <w:iCs/>
                <w:lang w:eastAsia="lt-LT"/>
              </w:rPr>
            </w:pPr>
            <w:r>
              <w:rPr>
                <w:lang w:eastAsia="lt-LT"/>
              </w:rPr>
              <w:t>***</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61C0D04A" w:rsidR="0035172D" w:rsidRDefault="0035172D" w:rsidP="00A93AA6">
      <w:pPr>
        <w:tabs>
          <w:tab w:val="left" w:pos="426"/>
        </w:tabs>
        <w:rPr>
          <w:b/>
          <w:bCs/>
          <w:caps/>
        </w:rPr>
      </w:pPr>
    </w:p>
    <w:p w14:paraId="6DD6F90F" w14:textId="6258DD99" w:rsidR="002B50EA" w:rsidRDefault="002B50EA" w:rsidP="002B50EA">
      <w:pPr>
        <w:spacing w:line="276" w:lineRule="auto"/>
        <w:ind w:firstLine="360"/>
        <w:jc w:val="both"/>
        <w:rPr>
          <w:lang w:eastAsia="lt-LT"/>
        </w:rPr>
      </w:pPr>
      <w:r w:rsidRPr="00B75F80">
        <w:t xml:space="preserve">Galutiniais ekonominės analizės rezultatais </w:t>
      </w:r>
      <w:r w:rsidRPr="00B75F80">
        <w:rPr>
          <w:rFonts w:eastAsia="Arial"/>
        </w:rPr>
        <w:t xml:space="preserve">Kerendia lyginant su įprastiniu gydymu sveikatai sukuriama nauda yra minimali, t.y. inkrementiniai QALYS - </w:t>
      </w:r>
      <w:r w:rsidR="000320C2">
        <w:rPr>
          <w:rFonts w:eastAsia="Arial"/>
        </w:rPr>
        <w:t>***</w:t>
      </w:r>
      <w:r w:rsidRPr="00B75F80">
        <w:rPr>
          <w:rFonts w:eastAsia="Arial"/>
        </w:rPr>
        <w:t xml:space="preserve">, </w:t>
      </w:r>
      <w:r w:rsidRPr="00B75F80">
        <w:t xml:space="preserve">o gydymo Kerendia kaštai yra </w:t>
      </w:r>
      <w:r w:rsidRPr="00B75F80">
        <w:rPr>
          <w:lang w:eastAsia="lt-LT"/>
        </w:rPr>
        <w:t xml:space="preserve"> </w:t>
      </w:r>
      <w:r w:rsidR="000320C2">
        <w:rPr>
          <w:lang w:eastAsia="lt-LT"/>
        </w:rPr>
        <w:t>***</w:t>
      </w:r>
      <w:r w:rsidRPr="00B75F80">
        <w:rPr>
          <w:lang w:eastAsia="lt-LT"/>
        </w:rPr>
        <w:t xml:space="preserve">Eur. </w:t>
      </w:r>
      <w:r w:rsidRPr="00B75F80">
        <w:t>didesni nei standartinio šiuo metu Lietuvoje taikomo gydymo.</w:t>
      </w:r>
      <w:r w:rsidRPr="00B75F80">
        <w:rPr>
          <w:lang w:eastAsia="lt-LT"/>
        </w:rPr>
        <w:t xml:space="preserve"> Apskaičiuotas ICER – </w:t>
      </w:r>
      <w:r w:rsidR="000320C2">
        <w:rPr>
          <w:lang w:eastAsia="lt-LT"/>
        </w:rPr>
        <w:t>***</w:t>
      </w:r>
      <w:r w:rsidRPr="00B75F80">
        <w:rPr>
          <w:color w:val="000000"/>
        </w:rPr>
        <w:t>Eur./QALY</w:t>
      </w:r>
      <w:r w:rsidRPr="00B75F80">
        <w:rPr>
          <w:color w:val="000000"/>
          <w:lang w:eastAsia="lt-LT"/>
        </w:rPr>
        <w:t xml:space="preserve"> (lentelė 15.1.1) </w:t>
      </w:r>
      <w:r w:rsidRPr="00B75F80">
        <w:rPr>
          <w:lang w:eastAsia="lt-LT"/>
        </w:rPr>
        <w:t>viršija lengvai ligos naštai taikomą referencinę kaštų naudingumo vertę (&gt;</w:t>
      </w:r>
      <w:r w:rsidR="000320C2">
        <w:rPr>
          <w:lang w:eastAsia="lt-LT"/>
        </w:rPr>
        <w:t>***</w:t>
      </w:r>
      <w:r w:rsidRPr="00B75F80">
        <w:rPr>
          <w:lang w:eastAsia="lt-LT"/>
        </w:rPr>
        <w:t xml:space="preserve"> Eur./QALY).</w:t>
      </w:r>
    </w:p>
    <w:p w14:paraId="05226CFA" w14:textId="2752A9BB" w:rsidR="008C467D" w:rsidRPr="006651BB" w:rsidRDefault="00505845" w:rsidP="002B50EA">
      <w:pPr>
        <w:spacing w:line="276" w:lineRule="auto"/>
        <w:ind w:firstLine="360"/>
        <w:jc w:val="both"/>
        <w:rPr>
          <w:rFonts w:eastAsia="Arial"/>
        </w:rPr>
      </w:pPr>
      <w:r w:rsidRPr="00505845">
        <w:rPr>
          <w:iCs/>
          <w:lang w:eastAsia="lt-LT"/>
        </w:rPr>
        <w:t xml:space="preserve">Siekiant, kad atitiktų referencinę kaštų naudingumo vertę, Kerendia pakuotės kaina turi būti sumažinta ne mažiau </w:t>
      </w:r>
      <w:r w:rsidR="000320C2">
        <w:rPr>
          <w:iCs/>
          <w:lang w:eastAsia="lt-LT"/>
        </w:rPr>
        <w:t>***</w:t>
      </w:r>
      <w:r w:rsidRPr="00505845">
        <w:rPr>
          <w:iCs/>
          <w:lang w:eastAsia="lt-LT"/>
        </w:rPr>
        <w:t xml:space="preserve"> proc. (nuo Kerendia pakuotės kainos taikytos KNA)</w:t>
      </w:r>
      <w:r>
        <w:rPr>
          <w:iCs/>
          <w:lang w:eastAsia="lt-LT"/>
        </w:rPr>
        <w:t>.</w:t>
      </w:r>
    </w:p>
    <w:p w14:paraId="3D038093" w14:textId="77777777" w:rsidR="002B50EA" w:rsidRPr="000203E1" w:rsidRDefault="002B50EA" w:rsidP="00A93AA6">
      <w:pPr>
        <w:tabs>
          <w:tab w:val="left" w:pos="426"/>
        </w:tabs>
        <w:rPr>
          <w:b/>
          <w:bCs/>
          <w:caps/>
        </w:rPr>
      </w:pPr>
    </w:p>
    <w:p w14:paraId="4FC424F9" w14:textId="4E767245" w:rsidR="00C62B36" w:rsidRPr="000203E1"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79BCFF40" w14:textId="396F63A1" w:rsidR="00937907" w:rsidRPr="000203E1"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C21A99">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2531D5E3" w:rsidR="00937907" w:rsidRPr="000203E1"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3CEEB2D2" w:rsidR="00C62B36" w:rsidRPr="000203E1" w:rsidRDefault="00C62B36" w:rsidP="00CC09D4">
      <w:pPr>
        <w:pStyle w:val="Sraopastraipa"/>
        <w:numPr>
          <w:ilvl w:val="0"/>
          <w:numId w:val="12"/>
        </w:numPr>
        <w:tabs>
          <w:tab w:val="left" w:pos="567"/>
        </w:tabs>
        <w:ind w:hanging="720"/>
        <w:rPr>
          <w:b/>
          <w:bCs/>
          <w:caps/>
        </w:rPr>
      </w:pPr>
      <w:r w:rsidRPr="000203E1">
        <w:rPr>
          <w:b/>
          <w:bCs/>
          <w:caps/>
        </w:rPr>
        <w:t>Gydytojų organizacijų pateikti duomenys</w:t>
      </w:r>
    </w:p>
    <w:p w14:paraId="389A346C" w14:textId="17184B64" w:rsidR="00937907" w:rsidRPr="000203E1"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31A2C539" w:rsidR="00662983" w:rsidRPr="000203E1"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C21A99">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Sraopastraipa"/>
        <w:numPr>
          <w:ilvl w:val="0"/>
          <w:numId w:val="12"/>
        </w:numPr>
        <w:tabs>
          <w:tab w:val="left" w:pos="567"/>
        </w:tabs>
        <w:ind w:hanging="720"/>
        <w:rPr>
          <w:b/>
          <w:bCs/>
          <w:caps/>
        </w:rPr>
      </w:pPr>
      <w:r w:rsidRPr="000203E1">
        <w:rPr>
          <w:b/>
          <w:bCs/>
          <w:caps/>
        </w:rPr>
        <w:t xml:space="preserve">Išvada </w:t>
      </w:r>
    </w:p>
    <w:p w14:paraId="55E76E53" w14:textId="5437B761" w:rsidR="0064249A" w:rsidRPr="000203E1" w:rsidRDefault="0064249A" w:rsidP="0061611B">
      <w:pPr>
        <w:rPr>
          <w:i/>
          <w:szCs w:val="22"/>
        </w:rPr>
      </w:pPr>
    </w:p>
    <w:tbl>
      <w:tblPr>
        <w:tblStyle w:val="Lentelstinklelis"/>
        <w:tblW w:w="0" w:type="auto"/>
        <w:tblLook w:val="04A0" w:firstRow="1" w:lastRow="0" w:firstColumn="1" w:lastColumn="0" w:noHBand="0" w:noVBand="1"/>
      </w:tblPr>
      <w:tblGrid>
        <w:gridCol w:w="4815"/>
        <w:gridCol w:w="4814"/>
      </w:tblGrid>
      <w:tr w:rsidR="000203E1" w:rsidRPr="000203E1" w14:paraId="143A7356" w14:textId="77777777" w:rsidTr="00C16245">
        <w:trPr>
          <w:trHeight w:val="510"/>
        </w:trPr>
        <w:tc>
          <w:tcPr>
            <w:tcW w:w="9629" w:type="dxa"/>
            <w:gridSpan w:val="2"/>
            <w:vAlign w:val="center"/>
          </w:tcPr>
          <w:p w14:paraId="0AF5D6B4" w14:textId="12D1C777"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656"/>
            <w:r w:rsidRPr="000203E1">
              <w:rPr>
                <w:rStyle w:val="Style2"/>
                <w:rFonts w:eastAsia="MS Gothic"/>
                <w:b/>
                <w:bCs/>
                <w:sz w:val="24"/>
              </w:rPr>
              <w:t xml:space="preserve">Palyginamasis </w:t>
            </w:r>
            <w:r w:rsidR="001C1D94">
              <w:rPr>
                <w:rStyle w:val="Style2"/>
                <w:rFonts w:eastAsia="MS Gothic"/>
                <w:b/>
                <w:bCs/>
                <w:sz w:val="24"/>
              </w:rPr>
              <w:t>veiksmingumas</w:t>
            </w:r>
          </w:p>
        </w:tc>
      </w:tr>
      <w:tr w:rsidR="000203E1" w:rsidRPr="000203E1" w14:paraId="28A0C814" w14:textId="77777777" w:rsidTr="0061611B">
        <w:tc>
          <w:tcPr>
            <w:tcW w:w="4815" w:type="dxa"/>
          </w:tcPr>
          <w:p w14:paraId="216769B5" w14:textId="4B55F66E"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sz w:val="24"/>
                  </w:rPr>
                  <w:t>☒</w:t>
                </w:r>
              </w:sdtContent>
            </w:sdt>
            <w:r w:rsidR="001C1D94">
              <w:rPr>
                <w:rStyle w:val="Style2"/>
                <w:sz w:val="24"/>
              </w:rPr>
              <w:t xml:space="preserve"> 29</w:t>
            </w:r>
            <w:r w:rsidR="00B13D65" w:rsidRPr="000203E1">
              <w:t>.1.</w:t>
            </w:r>
            <w:r w:rsidR="001C1D94">
              <w:t>1</w:t>
            </w:r>
            <w:r w:rsidR="00B13D65" w:rsidRPr="000203E1">
              <w:t xml:space="preserve">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DDAF016" w:rsidR="00B13D65" w:rsidRPr="000203E1"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2 </w:t>
            </w:r>
            <w:r w:rsidR="00B13D65" w:rsidRPr="000203E1">
              <w:t>iš esmės nesiskiria</w:t>
            </w:r>
            <w:r w:rsidR="00B00959" w:rsidRPr="000203E1">
              <w:t>, lyginant su įprasta klinikine praktika</w:t>
            </w:r>
          </w:p>
        </w:tc>
        <w:tc>
          <w:tcPr>
            <w:tcW w:w="4814" w:type="dxa"/>
          </w:tcPr>
          <w:p w14:paraId="507828D9" w14:textId="2D47A9EF"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3 </w:t>
            </w:r>
            <w:r w:rsidR="001C1D94" w:rsidRPr="000203E1">
              <w:t>yra neįrodytas kaip didesnis</w:t>
            </w:r>
            <w:r w:rsidR="001C1D94">
              <w:t xml:space="preserve"> </w:t>
            </w:r>
            <w:r w:rsidR="001C1D94" w:rsidRPr="001C1D94">
              <w:t> ar iš esmės nesiskiriantis</w:t>
            </w:r>
            <w:r w:rsidR="001C1D94" w:rsidRPr="000203E1">
              <w:t xml:space="preserve">, lyginant su įprasta klinikine praktika </w:t>
            </w:r>
            <w:r w:rsidR="00B13D65" w:rsidRPr="000203E1">
              <w:t xml:space="preserve"> </w:t>
            </w:r>
          </w:p>
          <w:p w14:paraId="282277FB" w14:textId="77777777" w:rsidR="001C1D94" w:rsidRPr="000203E1"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12B9C4" w14:textId="1D4329EA" w:rsidR="001C1D94"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4 </w:t>
            </w:r>
            <w:r w:rsidR="001C1D94" w:rsidRPr="000203E1">
              <w:t>yra mažesnis, lyginant su įprasta klinikine praktika</w:t>
            </w:r>
          </w:p>
          <w:p w14:paraId="3396544A" w14:textId="77777777" w:rsidR="001C1D94"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34F09BE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662983" w:rsidRPr="000203E1">
              <w:t xml:space="preserve"> </w:t>
            </w:r>
            <w:r w:rsidR="001C1D94">
              <w:t xml:space="preserve"> </w:t>
            </w:r>
            <w:r w:rsidR="001C1D94">
              <w:rPr>
                <w:rStyle w:val="Style2"/>
                <w:sz w:val="24"/>
              </w:rPr>
              <w:t>29</w:t>
            </w:r>
            <w:r w:rsidR="001C1D94" w:rsidRPr="000203E1">
              <w:t>.1.</w:t>
            </w:r>
            <w:r w:rsidR="001C1D94">
              <w:t>5</w:t>
            </w:r>
            <w:r w:rsidR="001C1D94" w:rsidRPr="000203E1">
              <w:t xml:space="preserve"> pateikti duomenys apie palyginamąjį </w:t>
            </w:r>
            <w:r w:rsidR="001C1D94">
              <w:t>veiksmingumą</w:t>
            </w:r>
            <w:r w:rsidR="001C1D94" w:rsidRPr="000203E1">
              <w:t xml:space="preserve"> yra netinkami vertinti</w:t>
            </w:r>
          </w:p>
          <w:p w14:paraId="5DDAA961" w14:textId="77777777" w:rsidR="00B13D65" w:rsidRPr="000203E1" w:rsidRDefault="00B13D65"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2" w:name="_Hlk185374787"/>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46B4BA3C"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0203E1">
                  <w:rPr>
                    <w:rStyle w:val="Style2"/>
                    <w:rFonts w:ascii="MS Gothic" w:eastAsia="MS Gothic" w:hAnsi="MS Gothic" w:hint="eastAsia"/>
                    <w:sz w:val="24"/>
                  </w:rPr>
                  <w:t>☐</w:t>
                </w:r>
              </w:sdtContent>
            </w:sdt>
            <w:r w:rsidR="00B13D65" w:rsidRPr="000203E1">
              <w:t xml:space="preserve"> </w:t>
            </w:r>
            <w:r w:rsidR="001C1D94">
              <w:t xml:space="preserve">29.2.1 </w:t>
            </w:r>
            <w:r w:rsidR="00B13D65" w:rsidRPr="000203E1">
              <w:t>atitink</w:t>
            </w:r>
            <w:r w:rsidR="00450075">
              <w:t>a referencinę naudingumo vertę</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49B528D5" w:rsidR="00B13D65" w:rsidRPr="000203E1" w:rsidRDefault="00000000"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t xml:space="preserve">29.2.2 </w:t>
            </w:r>
            <w:r w:rsidR="00B13D65" w:rsidRPr="000203E1">
              <w:t>gydymo juo kaštai yra mažesni ar tokie patys esant iš esmės nesiskiriančiam palyginamajam efektyvumui, taikant</w:t>
            </w:r>
            <w:r w:rsidR="001C1D94">
              <w:t xml:space="preserve"> arba netaikant </w:t>
            </w:r>
            <w:r w:rsidR="00B13D65" w:rsidRPr="000203E1">
              <w:t xml:space="preserve"> </w:t>
            </w:r>
            <w:r w:rsidR="00450075">
              <w:t>PGS</w:t>
            </w:r>
          </w:p>
        </w:tc>
        <w:tc>
          <w:tcPr>
            <w:tcW w:w="4814" w:type="dxa"/>
          </w:tcPr>
          <w:p w14:paraId="53380063" w14:textId="5F2B3931"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450075">
                  <w:rPr>
                    <w:rStyle w:val="Style2"/>
                    <w:rFonts w:ascii="MS Gothic" w:eastAsia="MS Gothic" w:hAnsi="MS Gothic" w:hint="eastAsia"/>
                    <w:sz w:val="24"/>
                  </w:rPr>
                  <w:t>☒</w:t>
                </w:r>
              </w:sdtContent>
            </w:sdt>
            <w:r w:rsidR="00B13D65" w:rsidRPr="000203E1">
              <w:t xml:space="preserve"> </w:t>
            </w:r>
            <w:r w:rsidR="001C1D94">
              <w:t>29</w:t>
            </w:r>
            <w:r w:rsidR="00B13D65" w:rsidRPr="000203E1">
              <w:t>.</w:t>
            </w:r>
            <w:r w:rsidR="001C1D94">
              <w:t>2.</w:t>
            </w:r>
            <w:r w:rsidR="00B13D65" w:rsidRPr="000203E1">
              <w:t xml:space="preserve">3 neatitinka referencinės naudingumo vertės </w:t>
            </w:r>
            <w:r w:rsidR="001C1D94" w:rsidRPr="001C1D94">
              <w:t>taikant arba netaikant PGS</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F7D76B3" w14:textId="77777777" w:rsidR="007D2CF4" w:rsidRPr="000203E1"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7D2CF4">
              <w:t>29</w:t>
            </w:r>
            <w:r w:rsidR="007D2CF4" w:rsidRPr="000203E1">
              <w:t>.</w:t>
            </w:r>
            <w:r w:rsidR="007D2CF4">
              <w:t>2.4</w:t>
            </w:r>
            <w:r w:rsidR="007D2CF4" w:rsidRPr="000203E1">
              <w:t xml:space="preserve"> </w:t>
            </w:r>
            <w:r w:rsidR="00B13D65" w:rsidRPr="000203E1">
              <w:t xml:space="preserve">gydymo juo kaštai yra didesni esant iš esmės nesiskiriančiam palyginamajam </w:t>
            </w:r>
            <w:r w:rsidR="007D2CF4">
              <w:t>veiksmingumui</w:t>
            </w:r>
            <w:r w:rsidR="00B13D65" w:rsidRPr="000203E1">
              <w:t>, taikant</w:t>
            </w:r>
            <w:r w:rsidR="00450075">
              <w:t xml:space="preserve"> </w:t>
            </w:r>
            <w:r w:rsidR="007D2CF4" w:rsidRPr="001C1D94">
              <w:t>arba netaikant PGS</w:t>
            </w:r>
          </w:p>
          <w:p w14:paraId="4A9C7D2A" w14:textId="1B3F88FF"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7E2B340F" w:rsidR="00B13D65" w:rsidRPr="000203E1"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7D2CF4">
              <w:t>29</w:t>
            </w:r>
            <w:r w:rsidR="007D2CF4" w:rsidRPr="000203E1">
              <w:t>.</w:t>
            </w:r>
            <w:r w:rsidR="007D2CF4">
              <w:t>2.5</w:t>
            </w:r>
            <w:r w:rsidR="00B13D65" w:rsidRPr="000203E1">
              <w:t xml:space="preserve">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1"/>
      <w:bookmarkEnd w:id="2"/>
    </w:tbl>
    <w:p w14:paraId="29A90384" w14:textId="4772D5ED" w:rsidR="004A3A61" w:rsidRPr="000203E1" w:rsidRDefault="004A3A61" w:rsidP="00381024"/>
    <w:p w14:paraId="1B85C083" w14:textId="77777777" w:rsidR="009E44AE" w:rsidRPr="000203E1" w:rsidRDefault="009E44AE"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Sraopastraipa"/>
        <w:ind w:left="426"/>
      </w:pPr>
    </w:p>
    <w:p w14:paraId="7C0124C4" w14:textId="45F4B190" w:rsidR="0064249A" w:rsidRPr="002A024D" w:rsidRDefault="00450075" w:rsidP="00650959">
      <w:pPr>
        <w:spacing w:line="276"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rsidR="007D2CF4">
        <w:t xml:space="preserve"> </w:t>
      </w:r>
      <w:r w:rsidR="0064249A" w:rsidRPr="00471EC6">
        <w:rPr>
          <w:color w:val="000000"/>
          <w:lang w:eastAsia="lt-LT"/>
        </w:rPr>
        <w:t>30</w:t>
      </w:r>
      <w:r w:rsidR="0064249A" w:rsidRPr="00471EC6">
        <w:rPr>
          <w:color w:val="000000"/>
          <w:vertAlign w:val="superscript"/>
          <w:lang w:eastAsia="lt-LT"/>
        </w:rPr>
        <w:t>1</w:t>
      </w:r>
      <w:r w:rsidR="0064249A" w:rsidRPr="00471EC6">
        <w:rPr>
          <w:color w:val="000000"/>
          <w:lang w:eastAsia="lt-LT"/>
        </w:rPr>
        <w:t>.2.</w:t>
      </w:r>
      <w:r w:rsidR="0064249A">
        <w:rPr>
          <w:color w:val="000000"/>
          <w:lang w:eastAsia="lt-LT"/>
        </w:rPr>
        <w:t xml:space="preserve"> rekomenduojama</w:t>
      </w:r>
      <w:r w:rsidR="0064249A" w:rsidRPr="00471EC6">
        <w:rPr>
          <w:color w:val="000000"/>
          <w:lang w:eastAsia="lt-LT"/>
        </w:rPr>
        <w:t xml:space="preserve"> kompensuoti vaistinį preparatą pagal paraiškoje nurodytą indikaciją (arba jos dalį) su arba be skyrimo sąlygų, jei, pateikus naują ar atnaujintą PGS, kaštų naudingumas atitinka referencinę naudingumo vertę</w:t>
      </w:r>
      <w:r w:rsidR="0064249A">
        <w:rPr>
          <w:color w:val="000000"/>
          <w:lang w:eastAsia="lt-LT"/>
        </w:rPr>
        <w:t xml:space="preserve">, </w:t>
      </w:r>
      <w:r w:rsidR="0064249A" w:rsidRPr="00471EC6">
        <w:rPr>
          <w:color w:val="000000"/>
          <w:lang w:eastAsia="lt-LT"/>
        </w:rPr>
        <w:t>kai vertinimo išvados atitinka Aprašo 29.1.1 ir 29.2.3 papunkčiuose numatytas sąlygas</w:t>
      </w:r>
      <w:r w:rsidR="0064249A">
        <w:rPr>
          <w:color w:val="000000"/>
          <w:lang w:eastAsia="lt-LT"/>
        </w:rPr>
        <w:t>.</w:t>
      </w:r>
    </w:p>
    <w:p w14:paraId="06BC01EE" w14:textId="44333E0B" w:rsidR="000723FF" w:rsidRPr="000203E1" w:rsidRDefault="000723FF" w:rsidP="00381024"/>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9DBA" w14:textId="77777777" w:rsidR="001679FF" w:rsidRDefault="001679FF">
      <w:r>
        <w:separator/>
      </w:r>
    </w:p>
  </w:endnote>
  <w:endnote w:type="continuationSeparator" w:id="0">
    <w:p w14:paraId="48FA8B61" w14:textId="77777777" w:rsidR="001679FF" w:rsidRDefault="0016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D122" w14:textId="77777777" w:rsidR="001679FF" w:rsidRDefault="001679FF">
      <w:r>
        <w:separator/>
      </w:r>
    </w:p>
  </w:footnote>
  <w:footnote w:type="continuationSeparator" w:id="0">
    <w:p w14:paraId="09F59F9E" w14:textId="77777777" w:rsidR="001679FF" w:rsidRDefault="00167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312E790A"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1EB8">
      <w:rPr>
        <w:rStyle w:val="Puslapionumeris"/>
        <w:noProof/>
      </w:rPr>
      <w:t>6</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5110E32"/>
    <w:multiLevelType w:val="hybridMultilevel"/>
    <w:tmpl w:val="7C347E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2765739">
    <w:abstractNumId w:val="7"/>
  </w:num>
  <w:num w:numId="2" w16cid:durableId="1341470175">
    <w:abstractNumId w:val="1"/>
  </w:num>
  <w:num w:numId="3" w16cid:durableId="20325251">
    <w:abstractNumId w:val="9"/>
  </w:num>
  <w:num w:numId="4" w16cid:durableId="1052271043">
    <w:abstractNumId w:val="8"/>
  </w:num>
  <w:num w:numId="5" w16cid:durableId="1523857358">
    <w:abstractNumId w:val="6"/>
  </w:num>
  <w:num w:numId="6" w16cid:durableId="240064021">
    <w:abstractNumId w:val="5"/>
  </w:num>
  <w:num w:numId="7" w16cid:durableId="1257668569">
    <w:abstractNumId w:val="3"/>
  </w:num>
  <w:num w:numId="8" w16cid:durableId="1413350602">
    <w:abstractNumId w:val="12"/>
  </w:num>
  <w:num w:numId="9" w16cid:durableId="611280321">
    <w:abstractNumId w:val="0"/>
  </w:num>
  <w:num w:numId="10" w16cid:durableId="1443458314">
    <w:abstractNumId w:val="10"/>
  </w:num>
  <w:num w:numId="11" w16cid:durableId="355350599">
    <w:abstractNumId w:val="11"/>
  </w:num>
  <w:num w:numId="12" w16cid:durableId="6173576">
    <w:abstractNumId w:val="2"/>
  </w:num>
  <w:num w:numId="13" w16cid:durableId="940451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05626"/>
    <w:rsid w:val="000114DD"/>
    <w:rsid w:val="000136F7"/>
    <w:rsid w:val="000203E1"/>
    <w:rsid w:val="0002686C"/>
    <w:rsid w:val="00031D0E"/>
    <w:rsid w:val="000320C2"/>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24E31"/>
    <w:rsid w:val="00130703"/>
    <w:rsid w:val="0013153F"/>
    <w:rsid w:val="001408B8"/>
    <w:rsid w:val="001517E2"/>
    <w:rsid w:val="001521D9"/>
    <w:rsid w:val="001554E2"/>
    <w:rsid w:val="00164146"/>
    <w:rsid w:val="00164D64"/>
    <w:rsid w:val="001679FF"/>
    <w:rsid w:val="0017369C"/>
    <w:rsid w:val="00175D57"/>
    <w:rsid w:val="00180C39"/>
    <w:rsid w:val="00180D96"/>
    <w:rsid w:val="00184BD3"/>
    <w:rsid w:val="00185963"/>
    <w:rsid w:val="001921F3"/>
    <w:rsid w:val="001B3C5B"/>
    <w:rsid w:val="001C1D94"/>
    <w:rsid w:val="001C4F45"/>
    <w:rsid w:val="001D15C0"/>
    <w:rsid w:val="001D5B91"/>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B50EA"/>
    <w:rsid w:val="002C09E0"/>
    <w:rsid w:val="002C1BB1"/>
    <w:rsid w:val="002C2786"/>
    <w:rsid w:val="002C3A10"/>
    <w:rsid w:val="002C4A90"/>
    <w:rsid w:val="002C4ED5"/>
    <w:rsid w:val="002D02EF"/>
    <w:rsid w:val="002E0702"/>
    <w:rsid w:val="002E57AD"/>
    <w:rsid w:val="002E6F80"/>
    <w:rsid w:val="002F0E4F"/>
    <w:rsid w:val="002F1053"/>
    <w:rsid w:val="00314816"/>
    <w:rsid w:val="00317B0E"/>
    <w:rsid w:val="00347FAA"/>
    <w:rsid w:val="0035172D"/>
    <w:rsid w:val="0036187D"/>
    <w:rsid w:val="00367EDB"/>
    <w:rsid w:val="00381024"/>
    <w:rsid w:val="00386307"/>
    <w:rsid w:val="003874DE"/>
    <w:rsid w:val="00393E9F"/>
    <w:rsid w:val="0039696E"/>
    <w:rsid w:val="003A604B"/>
    <w:rsid w:val="003B211A"/>
    <w:rsid w:val="003B27AC"/>
    <w:rsid w:val="003C141F"/>
    <w:rsid w:val="003C6B0E"/>
    <w:rsid w:val="003C7257"/>
    <w:rsid w:val="003C7E35"/>
    <w:rsid w:val="003D1E99"/>
    <w:rsid w:val="003D6208"/>
    <w:rsid w:val="00404E8A"/>
    <w:rsid w:val="0040622F"/>
    <w:rsid w:val="00413F24"/>
    <w:rsid w:val="00422853"/>
    <w:rsid w:val="00423160"/>
    <w:rsid w:val="00450075"/>
    <w:rsid w:val="00453862"/>
    <w:rsid w:val="0045469B"/>
    <w:rsid w:val="00461338"/>
    <w:rsid w:val="004677DB"/>
    <w:rsid w:val="00476256"/>
    <w:rsid w:val="0048630F"/>
    <w:rsid w:val="004947A1"/>
    <w:rsid w:val="0049482A"/>
    <w:rsid w:val="004979D3"/>
    <w:rsid w:val="004A00E7"/>
    <w:rsid w:val="004A1CD7"/>
    <w:rsid w:val="004A3A61"/>
    <w:rsid w:val="004B59BA"/>
    <w:rsid w:val="004B5A03"/>
    <w:rsid w:val="004C263A"/>
    <w:rsid w:val="004D2953"/>
    <w:rsid w:val="004D48A6"/>
    <w:rsid w:val="004D7B8F"/>
    <w:rsid w:val="004E241F"/>
    <w:rsid w:val="004E6458"/>
    <w:rsid w:val="004E6E7D"/>
    <w:rsid w:val="004F1AAC"/>
    <w:rsid w:val="004F1AE2"/>
    <w:rsid w:val="004F34F0"/>
    <w:rsid w:val="004F3B2B"/>
    <w:rsid w:val="004F6050"/>
    <w:rsid w:val="005005EF"/>
    <w:rsid w:val="00505845"/>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49A"/>
    <w:rsid w:val="0064297F"/>
    <w:rsid w:val="006431DC"/>
    <w:rsid w:val="00645102"/>
    <w:rsid w:val="00646CF3"/>
    <w:rsid w:val="00650959"/>
    <w:rsid w:val="00653D11"/>
    <w:rsid w:val="00662983"/>
    <w:rsid w:val="00667A3A"/>
    <w:rsid w:val="00670984"/>
    <w:rsid w:val="006834D3"/>
    <w:rsid w:val="006859A4"/>
    <w:rsid w:val="00692625"/>
    <w:rsid w:val="00695CD3"/>
    <w:rsid w:val="006A36FB"/>
    <w:rsid w:val="006A38B6"/>
    <w:rsid w:val="006B1987"/>
    <w:rsid w:val="006B5B71"/>
    <w:rsid w:val="006B5D3E"/>
    <w:rsid w:val="006B6CB0"/>
    <w:rsid w:val="006C0251"/>
    <w:rsid w:val="006C2B64"/>
    <w:rsid w:val="006D1BF3"/>
    <w:rsid w:val="006D4C85"/>
    <w:rsid w:val="006D66AC"/>
    <w:rsid w:val="006E33F6"/>
    <w:rsid w:val="006F1251"/>
    <w:rsid w:val="006F1C23"/>
    <w:rsid w:val="00702C18"/>
    <w:rsid w:val="00703166"/>
    <w:rsid w:val="007127F3"/>
    <w:rsid w:val="00712A92"/>
    <w:rsid w:val="00713C8C"/>
    <w:rsid w:val="007301CF"/>
    <w:rsid w:val="007316FB"/>
    <w:rsid w:val="00737E2D"/>
    <w:rsid w:val="007424D5"/>
    <w:rsid w:val="00750A88"/>
    <w:rsid w:val="007523DD"/>
    <w:rsid w:val="00757B7E"/>
    <w:rsid w:val="007656B2"/>
    <w:rsid w:val="0077016F"/>
    <w:rsid w:val="007713AD"/>
    <w:rsid w:val="00795DC5"/>
    <w:rsid w:val="00797153"/>
    <w:rsid w:val="007A21F7"/>
    <w:rsid w:val="007A2B68"/>
    <w:rsid w:val="007B0DDA"/>
    <w:rsid w:val="007D2CF4"/>
    <w:rsid w:val="007D3347"/>
    <w:rsid w:val="007E5466"/>
    <w:rsid w:val="007F1949"/>
    <w:rsid w:val="007F2592"/>
    <w:rsid w:val="00800A08"/>
    <w:rsid w:val="00817A84"/>
    <w:rsid w:val="00820704"/>
    <w:rsid w:val="008225A4"/>
    <w:rsid w:val="00824B92"/>
    <w:rsid w:val="00826D5E"/>
    <w:rsid w:val="00832013"/>
    <w:rsid w:val="00832DB7"/>
    <w:rsid w:val="00834732"/>
    <w:rsid w:val="0085200C"/>
    <w:rsid w:val="00857C52"/>
    <w:rsid w:val="00860D5F"/>
    <w:rsid w:val="00860ECB"/>
    <w:rsid w:val="00880A44"/>
    <w:rsid w:val="0088345E"/>
    <w:rsid w:val="0088656F"/>
    <w:rsid w:val="00891EF6"/>
    <w:rsid w:val="008A0303"/>
    <w:rsid w:val="008A5FDD"/>
    <w:rsid w:val="008C3947"/>
    <w:rsid w:val="008C467D"/>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720BC"/>
    <w:rsid w:val="00983471"/>
    <w:rsid w:val="009860D1"/>
    <w:rsid w:val="009909AB"/>
    <w:rsid w:val="009B2F9C"/>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C26FC"/>
    <w:rsid w:val="00AC4A9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62944"/>
    <w:rsid w:val="00B71C72"/>
    <w:rsid w:val="00B81E92"/>
    <w:rsid w:val="00B908D7"/>
    <w:rsid w:val="00B935E8"/>
    <w:rsid w:val="00B93B30"/>
    <w:rsid w:val="00B94CB5"/>
    <w:rsid w:val="00BA0DD9"/>
    <w:rsid w:val="00BA27DB"/>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1A99"/>
    <w:rsid w:val="00C21EB8"/>
    <w:rsid w:val="00C22DC5"/>
    <w:rsid w:val="00C24479"/>
    <w:rsid w:val="00C273F2"/>
    <w:rsid w:val="00C37B53"/>
    <w:rsid w:val="00C434EB"/>
    <w:rsid w:val="00C517D2"/>
    <w:rsid w:val="00C5772E"/>
    <w:rsid w:val="00C62B36"/>
    <w:rsid w:val="00C7012C"/>
    <w:rsid w:val="00C712EA"/>
    <w:rsid w:val="00CA217D"/>
    <w:rsid w:val="00CC09D4"/>
    <w:rsid w:val="00CC668D"/>
    <w:rsid w:val="00CC7832"/>
    <w:rsid w:val="00CD488E"/>
    <w:rsid w:val="00CF0C1C"/>
    <w:rsid w:val="00CF27FD"/>
    <w:rsid w:val="00CF5F12"/>
    <w:rsid w:val="00D00D8F"/>
    <w:rsid w:val="00D20CA7"/>
    <w:rsid w:val="00D21F3A"/>
    <w:rsid w:val="00D23808"/>
    <w:rsid w:val="00D3016A"/>
    <w:rsid w:val="00D417D2"/>
    <w:rsid w:val="00D42960"/>
    <w:rsid w:val="00D43BD7"/>
    <w:rsid w:val="00D4485B"/>
    <w:rsid w:val="00D46CCD"/>
    <w:rsid w:val="00D4708D"/>
    <w:rsid w:val="00D4744C"/>
    <w:rsid w:val="00D521DE"/>
    <w:rsid w:val="00D5470B"/>
    <w:rsid w:val="00D63068"/>
    <w:rsid w:val="00D6498C"/>
    <w:rsid w:val="00D76A70"/>
    <w:rsid w:val="00D83182"/>
    <w:rsid w:val="00D8521E"/>
    <w:rsid w:val="00D9291C"/>
    <w:rsid w:val="00D93A97"/>
    <w:rsid w:val="00D957D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27419"/>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Bullet 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rsid w:val="009B2F9C"/>
    <w:rPr>
      <w:sz w:val="24"/>
      <w:szCs w:val="24"/>
      <w:lang w:eastAsia="en-US"/>
    </w:rPr>
  </w:style>
  <w:style w:type="paragraph" w:customStyle="1" w:styleId="Style1">
    <w:name w:val="Style1"/>
    <w:basedOn w:val="prastasis"/>
    <w:qFormat/>
    <w:rsid w:val="009B2F9C"/>
    <w:pPr>
      <w:ind w:firstLine="7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B5DD268B8B439E49AA53F38DBAA54E63"/>
        <w:category>
          <w:name w:val="General"/>
          <w:gallery w:val="placeholder"/>
        </w:category>
        <w:types>
          <w:type w:val="bbPlcHdr"/>
        </w:types>
        <w:behaviors>
          <w:behavior w:val="content"/>
        </w:behaviors>
        <w:guid w:val="{727D055A-FCB6-7042-89A1-15958F3141AA}"/>
      </w:docPartPr>
      <w:docPartBody>
        <w:p w:rsidR="00165F12" w:rsidRDefault="008152E7" w:rsidP="008152E7">
          <w:pPr>
            <w:pStyle w:val="B5DD268B8B439E49AA53F38DBAA54E63"/>
          </w:pPr>
          <w:r>
            <w:rPr>
              <w:rStyle w:val="Vietosrezervavimoenklotekstas"/>
            </w:rPr>
            <w:t>Click here to enter a date.</w:t>
          </w:r>
        </w:p>
      </w:docPartBody>
    </w:docPart>
    <w:docPart>
      <w:docPartPr>
        <w:name w:val="204382964A570A4C90B96C93579DC565"/>
        <w:category>
          <w:name w:val="General"/>
          <w:gallery w:val="placeholder"/>
        </w:category>
        <w:types>
          <w:type w:val="bbPlcHdr"/>
        </w:types>
        <w:behaviors>
          <w:behavior w:val="content"/>
        </w:behaviors>
        <w:guid w:val="{E3124B45-7B3C-D646-A7A7-251873823322}"/>
      </w:docPartPr>
      <w:docPartBody>
        <w:p w:rsidR="00165F12" w:rsidRDefault="008152E7" w:rsidP="008152E7">
          <w:pPr>
            <w:pStyle w:val="204382964A570A4C90B96C93579DC565"/>
          </w:pPr>
          <w:r>
            <w:rPr>
              <w:rStyle w:val="Vietosrezervavimoenklotekstas"/>
            </w:rPr>
            <w:t>Click here to enter a date.</w:t>
          </w:r>
        </w:p>
      </w:docPartBody>
    </w:docPart>
    <w:docPart>
      <w:docPartPr>
        <w:name w:val="1021C91013244A4FB9C0819F4B034FC7"/>
        <w:category>
          <w:name w:val="General"/>
          <w:gallery w:val="placeholder"/>
        </w:category>
        <w:types>
          <w:type w:val="bbPlcHdr"/>
        </w:types>
        <w:behaviors>
          <w:behavior w:val="content"/>
        </w:behaviors>
        <w:guid w:val="{9941900C-0E44-844F-A360-8B3E6A83EF53}"/>
      </w:docPartPr>
      <w:docPartBody>
        <w:p w:rsidR="00165F12" w:rsidRDefault="008152E7" w:rsidP="008152E7">
          <w:pPr>
            <w:pStyle w:val="1021C91013244A4FB9C0819F4B034FC7"/>
          </w:pPr>
          <w:r>
            <w:rPr>
              <w:rStyle w:val="Vietosrezervavimoenklotekstas"/>
            </w:rPr>
            <w:t>Click here to enter a date.</w:t>
          </w:r>
        </w:p>
      </w:docPartBody>
    </w:docPart>
    <w:docPart>
      <w:docPartPr>
        <w:name w:val="4989C9A038B32944881B17250F847A71"/>
        <w:category>
          <w:name w:val="General"/>
          <w:gallery w:val="placeholder"/>
        </w:category>
        <w:types>
          <w:type w:val="bbPlcHdr"/>
        </w:types>
        <w:behaviors>
          <w:behavior w:val="content"/>
        </w:behaviors>
        <w:guid w:val="{EE7A6BFB-313B-F544-B589-B39DCE5F2E6A}"/>
      </w:docPartPr>
      <w:docPartBody>
        <w:p w:rsidR="00165F12" w:rsidRDefault="008152E7" w:rsidP="008152E7">
          <w:pPr>
            <w:pStyle w:val="4989C9A038B32944881B17250F847A71"/>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05626"/>
    <w:rsid w:val="0001247F"/>
    <w:rsid w:val="00061157"/>
    <w:rsid w:val="000937FE"/>
    <w:rsid w:val="000A559A"/>
    <w:rsid w:val="000D24D4"/>
    <w:rsid w:val="00124E31"/>
    <w:rsid w:val="00142F50"/>
    <w:rsid w:val="00151D6D"/>
    <w:rsid w:val="00165F12"/>
    <w:rsid w:val="001C35A9"/>
    <w:rsid w:val="00237556"/>
    <w:rsid w:val="002B6D97"/>
    <w:rsid w:val="0039303B"/>
    <w:rsid w:val="004144A3"/>
    <w:rsid w:val="004160E7"/>
    <w:rsid w:val="004416C6"/>
    <w:rsid w:val="00456E96"/>
    <w:rsid w:val="004F5AB2"/>
    <w:rsid w:val="005074B9"/>
    <w:rsid w:val="005C62E5"/>
    <w:rsid w:val="005E40DD"/>
    <w:rsid w:val="00667A3A"/>
    <w:rsid w:val="007219C1"/>
    <w:rsid w:val="00736E2F"/>
    <w:rsid w:val="00753462"/>
    <w:rsid w:val="00772325"/>
    <w:rsid w:val="007A2FE0"/>
    <w:rsid w:val="007B4445"/>
    <w:rsid w:val="007B6244"/>
    <w:rsid w:val="007C6D1D"/>
    <w:rsid w:val="00805BE5"/>
    <w:rsid w:val="008152E7"/>
    <w:rsid w:val="00820704"/>
    <w:rsid w:val="008D5334"/>
    <w:rsid w:val="0090074D"/>
    <w:rsid w:val="009860D1"/>
    <w:rsid w:val="009B3BF0"/>
    <w:rsid w:val="009D5E5E"/>
    <w:rsid w:val="009F1BB4"/>
    <w:rsid w:val="00AB6ED4"/>
    <w:rsid w:val="00B14210"/>
    <w:rsid w:val="00B22ED6"/>
    <w:rsid w:val="00B23DC0"/>
    <w:rsid w:val="00B96656"/>
    <w:rsid w:val="00C2401D"/>
    <w:rsid w:val="00C250D7"/>
    <w:rsid w:val="00C53A68"/>
    <w:rsid w:val="00CA5BB4"/>
    <w:rsid w:val="00CB4BD1"/>
    <w:rsid w:val="00CD139C"/>
    <w:rsid w:val="00CE2DA9"/>
    <w:rsid w:val="00CE44BE"/>
    <w:rsid w:val="00D0142D"/>
    <w:rsid w:val="00D4356B"/>
    <w:rsid w:val="00D67EDE"/>
    <w:rsid w:val="00D7162F"/>
    <w:rsid w:val="00DB4DB5"/>
    <w:rsid w:val="00DE4D10"/>
    <w:rsid w:val="00E44A86"/>
    <w:rsid w:val="00E522EB"/>
    <w:rsid w:val="00E60827"/>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52E7"/>
    <w:rPr>
      <w:color w:val="808080"/>
    </w:rPr>
  </w:style>
  <w:style w:type="paragraph" w:customStyle="1" w:styleId="CDB60824EC144AB3B75C05A5823BEE2D">
    <w:name w:val="CDB60824EC144AB3B75C05A5823BEE2D"/>
    <w:rsid w:val="005E40DD"/>
  </w:style>
  <w:style w:type="paragraph" w:customStyle="1" w:styleId="B5DD268B8B439E49AA53F38DBAA54E63">
    <w:name w:val="B5DD268B8B439E49AA53F38DBAA54E63"/>
    <w:rsid w:val="008152E7"/>
    <w:pPr>
      <w:spacing w:after="0" w:line="240" w:lineRule="auto"/>
    </w:pPr>
    <w:rPr>
      <w:sz w:val="24"/>
      <w:szCs w:val="24"/>
      <w:lang w:eastAsia="en-GB"/>
    </w:rPr>
  </w:style>
  <w:style w:type="paragraph" w:customStyle="1" w:styleId="204382964A570A4C90B96C93579DC565">
    <w:name w:val="204382964A570A4C90B96C93579DC565"/>
    <w:rsid w:val="008152E7"/>
    <w:pPr>
      <w:spacing w:after="0" w:line="240" w:lineRule="auto"/>
    </w:pPr>
    <w:rPr>
      <w:sz w:val="24"/>
      <w:szCs w:val="24"/>
      <w:lang w:eastAsia="en-GB"/>
    </w:rPr>
  </w:style>
  <w:style w:type="paragraph" w:customStyle="1" w:styleId="1021C91013244A4FB9C0819F4B034FC7">
    <w:name w:val="1021C91013244A4FB9C0819F4B034FC7"/>
    <w:rsid w:val="008152E7"/>
    <w:pPr>
      <w:spacing w:after="0" w:line="240" w:lineRule="auto"/>
    </w:pPr>
    <w:rPr>
      <w:sz w:val="24"/>
      <w:szCs w:val="24"/>
      <w:lang w:eastAsia="en-GB"/>
    </w:rPr>
  </w:style>
  <w:style w:type="paragraph" w:customStyle="1" w:styleId="4989C9A038B32944881B17250F847A71">
    <w:name w:val="4989C9A038B32944881B17250F847A71"/>
    <w:rsid w:val="008152E7"/>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A9479-FC19-479F-9CEA-CF71653B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11036</Words>
  <Characters>6291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17293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2024-12-18T13:50:00Z</dcterms:created>
  <dcterms:modified xsi:type="dcterms:W3CDTF">2025-01-02T11:23:00Z</dcterms:modified>
</cp:coreProperties>
</file>