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FFDA" w14:textId="77777777" w:rsidR="00700D6D" w:rsidRDefault="00700D6D" w:rsidP="00700D6D">
      <w:pPr>
        <w:ind w:left="5529"/>
      </w:pPr>
    </w:p>
    <w:p w14:paraId="37F725DD" w14:textId="77777777" w:rsidR="00700D6D" w:rsidRPr="00E33EFF" w:rsidRDefault="00700D6D" w:rsidP="00700D6D">
      <w:pPr>
        <w:ind w:left="6096"/>
      </w:pPr>
      <w:r w:rsidRPr="00E33EFF">
        <w:t>Forma patvirtinta</w:t>
      </w:r>
    </w:p>
    <w:p w14:paraId="1F7456B2" w14:textId="77777777" w:rsidR="00700D6D" w:rsidRPr="00E33EFF" w:rsidRDefault="00700D6D" w:rsidP="00700D6D">
      <w:pPr>
        <w:ind w:left="6096"/>
      </w:pPr>
      <w:r w:rsidRPr="00E33EFF">
        <w:t>Valstybinės vaistų kontrolės tarnybos prie Lietuvos Respublikos sveikatos apsaugos ministerijos viršininko 2021 m. lapkričio 12 d. įsakymu Nr. (1.72E)1A-1418</w:t>
      </w:r>
    </w:p>
    <w:p w14:paraId="4D2EA21C" w14:textId="77777777" w:rsidR="00700D6D" w:rsidRPr="00E33EFF" w:rsidRDefault="00700D6D" w:rsidP="00700D6D">
      <w:pPr>
        <w:ind w:left="6096"/>
      </w:pPr>
      <w:r w:rsidRPr="00E33EFF">
        <w:t>(Valstybinės vaistų kontrolės tarnybos prie Lietuvos Respublikos sveikatos apsaugos ministerijos viršininko 2022 m.                         d. įsakymo Nr.                    redakcija)</w:t>
      </w:r>
    </w:p>
    <w:p w14:paraId="110DF5E6" w14:textId="77777777" w:rsidR="00700D6D" w:rsidRPr="00E33EFF" w:rsidRDefault="00700D6D" w:rsidP="00700D6D"/>
    <w:p w14:paraId="5F9F3758" w14:textId="77777777" w:rsidR="00700D6D" w:rsidRPr="00E33EFF" w:rsidRDefault="00700D6D" w:rsidP="00700D6D">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7A1B0D0C" w14:textId="77777777" w:rsidR="00700D6D" w:rsidRDefault="00700D6D" w:rsidP="00700D6D">
      <w:pPr>
        <w:rPr>
          <w:b/>
        </w:rPr>
      </w:pPr>
    </w:p>
    <w:p w14:paraId="7AD07CA4" w14:textId="77777777" w:rsidR="00700D6D" w:rsidRPr="00D05364" w:rsidRDefault="00700D6D" w:rsidP="00700D6D">
      <w:pPr>
        <w:jc w:val="center"/>
        <w:rPr>
          <w:b/>
        </w:rPr>
      </w:pPr>
      <w:r w:rsidRPr="006E135F">
        <w:rPr>
          <w:b/>
        </w:rPr>
        <w:t>Pluvicto 1 000 MBq/ml injekcinis ar infuzinis tirpalas</w:t>
      </w:r>
    </w:p>
    <w:p w14:paraId="2B4AA660" w14:textId="77777777" w:rsidR="00700D6D" w:rsidRPr="00D05364" w:rsidRDefault="00700D6D" w:rsidP="00700D6D">
      <w:pPr>
        <w:jc w:val="center"/>
      </w:pPr>
    </w:p>
    <w:p w14:paraId="69DD8205" w14:textId="77777777" w:rsidR="00700D6D" w:rsidRPr="006E135F" w:rsidRDefault="00700D6D" w:rsidP="00700D6D">
      <w:pPr>
        <w:jc w:val="center"/>
        <w:rPr>
          <w:b/>
          <w:bCs/>
        </w:rPr>
      </w:pPr>
      <w:r w:rsidRPr="006E135F">
        <w:rPr>
          <w:b/>
          <w:bCs/>
        </w:rPr>
        <w:t>1 000 MBq liutecio (177Lu) vipivotido tetraksetano</w:t>
      </w:r>
      <w:r w:rsidRPr="006E135F">
        <w:rPr>
          <w:b/>
          <w:bCs/>
        </w:rPr>
        <w:cr/>
      </w:r>
    </w:p>
    <w:p w14:paraId="71D1EF27" w14:textId="77777777" w:rsidR="00700D6D" w:rsidRPr="00D05364" w:rsidRDefault="00700D6D" w:rsidP="00700D6D">
      <w:pPr>
        <w:jc w:val="center"/>
        <w:rPr>
          <w:b/>
        </w:rPr>
      </w:pPr>
      <w:r>
        <w:rPr>
          <w:b/>
        </w:rPr>
        <w:t>STV-160</w:t>
      </w:r>
    </w:p>
    <w:p w14:paraId="1DD0963E" w14:textId="77777777" w:rsidR="00700D6D" w:rsidRPr="00E33EFF" w:rsidRDefault="00700D6D" w:rsidP="00700D6D">
      <w:pPr>
        <w:jc w:val="center"/>
        <w:rPr>
          <w:b/>
        </w:rPr>
      </w:pPr>
    </w:p>
    <w:p w14:paraId="662091BA" w14:textId="77777777" w:rsidR="00700D6D" w:rsidRPr="00E33EFF" w:rsidRDefault="00700D6D" w:rsidP="00700D6D">
      <w:pPr>
        <w:pStyle w:val="Sraopastraipa"/>
        <w:numPr>
          <w:ilvl w:val="0"/>
          <w:numId w:val="12"/>
        </w:numPr>
        <w:tabs>
          <w:tab w:val="left" w:pos="567"/>
        </w:tabs>
        <w:ind w:left="567" w:hanging="567"/>
        <w:rPr>
          <w:b/>
          <w:bCs/>
          <w:caps/>
        </w:rPr>
      </w:pPr>
      <w:r w:rsidRPr="00E33EFF">
        <w:rPr>
          <w:b/>
          <w:bCs/>
          <w:caps/>
        </w:rPr>
        <w:t>Bendroji dalis</w:t>
      </w:r>
    </w:p>
    <w:p w14:paraId="0A83782C" w14:textId="77777777" w:rsidR="00700D6D" w:rsidRPr="00E33EFF" w:rsidRDefault="00700D6D" w:rsidP="00700D6D">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700D6D" w:rsidRPr="006067D9" w14:paraId="3FCDA4D2" w14:textId="77777777" w:rsidTr="007135C7">
        <w:trPr>
          <w:trHeight w:val="538"/>
        </w:trPr>
        <w:tc>
          <w:tcPr>
            <w:tcW w:w="632" w:type="dxa"/>
          </w:tcPr>
          <w:p w14:paraId="70A5DD2A" w14:textId="77777777" w:rsidR="00700D6D" w:rsidRPr="006067D9" w:rsidRDefault="00700D6D" w:rsidP="007135C7">
            <w:pPr>
              <w:rPr>
                <w:rFonts w:eastAsia="Arial"/>
              </w:rPr>
            </w:pPr>
            <w:r w:rsidRPr="006067D9">
              <w:rPr>
                <w:rFonts w:eastAsia="Arial"/>
              </w:rPr>
              <w:t>1.1</w:t>
            </w:r>
          </w:p>
        </w:tc>
        <w:tc>
          <w:tcPr>
            <w:tcW w:w="3694" w:type="dxa"/>
          </w:tcPr>
          <w:p w14:paraId="26228268" w14:textId="77777777" w:rsidR="00700D6D" w:rsidRPr="006067D9" w:rsidRDefault="00700D6D" w:rsidP="007135C7">
            <w:pPr>
              <w:rPr>
                <w:rFonts w:eastAsia="Arial"/>
              </w:rPr>
            </w:pPr>
            <w:r w:rsidRPr="006067D9">
              <w:rPr>
                <w:rFonts w:eastAsia="Arial"/>
              </w:rPr>
              <w:t>Pareiškėjas</w:t>
            </w:r>
          </w:p>
          <w:p w14:paraId="14F183DC" w14:textId="77777777" w:rsidR="00700D6D" w:rsidRPr="006067D9" w:rsidRDefault="00700D6D" w:rsidP="007135C7">
            <w:pPr>
              <w:rPr>
                <w:rFonts w:eastAsia="Arial"/>
              </w:rPr>
            </w:pPr>
          </w:p>
        </w:tc>
        <w:tc>
          <w:tcPr>
            <w:tcW w:w="5167" w:type="dxa"/>
          </w:tcPr>
          <w:p w14:paraId="465BCC01" w14:textId="77777777" w:rsidR="00376F85" w:rsidRPr="00376F85" w:rsidRDefault="00376F85" w:rsidP="00376F85">
            <w:pPr>
              <w:rPr>
                <w:rFonts w:eastAsia="Arial"/>
              </w:rPr>
            </w:pPr>
            <w:r w:rsidRPr="00376F85">
              <w:rPr>
                <w:rFonts w:eastAsia="Arial"/>
              </w:rPr>
              <w:t>S Ahlen Medical Nordic AB</w:t>
            </w:r>
            <w:r>
              <w:rPr>
                <w:rFonts w:eastAsia="Arial"/>
              </w:rPr>
              <w:t xml:space="preserve"> atstovaujamas </w:t>
            </w:r>
          </w:p>
          <w:p w14:paraId="105C4B9E" w14:textId="4657A5DB" w:rsidR="00700D6D" w:rsidRPr="00376F85" w:rsidRDefault="00376F85" w:rsidP="00376F85">
            <w:pPr>
              <w:rPr>
                <w:rFonts w:eastAsia="Arial"/>
              </w:rPr>
            </w:pPr>
            <w:r w:rsidRPr="00376F85">
              <w:rPr>
                <w:rFonts w:eastAsia="Arial"/>
              </w:rPr>
              <w:t>SIA Novartis Baltics Lietuvos filialas</w:t>
            </w:r>
          </w:p>
        </w:tc>
      </w:tr>
      <w:tr w:rsidR="00700D6D" w:rsidRPr="006067D9" w14:paraId="24BEB735" w14:textId="77777777" w:rsidTr="007135C7">
        <w:trPr>
          <w:trHeight w:val="538"/>
        </w:trPr>
        <w:tc>
          <w:tcPr>
            <w:tcW w:w="632" w:type="dxa"/>
          </w:tcPr>
          <w:p w14:paraId="4F38DD83" w14:textId="77777777" w:rsidR="00700D6D" w:rsidRPr="006067D9" w:rsidRDefault="00700D6D" w:rsidP="007135C7">
            <w:pPr>
              <w:rPr>
                <w:rFonts w:eastAsia="Arial"/>
              </w:rPr>
            </w:pPr>
            <w:r w:rsidRPr="006067D9">
              <w:rPr>
                <w:rFonts w:eastAsia="Arial"/>
              </w:rPr>
              <w:t>1.2</w:t>
            </w:r>
          </w:p>
        </w:tc>
        <w:tc>
          <w:tcPr>
            <w:tcW w:w="3694" w:type="dxa"/>
          </w:tcPr>
          <w:p w14:paraId="5396C088" w14:textId="77777777" w:rsidR="00700D6D" w:rsidRPr="006067D9" w:rsidRDefault="00700D6D" w:rsidP="007135C7">
            <w:pPr>
              <w:rPr>
                <w:bCs/>
                <w:color w:val="000000"/>
                <w:lang w:eastAsia="lt-LT"/>
              </w:rPr>
            </w:pPr>
            <w:r w:rsidRPr="006067D9">
              <w:rPr>
                <w:bCs/>
                <w:color w:val="000000"/>
                <w:lang w:eastAsia="lt-LT"/>
              </w:rPr>
              <w:t xml:space="preserve">Registracijos data </w:t>
            </w:r>
          </w:p>
          <w:p w14:paraId="5965085B" w14:textId="77777777" w:rsidR="00700D6D" w:rsidRPr="006067D9" w:rsidRDefault="00700D6D" w:rsidP="007135C7">
            <w:pPr>
              <w:rPr>
                <w:bCs/>
                <w:color w:val="000000"/>
                <w:lang w:eastAsia="lt-LT"/>
              </w:rPr>
            </w:pPr>
          </w:p>
        </w:tc>
        <w:tc>
          <w:tcPr>
            <w:tcW w:w="5167" w:type="dxa"/>
          </w:tcPr>
          <w:p w14:paraId="13FE7AEE" w14:textId="77777777" w:rsidR="00700D6D" w:rsidRPr="006067D9" w:rsidRDefault="00000000" w:rsidP="007135C7">
            <w:pPr>
              <w:rPr>
                <w:rStyle w:val="Style2"/>
                <w:sz w:val="24"/>
              </w:rPr>
            </w:pPr>
            <w:sdt>
              <w:sdtPr>
                <w:rPr>
                  <w:sz w:val="32"/>
                </w:rPr>
                <w:alias w:val="Nurodykite konkrečią dieną"/>
                <w:tag w:val="Nurodykite pradžios datą"/>
                <w:id w:val="423238108"/>
                <w:placeholder>
                  <w:docPart w:val="B7A0BFC1834045D984BA2CA6A1CB587C"/>
                </w:placeholder>
                <w15:color w:val="FFCC99"/>
                <w:date w:fullDate="2022-09-12T00:00:00Z">
                  <w:dateFormat w:val="yyyy 'm.' MMMM d 'd.'"/>
                  <w:lid w:val="lt-LT"/>
                  <w:storeMappedDataAs w:val="dateTime"/>
                  <w:calendar w:val="gregorian"/>
                </w:date>
              </w:sdtPr>
              <w:sdtEndPr>
                <w:rPr>
                  <w:sz w:val="24"/>
                </w:rPr>
              </w:sdtEndPr>
              <w:sdtContent>
                <w:r w:rsidR="00700D6D" w:rsidRPr="002F089F">
                  <w:t>2022 m. rugsėjo 12 d.</w:t>
                </w:r>
              </w:sdtContent>
            </w:sdt>
          </w:p>
        </w:tc>
      </w:tr>
      <w:tr w:rsidR="00700D6D" w:rsidRPr="006067D9" w14:paraId="640CFCD3" w14:textId="77777777" w:rsidTr="007135C7">
        <w:trPr>
          <w:trHeight w:val="96"/>
        </w:trPr>
        <w:tc>
          <w:tcPr>
            <w:tcW w:w="632" w:type="dxa"/>
          </w:tcPr>
          <w:p w14:paraId="43872F51" w14:textId="77777777" w:rsidR="00700D6D" w:rsidRPr="006067D9" w:rsidRDefault="00700D6D" w:rsidP="007135C7">
            <w:pPr>
              <w:rPr>
                <w:rFonts w:eastAsia="Arial"/>
              </w:rPr>
            </w:pPr>
            <w:r w:rsidRPr="006067D9">
              <w:rPr>
                <w:rFonts w:eastAsia="Arial"/>
              </w:rPr>
              <w:t>1.3</w:t>
            </w:r>
          </w:p>
        </w:tc>
        <w:tc>
          <w:tcPr>
            <w:tcW w:w="3694" w:type="dxa"/>
          </w:tcPr>
          <w:p w14:paraId="342EFFB5" w14:textId="77777777" w:rsidR="00700D6D" w:rsidRPr="006067D9" w:rsidRDefault="00700D6D" w:rsidP="007135C7">
            <w:r w:rsidRPr="006067D9">
              <w:t xml:space="preserve">Paraiškos tipas </w:t>
            </w:r>
          </w:p>
          <w:p w14:paraId="0A148EF6" w14:textId="77777777" w:rsidR="00700D6D" w:rsidRPr="006067D9" w:rsidRDefault="00700D6D" w:rsidP="007135C7">
            <w:r w:rsidRPr="006067D9">
              <w:t xml:space="preserve">(pagal </w:t>
            </w:r>
            <w:r w:rsidRPr="006067D9">
              <w:rPr>
                <w:color w:val="333333"/>
                <w:shd w:val="clear" w:color="auto" w:fill="FFFFFF"/>
              </w:rPr>
              <w:t>vaistinio preparato registracijos tipą, įtvirtintą</w:t>
            </w:r>
            <w:r w:rsidRPr="006067D9">
              <w:t xml:space="preserve"> Direktyvos 2001/83/EB straipsiuose)</w:t>
            </w:r>
          </w:p>
        </w:tc>
        <w:tc>
          <w:tcPr>
            <w:tcW w:w="5167" w:type="dxa"/>
          </w:tcPr>
          <w:p w14:paraId="51BD1C6D" w14:textId="77777777" w:rsidR="00700D6D" w:rsidRPr="006067D9" w:rsidRDefault="00000000" w:rsidP="007135C7">
            <w:sdt>
              <w:sdtPr>
                <w:rPr>
                  <w:rStyle w:val="Style2"/>
                  <w:sz w:val="24"/>
                </w:rPr>
                <w:id w:val="526292078"/>
                <w15:color w:val="FFCC00"/>
                <w14:checkbox>
                  <w14:checked w14:val="1"/>
                  <w14:checkedState w14:val="2612" w14:font="MS Gothic"/>
                  <w14:uncheckedState w14:val="2610" w14:font="MS Gothic"/>
                </w14:checkbox>
              </w:sdtPr>
              <w:sdtContent>
                <w:r w:rsidR="00700D6D" w:rsidRPr="006067D9">
                  <w:rPr>
                    <w:rStyle w:val="Style2"/>
                    <w:rFonts w:ascii="MS Gothic" w:eastAsia="MS Gothic" w:hAnsi="MS Gothic" w:hint="eastAsia"/>
                    <w:sz w:val="24"/>
                  </w:rPr>
                  <w:t>☒</w:t>
                </w:r>
              </w:sdtContent>
            </w:sdt>
            <w:r w:rsidR="00700D6D" w:rsidRPr="006067D9">
              <w:t xml:space="preserve">8.3 str. (pilna byla, pagrįsta savais tyrimais) </w:t>
            </w:r>
          </w:p>
          <w:p w14:paraId="5EF8701E" w14:textId="77777777" w:rsidR="00700D6D" w:rsidRPr="006067D9" w:rsidRDefault="00000000" w:rsidP="007135C7">
            <w:sdt>
              <w:sdtPr>
                <w:rPr>
                  <w:rStyle w:val="Style2"/>
                  <w:sz w:val="24"/>
                </w:rPr>
                <w:id w:val="-1497953736"/>
                <w15:color w:val="FFCC00"/>
                <w14:checkbox>
                  <w14:checked w14:val="0"/>
                  <w14:checkedState w14:val="2612" w14:font="MS Gothic"/>
                  <w14:uncheckedState w14:val="2610" w14:font="MS Gothic"/>
                </w14:checkbox>
              </w:sdtPr>
              <w:sdtContent>
                <w:r w:rsidR="00700D6D" w:rsidRPr="006067D9">
                  <w:rPr>
                    <w:rStyle w:val="Style2"/>
                    <w:rFonts w:ascii="Segoe UI Symbol" w:eastAsia="MS Gothic" w:hAnsi="Segoe UI Symbol" w:cs="Segoe UI Symbol"/>
                    <w:sz w:val="24"/>
                  </w:rPr>
                  <w:t>☐</w:t>
                </w:r>
              </w:sdtContent>
            </w:sdt>
            <w:r w:rsidR="00700D6D" w:rsidRPr="006067D9">
              <w:t xml:space="preserve">10 a str. (pripažintas medicininis vartojimas) </w:t>
            </w:r>
          </w:p>
          <w:p w14:paraId="7BF205A9" w14:textId="77777777" w:rsidR="00700D6D" w:rsidRPr="006067D9" w:rsidRDefault="00000000" w:rsidP="007135C7">
            <w:sdt>
              <w:sdtPr>
                <w:rPr>
                  <w:rStyle w:val="Style2"/>
                  <w:sz w:val="24"/>
                </w:rPr>
                <w:id w:val="204142496"/>
                <w15:color w:val="FFCC00"/>
                <w14:checkbox>
                  <w14:checked w14:val="0"/>
                  <w14:checkedState w14:val="2612" w14:font="MS Gothic"/>
                  <w14:uncheckedState w14:val="2610" w14:font="MS Gothic"/>
                </w14:checkbox>
              </w:sdtPr>
              <w:sdtContent>
                <w:r w:rsidR="00700D6D" w:rsidRPr="006067D9">
                  <w:rPr>
                    <w:rStyle w:val="Style2"/>
                    <w:rFonts w:ascii="Segoe UI Symbol" w:eastAsia="MS Gothic" w:hAnsi="Segoe UI Symbol" w:cs="Segoe UI Symbol"/>
                    <w:sz w:val="24"/>
                  </w:rPr>
                  <w:t>☐</w:t>
                </w:r>
              </w:sdtContent>
            </w:sdt>
            <w:r w:rsidR="00700D6D" w:rsidRPr="006067D9">
              <w:t>10.1 str. (generinis)</w:t>
            </w:r>
          </w:p>
          <w:p w14:paraId="0ED031A3" w14:textId="77777777" w:rsidR="00700D6D" w:rsidRPr="006067D9" w:rsidRDefault="00000000" w:rsidP="007135C7">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700D6D" w:rsidRPr="006067D9">
                  <w:rPr>
                    <w:rStyle w:val="Style2"/>
                    <w:rFonts w:ascii="Segoe UI Symbol" w:eastAsia="MS Gothic" w:hAnsi="Segoe UI Symbol" w:cs="Segoe UI Symbol"/>
                    <w:sz w:val="24"/>
                  </w:rPr>
                  <w:t>☐</w:t>
                </w:r>
              </w:sdtContent>
            </w:sdt>
            <w:r w:rsidR="00700D6D" w:rsidRPr="006067D9">
              <w:t>10.3 str. (hibridinis)</w:t>
            </w:r>
          </w:p>
        </w:tc>
      </w:tr>
      <w:tr w:rsidR="00700D6D" w:rsidRPr="006067D9" w14:paraId="198AADBC" w14:textId="77777777" w:rsidTr="007135C7">
        <w:trPr>
          <w:trHeight w:val="96"/>
        </w:trPr>
        <w:tc>
          <w:tcPr>
            <w:tcW w:w="632" w:type="dxa"/>
          </w:tcPr>
          <w:p w14:paraId="614C16D9" w14:textId="77777777" w:rsidR="00700D6D" w:rsidRPr="006067D9" w:rsidRDefault="00700D6D" w:rsidP="007135C7">
            <w:pPr>
              <w:rPr>
                <w:rFonts w:eastAsia="Arial"/>
              </w:rPr>
            </w:pPr>
            <w:r w:rsidRPr="006067D9">
              <w:rPr>
                <w:rFonts w:eastAsia="Arial"/>
              </w:rPr>
              <w:t>1.4</w:t>
            </w:r>
          </w:p>
        </w:tc>
        <w:tc>
          <w:tcPr>
            <w:tcW w:w="3694" w:type="dxa"/>
          </w:tcPr>
          <w:p w14:paraId="3F1567C3" w14:textId="77777777" w:rsidR="00700D6D" w:rsidRPr="006067D9" w:rsidRDefault="00700D6D" w:rsidP="007135C7">
            <w:pPr>
              <w:rPr>
                <w:bCs/>
                <w:color w:val="000000"/>
                <w:lang w:eastAsia="lt-LT"/>
              </w:rPr>
            </w:pPr>
            <w:r w:rsidRPr="006067D9">
              <w:rPr>
                <w:bCs/>
                <w:color w:val="000000"/>
                <w:lang w:eastAsia="lt-LT"/>
              </w:rPr>
              <w:t xml:space="preserve">Ar vaistinis preparatas įrašytas į Bendrijos retųjų vaistinių preparatų registrą? </w:t>
            </w:r>
          </w:p>
        </w:tc>
        <w:tc>
          <w:tcPr>
            <w:tcW w:w="5167" w:type="dxa"/>
          </w:tcPr>
          <w:p w14:paraId="333A7104" w14:textId="77777777" w:rsidR="00700D6D" w:rsidRPr="006067D9" w:rsidRDefault="00000000" w:rsidP="007135C7">
            <w:sdt>
              <w:sdtPr>
                <w:rPr>
                  <w:rStyle w:val="Style2"/>
                  <w:sz w:val="24"/>
                </w:rPr>
                <w:id w:val="2024432173"/>
                <w15:color w:val="FFCC00"/>
                <w14:checkbox>
                  <w14:checked w14:val="0"/>
                  <w14:checkedState w14:val="2612" w14:font="MS Gothic"/>
                  <w14:uncheckedState w14:val="2610" w14:font="MS Gothic"/>
                </w14:checkbox>
              </w:sdtPr>
              <w:sdtContent>
                <w:r w:rsidR="00700D6D">
                  <w:rPr>
                    <w:rStyle w:val="Style2"/>
                    <w:rFonts w:ascii="MS Gothic" w:eastAsia="MS Gothic" w:hAnsi="MS Gothic" w:hint="eastAsia"/>
                    <w:sz w:val="24"/>
                  </w:rPr>
                  <w:t>☐</w:t>
                </w:r>
              </w:sdtContent>
            </w:sdt>
            <w:r w:rsidR="00700D6D" w:rsidRPr="006067D9">
              <w:t xml:space="preserve"> Taip</w:t>
            </w:r>
          </w:p>
          <w:p w14:paraId="640E83BD" w14:textId="77777777" w:rsidR="00700D6D" w:rsidRPr="006067D9" w:rsidRDefault="00000000" w:rsidP="007135C7">
            <w:sdt>
              <w:sdtPr>
                <w:rPr>
                  <w:rStyle w:val="Style2"/>
                  <w:sz w:val="24"/>
                </w:rPr>
                <w:id w:val="-970507926"/>
                <w15:color w:val="FFCC00"/>
                <w14:checkbox>
                  <w14:checked w14:val="1"/>
                  <w14:checkedState w14:val="2612" w14:font="MS Gothic"/>
                  <w14:uncheckedState w14:val="2610" w14:font="MS Gothic"/>
                </w14:checkbox>
              </w:sdtPr>
              <w:sdtContent>
                <w:r w:rsidR="00700D6D">
                  <w:rPr>
                    <w:rStyle w:val="Style2"/>
                    <w:rFonts w:ascii="MS Gothic" w:eastAsia="MS Gothic" w:hAnsi="MS Gothic" w:hint="eastAsia"/>
                    <w:sz w:val="24"/>
                  </w:rPr>
                  <w:t>☒</w:t>
                </w:r>
              </w:sdtContent>
            </w:sdt>
            <w:r w:rsidR="00700D6D" w:rsidRPr="006067D9">
              <w:t xml:space="preserve"> Ne</w:t>
            </w:r>
          </w:p>
          <w:p w14:paraId="1BE0C8F9" w14:textId="77777777" w:rsidR="00700D6D" w:rsidRPr="006067D9" w:rsidRDefault="00000000" w:rsidP="007135C7">
            <w:pPr>
              <w:rPr>
                <w:rFonts w:eastAsia="Arial"/>
              </w:rPr>
            </w:pPr>
            <w:sdt>
              <w:sdtPr>
                <w:alias w:val="Nurodykite konkrečią dieną"/>
                <w:tag w:val="Nurodykite pradžios datą"/>
                <w:id w:val="693498901"/>
                <w:placeholder>
                  <w:docPart w:val="F3B1ADE96A8F4BA5A9179EEE75D5871A"/>
                </w:placeholder>
                <w:showingPlcHdr/>
                <w15:color w:val="FFCC99"/>
                <w:date w:fullDate="2022-05-18T00:00:00Z">
                  <w:dateFormat w:val="yyyy 'm.' MMMM d 'd.'"/>
                  <w:lid w:val="lt-LT"/>
                  <w:storeMappedDataAs w:val="dateTime"/>
                  <w:calendar w:val="gregorian"/>
                </w:date>
              </w:sdtPr>
              <w:sdtContent>
                <w:r w:rsidR="00700D6D" w:rsidRPr="006067D9">
                  <w:rPr>
                    <w:rStyle w:val="Vietosrezervavimoenklotekstas"/>
                  </w:rPr>
                  <w:t>Click here to enter a date.</w:t>
                </w:r>
              </w:sdtContent>
            </w:sdt>
          </w:p>
        </w:tc>
      </w:tr>
      <w:tr w:rsidR="00700D6D" w:rsidRPr="006067D9" w14:paraId="1C4F54EA" w14:textId="77777777" w:rsidTr="007135C7">
        <w:trPr>
          <w:trHeight w:val="476"/>
        </w:trPr>
        <w:tc>
          <w:tcPr>
            <w:tcW w:w="632" w:type="dxa"/>
          </w:tcPr>
          <w:p w14:paraId="7837BE64" w14:textId="77777777" w:rsidR="00700D6D" w:rsidRPr="006067D9" w:rsidRDefault="00700D6D" w:rsidP="007135C7">
            <w:pPr>
              <w:rPr>
                <w:rFonts w:eastAsia="Arial"/>
              </w:rPr>
            </w:pPr>
            <w:r w:rsidRPr="006067D9">
              <w:rPr>
                <w:rFonts w:eastAsia="Arial"/>
              </w:rPr>
              <w:t>1.5</w:t>
            </w:r>
          </w:p>
        </w:tc>
        <w:tc>
          <w:tcPr>
            <w:tcW w:w="3694" w:type="dxa"/>
          </w:tcPr>
          <w:p w14:paraId="0D8FEBE8" w14:textId="77777777" w:rsidR="00700D6D" w:rsidRPr="006067D9" w:rsidRDefault="00700D6D" w:rsidP="007135C7">
            <w:pPr>
              <w:rPr>
                <w:bCs/>
                <w:color w:val="000000"/>
                <w:lang w:eastAsia="lt-LT"/>
              </w:rPr>
            </w:pPr>
            <w:r w:rsidRPr="006067D9">
              <w:t>STV paraiškos pobūdis</w:t>
            </w:r>
          </w:p>
        </w:tc>
        <w:tc>
          <w:tcPr>
            <w:tcW w:w="5167" w:type="dxa"/>
          </w:tcPr>
          <w:p w14:paraId="6559D435" w14:textId="77777777" w:rsidR="00700D6D" w:rsidRPr="006067D9" w:rsidRDefault="00000000" w:rsidP="007135C7">
            <w:sdt>
              <w:sdtPr>
                <w:rPr>
                  <w:rStyle w:val="Style2"/>
                  <w:sz w:val="24"/>
                </w:rPr>
                <w:id w:val="-468433535"/>
                <w15:color w:val="FFCC00"/>
                <w14:checkbox>
                  <w14:checked w14:val="1"/>
                  <w14:checkedState w14:val="2612" w14:font="MS Gothic"/>
                  <w14:uncheckedState w14:val="2610" w14:font="MS Gothic"/>
                </w14:checkbox>
              </w:sdtPr>
              <w:sdtContent>
                <w:r w:rsidR="00700D6D" w:rsidRPr="006067D9">
                  <w:rPr>
                    <w:rStyle w:val="Style2"/>
                    <w:rFonts w:ascii="MS Gothic" w:eastAsia="MS Gothic" w:hAnsi="MS Gothic" w:hint="eastAsia"/>
                    <w:sz w:val="24"/>
                  </w:rPr>
                  <w:t>☒</w:t>
                </w:r>
              </w:sdtContent>
            </w:sdt>
            <w:r w:rsidR="00700D6D" w:rsidRPr="006067D9">
              <w:t xml:space="preserve"> Pilna paraiška</w:t>
            </w:r>
          </w:p>
          <w:p w14:paraId="422EE68C" w14:textId="77777777" w:rsidR="00700D6D" w:rsidRPr="006067D9" w:rsidRDefault="00000000" w:rsidP="007135C7">
            <w:sdt>
              <w:sdtPr>
                <w:rPr>
                  <w:rStyle w:val="Style2"/>
                  <w:sz w:val="24"/>
                </w:rPr>
                <w:id w:val="-1489014904"/>
                <w15:color w:val="FFCC00"/>
                <w14:checkbox>
                  <w14:checked w14:val="0"/>
                  <w14:checkedState w14:val="2612" w14:font="MS Gothic"/>
                  <w14:uncheckedState w14:val="2610" w14:font="MS Gothic"/>
                </w14:checkbox>
              </w:sdtPr>
              <w:sdtContent>
                <w:r w:rsidR="00700D6D" w:rsidRPr="006067D9">
                  <w:rPr>
                    <w:rStyle w:val="Style2"/>
                    <w:rFonts w:ascii="MS Gothic" w:eastAsia="MS Gothic" w:hAnsi="MS Gothic" w:hint="eastAsia"/>
                    <w:sz w:val="24"/>
                  </w:rPr>
                  <w:t>☐</w:t>
                </w:r>
              </w:sdtContent>
            </w:sdt>
            <w:r w:rsidR="00700D6D" w:rsidRPr="006067D9">
              <w:t xml:space="preserve"> Supaprastinta paraiška</w:t>
            </w:r>
          </w:p>
        </w:tc>
      </w:tr>
      <w:tr w:rsidR="00700D6D" w:rsidRPr="006067D9" w14:paraId="3D24393D" w14:textId="77777777" w:rsidTr="007135C7">
        <w:trPr>
          <w:trHeight w:val="681"/>
        </w:trPr>
        <w:tc>
          <w:tcPr>
            <w:tcW w:w="632" w:type="dxa"/>
          </w:tcPr>
          <w:p w14:paraId="2A79567F" w14:textId="77777777" w:rsidR="00700D6D" w:rsidRPr="006067D9" w:rsidRDefault="00700D6D" w:rsidP="007135C7">
            <w:pPr>
              <w:rPr>
                <w:rFonts w:eastAsia="Arial"/>
              </w:rPr>
            </w:pPr>
            <w:r w:rsidRPr="006067D9">
              <w:rPr>
                <w:rFonts w:eastAsia="Arial"/>
              </w:rPr>
              <w:t>1.6</w:t>
            </w:r>
          </w:p>
        </w:tc>
        <w:tc>
          <w:tcPr>
            <w:tcW w:w="3694" w:type="dxa"/>
          </w:tcPr>
          <w:p w14:paraId="0BF8168A" w14:textId="77777777" w:rsidR="00700D6D" w:rsidRPr="006067D9" w:rsidRDefault="00700D6D" w:rsidP="007135C7">
            <w:pPr>
              <w:rPr>
                <w:bCs/>
                <w:color w:val="000000"/>
                <w:lang w:eastAsia="lt-LT"/>
              </w:rPr>
            </w:pPr>
            <w:r w:rsidRPr="006067D9">
              <w:rPr>
                <w:bCs/>
                <w:color w:val="000000"/>
                <w:lang w:eastAsia="lt-LT"/>
              </w:rPr>
              <w:t>Pareiškėjo teikiama (-os) kompensuoti vaistinio preparato indikacija (-os)</w:t>
            </w:r>
          </w:p>
          <w:p w14:paraId="47855BC9" w14:textId="77777777" w:rsidR="00700D6D" w:rsidRPr="006067D9" w:rsidRDefault="00700D6D" w:rsidP="007135C7">
            <w:pPr>
              <w:rPr>
                <w:bCs/>
                <w:color w:val="000000"/>
                <w:lang w:eastAsia="lt-LT"/>
              </w:rPr>
            </w:pPr>
          </w:p>
          <w:p w14:paraId="621F1BF0" w14:textId="77777777" w:rsidR="00700D6D" w:rsidRPr="006067D9" w:rsidRDefault="00700D6D" w:rsidP="007135C7">
            <w:pPr>
              <w:rPr>
                <w:bCs/>
                <w:color w:val="000000"/>
                <w:lang w:eastAsia="lt-LT"/>
              </w:rPr>
            </w:pPr>
            <w:r w:rsidRPr="006067D9">
              <w:rPr>
                <w:bCs/>
                <w:color w:val="000000"/>
                <w:lang w:eastAsia="lt-LT"/>
              </w:rPr>
              <w:t>Kodas pagal TLK-10 AM</w:t>
            </w:r>
          </w:p>
        </w:tc>
        <w:tc>
          <w:tcPr>
            <w:tcW w:w="5167" w:type="dxa"/>
          </w:tcPr>
          <w:p w14:paraId="5E7FB1EF" w14:textId="77777777" w:rsidR="00700D6D" w:rsidRDefault="00700D6D" w:rsidP="007135C7">
            <w:pPr>
              <w:spacing w:after="120"/>
              <w:jc w:val="both"/>
            </w:pPr>
            <w:r w:rsidRPr="006E135F">
              <w:t>Pluvicto derinys su androgenų trūkumo terapija (ADT) su arba be androgenų receptorių</w:t>
            </w:r>
            <w:r>
              <w:t xml:space="preserve"> </w:t>
            </w:r>
            <w:r w:rsidRPr="006E135F">
              <w:t>(AR) inhibitoriais skirtas suaugusių pacientų, sergančių progresuojančiu prostatos</w:t>
            </w:r>
            <w:r>
              <w:t xml:space="preserve"> </w:t>
            </w:r>
            <w:r w:rsidRPr="006E135F">
              <w:t>specifiniam membranos antigenui (PSMA) teigiamu metastaziniu kastracijai atspariu</w:t>
            </w:r>
            <w:r>
              <w:t xml:space="preserve"> </w:t>
            </w:r>
            <w:r w:rsidRPr="006E135F">
              <w:t>prostatos vėžiu (mKAPV), gydymui, kai jiems anksčiau buvo skirtas gydymas AR</w:t>
            </w:r>
            <w:r>
              <w:t xml:space="preserve"> </w:t>
            </w:r>
            <w:r w:rsidRPr="006E135F">
              <w:t>inhibitoriais ir chemoterapija taksanų pagrindu.</w:t>
            </w:r>
          </w:p>
          <w:p w14:paraId="63D9FF4E" w14:textId="77777777" w:rsidR="00700D6D" w:rsidRPr="006067D9" w:rsidRDefault="00700D6D" w:rsidP="007135C7">
            <w:r w:rsidRPr="006067D9">
              <w:t>TLK kodas C61</w:t>
            </w:r>
            <w:r>
              <w:t>.</w:t>
            </w:r>
          </w:p>
        </w:tc>
      </w:tr>
      <w:tr w:rsidR="00700D6D" w:rsidRPr="006067D9" w14:paraId="3851BDEC" w14:textId="77777777" w:rsidTr="007135C7">
        <w:trPr>
          <w:trHeight w:val="378"/>
        </w:trPr>
        <w:tc>
          <w:tcPr>
            <w:tcW w:w="632" w:type="dxa"/>
          </w:tcPr>
          <w:p w14:paraId="31B4B433" w14:textId="77777777" w:rsidR="00700D6D" w:rsidRPr="006067D9" w:rsidRDefault="00700D6D" w:rsidP="007135C7">
            <w:pPr>
              <w:rPr>
                <w:rFonts w:eastAsia="Arial"/>
              </w:rPr>
            </w:pPr>
            <w:r w:rsidRPr="006067D9">
              <w:rPr>
                <w:rFonts w:eastAsia="Arial"/>
              </w:rPr>
              <w:t>1.6</w:t>
            </w:r>
          </w:p>
        </w:tc>
        <w:tc>
          <w:tcPr>
            <w:tcW w:w="3694" w:type="dxa"/>
          </w:tcPr>
          <w:p w14:paraId="7C71D699" w14:textId="77777777" w:rsidR="00700D6D" w:rsidRPr="006067D9" w:rsidRDefault="00700D6D" w:rsidP="007135C7">
            <w:pPr>
              <w:rPr>
                <w:bCs/>
                <w:color w:val="000000"/>
                <w:u w:val="single"/>
                <w:lang w:eastAsia="lt-LT"/>
              </w:rPr>
            </w:pPr>
            <w:r w:rsidRPr="006067D9">
              <w:rPr>
                <w:bCs/>
                <w:color w:val="000000"/>
                <w:lang w:eastAsia="lt-LT"/>
              </w:rPr>
              <w:t xml:space="preserve">Pareiškėjo teikiamos skyrimo sąlygos </w:t>
            </w:r>
          </w:p>
        </w:tc>
        <w:tc>
          <w:tcPr>
            <w:tcW w:w="5167" w:type="dxa"/>
          </w:tcPr>
          <w:p w14:paraId="3642B620" w14:textId="77777777" w:rsidR="00700D6D" w:rsidRPr="006067D9" w:rsidRDefault="00700D6D" w:rsidP="007135C7">
            <w:r>
              <w:t>Nesiūloma.</w:t>
            </w:r>
          </w:p>
        </w:tc>
      </w:tr>
      <w:tr w:rsidR="00700D6D" w:rsidRPr="006067D9" w14:paraId="30EBF719" w14:textId="77777777" w:rsidTr="007135C7">
        <w:trPr>
          <w:trHeight w:val="96"/>
        </w:trPr>
        <w:tc>
          <w:tcPr>
            <w:tcW w:w="632" w:type="dxa"/>
          </w:tcPr>
          <w:p w14:paraId="32EFC779" w14:textId="77777777" w:rsidR="00700D6D" w:rsidRPr="006067D9" w:rsidRDefault="00700D6D" w:rsidP="007135C7">
            <w:pPr>
              <w:rPr>
                <w:rFonts w:eastAsia="Arial"/>
              </w:rPr>
            </w:pPr>
            <w:r w:rsidRPr="006067D9">
              <w:rPr>
                <w:rFonts w:eastAsia="Arial"/>
              </w:rPr>
              <w:lastRenderedPageBreak/>
              <w:t>1.7</w:t>
            </w:r>
          </w:p>
        </w:tc>
        <w:tc>
          <w:tcPr>
            <w:tcW w:w="3694" w:type="dxa"/>
          </w:tcPr>
          <w:p w14:paraId="33C44466" w14:textId="77777777" w:rsidR="00700D6D" w:rsidRPr="006067D9" w:rsidRDefault="00700D6D" w:rsidP="007135C7">
            <w:pPr>
              <w:rPr>
                <w:bCs/>
                <w:color w:val="000000"/>
                <w:lang w:eastAsia="lt-LT"/>
              </w:rPr>
            </w:pPr>
            <w:r w:rsidRPr="006067D9">
              <w:rPr>
                <w:bCs/>
                <w:color w:val="000000"/>
                <w:lang w:eastAsia="lt-LT"/>
              </w:rPr>
              <w:t>Pareiškėjo teikiamas palyginamasis gydymas</w:t>
            </w:r>
            <w:r>
              <w:rPr>
                <w:bCs/>
                <w:color w:val="000000"/>
                <w:lang w:eastAsia="lt-LT"/>
              </w:rPr>
              <w:t>.</w:t>
            </w:r>
          </w:p>
        </w:tc>
        <w:tc>
          <w:tcPr>
            <w:tcW w:w="5167" w:type="dxa"/>
          </w:tcPr>
          <w:p w14:paraId="0B80D5EC" w14:textId="77777777" w:rsidR="00700D6D" w:rsidRPr="006067D9" w:rsidRDefault="00000000" w:rsidP="007135C7">
            <w:sdt>
              <w:sdtPr>
                <w:rPr>
                  <w:rStyle w:val="Style2"/>
                  <w:sz w:val="24"/>
                </w:rPr>
                <w:id w:val="1480955706"/>
                <w15:color w:val="FFCC00"/>
                <w14:checkbox>
                  <w14:checked w14:val="1"/>
                  <w14:checkedState w14:val="2612" w14:font="MS Gothic"/>
                  <w14:uncheckedState w14:val="2610" w14:font="MS Gothic"/>
                </w14:checkbox>
              </w:sdtPr>
              <w:sdtContent>
                <w:r w:rsidR="00700D6D" w:rsidRPr="006067D9">
                  <w:rPr>
                    <w:rStyle w:val="Style2"/>
                    <w:rFonts w:ascii="MS Gothic" w:eastAsia="MS Gothic" w:hAnsi="MS Gothic" w:hint="eastAsia"/>
                    <w:sz w:val="24"/>
                  </w:rPr>
                  <w:t>☒</w:t>
                </w:r>
              </w:sdtContent>
            </w:sdt>
            <w:r w:rsidR="00700D6D" w:rsidRPr="006067D9">
              <w:t xml:space="preserve"> Tinkamas</w:t>
            </w:r>
          </w:p>
          <w:p w14:paraId="689B828B" w14:textId="77777777" w:rsidR="00700D6D" w:rsidRPr="006067D9" w:rsidRDefault="00000000" w:rsidP="007135C7">
            <w:sdt>
              <w:sdtPr>
                <w:rPr>
                  <w:rStyle w:val="Style2"/>
                  <w:sz w:val="24"/>
                </w:rPr>
                <w:id w:val="-352420698"/>
                <w15:color w:val="FFCC00"/>
                <w14:checkbox>
                  <w14:checked w14:val="0"/>
                  <w14:checkedState w14:val="2612" w14:font="MS Gothic"/>
                  <w14:uncheckedState w14:val="2610" w14:font="MS Gothic"/>
                </w14:checkbox>
              </w:sdtPr>
              <w:sdtContent>
                <w:r w:rsidR="00700D6D" w:rsidRPr="006067D9">
                  <w:rPr>
                    <w:rStyle w:val="Style2"/>
                    <w:rFonts w:ascii="MS Gothic" w:eastAsia="MS Gothic" w:hAnsi="MS Gothic" w:hint="eastAsia"/>
                    <w:sz w:val="24"/>
                  </w:rPr>
                  <w:t>☐</w:t>
                </w:r>
              </w:sdtContent>
            </w:sdt>
            <w:r w:rsidR="00700D6D" w:rsidRPr="006067D9">
              <w:t xml:space="preserve"> Netinkama</w:t>
            </w:r>
          </w:p>
        </w:tc>
      </w:tr>
    </w:tbl>
    <w:p w14:paraId="6773436F" w14:textId="77777777" w:rsidR="00700D6D" w:rsidRPr="00E33EFF" w:rsidRDefault="00700D6D" w:rsidP="00700D6D">
      <w:pPr>
        <w:pStyle w:val="Sraopastraipa"/>
        <w:tabs>
          <w:tab w:val="left" w:pos="426"/>
        </w:tabs>
        <w:ind w:left="0"/>
        <w:rPr>
          <w:b/>
          <w:bCs/>
          <w:caps/>
        </w:rPr>
      </w:pPr>
    </w:p>
    <w:p w14:paraId="4BEEF2DC" w14:textId="77777777" w:rsidR="00700D6D" w:rsidRPr="00E33EFF" w:rsidRDefault="00700D6D" w:rsidP="00700D6D">
      <w:pPr>
        <w:spacing w:line="276" w:lineRule="auto"/>
        <w:jc w:val="both"/>
        <w:rPr>
          <w:rFonts w:eastAsia="Arial"/>
          <w:b/>
        </w:rPr>
      </w:pPr>
      <w:r w:rsidRPr="00E33EFF">
        <w:rPr>
          <w:rFonts w:eastAsia="Arial"/>
          <w:b/>
        </w:rPr>
        <w:t>1.8 Kitų valstybių atsakingų institucijų atlikto Sveikatos technologijų vertinimo (toliau – STV) išvados</w:t>
      </w:r>
    </w:p>
    <w:p w14:paraId="28E7AD3A" w14:textId="77777777" w:rsidR="00700D6D" w:rsidRPr="00E33EFF" w:rsidRDefault="00700D6D" w:rsidP="00700D6D">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700D6D" w:rsidRPr="00414E1A" w14:paraId="2DD348AF" w14:textId="77777777" w:rsidTr="007135C7">
        <w:trPr>
          <w:trHeight w:val="924"/>
        </w:trPr>
        <w:tc>
          <w:tcPr>
            <w:tcW w:w="2927" w:type="dxa"/>
            <w:tcBorders>
              <w:top w:val="single" w:sz="4" w:space="0" w:color="auto"/>
              <w:left w:val="single" w:sz="4" w:space="0" w:color="auto"/>
              <w:bottom w:val="single" w:sz="4" w:space="0" w:color="auto"/>
              <w:right w:val="single" w:sz="4" w:space="0" w:color="auto"/>
            </w:tcBorders>
            <w:hideMark/>
          </w:tcPr>
          <w:p w14:paraId="5AED5299" w14:textId="77777777" w:rsidR="00700D6D" w:rsidRPr="00414E1A" w:rsidRDefault="00700D6D" w:rsidP="007135C7">
            <w:pPr>
              <w:spacing w:line="276" w:lineRule="auto"/>
              <w:rPr>
                <w:rFonts w:eastAsia="Arial"/>
                <w:sz w:val="22"/>
                <w:szCs w:val="22"/>
              </w:rPr>
            </w:pPr>
            <w:r w:rsidRPr="00414E1A">
              <w:rPr>
                <w:rFonts w:eastAsia="Arial"/>
                <w:sz w:val="22"/>
                <w:szCs w:val="22"/>
              </w:rPr>
              <w:t>STV agentūros pavadinimas, šalis</w:t>
            </w:r>
          </w:p>
        </w:tc>
        <w:tc>
          <w:tcPr>
            <w:tcW w:w="1915" w:type="dxa"/>
            <w:tcBorders>
              <w:top w:val="single" w:sz="4" w:space="0" w:color="auto"/>
              <w:left w:val="single" w:sz="4" w:space="0" w:color="auto"/>
              <w:bottom w:val="single" w:sz="4" w:space="0" w:color="auto"/>
              <w:right w:val="single" w:sz="4" w:space="0" w:color="auto"/>
            </w:tcBorders>
            <w:hideMark/>
          </w:tcPr>
          <w:p w14:paraId="5D86B130" w14:textId="77777777" w:rsidR="00700D6D" w:rsidRPr="00414E1A" w:rsidRDefault="00700D6D" w:rsidP="007135C7">
            <w:pPr>
              <w:spacing w:line="276" w:lineRule="auto"/>
              <w:rPr>
                <w:rFonts w:eastAsia="Arial"/>
                <w:sz w:val="22"/>
                <w:szCs w:val="22"/>
              </w:rPr>
            </w:pPr>
            <w:r w:rsidRPr="00414E1A">
              <w:rPr>
                <w:rFonts w:eastAsia="Arial"/>
                <w:sz w:val="22"/>
                <w:szCs w:val="22"/>
              </w:rPr>
              <w:t>STV vertinimas atliktas</w:t>
            </w:r>
          </w:p>
        </w:tc>
        <w:tc>
          <w:tcPr>
            <w:tcW w:w="2351" w:type="dxa"/>
            <w:tcBorders>
              <w:top w:val="single" w:sz="4" w:space="0" w:color="auto"/>
              <w:left w:val="single" w:sz="4" w:space="0" w:color="auto"/>
              <w:bottom w:val="single" w:sz="4" w:space="0" w:color="auto"/>
              <w:right w:val="single" w:sz="4" w:space="0" w:color="auto"/>
            </w:tcBorders>
            <w:hideMark/>
          </w:tcPr>
          <w:p w14:paraId="13487713" w14:textId="77777777" w:rsidR="00700D6D" w:rsidRPr="00414E1A" w:rsidRDefault="00700D6D" w:rsidP="007135C7">
            <w:pPr>
              <w:spacing w:line="276" w:lineRule="auto"/>
              <w:rPr>
                <w:rFonts w:eastAsia="Arial"/>
                <w:sz w:val="22"/>
                <w:szCs w:val="22"/>
              </w:rPr>
            </w:pPr>
            <w:r w:rsidRPr="00414E1A">
              <w:rPr>
                <w:rFonts w:eastAsia="Arial"/>
                <w:sz w:val="22"/>
                <w:szCs w:val="22"/>
              </w:rPr>
              <w:t>Klinikinio vertinimo išvada</w:t>
            </w:r>
          </w:p>
        </w:tc>
        <w:tc>
          <w:tcPr>
            <w:tcW w:w="2725" w:type="dxa"/>
            <w:tcBorders>
              <w:top w:val="single" w:sz="4" w:space="0" w:color="auto"/>
              <w:left w:val="single" w:sz="4" w:space="0" w:color="auto"/>
              <w:bottom w:val="single" w:sz="4" w:space="0" w:color="auto"/>
              <w:right w:val="single" w:sz="4" w:space="0" w:color="auto"/>
            </w:tcBorders>
            <w:hideMark/>
          </w:tcPr>
          <w:p w14:paraId="5E0CD84F" w14:textId="77777777" w:rsidR="00700D6D" w:rsidRPr="00414E1A" w:rsidRDefault="00700D6D" w:rsidP="007135C7">
            <w:pPr>
              <w:spacing w:line="276" w:lineRule="auto"/>
              <w:rPr>
                <w:rFonts w:eastAsia="Arial"/>
                <w:sz w:val="22"/>
                <w:szCs w:val="22"/>
              </w:rPr>
            </w:pPr>
            <w:r w:rsidRPr="00414E1A">
              <w:rPr>
                <w:rFonts w:eastAsia="Arial"/>
                <w:sz w:val="22"/>
                <w:szCs w:val="22"/>
              </w:rPr>
              <w:t>Farmakoekonominio vertinimo išvada</w:t>
            </w:r>
          </w:p>
        </w:tc>
      </w:tr>
      <w:tr w:rsidR="00700D6D" w:rsidRPr="00414E1A" w14:paraId="2D7ABABC" w14:textId="77777777" w:rsidTr="007135C7">
        <w:trPr>
          <w:trHeight w:val="1765"/>
        </w:trPr>
        <w:tc>
          <w:tcPr>
            <w:tcW w:w="2927" w:type="dxa"/>
            <w:tcBorders>
              <w:top w:val="single" w:sz="4" w:space="0" w:color="auto"/>
              <w:left w:val="single" w:sz="4" w:space="0" w:color="auto"/>
              <w:bottom w:val="single" w:sz="4" w:space="0" w:color="auto"/>
              <w:right w:val="single" w:sz="4" w:space="0" w:color="auto"/>
            </w:tcBorders>
            <w:hideMark/>
          </w:tcPr>
          <w:p w14:paraId="1D983054" w14:textId="77777777" w:rsidR="00700D6D" w:rsidRPr="00414E1A" w:rsidRDefault="00700D6D" w:rsidP="007135C7">
            <w:pPr>
              <w:autoSpaceDE w:val="0"/>
              <w:autoSpaceDN w:val="0"/>
              <w:adjustRightInd w:val="0"/>
              <w:rPr>
                <w:bCs/>
                <w:sz w:val="22"/>
                <w:szCs w:val="22"/>
              </w:rPr>
            </w:pPr>
            <w:r w:rsidRPr="00414E1A">
              <w:rPr>
                <w:bCs/>
                <w:sz w:val="22"/>
                <w:szCs w:val="22"/>
              </w:rPr>
              <w:t>Nacionalinis sveikatos ir klinikinės kompetencijos institutas, Didžioji Britanija</w:t>
            </w:r>
          </w:p>
          <w:p w14:paraId="7282B651" w14:textId="77777777" w:rsidR="00700D6D" w:rsidRPr="00414E1A" w:rsidRDefault="00700D6D" w:rsidP="007135C7">
            <w:pPr>
              <w:spacing w:line="276" w:lineRule="auto"/>
              <w:rPr>
                <w:rFonts w:eastAsia="Arial"/>
                <w:sz w:val="22"/>
                <w:szCs w:val="22"/>
              </w:rPr>
            </w:pPr>
            <w:r w:rsidRPr="00414E1A">
              <w:rPr>
                <w:rFonts w:eastAsia="Arial"/>
                <w:sz w:val="22"/>
                <w:szCs w:val="22"/>
              </w:rPr>
              <w:t xml:space="preserve">(angl. </w:t>
            </w:r>
            <w:r w:rsidRPr="00414E1A">
              <w:rPr>
                <w:rFonts w:eastAsia="Arial"/>
                <w:i/>
                <w:sz w:val="22"/>
                <w:szCs w:val="22"/>
              </w:rPr>
              <w:t>National Institute for Health and Care Excellence, NICE</w:t>
            </w:r>
            <w:r w:rsidRPr="00414E1A">
              <w:rPr>
                <w:rFonts w:eastAsia="Arial"/>
                <w:sz w:val="22"/>
                <w:szCs w:val="22"/>
              </w:rPr>
              <w:t>)</w:t>
            </w:r>
          </w:p>
        </w:tc>
        <w:tc>
          <w:tcPr>
            <w:tcW w:w="1915" w:type="dxa"/>
            <w:tcBorders>
              <w:top w:val="single" w:sz="4" w:space="0" w:color="auto"/>
              <w:left w:val="single" w:sz="4" w:space="0" w:color="auto"/>
              <w:bottom w:val="single" w:sz="4" w:space="0" w:color="auto"/>
              <w:right w:val="single" w:sz="4" w:space="0" w:color="auto"/>
            </w:tcBorders>
            <w:hideMark/>
          </w:tcPr>
          <w:p w14:paraId="1B993D49" w14:textId="77777777" w:rsidR="00700D6D" w:rsidRPr="00071E97" w:rsidRDefault="00700D6D" w:rsidP="007135C7">
            <w:r w:rsidRPr="00071E97">
              <w:rPr>
                <w:rStyle w:val="Style2"/>
                <w:rFonts w:ascii="MS Gothic" w:eastAsia="MS Gothic" w:hAnsi="MS Gothic" w:hint="eastAsia"/>
                <w:sz w:val="24"/>
              </w:rPr>
              <w:t>☒</w:t>
            </w:r>
            <w:r w:rsidRPr="00071E97">
              <w:t xml:space="preserve"> Taip</w:t>
            </w:r>
          </w:p>
          <w:p w14:paraId="60D0D6BC" w14:textId="77777777" w:rsidR="00700D6D" w:rsidRPr="00071E97" w:rsidRDefault="00700D6D" w:rsidP="007135C7">
            <w:r w:rsidRPr="00071E97">
              <w:rPr>
                <w:rStyle w:val="Style2"/>
                <w:rFonts w:ascii="MS Gothic" w:eastAsia="MS Gothic" w:hAnsi="MS Gothic" w:hint="eastAsia"/>
                <w:sz w:val="24"/>
              </w:rPr>
              <w:t>☐</w:t>
            </w:r>
            <w:r w:rsidRPr="00071E97">
              <w:t xml:space="preserve"> Ne</w:t>
            </w:r>
          </w:p>
          <w:p w14:paraId="46CAD37F" w14:textId="77777777" w:rsidR="00700D6D" w:rsidRPr="00071E97" w:rsidRDefault="00000000" w:rsidP="007135C7">
            <w:pPr>
              <w:rPr>
                <w:rFonts w:eastAsia="Arial"/>
              </w:rPr>
            </w:pPr>
            <w:sdt>
              <w:sdtPr>
                <w:alias w:val="Nurodykite konkrečią dieną"/>
                <w:tag w:val="Nurodykite pradžios datą"/>
                <w:id w:val="922837954"/>
                <w:placeholder>
                  <w:docPart w:val="087435BA5CE849D8AD01D4A96991C7F4"/>
                </w:placeholder>
                <w15:color w:val="FFCC99"/>
                <w:date w:fullDate="2023-11-15T00:00:00Z">
                  <w:dateFormat w:val="yyyy 'm.' MMMM d 'd.'"/>
                  <w:lid w:val="lt-LT"/>
                  <w:storeMappedDataAs w:val="dateTime"/>
                  <w:calendar w:val="gregorian"/>
                </w:date>
              </w:sdtPr>
              <w:sdtContent>
                <w:r w:rsidR="00700D6D" w:rsidRPr="00071E97">
                  <w:t>2023 m. lapkričio 15 d.</w:t>
                </w:r>
              </w:sdtContent>
            </w:sdt>
          </w:p>
        </w:tc>
        <w:tc>
          <w:tcPr>
            <w:tcW w:w="5076" w:type="dxa"/>
            <w:gridSpan w:val="2"/>
            <w:tcBorders>
              <w:top w:val="single" w:sz="4" w:space="0" w:color="auto"/>
              <w:left w:val="single" w:sz="4" w:space="0" w:color="auto"/>
              <w:bottom w:val="single" w:sz="4" w:space="0" w:color="auto"/>
              <w:right w:val="single" w:sz="4" w:space="0" w:color="auto"/>
            </w:tcBorders>
            <w:hideMark/>
          </w:tcPr>
          <w:p w14:paraId="6E2089DF" w14:textId="77777777" w:rsidR="00700D6D" w:rsidRPr="00071E97" w:rsidRDefault="00700D6D" w:rsidP="007135C7">
            <w:pPr>
              <w:spacing w:line="276" w:lineRule="auto"/>
              <w:jc w:val="both"/>
              <w:rPr>
                <w:rFonts w:eastAsia="Arial"/>
              </w:rPr>
            </w:pPr>
            <w:r w:rsidRPr="00071E97">
              <w:rPr>
                <w:rFonts w:eastAsia="Arial"/>
              </w:rPr>
              <w:t xml:space="preserve">Pluvicto nerekomenduojama gydyti prostatos specifinio membranos antigeno (PSMA) teigiamo hormono atkryčio metastazavusio prostatos vėžio suaugusiems: </w:t>
            </w:r>
          </w:p>
          <w:p w14:paraId="71562EF0" w14:textId="77777777" w:rsidR="00700D6D" w:rsidRPr="00071E97" w:rsidRDefault="00700D6D" w:rsidP="00700D6D">
            <w:pPr>
              <w:pStyle w:val="Sraopastraipa"/>
              <w:numPr>
                <w:ilvl w:val="0"/>
                <w:numId w:val="14"/>
              </w:numPr>
              <w:spacing w:line="276" w:lineRule="auto"/>
              <w:jc w:val="both"/>
              <w:rPr>
                <w:rFonts w:eastAsia="Arial"/>
              </w:rPr>
            </w:pPr>
            <w:r w:rsidRPr="00071E97">
              <w:rPr>
                <w:rFonts w:eastAsia="Arial"/>
              </w:rPr>
              <w:t xml:space="preserve">po chemoterapijos taksanais ir antiandrogenų </w:t>
            </w:r>
          </w:p>
          <w:p w14:paraId="1253A201" w14:textId="77777777" w:rsidR="00700D6D" w:rsidRPr="00071E97" w:rsidRDefault="00700D6D" w:rsidP="007135C7">
            <w:pPr>
              <w:pStyle w:val="Sraopastraipa"/>
              <w:numPr>
                <w:ilvl w:val="0"/>
                <w:numId w:val="13"/>
              </w:numPr>
              <w:spacing w:after="120"/>
              <w:jc w:val="both"/>
            </w:pPr>
            <w:r w:rsidRPr="00071E97">
              <w:rPr>
                <w:rFonts w:eastAsia="Arial"/>
              </w:rPr>
              <w:t>arba kai taksanai netinkami.</w:t>
            </w:r>
          </w:p>
        </w:tc>
      </w:tr>
      <w:tr w:rsidR="00700D6D" w:rsidRPr="00414E1A" w14:paraId="46A26C0B" w14:textId="77777777" w:rsidTr="007135C7">
        <w:trPr>
          <w:trHeight w:val="1547"/>
        </w:trPr>
        <w:tc>
          <w:tcPr>
            <w:tcW w:w="2927" w:type="dxa"/>
            <w:tcBorders>
              <w:top w:val="single" w:sz="4" w:space="0" w:color="auto"/>
              <w:left w:val="single" w:sz="4" w:space="0" w:color="auto"/>
              <w:bottom w:val="single" w:sz="4" w:space="0" w:color="auto"/>
              <w:right w:val="single" w:sz="4" w:space="0" w:color="auto"/>
            </w:tcBorders>
            <w:hideMark/>
          </w:tcPr>
          <w:p w14:paraId="585A84E1" w14:textId="77777777" w:rsidR="00700D6D" w:rsidRPr="00414E1A" w:rsidRDefault="00700D6D" w:rsidP="007135C7">
            <w:pPr>
              <w:spacing w:line="276" w:lineRule="auto"/>
              <w:rPr>
                <w:rFonts w:eastAsia="Arial"/>
                <w:sz w:val="22"/>
                <w:szCs w:val="22"/>
              </w:rPr>
            </w:pPr>
            <w:r w:rsidRPr="00414E1A">
              <w:rPr>
                <w:rFonts w:eastAsia="Arial"/>
                <w:sz w:val="22"/>
                <w:szCs w:val="22"/>
              </w:rPr>
              <w:t>Kanados sveikatos technologijų agentūra</w:t>
            </w:r>
          </w:p>
          <w:p w14:paraId="23A889A0" w14:textId="77777777" w:rsidR="00700D6D" w:rsidRPr="00414E1A" w:rsidRDefault="00700D6D" w:rsidP="007135C7">
            <w:pPr>
              <w:spacing w:line="276" w:lineRule="auto"/>
              <w:rPr>
                <w:rFonts w:eastAsia="Arial"/>
                <w:sz w:val="22"/>
                <w:szCs w:val="22"/>
              </w:rPr>
            </w:pPr>
            <w:r w:rsidRPr="00414E1A">
              <w:rPr>
                <w:rFonts w:eastAsia="Arial"/>
                <w:sz w:val="22"/>
                <w:szCs w:val="22"/>
              </w:rPr>
              <w:t xml:space="preserve">(angl. </w:t>
            </w:r>
            <w:r w:rsidRPr="00414E1A">
              <w:rPr>
                <w:rFonts w:eastAsia="Arial"/>
                <w:i/>
                <w:sz w:val="22"/>
                <w:szCs w:val="22"/>
              </w:rPr>
              <w:t>Canadian health Technology Assessment agency, CADTH</w:t>
            </w:r>
            <w:r w:rsidRPr="00414E1A">
              <w:rPr>
                <w:rFonts w:eastAsia="Arial"/>
                <w:sz w:val="22"/>
                <w:szCs w:val="22"/>
              </w:rPr>
              <w:t>)</w:t>
            </w:r>
          </w:p>
        </w:tc>
        <w:tc>
          <w:tcPr>
            <w:tcW w:w="1915" w:type="dxa"/>
            <w:tcBorders>
              <w:top w:val="single" w:sz="4" w:space="0" w:color="auto"/>
              <w:left w:val="single" w:sz="4" w:space="0" w:color="auto"/>
              <w:bottom w:val="single" w:sz="4" w:space="0" w:color="auto"/>
              <w:right w:val="single" w:sz="4" w:space="0" w:color="auto"/>
            </w:tcBorders>
            <w:hideMark/>
          </w:tcPr>
          <w:p w14:paraId="13B48975" w14:textId="77777777" w:rsidR="00700D6D" w:rsidRPr="00071E97" w:rsidRDefault="00700D6D" w:rsidP="007135C7">
            <w:r w:rsidRPr="00071E97">
              <w:rPr>
                <w:rStyle w:val="Style2"/>
                <w:rFonts w:ascii="MS Gothic" w:eastAsia="MS Gothic" w:hAnsi="MS Gothic" w:hint="eastAsia"/>
                <w:sz w:val="24"/>
              </w:rPr>
              <w:t>☒</w:t>
            </w:r>
            <w:r w:rsidRPr="00071E97">
              <w:t xml:space="preserve"> Taip</w:t>
            </w:r>
          </w:p>
          <w:p w14:paraId="100A082D" w14:textId="77777777" w:rsidR="00700D6D" w:rsidRPr="00071E97" w:rsidRDefault="00700D6D" w:rsidP="007135C7">
            <w:r w:rsidRPr="00071E97">
              <w:rPr>
                <w:rStyle w:val="Style2"/>
                <w:rFonts w:ascii="Segoe UI Symbol" w:eastAsia="MS Gothic" w:hAnsi="Segoe UI Symbol" w:cs="Segoe UI Symbol"/>
                <w:sz w:val="24"/>
              </w:rPr>
              <w:t>☐</w:t>
            </w:r>
            <w:r w:rsidRPr="00071E97">
              <w:t xml:space="preserve"> Ne</w:t>
            </w:r>
          </w:p>
          <w:p w14:paraId="6BE86270" w14:textId="77777777" w:rsidR="00700D6D" w:rsidRPr="00071E97" w:rsidRDefault="00000000" w:rsidP="007135C7">
            <w:pPr>
              <w:spacing w:line="276" w:lineRule="auto"/>
              <w:rPr>
                <w:rFonts w:eastAsia="Arial"/>
              </w:rPr>
            </w:pPr>
            <w:sdt>
              <w:sdtPr>
                <w:alias w:val="Nurodykite konkrečią dieną"/>
                <w:tag w:val="Nurodykite pradžios datą"/>
                <w:id w:val="1072468416"/>
                <w:placeholder>
                  <w:docPart w:val="3EF841A0E8034F229D0F21B83A246D55"/>
                </w:placeholder>
                <w15:color w:val="FFCC99"/>
                <w:date w:fullDate="2023-03-03T00:00:00Z">
                  <w:dateFormat w:val="yyyy 'm.' MMMM d 'd.'"/>
                  <w:lid w:val="lt-LT"/>
                  <w:storeMappedDataAs w:val="dateTime"/>
                  <w:calendar w:val="gregorian"/>
                </w:date>
              </w:sdtPr>
              <w:sdtContent>
                <w:r w:rsidR="00700D6D" w:rsidRPr="00071E97">
                  <w:t>2023 m. kovo 3 d.</w:t>
                </w:r>
              </w:sdtContent>
            </w:sdt>
          </w:p>
        </w:tc>
        <w:tc>
          <w:tcPr>
            <w:tcW w:w="5076" w:type="dxa"/>
            <w:gridSpan w:val="2"/>
            <w:tcBorders>
              <w:top w:val="single" w:sz="4" w:space="0" w:color="auto"/>
              <w:left w:val="single" w:sz="4" w:space="0" w:color="auto"/>
              <w:bottom w:val="single" w:sz="4" w:space="0" w:color="auto"/>
              <w:right w:val="single" w:sz="4" w:space="0" w:color="auto"/>
            </w:tcBorders>
          </w:tcPr>
          <w:p w14:paraId="4D155674" w14:textId="77777777" w:rsidR="00700D6D" w:rsidRPr="00071E97" w:rsidRDefault="00700D6D" w:rsidP="007135C7">
            <w:pPr>
              <w:spacing w:line="276" w:lineRule="auto"/>
              <w:jc w:val="both"/>
              <w:rPr>
                <w:rFonts w:eastAsia="Arial"/>
              </w:rPr>
            </w:pPr>
            <w:r w:rsidRPr="00071E97">
              <w:rPr>
                <w:rFonts w:eastAsia="Arial"/>
              </w:rPr>
              <w:t>Rekomenduoja kompensuoti pacientams, sergantiems metastazavusiu kastracijai atspariu prostatos vėžiu (</w:t>
            </w:r>
            <w:r w:rsidRPr="00071E97">
              <w:t>mKAPV</w:t>
            </w:r>
            <w:r w:rsidRPr="00071E97">
              <w:rPr>
                <w:rFonts w:eastAsia="Arial"/>
              </w:rPr>
              <w:t>), jei tenkinamos tam tikros sąlygos.</w:t>
            </w:r>
          </w:p>
        </w:tc>
      </w:tr>
      <w:tr w:rsidR="00700D6D" w:rsidRPr="00414E1A" w14:paraId="7005004C" w14:textId="77777777" w:rsidTr="007135C7">
        <w:trPr>
          <w:trHeight w:val="1927"/>
        </w:trPr>
        <w:tc>
          <w:tcPr>
            <w:tcW w:w="2927" w:type="dxa"/>
            <w:tcBorders>
              <w:top w:val="single" w:sz="4" w:space="0" w:color="auto"/>
              <w:left w:val="single" w:sz="4" w:space="0" w:color="auto"/>
              <w:bottom w:val="single" w:sz="4" w:space="0" w:color="auto"/>
              <w:right w:val="single" w:sz="4" w:space="0" w:color="auto"/>
            </w:tcBorders>
            <w:hideMark/>
          </w:tcPr>
          <w:p w14:paraId="6017BBE9" w14:textId="77777777" w:rsidR="00700D6D" w:rsidRPr="00414E1A" w:rsidRDefault="00700D6D" w:rsidP="007135C7">
            <w:pPr>
              <w:spacing w:line="276" w:lineRule="auto"/>
              <w:rPr>
                <w:rFonts w:eastAsia="Arial"/>
                <w:sz w:val="22"/>
                <w:szCs w:val="22"/>
              </w:rPr>
            </w:pPr>
            <w:r w:rsidRPr="00414E1A">
              <w:rPr>
                <w:rFonts w:eastAsia="Arial"/>
                <w:sz w:val="22"/>
                <w:szCs w:val="22"/>
              </w:rPr>
              <w:t>Nacionalinis farmakoekonomikos centras, Airija</w:t>
            </w:r>
          </w:p>
          <w:p w14:paraId="0990B24A" w14:textId="77777777" w:rsidR="00700D6D" w:rsidRPr="00414E1A" w:rsidRDefault="00700D6D" w:rsidP="007135C7">
            <w:pPr>
              <w:spacing w:line="276" w:lineRule="auto"/>
              <w:rPr>
                <w:rFonts w:eastAsia="Arial"/>
                <w:sz w:val="22"/>
                <w:szCs w:val="22"/>
              </w:rPr>
            </w:pPr>
            <w:r w:rsidRPr="00414E1A">
              <w:rPr>
                <w:rFonts w:eastAsia="Arial"/>
                <w:sz w:val="22"/>
                <w:szCs w:val="22"/>
              </w:rPr>
              <w:t>(angl.</w:t>
            </w:r>
            <w:r w:rsidRPr="00414E1A">
              <w:rPr>
                <w:rFonts w:eastAsia="Arial"/>
                <w:i/>
                <w:sz w:val="22"/>
                <w:szCs w:val="22"/>
              </w:rPr>
              <w:t xml:space="preserve"> National Centre for Pharmacoeconomics, NCPE</w:t>
            </w:r>
            <w:r w:rsidRPr="00414E1A">
              <w:rPr>
                <w:rFonts w:eastAsia="Arial"/>
                <w:sz w:val="22"/>
                <w:szCs w:val="22"/>
              </w:rPr>
              <w:t>)</w:t>
            </w:r>
          </w:p>
        </w:tc>
        <w:tc>
          <w:tcPr>
            <w:tcW w:w="1915" w:type="dxa"/>
            <w:tcBorders>
              <w:top w:val="single" w:sz="4" w:space="0" w:color="auto"/>
              <w:left w:val="single" w:sz="4" w:space="0" w:color="auto"/>
              <w:bottom w:val="single" w:sz="4" w:space="0" w:color="auto"/>
              <w:right w:val="single" w:sz="4" w:space="0" w:color="auto"/>
            </w:tcBorders>
            <w:hideMark/>
          </w:tcPr>
          <w:p w14:paraId="0F146FCB" w14:textId="77777777" w:rsidR="00700D6D" w:rsidRPr="00071E97" w:rsidRDefault="00700D6D" w:rsidP="007135C7">
            <w:r w:rsidRPr="00071E97">
              <w:rPr>
                <w:rStyle w:val="Style2"/>
                <w:rFonts w:ascii="MS Gothic" w:eastAsia="MS Gothic" w:hAnsi="MS Gothic" w:hint="eastAsia"/>
                <w:sz w:val="24"/>
              </w:rPr>
              <w:t>☐</w:t>
            </w:r>
            <w:r w:rsidRPr="00071E97">
              <w:t xml:space="preserve"> Taip</w:t>
            </w:r>
          </w:p>
          <w:p w14:paraId="1E1166FC" w14:textId="77777777" w:rsidR="00700D6D" w:rsidRPr="00071E97" w:rsidRDefault="00700D6D" w:rsidP="007135C7">
            <w:r w:rsidRPr="00071E97">
              <w:rPr>
                <w:rStyle w:val="Style2"/>
                <w:rFonts w:ascii="MS Gothic" w:eastAsia="MS Gothic" w:hAnsi="MS Gothic" w:hint="eastAsia"/>
                <w:sz w:val="24"/>
              </w:rPr>
              <w:t>☒</w:t>
            </w:r>
            <w:r w:rsidRPr="00071E97">
              <w:t xml:space="preserve"> Ne</w:t>
            </w:r>
          </w:p>
          <w:p w14:paraId="1CA899C8" w14:textId="77777777" w:rsidR="00700D6D" w:rsidRPr="00071E97" w:rsidRDefault="00000000" w:rsidP="007135C7">
            <w:pPr>
              <w:spacing w:line="276" w:lineRule="auto"/>
              <w:rPr>
                <w:rFonts w:eastAsia="Arial"/>
              </w:rPr>
            </w:pPr>
            <w:sdt>
              <w:sdtPr>
                <w:alias w:val="Nurodykite konkrečią dieną"/>
                <w:tag w:val="Nurodykite pradžios datą"/>
                <w:id w:val="-198323198"/>
                <w:placeholder>
                  <w:docPart w:val="D208812CC8AD4EA68835A3F5C70E6973"/>
                </w:placeholder>
                <w:showingPlcHdr/>
                <w15:color w:val="FFCC99"/>
                <w:date w:fullDate="2022-05-18T00:00:00Z">
                  <w:dateFormat w:val="yyyy 'm.' MMMM d 'd.'"/>
                  <w:lid w:val="lt-LT"/>
                  <w:storeMappedDataAs w:val="dateTime"/>
                  <w:calendar w:val="gregorian"/>
                </w:date>
              </w:sdtPr>
              <w:sdtContent>
                <w:r w:rsidR="00700D6D" w:rsidRPr="00071E97">
                  <w:rPr>
                    <w:rStyle w:val="Vietosrezervavimoenklotekstas"/>
                  </w:rPr>
                  <w:t>Click here to enter a date.</w:t>
                </w:r>
              </w:sdtContent>
            </w:sdt>
          </w:p>
        </w:tc>
        <w:tc>
          <w:tcPr>
            <w:tcW w:w="5076" w:type="dxa"/>
            <w:gridSpan w:val="2"/>
            <w:tcBorders>
              <w:top w:val="single" w:sz="4" w:space="0" w:color="auto"/>
              <w:left w:val="single" w:sz="4" w:space="0" w:color="auto"/>
              <w:bottom w:val="single" w:sz="4" w:space="0" w:color="auto"/>
              <w:right w:val="single" w:sz="4" w:space="0" w:color="auto"/>
            </w:tcBorders>
          </w:tcPr>
          <w:p w14:paraId="0B204508" w14:textId="77777777" w:rsidR="00700D6D" w:rsidRPr="00071E97" w:rsidRDefault="00700D6D" w:rsidP="007135C7">
            <w:pPr>
              <w:spacing w:line="276" w:lineRule="auto"/>
              <w:rPr>
                <w:rFonts w:eastAsia="Arial"/>
              </w:rPr>
            </w:pPr>
          </w:p>
        </w:tc>
      </w:tr>
    </w:tbl>
    <w:p w14:paraId="0AE94CE3" w14:textId="77777777" w:rsidR="00700D6D" w:rsidRDefault="00700D6D" w:rsidP="00700D6D">
      <w:pPr>
        <w:rPr>
          <w:b/>
          <w:bCs/>
          <w:caps/>
        </w:rPr>
      </w:pPr>
    </w:p>
    <w:p w14:paraId="33375BE2" w14:textId="77777777" w:rsidR="00700D6D" w:rsidRPr="00E33EFF" w:rsidRDefault="00700D6D" w:rsidP="00700D6D">
      <w:pPr>
        <w:pStyle w:val="Sraopastraipa"/>
        <w:numPr>
          <w:ilvl w:val="0"/>
          <w:numId w:val="12"/>
        </w:numPr>
        <w:tabs>
          <w:tab w:val="left" w:pos="567"/>
        </w:tabs>
        <w:ind w:hanging="720"/>
        <w:rPr>
          <w:b/>
          <w:bCs/>
          <w:caps/>
        </w:rPr>
      </w:pPr>
      <w:r w:rsidRPr="00E33EFF">
        <w:rPr>
          <w:b/>
          <w:bCs/>
          <w:caps/>
        </w:rPr>
        <w:t>Klinikinio vertinimo apibendrinimas</w:t>
      </w:r>
    </w:p>
    <w:p w14:paraId="6DCCC883" w14:textId="77777777" w:rsidR="00700D6D" w:rsidRDefault="00700D6D" w:rsidP="00700D6D">
      <w:pPr>
        <w:pStyle w:val="Sraopastraipa"/>
        <w:tabs>
          <w:tab w:val="left" w:pos="426"/>
        </w:tabs>
        <w:ind w:left="0"/>
        <w:rPr>
          <w:b/>
          <w:bCs/>
          <w:caps/>
        </w:rPr>
      </w:pPr>
    </w:p>
    <w:p w14:paraId="64353A81" w14:textId="77777777" w:rsidR="00700D6D" w:rsidRPr="00831221" w:rsidRDefault="00700D6D" w:rsidP="00700D6D">
      <w:pPr>
        <w:tabs>
          <w:tab w:val="left" w:pos="426"/>
        </w:tabs>
        <w:spacing w:line="360" w:lineRule="auto"/>
        <w:jc w:val="both"/>
      </w:pPr>
      <w:r w:rsidRPr="00831221">
        <w:tab/>
      </w:r>
      <w:r w:rsidRPr="00831221">
        <w:tab/>
        <w:t>Šiuo metu Lietuvoje prostatos vėžys yra dažniausia vyrų onkologinė liga. Per metus nustatoma jau apie 2000 naujų atvejų, sergamumas šia liga nuolat auga. Remiantis Higienos instituto pateiktais statistiniais duomenimis sergamumo ir mirtingumo rodikliai Lietuvoje kinta nežymiai, t.y. 2018 metais priešinės liaukos vėžiu sirgo 23540 (841/ 100 000 gyventojų (gyv.)), naujai diagnozuoti 5078 atvejai (181/ 100 000 gyv.) ir mirė 524 (18,7/ 100 000 gyv.) gyventojai, o 2022 metais sergančiųjų skaičius sudarė 22299 (796/100000 gyv.), naujai diagnozuoti 5205 atvejai (186/ 100 000 gyv.), o mirčių 500 (17,9/100000 gyv.). Lietuvoje sergančiųjų amžiaus mediana 70 metų, o gydomų pacientų bendro išgyvenamumo mediana apie 20 mėn.</w:t>
      </w:r>
    </w:p>
    <w:p w14:paraId="69125CE0" w14:textId="77777777" w:rsidR="00700D6D" w:rsidRPr="00831221" w:rsidRDefault="00700D6D" w:rsidP="00700D6D">
      <w:pPr>
        <w:tabs>
          <w:tab w:val="left" w:pos="426"/>
        </w:tabs>
        <w:spacing w:line="360" w:lineRule="auto"/>
        <w:jc w:val="both"/>
      </w:pPr>
      <w:r w:rsidRPr="00831221">
        <w:tab/>
      </w:r>
      <w:r w:rsidRPr="00831221">
        <w:tab/>
        <w:t xml:space="preserve">Prostatos vėžio gydymas pradedamas įvertinus ligos progresavimo rizikos grupę, išaiškinus pacientui visas prostatos vėžio gydymo pasekmes ir gavus paciento sutikimą taikyti gydytojo specialisto paskirtą gydymą pagal paciento stebėjimo ir gydymo schemą. Metastazavusio kastracijai jautraus prostatos vėžio gydymui skiriama chirurginė kastracija, o pacientui atsisakius chirurginės </w:t>
      </w:r>
      <w:r w:rsidRPr="00831221">
        <w:lastRenderedPageBreak/>
        <w:t xml:space="preserve">kastracijos, skiriama kastracija vaistais (GISH analogu, kurio veikimo trukmė ne ilgesnė kaip 6 mėnesiai, ir papildomai gydymo pradžioje ne ilgiau kaip 1 mėnesį kartu skiriamas gydymas antiandrogenu). Chemoterapija gali būti taikoma, jei gydymas hormonais laikui bėgant tampa nebeefektyvus. Chirurginė operacija– radikali prostatektomija – metastazinio prostatos vėžio atveju netaikoma. Radioterapija gali būti naudojama kaip paliatyvus (palengvinantis) gydymas, kai siekiama sumažinti ar visiškai numalšinti skausmą ligos metastazių esant kituose organuose, dažniausiai kauluose. </w:t>
      </w:r>
    </w:p>
    <w:p w14:paraId="0081DA71" w14:textId="77777777" w:rsidR="00700D6D" w:rsidRPr="00831221" w:rsidRDefault="00700D6D" w:rsidP="00700D6D">
      <w:pPr>
        <w:tabs>
          <w:tab w:val="left" w:pos="426"/>
        </w:tabs>
        <w:spacing w:line="360" w:lineRule="auto"/>
        <w:jc w:val="both"/>
      </w:pPr>
      <w:r w:rsidRPr="00831221">
        <w:tab/>
      </w:r>
      <w:r w:rsidRPr="00831221">
        <w:tab/>
        <w:t>Veiklioji Pluvicto dalis yra radionuklidas liutecis-177, kuris sujungtas su nedidelės molekulės ligandu, o pastarasis dideliu afiniškumu jungiasi prie PSMA. PSMA yra transmembraninis baltymas, kurį stipriai ekspresuoja prostatos vėžio, įskaitant mKAPV, ląstelės. Pluvicto prisijungus prie PSMA ekspresuojančių vėžio ląstelių, iš liutecio-177 išsiskyrę beta-minus spinduliai lemia gydomojo poveikio spinduliuotę į taikinines ląsteles, o taip pat į aplinkines ląsteles bei sukelia DNR pažaidas, kurios gali sukelti ląstelių žūtį.</w:t>
      </w:r>
    </w:p>
    <w:p w14:paraId="10A5C518" w14:textId="77777777" w:rsidR="00700D6D" w:rsidRPr="00831221" w:rsidRDefault="00700D6D" w:rsidP="00700D6D">
      <w:pPr>
        <w:spacing w:line="360" w:lineRule="auto"/>
        <w:ind w:firstLine="720"/>
        <w:jc w:val="both"/>
        <w:rPr>
          <w:rFonts w:eastAsia="Arial"/>
        </w:rPr>
      </w:pPr>
      <w:r w:rsidRPr="00831221">
        <w:rPr>
          <w:rFonts w:eastAsia="Arial"/>
          <w:iCs/>
        </w:rPr>
        <w:t xml:space="preserve">Lietuvoje prostatos vėžio gydymą reglamentuoja 2011 m. lapkričio 2 d. Lietuvos Respublikos sveikatos apsaugos ministro įsakymas Nr. V-941 „Dėl priešinės liaukos (prostatos) piktybinio naviko ambulatorinio gydymo kompensuojamaisiais vaistais tvarkos aprašo patvirtinimo“ ir 2000 m. sausio 28 d. Lietuvos Respublikos sveikatos apsaugos ministro įsakymas Nr. 49 „Dėl kompensuojamųjų vaistų sąrašų patvirtinimo“. Remiantis nurodytais dokumentais, bei </w:t>
      </w:r>
      <w:r w:rsidRPr="00831221">
        <w:t>pateikta gydytojų sveikatos priežiūros specialistų organizacijų pozicija,</w:t>
      </w:r>
      <w:r w:rsidRPr="00831221">
        <w:rPr>
          <w:rFonts w:eastAsia="Arial"/>
        </w:rPr>
        <w:t xml:space="preserve"> Lietuvoje klinikinėje praktikoje šiems pacientams, šiuo metu taikomas gydymas </w:t>
      </w:r>
      <w:r w:rsidRPr="00831221">
        <w:t>chemoterapija kabazitakseliu arba AR inhibitoriai arba kartojimas docetakselio gydymas</w:t>
      </w:r>
      <w:r w:rsidRPr="00831221">
        <w:rPr>
          <w:rFonts w:eastAsia="Arial"/>
        </w:rPr>
        <w:t>, todėl šie palyginamieji gydymai nurodomi, kaip palyginamasis vaistinis preparatas.</w:t>
      </w:r>
    </w:p>
    <w:p w14:paraId="4286EB5B" w14:textId="77777777" w:rsidR="00700D6D" w:rsidRPr="00831221" w:rsidRDefault="00700D6D" w:rsidP="00700D6D">
      <w:pPr>
        <w:spacing w:line="360" w:lineRule="auto"/>
        <w:ind w:firstLine="720"/>
        <w:jc w:val="both"/>
        <w:rPr>
          <w:rFonts w:eastAsia="Arial"/>
          <w:i/>
          <w:color w:val="00B050"/>
        </w:rPr>
      </w:pPr>
      <w:r w:rsidRPr="00831221">
        <w:rPr>
          <w:bCs/>
          <w:lang w:eastAsia="lt-LT"/>
        </w:rPr>
        <w:t>Palyginamieji vaistiniai preparatai – chemoterapija kabazitakseliu arba AR inhibitoriai arba kartojimas docetakselio gydymas – laikomi atitinkantys Paraiškos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116–119 punktus.</w:t>
      </w:r>
    </w:p>
    <w:p w14:paraId="4CFFEBE5" w14:textId="77777777" w:rsidR="00700D6D" w:rsidRPr="00831221" w:rsidRDefault="00700D6D" w:rsidP="00700D6D">
      <w:pPr>
        <w:tabs>
          <w:tab w:val="left" w:pos="426"/>
        </w:tabs>
        <w:spacing w:line="360" w:lineRule="auto"/>
        <w:jc w:val="both"/>
        <w:rPr>
          <w:i/>
          <w:iCs/>
          <w:color w:val="000000"/>
          <w:lang w:eastAsia="lt-LT"/>
        </w:rPr>
      </w:pPr>
    </w:p>
    <w:p w14:paraId="11098CA8" w14:textId="77777777" w:rsidR="00700D6D" w:rsidRPr="00831221" w:rsidRDefault="00700D6D" w:rsidP="00700D6D">
      <w:pPr>
        <w:tabs>
          <w:tab w:val="left" w:pos="426"/>
        </w:tabs>
        <w:spacing w:line="360" w:lineRule="auto"/>
        <w:jc w:val="both"/>
        <w:rPr>
          <w:i/>
          <w:iCs/>
          <w:color w:val="000000"/>
          <w:lang w:eastAsia="lt-LT"/>
        </w:rPr>
      </w:pPr>
      <w:r w:rsidRPr="00831221">
        <w:rPr>
          <w:i/>
          <w:iCs/>
          <w:color w:val="000000"/>
          <w:lang w:eastAsia="lt-LT"/>
        </w:rPr>
        <w:t>Tiesioginis palyginimas</w:t>
      </w:r>
    </w:p>
    <w:p w14:paraId="3665C20D" w14:textId="77777777" w:rsidR="00700D6D" w:rsidRPr="00831221" w:rsidRDefault="00700D6D" w:rsidP="00700D6D">
      <w:pPr>
        <w:tabs>
          <w:tab w:val="left" w:pos="492"/>
        </w:tabs>
        <w:spacing w:line="360" w:lineRule="auto"/>
        <w:jc w:val="both"/>
        <w:outlineLvl w:val="1"/>
        <w:rPr>
          <w:rFonts w:eastAsia="Arial"/>
          <w:b/>
        </w:rPr>
      </w:pPr>
      <w:r w:rsidRPr="00831221">
        <w:tab/>
      </w:r>
      <w:r w:rsidRPr="00831221">
        <w:tab/>
        <w:t>Pluvicto veiksmingumas ir saugumas vertinti atliekant atsitiktinių imčių, daugiacentrį, atvirąjį, III fazės tyrimą, kuriame dalyvavo mKAPV sergantys pacientai.</w:t>
      </w:r>
    </w:p>
    <w:p w14:paraId="78D24F53" w14:textId="77777777" w:rsidR="00700D6D" w:rsidRPr="00390FC2" w:rsidRDefault="00700D6D" w:rsidP="00700D6D">
      <w:pPr>
        <w:tabs>
          <w:tab w:val="left" w:pos="426"/>
        </w:tabs>
        <w:spacing w:line="360" w:lineRule="auto"/>
        <w:jc w:val="both"/>
        <w:rPr>
          <w:rFonts w:eastAsia="Arial"/>
        </w:rPr>
      </w:pPr>
      <w:r w:rsidRPr="00831221">
        <w:rPr>
          <w:rFonts w:eastAsia="Arial"/>
        </w:rPr>
        <w:tab/>
      </w:r>
      <w:r w:rsidRPr="00831221">
        <w:rPr>
          <w:rFonts w:eastAsia="Arial"/>
        </w:rPr>
        <w:tab/>
        <w:t xml:space="preserve">Tyrimo pacientų populiacija atitinka Lietuvos pacientų populiaciją, kuriai gydymas gali būti skiriamas pagal numatomas Pluvicto skyrimo indikacijas ir siūlomas skyrimo sąlygas. </w:t>
      </w:r>
      <w:r w:rsidRPr="00831221">
        <w:t xml:space="preserve">Visi pacientai atsitiktine tvarka (santykiu 2:1) buvo suskirstyti į grupes ir jiems buvo paskirta arba 7 400 MBq </w:t>
      </w:r>
      <w:r w:rsidRPr="00831221">
        <w:lastRenderedPageBreak/>
        <w:t>Pluvicto dozė, leidžiama kas 6 savaites (iš viso skiriant iki 6 dozių), kartu su geriausiu standartiniu gydymu (GSG) (N = 551), arba tik GSG (N = 280) (1 paveikslas). Siekiant išlaikyti kastracijos lygį, visiems pacientams buvo tęsiamas gydymas GnRH</w:t>
      </w:r>
      <w:r w:rsidRPr="00390FC2">
        <w:t xml:space="preserve"> analogais arba jiems anksčiau buvo atlikta abipusė orchidektomija. </w:t>
      </w:r>
      <w:r w:rsidRPr="00390FC2">
        <w:rPr>
          <w:rFonts w:eastAsia="Arial"/>
        </w:rPr>
        <w:t>Randomizacija buvo stratifikuojama pagal pradinį laktatdehidrogenazės aktyvumą (LDH ≤ 260 TV/l arba &gt; 260 TV/l), metastazių kepenyse buvimą (Taip arba Ne), funkcinę būklę pagal ECOG (0 ar 1 balas, lyginant su 2 balais) bei AR inhibitoriaus kaip GSG skyrimą atsitiktinės atrankos metu (Taip arba Ne).</w:t>
      </w:r>
      <w:r w:rsidRPr="00390FC2">
        <w:t xml:space="preserve"> </w:t>
      </w:r>
      <w:r w:rsidRPr="00390FC2">
        <w:rPr>
          <w:lang w:eastAsia="lt-LT"/>
        </w:rPr>
        <w:t>Tyrimo dizainas atitinka III fazės klinikinių tyrimų reikalavimą, yra tinkamas išsikeltoms hipotezėms pagrįsti. Statistiniai metodai buvo taikomi tinkamai, tyrime vertintos pirminės ir antrinės baigtys atitinka klinikinėje praktikoje reikšmingus gydymo efektyvumo vertinimo kriterijus ir atspindi gydymo tikslus. Pagrindinės vertinamosios baigtys, bendras išgyvenamumas ir išgyvenamumas be radiologinio ligos progresavimo, laikomos tinkamomis pirminėmis baigtimis.</w:t>
      </w:r>
    </w:p>
    <w:p w14:paraId="373A24DB" w14:textId="77777777" w:rsidR="00700D6D" w:rsidRPr="00390FC2" w:rsidRDefault="00700D6D" w:rsidP="00700D6D">
      <w:pPr>
        <w:tabs>
          <w:tab w:val="left" w:pos="426"/>
        </w:tabs>
        <w:spacing w:line="360" w:lineRule="auto"/>
        <w:jc w:val="both"/>
        <w:rPr>
          <w:rFonts w:eastAsia="Arial"/>
        </w:rPr>
      </w:pPr>
      <w:r w:rsidRPr="00390FC2">
        <w:tab/>
      </w:r>
      <w:r w:rsidRPr="00390FC2">
        <w:tab/>
        <w:t xml:space="preserve">Pradinės pacientų charakteristikos abiejose grupėse buvo panašios. </w:t>
      </w:r>
      <w:r w:rsidRPr="00390FC2">
        <w:rPr>
          <w:rFonts w:eastAsia="Arial"/>
          <w:iCs/>
          <w:color w:val="000000" w:themeColor="text1"/>
        </w:rPr>
        <w:t>Tyrime dalyvavusių pacientų demografiniai bei ligos rodikliai atspindi realią pacientų populiaciją, kuriai šis vaistai yra skiriamas Lietuvoje.</w:t>
      </w:r>
      <w:r w:rsidRPr="00390FC2">
        <w:rPr>
          <w:rFonts w:eastAsia="Arial"/>
        </w:rPr>
        <w:t xml:space="preserve"> </w:t>
      </w:r>
    </w:p>
    <w:p w14:paraId="4CA4A938" w14:textId="77777777" w:rsidR="00700D6D" w:rsidRPr="00390FC2" w:rsidRDefault="00700D6D" w:rsidP="00700D6D">
      <w:pPr>
        <w:tabs>
          <w:tab w:val="left" w:pos="426"/>
        </w:tabs>
        <w:spacing w:line="360" w:lineRule="auto"/>
        <w:jc w:val="both"/>
        <w:rPr>
          <w:rFonts w:eastAsia="Arial"/>
          <w:iCs/>
        </w:rPr>
      </w:pPr>
      <w:r w:rsidRPr="00390FC2">
        <w:rPr>
          <w:rFonts w:eastAsia="Arial"/>
          <w:color w:val="000000" w:themeColor="text1"/>
        </w:rPr>
        <w:tab/>
      </w:r>
      <w:r w:rsidRPr="00390FC2">
        <w:rPr>
          <w:rFonts w:eastAsia="Arial"/>
          <w:color w:val="000000" w:themeColor="text1"/>
        </w:rPr>
        <w:tab/>
      </w:r>
      <w:r w:rsidRPr="00390FC2">
        <w:rPr>
          <w:rFonts w:eastAsia="Arial"/>
        </w:rPr>
        <w:t xml:space="preserve">Tyrimo </w:t>
      </w:r>
      <w:r w:rsidRPr="00390FC2">
        <w:rPr>
          <w:rFonts w:eastAsia="Arial"/>
          <w:u w:val="single"/>
        </w:rPr>
        <w:t>pagrindinė</w:t>
      </w:r>
      <w:r w:rsidRPr="00390FC2">
        <w:rPr>
          <w:rFonts w:eastAsia="Arial"/>
        </w:rPr>
        <w:t xml:space="preserve"> (pirminė) veiksmingumo vertinamoji </w:t>
      </w:r>
      <w:r w:rsidRPr="00390FC2">
        <w:rPr>
          <w:rFonts w:eastAsia="Arial"/>
          <w:u w:val="single"/>
        </w:rPr>
        <w:t>baigtis</w:t>
      </w:r>
      <w:r w:rsidRPr="00390FC2">
        <w:rPr>
          <w:rFonts w:eastAsia="Arial"/>
        </w:rPr>
        <w:t xml:space="preserve"> buvo </w:t>
      </w:r>
      <w:r w:rsidRPr="00390FC2">
        <w:t xml:space="preserve">BI. </w:t>
      </w:r>
      <w:r w:rsidRPr="00390FC2">
        <w:rPr>
          <w:szCs w:val="27"/>
          <w:lang w:eastAsia="lt-LT"/>
        </w:rPr>
        <w:t xml:space="preserve">Pagrindinė </w:t>
      </w:r>
      <w:r w:rsidRPr="00390FC2">
        <w:rPr>
          <w:b/>
          <w:szCs w:val="27"/>
          <w:lang w:eastAsia="lt-LT"/>
        </w:rPr>
        <w:t>BI</w:t>
      </w:r>
      <w:r w:rsidRPr="00390FC2">
        <w:rPr>
          <w:szCs w:val="27"/>
          <w:lang w:eastAsia="lt-LT"/>
        </w:rPr>
        <w:t xml:space="preserve"> analizė buvo atlikta po to, kai mirė 530 pacientai (343 pacientai [62,3 proc.] Pluvicto + GSG grupėje ir 187 pacientai [66,8 proc.] GSG grupėje). Mirties rizika Pluvicto + GSG grupėje buvo 38 proc. mažesnė nei GSG grupėje (rizikos santykis (RS) 0,62; 95% pasikliautiniai intervalas [PI] 0,52-0,74; p&lt;0,001) (3 paveikslas). BI mediana Pluvicto + GSG grupėje buvo 15,3 mėn. (95 proc. PI 14,2-16,9 mėn.), o GSG grupėje buvo 11,3 mėn. (95 proc. PI 9,8-13,5 mėn.). </w:t>
      </w:r>
      <w:r w:rsidRPr="00390FC2">
        <w:t xml:space="preserve">BI rodiklis po 18 mėn. buvo 43 proc. (95 proc. PI, 38,7-47,2 proc.) Pluvicto + GSG grupėje, ir 28,8 proc. (95 proc. PI 23,1-34,7 proc.) GSG grupėje. Tikėtina, kad geresni BI rezultatai bus stebimi gydant pacientus, sergančius nepaisant to ar jiems yra skiriamas AR inhibitorius ar neskiriamas, nepaisant jų pradinės LDH vertės. Pacientams, kurių ECOG reikšmė 0-1, ir pacientams, kurie buvo vyresni nei 65 m., mirties rizika šių pogrupių pacientams sumažėjo atitinkamai 39 proc. ir 41 proc. Pacientams, kuriems nebuvo nustatytos kepenų metastazės </w:t>
      </w:r>
      <w:r w:rsidRPr="00390FC2">
        <w:rPr>
          <w:rFonts w:eastAsia="Arial"/>
          <w:iCs/>
        </w:rPr>
        <w:t xml:space="preserve">gydymas </w:t>
      </w:r>
      <w:r w:rsidRPr="00390FC2">
        <w:t xml:space="preserve">Pluvicto + GSG </w:t>
      </w:r>
      <w:r w:rsidRPr="00390FC2">
        <w:rPr>
          <w:rFonts w:eastAsia="Arial"/>
          <w:iCs/>
        </w:rPr>
        <w:t>sumažino mirties riziką 38 proc., lyginant su 13 proc. sumažėjusia mirties rizika pacientams, kuriems buvo nustatytos kepenų metastazės, grupėje.</w:t>
      </w:r>
    </w:p>
    <w:p w14:paraId="63FCA401" w14:textId="77777777" w:rsidR="00700D6D" w:rsidRPr="00390FC2" w:rsidRDefault="00700D6D" w:rsidP="00700D6D">
      <w:pPr>
        <w:tabs>
          <w:tab w:val="left" w:pos="426"/>
        </w:tabs>
        <w:spacing w:line="360" w:lineRule="auto"/>
        <w:jc w:val="both"/>
      </w:pPr>
      <w:r w:rsidRPr="00390FC2">
        <w:tab/>
      </w:r>
      <w:r w:rsidRPr="00390FC2">
        <w:tab/>
        <w:t xml:space="preserve">Analizuojant kitą pirminę baigtį, vertinama, kad gydymas Pluvicto + GSG pagerino IBRLP palyginus su gydymu placebu + GSG. IBRLP buvo vidutiniškai 5,3 mėnesio ilgesnis Pluvicto + GSG grupėje (PI medianos intervalas 7,9-10,8), palyginus su placebu + GSG grupe (PI intervalas 2,4-4,0), šis skirtumas laikomas statistiškai reikšmingu. Remiantis statistine analize, radiologinė ligos progreso rizika, taikant gydymą Pluvicto + GSG yra mažesnė 60 proc., lyginant su gydymu placebu + GSG. Tikėtina, kad geresni IBRLP rezultatai bus stebimi gydant pacientus, sergančius nepaisant to ar jiems yra skiriamas AR inhibitorius ar ne, nepaisant jų pradinės LDH vertės, nepaisant kepenų metastazės </w:t>
      </w:r>
      <w:r w:rsidRPr="00390FC2">
        <w:lastRenderedPageBreak/>
        <w:t>buvimo ar ECOG statuso. IBRLP geresni rezultatai stebėti tarp abiejų amžiaus pogrupių. Vertinant IBRLP baigtį, rezultatai pasireiškė visuose pogrupiuose.</w:t>
      </w:r>
    </w:p>
    <w:p w14:paraId="6E2CB252" w14:textId="77777777" w:rsidR="00700D6D" w:rsidRPr="00390FC2" w:rsidRDefault="00700D6D" w:rsidP="00700D6D">
      <w:pPr>
        <w:tabs>
          <w:tab w:val="left" w:pos="426"/>
        </w:tabs>
        <w:spacing w:line="360" w:lineRule="auto"/>
        <w:jc w:val="both"/>
        <w:rPr>
          <w:b/>
        </w:rPr>
      </w:pPr>
      <w:r w:rsidRPr="00390FC2">
        <w:rPr>
          <w:b/>
        </w:rPr>
        <w:tab/>
      </w:r>
    </w:p>
    <w:p w14:paraId="43C1EC93" w14:textId="77777777" w:rsidR="00700D6D" w:rsidRPr="00390FC2" w:rsidRDefault="00700D6D" w:rsidP="00700D6D">
      <w:pPr>
        <w:tabs>
          <w:tab w:val="left" w:pos="426"/>
        </w:tabs>
        <w:spacing w:line="360" w:lineRule="auto"/>
        <w:jc w:val="both"/>
        <w:rPr>
          <w:b/>
        </w:rPr>
      </w:pPr>
      <w:r w:rsidRPr="00390FC2">
        <w:rPr>
          <w:b/>
        </w:rPr>
        <w:tab/>
      </w:r>
      <w:r w:rsidRPr="00390FC2">
        <w:rPr>
          <w:b/>
        </w:rPr>
        <w:tab/>
        <w:t>Antrinių baigčių analizė</w:t>
      </w:r>
    </w:p>
    <w:p w14:paraId="019D95C1" w14:textId="77777777" w:rsidR="00700D6D" w:rsidRPr="00390FC2" w:rsidRDefault="00700D6D" w:rsidP="00700D6D">
      <w:pPr>
        <w:pStyle w:val="Sraopastraipa"/>
        <w:numPr>
          <w:ilvl w:val="0"/>
          <w:numId w:val="15"/>
        </w:numPr>
        <w:spacing w:line="360" w:lineRule="auto"/>
        <w:jc w:val="both"/>
        <w:rPr>
          <w:szCs w:val="27"/>
          <w:lang w:eastAsia="lt-LT"/>
        </w:rPr>
      </w:pPr>
      <w:r w:rsidRPr="00390FC2">
        <w:t xml:space="preserve">Antrinė vertinamoji baigtis buvo laikas iki pirmojo simptominio skeleto reiškinio (SSR) pasireiškimo. </w:t>
      </w:r>
      <w:r w:rsidRPr="00390FC2">
        <w:rPr>
          <w:szCs w:val="27"/>
          <w:lang w:eastAsia="lt-LT"/>
        </w:rPr>
        <w:t>Mediana iki pirmojo SSR pasireiškimo Pluvicto + GSG grupėje buvo 11,5 mėn. (95 proc. PI 10,3-13,2 mėn.), o GSG grupėje buvo 6,8 mėn. (95 proc. PI 5,2-8,5 mėn.). SSR pasireiškimui rizika Pluvicto + GSG grupėje buvo 50 proc. mažesnė nei GSG grupėje (RS 0,40; 95% PI 0,40-0,62; p&lt;0,001).</w:t>
      </w:r>
    </w:p>
    <w:p w14:paraId="1586B221" w14:textId="77777777" w:rsidR="00700D6D" w:rsidRPr="00390FC2" w:rsidRDefault="00700D6D" w:rsidP="00700D6D">
      <w:pPr>
        <w:tabs>
          <w:tab w:val="left" w:pos="426"/>
        </w:tabs>
        <w:spacing w:line="360" w:lineRule="auto"/>
        <w:jc w:val="both"/>
        <w:rPr>
          <w:b/>
          <w:lang w:val="en-US"/>
        </w:rPr>
      </w:pPr>
    </w:p>
    <w:p w14:paraId="6B6C6B7C" w14:textId="386238F8" w:rsidR="00700D6D" w:rsidRPr="00390FC2" w:rsidRDefault="00700D6D" w:rsidP="00700D6D">
      <w:pPr>
        <w:tabs>
          <w:tab w:val="left" w:pos="426"/>
        </w:tabs>
        <w:spacing w:line="360" w:lineRule="auto"/>
        <w:jc w:val="both"/>
        <w:rPr>
          <w:b/>
        </w:rPr>
      </w:pPr>
      <w:r w:rsidRPr="00390FC2">
        <w:rPr>
          <w:b/>
        </w:rPr>
        <w:tab/>
      </w:r>
      <w:r w:rsidRPr="00390FC2">
        <w:rPr>
          <w:b/>
        </w:rPr>
        <w:tab/>
        <w:t>Gyvenimo kokybės vertinimas</w:t>
      </w:r>
    </w:p>
    <w:p w14:paraId="39647509" w14:textId="77777777" w:rsidR="00700D6D" w:rsidRPr="00390FC2" w:rsidRDefault="00700D6D" w:rsidP="00700D6D">
      <w:pPr>
        <w:tabs>
          <w:tab w:val="left" w:pos="492"/>
        </w:tabs>
        <w:spacing w:line="360" w:lineRule="auto"/>
        <w:jc w:val="both"/>
        <w:outlineLvl w:val="1"/>
        <w:rPr>
          <w:rFonts w:eastAsia="Arial"/>
        </w:rPr>
      </w:pPr>
      <w:r w:rsidRPr="00390FC2">
        <w:rPr>
          <w:rFonts w:eastAsia="Arial"/>
        </w:rPr>
        <w:tab/>
      </w:r>
      <w:r w:rsidRPr="00390FC2">
        <w:rPr>
          <w:rFonts w:eastAsia="Arial"/>
        </w:rPr>
        <w:tab/>
        <w:t xml:space="preserve">VISION tyrime buvo nustatyta, kad pacientai, gavę Pluvicto kartu su GSG, turėjo statistiškai reikšmingai ilgesnį laiką iki skausmo pablogėjimo pagal </w:t>
      </w:r>
      <w:r w:rsidRPr="00390FC2">
        <w:rPr>
          <w:rFonts w:eastAsia="Arial"/>
          <w:i/>
        </w:rPr>
        <w:t>Brief Pain Inventory – Short Form</w:t>
      </w:r>
      <w:r w:rsidRPr="00390FC2">
        <w:rPr>
          <w:rFonts w:eastAsia="Arial"/>
        </w:rPr>
        <w:t xml:space="preserve"> (BPI-SF) klausimyną, palyginti su pacientais, gavusiais tik GSG. Pacientams, gavusiems Pluvicto, vidutinis laikas iki skausmo pablogėjimo prailgėjo 3,7 mėn. vertinant skausmo intensyvumą, 2,7 mėn. vertinant skausmo poveikį kasdieniam gyvenimui, ir 3,0 mėn. vertinant didžiausio skausmo intensyvumą. Tai parodė, kad Pluvicto buvo veiksmingas visose trijose skausmo vertinimo srityse.</w:t>
      </w:r>
    </w:p>
    <w:p w14:paraId="5DEABB9A" w14:textId="77777777" w:rsidR="00700D6D" w:rsidRPr="00390FC2" w:rsidRDefault="00700D6D" w:rsidP="00700D6D">
      <w:pPr>
        <w:tabs>
          <w:tab w:val="left" w:pos="492"/>
        </w:tabs>
        <w:spacing w:line="360" w:lineRule="auto"/>
        <w:jc w:val="both"/>
        <w:outlineLvl w:val="1"/>
        <w:rPr>
          <w:rFonts w:eastAsia="Arial"/>
        </w:rPr>
      </w:pPr>
      <w:r w:rsidRPr="00390FC2">
        <w:rPr>
          <w:rFonts w:eastAsia="Arial"/>
        </w:rPr>
        <w:tab/>
      </w:r>
      <w:r w:rsidRPr="00390FC2">
        <w:rPr>
          <w:rFonts w:eastAsia="Arial"/>
        </w:rPr>
        <w:tab/>
        <w:t xml:space="preserve">Vertinant blogėjimą pagal </w:t>
      </w:r>
      <w:r w:rsidRPr="00390FC2">
        <w:t>EQ-5D-5L klausimyną</w:t>
      </w:r>
      <w:r w:rsidRPr="00390FC2">
        <w:rPr>
          <w:rFonts w:eastAsia="Arial"/>
        </w:rPr>
        <w:t xml:space="preserve"> nustatyta, kad pacientams, gavusiems Pluvicto kartu su GSG, statistiškai reikšmingai pailgėjo laikas iki blogėjimo pagal EQ-5D-5L palyginti su pacientais, gavusiais tik GSG. Pacientams, gavusiems Pluvicto, vidutinis laikas iki blogėjimo EQ-5D-5L naudingumo baluose pailgėjo 0,5 mėnesio, kas atitinka 100% pagerėjimą laiko iki blogėjimo, palyginti su vien tik GSG gavusiais pacientais.</w:t>
      </w:r>
    </w:p>
    <w:p w14:paraId="112BDAEA" w14:textId="77777777" w:rsidR="00700D6D" w:rsidRDefault="00700D6D" w:rsidP="00700D6D">
      <w:pPr>
        <w:tabs>
          <w:tab w:val="left" w:pos="426"/>
        </w:tabs>
        <w:spacing w:line="360" w:lineRule="auto"/>
        <w:jc w:val="both"/>
        <w:rPr>
          <w:b/>
          <w:color w:val="000000"/>
          <w:highlight w:val="yellow"/>
          <w:lang w:eastAsia="lt-LT"/>
        </w:rPr>
      </w:pPr>
    </w:p>
    <w:p w14:paraId="5A79FFEC" w14:textId="77777777" w:rsidR="00700D6D" w:rsidRPr="00390FC2" w:rsidRDefault="00700D6D" w:rsidP="00700D6D">
      <w:pPr>
        <w:tabs>
          <w:tab w:val="left" w:pos="426"/>
        </w:tabs>
        <w:spacing w:line="360" w:lineRule="auto"/>
        <w:jc w:val="both"/>
        <w:rPr>
          <w:i/>
          <w:iCs/>
          <w:color w:val="000000"/>
          <w:lang w:eastAsia="lt-LT"/>
        </w:rPr>
      </w:pPr>
      <w:r>
        <w:rPr>
          <w:i/>
          <w:iCs/>
          <w:color w:val="000000"/>
          <w:lang w:eastAsia="lt-LT"/>
        </w:rPr>
        <w:t>Net</w:t>
      </w:r>
      <w:r w:rsidRPr="00390FC2">
        <w:rPr>
          <w:i/>
          <w:iCs/>
          <w:color w:val="000000"/>
          <w:lang w:eastAsia="lt-LT"/>
        </w:rPr>
        <w:t>iesioginis palyginimas</w:t>
      </w:r>
    </w:p>
    <w:p w14:paraId="155BF46D" w14:textId="77777777" w:rsidR="00700D6D" w:rsidRPr="00D1538E" w:rsidRDefault="00700D6D" w:rsidP="00700D6D">
      <w:pPr>
        <w:tabs>
          <w:tab w:val="left" w:pos="426"/>
        </w:tabs>
        <w:spacing w:line="360" w:lineRule="auto"/>
        <w:jc w:val="both"/>
        <w:rPr>
          <w:bCs/>
          <w:color w:val="000000"/>
          <w:lang w:eastAsia="lt-LT"/>
        </w:rPr>
      </w:pPr>
      <w:r>
        <w:rPr>
          <w:bCs/>
          <w:color w:val="000000"/>
          <w:lang w:eastAsia="lt-LT"/>
        </w:rPr>
        <w:tab/>
      </w:r>
      <w:r>
        <w:rPr>
          <w:bCs/>
          <w:color w:val="000000"/>
          <w:lang w:eastAsia="lt-LT"/>
        </w:rPr>
        <w:tab/>
      </w:r>
      <w:r w:rsidRPr="00D1538E">
        <w:rPr>
          <w:bCs/>
          <w:color w:val="000000"/>
          <w:lang w:eastAsia="lt-LT"/>
        </w:rPr>
        <w:t xml:space="preserve">Pareiškėjas pateikė netiesioginio palyginimo duomenis – sisteminę literatūros apžvalgą, kuri pateikia papildomus įrodymus, pacientams, kurie atitinka Pluvicto indikaciją ir skyrimo sąlygas. Tyrimo populiacija yra tinkama. </w:t>
      </w:r>
      <w:r w:rsidRPr="00F6228B">
        <w:t xml:space="preserve">Nustatyta, kad pradinės charakteristikos, tokios kaip vidutinis amžius ir ECOG </w:t>
      </w:r>
      <w:r>
        <w:t>įvertis</w:t>
      </w:r>
      <w:r w:rsidRPr="00F6228B">
        <w:t xml:space="preserve"> 0–1, buvo panašios tarp tyrimų, o vidutinės PSA reikšmės tyrimuose buvo gana vienodos. Tačiau kiti tyrimai paprastai rodė aukštesnes </w:t>
      </w:r>
      <w:r>
        <w:t>PSA reikšmes tiek intervencinėse</w:t>
      </w:r>
      <w:r w:rsidRPr="00F6228B">
        <w:t xml:space="preserve">, tiek placebo grupėse. </w:t>
      </w:r>
      <w:r w:rsidRPr="00D1538E">
        <w:rPr>
          <w:bCs/>
          <w:color w:val="000000"/>
          <w:lang w:eastAsia="lt-LT"/>
        </w:rPr>
        <w:t>Tyrimo dizainas geba atsakyti į Pareiškėjo išsikeltus uždavinius. Metaanalizė viso įtraukė duomenis iš aštuonių III fazės klinikinių tyrimų.</w:t>
      </w:r>
    </w:p>
    <w:p w14:paraId="03BCBE76" w14:textId="77777777" w:rsidR="00700D6D" w:rsidRPr="00D1538E" w:rsidRDefault="00700D6D" w:rsidP="00700D6D">
      <w:pPr>
        <w:tabs>
          <w:tab w:val="left" w:pos="426"/>
        </w:tabs>
        <w:spacing w:line="360" w:lineRule="auto"/>
        <w:jc w:val="both"/>
        <w:rPr>
          <w:bCs/>
          <w:color w:val="000000"/>
          <w:lang w:eastAsia="lt-LT"/>
        </w:rPr>
      </w:pPr>
      <w:r>
        <w:rPr>
          <w:bCs/>
          <w:color w:val="000000"/>
          <w:lang w:eastAsia="lt-LT"/>
        </w:rPr>
        <w:tab/>
      </w:r>
      <w:r>
        <w:rPr>
          <w:bCs/>
          <w:color w:val="000000"/>
          <w:lang w:eastAsia="lt-LT"/>
        </w:rPr>
        <w:tab/>
      </w:r>
      <w:r w:rsidRPr="00D1538E">
        <w:rPr>
          <w:bCs/>
          <w:color w:val="000000"/>
          <w:lang w:eastAsia="lt-LT"/>
        </w:rPr>
        <w:t>Remiantis statistine analize, mirties rizika, taikant gydymą Pluvicto + GSG yra mažesnė 30 proc., lyginant su gydymu chemoterapija kabazitakseliu + prednizolonu ir 37 proc. mažesnė lyginant su AR inhibitoriumi.</w:t>
      </w:r>
    </w:p>
    <w:p w14:paraId="7AE36591" w14:textId="77777777" w:rsidR="00700D6D" w:rsidRPr="00D1538E" w:rsidRDefault="00700D6D" w:rsidP="00700D6D">
      <w:pPr>
        <w:tabs>
          <w:tab w:val="left" w:pos="426"/>
        </w:tabs>
        <w:spacing w:line="360" w:lineRule="auto"/>
        <w:jc w:val="both"/>
        <w:rPr>
          <w:bCs/>
          <w:color w:val="000000"/>
          <w:lang w:eastAsia="lt-LT"/>
        </w:rPr>
      </w:pPr>
      <w:r>
        <w:rPr>
          <w:bCs/>
          <w:color w:val="000000"/>
          <w:lang w:eastAsia="lt-LT"/>
        </w:rPr>
        <w:lastRenderedPageBreak/>
        <w:tab/>
      </w:r>
      <w:r>
        <w:rPr>
          <w:bCs/>
          <w:color w:val="000000"/>
          <w:lang w:eastAsia="lt-LT"/>
        </w:rPr>
        <w:tab/>
      </w:r>
      <w:r w:rsidRPr="00D1538E">
        <w:rPr>
          <w:bCs/>
          <w:color w:val="000000"/>
          <w:lang w:eastAsia="lt-LT"/>
        </w:rPr>
        <w:t>Remiantis statistine analize, radiologinė ligos progreso rizika, taikant gydymą Pluvicto + GSG yra mažesnė 38 proc., lyginant su gydymu chemoterapija kabazitakseliu + prednizolonu ir 57 proc. mažesnė lyginant su AR inhibitoriumi.</w:t>
      </w:r>
    </w:p>
    <w:p w14:paraId="00BC6E6E" w14:textId="77777777" w:rsidR="00700D6D" w:rsidRPr="00D1538E" w:rsidRDefault="00700D6D" w:rsidP="00700D6D">
      <w:pPr>
        <w:tabs>
          <w:tab w:val="left" w:pos="4440"/>
        </w:tabs>
        <w:spacing w:line="276" w:lineRule="auto"/>
        <w:rPr>
          <w:rFonts w:eastAsia="Arial"/>
          <w:iCs/>
          <w:color w:val="00B050"/>
        </w:rPr>
      </w:pPr>
      <w:r w:rsidRPr="00D1538E">
        <w:rPr>
          <w:rFonts w:eastAsia="Arial"/>
          <w:iCs/>
          <w:color w:val="00B050"/>
        </w:rPr>
        <w:tab/>
      </w:r>
    </w:p>
    <w:p w14:paraId="57E52416" w14:textId="77777777" w:rsidR="00700D6D" w:rsidRPr="00D1538E" w:rsidRDefault="00700D6D" w:rsidP="00700D6D">
      <w:pPr>
        <w:spacing w:line="360" w:lineRule="auto"/>
        <w:jc w:val="both"/>
        <w:rPr>
          <w:rFonts w:eastAsia="Arial"/>
          <w:iCs/>
        </w:rPr>
      </w:pPr>
      <w:r w:rsidRPr="00D1538E">
        <w:rPr>
          <w:rFonts w:eastAsia="Arial"/>
          <w:iCs/>
        </w:rPr>
        <w:tab/>
        <w:t xml:space="preserve">Remiantis šiais duomenimis, </w:t>
      </w:r>
      <w:r w:rsidRPr="00D1538E">
        <w:t>1 000 MBq liutecio (177Lu) vipivotido tetraksetano</w:t>
      </w:r>
      <w:r w:rsidRPr="00D1538E">
        <w:rPr>
          <w:rFonts w:eastAsia="Arial"/>
          <w:iCs/>
        </w:rPr>
        <w:t xml:space="preserve"> palyginamasis efektyvumas yra įvertintas, kaip didesnis, o klinikinis veiksmingumas yra įvertintas kaip pagrindžiantis papildomos naudos pacientų sveikatai sukūrimą, lyginant su įprasta klinikine praktika.</w:t>
      </w:r>
    </w:p>
    <w:p w14:paraId="25F89291" w14:textId="5C45C8FC" w:rsidR="00D4485B" w:rsidRPr="00E33EFF" w:rsidRDefault="00D4485B" w:rsidP="00A93AA6">
      <w:pPr>
        <w:pStyle w:val="Sraopastraipa"/>
        <w:tabs>
          <w:tab w:val="left" w:pos="426"/>
        </w:tabs>
        <w:ind w:left="0"/>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2FC05D7E" w14:textId="536C4777" w:rsidR="002E6F80" w:rsidRDefault="002E6F80" w:rsidP="002E6F80">
      <w:pPr>
        <w:tabs>
          <w:tab w:val="left" w:pos="284"/>
        </w:tabs>
        <w:rPr>
          <w:i/>
          <w:color w:val="00B050"/>
          <w:sz w:val="22"/>
          <w:szCs w:val="22"/>
        </w:rPr>
      </w:pPr>
    </w:p>
    <w:p w14:paraId="4BFFBB4C" w14:textId="77777777" w:rsidR="007B0322" w:rsidRDefault="007B0322" w:rsidP="00700D6D">
      <w:pPr>
        <w:shd w:val="clear" w:color="auto" w:fill="FFFFFF"/>
        <w:spacing w:line="360" w:lineRule="auto"/>
        <w:ind w:firstLine="720"/>
        <w:jc w:val="both"/>
        <w:rPr>
          <w:rFonts w:eastAsia="Arial"/>
        </w:rPr>
      </w:pPr>
      <w:r w:rsidRPr="004F0EBD">
        <w:rPr>
          <w:rFonts w:eastAsia="Arial"/>
        </w:rPr>
        <w:t xml:space="preserve">Vertinimui pateikta kaštų naudingumo analizė, kurioje </w:t>
      </w:r>
      <w:r>
        <w:rPr>
          <w:rFonts w:eastAsia="Arial"/>
        </w:rPr>
        <w:t>analizuojamas pluvicto kaštų naudingumas, suaugusiems pacientams, sergantiems metastazavusiu, kastracijai atspariu prostatos vėžiu, kurie jau buvo gydomi androgenų receptorių inhibitoriais ir chemoterapija taksanų pagrindu arba, kurie negail būti gydomi taksanais. Palyginamasis gydymas analizėje yra chemoterapija kabazitakseliu.</w:t>
      </w:r>
    </w:p>
    <w:p w14:paraId="2CC12E19" w14:textId="77777777" w:rsidR="007B0322" w:rsidRDefault="007B0322" w:rsidP="00700D6D">
      <w:pPr>
        <w:shd w:val="clear" w:color="auto" w:fill="FFFFFF"/>
        <w:spacing w:line="360" w:lineRule="auto"/>
        <w:ind w:firstLine="720"/>
        <w:jc w:val="both"/>
        <w:rPr>
          <w:rFonts w:eastAsia="Arial"/>
        </w:rPr>
      </w:pPr>
      <w:r>
        <w:rPr>
          <w:rFonts w:eastAsia="Arial"/>
        </w:rPr>
        <w:t>Tarnyba kreipėsi į Pareiškėją užduodama klausimus dėl neapibrėžtumų analizėje. Pareiškėjas atsakydamas į klausimus pateikė atnaujintą kompensuoti siūlomo vaistinio preparato kainą bei sutiko pagrindinio atvejo analizėje koreguoti prielaidas į konservatyvesnes.</w:t>
      </w:r>
    </w:p>
    <w:p w14:paraId="0A12469C" w14:textId="77777777" w:rsidR="007B0322" w:rsidRDefault="007B0322" w:rsidP="00700D6D">
      <w:pPr>
        <w:shd w:val="clear" w:color="auto" w:fill="FFFFFF"/>
        <w:spacing w:line="360" w:lineRule="auto"/>
        <w:ind w:firstLine="720"/>
        <w:jc w:val="both"/>
        <w:rPr>
          <w:rFonts w:eastAsia="Arial"/>
        </w:rPr>
      </w:pPr>
      <w:r>
        <w:rPr>
          <w:rFonts w:eastAsia="Arial"/>
        </w:rPr>
        <w:t>Tarnyba atliko analizės rezultato perskaičiavimą pakoregavus šias prielaidas:</w:t>
      </w:r>
    </w:p>
    <w:p w14:paraId="7A2B73C2" w14:textId="51454AC4" w:rsidR="007B0322" w:rsidRDefault="00700D6D" w:rsidP="00700D6D">
      <w:pPr>
        <w:tabs>
          <w:tab w:val="left" w:pos="567"/>
        </w:tabs>
        <w:spacing w:line="360" w:lineRule="auto"/>
        <w:jc w:val="both"/>
        <w:rPr>
          <w:iCs/>
          <w:lang w:eastAsia="lt-LT"/>
        </w:rPr>
      </w:pPr>
      <w:r>
        <w:rPr>
          <w:bCs/>
          <w:lang w:eastAsia="lt-LT"/>
        </w:rPr>
        <w:tab/>
      </w:r>
      <w:r w:rsidR="007B0322" w:rsidRPr="000C3A47">
        <w:rPr>
          <w:bCs/>
          <w:lang w:eastAsia="lt-LT"/>
        </w:rPr>
        <w:t xml:space="preserve">Gyvenimo kokybės įverčiai: </w:t>
      </w:r>
      <w:r w:rsidR="007B0322" w:rsidRPr="000C3A47">
        <w:rPr>
          <w:iCs/>
          <w:lang w:eastAsia="lt-LT"/>
        </w:rPr>
        <w:t>Tarnybos manymu gyvenimo kokybės įverčiai analizėje pasižymi dideliu neapibrėžtumu. Pareiškėjas samprotauja apie kabazitakselio ilgalaikį toksiškumą (po ligos progresijos), tačiau nepateikia jokių tai pagrindžiančių įrodymų. NICE TA391 vertinimo įvertis taikytas sveikatos būklėje po progresijos, tačiau to paties vertinimo gyvenimo kokybės įvertis iki progresijos, laikomas netinkamu. Priešingai su VISION klinikinio tyrimo duomenimis – šio tyrimo SoC grupės duomenys taikomi sveikatos būklėje iki progresijos, o po progresijos taikomas žemesnis įvertis iš TA391 vertinimo. Tarnybai Pareiškėjo samprotavimas yra nepagrįstas ir galimai taip yra nuvertinama palyginamojo gydymo – kabazitakselio – sukuriama nauda sveikatai. Prašome pateikti pagrindimą taikomiems gyvenimo kokybės įverčiams, o neturint papildomų argumentų, Tarnyba sveikatos būklėje po progresijos t</w:t>
      </w:r>
      <w:r w:rsidR="007B0322">
        <w:rPr>
          <w:iCs/>
          <w:lang w:eastAsia="lt-LT"/>
        </w:rPr>
        <w:t>aiko</w:t>
      </w:r>
      <w:r w:rsidR="007B0322" w:rsidRPr="000C3A47">
        <w:rPr>
          <w:iCs/>
          <w:lang w:eastAsia="lt-LT"/>
        </w:rPr>
        <w:t xml:space="preserve"> tokį patį įvertį Pluvicto ir kabazitakselio grupėse</w:t>
      </w:r>
      <w:r w:rsidR="007B0322">
        <w:rPr>
          <w:iCs/>
          <w:lang w:eastAsia="lt-LT"/>
        </w:rPr>
        <w:t xml:space="preserve"> (0,627)</w:t>
      </w:r>
      <w:r w:rsidR="007B0322" w:rsidRPr="000C3A47">
        <w:rPr>
          <w:iCs/>
          <w:lang w:eastAsia="lt-LT"/>
        </w:rPr>
        <w:t>. Šitaip manoma, jog gautas rezultatas bus konservatyvus gyvenimo kokybės įverčių klausimu.</w:t>
      </w:r>
    </w:p>
    <w:p w14:paraId="7004D64E" w14:textId="3CC9BE53" w:rsidR="007B0322" w:rsidRPr="00A77C2E" w:rsidRDefault="00700D6D" w:rsidP="00700D6D">
      <w:pPr>
        <w:tabs>
          <w:tab w:val="left" w:pos="567"/>
        </w:tabs>
        <w:spacing w:line="360" w:lineRule="auto"/>
        <w:jc w:val="both"/>
        <w:rPr>
          <w:iCs/>
          <w:lang w:eastAsia="lt-LT"/>
        </w:rPr>
      </w:pPr>
      <w:r>
        <w:rPr>
          <w:iCs/>
          <w:lang w:eastAsia="lt-LT"/>
        </w:rPr>
        <w:tab/>
      </w:r>
      <w:r w:rsidR="007B0322" w:rsidRPr="00A77C2E">
        <w:rPr>
          <w:iCs/>
          <w:lang w:eastAsia="lt-LT"/>
        </w:rPr>
        <w:t>Suvartotų dozių skaičius: Analizėje taikoma g</w:t>
      </w:r>
      <w:r w:rsidR="007B0322" w:rsidRPr="00A77C2E">
        <w:rPr>
          <w:bCs/>
          <w:color w:val="000000"/>
          <w:lang w:eastAsia="lt-LT"/>
        </w:rPr>
        <w:t>ydymo Pluvicto ir kabazitakseliu trukmė buvo gauta iš VISION ir CARD tyrimų. Taikyti 4,46 dozių kaštai Pluvicto gurpėje ir 7,33 dozių kaštai kabazitakselio grupėje. Atsižvelgiant į suvartotų dozių skaičių ir vaistų vartojimo būdą, analizėje turi būti taikytos iki sveikų skaičių suapvalintos dozės: atitinkamai 5 dozės Pluvicto ir 8 dozės kabazitakselio.</w:t>
      </w:r>
      <w:r w:rsidR="007B0322">
        <w:rPr>
          <w:bCs/>
          <w:color w:val="000000"/>
          <w:lang w:eastAsia="lt-LT"/>
        </w:rPr>
        <w:t xml:space="preserve"> Toks dozių skaičius taikomas pagrindinio atvejo analizėje.</w:t>
      </w:r>
    </w:p>
    <w:p w14:paraId="049E5FDB" w14:textId="3D30B964" w:rsidR="007B0322" w:rsidRPr="007362A9" w:rsidRDefault="007B0322" w:rsidP="00700D6D">
      <w:pPr>
        <w:shd w:val="clear" w:color="auto" w:fill="FFFFFF"/>
        <w:spacing w:line="360" w:lineRule="auto"/>
        <w:ind w:firstLine="720"/>
        <w:jc w:val="both"/>
        <w:rPr>
          <w:rFonts w:eastAsia="Arial"/>
        </w:rPr>
      </w:pPr>
      <w:r>
        <w:rPr>
          <w:rFonts w:eastAsia="Arial"/>
        </w:rPr>
        <w:lastRenderedPageBreak/>
        <w:t xml:space="preserve">Atlikus analizės rezultato perskaičiavimą, nustatyta, jog reikalinga papildoma maždaug </w:t>
      </w:r>
      <w:r w:rsidR="00E622E9">
        <w:rPr>
          <w:rFonts w:eastAsia="Arial"/>
        </w:rPr>
        <w:t>***</w:t>
      </w:r>
      <w:r>
        <w:rPr>
          <w:rFonts w:eastAsia="Arial"/>
        </w:rPr>
        <w:t xml:space="preserve"> proc. nuolaida Pluvicto, kad šis vaistinis preparatas būtų kaštams naudingas.</w:t>
      </w:r>
    </w:p>
    <w:p w14:paraId="7BFE805C" w14:textId="77777777" w:rsidR="007B0322" w:rsidRPr="00E33EFF" w:rsidRDefault="007B0322" w:rsidP="002E6F80">
      <w:pPr>
        <w:tabs>
          <w:tab w:val="left" w:pos="284"/>
        </w:tabs>
        <w:rPr>
          <w:bCs/>
          <w:i/>
          <w:caps/>
          <w:sz w:val="22"/>
          <w:szCs w:val="22"/>
        </w:rPr>
      </w:pPr>
    </w:p>
    <w:p w14:paraId="1A900598" w14:textId="4826E5DF" w:rsidR="00C62B36" w:rsidRPr="00E33EFF" w:rsidRDefault="00C62B36"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BA5DBC" w:rsidRPr="00E33EFF" w14:paraId="319AF392" w14:textId="77777777" w:rsidTr="00BE7489">
        <w:trPr>
          <w:trHeight w:val="267"/>
          <w:jc w:val="center"/>
        </w:trPr>
        <w:tc>
          <w:tcPr>
            <w:tcW w:w="6200" w:type="dxa"/>
            <w:tcBorders>
              <w:left w:val="single" w:sz="4" w:space="0" w:color="auto"/>
            </w:tcBorders>
          </w:tcPr>
          <w:p w14:paraId="44CD8D27" w14:textId="27245A0B" w:rsidR="00BA5DBC" w:rsidRPr="00E33EFF" w:rsidRDefault="00BA5DBC" w:rsidP="00BA5DBC">
            <w:pPr>
              <w:tabs>
                <w:tab w:val="left" w:pos="567"/>
              </w:tabs>
              <w:jc w:val="right"/>
              <w:rPr>
                <w:iCs/>
                <w:lang w:eastAsia="lt-LT"/>
              </w:rPr>
            </w:pPr>
            <w:r w:rsidRPr="00E33EFF">
              <w:rPr>
                <w:iCs/>
                <w:lang w:eastAsia="lt-LT"/>
              </w:rPr>
              <w:t>Kaštų skirtumas</w:t>
            </w:r>
          </w:p>
        </w:tc>
        <w:tc>
          <w:tcPr>
            <w:tcW w:w="3238" w:type="dxa"/>
            <w:tcBorders>
              <w:right w:val="single" w:sz="4" w:space="0" w:color="auto"/>
            </w:tcBorders>
          </w:tcPr>
          <w:p w14:paraId="1CACF0B4" w14:textId="136DDA7C" w:rsidR="00BA5DBC" w:rsidRPr="00E33EFF" w:rsidRDefault="00E622E9" w:rsidP="00BA5DBC">
            <w:pPr>
              <w:tabs>
                <w:tab w:val="left" w:pos="567"/>
              </w:tabs>
              <w:jc w:val="both"/>
              <w:rPr>
                <w:i/>
                <w:iCs/>
                <w:lang w:eastAsia="lt-LT"/>
              </w:rPr>
            </w:pPr>
            <w:r>
              <w:rPr>
                <w:i/>
                <w:iCs/>
                <w:lang w:eastAsia="lt-LT"/>
              </w:rPr>
              <w:t>***</w:t>
            </w:r>
            <w:r w:rsidR="007B0322">
              <w:rPr>
                <w:i/>
                <w:iCs/>
                <w:lang w:eastAsia="lt-LT"/>
              </w:rPr>
              <w:t xml:space="preserve"> eur</w:t>
            </w:r>
          </w:p>
        </w:tc>
      </w:tr>
      <w:tr w:rsidR="00BA5DBC" w:rsidRPr="00E33EFF" w14:paraId="49F818A3" w14:textId="77777777" w:rsidTr="00BE7489">
        <w:trPr>
          <w:trHeight w:val="267"/>
          <w:jc w:val="center"/>
        </w:trPr>
        <w:tc>
          <w:tcPr>
            <w:tcW w:w="6200" w:type="dxa"/>
            <w:tcBorders>
              <w:left w:val="single" w:sz="4" w:space="0" w:color="auto"/>
            </w:tcBorders>
          </w:tcPr>
          <w:p w14:paraId="021DB925" w14:textId="389F1BF5" w:rsidR="00BA5DBC" w:rsidRPr="00E33EFF" w:rsidRDefault="00BA5DBC" w:rsidP="00BA5DBC">
            <w:pPr>
              <w:tabs>
                <w:tab w:val="left" w:pos="567"/>
              </w:tabs>
              <w:jc w:val="right"/>
              <w:rPr>
                <w:iCs/>
                <w:lang w:eastAsia="lt-LT"/>
              </w:rPr>
            </w:pPr>
            <w:r w:rsidRPr="00E33EFF">
              <w:rPr>
                <w:iCs/>
                <w:lang w:eastAsia="lt-LT"/>
              </w:rPr>
              <w:t>Papildomi gyvenimo metai (LY)</w:t>
            </w:r>
          </w:p>
        </w:tc>
        <w:tc>
          <w:tcPr>
            <w:tcW w:w="3238" w:type="dxa"/>
            <w:tcBorders>
              <w:right w:val="single" w:sz="4" w:space="0" w:color="auto"/>
            </w:tcBorders>
          </w:tcPr>
          <w:p w14:paraId="4954817B" w14:textId="2653C798" w:rsidR="00BA5DBC" w:rsidRPr="00E33EFF" w:rsidRDefault="00E622E9" w:rsidP="00BA5DBC">
            <w:pPr>
              <w:tabs>
                <w:tab w:val="left" w:pos="567"/>
              </w:tabs>
              <w:jc w:val="both"/>
              <w:rPr>
                <w:i/>
                <w:iCs/>
                <w:lang w:eastAsia="lt-LT"/>
              </w:rPr>
            </w:pPr>
            <w:r>
              <w:rPr>
                <w:lang w:eastAsia="lt-LT"/>
              </w:rPr>
              <w:t>***</w:t>
            </w:r>
            <w:r w:rsidR="007B0322">
              <w:rPr>
                <w:lang w:eastAsia="lt-LT"/>
              </w:rPr>
              <w:t xml:space="preserve"> LY</w:t>
            </w:r>
          </w:p>
        </w:tc>
      </w:tr>
      <w:tr w:rsidR="00BA5DBC" w:rsidRPr="00E33EFF" w14:paraId="20ADA742" w14:textId="77777777" w:rsidTr="00BE7489">
        <w:trPr>
          <w:trHeight w:val="267"/>
          <w:jc w:val="center"/>
        </w:trPr>
        <w:tc>
          <w:tcPr>
            <w:tcW w:w="6200" w:type="dxa"/>
            <w:tcBorders>
              <w:left w:val="single" w:sz="4" w:space="0" w:color="auto"/>
            </w:tcBorders>
          </w:tcPr>
          <w:p w14:paraId="0F567576" w14:textId="2606A2E9" w:rsidR="00BA5DBC" w:rsidRPr="00E33EFF" w:rsidRDefault="0058712F" w:rsidP="00BA5DBC">
            <w:pPr>
              <w:tabs>
                <w:tab w:val="left" w:pos="567"/>
              </w:tabs>
              <w:jc w:val="right"/>
              <w:rPr>
                <w:iCs/>
                <w:lang w:eastAsia="lt-LT"/>
              </w:rPr>
            </w:pPr>
            <w:r w:rsidRPr="00E33EFF">
              <w:rPr>
                <w:iCs/>
                <w:lang w:eastAsia="lt-LT"/>
              </w:rPr>
              <w:t>Papildomi k</w:t>
            </w:r>
            <w:r w:rsidR="00BA5DBC" w:rsidRPr="00E33EFF">
              <w:rPr>
                <w:iCs/>
                <w:lang w:eastAsia="lt-LT"/>
              </w:rPr>
              <w:t>okybiški gyvenimo metai (QALY)</w:t>
            </w:r>
          </w:p>
        </w:tc>
        <w:tc>
          <w:tcPr>
            <w:tcW w:w="3238" w:type="dxa"/>
            <w:tcBorders>
              <w:right w:val="single" w:sz="4" w:space="0" w:color="auto"/>
            </w:tcBorders>
          </w:tcPr>
          <w:p w14:paraId="02E4DAE1" w14:textId="4792D576" w:rsidR="00BA5DBC" w:rsidRPr="00E33EFF" w:rsidRDefault="00E622E9" w:rsidP="00BA5DBC">
            <w:pPr>
              <w:tabs>
                <w:tab w:val="left" w:pos="567"/>
              </w:tabs>
              <w:jc w:val="both"/>
              <w:rPr>
                <w:i/>
                <w:iCs/>
                <w:lang w:eastAsia="lt-LT"/>
              </w:rPr>
            </w:pPr>
            <w:r>
              <w:rPr>
                <w:lang w:eastAsia="lt-LT"/>
              </w:rPr>
              <w:t>***</w:t>
            </w:r>
            <w:r w:rsidR="007B0322">
              <w:rPr>
                <w:lang w:eastAsia="lt-LT"/>
              </w:rPr>
              <w:t xml:space="preserve"> QALY</w:t>
            </w:r>
          </w:p>
        </w:tc>
      </w:tr>
      <w:tr w:rsidR="00BA5DBC" w:rsidRPr="00E33EFF" w14:paraId="1FADA2B3" w14:textId="77777777" w:rsidTr="00BE7489">
        <w:trPr>
          <w:trHeight w:val="267"/>
          <w:jc w:val="center"/>
        </w:trPr>
        <w:tc>
          <w:tcPr>
            <w:tcW w:w="6200" w:type="dxa"/>
            <w:tcBorders>
              <w:left w:val="single" w:sz="4" w:space="0" w:color="auto"/>
            </w:tcBorders>
          </w:tcPr>
          <w:p w14:paraId="13E089E8" w14:textId="0BCEB339" w:rsidR="00BA5DBC" w:rsidRPr="00E33EFF" w:rsidRDefault="00BA5DBC" w:rsidP="009E44AE">
            <w:pPr>
              <w:tabs>
                <w:tab w:val="left" w:pos="567"/>
              </w:tabs>
              <w:jc w:val="right"/>
              <w:rPr>
                <w:iCs/>
                <w:lang w:eastAsia="lt-LT"/>
              </w:rPr>
            </w:pPr>
            <w:r w:rsidRPr="00E33EFF">
              <w:rPr>
                <w:iCs/>
                <w:lang w:eastAsia="lt-LT"/>
              </w:rPr>
              <w:t>ICER už LY</w:t>
            </w:r>
          </w:p>
        </w:tc>
        <w:tc>
          <w:tcPr>
            <w:tcW w:w="3238" w:type="dxa"/>
            <w:tcBorders>
              <w:right w:val="single" w:sz="4" w:space="0" w:color="auto"/>
            </w:tcBorders>
          </w:tcPr>
          <w:p w14:paraId="2817448D" w14:textId="1D6E3135" w:rsidR="00BA5DBC" w:rsidRPr="00E33EFF" w:rsidRDefault="00E622E9" w:rsidP="009E44AE">
            <w:pPr>
              <w:tabs>
                <w:tab w:val="left" w:pos="567"/>
              </w:tabs>
              <w:jc w:val="both"/>
              <w:rPr>
                <w:i/>
                <w:iCs/>
                <w:lang w:eastAsia="lt-LT"/>
              </w:rPr>
            </w:pPr>
            <w:r>
              <w:rPr>
                <w:i/>
                <w:iCs/>
                <w:lang w:eastAsia="lt-LT"/>
              </w:rPr>
              <w:t>***</w:t>
            </w:r>
            <w:r w:rsidR="007B0322">
              <w:rPr>
                <w:i/>
                <w:iCs/>
                <w:lang w:eastAsia="lt-LT"/>
              </w:rPr>
              <w:t xml:space="preserve"> eur/LY</w:t>
            </w:r>
          </w:p>
        </w:tc>
      </w:tr>
      <w:tr w:rsidR="009E44AE" w:rsidRPr="00E33EFF" w14:paraId="250DE960" w14:textId="77777777" w:rsidTr="00BE7489">
        <w:trPr>
          <w:trHeight w:val="267"/>
          <w:jc w:val="center"/>
        </w:trPr>
        <w:tc>
          <w:tcPr>
            <w:tcW w:w="6200" w:type="dxa"/>
            <w:tcBorders>
              <w:left w:val="single" w:sz="4" w:space="0" w:color="auto"/>
            </w:tcBorders>
          </w:tcPr>
          <w:p w14:paraId="207EFB23" w14:textId="77777777" w:rsidR="009E44AE" w:rsidRPr="00E33EFF" w:rsidRDefault="009E44AE" w:rsidP="009E44AE">
            <w:pPr>
              <w:tabs>
                <w:tab w:val="left" w:pos="567"/>
              </w:tabs>
              <w:jc w:val="right"/>
              <w:rPr>
                <w:iCs/>
                <w:lang w:eastAsia="lt-LT"/>
              </w:rPr>
            </w:pPr>
            <w:r w:rsidRPr="00E33EFF">
              <w:rPr>
                <w:iCs/>
                <w:lang w:eastAsia="lt-LT"/>
              </w:rPr>
              <w:t>ICER už QALY</w:t>
            </w:r>
          </w:p>
        </w:tc>
        <w:tc>
          <w:tcPr>
            <w:tcW w:w="3238" w:type="dxa"/>
            <w:tcBorders>
              <w:right w:val="single" w:sz="4" w:space="0" w:color="auto"/>
            </w:tcBorders>
          </w:tcPr>
          <w:p w14:paraId="4275320D" w14:textId="728B1AD9" w:rsidR="009E44AE" w:rsidRPr="00E33EFF" w:rsidRDefault="00E622E9" w:rsidP="009E44AE">
            <w:pPr>
              <w:tabs>
                <w:tab w:val="left" w:pos="567"/>
              </w:tabs>
              <w:jc w:val="both"/>
              <w:rPr>
                <w:i/>
                <w:iCs/>
                <w:lang w:eastAsia="lt-LT"/>
              </w:rPr>
            </w:pPr>
            <w:r>
              <w:rPr>
                <w:i/>
                <w:iCs/>
                <w:lang w:eastAsia="lt-LT"/>
              </w:rPr>
              <w:t>***</w:t>
            </w:r>
            <w:r w:rsidR="007B0322">
              <w:rPr>
                <w:i/>
                <w:iCs/>
                <w:lang w:eastAsia="lt-LT"/>
              </w:rPr>
              <w:t xml:space="preserve"> eur/QALY</w:t>
            </w:r>
          </w:p>
        </w:tc>
      </w:tr>
      <w:tr w:rsidR="009E44AE" w:rsidRPr="00E33EFF"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E33EFF" w:rsidRDefault="009E44AE" w:rsidP="009E44AE">
            <w:pPr>
              <w:tabs>
                <w:tab w:val="left" w:pos="567"/>
              </w:tabs>
              <w:jc w:val="right"/>
              <w:rPr>
                <w:iCs/>
                <w:lang w:eastAsia="lt-LT"/>
              </w:rPr>
            </w:pPr>
            <w:r w:rsidRPr="00E33EFF">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514B4319" w:rsidR="009E44AE" w:rsidRPr="00E33EFF" w:rsidRDefault="00E622E9" w:rsidP="009E44AE">
            <w:pPr>
              <w:tabs>
                <w:tab w:val="left" w:pos="567"/>
              </w:tabs>
              <w:jc w:val="both"/>
              <w:rPr>
                <w:i/>
                <w:iCs/>
                <w:lang w:eastAsia="lt-LT"/>
              </w:rPr>
            </w:pPr>
            <w:r>
              <w:rPr>
                <w:bCs/>
                <w:lang w:eastAsia="lt-LT"/>
              </w:rPr>
              <w:t>***</w:t>
            </w:r>
            <w:r w:rsidR="007B0322">
              <w:rPr>
                <w:bCs/>
                <w:lang w:eastAsia="lt-LT"/>
              </w:rPr>
              <w:t xml:space="preserve"> Eur/QALY</w:t>
            </w:r>
          </w:p>
        </w:tc>
      </w:tr>
    </w:tbl>
    <w:p w14:paraId="5FC8C737" w14:textId="4136B7F4"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angl. incremental cost-effectiveness ratio</w:t>
      </w:r>
      <w:r w:rsidR="00453862" w:rsidRPr="00E33EFF">
        <w:rPr>
          <w:iCs/>
          <w:sz w:val="20"/>
          <w:lang w:eastAsia="lt-LT"/>
        </w:rPr>
        <w:t>) inkrementinis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angl. life years</w:t>
      </w:r>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quality adjusted life years) </w:t>
      </w:r>
      <w:r w:rsidR="00453862" w:rsidRPr="00E33EFF">
        <w:rPr>
          <w:iCs/>
          <w:sz w:val="20"/>
          <w:lang w:eastAsia="lt-LT"/>
        </w:rPr>
        <w:t>kokybiški gyvenimo metai.</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06EA0C4C"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700D6D">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16073F8B"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700D6D">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7AA56ADF"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08D5B3B6" w14:textId="46459B04" w:rsidR="0061611B" w:rsidRPr="00E33EFF"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735F0D40"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700D6D">
                  <w:rPr>
                    <w:rStyle w:val="Style2"/>
                    <w:rFonts w:ascii="MS Gothic" w:eastAsia="MS Gothic" w:hAnsi="MS Gothic" w:hint="eastAsia"/>
                    <w:sz w:val="24"/>
                  </w:rPr>
                  <w:t>☒</w:t>
                </w:r>
              </w:sdtContent>
            </w:sdt>
            <w:r w:rsidR="00B13D65" w:rsidRPr="00E33EFF">
              <w:t xml:space="preserve"> 32.1. yra didesnis</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758F1C3E" w:rsidR="00B13D65" w:rsidRPr="00E33EFF" w:rsidRDefault="00000000" w:rsidP="00700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iš esmės </w:t>
            </w:r>
            <w:r w:rsidR="00700D6D">
              <w:t>nesiskiria</w:t>
            </w:r>
          </w:p>
        </w:tc>
        <w:tc>
          <w:tcPr>
            <w:tcW w:w="4814" w:type="dxa"/>
          </w:tcPr>
          <w:p w14:paraId="507828D9" w14:textId="6190021B"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3C7E8F74"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14510ABF"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2F5C201F"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700D6D">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lastRenderedPageBreak/>
              <w:t>Kaštų naudingumas</w:t>
            </w:r>
          </w:p>
        </w:tc>
      </w:tr>
      <w:tr w:rsidR="00B13D65" w:rsidRPr="00E33EFF" w14:paraId="7091A05B" w14:textId="77777777" w:rsidTr="0061611B">
        <w:tc>
          <w:tcPr>
            <w:tcW w:w="4815" w:type="dxa"/>
          </w:tcPr>
          <w:p w14:paraId="69B2A994" w14:textId="319218C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taikant</w:t>
            </w:r>
            <w:r w:rsidR="007B0322">
              <w:t xml:space="preserve"> PGS</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562B342F"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taikant </w:t>
            </w:r>
            <w:r w:rsidR="007B0322">
              <w:t>PGS</w:t>
            </w:r>
            <w:r w:rsidR="00B00959" w:rsidRPr="00E33EF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19AE8E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Content>
                <w:r w:rsidR="007B0322">
                  <w:rPr>
                    <w:rStyle w:val="Style2"/>
                    <w:rFonts w:ascii="MS Gothic" w:eastAsia="MS Gothic" w:hAnsi="MS Gothic" w:hint="eastAsia"/>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60CA1AA1"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 taikant</w:t>
            </w:r>
            <w:r w:rsidR="00662983" w:rsidRPr="00E33EFF">
              <w:t xml:space="preserve"> PGS</w:t>
            </w:r>
            <w:r w:rsidR="00B00959" w:rsidRPr="00E33EFF">
              <w:t>,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9A90384" w14:textId="058199B8"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22325210" w14:textId="5047A639" w:rsidR="004F3B2B" w:rsidRPr="00E33EFF" w:rsidRDefault="004F3B2B" w:rsidP="00700D6D">
      <w:pPr>
        <w:spacing w:line="360" w:lineRule="auto"/>
        <w:ind w:firstLine="567"/>
        <w:jc w:val="both"/>
      </w:pPr>
      <w:r w:rsidRPr="00E33EFF">
        <w:t xml:space="preserve">Vadovaujantis </w:t>
      </w:r>
      <w:r w:rsidR="00F259FC">
        <w:t>V</w:t>
      </w:r>
      <w:r w:rsidR="00F259FC" w:rsidRPr="00E33EFF">
        <w:t>aistinių preparatų ir medicinos pagalbos priemonių įrašymo į kompensavimo sąrašus ir jų keitimo tvarkos aprašo</w:t>
      </w:r>
      <w:r w:rsidR="00F259FC">
        <w:t>, patvirtinto</w:t>
      </w:r>
      <w:r w:rsidR="00F259FC" w:rsidRPr="00E33EFF">
        <w:t xml:space="preserve"> </w:t>
      </w:r>
      <w:r w:rsidRPr="00E33EFF">
        <w:t>Lietuvos Respublikos sveikatos apsaugos ministro 2002 m. balandžio 5 d. įsakymu Nr. V-159 „Dėl vaistinių preparatų ir medicinos pagalbos priemonių įrašymo į kompensavimo sąrašus ir jų keitimo tvarkos aprašo patvirtinimo“</w:t>
      </w:r>
      <w:r w:rsidR="00F259FC">
        <w:t>,</w:t>
      </w:r>
      <w:r w:rsidRPr="00E33EFF">
        <w:t xml:space="preserve"> punktu </w:t>
      </w:r>
    </w:p>
    <w:p w14:paraId="00098A62" w14:textId="2858FF9A" w:rsidR="007B0322" w:rsidRDefault="004F3B2B" w:rsidP="00700D6D">
      <w:pPr>
        <w:spacing w:line="360" w:lineRule="auto"/>
        <w:jc w:val="both"/>
      </w:pPr>
      <w:r w:rsidRPr="00E33EFF">
        <w:t xml:space="preserve">34.4. rekomenduojama </w:t>
      </w:r>
      <w:r w:rsidRPr="00E33EFF">
        <w:rPr>
          <w:i/>
        </w:rPr>
        <w:t xml:space="preserve">nekompensuoti </w:t>
      </w:r>
      <w:r w:rsidRPr="00E33EFF">
        <w:t>vaistinio prepa</w:t>
      </w:r>
      <w:r w:rsidR="007B0322">
        <w:t xml:space="preserve">rato pagal paraiškoje nurodytą </w:t>
      </w:r>
      <w:r w:rsidRPr="00E33EFF">
        <w:t>indikacij</w:t>
      </w:r>
      <w:r w:rsidR="007B0322">
        <w:t>ą</w:t>
      </w:r>
      <w:r w:rsidRPr="00E33EFF">
        <w:t xml:space="preserve"> su skyrimo sąlygomis, taikant PGS</w:t>
      </w:r>
      <w:r w:rsidR="007B0322">
        <w:t xml:space="preserve"> </w:t>
      </w:r>
      <w:r w:rsidRPr="00E33EFF">
        <w:t>dėl vertinimo išvadų</w:t>
      </w:r>
      <w:r w:rsidR="00613143">
        <w:t xml:space="preserve">, nurodytų </w:t>
      </w:r>
      <w:r w:rsidR="007B0322">
        <w:t>3</w:t>
      </w:r>
      <w:r w:rsidR="00613143">
        <w:t>3.3</w:t>
      </w:r>
      <w:r w:rsidR="007B0322">
        <w:t xml:space="preserve"> </w:t>
      </w:r>
      <w:r w:rsidR="00613143">
        <w:t>papunk</w:t>
      </w:r>
      <w:r w:rsidR="00E348BA">
        <w:t xml:space="preserve">tyje (žr. 6 skyrių), </w:t>
      </w:r>
      <w:r w:rsidRPr="00E33EFF">
        <w:t xml:space="preserve"> neatitikties </w:t>
      </w:r>
      <w:r w:rsidRPr="003D6208">
        <w:t>34.1 papunktyje išdėstyt</w:t>
      </w:r>
      <w:r w:rsidR="00CF27FD" w:rsidRPr="003D6208">
        <w:t>oms</w:t>
      </w:r>
      <w:r w:rsidRPr="003D6208">
        <w:t xml:space="preserve"> sąlyg</w:t>
      </w:r>
      <w:r w:rsidR="00CF27FD" w:rsidRPr="003D6208">
        <w:t>oms</w:t>
      </w:r>
      <w:r w:rsidR="007B0322">
        <w:t>.</w:t>
      </w:r>
    </w:p>
    <w:p w14:paraId="7952894A" w14:textId="6671CB1D" w:rsidR="007B0322" w:rsidRDefault="007B0322" w:rsidP="00700D6D">
      <w:pPr>
        <w:spacing w:line="360" w:lineRule="auto"/>
        <w:jc w:val="both"/>
      </w:pPr>
    </w:p>
    <w:p w14:paraId="4D78E05F" w14:textId="77777777" w:rsidR="007B0322" w:rsidRPr="00FE303B" w:rsidRDefault="007B0322" w:rsidP="00700D6D">
      <w:pPr>
        <w:shd w:val="clear" w:color="auto" w:fill="FFFFFF"/>
        <w:spacing w:line="360" w:lineRule="auto"/>
        <w:ind w:firstLine="720"/>
        <w:jc w:val="both"/>
        <w:rPr>
          <w:bCs/>
          <w:i/>
        </w:rPr>
      </w:pPr>
      <w:r w:rsidRPr="00FE303B">
        <w:rPr>
          <w:bCs/>
          <w:i/>
        </w:rPr>
        <w:t>Papildom</w:t>
      </w:r>
      <w:r>
        <w:rPr>
          <w:bCs/>
          <w:i/>
        </w:rPr>
        <w:t>os</w:t>
      </w:r>
      <w:r w:rsidRPr="00FE303B">
        <w:rPr>
          <w:bCs/>
          <w:i/>
        </w:rPr>
        <w:t xml:space="preserve"> pastabos ir pasiūlymai</w:t>
      </w:r>
    </w:p>
    <w:p w14:paraId="31446B7D" w14:textId="1A9D1BAC" w:rsidR="007B0322" w:rsidRPr="004817CE" w:rsidRDefault="007B0322" w:rsidP="00700D6D">
      <w:pPr>
        <w:shd w:val="clear" w:color="auto" w:fill="FFFFFF"/>
        <w:spacing w:line="360" w:lineRule="auto"/>
        <w:ind w:firstLine="720"/>
        <w:jc w:val="both"/>
        <w:rPr>
          <w:bCs/>
        </w:rPr>
      </w:pPr>
      <w:r>
        <w:rPr>
          <w:bCs/>
        </w:rPr>
        <w:t>A</w:t>
      </w:r>
      <w:r w:rsidRPr="004817CE">
        <w:rPr>
          <w:bCs/>
        </w:rPr>
        <w:t xml:space="preserve">tsižvelgiant į </w:t>
      </w:r>
      <w:r>
        <w:rPr>
          <w:bCs/>
        </w:rPr>
        <w:t>papildomą Pluvicto sugeneruojamą naudą pacientų sveikatai, Tarnyba</w:t>
      </w:r>
      <w:r w:rsidRPr="004817CE" w:rsidDel="008074EB">
        <w:rPr>
          <w:bCs/>
        </w:rPr>
        <w:t xml:space="preserve"> </w:t>
      </w:r>
      <w:r w:rsidRPr="004817CE">
        <w:rPr>
          <w:bCs/>
        </w:rPr>
        <w:t>vadovauja</w:t>
      </w:r>
      <w:r>
        <w:rPr>
          <w:bCs/>
        </w:rPr>
        <w:t>masi</w:t>
      </w:r>
      <w:r w:rsidRPr="004817CE">
        <w:rPr>
          <w:bCs/>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 </w:t>
      </w:r>
      <w:r w:rsidRPr="00341875">
        <w:rPr>
          <w:i/>
          <w:iCs/>
        </w:rPr>
        <w:t xml:space="preserve">kompensuoti </w:t>
      </w:r>
      <w:r w:rsidRPr="004817CE">
        <w:rPr>
          <w:bCs/>
        </w:rPr>
        <w:t>vaistinį preparatą</w:t>
      </w:r>
      <w:r>
        <w:rPr>
          <w:bCs/>
        </w:rPr>
        <w:t xml:space="preserve"> </w:t>
      </w:r>
      <w:r w:rsidRPr="00341875">
        <w:rPr>
          <w:bCs/>
          <w:i/>
          <w:iCs/>
        </w:rPr>
        <w:t xml:space="preserve">Pluvicto </w:t>
      </w:r>
      <w:r w:rsidR="00341875" w:rsidRPr="00341875">
        <w:rPr>
          <w:bCs/>
          <w:i/>
          <w:iCs/>
        </w:rPr>
        <w:t>1 000 MBq/ml injekcinis ar infuzinis tirpalas</w:t>
      </w:r>
      <w:r w:rsidR="00341875">
        <w:rPr>
          <w:bCs/>
        </w:rPr>
        <w:t xml:space="preserve"> </w:t>
      </w:r>
      <w:r>
        <w:rPr>
          <w:bCs/>
        </w:rPr>
        <w:t>8 skyriuje nurodytoms indikacijoms, su sąlyga</w:t>
      </w:r>
      <w:r w:rsidR="00907349">
        <w:rPr>
          <w:bCs/>
        </w:rPr>
        <w:t xml:space="preserve">, kad </w:t>
      </w:r>
      <w:r>
        <w:rPr>
          <w:bCs/>
        </w:rPr>
        <w:t xml:space="preserve"> </w:t>
      </w:r>
      <w:r w:rsidR="00341875">
        <w:rPr>
          <w:bCs/>
        </w:rPr>
        <w:t>kompensavimui teikiamo vaistinio preparato</w:t>
      </w:r>
      <w:r>
        <w:rPr>
          <w:bCs/>
        </w:rPr>
        <w:t xml:space="preserve"> kaštų naudingumas bus pagerintas pritaikius papildomą maždaug </w:t>
      </w:r>
      <w:r w:rsidR="00E622E9">
        <w:rPr>
          <w:bCs/>
        </w:rPr>
        <w:t>***</w:t>
      </w:r>
      <w:r>
        <w:rPr>
          <w:bCs/>
        </w:rPr>
        <w:t xml:space="preserve"> proc. nuolaidą. </w:t>
      </w:r>
    </w:p>
    <w:p w14:paraId="274D20B0" w14:textId="49098BC0" w:rsidR="004F3B2B" w:rsidRPr="003D6208" w:rsidRDefault="004F3B2B" w:rsidP="004F3B2B">
      <w:pPr>
        <w:jc w:val="both"/>
        <w:rPr>
          <w:i/>
          <w:highlight w:val="yellow"/>
        </w:rPr>
      </w:pPr>
    </w:p>
    <w:p w14:paraId="06BC01EE" w14:textId="44333E0B" w:rsidR="000723FF" w:rsidRPr="00E33EFF" w:rsidRDefault="000723FF" w:rsidP="00381024"/>
    <w:p w14:paraId="16F2B302" w14:textId="6522EC40" w:rsidR="00700D6D" w:rsidRPr="00700D6D" w:rsidRDefault="00CC09D4" w:rsidP="00700D6D">
      <w:pPr>
        <w:tabs>
          <w:tab w:val="left" w:pos="567"/>
        </w:tabs>
        <w:jc w:val="both"/>
        <w:rPr>
          <w:b/>
          <w:color w:val="000000"/>
          <w:lang w:eastAsia="lt-LT"/>
        </w:rPr>
      </w:pPr>
      <w:r w:rsidRPr="00700D6D">
        <w:rPr>
          <w:b/>
          <w:color w:val="000000"/>
          <w:lang w:eastAsia="lt-LT"/>
        </w:rPr>
        <w:t>8.</w:t>
      </w:r>
      <w:r w:rsidRPr="00700D6D">
        <w:rPr>
          <w:b/>
          <w:color w:val="000000"/>
          <w:lang w:eastAsia="lt-LT"/>
        </w:rPr>
        <w:tab/>
      </w:r>
      <w:r w:rsidR="00700D6D" w:rsidRPr="00700D6D">
        <w:rPr>
          <w:b/>
          <w:color w:val="000000"/>
          <w:lang w:eastAsia="lt-LT"/>
        </w:rPr>
        <w:t xml:space="preserve">SIŪLOMOS KOMPENSUOTI TERAPINĖS INDIKACIJOS IR SKYRIMO SĄLYGOS </w:t>
      </w:r>
    </w:p>
    <w:p w14:paraId="77CA00E8" w14:textId="77777777" w:rsidR="00700D6D" w:rsidRPr="00E33EFF" w:rsidRDefault="00700D6D" w:rsidP="00700D6D">
      <w:pPr>
        <w:tabs>
          <w:tab w:val="left" w:pos="426"/>
        </w:tabs>
        <w:jc w:val="both"/>
        <w:rPr>
          <w:b/>
          <w:color w:val="000000"/>
          <w:lang w:eastAsia="lt-LT"/>
        </w:rPr>
      </w:pPr>
    </w:p>
    <w:p w14:paraId="1B91B26E" w14:textId="77777777" w:rsidR="00700D6D" w:rsidRPr="003819E3" w:rsidRDefault="00700D6D" w:rsidP="00700D6D">
      <w:pPr>
        <w:pStyle w:val="Betarp"/>
        <w:spacing w:line="360" w:lineRule="auto"/>
        <w:rPr>
          <w:rFonts w:ascii="Times New Roman" w:hAnsi="Times New Roman"/>
          <w:b/>
          <w:sz w:val="24"/>
          <w:szCs w:val="24"/>
          <w:lang w:eastAsia="lt-LT"/>
        </w:rPr>
      </w:pPr>
      <w:r w:rsidRPr="003819E3">
        <w:rPr>
          <w:rFonts w:ascii="Times New Roman" w:hAnsi="Times New Roman"/>
          <w:b/>
          <w:sz w:val="24"/>
          <w:szCs w:val="24"/>
          <w:lang w:eastAsia="lt-LT"/>
        </w:rPr>
        <w:lastRenderedPageBreak/>
        <w:t>Terapinės indikacijos</w:t>
      </w:r>
    </w:p>
    <w:p w14:paraId="3F76DA09" w14:textId="77777777" w:rsidR="00700D6D" w:rsidRPr="003819E3" w:rsidRDefault="00700D6D" w:rsidP="00700D6D">
      <w:pPr>
        <w:pStyle w:val="Betarp"/>
        <w:spacing w:line="360" w:lineRule="auto"/>
        <w:rPr>
          <w:rFonts w:ascii="Times New Roman" w:hAnsi="Times New Roman"/>
          <w:sz w:val="24"/>
          <w:szCs w:val="24"/>
        </w:rPr>
      </w:pPr>
      <w:r w:rsidRPr="003819E3">
        <w:rPr>
          <w:rStyle w:val="Style2"/>
          <w:rFonts w:ascii="Segoe UI Symbol" w:eastAsia="MS Gothic" w:hAnsi="Segoe UI Symbol" w:cs="Segoe UI Symbol"/>
          <w:sz w:val="24"/>
          <w:szCs w:val="24"/>
        </w:rPr>
        <w:t>☒</w:t>
      </w:r>
      <w:r w:rsidRPr="003819E3">
        <w:rPr>
          <w:rFonts w:ascii="Times New Roman" w:hAnsi="Times New Roman"/>
          <w:sz w:val="24"/>
          <w:szCs w:val="24"/>
        </w:rPr>
        <w:t xml:space="preserve"> Siūloma kompensuoti Pareiškėjo teikiamą indikaciją be pakeitimų.</w:t>
      </w:r>
    </w:p>
    <w:p w14:paraId="4D976E53" w14:textId="77777777" w:rsidR="00700D6D" w:rsidRPr="003819E3" w:rsidRDefault="00700D6D" w:rsidP="00700D6D">
      <w:pPr>
        <w:pStyle w:val="Betarp"/>
        <w:spacing w:line="360" w:lineRule="auto"/>
        <w:jc w:val="both"/>
        <w:rPr>
          <w:rFonts w:ascii="Times New Roman" w:eastAsia="MS Gothic" w:hAnsi="Times New Roman"/>
          <w:sz w:val="24"/>
          <w:szCs w:val="24"/>
        </w:rPr>
      </w:pPr>
      <w:r w:rsidRPr="003819E3">
        <w:rPr>
          <w:rFonts w:ascii="Times New Roman" w:eastAsia="MS Gothic" w:hAnsi="Times New Roman"/>
          <w:sz w:val="24"/>
          <w:szCs w:val="24"/>
        </w:rPr>
        <w:t>Pluvicto derinys su androgenų trūkumo terapija (ADT) su arba be androgenų receptorių (AR) inhibitoriais skirtas suaugusių pacientų, sergančių progresuojančiu prostatos specifiniam membranos antigenui (PSMA) teigiamu metastaziniu kastracijai atspariu prostatos vėžiu (mKAPV), gydymui, kai jiems anksčiau buvo skirtas gydymas AR inhibitoriais ir chemoterapija taksanų pagrindu.</w:t>
      </w:r>
    </w:p>
    <w:p w14:paraId="7F117C68" w14:textId="77777777" w:rsidR="00700D6D" w:rsidRPr="003819E3" w:rsidRDefault="00700D6D" w:rsidP="00700D6D">
      <w:pPr>
        <w:pStyle w:val="Betarp"/>
        <w:spacing w:line="360" w:lineRule="auto"/>
        <w:rPr>
          <w:rFonts w:ascii="Times New Roman" w:hAnsi="Times New Roman"/>
          <w:sz w:val="24"/>
          <w:szCs w:val="24"/>
        </w:rPr>
      </w:pPr>
    </w:p>
    <w:p w14:paraId="5CDE9E16" w14:textId="77777777" w:rsidR="00700D6D" w:rsidRPr="003819E3" w:rsidRDefault="00700D6D" w:rsidP="00700D6D">
      <w:pPr>
        <w:pStyle w:val="Betarp"/>
        <w:spacing w:line="360" w:lineRule="auto"/>
        <w:rPr>
          <w:rFonts w:ascii="Times New Roman" w:hAnsi="Times New Roman"/>
          <w:b/>
          <w:sz w:val="24"/>
          <w:szCs w:val="24"/>
        </w:rPr>
      </w:pPr>
      <w:r w:rsidRPr="003819E3">
        <w:rPr>
          <w:rFonts w:ascii="Times New Roman" w:hAnsi="Times New Roman"/>
          <w:b/>
          <w:sz w:val="24"/>
          <w:szCs w:val="24"/>
        </w:rPr>
        <w:t>Skyrimo sąlygos</w:t>
      </w:r>
    </w:p>
    <w:p w14:paraId="63639904" w14:textId="77777777" w:rsidR="00700D6D" w:rsidRPr="00390FC2" w:rsidRDefault="00000000" w:rsidP="00700D6D">
      <w:pPr>
        <w:tabs>
          <w:tab w:val="left" w:pos="426"/>
        </w:tabs>
        <w:spacing w:line="360" w:lineRule="auto"/>
        <w:jc w:val="both"/>
        <w:rPr>
          <w:rFonts w:eastAsia="Calibri"/>
        </w:rPr>
      </w:pPr>
      <w:sdt>
        <w:sdtPr>
          <w:rPr>
            <w:rFonts w:eastAsia="Calibri"/>
          </w:rPr>
          <w:id w:val="928323295"/>
          <w14:checkbox>
            <w14:checked w14:val="1"/>
            <w14:checkedState w14:val="2612" w14:font="MS Gothic"/>
            <w14:uncheckedState w14:val="2610" w14:font="MS Gothic"/>
          </w14:checkbox>
        </w:sdtPr>
        <w:sdtContent>
          <w:r w:rsidR="00700D6D" w:rsidRPr="00390FC2">
            <w:rPr>
              <w:rFonts w:ascii="Segoe UI Symbol" w:eastAsia="Calibri" w:hAnsi="Segoe UI Symbol" w:cs="Segoe UI Symbol"/>
            </w:rPr>
            <w:t>☒</w:t>
          </w:r>
        </w:sdtContent>
      </w:sdt>
      <w:r w:rsidR="00700D6D" w:rsidRPr="00390FC2">
        <w:rPr>
          <w:rFonts w:eastAsia="Calibri"/>
        </w:rPr>
        <w:t xml:space="preserve"> Pareiškėjo siūlomos skyrimo sąlygos priimtinos. </w:t>
      </w:r>
    </w:p>
    <w:p w14:paraId="7EF22549" w14:textId="65811267" w:rsidR="00700D6D" w:rsidRPr="00907349" w:rsidRDefault="00700D6D" w:rsidP="00700D6D">
      <w:pPr>
        <w:tabs>
          <w:tab w:val="left" w:pos="426"/>
        </w:tabs>
        <w:spacing w:line="360" w:lineRule="auto"/>
        <w:jc w:val="both"/>
        <w:rPr>
          <w:rFonts w:eastAsia="Calibri"/>
        </w:rPr>
      </w:pPr>
      <w:r w:rsidRPr="00907349">
        <w:rPr>
          <w:rFonts w:eastAsia="Calibri"/>
        </w:rPr>
        <w:t xml:space="preserve"> Pagal registruotą terapinę indikaciją</w:t>
      </w:r>
      <w:r w:rsidR="00907349">
        <w:rPr>
          <w:rFonts w:eastAsia="Calibri"/>
        </w:rPr>
        <w:t>.</w:t>
      </w:r>
    </w:p>
    <w:p w14:paraId="5DA63A9A" w14:textId="77777777" w:rsidR="00700D6D" w:rsidRDefault="00700D6D" w:rsidP="00CC09D4">
      <w:pPr>
        <w:tabs>
          <w:tab w:val="left" w:pos="567"/>
        </w:tabs>
        <w:ind w:left="567" w:hanging="567"/>
        <w:jc w:val="both"/>
        <w:rPr>
          <w:b/>
          <w:color w:val="000000"/>
          <w:lang w:eastAsia="lt-LT"/>
        </w:rPr>
      </w:pPr>
    </w:p>
    <w:p w14:paraId="7CDFF220" w14:textId="58191D98" w:rsidR="000723FF" w:rsidRPr="000723FF" w:rsidRDefault="000723FF" w:rsidP="00824B92">
      <w:pPr>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80B1" w14:textId="77777777" w:rsidR="00C655C2" w:rsidRDefault="00C655C2">
      <w:r>
        <w:separator/>
      </w:r>
    </w:p>
  </w:endnote>
  <w:endnote w:type="continuationSeparator" w:id="0">
    <w:p w14:paraId="2485F42B" w14:textId="77777777" w:rsidR="00C655C2" w:rsidRDefault="00C6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CDD4B" w14:textId="77777777" w:rsidR="00C655C2" w:rsidRDefault="00C655C2">
      <w:r>
        <w:separator/>
      </w:r>
    </w:p>
  </w:footnote>
  <w:footnote w:type="continuationSeparator" w:id="0">
    <w:p w14:paraId="62AF1AB0" w14:textId="77777777" w:rsidR="00C655C2" w:rsidRDefault="00C65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16F0BD5E"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2FE2">
      <w:rPr>
        <w:rStyle w:val="Puslapionumeris"/>
        <w:noProof/>
      </w:rPr>
      <w:t>9</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33D92"/>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A267ABC"/>
    <w:multiLevelType w:val="hybridMultilevel"/>
    <w:tmpl w:val="86DC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C77FA"/>
    <w:multiLevelType w:val="hybridMultilevel"/>
    <w:tmpl w:val="4FFAA8B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FF1936"/>
    <w:multiLevelType w:val="hybridMultilevel"/>
    <w:tmpl w:val="BACE2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45208188">
    <w:abstractNumId w:val="8"/>
  </w:num>
  <w:num w:numId="2" w16cid:durableId="683943902">
    <w:abstractNumId w:val="1"/>
  </w:num>
  <w:num w:numId="3" w16cid:durableId="829515668">
    <w:abstractNumId w:val="11"/>
  </w:num>
  <w:num w:numId="4" w16cid:durableId="1562398356">
    <w:abstractNumId w:val="10"/>
  </w:num>
  <w:num w:numId="5" w16cid:durableId="652297498">
    <w:abstractNumId w:val="7"/>
  </w:num>
  <w:num w:numId="6" w16cid:durableId="73627964">
    <w:abstractNumId w:val="5"/>
  </w:num>
  <w:num w:numId="7" w16cid:durableId="721098832">
    <w:abstractNumId w:val="4"/>
  </w:num>
  <w:num w:numId="8" w16cid:durableId="1688945715">
    <w:abstractNumId w:val="15"/>
  </w:num>
  <w:num w:numId="9" w16cid:durableId="337122473">
    <w:abstractNumId w:val="0"/>
  </w:num>
  <w:num w:numId="10" w16cid:durableId="1378354818">
    <w:abstractNumId w:val="12"/>
  </w:num>
  <w:num w:numId="11" w16cid:durableId="955714149">
    <w:abstractNumId w:val="14"/>
  </w:num>
  <w:num w:numId="12" w16cid:durableId="557015683">
    <w:abstractNumId w:val="3"/>
  </w:num>
  <w:num w:numId="13" w16cid:durableId="81490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6700380">
    <w:abstractNumId w:val="6"/>
  </w:num>
  <w:num w:numId="15" w16cid:durableId="1898512576">
    <w:abstractNumId w:val="9"/>
  </w:num>
  <w:num w:numId="16" w16cid:durableId="1713000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58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51B"/>
    <w:rsid w:val="00180C39"/>
    <w:rsid w:val="00180D96"/>
    <w:rsid w:val="00184BD3"/>
    <w:rsid w:val="001921F3"/>
    <w:rsid w:val="001B3C5B"/>
    <w:rsid w:val="001D746F"/>
    <w:rsid w:val="001E4BBB"/>
    <w:rsid w:val="001E6304"/>
    <w:rsid w:val="0020381E"/>
    <w:rsid w:val="002111A9"/>
    <w:rsid w:val="00213471"/>
    <w:rsid w:val="00215906"/>
    <w:rsid w:val="00241CD8"/>
    <w:rsid w:val="00244B09"/>
    <w:rsid w:val="002519CB"/>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41875"/>
    <w:rsid w:val="00347FAA"/>
    <w:rsid w:val="0035172D"/>
    <w:rsid w:val="0036187D"/>
    <w:rsid w:val="00367EDB"/>
    <w:rsid w:val="00376F85"/>
    <w:rsid w:val="00381024"/>
    <w:rsid w:val="00386307"/>
    <w:rsid w:val="003874DE"/>
    <w:rsid w:val="00393DC4"/>
    <w:rsid w:val="00393E9F"/>
    <w:rsid w:val="0039696E"/>
    <w:rsid w:val="003B211A"/>
    <w:rsid w:val="003C141F"/>
    <w:rsid w:val="003C6B0E"/>
    <w:rsid w:val="003C7257"/>
    <w:rsid w:val="003C7E35"/>
    <w:rsid w:val="003D1E99"/>
    <w:rsid w:val="003D6208"/>
    <w:rsid w:val="00404E8A"/>
    <w:rsid w:val="0040622F"/>
    <w:rsid w:val="00412FE2"/>
    <w:rsid w:val="00413F24"/>
    <w:rsid w:val="00422853"/>
    <w:rsid w:val="00423160"/>
    <w:rsid w:val="00453862"/>
    <w:rsid w:val="0045469B"/>
    <w:rsid w:val="00461338"/>
    <w:rsid w:val="004677DB"/>
    <w:rsid w:val="00476256"/>
    <w:rsid w:val="00476F65"/>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6050"/>
    <w:rsid w:val="004F72B1"/>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E73D8"/>
    <w:rsid w:val="005F71D9"/>
    <w:rsid w:val="005F7602"/>
    <w:rsid w:val="006062BE"/>
    <w:rsid w:val="00613143"/>
    <w:rsid w:val="00613501"/>
    <w:rsid w:val="0061611B"/>
    <w:rsid w:val="006166A8"/>
    <w:rsid w:val="006174A1"/>
    <w:rsid w:val="00621D6C"/>
    <w:rsid w:val="00633B49"/>
    <w:rsid w:val="0064297F"/>
    <w:rsid w:val="00645102"/>
    <w:rsid w:val="006467D5"/>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0D6D"/>
    <w:rsid w:val="00702C18"/>
    <w:rsid w:val="00703166"/>
    <w:rsid w:val="007127F3"/>
    <w:rsid w:val="00726A34"/>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322"/>
    <w:rsid w:val="007B0DDA"/>
    <w:rsid w:val="007D3347"/>
    <w:rsid w:val="007E5466"/>
    <w:rsid w:val="007F1949"/>
    <w:rsid w:val="007F2592"/>
    <w:rsid w:val="00800A08"/>
    <w:rsid w:val="0080684E"/>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473B"/>
    <w:rsid w:val="008E51A6"/>
    <w:rsid w:val="008E7329"/>
    <w:rsid w:val="008F0DCD"/>
    <w:rsid w:val="008F2ED5"/>
    <w:rsid w:val="00907349"/>
    <w:rsid w:val="0092297E"/>
    <w:rsid w:val="00923651"/>
    <w:rsid w:val="00927B56"/>
    <w:rsid w:val="009341BF"/>
    <w:rsid w:val="00937907"/>
    <w:rsid w:val="00941739"/>
    <w:rsid w:val="00951573"/>
    <w:rsid w:val="00963003"/>
    <w:rsid w:val="00966EEF"/>
    <w:rsid w:val="0096701A"/>
    <w:rsid w:val="00971B28"/>
    <w:rsid w:val="00983471"/>
    <w:rsid w:val="009909AB"/>
    <w:rsid w:val="00991EDC"/>
    <w:rsid w:val="009B37DB"/>
    <w:rsid w:val="009C7A8C"/>
    <w:rsid w:val="009D23F9"/>
    <w:rsid w:val="009D4FA8"/>
    <w:rsid w:val="009E44AE"/>
    <w:rsid w:val="009E6CD6"/>
    <w:rsid w:val="009F4D66"/>
    <w:rsid w:val="00A00C3C"/>
    <w:rsid w:val="00A01091"/>
    <w:rsid w:val="00A042B9"/>
    <w:rsid w:val="00A06DBB"/>
    <w:rsid w:val="00A22ADF"/>
    <w:rsid w:val="00A31E86"/>
    <w:rsid w:val="00A538BB"/>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2C9C"/>
    <w:rsid w:val="00B13D65"/>
    <w:rsid w:val="00B21805"/>
    <w:rsid w:val="00B3072E"/>
    <w:rsid w:val="00B36287"/>
    <w:rsid w:val="00B36E15"/>
    <w:rsid w:val="00B37245"/>
    <w:rsid w:val="00B4017A"/>
    <w:rsid w:val="00B4468D"/>
    <w:rsid w:val="00B635E2"/>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54A8"/>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655C2"/>
    <w:rsid w:val="00C7012C"/>
    <w:rsid w:val="00C712EA"/>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622E9"/>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4598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List Paragraph CCT minutes,Section 5,Bullet List 2,Colorful List - Accent 1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qFormat/>
    <w:locked/>
    <w:rsid w:val="00700D6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A0BFC1834045D984BA2CA6A1CB587C"/>
        <w:category>
          <w:name w:val="General"/>
          <w:gallery w:val="placeholder"/>
        </w:category>
        <w:types>
          <w:type w:val="bbPlcHdr"/>
        </w:types>
        <w:behaviors>
          <w:behavior w:val="content"/>
        </w:behaviors>
        <w:guid w:val="{0621D36C-7D3C-4F8A-BD1F-087A55F90774}"/>
      </w:docPartPr>
      <w:docPartBody>
        <w:p w:rsidR="00E24F42" w:rsidRDefault="007E48DC" w:rsidP="007E48DC">
          <w:pPr>
            <w:pStyle w:val="B7A0BFC1834045D984BA2CA6A1CB587C"/>
          </w:pPr>
          <w:r>
            <w:rPr>
              <w:rStyle w:val="Vietosrezervavimoenklotekstas"/>
            </w:rPr>
            <w:t>Click here to enter a date.</w:t>
          </w:r>
        </w:p>
      </w:docPartBody>
    </w:docPart>
    <w:docPart>
      <w:docPartPr>
        <w:name w:val="F3B1ADE96A8F4BA5A9179EEE75D5871A"/>
        <w:category>
          <w:name w:val="General"/>
          <w:gallery w:val="placeholder"/>
        </w:category>
        <w:types>
          <w:type w:val="bbPlcHdr"/>
        </w:types>
        <w:behaviors>
          <w:behavior w:val="content"/>
        </w:behaviors>
        <w:guid w:val="{8939578C-E555-4CF4-A14E-B475F7EB734B}"/>
      </w:docPartPr>
      <w:docPartBody>
        <w:p w:rsidR="00E24F42" w:rsidRDefault="007E48DC" w:rsidP="007E48DC">
          <w:pPr>
            <w:pStyle w:val="F3B1ADE96A8F4BA5A9179EEE75D5871A"/>
          </w:pPr>
          <w:r>
            <w:rPr>
              <w:rStyle w:val="Vietosrezervavimoenklotekstas"/>
            </w:rPr>
            <w:t>Click here to enter a date.</w:t>
          </w:r>
        </w:p>
      </w:docPartBody>
    </w:docPart>
    <w:docPart>
      <w:docPartPr>
        <w:name w:val="087435BA5CE849D8AD01D4A96991C7F4"/>
        <w:category>
          <w:name w:val="General"/>
          <w:gallery w:val="placeholder"/>
        </w:category>
        <w:types>
          <w:type w:val="bbPlcHdr"/>
        </w:types>
        <w:behaviors>
          <w:behavior w:val="content"/>
        </w:behaviors>
        <w:guid w:val="{B6F5AAF3-491F-42B7-8471-7D88F6D0E87C}"/>
      </w:docPartPr>
      <w:docPartBody>
        <w:p w:rsidR="00E24F42" w:rsidRDefault="007E48DC" w:rsidP="007E48DC">
          <w:pPr>
            <w:pStyle w:val="087435BA5CE849D8AD01D4A96991C7F4"/>
          </w:pPr>
          <w:r>
            <w:rPr>
              <w:rStyle w:val="Vietosrezervavimoenklotekstas"/>
            </w:rPr>
            <w:t>Click here to enter a date.</w:t>
          </w:r>
        </w:p>
      </w:docPartBody>
    </w:docPart>
    <w:docPart>
      <w:docPartPr>
        <w:name w:val="3EF841A0E8034F229D0F21B83A246D55"/>
        <w:category>
          <w:name w:val="General"/>
          <w:gallery w:val="placeholder"/>
        </w:category>
        <w:types>
          <w:type w:val="bbPlcHdr"/>
        </w:types>
        <w:behaviors>
          <w:behavior w:val="content"/>
        </w:behaviors>
        <w:guid w:val="{5839EEF5-51E7-4436-8D59-490B9E3DE805}"/>
      </w:docPartPr>
      <w:docPartBody>
        <w:p w:rsidR="00E24F42" w:rsidRDefault="007E48DC" w:rsidP="007E48DC">
          <w:pPr>
            <w:pStyle w:val="3EF841A0E8034F229D0F21B83A246D55"/>
          </w:pPr>
          <w:r>
            <w:rPr>
              <w:rStyle w:val="Vietosrezervavimoenklotekstas"/>
            </w:rPr>
            <w:t>Click here to enter a date.</w:t>
          </w:r>
        </w:p>
      </w:docPartBody>
    </w:docPart>
    <w:docPart>
      <w:docPartPr>
        <w:name w:val="D208812CC8AD4EA68835A3F5C70E6973"/>
        <w:category>
          <w:name w:val="General"/>
          <w:gallery w:val="placeholder"/>
        </w:category>
        <w:types>
          <w:type w:val="bbPlcHdr"/>
        </w:types>
        <w:behaviors>
          <w:behavior w:val="content"/>
        </w:behaviors>
        <w:guid w:val="{C6E2C5C6-C5B0-4818-895E-8AB23B3B51BA}"/>
      </w:docPartPr>
      <w:docPartBody>
        <w:p w:rsidR="00E24F42" w:rsidRDefault="007E48DC" w:rsidP="007E48DC">
          <w:pPr>
            <w:pStyle w:val="D208812CC8AD4EA68835A3F5C70E6973"/>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35DC6"/>
    <w:rsid w:val="00061157"/>
    <w:rsid w:val="000937FE"/>
    <w:rsid w:val="000A559A"/>
    <w:rsid w:val="000D24D4"/>
    <w:rsid w:val="001C35A9"/>
    <w:rsid w:val="00237556"/>
    <w:rsid w:val="0039303B"/>
    <w:rsid w:val="004144A3"/>
    <w:rsid w:val="004160E7"/>
    <w:rsid w:val="004416C6"/>
    <w:rsid w:val="00476F65"/>
    <w:rsid w:val="004F5AB2"/>
    <w:rsid w:val="005074B9"/>
    <w:rsid w:val="005A355F"/>
    <w:rsid w:val="005E40DD"/>
    <w:rsid w:val="007219C1"/>
    <w:rsid w:val="00753462"/>
    <w:rsid w:val="00772325"/>
    <w:rsid w:val="007A2FE0"/>
    <w:rsid w:val="007C6D1D"/>
    <w:rsid w:val="007E48DC"/>
    <w:rsid w:val="0080684E"/>
    <w:rsid w:val="0090074D"/>
    <w:rsid w:val="0091487D"/>
    <w:rsid w:val="0096701A"/>
    <w:rsid w:val="009B3BF0"/>
    <w:rsid w:val="009D5E5E"/>
    <w:rsid w:val="009F1BB4"/>
    <w:rsid w:val="00AB6ED4"/>
    <w:rsid w:val="00B12C9C"/>
    <w:rsid w:val="00B14210"/>
    <w:rsid w:val="00B23DC0"/>
    <w:rsid w:val="00B96656"/>
    <w:rsid w:val="00BE29C1"/>
    <w:rsid w:val="00C2401D"/>
    <w:rsid w:val="00C53A68"/>
    <w:rsid w:val="00CA5BB4"/>
    <w:rsid w:val="00CB34EB"/>
    <w:rsid w:val="00CB4BD1"/>
    <w:rsid w:val="00CE2DA9"/>
    <w:rsid w:val="00CE44BE"/>
    <w:rsid w:val="00D4356B"/>
    <w:rsid w:val="00D7162F"/>
    <w:rsid w:val="00DB5608"/>
    <w:rsid w:val="00E24F42"/>
    <w:rsid w:val="00E44A86"/>
    <w:rsid w:val="00E522EB"/>
    <w:rsid w:val="00E60827"/>
    <w:rsid w:val="00E73FF6"/>
    <w:rsid w:val="00EF6E0C"/>
    <w:rsid w:val="00F4598C"/>
    <w:rsid w:val="00F55028"/>
    <w:rsid w:val="00F77BEF"/>
    <w:rsid w:val="00F82096"/>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7E48DC"/>
    <w:rPr>
      <w:color w:val="808080"/>
    </w:rPr>
  </w:style>
  <w:style w:type="paragraph" w:customStyle="1" w:styleId="B7A0BFC1834045D984BA2CA6A1CB587C">
    <w:name w:val="B7A0BFC1834045D984BA2CA6A1CB587C"/>
    <w:rsid w:val="007E48DC"/>
  </w:style>
  <w:style w:type="paragraph" w:customStyle="1" w:styleId="F3B1ADE96A8F4BA5A9179EEE75D5871A">
    <w:name w:val="F3B1ADE96A8F4BA5A9179EEE75D5871A"/>
    <w:rsid w:val="007E48DC"/>
  </w:style>
  <w:style w:type="paragraph" w:customStyle="1" w:styleId="087435BA5CE849D8AD01D4A96991C7F4">
    <w:name w:val="087435BA5CE849D8AD01D4A96991C7F4"/>
    <w:rsid w:val="007E48DC"/>
  </w:style>
  <w:style w:type="paragraph" w:customStyle="1" w:styleId="3EF841A0E8034F229D0F21B83A246D55">
    <w:name w:val="3EF841A0E8034F229D0F21B83A246D55"/>
    <w:rsid w:val="007E48DC"/>
  </w:style>
  <w:style w:type="paragraph" w:customStyle="1" w:styleId="D208812CC8AD4EA68835A3F5C70E6973">
    <w:name w:val="D208812CC8AD4EA68835A3F5C70E6973"/>
    <w:rsid w:val="007E48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A960E-CBB3-46A2-9C06-071A7814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12679</Words>
  <Characters>7228</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19868</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2024-12-19T06:38:00Z</dcterms:created>
  <dcterms:modified xsi:type="dcterms:W3CDTF">2025-01-02T11:27:00Z</dcterms:modified>
</cp:coreProperties>
</file>