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316D26" w:rsidRDefault="005F7602" w:rsidP="002946C7">
      <w:pPr>
        <w:ind w:left="5529"/>
      </w:pPr>
    </w:p>
    <w:p w14:paraId="12FA4B9E" w14:textId="77777777" w:rsidR="001B3C5B" w:rsidRPr="00316D26" w:rsidRDefault="001B3C5B" w:rsidP="001B3C5B">
      <w:pPr>
        <w:ind w:left="6096"/>
      </w:pPr>
      <w:r w:rsidRPr="00316D26">
        <w:t>Forma patvirtinta</w:t>
      </w:r>
    </w:p>
    <w:p w14:paraId="7206970B" w14:textId="70E9BD2E" w:rsidR="004C263A" w:rsidRPr="00316D26" w:rsidRDefault="001B3C5B" w:rsidP="001B3C5B">
      <w:pPr>
        <w:ind w:left="6096"/>
      </w:pPr>
      <w:r w:rsidRPr="00316D26">
        <w:t>Valstybinės vaistų kontrolės tarnybos prie Lietuvos Respublikos sveikatos apsaugos ministerijos viršininko 2021 m</w:t>
      </w:r>
      <w:r w:rsidR="004C263A" w:rsidRPr="00316D26">
        <w:t xml:space="preserve">. lapkričio 12 </w:t>
      </w:r>
      <w:r w:rsidRPr="00316D26">
        <w:t>d. įsakymu Nr.</w:t>
      </w:r>
      <w:r w:rsidR="004C263A" w:rsidRPr="00316D26">
        <w:t xml:space="preserve"> (1.72E)1A-1418</w:t>
      </w:r>
    </w:p>
    <w:p w14:paraId="5B219AA6" w14:textId="520B9136" w:rsidR="001B3C5B" w:rsidRPr="00316D26" w:rsidRDefault="004C263A" w:rsidP="001B3C5B">
      <w:pPr>
        <w:ind w:left="6096"/>
      </w:pPr>
      <w:r w:rsidRPr="00316D26">
        <w:t>(Valstybinės vaistų kontrolės tarnybos prie Lietuvos Respublikos sveikatos apsaugos ministerijos viršininko 2022 m.                         d. įsakymo Nr.                    redakcija)</w:t>
      </w:r>
    </w:p>
    <w:p w14:paraId="3336BD74" w14:textId="77777777" w:rsidR="001B3C5B" w:rsidRPr="00316D26" w:rsidRDefault="001B3C5B" w:rsidP="00FA4169"/>
    <w:p w14:paraId="77AFB67E" w14:textId="16397257" w:rsidR="00613501" w:rsidRPr="00316D26" w:rsidRDefault="002F0E4F" w:rsidP="003B211A">
      <w:pPr>
        <w:jc w:val="center"/>
        <w:rPr>
          <w:b/>
          <w:bCs/>
          <w:caps/>
        </w:rPr>
      </w:pPr>
      <w:r w:rsidRPr="00316D26">
        <w:rPr>
          <w:b/>
        </w:rPr>
        <w:t xml:space="preserve">REKOMENDACIJA DĖL VAISTINIO PREPARATO </w:t>
      </w:r>
      <w:r w:rsidRPr="00316D26">
        <w:rPr>
          <w:b/>
          <w:bCs/>
          <w:caps/>
        </w:rPr>
        <w:t>Lietuvos Respublikos Sveikatos apsaugos ministerijos vaistinių preparatų ir medicinos pagalbos priemonių kompensavimo komisijai</w:t>
      </w:r>
    </w:p>
    <w:p w14:paraId="34E4395D" w14:textId="623D0445" w:rsidR="00B13D65" w:rsidRPr="00316D26" w:rsidRDefault="00B13D65" w:rsidP="003B211A">
      <w:pPr>
        <w:jc w:val="center"/>
        <w:rPr>
          <w:b/>
        </w:rPr>
      </w:pPr>
    </w:p>
    <w:p w14:paraId="0A5720EE" w14:textId="77777777" w:rsidR="008A0AD0" w:rsidRPr="00316D26" w:rsidRDefault="008A0AD0" w:rsidP="008A0AD0">
      <w:pPr>
        <w:jc w:val="center"/>
        <w:rPr>
          <w:b/>
        </w:rPr>
      </w:pPr>
      <w:r w:rsidRPr="00316D26">
        <w:rPr>
          <w:b/>
        </w:rPr>
        <w:t>Ikervis 1 mg/ml akių lašai (emulsija)</w:t>
      </w:r>
    </w:p>
    <w:p w14:paraId="4B96F34C" w14:textId="77777777" w:rsidR="008A0AD0" w:rsidRPr="00316D26" w:rsidRDefault="008A0AD0" w:rsidP="008A0AD0">
      <w:pPr>
        <w:jc w:val="center"/>
      </w:pPr>
    </w:p>
    <w:p w14:paraId="79008438" w14:textId="77777777" w:rsidR="008A0AD0" w:rsidRPr="00316D26" w:rsidRDefault="008A0AD0" w:rsidP="008A0AD0">
      <w:pPr>
        <w:jc w:val="center"/>
      </w:pPr>
      <w:r w:rsidRPr="00316D26">
        <w:t>(</w:t>
      </w:r>
      <w:r w:rsidRPr="00316D26">
        <w:rPr>
          <w:b/>
        </w:rPr>
        <w:t>Ciklosporinas</w:t>
      </w:r>
      <w:r w:rsidRPr="00316D26">
        <w:t>)</w:t>
      </w:r>
    </w:p>
    <w:p w14:paraId="38F4F3EA" w14:textId="77777777" w:rsidR="008B2311" w:rsidRPr="00316D26" w:rsidRDefault="008B2311" w:rsidP="008B2311">
      <w:pPr>
        <w:jc w:val="center"/>
      </w:pPr>
    </w:p>
    <w:p w14:paraId="209B19A1" w14:textId="77777777" w:rsidR="008A0AD0" w:rsidRPr="00316D26" w:rsidRDefault="008A0AD0" w:rsidP="008A0AD0">
      <w:pPr>
        <w:jc w:val="center"/>
        <w:rPr>
          <w:b/>
        </w:rPr>
      </w:pPr>
      <w:r w:rsidRPr="00316D26">
        <w:rPr>
          <w:b/>
        </w:rPr>
        <w:t>STV-174</w:t>
      </w:r>
    </w:p>
    <w:p w14:paraId="1E2B8830" w14:textId="77777777" w:rsidR="008B2311" w:rsidRPr="00316D26" w:rsidRDefault="008B2311" w:rsidP="006F3037">
      <w:pPr>
        <w:rPr>
          <w:b/>
        </w:rPr>
      </w:pPr>
    </w:p>
    <w:p w14:paraId="33D987A0" w14:textId="77777777" w:rsidR="001A0642" w:rsidRPr="00316D26" w:rsidRDefault="001A0642" w:rsidP="003B211A">
      <w:pPr>
        <w:jc w:val="center"/>
        <w:rPr>
          <w:b/>
        </w:rPr>
      </w:pPr>
    </w:p>
    <w:p w14:paraId="78C89D1C" w14:textId="0DA88316" w:rsidR="00D4485B" w:rsidRPr="00316D26" w:rsidRDefault="00B13D65" w:rsidP="00937907">
      <w:pPr>
        <w:pStyle w:val="Sraopastraipa"/>
        <w:numPr>
          <w:ilvl w:val="0"/>
          <w:numId w:val="12"/>
        </w:numPr>
        <w:tabs>
          <w:tab w:val="left" w:pos="284"/>
        </w:tabs>
        <w:rPr>
          <w:b/>
          <w:bCs/>
          <w:caps/>
        </w:rPr>
      </w:pPr>
      <w:r w:rsidRPr="00316D26">
        <w:rPr>
          <w:b/>
          <w:bCs/>
          <w:caps/>
        </w:rPr>
        <w:t>Bendroji dalis</w:t>
      </w:r>
    </w:p>
    <w:p w14:paraId="108176F7" w14:textId="4BE301B3" w:rsidR="00F70C9E" w:rsidRPr="00316D26" w:rsidRDefault="00F70C9E" w:rsidP="00E03C3F">
      <w:pPr>
        <w:pStyle w:val="Sraopastraipa"/>
        <w:tabs>
          <w:tab w:val="left" w:pos="426"/>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275A18" w:rsidRPr="00316D26" w14:paraId="4FDF1F82" w14:textId="77777777" w:rsidTr="00B84419">
        <w:trPr>
          <w:trHeight w:val="538"/>
        </w:trPr>
        <w:tc>
          <w:tcPr>
            <w:tcW w:w="632" w:type="dxa"/>
          </w:tcPr>
          <w:p w14:paraId="238DB55B" w14:textId="77777777" w:rsidR="00275A18" w:rsidRPr="00316D26" w:rsidRDefault="00275A18" w:rsidP="00B84419">
            <w:pPr>
              <w:rPr>
                <w:rFonts w:eastAsia="Arial"/>
              </w:rPr>
            </w:pPr>
            <w:r w:rsidRPr="00316D26">
              <w:rPr>
                <w:rFonts w:eastAsia="Arial"/>
              </w:rPr>
              <w:t>1.1</w:t>
            </w:r>
          </w:p>
        </w:tc>
        <w:tc>
          <w:tcPr>
            <w:tcW w:w="3694" w:type="dxa"/>
          </w:tcPr>
          <w:p w14:paraId="0E733176" w14:textId="77777777" w:rsidR="00275A18" w:rsidRPr="00316D26" w:rsidRDefault="00275A18" w:rsidP="00B84419">
            <w:pPr>
              <w:rPr>
                <w:rFonts w:eastAsia="Arial"/>
              </w:rPr>
            </w:pPr>
            <w:r w:rsidRPr="00316D26">
              <w:rPr>
                <w:rFonts w:eastAsia="Arial"/>
              </w:rPr>
              <w:t>Pareiškėjas</w:t>
            </w:r>
          </w:p>
          <w:p w14:paraId="743D47B1" w14:textId="77777777" w:rsidR="00275A18" w:rsidRPr="00316D26" w:rsidRDefault="00275A18" w:rsidP="00B84419">
            <w:pPr>
              <w:rPr>
                <w:rFonts w:eastAsia="Arial"/>
              </w:rPr>
            </w:pPr>
          </w:p>
        </w:tc>
        <w:tc>
          <w:tcPr>
            <w:tcW w:w="5167" w:type="dxa"/>
          </w:tcPr>
          <w:p w14:paraId="6DF44A9B" w14:textId="5ABC12FA" w:rsidR="00275A18" w:rsidRPr="00316D26" w:rsidRDefault="008A0AD0" w:rsidP="00B84419">
            <w:pPr>
              <w:rPr>
                <w:rFonts w:eastAsia="Arial"/>
              </w:rPr>
            </w:pPr>
            <w:r w:rsidRPr="00316D26">
              <w:t>Santen Oy atstovybė</w:t>
            </w:r>
            <w:r w:rsidRPr="00316D26">
              <w:rPr>
                <w:color w:val="000000"/>
              </w:rPr>
              <w:t> </w:t>
            </w:r>
          </w:p>
        </w:tc>
      </w:tr>
      <w:tr w:rsidR="00275A18" w:rsidRPr="00316D26" w14:paraId="227ED9E9" w14:textId="77777777" w:rsidTr="00B84419">
        <w:trPr>
          <w:trHeight w:val="538"/>
        </w:trPr>
        <w:tc>
          <w:tcPr>
            <w:tcW w:w="632" w:type="dxa"/>
          </w:tcPr>
          <w:p w14:paraId="3DC89A2A" w14:textId="77777777" w:rsidR="00275A18" w:rsidRPr="00316D26" w:rsidRDefault="00275A18" w:rsidP="00B84419">
            <w:pPr>
              <w:rPr>
                <w:rFonts w:eastAsia="Arial"/>
              </w:rPr>
            </w:pPr>
            <w:r w:rsidRPr="00316D26">
              <w:rPr>
                <w:rFonts w:eastAsia="Arial"/>
              </w:rPr>
              <w:t>1.2</w:t>
            </w:r>
          </w:p>
        </w:tc>
        <w:tc>
          <w:tcPr>
            <w:tcW w:w="3694" w:type="dxa"/>
          </w:tcPr>
          <w:p w14:paraId="53CF123A" w14:textId="77777777" w:rsidR="00275A18" w:rsidRPr="00316D26" w:rsidRDefault="00275A18" w:rsidP="00B84419">
            <w:pPr>
              <w:rPr>
                <w:bCs/>
                <w:color w:val="000000"/>
                <w:lang w:eastAsia="lt-LT"/>
              </w:rPr>
            </w:pPr>
            <w:r w:rsidRPr="00316D26">
              <w:rPr>
                <w:bCs/>
                <w:color w:val="000000"/>
                <w:lang w:eastAsia="lt-LT"/>
              </w:rPr>
              <w:t xml:space="preserve">Registracijos data </w:t>
            </w:r>
          </w:p>
          <w:p w14:paraId="49FB1429" w14:textId="77777777" w:rsidR="00275A18" w:rsidRPr="00316D26" w:rsidRDefault="00275A18" w:rsidP="00B84419">
            <w:pPr>
              <w:rPr>
                <w:bCs/>
                <w:color w:val="000000"/>
                <w:lang w:eastAsia="lt-LT"/>
              </w:rPr>
            </w:pPr>
          </w:p>
        </w:tc>
        <w:tc>
          <w:tcPr>
            <w:tcW w:w="5167" w:type="dxa"/>
          </w:tcPr>
          <w:p w14:paraId="4041419C" w14:textId="3B81A082" w:rsidR="00275A18" w:rsidRPr="00316D26" w:rsidRDefault="00000000" w:rsidP="00B84419">
            <w:pPr>
              <w:rPr>
                <w:rStyle w:val="Style2"/>
                <w:color w:val="000000" w:themeColor="text1"/>
                <w:sz w:val="24"/>
              </w:rPr>
            </w:pPr>
            <w:sdt>
              <w:sdtPr>
                <w:rPr>
                  <w:sz w:val="32"/>
                </w:rPr>
                <w:alias w:val="Nurodykite konkrečią dieną"/>
                <w:tag w:val="Nurodykite pradžios datą"/>
                <w:id w:val="-1917936273"/>
                <w:placeholder>
                  <w:docPart w:val="CD55409E77AD4C8CAF19CDECAF30E17D"/>
                </w:placeholder>
                <w15:color w:val="FFCC99"/>
                <w:date w:fullDate="2015-03-19T00:00:00Z">
                  <w:dateFormat w:val="yyyy 'm.' MMMM d 'd.'"/>
                  <w:lid w:val="lt-LT"/>
                  <w:storeMappedDataAs w:val="dateTime"/>
                  <w:calendar w:val="gregorian"/>
                </w:date>
              </w:sdtPr>
              <w:sdtEndPr>
                <w:rPr>
                  <w:sz w:val="24"/>
                </w:rPr>
              </w:sdtEndPr>
              <w:sdtContent>
                <w:r w:rsidR="008A0AD0" w:rsidRPr="00316D26">
                  <w:t>2015 m. kovo 19 d.</w:t>
                </w:r>
              </w:sdtContent>
            </w:sdt>
          </w:p>
        </w:tc>
      </w:tr>
      <w:tr w:rsidR="00275A18" w:rsidRPr="00316D26" w14:paraId="5C72A702" w14:textId="77777777" w:rsidTr="00B84419">
        <w:trPr>
          <w:trHeight w:val="1500"/>
        </w:trPr>
        <w:tc>
          <w:tcPr>
            <w:tcW w:w="632" w:type="dxa"/>
          </w:tcPr>
          <w:p w14:paraId="777A8A1F" w14:textId="77777777" w:rsidR="00275A18" w:rsidRPr="00316D26" w:rsidRDefault="00275A18" w:rsidP="00B84419">
            <w:pPr>
              <w:rPr>
                <w:rFonts w:eastAsia="Arial"/>
              </w:rPr>
            </w:pPr>
            <w:r w:rsidRPr="00316D26">
              <w:rPr>
                <w:rFonts w:eastAsia="Arial"/>
              </w:rPr>
              <w:t>1.3</w:t>
            </w:r>
          </w:p>
        </w:tc>
        <w:tc>
          <w:tcPr>
            <w:tcW w:w="3694" w:type="dxa"/>
          </w:tcPr>
          <w:p w14:paraId="3311B63B" w14:textId="77777777" w:rsidR="00275A18" w:rsidRPr="00316D26" w:rsidRDefault="00275A18" w:rsidP="00B84419">
            <w:r w:rsidRPr="00316D26">
              <w:t xml:space="preserve">Paraiškos tipas </w:t>
            </w:r>
          </w:p>
          <w:p w14:paraId="4988CFB9" w14:textId="55039052" w:rsidR="00275A18" w:rsidRPr="00316D26" w:rsidRDefault="00275A18" w:rsidP="00B84419">
            <w:r w:rsidRPr="00316D26">
              <w:t xml:space="preserve">(pagal </w:t>
            </w:r>
            <w:r w:rsidRPr="00316D26">
              <w:rPr>
                <w:color w:val="333333"/>
                <w:shd w:val="clear" w:color="auto" w:fill="FFFFFF"/>
              </w:rPr>
              <w:t>vaistinio preparato registracijos tipą, įtvirtintą</w:t>
            </w:r>
            <w:r w:rsidRPr="00316D26">
              <w:t xml:space="preserve"> Direktyvos 2001/83/EB straips</w:t>
            </w:r>
            <w:r w:rsidR="004E1CFD">
              <w:t>n</w:t>
            </w:r>
            <w:r w:rsidRPr="00316D26">
              <w:t>iuose)</w:t>
            </w:r>
          </w:p>
          <w:p w14:paraId="2095C154" w14:textId="77777777" w:rsidR="00275A18" w:rsidRPr="00316D26" w:rsidRDefault="00275A18" w:rsidP="00B84419">
            <w:pPr>
              <w:rPr>
                <w:bCs/>
                <w:color w:val="000000"/>
                <w:lang w:eastAsia="lt-LT"/>
              </w:rPr>
            </w:pPr>
          </w:p>
        </w:tc>
        <w:tc>
          <w:tcPr>
            <w:tcW w:w="5167" w:type="dxa"/>
          </w:tcPr>
          <w:p w14:paraId="2C26742E" w14:textId="77777777" w:rsidR="00275A18" w:rsidRPr="00316D26" w:rsidRDefault="00000000" w:rsidP="00B84419">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275A18" w:rsidRPr="00316D26">
                  <w:rPr>
                    <w:rStyle w:val="Style2"/>
                    <w:rFonts w:ascii="MS Gothic" w:eastAsia="MS Gothic" w:hAnsi="MS Gothic"/>
                    <w:sz w:val="22"/>
                    <w:szCs w:val="22"/>
                  </w:rPr>
                  <w:t>☒</w:t>
                </w:r>
              </w:sdtContent>
            </w:sdt>
            <w:r w:rsidR="00275A18" w:rsidRPr="00316D26">
              <w:rPr>
                <w:sz w:val="22"/>
                <w:szCs w:val="22"/>
              </w:rPr>
              <w:t xml:space="preserve">8.3 str. (pilna byla, pagrįsta savais tyrimais) </w:t>
            </w:r>
          </w:p>
          <w:p w14:paraId="5A43D92F" w14:textId="77777777" w:rsidR="00275A18" w:rsidRPr="00316D26" w:rsidRDefault="00000000" w:rsidP="00B84419">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275A18" w:rsidRPr="00316D26">
                  <w:rPr>
                    <w:rStyle w:val="Style2"/>
                    <w:rFonts w:ascii="Segoe UI Symbol" w:eastAsia="MS Gothic" w:hAnsi="Segoe UI Symbol" w:cs="Segoe UI Symbol"/>
                    <w:sz w:val="22"/>
                    <w:szCs w:val="22"/>
                  </w:rPr>
                  <w:t>☐</w:t>
                </w:r>
              </w:sdtContent>
            </w:sdt>
            <w:r w:rsidR="00275A18" w:rsidRPr="00316D26">
              <w:rPr>
                <w:sz w:val="22"/>
                <w:szCs w:val="22"/>
              </w:rPr>
              <w:t xml:space="preserve">10 a str. (pripažintas medicininis vartojimas) </w:t>
            </w:r>
          </w:p>
          <w:p w14:paraId="77EFBD0F" w14:textId="77777777" w:rsidR="00275A18" w:rsidRPr="00316D26" w:rsidRDefault="00000000" w:rsidP="00B84419">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275A18" w:rsidRPr="00316D26">
                  <w:rPr>
                    <w:rStyle w:val="Style2"/>
                    <w:rFonts w:ascii="Segoe UI Symbol" w:eastAsia="MS Gothic" w:hAnsi="Segoe UI Symbol" w:cs="Segoe UI Symbol"/>
                    <w:sz w:val="22"/>
                    <w:szCs w:val="22"/>
                  </w:rPr>
                  <w:t>☐</w:t>
                </w:r>
              </w:sdtContent>
            </w:sdt>
            <w:r w:rsidR="00275A18" w:rsidRPr="00316D26">
              <w:rPr>
                <w:sz w:val="22"/>
                <w:szCs w:val="22"/>
              </w:rPr>
              <w:t>10.1 str. (generinis)</w:t>
            </w:r>
          </w:p>
          <w:p w14:paraId="4334D240" w14:textId="77777777" w:rsidR="00275A18" w:rsidRPr="00316D26" w:rsidRDefault="00000000" w:rsidP="00B84419">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275A18" w:rsidRPr="00316D26">
                  <w:rPr>
                    <w:rStyle w:val="Style2"/>
                    <w:rFonts w:ascii="Segoe UI Symbol" w:eastAsia="MS Gothic" w:hAnsi="Segoe UI Symbol" w:cs="Segoe UI Symbol"/>
                    <w:sz w:val="22"/>
                    <w:szCs w:val="22"/>
                  </w:rPr>
                  <w:t>☐</w:t>
                </w:r>
              </w:sdtContent>
            </w:sdt>
            <w:r w:rsidR="00275A18" w:rsidRPr="00316D26">
              <w:rPr>
                <w:sz w:val="22"/>
                <w:szCs w:val="22"/>
              </w:rPr>
              <w:t>10.3 str. (hibridinis)</w:t>
            </w:r>
          </w:p>
        </w:tc>
      </w:tr>
      <w:tr w:rsidR="00275A18" w:rsidRPr="00316D26" w14:paraId="7D2C97E6" w14:textId="77777777" w:rsidTr="00B84419">
        <w:trPr>
          <w:trHeight w:val="1442"/>
        </w:trPr>
        <w:tc>
          <w:tcPr>
            <w:tcW w:w="632" w:type="dxa"/>
          </w:tcPr>
          <w:p w14:paraId="357DD5B0" w14:textId="77777777" w:rsidR="00275A18" w:rsidRPr="00316D26" w:rsidRDefault="00275A18" w:rsidP="00B84419">
            <w:pPr>
              <w:rPr>
                <w:rFonts w:eastAsia="Arial"/>
              </w:rPr>
            </w:pPr>
            <w:r w:rsidRPr="00316D26">
              <w:rPr>
                <w:rFonts w:eastAsia="Arial"/>
              </w:rPr>
              <w:t>1.4</w:t>
            </w:r>
          </w:p>
        </w:tc>
        <w:tc>
          <w:tcPr>
            <w:tcW w:w="3694" w:type="dxa"/>
          </w:tcPr>
          <w:p w14:paraId="377B923C" w14:textId="77777777" w:rsidR="00275A18" w:rsidRPr="00316D26" w:rsidRDefault="00275A18" w:rsidP="00B84419">
            <w:pPr>
              <w:rPr>
                <w:bCs/>
                <w:color w:val="000000"/>
                <w:lang w:eastAsia="lt-LT"/>
              </w:rPr>
            </w:pPr>
            <w:r w:rsidRPr="00316D26">
              <w:rPr>
                <w:bCs/>
                <w:color w:val="000000"/>
                <w:lang w:eastAsia="lt-LT"/>
              </w:rPr>
              <w:t xml:space="preserve">Ar vaistinis preparatas įrašytas į Bendrijos retųjų vaistinių preparatų registrą? </w:t>
            </w:r>
          </w:p>
          <w:p w14:paraId="1AA5E4B6" w14:textId="77777777" w:rsidR="00275A18" w:rsidRPr="00316D26" w:rsidRDefault="00275A18" w:rsidP="00B84419">
            <w:pPr>
              <w:rPr>
                <w:bCs/>
                <w:color w:val="000000"/>
                <w:lang w:eastAsia="lt-LT"/>
              </w:rPr>
            </w:pPr>
          </w:p>
        </w:tc>
        <w:tc>
          <w:tcPr>
            <w:tcW w:w="5167" w:type="dxa"/>
          </w:tcPr>
          <w:p w14:paraId="6943D695" w14:textId="77777777" w:rsidR="00275A18" w:rsidRPr="00316D26" w:rsidRDefault="00000000" w:rsidP="00B84419">
            <w:sdt>
              <w:sdtPr>
                <w:rPr>
                  <w:rStyle w:val="Style2"/>
                  <w:sz w:val="24"/>
                </w:rPr>
                <w:id w:val="512807561"/>
                <w15:color w:val="FFCC00"/>
                <w14:checkbox>
                  <w14:checked w14:val="0"/>
                  <w14:checkedState w14:val="2612" w14:font="MS Gothic"/>
                  <w14:uncheckedState w14:val="2610" w14:font="MS Gothic"/>
                </w14:checkbox>
              </w:sdtPr>
              <w:sdtContent>
                <w:r w:rsidR="00275A18" w:rsidRPr="00316D26">
                  <w:rPr>
                    <w:rStyle w:val="Style2"/>
                    <w:rFonts w:ascii="MS Gothic" w:eastAsia="MS Gothic" w:hAnsi="MS Gothic"/>
                    <w:sz w:val="24"/>
                  </w:rPr>
                  <w:t>☐</w:t>
                </w:r>
              </w:sdtContent>
            </w:sdt>
            <w:r w:rsidR="00275A18" w:rsidRPr="00316D26">
              <w:t xml:space="preserve"> Taip</w:t>
            </w:r>
          </w:p>
          <w:p w14:paraId="6A8C025F" w14:textId="77777777" w:rsidR="00275A18" w:rsidRPr="00316D26" w:rsidRDefault="00000000" w:rsidP="00B84419">
            <w:sdt>
              <w:sdtPr>
                <w:rPr>
                  <w:rStyle w:val="Style2"/>
                  <w:sz w:val="24"/>
                </w:rPr>
                <w:id w:val="1025214495"/>
                <w15:color w:val="FFCC00"/>
                <w14:checkbox>
                  <w14:checked w14:val="1"/>
                  <w14:checkedState w14:val="2612" w14:font="MS Gothic"/>
                  <w14:uncheckedState w14:val="2610" w14:font="MS Gothic"/>
                </w14:checkbox>
              </w:sdtPr>
              <w:sdtContent>
                <w:r w:rsidR="00275A18" w:rsidRPr="00316D26">
                  <w:rPr>
                    <w:rStyle w:val="Style2"/>
                    <w:rFonts w:ascii="MS Gothic" w:eastAsia="MS Gothic" w:hAnsi="MS Gothic"/>
                    <w:sz w:val="24"/>
                  </w:rPr>
                  <w:t>☒</w:t>
                </w:r>
              </w:sdtContent>
            </w:sdt>
            <w:r w:rsidR="00275A18" w:rsidRPr="00316D26">
              <w:t xml:space="preserve"> Ne</w:t>
            </w:r>
          </w:p>
          <w:p w14:paraId="1843D41A" w14:textId="77777777" w:rsidR="00275A18" w:rsidRPr="00316D26" w:rsidRDefault="00000000" w:rsidP="00B84419">
            <w:pPr>
              <w:rPr>
                <w:rFonts w:eastAsia="Arial"/>
              </w:rPr>
            </w:pPr>
            <w:sdt>
              <w:sdtPr>
                <w:alias w:val="Nurodykite konkrečią dieną"/>
                <w:tag w:val="Nurodykite pradžios datą"/>
                <w:id w:val="693498901"/>
                <w:placeholder>
                  <w:docPart w:val="EA9742CCD7F640D1A15DCC8925B00A21"/>
                </w:placeholder>
                <w:showingPlcHdr/>
                <w15:color w:val="FFCC99"/>
                <w:date w:fullDate="2022-05-18T00:00:00Z">
                  <w:dateFormat w:val="yyyy 'm.' MMMM d 'd.'"/>
                  <w:lid w:val="lt-LT"/>
                  <w:storeMappedDataAs w:val="dateTime"/>
                  <w:calendar w:val="gregorian"/>
                </w:date>
              </w:sdtPr>
              <w:sdtContent>
                <w:r w:rsidR="00275A18" w:rsidRPr="00316D26">
                  <w:rPr>
                    <w:rStyle w:val="Vietosrezervavimoenklotekstas"/>
                  </w:rPr>
                  <w:t>Click here to enter a date.</w:t>
                </w:r>
              </w:sdtContent>
            </w:sdt>
          </w:p>
        </w:tc>
      </w:tr>
      <w:tr w:rsidR="00275A18" w:rsidRPr="00316D26" w14:paraId="27D758F6" w14:textId="77777777" w:rsidTr="00B84419">
        <w:trPr>
          <w:trHeight w:val="476"/>
        </w:trPr>
        <w:tc>
          <w:tcPr>
            <w:tcW w:w="632" w:type="dxa"/>
          </w:tcPr>
          <w:p w14:paraId="32CC4412" w14:textId="77777777" w:rsidR="00275A18" w:rsidRPr="00316D26" w:rsidRDefault="00275A18" w:rsidP="00B84419">
            <w:pPr>
              <w:rPr>
                <w:rFonts w:eastAsia="Arial"/>
              </w:rPr>
            </w:pPr>
            <w:r w:rsidRPr="00316D26">
              <w:rPr>
                <w:rFonts w:eastAsia="Arial"/>
              </w:rPr>
              <w:t>1.5</w:t>
            </w:r>
          </w:p>
        </w:tc>
        <w:tc>
          <w:tcPr>
            <w:tcW w:w="3694" w:type="dxa"/>
          </w:tcPr>
          <w:p w14:paraId="615C4792" w14:textId="77777777" w:rsidR="00275A18" w:rsidRPr="00316D26" w:rsidRDefault="00275A18" w:rsidP="00B84419">
            <w:pPr>
              <w:rPr>
                <w:bCs/>
                <w:color w:val="000000"/>
                <w:lang w:eastAsia="lt-LT"/>
              </w:rPr>
            </w:pPr>
            <w:r w:rsidRPr="00316D26">
              <w:t>STV paraiškos pobūdis</w:t>
            </w:r>
          </w:p>
        </w:tc>
        <w:tc>
          <w:tcPr>
            <w:tcW w:w="5167" w:type="dxa"/>
          </w:tcPr>
          <w:p w14:paraId="2C328E7F" w14:textId="77777777" w:rsidR="00275A18" w:rsidRPr="00316D26" w:rsidRDefault="00000000" w:rsidP="00B84419">
            <w:sdt>
              <w:sdtPr>
                <w:rPr>
                  <w:rStyle w:val="Style2"/>
                  <w:sz w:val="24"/>
                </w:rPr>
                <w:id w:val="1643304929"/>
                <w15:color w:val="FFCC00"/>
                <w14:checkbox>
                  <w14:checked w14:val="1"/>
                  <w14:checkedState w14:val="2612" w14:font="MS Gothic"/>
                  <w14:uncheckedState w14:val="2610" w14:font="MS Gothic"/>
                </w14:checkbox>
              </w:sdtPr>
              <w:sdtContent>
                <w:r w:rsidR="00275A18" w:rsidRPr="00316D26">
                  <w:rPr>
                    <w:rStyle w:val="Style2"/>
                    <w:rFonts w:ascii="MS Gothic" w:eastAsia="MS Gothic" w:hAnsi="MS Gothic"/>
                    <w:sz w:val="24"/>
                  </w:rPr>
                  <w:t>☒</w:t>
                </w:r>
              </w:sdtContent>
            </w:sdt>
            <w:r w:rsidR="00275A18" w:rsidRPr="00316D26">
              <w:t xml:space="preserve"> Pilna paraiška</w:t>
            </w:r>
          </w:p>
          <w:p w14:paraId="2A916B8A" w14:textId="77777777" w:rsidR="00275A18" w:rsidRPr="00316D26" w:rsidRDefault="00000000" w:rsidP="00B84419">
            <w:sdt>
              <w:sdtPr>
                <w:rPr>
                  <w:rStyle w:val="Style2"/>
                  <w:sz w:val="24"/>
                </w:rPr>
                <w:id w:val="907579136"/>
                <w15:color w:val="FFCC00"/>
                <w14:checkbox>
                  <w14:checked w14:val="0"/>
                  <w14:checkedState w14:val="2612" w14:font="MS Gothic"/>
                  <w14:uncheckedState w14:val="2610" w14:font="MS Gothic"/>
                </w14:checkbox>
              </w:sdtPr>
              <w:sdtContent>
                <w:r w:rsidR="00275A18" w:rsidRPr="00316D26">
                  <w:rPr>
                    <w:rStyle w:val="Style2"/>
                    <w:rFonts w:ascii="MS Gothic" w:eastAsia="MS Gothic" w:hAnsi="MS Gothic"/>
                    <w:sz w:val="24"/>
                  </w:rPr>
                  <w:t>☐</w:t>
                </w:r>
              </w:sdtContent>
            </w:sdt>
            <w:r w:rsidR="00275A18" w:rsidRPr="00316D26">
              <w:t xml:space="preserve"> Supaprastinta paraiška</w:t>
            </w:r>
          </w:p>
        </w:tc>
      </w:tr>
      <w:tr w:rsidR="00275A18" w:rsidRPr="00316D26" w14:paraId="6319C2D3" w14:textId="77777777" w:rsidTr="00275A18">
        <w:trPr>
          <w:trHeight w:val="557"/>
        </w:trPr>
        <w:tc>
          <w:tcPr>
            <w:tcW w:w="632" w:type="dxa"/>
          </w:tcPr>
          <w:p w14:paraId="0B7CA851" w14:textId="77777777" w:rsidR="00275A18" w:rsidRPr="00316D26" w:rsidRDefault="00275A18" w:rsidP="00B84419">
            <w:pPr>
              <w:rPr>
                <w:rFonts w:eastAsia="Arial"/>
              </w:rPr>
            </w:pPr>
            <w:r w:rsidRPr="00316D26">
              <w:rPr>
                <w:rFonts w:eastAsia="Arial"/>
              </w:rPr>
              <w:t>1.6</w:t>
            </w:r>
          </w:p>
        </w:tc>
        <w:tc>
          <w:tcPr>
            <w:tcW w:w="3694" w:type="dxa"/>
          </w:tcPr>
          <w:p w14:paraId="4851E1D3" w14:textId="77777777" w:rsidR="00275A18" w:rsidRPr="00316D26" w:rsidRDefault="00275A18" w:rsidP="00B84419">
            <w:pPr>
              <w:rPr>
                <w:bCs/>
                <w:color w:val="000000"/>
                <w:lang w:eastAsia="lt-LT"/>
              </w:rPr>
            </w:pPr>
            <w:r w:rsidRPr="00316D26">
              <w:rPr>
                <w:bCs/>
                <w:color w:val="000000"/>
                <w:lang w:eastAsia="lt-LT"/>
              </w:rPr>
              <w:t>Pareiškėjo teikiama (-os) kompensuoti vaistinio preparato indikacija (-os)</w:t>
            </w:r>
          </w:p>
          <w:p w14:paraId="0851308D" w14:textId="77777777" w:rsidR="00275A18" w:rsidRPr="00316D26" w:rsidRDefault="00275A18" w:rsidP="00B84419">
            <w:pPr>
              <w:rPr>
                <w:bCs/>
                <w:color w:val="000000"/>
                <w:lang w:eastAsia="lt-LT"/>
              </w:rPr>
            </w:pPr>
          </w:p>
          <w:p w14:paraId="654C75F7" w14:textId="734FD4BB" w:rsidR="00275A18" w:rsidRPr="00316D26" w:rsidRDefault="00275A18" w:rsidP="00B84419">
            <w:pPr>
              <w:rPr>
                <w:bCs/>
                <w:color w:val="000000"/>
                <w:lang w:eastAsia="lt-LT"/>
              </w:rPr>
            </w:pPr>
          </w:p>
          <w:p w14:paraId="42F04605" w14:textId="77777777" w:rsidR="00275A18" w:rsidRPr="00316D26" w:rsidRDefault="00275A18" w:rsidP="00B84419">
            <w:pPr>
              <w:rPr>
                <w:bCs/>
                <w:color w:val="000000"/>
                <w:lang w:eastAsia="lt-LT"/>
              </w:rPr>
            </w:pPr>
            <w:r w:rsidRPr="00316D26">
              <w:rPr>
                <w:bCs/>
                <w:color w:val="000000"/>
                <w:lang w:eastAsia="lt-LT"/>
              </w:rPr>
              <w:t>Kodas pagal TLK-10 AM</w:t>
            </w:r>
          </w:p>
        </w:tc>
        <w:tc>
          <w:tcPr>
            <w:tcW w:w="5167" w:type="dxa"/>
          </w:tcPr>
          <w:p w14:paraId="241A2B3C" w14:textId="77777777" w:rsidR="008A0AD0" w:rsidRPr="00316D26" w:rsidRDefault="008A0AD0" w:rsidP="008A0AD0">
            <w:pPr>
              <w:spacing w:after="120"/>
              <w:jc w:val="both"/>
            </w:pPr>
            <w:r w:rsidRPr="00316D26">
              <w:t>Suaugusiųjų pacientų, sergančių sausų akių liga, kuri nepagerėjo nepaisant gydymo ašarų pakaitalais, sunkaus keratito gydymas.</w:t>
            </w:r>
          </w:p>
          <w:p w14:paraId="1AF97417" w14:textId="77777777" w:rsidR="008A0AD0" w:rsidRPr="00316D26" w:rsidRDefault="008A0AD0" w:rsidP="008A0AD0">
            <w:pPr>
              <w:pBdr>
                <w:top w:val="nil"/>
                <w:left w:val="nil"/>
                <w:bottom w:val="nil"/>
                <w:right w:val="nil"/>
                <w:between w:val="nil"/>
              </w:pBdr>
              <w:spacing w:after="120"/>
              <w:jc w:val="both"/>
            </w:pPr>
          </w:p>
          <w:p w14:paraId="206F2637" w14:textId="6EE76148" w:rsidR="00275A18" w:rsidRPr="00316D26" w:rsidRDefault="008A0AD0" w:rsidP="008A0AD0">
            <w:pPr>
              <w:pStyle w:val="Sraopastraipa"/>
              <w:spacing w:after="120" w:line="276" w:lineRule="auto"/>
              <w:ind w:left="0"/>
              <w:contextualSpacing w:val="0"/>
              <w:jc w:val="both"/>
            </w:pPr>
            <w:r w:rsidRPr="00316D26">
              <w:t>H04.1, H16.2</w:t>
            </w:r>
          </w:p>
        </w:tc>
      </w:tr>
      <w:tr w:rsidR="00275A18" w:rsidRPr="00316D26" w14:paraId="2FCD4B91" w14:textId="77777777" w:rsidTr="00B84419">
        <w:trPr>
          <w:trHeight w:val="378"/>
        </w:trPr>
        <w:tc>
          <w:tcPr>
            <w:tcW w:w="632" w:type="dxa"/>
          </w:tcPr>
          <w:p w14:paraId="6E54175B" w14:textId="77777777" w:rsidR="00275A18" w:rsidRPr="00316D26" w:rsidRDefault="00275A18" w:rsidP="00B84419">
            <w:pPr>
              <w:rPr>
                <w:rFonts w:eastAsia="Arial"/>
              </w:rPr>
            </w:pPr>
            <w:r w:rsidRPr="00316D26">
              <w:rPr>
                <w:rFonts w:eastAsia="Arial"/>
              </w:rPr>
              <w:t>1.6</w:t>
            </w:r>
          </w:p>
        </w:tc>
        <w:tc>
          <w:tcPr>
            <w:tcW w:w="3694" w:type="dxa"/>
          </w:tcPr>
          <w:p w14:paraId="2B10DDD2" w14:textId="77777777" w:rsidR="00275A18" w:rsidRPr="00316D26" w:rsidRDefault="00275A18" w:rsidP="00B84419">
            <w:pPr>
              <w:rPr>
                <w:bCs/>
                <w:color w:val="000000"/>
                <w:u w:val="single"/>
                <w:lang w:eastAsia="lt-LT"/>
              </w:rPr>
            </w:pPr>
            <w:r w:rsidRPr="00316D26">
              <w:rPr>
                <w:bCs/>
                <w:color w:val="000000"/>
                <w:lang w:eastAsia="lt-LT"/>
              </w:rPr>
              <w:t xml:space="preserve">Pareiškėjo teikiamos skyrimo sąlygos </w:t>
            </w:r>
          </w:p>
        </w:tc>
        <w:tc>
          <w:tcPr>
            <w:tcW w:w="5167" w:type="dxa"/>
          </w:tcPr>
          <w:p w14:paraId="411A7A29" w14:textId="16728E84" w:rsidR="00275A18" w:rsidRPr="00316D26" w:rsidRDefault="008A0AD0" w:rsidP="00B84419">
            <w:r w:rsidRPr="00316D26">
              <w:rPr>
                <w:rFonts w:eastAsia="Arial"/>
                <w:color w:val="000000"/>
              </w:rPr>
              <w:t>Netaikoma.</w:t>
            </w:r>
          </w:p>
        </w:tc>
      </w:tr>
      <w:tr w:rsidR="006E49D5" w:rsidRPr="00316D26" w14:paraId="626DA1B8" w14:textId="77777777" w:rsidTr="00B84419">
        <w:trPr>
          <w:trHeight w:val="378"/>
        </w:trPr>
        <w:tc>
          <w:tcPr>
            <w:tcW w:w="632" w:type="dxa"/>
          </w:tcPr>
          <w:p w14:paraId="71D8B6E4" w14:textId="77777777" w:rsidR="006E49D5" w:rsidRPr="00316D26" w:rsidRDefault="006E49D5" w:rsidP="006E49D5">
            <w:pPr>
              <w:rPr>
                <w:rFonts w:eastAsia="Arial"/>
              </w:rPr>
            </w:pPr>
            <w:r w:rsidRPr="00316D26">
              <w:rPr>
                <w:rFonts w:eastAsia="Arial"/>
              </w:rPr>
              <w:lastRenderedPageBreak/>
              <w:t>1.7</w:t>
            </w:r>
          </w:p>
        </w:tc>
        <w:tc>
          <w:tcPr>
            <w:tcW w:w="3694" w:type="dxa"/>
          </w:tcPr>
          <w:p w14:paraId="1EE2C38C" w14:textId="77777777" w:rsidR="006E49D5" w:rsidRPr="00316D26" w:rsidRDefault="006E49D5" w:rsidP="006E49D5">
            <w:pPr>
              <w:rPr>
                <w:bCs/>
                <w:color w:val="000000"/>
                <w:lang w:eastAsia="lt-LT"/>
              </w:rPr>
            </w:pPr>
            <w:r w:rsidRPr="00316D26">
              <w:rPr>
                <w:bCs/>
                <w:color w:val="000000"/>
                <w:lang w:eastAsia="lt-LT"/>
              </w:rPr>
              <w:t xml:space="preserve">Pareiškėjo teikiamas palyginamasis gydymas: </w:t>
            </w:r>
          </w:p>
          <w:p w14:paraId="7C748256" w14:textId="77777777" w:rsidR="006E49D5" w:rsidRPr="00316D26" w:rsidRDefault="006E49D5" w:rsidP="006E49D5">
            <w:pPr>
              <w:rPr>
                <w:bCs/>
                <w:i/>
                <w:color w:val="000000"/>
                <w:lang w:eastAsia="lt-LT"/>
              </w:rPr>
            </w:pPr>
            <w:r w:rsidRPr="00316D26">
              <w:rPr>
                <w:bCs/>
                <w:i/>
                <w:color w:val="000000"/>
                <w:lang w:eastAsia="lt-LT"/>
              </w:rPr>
              <w:t>Tiesioginis</w:t>
            </w:r>
          </w:p>
          <w:p w14:paraId="1CB90B17" w14:textId="6BC21D12" w:rsidR="006E49D5" w:rsidRPr="00316D26" w:rsidRDefault="008A0AD0" w:rsidP="006E49D5">
            <w:pPr>
              <w:rPr>
                <w:color w:val="000000"/>
                <w:lang w:eastAsia="lt-LT"/>
              </w:rPr>
            </w:pPr>
            <w:r w:rsidRPr="00316D26">
              <w:rPr>
                <w:rFonts w:eastAsia="Arial"/>
              </w:rPr>
              <w:t>SANSIKA</w:t>
            </w:r>
          </w:p>
          <w:p w14:paraId="01EB2FED" w14:textId="77777777" w:rsidR="006E49D5" w:rsidRPr="00316D26" w:rsidRDefault="006E49D5" w:rsidP="006E49D5">
            <w:pPr>
              <w:rPr>
                <w:bCs/>
                <w:i/>
                <w:color w:val="000000"/>
                <w:lang w:eastAsia="lt-LT"/>
              </w:rPr>
            </w:pPr>
          </w:p>
          <w:p w14:paraId="369A3DE9" w14:textId="77777777" w:rsidR="006E49D5" w:rsidRPr="00316D26" w:rsidRDefault="006E49D5" w:rsidP="006E49D5">
            <w:pPr>
              <w:rPr>
                <w:bCs/>
                <w:i/>
                <w:color w:val="000000"/>
                <w:lang w:eastAsia="lt-LT"/>
              </w:rPr>
            </w:pPr>
            <w:r w:rsidRPr="00316D26">
              <w:rPr>
                <w:bCs/>
                <w:i/>
                <w:color w:val="000000"/>
                <w:lang w:eastAsia="lt-LT"/>
              </w:rPr>
              <w:t>Tiesioginis</w:t>
            </w:r>
          </w:p>
          <w:p w14:paraId="60783522" w14:textId="039935CA" w:rsidR="006E49D5" w:rsidRPr="00316D26" w:rsidRDefault="008A0AD0" w:rsidP="008A0AD0">
            <w:pPr>
              <w:rPr>
                <w:bCs/>
                <w:color w:val="000000"/>
                <w:lang w:eastAsia="lt-LT"/>
              </w:rPr>
            </w:pPr>
            <w:r w:rsidRPr="00316D26">
              <w:rPr>
                <w:rFonts w:eastAsia="Arial"/>
              </w:rPr>
              <w:t>SICCANOVE</w:t>
            </w:r>
          </w:p>
        </w:tc>
        <w:tc>
          <w:tcPr>
            <w:tcW w:w="5167" w:type="dxa"/>
          </w:tcPr>
          <w:p w14:paraId="59F1660E" w14:textId="77777777" w:rsidR="006E49D5" w:rsidRPr="00316D26" w:rsidRDefault="006E49D5" w:rsidP="006E49D5">
            <w:pPr>
              <w:rPr>
                <w:rStyle w:val="Style2"/>
                <w:sz w:val="24"/>
              </w:rPr>
            </w:pPr>
          </w:p>
          <w:p w14:paraId="1CE50F9D" w14:textId="77777777" w:rsidR="006E49D5" w:rsidRPr="00316D26" w:rsidRDefault="006E49D5" w:rsidP="006E49D5"/>
          <w:p w14:paraId="1A94BC6D" w14:textId="77777777" w:rsidR="006E49D5" w:rsidRPr="00316D26" w:rsidRDefault="00000000" w:rsidP="006E49D5">
            <w:sdt>
              <w:sdtPr>
                <w:rPr>
                  <w:rStyle w:val="Style2"/>
                  <w:sz w:val="24"/>
                </w:rPr>
                <w:id w:val="-439376113"/>
                <w15:color w:val="FFCC00"/>
                <w14:checkbox>
                  <w14:checked w14:val="1"/>
                  <w14:checkedState w14:val="2612" w14:font="MS Gothic"/>
                  <w14:uncheckedState w14:val="2610" w14:font="MS Gothic"/>
                </w14:checkbox>
              </w:sdtPr>
              <w:sdtContent>
                <w:r w:rsidR="006E49D5" w:rsidRPr="00316D26">
                  <w:rPr>
                    <w:rStyle w:val="Style2"/>
                    <w:rFonts w:ascii="MS Gothic" w:eastAsia="MS Gothic" w:hAnsi="MS Gothic"/>
                    <w:sz w:val="24"/>
                  </w:rPr>
                  <w:t>☒</w:t>
                </w:r>
              </w:sdtContent>
            </w:sdt>
            <w:r w:rsidR="006E49D5" w:rsidRPr="00316D26">
              <w:t xml:space="preserve"> Tinkamas</w:t>
            </w:r>
          </w:p>
          <w:p w14:paraId="570D5286" w14:textId="77777777" w:rsidR="006E49D5" w:rsidRPr="00316D26" w:rsidRDefault="00000000" w:rsidP="006E49D5">
            <w:pPr>
              <w:rPr>
                <w:rStyle w:val="Style2"/>
                <w:sz w:val="24"/>
              </w:rPr>
            </w:pPr>
            <w:sdt>
              <w:sdtPr>
                <w:rPr>
                  <w:rStyle w:val="Style2"/>
                  <w:sz w:val="24"/>
                </w:rPr>
                <w:id w:val="991603600"/>
                <w15:color w:val="FFCC00"/>
                <w14:checkbox>
                  <w14:checked w14:val="0"/>
                  <w14:checkedState w14:val="2612" w14:font="MS Gothic"/>
                  <w14:uncheckedState w14:val="2610" w14:font="MS Gothic"/>
                </w14:checkbox>
              </w:sdtPr>
              <w:sdtContent>
                <w:r w:rsidR="006E49D5" w:rsidRPr="00316D26">
                  <w:rPr>
                    <w:rStyle w:val="Style2"/>
                    <w:rFonts w:ascii="MS Gothic" w:eastAsia="MS Gothic" w:hAnsi="MS Gothic"/>
                    <w:sz w:val="24"/>
                  </w:rPr>
                  <w:t>☐</w:t>
                </w:r>
              </w:sdtContent>
            </w:sdt>
            <w:r w:rsidR="006E49D5" w:rsidRPr="00316D26">
              <w:t xml:space="preserve"> Netinkamas</w:t>
            </w:r>
          </w:p>
          <w:p w14:paraId="3523CFF9" w14:textId="77777777" w:rsidR="006E49D5" w:rsidRPr="00316D26" w:rsidRDefault="006E49D5" w:rsidP="006E49D5">
            <w:pPr>
              <w:rPr>
                <w:rStyle w:val="Style2"/>
                <w:sz w:val="24"/>
              </w:rPr>
            </w:pPr>
          </w:p>
          <w:p w14:paraId="39EE4F83" w14:textId="0B5F2BF4" w:rsidR="006E49D5" w:rsidRPr="00316D26" w:rsidRDefault="00000000" w:rsidP="006E49D5">
            <w:sdt>
              <w:sdtPr>
                <w:rPr>
                  <w:rStyle w:val="Style2"/>
                  <w:sz w:val="24"/>
                </w:rPr>
                <w:id w:val="-834302966"/>
                <w15:color w:val="FFCC00"/>
                <w14:checkbox>
                  <w14:checked w14:val="0"/>
                  <w14:checkedState w14:val="2612" w14:font="MS Gothic"/>
                  <w14:uncheckedState w14:val="2610" w14:font="MS Gothic"/>
                </w14:checkbox>
              </w:sdtPr>
              <w:sdtContent>
                <w:r w:rsidR="008A0AD0" w:rsidRPr="00316D26">
                  <w:rPr>
                    <w:rStyle w:val="Style2"/>
                    <w:rFonts w:ascii="MS Gothic" w:eastAsia="MS Gothic" w:hAnsi="MS Gothic"/>
                    <w:sz w:val="24"/>
                  </w:rPr>
                  <w:t>☐</w:t>
                </w:r>
              </w:sdtContent>
            </w:sdt>
            <w:r w:rsidR="006E49D5" w:rsidRPr="00316D26">
              <w:t xml:space="preserve"> Tinkamas</w:t>
            </w:r>
          </w:p>
          <w:p w14:paraId="66AEFEB0" w14:textId="327C9DF7" w:rsidR="006E49D5" w:rsidRPr="00316D26" w:rsidRDefault="00000000" w:rsidP="006E49D5">
            <w:sdt>
              <w:sdtPr>
                <w:rPr>
                  <w:rStyle w:val="Style2"/>
                  <w:sz w:val="24"/>
                </w:rPr>
                <w:id w:val="-352420698"/>
                <w15:color w:val="FFCC00"/>
                <w14:checkbox>
                  <w14:checked w14:val="1"/>
                  <w14:checkedState w14:val="2612" w14:font="MS Gothic"/>
                  <w14:uncheckedState w14:val="2610" w14:font="MS Gothic"/>
                </w14:checkbox>
              </w:sdtPr>
              <w:sdtContent>
                <w:r w:rsidR="008A0AD0" w:rsidRPr="00316D26">
                  <w:rPr>
                    <w:rStyle w:val="Style2"/>
                    <w:rFonts w:ascii="MS Gothic" w:eastAsia="MS Gothic" w:hAnsi="MS Gothic"/>
                    <w:sz w:val="24"/>
                  </w:rPr>
                  <w:t>☒</w:t>
                </w:r>
              </w:sdtContent>
            </w:sdt>
            <w:r w:rsidR="006E49D5" w:rsidRPr="00316D26">
              <w:t xml:space="preserve"> Netinkamas</w:t>
            </w:r>
          </w:p>
        </w:tc>
      </w:tr>
    </w:tbl>
    <w:p w14:paraId="2ACFCA02" w14:textId="76A17122" w:rsidR="008B2311" w:rsidRPr="00316D26" w:rsidRDefault="008B2311" w:rsidP="00E03C3F">
      <w:pPr>
        <w:pStyle w:val="Sraopastraipa"/>
        <w:tabs>
          <w:tab w:val="left" w:pos="426"/>
        </w:tabs>
        <w:ind w:left="0"/>
        <w:rPr>
          <w:b/>
          <w:bCs/>
          <w:caps/>
        </w:rPr>
      </w:pPr>
    </w:p>
    <w:p w14:paraId="1948C8BA" w14:textId="77777777" w:rsidR="008B2311" w:rsidRPr="00316D26" w:rsidRDefault="008B2311" w:rsidP="00E03C3F">
      <w:pPr>
        <w:pStyle w:val="Sraopastraipa"/>
        <w:tabs>
          <w:tab w:val="left" w:pos="426"/>
        </w:tabs>
        <w:ind w:left="0"/>
        <w:rPr>
          <w:b/>
          <w:bCs/>
          <w:caps/>
        </w:rPr>
      </w:pPr>
    </w:p>
    <w:p w14:paraId="1242813B" w14:textId="34CF436C" w:rsidR="0032204D" w:rsidRPr="00316D26" w:rsidRDefault="00F70C9E" w:rsidP="0032204D">
      <w:pPr>
        <w:pStyle w:val="Sraopastraipa"/>
        <w:numPr>
          <w:ilvl w:val="1"/>
          <w:numId w:val="12"/>
        </w:numPr>
        <w:spacing w:line="276" w:lineRule="auto"/>
        <w:jc w:val="both"/>
        <w:rPr>
          <w:rFonts w:eastAsia="Arial"/>
          <w:b/>
        </w:rPr>
      </w:pPr>
      <w:r w:rsidRPr="00316D26">
        <w:rPr>
          <w:rFonts w:eastAsia="Arial"/>
          <w:b/>
        </w:rPr>
        <w:t xml:space="preserve">Kitų </w:t>
      </w:r>
      <w:r w:rsidR="00DF583C" w:rsidRPr="00316D26">
        <w:rPr>
          <w:rFonts w:eastAsia="Arial"/>
          <w:b/>
        </w:rPr>
        <w:t xml:space="preserve">valstybių </w:t>
      </w:r>
      <w:r w:rsidRPr="00316D26">
        <w:rPr>
          <w:rFonts w:eastAsia="Arial"/>
          <w:b/>
        </w:rPr>
        <w:t xml:space="preserve">atsakingų institucijų atlikto </w:t>
      </w:r>
      <w:r w:rsidR="00DF583C" w:rsidRPr="00316D26">
        <w:rPr>
          <w:rFonts w:eastAsia="Arial"/>
          <w:b/>
        </w:rPr>
        <w:t>Sveikatos technologijų vertinimo (toliau – STV)</w:t>
      </w:r>
      <w:r w:rsidRPr="00316D26">
        <w:rPr>
          <w:rFonts w:eastAsia="Arial"/>
          <w:b/>
        </w:rPr>
        <w:t xml:space="preserve"> išvados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7"/>
        <w:gridCol w:w="1915"/>
        <w:gridCol w:w="2351"/>
        <w:gridCol w:w="2725"/>
      </w:tblGrid>
      <w:tr w:rsidR="008A0AD0" w:rsidRPr="00316D26" w14:paraId="2C6B5CFA" w14:textId="77777777" w:rsidTr="001C067B">
        <w:trPr>
          <w:trHeight w:val="924"/>
        </w:trPr>
        <w:tc>
          <w:tcPr>
            <w:tcW w:w="2927" w:type="dxa"/>
          </w:tcPr>
          <w:p w14:paraId="524E5886" w14:textId="77777777" w:rsidR="008A0AD0" w:rsidRPr="00316D26" w:rsidRDefault="008A0AD0" w:rsidP="001C067B">
            <w:pPr>
              <w:spacing w:line="276" w:lineRule="auto"/>
            </w:pPr>
            <w:r w:rsidRPr="00316D26">
              <w:t>STV agentūros pavadinimas, šalis</w:t>
            </w:r>
          </w:p>
        </w:tc>
        <w:tc>
          <w:tcPr>
            <w:tcW w:w="1915" w:type="dxa"/>
          </w:tcPr>
          <w:p w14:paraId="22A6E3D3" w14:textId="77777777" w:rsidR="008A0AD0" w:rsidRPr="00316D26" w:rsidRDefault="008A0AD0" w:rsidP="001C067B">
            <w:pPr>
              <w:spacing w:line="276" w:lineRule="auto"/>
            </w:pPr>
            <w:r w:rsidRPr="00316D26">
              <w:t>STV vertinimas atliktas</w:t>
            </w:r>
          </w:p>
        </w:tc>
        <w:tc>
          <w:tcPr>
            <w:tcW w:w="2351" w:type="dxa"/>
          </w:tcPr>
          <w:p w14:paraId="777ED2A4" w14:textId="77777777" w:rsidR="008A0AD0" w:rsidRPr="00316D26" w:rsidRDefault="008A0AD0" w:rsidP="001C067B">
            <w:pPr>
              <w:spacing w:line="276" w:lineRule="auto"/>
            </w:pPr>
            <w:r w:rsidRPr="00316D26">
              <w:t>Klinikinio vertinimo išvada</w:t>
            </w:r>
          </w:p>
        </w:tc>
        <w:tc>
          <w:tcPr>
            <w:tcW w:w="2725" w:type="dxa"/>
          </w:tcPr>
          <w:p w14:paraId="5763D83C" w14:textId="77777777" w:rsidR="008A0AD0" w:rsidRPr="00316D26" w:rsidRDefault="008A0AD0" w:rsidP="001C067B">
            <w:pPr>
              <w:spacing w:line="276" w:lineRule="auto"/>
            </w:pPr>
            <w:r w:rsidRPr="00316D26">
              <w:t>Farmakoekonominio vertinimo išvada</w:t>
            </w:r>
          </w:p>
        </w:tc>
      </w:tr>
      <w:tr w:rsidR="008A0AD0" w:rsidRPr="00316D26" w14:paraId="45FC29F3" w14:textId="77777777" w:rsidTr="001C067B">
        <w:trPr>
          <w:trHeight w:val="1765"/>
        </w:trPr>
        <w:tc>
          <w:tcPr>
            <w:tcW w:w="2927" w:type="dxa"/>
          </w:tcPr>
          <w:p w14:paraId="2DDA9ADE" w14:textId="77777777" w:rsidR="008A0AD0" w:rsidRPr="00316D26" w:rsidRDefault="008A0AD0" w:rsidP="001C067B">
            <w:r w:rsidRPr="00316D26">
              <w:t>Nacionalinis sveikatos ir klinikinės kompetencijos institutas, Didžioji Britanija</w:t>
            </w:r>
          </w:p>
          <w:p w14:paraId="36740B65" w14:textId="77777777" w:rsidR="008A0AD0" w:rsidRPr="00316D26" w:rsidRDefault="008A0AD0" w:rsidP="001C067B">
            <w:pPr>
              <w:spacing w:line="276" w:lineRule="auto"/>
            </w:pPr>
            <w:r w:rsidRPr="00316D26">
              <w:t xml:space="preserve">(angl. </w:t>
            </w:r>
            <w:r w:rsidRPr="00316D26">
              <w:rPr>
                <w:i/>
              </w:rPr>
              <w:t>National Institute for Health and Care Excellence, NICE</w:t>
            </w:r>
            <w:r w:rsidRPr="00316D26">
              <w:t>)</w:t>
            </w:r>
          </w:p>
        </w:tc>
        <w:tc>
          <w:tcPr>
            <w:tcW w:w="1915" w:type="dxa"/>
          </w:tcPr>
          <w:p w14:paraId="1CE5E5E1" w14:textId="77777777" w:rsidR="008A0AD0" w:rsidRPr="00316D26" w:rsidRDefault="008A0AD0" w:rsidP="001C067B">
            <w:pPr>
              <w:rPr>
                <w:rFonts w:ascii="MS Gothic" w:eastAsia="MS Gothic" w:hAnsi="MS Gothic" w:cs="MS Gothic"/>
              </w:rPr>
            </w:pPr>
            <w:r w:rsidRPr="00316D26">
              <w:rPr>
                <w:rFonts w:ascii="MS Gothic" w:eastAsia="MS Gothic" w:hAnsi="MS Gothic" w:cs="MS Gothic"/>
              </w:rPr>
              <w:t>☒</w:t>
            </w:r>
            <w:r w:rsidRPr="00316D26">
              <w:t xml:space="preserve"> Taip</w:t>
            </w:r>
          </w:p>
          <w:p w14:paraId="3AB0A774" w14:textId="77777777" w:rsidR="008A0AD0" w:rsidRPr="00316D26" w:rsidRDefault="008A0AD0" w:rsidP="001C067B">
            <w:r w:rsidRPr="00316D26">
              <w:rPr>
                <w:rFonts w:ascii="MS Gothic" w:eastAsia="MS Gothic" w:hAnsi="MS Gothic" w:cs="MS Gothic"/>
              </w:rPr>
              <w:t>☐</w:t>
            </w:r>
            <w:r w:rsidRPr="00316D26">
              <w:t xml:space="preserve"> Ne</w:t>
            </w:r>
          </w:p>
          <w:p w14:paraId="2614E841" w14:textId="77777777" w:rsidR="008A0AD0" w:rsidRPr="00316D26" w:rsidRDefault="008A0AD0" w:rsidP="001C067B">
            <w:r w:rsidRPr="00316D26">
              <w:t>2025 m. gruodžio 16 d.</w:t>
            </w:r>
          </w:p>
        </w:tc>
        <w:tc>
          <w:tcPr>
            <w:tcW w:w="2351" w:type="dxa"/>
          </w:tcPr>
          <w:p w14:paraId="0B1EDAA9" w14:textId="77777777" w:rsidR="008A0AD0" w:rsidRPr="00316D26" w:rsidRDefault="008A0AD0" w:rsidP="001C067B">
            <w:pPr>
              <w:spacing w:line="276" w:lineRule="auto"/>
              <w:jc w:val="both"/>
            </w:pPr>
            <w:r w:rsidRPr="00316D26">
              <w:t xml:space="preserve">Ciklosporinas rekomenduojamas kaip vienas iš pasirinkimo variantų sunkaus keratito, pasireiškiančio suaugusiems, sergantiems SAL, kai nepasiekiamas pakankamas terapinis efektas skiriant dirbtines ašaras, gydymui. </w:t>
            </w:r>
          </w:p>
        </w:tc>
        <w:tc>
          <w:tcPr>
            <w:tcW w:w="2725" w:type="dxa"/>
          </w:tcPr>
          <w:p w14:paraId="39B73F17" w14:textId="77777777" w:rsidR="008A0AD0" w:rsidRPr="00316D26" w:rsidRDefault="008A0AD0" w:rsidP="001C067B">
            <w:pPr>
              <w:spacing w:line="276" w:lineRule="auto"/>
            </w:pPr>
            <w:r w:rsidRPr="00316D26">
              <w:t>Komitetas pažymėjo, kad trys parametrai reikšmingai paveikė kaštų efektyvumo rezultatus (būtent: pirminės arba post-hoc CFS OSDI atsako apibrėžties naudojimas, 3 arba 6 mėnesių nutraukimo taisyklė bei apjungtų arba skirtingų gydymo grupių naudingumo verčių naudojimas), ir kad šių parametrų keitimas lėmė labai kintančius rezultatus.</w:t>
            </w:r>
          </w:p>
        </w:tc>
      </w:tr>
      <w:tr w:rsidR="008A0AD0" w:rsidRPr="00316D26" w14:paraId="0918B71F" w14:textId="77777777" w:rsidTr="001C067B">
        <w:trPr>
          <w:trHeight w:val="1547"/>
        </w:trPr>
        <w:tc>
          <w:tcPr>
            <w:tcW w:w="2927" w:type="dxa"/>
          </w:tcPr>
          <w:p w14:paraId="75E22BE3" w14:textId="77777777" w:rsidR="008A0AD0" w:rsidRPr="00316D26" w:rsidRDefault="008A0AD0" w:rsidP="001C067B">
            <w:pPr>
              <w:spacing w:line="276" w:lineRule="auto"/>
            </w:pPr>
            <w:r w:rsidRPr="00316D26">
              <w:t>Kanados sveikatos technologijų agentūra</w:t>
            </w:r>
          </w:p>
          <w:p w14:paraId="00BA90CA" w14:textId="77777777" w:rsidR="008A0AD0" w:rsidRPr="00316D26" w:rsidRDefault="008A0AD0" w:rsidP="001C067B">
            <w:pPr>
              <w:spacing w:line="276" w:lineRule="auto"/>
            </w:pPr>
            <w:r w:rsidRPr="00316D26">
              <w:t xml:space="preserve">(angl. </w:t>
            </w:r>
            <w:r w:rsidRPr="00316D26">
              <w:rPr>
                <w:i/>
              </w:rPr>
              <w:t>Canadian health Technology Assessment agency, CADTH</w:t>
            </w:r>
            <w:r w:rsidRPr="00316D26">
              <w:t>)</w:t>
            </w:r>
          </w:p>
        </w:tc>
        <w:tc>
          <w:tcPr>
            <w:tcW w:w="1915" w:type="dxa"/>
          </w:tcPr>
          <w:p w14:paraId="10514976" w14:textId="77777777" w:rsidR="008A0AD0" w:rsidRPr="00316D26" w:rsidRDefault="00000000" w:rsidP="001C067B">
            <w:sdt>
              <w:sdtPr>
                <w:tag w:val="goog_rdk_6"/>
                <w:id w:val="-1790740218"/>
              </w:sdtPr>
              <w:sdtContent>
                <w:r w:rsidR="008A0AD0" w:rsidRPr="00316D26">
                  <w:rPr>
                    <w:rFonts w:ascii="Arial Unicode MS" w:eastAsia="Arial Unicode MS" w:hAnsi="Arial Unicode MS" w:cs="Arial Unicode MS"/>
                  </w:rPr>
                  <w:t>☐</w:t>
                </w:r>
              </w:sdtContent>
            </w:sdt>
            <w:r w:rsidR="008A0AD0" w:rsidRPr="00316D26">
              <w:t xml:space="preserve"> Taip</w:t>
            </w:r>
          </w:p>
          <w:p w14:paraId="197BF090" w14:textId="77777777" w:rsidR="008A0AD0" w:rsidRPr="00316D26" w:rsidRDefault="008A0AD0" w:rsidP="001C067B">
            <w:r w:rsidRPr="00316D26">
              <w:rPr>
                <w:rFonts w:ascii="MS Gothic" w:eastAsia="MS Gothic" w:hAnsi="MS Gothic" w:cs="MS Gothic"/>
              </w:rPr>
              <w:t>☒</w:t>
            </w:r>
            <w:r w:rsidRPr="00316D26">
              <w:t xml:space="preserve">  Ne</w:t>
            </w:r>
          </w:p>
          <w:p w14:paraId="42C8883C" w14:textId="77777777" w:rsidR="008A0AD0" w:rsidRPr="00316D26" w:rsidRDefault="008A0AD0" w:rsidP="001C067B">
            <w:pPr>
              <w:spacing w:line="276" w:lineRule="auto"/>
            </w:pPr>
          </w:p>
        </w:tc>
        <w:tc>
          <w:tcPr>
            <w:tcW w:w="2351" w:type="dxa"/>
          </w:tcPr>
          <w:p w14:paraId="221F45AB" w14:textId="77777777" w:rsidR="008A0AD0" w:rsidRPr="00316D26" w:rsidRDefault="008A0AD0" w:rsidP="001C067B">
            <w:pPr>
              <w:spacing w:line="276" w:lineRule="auto"/>
            </w:pPr>
            <w:r w:rsidRPr="00316D26">
              <w:t>Vertinimas nutrauktas Pareiškėjo iniciatyva 2017 m. liepos 11 d.</w:t>
            </w:r>
          </w:p>
        </w:tc>
        <w:tc>
          <w:tcPr>
            <w:tcW w:w="2725" w:type="dxa"/>
          </w:tcPr>
          <w:p w14:paraId="24C08771" w14:textId="77777777" w:rsidR="008A0AD0" w:rsidRPr="00316D26" w:rsidRDefault="008A0AD0" w:rsidP="001C067B">
            <w:pPr>
              <w:spacing w:line="276" w:lineRule="auto"/>
            </w:pPr>
          </w:p>
        </w:tc>
      </w:tr>
      <w:tr w:rsidR="008A0AD0" w:rsidRPr="00316D26" w14:paraId="545BB473" w14:textId="77777777" w:rsidTr="001C067B">
        <w:trPr>
          <w:trHeight w:val="690"/>
        </w:trPr>
        <w:tc>
          <w:tcPr>
            <w:tcW w:w="2927" w:type="dxa"/>
          </w:tcPr>
          <w:p w14:paraId="1435D52A" w14:textId="77777777" w:rsidR="008A0AD0" w:rsidRPr="00316D26" w:rsidRDefault="008A0AD0" w:rsidP="001C067B">
            <w:pPr>
              <w:spacing w:line="276" w:lineRule="auto"/>
            </w:pPr>
            <w:r w:rsidRPr="00316D26">
              <w:t>Škotijos vaistų konsorciumas</w:t>
            </w:r>
          </w:p>
          <w:p w14:paraId="703F68DF" w14:textId="77777777" w:rsidR="008A0AD0" w:rsidRPr="00316D26" w:rsidRDefault="008A0AD0" w:rsidP="001C067B">
            <w:pPr>
              <w:spacing w:line="276" w:lineRule="auto"/>
            </w:pPr>
            <w:r w:rsidRPr="00316D26">
              <w:t xml:space="preserve">(angl. </w:t>
            </w:r>
            <w:r w:rsidRPr="00316D26">
              <w:rPr>
                <w:i/>
              </w:rPr>
              <w:t>Scottish Medicines Consortium, SMC)</w:t>
            </w:r>
          </w:p>
        </w:tc>
        <w:tc>
          <w:tcPr>
            <w:tcW w:w="1915" w:type="dxa"/>
          </w:tcPr>
          <w:p w14:paraId="4BA73131" w14:textId="77777777" w:rsidR="008A0AD0" w:rsidRPr="00316D26" w:rsidRDefault="008A0AD0" w:rsidP="001C067B">
            <w:r w:rsidRPr="00316D26">
              <w:rPr>
                <w:rFonts w:ascii="MS Gothic" w:eastAsia="MS Gothic" w:hAnsi="MS Gothic" w:cs="MS Gothic"/>
              </w:rPr>
              <w:t>☒</w:t>
            </w:r>
            <w:r w:rsidRPr="00316D26">
              <w:t xml:space="preserve"> Taip</w:t>
            </w:r>
          </w:p>
          <w:p w14:paraId="6816FA24" w14:textId="77777777" w:rsidR="008A0AD0" w:rsidRPr="00316D26" w:rsidRDefault="00000000" w:rsidP="001C067B">
            <w:sdt>
              <w:sdtPr>
                <w:tag w:val="goog_rdk_7"/>
                <w:id w:val="1073077070"/>
              </w:sdtPr>
              <w:sdtContent>
                <w:r w:rsidR="008A0AD0" w:rsidRPr="00316D26">
                  <w:rPr>
                    <w:rFonts w:ascii="Arial Unicode MS" w:eastAsia="Arial Unicode MS" w:hAnsi="Arial Unicode MS" w:cs="Arial Unicode MS"/>
                  </w:rPr>
                  <w:t>☐</w:t>
                </w:r>
              </w:sdtContent>
            </w:sdt>
            <w:r w:rsidR="008A0AD0" w:rsidRPr="00316D26">
              <w:t xml:space="preserve"> Ne</w:t>
            </w:r>
          </w:p>
          <w:p w14:paraId="54873302" w14:textId="77777777" w:rsidR="008A0AD0" w:rsidRPr="00316D26" w:rsidRDefault="008A0AD0" w:rsidP="001C067B">
            <w:pPr>
              <w:pBdr>
                <w:top w:val="nil"/>
                <w:left w:val="nil"/>
                <w:bottom w:val="nil"/>
                <w:right w:val="nil"/>
                <w:between w:val="nil"/>
              </w:pBdr>
              <w:spacing w:after="120"/>
              <w:jc w:val="both"/>
            </w:pPr>
            <w:r w:rsidRPr="00316D26">
              <w:t>2015 m. spalio 12 d.</w:t>
            </w:r>
          </w:p>
        </w:tc>
        <w:tc>
          <w:tcPr>
            <w:tcW w:w="2351" w:type="dxa"/>
          </w:tcPr>
          <w:p w14:paraId="61BCBE33" w14:textId="77777777" w:rsidR="008A0AD0" w:rsidRPr="00316D26" w:rsidRDefault="008A0AD0" w:rsidP="001C067B">
            <w:pPr>
              <w:spacing w:line="276" w:lineRule="auto"/>
            </w:pPr>
            <w:r w:rsidRPr="00316D26">
              <w:t xml:space="preserve">Ciklosporino akių lašai, lyginant su emulsija, sumažino ragenos paviršiaus pažaidą, tačiau nesumažino pacientų, sergančių SAL sukeltu sunkiu keratitu, išsakomų simptomų. </w:t>
            </w:r>
          </w:p>
        </w:tc>
        <w:tc>
          <w:tcPr>
            <w:tcW w:w="2725" w:type="dxa"/>
          </w:tcPr>
          <w:p w14:paraId="20D988A4" w14:textId="77777777" w:rsidR="008A0AD0" w:rsidRPr="00316D26" w:rsidRDefault="008A0AD0" w:rsidP="001C067B">
            <w:pPr>
              <w:spacing w:line="276" w:lineRule="auto"/>
            </w:pPr>
            <w:r w:rsidRPr="00316D26">
              <w:t xml:space="preserve">Palyginti su vien dirbtinėmis ašaromis, ciklosporinas baziniame variante davė papildomą kaštų efektyvumo santykį (ICER), siekiantį 19 080 £ už kokybiškai pakoreguotus gyvenimo metus (QALY). Tai pagrįsta papildomu 0,037 QALY padidėjimu ir 711 </w:t>
            </w:r>
            <w:r w:rsidRPr="00316D26">
              <w:lastRenderedPageBreak/>
              <w:t>£ papildomomis sąnaudomis.</w:t>
            </w:r>
          </w:p>
        </w:tc>
      </w:tr>
    </w:tbl>
    <w:p w14:paraId="0E5A6672" w14:textId="77777777" w:rsidR="008A0AD0" w:rsidRPr="00316D26" w:rsidRDefault="008A0AD0" w:rsidP="008A0AD0">
      <w:pPr>
        <w:pStyle w:val="Sraopastraipa"/>
        <w:spacing w:line="276" w:lineRule="auto"/>
        <w:jc w:val="both"/>
        <w:rPr>
          <w:rFonts w:eastAsia="Arial"/>
          <w:b/>
        </w:rPr>
      </w:pPr>
    </w:p>
    <w:p w14:paraId="5055E8A8" w14:textId="22BF33DB" w:rsidR="002E6F80" w:rsidRPr="00316D26" w:rsidRDefault="00CC7832" w:rsidP="00937907">
      <w:pPr>
        <w:pStyle w:val="Sraopastraipa"/>
        <w:numPr>
          <w:ilvl w:val="0"/>
          <w:numId w:val="12"/>
        </w:numPr>
        <w:tabs>
          <w:tab w:val="left" w:pos="284"/>
        </w:tabs>
        <w:rPr>
          <w:b/>
          <w:bCs/>
          <w:caps/>
        </w:rPr>
      </w:pPr>
      <w:r w:rsidRPr="00316D26">
        <w:rPr>
          <w:b/>
          <w:bCs/>
          <w:caps/>
        </w:rPr>
        <w:t>Klinikinio vertinimo a</w:t>
      </w:r>
      <w:r w:rsidR="00D4485B" w:rsidRPr="00316D26">
        <w:rPr>
          <w:b/>
          <w:bCs/>
          <w:caps/>
        </w:rPr>
        <w:t>pibendrinimas</w:t>
      </w:r>
    </w:p>
    <w:p w14:paraId="1C351554" w14:textId="77777777" w:rsidR="00CF4B7A" w:rsidRPr="00316D26" w:rsidRDefault="00CF4B7A" w:rsidP="00CF4B7A">
      <w:pPr>
        <w:tabs>
          <w:tab w:val="left" w:pos="284"/>
        </w:tabs>
        <w:ind w:left="360"/>
        <w:rPr>
          <w:b/>
          <w:bCs/>
          <w:caps/>
        </w:rPr>
      </w:pPr>
    </w:p>
    <w:p w14:paraId="378541D5" w14:textId="77777777" w:rsidR="008A0AD0" w:rsidRPr="00316D26" w:rsidRDefault="008A0AD0" w:rsidP="008B1912">
      <w:pPr>
        <w:spacing w:line="276" w:lineRule="auto"/>
        <w:ind w:firstLine="645"/>
        <w:jc w:val="both"/>
      </w:pPr>
      <w:r w:rsidRPr="00316D26">
        <w:t xml:space="preserve">Sausų akių sindromas (SAS), taip pat vadinamas sausų akių liga (SAL) yra daugelio veiksnių sukeliama ašarų ir akių paviršių liga, pasireiškianti nemaloniais pojūčiais – svetimkūnio jausmas, perštėjimas, skausmas, smėlio jausmas, graužimas, fotofobija ar akies paraudimas. </w:t>
      </w:r>
    </w:p>
    <w:p w14:paraId="0E3B552F" w14:textId="77777777" w:rsidR="008A0AD0" w:rsidRPr="00316D26" w:rsidRDefault="008A0AD0" w:rsidP="008B1912">
      <w:pPr>
        <w:spacing w:line="276" w:lineRule="auto"/>
        <w:ind w:firstLine="645"/>
        <w:jc w:val="both"/>
      </w:pPr>
      <w:r w:rsidRPr="00316D26">
        <w:t xml:space="preserve">Sausų akių sindromas yra uždegiminė liga, turinti panašumų su autoimuninėmis ligomis. Ilgas uždegimą sukeliančių veiksnių poveikis sukelia adaptacinę imuninę reakciją, kuri sukelia lėtinę ligos formą. </w:t>
      </w:r>
    </w:p>
    <w:p w14:paraId="153FA685" w14:textId="77777777" w:rsidR="008A0AD0" w:rsidRPr="00316D26" w:rsidRDefault="008A0AD0" w:rsidP="008B1912">
      <w:pPr>
        <w:spacing w:line="276" w:lineRule="auto"/>
        <w:ind w:firstLine="645"/>
        <w:jc w:val="both"/>
      </w:pPr>
      <w:r w:rsidRPr="00316D26">
        <w:t>Išsivysčius SAL, uždegiminis procesas yra svarbus mechanizmas, sukeliantis akies paviršiaus (ragenos, junginės) pažeidimus. Yra mažai duomenų apie SAL paplitimą. Remiantis 10 mln. pacientų sveikatos sistemos įrašų duomenų analize, SAL paplitimas buvo 0,4–0,5 %. Apie 10% pacientų su kliniškai reikšminga SAL turi pirminį Sjogreno sindromą. Lietuvoje atlikto SAL paplitimo tarp studentų tyrimo duomenimis, kliniškai diagnozuotos ligos paplitimas buvo 3,44%.</w:t>
      </w:r>
    </w:p>
    <w:p w14:paraId="45E409DE" w14:textId="77777777" w:rsidR="008A0AD0" w:rsidRPr="00316D26" w:rsidRDefault="008A0AD0" w:rsidP="008B1912">
      <w:pPr>
        <w:spacing w:line="276" w:lineRule="auto"/>
        <w:ind w:firstLine="645"/>
        <w:jc w:val="both"/>
      </w:pPr>
      <w:r w:rsidRPr="00316D26">
        <w:t>SAL paprastai yra lėtinė liga, nėra specifinio jos gydymo. SAL valdymas yra komplikuotas dėl ligos etiologijos heterogeniškumo. Pagrindinis SAL valdymo tikslas yra atstatyti akies paviršiaus ir ašarų plėvelės homeostazę, nutraukiant ligos vystymosi ratą.</w:t>
      </w:r>
    </w:p>
    <w:p w14:paraId="585B6369" w14:textId="110EAD3C" w:rsidR="008A0AD0" w:rsidRPr="00316D26" w:rsidRDefault="008A0AD0" w:rsidP="008B1912">
      <w:pPr>
        <w:spacing w:line="276" w:lineRule="auto"/>
        <w:ind w:firstLine="645"/>
        <w:jc w:val="both"/>
      </w:pPr>
      <w:r w:rsidRPr="00316D26">
        <w:t xml:space="preserve">Visų pirma reikia vengti žalingų faktorių poveikio, SAL gydymas orientuojamas į ligos požymių ir simptomų palengvinimą. SAL gydymas priklauso nuo ligos sunkumo. </w:t>
      </w:r>
      <w:bookmarkStart w:id="0" w:name="_Hlk185367510"/>
      <w:r w:rsidR="00E55D20" w:rsidRPr="00316D26">
        <w:t xml:space="preserve">Galimas gydymo pasirinkimas apima dirbtines ašaras, lubrikantus, vietinio poveikio steroidai ir ciklosporinas A (CsA). </w:t>
      </w:r>
      <w:bookmarkEnd w:id="0"/>
      <w:r w:rsidRPr="00316D26">
        <w:t>Dirbtinėse ašarose esantys konservantai, ypač benzalkoni</w:t>
      </w:r>
      <w:r w:rsidR="00E55D20" w:rsidRPr="00316D26">
        <w:t>o</w:t>
      </w:r>
      <w:r w:rsidRPr="00316D26">
        <w:t xml:space="preserve"> chloridas, gali veikti dirginančiai ir provokuoti ligos paūmėjimą. Steroidai gali būti vartojami trumpai dėl nepageidaujamų poveikių pavojaus. Dirbtinės ašaros dažnai vartojamos kaip varginančius simptomus slopinanti priemonė, bet jų vartojimą reikėtų vertinti ir kaip ligos progresavimą stabdantį gydymą. Akies paviršiaus uždegimas lemia ne tik SAL atsiradimą, bet ir jos tolesnį vystymąsi ir progresavimą.</w:t>
      </w:r>
    </w:p>
    <w:p w14:paraId="4501A436" w14:textId="49E2830C" w:rsidR="008A0AD0" w:rsidRPr="00316D26" w:rsidRDefault="00C84F68" w:rsidP="008B1912">
      <w:pPr>
        <w:spacing w:line="276" w:lineRule="auto"/>
        <w:ind w:firstLine="645"/>
        <w:jc w:val="both"/>
        <w:rPr>
          <w:color w:val="000000"/>
        </w:rPr>
      </w:pPr>
      <w:bookmarkStart w:id="1" w:name="_Hlk185365264"/>
      <w:bookmarkStart w:id="2" w:name="_Hlk185367546"/>
      <w:r w:rsidRPr="00316D26">
        <w:rPr>
          <w:color w:val="000000"/>
        </w:rPr>
        <w:t>K</w:t>
      </w:r>
      <w:r w:rsidR="008A0AD0" w:rsidRPr="00316D26">
        <w:rPr>
          <w:color w:val="000000"/>
        </w:rPr>
        <w:t>ito</w:t>
      </w:r>
      <w:r w:rsidRPr="00316D26">
        <w:rPr>
          <w:color w:val="000000"/>
        </w:rPr>
        <w:t xml:space="preserve"> </w:t>
      </w:r>
      <w:r w:rsidR="008A0AD0" w:rsidRPr="00316D26">
        <w:rPr>
          <w:color w:val="000000"/>
        </w:rPr>
        <w:t>patvirtinto vaistinio preparato</w:t>
      </w:r>
      <w:r w:rsidRPr="00316D26">
        <w:rPr>
          <w:color w:val="000000"/>
        </w:rPr>
        <w:t>, skirto</w:t>
      </w:r>
      <w:r w:rsidR="008A0AD0" w:rsidRPr="00316D26">
        <w:rPr>
          <w:color w:val="000000"/>
        </w:rPr>
        <w:t xml:space="preserve"> pacientų su SAL </w:t>
      </w:r>
      <w:r w:rsidR="00A205A0" w:rsidRPr="00316D26">
        <w:rPr>
          <w:color w:val="000000"/>
        </w:rPr>
        <w:t xml:space="preserve">esant </w:t>
      </w:r>
      <w:r w:rsidR="008A0AD0" w:rsidRPr="00316D26">
        <w:rPr>
          <w:color w:val="000000"/>
        </w:rPr>
        <w:t>sunk</w:t>
      </w:r>
      <w:r w:rsidR="00A205A0" w:rsidRPr="00316D26">
        <w:rPr>
          <w:color w:val="000000"/>
        </w:rPr>
        <w:t>iam</w:t>
      </w:r>
      <w:r w:rsidR="008A0AD0" w:rsidRPr="00316D26">
        <w:rPr>
          <w:color w:val="000000"/>
        </w:rPr>
        <w:t xml:space="preserve"> kerati</w:t>
      </w:r>
      <w:r w:rsidR="00A205A0" w:rsidRPr="00316D26">
        <w:rPr>
          <w:color w:val="000000"/>
        </w:rPr>
        <w:t>tui</w:t>
      </w:r>
      <w:r w:rsidR="008A0AD0" w:rsidRPr="00316D26">
        <w:rPr>
          <w:color w:val="000000"/>
        </w:rPr>
        <w:t xml:space="preserve"> gydymui</w:t>
      </w:r>
      <w:r w:rsidRPr="00316D26">
        <w:rPr>
          <w:color w:val="000000"/>
        </w:rPr>
        <w:t xml:space="preserve"> nėra</w:t>
      </w:r>
      <w:r w:rsidR="008A0AD0" w:rsidRPr="00316D26">
        <w:rPr>
          <w:color w:val="000000"/>
        </w:rPr>
        <w:t xml:space="preserve">. </w:t>
      </w:r>
      <w:bookmarkEnd w:id="1"/>
      <w:r w:rsidR="008A0AD0" w:rsidRPr="00316D26">
        <w:rPr>
          <w:color w:val="000000"/>
        </w:rPr>
        <w:t>Dirbtinės ašaros skiriamos kaip foninis gydymas laikinam momentiniam palengvėjimui, kortikosteroidai negali būti vartojami ilgesnį laiką dėl savo saugumo charakteristikų. Kadangi nėra patvirtinto efektyvaus gydymo, Ikervis tiek klinikinių tyrimų programoje, tiek šioje paraiškoje lyginamas su placebu</w:t>
      </w:r>
      <w:r w:rsidRPr="00316D26">
        <w:rPr>
          <w:color w:val="000000"/>
        </w:rPr>
        <w:t>.</w:t>
      </w:r>
      <w:r w:rsidR="008A0AD0" w:rsidRPr="00316D26">
        <w:rPr>
          <w:color w:val="000000"/>
        </w:rPr>
        <w:t xml:space="preserve"> Klinikinių tyrimų metu placebo grupėje pacientai gaudavo Ikervis vaistinės formos (emulsijos) bazę be ciklosporino, kad </w:t>
      </w:r>
      <w:r w:rsidRPr="00316D26">
        <w:rPr>
          <w:color w:val="000000"/>
        </w:rPr>
        <w:t xml:space="preserve">būtų </w:t>
      </w:r>
      <w:r w:rsidR="008A0AD0" w:rsidRPr="00316D26">
        <w:rPr>
          <w:color w:val="000000"/>
        </w:rPr>
        <w:t>įvertint</w:t>
      </w:r>
      <w:r w:rsidRPr="00316D26">
        <w:rPr>
          <w:color w:val="000000"/>
        </w:rPr>
        <w:t>as</w:t>
      </w:r>
      <w:r w:rsidR="008A0AD0" w:rsidRPr="00316D26">
        <w:rPr>
          <w:color w:val="000000"/>
        </w:rPr>
        <w:t xml:space="preserve"> ir pačios vaisto bazės poveik</w:t>
      </w:r>
      <w:r w:rsidRPr="00316D26">
        <w:rPr>
          <w:color w:val="000000"/>
        </w:rPr>
        <w:t>is</w:t>
      </w:r>
      <w:r w:rsidR="008A0AD0" w:rsidRPr="00316D26">
        <w:rPr>
          <w:color w:val="000000"/>
        </w:rPr>
        <w:t>.</w:t>
      </w:r>
    </w:p>
    <w:bookmarkEnd w:id="2"/>
    <w:p w14:paraId="58DF2C81" w14:textId="77777777" w:rsidR="00E55D20" w:rsidRPr="00316D26" w:rsidRDefault="00E55D20" w:rsidP="008B1912">
      <w:pPr>
        <w:spacing w:line="276" w:lineRule="auto"/>
        <w:ind w:firstLine="645"/>
        <w:jc w:val="both"/>
        <w:rPr>
          <w:i/>
          <w:color w:val="000000"/>
          <w:u w:val="single"/>
        </w:rPr>
      </w:pPr>
    </w:p>
    <w:p w14:paraId="6B058920" w14:textId="24227495" w:rsidR="008A0AD0" w:rsidRPr="00316D26" w:rsidRDefault="008A0AD0" w:rsidP="00C84F68">
      <w:pPr>
        <w:spacing w:line="360" w:lineRule="auto"/>
        <w:ind w:firstLine="645"/>
        <w:jc w:val="both"/>
        <w:rPr>
          <w:i/>
          <w:color w:val="000000"/>
          <w:u w:val="single"/>
        </w:rPr>
      </w:pPr>
      <w:r w:rsidRPr="00316D26">
        <w:rPr>
          <w:i/>
          <w:color w:val="000000"/>
          <w:u w:val="single"/>
        </w:rPr>
        <w:t xml:space="preserve">Tiesioginis </w:t>
      </w:r>
      <w:r w:rsidR="00855EA1" w:rsidRPr="00316D26">
        <w:rPr>
          <w:i/>
          <w:color w:val="000000"/>
          <w:u w:val="single"/>
        </w:rPr>
        <w:t>palyginamasis</w:t>
      </w:r>
      <w:r w:rsidRPr="00316D26">
        <w:rPr>
          <w:i/>
          <w:color w:val="000000"/>
          <w:u w:val="single"/>
        </w:rPr>
        <w:t xml:space="preserve"> gydymas</w:t>
      </w:r>
    </w:p>
    <w:p w14:paraId="4E6A84D7" w14:textId="77777777" w:rsidR="008A0AD0" w:rsidRPr="00316D26" w:rsidRDefault="008A0AD0" w:rsidP="008B1912">
      <w:pPr>
        <w:tabs>
          <w:tab w:val="left" w:pos="284"/>
        </w:tabs>
        <w:spacing w:line="276" w:lineRule="auto"/>
        <w:jc w:val="both"/>
      </w:pPr>
      <w:r w:rsidRPr="00316D26">
        <w:tab/>
      </w:r>
      <w:r w:rsidRPr="00316D26">
        <w:tab/>
        <w:t xml:space="preserve">Ciklosporino veiksmingumas grįstas dviejų 3 fazės, dvigubai koduotų, atsitiktinių imčių, placebu kontroliuojamų, daugiacentrių klinikinių tyrimų SICCANOVE ir SANSIKA rezultatais. </w:t>
      </w:r>
    </w:p>
    <w:p w14:paraId="6776FB74" w14:textId="0A837C72" w:rsidR="008A0AD0" w:rsidRPr="00316D26" w:rsidRDefault="008A0AD0" w:rsidP="008B1912">
      <w:pPr>
        <w:tabs>
          <w:tab w:val="left" w:pos="284"/>
        </w:tabs>
        <w:spacing w:line="276" w:lineRule="auto"/>
        <w:jc w:val="both"/>
      </w:pPr>
      <w:r w:rsidRPr="00316D26">
        <w:tab/>
      </w:r>
      <w:r w:rsidRPr="00316D26">
        <w:tab/>
        <w:t>Į klinikinį tyrimą SICCANOVE buvo įtraukti pacientai, kuriems nustaty</w:t>
      </w:r>
      <w:r w:rsidR="0045758C" w:rsidRPr="00316D26">
        <w:t>ti</w:t>
      </w:r>
      <w:r w:rsidR="00C05EF5" w:rsidRPr="00316D26">
        <w:t xml:space="preserve"> SAL</w:t>
      </w:r>
      <w:r w:rsidRPr="00316D26">
        <w:t xml:space="preserve"> </w:t>
      </w:r>
      <w:r w:rsidR="008E21E4" w:rsidRPr="00316D26">
        <w:t>ir vidutini</w:t>
      </w:r>
      <w:r w:rsidR="00C84F68" w:rsidRPr="00316D26">
        <w:t>o sunkumo</w:t>
      </w:r>
      <w:r w:rsidR="008E21E4" w:rsidRPr="00316D26">
        <w:t xml:space="preserve"> arba sunkus </w:t>
      </w:r>
      <w:r w:rsidRPr="00316D26">
        <w:t>keratit</w:t>
      </w:r>
      <w:r w:rsidR="008E21E4" w:rsidRPr="00316D26">
        <w:t>as</w:t>
      </w:r>
      <w:r w:rsidRPr="00316D26">
        <w:t xml:space="preserve">. Didžiajai daliai pacientų nustatytas &lt; 4 ragenos pažaidos laipsnis (vidutinio sunkumo keratitas). Tarnyba sprendžia, kad tyrimo SICCANOVE populiacija neatitinka Pareiškėjo teikiamos ciklosporino indikacijos (skirtas </w:t>
      </w:r>
      <w:r w:rsidRPr="00316D26">
        <w:rPr>
          <w:u w:val="single"/>
        </w:rPr>
        <w:t>sunkaus keratito gydymui</w:t>
      </w:r>
      <w:r w:rsidRPr="00316D26">
        <w:t>). Todėl tyrimo SICCANOVE rezultatai vertinami kaip papildoma informacija.</w:t>
      </w:r>
    </w:p>
    <w:p w14:paraId="223F60EF" w14:textId="5943B7AD" w:rsidR="00ED65D5" w:rsidRPr="00316D26" w:rsidRDefault="008A0AD0" w:rsidP="008B1912">
      <w:pPr>
        <w:tabs>
          <w:tab w:val="left" w:pos="284"/>
        </w:tabs>
        <w:spacing w:line="276" w:lineRule="auto"/>
        <w:jc w:val="both"/>
      </w:pPr>
      <w:r w:rsidRPr="00316D26">
        <w:tab/>
      </w:r>
      <w:r w:rsidRPr="00316D26">
        <w:tab/>
        <w:t xml:space="preserve">Klinikiniame tyrime SANSIKA dalyvavo pacientai, kuriems diagnozuota SAL </w:t>
      </w:r>
      <w:r w:rsidR="008E21E4" w:rsidRPr="00316D26">
        <w:t>ir sunkus</w:t>
      </w:r>
      <w:r w:rsidR="00E85AF1" w:rsidRPr="00316D26">
        <w:t xml:space="preserve"> </w:t>
      </w:r>
      <w:r w:rsidRPr="00316D26">
        <w:t>keratit</w:t>
      </w:r>
      <w:r w:rsidR="008E21E4" w:rsidRPr="00316D26">
        <w:t>as</w:t>
      </w:r>
      <w:r w:rsidRPr="00316D26">
        <w:t xml:space="preserve">, ši būklė apibrėžta kaip: 4 ragenos pažaidos laipsnis pagal modifikuotą Oksfordo skalę </w:t>
      </w:r>
      <w:r w:rsidRPr="008810AF">
        <w:t>(naudojant CFS</w:t>
      </w:r>
      <w:r w:rsidR="003B666F" w:rsidRPr="008810AF">
        <w:t xml:space="preserve">, </w:t>
      </w:r>
      <w:r w:rsidR="003B666F" w:rsidRPr="008810AF">
        <w:rPr>
          <w:i/>
          <w:iCs/>
        </w:rPr>
        <w:t>angl. corneal fluorescein staining</w:t>
      </w:r>
      <w:r w:rsidRPr="00316D26">
        <w:t xml:space="preserve">), Širmerio testas be anestezijos ≥ 2 mm per 5 min. </w:t>
      </w:r>
      <w:r w:rsidRPr="00316D26">
        <w:lastRenderedPageBreak/>
        <w:t xml:space="preserve">ir &lt; 10 mm per 5 min bei OSDI balas ≥ </w:t>
      </w:r>
      <w:r w:rsidRPr="008810AF">
        <w:t>23</w:t>
      </w:r>
      <w:r w:rsidR="003B666F" w:rsidRPr="008810AF">
        <w:t xml:space="preserve"> (</w:t>
      </w:r>
      <w:r w:rsidR="003B666F" w:rsidRPr="008810AF">
        <w:rPr>
          <w:i/>
          <w:iCs/>
        </w:rPr>
        <w:t>angl</w:t>
      </w:r>
      <w:r w:rsidRPr="008810AF">
        <w:rPr>
          <w:i/>
          <w:iCs/>
        </w:rPr>
        <w:t>.</w:t>
      </w:r>
      <w:r w:rsidR="003B666F" w:rsidRPr="008810AF">
        <w:rPr>
          <w:i/>
          <w:iCs/>
        </w:rPr>
        <w:t xml:space="preserve"> OSDI</w:t>
      </w:r>
      <w:r w:rsidR="003B666F" w:rsidRPr="008810AF">
        <w:t xml:space="preserve">, </w:t>
      </w:r>
      <w:r w:rsidR="003B666F" w:rsidRPr="008810AF">
        <w:rPr>
          <w:i/>
        </w:rPr>
        <w:t xml:space="preserve">Ocular Surface Disease Index, OSDI klausimynas). </w:t>
      </w:r>
      <w:r w:rsidRPr="008810AF">
        <w:t xml:space="preserve"> </w:t>
      </w:r>
      <w:r w:rsidR="00ED65D5" w:rsidRPr="008810AF">
        <w:t>Pirmai grupei 6 mėnesius kartą per</w:t>
      </w:r>
      <w:r w:rsidR="00ED65D5" w:rsidRPr="00316D26">
        <w:t xml:space="preserve"> parą prieš miegą buvo lašinamas 1 lašas ciklosporino (toliau – ciklosporino grupė), o antrai grupei buvo lašinama placebo (toliau – placebo grupė). Placebą sudarė Ikervis bazinė emulsija be veikliosios medžiagos ciklosporino. </w:t>
      </w:r>
    </w:p>
    <w:p w14:paraId="3A837CEE" w14:textId="7A6BF009" w:rsidR="00ED65D5" w:rsidRPr="00316D26" w:rsidRDefault="00ED65D5" w:rsidP="008B1912">
      <w:pPr>
        <w:tabs>
          <w:tab w:val="left" w:pos="284"/>
        </w:tabs>
        <w:spacing w:line="276" w:lineRule="auto"/>
        <w:jc w:val="both"/>
      </w:pPr>
      <w:r w:rsidRPr="00316D26">
        <w:rPr>
          <w:u w:val="single"/>
        </w:rPr>
        <w:t>Pirminė vertinamoji baigtis</w:t>
      </w:r>
      <w:r w:rsidRPr="00316D26">
        <w:t xml:space="preserve"> (CFS-OSDI įvertis) – atsakas 6 mėnesio laikotarpiu, vertintas pagal CFS balą (atitinkanti modifikuotos Oksfordo skalės laipsnį) ir OSDI balus yra sudėtinė vertinamoji baigtis įvertinant sunkų (4 laipsnio) keratitą. Sudėtinę vertinamąją baigtį sudaro pacientų praneštos baigtys, kurios remiasi akių paviršiaus ligų klausimynu (OSDI) siekiant įvertinti pacientų nusiskundimus ir pojūčius. Kadangi simptomų pojūtis yra subjektyvus, todėl tikėtina, kad pagrindinė vertinamoji baigtis negali būti laikoma objektyvia. </w:t>
      </w:r>
      <w:r w:rsidR="008A0AD0" w:rsidRPr="00316D26">
        <w:t xml:space="preserve">Pagrindinė vertinamoji baigtis buvo atsako dažnis pagal </w:t>
      </w:r>
      <w:r w:rsidR="008A0AD0" w:rsidRPr="008810AF">
        <w:t>C</w:t>
      </w:r>
      <w:r w:rsidR="00C2053C" w:rsidRPr="008810AF">
        <w:t>FS</w:t>
      </w:r>
      <w:r w:rsidR="008A0AD0" w:rsidRPr="008810AF">
        <w:t>-</w:t>
      </w:r>
      <w:r w:rsidR="008A0AD0" w:rsidRPr="00316D26">
        <w:t xml:space="preserve">OSDI, apibrėžtas kaip pagerėjimas 2 ar daugiau laipsnių pagal CFS ir pagerėjimas ≥ 30% pagal OSDI. Pagrindinės vertinamosios baigties rezultatai statistiškai reikšmingai tarp grupių nesiskyrė – atsako dažnis ciklosporino grupėje buvo 28,6 %, o placebo grupėje 23,1 % (p = 0,326). </w:t>
      </w:r>
    </w:p>
    <w:p w14:paraId="5A9978B1" w14:textId="30EF1C70" w:rsidR="008A0AD0" w:rsidRPr="00316D26" w:rsidRDefault="00ED65D5" w:rsidP="008B1912">
      <w:pPr>
        <w:tabs>
          <w:tab w:val="left" w:pos="284"/>
        </w:tabs>
        <w:spacing w:line="276" w:lineRule="auto"/>
        <w:jc w:val="both"/>
      </w:pPr>
      <w:r w:rsidRPr="00316D26">
        <w:rPr>
          <w:u w:val="single"/>
        </w:rPr>
        <w:t>Antrinė vertinamoji baigtis</w:t>
      </w:r>
      <w:r w:rsidRPr="00316D26">
        <w:t xml:space="preserve"> CFS pokyčio įverčio (laipsnio) įvertinimas (ragenos fluoresceino dažų pokytis (CFS)) yra objektyvi skaitmeninės vaizdų analizės technika, skirta kiekybiškai įvertinti ir morfologiškai apibūdinti ragenos dažymą fluoresceino dažais, kuris apibrėžia keratito laipsnį pagal modifikuotą Oksfordo skalę. Ši technika padeda objektyviai įvertinti keratito pažeidimo lygį. </w:t>
      </w:r>
      <w:r w:rsidR="008A0AD0" w:rsidRPr="00316D26">
        <w:t xml:space="preserve">Nustatyta, kad pagerėjimas &gt; 1 laipsniu pagal CFS tarp grupių nesiskyrė, 3 mėn. pagerėjimas &gt; 2 laipsniu buvo 20,8 % (p = 0,002), o 6 mėn. pagerėjimas pagal CFS &gt; 3 laipsniais buvo 21,2 % (p = 0,001). Tyrėjų nuomone, stebėtas teigiamas vaisto bazės (katijoninės emulsijos be veikliosios medžiagos) poveikis, kuris galėjo pagerinti SAL klinikinius simptomus bei sumažinti stebėtą tiriamojo vaisto efektyvumą lyginant su kontroline grupe. </w:t>
      </w:r>
      <w:r w:rsidR="00855EA1" w:rsidRPr="00316D26">
        <w:t xml:space="preserve">Taip pat po 6 mėnesių ciklosporinas buvo susijęs su statistiškai reikšmingu </w:t>
      </w:r>
      <w:r w:rsidR="00855EA1" w:rsidRPr="00316D26">
        <w:rPr>
          <w:u w:val="single"/>
        </w:rPr>
        <w:t>žmogaus leukocitų antigeno-DR (HLA-DR) ekspresija junginės ląstelių paviršiuje sumažėjimu nuo pradinės būklės</w:t>
      </w:r>
      <w:r w:rsidR="00855EA1" w:rsidRPr="00316D26">
        <w:t xml:space="preserve">, lyginant su placebo emulsija, t. y. </w:t>
      </w:r>
      <w:r w:rsidR="00855EA1" w:rsidRPr="00316D26">
        <w:rPr>
          <w:u w:val="single"/>
        </w:rPr>
        <w:t>stebėtas akių paviršinio uždegimo sumažėjimas</w:t>
      </w:r>
      <w:r w:rsidR="00855EA1" w:rsidRPr="00316D26">
        <w:t>. Po 6 mėn. ciklosporino grupėje HLA-DR statistiškai reikšmingai sumažėjo nuo pradinės būklės, lyginant su placebo emulsija (p = 0,021), t. y. stebėtas akių paviršinio uždegimo sumažėjimas.</w:t>
      </w:r>
    </w:p>
    <w:p w14:paraId="4CB7F930" w14:textId="29072D72" w:rsidR="008A0AD0" w:rsidRPr="00316D26" w:rsidRDefault="008A0AD0" w:rsidP="008B1912">
      <w:pPr>
        <w:tabs>
          <w:tab w:val="left" w:pos="284"/>
        </w:tabs>
        <w:spacing w:line="276" w:lineRule="auto"/>
        <w:jc w:val="both"/>
      </w:pPr>
      <w:r w:rsidRPr="00316D26">
        <w:tab/>
      </w:r>
      <w:r w:rsidRPr="00316D26">
        <w:tab/>
        <w:t xml:space="preserve">Atlikta </w:t>
      </w:r>
      <w:r w:rsidRPr="00316D26">
        <w:rPr>
          <w:i/>
        </w:rPr>
        <w:t xml:space="preserve">post </w:t>
      </w:r>
      <w:r w:rsidRPr="008810AF">
        <w:rPr>
          <w:i/>
        </w:rPr>
        <w:t>hoc</w:t>
      </w:r>
      <w:r w:rsidRPr="008810AF">
        <w:t xml:space="preserve"> C</w:t>
      </w:r>
      <w:r w:rsidR="00C2053C" w:rsidRPr="008810AF">
        <w:t>FS</w:t>
      </w:r>
      <w:r w:rsidRPr="008810AF">
        <w:t>-OSDI vertinamosios</w:t>
      </w:r>
      <w:r w:rsidRPr="00316D26">
        <w:t xml:space="preserve"> baigties analiz</w:t>
      </w:r>
      <w:r w:rsidR="006F4300" w:rsidRPr="00316D26">
        <w:t>ė</w:t>
      </w:r>
      <w:r w:rsidRPr="00316D26">
        <w:t xml:space="preserve"> (atsakas apibrėžtas kaip 3 ar daugiau laipsnių pagerėjimas pagal modifikuotą Oksfordo (CFS) skalę, vietoj 2 ar daugiau laipsnių pagerėjimo), ciklosporino grupėje atsakas (21,4 %) buvo statistiškai reikšmingai didesnis lyginant su atsaku (8,5 %) placebo grupėje (p = 0,001). </w:t>
      </w:r>
      <w:r w:rsidR="000D294D" w:rsidRPr="00316D26">
        <w:t xml:space="preserve">Atlikta </w:t>
      </w:r>
      <w:r w:rsidR="000D294D" w:rsidRPr="00316D26">
        <w:rPr>
          <w:i/>
          <w:iCs/>
        </w:rPr>
        <w:t>post hoc</w:t>
      </w:r>
      <w:r w:rsidR="000D294D" w:rsidRPr="00316D26">
        <w:t xml:space="preserve"> analizė patvirtino kliniškai reikšmingą ciksloporino naudą pratęsiant gydymą iki 12 mėn. vartojimo stebint reikšmingą akių paviršinio uždegimo sumažėjimą nuo pradinio lygio (remiantis CFS laipsnio pokyčiu, HLA-DR ir modifikuotu </w:t>
      </w:r>
      <w:r w:rsidR="000D294D" w:rsidRPr="008810AF">
        <w:t>C</w:t>
      </w:r>
      <w:r w:rsidR="003B666F" w:rsidRPr="008810AF">
        <w:t>FS</w:t>
      </w:r>
      <w:r w:rsidR="000D294D" w:rsidRPr="008810AF">
        <w:t>-OSDI atsaku).</w:t>
      </w:r>
    </w:p>
    <w:p w14:paraId="432EBF9C" w14:textId="2B8F4444" w:rsidR="008A0AD0" w:rsidRPr="00316D26" w:rsidRDefault="008A0AD0" w:rsidP="008B1912">
      <w:pPr>
        <w:tabs>
          <w:tab w:val="left" w:pos="284"/>
        </w:tabs>
        <w:spacing w:line="276" w:lineRule="auto"/>
        <w:jc w:val="both"/>
        <w:rPr>
          <w:i/>
          <w:color w:val="00B050"/>
        </w:rPr>
      </w:pPr>
      <w:r w:rsidRPr="00316D26">
        <w:tab/>
      </w:r>
      <w:r w:rsidRPr="00316D26">
        <w:tab/>
        <w:t xml:space="preserve"> Apibendrinant, ciklosporino efektyvumas pagrįstas reikšmingu ragenos pažaidos sumažėjimu, kuris vertintas </w:t>
      </w:r>
      <w:r w:rsidRPr="008810AF">
        <w:t>C</w:t>
      </w:r>
      <w:r w:rsidR="003B666F" w:rsidRPr="008810AF">
        <w:t>FS</w:t>
      </w:r>
      <w:r w:rsidRPr="008810AF">
        <w:t xml:space="preserve"> laipsnio</w:t>
      </w:r>
      <w:r w:rsidRPr="00316D26">
        <w:t xml:space="preserve"> pokyčiu, HLA-DR pokyčiu ir </w:t>
      </w:r>
      <w:r w:rsidRPr="00316D26">
        <w:rPr>
          <w:i/>
        </w:rPr>
        <w:t xml:space="preserve">post hoc </w:t>
      </w:r>
      <w:r w:rsidRPr="00316D26">
        <w:t xml:space="preserve">modifikuoto </w:t>
      </w:r>
      <w:r w:rsidRPr="008810AF">
        <w:t>C</w:t>
      </w:r>
      <w:r w:rsidR="00C2053C" w:rsidRPr="008810AF">
        <w:t>FS</w:t>
      </w:r>
      <w:r w:rsidRPr="008810AF">
        <w:t>-</w:t>
      </w:r>
      <w:r w:rsidRPr="00316D26">
        <w:t xml:space="preserve">OSDI atsako rezultatais. </w:t>
      </w:r>
    </w:p>
    <w:p w14:paraId="76C24D38" w14:textId="77777777" w:rsidR="00CF4B7A" w:rsidRPr="00316D26" w:rsidRDefault="00CF4B7A" w:rsidP="00CF4B7A">
      <w:pPr>
        <w:tabs>
          <w:tab w:val="left" w:pos="284"/>
        </w:tabs>
        <w:ind w:left="360"/>
        <w:rPr>
          <w:b/>
          <w:bCs/>
          <w:caps/>
        </w:rPr>
      </w:pPr>
    </w:p>
    <w:p w14:paraId="7DE09EB5" w14:textId="04C72FFD" w:rsidR="00E03C3F" w:rsidRPr="00316D26" w:rsidRDefault="00CC7832" w:rsidP="00937907">
      <w:pPr>
        <w:pStyle w:val="Sraopastraipa"/>
        <w:numPr>
          <w:ilvl w:val="0"/>
          <w:numId w:val="12"/>
        </w:numPr>
        <w:tabs>
          <w:tab w:val="left" w:pos="426"/>
        </w:tabs>
        <w:rPr>
          <w:b/>
          <w:bCs/>
          <w:caps/>
        </w:rPr>
      </w:pPr>
      <w:r w:rsidRPr="00316D26">
        <w:rPr>
          <w:b/>
          <w:bCs/>
          <w:caps/>
        </w:rPr>
        <w:t xml:space="preserve">Farmakoekonominio vertinimo </w:t>
      </w:r>
      <w:r w:rsidR="002F0E4F" w:rsidRPr="00316D26">
        <w:rPr>
          <w:b/>
          <w:bCs/>
          <w:caps/>
        </w:rPr>
        <w:t>apibendrinimas</w:t>
      </w:r>
    </w:p>
    <w:p w14:paraId="1A900598" w14:textId="65638B29" w:rsidR="00C62B36" w:rsidRPr="00316D26" w:rsidRDefault="00C62B36" w:rsidP="00A93AA6">
      <w:pPr>
        <w:tabs>
          <w:tab w:val="left" w:pos="426"/>
        </w:tabs>
        <w:rPr>
          <w:i/>
          <w:color w:val="00B050"/>
          <w:sz w:val="22"/>
          <w:szCs w:val="22"/>
        </w:rPr>
      </w:pPr>
    </w:p>
    <w:p w14:paraId="1A874689" w14:textId="00FE010D" w:rsidR="00186DAD" w:rsidRDefault="00997870" w:rsidP="00186DAD">
      <w:pPr>
        <w:pStyle w:val="prastasiniatinklio"/>
        <w:ind w:firstLine="360"/>
        <w:jc w:val="both"/>
        <w:rPr>
          <w:color w:val="000000"/>
          <w:lang w:val="lt-LT"/>
        </w:rPr>
      </w:pPr>
      <w:r w:rsidRPr="00316D26">
        <w:rPr>
          <w:color w:val="000000"/>
          <w:lang w:val="lt-LT"/>
        </w:rPr>
        <w:t>Siūloma kaina Ikervis yra per didelė. Norint pasiekti Lietuvos pasirengimo mokėti slenksčio vert</w:t>
      </w:r>
      <w:r w:rsidR="00316D26">
        <w:rPr>
          <w:color w:val="000000"/>
          <w:lang w:val="lt-LT"/>
        </w:rPr>
        <w:t>ę</w:t>
      </w:r>
      <w:r w:rsidRPr="00316D26">
        <w:rPr>
          <w:color w:val="000000"/>
          <w:lang w:val="lt-LT"/>
        </w:rPr>
        <w:t xml:space="preserve"> </w:t>
      </w:r>
      <w:r w:rsidR="00316D26" w:rsidRPr="00316D26">
        <w:rPr>
          <w:color w:val="000000"/>
          <w:lang w:val="lt-LT"/>
        </w:rPr>
        <w:t xml:space="preserve">arba </w:t>
      </w:r>
      <w:r w:rsidR="00316D26">
        <w:rPr>
          <w:color w:val="000000"/>
          <w:lang w:val="lt-LT"/>
        </w:rPr>
        <w:t xml:space="preserve">jos </w:t>
      </w:r>
      <w:r w:rsidR="00316D26" w:rsidRPr="00316D26">
        <w:rPr>
          <w:color w:val="000000"/>
          <w:lang w:val="lt-LT"/>
        </w:rPr>
        <w:t xml:space="preserve">neviršyti </w:t>
      </w:r>
      <w:r w:rsidRPr="00316D26">
        <w:rPr>
          <w:color w:val="000000"/>
          <w:lang w:val="lt-LT"/>
        </w:rPr>
        <w:t xml:space="preserve">reikėtų papildomos maždaug </w:t>
      </w:r>
      <w:r w:rsidR="008B1499">
        <w:rPr>
          <w:color w:val="000000"/>
          <w:lang w:val="lt-LT"/>
        </w:rPr>
        <w:t xml:space="preserve">*** </w:t>
      </w:r>
      <w:r w:rsidRPr="00316D26">
        <w:rPr>
          <w:color w:val="000000"/>
          <w:lang w:val="lt-LT"/>
        </w:rPr>
        <w:t>% nuolaidos (</w:t>
      </w:r>
      <w:r w:rsidR="008B1499">
        <w:rPr>
          <w:color w:val="000000"/>
          <w:lang w:val="lt-LT"/>
        </w:rPr>
        <w:t>***</w:t>
      </w:r>
      <w:r w:rsidRPr="00316D26">
        <w:rPr>
          <w:color w:val="000000"/>
          <w:lang w:val="lt-LT"/>
        </w:rPr>
        <w:t xml:space="preserve"> EUR už pakuotę).</w:t>
      </w:r>
      <w:r w:rsidRPr="00316D26">
        <w:rPr>
          <w:rStyle w:val="apple-converted-space"/>
          <w:color w:val="000000"/>
          <w:lang w:val="lt-LT"/>
        </w:rPr>
        <w:t> </w:t>
      </w:r>
      <w:r w:rsidRPr="00253EA1">
        <w:rPr>
          <w:rStyle w:val="Grietas"/>
          <w:b w:val="0"/>
          <w:bCs w:val="0"/>
          <w:color w:val="000000"/>
          <w:lang w:val="lt-LT"/>
        </w:rPr>
        <w:t>Ikervis</w:t>
      </w:r>
      <w:r w:rsidRPr="00253EA1">
        <w:rPr>
          <w:rStyle w:val="apple-converted-space"/>
          <w:b/>
          <w:bCs/>
          <w:color w:val="000000"/>
          <w:lang w:val="lt-LT"/>
        </w:rPr>
        <w:t> </w:t>
      </w:r>
      <w:r w:rsidRPr="00316D26">
        <w:rPr>
          <w:color w:val="000000"/>
          <w:lang w:val="lt-LT"/>
        </w:rPr>
        <w:t>galėtų būti pripažintas ekonomiškai pagrįstu, jei būtų suteikta atitinkama nuolaida.</w:t>
      </w:r>
    </w:p>
    <w:p w14:paraId="3939EFC3" w14:textId="1FCD1ABB" w:rsidR="00997870" w:rsidRPr="00253EA1" w:rsidRDefault="00997870" w:rsidP="00186DAD">
      <w:pPr>
        <w:pStyle w:val="prastasiniatinklio"/>
        <w:ind w:firstLine="360"/>
        <w:jc w:val="both"/>
        <w:rPr>
          <w:color w:val="000000"/>
          <w:lang w:val="lt-LT"/>
        </w:rPr>
      </w:pPr>
      <w:r w:rsidRPr="00316D26">
        <w:rPr>
          <w:color w:val="000000"/>
          <w:lang w:val="lt-LT"/>
        </w:rPr>
        <w:t xml:space="preserve">Tarnyba pabrėžia, kad pagrindinė vaistinio preparato sugeneruojama nauda yra gyvenimo kokybės įverčių pagerėjimas, todėl gyvenimo kokybės įverčiai turi kritinę reikšmę analizės rezultatui. </w:t>
      </w:r>
      <w:r w:rsidRPr="00316D26">
        <w:rPr>
          <w:color w:val="000000"/>
          <w:lang w:val="lt-LT"/>
        </w:rPr>
        <w:lastRenderedPageBreak/>
        <w:t>Nepaisant to, kad nauda gyvenimo kokybe skiriasi nesvariai,</w:t>
      </w:r>
      <w:r w:rsidRPr="00316D26">
        <w:rPr>
          <w:rStyle w:val="apple-converted-space"/>
          <w:color w:val="000000"/>
          <w:lang w:val="lt-LT"/>
        </w:rPr>
        <w:t> </w:t>
      </w:r>
      <w:r w:rsidRPr="00253EA1">
        <w:rPr>
          <w:rStyle w:val="Grietas"/>
          <w:b w:val="0"/>
          <w:bCs w:val="0"/>
          <w:color w:val="000000"/>
          <w:lang w:val="lt-LT"/>
        </w:rPr>
        <w:t>Ikervis</w:t>
      </w:r>
      <w:r w:rsidRPr="00253EA1">
        <w:rPr>
          <w:rStyle w:val="apple-converted-space"/>
          <w:color w:val="000000"/>
          <w:lang w:val="lt-LT"/>
        </w:rPr>
        <w:t> </w:t>
      </w:r>
      <w:r w:rsidRPr="00253EA1">
        <w:rPr>
          <w:color w:val="000000"/>
          <w:lang w:val="lt-LT"/>
        </w:rPr>
        <w:t>yra nauja galimybė potencialiam sunkesnių atvejų gydymui. Pacientai ir gydytojai gali naudoti</w:t>
      </w:r>
      <w:r w:rsidRPr="00253EA1">
        <w:rPr>
          <w:rStyle w:val="apple-converted-space"/>
          <w:color w:val="000000"/>
          <w:lang w:val="lt-LT"/>
        </w:rPr>
        <w:t> </w:t>
      </w:r>
      <w:r w:rsidRPr="00253EA1">
        <w:rPr>
          <w:rStyle w:val="Grietas"/>
          <w:b w:val="0"/>
          <w:bCs w:val="0"/>
          <w:color w:val="000000"/>
          <w:lang w:val="lt-LT"/>
        </w:rPr>
        <w:t>Ikervis</w:t>
      </w:r>
      <w:r w:rsidRPr="00253EA1">
        <w:rPr>
          <w:rStyle w:val="apple-converted-space"/>
          <w:color w:val="000000"/>
          <w:lang w:val="lt-LT"/>
        </w:rPr>
        <w:t> </w:t>
      </w:r>
      <w:r w:rsidRPr="00253EA1">
        <w:rPr>
          <w:color w:val="000000"/>
          <w:lang w:val="lt-LT"/>
        </w:rPr>
        <w:t>tol, kol jis veiksmingas beveik nepatirdami neigiamų pasekmių.</w:t>
      </w:r>
    </w:p>
    <w:p w14:paraId="7EAFDD5C" w14:textId="04441AA3" w:rsidR="00997870" w:rsidRPr="00253EA1" w:rsidRDefault="00997870" w:rsidP="00316D26">
      <w:pPr>
        <w:pStyle w:val="prastasiniatinklio"/>
        <w:ind w:firstLine="720"/>
        <w:jc w:val="both"/>
        <w:rPr>
          <w:color w:val="000000"/>
          <w:lang w:val="lt-LT"/>
        </w:rPr>
      </w:pPr>
      <w:r w:rsidRPr="00253EA1">
        <w:rPr>
          <w:color w:val="000000"/>
          <w:lang w:val="lt-LT"/>
        </w:rPr>
        <w:t xml:space="preserve">Ši galimybė, kartu su siūloma papildoma nuolaida bei griežta skyrimo </w:t>
      </w:r>
      <w:r w:rsidR="00B23BEB" w:rsidRPr="00253EA1">
        <w:rPr>
          <w:color w:val="000000"/>
          <w:lang w:val="lt-LT"/>
        </w:rPr>
        <w:t>tvarka</w:t>
      </w:r>
      <w:r w:rsidRPr="00253EA1">
        <w:rPr>
          <w:color w:val="000000"/>
          <w:lang w:val="lt-LT"/>
        </w:rPr>
        <w:t>, gali padaryti</w:t>
      </w:r>
      <w:r w:rsidRPr="00253EA1">
        <w:rPr>
          <w:rStyle w:val="apple-converted-space"/>
          <w:color w:val="000000"/>
          <w:lang w:val="lt-LT"/>
        </w:rPr>
        <w:t> </w:t>
      </w:r>
      <w:r w:rsidRPr="00253EA1">
        <w:rPr>
          <w:rStyle w:val="Grietas"/>
          <w:b w:val="0"/>
          <w:bCs w:val="0"/>
          <w:color w:val="000000"/>
          <w:lang w:val="lt-LT"/>
        </w:rPr>
        <w:t>Ikervis</w:t>
      </w:r>
      <w:r w:rsidRPr="00253EA1">
        <w:rPr>
          <w:rStyle w:val="apple-converted-space"/>
          <w:color w:val="000000"/>
          <w:lang w:val="lt-LT"/>
        </w:rPr>
        <w:t> </w:t>
      </w:r>
      <w:r w:rsidRPr="00253EA1">
        <w:rPr>
          <w:color w:val="000000"/>
          <w:lang w:val="lt-LT"/>
        </w:rPr>
        <w:t>kaštų efektyvumo požiūriu tinkamu gydymo būdu.</w:t>
      </w:r>
    </w:p>
    <w:p w14:paraId="5F749A38" w14:textId="09C161BF" w:rsidR="005679A4" w:rsidRPr="00316D26" w:rsidRDefault="005679A4" w:rsidP="005679A4">
      <w:pPr>
        <w:tabs>
          <w:tab w:val="left" w:pos="426"/>
        </w:tabs>
        <w:spacing w:line="276" w:lineRule="auto"/>
        <w:jc w:val="both"/>
        <w:rPr>
          <w:i/>
        </w:rPr>
      </w:pPr>
      <w:r w:rsidRPr="00316D26">
        <w:rPr>
          <w:i/>
        </w:rPr>
        <w:t>Pagrindinis ekonominės analizės rezultatas</w:t>
      </w:r>
    </w:p>
    <w:p w14:paraId="0A93C2F5" w14:textId="77777777" w:rsidR="00305160" w:rsidRPr="00316D26" w:rsidRDefault="00305160" w:rsidP="00305160">
      <w:pPr>
        <w:tabs>
          <w:tab w:val="left" w:pos="567"/>
        </w:tabs>
        <w:spacing w:line="276" w:lineRule="auto"/>
        <w:jc w:val="both"/>
        <w:rPr>
          <w:i/>
          <w:color w:val="00B050"/>
        </w:rPr>
      </w:pPr>
    </w:p>
    <w:tbl>
      <w:tblPr>
        <w:tblW w:w="990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697"/>
        <w:gridCol w:w="1613"/>
        <w:gridCol w:w="2019"/>
        <w:gridCol w:w="3579"/>
      </w:tblGrid>
      <w:tr w:rsidR="00305160" w:rsidRPr="00316D26" w14:paraId="71E42D2F" w14:textId="77777777" w:rsidTr="00D7026D">
        <w:trPr>
          <w:trHeight w:val="364"/>
          <w:jc w:val="center"/>
        </w:trPr>
        <w:tc>
          <w:tcPr>
            <w:tcW w:w="9908" w:type="dxa"/>
            <w:gridSpan w:val="4"/>
            <w:tcBorders>
              <w:top w:val="single" w:sz="12" w:space="0" w:color="000000"/>
              <w:bottom w:val="single" w:sz="4" w:space="0" w:color="000000"/>
            </w:tcBorders>
            <w:vAlign w:val="center"/>
          </w:tcPr>
          <w:p w14:paraId="61AAD617" w14:textId="77777777" w:rsidR="00305160" w:rsidRPr="00316D26" w:rsidRDefault="00305160" w:rsidP="00D7026D">
            <w:pPr>
              <w:tabs>
                <w:tab w:val="left" w:pos="567"/>
              </w:tabs>
              <w:spacing w:line="276" w:lineRule="auto"/>
              <w:jc w:val="center"/>
              <w:rPr>
                <w:b/>
                <w:i/>
                <w:color w:val="00B050"/>
                <w:sz w:val="22"/>
                <w:szCs w:val="22"/>
              </w:rPr>
            </w:pPr>
            <w:r w:rsidRPr="00316D26">
              <w:rPr>
                <w:b/>
              </w:rPr>
              <w:t>Kaštai</w:t>
            </w:r>
          </w:p>
        </w:tc>
      </w:tr>
      <w:tr w:rsidR="00305160" w:rsidRPr="00316D26" w14:paraId="7ACA7AE0" w14:textId="77777777" w:rsidTr="00D7026D">
        <w:trPr>
          <w:jc w:val="center"/>
        </w:trPr>
        <w:tc>
          <w:tcPr>
            <w:tcW w:w="2697" w:type="dxa"/>
            <w:tcBorders>
              <w:top w:val="single" w:sz="4" w:space="0" w:color="000000"/>
              <w:bottom w:val="single" w:sz="4" w:space="0" w:color="000000"/>
            </w:tcBorders>
          </w:tcPr>
          <w:p w14:paraId="59A65571" w14:textId="77777777" w:rsidR="00305160" w:rsidRPr="00316D26" w:rsidRDefault="00305160" w:rsidP="00D7026D">
            <w:pPr>
              <w:tabs>
                <w:tab w:val="left" w:pos="567"/>
              </w:tabs>
              <w:spacing w:line="276" w:lineRule="auto"/>
              <w:jc w:val="both"/>
              <w:rPr>
                <w:color w:val="00B050"/>
              </w:rPr>
            </w:pPr>
          </w:p>
        </w:tc>
        <w:tc>
          <w:tcPr>
            <w:tcW w:w="1613" w:type="dxa"/>
            <w:tcBorders>
              <w:top w:val="single" w:sz="4" w:space="0" w:color="000000"/>
              <w:bottom w:val="single" w:sz="4" w:space="0" w:color="000000"/>
            </w:tcBorders>
          </w:tcPr>
          <w:p w14:paraId="5D28A325" w14:textId="77777777" w:rsidR="00305160" w:rsidRPr="00316D26" w:rsidRDefault="00305160" w:rsidP="00D7026D">
            <w:pPr>
              <w:tabs>
                <w:tab w:val="left" w:pos="567"/>
              </w:tabs>
              <w:spacing w:line="276" w:lineRule="auto"/>
              <w:jc w:val="both"/>
              <w:rPr>
                <w:i/>
              </w:rPr>
            </w:pPr>
            <w:r w:rsidRPr="00316D26">
              <w:rPr>
                <w:i/>
              </w:rPr>
              <w:t>Tiriamasis vaistas</w:t>
            </w:r>
          </w:p>
        </w:tc>
        <w:tc>
          <w:tcPr>
            <w:tcW w:w="2019" w:type="dxa"/>
            <w:tcBorders>
              <w:top w:val="single" w:sz="4" w:space="0" w:color="000000"/>
              <w:bottom w:val="single" w:sz="4" w:space="0" w:color="000000"/>
            </w:tcBorders>
          </w:tcPr>
          <w:p w14:paraId="7B07AD23" w14:textId="77777777" w:rsidR="00305160" w:rsidRPr="00316D26" w:rsidRDefault="00305160" w:rsidP="00D7026D">
            <w:pPr>
              <w:tabs>
                <w:tab w:val="left" w:pos="567"/>
              </w:tabs>
              <w:spacing w:line="276" w:lineRule="auto"/>
              <w:jc w:val="both"/>
              <w:rPr>
                <w:i/>
              </w:rPr>
            </w:pPr>
            <w:r w:rsidRPr="00316D26">
              <w:rPr>
                <w:i/>
              </w:rPr>
              <w:t>Palyginamasis vaistas (placebas)</w:t>
            </w:r>
          </w:p>
        </w:tc>
        <w:tc>
          <w:tcPr>
            <w:tcW w:w="3579" w:type="dxa"/>
            <w:tcBorders>
              <w:top w:val="single" w:sz="4" w:space="0" w:color="000000"/>
              <w:bottom w:val="single" w:sz="4" w:space="0" w:color="000000"/>
            </w:tcBorders>
          </w:tcPr>
          <w:p w14:paraId="708A0ABA" w14:textId="77777777" w:rsidR="00305160" w:rsidRPr="00316D26" w:rsidRDefault="00305160" w:rsidP="00D7026D">
            <w:pPr>
              <w:tabs>
                <w:tab w:val="left" w:pos="567"/>
              </w:tabs>
              <w:spacing w:line="276" w:lineRule="auto"/>
              <w:jc w:val="both"/>
              <w:rPr>
                <w:i/>
              </w:rPr>
            </w:pPr>
            <w:r w:rsidRPr="00316D26">
              <w:rPr>
                <w:i/>
              </w:rPr>
              <w:t>Skirtumas</w:t>
            </w:r>
          </w:p>
        </w:tc>
      </w:tr>
      <w:tr w:rsidR="00305160" w:rsidRPr="00316D26" w14:paraId="41E49D90" w14:textId="77777777" w:rsidTr="00D7026D">
        <w:trPr>
          <w:jc w:val="center"/>
        </w:trPr>
        <w:tc>
          <w:tcPr>
            <w:tcW w:w="2697" w:type="dxa"/>
            <w:tcBorders>
              <w:top w:val="single" w:sz="4" w:space="0" w:color="000000"/>
              <w:bottom w:val="single" w:sz="4" w:space="0" w:color="000000"/>
            </w:tcBorders>
          </w:tcPr>
          <w:p w14:paraId="44D8E693" w14:textId="77777777" w:rsidR="00305160" w:rsidRPr="00316D26" w:rsidRDefault="00305160" w:rsidP="00D7026D">
            <w:pPr>
              <w:tabs>
                <w:tab w:val="left" w:pos="567"/>
              </w:tabs>
              <w:spacing w:line="276" w:lineRule="auto"/>
              <w:rPr>
                <w:color w:val="000000"/>
              </w:rPr>
            </w:pPr>
            <w:r w:rsidRPr="00316D26">
              <w:rPr>
                <w:color w:val="000000"/>
              </w:rPr>
              <w:t>Vaistinių preparatų įsigijimo kaštai</w:t>
            </w:r>
          </w:p>
        </w:tc>
        <w:tc>
          <w:tcPr>
            <w:tcW w:w="1613" w:type="dxa"/>
            <w:tcBorders>
              <w:top w:val="single" w:sz="4" w:space="0" w:color="000000"/>
              <w:bottom w:val="single" w:sz="4" w:space="0" w:color="000000"/>
            </w:tcBorders>
          </w:tcPr>
          <w:p w14:paraId="50127157" w14:textId="6D0DA8B3" w:rsidR="00305160" w:rsidRPr="00316D26" w:rsidRDefault="008B1499" w:rsidP="00D7026D">
            <w:pPr>
              <w:jc w:val="both"/>
              <w:rPr>
                <w:color w:val="000000"/>
              </w:rPr>
            </w:pPr>
            <w:r>
              <w:rPr>
                <w:color w:val="000000"/>
              </w:rPr>
              <w:t>***</w:t>
            </w:r>
          </w:p>
        </w:tc>
        <w:tc>
          <w:tcPr>
            <w:tcW w:w="2019" w:type="dxa"/>
            <w:tcBorders>
              <w:top w:val="single" w:sz="4" w:space="0" w:color="000000"/>
              <w:bottom w:val="single" w:sz="4" w:space="0" w:color="000000"/>
            </w:tcBorders>
          </w:tcPr>
          <w:p w14:paraId="6E92EB92" w14:textId="6E9D5D07" w:rsidR="00305160" w:rsidRPr="00316D26" w:rsidRDefault="008B1499" w:rsidP="00D7026D">
            <w:pPr>
              <w:tabs>
                <w:tab w:val="left" w:pos="567"/>
              </w:tabs>
              <w:spacing w:line="276" w:lineRule="auto"/>
              <w:jc w:val="both"/>
              <w:rPr>
                <w:i/>
              </w:rPr>
            </w:pPr>
            <w:r>
              <w:rPr>
                <w:i/>
              </w:rPr>
              <w:t>***</w:t>
            </w:r>
          </w:p>
        </w:tc>
        <w:tc>
          <w:tcPr>
            <w:tcW w:w="3579" w:type="dxa"/>
            <w:tcBorders>
              <w:top w:val="single" w:sz="4" w:space="0" w:color="000000"/>
              <w:bottom w:val="single" w:sz="4" w:space="0" w:color="000000"/>
            </w:tcBorders>
          </w:tcPr>
          <w:p w14:paraId="15643F7F" w14:textId="610D9BF2" w:rsidR="00305160" w:rsidRPr="00316D26" w:rsidRDefault="008B1499" w:rsidP="00D7026D">
            <w:pPr>
              <w:jc w:val="both"/>
              <w:rPr>
                <w:color w:val="000000"/>
              </w:rPr>
            </w:pPr>
            <w:r>
              <w:rPr>
                <w:color w:val="000000"/>
              </w:rPr>
              <w:t>***</w:t>
            </w:r>
          </w:p>
        </w:tc>
      </w:tr>
      <w:tr w:rsidR="00305160" w:rsidRPr="00316D26" w14:paraId="66E2D98D" w14:textId="77777777" w:rsidTr="00D7026D">
        <w:trPr>
          <w:jc w:val="center"/>
        </w:trPr>
        <w:tc>
          <w:tcPr>
            <w:tcW w:w="2697" w:type="dxa"/>
            <w:tcBorders>
              <w:top w:val="single" w:sz="4" w:space="0" w:color="000000"/>
              <w:bottom w:val="single" w:sz="12" w:space="0" w:color="000000"/>
            </w:tcBorders>
          </w:tcPr>
          <w:p w14:paraId="7A7D8084" w14:textId="77777777" w:rsidR="00305160" w:rsidRPr="00316D26" w:rsidRDefault="00305160" w:rsidP="00D7026D">
            <w:pPr>
              <w:tabs>
                <w:tab w:val="left" w:pos="567"/>
              </w:tabs>
              <w:spacing w:line="276" w:lineRule="auto"/>
              <w:jc w:val="both"/>
              <w:rPr>
                <w:color w:val="000000" w:themeColor="text1"/>
              </w:rPr>
            </w:pPr>
            <w:r w:rsidRPr="00316D26">
              <w:rPr>
                <w:color w:val="000000" w:themeColor="text1"/>
              </w:rPr>
              <w:t>Ašarų aparato procedūros C13Z</w:t>
            </w:r>
          </w:p>
        </w:tc>
        <w:tc>
          <w:tcPr>
            <w:tcW w:w="1613" w:type="dxa"/>
            <w:tcBorders>
              <w:top w:val="single" w:sz="4" w:space="0" w:color="000000"/>
              <w:bottom w:val="single" w:sz="12" w:space="0" w:color="000000"/>
            </w:tcBorders>
          </w:tcPr>
          <w:p w14:paraId="3BB834AD" w14:textId="77777777" w:rsidR="00305160" w:rsidRPr="00316D26" w:rsidRDefault="00305160" w:rsidP="00D7026D">
            <w:pPr>
              <w:tabs>
                <w:tab w:val="left" w:pos="567"/>
              </w:tabs>
              <w:spacing w:line="276" w:lineRule="auto"/>
              <w:jc w:val="both"/>
              <w:rPr>
                <w:i/>
              </w:rPr>
            </w:pPr>
            <w:r w:rsidRPr="00316D26">
              <w:rPr>
                <w:i/>
              </w:rPr>
              <w:t>-</w:t>
            </w:r>
          </w:p>
        </w:tc>
        <w:tc>
          <w:tcPr>
            <w:tcW w:w="2019" w:type="dxa"/>
            <w:tcBorders>
              <w:top w:val="single" w:sz="4" w:space="0" w:color="000000"/>
              <w:bottom w:val="single" w:sz="12" w:space="0" w:color="000000"/>
            </w:tcBorders>
          </w:tcPr>
          <w:p w14:paraId="24C999E8" w14:textId="77777777" w:rsidR="00305160" w:rsidRPr="00316D26" w:rsidRDefault="00305160" w:rsidP="00D7026D">
            <w:pPr>
              <w:tabs>
                <w:tab w:val="left" w:pos="567"/>
              </w:tabs>
              <w:spacing w:line="276" w:lineRule="auto"/>
              <w:jc w:val="both"/>
              <w:rPr>
                <w:i/>
              </w:rPr>
            </w:pPr>
            <w:r w:rsidRPr="00316D26">
              <w:rPr>
                <w:i/>
              </w:rPr>
              <w:t>-</w:t>
            </w:r>
          </w:p>
        </w:tc>
        <w:tc>
          <w:tcPr>
            <w:tcW w:w="3579" w:type="dxa"/>
            <w:tcBorders>
              <w:top w:val="single" w:sz="4" w:space="0" w:color="000000"/>
              <w:bottom w:val="single" w:sz="12" w:space="0" w:color="000000"/>
            </w:tcBorders>
          </w:tcPr>
          <w:p w14:paraId="65221094" w14:textId="77777777" w:rsidR="00305160" w:rsidRPr="00316D26" w:rsidRDefault="00305160" w:rsidP="00D7026D">
            <w:pPr>
              <w:tabs>
                <w:tab w:val="left" w:pos="567"/>
              </w:tabs>
              <w:spacing w:line="276" w:lineRule="auto"/>
              <w:jc w:val="both"/>
              <w:rPr>
                <w:i/>
              </w:rPr>
            </w:pPr>
            <w:r w:rsidRPr="00316D26">
              <w:rPr>
                <w:i/>
              </w:rPr>
              <w:t>skirtumas yra nereikšmingas (t.y. tikimybiškai &lt; EUR 5.0 metų, atsižvelgiant į mažas išlaidas, mažas tikimybes ir nedidelį skirtumą tarp grupių</w:t>
            </w:r>
          </w:p>
        </w:tc>
      </w:tr>
      <w:tr w:rsidR="00305160" w:rsidRPr="00316D26" w14:paraId="74702F11" w14:textId="77777777" w:rsidTr="00D7026D">
        <w:trPr>
          <w:jc w:val="center"/>
        </w:trPr>
        <w:tc>
          <w:tcPr>
            <w:tcW w:w="2697" w:type="dxa"/>
            <w:tcBorders>
              <w:top w:val="single" w:sz="4" w:space="0" w:color="000000"/>
              <w:bottom w:val="single" w:sz="12" w:space="0" w:color="000000"/>
            </w:tcBorders>
          </w:tcPr>
          <w:p w14:paraId="27C0E39F" w14:textId="77777777" w:rsidR="00305160" w:rsidRPr="00316D26" w:rsidRDefault="00305160" w:rsidP="00D7026D">
            <w:pPr>
              <w:tabs>
                <w:tab w:val="left" w:pos="567"/>
              </w:tabs>
              <w:spacing w:line="276" w:lineRule="auto"/>
              <w:jc w:val="both"/>
              <w:rPr>
                <w:color w:val="000000" w:themeColor="text1"/>
              </w:rPr>
            </w:pPr>
            <w:r w:rsidRPr="00316D26">
              <w:rPr>
                <w:color w:val="000000" w:themeColor="text1"/>
              </w:rPr>
              <w:t>Viso:</w:t>
            </w:r>
          </w:p>
        </w:tc>
        <w:tc>
          <w:tcPr>
            <w:tcW w:w="1613" w:type="dxa"/>
            <w:tcBorders>
              <w:top w:val="single" w:sz="4" w:space="0" w:color="000000"/>
              <w:bottom w:val="single" w:sz="12" w:space="0" w:color="000000"/>
            </w:tcBorders>
          </w:tcPr>
          <w:p w14:paraId="2DE905BB" w14:textId="08DE2447" w:rsidR="00305160" w:rsidRPr="00316D26" w:rsidRDefault="008B1499" w:rsidP="00D7026D">
            <w:pPr>
              <w:jc w:val="both"/>
              <w:rPr>
                <w:color w:val="000000"/>
              </w:rPr>
            </w:pPr>
            <w:r>
              <w:rPr>
                <w:color w:val="000000"/>
              </w:rPr>
              <w:t>***</w:t>
            </w:r>
          </w:p>
        </w:tc>
        <w:tc>
          <w:tcPr>
            <w:tcW w:w="2019" w:type="dxa"/>
            <w:tcBorders>
              <w:top w:val="single" w:sz="4" w:space="0" w:color="000000"/>
              <w:bottom w:val="single" w:sz="12" w:space="0" w:color="000000"/>
            </w:tcBorders>
          </w:tcPr>
          <w:p w14:paraId="5F8DAEE6" w14:textId="6EEF2D11" w:rsidR="00305160" w:rsidRPr="00316D26" w:rsidRDefault="008B1499" w:rsidP="00D7026D">
            <w:pPr>
              <w:tabs>
                <w:tab w:val="left" w:pos="567"/>
              </w:tabs>
              <w:spacing w:line="276" w:lineRule="auto"/>
              <w:jc w:val="both"/>
              <w:rPr>
                <w:i/>
              </w:rPr>
            </w:pPr>
            <w:r>
              <w:rPr>
                <w:i/>
              </w:rPr>
              <w:t>***</w:t>
            </w:r>
          </w:p>
        </w:tc>
        <w:tc>
          <w:tcPr>
            <w:tcW w:w="3579" w:type="dxa"/>
            <w:tcBorders>
              <w:top w:val="single" w:sz="4" w:space="0" w:color="000000"/>
              <w:bottom w:val="single" w:sz="12" w:space="0" w:color="000000"/>
            </w:tcBorders>
          </w:tcPr>
          <w:p w14:paraId="597B90D5" w14:textId="31B4026B" w:rsidR="00305160" w:rsidRPr="00316D26" w:rsidRDefault="008B1499" w:rsidP="00D7026D">
            <w:pPr>
              <w:tabs>
                <w:tab w:val="left" w:pos="567"/>
              </w:tabs>
              <w:spacing w:line="276" w:lineRule="auto"/>
              <w:jc w:val="both"/>
              <w:rPr>
                <w:i/>
              </w:rPr>
            </w:pPr>
            <w:r>
              <w:rPr>
                <w:i/>
              </w:rPr>
              <w:t>***</w:t>
            </w:r>
          </w:p>
        </w:tc>
      </w:tr>
      <w:tr w:rsidR="00305160" w:rsidRPr="00316D26" w14:paraId="0B2C4233" w14:textId="77777777" w:rsidTr="00D7026D">
        <w:trPr>
          <w:jc w:val="center"/>
        </w:trPr>
        <w:tc>
          <w:tcPr>
            <w:tcW w:w="9908" w:type="dxa"/>
            <w:gridSpan w:val="4"/>
            <w:tcBorders>
              <w:top w:val="single" w:sz="12" w:space="0" w:color="000000"/>
              <w:bottom w:val="single" w:sz="4" w:space="0" w:color="000000"/>
            </w:tcBorders>
          </w:tcPr>
          <w:p w14:paraId="0ECA8A67" w14:textId="77777777" w:rsidR="00305160" w:rsidRPr="00316D26" w:rsidRDefault="00305160" w:rsidP="00D7026D">
            <w:pPr>
              <w:tabs>
                <w:tab w:val="left" w:pos="567"/>
              </w:tabs>
              <w:spacing w:line="276" w:lineRule="auto"/>
              <w:jc w:val="center"/>
            </w:pPr>
            <w:r w:rsidRPr="00316D26">
              <w:t>Papildomi gyvenimo metai (LY)</w:t>
            </w:r>
          </w:p>
        </w:tc>
      </w:tr>
      <w:tr w:rsidR="00305160" w:rsidRPr="00316D26" w14:paraId="27B2675F" w14:textId="77777777" w:rsidTr="00D7026D">
        <w:trPr>
          <w:jc w:val="center"/>
        </w:trPr>
        <w:tc>
          <w:tcPr>
            <w:tcW w:w="2697" w:type="dxa"/>
            <w:tcBorders>
              <w:top w:val="single" w:sz="4" w:space="0" w:color="000000"/>
              <w:bottom w:val="single" w:sz="4" w:space="0" w:color="000000"/>
            </w:tcBorders>
          </w:tcPr>
          <w:p w14:paraId="3BF45B85" w14:textId="77777777" w:rsidR="00305160" w:rsidRPr="00316D26" w:rsidRDefault="00305160" w:rsidP="00D7026D">
            <w:pPr>
              <w:tabs>
                <w:tab w:val="left" w:pos="567"/>
              </w:tabs>
              <w:spacing w:line="276" w:lineRule="auto"/>
              <w:jc w:val="both"/>
            </w:pPr>
            <w:r w:rsidRPr="00316D26">
              <w:t>Ikervis</w:t>
            </w:r>
          </w:p>
        </w:tc>
        <w:tc>
          <w:tcPr>
            <w:tcW w:w="3632" w:type="dxa"/>
            <w:gridSpan w:val="2"/>
            <w:tcBorders>
              <w:top w:val="single" w:sz="4" w:space="0" w:color="000000"/>
              <w:bottom w:val="single" w:sz="4" w:space="0" w:color="000000"/>
            </w:tcBorders>
          </w:tcPr>
          <w:p w14:paraId="2867D19D" w14:textId="77777777" w:rsidR="00305160" w:rsidRPr="00316D26" w:rsidRDefault="00305160" w:rsidP="00D7026D">
            <w:pPr>
              <w:tabs>
                <w:tab w:val="left" w:pos="567"/>
              </w:tabs>
              <w:spacing w:line="276" w:lineRule="auto"/>
              <w:jc w:val="both"/>
              <w:rPr>
                <w:i/>
              </w:rPr>
            </w:pPr>
            <w:r w:rsidRPr="00316D26">
              <w:rPr>
                <w:i/>
              </w:rPr>
              <w:t>-</w:t>
            </w:r>
          </w:p>
        </w:tc>
        <w:tc>
          <w:tcPr>
            <w:tcW w:w="3579" w:type="dxa"/>
            <w:vMerge w:val="restart"/>
            <w:tcBorders>
              <w:top w:val="single" w:sz="4" w:space="0" w:color="000000"/>
            </w:tcBorders>
          </w:tcPr>
          <w:p w14:paraId="31E134C6" w14:textId="77777777" w:rsidR="00305160" w:rsidRPr="00316D26" w:rsidRDefault="00305160" w:rsidP="00D7026D">
            <w:pPr>
              <w:tabs>
                <w:tab w:val="left" w:pos="567"/>
              </w:tabs>
              <w:spacing w:line="276" w:lineRule="auto"/>
              <w:jc w:val="both"/>
            </w:pPr>
            <w:r w:rsidRPr="00316D26">
              <w:t>Skirtumas: -</w:t>
            </w:r>
          </w:p>
        </w:tc>
      </w:tr>
      <w:tr w:rsidR="00305160" w:rsidRPr="00316D26" w14:paraId="109016BA" w14:textId="77777777" w:rsidTr="00D7026D">
        <w:trPr>
          <w:jc w:val="center"/>
        </w:trPr>
        <w:tc>
          <w:tcPr>
            <w:tcW w:w="2697" w:type="dxa"/>
            <w:tcBorders>
              <w:top w:val="single" w:sz="4" w:space="0" w:color="000000"/>
              <w:bottom w:val="single" w:sz="12" w:space="0" w:color="000000"/>
            </w:tcBorders>
          </w:tcPr>
          <w:p w14:paraId="02348061" w14:textId="77777777" w:rsidR="00305160" w:rsidRPr="00316D26" w:rsidRDefault="00305160" w:rsidP="00D7026D">
            <w:pPr>
              <w:tabs>
                <w:tab w:val="left" w:pos="567"/>
              </w:tabs>
              <w:spacing w:line="276" w:lineRule="auto"/>
              <w:jc w:val="both"/>
            </w:pPr>
            <w:r w:rsidRPr="00316D26">
              <w:t>placebas</w:t>
            </w:r>
          </w:p>
        </w:tc>
        <w:tc>
          <w:tcPr>
            <w:tcW w:w="3632" w:type="dxa"/>
            <w:gridSpan w:val="2"/>
            <w:tcBorders>
              <w:top w:val="single" w:sz="4" w:space="0" w:color="000000"/>
              <w:bottom w:val="single" w:sz="12" w:space="0" w:color="000000"/>
            </w:tcBorders>
          </w:tcPr>
          <w:p w14:paraId="332DCD0D" w14:textId="77777777" w:rsidR="00305160" w:rsidRPr="00316D26" w:rsidRDefault="00305160" w:rsidP="00D7026D">
            <w:pPr>
              <w:tabs>
                <w:tab w:val="left" w:pos="567"/>
              </w:tabs>
              <w:spacing w:line="276" w:lineRule="auto"/>
              <w:jc w:val="both"/>
              <w:rPr>
                <w:i/>
              </w:rPr>
            </w:pPr>
            <w:r w:rsidRPr="00316D26">
              <w:rPr>
                <w:i/>
              </w:rPr>
              <w:t>-</w:t>
            </w:r>
          </w:p>
        </w:tc>
        <w:tc>
          <w:tcPr>
            <w:tcW w:w="3579" w:type="dxa"/>
            <w:vMerge/>
            <w:tcBorders>
              <w:top w:val="single" w:sz="4" w:space="0" w:color="000000"/>
            </w:tcBorders>
          </w:tcPr>
          <w:p w14:paraId="7F202DF5" w14:textId="77777777" w:rsidR="00305160" w:rsidRPr="00316D26" w:rsidRDefault="00305160" w:rsidP="00D7026D">
            <w:pPr>
              <w:widowControl w:val="0"/>
              <w:pBdr>
                <w:top w:val="nil"/>
                <w:left w:val="nil"/>
                <w:bottom w:val="nil"/>
                <w:right w:val="nil"/>
                <w:between w:val="nil"/>
              </w:pBdr>
              <w:spacing w:line="276" w:lineRule="auto"/>
              <w:rPr>
                <w:i/>
              </w:rPr>
            </w:pPr>
          </w:p>
        </w:tc>
      </w:tr>
      <w:tr w:rsidR="00305160" w:rsidRPr="00316D26" w14:paraId="4D6723B7" w14:textId="77777777" w:rsidTr="00D7026D">
        <w:trPr>
          <w:jc w:val="center"/>
        </w:trPr>
        <w:tc>
          <w:tcPr>
            <w:tcW w:w="9908" w:type="dxa"/>
            <w:gridSpan w:val="4"/>
            <w:tcBorders>
              <w:top w:val="single" w:sz="12" w:space="0" w:color="000000"/>
              <w:bottom w:val="single" w:sz="4" w:space="0" w:color="000000"/>
            </w:tcBorders>
          </w:tcPr>
          <w:p w14:paraId="02C4A7D4" w14:textId="77777777" w:rsidR="00305160" w:rsidRPr="00316D26" w:rsidRDefault="00305160" w:rsidP="00D7026D">
            <w:pPr>
              <w:tabs>
                <w:tab w:val="left" w:pos="567"/>
              </w:tabs>
              <w:spacing w:line="276" w:lineRule="auto"/>
              <w:jc w:val="center"/>
            </w:pPr>
            <w:r w:rsidRPr="00316D26">
              <w:t>Kokybiški gyvenimo metai (QALY)</w:t>
            </w:r>
          </w:p>
        </w:tc>
      </w:tr>
      <w:tr w:rsidR="00305160" w:rsidRPr="00316D26" w14:paraId="2F490F5D" w14:textId="77777777" w:rsidTr="00D7026D">
        <w:trPr>
          <w:jc w:val="center"/>
        </w:trPr>
        <w:tc>
          <w:tcPr>
            <w:tcW w:w="2697" w:type="dxa"/>
            <w:tcBorders>
              <w:top w:val="single" w:sz="4" w:space="0" w:color="000000"/>
              <w:bottom w:val="single" w:sz="4" w:space="0" w:color="000000"/>
            </w:tcBorders>
          </w:tcPr>
          <w:p w14:paraId="08D20A10" w14:textId="77777777" w:rsidR="00305160" w:rsidRPr="00316D26" w:rsidRDefault="00305160" w:rsidP="00D7026D">
            <w:pPr>
              <w:tabs>
                <w:tab w:val="left" w:pos="567"/>
              </w:tabs>
              <w:spacing w:line="276" w:lineRule="auto"/>
              <w:jc w:val="both"/>
            </w:pPr>
            <w:r w:rsidRPr="00316D26">
              <w:t>Ikervis</w:t>
            </w:r>
          </w:p>
        </w:tc>
        <w:tc>
          <w:tcPr>
            <w:tcW w:w="1613" w:type="dxa"/>
            <w:tcBorders>
              <w:top w:val="single" w:sz="4" w:space="0" w:color="000000"/>
              <w:bottom w:val="single" w:sz="4" w:space="0" w:color="000000"/>
            </w:tcBorders>
          </w:tcPr>
          <w:p w14:paraId="7CD8C57A" w14:textId="383F5EB6" w:rsidR="00305160" w:rsidRPr="00316D26" w:rsidRDefault="008B1499" w:rsidP="00D7026D">
            <w:pPr>
              <w:spacing w:line="276" w:lineRule="auto"/>
              <w:jc w:val="both"/>
              <w:rPr>
                <w:color w:val="000000"/>
                <w:sz w:val="22"/>
                <w:szCs w:val="22"/>
              </w:rPr>
            </w:pPr>
            <w:r>
              <w:rPr>
                <w:color w:val="000000"/>
                <w:sz w:val="22"/>
                <w:szCs w:val="22"/>
              </w:rPr>
              <w:t>***</w:t>
            </w:r>
          </w:p>
        </w:tc>
        <w:tc>
          <w:tcPr>
            <w:tcW w:w="2019" w:type="dxa"/>
            <w:tcBorders>
              <w:top w:val="single" w:sz="4" w:space="0" w:color="000000"/>
              <w:bottom w:val="single" w:sz="4" w:space="0" w:color="000000"/>
            </w:tcBorders>
          </w:tcPr>
          <w:p w14:paraId="231CC5F8" w14:textId="322F9358" w:rsidR="00305160" w:rsidRPr="00316D26" w:rsidRDefault="008B1499" w:rsidP="00D7026D">
            <w:pPr>
              <w:spacing w:line="276" w:lineRule="auto"/>
              <w:jc w:val="both"/>
              <w:rPr>
                <w:color w:val="000000"/>
                <w:sz w:val="22"/>
                <w:szCs w:val="22"/>
              </w:rPr>
            </w:pPr>
            <w:r>
              <w:rPr>
                <w:color w:val="000000"/>
                <w:sz w:val="22"/>
                <w:szCs w:val="22"/>
              </w:rPr>
              <w:t>***</w:t>
            </w:r>
          </w:p>
        </w:tc>
        <w:tc>
          <w:tcPr>
            <w:tcW w:w="3579" w:type="dxa"/>
            <w:tcBorders>
              <w:top w:val="single" w:sz="4" w:space="0" w:color="000000"/>
              <w:bottom w:val="single" w:sz="4" w:space="0" w:color="000000"/>
            </w:tcBorders>
          </w:tcPr>
          <w:p w14:paraId="21E37D42" w14:textId="5B4D76F1" w:rsidR="00305160" w:rsidRPr="00316D26" w:rsidRDefault="00305160" w:rsidP="00D7026D">
            <w:pPr>
              <w:tabs>
                <w:tab w:val="left" w:pos="567"/>
              </w:tabs>
              <w:spacing w:line="276" w:lineRule="auto"/>
              <w:jc w:val="both"/>
            </w:pPr>
            <w:r w:rsidRPr="00316D26">
              <w:t xml:space="preserve">Skirtumas: </w:t>
            </w:r>
            <w:r w:rsidR="008B1499">
              <w:rPr>
                <w:color w:val="000000"/>
                <w:sz w:val="22"/>
                <w:szCs w:val="22"/>
              </w:rPr>
              <w:t>***</w:t>
            </w:r>
          </w:p>
        </w:tc>
      </w:tr>
      <w:tr w:rsidR="00305160" w:rsidRPr="00316D26" w14:paraId="2EC3DC32" w14:textId="77777777" w:rsidTr="00D7026D">
        <w:trPr>
          <w:trHeight w:val="347"/>
          <w:jc w:val="center"/>
        </w:trPr>
        <w:tc>
          <w:tcPr>
            <w:tcW w:w="9908" w:type="dxa"/>
            <w:gridSpan w:val="4"/>
            <w:tcBorders>
              <w:top w:val="single" w:sz="12" w:space="0" w:color="000000"/>
            </w:tcBorders>
            <w:vAlign w:val="center"/>
          </w:tcPr>
          <w:p w14:paraId="20DF3A14" w14:textId="77777777" w:rsidR="00305160" w:rsidRPr="00316D26" w:rsidRDefault="00305160" w:rsidP="00D7026D">
            <w:pPr>
              <w:tabs>
                <w:tab w:val="left" w:pos="567"/>
              </w:tabs>
              <w:spacing w:line="276" w:lineRule="auto"/>
              <w:jc w:val="center"/>
              <w:rPr>
                <w:b/>
                <w:sz w:val="26"/>
                <w:szCs w:val="26"/>
              </w:rPr>
            </w:pPr>
            <w:r w:rsidRPr="00316D26">
              <w:rPr>
                <w:b/>
                <w:sz w:val="26"/>
                <w:szCs w:val="26"/>
              </w:rPr>
              <w:t>Rezultatai</w:t>
            </w:r>
          </w:p>
        </w:tc>
      </w:tr>
      <w:tr w:rsidR="00305160" w:rsidRPr="00316D26" w14:paraId="4A9C92C7" w14:textId="77777777" w:rsidTr="00D7026D">
        <w:trPr>
          <w:jc w:val="center"/>
        </w:trPr>
        <w:tc>
          <w:tcPr>
            <w:tcW w:w="6329" w:type="dxa"/>
            <w:gridSpan w:val="3"/>
          </w:tcPr>
          <w:p w14:paraId="2AE33638" w14:textId="77777777" w:rsidR="00305160" w:rsidRPr="00316D26" w:rsidRDefault="00305160" w:rsidP="00D7026D">
            <w:pPr>
              <w:tabs>
                <w:tab w:val="left" w:pos="567"/>
              </w:tabs>
              <w:spacing w:line="276" w:lineRule="auto"/>
              <w:jc w:val="right"/>
            </w:pPr>
            <w:r w:rsidRPr="00316D26">
              <w:t>ICER už QALY</w:t>
            </w:r>
          </w:p>
        </w:tc>
        <w:tc>
          <w:tcPr>
            <w:tcW w:w="3579" w:type="dxa"/>
          </w:tcPr>
          <w:p w14:paraId="69A3C3D4" w14:textId="348A8021" w:rsidR="00305160" w:rsidRPr="00316D26" w:rsidRDefault="008B1499" w:rsidP="00D7026D">
            <w:pPr>
              <w:spacing w:line="276" w:lineRule="auto"/>
              <w:jc w:val="both"/>
              <w:rPr>
                <w:b/>
                <w:bCs/>
                <w:color w:val="000000"/>
                <w:sz w:val="22"/>
                <w:szCs w:val="22"/>
              </w:rPr>
            </w:pPr>
            <w:r>
              <w:rPr>
                <w:color w:val="000000"/>
                <w:sz w:val="22"/>
                <w:szCs w:val="22"/>
              </w:rPr>
              <w:t>***</w:t>
            </w:r>
            <w:r w:rsidR="00305160" w:rsidRPr="00316D26">
              <w:rPr>
                <w:b/>
                <w:bCs/>
                <w:color w:val="000000"/>
                <w:sz w:val="22"/>
                <w:szCs w:val="22"/>
              </w:rPr>
              <w:t xml:space="preserve"> </w:t>
            </w:r>
            <w:r w:rsidR="00305160" w:rsidRPr="00316D26">
              <w:rPr>
                <w:color w:val="000000"/>
                <w:sz w:val="22"/>
                <w:szCs w:val="22"/>
              </w:rPr>
              <w:t>eur/QALY</w:t>
            </w:r>
          </w:p>
        </w:tc>
      </w:tr>
      <w:tr w:rsidR="00305160" w:rsidRPr="00316D26" w14:paraId="67E08F38" w14:textId="77777777" w:rsidTr="00D7026D">
        <w:trPr>
          <w:jc w:val="center"/>
        </w:trPr>
        <w:tc>
          <w:tcPr>
            <w:tcW w:w="6329" w:type="dxa"/>
            <w:gridSpan w:val="3"/>
          </w:tcPr>
          <w:p w14:paraId="73B7B24F" w14:textId="77777777" w:rsidR="00305160" w:rsidRPr="00316D26" w:rsidRDefault="00305160" w:rsidP="00D7026D">
            <w:pPr>
              <w:tabs>
                <w:tab w:val="left" w:pos="567"/>
              </w:tabs>
              <w:spacing w:line="276" w:lineRule="auto"/>
              <w:jc w:val="right"/>
            </w:pPr>
            <w:r w:rsidRPr="00316D26">
              <w:t>Referencinė kaštų naudingumo vertė</w:t>
            </w:r>
          </w:p>
        </w:tc>
        <w:tc>
          <w:tcPr>
            <w:tcW w:w="3579" w:type="dxa"/>
          </w:tcPr>
          <w:p w14:paraId="69406E9E" w14:textId="3CC795E5" w:rsidR="00305160" w:rsidRPr="00316D26" w:rsidRDefault="008B1499" w:rsidP="00D7026D">
            <w:pPr>
              <w:tabs>
                <w:tab w:val="left" w:pos="567"/>
              </w:tabs>
              <w:spacing w:line="276" w:lineRule="auto"/>
              <w:jc w:val="both"/>
              <w:rPr>
                <w:i/>
              </w:rPr>
            </w:pPr>
            <w:r>
              <w:rPr>
                <w:i/>
              </w:rPr>
              <w:t>***</w:t>
            </w:r>
            <w:r w:rsidR="00305160" w:rsidRPr="00316D26">
              <w:rPr>
                <w:i/>
              </w:rPr>
              <w:t xml:space="preserve"> eur/QALY</w:t>
            </w:r>
          </w:p>
        </w:tc>
      </w:tr>
    </w:tbl>
    <w:p w14:paraId="2CE33FCC" w14:textId="77777777" w:rsidR="00305160" w:rsidRPr="00316D26" w:rsidRDefault="00305160" w:rsidP="00305160">
      <w:pPr>
        <w:tabs>
          <w:tab w:val="left" w:pos="567"/>
        </w:tabs>
        <w:spacing w:line="276" w:lineRule="auto"/>
        <w:jc w:val="both"/>
        <w:rPr>
          <w:sz w:val="20"/>
          <w:szCs w:val="20"/>
        </w:rPr>
      </w:pPr>
      <w:r w:rsidRPr="00316D26">
        <w:rPr>
          <w:sz w:val="20"/>
          <w:szCs w:val="20"/>
        </w:rPr>
        <w:t>ICER – (</w:t>
      </w:r>
      <w:r w:rsidRPr="00316D26">
        <w:rPr>
          <w:i/>
          <w:sz w:val="20"/>
          <w:szCs w:val="20"/>
        </w:rPr>
        <w:t>angl. incremental cost-effectiveness ratio</w:t>
      </w:r>
      <w:r w:rsidRPr="00316D26">
        <w:rPr>
          <w:sz w:val="20"/>
          <w:szCs w:val="20"/>
        </w:rPr>
        <w:t>) inkrementinis kaštų naudingumo koeficientas; LY – (</w:t>
      </w:r>
      <w:r w:rsidRPr="00316D26">
        <w:rPr>
          <w:i/>
          <w:sz w:val="20"/>
          <w:szCs w:val="20"/>
        </w:rPr>
        <w:t>angl. life years</w:t>
      </w:r>
      <w:r w:rsidRPr="00316D26">
        <w:rPr>
          <w:sz w:val="20"/>
          <w:szCs w:val="20"/>
        </w:rPr>
        <w:t>) gyvenimo metai; QALY- (</w:t>
      </w:r>
      <w:r w:rsidRPr="00316D26">
        <w:rPr>
          <w:i/>
          <w:sz w:val="20"/>
          <w:szCs w:val="20"/>
        </w:rPr>
        <w:t xml:space="preserve">angl. quality adjusted life years) </w:t>
      </w:r>
      <w:r w:rsidRPr="00316D26">
        <w:rPr>
          <w:sz w:val="20"/>
          <w:szCs w:val="20"/>
        </w:rPr>
        <w:t>kokybiški gyvenimo metai.</w:t>
      </w:r>
    </w:p>
    <w:p w14:paraId="6A82BB18" w14:textId="77777777" w:rsidR="005679A4" w:rsidRPr="00316D26" w:rsidRDefault="005679A4" w:rsidP="00FF356C">
      <w:pPr>
        <w:tabs>
          <w:tab w:val="left" w:pos="426"/>
        </w:tabs>
        <w:spacing w:line="276" w:lineRule="auto"/>
        <w:jc w:val="both"/>
        <w:rPr>
          <w:b/>
          <w:bCs/>
          <w:caps/>
        </w:rPr>
      </w:pPr>
    </w:p>
    <w:p w14:paraId="5C5D38CC" w14:textId="77777777" w:rsidR="005648CF" w:rsidRPr="00316D26" w:rsidRDefault="005648CF" w:rsidP="00A93AA6">
      <w:pPr>
        <w:tabs>
          <w:tab w:val="left" w:pos="426"/>
        </w:tabs>
        <w:rPr>
          <w:b/>
          <w:bCs/>
          <w:caps/>
        </w:rPr>
      </w:pPr>
    </w:p>
    <w:p w14:paraId="4FC424F9" w14:textId="4E767245" w:rsidR="00C62B36" w:rsidRPr="00316D26" w:rsidRDefault="00C62B36" w:rsidP="00937907">
      <w:pPr>
        <w:pStyle w:val="Sraopastraipa"/>
        <w:numPr>
          <w:ilvl w:val="0"/>
          <w:numId w:val="12"/>
        </w:numPr>
        <w:tabs>
          <w:tab w:val="left" w:pos="284"/>
        </w:tabs>
        <w:rPr>
          <w:b/>
          <w:bCs/>
          <w:caps/>
        </w:rPr>
      </w:pPr>
      <w:r w:rsidRPr="00316D26">
        <w:rPr>
          <w:b/>
          <w:bCs/>
          <w:caps/>
        </w:rPr>
        <w:t xml:space="preserve">Pacientų organizacijų pateikti duomenys </w:t>
      </w:r>
    </w:p>
    <w:p w14:paraId="79BCFF40" w14:textId="35449A71" w:rsidR="00937907" w:rsidRPr="00316D26" w:rsidRDefault="00000000" w:rsidP="00937907">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Content>
          <w:r w:rsidR="00D30DA5" w:rsidRPr="00316D26">
            <w:rPr>
              <w:rStyle w:val="Style2"/>
              <w:rFonts w:ascii="MS Gothic" w:eastAsia="MS Gothic" w:hAnsi="MS Gothic"/>
            </w:rPr>
            <w:t>☐</w:t>
          </w:r>
        </w:sdtContent>
      </w:sdt>
      <w:r w:rsidR="00937907" w:rsidRPr="00316D26">
        <w:t xml:space="preserve"> Pacientų organizacijos pozicija pateikta. </w:t>
      </w:r>
    </w:p>
    <w:p w14:paraId="62992180" w14:textId="33C68BBF" w:rsidR="00937907" w:rsidRPr="00316D26" w:rsidRDefault="00000000" w:rsidP="00937907">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D30DA5" w:rsidRPr="00316D26">
            <w:rPr>
              <w:rStyle w:val="Style2"/>
              <w:rFonts w:ascii="MS Gothic" w:eastAsia="MS Gothic" w:hAnsi="MS Gothic"/>
            </w:rPr>
            <w:t>☒</w:t>
          </w:r>
        </w:sdtContent>
      </w:sdt>
      <w:r w:rsidR="00937907" w:rsidRPr="00316D26">
        <w:t xml:space="preserve"> Pacientų organizacijos pozicija </w:t>
      </w:r>
      <w:r w:rsidR="00880A44" w:rsidRPr="00316D26">
        <w:t>ne</w:t>
      </w:r>
      <w:r w:rsidR="00937907" w:rsidRPr="00316D26">
        <w:t>pateikta.</w:t>
      </w:r>
    </w:p>
    <w:p w14:paraId="3D3277FA" w14:textId="3CEEB2D2" w:rsidR="00C62B36" w:rsidRPr="00316D26" w:rsidRDefault="00C62B36" w:rsidP="00937907">
      <w:pPr>
        <w:pStyle w:val="Sraopastraipa"/>
        <w:numPr>
          <w:ilvl w:val="0"/>
          <w:numId w:val="12"/>
        </w:numPr>
        <w:tabs>
          <w:tab w:val="left" w:pos="426"/>
        </w:tabs>
        <w:rPr>
          <w:b/>
          <w:bCs/>
          <w:caps/>
        </w:rPr>
      </w:pPr>
      <w:r w:rsidRPr="00316D26">
        <w:rPr>
          <w:b/>
          <w:bCs/>
          <w:caps/>
        </w:rPr>
        <w:t>Gydytojų organizacijų pateikti duomenys</w:t>
      </w:r>
    </w:p>
    <w:p w14:paraId="389A346C" w14:textId="223B515F" w:rsidR="00937907" w:rsidRPr="00316D26" w:rsidRDefault="00000000" w:rsidP="00662983">
      <w:pPr>
        <w:spacing w:after="120"/>
        <w:jc w:val="both"/>
      </w:pPr>
      <w:sdt>
        <w:sdtPr>
          <w:rPr>
            <w:rStyle w:val="Style2"/>
            <w:rFonts w:ascii="MS Gothic" w:eastAsia="MS Gothic" w:hAnsi="MS Gothic"/>
          </w:rPr>
          <w:id w:val="1613862788"/>
          <w15:color w:val="FFCC00"/>
          <w14:checkbox>
            <w14:checked w14:val="0"/>
            <w14:checkedState w14:val="2612" w14:font="MS Gothic"/>
            <w14:uncheckedState w14:val="2610" w14:font="MS Gothic"/>
          </w14:checkbox>
        </w:sdtPr>
        <w:sdtContent>
          <w:r w:rsidR="00D30DA5" w:rsidRPr="00316D26">
            <w:rPr>
              <w:rStyle w:val="Style2"/>
              <w:rFonts w:ascii="MS Gothic" w:eastAsia="MS Gothic" w:hAnsi="MS Gothic"/>
            </w:rPr>
            <w:t>☐</w:t>
          </w:r>
        </w:sdtContent>
      </w:sdt>
      <w:r w:rsidR="00662983" w:rsidRPr="00316D26">
        <w:t xml:space="preserve"> </w:t>
      </w:r>
      <w:r w:rsidR="00937907" w:rsidRPr="00316D26">
        <w:t xml:space="preserve">Gydytojų specialistų organizacijos pozicija pateikta. </w:t>
      </w:r>
    </w:p>
    <w:p w14:paraId="5D8CC48C" w14:textId="38BA5E10" w:rsidR="00662983" w:rsidRPr="00316D26" w:rsidRDefault="00000000" w:rsidP="00662983">
      <w:pPr>
        <w:spacing w:after="120"/>
        <w:jc w:val="both"/>
      </w:pPr>
      <w:sdt>
        <w:sdtPr>
          <w:rPr>
            <w:rStyle w:val="Style2"/>
            <w:rFonts w:ascii="MS Gothic" w:eastAsia="MS Gothic" w:hAnsi="MS Gothic"/>
          </w:rPr>
          <w:id w:val="-41988141"/>
          <w15:color w:val="FFCC00"/>
          <w14:checkbox>
            <w14:checked w14:val="1"/>
            <w14:checkedState w14:val="2612" w14:font="MS Gothic"/>
            <w14:uncheckedState w14:val="2610" w14:font="MS Gothic"/>
          </w14:checkbox>
        </w:sdtPr>
        <w:sdtContent>
          <w:r w:rsidR="00D30DA5" w:rsidRPr="00316D26">
            <w:rPr>
              <w:rStyle w:val="Style2"/>
              <w:rFonts w:ascii="MS Gothic" w:eastAsia="MS Gothic" w:hAnsi="MS Gothic"/>
            </w:rPr>
            <w:t>☒</w:t>
          </w:r>
        </w:sdtContent>
      </w:sdt>
      <w:r w:rsidR="00662983" w:rsidRPr="00316D26">
        <w:t xml:space="preserve"> </w:t>
      </w:r>
      <w:r w:rsidR="00937907" w:rsidRPr="00316D26">
        <w:t xml:space="preserve">Gydytojų specialistų organizacijos pozicija </w:t>
      </w:r>
      <w:r w:rsidR="00880A44" w:rsidRPr="00316D26">
        <w:t>ne</w:t>
      </w:r>
      <w:r w:rsidR="00937907" w:rsidRPr="00316D26">
        <w:t>pateikta.</w:t>
      </w:r>
    </w:p>
    <w:p w14:paraId="78F23ECB" w14:textId="23A3A002" w:rsidR="002F0E4F" w:rsidRPr="00316D26" w:rsidRDefault="002F0E4F" w:rsidP="00937907">
      <w:pPr>
        <w:pStyle w:val="Sraopastraipa"/>
        <w:numPr>
          <w:ilvl w:val="0"/>
          <w:numId w:val="12"/>
        </w:numPr>
        <w:tabs>
          <w:tab w:val="left" w:pos="426"/>
        </w:tabs>
        <w:rPr>
          <w:b/>
          <w:bCs/>
          <w:caps/>
        </w:rPr>
      </w:pPr>
      <w:r w:rsidRPr="00316D26">
        <w:rPr>
          <w:b/>
          <w:bCs/>
          <w:caps/>
        </w:rPr>
        <w:t xml:space="preserve">Išvada </w:t>
      </w:r>
    </w:p>
    <w:p w14:paraId="573E407F" w14:textId="77777777" w:rsidR="00797153" w:rsidRPr="00316D26" w:rsidRDefault="00797153" w:rsidP="00797153">
      <w:pPr>
        <w:tabs>
          <w:tab w:val="left" w:pos="426"/>
        </w:tabs>
        <w:rPr>
          <w:b/>
          <w:bCs/>
          <w:caps/>
        </w:rPr>
      </w:pPr>
    </w:p>
    <w:tbl>
      <w:tblPr>
        <w:tblStyle w:val="Lentelstinklelis"/>
        <w:tblW w:w="0" w:type="auto"/>
        <w:tblLook w:val="04A0" w:firstRow="1" w:lastRow="0" w:firstColumn="1" w:lastColumn="0" w:noHBand="0" w:noVBand="1"/>
      </w:tblPr>
      <w:tblGrid>
        <w:gridCol w:w="4815"/>
        <w:gridCol w:w="4814"/>
      </w:tblGrid>
      <w:tr w:rsidR="00B13D65" w:rsidRPr="00316D26" w14:paraId="25A2473E" w14:textId="77777777" w:rsidTr="00BD1E5A">
        <w:tc>
          <w:tcPr>
            <w:tcW w:w="4981" w:type="dxa"/>
          </w:tcPr>
          <w:p w14:paraId="7EFE6941" w14:textId="23B8BB6D" w:rsidR="00B13D65" w:rsidRPr="00316D26"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316D26">
              <w:rPr>
                <w:rStyle w:val="Style2"/>
                <w:rFonts w:eastAsia="MS Gothic"/>
                <w:b/>
                <w:bCs/>
                <w:sz w:val="24"/>
              </w:rPr>
              <w:t>Rekomenduojama kompensuoti</w:t>
            </w:r>
          </w:p>
        </w:tc>
        <w:tc>
          <w:tcPr>
            <w:tcW w:w="4981" w:type="dxa"/>
          </w:tcPr>
          <w:p w14:paraId="330A1A5E" w14:textId="19247DC1" w:rsidR="00B13D65" w:rsidRPr="00316D26"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316D26">
              <w:rPr>
                <w:rStyle w:val="Style2"/>
                <w:rFonts w:eastAsia="MS Gothic"/>
                <w:b/>
                <w:bCs/>
                <w:sz w:val="24"/>
              </w:rPr>
              <w:t xml:space="preserve">Rekomenduojama nekompensuoti </w:t>
            </w:r>
          </w:p>
        </w:tc>
      </w:tr>
      <w:tr w:rsidR="00B13D65" w:rsidRPr="00316D26" w14:paraId="143A7356" w14:textId="77777777" w:rsidTr="00BD1E5A">
        <w:tc>
          <w:tcPr>
            <w:tcW w:w="9962" w:type="dxa"/>
            <w:gridSpan w:val="2"/>
          </w:tcPr>
          <w:p w14:paraId="5D93D240" w14:textId="77777777" w:rsidR="00B13D65" w:rsidRPr="00316D26"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316D26">
              <w:rPr>
                <w:rStyle w:val="Style2"/>
                <w:rFonts w:eastAsia="MS Gothic"/>
                <w:b/>
                <w:bCs/>
                <w:sz w:val="24"/>
              </w:rPr>
              <w:t>Palyginamasis efektyvumas</w:t>
            </w:r>
          </w:p>
          <w:p w14:paraId="0AF5D6B4" w14:textId="77777777" w:rsidR="00B13D65" w:rsidRPr="00316D26"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316D26" w14:paraId="28A0C814" w14:textId="77777777" w:rsidTr="00BD1E5A">
        <w:tc>
          <w:tcPr>
            <w:tcW w:w="4981" w:type="dxa"/>
          </w:tcPr>
          <w:p w14:paraId="216769B5" w14:textId="4D1B1C88" w:rsidR="00B13D65" w:rsidRPr="00316D26"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FF356C" w:rsidRPr="00316D26">
                  <w:rPr>
                    <w:rStyle w:val="Style2"/>
                    <w:rFonts w:ascii="MS Gothic" w:eastAsia="MS Gothic" w:hAnsi="MS Gothic"/>
                    <w:sz w:val="24"/>
                  </w:rPr>
                  <w:t>☒</w:t>
                </w:r>
              </w:sdtContent>
            </w:sdt>
            <w:r w:rsidR="00B13D65" w:rsidRPr="00316D26">
              <w:t xml:space="preserve"> 32.1. yra didesnis</w:t>
            </w:r>
          </w:p>
          <w:p w14:paraId="3B48F372" w14:textId="77777777" w:rsidR="00662983" w:rsidRPr="00316D26"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C0B9A69" w:rsidR="00B13D65" w:rsidRPr="00316D26"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8A0AD0" w:rsidRPr="00316D26">
                  <w:rPr>
                    <w:rStyle w:val="Style2"/>
                    <w:rFonts w:ascii="MS Gothic" w:eastAsia="MS Gothic" w:hAnsi="MS Gothic"/>
                    <w:sz w:val="24"/>
                  </w:rPr>
                  <w:t>☐</w:t>
                </w:r>
              </w:sdtContent>
            </w:sdt>
            <w:r w:rsidR="00B13D65" w:rsidRPr="00316D26">
              <w:t xml:space="preserve"> 32.1. iš esmės nesiskiria</w:t>
            </w:r>
          </w:p>
        </w:tc>
        <w:tc>
          <w:tcPr>
            <w:tcW w:w="4981" w:type="dxa"/>
          </w:tcPr>
          <w:p w14:paraId="507828D9" w14:textId="09AE523F" w:rsidR="00B13D65" w:rsidRPr="00316D26"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316D26">
                  <w:rPr>
                    <w:rStyle w:val="Style2"/>
                    <w:rFonts w:ascii="Segoe UI Symbol" w:eastAsia="MS Gothic" w:hAnsi="Segoe UI Symbol" w:cs="Segoe UI Symbol"/>
                    <w:sz w:val="24"/>
                  </w:rPr>
                  <w:t>☐</w:t>
                </w:r>
              </w:sdtContent>
            </w:sdt>
            <w:r w:rsidR="00B13D65" w:rsidRPr="00316D26">
              <w:t xml:space="preserve"> 33.1. yra mažesnis</w:t>
            </w:r>
          </w:p>
          <w:p w14:paraId="7F95DEEC" w14:textId="77777777" w:rsidR="00662983" w:rsidRPr="00316D26"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54F77A6C" w:rsidR="00662983" w:rsidRPr="00316D26"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316D26">
                  <w:rPr>
                    <w:rStyle w:val="Style2"/>
                    <w:rFonts w:ascii="Segoe UI Symbol" w:eastAsia="MS Gothic" w:hAnsi="Segoe UI Symbol" w:cs="Segoe UI Symbol"/>
                    <w:sz w:val="24"/>
                  </w:rPr>
                  <w:t>☐</w:t>
                </w:r>
              </w:sdtContent>
            </w:sdt>
            <w:r w:rsidR="00B13D65" w:rsidRPr="00316D26">
              <w:t xml:space="preserve"> 33.1. yra neįrodytas kaip toks pat</w:t>
            </w:r>
          </w:p>
          <w:p w14:paraId="35205E85" w14:textId="77777777" w:rsidR="00662983" w:rsidRPr="00316D26"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FB4ABC3" w:rsidR="00B13D65" w:rsidRPr="00316D26"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316D26">
                  <w:rPr>
                    <w:rStyle w:val="Style2"/>
                    <w:rFonts w:ascii="Segoe UI Symbol" w:eastAsia="MS Gothic" w:hAnsi="Segoe UI Symbol" w:cs="Segoe UI Symbol"/>
                    <w:sz w:val="24"/>
                  </w:rPr>
                  <w:t>☐</w:t>
                </w:r>
              </w:sdtContent>
            </w:sdt>
            <w:r w:rsidR="00662983" w:rsidRPr="00316D26">
              <w:t xml:space="preserve"> 33.1 </w:t>
            </w:r>
            <w:r w:rsidR="00B13D65" w:rsidRPr="00316D26">
              <w:t>neįrodytas kaip didesnis</w:t>
            </w:r>
          </w:p>
          <w:p w14:paraId="512E653B" w14:textId="77777777" w:rsidR="00662983" w:rsidRPr="00316D26"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316D26"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316D26">
                  <w:rPr>
                    <w:rStyle w:val="Style2"/>
                    <w:rFonts w:ascii="Segoe UI Symbol" w:eastAsia="MS Gothic" w:hAnsi="Segoe UI Symbol" w:cs="Segoe UI Symbol"/>
                    <w:sz w:val="24"/>
                  </w:rPr>
                  <w:t>☐</w:t>
                </w:r>
              </w:sdtContent>
            </w:sdt>
            <w:r w:rsidR="00B13D65" w:rsidRPr="00316D26">
              <w:t xml:space="preserve"> 33.1. pateikti duomenys apie palyginamąjį efektyvumą yra netinkami vertinti</w:t>
            </w:r>
          </w:p>
          <w:p w14:paraId="5DDAA961" w14:textId="77777777" w:rsidR="00B13D65" w:rsidRPr="00316D26"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316D26" w14:paraId="161CC3FE" w14:textId="77777777" w:rsidTr="00BD1E5A">
        <w:tc>
          <w:tcPr>
            <w:tcW w:w="9962" w:type="dxa"/>
            <w:gridSpan w:val="2"/>
          </w:tcPr>
          <w:p w14:paraId="3B2878F0" w14:textId="77777777" w:rsidR="00B13D65" w:rsidRPr="00316D26"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316D26">
              <w:rPr>
                <w:rStyle w:val="Style2"/>
                <w:rFonts w:eastAsia="MS Gothic"/>
                <w:b/>
                <w:bCs/>
                <w:sz w:val="24"/>
              </w:rPr>
              <w:lastRenderedPageBreak/>
              <w:t>Klinikinis veiksmingumas</w:t>
            </w:r>
          </w:p>
          <w:p w14:paraId="1AB46894" w14:textId="77777777" w:rsidR="00B13D65" w:rsidRPr="00316D26"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316D26" w14:paraId="3C60570A" w14:textId="77777777" w:rsidTr="00BD1E5A">
        <w:tc>
          <w:tcPr>
            <w:tcW w:w="4981" w:type="dxa"/>
          </w:tcPr>
          <w:p w14:paraId="6897B306" w14:textId="382C1F33" w:rsidR="00B13D65" w:rsidRPr="00316D26"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FF356C" w:rsidRPr="00316D26">
                  <w:rPr>
                    <w:rStyle w:val="Style2"/>
                    <w:rFonts w:ascii="MS Gothic" w:eastAsia="MS Gothic" w:hAnsi="MS Gothic"/>
                    <w:sz w:val="24"/>
                  </w:rPr>
                  <w:t>☒</w:t>
                </w:r>
              </w:sdtContent>
            </w:sdt>
            <w:r w:rsidR="00B13D65" w:rsidRPr="00316D26">
              <w:t xml:space="preserve"> 32.2. yra įvertintas kaip pagrindžiantis papildomos naudos pacientų sveikatai sukūrimą, lyginant su įprasta klinikine praktika</w:t>
            </w:r>
          </w:p>
          <w:p w14:paraId="71D57105" w14:textId="77777777" w:rsidR="00662983" w:rsidRPr="00316D26"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432DA5EE" w:rsidR="00B13D65" w:rsidRPr="00316D26"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8A0AD0" w:rsidRPr="00316D26">
                  <w:rPr>
                    <w:rStyle w:val="Style2"/>
                    <w:rFonts w:ascii="MS Gothic" w:eastAsia="MS Gothic" w:hAnsi="MS Gothic"/>
                    <w:sz w:val="24"/>
                  </w:rPr>
                  <w:t>☐</w:t>
                </w:r>
              </w:sdtContent>
            </w:sdt>
            <w:r w:rsidR="00B13D65" w:rsidRPr="00316D26">
              <w:t xml:space="preserve"> 32.2. įvertintas kaip pagrindžiantis nesiskiriančios naudos pacientų sveikatai sukūrimą, lyginant su įprasta klinikine praktika</w:t>
            </w:r>
          </w:p>
          <w:p w14:paraId="287AD233" w14:textId="77777777" w:rsidR="00B13D65" w:rsidRPr="00316D26"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74A2DECF" w14:textId="77777777" w:rsidR="00662983" w:rsidRPr="00316D26"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316D26">
                  <w:rPr>
                    <w:rStyle w:val="Style2"/>
                    <w:rFonts w:ascii="Segoe UI Symbol" w:eastAsia="MS Gothic" w:hAnsi="Segoe UI Symbol" w:cs="Segoe UI Symbol"/>
                    <w:sz w:val="24"/>
                  </w:rPr>
                  <w:t>☐</w:t>
                </w:r>
              </w:sdtContent>
            </w:sdt>
            <w:r w:rsidR="00B13D65" w:rsidRPr="00316D26">
              <w:t xml:space="preserve"> 33.1. yra įvertintas kaip nepagrindžiantis papildomos </w:t>
            </w:r>
            <w:r w:rsidR="00662983" w:rsidRPr="00316D26">
              <w:t>naudos pacientų sveikatai sukūrimo, lyginant su  įprasta klinikine praktika.</w:t>
            </w:r>
          </w:p>
          <w:p w14:paraId="6C70BCFC" w14:textId="77777777" w:rsidR="00662983" w:rsidRPr="00316D26" w:rsidRDefault="00662983" w:rsidP="00BD1E5A">
            <w:pPr>
              <w:jc w:val="both"/>
            </w:pPr>
          </w:p>
          <w:p w14:paraId="0ADEC30D" w14:textId="25150412" w:rsidR="00B13D65" w:rsidRPr="00316D26"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316D26">
                  <w:rPr>
                    <w:rStyle w:val="Style2"/>
                    <w:rFonts w:ascii="Segoe UI Symbol" w:eastAsia="MS Gothic" w:hAnsi="Segoe UI Symbol" w:cs="Segoe UI Symbol"/>
                    <w:sz w:val="24"/>
                  </w:rPr>
                  <w:t>☐</w:t>
                </w:r>
              </w:sdtContent>
            </w:sdt>
            <w:r w:rsidR="00B13D65" w:rsidRPr="00316D26">
              <w:t xml:space="preserve"> </w:t>
            </w:r>
            <w:r w:rsidR="00662983" w:rsidRPr="00316D26">
              <w:t xml:space="preserve">33.1. </w:t>
            </w:r>
            <w:r w:rsidR="00B13D65" w:rsidRPr="00316D26">
              <w:t>nesiskiriančios naudos pacientų sveikatai sukūrimo, lyginant su įprasta klinikine praktika.</w:t>
            </w:r>
          </w:p>
          <w:p w14:paraId="1EED7901" w14:textId="77777777" w:rsidR="00B13D65" w:rsidRPr="00316D26"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316D26"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316D26" w14:paraId="1C75AE76" w14:textId="77777777" w:rsidTr="00BD1E5A">
        <w:tc>
          <w:tcPr>
            <w:tcW w:w="9962" w:type="dxa"/>
            <w:gridSpan w:val="2"/>
          </w:tcPr>
          <w:p w14:paraId="56F7FA3E" w14:textId="77777777" w:rsidR="00B13D65" w:rsidRPr="00316D26"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316D26">
              <w:rPr>
                <w:rStyle w:val="Style2"/>
                <w:rFonts w:eastAsia="MS Gothic"/>
                <w:b/>
                <w:bCs/>
                <w:sz w:val="24"/>
              </w:rPr>
              <w:t>Kaštų naudingumas</w:t>
            </w:r>
          </w:p>
          <w:p w14:paraId="0247EDAD" w14:textId="77777777" w:rsidR="00B13D65" w:rsidRPr="00316D26"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316D26" w14:paraId="7091A05B" w14:textId="77777777" w:rsidTr="00BD1E5A">
        <w:tc>
          <w:tcPr>
            <w:tcW w:w="4981" w:type="dxa"/>
          </w:tcPr>
          <w:p w14:paraId="69B2A994" w14:textId="1E424FF3" w:rsidR="00B13D65" w:rsidRPr="00316D26"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2B6C5E" w:rsidRPr="00316D26">
                  <w:rPr>
                    <w:rStyle w:val="Style2"/>
                    <w:rFonts w:ascii="MS Gothic" w:eastAsia="MS Gothic" w:hAnsi="MS Gothic"/>
                    <w:sz w:val="24"/>
                  </w:rPr>
                  <w:t>☐</w:t>
                </w:r>
              </w:sdtContent>
            </w:sdt>
            <w:r w:rsidR="00B13D65" w:rsidRPr="00316D26">
              <w:t xml:space="preserve"> 32.3. atitinka referencinę naudingumo vertę, taikant</w:t>
            </w:r>
            <w:r w:rsidR="00662983" w:rsidRPr="00316D26">
              <w:t xml:space="preserve"> PGS</w:t>
            </w:r>
            <w:r w:rsidR="003C63AF" w:rsidRPr="00316D26">
              <w:t xml:space="preserve"> tam tikrais pacientų atvejais.</w:t>
            </w:r>
          </w:p>
          <w:p w14:paraId="3F76F153" w14:textId="77777777" w:rsidR="00662983" w:rsidRPr="00316D26"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E4BD1E" w14:textId="3BF7C345" w:rsidR="00B13D65" w:rsidRPr="00316D26" w:rsidRDefault="00000000" w:rsidP="00742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Content>
                <w:r w:rsidR="003C63AF" w:rsidRPr="00316D26">
                  <w:rPr>
                    <w:rStyle w:val="Style2"/>
                    <w:rFonts w:ascii="MS Gothic" w:eastAsia="MS Gothic" w:hAnsi="MS Gothic"/>
                    <w:sz w:val="24"/>
                  </w:rPr>
                  <w:t>☐</w:t>
                </w:r>
              </w:sdtContent>
            </w:sdt>
            <w:r w:rsidR="00B13D65" w:rsidRPr="00316D26">
              <w:t xml:space="preserve"> 32.3. </w:t>
            </w:r>
            <w:r w:rsidR="005648CF" w:rsidRPr="00316D26">
              <w:t>gydymo juo kaštai yra mažesni ar tokie patys esant iš esmės nesiskiriančiam palyginamajam efektyvumui, taikant PGS.</w:t>
            </w:r>
          </w:p>
        </w:tc>
        <w:tc>
          <w:tcPr>
            <w:tcW w:w="4981" w:type="dxa"/>
          </w:tcPr>
          <w:p w14:paraId="53380063" w14:textId="22C0A3EF" w:rsidR="00B13D65" w:rsidRPr="00316D26"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Content>
                <w:r w:rsidR="002B6C5E" w:rsidRPr="00316D26">
                  <w:rPr>
                    <w:rStyle w:val="Style2"/>
                    <w:rFonts w:ascii="MS Gothic" w:eastAsia="MS Gothic" w:hAnsi="MS Gothic"/>
                    <w:sz w:val="24"/>
                  </w:rPr>
                  <w:t>☒</w:t>
                </w:r>
              </w:sdtContent>
            </w:sdt>
            <w:r w:rsidR="00B13D65" w:rsidRPr="00316D26">
              <w:t xml:space="preserve"> 33.3. neatitinka referencinės naudingumo vertės Lietuvos Respublikoje;</w:t>
            </w:r>
          </w:p>
          <w:p w14:paraId="229ED51A" w14:textId="77777777" w:rsidR="00662983" w:rsidRPr="00316D26"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3D0037AF" w:rsidR="00B13D65" w:rsidRPr="00316D26"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316D26">
                  <w:rPr>
                    <w:rStyle w:val="Style2"/>
                    <w:rFonts w:ascii="Segoe UI Symbol" w:eastAsia="MS Gothic" w:hAnsi="Segoe UI Symbol" w:cs="Segoe UI Symbol"/>
                    <w:sz w:val="24"/>
                  </w:rPr>
                  <w:t>☐</w:t>
                </w:r>
              </w:sdtContent>
            </w:sdt>
            <w:r w:rsidR="00B13D65" w:rsidRPr="00316D26">
              <w:t xml:space="preserve"> 33.3. gydymo juo kaštai yra didesni esant iš esmės nesiskiriančiam palyginamajam efektyvumui, taikant</w:t>
            </w:r>
            <w:r w:rsidR="00997870" w:rsidRPr="00316D26">
              <w:t xml:space="preserve"> PGS</w:t>
            </w:r>
          </w:p>
          <w:p w14:paraId="4A9C7D2A" w14:textId="77777777" w:rsidR="00662983" w:rsidRPr="00316D26"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316D26"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316D26">
                  <w:rPr>
                    <w:rStyle w:val="Style2"/>
                    <w:rFonts w:ascii="Segoe UI Symbol" w:eastAsia="MS Gothic" w:hAnsi="Segoe UI Symbol" w:cs="Segoe UI Symbol"/>
                    <w:sz w:val="24"/>
                  </w:rPr>
                  <w:t>☐</w:t>
                </w:r>
              </w:sdtContent>
            </w:sdt>
            <w:r w:rsidR="00B13D65" w:rsidRPr="00316D26">
              <w:t xml:space="preserve"> 33.3. pateikti duomenys apie kaštų na</w:t>
            </w:r>
            <w:r w:rsidR="00662983" w:rsidRPr="00316D26">
              <w:t>udingumą yra netinkami vertinti</w:t>
            </w:r>
          </w:p>
          <w:p w14:paraId="470A48A4" w14:textId="77777777" w:rsidR="00B13D65" w:rsidRPr="00316D26"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E54D44C" w14:textId="77777777" w:rsidR="0055060B" w:rsidRPr="00316D26" w:rsidRDefault="0055060B" w:rsidP="0055060B">
      <w:pPr>
        <w:rPr>
          <w:b/>
        </w:rPr>
      </w:pPr>
    </w:p>
    <w:p w14:paraId="4761590D" w14:textId="77777777" w:rsidR="0055060B" w:rsidRPr="00316D26" w:rsidRDefault="0055060B" w:rsidP="0055060B">
      <w:pPr>
        <w:pStyle w:val="Sraopastraipa"/>
        <w:numPr>
          <w:ilvl w:val="0"/>
          <w:numId w:val="12"/>
        </w:numPr>
        <w:ind w:left="567" w:hanging="567"/>
        <w:rPr>
          <w:b/>
        </w:rPr>
      </w:pPr>
      <w:r w:rsidRPr="00316D26">
        <w:rPr>
          <w:b/>
        </w:rPr>
        <w:t>REKOMENDACIJA</w:t>
      </w:r>
    </w:p>
    <w:p w14:paraId="7CA221DC" w14:textId="697A7D4E" w:rsidR="0055060B" w:rsidRPr="00316D26" w:rsidRDefault="0055060B" w:rsidP="0055060B">
      <w:pPr>
        <w:rPr>
          <w:i/>
          <w:color w:val="00B050"/>
        </w:rPr>
      </w:pPr>
    </w:p>
    <w:p w14:paraId="230387D0" w14:textId="77777777" w:rsidR="00997870" w:rsidRPr="00316D26" w:rsidRDefault="00997870" w:rsidP="00E66225">
      <w:pPr>
        <w:spacing w:line="276" w:lineRule="auto"/>
        <w:jc w:val="both"/>
      </w:pPr>
      <w:r w:rsidRPr="00316D26">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w:t>
      </w:r>
    </w:p>
    <w:p w14:paraId="52EC40BD" w14:textId="774E70D2" w:rsidR="00997870" w:rsidRPr="00316D26" w:rsidRDefault="00997870" w:rsidP="00E66225">
      <w:pPr>
        <w:spacing w:line="276" w:lineRule="auto"/>
        <w:jc w:val="both"/>
      </w:pPr>
      <w:r w:rsidRPr="00316D26">
        <w:t xml:space="preserve">34.4. rekomenduojama </w:t>
      </w:r>
      <w:r w:rsidRPr="00316D26">
        <w:rPr>
          <w:i/>
        </w:rPr>
        <w:t xml:space="preserve">nekompensuoti </w:t>
      </w:r>
      <w:r w:rsidRPr="00316D26">
        <w:t xml:space="preserve">vaistinio preparato pagal paraiškoje nurodytą indikaciją su skyrimo sąlygomis, taikant PGS dėl vertinimo išvadų, nurodytų 33.3 papunktyje (žr. 6 skyrių),  neatitikties 34.1 papunktyje išdėstytoms sąlygoms. </w:t>
      </w:r>
    </w:p>
    <w:p w14:paraId="4675BD1C" w14:textId="77777777" w:rsidR="0055060B" w:rsidRPr="00316D26" w:rsidRDefault="0055060B" w:rsidP="00E66225">
      <w:pPr>
        <w:spacing w:line="276" w:lineRule="auto"/>
      </w:pPr>
    </w:p>
    <w:p w14:paraId="0DB07619" w14:textId="29B61415" w:rsidR="009501A9" w:rsidRPr="00316D26" w:rsidRDefault="009501A9" w:rsidP="00E66225">
      <w:pPr>
        <w:pBdr>
          <w:top w:val="nil"/>
          <w:left w:val="nil"/>
          <w:bottom w:val="nil"/>
          <w:right w:val="nil"/>
          <w:between w:val="nil"/>
        </w:pBdr>
        <w:spacing w:line="276" w:lineRule="auto"/>
        <w:rPr>
          <w:i/>
          <w:color w:val="000000"/>
        </w:rPr>
      </w:pPr>
    </w:p>
    <w:p w14:paraId="00238513" w14:textId="6EDA01ED" w:rsidR="000915AB" w:rsidRPr="00316D26" w:rsidRDefault="000915AB" w:rsidP="009501A9">
      <w:pPr>
        <w:pStyle w:val="Betarp"/>
        <w:rPr>
          <w:rFonts w:ascii="Times New Roman" w:hAnsi="Times New Roman"/>
          <w:i/>
          <w:iCs/>
          <w:sz w:val="24"/>
          <w:szCs w:val="24"/>
        </w:rPr>
      </w:pPr>
    </w:p>
    <w:p w14:paraId="1A80C88C" w14:textId="77777777" w:rsidR="000C2281" w:rsidRPr="00316D26" w:rsidRDefault="000C2281" w:rsidP="000C2281">
      <w:pPr>
        <w:pStyle w:val="Betarp"/>
        <w:rPr>
          <w:rFonts w:ascii="Times New Roman" w:hAnsi="Times New Roman"/>
          <w:i/>
          <w:iCs/>
          <w:sz w:val="24"/>
          <w:szCs w:val="24"/>
        </w:rPr>
      </w:pPr>
    </w:p>
    <w:p w14:paraId="146D45D3" w14:textId="77777777" w:rsidR="00180E75" w:rsidRPr="00316D26" w:rsidRDefault="00180E75">
      <w:pPr>
        <w:pStyle w:val="Betarp"/>
        <w:rPr>
          <w:rFonts w:ascii="Times New Roman" w:hAnsi="Times New Roman"/>
          <w:i/>
          <w:iCs/>
          <w:sz w:val="24"/>
          <w:szCs w:val="24"/>
        </w:rPr>
      </w:pPr>
    </w:p>
    <w:sectPr w:rsidR="00180E75" w:rsidRPr="00316D26" w:rsidSect="005D30E1">
      <w:headerReference w:type="even" r:id="rId7"/>
      <w:headerReference w:type="default" r:id="rId8"/>
      <w:headerReference w:type="first" r:id="rId9"/>
      <w:footerReference w:type="first" r:id="rId10"/>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32263" w14:textId="77777777" w:rsidR="00752D82" w:rsidRDefault="00752D82">
      <w:r>
        <w:separator/>
      </w:r>
    </w:p>
  </w:endnote>
  <w:endnote w:type="continuationSeparator" w:id="0">
    <w:p w14:paraId="68CB8167" w14:textId="77777777" w:rsidR="00752D82" w:rsidRDefault="0075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04EF0" w14:textId="77777777" w:rsidR="00752D82" w:rsidRDefault="00752D82">
      <w:r>
        <w:separator/>
      </w:r>
    </w:p>
  </w:footnote>
  <w:footnote w:type="continuationSeparator" w:id="0">
    <w:p w14:paraId="52B73F03" w14:textId="77777777" w:rsidR="00752D82" w:rsidRDefault="00752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151B04EF"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6DAD">
      <w:rPr>
        <w:rStyle w:val="Puslapionumeris"/>
        <w:noProof/>
      </w:rPr>
      <w:t>4</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73B1625"/>
    <w:multiLevelType w:val="hybridMultilevel"/>
    <w:tmpl w:val="5B00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multilevel"/>
    <w:tmpl w:val="82660BE8"/>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278F598F"/>
    <w:multiLevelType w:val="hybridMultilevel"/>
    <w:tmpl w:val="3AB48036"/>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6" w15:restartNumberingAfterBreak="0">
    <w:nsid w:val="332605BF"/>
    <w:multiLevelType w:val="hybridMultilevel"/>
    <w:tmpl w:val="484C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72D7D"/>
    <w:multiLevelType w:val="hybridMultilevel"/>
    <w:tmpl w:val="B4662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0"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A1538D"/>
    <w:multiLevelType w:val="hybridMultilevel"/>
    <w:tmpl w:val="2F7C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06243C"/>
    <w:multiLevelType w:val="hybridMultilevel"/>
    <w:tmpl w:val="074A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D5D5412"/>
    <w:multiLevelType w:val="hybridMultilevel"/>
    <w:tmpl w:val="59A0DE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FE12046"/>
    <w:multiLevelType w:val="hybridMultilevel"/>
    <w:tmpl w:val="AF527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4144118">
    <w:abstractNumId w:val="10"/>
  </w:num>
  <w:num w:numId="2" w16cid:durableId="1532108023">
    <w:abstractNumId w:val="2"/>
  </w:num>
  <w:num w:numId="3" w16cid:durableId="633298092">
    <w:abstractNumId w:val="12"/>
  </w:num>
  <w:num w:numId="4" w16cid:durableId="1539123686">
    <w:abstractNumId w:val="11"/>
  </w:num>
  <w:num w:numId="5" w16cid:durableId="7100433">
    <w:abstractNumId w:val="9"/>
  </w:num>
  <w:num w:numId="6" w16cid:durableId="1059088866">
    <w:abstractNumId w:val="8"/>
  </w:num>
  <w:num w:numId="7" w16cid:durableId="843976813">
    <w:abstractNumId w:val="4"/>
  </w:num>
  <w:num w:numId="8" w16cid:durableId="548540189">
    <w:abstractNumId w:val="18"/>
  </w:num>
  <w:num w:numId="9" w16cid:durableId="167796410">
    <w:abstractNumId w:val="0"/>
  </w:num>
  <w:num w:numId="10" w16cid:durableId="1569918221">
    <w:abstractNumId w:val="13"/>
  </w:num>
  <w:num w:numId="11" w16cid:durableId="1792936931">
    <w:abstractNumId w:val="16"/>
  </w:num>
  <w:num w:numId="12" w16cid:durableId="410003960">
    <w:abstractNumId w:val="3"/>
  </w:num>
  <w:num w:numId="13" w16cid:durableId="65346663">
    <w:abstractNumId w:val="1"/>
  </w:num>
  <w:num w:numId="14" w16cid:durableId="1912228158">
    <w:abstractNumId w:val="14"/>
  </w:num>
  <w:num w:numId="15" w16cid:durableId="805707740">
    <w:abstractNumId w:val="19"/>
  </w:num>
  <w:num w:numId="16" w16cid:durableId="1597903804">
    <w:abstractNumId w:val="17"/>
  </w:num>
  <w:num w:numId="17" w16cid:durableId="780029365">
    <w:abstractNumId w:val="6"/>
  </w:num>
  <w:num w:numId="18" w16cid:durableId="1998264891">
    <w:abstractNumId w:val="15"/>
  </w:num>
  <w:num w:numId="19" w16cid:durableId="780028822">
    <w:abstractNumId w:val="7"/>
  </w:num>
  <w:num w:numId="20" w16cid:durableId="1606884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3F5B"/>
    <w:rsid w:val="00010786"/>
    <w:rsid w:val="000114DD"/>
    <w:rsid w:val="000136DE"/>
    <w:rsid w:val="000136F7"/>
    <w:rsid w:val="00020A70"/>
    <w:rsid w:val="0002686C"/>
    <w:rsid w:val="00031D0E"/>
    <w:rsid w:val="000337E6"/>
    <w:rsid w:val="0003402E"/>
    <w:rsid w:val="00034EAE"/>
    <w:rsid w:val="000606BE"/>
    <w:rsid w:val="000736B8"/>
    <w:rsid w:val="0008190F"/>
    <w:rsid w:val="00081D9C"/>
    <w:rsid w:val="00082907"/>
    <w:rsid w:val="0008378D"/>
    <w:rsid w:val="000908A5"/>
    <w:rsid w:val="000915AB"/>
    <w:rsid w:val="00092805"/>
    <w:rsid w:val="000C2281"/>
    <w:rsid w:val="000C454C"/>
    <w:rsid w:val="000C67DA"/>
    <w:rsid w:val="000D294D"/>
    <w:rsid w:val="000D5038"/>
    <w:rsid w:val="000E229F"/>
    <w:rsid w:val="000E29D4"/>
    <w:rsid w:val="000F3540"/>
    <w:rsid w:val="00100491"/>
    <w:rsid w:val="00104E2E"/>
    <w:rsid w:val="00107287"/>
    <w:rsid w:val="00117406"/>
    <w:rsid w:val="00121EF0"/>
    <w:rsid w:val="00124A9E"/>
    <w:rsid w:val="00130703"/>
    <w:rsid w:val="0013153F"/>
    <w:rsid w:val="001408B8"/>
    <w:rsid w:val="001521D9"/>
    <w:rsid w:val="00154B01"/>
    <w:rsid w:val="001554E2"/>
    <w:rsid w:val="00164146"/>
    <w:rsid w:val="00165F83"/>
    <w:rsid w:val="0017369C"/>
    <w:rsid w:val="00180C39"/>
    <w:rsid w:val="00180D96"/>
    <w:rsid w:val="00180E75"/>
    <w:rsid w:val="00186DAD"/>
    <w:rsid w:val="001921F3"/>
    <w:rsid w:val="001A0642"/>
    <w:rsid w:val="001B0084"/>
    <w:rsid w:val="001B3C5B"/>
    <w:rsid w:val="001D46A7"/>
    <w:rsid w:val="001E4BBB"/>
    <w:rsid w:val="001E6304"/>
    <w:rsid w:val="00202BE8"/>
    <w:rsid w:val="0020381E"/>
    <w:rsid w:val="00213471"/>
    <w:rsid w:val="00214F6C"/>
    <w:rsid w:val="00215906"/>
    <w:rsid w:val="0023505D"/>
    <w:rsid w:val="002524C2"/>
    <w:rsid w:val="00253EA1"/>
    <w:rsid w:val="0025697F"/>
    <w:rsid w:val="00260258"/>
    <w:rsid w:val="00272428"/>
    <w:rsid w:val="00272461"/>
    <w:rsid w:val="00272948"/>
    <w:rsid w:val="00275A18"/>
    <w:rsid w:val="002946C7"/>
    <w:rsid w:val="00296ADB"/>
    <w:rsid w:val="002A6B73"/>
    <w:rsid w:val="002B3CC1"/>
    <w:rsid w:val="002B5D55"/>
    <w:rsid w:val="002B6C5E"/>
    <w:rsid w:val="002C09E0"/>
    <w:rsid w:val="002C3A10"/>
    <w:rsid w:val="002C4A90"/>
    <w:rsid w:val="002D02EF"/>
    <w:rsid w:val="002D3679"/>
    <w:rsid w:val="002E0702"/>
    <w:rsid w:val="002E6F80"/>
    <w:rsid w:val="002F0E4F"/>
    <w:rsid w:val="002F1053"/>
    <w:rsid w:val="00305160"/>
    <w:rsid w:val="00306D00"/>
    <w:rsid w:val="00316D26"/>
    <w:rsid w:val="00317B0E"/>
    <w:rsid w:val="0032204D"/>
    <w:rsid w:val="00343125"/>
    <w:rsid w:val="003458C3"/>
    <w:rsid w:val="00347FAA"/>
    <w:rsid w:val="0035172D"/>
    <w:rsid w:val="0036187D"/>
    <w:rsid w:val="00381024"/>
    <w:rsid w:val="00386307"/>
    <w:rsid w:val="003874DE"/>
    <w:rsid w:val="00390F3E"/>
    <w:rsid w:val="00393E9F"/>
    <w:rsid w:val="0039696E"/>
    <w:rsid w:val="003B211A"/>
    <w:rsid w:val="003B666F"/>
    <w:rsid w:val="003C12B3"/>
    <w:rsid w:val="003C141F"/>
    <w:rsid w:val="003C63AF"/>
    <w:rsid w:val="003C6B0E"/>
    <w:rsid w:val="003C7257"/>
    <w:rsid w:val="003C7E35"/>
    <w:rsid w:val="003D0241"/>
    <w:rsid w:val="003D20D5"/>
    <w:rsid w:val="003E5FCD"/>
    <w:rsid w:val="003F580E"/>
    <w:rsid w:val="00404E8A"/>
    <w:rsid w:val="0040622F"/>
    <w:rsid w:val="00417DCF"/>
    <w:rsid w:val="00420BF8"/>
    <w:rsid w:val="00423160"/>
    <w:rsid w:val="00436E1B"/>
    <w:rsid w:val="00453862"/>
    <w:rsid w:val="00457528"/>
    <w:rsid w:val="0045758C"/>
    <w:rsid w:val="00461338"/>
    <w:rsid w:val="00464659"/>
    <w:rsid w:val="004677DB"/>
    <w:rsid w:val="00480304"/>
    <w:rsid w:val="0048630F"/>
    <w:rsid w:val="004947A1"/>
    <w:rsid w:val="0049482A"/>
    <w:rsid w:val="00496070"/>
    <w:rsid w:val="004979D3"/>
    <w:rsid w:val="004A00E7"/>
    <w:rsid w:val="004A3A61"/>
    <w:rsid w:val="004B59BA"/>
    <w:rsid w:val="004C263A"/>
    <w:rsid w:val="004D7B8F"/>
    <w:rsid w:val="004E1CFD"/>
    <w:rsid w:val="004E6458"/>
    <w:rsid w:val="004E6E7D"/>
    <w:rsid w:val="004F1AAC"/>
    <w:rsid w:val="004F1AE2"/>
    <w:rsid w:val="004F34F0"/>
    <w:rsid w:val="005005EF"/>
    <w:rsid w:val="005132DA"/>
    <w:rsid w:val="00521380"/>
    <w:rsid w:val="005227E0"/>
    <w:rsid w:val="005270F1"/>
    <w:rsid w:val="00531DF3"/>
    <w:rsid w:val="00534E11"/>
    <w:rsid w:val="0053651E"/>
    <w:rsid w:val="005400D9"/>
    <w:rsid w:val="00540135"/>
    <w:rsid w:val="005476A4"/>
    <w:rsid w:val="0055019B"/>
    <w:rsid w:val="0055060B"/>
    <w:rsid w:val="00555D39"/>
    <w:rsid w:val="00556E63"/>
    <w:rsid w:val="005601A4"/>
    <w:rsid w:val="005648CF"/>
    <w:rsid w:val="00566DBB"/>
    <w:rsid w:val="005679A4"/>
    <w:rsid w:val="005976CE"/>
    <w:rsid w:val="005A23D4"/>
    <w:rsid w:val="005A2D1E"/>
    <w:rsid w:val="005C493F"/>
    <w:rsid w:val="005C6BF7"/>
    <w:rsid w:val="005C71BF"/>
    <w:rsid w:val="005D002C"/>
    <w:rsid w:val="005D30E1"/>
    <w:rsid w:val="005D5366"/>
    <w:rsid w:val="005D6555"/>
    <w:rsid w:val="005D7BDF"/>
    <w:rsid w:val="005F2950"/>
    <w:rsid w:val="005F71D9"/>
    <w:rsid w:val="005F7602"/>
    <w:rsid w:val="00602B5A"/>
    <w:rsid w:val="006108BA"/>
    <w:rsid w:val="00613501"/>
    <w:rsid w:val="006166A8"/>
    <w:rsid w:val="00616854"/>
    <w:rsid w:val="006174A1"/>
    <w:rsid w:val="006221D7"/>
    <w:rsid w:val="00627B6F"/>
    <w:rsid w:val="00633B49"/>
    <w:rsid w:val="00636A50"/>
    <w:rsid w:val="0064297F"/>
    <w:rsid w:val="0064596F"/>
    <w:rsid w:val="00646CF3"/>
    <w:rsid w:val="00662983"/>
    <w:rsid w:val="006661F8"/>
    <w:rsid w:val="006705B8"/>
    <w:rsid w:val="006834D3"/>
    <w:rsid w:val="00690A36"/>
    <w:rsid w:val="00692625"/>
    <w:rsid w:val="00695CD3"/>
    <w:rsid w:val="006A38B6"/>
    <w:rsid w:val="006B1987"/>
    <w:rsid w:val="006B5B71"/>
    <w:rsid w:val="006B6CB0"/>
    <w:rsid w:val="006C2B64"/>
    <w:rsid w:val="006D4C85"/>
    <w:rsid w:val="006E33F6"/>
    <w:rsid w:val="006E49D5"/>
    <w:rsid w:val="006E4A7C"/>
    <w:rsid w:val="006F1251"/>
    <w:rsid w:val="006F1C23"/>
    <w:rsid w:val="006F3037"/>
    <w:rsid w:val="006F388F"/>
    <w:rsid w:val="006F4300"/>
    <w:rsid w:val="00703166"/>
    <w:rsid w:val="007127F3"/>
    <w:rsid w:val="00722276"/>
    <w:rsid w:val="007301CF"/>
    <w:rsid w:val="007316FB"/>
    <w:rsid w:val="00737E2D"/>
    <w:rsid w:val="00742033"/>
    <w:rsid w:val="007424D5"/>
    <w:rsid w:val="007523DD"/>
    <w:rsid w:val="00752D82"/>
    <w:rsid w:val="00757B7E"/>
    <w:rsid w:val="00771743"/>
    <w:rsid w:val="00771A84"/>
    <w:rsid w:val="00795DC5"/>
    <w:rsid w:val="00797153"/>
    <w:rsid w:val="007A2412"/>
    <w:rsid w:val="007B0DDA"/>
    <w:rsid w:val="007B2749"/>
    <w:rsid w:val="007B3C4D"/>
    <w:rsid w:val="007C5B6E"/>
    <w:rsid w:val="007D6482"/>
    <w:rsid w:val="007E4A19"/>
    <w:rsid w:val="007E52C1"/>
    <w:rsid w:val="007E5466"/>
    <w:rsid w:val="007F1949"/>
    <w:rsid w:val="00802956"/>
    <w:rsid w:val="008075B7"/>
    <w:rsid w:val="00817A84"/>
    <w:rsid w:val="008225A4"/>
    <w:rsid w:val="00826842"/>
    <w:rsid w:val="00826D5E"/>
    <w:rsid w:val="00827C13"/>
    <w:rsid w:val="00832013"/>
    <w:rsid w:val="00834732"/>
    <w:rsid w:val="00843554"/>
    <w:rsid w:val="0085200C"/>
    <w:rsid w:val="00852AB4"/>
    <w:rsid w:val="008558A6"/>
    <w:rsid w:val="00855EA1"/>
    <w:rsid w:val="00857C52"/>
    <w:rsid w:val="008651E2"/>
    <w:rsid w:val="00880A44"/>
    <w:rsid w:val="008810AF"/>
    <w:rsid w:val="0088345E"/>
    <w:rsid w:val="0088656F"/>
    <w:rsid w:val="008A0303"/>
    <w:rsid w:val="008A0AD0"/>
    <w:rsid w:val="008A5FDD"/>
    <w:rsid w:val="008B1499"/>
    <w:rsid w:val="008B1912"/>
    <w:rsid w:val="008B2311"/>
    <w:rsid w:val="008B3967"/>
    <w:rsid w:val="008C223C"/>
    <w:rsid w:val="008C3947"/>
    <w:rsid w:val="008D4B70"/>
    <w:rsid w:val="008E21E4"/>
    <w:rsid w:val="008E7329"/>
    <w:rsid w:val="008F2ED5"/>
    <w:rsid w:val="009145D2"/>
    <w:rsid w:val="00916202"/>
    <w:rsid w:val="00917BFE"/>
    <w:rsid w:val="0092297E"/>
    <w:rsid w:val="009302F5"/>
    <w:rsid w:val="0093069F"/>
    <w:rsid w:val="009341BF"/>
    <w:rsid w:val="00937907"/>
    <w:rsid w:val="00941739"/>
    <w:rsid w:val="009501A9"/>
    <w:rsid w:val="00951573"/>
    <w:rsid w:val="009623CB"/>
    <w:rsid w:val="00963003"/>
    <w:rsid w:val="00977294"/>
    <w:rsid w:val="00983471"/>
    <w:rsid w:val="009909AB"/>
    <w:rsid w:val="00997870"/>
    <w:rsid w:val="009A47C0"/>
    <w:rsid w:val="009A723B"/>
    <w:rsid w:val="009B37DB"/>
    <w:rsid w:val="009C7A8C"/>
    <w:rsid w:val="009D23F9"/>
    <w:rsid w:val="009D4FA8"/>
    <w:rsid w:val="009D6584"/>
    <w:rsid w:val="009E5A8B"/>
    <w:rsid w:val="009E6CD6"/>
    <w:rsid w:val="009F4DE9"/>
    <w:rsid w:val="00A00C3C"/>
    <w:rsid w:val="00A01091"/>
    <w:rsid w:val="00A06DBB"/>
    <w:rsid w:val="00A205A0"/>
    <w:rsid w:val="00A2645F"/>
    <w:rsid w:val="00A31E86"/>
    <w:rsid w:val="00A54D87"/>
    <w:rsid w:val="00A5553C"/>
    <w:rsid w:val="00A71554"/>
    <w:rsid w:val="00A737EC"/>
    <w:rsid w:val="00A81785"/>
    <w:rsid w:val="00A84803"/>
    <w:rsid w:val="00A84C51"/>
    <w:rsid w:val="00A86F2B"/>
    <w:rsid w:val="00A91366"/>
    <w:rsid w:val="00A93AA6"/>
    <w:rsid w:val="00AA4E48"/>
    <w:rsid w:val="00AA6202"/>
    <w:rsid w:val="00AC4A99"/>
    <w:rsid w:val="00AC64D2"/>
    <w:rsid w:val="00AD2F27"/>
    <w:rsid w:val="00AE0FE8"/>
    <w:rsid w:val="00AF0CB4"/>
    <w:rsid w:val="00AF60D5"/>
    <w:rsid w:val="00B04415"/>
    <w:rsid w:val="00B11D60"/>
    <w:rsid w:val="00B11E4B"/>
    <w:rsid w:val="00B13D65"/>
    <w:rsid w:val="00B15903"/>
    <w:rsid w:val="00B22497"/>
    <w:rsid w:val="00B23BEB"/>
    <w:rsid w:val="00B35176"/>
    <w:rsid w:val="00B351ED"/>
    <w:rsid w:val="00B37245"/>
    <w:rsid w:val="00B4017A"/>
    <w:rsid w:val="00B4468D"/>
    <w:rsid w:val="00B64073"/>
    <w:rsid w:val="00B71C72"/>
    <w:rsid w:val="00B71FAE"/>
    <w:rsid w:val="00B81E92"/>
    <w:rsid w:val="00B93B30"/>
    <w:rsid w:val="00B94CB5"/>
    <w:rsid w:val="00BA0DD9"/>
    <w:rsid w:val="00BB6312"/>
    <w:rsid w:val="00BC4D06"/>
    <w:rsid w:val="00BD585E"/>
    <w:rsid w:val="00BE7B2E"/>
    <w:rsid w:val="00BF26A2"/>
    <w:rsid w:val="00BF2E0D"/>
    <w:rsid w:val="00BF3F8B"/>
    <w:rsid w:val="00BF76DA"/>
    <w:rsid w:val="00C05EF5"/>
    <w:rsid w:val="00C07C7B"/>
    <w:rsid w:val="00C2053C"/>
    <w:rsid w:val="00C24479"/>
    <w:rsid w:val="00C35B63"/>
    <w:rsid w:val="00C37B53"/>
    <w:rsid w:val="00C517D2"/>
    <w:rsid w:val="00C62B36"/>
    <w:rsid w:val="00C638D6"/>
    <w:rsid w:val="00C7012C"/>
    <w:rsid w:val="00C84F68"/>
    <w:rsid w:val="00C96915"/>
    <w:rsid w:val="00CB1C5E"/>
    <w:rsid w:val="00CB5406"/>
    <w:rsid w:val="00CC668D"/>
    <w:rsid w:val="00CC7832"/>
    <w:rsid w:val="00CD774B"/>
    <w:rsid w:val="00CF0C1C"/>
    <w:rsid w:val="00CF1FFA"/>
    <w:rsid w:val="00CF4B7A"/>
    <w:rsid w:val="00D1611D"/>
    <w:rsid w:val="00D2102A"/>
    <w:rsid w:val="00D23808"/>
    <w:rsid w:val="00D2781D"/>
    <w:rsid w:val="00D3016A"/>
    <w:rsid w:val="00D30DA5"/>
    <w:rsid w:val="00D317D4"/>
    <w:rsid w:val="00D31A86"/>
    <w:rsid w:val="00D42960"/>
    <w:rsid w:val="00D43BD7"/>
    <w:rsid w:val="00D4485B"/>
    <w:rsid w:val="00D46408"/>
    <w:rsid w:val="00D4708D"/>
    <w:rsid w:val="00D4744C"/>
    <w:rsid w:val="00D63068"/>
    <w:rsid w:val="00D634CF"/>
    <w:rsid w:val="00D6498C"/>
    <w:rsid w:val="00D8521E"/>
    <w:rsid w:val="00D86958"/>
    <w:rsid w:val="00D9291C"/>
    <w:rsid w:val="00D93A97"/>
    <w:rsid w:val="00D960E7"/>
    <w:rsid w:val="00D9759C"/>
    <w:rsid w:val="00DA0A5C"/>
    <w:rsid w:val="00DB0A92"/>
    <w:rsid w:val="00DB1F64"/>
    <w:rsid w:val="00DC2F53"/>
    <w:rsid w:val="00DC6816"/>
    <w:rsid w:val="00DC76C2"/>
    <w:rsid w:val="00DD1CF2"/>
    <w:rsid w:val="00DF41B7"/>
    <w:rsid w:val="00DF4A4A"/>
    <w:rsid w:val="00DF583C"/>
    <w:rsid w:val="00E03C3F"/>
    <w:rsid w:val="00E073B4"/>
    <w:rsid w:val="00E13F26"/>
    <w:rsid w:val="00E24D45"/>
    <w:rsid w:val="00E33DB8"/>
    <w:rsid w:val="00E34387"/>
    <w:rsid w:val="00E369FE"/>
    <w:rsid w:val="00E37C6F"/>
    <w:rsid w:val="00E475F8"/>
    <w:rsid w:val="00E5102E"/>
    <w:rsid w:val="00E55D20"/>
    <w:rsid w:val="00E5721C"/>
    <w:rsid w:val="00E619C6"/>
    <w:rsid w:val="00E66225"/>
    <w:rsid w:val="00E745A1"/>
    <w:rsid w:val="00E81529"/>
    <w:rsid w:val="00E83A13"/>
    <w:rsid w:val="00E84FAD"/>
    <w:rsid w:val="00E85AF1"/>
    <w:rsid w:val="00EA1F0F"/>
    <w:rsid w:val="00EB1C74"/>
    <w:rsid w:val="00EC2356"/>
    <w:rsid w:val="00EC2582"/>
    <w:rsid w:val="00EC337C"/>
    <w:rsid w:val="00ED0CFF"/>
    <w:rsid w:val="00ED31D2"/>
    <w:rsid w:val="00ED65D5"/>
    <w:rsid w:val="00EE0ACF"/>
    <w:rsid w:val="00EE0EAC"/>
    <w:rsid w:val="00EE33CB"/>
    <w:rsid w:val="00F0061A"/>
    <w:rsid w:val="00F02834"/>
    <w:rsid w:val="00F07CD7"/>
    <w:rsid w:val="00F127E9"/>
    <w:rsid w:val="00F174C8"/>
    <w:rsid w:val="00F36972"/>
    <w:rsid w:val="00F42426"/>
    <w:rsid w:val="00F456BC"/>
    <w:rsid w:val="00F50666"/>
    <w:rsid w:val="00F60C95"/>
    <w:rsid w:val="00F675D1"/>
    <w:rsid w:val="00F70C9E"/>
    <w:rsid w:val="00F74A74"/>
    <w:rsid w:val="00F8382C"/>
    <w:rsid w:val="00F855D7"/>
    <w:rsid w:val="00F92035"/>
    <w:rsid w:val="00F92748"/>
    <w:rsid w:val="00F938D8"/>
    <w:rsid w:val="00F953C7"/>
    <w:rsid w:val="00FA4169"/>
    <w:rsid w:val="00FB07EE"/>
    <w:rsid w:val="00FB0D41"/>
    <w:rsid w:val="00FB2030"/>
    <w:rsid w:val="00FB48E6"/>
    <w:rsid w:val="00FD1CF2"/>
    <w:rsid w:val="00FD3EDF"/>
    <w:rsid w:val="00FD6192"/>
    <w:rsid w:val="00FD793C"/>
    <w:rsid w:val="00FE20E6"/>
    <w:rsid w:val="00FE3E3B"/>
    <w:rsid w:val="00FE75A6"/>
    <w:rsid w:val="00FF356C"/>
    <w:rsid w:val="00FF4032"/>
    <w:rsid w:val="00FF57B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Bullet1,Bullet 1,1. Bullet Blank,Bulleted - 2,Use Case List Paragraph,List Paragraph1,Body Bullet,Table Number Paragraph,Ref,B1,bu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Bullet 1 Diagrama,1. Bullet Blank Diagrama"/>
    <w:link w:val="Sraopastraipa"/>
    <w:uiPriority w:val="34"/>
    <w:qFormat/>
    <w:locked/>
    <w:rsid w:val="0055060B"/>
    <w:rPr>
      <w:sz w:val="24"/>
      <w:szCs w:val="24"/>
      <w:lang w:eastAsia="en-US"/>
    </w:rPr>
  </w:style>
  <w:style w:type="paragraph" w:styleId="Dokumentoinaostekstas">
    <w:name w:val="endnote text"/>
    <w:basedOn w:val="prastasis"/>
    <w:link w:val="DokumentoinaostekstasDiagrama"/>
    <w:semiHidden/>
    <w:unhideWhenUsed/>
    <w:rsid w:val="0055060B"/>
    <w:rPr>
      <w:sz w:val="20"/>
      <w:szCs w:val="20"/>
    </w:rPr>
  </w:style>
  <w:style w:type="character" w:customStyle="1" w:styleId="DokumentoinaostekstasDiagrama">
    <w:name w:val="Dokumento išnašos tekstas Diagrama"/>
    <w:basedOn w:val="Numatytasispastraiposriftas"/>
    <w:link w:val="Dokumentoinaostekstas"/>
    <w:semiHidden/>
    <w:rsid w:val="0055060B"/>
    <w:rPr>
      <w:lang w:eastAsia="en-US"/>
    </w:rPr>
  </w:style>
  <w:style w:type="character" w:styleId="Dokumentoinaosnumeris">
    <w:name w:val="endnote reference"/>
    <w:basedOn w:val="Numatytasispastraiposriftas"/>
    <w:semiHidden/>
    <w:unhideWhenUsed/>
    <w:rsid w:val="0055060B"/>
    <w:rPr>
      <w:vertAlign w:val="superscript"/>
    </w:rPr>
  </w:style>
  <w:style w:type="paragraph" w:styleId="HTMLiankstoformatuotas">
    <w:name w:val="HTML Preformatted"/>
    <w:basedOn w:val="prastasis"/>
    <w:link w:val="HTMLiankstoformatuotasDiagrama"/>
    <w:uiPriority w:val="99"/>
    <w:unhideWhenUsed/>
    <w:rsid w:val="0086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iankstoformatuotasDiagrama">
    <w:name w:val="HTML iš anksto formatuotas Diagrama"/>
    <w:basedOn w:val="Numatytasispastraiposriftas"/>
    <w:link w:val="HTMLiankstoformatuotas"/>
    <w:uiPriority w:val="99"/>
    <w:rsid w:val="008651E2"/>
    <w:rPr>
      <w:rFonts w:ascii="Courier New" w:hAnsi="Courier New" w:cs="Courier New"/>
      <w:lang w:eastAsia="en-GB"/>
    </w:rPr>
  </w:style>
  <w:style w:type="character" w:customStyle="1" w:styleId="y2iqfc">
    <w:name w:val="y2iqfc"/>
    <w:basedOn w:val="Numatytasispastraiposriftas"/>
    <w:rsid w:val="008651E2"/>
  </w:style>
  <w:style w:type="paragraph" w:styleId="prastasiniatinklio">
    <w:name w:val="Normal (Web)"/>
    <w:basedOn w:val="prastasis"/>
    <w:uiPriority w:val="99"/>
    <w:unhideWhenUsed/>
    <w:rsid w:val="003C12B3"/>
    <w:pPr>
      <w:spacing w:before="100" w:beforeAutospacing="1" w:after="100" w:afterAutospacing="1"/>
    </w:pPr>
    <w:rPr>
      <w:lang w:val="en-US"/>
    </w:rPr>
  </w:style>
  <w:style w:type="paragraph" w:customStyle="1" w:styleId="Tekstas">
    <w:name w:val="Tekstas"/>
    <w:basedOn w:val="prastasis"/>
    <w:link w:val="TekstasChar"/>
    <w:qFormat/>
    <w:rsid w:val="00D317D4"/>
    <w:pPr>
      <w:spacing w:after="120"/>
      <w:jc w:val="both"/>
    </w:pPr>
  </w:style>
  <w:style w:type="character" w:customStyle="1" w:styleId="TekstasChar">
    <w:name w:val="Tekstas Char"/>
    <w:link w:val="Tekstas"/>
    <w:rsid w:val="00D317D4"/>
    <w:rPr>
      <w:sz w:val="24"/>
      <w:szCs w:val="24"/>
      <w:lang w:eastAsia="en-US"/>
    </w:rPr>
  </w:style>
  <w:style w:type="character" w:styleId="Puslapioinaosnuoroda">
    <w:name w:val="footnote reference"/>
    <w:basedOn w:val="Numatytasispastraiposriftas"/>
    <w:semiHidden/>
    <w:unhideWhenUsed/>
    <w:rsid w:val="00D960E7"/>
    <w:rPr>
      <w:vertAlign w:val="superscript"/>
    </w:rPr>
  </w:style>
  <w:style w:type="paragraph" w:styleId="Puslapioinaostekstas">
    <w:name w:val="footnote text"/>
    <w:basedOn w:val="prastasis"/>
    <w:link w:val="PuslapioinaostekstasDiagrama"/>
    <w:semiHidden/>
    <w:unhideWhenUsed/>
    <w:rsid w:val="00D960E7"/>
    <w:rPr>
      <w:sz w:val="20"/>
      <w:szCs w:val="20"/>
    </w:rPr>
  </w:style>
  <w:style w:type="character" w:customStyle="1" w:styleId="PuslapioinaostekstasDiagrama">
    <w:name w:val="Puslapio išnašos tekstas Diagrama"/>
    <w:basedOn w:val="Numatytasispastraiposriftas"/>
    <w:link w:val="Puslapioinaostekstas"/>
    <w:semiHidden/>
    <w:rsid w:val="00D960E7"/>
    <w:rPr>
      <w:lang w:eastAsia="en-US"/>
    </w:rPr>
  </w:style>
  <w:style w:type="character" w:customStyle="1" w:styleId="apple-converted-space">
    <w:name w:val="apple-converted-space"/>
    <w:basedOn w:val="Numatytasispastraiposriftas"/>
    <w:rsid w:val="008B3967"/>
  </w:style>
  <w:style w:type="character" w:styleId="Grietas">
    <w:name w:val="Strong"/>
    <w:basedOn w:val="Numatytasispastraiposriftas"/>
    <w:uiPriority w:val="22"/>
    <w:qFormat/>
    <w:rsid w:val="008B39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55409E77AD4C8CAF19CDECAF30E17D"/>
        <w:category>
          <w:name w:val="General"/>
          <w:gallery w:val="placeholder"/>
        </w:category>
        <w:types>
          <w:type w:val="bbPlcHdr"/>
        </w:types>
        <w:behaviors>
          <w:behavior w:val="content"/>
        </w:behaviors>
        <w:guid w:val="{14351036-5730-4F28-B5F1-71E92A051325}"/>
      </w:docPartPr>
      <w:docPartBody>
        <w:p w:rsidR="00E25CBC" w:rsidRDefault="00A958F6" w:rsidP="00A958F6">
          <w:pPr>
            <w:pStyle w:val="CD55409E77AD4C8CAF19CDECAF30E17D"/>
          </w:pPr>
          <w:r>
            <w:rPr>
              <w:rStyle w:val="Vietosrezervavimoenklotekstas"/>
            </w:rPr>
            <w:t>Click here to enter a date.</w:t>
          </w:r>
        </w:p>
      </w:docPartBody>
    </w:docPart>
    <w:docPart>
      <w:docPartPr>
        <w:name w:val="EA9742CCD7F640D1A15DCC8925B00A21"/>
        <w:category>
          <w:name w:val="General"/>
          <w:gallery w:val="placeholder"/>
        </w:category>
        <w:types>
          <w:type w:val="bbPlcHdr"/>
        </w:types>
        <w:behaviors>
          <w:behavior w:val="content"/>
        </w:behaviors>
        <w:guid w:val="{96C279E9-6557-4205-B7D0-A6CD769D5BF3}"/>
      </w:docPartPr>
      <w:docPartBody>
        <w:p w:rsidR="00E25CBC" w:rsidRDefault="00A958F6" w:rsidP="00A958F6">
          <w:pPr>
            <w:pStyle w:val="EA9742CCD7F640D1A15DCC8925B00A21"/>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52410"/>
    <w:rsid w:val="000937FE"/>
    <w:rsid w:val="000A559A"/>
    <w:rsid w:val="00106A56"/>
    <w:rsid w:val="001227E4"/>
    <w:rsid w:val="00211441"/>
    <w:rsid w:val="00220729"/>
    <w:rsid w:val="002224E2"/>
    <w:rsid w:val="0023381E"/>
    <w:rsid w:val="002701FF"/>
    <w:rsid w:val="002732B0"/>
    <w:rsid w:val="003158C9"/>
    <w:rsid w:val="00343125"/>
    <w:rsid w:val="0035266A"/>
    <w:rsid w:val="00396DCA"/>
    <w:rsid w:val="003A2F2A"/>
    <w:rsid w:val="003C1AE1"/>
    <w:rsid w:val="004144A3"/>
    <w:rsid w:val="004160E7"/>
    <w:rsid w:val="004F31CA"/>
    <w:rsid w:val="005074B9"/>
    <w:rsid w:val="005879AF"/>
    <w:rsid w:val="005E40DD"/>
    <w:rsid w:val="0064596F"/>
    <w:rsid w:val="006F388F"/>
    <w:rsid w:val="007126F3"/>
    <w:rsid w:val="007C6D1D"/>
    <w:rsid w:val="007D17CA"/>
    <w:rsid w:val="007E6506"/>
    <w:rsid w:val="00843AE5"/>
    <w:rsid w:val="008558A6"/>
    <w:rsid w:val="008C49D4"/>
    <w:rsid w:val="00936288"/>
    <w:rsid w:val="0096442F"/>
    <w:rsid w:val="00964DDE"/>
    <w:rsid w:val="00965277"/>
    <w:rsid w:val="00977294"/>
    <w:rsid w:val="009B3BF0"/>
    <w:rsid w:val="009D5E5E"/>
    <w:rsid w:val="00A04012"/>
    <w:rsid w:val="00A958F6"/>
    <w:rsid w:val="00B23DC0"/>
    <w:rsid w:val="00B31304"/>
    <w:rsid w:val="00BB16D6"/>
    <w:rsid w:val="00BC77C7"/>
    <w:rsid w:val="00CB4BD1"/>
    <w:rsid w:val="00CE2DA9"/>
    <w:rsid w:val="00CE44BE"/>
    <w:rsid w:val="00CE49F2"/>
    <w:rsid w:val="00CE5289"/>
    <w:rsid w:val="00CF66F6"/>
    <w:rsid w:val="00D22A54"/>
    <w:rsid w:val="00D92532"/>
    <w:rsid w:val="00DF29F3"/>
    <w:rsid w:val="00E25CBC"/>
    <w:rsid w:val="00E44A86"/>
    <w:rsid w:val="00EF6E0C"/>
    <w:rsid w:val="00F64D17"/>
    <w:rsid w:val="00F949D2"/>
    <w:rsid w:val="00FE0D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A958F6"/>
    <w:rPr>
      <w:color w:val="808080"/>
    </w:rPr>
  </w:style>
  <w:style w:type="paragraph" w:customStyle="1" w:styleId="CD55409E77AD4C8CAF19CDECAF30E17D">
    <w:name w:val="CD55409E77AD4C8CAF19CDECAF30E17D"/>
    <w:rsid w:val="00A958F6"/>
  </w:style>
  <w:style w:type="paragraph" w:customStyle="1" w:styleId="EA9742CCD7F640D1A15DCC8925B00A21">
    <w:name w:val="EA9742CCD7F640D1A15DCC8925B00A21"/>
    <w:rsid w:val="00A958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8976</Words>
  <Characters>5117</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14065</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2024-12-18T13:22:00Z</dcterms:created>
  <dcterms:modified xsi:type="dcterms:W3CDTF">2025-01-02T11:32:00Z</dcterms:modified>
</cp:coreProperties>
</file>