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53E5EB3" w14:textId="1955ADE3" w:rsidR="005F7602" w:rsidRPr="0068350D" w:rsidRDefault="005F7602" w:rsidP="002946C7">
      <w:pPr>
        <w:ind w:left="5529"/>
      </w:pPr>
    </w:p>
    <w:p w14:paraId="12FA4B9E" w14:textId="77777777" w:rsidR="001B3C5B" w:rsidRPr="0068350D" w:rsidRDefault="001B3C5B" w:rsidP="001B3C5B">
      <w:pPr>
        <w:ind w:left="6096"/>
      </w:pPr>
      <w:r w:rsidRPr="0068350D">
        <w:t>Forma patvirtinta</w:t>
      </w:r>
    </w:p>
    <w:p w14:paraId="7206970B" w14:textId="70E9BD2E" w:rsidR="004C263A" w:rsidRPr="0068350D" w:rsidRDefault="001B3C5B" w:rsidP="001B3C5B">
      <w:pPr>
        <w:ind w:left="6096"/>
      </w:pPr>
      <w:r w:rsidRPr="0068350D">
        <w:t>Valstybinės vaistų kontrolės tarnybos prie Lietuvos Respublikos sveikatos apsaugos ministerijos viršininko 2021 m</w:t>
      </w:r>
      <w:r w:rsidR="004C263A" w:rsidRPr="0068350D">
        <w:t xml:space="preserve">. lapkričio 12 </w:t>
      </w:r>
      <w:r w:rsidRPr="0068350D">
        <w:t>d. įsakymu Nr.</w:t>
      </w:r>
      <w:r w:rsidR="004C263A" w:rsidRPr="0068350D">
        <w:t xml:space="preserve"> (1.72E)1A-1418</w:t>
      </w:r>
    </w:p>
    <w:p w14:paraId="5B219AA6" w14:textId="520B9136" w:rsidR="001B3C5B" w:rsidRPr="0068350D" w:rsidRDefault="004C263A" w:rsidP="001B3C5B">
      <w:pPr>
        <w:ind w:left="6096"/>
      </w:pPr>
      <w:r w:rsidRPr="0068350D">
        <w:t>(Valstybinės vaistų kontrolės tarnybos prie Lietuvos Respublikos sveikatos apsaugos ministerijos viršininko 2022 m.                         d. įsakymo Nr.                    redakcija)</w:t>
      </w:r>
    </w:p>
    <w:p w14:paraId="3336BD74" w14:textId="77777777" w:rsidR="001B3C5B" w:rsidRPr="0068350D" w:rsidRDefault="001B3C5B" w:rsidP="00FA4169"/>
    <w:p w14:paraId="77AFB67E" w14:textId="16397257" w:rsidR="00613501" w:rsidRPr="0068350D" w:rsidRDefault="002F0E4F" w:rsidP="003B211A">
      <w:pPr>
        <w:jc w:val="center"/>
        <w:rPr>
          <w:b/>
          <w:bCs/>
          <w:caps/>
        </w:rPr>
      </w:pPr>
      <w:r w:rsidRPr="0068350D">
        <w:rPr>
          <w:b/>
        </w:rPr>
        <w:t xml:space="preserve">REKOMENDACIJA DĖL VAISTINIO PREPARATO </w:t>
      </w:r>
      <w:r w:rsidRPr="0068350D">
        <w:rPr>
          <w:b/>
          <w:bCs/>
          <w:caps/>
        </w:rPr>
        <w:t>Lietuvos Respublikos Sveikatos apsaugos ministerijos vaistinių preparatų ir medicinos pagalbos priemonių kompensavimo komisijai</w:t>
      </w:r>
    </w:p>
    <w:p w14:paraId="34E4395D" w14:textId="15FB10DF" w:rsidR="00B13D65" w:rsidRPr="0068350D" w:rsidRDefault="00B13D65" w:rsidP="003B211A">
      <w:pPr>
        <w:jc w:val="center"/>
        <w:rPr>
          <w:b/>
        </w:rPr>
      </w:pPr>
    </w:p>
    <w:p w14:paraId="5ED56F05" w14:textId="77777777" w:rsidR="00764DEF" w:rsidRPr="0068350D" w:rsidRDefault="00764DEF" w:rsidP="00764DEF">
      <w:pPr>
        <w:jc w:val="center"/>
        <w:rPr>
          <w:b/>
        </w:rPr>
      </w:pPr>
      <w:r w:rsidRPr="0068350D">
        <w:rPr>
          <w:b/>
        </w:rPr>
        <w:t>Kinpeygo 4 mg modifikuoto atpalaidavimo kietoji kapsulė</w:t>
      </w:r>
    </w:p>
    <w:p w14:paraId="3D10FE30" w14:textId="77777777" w:rsidR="00764DEF" w:rsidRPr="0068350D" w:rsidRDefault="00764DEF" w:rsidP="00764DEF">
      <w:pPr>
        <w:jc w:val="center"/>
      </w:pPr>
    </w:p>
    <w:p w14:paraId="4FF45C71" w14:textId="14F2A740" w:rsidR="00764DEF" w:rsidRPr="0068350D" w:rsidRDefault="00764DEF" w:rsidP="00764DEF">
      <w:pPr>
        <w:jc w:val="center"/>
      </w:pPr>
      <w:r w:rsidRPr="0068350D">
        <w:t>(</w:t>
      </w:r>
      <w:r w:rsidRPr="0068350D">
        <w:rPr>
          <w:b/>
        </w:rPr>
        <w:t>Bude</w:t>
      </w:r>
      <w:r w:rsidR="001519C6">
        <w:rPr>
          <w:b/>
        </w:rPr>
        <w:t>z</w:t>
      </w:r>
      <w:r w:rsidRPr="0068350D">
        <w:rPr>
          <w:b/>
        </w:rPr>
        <w:t>o</w:t>
      </w:r>
      <w:r w:rsidR="001519C6">
        <w:rPr>
          <w:b/>
        </w:rPr>
        <w:t>n</w:t>
      </w:r>
      <w:r w:rsidRPr="0068350D">
        <w:rPr>
          <w:b/>
        </w:rPr>
        <w:t>idas</w:t>
      </w:r>
      <w:r w:rsidRPr="0068350D">
        <w:t>)</w:t>
      </w:r>
    </w:p>
    <w:p w14:paraId="2FE10CDC" w14:textId="77777777" w:rsidR="00DE6806" w:rsidRPr="0068350D" w:rsidRDefault="00DE6806" w:rsidP="00937907">
      <w:pPr>
        <w:jc w:val="center"/>
      </w:pPr>
    </w:p>
    <w:p w14:paraId="5BC2EA5D" w14:textId="116331D6" w:rsidR="00937907" w:rsidRPr="0068350D" w:rsidRDefault="00DE6806" w:rsidP="003B211A">
      <w:pPr>
        <w:jc w:val="center"/>
        <w:rPr>
          <w:b/>
        </w:rPr>
      </w:pPr>
      <w:r w:rsidRPr="0068350D">
        <w:rPr>
          <w:b/>
        </w:rPr>
        <w:t>STV-1</w:t>
      </w:r>
      <w:r w:rsidR="00764DEF" w:rsidRPr="0068350D">
        <w:rPr>
          <w:b/>
        </w:rPr>
        <w:t>6</w:t>
      </w:r>
      <w:r w:rsidRPr="0068350D">
        <w:rPr>
          <w:b/>
        </w:rPr>
        <w:t>6</w:t>
      </w:r>
    </w:p>
    <w:p w14:paraId="453197C8" w14:textId="77777777" w:rsidR="00D4708D" w:rsidRPr="0068350D" w:rsidRDefault="00D4708D" w:rsidP="003B211A">
      <w:pPr>
        <w:jc w:val="center"/>
        <w:rPr>
          <w:b/>
        </w:rPr>
      </w:pPr>
    </w:p>
    <w:p w14:paraId="78C89D1C" w14:textId="0DEFFAA5" w:rsidR="00D4485B" w:rsidRPr="0068350D" w:rsidRDefault="00B13D65" w:rsidP="00CC09D4">
      <w:pPr>
        <w:pStyle w:val="Sraopastraipa"/>
        <w:numPr>
          <w:ilvl w:val="0"/>
          <w:numId w:val="12"/>
        </w:numPr>
        <w:tabs>
          <w:tab w:val="left" w:pos="567"/>
        </w:tabs>
        <w:ind w:left="567" w:hanging="567"/>
        <w:rPr>
          <w:b/>
          <w:bCs/>
          <w:caps/>
        </w:rPr>
      </w:pPr>
      <w:r w:rsidRPr="0068350D">
        <w:rPr>
          <w:b/>
          <w:bCs/>
          <w:caps/>
        </w:rPr>
        <w:t>Bendroji dalis</w:t>
      </w:r>
    </w:p>
    <w:p w14:paraId="04A7C7A7" w14:textId="77777777" w:rsidR="00B13D65" w:rsidRPr="0068350D" w:rsidRDefault="00B13D65" w:rsidP="00E03C3F">
      <w:pPr>
        <w:pStyle w:val="Sraopastraipa"/>
        <w:tabs>
          <w:tab w:val="left" w:pos="284"/>
        </w:tabs>
        <w:ind w:left="0"/>
        <w:rPr>
          <w:b/>
          <w:bCs/>
          <w:caps/>
        </w:rPr>
      </w:pPr>
    </w:p>
    <w:tbl>
      <w:tblPr>
        <w:tblStyle w:val="Lentelstinklelis"/>
        <w:tblW w:w="9493" w:type="dxa"/>
        <w:tblLook w:val="04A0" w:firstRow="1" w:lastRow="0" w:firstColumn="1" w:lastColumn="0" w:noHBand="0" w:noVBand="1"/>
      </w:tblPr>
      <w:tblGrid>
        <w:gridCol w:w="632"/>
        <w:gridCol w:w="3694"/>
        <w:gridCol w:w="5167"/>
      </w:tblGrid>
      <w:tr w:rsidR="00B13D65" w:rsidRPr="0068350D" w14:paraId="18A83EC2" w14:textId="77777777" w:rsidTr="00BE7489">
        <w:trPr>
          <w:trHeight w:val="538"/>
        </w:trPr>
        <w:tc>
          <w:tcPr>
            <w:tcW w:w="632" w:type="dxa"/>
          </w:tcPr>
          <w:p w14:paraId="0646FBEA" w14:textId="77777777" w:rsidR="00B13D65" w:rsidRPr="0068350D" w:rsidRDefault="00B13D65" w:rsidP="00824B92">
            <w:pPr>
              <w:rPr>
                <w:rFonts w:eastAsia="Arial"/>
              </w:rPr>
            </w:pPr>
            <w:r w:rsidRPr="0068350D">
              <w:rPr>
                <w:rFonts w:eastAsia="Arial"/>
              </w:rPr>
              <w:t>1.1</w:t>
            </w:r>
          </w:p>
        </w:tc>
        <w:tc>
          <w:tcPr>
            <w:tcW w:w="3694" w:type="dxa"/>
          </w:tcPr>
          <w:p w14:paraId="6C3AE864" w14:textId="77777777" w:rsidR="00B13D65" w:rsidRPr="0068350D" w:rsidRDefault="00B13D65" w:rsidP="00824B92">
            <w:pPr>
              <w:rPr>
                <w:rFonts w:eastAsia="Arial"/>
              </w:rPr>
            </w:pPr>
            <w:r w:rsidRPr="0068350D">
              <w:rPr>
                <w:rFonts w:eastAsia="Arial"/>
              </w:rPr>
              <w:t>Pareiškėjas</w:t>
            </w:r>
          </w:p>
          <w:p w14:paraId="2AF240DC" w14:textId="77777777" w:rsidR="00B13D65" w:rsidRPr="0068350D" w:rsidRDefault="00B13D65" w:rsidP="00824B92">
            <w:pPr>
              <w:rPr>
                <w:rFonts w:eastAsia="Arial"/>
              </w:rPr>
            </w:pPr>
          </w:p>
        </w:tc>
        <w:tc>
          <w:tcPr>
            <w:tcW w:w="5167" w:type="dxa"/>
          </w:tcPr>
          <w:p w14:paraId="2AAF0D91" w14:textId="3F33921A" w:rsidR="00B13D65" w:rsidRPr="0068350D" w:rsidRDefault="00764DEF" w:rsidP="00764DEF">
            <w:pPr>
              <w:rPr>
                <w:rFonts w:eastAsia="Arial"/>
              </w:rPr>
            </w:pPr>
            <w:r w:rsidRPr="0068350D">
              <w:t>UAB ,,STADA Baltics“</w:t>
            </w:r>
          </w:p>
        </w:tc>
      </w:tr>
      <w:tr w:rsidR="00B13D65" w:rsidRPr="0068350D" w14:paraId="31998B0D" w14:textId="77777777" w:rsidTr="00BE7489">
        <w:trPr>
          <w:trHeight w:val="538"/>
        </w:trPr>
        <w:tc>
          <w:tcPr>
            <w:tcW w:w="632" w:type="dxa"/>
          </w:tcPr>
          <w:p w14:paraId="2005EC67" w14:textId="662300D0" w:rsidR="00B13D65" w:rsidRPr="0068350D" w:rsidRDefault="002E0702" w:rsidP="00824B92">
            <w:pPr>
              <w:rPr>
                <w:rFonts w:eastAsia="Arial"/>
              </w:rPr>
            </w:pPr>
            <w:r w:rsidRPr="0068350D">
              <w:rPr>
                <w:rFonts w:eastAsia="Arial"/>
              </w:rPr>
              <w:t>1.2</w:t>
            </w:r>
          </w:p>
        </w:tc>
        <w:tc>
          <w:tcPr>
            <w:tcW w:w="3694" w:type="dxa"/>
          </w:tcPr>
          <w:p w14:paraId="1E4AE3B1" w14:textId="77777777" w:rsidR="00B13D65" w:rsidRPr="0068350D" w:rsidRDefault="00B13D65" w:rsidP="00824B92">
            <w:pPr>
              <w:rPr>
                <w:bCs/>
                <w:color w:val="000000"/>
                <w:lang w:eastAsia="lt-LT"/>
              </w:rPr>
            </w:pPr>
            <w:r w:rsidRPr="0068350D">
              <w:rPr>
                <w:bCs/>
                <w:color w:val="000000"/>
                <w:lang w:eastAsia="lt-LT"/>
              </w:rPr>
              <w:t xml:space="preserve">Registracijos data </w:t>
            </w:r>
          </w:p>
          <w:p w14:paraId="3A0DC096" w14:textId="77777777" w:rsidR="00B13D65" w:rsidRPr="0068350D" w:rsidRDefault="00B13D65" w:rsidP="00824B92">
            <w:pPr>
              <w:rPr>
                <w:bCs/>
                <w:color w:val="000000"/>
                <w:lang w:eastAsia="lt-LT"/>
              </w:rPr>
            </w:pPr>
          </w:p>
        </w:tc>
        <w:tc>
          <w:tcPr>
            <w:tcW w:w="5167" w:type="dxa"/>
          </w:tcPr>
          <w:p w14:paraId="3CA218AD" w14:textId="71C9C454" w:rsidR="00B13D65" w:rsidRPr="0068350D" w:rsidRDefault="00000000" w:rsidP="00764DEF">
            <w:pPr>
              <w:rPr>
                <w:rStyle w:val="Style2"/>
              </w:rPr>
            </w:pPr>
            <w:sdt>
              <w:sdtPr>
                <w:rPr>
                  <w:bCs/>
                  <w:color w:val="000000"/>
                  <w:sz w:val="32"/>
                  <w:lang w:eastAsia="lt-LT"/>
                </w:rPr>
                <w:alias w:val="Nurodykite konkrečią dieną"/>
                <w:tag w:val="Nurodykite pradžios datą"/>
                <w:id w:val="423238108"/>
                <w:placeholder>
                  <w:docPart w:val="0A1DCC42A2974C359888226B925C8FF8"/>
                </w:placeholder>
                <w15:color w:val="FFCC99"/>
                <w:date>
                  <w:dateFormat w:val="yyyy 'm.' MMMM d 'd.'"/>
                  <w:lid w:val="lt-LT"/>
                  <w:storeMappedDataAs w:val="dateTime"/>
                  <w:calendar w:val="gregorian"/>
                </w:date>
              </w:sdtPr>
              <w:sdtContent>
                <w:r w:rsidR="00764DEF" w:rsidRPr="0068350D">
                  <w:rPr>
                    <w:bCs/>
                    <w:color w:val="000000"/>
                    <w:lang w:eastAsia="lt-LT"/>
                  </w:rPr>
                  <w:t>2022 liepos 18 d.</w:t>
                </w:r>
                <w:r w:rsidR="00764DEF" w:rsidRPr="0068350D">
                  <w:rPr>
                    <w:bCs/>
                    <w:color w:val="000000"/>
                    <w:lang w:eastAsia="lt-LT"/>
                  </w:rPr>
                  <w:cr/>
                </w:r>
              </w:sdtContent>
            </w:sdt>
          </w:p>
        </w:tc>
      </w:tr>
      <w:tr w:rsidR="00B13D65" w:rsidRPr="0068350D" w14:paraId="15968AE1" w14:textId="77777777" w:rsidTr="00BE7489">
        <w:trPr>
          <w:trHeight w:val="1500"/>
        </w:trPr>
        <w:tc>
          <w:tcPr>
            <w:tcW w:w="632" w:type="dxa"/>
          </w:tcPr>
          <w:p w14:paraId="6A784245" w14:textId="1E461489" w:rsidR="00B13D65" w:rsidRPr="0068350D" w:rsidRDefault="002E0702" w:rsidP="00824B92">
            <w:pPr>
              <w:rPr>
                <w:rFonts w:eastAsia="Arial"/>
              </w:rPr>
            </w:pPr>
            <w:r w:rsidRPr="0068350D">
              <w:rPr>
                <w:rFonts w:eastAsia="Arial"/>
              </w:rPr>
              <w:t>1.3</w:t>
            </w:r>
          </w:p>
        </w:tc>
        <w:tc>
          <w:tcPr>
            <w:tcW w:w="3694" w:type="dxa"/>
          </w:tcPr>
          <w:p w14:paraId="22933506" w14:textId="77777777" w:rsidR="00B13D65" w:rsidRPr="0068350D" w:rsidRDefault="00B13D65" w:rsidP="00824B92">
            <w:r w:rsidRPr="0068350D">
              <w:t xml:space="preserve">Paraiškos tipas </w:t>
            </w:r>
          </w:p>
          <w:p w14:paraId="0465E680" w14:textId="7F0A0714" w:rsidR="00B13D65" w:rsidRPr="0068350D" w:rsidRDefault="00B13D65" w:rsidP="00824B92">
            <w:r w:rsidRPr="0068350D">
              <w:t>(</w:t>
            </w:r>
            <w:r w:rsidR="00695CD3" w:rsidRPr="0068350D">
              <w:t xml:space="preserve">pagal </w:t>
            </w:r>
            <w:r w:rsidR="0039696E" w:rsidRPr="0068350D">
              <w:rPr>
                <w:color w:val="333333"/>
                <w:shd w:val="clear" w:color="auto" w:fill="FFFFFF"/>
              </w:rPr>
              <w:t>vaistinio preparato registracijos tipą, įtvirtintą</w:t>
            </w:r>
            <w:r w:rsidR="0039696E" w:rsidRPr="0068350D">
              <w:t xml:space="preserve"> </w:t>
            </w:r>
            <w:r w:rsidRPr="0068350D">
              <w:t>Direktyv</w:t>
            </w:r>
            <w:r w:rsidR="00695CD3" w:rsidRPr="0068350D">
              <w:t>os</w:t>
            </w:r>
            <w:r w:rsidRPr="0068350D">
              <w:t xml:space="preserve"> 2001/83/EB</w:t>
            </w:r>
            <w:r w:rsidR="00695CD3" w:rsidRPr="0068350D">
              <w:t xml:space="preserve"> straips</w:t>
            </w:r>
            <w:r w:rsidR="0039696E" w:rsidRPr="0068350D">
              <w:t>iuose</w:t>
            </w:r>
            <w:r w:rsidRPr="0068350D">
              <w:t>)</w:t>
            </w:r>
          </w:p>
          <w:p w14:paraId="77089D80" w14:textId="6681D72A" w:rsidR="00B13D65" w:rsidRPr="0068350D" w:rsidRDefault="00B13D65" w:rsidP="00824B92">
            <w:pPr>
              <w:rPr>
                <w:bCs/>
                <w:color w:val="000000"/>
                <w:lang w:eastAsia="lt-LT"/>
              </w:rPr>
            </w:pPr>
          </w:p>
        </w:tc>
        <w:tc>
          <w:tcPr>
            <w:tcW w:w="5167" w:type="dxa"/>
          </w:tcPr>
          <w:p w14:paraId="208F40EC" w14:textId="4754237B" w:rsidR="00B13D65" w:rsidRPr="0068350D" w:rsidRDefault="00000000" w:rsidP="00824B92">
            <w:pPr>
              <w:rPr>
                <w:sz w:val="22"/>
                <w:szCs w:val="22"/>
              </w:rPr>
            </w:pPr>
            <w:sdt>
              <w:sdtPr>
                <w:rPr>
                  <w:rStyle w:val="Style2"/>
                  <w:sz w:val="22"/>
                  <w:szCs w:val="22"/>
                </w:rPr>
                <w:id w:val="526292078"/>
                <w15:color w:val="FFCC00"/>
                <w14:checkbox>
                  <w14:checked w14:val="1"/>
                  <w14:checkedState w14:val="2612" w14:font="MS Gothic"/>
                  <w14:uncheckedState w14:val="2610" w14:font="MS Gothic"/>
                </w14:checkbox>
              </w:sdtPr>
              <w:sdtContent>
                <w:r w:rsidR="00DE6806" w:rsidRPr="0068350D">
                  <w:rPr>
                    <w:rStyle w:val="Style2"/>
                    <w:rFonts w:ascii="MS Gothic" w:eastAsia="MS Gothic" w:hAnsi="MS Gothic"/>
                    <w:sz w:val="22"/>
                    <w:szCs w:val="22"/>
                  </w:rPr>
                  <w:t>☒</w:t>
                </w:r>
              </w:sdtContent>
            </w:sdt>
            <w:r w:rsidR="00B13D65" w:rsidRPr="0068350D">
              <w:rPr>
                <w:sz w:val="22"/>
                <w:szCs w:val="22"/>
              </w:rPr>
              <w:t xml:space="preserve">8.3 str. (pilna byla, pagrįsta savais tyrimais) </w:t>
            </w:r>
          </w:p>
          <w:p w14:paraId="32BA564E" w14:textId="3FDA3E01" w:rsidR="00B13D65" w:rsidRPr="0068350D" w:rsidRDefault="00000000" w:rsidP="00824B92">
            <w:pPr>
              <w:rPr>
                <w:sz w:val="22"/>
                <w:szCs w:val="22"/>
              </w:rPr>
            </w:pPr>
            <w:sdt>
              <w:sdtPr>
                <w:rPr>
                  <w:rStyle w:val="Style2"/>
                  <w:sz w:val="22"/>
                  <w:szCs w:val="22"/>
                </w:rPr>
                <w:id w:val="-1497953736"/>
                <w15:color w:val="FFCC00"/>
                <w14:checkbox>
                  <w14:checked w14:val="0"/>
                  <w14:checkedState w14:val="2612" w14:font="MS Gothic"/>
                  <w14:uncheckedState w14:val="2610" w14:font="MS Gothic"/>
                </w14:checkbox>
              </w:sdtPr>
              <w:sdtContent>
                <w:r w:rsidR="00CC7832" w:rsidRPr="0068350D">
                  <w:rPr>
                    <w:rStyle w:val="Style2"/>
                    <w:rFonts w:ascii="Segoe UI Symbol" w:eastAsia="MS Gothic" w:hAnsi="Segoe UI Symbol" w:cs="Segoe UI Symbol"/>
                    <w:sz w:val="22"/>
                    <w:szCs w:val="22"/>
                  </w:rPr>
                  <w:t>☐</w:t>
                </w:r>
              </w:sdtContent>
            </w:sdt>
            <w:r w:rsidR="00B13D65" w:rsidRPr="0068350D">
              <w:rPr>
                <w:sz w:val="22"/>
                <w:szCs w:val="22"/>
              </w:rPr>
              <w:t xml:space="preserve">10 a str. (pripažintas medicininis vartojimas) </w:t>
            </w:r>
          </w:p>
          <w:p w14:paraId="318DCD7F" w14:textId="32333E53" w:rsidR="00B13D65" w:rsidRPr="0068350D" w:rsidRDefault="00000000" w:rsidP="00824B92">
            <w:pPr>
              <w:rPr>
                <w:sz w:val="22"/>
                <w:szCs w:val="22"/>
              </w:rPr>
            </w:pPr>
            <w:sdt>
              <w:sdtPr>
                <w:rPr>
                  <w:rStyle w:val="Style2"/>
                  <w:sz w:val="22"/>
                  <w:szCs w:val="22"/>
                </w:rPr>
                <w:id w:val="204142496"/>
                <w15:color w:val="FFCC00"/>
                <w14:checkbox>
                  <w14:checked w14:val="0"/>
                  <w14:checkedState w14:val="2612" w14:font="MS Gothic"/>
                  <w14:uncheckedState w14:val="2610" w14:font="MS Gothic"/>
                </w14:checkbox>
              </w:sdtPr>
              <w:sdtContent>
                <w:r w:rsidR="00CC7832" w:rsidRPr="0068350D">
                  <w:rPr>
                    <w:rStyle w:val="Style2"/>
                    <w:rFonts w:ascii="Segoe UI Symbol" w:eastAsia="MS Gothic" w:hAnsi="Segoe UI Symbol" w:cs="Segoe UI Symbol"/>
                    <w:sz w:val="22"/>
                    <w:szCs w:val="22"/>
                  </w:rPr>
                  <w:t>☐</w:t>
                </w:r>
              </w:sdtContent>
            </w:sdt>
            <w:r w:rsidR="00B13D65" w:rsidRPr="0068350D">
              <w:rPr>
                <w:sz w:val="22"/>
                <w:szCs w:val="22"/>
              </w:rPr>
              <w:t>10.1 str. (generinis)</w:t>
            </w:r>
          </w:p>
          <w:p w14:paraId="3B0A4F72" w14:textId="3F5FB073" w:rsidR="00B13D65" w:rsidRPr="0068350D" w:rsidRDefault="00000000" w:rsidP="00824B92">
            <w:pPr>
              <w:rPr>
                <w:rStyle w:val="Style2"/>
                <w:sz w:val="24"/>
              </w:rPr>
            </w:pPr>
            <w:sdt>
              <w:sdtPr>
                <w:rPr>
                  <w:rStyle w:val="Style2"/>
                  <w:sz w:val="22"/>
                  <w:szCs w:val="22"/>
                </w:rPr>
                <w:id w:val="820305101"/>
                <w15:color w:val="FFCC00"/>
                <w14:checkbox>
                  <w14:checked w14:val="0"/>
                  <w14:checkedState w14:val="2612" w14:font="MS Gothic"/>
                  <w14:uncheckedState w14:val="2610" w14:font="MS Gothic"/>
                </w14:checkbox>
              </w:sdtPr>
              <w:sdtContent>
                <w:r w:rsidR="00CC7832" w:rsidRPr="0068350D">
                  <w:rPr>
                    <w:rStyle w:val="Style2"/>
                    <w:rFonts w:ascii="Segoe UI Symbol" w:eastAsia="MS Gothic" w:hAnsi="Segoe UI Symbol" w:cs="Segoe UI Symbol"/>
                    <w:sz w:val="22"/>
                    <w:szCs w:val="22"/>
                  </w:rPr>
                  <w:t>☐</w:t>
                </w:r>
              </w:sdtContent>
            </w:sdt>
            <w:r w:rsidR="00B13D65" w:rsidRPr="0068350D">
              <w:rPr>
                <w:sz w:val="22"/>
                <w:szCs w:val="22"/>
              </w:rPr>
              <w:t>10.3 str. (hibridinis)</w:t>
            </w:r>
          </w:p>
        </w:tc>
      </w:tr>
      <w:tr w:rsidR="00B13D65" w:rsidRPr="0068350D" w14:paraId="310E9662" w14:textId="77777777" w:rsidTr="00BE7489">
        <w:trPr>
          <w:trHeight w:val="1442"/>
        </w:trPr>
        <w:tc>
          <w:tcPr>
            <w:tcW w:w="632" w:type="dxa"/>
          </w:tcPr>
          <w:p w14:paraId="4B5A91A2" w14:textId="561B5E5F" w:rsidR="00B13D65" w:rsidRPr="0068350D" w:rsidRDefault="00B13D65" w:rsidP="00824B92">
            <w:pPr>
              <w:rPr>
                <w:rFonts w:eastAsia="Arial"/>
              </w:rPr>
            </w:pPr>
            <w:r w:rsidRPr="0068350D">
              <w:rPr>
                <w:rFonts w:eastAsia="Arial"/>
              </w:rPr>
              <w:t>1.</w:t>
            </w:r>
            <w:r w:rsidR="002E0702" w:rsidRPr="0068350D">
              <w:rPr>
                <w:rFonts w:eastAsia="Arial"/>
              </w:rPr>
              <w:t>4</w:t>
            </w:r>
          </w:p>
        </w:tc>
        <w:tc>
          <w:tcPr>
            <w:tcW w:w="3694" w:type="dxa"/>
          </w:tcPr>
          <w:p w14:paraId="6C91E105" w14:textId="77777777" w:rsidR="00B13D65" w:rsidRPr="0068350D" w:rsidRDefault="00B13D65" w:rsidP="00824B92">
            <w:pPr>
              <w:rPr>
                <w:bCs/>
                <w:color w:val="000000"/>
                <w:lang w:eastAsia="lt-LT"/>
              </w:rPr>
            </w:pPr>
            <w:r w:rsidRPr="0068350D">
              <w:rPr>
                <w:bCs/>
                <w:color w:val="000000"/>
                <w:lang w:eastAsia="lt-LT"/>
              </w:rPr>
              <w:t xml:space="preserve">Ar vaistinis preparatas įrašytas į Bendrijos retųjų vaistinių preparatų registrą? </w:t>
            </w:r>
          </w:p>
          <w:p w14:paraId="483071A3" w14:textId="5EB668DA" w:rsidR="00B13D65" w:rsidRPr="0068350D" w:rsidRDefault="00B13D65" w:rsidP="00824B92">
            <w:pPr>
              <w:rPr>
                <w:bCs/>
                <w:color w:val="000000"/>
                <w:lang w:eastAsia="lt-LT"/>
              </w:rPr>
            </w:pPr>
          </w:p>
        </w:tc>
        <w:tc>
          <w:tcPr>
            <w:tcW w:w="5167" w:type="dxa"/>
          </w:tcPr>
          <w:p w14:paraId="05845C60" w14:textId="10CF4033" w:rsidR="00B13D65" w:rsidRPr="0068350D" w:rsidRDefault="00000000" w:rsidP="00824B92">
            <w:sdt>
              <w:sdtPr>
                <w:rPr>
                  <w:rStyle w:val="Style2"/>
                  <w:sz w:val="24"/>
                </w:rPr>
                <w:id w:val="2024432173"/>
                <w15:color w:val="FFCC00"/>
                <w14:checkbox>
                  <w14:checked w14:val="0"/>
                  <w14:checkedState w14:val="2612" w14:font="MS Gothic"/>
                  <w14:uncheckedState w14:val="2610" w14:font="MS Gothic"/>
                </w14:checkbox>
              </w:sdtPr>
              <w:sdtContent>
                <w:r w:rsidR="00D417D2" w:rsidRPr="0068350D">
                  <w:rPr>
                    <w:rStyle w:val="Style2"/>
                    <w:rFonts w:ascii="MS Gothic" w:eastAsia="MS Gothic" w:hAnsi="MS Gothic"/>
                    <w:sz w:val="24"/>
                  </w:rPr>
                  <w:t>☐</w:t>
                </w:r>
              </w:sdtContent>
            </w:sdt>
            <w:r w:rsidR="00B13D65" w:rsidRPr="0068350D">
              <w:t xml:space="preserve"> Taip</w:t>
            </w:r>
          </w:p>
          <w:p w14:paraId="41D88067" w14:textId="3FEAAE22" w:rsidR="00B13D65" w:rsidRPr="0068350D" w:rsidRDefault="00000000" w:rsidP="00824B92">
            <w:sdt>
              <w:sdtPr>
                <w:rPr>
                  <w:rStyle w:val="Style2"/>
                  <w:sz w:val="24"/>
                </w:rPr>
                <w:id w:val="-970507926"/>
                <w15:color w:val="FFCC00"/>
                <w14:checkbox>
                  <w14:checked w14:val="1"/>
                  <w14:checkedState w14:val="2612" w14:font="MS Gothic"/>
                  <w14:uncheckedState w14:val="2610" w14:font="MS Gothic"/>
                </w14:checkbox>
              </w:sdtPr>
              <w:sdtContent>
                <w:r w:rsidR="00DE6806" w:rsidRPr="0068350D">
                  <w:rPr>
                    <w:rStyle w:val="Style2"/>
                    <w:rFonts w:ascii="MS Gothic" w:eastAsia="MS Gothic" w:hAnsi="MS Gothic"/>
                    <w:sz w:val="24"/>
                  </w:rPr>
                  <w:t>☒</w:t>
                </w:r>
              </w:sdtContent>
            </w:sdt>
            <w:r w:rsidR="00B13D65" w:rsidRPr="0068350D">
              <w:t xml:space="preserve"> Ne</w:t>
            </w:r>
          </w:p>
          <w:p w14:paraId="29C2CBBB" w14:textId="77777777" w:rsidR="00B13D65" w:rsidRPr="0068350D" w:rsidRDefault="00000000" w:rsidP="00824B92">
            <w:pPr>
              <w:rPr>
                <w:rFonts w:eastAsia="Arial"/>
              </w:rPr>
            </w:pPr>
            <w:sdt>
              <w:sdtPr>
                <w:alias w:val="Nurodykite konkrečią dieną"/>
                <w:tag w:val="Nurodykite pradžios datą"/>
                <w:id w:val="693498901"/>
                <w:placeholder>
                  <w:docPart w:val="CDB60824EC144AB3B75C05A5823BEE2D"/>
                </w:placeholder>
                <w:showingPlcHdr/>
                <w15:color w:val="FFCC99"/>
                <w:date w:fullDate="2022-05-18T00:00:00Z">
                  <w:dateFormat w:val="yyyy 'm.' MMMM d 'd.'"/>
                  <w:lid w:val="lt-LT"/>
                  <w:storeMappedDataAs w:val="dateTime"/>
                  <w:calendar w:val="gregorian"/>
                </w:date>
              </w:sdtPr>
              <w:sdtContent>
                <w:r w:rsidR="00B13D65" w:rsidRPr="0068350D">
                  <w:rPr>
                    <w:rStyle w:val="Vietosrezervavimoenklotekstas"/>
                  </w:rPr>
                  <w:t>Click here to enter a date.</w:t>
                </w:r>
              </w:sdtContent>
            </w:sdt>
          </w:p>
        </w:tc>
      </w:tr>
      <w:tr w:rsidR="00D417D2" w:rsidRPr="0068350D" w14:paraId="7841E5F8" w14:textId="77777777" w:rsidTr="00BE7489">
        <w:trPr>
          <w:trHeight w:val="476"/>
        </w:trPr>
        <w:tc>
          <w:tcPr>
            <w:tcW w:w="632" w:type="dxa"/>
          </w:tcPr>
          <w:p w14:paraId="109D2861" w14:textId="73BF27DF" w:rsidR="00D417D2" w:rsidRPr="0068350D" w:rsidRDefault="00D417D2" w:rsidP="00824B92">
            <w:pPr>
              <w:rPr>
                <w:rFonts w:eastAsia="Arial"/>
              </w:rPr>
            </w:pPr>
            <w:r w:rsidRPr="0068350D">
              <w:rPr>
                <w:rFonts w:eastAsia="Arial"/>
              </w:rPr>
              <w:t>1.5</w:t>
            </w:r>
          </w:p>
        </w:tc>
        <w:tc>
          <w:tcPr>
            <w:tcW w:w="3694" w:type="dxa"/>
          </w:tcPr>
          <w:p w14:paraId="7822D63E" w14:textId="68C38334" w:rsidR="00D417D2" w:rsidRPr="0068350D" w:rsidRDefault="00D417D2" w:rsidP="00824B92">
            <w:pPr>
              <w:rPr>
                <w:bCs/>
                <w:color w:val="000000"/>
                <w:lang w:eastAsia="lt-LT"/>
              </w:rPr>
            </w:pPr>
            <w:r w:rsidRPr="0068350D">
              <w:t>STV paraiškos pobūdis</w:t>
            </w:r>
          </w:p>
        </w:tc>
        <w:tc>
          <w:tcPr>
            <w:tcW w:w="5167" w:type="dxa"/>
          </w:tcPr>
          <w:p w14:paraId="403461B9" w14:textId="16045F60" w:rsidR="00D417D2" w:rsidRPr="0068350D" w:rsidRDefault="00000000" w:rsidP="00824B92">
            <w:sdt>
              <w:sdtPr>
                <w:rPr>
                  <w:rStyle w:val="Style2"/>
                  <w:sz w:val="24"/>
                </w:rPr>
                <w:id w:val="-468433535"/>
                <w15:color w:val="FFCC00"/>
                <w14:checkbox>
                  <w14:checked w14:val="0"/>
                  <w14:checkedState w14:val="2612" w14:font="MS Gothic"/>
                  <w14:uncheckedState w14:val="2610" w14:font="MS Gothic"/>
                </w14:checkbox>
              </w:sdtPr>
              <w:sdtContent>
                <w:r w:rsidR="00DE6806" w:rsidRPr="0068350D">
                  <w:rPr>
                    <w:rStyle w:val="Style2"/>
                    <w:rFonts w:ascii="MS Gothic" w:eastAsia="MS Gothic" w:hAnsi="MS Gothic"/>
                    <w:sz w:val="24"/>
                  </w:rPr>
                  <w:t>☐</w:t>
                </w:r>
              </w:sdtContent>
            </w:sdt>
            <w:r w:rsidR="00D417D2" w:rsidRPr="0068350D">
              <w:t xml:space="preserve"> Pilna paraiška</w:t>
            </w:r>
          </w:p>
          <w:p w14:paraId="6B8213E3" w14:textId="5C918139" w:rsidR="00D417D2" w:rsidRPr="0068350D" w:rsidRDefault="00000000" w:rsidP="00824B92">
            <w:sdt>
              <w:sdtPr>
                <w:rPr>
                  <w:rStyle w:val="Style2"/>
                  <w:sz w:val="24"/>
                </w:rPr>
                <w:id w:val="-1489014904"/>
                <w15:color w:val="FFCC00"/>
                <w14:checkbox>
                  <w14:checked w14:val="1"/>
                  <w14:checkedState w14:val="2612" w14:font="MS Gothic"/>
                  <w14:uncheckedState w14:val="2610" w14:font="MS Gothic"/>
                </w14:checkbox>
              </w:sdtPr>
              <w:sdtContent>
                <w:r w:rsidR="00DE6806" w:rsidRPr="0068350D">
                  <w:rPr>
                    <w:rStyle w:val="Style2"/>
                    <w:rFonts w:ascii="MS Gothic" w:eastAsia="MS Gothic" w:hAnsi="MS Gothic"/>
                    <w:sz w:val="24"/>
                  </w:rPr>
                  <w:t>☒</w:t>
                </w:r>
              </w:sdtContent>
            </w:sdt>
            <w:r w:rsidR="00D417D2" w:rsidRPr="0068350D">
              <w:t xml:space="preserve"> Supaprastinta paraiška</w:t>
            </w:r>
          </w:p>
        </w:tc>
      </w:tr>
      <w:tr w:rsidR="00B13D65" w:rsidRPr="0068350D" w14:paraId="274D1DAF" w14:textId="77777777" w:rsidTr="00BE7489">
        <w:trPr>
          <w:trHeight w:val="1922"/>
        </w:trPr>
        <w:tc>
          <w:tcPr>
            <w:tcW w:w="632" w:type="dxa"/>
          </w:tcPr>
          <w:p w14:paraId="17ABF217" w14:textId="14AC00D7" w:rsidR="00B13D65" w:rsidRPr="0068350D" w:rsidRDefault="00B13D65" w:rsidP="00824B92">
            <w:pPr>
              <w:rPr>
                <w:rFonts w:eastAsia="Arial"/>
              </w:rPr>
            </w:pPr>
            <w:r w:rsidRPr="0068350D">
              <w:rPr>
                <w:rFonts w:eastAsia="Arial"/>
              </w:rPr>
              <w:t>1.</w:t>
            </w:r>
            <w:r w:rsidR="00D417D2" w:rsidRPr="0068350D">
              <w:rPr>
                <w:rFonts w:eastAsia="Arial"/>
              </w:rPr>
              <w:t>6</w:t>
            </w:r>
          </w:p>
        </w:tc>
        <w:tc>
          <w:tcPr>
            <w:tcW w:w="3694" w:type="dxa"/>
          </w:tcPr>
          <w:p w14:paraId="4D49DBF5" w14:textId="77777777" w:rsidR="007656B2" w:rsidRPr="0068350D" w:rsidRDefault="00DE4484" w:rsidP="00824B92">
            <w:pPr>
              <w:rPr>
                <w:bCs/>
                <w:color w:val="000000"/>
                <w:lang w:eastAsia="lt-LT"/>
              </w:rPr>
            </w:pPr>
            <w:r w:rsidRPr="0068350D">
              <w:rPr>
                <w:bCs/>
                <w:color w:val="000000"/>
                <w:lang w:eastAsia="lt-LT"/>
              </w:rPr>
              <w:t>Par</w:t>
            </w:r>
            <w:r w:rsidR="007656B2" w:rsidRPr="0068350D">
              <w:rPr>
                <w:bCs/>
                <w:color w:val="000000"/>
                <w:lang w:eastAsia="lt-LT"/>
              </w:rPr>
              <w:t>eiškėjo t</w:t>
            </w:r>
            <w:r w:rsidR="00B13D65" w:rsidRPr="0068350D">
              <w:rPr>
                <w:bCs/>
                <w:color w:val="000000"/>
                <w:lang w:eastAsia="lt-LT"/>
              </w:rPr>
              <w:t>eikiama (-os) kompensuoti vaistinio preparato indikacija (-os)</w:t>
            </w:r>
          </w:p>
          <w:p w14:paraId="3FB07EE5" w14:textId="77777777" w:rsidR="00AE1322" w:rsidRPr="0068350D" w:rsidRDefault="00AE1322" w:rsidP="00824B92">
            <w:pPr>
              <w:rPr>
                <w:bCs/>
                <w:color w:val="000000"/>
                <w:lang w:eastAsia="lt-LT"/>
              </w:rPr>
            </w:pPr>
          </w:p>
          <w:p w14:paraId="3A6B054C" w14:textId="61F718D0" w:rsidR="00AE1322" w:rsidRPr="0068350D" w:rsidRDefault="00AE1322" w:rsidP="00824B92">
            <w:pPr>
              <w:rPr>
                <w:bCs/>
                <w:color w:val="000000"/>
                <w:lang w:eastAsia="lt-LT"/>
              </w:rPr>
            </w:pPr>
          </w:p>
          <w:p w14:paraId="5F7FC498" w14:textId="77777777" w:rsidR="00764DEF" w:rsidRPr="0068350D" w:rsidRDefault="00764DEF" w:rsidP="00824B92">
            <w:pPr>
              <w:rPr>
                <w:bCs/>
                <w:color w:val="000000"/>
                <w:lang w:eastAsia="lt-LT"/>
              </w:rPr>
            </w:pPr>
          </w:p>
          <w:p w14:paraId="6B4FEEC1" w14:textId="378668B0" w:rsidR="00B13D65" w:rsidRPr="0068350D" w:rsidRDefault="007656B2" w:rsidP="00824B92">
            <w:pPr>
              <w:rPr>
                <w:bCs/>
                <w:color w:val="000000"/>
                <w:lang w:eastAsia="lt-LT"/>
              </w:rPr>
            </w:pPr>
            <w:r w:rsidRPr="0068350D">
              <w:rPr>
                <w:bCs/>
                <w:color w:val="000000"/>
                <w:lang w:eastAsia="lt-LT"/>
              </w:rPr>
              <w:t>K</w:t>
            </w:r>
            <w:r w:rsidR="00B13D65" w:rsidRPr="0068350D">
              <w:rPr>
                <w:bCs/>
                <w:color w:val="000000"/>
                <w:lang w:eastAsia="lt-LT"/>
              </w:rPr>
              <w:t>odas</w:t>
            </w:r>
            <w:r w:rsidRPr="0068350D">
              <w:rPr>
                <w:bCs/>
                <w:color w:val="000000"/>
                <w:lang w:eastAsia="lt-LT"/>
              </w:rPr>
              <w:t xml:space="preserve"> pagal TLK-10 AM</w:t>
            </w:r>
          </w:p>
        </w:tc>
        <w:tc>
          <w:tcPr>
            <w:tcW w:w="5167" w:type="dxa"/>
          </w:tcPr>
          <w:p w14:paraId="7B2811E6" w14:textId="77777777" w:rsidR="00764DEF" w:rsidRPr="0068350D" w:rsidRDefault="00764DEF" w:rsidP="00764DEF">
            <w:pPr>
              <w:pStyle w:val="Sraopastraipa"/>
              <w:spacing w:after="120"/>
              <w:ind w:left="0"/>
              <w:contextualSpacing w:val="0"/>
              <w:jc w:val="both"/>
            </w:pPr>
            <w:r w:rsidRPr="0068350D">
              <w:t>Kinpeygo skirtas gydyti pirmine imunoglobulino A (IgA) nefropatija (IgAN) sergančius suaugusiuosius, kuriems kyla spartaus ligos progresavimo rizika, kai baltymo ir kreatinino santykis šlapime (BKSŠ) yra ≥ 1,5 g vienam gramui.</w:t>
            </w:r>
          </w:p>
          <w:p w14:paraId="13F7DFB0" w14:textId="16A37DFE" w:rsidR="00B13D65" w:rsidRPr="0068350D" w:rsidRDefault="00764DEF" w:rsidP="00764DEF">
            <w:r w:rsidRPr="0068350D">
              <w:t>N</w:t>
            </w:r>
            <w:r w:rsidR="0068350D" w:rsidRPr="0068350D">
              <w:t xml:space="preserve"> </w:t>
            </w:r>
            <w:r w:rsidRPr="0068350D">
              <w:t>02.8</w:t>
            </w:r>
          </w:p>
        </w:tc>
      </w:tr>
      <w:tr w:rsidR="00B13D65" w:rsidRPr="0068350D" w14:paraId="2F79DC08" w14:textId="77777777" w:rsidTr="00BE7489">
        <w:trPr>
          <w:trHeight w:val="378"/>
        </w:trPr>
        <w:tc>
          <w:tcPr>
            <w:tcW w:w="632" w:type="dxa"/>
          </w:tcPr>
          <w:p w14:paraId="547885A2" w14:textId="08AA8055" w:rsidR="00B13D65" w:rsidRPr="0068350D" w:rsidRDefault="00B13D65" w:rsidP="00824B92">
            <w:pPr>
              <w:rPr>
                <w:rFonts w:eastAsia="Arial"/>
              </w:rPr>
            </w:pPr>
            <w:r w:rsidRPr="0068350D">
              <w:rPr>
                <w:rFonts w:eastAsia="Arial"/>
              </w:rPr>
              <w:t>1.</w:t>
            </w:r>
            <w:r w:rsidR="002E0702" w:rsidRPr="0068350D">
              <w:rPr>
                <w:rFonts w:eastAsia="Arial"/>
              </w:rPr>
              <w:t>6</w:t>
            </w:r>
          </w:p>
        </w:tc>
        <w:tc>
          <w:tcPr>
            <w:tcW w:w="3694" w:type="dxa"/>
          </w:tcPr>
          <w:p w14:paraId="2EAB877F" w14:textId="39A36941" w:rsidR="00B13D65" w:rsidRPr="0068350D" w:rsidRDefault="007656B2" w:rsidP="00824B92">
            <w:pPr>
              <w:rPr>
                <w:bCs/>
                <w:color w:val="000000"/>
                <w:u w:val="single"/>
                <w:lang w:eastAsia="lt-LT"/>
              </w:rPr>
            </w:pPr>
            <w:r w:rsidRPr="0068350D">
              <w:rPr>
                <w:bCs/>
                <w:color w:val="000000"/>
                <w:lang w:eastAsia="lt-LT"/>
              </w:rPr>
              <w:t>Pareiškėjo t</w:t>
            </w:r>
            <w:r w:rsidR="00B13D65" w:rsidRPr="0068350D">
              <w:rPr>
                <w:bCs/>
                <w:color w:val="000000"/>
                <w:lang w:eastAsia="lt-LT"/>
              </w:rPr>
              <w:t>eikiamos skyrimo sąlygos</w:t>
            </w:r>
            <w:r w:rsidR="005B3756" w:rsidRPr="0068350D">
              <w:rPr>
                <w:bCs/>
                <w:color w:val="000000"/>
                <w:lang w:eastAsia="lt-LT"/>
              </w:rPr>
              <w:t xml:space="preserve"> </w:t>
            </w:r>
          </w:p>
        </w:tc>
        <w:tc>
          <w:tcPr>
            <w:tcW w:w="5167" w:type="dxa"/>
          </w:tcPr>
          <w:p w14:paraId="0579DF58" w14:textId="75761133" w:rsidR="00B13D65" w:rsidRPr="0068350D" w:rsidRDefault="00764DEF" w:rsidP="00824B92">
            <w:r w:rsidRPr="0068350D">
              <w:rPr>
                <w:color w:val="000000"/>
              </w:rPr>
              <w:t>Neteikiamos.</w:t>
            </w:r>
          </w:p>
        </w:tc>
      </w:tr>
      <w:tr w:rsidR="00B13D65" w:rsidRPr="00AD1C80" w14:paraId="3B125269" w14:textId="77777777" w:rsidTr="00BE7489">
        <w:trPr>
          <w:trHeight w:val="378"/>
        </w:trPr>
        <w:tc>
          <w:tcPr>
            <w:tcW w:w="632" w:type="dxa"/>
          </w:tcPr>
          <w:p w14:paraId="0058E11F" w14:textId="77777777" w:rsidR="00B13D65" w:rsidRPr="00AD1C80" w:rsidRDefault="00B13D65" w:rsidP="00824B92">
            <w:pPr>
              <w:rPr>
                <w:rFonts w:eastAsia="Arial"/>
              </w:rPr>
            </w:pPr>
            <w:r w:rsidRPr="00AD1C80">
              <w:rPr>
                <w:rFonts w:eastAsia="Arial"/>
              </w:rPr>
              <w:lastRenderedPageBreak/>
              <w:t>1.7</w:t>
            </w:r>
          </w:p>
        </w:tc>
        <w:tc>
          <w:tcPr>
            <w:tcW w:w="3694" w:type="dxa"/>
          </w:tcPr>
          <w:p w14:paraId="738E1926" w14:textId="77777777" w:rsidR="00B13D65" w:rsidRPr="00AD1C80" w:rsidRDefault="007656B2" w:rsidP="00824B92">
            <w:pPr>
              <w:rPr>
                <w:bCs/>
                <w:color w:val="000000"/>
                <w:lang w:eastAsia="lt-LT"/>
              </w:rPr>
            </w:pPr>
            <w:r w:rsidRPr="00AD1C80">
              <w:rPr>
                <w:bCs/>
                <w:color w:val="000000"/>
                <w:lang w:eastAsia="lt-LT"/>
              </w:rPr>
              <w:t>Pareiškėjo teikiamas p</w:t>
            </w:r>
            <w:r w:rsidR="00B13D65" w:rsidRPr="00AD1C80">
              <w:rPr>
                <w:bCs/>
                <w:color w:val="000000"/>
                <w:lang w:eastAsia="lt-LT"/>
              </w:rPr>
              <w:t>alyginamasis</w:t>
            </w:r>
            <w:r w:rsidR="005B3756" w:rsidRPr="00AD1C80">
              <w:rPr>
                <w:bCs/>
                <w:color w:val="000000"/>
                <w:lang w:eastAsia="lt-LT"/>
              </w:rPr>
              <w:t xml:space="preserve"> </w:t>
            </w:r>
            <w:r w:rsidR="00B13D65" w:rsidRPr="00AD1C80">
              <w:rPr>
                <w:bCs/>
                <w:color w:val="000000"/>
                <w:lang w:eastAsia="lt-LT"/>
              </w:rPr>
              <w:t xml:space="preserve">gydymas </w:t>
            </w:r>
          </w:p>
          <w:p w14:paraId="61EC5BBD" w14:textId="7A8BD8B4" w:rsidR="009F4D66" w:rsidRPr="00AD1C80" w:rsidRDefault="009F4D66" w:rsidP="00824B92">
            <w:pPr>
              <w:rPr>
                <w:bCs/>
                <w:color w:val="000000"/>
                <w:lang w:eastAsia="lt-LT"/>
              </w:rPr>
            </w:pPr>
          </w:p>
          <w:p w14:paraId="62057D94" w14:textId="30F90493" w:rsidR="00413F24" w:rsidRPr="00AD1C80" w:rsidRDefault="0043140E" w:rsidP="00824B92">
            <w:pPr>
              <w:rPr>
                <w:bCs/>
                <w:color w:val="000000"/>
                <w:lang w:eastAsia="lt-LT"/>
              </w:rPr>
            </w:pPr>
            <w:r w:rsidRPr="00AD1C80">
              <w:rPr>
                <w:bCs/>
                <w:color w:val="000000"/>
                <w:lang w:eastAsia="lt-LT"/>
              </w:rPr>
              <w:t>Tiesioginis</w:t>
            </w:r>
          </w:p>
          <w:p w14:paraId="106807D3" w14:textId="77777777" w:rsidR="0034635D" w:rsidRPr="00AD1C80" w:rsidRDefault="0034635D" w:rsidP="0034635D">
            <w:pPr>
              <w:widowControl w:val="0"/>
              <w:pBdr>
                <w:top w:val="nil"/>
                <w:left w:val="nil"/>
                <w:bottom w:val="nil"/>
                <w:right w:val="nil"/>
                <w:between w:val="nil"/>
              </w:pBdr>
              <w:spacing w:line="280" w:lineRule="atLeast"/>
              <w:rPr>
                <w:rFonts w:eastAsia="Arial"/>
              </w:rPr>
            </w:pPr>
            <w:r w:rsidRPr="00AD1C80">
              <w:rPr>
                <w:rFonts w:eastAsia="Arial"/>
              </w:rPr>
              <w:t>3 fazės klinikinis tyrimas, dalis A</w:t>
            </w:r>
          </w:p>
          <w:p w14:paraId="0200D185" w14:textId="77777777" w:rsidR="0034635D" w:rsidRPr="00AD1C80" w:rsidRDefault="0034635D" w:rsidP="0034635D">
            <w:pPr>
              <w:widowControl w:val="0"/>
              <w:pBdr>
                <w:top w:val="nil"/>
                <w:left w:val="nil"/>
                <w:bottom w:val="nil"/>
                <w:right w:val="nil"/>
                <w:between w:val="nil"/>
              </w:pBdr>
              <w:spacing w:line="280" w:lineRule="atLeast"/>
              <w:rPr>
                <w:rFonts w:eastAsia="Arial"/>
              </w:rPr>
            </w:pPr>
            <w:r w:rsidRPr="00AD1C80">
              <w:rPr>
                <w:rFonts w:eastAsia="Arial"/>
              </w:rPr>
              <w:t xml:space="preserve">NeflgArd </w:t>
            </w:r>
            <w:r w:rsidRPr="00AD1C80">
              <w:t>NCT01738035</w:t>
            </w:r>
          </w:p>
          <w:p w14:paraId="0C2C8B34" w14:textId="3773312C" w:rsidR="0034635D" w:rsidRPr="00AD1C80" w:rsidRDefault="0034635D" w:rsidP="00824B92">
            <w:pPr>
              <w:rPr>
                <w:rFonts w:eastAsia="Arial"/>
              </w:rPr>
            </w:pPr>
            <w:r w:rsidRPr="00AD1C80">
              <w:rPr>
                <w:rFonts w:eastAsia="Arial"/>
              </w:rPr>
              <w:t>(bude</w:t>
            </w:r>
            <w:r w:rsidR="004A16B5" w:rsidRPr="00AD1C80">
              <w:rPr>
                <w:rFonts w:eastAsia="Arial"/>
              </w:rPr>
              <w:t>zoni</w:t>
            </w:r>
            <w:r w:rsidRPr="00AD1C80">
              <w:rPr>
                <w:rFonts w:eastAsia="Arial"/>
              </w:rPr>
              <w:t xml:space="preserve">das </w:t>
            </w:r>
            <w:r w:rsidRPr="00AD1C80">
              <w:rPr>
                <w:rFonts w:eastAsia="Arial"/>
                <w:i/>
                <w:iCs/>
              </w:rPr>
              <w:t>vs</w:t>
            </w:r>
            <w:r w:rsidRPr="00AD1C80">
              <w:rPr>
                <w:rFonts w:eastAsia="Arial"/>
              </w:rPr>
              <w:t xml:space="preserve"> placeb</w:t>
            </w:r>
            <w:r w:rsidR="002A557A" w:rsidRPr="00AD1C80">
              <w:rPr>
                <w:rFonts w:eastAsia="Arial"/>
              </w:rPr>
              <w:t>as</w:t>
            </w:r>
            <w:r w:rsidRPr="00AD1C80">
              <w:rPr>
                <w:rFonts w:eastAsia="Arial"/>
              </w:rPr>
              <w:t>)</w:t>
            </w:r>
          </w:p>
          <w:p w14:paraId="5C79B8EB" w14:textId="77777777" w:rsidR="0034635D" w:rsidRPr="00AD1C80" w:rsidRDefault="0034635D" w:rsidP="00824B92">
            <w:pPr>
              <w:rPr>
                <w:bCs/>
                <w:color w:val="000000"/>
                <w:lang w:eastAsia="lt-LT"/>
              </w:rPr>
            </w:pPr>
          </w:p>
          <w:p w14:paraId="06563946" w14:textId="084AD8A3" w:rsidR="0034635D" w:rsidRPr="00AD1C80" w:rsidRDefault="0034635D" w:rsidP="00824B92">
            <w:pPr>
              <w:rPr>
                <w:bCs/>
                <w:color w:val="000000"/>
                <w:lang w:eastAsia="lt-LT"/>
              </w:rPr>
            </w:pPr>
            <w:r w:rsidRPr="00AD1C80">
              <w:rPr>
                <w:bCs/>
                <w:color w:val="000000"/>
                <w:lang w:eastAsia="lt-LT"/>
              </w:rPr>
              <w:t>Tiesioginis</w:t>
            </w:r>
          </w:p>
          <w:p w14:paraId="5F8BCD7C" w14:textId="77777777" w:rsidR="0034635D" w:rsidRPr="00AD1C80" w:rsidRDefault="0034635D" w:rsidP="0034635D">
            <w:pPr>
              <w:widowControl w:val="0"/>
              <w:pBdr>
                <w:top w:val="nil"/>
                <w:left w:val="nil"/>
                <w:bottom w:val="nil"/>
                <w:right w:val="nil"/>
                <w:between w:val="nil"/>
              </w:pBdr>
              <w:spacing w:line="280" w:lineRule="atLeast"/>
              <w:rPr>
                <w:rFonts w:eastAsia="Arial"/>
              </w:rPr>
            </w:pPr>
            <w:r w:rsidRPr="00AD1C80">
              <w:rPr>
                <w:rFonts w:eastAsia="Arial"/>
              </w:rPr>
              <w:t>3 fazės klinikinis tyrimas, dalis B – tęstinis tyrimas</w:t>
            </w:r>
          </w:p>
          <w:p w14:paraId="1156FF0B" w14:textId="77777777" w:rsidR="0034635D" w:rsidRPr="00AD1C80" w:rsidRDefault="0034635D" w:rsidP="0034635D">
            <w:pPr>
              <w:widowControl w:val="0"/>
              <w:pBdr>
                <w:top w:val="nil"/>
                <w:left w:val="nil"/>
                <w:bottom w:val="nil"/>
                <w:right w:val="nil"/>
                <w:between w:val="nil"/>
              </w:pBdr>
              <w:spacing w:line="280" w:lineRule="atLeast"/>
              <w:rPr>
                <w:rFonts w:eastAsia="Arial"/>
              </w:rPr>
            </w:pPr>
            <w:r w:rsidRPr="00AD1C80">
              <w:rPr>
                <w:rFonts w:eastAsia="Arial"/>
              </w:rPr>
              <w:t xml:space="preserve">NeflgArd </w:t>
            </w:r>
            <w:r w:rsidRPr="00AD1C80">
              <w:t>NCT01738035</w:t>
            </w:r>
          </w:p>
          <w:p w14:paraId="3A65940C" w14:textId="2779A06A" w:rsidR="0034635D" w:rsidRPr="00AD1C80" w:rsidRDefault="0034635D" w:rsidP="0034635D">
            <w:pPr>
              <w:rPr>
                <w:rFonts w:eastAsia="Arial"/>
              </w:rPr>
            </w:pPr>
            <w:r w:rsidRPr="00AD1C80">
              <w:rPr>
                <w:rFonts w:eastAsia="Arial"/>
              </w:rPr>
              <w:t>(bude</w:t>
            </w:r>
            <w:r w:rsidR="004A16B5" w:rsidRPr="00AD1C80">
              <w:rPr>
                <w:rFonts w:eastAsia="Arial"/>
              </w:rPr>
              <w:t>zon</w:t>
            </w:r>
            <w:r w:rsidRPr="00AD1C80">
              <w:rPr>
                <w:rFonts w:eastAsia="Arial"/>
              </w:rPr>
              <w:t xml:space="preserve">idas </w:t>
            </w:r>
            <w:r w:rsidRPr="00AD1C80">
              <w:rPr>
                <w:rFonts w:eastAsia="Arial"/>
                <w:i/>
                <w:iCs/>
              </w:rPr>
              <w:t>vs</w:t>
            </w:r>
            <w:r w:rsidRPr="00AD1C80">
              <w:rPr>
                <w:rFonts w:eastAsia="Arial"/>
              </w:rPr>
              <w:t xml:space="preserve"> placeb</w:t>
            </w:r>
            <w:r w:rsidR="002A557A" w:rsidRPr="00AD1C80">
              <w:rPr>
                <w:rFonts w:eastAsia="Arial"/>
              </w:rPr>
              <w:t>as</w:t>
            </w:r>
            <w:r w:rsidRPr="00AD1C80">
              <w:rPr>
                <w:rFonts w:eastAsia="Arial"/>
              </w:rPr>
              <w:t>)</w:t>
            </w:r>
          </w:p>
          <w:p w14:paraId="5F88D5C6" w14:textId="65F45D31" w:rsidR="0034635D" w:rsidRPr="00AD1C80" w:rsidRDefault="0034635D" w:rsidP="0034635D">
            <w:pPr>
              <w:rPr>
                <w:rFonts w:eastAsia="Arial"/>
              </w:rPr>
            </w:pPr>
          </w:p>
          <w:p w14:paraId="6AA801FB" w14:textId="61FF673C" w:rsidR="0034635D" w:rsidRPr="00AD1C80" w:rsidRDefault="0034635D" w:rsidP="0034635D">
            <w:pPr>
              <w:rPr>
                <w:rFonts w:eastAsia="Arial"/>
              </w:rPr>
            </w:pPr>
            <w:r w:rsidRPr="00AD1C80">
              <w:rPr>
                <w:rFonts w:eastAsia="Arial"/>
              </w:rPr>
              <w:t>Tiesioginis</w:t>
            </w:r>
          </w:p>
          <w:p w14:paraId="2F758C9B" w14:textId="77777777" w:rsidR="0034635D" w:rsidRPr="00AD1C80" w:rsidRDefault="0034635D" w:rsidP="0034635D">
            <w:pPr>
              <w:widowControl w:val="0"/>
              <w:pBdr>
                <w:top w:val="nil"/>
                <w:left w:val="nil"/>
                <w:bottom w:val="nil"/>
                <w:right w:val="nil"/>
                <w:between w:val="nil"/>
              </w:pBdr>
              <w:spacing w:line="280" w:lineRule="atLeast"/>
              <w:rPr>
                <w:rFonts w:eastAsia="Arial"/>
              </w:rPr>
            </w:pPr>
            <w:r w:rsidRPr="00AD1C80">
              <w:rPr>
                <w:rFonts w:eastAsia="Arial"/>
              </w:rPr>
              <w:t>2b fazės klinikinis tyrimas</w:t>
            </w:r>
          </w:p>
          <w:p w14:paraId="4B9FF0BF" w14:textId="77777777" w:rsidR="0034635D" w:rsidRPr="00AD1C80" w:rsidRDefault="0034635D" w:rsidP="0034635D">
            <w:pPr>
              <w:widowControl w:val="0"/>
              <w:pBdr>
                <w:top w:val="nil"/>
                <w:left w:val="nil"/>
                <w:bottom w:val="nil"/>
                <w:right w:val="nil"/>
                <w:between w:val="nil"/>
              </w:pBdr>
              <w:spacing w:line="280" w:lineRule="atLeast"/>
              <w:rPr>
                <w:rFonts w:eastAsia="Arial"/>
              </w:rPr>
            </w:pPr>
            <w:r w:rsidRPr="00AD1C80">
              <w:rPr>
                <w:rFonts w:eastAsia="Arial"/>
              </w:rPr>
              <w:t xml:space="preserve">Nefigan </w:t>
            </w:r>
            <w:r w:rsidRPr="00AD1C80">
              <w:t>NCT03643965</w:t>
            </w:r>
          </w:p>
          <w:p w14:paraId="52D45043" w14:textId="0D88C1CD" w:rsidR="0034635D" w:rsidRPr="00AD1C80" w:rsidRDefault="0034635D" w:rsidP="0034635D">
            <w:pPr>
              <w:rPr>
                <w:bCs/>
                <w:color w:val="000000"/>
                <w:lang w:eastAsia="lt-LT"/>
              </w:rPr>
            </w:pPr>
            <w:r w:rsidRPr="00AD1C80">
              <w:rPr>
                <w:rFonts w:eastAsia="Arial"/>
              </w:rPr>
              <w:t xml:space="preserve"> (bude</w:t>
            </w:r>
            <w:r w:rsidR="004A16B5" w:rsidRPr="00AD1C80">
              <w:rPr>
                <w:rFonts w:eastAsia="Arial"/>
              </w:rPr>
              <w:t>zon</w:t>
            </w:r>
            <w:r w:rsidRPr="00AD1C80">
              <w:rPr>
                <w:rFonts w:eastAsia="Arial"/>
              </w:rPr>
              <w:t xml:space="preserve">idas </w:t>
            </w:r>
            <w:r w:rsidRPr="00AD1C80">
              <w:rPr>
                <w:rFonts w:eastAsia="Arial"/>
                <w:i/>
                <w:iCs/>
              </w:rPr>
              <w:t>vs</w:t>
            </w:r>
            <w:r w:rsidRPr="00AD1C80">
              <w:rPr>
                <w:rFonts w:eastAsia="Arial"/>
              </w:rPr>
              <w:t xml:space="preserve"> placeb</w:t>
            </w:r>
            <w:r w:rsidR="002A557A" w:rsidRPr="00AD1C80">
              <w:rPr>
                <w:rFonts w:eastAsia="Arial"/>
              </w:rPr>
              <w:t>as</w:t>
            </w:r>
            <w:r w:rsidRPr="00AD1C80">
              <w:rPr>
                <w:rFonts w:eastAsia="Arial"/>
              </w:rPr>
              <w:t>)</w:t>
            </w:r>
          </w:p>
          <w:p w14:paraId="6CC1022E" w14:textId="2B6BCEE1" w:rsidR="009F4D66" w:rsidRPr="00AD1C80" w:rsidRDefault="009F4D66" w:rsidP="00824B92">
            <w:pPr>
              <w:rPr>
                <w:bCs/>
                <w:color w:val="000000"/>
                <w:lang w:eastAsia="lt-LT"/>
              </w:rPr>
            </w:pPr>
          </w:p>
        </w:tc>
        <w:tc>
          <w:tcPr>
            <w:tcW w:w="5167" w:type="dxa"/>
          </w:tcPr>
          <w:p w14:paraId="2EA8A9F2" w14:textId="77777777" w:rsidR="0043140E" w:rsidRPr="00AD1C80" w:rsidRDefault="0043140E" w:rsidP="00824B92">
            <w:pPr>
              <w:rPr>
                <w:rStyle w:val="Style2"/>
                <w:sz w:val="24"/>
              </w:rPr>
            </w:pPr>
          </w:p>
          <w:p w14:paraId="01CF3D28" w14:textId="77777777" w:rsidR="0043140E" w:rsidRPr="00AD1C80" w:rsidRDefault="0043140E" w:rsidP="00824B92">
            <w:pPr>
              <w:rPr>
                <w:rStyle w:val="Style2"/>
                <w:sz w:val="24"/>
              </w:rPr>
            </w:pPr>
          </w:p>
          <w:p w14:paraId="1A58DFE2" w14:textId="77777777" w:rsidR="0043140E" w:rsidRPr="00AD1C80" w:rsidRDefault="0043140E" w:rsidP="00824B92">
            <w:pPr>
              <w:rPr>
                <w:rStyle w:val="Style2"/>
                <w:sz w:val="24"/>
              </w:rPr>
            </w:pPr>
          </w:p>
          <w:p w14:paraId="1F113AC0" w14:textId="73D69757" w:rsidR="009F4D66" w:rsidRPr="00AD1C80" w:rsidRDefault="00000000" w:rsidP="00824B92">
            <w:sdt>
              <w:sdtPr>
                <w:rPr>
                  <w:rStyle w:val="Style2"/>
                  <w:sz w:val="24"/>
                </w:rPr>
                <w:id w:val="1480955706"/>
                <w15:color w:val="FFCC00"/>
                <w14:checkbox>
                  <w14:checked w14:val="1"/>
                  <w14:checkedState w14:val="2612" w14:font="MS Gothic"/>
                  <w14:uncheckedState w14:val="2610" w14:font="MS Gothic"/>
                </w14:checkbox>
              </w:sdtPr>
              <w:sdtContent>
                <w:r w:rsidR="00DE6806" w:rsidRPr="00AD1C80">
                  <w:rPr>
                    <w:rStyle w:val="Style2"/>
                    <w:rFonts w:ascii="MS Gothic" w:eastAsia="MS Gothic" w:hAnsi="MS Gothic"/>
                    <w:sz w:val="24"/>
                  </w:rPr>
                  <w:t>☒</w:t>
                </w:r>
              </w:sdtContent>
            </w:sdt>
            <w:r w:rsidR="009F4D66" w:rsidRPr="00AD1C80">
              <w:t xml:space="preserve"> Tinkamas</w:t>
            </w:r>
          </w:p>
          <w:p w14:paraId="1272744A" w14:textId="77777777" w:rsidR="00B13D65" w:rsidRPr="00AD1C80" w:rsidRDefault="00000000" w:rsidP="00824B92">
            <w:sdt>
              <w:sdtPr>
                <w:rPr>
                  <w:rStyle w:val="Style2"/>
                  <w:sz w:val="24"/>
                </w:rPr>
                <w:id w:val="-352420698"/>
                <w15:color w:val="FFCC00"/>
                <w14:checkbox>
                  <w14:checked w14:val="0"/>
                  <w14:checkedState w14:val="2612" w14:font="MS Gothic"/>
                  <w14:uncheckedState w14:val="2610" w14:font="MS Gothic"/>
                </w14:checkbox>
              </w:sdtPr>
              <w:sdtContent>
                <w:r w:rsidR="009F4D66" w:rsidRPr="00AD1C80">
                  <w:rPr>
                    <w:rStyle w:val="Style2"/>
                    <w:rFonts w:ascii="MS Gothic" w:eastAsia="MS Gothic" w:hAnsi="MS Gothic"/>
                    <w:sz w:val="24"/>
                  </w:rPr>
                  <w:t>☐</w:t>
                </w:r>
              </w:sdtContent>
            </w:sdt>
            <w:r w:rsidR="009F4D66" w:rsidRPr="00AD1C80">
              <w:t xml:space="preserve"> Netinkama</w:t>
            </w:r>
          </w:p>
          <w:p w14:paraId="0F283ADF" w14:textId="77777777" w:rsidR="0034635D" w:rsidRPr="00AD1C80" w:rsidRDefault="0034635D" w:rsidP="00824B92"/>
          <w:p w14:paraId="2B4D6FAC" w14:textId="77777777" w:rsidR="0034635D" w:rsidRPr="00AD1C80" w:rsidRDefault="0034635D" w:rsidP="00824B92"/>
          <w:p w14:paraId="7FF3AA93" w14:textId="77777777" w:rsidR="0034635D" w:rsidRPr="00AD1C80" w:rsidRDefault="0034635D" w:rsidP="00824B92"/>
          <w:p w14:paraId="52E2FA6A" w14:textId="77777777" w:rsidR="0034635D" w:rsidRPr="00AD1C80" w:rsidRDefault="00000000" w:rsidP="0034635D">
            <w:sdt>
              <w:sdtPr>
                <w:rPr>
                  <w:rStyle w:val="Style2"/>
                  <w:sz w:val="24"/>
                </w:rPr>
                <w:id w:val="-1187061871"/>
                <w15:color w:val="FFCC00"/>
                <w14:checkbox>
                  <w14:checked w14:val="1"/>
                  <w14:checkedState w14:val="2612" w14:font="MS Gothic"/>
                  <w14:uncheckedState w14:val="2610" w14:font="MS Gothic"/>
                </w14:checkbox>
              </w:sdtPr>
              <w:sdtContent>
                <w:r w:rsidR="0034635D" w:rsidRPr="00AD1C80">
                  <w:rPr>
                    <w:rStyle w:val="Style2"/>
                    <w:rFonts w:ascii="MS Gothic" w:eastAsia="MS Gothic" w:hAnsi="MS Gothic"/>
                    <w:sz w:val="24"/>
                  </w:rPr>
                  <w:t>☒</w:t>
                </w:r>
              </w:sdtContent>
            </w:sdt>
            <w:r w:rsidR="0034635D" w:rsidRPr="00AD1C80">
              <w:t xml:space="preserve"> Tinkamas</w:t>
            </w:r>
          </w:p>
          <w:p w14:paraId="59AB8A67" w14:textId="77777777" w:rsidR="0034635D" w:rsidRPr="00AD1C80" w:rsidRDefault="00000000" w:rsidP="0034635D">
            <w:sdt>
              <w:sdtPr>
                <w:rPr>
                  <w:rStyle w:val="Style2"/>
                  <w:sz w:val="24"/>
                </w:rPr>
                <w:id w:val="607091947"/>
                <w15:color w:val="FFCC00"/>
                <w14:checkbox>
                  <w14:checked w14:val="0"/>
                  <w14:checkedState w14:val="2612" w14:font="MS Gothic"/>
                  <w14:uncheckedState w14:val="2610" w14:font="MS Gothic"/>
                </w14:checkbox>
              </w:sdtPr>
              <w:sdtContent>
                <w:r w:rsidR="0034635D" w:rsidRPr="00AD1C80">
                  <w:rPr>
                    <w:rStyle w:val="Style2"/>
                    <w:rFonts w:ascii="MS Gothic" w:eastAsia="MS Gothic" w:hAnsi="MS Gothic"/>
                    <w:sz w:val="24"/>
                  </w:rPr>
                  <w:t>☐</w:t>
                </w:r>
              </w:sdtContent>
            </w:sdt>
            <w:r w:rsidR="0034635D" w:rsidRPr="00AD1C80">
              <w:t xml:space="preserve"> Netinkama</w:t>
            </w:r>
          </w:p>
          <w:p w14:paraId="46B61658" w14:textId="77777777" w:rsidR="0034635D" w:rsidRPr="00AD1C80" w:rsidRDefault="0034635D" w:rsidP="0034635D"/>
          <w:p w14:paraId="31B1D5F0" w14:textId="77777777" w:rsidR="0034635D" w:rsidRPr="00AD1C80" w:rsidRDefault="0034635D" w:rsidP="0034635D"/>
          <w:p w14:paraId="77A77CC3" w14:textId="77777777" w:rsidR="0034635D" w:rsidRPr="00AD1C80" w:rsidRDefault="0034635D" w:rsidP="0034635D"/>
          <w:p w14:paraId="2CDAC157" w14:textId="77777777" w:rsidR="0034635D" w:rsidRPr="00AD1C80" w:rsidRDefault="00000000" w:rsidP="0034635D">
            <w:sdt>
              <w:sdtPr>
                <w:rPr>
                  <w:rStyle w:val="Style2"/>
                  <w:sz w:val="24"/>
                </w:rPr>
                <w:id w:val="512969430"/>
                <w15:color w:val="FFCC00"/>
                <w14:checkbox>
                  <w14:checked w14:val="1"/>
                  <w14:checkedState w14:val="2612" w14:font="MS Gothic"/>
                  <w14:uncheckedState w14:val="2610" w14:font="MS Gothic"/>
                </w14:checkbox>
              </w:sdtPr>
              <w:sdtContent>
                <w:r w:rsidR="0034635D" w:rsidRPr="00AD1C80">
                  <w:rPr>
                    <w:rStyle w:val="Style2"/>
                    <w:rFonts w:ascii="MS Gothic" w:eastAsia="MS Gothic" w:hAnsi="MS Gothic"/>
                    <w:sz w:val="24"/>
                  </w:rPr>
                  <w:t>☒</w:t>
                </w:r>
              </w:sdtContent>
            </w:sdt>
            <w:r w:rsidR="0034635D" w:rsidRPr="00AD1C80">
              <w:t xml:space="preserve"> Tinkamas</w:t>
            </w:r>
          </w:p>
          <w:p w14:paraId="41B44044" w14:textId="5F380038" w:rsidR="0034635D" w:rsidRPr="00AD1C80" w:rsidRDefault="00000000" w:rsidP="0034635D">
            <w:sdt>
              <w:sdtPr>
                <w:rPr>
                  <w:rStyle w:val="Style2"/>
                  <w:sz w:val="24"/>
                </w:rPr>
                <w:id w:val="1425843082"/>
                <w15:color w:val="FFCC00"/>
                <w14:checkbox>
                  <w14:checked w14:val="0"/>
                  <w14:checkedState w14:val="2612" w14:font="MS Gothic"/>
                  <w14:uncheckedState w14:val="2610" w14:font="MS Gothic"/>
                </w14:checkbox>
              </w:sdtPr>
              <w:sdtContent>
                <w:r w:rsidR="0034635D" w:rsidRPr="00AD1C80">
                  <w:rPr>
                    <w:rStyle w:val="Style2"/>
                    <w:rFonts w:ascii="MS Gothic" w:eastAsia="MS Gothic" w:hAnsi="MS Gothic"/>
                    <w:sz w:val="24"/>
                  </w:rPr>
                  <w:t>☐</w:t>
                </w:r>
              </w:sdtContent>
            </w:sdt>
            <w:r w:rsidR="0034635D" w:rsidRPr="00AD1C80">
              <w:t xml:space="preserve"> Netinkama</w:t>
            </w:r>
          </w:p>
        </w:tc>
      </w:tr>
    </w:tbl>
    <w:p w14:paraId="108176F7" w14:textId="640C6F75" w:rsidR="00F70C9E" w:rsidRPr="00AD1C80" w:rsidRDefault="00F70C9E" w:rsidP="00E03C3F">
      <w:pPr>
        <w:pStyle w:val="Sraopastraipa"/>
        <w:tabs>
          <w:tab w:val="left" w:pos="426"/>
        </w:tabs>
        <w:ind w:left="0"/>
        <w:rPr>
          <w:b/>
          <w:bCs/>
          <w:caps/>
        </w:rPr>
      </w:pPr>
    </w:p>
    <w:p w14:paraId="2871CA7F" w14:textId="460B9189" w:rsidR="00F70C9E" w:rsidRPr="00AD1C80" w:rsidRDefault="00F70C9E" w:rsidP="0043140E">
      <w:pPr>
        <w:pStyle w:val="Sraopastraipa"/>
        <w:numPr>
          <w:ilvl w:val="1"/>
          <w:numId w:val="12"/>
        </w:numPr>
        <w:spacing w:line="276" w:lineRule="auto"/>
        <w:jc w:val="both"/>
        <w:rPr>
          <w:rFonts w:eastAsia="Arial"/>
          <w:b/>
        </w:rPr>
      </w:pPr>
      <w:r w:rsidRPr="00AD1C80">
        <w:rPr>
          <w:rFonts w:eastAsia="Arial"/>
          <w:b/>
        </w:rPr>
        <w:t xml:space="preserve">Kitų </w:t>
      </w:r>
      <w:r w:rsidR="00DF583C" w:rsidRPr="00AD1C80">
        <w:rPr>
          <w:rFonts w:eastAsia="Arial"/>
          <w:b/>
        </w:rPr>
        <w:t xml:space="preserve">valstybių </w:t>
      </w:r>
      <w:r w:rsidRPr="00AD1C80">
        <w:rPr>
          <w:rFonts w:eastAsia="Arial"/>
          <w:b/>
        </w:rPr>
        <w:t xml:space="preserve">atsakingų institucijų atlikto </w:t>
      </w:r>
      <w:r w:rsidR="00DF583C" w:rsidRPr="00AD1C80">
        <w:rPr>
          <w:rFonts w:eastAsia="Arial"/>
          <w:b/>
        </w:rPr>
        <w:t>Sveikatos technologijų vertinimo (toliau – STV)</w:t>
      </w:r>
      <w:r w:rsidRPr="00AD1C80">
        <w:rPr>
          <w:rFonts w:eastAsia="Arial"/>
          <w:b/>
        </w:rPr>
        <w:t xml:space="preserve"> išvados</w:t>
      </w:r>
    </w:p>
    <w:p w14:paraId="3B5DAEDE" w14:textId="77777777" w:rsidR="0043140E" w:rsidRPr="00AD1C80" w:rsidRDefault="0043140E" w:rsidP="0043140E">
      <w:pPr>
        <w:spacing w:line="276" w:lineRule="auto"/>
        <w:rPr>
          <w:rFonts w:eastAsia="Arial"/>
        </w:rPr>
      </w:pPr>
    </w:p>
    <w:tbl>
      <w:tblPr>
        <w:tblStyle w:val="Lentelstinklelis"/>
        <w:tblW w:w="9918" w:type="dxa"/>
        <w:tblLook w:val="04A0" w:firstRow="1" w:lastRow="0" w:firstColumn="1" w:lastColumn="0" w:noHBand="0" w:noVBand="1"/>
      </w:tblPr>
      <w:tblGrid>
        <w:gridCol w:w="2927"/>
        <w:gridCol w:w="1915"/>
        <w:gridCol w:w="2351"/>
        <w:gridCol w:w="2725"/>
      </w:tblGrid>
      <w:tr w:rsidR="0043140E" w:rsidRPr="00AD1C80" w14:paraId="7B5022D9" w14:textId="77777777" w:rsidTr="00715DDA">
        <w:trPr>
          <w:trHeight w:val="924"/>
        </w:trPr>
        <w:tc>
          <w:tcPr>
            <w:tcW w:w="2927" w:type="dxa"/>
          </w:tcPr>
          <w:p w14:paraId="140A5E15" w14:textId="77777777" w:rsidR="0043140E" w:rsidRPr="00AD1C80" w:rsidRDefault="0043140E" w:rsidP="00715DDA">
            <w:pPr>
              <w:spacing w:line="276" w:lineRule="auto"/>
              <w:rPr>
                <w:rFonts w:eastAsia="Arial"/>
              </w:rPr>
            </w:pPr>
            <w:r w:rsidRPr="00AD1C80">
              <w:rPr>
                <w:rFonts w:eastAsia="Arial"/>
              </w:rPr>
              <w:t>STV agentūros pavadinimas, šalis</w:t>
            </w:r>
          </w:p>
        </w:tc>
        <w:tc>
          <w:tcPr>
            <w:tcW w:w="1915" w:type="dxa"/>
          </w:tcPr>
          <w:p w14:paraId="6CC80087" w14:textId="77777777" w:rsidR="0043140E" w:rsidRPr="00AD1C80" w:rsidRDefault="0043140E" w:rsidP="00715DDA">
            <w:pPr>
              <w:spacing w:line="276" w:lineRule="auto"/>
              <w:rPr>
                <w:rFonts w:eastAsia="Arial"/>
              </w:rPr>
            </w:pPr>
            <w:r w:rsidRPr="00AD1C80">
              <w:rPr>
                <w:rFonts w:eastAsia="Arial"/>
              </w:rPr>
              <w:t>STV vertinimas atliktas</w:t>
            </w:r>
          </w:p>
        </w:tc>
        <w:tc>
          <w:tcPr>
            <w:tcW w:w="2351" w:type="dxa"/>
          </w:tcPr>
          <w:p w14:paraId="4FC91E06" w14:textId="77777777" w:rsidR="0043140E" w:rsidRPr="00AD1C80" w:rsidRDefault="0043140E" w:rsidP="00715DDA">
            <w:pPr>
              <w:spacing w:line="276" w:lineRule="auto"/>
              <w:rPr>
                <w:rFonts w:eastAsia="Arial"/>
              </w:rPr>
            </w:pPr>
            <w:r w:rsidRPr="00AD1C80">
              <w:rPr>
                <w:rFonts w:eastAsia="Arial"/>
              </w:rPr>
              <w:t>Klinikinio vertinimo išvada</w:t>
            </w:r>
          </w:p>
        </w:tc>
        <w:tc>
          <w:tcPr>
            <w:tcW w:w="2725" w:type="dxa"/>
          </w:tcPr>
          <w:p w14:paraId="7191A411" w14:textId="77777777" w:rsidR="0043140E" w:rsidRPr="00AD1C80" w:rsidRDefault="0043140E" w:rsidP="00715DDA">
            <w:pPr>
              <w:spacing w:line="276" w:lineRule="auto"/>
              <w:rPr>
                <w:rFonts w:eastAsia="Arial"/>
              </w:rPr>
            </w:pPr>
            <w:r w:rsidRPr="00AD1C80">
              <w:rPr>
                <w:rFonts w:eastAsia="Arial"/>
              </w:rPr>
              <w:t>Farmakoekonominio vertinimo išvada</w:t>
            </w:r>
          </w:p>
        </w:tc>
      </w:tr>
      <w:tr w:rsidR="0043140E" w:rsidRPr="00AD1C80" w14:paraId="192D10B9" w14:textId="77777777" w:rsidTr="00715DDA">
        <w:trPr>
          <w:trHeight w:val="1765"/>
        </w:trPr>
        <w:tc>
          <w:tcPr>
            <w:tcW w:w="2927" w:type="dxa"/>
          </w:tcPr>
          <w:p w14:paraId="4C55D6A4" w14:textId="77777777" w:rsidR="0043140E" w:rsidRPr="00AD1C80" w:rsidRDefault="0043140E" w:rsidP="00715DDA">
            <w:pPr>
              <w:autoSpaceDE w:val="0"/>
              <w:autoSpaceDN w:val="0"/>
              <w:adjustRightInd w:val="0"/>
              <w:rPr>
                <w:bCs/>
              </w:rPr>
            </w:pPr>
            <w:r w:rsidRPr="00AD1C80">
              <w:rPr>
                <w:bCs/>
              </w:rPr>
              <w:t>Nacionalinis sveikatos ir klinikinės kompetencijos institutas, Didžioji Britanija</w:t>
            </w:r>
          </w:p>
          <w:p w14:paraId="14183C81" w14:textId="77777777" w:rsidR="0043140E" w:rsidRPr="00AD1C80" w:rsidRDefault="0043140E" w:rsidP="00715DDA">
            <w:pPr>
              <w:spacing w:line="276" w:lineRule="auto"/>
              <w:rPr>
                <w:rFonts w:eastAsia="Arial"/>
              </w:rPr>
            </w:pPr>
            <w:r w:rsidRPr="00AD1C80">
              <w:rPr>
                <w:rFonts w:eastAsia="Arial"/>
              </w:rPr>
              <w:t xml:space="preserve">(angl. </w:t>
            </w:r>
            <w:r w:rsidRPr="00AD1C80">
              <w:rPr>
                <w:rFonts w:eastAsia="Arial"/>
                <w:i/>
              </w:rPr>
              <w:t>National Institute for Health and Care Excellence, NICE</w:t>
            </w:r>
            <w:r w:rsidRPr="00AD1C80">
              <w:rPr>
                <w:rFonts w:eastAsia="Arial"/>
              </w:rPr>
              <w:t>)</w:t>
            </w:r>
          </w:p>
        </w:tc>
        <w:tc>
          <w:tcPr>
            <w:tcW w:w="1915" w:type="dxa"/>
          </w:tcPr>
          <w:p w14:paraId="00D5DC10" w14:textId="77777777" w:rsidR="0043140E" w:rsidRPr="00AD1C80" w:rsidRDefault="00000000" w:rsidP="00715DDA">
            <w:sdt>
              <w:sdtPr>
                <w:rPr>
                  <w:rStyle w:val="Style2"/>
                </w:rPr>
                <w:id w:val="1558205022"/>
                <w15:color w:val="FFCC00"/>
                <w14:checkbox>
                  <w14:checked w14:val="1"/>
                  <w14:checkedState w14:val="2612" w14:font="MS Gothic"/>
                  <w14:uncheckedState w14:val="2610" w14:font="MS Gothic"/>
                </w14:checkbox>
              </w:sdtPr>
              <w:sdtContent>
                <w:r w:rsidR="0043140E" w:rsidRPr="00AD1C80">
                  <w:rPr>
                    <w:rStyle w:val="Style2"/>
                    <w:rFonts w:ascii="MS Gothic" w:eastAsia="MS Gothic" w:hAnsi="MS Gothic"/>
                  </w:rPr>
                  <w:t>☒</w:t>
                </w:r>
              </w:sdtContent>
            </w:sdt>
            <w:r w:rsidR="0043140E" w:rsidRPr="00AD1C80">
              <w:t xml:space="preserve"> Taip</w:t>
            </w:r>
          </w:p>
          <w:p w14:paraId="2767F1F5" w14:textId="77777777" w:rsidR="0043140E" w:rsidRPr="00AD1C80" w:rsidRDefault="00000000" w:rsidP="00715DDA">
            <w:sdt>
              <w:sdtPr>
                <w:rPr>
                  <w:rStyle w:val="Style2"/>
                </w:rPr>
                <w:id w:val="866029625"/>
                <w15:color w:val="FFCC00"/>
                <w14:checkbox>
                  <w14:checked w14:val="0"/>
                  <w14:checkedState w14:val="2612" w14:font="MS Gothic"/>
                  <w14:uncheckedState w14:val="2610" w14:font="MS Gothic"/>
                </w14:checkbox>
              </w:sdtPr>
              <w:sdtContent>
                <w:r w:rsidR="0043140E" w:rsidRPr="00AD1C80">
                  <w:rPr>
                    <w:rStyle w:val="Style2"/>
                    <w:rFonts w:ascii="MS Gothic" w:eastAsia="MS Gothic" w:hAnsi="MS Gothic"/>
                  </w:rPr>
                  <w:t>☐</w:t>
                </w:r>
              </w:sdtContent>
            </w:sdt>
            <w:r w:rsidR="0043140E" w:rsidRPr="00AD1C80">
              <w:t xml:space="preserve"> Ne</w:t>
            </w:r>
          </w:p>
          <w:p w14:paraId="59BA1AEC" w14:textId="77777777" w:rsidR="0043140E" w:rsidRPr="00AD1C80" w:rsidRDefault="00000000" w:rsidP="00715DDA">
            <w:pPr>
              <w:rPr>
                <w:rFonts w:eastAsia="Arial"/>
              </w:rPr>
            </w:pPr>
            <w:sdt>
              <w:sdtPr>
                <w:alias w:val="Nurodykite konkrečią dieną"/>
                <w:tag w:val="Nurodykite pradžios datą"/>
                <w:id w:val="922837954"/>
                <w:placeholder>
                  <w:docPart w:val="2CB859764A4C4B5DA3587F3FA7DA6AA8"/>
                </w:placeholder>
                <w15:color w:val="FFCC99"/>
                <w:date>
                  <w:dateFormat w:val="yyyy 'm.' MMMM d 'd.'"/>
                  <w:lid w:val="lt-LT"/>
                  <w:storeMappedDataAs w:val="dateTime"/>
                  <w:calendar w:val="gregorian"/>
                </w:date>
              </w:sdtPr>
              <w:sdtContent>
                <w:r w:rsidR="0043140E" w:rsidRPr="00AD1C80">
                  <w:t>2023 m. lapkričio 10 d.</w:t>
                </w:r>
              </w:sdtContent>
            </w:sdt>
          </w:p>
        </w:tc>
        <w:tc>
          <w:tcPr>
            <w:tcW w:w="5076" w:type="dxa"/>
            <w:gridSpan w:val="2"/>
          </w:tcPr>
          <w:p w14:paraId="53A7A9AF" w14:textId="268B2F18" w:rsidR="0043140E" w:rsidRPr="00AD1C80" w:rsidRDefault="00303E2D" w:rsidP="00715DDA">
            <w:pPr>
              <w:spacing w:line="276" w:lineRule="auto"/>
              <w:jc w:val="both"/>
              <w:rPr>
                <w:rFonts w:eastAsia="Arial"/>
              </w:rPr>
            </w:pPr>
            <w:r w:rsidRPr="00AD1C80">
              <w:rPr>
                <w:rFonts w:eastAsia="Arial"/>
              </w:rPr>
              <w:t xml:space="preserve">Budezonidas </w:t>
            </w:r>
            <w:r w:rsidR="0043140E" w:rsidRPr="00AD1C80">
              <w:rPr>
                <w:rFonts w:eastAsia="Arial"/>
              </w:rPr>
              <w:t xml:space="preserve">rekomenduojamas </w:t>
            </w:r>
            <w:r w:rsidR="0043140E" w:rsidRPr="00AD1C80">
              <w:t xml:space="preserve">imunoglobulino A (IgA) nefropatija (IgAN) </w:t>
            </w:r>
            <w:r w:rsidR="0043140E" w:rsidRPr="00AD1C80">
              <w:rPr>
                <w:rFonts w:eastAsia="Arial"/>
              </w:rPr>
              <w:t xml:space="preserve">sergančių suaugusiujų gydymui, kuriems kyla rizika spartaus ligos progresavimo, kai baltymo ir kreatinino santykis šlapime yra </w:t>
            </w:r>
            <w:r w:rsidR="0043140E" w:rsidRPr="00AD1C80">
              <w:t xml:space="preserve">≥ </w:t>
            </w:r>
            <w:r w:rsidR="0043140E" w:rsidRPr="00AD1C80">
              <w:rPr>
                <w:rFonts w:eastAsia="Arial"/>
              </w:rPr>
              <w:t xml:space="preserve">1,5g vienam gramui. </w:t>
            </w:r>
            <w:r w:rsidRPr="00AD1C80">
              <w:rPr>
                <w:rFonts w:eastAsia="Arial"/>
              </w:rPr>
              <w:t xml:space="preserve">Budezonidas </w:t>
            </w:r>
            <w:r w:rsidR="0043140E" w:rsidRPr="00AD1C80">
              <w:rPr>
                <w:rFonts w:eastAsia="Arial"/>
              </w:rPr>
              <w:t>rekomenduojamas šiuo atveju, tik:</w:t>
            </w:r>
          </w:p>
          <w:p w14:paraId="62258DEA" w14:textId="77777777" w:rsidR="0043140E" w:rsidRPr="00AD1C80" w:rsidRDefault="0043140E" w:rsidP="0043140E">
            <w:pPr>
              <w:pStyle w:val="Sraopastraipa"/>
              <w:numPr>
                <w:ilvl w:val="0"/>
                <w:numId w:val="13"/>
              </w:numPr>
              <w:spacing w:line="276" w:lineRule="auto"/>
              <w:jc w:val="both"/>
              <w:rPr>
                <w:rFonts w:eastAsia="Arial"/>
              </w:rPr>
            </w:pPr>
            <w:r w:rsidRPr="00AD1C80">
              <w:rPr>
                <w:rFonts w:eastAsia="Arial"/>
              </w:rPr>
              <w:t>Kaip papildomas gydymas prie optimizuotos standartinės priežiūros, įskaitant toleruojamą angiotenziną konvertuojančio fermento (AKF) inhibitoriaus doze arba angiotenzino receptorių blokatorių (ARB), nebent jie yra kontraindikuotini;</w:t>
            </w:r>
          </w:p>
          <w:p w14:paraId="55C24710" w14:textId="77777777" w:rsidR="0043140E" w:rsidRPr="00AD1C80" w:rsidRDefault="0043140E" w:rsidP="0043140E">
            <w:pPr>
              <w:pStyle w:val="Sraopastraipa"/>
              <w:numPr>
                <w:ilvl w:val="0"/>
                <w:numId w:val="13"/>
              </w:numPr>
              <w:spacing w:line="276" w:lineRule="auto"/>
              <w:jc w:val="both"/>
              <w:rPr>
                <w:rFonts w:eastAsia="Arial"/>
              </w:rPr>
            </w:pPr>
            <w:r w:rsidRPr="00AD1C80">
              <w:rPr>
                <w:rFonts w:eastAsia="Arial"/>
              </w:rPr>
              <w:t>Vaistas kompensuojamas pagal komercinį susitarimą.</w:t>
            </w:r>
          </w:p>
        </w:tc>
      </w:tr>
      <w:tr w:rsidR="0043140E" w:rsidRPr="00AD1C80" w14:paraId="7E3C7241" w14:textId="77777777" w:rsidTr="00715DDA">
        <w:trPr>
          <w:trHeight w:val="1547"/>
        </w:trPr>
        <w:tc>
          <w:tcPr>
            <w:tcW w:w="2927" w:type="dxa"/>
          </w:tcPr>
          <w:p w14:paraId="70E74FDD" w14:textId="77777777" w:rsidR="0043140E" w:rsidRPr="00AD1C80" w:rsidRDefault="0043140E" w:rsidP="00715DDA">
            <w:pPr>
              <w:spacing w:line="276" w:lineRule="auto"/>
              <w:rPr>
                <w:rFonts w:eastAsia="Arial"/>
              </w:rPr>
            </w:pPr>
            <w:r w:rsidRPr="00AD1C80">
              <w:rPr>
                <w:rFonts w:eastAsia="Arial"/>
              </w:rPr>
              <w:t>Kanados sveikatos technologijų agentūra</w:t>
            </w:r>
          </w:p>
          <w:p w14:paraId="74EFB623" w14:textId="77777777" w:rsidR="0043140E" w:rsidRPr="00AD1C80" w:rsidRDefault="0043140E" w:rsidP="00715DDA">
            <w:pPr>
              <w:spacing w:line="276" w:lineRule="auto"/>
              <w:rPr>
                <w:rFonts w:eastAsia="Arial"/>
              </w:rPr>
            </w:pPr>
            <w:r w:rsidRPr="00AD1C80">
              <w:rPr>
                <w:rFonts w:eastAsia="Arial"/>
              </w:rPr>
              <w:t xml:space="preserve">(angl. </w:t>
            </w:r>
            <w:r w:rsidRPr="00AD1C80">
              <w:rPr>
                <w:rFonts w:eastAsia="Arial"/>
                <w:i/>
              </w:rPr>
              <w:t>Canadian health Technology Assessment agency, CADTH</w:t>
            </w:r>
            <w:r w:rsidRPr="00AD1C80">
              <w:rPr>
                <w:rFonts w:eastAsia="Arial"/>
              </w:rPr>
              <w:t>)</w:t>
            </w:r>
          </w:p>
        </w:tc>
        <w:tc>
          <w:tcPr>
            <w:tcW w:w="1915" w:type="dxa"/>
          </w:tcPr>
          <w:p w14:paraId="2B2B4970" w14:textId="77777777" w:rsidR="0043140E" w:rsidRPr="00AD1C80" w:rsidRDefault="00000000" w:rsidP="00715DDA">
            <w:sdt>
              <w:sdtPr>
                <w:rPr>
                  <w:rStyle w:val="Style2"/>
                </w:rPr>
                <w:id w:val="-372539057"/>
                <w15:color w:val="FFCC00"/>
                <w14:checkbox>
                  <w14:checked w14:val="0"/>
                  <w14:checkedState w14:val="2612" w14:font="MS Gothic"/>
                  <w14:uncheckedState w14:val="2610" w14:font="MS Gothic"/>
                </w14:checkbox>
              </w:sdtPr>
              <w:sdtContent>
                <w:r w:rsidR="0043140E" w:rsidRPr="00AD1C80">
                  <w:rPr>
                    <w:rStyle w:val="Style2"/>
                    <w:rFonts w:ascii="Segoe UI Symbol" w:eastAsia="MS Gothic" w:hAnsi="Segoe UI Symbol" w:cs="Segoe UI Symbol"/>
                  </w:rPr>
                  <w:t>☐</w:t>
                </w:r>
              </w:sdtContent>
            </w:sdt>
            <w:r w:rsidR="0043140E" w:rsidRPr="00AD1C80">
              <w:t xml:space="preserve"> Taip</w:t>
            </w:r>
          </w:p>
          <w:p w14:paraId="36AD16BE" w14:textId="77777777" w:rsidR="0043140E" w:rsidRPr="00AD1C80" w:rsidRDefault="00000000" w:rsidP="00715DDA">
            <w:sdt>
              <w:sdtPr>
                <w:rPr>
                  <w:rStyle w:val="Style2"/>
                </w:rPr>
                <w:id w:val="594442222"/>
                <w15:color w:val="FFCC00"/>
                <w14:checkbox>
                  <w14:checked w14:val="1"/>
                  <w14:checkedState w14:val="2612" w14:font="MS Gothic"/>
                  <w14:uncheckedState w14:val="2610" w14:font="MS Gothic"/>
                </w14:checkbox>
              </w:sdtPr>
              <w:sdtContent>
                <w:r w:rsidR="0043140E" w:rsidRPr="00AD1C80">
                  <w:rPr>
                    <w:rStyle w:val="Style2"/>
                    <w:rFonts w:ascii="MS Gothic" w:eastAsia="MS Gothic" w:hAnsi="MS Gothic"/>
                  </w:rPr>
                  <w:t>☒</w:t>
                </w:r>
              </w:sdtContent>
            </w:sdt>
            <w:r w:rsidR="0043140E" w:rsidRPr="00AD1C80">
              <w:t xml:space="preserve"> Ne</w:t>
            </w:r>
          </w:p>
          <w:p w14:paraId="294E54AF" w14:textId="77777777" w:rsidR="0043140E" w:rsidRPr="00AD1C80" w:rsidRDefault="00000000" w:rsidP="00715DDA">
            <w:pPr>
              <w:spacing w:line="276" w:lineRule="auto"/>
              <w:rPr>
                <w:rFonts w:eastAsia="Arial"/>
              </w:rPr>
            </w:pPr>
            <w:sdt>
              <w:sdtPr>
                <w:alias w:val="Nurodykite konkrečią dieną"/>
                <w:tag w:val="Nurodykite pradžios datą"/>
                <w:id w:val="1072468416"/>
                <w:placeholder>
                  <w:docPart w:val="E8A2E71B04BA4BD395A44D305BD9CBBB"/>
                </w:placeholder>
                <w:showingPlcHdr/>
                <w15:color w:val="FFCC99"/>
                <w:date w:fullDate="2022-05-18T00:00:00Z">
                  <w:dateFormat w:val="yyyy 'm.' MMMM d 'd.'"/>
                  <w:lid w:val="lt-LT"/>
                  <w:storeMappedDataAs w:val="dateTime"/>
                  <w:calendar w:val="gregorian"/>
                </w:date>
              </w:sdtPr>
              <w:sdtContent>
                <w:r w:rsidR="0043140E" w:rsidRPr="00AD1C80">
                  <w:rPr>
                    <w:rStyle w:val="Vietosrezervavimoenklotekstas"/>
                  </w:rPr>
                  <w:t>Click here to enter a date.</w:t>
                </w:r>
              </w:sdtContent>
            </w:sdt>
          </w:p>
        </w:tc>
        <w:tc>
          <w:tcPr>
            <w:tcW w:w="2351" w:type="dxa"/>
          </w:tcPr>
          <w:p w14:paraId="3D13995D" w14:textId="77777777" w:rsidR="0043140E" w:rsidRPr="00AD1C80" w:rsidRDefault="0043140E" w:rsidP="00715DDA">
            <w:pPr>
              <w:spacing w:line="276" w:lineRule="auto"/>
              <w:rPr>
                <w:rFonts w:eastAsia="Arial"/>
              </w:rPr>
            </w:pPr>
          </w:p>
        </w:tc>
        <w:tc>
          <w:tcPr>
            <w:tcW w:w="2725" w:type="dxa"/>
          </w:tcPr>
          <w:p w14:paraId="33EF4BD1" w14:textId="77777777" w:rsidR="0043140E" w:rsidRPr="00AD1C80" w:rsidRDefault="0043140E" w:rsidP="00715DDA">
            <w:pPr>
              <w:spacing w:line="276" w:lineRule="auto"/>
              <w:rPr>
                <w:rFonts w:eastAsia="Arial"/>
              </w:rPr>
            </w:pPr>
          </w:p>
        </w:tc>
      </w:tr>
      <w:tr w:rsidR="0043140E" w:rsidRPr="00AD1C80" w14:paraId="6FB57117" w14:textId="77777777" w:rsidTr="00715DDA">
        <w:trPr>
          <w:trHeight w:val="1927"/>
        </w:trPr>
        <w:tc>
          <w:tcPr>
            <w:tcW w:w="2927" w:type="dxa"/>
          </w:tcPr>
          <w:p w14:paraId="6FF825F1" w14:textId="77777777" w:rsidR="0043140E" w:rsidRPr="00AD1C80" w:rsidRDefault="0043140E" w:rsidP="00715DDA">
            <w:pPr>
              <w:spacing w:line="276" w:lineRule="auto"/>
              <w:rPr>
                <w:rFonts w:eastAsia="Arial"/>
              </w:rPr>
            </w:pPr>
            <w:r w:rsidRPr="00AD1C80">
              <w:rPr>
                <w:rFonts w:eastAsia="Arial"/>
              </w:rPr>
              <w:lastRenderedPageBreak/>
              <w:t>Nacionalinis farmakoekonomikos centras, Airija</w:t>
            </w:r>
          </w:p>
          <w:p w14:paraId="1DD471FC" w14:textId="77777777" w:rsidR="0043140E" w:rsidRPr="00AD1C80" w:rsidRDefault="0043140E" w:rsidP="00715DDA">
            <w:pPr>
              <w:spacing w:line="276" w:lineRule="auto"/>
              <w:rPr>
                <w:rFonts w:eastAsia="Arial"/>
              </w:rPr>
            </w:pPr>
            <w:r w:rsidRPr="00AD1C80">
              <w:rPr>
                <w:rFonts w:eastAsia="Arial"/>
              </w:rPr>
              <w:t>(angl.</w:t>
            </w:r>
            <w:r w:rsidRPr="00AD1C80">
              <w:rPr>
                <w:rFonts w:eastAsia="Arial"/>
                <w:i/>
              </w:rPr>
              <w:t xml:space="preserve"> National Centre for Pharmacoeconomics, NCPE</w:t>
            </w:r>
            <w:r w:rsidRPr="00AD1C80">
              <w:rPr>
                <w:rFonts w:eastAsia="Arial"/>
              </w:rPr>
              <w:t>)</w:t>
            </w:r>
          </w:p>
        </w:tc>
        <w:tc>
          <w:tcPr>
            <w:tcW w:w="1915" w:type="dxa"/>
          </w:tcPr>
          <w:p w14:paraId="7A258585" w14:textId="77777777" w:rsidR="0043140E" w:rsidRPr="00AD1C80" w:rsidRDefault="00000000" w:rsidP="00715DDA">
            <w:sdt>
              <w:sdtPr>
                <w:rPr>
                  <w:rStyle w:val="Style2"/>
                </w:rPr>
                <w:id w:val="-1888403732"/>
                <w15:color w:val="FFCC00"/>
                <w14:checkbox>
                  <w14:checked w14:val="0"/>
                  <w14:checkedState w14:val="2612" w14:font="MS Gothic"/>
                  <w14:uncheckedState w14:val="2610" w14:font="MS Gothic"/>
                </w14:checkbox>
              </w:sdtPr>
              <w:sdtContent>
                <w:r w:rsidR="0043140E" w:rsidRPr="00AD1C80">
                  <w:rPr>
                    <w:rStyle w:val="Style2"/>
                    <w:rFonts w:ascii="Segoe UI Symbol" w:eastAsia="MS Gothic" w:hAnsi="Segoe UI Symbol" w:cs="Segoe UI Symbol"/>
                  </w:rPr>
                  <w:t>☐</w:t>
                </w:r>
              </w:sdtContent>
            </w:sdt>
            <w:r w:rsidR="0043140E" w:rsidRPr="00AD1C80">
              <w:t xml:space="preserve"> Taip</w:t>
            </w:r>
          </w:p>
          <w:p w14:paraId="0C802945" w14:textId="77777777" w:rsidR="0043140E" w:rsidRPr="00AD1C80" w:rsidRDefault="00000000" w:rsidP="00715DDA">
            <w:sdt>
              <w:sdtPr>
                <w:rPr>
                  <w:rStyle w:val="Style2"/>
                </w:rPr>
                <w:id w:val="1092201793"/>
                <w15:color w:val="FFCC00"/>
                <w14:checkbox>
                  <w14:checked w14:val="1"/>
                  <w14:checkedState w14:val="2612" w14:font="MS Gothic"/>
                  <w14:uncheckedState w14:val="2610" w14:font="MS Gothic"/>
                </w14:checkbox>
              </w:sdtPr>
              <w:sdtContent>
                <w:r w:rsidR="0043140E" w:rsidRPr="00AD1C80">
                  <w:rPr>
                    <w:rStyle w:val="Style2"/>
                    <w:rFonts w:ascii="MS Gothic" w:eastAsia="MS Gothic" w:hAnsi="MS Gothic"/>
                  </w:rPr>
                  <w:t>☒</w:t>
                </w:r>
              </w:sdtContent>
            </w:sdt>
            <w:r w:rsidR="0043140E" w:rsidRPr="00AD1C80">
              <w:t xml:space="preserve"> Ne</w:t>
            </w:r>
          </w:p>
          <w:p w14:paraId="2BBBE98D" w14:textId="77777777" w:rsidR="0043140E" w:rsidRPr="00AD1C80" w:rsidRDefault="00000000" w:rsidP="00715DDA">
            <w:pPr>
              <w:spacing w:line="276" w:lineRule="auto"/>
              <w:rPr>
                <w:rFonts w:eastAsia="Arial"/>
              </w:rPr>
            </w:pPr>
            <w:sdt>
              <w:sdtPr>
                <w:alias w:val="Nurodykite konkrečią dieną"/>
                <w:tag w:val="Nurodykite pradžios datą"/>
                <w:id w:val="-198323198"/>
                <w:placeholder>
                  <w:docPart w:val="2645F993B9ED49DEBF7AB3DCFE2F4E34"/>
                </w:placeholder>
                <w:showingPlcHdr/>
                <w15:color w:val="FFCC99"/>
                <w:date w:fullDate="2022-05-18T00:00:00Z">
                  <w:dateFormat w:val="yyyy 'm.' MMMM d 'd.'"/>
                  <w:lid w:val="lt-LT"/>
                  <w:storeMappedDataAs w:val="dateTime"/>
                  <w:calendar w:val="gregorian"/>
                </w:date>
              </w:sdtPr>
              <w:sdtContent>
                <w:r w:rsidR="0043140E" w:rsidRPr="00AD1C80">
                  <w:rPr>
                    <w:rStyle w:val="Vietosrezervavimoenklotekstas"/>
                  </w:rPr>
                  <w:t>Click here to enter a date.</w:t>
                </w:r>
              </w:sdtContent>
            </w:sdt>
          </w:p>
        </w:tc>
        <w:tc>
          <w:tcPr>
            <w:tcW w:w="2351" w:type="dxa"/>
          </w:tcPr>
          <w:p w14:paraId="62FB8383" w14:textId="77777777" w:rsidR="0043140E" w:rsidRPr="00AD1C80" w:rsidRDefault="0043140E" w:rsidP="00715DDA">
            <w:pPr>
              <w:spacing w:line="276" w:lineRule="auto"/>
              <w:rPr>
                <w:rFonts w:eastAsia="Arial"/>
              </w:rPr>
            </w:pPr>
          </w:p>
        </w:tc>
        <w:tc>
          <w:tcPr>
            <w:tcW w:w="2725" w:type="dxa"/>
          </w:tcPr>
          <w:p w14:paraId="65F128C1" w14:textId="77777777" w:rsidR="0043140E" w:rsidRPr="00AD1C80" w:rsidRDefault="0043140E" w:rsidP="00715DDA">
            <w:pPr>
              <w:spacing w:line="276" w:lineRule="auto"/>
              <w:rPr>
                <w:rFonts w:eastAsia="Arial"/>
              </w:rPr>
            </w:pPr>
          </w:p>
        </w:tc>
      </w:tr>
    </w:tbl>
    <w:p w14:paraId="1EC07EA9" w14:textId="77777777" w:rsidR="0043140E" w:rsidRPr="00AD1C80" w:rsidRDefault="0043140E" w:rsidP="0043140E">
      <w:pPr>
        <w:spacing w:line="276" w:lineRule="auto"/>
        <w:rPr>
          <w:rFonts w:eastAsia="Arial"/>
        </w:rPr>
      </w:pPr>
    </w:p>
    <w:p w14:paraId="51491C30" w14:textId="77777777" w:rsidR="0043140E" w:rsidRPr="00AD1C80" w:rsidRDefault="0043140E" w:rsidP="0043140E">
      <w:pPr>
        <w:pStyle w:val="Sraopastraipa"/>
        <w:spacing w:line="276" w:lineRule="auto"/>
        <w:jc w:val="both"/>
        <w:rPr>
          <w:rFonts w:eastAsia="Arial"/>
          <w:b/>
        </w:rPr>
      </w:pPr>
    </w:p>
    <w:p w14:paraId="5055E8A8" w14:textId="17DCFC51" w:rsidR="002E6F80" w:rsidRPr="00AD1C80" w:rsidRDefault="00CC7832" w:rsidP="007708EA">
      <w:pPr>
        <w:pStyle w:val="Sraopastraipa"/>
        <w:numPr>
          <w:ilvl w:val="0"/>
          <w:numId w:val="12"/>
        </w:numPr>
        <w:tabs>
          <w:tab w:val="left" w:pos="567"/>
        </w:tabs>
        <w:spacing w:line="480" w:lineRule="auto"/>
        <w:ind w:hanging="720"/>
        <w:rPr>
          <w:b/>
          <w:bCs/>
          <w:caps/>
        </w:rPr>
      </w:pPr>
      <w:r w:rsidRPr="00AD1C80">
        <w:rPr>
          <w:b/>
          <w:bCs/>
          <w:caps/>
        </w:rPr>
        <w:t>Klinikinio vertinimo a</w:t>
      </w:r>
      <w:r w:rsidR="00D4485B" w:rsidRPr="00AD1C80">
        <w:rPr>
          <w:b/>
          <w:bCs/>
          <w:caps/>
        </w:rPr>
        <w:t>pibendrinimas</w:t>
      </w:r>
    </w:p>
    <w:p w14:paraId="1FC3A8FC" w14:textId="361B5C0A" w:rsidR="005109B1" w:rsidRPr="00AD1C80" w:rsidRDefault="00AC3625" w:rsidP="005109B1">
      <w:pPr>
        <w:tabs>
          <w:tab w:val="left" w:pos="426"/>
        </w:tabs>
        <w:spacing w:line="276" w:lineRule="auto"/>
        <w:jc w:val="both"/>
      </w:pPr>
      <w:r w:rsidRPr="00AD1C80">
        <w:tab/>
      </w:r>
      <w:r w:rsidR="005109B1" w:rsidRPr="00AD1C80">
        <w:t xml:space="preserve">Pirminė imunoglobulino A nefropatija (IgAN; TLK-10: N02.8) – dar vadinama Bergerio liga – yra progresuojanti lėtinė inkstų liga (LIL). Sergant IgAN, inkstuose kaupiasi galaktozės stygiaus (gd) imunoglobulino A (IgA) imuniniai kompleksai. Jie sukelia uždegimą ir fibrozę, dėl to nuolat blogėja inkstų funkcija ir galiausiai pasireiškia inkstų nepakankamumas. Kai kuriems pacientams liga progresuoja lėtai ir inkstų nepakankamumas atsiranda po 20–25 metų. Vis dėlto maždaug 50 proc. pacientų gresia greito ligos progresavimo rizika ir galutinės stadijos inkstų liga (GSIL) išsivysto per 10–20 metų nuo diagnozavimo. IgAN yra reta liga, ja Europos Sąjungoje serga maždaug 4 žmonės iš 10 000. Lietuvoje atlikta biopsijos duomenimis patvirtintų inkstų ligų 1994–2012 m. analizė parodė, kad IgAN diagnozuojama 13,7 proc. biopsijos atvejų. IgAN dažniau diagnozuojama vyrams nei moterims – naujausių tarptautinių tyrimų duomenimis, santykis yra 2:1. Vidutinis amžius nustatant diagnozę yra 36–41 metai. </w:t>
      </w:r>
    </w:p>
    <w:p w14:paraId="303683BF" w14:textId="07163FB2" w:rsidR="005109B1" w:rsidRPr="00AD1C80" w:rsidRDefault="005109B1" w:rsidP="005109B1">
      <w:pPr>
        <w:tabs>
          <w:tab w:val="left" w:pos="426"/>
        </w:tabs>
        <w:spacing w:line="276" w:lineRule="auto"/>
        <w:jc w:val="both"/>
      </w:pPr>
      <w:r w:rsidRPr="00AD1C80">
        <w:tab/>
        <w:t>IgAN ligos baigčių vertinimas. Dvi nusistovėjusios IgAN baigtys yra proteinurijos sumažinimas ir</w:t>
      </w:r>
      <w:r w:rsidR="00DC47F9" w:rsidRPr="00AD1C80">
        <w:t xml:space="preserve"> apskaičiuotas glomerulų filtracijos greitis</w:t>
      </w:r>
      <w:r w:rsidRPr="00AD1C80">
        <w:t xml:space="preserve"> </w:t>
      </w:r>
      <w:r w:rsidR="00DC47F9" w:rsidRPr="00AD1C80">
        <w:t>(</w:t>
      </w:r>
      <w:r w:rsidRPr="00AD1C80">
        <w:t>aGFG</w:t>
      </w:r>
      <w:r w:rsidR="00DC47F9" w:rsidRPr="00AD1C80">
        <w:t>)</w:t>
      </w:r>
      <w:r w:rsidRPr="00AD1C80">
        <w:t xml:space="preserve"> sumažėjimas, remiantis šiuo metu prieinamomis meta-analizėmis. Europos vaistų agentūra </w:t>
      </w:r>
      <w:r w:rsidRPr="00AD1C80">
        <w:rPr>
          <w:rFonts w:eastAsia="Arial"/>
        </w:rPr>
        <w:t>(</w:t>
      </w:r>
      <w:r w:rsidRPr="00AD1C80">
        <w:rPr>
          <w:rFonts w:eastAsia="Arial"/>
          <w:i/>
        </w:rPr>
        <w:t xml:space="preserve">angl. European Medical Agency, EMA) </w:t>
      </w:r>
      <w:r w:rsidRPr="00AD1C80">
        <w:t>ir KDIGO (</w:t>
      </w:r>
      <w:r w:rsidRPr="00AD1C80">
        <w:rPr>
          <w:i/>
        </w:rPr>
        <w:t>angl. Kidney Disease Improving Outcomes</w:t>
      </w:r>
      <w:r w:rsidRPr="00AD1C80">
        <w:t>, KDIGO) 2021 m. gydymo gairės rekomenduoja: KDIGO gairėse teigiama, kad albumino išsiskyrimo greičio arba bendro baltymų išsiskyrimo greičio 30 proc. sumažėjimas nuo pradinio lygio gali būti priimtina surogatinė baigtis vertinant padvigubėjusį kreatinino kiekį serume arba inkstų nepakankamumą, lemiantį lėtinės inkstų ligos progresavimą ir aGFG sumažėjimas nuo pradinio lygio per vienerius metus laikomas tinkama surogatine baigtimi naudojama klinikiniuose tyrimuose, vertinant inkstų pažeidimą, pacientams sergantiems IgAN (aGFG kreivės vidutinio sumažėjimo skirtumo riba 0,5-1,0 ml/min/1,73 m2 per metus, lemia 97,5 proc. teigiamą nuspėjamąją vertę, kad būtų ne nulinė nauda klinikinės baigties rezultatams).</w:t>
      </w:r>
    </w:p>
    <w:p w14:paraId="7333C5B2" w14:textId="40769E8B" w:rsidR="005109B1" w:rsidRPr="00AD1C80" w:rsidRDefault="005109B1" w:rsidP="00EA1813">
      <w:pPr>
        <w:tabs>
          <w:tab w:val="left" w:pos="426"/>
        </w:tabs>
        <w:spacing w:line="276" w:lineRule="auto"/>
        <w:jc w:val="both"/>
      </w:pPr>
      <w:r w:rsidRPr="00AD1C80">
        <w:tab/>
        <w:t xml:space="preserve"> Šiuo metu Lietuvoje ir Europos sąjungoje nėra patvirtinto pirminio IgA nefropatijos gydymo aprašo. Remiantis Lietuvos gydytojų parengtu ,,Imunokompleksinių glomerulonefritų diagnostikos, gydymo ir stebėsenos metodikos“ dokumentu 2020-2022 m., IgA nefropatijos gydymo taktikų pasirinkimas priklausomai nuo klinikinės išraiškos ir įprastinė standartinė terapija apima optimalų RASi dozių skyrimą bei didėjant proteinurijai &gt;1 g/parą ir mažėjant aGFG &lt;90 ml/min 1,73m2 skiriamas sisteminis </w:t>
      </w:r>
      <w:r w:rsidR="0055484D" w:rsidRPr="00AD1C80">
        <w:t>gliukokortikosteiroidas</w:t>
      </w:r>
      <w:r w:rsidRPr="00AD1C80">
        <w:t>.</w:t>
      </w:r>
      <w:r w:rsidR="00D9167D" w:rsidRPr="00AD1C80">
        <w:t xml:space="preserve"> Ligų ir kompensuojamųjų vaistų joms gydyti surašę (A sąrašas, LR SAM įsakymas Nr. 49)  TLK-10 AM kodas N02.8 nėra įrašytas, o vaistiniai preparatai nėra priskiriam</w:t>
      </w:r>
      <w:r w:rsidR="00DD3C3A" w:rsidRPr="00AD1C80">
        <w:t>i</w:t>
      </w:r>
      <w:r w:rsidR="00D9167D" w:rsidRPr="00AD1C80">
        <w:t xml:space="preserve"> šiai ligai gydyti.</w:t>
      </w:r>
    </w:p>
    <w:p w14:paraId="2434237E" w14:textId="5F65505A" w:rsidR="005109B1" w:rsidRPr="00AD1C80" w:rsidRDefault="005109B1" w:rsidP="005109B1">
      <w:pPr>
        <w:spacing w:line="276" w:lineRule="auto"/>
        <w:ind w:firstLine="720"/>
        <w:jc w:val="both"/>
      </w:pPr>
      <w:r w:rsidRPr="00AD1C80">
        <w:t>Remiantis glomer</w:t>
      </w:r>
      <w:r w:rsidR="0068350D" w:rsidRPr="00AD1C80">
        <w:t>uli</w:t>
      </w:r>
      <w:r w:rsidRPr="00AD1C80">
        <w:t>nių ligų gydymo KDIGO (</w:t>
      </w:r>
      <w:r w:rsidRPr="00AD1C80">
        <w:rPr>
          <w:i/>
        </w:rPr>
        <w:t>angl. Kidney Disease Improving Global Outcomes</w:t>
      </w:r>
      <w:r w:rsidRPr="00AD1C80">
        <w:t xml:space="preserve">, KDIGO) 2021 m. išleistomis gydymo gairėmis, standartine IgAN palaikomąja terapija pirmiausia siekiama turimais gydymo būdais kontroliuoti kraujospūdį ir sumažinti proteinuriją, kad sulėtinti inkstų funkcijos blogėjimą. Tai apima gyvenimo būdo ir dietos pokyčiai (mažinti druskos vartojimą) ir reninio-angiotenzino sistemos inhibitorių (RASi) vartojimas maksimaliomis toleruojamomis dozėmis, siekiant mažinti proteinuriją bei kraujospūdį. AKF inhibitoriai ir ARB </w:t>
      </w:r>
      <w:r w:rsidRPr="00AD1C80">
        <w:lastRenderedPageBreak/>
        <w:t>(RASi) yra standartinė IgAN priežiūra ir gali sulėtinti ligos progresavimą. Kuomet proteinurija progresuoja nepaisant skiriamų optimalių RASi dozių, pacientams yra rizika GSIL išsivystymo. Nėra jokių rekomendacijų dėl sekančios eilės gydymo ir gydymo galimybės yra ribotos, kuomet galima svarstyti skirti 6 mėnesių gydymo kursą sisteminiais gliukokortikosteroidais didelėmis dozėmis.  Taip pat natrio ir gliukozės antrojo vienakrypčio nešėjo (SGLT-2) inhibitoriai ir statinai gali būti skiriami IgAN metu, su šia būkle susijusių širdies ir kraujagyslių rizikos kontrolei. SGLT2 inhibitoriai gali būti skiriami kartu su bude</w:t>
      </w:r>
      <w:r w:rsidR="001519C6" w:rsidRPr="00AD1C80">
        <w:t>z</w:t>
      </w:r>
      <w:r w:rsidRPr="00AD1C80">
        <w:t>o</w:t>
      </w:r>
      <w:r w:rsidR="001519C6" w:rsidRPr="00AD1C80">
        <w:t>n</w:t>
      </w:r>
      <w:r w:rsidRPr="00AD1C80">
        <w:t>idu, kadangi jų veikimo mechanizmai yra skirtingi. Todėl skiriamas bude</w:t>
      </w:r>
      <w:r w:rsidR="001519C6" w:rsidRPr="00AD1C80">
        <w:t>z</w:t>
      </w:r>
      <w:r w:rsidRPr="00AD1C80">
        <w:t>o</w:t>
      </w:r>
      <w:r w:rsidR="001519C6" w:rsidRPr="00AD1C80">
        <w:t>n</w:t>
      </w:r>
      <w:r w:rsidRPr="00AD1C80">
        <w:t>idas būtų kaip papildomas gydymas (</w:t>
      </w:r>
      <w:r w:rsidRPr="00AD1C80">
        <w:rPr>
          <w:i/>
        </w:rPr>
        <w:t>angl. add-on treatment</w:t>
      </w:r>
      <w:r w:rsidRPr="00AD1C80">
        <w:t>) prie skiriamo įprastinio standartinio gydymo.</w:t>
      </w:r>
    </w:p>
    <w:p w14:paraId="7F426CEA" w14:textId="2C5BF8D2" w:rsidR="005109B1" w:rsidRPr="00AD1C80" w:rsidRDefault="005109B1" w:rsidP="005109B1">
      <w:pPr>
        <w:spacing w:line="276" w:lineRule="auto"/>
        <w:ind w:firstLine="720"/>
        <w:jc w:val="both"/>
      </w:pPr>
      <w:r w:rsidRPr="00AD1C80">
        <w:t>Įvertinus tiesioginio palyginimo klinikinius duomenis, bude</w:t>
      </w:r>
      <w:r w:rsidR="001519C6" w:rsidRPr="00AD1C80">
        <w:t>z</w:t>
      </w:r>
      <w:r w:rsidRPr="00AD1C80">
        <w:t>o</w:t>
      </w:r>
      <w:r w:rsidR="001519C6" w:rsidRPr="00AD1C80">
        <w:t>n</w:t>
      </w:r>
      <w:r w:rsidRPr="00AD1C80">
        <w:t>idas buvo skiriamas kaip papildomas gydymas (</w:t>
      </w:r>
      <w:r w:rsidRPr="00AD1C80">
        <w:rPr>
          <w:i/>
        </w:rPr>
        <w:t>angl. add-on treatment</w:t>
      </w:r>
      <w:r w:rsidRPr="00AD1C80">
        <w:t xml:space="preserve">) prie įprastinės standartinės ligos priežiūros, įskaitant maksimaliai toleruojamą RAS inhibitorių gydymą su AKF inhibitoriais ar ARB, su ar be GKK ir </w:t>
      </w:r>
      <w:r w:rsidRPr="00AD1C80">
        <w:rPr>
          <w:bCs/>
          <w:lang w:eastAsia="lt-LT"/>
        </w:rPr>
        <w:t>pagal Lietuvos Respublikos sveikatos apsaugos ministro 2002 m. balandžio 5 d. įsakymą Nr. V-159 „Dė</w:t>
      </w:r>
      <w:r w:rsidRPr="00AD1C80">
        <w:rPr>
          <w:bCs/>
        </w:rPr>
        <w:t xml:space="preserve">l vaistinių preparatų ir medicinos pagalbos priemonių įrašymo į kompensavimo sąrašus ir jų keitimo tvarkos aprašo patvirtinimo“ (116-119 pp.) </w:t>
      </w:r>
      <w:r w:rsidR="00AC3625" w:rsidRPr="00AD1C80">
        <w:rPr>
          <w:bCs/>
          <w:color w:val="000000" w:themeColor="text1"/>
          <w:lang w:eastAsia="lt-LT"/>
        </w:rPr>
        <w:t>tinkamas palyginamasis gydymas yra placebo kartu skiriant įprastinę standartinę terapiją (</w:t>
      </w:r>
      <w:r w:rsidR="00AC3625" w:rsidRPr="00AD1C80">
        <w:t>maksimaliai toleruojamą RAS inhibitorių gydymą su AKF inhibitoriais ar ARB</w:t>
      </w:r>
      <w:r w:rsidR="00AC3625" w:rsidRPr="00AD1C80">
        <w:rPr>
          <w:bCs/>
          <w:color w:val="000000" w:themeColor="text1"/>
          <w:lang w:eastAsia="lt-LT"/>
        </w:rPr>
        <w:t>) su ar be GKK IgA nefropatijos gydymui.</w:t>
      </w:r>
    </w:p>
    <w:p w14:paraId="32594C89" w14:textId="7D32B074" w:rsidR="005109B1" w:rsidRPr="00AD1C80" w:rsidRDefault="005109B1" w:rsidP="005109B1">
      <w:pPr>
        <w:widowControl w:val="0"/>
        <w:spacing w:line="276" w:lineRule="auto"/>
        <w:ind w:firstLine="720"/>
        <w:jc w:val="both"/>
        <w:rPr>
          <w:rFonts w:eastAsia="Arial"/>
        </w:rPr>
      </w:pPr>
      <w:r w:rsidRPr="00AD1C80">
        <w:rPr>
          <w:lang w:eastAsia="lt-LT"/>
        </w:rPr>
        <w:t xml:space="preserve">Pareiškėjas vertinimui pateikė 3 fazės </w:t>
      </w:r>
      <w:r w:rsidRPr="00AD1C80">
        <w:t xml:space="preserve">NeflgArd NCT01738035 dalių A ir B (tyrimo tęsinys) ir </w:t>
      </w:r>
      <w:r w:rsidRPr="00AD1C80">
        <w:rPr>
          <w:rFonts w:eastAsia="Arial"/>
        </w:rPr>
        <w:t xml:space="preserve">2b fazės Nefigan </w:t>
      </w:r>
      <w:r w:rsidRPr="00AD1C80">
        <w:t>NCT03643965 klinikini</w:t>
      </w:r>
      <w:r w:rsidR="007708EA" w:rsidRPr="00AD1C80">
        <w:t>ų</w:t>
      </w:r>
      <w:r w:rsidRPr="00AD1C80">
        <w:t xml:space="preserve"> tyrim</w:t>
      </w:r>
      <w:r w:rsidR="007708EA" w:rsidRPr="00AD1C80">
        <w:t>ų duomenis</w:t>
      </w:r>
      <w:r w:rsidRPr="00AD1C80">
        <w:rPr>
          <w:rFonts w:eastAsia="Arial"/>
        </w:rPr>
        <w:t xml:space="preserve">. </w:t>
      </w:r>
    </w:p>
    <w:p w14:paraId="26DA039B" w14:textId="77777777" w:rsidR="005109B1" w:rsidRPr="00AD1C80" w:rsidRDefault="005109B1" w:rsidP="005109B1">
      <w:pPr>
        <w:widowControl w:val="0"/>
        <w:spacing w:line="276" w:lineRule="auto"/>
        <w:ind w:firstLine="720"/>
        <w:jc w:val="both"/>
        <w:rPr>
          <w:rFonts w:eastAsia="Arial"/>
        </w:rPr>
      </w:pPr>
    </w:p>
    <w:p w14:paraId="14C91100" w14:textId="77777777" w:rsidR="005109B1" w:rsidRPr="00AD1C80" w:rsidRDefault="005109B1" w:rsidP="005109B1">
      <w:pPr>
        <w:widowControl w:val="0"/>
        <w:spacing w:line="276" w:lineRule="auto"/>
        <w:ind w:firstLine="720"/>
        <w:jc w:val="both"/>
        <w:rPr>
          <w:rFonts w:eastAsia="Arial"/>
          <w:i/>
        </w:rPr>
      </w:pPr>
      <w:r w:rsidRPr="00AD1C80">
        <w:rPr>
          <w:rFonts w:eastAsia="Arial"/>
          <w:i/>
        </w:rPr>
        <w:t>Tiesioginis palyginimas</w:t>
      </w:r>
    </w:p>
    <w:p w14:paraId="009DEF9E" w14:textId="77777777" w:rsidR="005109B1" w:rsidRPr="00AD1C80" w:rsidRDefault="005109B1" w:rsidP="005109B1">
      <w:pPr>
        <w:widowControl w:val="0"/>
        <w:spacing w:line="276" w:lineRule="auto"/>
        <w:ind w:firstLine="720"/>
        <w:jc w:val="both"/>
        <w:rPr>
          <w:rFonts w:eastAsia="Arial"/>
          <w:i/>
        </w:rPr>
      </w:pPr>
      <w:r w:rsidRPr="00AD1C80">
        <w:rPr>
          <w:i/>
        </w:rPr>
        <w:t>NeflgArd klinikinio tyrimo A dalis</w:t>
      </w:r>
    </w:p>
    <w:p w14:paraId="45FE1FDE" w14:textId="26FCBA6F" w:rsidR="005109B1" w:rsidRPr="00AD1C80" w:rsidRDefault="005109B1" w:rsidP="005109B1">
      <w:pPr>
        <w:widowControl w:val="0"/>
        <w:spacing w:line="276" w:lineRule="auto"/>
        <w:ind w:firstLine="720"/>
        <w:jc w:val="both"/>
      </w:pPr>
      <w:r w:rsidRPr="00AD1C80">
        <w:t>Kinpeygo veiksmingumas buvo vertin</w:t>
      </w:r>
      <w:r w:rsidR="007708EA" w:rsidRPr="00AD1C80">
        <w:t>t</w:t>
      </w:r>
      <w:r w:rsidRPr="00AD1C80">
        <w:t>as atliekant atsitiktinių imčių, abipusiai koduot</w:t>
      </w:r>
      <w:r w:rsidR="007708EA" w:rsidRPr="00AD1C80">
        <w:t>ų</w:t>
      </w:r>
      <w:r w:rsidRPr="00AD1C80">
        <w:t>, placebo kontroliuojam</w:t>
      </w:r>
      <w:r w:rsidR="007708EA" w:rsidRPr="00AD1C80">
        <w:t>ų</w:t>
      </w:r>
      <w:r w:rsidRPr="00AD1C80">
        <w:t xml:space="preserve"> klinikini</w:t>
      </w:r>
      <w:r w:rsidR="007708EA" w:rsidRPr="00AD1C80">
        <w:t>ų</w:t>
      </w:r>
      <w:r w:rsidRPr="00AD1C80">
        <w:t xml:space="preserve"> tyrim</w:t>
      </w:r>
      <w:r w:rsidR="007708EA" w:rsidRPr="00AD1C80">
        <w:t>ų</w:t>
      </w:r>
      <w:r w:rsidRPr="00AD1C80">
        <w:t xml:space="preserve"> NeflgArd A dalį su pirmine IgA nefropatija sergančiais pacientais, kuriems buvo taikomas gydymas renino-angiotenzino sistemą (RAS) veikiančiais inhibitoriais. Pažymėtina, kad palyginamasis gydymas – </w:t>
      </w:r>
      <w:r w:rsidRPr="00AD1C80">
        <w:rPr>
          <w:bCs/>
          <w:color w:val="000000" w:themeColor="text1"/>
          <w:lang w:eastAsia="lt-LT"/>
        </w:rPr>
        <w:t>įprastinė standartinė terapija (</w:t>
      </w:r>
      <w:r w:rsidRPr="00AD1C80">
        <w:t>maksimaliai toleruojamą RAS inhibitorių gydymą su AKF inhibitoriais ar ARB</w:t>
      </w:r>
      <w:r w:rsidRPr="00AD1C80">
        <w:rPr>
          <w:bCs/>
          <w:color w:val="000000" w:themeColor="text1"/>
          <w:lang w:eastAsia="lt-LT"/>
        </w:rPr>
        <w:t>) su ar be GKK IgA nefropatijos gydymui.</w:t>
      </w:r>
      <w:r w:rsidRPr="00AD1C80">
        <w:t xml:space="preserve"> Remiantis įprasta klinikine praktika Lietuvoje, palyginamasis gydymas yra tinkamas. Remiantis įtraukimo ir atmetimo kriterijais, parinkta pacientų populiacija </w:t>
      </w:r>
      <w:r w:rsidRPr="00AD1C80">
        <w:rPr>
          <w:rFonts w:eastAsia="Arial"/>
        </w:rPr>
        <w:t xml:space="preserve">atitinka </w:t>
      </w:r>
      <w:r w:rsidR="007708EA" w:rsidRPr="00AD1C80">
        <w:rPr>
          <w:rFonts w:eastAsia="Arial"/>
        </w:rPr>
        <w:t>p</w:t>
      </w:r>
      <w:r w:rsidRPr="00AD1C80">
        <w:rPr>
          <w:rFonts w:eastAsia="Arial"/>
        </w:rPr>
        <w:t xml:space="preserve">areiškėjo siūlomą kompensuoti indikaciją ir skyrimo sąlygas Lietuvoje. </w:t>
      </w:r>
    </w:p>
    <w:p w14:paraId="41196C94" w14:textId="7E000E43" w:rsidR="005109B1" w:rsidRPr="00AD1C80" w:rsidRDefault="005109B1" w:rsidP="005109B1">
      <w:pPr>
        <w:spacing w:line="276" w:lineRule="auto"/>
        <w:ind w:firstLine="720"/>
        <w:jc w:val="both"/>
        <w:outlineLvl w:val="1"/>
        <w:rPr>
          <w:rFonts w:eastAsia="Arial"/>
          <w:bCs/>
        </w:rPr>
      </w:pPr>
      <w:r w:rsidRPr="00AD1C80">
        <w:rPr>
          <w:rFonts w:eastAsia="Arial"/>
          <w:bCs/>
        </w:rPr>
        <w:t>Į tyrimą įtraukti 657</w:t>
      </w:r>
      <w:r w:rsidR="007708EA" w:rsidRPr="00AD1C80">
        <w:rPr>
          <w:rFonts w:eastAsia="Arial"/>
          <w:bCs/>
        </w:rPr>
        <w:t xml:space="preserve"> pacientai</w:t>
      </w:r>
      <w:r w:rsidRPr="00AD1C80">
        <w:rPr>
          <w:rFonts w:eastAsia="Arial"/>
          <w:bCs/>
        </w:rPr>
        <w:t>, randomizuoti - 306 pacientai (iš planuotų randomizuoti 360), o 294 pacientų buvo gavę bent 1 tiriamojo vaisto dozę. Tyrimo A dalies veiksmingumo analizė apėmė mažiausiai 9 mėnesių duomenų analizę iš 97 pacientų, atsitiktinai atrinktų į bude</w:t>
      </w:r>
      <w:r w:rsidR="001519C6" w:rsidRPr="00AD1C80">
        <w:rPr>
          <w:rFonts w:eastAsia="Arial"/>
          <w:bCs/>
        </w:rPr>
        <w:t>z</w:t>
      </w:r>
      <w:r w:rsidRPr="00AD1C80">
        <w:rPr>
          <w:rFonts w:eastAsia="Arial"/>
          <w:bCs/>
        </w:rPr>
        <w:t>o</w:t>
      </w:r>
      <w:r w:rsidR="001519C6" w:rsidRPr="00AD1C80">
        <w:rPr>
          <w:rFonts w:eastAsia="Arial"/>
          <w:bCs/>
        </w:rPr>
        <w:t>n</w:t>
      </w:r>
      <w:r w:rsidRPr="00AD1C80">
        <w:rPr>
          <w:rFonts w:eastAsia="Arial"/>
          <w:bCs/>
        </w:rPr>
        <w:t xml:space="preserve">ido grupę ir 102 pacientus į placebo grupę. </w:t>
      </w:r>
      <w:r w:rsidRPr="00AD1C80">
        <w:t>Tiriamieji buvo atsitiktinai suskirstyti santykiu 1:1, pasitelkiant interaktyvią atsako technologinę sistemą (</w:t>
      </w:r>
      <w:r w:rsidRPr="00AD1C80">
        <w:rPr>
          <w:i/>
        </w:rPr>
        <w:t>angl. Interactive Response Technology system</w:t>
      </w:r>
      <w:r w:rsidRPr="00AD1C80">
        <w:t>), bude</w:t>
      </w:r>
      <w:r w:rsidR="001519C6" w:rsidRPr="00AD1C80">
        <w:t>z</w:t>
      </w:r>
      <w:r w:rsidRPr="00AD1C80">
        <w:t>o</w:t>
      </w:r>
      <w:r w:rsidR="001519C6" w:rsidRPr="00AD1C80">
        <w:t>n</w:t>
      </w:r>
      <w:r w:rsidRPr="00AD1C80">
        <w:t xml:space="preserve">idą ar atitinkamos placebo kapsules. Pacientai buvo suskirstyti pagal pradinę proteinuriją (&lt;2g/24 val ar ≥2 g/24 val.), pradinį aGFG (&lt;60 ml/min/1,73 m2 arba ≥60 ml/min/1,73m2) ir geografinį regioną (Europa, Šiaurės Amerika, Pietų Amerika arba Azija). </w:t>
      </w:r>
    </w:p>
    <w:p w14:paraId="07674269" w14:textId="77777777" w:rsidR="005109B1" w:rsidRPr="00AD1C80" w:rsidRDefault="005109B1" w:rsidP="005109B1">
      <w:pPr>
        <w:widowControl w:val="0"/>
        <w:spacing w:line="276" w:lineRule="auto"/>
        <w:ind w:firstLine="720"/>
        <w:jc w:val="both"/>
        <w:rPr>
          <w:rFonts w:eastAsia="Arial"/>
        </w:rPr>
      </w:pPr>
      <w:r w:rsidRPr="00AD1C80">
        <w:t xml:space="preserve">Pirminė vertinamoji baigtis buvo proteinurijos sumažėjimas, kuris buvo vertinamas atsižvelgiant į </w:t>
      </w:r>
      <w:r w:rsidRPr="00AD1C80">
        <w:rPr>
          <w:u w:val="single"/>
        </w:rPr>
        <w:t>baltymo ir kreatinino santykį šlapime (BKSŠ</w:t>
      </w:r>
      <w:r w:rsidRPr="00AD1C80">
        <w:t xml:space="preserve">) po 9 mėnesių, palyginti su pradiniu BKSŠ, o pagrindinės antrinės vertinamosios baigtys buvo inkstų funkcijos rodikliai, atsižvelgiant į </w:t>
      </w:r>
      <w:r w:rsidRPr="00AD1C80">
        <w:rPr>
          <w:u w:val="single"/>
        </w:rPr>
        <w:t>aGFG</w:t>
      </w:r>
      <w:r w:rsidRPr="00AD1C80">
        <w:t xml:space="preserve"> po 9 ir po 12 mėnesių. </w:t>
      </w:r>
    </w:p>
    <w:p w14:paraId="1F6B650D" w14:textId="63300A70" w:rsidR="005109B1" w:rsidRPr="00AD1C80" w:rsidRDefault="005109B1" w:rsidP="005109B1">
      <w:pPr>
        <w:spacing w:line="276" w:lineRule="auto"/>
        <w:ind w:firstLine="720"/>
        <w:jc w:val="both"/>
      </w:pPr>
      <w:r w:rsidRPr="00AD1C80">
        <w:t>Po 9 gydymo mėnesių 199 pacient</w:t>
      </w:r>
      <w:r w:rsidR="00DC47F9" w:rsidRPr="00AD1C80">
        <w:t>ai</w:t>
      </w:r>
      <w:r w:rsidRPr="00AD1C80">
        <w:t xml:space="preserve"> iš pirmų</w:t>
      </w:r>
      <w:r w:rsidR="007708EA" w:rsidRPr="00AD1C80">
        <w:t>jų</w:t>
      </w:r>
      <w:r w:rsidRPr="00AD1C80">
        <w:t xml:space="preserve"> </w:t>
      </w:r>
      <w:r w:rsidR="00DC47F9" w:rsidRPr="00AD1C80">
        <w:t>randomizuotų pacientų (n</w:t>
      </w:r>
      <w:r w:rsidR="00DC47F9" w:rsidRPr="00AD1C80">
        <w:rPr>
          <w:lang w:val="en-US"/>
        </w:rPr>
        <w:t>=</w:t>
      </w:r>
      <w:r w:rsidR="00DC47F9" w:rsidRPr="00AD1C80">
        <w:t xml:space="preserve"> </w:t>
      </w:r>
      <w:r w:rsidRPr="00AD1C80">
        <w:t>201</w:t>
      </w:r>
      <w:r w:rsidR="00DC47F9" w:rsidRPr="00AD1C80">
        <w:t>)</w:t>
      </w:r>
      <w:r w:rsidRPr="00AD1C80">
        <w:t xml:space="preserve"> užbaigė 3 fazės tyrimo A dalį. Po 9 gydymo mėnesių Kinpeygo (budez</w:t>
      </w:r>
      <w:r w:rsidR="001519C6" w:rsidRPr="00AD1C80">
        <w:t>on</w:t>
      </w:r>
      <w:r w:rsidRPr="00AD1C80">
        <w:t>idas) 16 mg kartą per parą dozėmis gydytų pacientų grupėje</w:t>
      </w:r>
      <w:r w:rsidR="00DC47F9" w:rsidRPr="00AD1C80">
        <w:t xml:space="preserve"> baltymo ir kreatinino santykio šlapime (</w:t>
      </w:r>
      <w:r w:rsidRPr="00AD1C80">
        <w:rPr>
          <w:u w:val="single"/>
        </w:rPr>
        <w:t>BKSŠ</w:t>
      </w:r>
      <w:r w:rsidR="00DC47F9" w:rsidRPr="00AD1C80">
        <w:rPr>
          <w:u w:val="single"/>
        </w:rPr>
        <w:t>)</w:t>
      </w:r>
      <w:r w:rsidRPr="00AD1C80">
        <w:rPr>
          <w:u w:val="single"/>
        </w:rPr>
        <w:t xml:space="preserve"> (pirminė vertinamoji baigtis</w:t>
      </w:r>
      <w:r w:rsidR="00EA1813" w:rsidRPr="00AD1C80">
        <w:rPr>
          <w:u w:val="single"/>
        </w:rPr>
        <w:t xml:space="preserve">, </w:t>
      </w:r>
      <w:r w:rsidR="00EA1813" w:rsidRPr="00AD1C80">
        <w:rPr>
          <w:u w:val="single"/>
        </w:rPr>
        <w:lastRenderedPageBreak/>
        <w:t>ITT populiacija</w:t>
      </w:r>
      <w:r w:rsidRPr="00AD1C80">
        <w:rPr>
          <w:u w:val="single"/>
        </w:rPr>
        <w:t>)</w:t>
      </w:r>
      <w:r w:rsidRPr="00AD1C80">
        <w:t xml:space="preserve"> sumažėjimas siekė 27 proc. ir buvo statistiškai reikšmingas bei kliniškai svarbus, palyginti su placeb</w:t>
      </w:r>
      <w:r w:rsidR="00DC47F9" w:rsidRPr="00AD1C80">
        <w:t>u</w:t>
      </w:r>
      <w:r w:rsidRPr="00AD1C80">
        <w:t xml:space="preserve">  (95 proc. PI 13 proc.-39 proc</w:t>
      </w:r>
      <w:r w:rsidR="00EA1813" w:rsidRPr="00AD1C80">
        <w:t>.</w:t>
      </w:r>
      <w:r w:rsidRPr="00AD1C80">
        <w:t xml:space="preserve">, p = 0,0003). </w:t>
      </w:r>
    </w:p>
    <w:p w14:paraId="76107252" w14:textId="77777777" w:rsidR="005109B1" w:rsidRPr="00AD1C80" w:rsidRDefault="005109B1" w:rsidP="005109B1">
      <w:pPr>
        <w:spacing w:line="276" w:lineRule="auto"/>
        <w:ind w:firstLine="720"/>
        <w:jc w:val="both"/>
      </w:pPr>
      <w:r w:rsidRPr="00AD1C80">
        <w:t xml:space="preserve">Po 9 gydymo mėnesių Kinpeygo 16 mg kartą per parą vartojusių pacientų grupėje nustatytas statistiškai reikšmingas ir kliniškai svarbus 7 proc. teigiamas poveikis </w:t>
      </w:r>
      <w:r w:rsidRPr="00AD1C80">
        <w:rPr>
          <w:u w:val="single"/>
        </w:rPr>
        <w:t>aGFG (antrinė vertinamoji baigtis)</w:t>
      </w:r>
      <w:r w:rsidRPr="00AD1C80">
        <w:t xml:space="preserve"> pagal CKD-EPI (angl. Chronic Kidney Disease Epidemiology Collaboration) formulę (kreatinino koncentracijai serume), palyginti placebo grupe (p = 0,0014). Toks po 9 mėnesių nustatytas teigiamas gydymo poveikis aGFG – 3,87 ml/min./1,73 m2 – atitiko nedidelį 0,17 ml/min./1,73 m2 sumažėjimą nuo gydymo pradžios Kinpeygo 16 mg kartą per parą vartojusių pacientų grupėje ir 4,04 ml/min./1,73 m2 pablogėjimą nuo gydymo pradžios placebą vartojusių pacientų grupėje. </w:t>
      </w:r>
    </w:p>
    <w:p w14:paraId="6FFEA261" w14:textId="77777777" w:rsidR="005109B1" w:rsidRPr="00AD1C80" w:rsidRDefault="005109B1" w:rsidP="005109B1">
      <w:pPr>
        <w:spacing w:line="276" w:lineRule="auto"/>
        <w:ind w:firstLine="720"/>
        <w:jc w:val="both"/>
        <w:rPr>
          <w:color w:val="000000" w:themeColor="text1"/>
        </w:rPr>
      </w:pPr>
      <w:r w:rsidRPr="00AD1C80">
        <w:rPr>
          <w:color w:val="000000" w:themeColor="text1"/>
        </w:rPr>
        <w:t xml:space="preserve">Kinpeygo poveikis siekiant stabilizuoti inkstų funkcijos blogėjimą buvo didesnis tiems pacientams, kurių proteinurija prieš pradedant gydymą buvo didesnė, lyginant su bendrosios populiacijos pacientais. Pacientų, kurių BKSŠ prieš pradedant gydymą siekė ≥ 1,5 g/g, grupėje, vartojant Kinpeygo 16 mg kartą parą, vienerių metų trukmės </w:t>
      </w:r>
      <w:r w:rsidRPr="00AD1C80">
        <w:rPr>
          <w:color w:val="000000" w:themeColor="text1"/>
          <w:u w:val="single"/>
        </w:rPr>
        <w:t>aGFG ilgalaikio kitimo kreivėje</w:t>
      </w:r>
      <w:r w:rsidRPr="00AD1C80">
        <w:rPr>
          <w:color w:val="000000" w:themeColor="text1"/>
        </w:rPr>
        <w:t xml:space="preserve"> (vertinant nuo 3-iojo mėnesio) nustatytas 7,55 ml/min./1,73 m2 per metus pagerėjimas, palyginti su placebo grupe (p = 0,0072), o atitinkamas pagerėjimas vienerių metų trukmės aGFG bendroje kitimo kreivėje siekė 8,98 ml/min./1,73 m2 per metus (p = 0,0001).</w:t>
      </w:r>
    </w:p>
    <w:p w14:paraId="16A86757" w14:textId="70310B08" w:rsidR="005109B1" w:rsidRPr="00AD1C80" w:rsidRDefault="005109B1" w:rsidP="005109B1">
      <w:pPr>
        <w:spacing w:line="276" w:lineRule="auto"/>
        <w:ind w:firstLine="720"/>
        <w:jc w:val="both"/>
      </w:pPr>
      <w:r w:rsidRPr="00AD1C80">
        <w:t>Apibendrinant, klinikinio tyrimo NeflgArd tyrimo A dalis parodė, jog 9 mėnesių gydymas bude</w:t>
      </w:r>
      <w:r w:rsidR="005148B2" w:rsidRPr="00AD1C80">
        <w:t>zon</w:t>
      </w:r>
      <w:r w:rsidRPr="00AD1C80">
        <w:t>idu skiriant jį papildomai prie maksimalios papildomos priežiūros (optimalaus ir maksimali</w:t>
      </w:r>
      <w:r w:rsidR="001519C6" w:rsidRPr="00AD1C80">
        <w:t>ų</w:t>
      </w:r>
      <w:r w:rsidRPr="00AD1C80">
        <w:t xml:space="preserve"> toleruojamų RAS </w:t>
      </w:r>
      <w:r w:rsidR="001519C6" w:rsidRPr="00AD1C80">
        <w:t xml:space="preserve">veikiančių vaistinių </w:t>
      </w:r>
      <w:r w:rsidRPr="00AD1C80">
        <w:t>preparatų</w:t>
      </w:r>
      <w:r w:rsidR="001519C6" w:rsidRPr="00AD1C80">
        <w:t xml:space="preserve"> dozių</w:t>
      </w:r>
      <w:r w:rsidRPr="00AD1C80">
        <w:t xml:space="preserve">), buvo gerai toleruojamas ir lėmė kliniškai svarbią BKSŠ, AKSŠ ir aGFG pagerėjimą lyginant su skiriamu vien tik optimaliu gydymu. Tai buvo pagrįsta tiek visai tirtai populiacijai, tiek ir </w:t>
      </w:r>
      <w:r w:rsidR="001519C6" w:rsidRPr="00AD1C80">
        <w:t xml:space="preserve">jos </w:t>
      </w:r>
      <w:r w:rsidRPr="00AD1C80">
        <w:t xml:space="preserve">pogrupiui – esant pradiniam BKSŠ ≥1,5 g/g. Tai yra pirmasis 3 fazės randomizuotas klinikinis tyrimas, parodantis gydymo naudą vaistu, kurio veikimo mechanizmas nukreiptas į IgAN patofiziologiją. </w:t>
      </w:r>
    </w:p>
    <w:p w14:paraId="55913112" w14:textId="77777777" w:rsidR="005109B1" w:rsidRPr="00AD1C80" w:rsidRDefault="005109B1" w:rsidP="005109B1">
      <w:pPr>
        <w:tabs>
          <w:tab w:val="left" w:pos="426"/>
        </w:tabs>
        <w:spacing w:line="276" w:lineRule="auto"/>
        <w:jc w:val="both"/>
        <w:rPr>
          <w:color w:val="000000" w:themeColor="text1"/>
          <w:lang w:eastAsia="lt-LT"/>
        </w:rPr>
      </w:pPr>
    </w:p>
    <w:p w14:paraId="3E146FC8" w14:textId="77777777" w:rsidR="005109B1" w:rsidRPr="00AD1C80" w:rsidRDefault="005109B1" w:rsidP="005109B1">
      <w:pPr>
        <w:spacing w:line="276" w:lineRule="auto"/>
        <w:jc w:val="both"/>
        <w:rPr>
          <w:rFonts w:eastAsia="Arial"/>
          <w:i/>
        </w:rPr>
      </w:pPr>
      <w:r w:rsidRPr="00AD1C80">
        <w:rPr>
          <w:rFonts w:eastAsia="Arial"/>
          <w:i/>
        </w:rPr>
        <w:t>Nefigan klinikinio tyrimas</w:t>
      </w:r>
    </w:p>
    <w:p w14:paraId="3111293E" w14:textId="47B17122" w:rsidR="005109B1" w:rsidRPr="00AD1C80" w:rsidRDefault="005109B1" w:rsidP="005109B1">
      <w:pPr>
        <w:spacing w:line="276" w:lineRule="auto"/>
        <w:ind w:firstLine="720"/>
        <w:jc w:val="both"/>
        <w:rPr>
          <w:rFonts w:eastAsia="Arial"/>
        </w:rPr>
      </w:pPr>
      <w:r w:rsidRPr="00AD1C80">
        <w:rPr>
          <w:rFonts w:eastAsia="Arial"/>
        </w:rPr>
        <w:t xml:space="preserve">Nefigan klinikinis tyrimas yra randomizuotas, atsitiktinių imčių, dvigubai </w:t>
      </w:r>
      <w:r w:rsidR="001519C6" w:rsidRPr="00AD1C80">
        <w:rPr>
          <w:rFonts w:eastAsia="Arial"/>
        </w:rPr>
        <w:t>koduotas</w:t>
      </w:r>
      <w:r w:rsidRPr="00AD1C80">
        <w:rPr>
          <w:rFonts w:eastAsia="Arial"/>
        </w:rPr>
        <w:t xml:space="preserve">, placebu </w:t>
      </w:r>
      <w:r w:rsidR="001519C6" w:rsidRPr="00AD1C80">
        <w:rPr>
          <w:rFonts w:eastAsia="Arial"/>
        </w:rPr>
        <w:t>kontroliuojamas</w:t>
      </w:r>
      <w:r w:rsidRPr="00AD1C80">
        <w:rPr>
          <w:rFonts w:eastAsia="Arial"/>
        </w:rPr>
        <w:t xml:space="preserve"> 2 b fazės, skirtas įvertinti dviejų Kinpeygo dozių saugumą ir veiksmingumą pacientams, sergantiems IgAN, kuriems yra rizika ligai progresuoti iki GSIL nepaisant optimalios RAS blokados. Į tyrimą įtraukti pacientai buvo ≥18 metų vyrai ar moterys, kuriems buvo biopsijos būdu patvirtinta pirminė IgA nefropatija ir akivaizdi proteinurija klinikinio tyrimo įtraukimo pradžioje bei pacientai vartojantys maksimaliai rekomenduojamas dozes AKFi ir/ar ARB bent 3 mėnesius. Pacientai randomizuoti pagal pradinį BKSŠ kiekį (≤0,9 g/g ir &gt;0,9 g/g) tyrimo pradžioje ir atsitiktinai paskirstyti santykiu 1:1:1 į tris grupes: 16 mg per parą bude</w:t>
      </w:r>
      <w:r w:rsidR="00423E61" w:rsidRPr="00AD1C80">
        <w:rPr>
          <w:rFonts w:eastAsia="Arial"/>
        </w:rPr>
        <w:t>zon</w:t>
      </w:r>
      <w:r w:rsidRPr="00AD1C80">
        <w:rPr>
          <w:rFonts w:eastAsia="Arial"/>
        </w:rPr>
        <w:t>ido, 8 mg per parą bude</w:t>
      </w:r>
      <w:r w:rsidR="00423E61" w:rsidRPr="00AD1C80">
        <w:rPr>
          <w:rFonts w:eastAsia="Arial"/>
        </w:rPr>
        <w:t>zon</w:t>
      </w:r>
      <w:r w:rsidRPr="00AD1C80">
        <w:rPr>
          <w:rFonts w:eastAsia="Arial"/>
        </w:rPr>
        <w:t>ido arba placebo. Per stebėjimą (9-12 mėn.) pacientams, kurie 0-9 mėnesius vartojo 16 mg bude</w:t>
      </w:r>
      <w:r w:rsidR="00C07413" w:rsidRPr="00AD1C80">
        <w:rPr>
          <w:rFonts w:eastAsia="Arial"/>
        </w:rPr>
        <w:t>zon</w:t>
      </w:r>
      <w:r w:rsidRPr="00AD1C80">
        <w:rPr>
          <w:rFonts w:eastAsia="Arial"/>
        </w:rPr>
        <w:t>ido, jiems dozė buvo sumažinta iki 8 mg dar 2 savaites, o kiti pacientai gavo placebą, siekiant išlaikyti maskavimą. 150 atsitiktinai atrinktų pacientų gavo maskuotus tiriamuosius vaistus, iš kurių 149 buvo įtraukti į pilną analizę. Gydymo grupės (16 mg bude</w:t>
      </w:r>
      <w:r w:rsidR="00C07413" w:rsidRPr="00AD1C80">
        <w:rPr>
          <w:rFonts w:eastAsia="Arial"/>
        </w:rPr>
        <w:t>zon</w:t>
      </w:r>
      <w:r w:rsidRPr="00AD1C80">
        <w:rPr>
          <w:rFonts w:eastAsia="Arial"/>
        </w:rPr>
        <w:t>ido, 8 mg bude</w:t>
      </w:r>
      <w:r w:rsidR="00C07413" w:rsidRPr="00AD1C80">
        <w:rPr>
          <w:rFonts w:eastAsia="Arial"/>
        </w:rPr>
        <w:t>zon</w:t>
      </w:r>
      <w:r w:rsidRPr="00AD1C80">
        <w:rPr>
          <w:rFonts w:eastAsia="Arial"/>
        </w:rPr>
        <w:t>ido ir placebo) buvo panašios pagal demografines ir pradines charakteristikas, visi pacientai vartojo RAS blokados gydymą ir tęsė gydymą viso tyrimo metu.</w:t>
      </w:r>
    </w:p>
    <w:p w14:paraId="7A680457" w14:textId="07AE1CB6" w:rsidR="005109B1" w:rsidRPr="00AD1C80" w:rsidRDefault="005109B1" w:rsidP="005109B1">
      <w:pPr>
        <w:spacing w:line="276" w:lineRule="auto"/>
        <w:ind w:firstLine="720"/>
        <w:jc w:val="both"/>
        <w:rPr>
          <w:rFonts w:eastAsia="Arial"/>
          <w:u w:val="single"/>
        </w:rPr>
      </w:pPr>
      <w:r w:rsidRPr="00AD1C80">
        <w:rPr>
          <w:rFonts w:eastAsia="Arial"/>
          <w:u w:val="single"/>
        </w:rPr>
        <w:t xml:space="preserve">Pirminės vertinamosios baigties rezultatai: </w:t>
      </w:r>
      <w:r w:rsidRPr="00AD1C80">
        <w:rPr>
          <w:rFonts w:eastAsia="Arial"/>
        </w:rPr>
        <w:t>Atliekant iš anksto suplanuotą tarpinę analizę, pirminė vertinamoji baigtis – vidutinis BKSŠ po 9 mėnesių skiriamo gydymo buvo sumažintas 24,4 proc. (-0,212 g/g) visiems bude</w:t>
      </w:r>
      <w:r w:rsidR="00C07413" w:rsidRPr="00AD1C80">
        <w:rPr>
          <w:rFonts w:eastAsia="Arial"/>
        </w:rPr>
        <w:t>zon</w:t>
      </w:r>
      <w:r w:rsidRPr="00AD1C80">
        <w:rPr>
          <w:rFonts w:eastAsia="Arial"/>
        </w:rPr>
        <w:t>idu gydytiems pacientams kartu, lyginant su padidėjimu 2,7 proc. (0,024 g/g) placeb</w:t>
      </w:r>
      <w:r w:rsidR="001519C6" w:rsidRPr="00AD1C80">
        <w:rPr>
          <w:rFonts w:eastAsia="Arial"/>
        </w:rPr>
        <w:t>u</w:t>
      </w:r>
      <w:r w:rsidRPr="00AD1C80">
        <w:rPr>
          <w:rFonts w:eastAsia="Arial"/>
        </w:rPr>
        <w:t xml:space="preserve"> gydytiems pacientams (1-0,024/1+0,027)=0,74; 95 proc. PI 0,58-0,94; p=0,0066). BKSŠ skirtumas po 9 mėnesių buvo reikšmingas 16 mg bude</w:t>
      </w:r>
      <w:r w:rsidR="00C07413" w:rsidRPr="00AD1C80">
        <w:rPr>
          <w:rFonts w:eastAsia="Arial"/>
        </w:rPr>
        <w:t>zon</w:t>
      </w:r>
      <w:r w:rsidRPr="00AD1C80">
        <w:rPr>
          <w:rFonts w:eastAsia="Arial"/>
        </w:rPr>
        <w:t>ido ir placebo (0,71; 0,53-0,94; p=0,0092) grupėse.</w:t>
      </w:r>
    </w:p>
    <w:p w14:paraId="037B6F20" w14:textId="0EE6B79E" w:rsidR="005109B1" w:rsidRPr="00AD1C80" w:rsidRDefault="005109B1" w:rsidP="005109B1">
      <w:pPr>
        <w:spacing w:line="276" w:lineRule="auto"/>
        <w:ind w:firstLine="720"/>
        <w:jc w:val="both"/>
        <w:rPr>
          <w:rFonts w:eastAsia="Arial"/>
          <w:u w:val="single"/>
        </w:rPr>
      </w:pPr>
      <w:r w:rsidRPr="00AD1C80">
        <w:rPr>
          <w:rFonts w:eastAsia="Arial"/>
          <w:u w:val="single"/>
        </w:rPr>
        <w:lastRenderedPageBreak/>
        <w:t>Antrinių vertinamųjų baigčių rezultatai:</w:t>
      </w:r>
      <w:r w:rsidRPr="00AD1C80">
        <w:rPr>
          <w:rFonts w:eastAsia="Arial"/>
        </w:rPr>
        <w:t xml:space="preserve"> BKSŠ sumažėjimas po 9 mėnesių lyginant su pradiniu atskleidė nuoseklų bude</w:t>
      </w:r>
      <w:r w:rsidR="00543B4D" w:rsidRPr="00AD1C80">
        <w:rPr>
          <w:rFonts w:eastAsia="Arial"/>
        </w:rPr>
        <w:t>zon</w:t>
      </w:r>
      <w:r w:rsidRPr="00AD1C80">
        <w:rPr>
          <w:rFonts w:eastAsia="Arial"/>
        </w:rPr>
        <w:t>ido poveikį BKSŠ pokyčiui, nepaisant pradinio BKSŠ lygio. Lyginant su placebo, BKSŠ pokyčiai po 12 mėnesių abejose aktyvaus gydymo grupėse buvo statistiškai reikšmingi (16 mg bude</w:t>
      </w:r>
      <w:r w:rsidR="00543B4D" w:rsidRPr="00AD1C80">
        <w:rPr>
          <w:rFonts w:eastAsia="Arial"/>
        </w:rPr>
        <w:t>zon</w:t>
      </w:r>
      <w:r w:rsidRPr="00AD1C80">
        <w:rPr>
          <w:rFonts w:eastAsia="Arial"/>
        </w:rPr>
        <w:t>ido lyginant su placeb</w:t>
      </w:r>
      <w:r w:rsidR="001519C6" w:rsidRPr="00AD1C80">
        <w:rPr>
          <w:rFonts w:eastAsia="Arial"/>
        </w:rPr>
        <w:t>u</w:t>
      </w:r>
      <w:r w:rsidRPr="00AD1C80">
        <w:rPr>
          <w:rFonts w:eastAsia="Arial"/>
        </w:rPr>
        <w:t xml:space="preserve"> 0,68, 95 proc. PI 0,57-0,96, p=0,0005; 8 mg bude</w:t>
      </w:r>
      <w:r w:rsidR="00543B4D" w:rsidRPr="00AD1C80">
        <w:rPr>
          <w:rFonts w:eastAsia="Arial"/>
        </w:rPr>
        <w:t>zon</w:t>
      </w:r>
      <w:r w:rsidRPr="00AD1C80">
        <w:rPr>
          <w:rFonts w:eastAsia="Arial"/>
        </w:rPr>
        <w:t>ido lyginant su placeb</w:t>
      </w:r>
      <w:r w:rsidR="001519C6" w:rsidRPr="00AD1C80">
        <w:rPr>
          <w:rFonts w:eastAsia="Arial"/>
        </w:rPr>
        <w:t>u</w:t>
      </w:r>
      <w:r w:rsidRPr="00AD1C80">
        <w:rPr>
          <w:rFonts w:eastAsia="Arial"/>
        </w:rPr>
        <w:t xml:space="preserve"> 0,77, 95 proc. PI 0,62-0,96, p=0,0101). aGFG išliko stabilus bude</w:t>
      </w:r>
      <w:r w:rsidR="00074F38" w:rsidRPr="00AD1C80">
        <w:rPr>
          <w:rFonts w:eastAsia="Arial"/>
        </w:rPr>
        <w:t>zon</w:t>
      </w:r>
      <w:r w:rsidRPr="00AD1C80">
        <w:rPr>
          <w:rFonts w:eastAsia="Arial"/>
        </w:rPr>
        <w:t>idą vartojusių pacientų grupėse, bet sumažėjo placebo grupėje gydymo fazės metu pagal galutinę analizę po 9 mėnesių ir pagal absoliutų ir vidutinį aGFG pokytį nuo pradinio lygio per 12 mėnesių. Vidutinis procentinis aGFG pokytis nuo pradinio lygio po 9 mėnesių buvo -9,8 proc. placebo, 0,6 proc. 16 mg ir -0,9 proc. 8 mg bude</w:t>
      </w:r>
      <w:r w:rsidR="00074F38" w:rsidRPr="00AD1C80">
        <w:rPr>
          <w:rFonts w:eastAsia="Arial"/>
        </w:rPr>
        <w:t>zon</w:t>
      </w:r>
      <w:r w:rsidRPr="00AD1C80">
        <w:rPr>
          <w:rFonts w:eastAsia="Arial"/>
        </w:rPr>
        <w:t>idą vartojusių grupėse. Palyginus su placeb</w:t>
      </w:r>
      <w:r w:rsidR="001519C6" w:rsidRPr="00AD1C80">
        <w:rPr>
          <w:rFonts w:eastAsia="Arial"/>
        </w:rPr>
        <w:t>u</w:t>
      </w:r>
      <w:r w:rsidRPr="00AD1C80">
        <w:rPr>
          <w:rFonts w:eastAsia="Arial"/>
        </w:rPr>
        <w:t xml:space="preserve"> statistinis reikšmingumas pasiektas 9 gydymo mėnesį (16 mg bude</w:t>
      </w:r>
      <w:r w:rsidR="00074F38" w:rsidRPr="00AD1C80">
        <w:rPr>
          <w:rFonts w:eastAsia="Arial"/>
        </w:rPr>
        <w:t>zon</w:t>
      </w:r>
      <w:r w:rsidRPr="00AD1C80">
        <w:rPr>
          <w:rFonts w:eastAsia="Arial"/>
        </w:rPr>
        <w:t>ido lyginant su placeb</w:t>
      </w:r>
      <w:r w:rsidR="001519C6" w:rsidRPr="00AD1C80">
        <w:rPr>
          <w:rFonts w:eastAsia="Arial"/>
        </w:rPr>
        <w:t>u</w:t>
      </w:r>
      <w:r w:rsidRPr="00AD1C80">
        <w:rPr>
          <w:rFonts w:eastAsia="Arial"/>
        </w:rPr>
        <w:t xml:space="preserve"> 1,12 proc., 95 proc. PI 1,03-1,205, p=0,0026; 8 mg bude</w:t>
      </w:r>
      <w:r w:rsidR="00074F38" w:rsidRPr="00AD1C80">
        <w:rPr>
          <w:rFonts w:eastAsia="Arial"/>
        </w:rPr>
        <w:t>zon</w:t>
      </w:r>
      <w:r w:rsidRPr="00AD1C80">
        <w:rPr>
          <w:rFonts w:eastAsia="Arial"/>
        </w:rPr>
        <w:t>ido lyginant su placebo 1,10 proc., 95 proc. PI 1,02-1,18, p=0,00064).</w:t>
      </w:r>
    </w:p>
    <w:p w14:paraId="3162D94C" w14:textId="77777777" w:rsidR="005109B1" w:rsidRPr="00AD1C80" w:rsidRDefault="005109B1" w:rsidP="005109B1">
      <w:pPr>
        <w:spacing w:line="276" w:lineRule="auto"/>
        <w:ind w:firstLine="360"/>
        <w:jc w:val="both"/>
        <w:rPr>
          <w:rFonts w:eastAsia="Arial"/>
        </w:rPr>
      </w:pPr>
      <w:r w:rsidRPr="00AD1C80">
        <w:rPr>
          <w:rFonts w:eastAsia="Arial"/>
          <w:u w:val="single"/>
        </w:rPr>
        <w:t>Pogrupio analizė - pacientų, kurių BKSŠ ≥1,5 g/g</w:t>
      </w:r>
      <w:r w:rsidRPr="00AD1C80">
        <w:rPr>
          <w:rFonts w:eastAsia="Arial"/>
        </w:rPr>
        <w:t>:</w:t>
      </w:r>
    </w:p>
    <w:p w14:paraId="3836F4B4" w14:textId="1AB59D8E" w:rsidR="005109B1" w:rsidRPr="00AD1C80" w:rsidRDefault="005109B1" w:rsidP="005109B1">
      <w:pPr>
        <w:pStyle w:val="Sraopastraipa"/>
        <w:numPr>
          <w:ilvl w:val="0"/>
          <w:numId w:val="14"/>
        </w:numPr>
        <w:spacing w:line="276" w:lineRule="auto"/>
        <w:contextualSpacing w:val="0"/>
        <w:jc w:val="both"/>
        <w:rPr>
          <w:rFonts w:eastAsia="Arial"/>
        </w:rPr>
      </w:pPr>
      <w:r w:rsidRPr="00AD1C80">
        <w:rPr>
          <w:rFonts w:eastAsia="Arial"/>
        </w:rPr>
        <w:t>aGFG. Šiame pogrupyje, aGFG nauda buvo žymiai didesnė bude</w:t>
      </w:r>
      <w:r w:rsidR="00502997" w:rsidRPr="00AD1C80">
        <w:rPr>
          <w:rFonts w:eastAsia="Arial"/>
        </w:rPr>
        <w:t>zon</w:t>
      </w:r>
      <w:r w:rsidRPr="00AD1C80">
        <w:rPr>
          <w:rFonts w:eastAsia="Arial"/>
        </w:rPr>
        <w:t>idu gydomiems pacientams lyginant su placeb</w:t>
      </w:r>
      <w:r w:rsidR="009D056F" w:rsidRPr="00AD1C80">
        <w:rPr>
          <w:rFonts w:eastAsia="Arial"/>
        </w:rPr>
        <w:t>u</w:t>
      </w:r>
      <w:r w:rsidRPr="00AD1C80">
        <w:rPr>
          <w:rFonts w:eastAsia="Arial"/>
        </w:rPr>
        <w:t>. 12 mėnesį absoliutus aGFG pokytis nuo pradinio lygio buvo -3,12 bude</w:t>
      </w:r>
      <w:r w:rsidR="000D28C5" w:rsidRPr="00AD1C80">
        <w:rPr>
          <w:rFonts w:eastAsia="Arial"/>
        </w:rPr>
        <w:t>zon</w:t>
      </w:r>
      <w:r w:rsidRPr="00AD1C80">
        <w:rPr>
          <w:rFonts w:eastAsia="Arial"/>
        </w:rPr>
        <w:t xml:space="preserve">ido grupėje ir -11,13 placebo grupėje. </w:t>
      </w:r>
    </w:p>
    <w:p w14:paraId="2F566ACB" w14:textId="1D85B0E1" w:rsidR="005109B1" w:rsidRPr="00AD1C80" w:rsidRDefault="005109B1" w:rsidP="005109B1">
      <w:pPr>
        <w:pStyle w:val="Sraopastraipa"/>
        <w:numPr>
          <w:ilvl w:val="0"/>
          <w:numId w:val="14"/>
        </w:numPr>
        <w:spacing w:line="276" w:lineRule="auto"/>
        <w:contextualSpacing w:val="0"/>
        <w:jc w:val="both"/>
        <w:rPr>
          <w:rFonts w:eastAsia="Arial"/>
        </w:rPr>
      </w:pPr>
      <w:r w:rsidRPr="00AD1C80">
        <w:rPr>
          <w:rFonts w:eastAsia="Arial"/>
        </w:rPr>
        <w:t>aGFG kitimo kreivė. Šiame pogrupyje, aGFG kitimo kreivė pagerėjo bude</w:t>
      </w:r>
      <w:r w:rsidR="000D28C5" w:rsidRPr="00AD1C80">
        <w:rPr>
          <w:rFonts w:eastAsia="Arial"/>
        </w:rPr>
        <w:t>zon</w:t>
      </w:r>
      <w:r w:rsidRPr="00AD1C80">
        <w:rPr>
          <w:rFonts w:eastAsia="Arial"/>
        </w:rPr>
        <w:t>idu gydomiems pacientams lyginant su placeb</w:t>
      </w:r>
      <w:r w:rsidR="001519C6" w:rsidRPr="00AD1C80">
        <w:rPr>
          <w:rFonts w:eastAsia="Arial"/>
        </w:rPr>
        <w:t>u</w:t>
      </w:r>
      <w:r w:rsidRPr="00AD1C80">
        <w:rPr>
          <w:rFonts w:eastAsia="Arial"/>
        </w:rPr>
        <w:t>. 1 metų aGFG kitimo kreivės mažiausi geometrinių kvadratų vidurkis buvo -3,98 bude</w:t>
      </w:r>
      <w:r w:rsidR="000D28C5" w:rsidRPr="00AD1C80">
        <w:rPr>
          <w:rFonts w:eastAsia="Arial"/>
        </w:rPr>
        <w:t>zon</w:t>
      </w:r>
      <w:r w:rsidRPr="00AD1C80">
        <w:rPr>
          <w:rFonts w:eastAsia="Arial"/>
        </w:rPr>
        <w:t>idą vartojusių grupėje ir -8,95 placebo grupėje (skirtumas 4,97; 95 proc. PI -4,50-14,43); p=0,1444)</w:t>
      </w:r>
    </w:p>
    <w:p w14:paraId="214BB993" w14:textId="214EEB78" w:rsidR="005109B1" w:rsidRPr="00AD1C80" w:rsidRDefault="005109B1" w:rsidP="005109B1">
      <w:pPr>
        <w:pStyle w:val="Sraopastraipa"/>
        <w:numPr>
          <w:ilvl w:val="0"/>
          <w:numId w:val="14"/>
        </w:numPr>
        <w:spacing w:line="276" w:lineRule="auto"/>
        <w:contextualSpacing w:val="0"/>
        <w:jc w:val="both"/>
        <w:rPr>
          <w:rFonts w:eastAsia="Arial"/>
        </w:rPr>
      </w:pPr>
      <w:r w:rsidRPr="00AD1C80">
        <w:rPr>
          <w:rFonts w:eastAsia="Arial"/>
        </w:rPr>
        <w:t>BKSŠ. Šiame pogrupyje, BKSŠ nauda buvo žymiai didesnė bude</w:t>
      </w:r>
      <w:r w:rsidR="00161FA5" w:rsidRPr="00AD1C80">
        <w:rPr>
          <w:rFonts w:eastAsia="Arial"/>
        </w:rPr>
        <w:t>zon</w:t>
      </w:r>
      <w:r w:rsidRPr="00AD1C80">
        <w:rPr>
          <w:rFonts w:eastAsia="Arial"/>
        </w:rPr>
        <w:t>idu gydomiems pacientams lyginant su placeb</w:t>
      </w:r>
      <w:r w:rsidR="001519C6" w:rsidRPr="00AD1C80">
        <w:rPr>
          <w:rFonts w:eastAsia="Arial"/>
        </w:rPr>
        <w:t>u</w:t>
      </w:r>
      <w:r w:rsidRPr="00AD1C80">
        <w:rPr>
          <w:rFonts w:eastAsia="Arial"/>
        </w:rPr>
        <w:t>. BKSŠ nuolat mažėjo bude</w:t>
      </w:r>
      <w:r w:rsidR="00161FA5" w:rsidRPr="00AD1C80">
        <w:rPr>
          <w:rFonts w:eastAsia="Arial"/>
        </w:rPr>
        <w:t>zon</w:t>
      </w:r>
      <w:r w:rsidRPr="00AD1C80">
        <w:rPr>
          <w:rFonts w:eastAsia="Arial"/>
        </w:rPr>
        <w:t>ido grupėje ir pasiekė -62,2 proc. sumažėjimą, lyginant su 12 mėn. Absoliutus BKSŠ pokytis iki 12 mėnesio buvo –1,305 bude</w:t>
      </w:r>
      <w:r w:rsidR="00161FA5" w:rsidRPr="00AD1C80">
        <w:rPr>
          <w:rFonts w:eastAsia="Arial"/>
        </w:rPr>
        <w:t>zon</w:t>
      </w:r>
      <w:r w:rsidRPr="00AD1C80">
        <w:rPr>
          <w:rFonts w:eastAsia="Arial"/>
        </w:rPr>
        <w:t xml:space="preserve">ido grupėje ir -0,221 placebo grupėje (skirtumas –1,084). </w:t>
      </w:r>
    </w:p>
    <w:p w14:paraId="711B0F58" w14:textId="40164FA1" w:rsidR="005109B1" w:rsidRPr="00AD1C80" w:rsidRDefault="005109B1" w:rsidP="005109B1">
      <w:pPr>
        <w:spacing w:line="276" w:lineRule="auto"/>
        <w:ind w:firstLine="360"/>
        <w:jc w:val="both"/>
        <w:rPr>
          <w:rFonts w:eastAsia="Arial"/>
        </w:rPr>
      </w:pPr>
      <w:r w:rsidRPr="00AD1C80">
        <w:rPr>
          <w:rFonts w:eastAsia="Arial"/>
        </w:rPr>
        <w:t>Šio tyrimo rezultatai rodo, kad gydymas bude</w:t>
      </w:r>
      <w:r w:rsidR="00161FA5" w:rsidRPr="00AD1C80">
        <w:rPr>
          <w:rFonts w:eastAsia="Arial"/>
        </w:rPr>
        <w:t>zon</w:t>
      </w:r>
      <w:r w:rsidRPr="00AD1C80">
        <w:rPr>
          <w:rFonts w:eastAsia="Arial"/>
        </w:rPr>
        <w:t>idu kaip papildomu vaistu prie optimalaus RAS blokados gydymo, sumažino proteinuriją ir stabilizavo aGFG pacientams, sergantiems IgAN ir kuriems yra rizika progresuoti ligai iki galutinės inkstų ligos stadijos. Teigiamas klinikinis poveikis įrodytas tiek visoje populiacijoje, tiek pogrupyje, kurių pradinis BKSŠ buvo ≥1,5 g/g. Šis poveikis rodo sumažėjusią būsimos GSIL progresavimo riziką. Nefigan 2 fazės klinikinio tyrimo rezultatai atitinka 3 fazės NeflgArd tyrimo rezultatus.</w:t>
      </w:r>
    </w:p>
    <w:p w14:paraId="3628A618" w14:textId="77777777" w:rsidR="005109B1" w:rsidRPr="00AD1C80" w:rsidRDefault="005109B1" w:rsidP="005109B1">
      <w:pPr>
        <w:tabs>
          <w:tab w:val="left" w:pos="426"/>
        </w:tabs>
        <w:spacing w:line="276" w:lineRule="auto"/>
        <w:jc w:val="both"/>
        <w:rPr>
          <w:rFonts w:eastAsia="Arial"/>
        </w:rPr>
      </w:pPr>
    </w:p>
    <w:p w14:paraId="5078BBC3" w14:textId="77777777" w:rsidR="005109B1" w:rsidRPr="00AD1C80" w:rsidRDefault="005109B1" w:rsidP="005109B1">
      <w:pPr>
        <w:tabs>
          <w:tab w:val="left" w:pos="426"/>
        </w:tabs>
        <w:spacing w:line="276" w:lineRule="auto"/>
        <w:jc w:val="both"/>
        <w:rPr>
          <w:rFonts w:eastAsia="Arial"/>
          <w:i/>
        </w:rPr>
      </w:pPr>
      <w:r w:rsidRPr="00AD1C80">
        <w:rPr>
          <w:rFonts w:eastAsia="Arial"/>
          <w:i/>
        </w:rPr>
        <w:t xml:space="preserve">Tęstinis tyrimas </w:t>
      </w:r>
    </w:p>
    <w:p w14:paraId="42C807E6" w14:textId="77777777" w:rsidR="005109B1" w:rsidRPr="00AD1C80" w:rsidRDefault="005109B1" w:rsidP="005109B1">
      <w:pPr>
        <w:tabs>
          <w:tab w:val="left" w:pos="426"/>
        </w:tabs>
        <w:spacing w:line="276" w:lineRule="auto"/>
        <w:jc w:val="both"/>
        <w:rPr>
          <w:rFonts w:eastAsia="Arial"/>
          <w:i/>
        </w:rPr>
      </w:pPr>
      <w:r w:rsidRPr="00AD1C80">
        <w:rPr>
          <w:rFonts w:eastAsia="Arial"/>
          <w:i/>
        </w:rPr>
        <w:t>NeflgArd klinikinio tyrimo B dalis</w:t>
      </w:r>
    </w:p>
    <w:p w14:paraId="0EE3D727" w14:textId="69B922F6" w:rsidR="005109B1" w:rsidRPr="00AD1C80" w:rsidRDefault="005109B1" w:rsidP="005109B1">
      <w:pPr>
        <w:tabs>
          <w:tab w:val="left" w:pos="426"/>
        </w:tabs>
        <w:spacing w:line="276" w:lineRule="auto"/>
        <w:jc w:val="both"/>
        <w:rPr>
          <w:rFonts w:eastAsia="Arial"/>
        </w:rPr>
      </w:pPr>
      <w:r w:rsidRPr="00AD1C80">
        <w:rPr>
          <w:rFonts w:eastAsia="Arial"/>
        </w:rPr>
        <w:tab/>
        <w:t>Tyrimo NeflgArd B dalis yra tęstinė NeflgArd klinikinio tyrimo dalis. Ši tyrimo dalis yra baigta, tačiau pareiškėjas nurodo, jog galutiniai duomenys yra nepaskelbti. Tyrimo B dalį sudaro 9 gydymo mėnesių ir 15 stebėjimo mėnesių (2 metai iš viso). Šios tyrimo dalies pagrindinis tikslas buvo patvirtinti bude</w:t>
      </w:r>
      <w:r w:rsidR="004115F2" w:rsidRPr="00AD1C80">
        <w:rPr>
          <w:rFonts w:eastAsia="Arial"/>
        </w:rPr>
        <w:t>zon</w:t>
      </w:r>
      <w:r w:rsidRPr="00AD1C80">
        <w:rPr>
          <w:rFonts w:eastAsia="Arial"/>
        </w:rPr>
        <w:t>ido ilgalaikę naudą inkstų funkcijai stebint proteinurijos mažėjimą lyginant su placebo. Preliminarūs duomenys patvirtinta tyrimo A dalies rezultatų patikimumą. Visą analizės rinkinį apėmė 364 pacientai, kurie baigė 9 mėnesių gydymo kursą su bude</w:t>
      </w:r>
      <w:r w:rsidR="00161FA5" w:rsidRPr="00AD1C80">
        <w:rPr>
          <w:rFonts w:eastAsia="Arial"/>
        </w:rPr>
        <w:t>zon</w:t>
      </w:r>
      <w:r w:rsidRPr="00AD1C80">
        <w:rPr>
          <w:rFonts w:eastAsia="Arial"/>
        </w:rPr>
        <w:t>idu ar placeb</w:t>
      </w:r>
      <w:r w:rsidR="009D056F" w:rsidRPr="00AD1C80">
        <w:rPr>
          <w:rFonts w:eastAsia="Arial"/>
        </w:rPr>
        <w:t>u</w:t>
      </w:r>
      <w:r w:rsidRPr="00AD1C80">
        <w:rPr>
          <w:rFonts w:eastAsia="Arial"/>
        </w:rPr>
        <w:t>. Pacientų populiacija tokia pati kaip ir NeflgArd A dalies.</w:t>
      </w:r>
    </w:p>
    <w:p w14:paraId="55C1A96A" w14:textId="3AE3A45B" w:rsidR="005109B1" w:rsidRPr="00AD1C80" w:rsidRDefault="005109B1" w:rsidP="005109B1">
      <w:pPr>
        <w:tabs>
          <w:tab w:val="left" w:pos="426"/>
        </w:tabs>
        <w:spacing w:line="276" w:lineRule="auto"/>
        <w:jc w:val="both"/>
        <w:rPr>
          <w:rFonts w:eastAsia="Arial"/>
        </w:rPr>
      </w:pPr>
      <w:r w:rsidRPr="00AD1C80">
        <w:rPr>
          <w:rFonts w:eastAsia="Arial"/>
        </w:rPr>
        <w:tab/>
      </w:r>
      <w:r w:rsidRPr="00AD1C80">
        <w:rPr>
          <w:rFonts w:eastAsia="Arial"/>
          <w:u w:val="single"/>
        </w:rPr>
        <w:t>Vertinant pirminę vertinamąją baigtį -</w:t>
      </w:r>
      <w:r w:rsidRPr="00AD1C80">
        <w:rPr>
          <w:rFonts w:eastAsia="Arial"/>
        </w:rPr>
        <w:t xml:space="preserve"> per 2 metus aGFG buvo vidutiniškai 5,05 ml/min/1,73 m2 didesnis bude</w:t>
      </w:r>
      <w:r w:rsidR="00B31D27" w:rsidRPr="00AD1C80">
        <w:rPr>
          <w:rFonts w:eastAsia="Arial"/>
        </w:rPr>
        <w:t>zon</w:t>
      </w:r>
      <w:r w:rsidRPr="00AD1C80">
        <w:rPr>
          <w:rFonts w:eastAsia="Arial"/>
        </w:rPr>
        <w:t>idą vartojusių grupėje lyginant su placebo (P&lt;0,00001). aGFG 2 metų kitimo kreivės analizė buvo statistiškai ir kliniškai reikšminga. Apskaičiuota, kad bendras 2 metų aGFG kitimo kreivės pagerėjimas nuo 1,8 iki 3 ml/min/1,73 m2 per metus bude</w:t>
      </w:r>
      <w:r w:rsidR="009758D0" w:rsidRPr="00AD1C80">
        <w:rPr>
          <w:rFonts w:eastAsia="Arial"/>
        </w:rPr>
        <w:t>zon</w:t>
      </w:r>
      <w:r w:rsidRPr="00AD1C80">
        <w:rPr>
          <w:rFonts w:eastAsia="Arial"/>
        </w:rPr>
        <w:t xml:space="preserve">ido grupėje lyginant su placebo, priklausomai nuo analizės naudoto metodo (P reikšmės svyravo nuo &lt;0,00001 iki 0,0035). </w:t>
      </w:r>
      <w:r w:rsidRPr="00AD1C80">
        <w:rPr>
          <w:rFonts w:eastAsia="Arial"/>
          <w:bCs/>
        </w:rPr>
        <w:t xml:space="preserve">Visi </w:t>
      </w:r>
      <w:r w:rsidRPr="00AD1C80">
        <w:rPr>
          <w:rFonts w:eastAsia="Arial"/>
          <w:bCs/>
        </w:rPr>
        <w:lastRenderedPageBreak/>
        <w:t>įverčiai viršijo slenkstį, reikalingą reikšmingą klinikin</w:t>
      </w:r>
      <w:r w:rsidR="009D056F" w:rsidRPr="00AD1C80">
        <w:rPr>
          <w:rFonts w:eastAsia="Arial"/>
          <w:bCs/>
        </w:rPr>
        <w:t>io</w:t>
      </w:r>
      <w:r w:rsidRPr="00AD1C80">
        <w:rPr>
          <w:rFonts w:eastAsia="Arial"/>
          <w:bCs/>
        </w:rPr>
        <w:t xml:space="preserve"> gydymo efektyvum</w:t>
      </w:r>
      <w:r w:rsidR="009D056F" w:rsidRPr="00AD1C80">
        <w:rPr>
          <w:rFonts w:eastAsia="Arial"/>
          <w:bCs/>
        </w:rPr>
        <w:t>o</w:t>
      </w:r>
      <w:r w:rsidRPr="00AD1C80">
        <w:rPr>
          <w:rFonts w:eastAsia="Arial"/>
          <w:bCs/>
        </w:rPr>
        <w:t xml:space="preserve"> prognoz</w:t>
      </w:r>
      <w:r w:rsidR="009D056F" w:rsidRPr="00AD1C80">
        <w:rPr>
          <w:rFonts w:eastAsia="Arial"/>
          <w:bCs/>
        </w:rPr>
        <w:t>avimui</w:t>
      </w:r>
      <w:r w:rsidRPr="00AD1C80">
        <w:rPr>
          <w:rFonts w:eastAsia="Arial"/>
          <w:bCs/>
        </w:rPr>
        <w:t xml:space="preserve">. </w:t>
      </w:r>
      <w:r w:rsidRPr="00AD1C80">
        <w:rPr>
          <w:rFonts w:eastAsia="Arial"/>
        </w:rPr>
        <w:t>Ilgalaikis aGFG poveikis buvo pastebėtas po 24 mėnesių: vienas 9 mėnesių gydymo kursas bude</w:t>
      </w:r>
      <w:r w:rsidR="00021723" w:rsidRPr="00AD1C80">
        <w:rPr>
          <w:rFonts w:eastAsia="Arial"/>
        </w:rPr>
        <w:t>zon</w:t>
      </w:r>
      <w:r w:rsidRPr="00AD1C80">
        <w:rPr>
          <w:rFonts w:eastAsia="Arial"/>
        </w:rPr>
        <w:t>idu sulėtino 50 proc. inkstų funkcijos pablogėjimą lyginant su placebo. Po 24 mėnesių aGFG sumažėjo 6 ml/min/1,73 m2 bude</w:t>
      </w:r>
      <w:r w:rsidR="0099468A" w:rsidRPr="00AD1C80">
        <w:rPr>
          <w:rFonts w:eastAsia="Arial"/>
        </w:rPr>
        <w:t>zon</w:t>
      </w:r>
      <w:r w:rsidRPr="00AD1C80">
        <w:rPr>
          <w:rFonts w:eastAsia="Arial"/>
        </w:rPr>
        <w:t>ido grupėje ir 12 ml/min/1,73 m2 placebo grupėje.</w:t>
      </w:r>
    </w:p>
    <w:p w14:paraId="018D34D5" w14:textId="3F521DE2" w:rsidR="005109B1" w:rsidRPr="00AD1C80" w:rsidRDefault="005109B1" w:rsidP="005109B1">
      <w:pPr>
        <w:spacing w:line="276" w:lineRule="auto"/>
        <w:ind w:firstLine="720"/>
        <w:jc w:val="both"/>
        <w:outlineLvl w:val="1"/>
        <w:rPr>
          <w:rFonts w:eastAsia="Arial"/>
        </w:rPr>
      </w:pPr>
      <w:r w:rsidRPr="00AD1C80">
        <w:rPr>
          <w:rFonts w:eastAsia="Arial"/>
          <w:u w:val="single"/>
        </w:rPr>
        <w:t>Antrinė vertinamoji baigtis</w:t>
      </w:r>
      <w:r w:rsidRPr="00AD1C80">
        <w:rPr>
          <w:rFonts w:eastAsia="Arial"/>
        </w:rPr>
        <w:t xml:space="preserve"> - po 2 metų BKSŠ procentinis sumažėjimas bude</w:t>
      </w:r>
      <w:r w:rsidR="00021723" w:rsidRPr="00AD1C80">
        <w:rPr>
          <w:rFonts w:eastAsia="Arial"/>
        </w:rPr>
        <w:t>zon</w:t>
      </w:r>
      <w:r w:rsidRPr="00AD1C80">
        <w:rPr>
          <w:rFonts w:eastAsia="Arial"/>
        </w:rPr>
        <w:t>ido ir placebo grupėse buvo panašus į 9 mėnesių gydymo laikotarpio pabaigos rezultatus. 24 tyrimo mėnesį BKSŠ bude</w:t>
      </w:r>
      <w:r w:rsidR="0099468A" w:rsidRPr="00AD1C80">
        <w:rPr>
          <w:rFonts w:eastAsia="Arial"/>
        </w:rPr>
        <w:t>zon</w:t>
      </w:r>
      <w:r w:rsidRPr="00AD1C80">
        <w:rPr>
          <w:rFonts w:eastAsia="Arial"/>
        </w:rPr>
        <w:t>ido grupėje sumažėjo 30,7 proc. lyginant su 1 proc. placebo grupėje (po 9 gydymo mėnesių BKSŠ sumažėjimas buvo 33,6 proc. ir 5,2 proc. atitinkamai). Teigiamas gydymo efektas aGFG vartojant bude</w:t>
      </w:r>
      <w:r w:rsidR="0099468A" w:rsidRPr="00AD1C80">
        <w:rPr>
          <w:rFonts w:eastAsia="Arial"/>
        </w:rPr>
        <w:t>zon</w:t>
      </w:r>
      <w:r w:rsidRPr="00AD1C80">
        <w:rPr>
          <w:rFonts w:eastAsia="Arial"/>
        </w:rPr>
        <w:t xml:space="preserve">idą lyginant su placebo buvo vienodas, nepaisant pradinio BKSŠ, įskaitant ≥1,5 g/g proteinurijos pogrupį. </w:t>
      </w:r>
    </w:p>
    <w:p w14:paraId="21308362" w14:textId="6C66F195" w:rsidR="005109B1" w:rsidRPr="00AD1C80" w:rsidRDefault="005109B1" w:rsidP="005109B1">
      <w:pPr>
        <w:spacing w:line="276" w:lineRule="auto"/>
        <w:ind w:firstLine="720"/>
        <w:jc w:val="both"/>
        <w:rPr>
          <w:rFonts w:eastAsia="Arial"/>
        </w:rPr>
      </w:pPr>
      <w:r w:rsidRPr="00AD1C80">
        <w:rPr>
          <w:rFonts w:eastAsia="Arial"/>
        </w:rPr>
        <w:t>Klinikinis tyrimas NeflgArd atitiko išsikeltą 2 metų pirminį tikslą, įrodantį, jog 9 mėnesių gydymo kursas bude</w:t>
      </w:r>
      <w:r w:rsidR="00351BB3" w:rsidRPr="00AD1C80">
        <w:rPr>
          <w:rFonts w:eastAsia="Arial"/>
        </w:rPr>
        <w:t>zon</w:t>
      </w:r>
      <w:r w:rsidRPr="00AD1C80">
        <w:rPr>
          <w:rFonts w:eastAsia="Arial"/>
        </w:rPr>
        <w:t>idu kartu skiriant optimalų ligos gydymą suteikė statistiškai reikšmingą ir kliniškai atitinkantį aGFG išsaugojimą, lyginant su optimaliu skiriamu gydymu. Šis poveikis buvo parodytas tiek visoje populiacijoje, tiek pogrupyje, kurio pradinis BKSŠ ≥1,5 g/g. Teigiamas gydymo poveikis aGFG rodikliui išliko 15 mėnesių nevartojant vaistinio preparato tolimesnio tyrimo stebėjimo metu. Šie rezultatai taip pat patvirtina klinikinę bude</w:t>
      </w:r>
      <w:r w:rsidR="00161FA5" w:rsidRPr="00AD1C80">
        <w:rPr>
          <w:rFonts w:eastAsia="Arial"/>
        </w:rPr>
        <w:t>zon</w:t>
      </w:r>
      <w:r w:rsidRPr="00AD1C80">
        <w:rPr>
          <w:rFonts w:eastAsia="Arial"/>
        </w:rPr>
        <w:t xml:space="preserve">ido naudą pateikiant papildomų įrodymų apie ligą modifikuojantį poveikį. </w:t>
      </w:r>
    </w:p>
    <w:p w14:paraId="5D2CFC53" w14:textId="77777777" w:rsidR="005109B1" w:rsidRPr="00AD1C80" w:rsidRDefault="005109B1" w:rsidP="005109B1">
      <w:pPr>
        <w:spacing w:line="276" w:lineRule="auto"/>
        <w:ind w:firstLine="720"/>
        <w:jc w:val="both"/>
      </w:pPr>
      <w:r w:rsidRPr="00AD1C80">
        <w:rPr>
          <w:rFonts w:eastAsia="Arial"/>
        </w:rPr>
        <w:t xml:space="preserve">Apibendrinant, tiesioginio palyginimo (3 fazės ir 2b fazės klinikinių tyrimų) rezultatai įrodo Kinpeygo gydymo naudą (kaip papildomas gydymas prie standartinio IgA nefropatijos gydymo) suaugusiesiems, sergantiems IgA nefropatija, </w:t>
      </w:r>
      <w:r w:rsidRPr="00AD1C80">
        <w:t xml:space="preserve">kuriems kyla spartaus ligos progresavimo rizika, kai baltymo ir kreatinino santykis šlapime (BKSŠ) yra ≥ 1,5 g vienam gramui </w:t>
      </w:r>
    </w:p>
    <w:p w14:paraId="21D8EA90" w14:textId="2ABDEC8C" w:rsidR="005109B1" w:rsidRPr="00AD1C80" w:rsidRDefault="005109B1" w:rsidP="005109B1">
      <w:pPr>
        <w:spacing w:line="276" w:lineRule="auto"/>
        <w:ind w:firstLine="720"/>
        <w:jc w:val="both"/>
      </w:pPr>
      <w:r w:rsidRPr="00AD1C80">
        <w:rPr>
          <w:rFonts w:eastAsia="Arial"/>
          <w:i/>
        </w:rPr>
        <w:t>Klinikinis saugumas.</w:t>
      </w:r>
      <w:r w:rsidRPr="00AD1C80">
        <w:rPr>
          <w:rFonts w:eastAsia="Arial"/>
        </w:rPr>
        <w:t xml:space="preserve"> NeflgArd klinikiniame tyrime pacientai 9 mėnesių gydymą bude</w:t>
      </w:r>
      <w:r w:rsidR="00351BB3" w:rsidRPr="00AD1C80">
        <w:rPr>
          <w:rFonts w:eastAsia="Arial"/>
        </w:rPr>
        <w:t>zon</w:t>
      </w:r>
      <w:r w:rsidRPr="00AD1C80">
        <w:rPr>
          <w:rFonts w:eastAsia="Arial"/>
        </w:rPr>
        <w:t>idu toleravo gerai. Gydymo nutraukimas dėl su gydymu susijusių nepageidaujamų reiškinių (NR) buvo žemas (9,3 proc. ir 1,0 proc. bude</w:t>
      </w:r>
      <w:r w:rsidR="00161FA5" w:rsidRPr="00AD1C80">
        <w:rPr>
          <w:rFonts w:eastAsia="Arial"/>
        </w:rPr>
        <w:t>zon</w:t>
      </w:r>
      <w:r w:rsidRPr="00AD1C80">
        <w:rPr>
          <w:rFonts w:eastAsia="Arial"/>
        </w:rPr>
        <w:t xml:space="preserve">ido ir placebo grupėse atitinkamai). </w:t>
      </w:r>
      <w:r w:rsidRPr="00AD1C80">
        <w:t>Bude</w:t>
      </w:r>
      <w:r w:rsidR="00161FA5" w:rsidRPr="00AD1C80">
        <w:t>zon</w:t>
      </w:r>
      <w:r w:rsidRPr="00AD1C80">
        <w:t>ido saugumo profilis yra žinomas pagal patvirtintą bude</w:t>
      </w:r>
      <w:r w:rsidR="00161FA5" w:rsidRPr="00AD1C80">
        <w:t>zoni</w:t>
      </w:r>
      <w:r w:rsidRPr="00AD1C80">
        <w:t>do vaistinių preparatų saugumo profilį. Saugumo analizėje nepageidaujami reiškiniai buvo nesunkūs arba vidutinio sunkumo ir grįžtamos, o tai rodo mažą sisteminę bude</w:t>
      </w:r>
      <w:r w:rsidR="00161FA5" w:rsidRPr="00AD1C80">
        <w:t>zoni</w:t>
      </w:r>
      <w:r w:rsidRPr="00AD1C80">
        <w:t>do ekspoziciją jį vartojant per burną. Svarbu pažymėti, kad vartojant Kinpeygo neužregistruota sunkių infekcijų, o bendras infekcijų atvejų skaičius, palyginti su placebo, nepadidėjo.</w:t>
      </w:r>
    </w:p>
    <w:p w14:paraId="19AB4F69" w14:textId="70B7092D" w:rsidR="005109B1" w:rsidRPr="0068350D" w:rsidRDefault="005109B1" w:rsidP="005109B1">
      <w:pPr>
        <w:spacing w:line="276" w:lineRule="auto"/>
        <w:ind w:firstLine="720"/>
        <w:jc w:val="both"/>
        <w:rPr>
          <w:rFonts w:eastAsia="Arial"/>
        </w:rPr>
      </w:pPr>
      <w:r w:rsidRPr="00AD1C80">
        <w:rPr>
          <w:rFonts w:eastAsia="Arial"/>
        </w:rPr>
        <w:t xml:space="preserve">Apibendrinant, tiesioginio palyginimo (3 fazės ir 2b fazės klinikinių tyrimų) rezultatai įrodo Kinpeygo 9 mėn. gydymo kurso naudą (kaip papildomo gydymo prie standartinio IgA nefropatijos gydymo) suaugusiesiems, sergantiems IgA nefropatija, </w:t>
      </w:r>
      <w:r w:rsidRPr="00AD1C80">
        <w:t xml:space="preserve">kuriems kyla spartaus ligos progresavimo rizika, kai baltymo ir kreatinino santykis šlapime (BKSŠ) yra ≥ 1,5 g vienam, kadangi </w:t>
      </w:r>
      <w:r w:rsidRPr="00AD1C80">
        <w:rPr>
          <w:rFonts w:eastAsia="Arial"/>
        </w:rPr>
        <w:t>suteikė statistiškai reikšmingą ir kliniškai atitinkantį aGFG išsaugojimą (ilgalaikis aGFG poveikis (po  24 mėn.): vienas 9 mėnesių gydymo kursas bude</w:t>
      </w:r>
      <w:r w:rsidR="00161FA5" w:rsidRPr="00AD1C80">
        <w:rPr>
          <w:rFonts w:eastAsia="Arial"/>
        </w:rPr>
        <w:t>zon</w:t>
      </w:r>
      <w:r w:rsidRPr="00AD1C80">
        <w:rPr>
          <w:rFonts w:eastAsia="Arial"/>
        </w:rPr>
        <w:t>idu sulėtino 50 proc. inkstų funkcijos pablogėjimą), lyginant su optimaliu skiriamu gydymu. Teigiamas gydymo poveikis aGFG rodikliui išliko 15 mėnesių nevartojant vaistinio preparato tolimesnio tyrimo stebėjimo metu. Tai patvirtina klinikinę bude</w:t>
      </w:r>
      <w:r w:rsidR="00161FA5" w:rsidRPr="00AD1C80">
        <w:rPr>
          <w:rFonts w:eastAsia="Arial"/>
        </w:rPr>
        <w:t>zon</w:t>
      </w:r>
      <w:r w:rsidRPr="00AD1C80">
        <w:rPr>
          <w:rFonts w:eastAsia="Arial"/>
        </w:rPr>
        <w:t>ido naudą pateikiant papildomų įrodymų apie ligą modifikuojantį poveikį, kas sąlygoja galutinės stadijos inkstų ligos progresavimo sulėtėjimą ar atidėjimą, IgA nefropatija sergantiems pacientams</w:t>
      </w:r>
      <w:r w:rsidR="00EA1813" w:rsidRPr="00AD1C80">
        <w:rPr>
          <w:rFonts w:eastAsia="Arial"/>
        </w:rPr>
        <w:t>.</w:t>
      </w:r>
    </w:p>
    <w:p w14:paraId="25F89291" w14:textId="5C45C8FC" w:rsidR="00D4485B" w:rsidRPr="0068350D" w:rsidRDefault="00D4485B" w:rsidP="00A93AA6">
      <w:pPr>
        <w:pStyle w:val="Sraopastraipa"/>
        <w:tabs>
          <w:tab w:val="left" w:pos="426"/>
        </w:tabs>
        <w:ind w:left="0"/>
        <w:rPr>
          <w:b/>
          <w:bCs/>
          <w:caps/>
        </w:rPr>
      </w:pPr>
    </w:p>
    <w:p w14:paraId="59CE9A9E" w14:textId="77777777" w:rsidR="006D7D8B" w:rsidRPr="0068350D" w:rsidRDefault="006D7D8B" w:rsidP="006D7D8B">
      <w:pPr>
        <w:pStyle w:val="Sraopastraipa"/>
        <w:numPr>
          <w:ilvl w:val="0"/>
          <w:numId w:val="12"/>
        </w:numPr>
        <w:tabs>
          <w:tab w:val="left" w:pos="567"/>
        </w:tabs>
        <w:ind w:hanging="720"/>
        <w:rPr>
          <w:b/>
          <w:bCs/>
          <w:caps/>
        </w:rPr>
      </w:pPr>
      <w:r w:rsidRPr="0068350D">
        <w:rPr>
          <w:b/>
          <w:bCs/>
          <w:caps/>
        </w:rPr>
        <w:t>ekonominio vertinimo apibendrinimas</w:t>
      </w:r>
    </w:p>
    <w:p w14:paraId="58A3F6EF" w14:textId="1018E468" w:rsidR="009015BB" w:rsidRPr="0068350D" w:rsidRDefault="009015BB" w:rsidP="009015BB">
      <w:pPr>
        <w:shd w:val="clear" w:color="auto" w:fill="FFFFFF"/>
        <w:spacing w:line="276" w:lineRule="auto"/>
        <w:rPr>
          <w:i/>
          <w:iCs/>
          <w:color w:val="00B050"/>
          <w:lang w:eastAsia="lt-LT"/>
        </w:rPr>
      </w:pPr>
    </w:p>
    <w:p w14:paraId="25452613" w14:textId="605D797E" w:rsidR="009015BB" w:rsidRPr="0068350D" w:rsidRDefault="009015BB" w:rsidP="009015BB">
      <w:pPr>
        <w:tabs>
          <w:tab w:val="left" w:pos="426"/>
        </w:tabs>
        <w:jc w:val="both"/>
        <w:rPr>
          <w:iCs/>
          <w:color w:val="000000" w:themeColor="text1"/>
        </w:rPr>
      </w:pPr>
      <w:r w:rsidRPr="0068350D">
        <w:rPr>
          <w:iCs/>
          <w:color w:val="000000" w:themeColor="text1"/>
        </w:rPr>
        <w:t>Analizės trūkumas yra tas, jog analizė buvo sukurta kit</w:t>
      </w:r>
      <w:r w:rsidR="009D056F">
        <w:rPr>
          <w:iCs/>
          <w:color w:val="000000" w:themeColor="text1"/>
        </w:rPr>
        <w:t>os šalies</w:t>
      </w:r>
      <w:r w:rsidRPr="0068350D">
        <w:rPr>
          <w:iCs/>
          <w:color w:val="000000" w:themeColor="text1"/>
        </w:rPr>
        <w:t xml:space="preserve"> sveikatos priežiūros sistemai, todėl gali neatspindėti, kaip išlaidos apskaičiuojamos Lietuvoje</w:t>
      </w:r>
      <w:r w:rsidR="009D056F">
        <w:rPr>
          <w:iCs/>
          <w:color w:val="000000" w:themeColor="text1"/>
        </w:rPr>
        <w:t>.</w:t>
      </w:r>
      <w:r w:rsidRPr="0068350D">
        <w:rPr>
          <w:iCs/>
          <w:color w:val="000000" w:themeColor="text1"/>
        </w:rPr>
        <w:t xml:space="preserve"> Netikslumai analizėje yra modelio </w:t>
      </w:r>
      <w:r w:rsidRPr="0068350D">
        <w:rPr>
          <w:iCs/>
          <w:color w:val="000000" w:themeColor="text1"/>
        </w:rPr>
        <w:lastRenderedPageBreak/>
        <w:t xml:space="preserve">struktūroje, kuri remiasi ne Lietuvos, o Jungtinės Karalystės sveikatos apsaugos sistema, ir ne Lietuvos pacientų duomenimis. Be to, tiek ekstrapoliacijos, tiek rizikos veiksniai turi vidutinį poveikį. </w:t>
      </w:r>
    </w:p>
    <w:p w14:paraId="68D270A1" w14:textId="7D0AB57B" w:rsidR="009015BB" w:rsidRPr="0068350D" w:rsidRDefault="009015BB" w:rsidP="009015BB">
      <w:pPr>
        <w:tabs>
          <w:tab w:val="left" w:pos="426"/>
        </w:tabs>
        <w:jc w:val="both"/>
        <w:rPr>
          <w:iCs/>
          <w:color w:val="000000" w:themeColor="text1"/>
        </w:rPr>
      </w:pPr>
      <w:r w:rsidRPr="0068350D">
        <w:rPr>
          <w:iCs/>
          <w:color w:val="000000" w:themeColor="text1"/>
        </w:rPr>
        <w:t xml:space="preserve">Tačiau </w:t>
      </w:r>
      <w:r w:rsidR="009D056F">
        <w:rPr>
          <w:iCs/>
          <w:color w:val="000000" w:themeColor="text1"/>
        </w:rPr>
        <w:t>š</w:t>
      </w:r>
      <w:r w:rsidRPr="0068350D">
        <w:rPr>
          <w:iCs/>
          <w:color w:val="000000" w:themeColor="text1"/>
        </w:rPr>
        <w:t xml:space="preserve">is trukumas yra priimtinas ir didesnes įtakos vertinimui neturi. </w:t>
      </w:r>
    </w:p>
    <w:p w14:paraId="00B308E2" w14:textId="77777777" w:rsidR="009015BB" w:rsidRPr="0068350D" w:rsidRDefault="009015BB" w:rsidP="006D7D8B">
      <w:pPr>
        <w:tabs>
          <w:tab w:val="left" w:pos="426"/>
        </w:tabs>
        <w:rPr>
          <w:iCs/>
          <w:color w:val="000000" w:themeColor="text1"/>
        </w:rPr>
      </w:pPr>
    </w:p>
    <w:p w14:paraId="58A938A7" w14:textId="66E1D4F1" w:rsidR="006D7D8B" w:rsidRPr="0068350D" w:rsidRDefault="006D7D8B" w:rsidP="006D7D8B">
      <w:pPr>
        <w:tabs>
          <w:tab w:val="left" w:pos="426"/>
        </w:tabs>
        <w:rPr>
          <w:iCs/>
          <w:color w:val="000000" w:themeColor="text1"/>
        </w:rPr>
      </w:pPr>
      <w:r w:rsidRPr="0068350D">
        <w:rPr>
          <w:iCs/>
          <w:color w:val="000000" w:themeColor="text1"/>
        </w:rPr>
        <w:t>Pagrindiniai šio modelio rezultatai pateikti lentelėje žemiau.</w:t>
      </w:r>
    </w:p>
    <w:p w14:paraId="6EEF4458" w14:textId="77777777" w:rsidR="006D7D8B" w:rsidRPr="0068350D" w:rsidRDefault="006D7D8B" w:rsidP="006D7D8B">
      <w:pPr>
        <w:tabs>
          <w:tab w:val="left" w:pos="426"/>
        </w:tabs>
        <w:rPr>
          <w:iCs/>
          <w:color w:val="000000" w:themeColor="text1"/>
          <w:sz w:val="22"/>
          <w:szCs w:val="22"/>
        </w:rPr>
      </w:pPr>
    </w:p>
    <w:p w14:paraId="6C1DD076" w14:textId="77777777" w:rsidR="006D7D8B" w:rsidRPr="0068350D" w:rsidRDefault="006D7D8B" w:rsidP="006D7D8B">
      <w:pPr>
        <w:tabs>
          <w:tab w:val="left" w:pos="426"/>
        </w:tabs>
        <w:rPr>
          <w:i/>
          <w:color w:val="000000" w:themeColor="text1"/>
          <w:sz w:val="22"/>
          <w:szCs w:val="22"/>
        </w:rPr>
      </w:pPr>
      <w:r w:rsidRPr="0068350D">
        <w:rPr>
          <w:i/>
          <w:color w:val="000000" w:themeColor="text1"/>
          <w:sz w:val="22"/>
          <w:szCs w:val="22"/>
        </w:rPr>
        <w:t>Lentelė 15.1.1. Pagrindinis ekonominės analizės rezultatas</w:t>
      </w:r>
    </w:p>
    <w:p w14:paraId="20F906ED" w14:textId="77777777" w:rsidR="008E2CF8" w:rsidRPr="0068350D" w:rsidRDefault="008E2CF8" w:rsidP="008E2CF8">
      <w:pPr>
        <w:tabs>
          <w:tab w:val="left" w:pos="567"/>
        </w:tabs>
        <w:jc w:val="both"/>
        <w:rPr>
          <w:i/>
          <w:iCs/>
          <w:color w:val="00B050"/>
          <w:lang w:eastAsia="lt-LT"/>
        </w:rPr>
      </w:pPr>
    </w:p>
    <w:tbl>
      <w:tblPr>
        <w:tblStyle w:val="Lentelstinklelis"/>
        <w:tblW w:w="9908" w:type="dxa"/>
        <w:jc w:val="center"/>
        <w:tblBorders>
          <w:top w:val="single" w:sz="12" w:space="0" w:color="auto"/>
          <w:left w:val="single" w:sz="12" w:space="0" w:color="auto"/>
          <w:bottom w:val="single" w:sz="12" w:space="0" w:color="auto"/>
          <w:right w:val="single" w:sz="12" w:space="0" w:color="auto"/>
        </w:tblBorders>
        <w:tblLook w:val="04A0" w:firstRow="1" w:lastRow="0" w:firstColumn="1" w:lastColumn="0" w:noHBand="0" w:noVBand="1"/>
      </w:tblPr>
      <w:tblGrid>
        <w:gridCol w:w="2697"/>
        <w:gridCol w:w="1613"/>
        <w:gridCol w:w="2019"/>
        <w:gridCol w:w="3579"/>
      </w:tblGrid>
      <w:tr w:rsidR="008E2CF8" w:rsidRPr="0068350D" w14:paraId="5AF567E0" w14:textId="77777777" w:rsidTr="004C3B29">
        <w:trPr>
          <w:trHeight w:val="364"/>
          <w:jc w:val="center"/>
        </w:trPr>
        <w:tc>
          <w:tcPr>
            <w:tcW w:w="9908" w:type="dxa"/>
            <w:gridSpan w:val="4"/>
            <w:tcBorders>
              <w:top w:val="single" w:sz="12" w:space="0" w:color="auto"/>
              <w:bottom w:val="single" w:sz="4" w:space="0" w:color="auto"/>
            </w:tcBorders>
            <w:vAlign w:val="center"/>
          </w:tcPr>
          <w:p w14:paraId="0C8B66DA" w14:textId="77777777" w:rsidR="008E2CF8" w:rsidRPr="0068350D" w:rsidRDefault="008E2CF8" w:rsidP="004C3B29">
            <w:pPr>
              <w:tabs>
                <w:tab w:val="left" w:pos="567"/>
              </w:tabs>
              <w:jc w:val="center"/>
              <w:rPr>
                <w:b/>
                <w:i/>
                <w:iCs/>
                <w:color w:val="00B050"/>
                <w:sz w:val="22"/>
                <w:szCs w:val="22"/>
                <w:lang w:eastAsia="lt-LT"/>
              </w:rPr>
            </w:pPr>
            <w:r w:rsidRPr="0068350D">
              <w:rPr>
                <w:b/>
                <w:lang w:eastAsia="lt-LT"/>
              </w:rPr>
              <w:t xml:space="preserve">Kaštai </w:t>
            </w:r>
            <w:r w:rsidRPr="0068350D">
              <w:rPr>
                <w:bCs/>
                <w:lang w:eastAsia="lt-LT"/>
              </w:rPr>
              <w:t>(</w:t>
            </w:r>
            <w:r w:rsidRPr="0068350D">
              <w:rPr>
                <w:bCs/>
              </w:rPr>
              <w:t>€)</w:t>
            </w:r>
          </w:p>
        </w:tc>
      </w:tr>
      <w:tr w:rsidR="008E2CF8" w:rsidRPr="0068350D" w14:paraId="3DB7263A" w14:textId="77777777" w:rsidTr="004C3B29">
        <w:trPr>
          <w:jc w:val="center"/>
        </w:trPr>
        <w:tc>
          <w:tcPr>
            <w:tcW w:w="2697" w:type="dxa"/>
            <w:tcBorders>
              <w:top w:val="single" w:sz="4" w:space="0" w:color="auto"/>
              <w:bottom w:val="single" w:sz="4" w:space="0" w:color="auto"/>
            </w:tcBorders>
          </w:tcPr>
          <w:p w14:paraId="139EDC70" w14:textId="77777777" w:rsidR="008E2CF8" w:rsidRPr="0068350D" w:rsidRDefault="008E2CF8" w:rsidP="004C3B29">
            <w:pPr>
              <w:tabs>
                <w:tab w:val="left" w:pos="567"/>
              </w:tabs>
              <w:jc w:val="both"/>
              <w:rPr>
                <w:color w:val="00B050"/>
                <w:lang w:eastAsia="lt-LT"/>
              </w:rPr>
            </w:pPr>
          </w:p>
        </w:tc>
        <w:tc>
          <w:tcPr>
            <w:tcW w:w="1613" w:type="dxa"/>
            <w:tcBorders>
              <w:top w:val="single" w:sz="4" w:space="0" w:color="auto"/>
              <w:bottom w:val="single" w:sz="4" w:space="0" w:color="auto"/>
            </w:tcBorders>
          </w:tcPr>
          <w:p w14:paraId="507B62EB" w14:textId="77777777" w:rsidR="008E2CF8" w:rsidRPr="0068350D" w:rsidRDefault="008E2CF8" w:rsidP="004C3B29">
            <w:pPr>
              <w:tabs>
                <w:tab w:val="left" w:pos="567"/>
              </w:tabs>
              <w:jc w:val="both"/>
              <w:rPr>
                <w:i/>
                <w:iCs/>
                <w:lang w:eastAsia="lt-LT"/>
              </w:rPr>
            </w:pPr>
            <w:r w:rsidRPr="0068350D">
              <w:rPr>
                <w:i/>
                <w:iCs/>
                <w:lang w:eastAsia="lt-LT"/>
              </w:rPr>
              <w:t>Tiriamasis vaistas</w:t>
            </w:r>
          </w:p>
        </w:tc>
        <w:tc>
          <w:tcPr>
            <w:tcW w:w="2019" w:type="dxa"/>
            <w:tcBorders>
              <w:top w:val="single" w:sz="4" w:space="0" w:color="auto"/>
              <w:bottom w:val="single" w:sz="4" w:space="0" w:color="auto"/>
            </w:tcBorders>
          </w:tcPr>
          <w:p w14:paraId="288EADFC" w14:textId="77777777" w:rsidR="008E2CF8" w:rsidRPr="0068350D" w:rsidRDefault="008E2CF8" w:rsidP="004C3B29">
            <w:pPr>
              <w:tabs>
                <w:tab w:val="left" w:pos="567"/>
              </w:tabs>
              <w:jc w:val="both"/>
              <w:rPr>
                <w:i/>
                <w:iCs/>
                <w:lang w:eastAsia="lt-LT"/>
              </w:rPr>
            </w:pPr>
            <w:r w:rsidRPr="0068350D">
              <w:rPr>
                <w:i/>
                <w:iCs/>
                <w:lang w:eastAsia="lt-LT"/>
              </w:rPr>
              <w:t>Palyginamasis vaistas</w:t>
            </w:r>
          </w:p>
        </w:tc>
        <w:tc>
          <w:tcPr>
            <w:tcW w:w="3579" w:type="dxa"/>
            <w:tcBorders>
              <w:top w:val="single" w:sz="4" w:space="0" w:color="auto"/>
              <w:bottom w:val="single" w:sz="4" w:space="0" w:color="auto"/>
            </w:tcBorders>
          </w:tcPr>
          <w:p w14:paraId="04B56382" w14:textId="77777777" w:rsidR="008E2CF8" w:rsidRPr="0068350D" w:rsidRDefault="008E2CF8" w:rsidP="004C3B29">
            <w:pPr>
              <w:tabs>
                <w:tab w:val="left" w:pos="567"/>
              </w:tabs>
              <w:jc w:val="both"/>
              <w:rPr>
                <w:i/>
                <w:lang w:eastAsia="lt-LT"/>
              </w:rPr>
            </w:pPr>
            <w:r w:rsidRPr="0068350D">
              <w:rPr>
                <w:i/>
                <w:lang w:eastAsia="lt-LT"/>
              </w:rPr>
              <w:t>Skirtumas</w:t>
            </w:r>
          </w:p>
        </w:tc>
      </w:tr>
      <w:tr w:rsidR="008E2CF8" w:rsidRPr="0068350D" w14:paraId="2A068BA3" w14:textId="77777777" w:rsidTr="004C3B29">
        <w:trPr>
          <w:jc w:val="center"/>
        </w:trPr>
        <w:tc>
          <w:tcPr>
            <w:tcW w:w="2697" w:type="dxa"/>
            <w:tcBorders>
              <w:top w:val="single" w:sz="4" w:space="0" w:color="auto"/>
              <w:bottom w:val="single" w:sz="4" w:space="0" w:color="auto"/>
            </w:tcBorders>
          </w:tcPr>
          <w:p w14:paraId="36425B28" w14:textId="77777777" w:rsidR="008E2CF8" w:rsidRPr="0068350D" w:rsidRDefault="008E2CF8" w:rsidP="004C3B29">
            <w:pPr>
              <w:tabs>
                <w:tab w:val="left" w:pos="567"/>
              </w:tabs>
              <w:jc w:val="both"/>
              <w:rPr>
                <w:iCs/>
                <w:color w:val="00B050"/>
                <w:lang w:eastAsia="lt-LT"/>
              </w:rPr>
            </w:pPr>
            <w:r w:rsidRPr="0068350D">
              <w:rPr>
                <w:iCs/>
                <w:color w:val="000000"/>
                <w:lang w:eastAsia="lt-LT"/>
              </w:rPr>
              <w:t>Gydymo kaštai</w:t>
            </w:r>
          </w:p>
        </w:tc>
        <w:tc>
          <w:tcPr>
            <w:tcW w:w="1613" w:type="dxa"/>
            <w:tcBorders>
              <w:top w:val="single" w:sz="4" w:space="0" w:color="auto"/>
              <w:bottom w:val="single" w:sz="4" w:space="0" w:color="auto"/>
            </w:tcBorders>
            <w:vAlign w:val="center"/>
          </w:tcPr>
          <w:p w14:paraId="2AAFF070" w14:textId="184F0001" w:rsidR="008E2CF8" w:rsidRPr="0068350D" w:rsidRDefault="000A19FD" w:rsidP="004C3B29">
            <w:pPr>
              <w:jc w:val="right"/>
            </w:pPr>
            <w:r>
              <w:t>***</w:t>
            </w:r>
          </w:p>
          <w:p w14:paraId="3AA7C989" w14:textId="77777777" w:rsidR="008E2CF8" w:rsidRPr="0068350D" w:rsidRDefault="008E2CF8" w:rsidP="004C3B29">
            <w:pPr>
              <w:tabs>
                <w:tab w:val="left" w:pos="567"/>
              </w:tabs>
              <w:jc w:val="right"/>
              <w:rPr>
                <w:i/>
                <w:iCs/>
                <w:lang w:eastAsia="lt-LT"/>
              </w:rPr>
            </w:pPr>
          </w:p>
        </w:tc>
        <w:tc>
          <w:tcPr>
            <w:tcW w:w="2019" w:type="dxa"/>
            <w:tcBorders>
              <w:top w:val="single" w:sz="4" w:space="0" w:color="auto"/>
              <w:bottom w:val="single" w:sz="4" w:space="0" w:color="auto"/>
            </w:tcBorders>
            <w:vAlign w:val="center"/>
          </w:tcPr>
          <w:p w14:paraId="51EB663C" w14:textId="17551122" w:rsidR="008E2CF8" w:rsidRPr="0068350D" w:rsidRDefault="000A19FD" w:rsidP="004C3B29">
            <w:pPr>
              <w:jc w:val="right"/>
            </w:pPr>
            <w:r>
              <w:t>***</w:t>
            </w:r>
          </w:p>
          <w:p w14:paraId="4EBDE0FD" w14:textId="77777777" w:rsidR="008E2CF8" w:rsidRPr="0068350D" w:rsidRDefault="008E2CF8" w:rsidP="004C3B29">
            <w:pPr>
              <w:tabs>
                <w:tab w:val="left" w:pos="567"/>
              </w:tabs>
              <w:jc w:val="right"/>
              <w:rPr>
                <w:i/>
                <w:iCs/>
                <w:lang w:eastAsia="lt-LT"/>
              </w:rPr>
            </w:pPr>
          </w:p>
        </w:tc>
        <w:tc>
          <w:tcPr>
            <w:tcW w:w="3579" w:type="dxa"/>
            <w:tcBorders>
              <w:top w:val="single" w:sz="4" w:space="0" w:color="auto"/>
              <w:bottom w:val="single" w:sz="4" w:space="0" w:color="auto"/>
            </w:tcBorders>
            <w:vAlign w:val="center"/>
          </w:tcPr>
          <w:p w14:paraId="656D37E7" w14:textId="7D9CC18A" w:rsidR="008E2CF8" w:rsidRPr="0068350D" w:rsidRDefault="000A19FD" w:rsidP="004C3B29">
            <w:pPr>
              <w:jc w:val="right"/>
            </w:pPr>
            <w:r>
              <w:t>***</w:t>
            </w:r>
          </w:p>
        </w:tc>
      </w:tr>
      <w:tr w:rsidR="008E2CF8" w:rsidRPr="0068350D" w14:paraId="48D8A550" w14:textId="77777777" w:rsidTr="004C3B29">
        <w:trPr>
          <w:jc w:val="center"/>
        </w:trPr>
        <w:tc>
          <w:tcPr>
            <w:tcW w:w="2697" w:type="dxa"/>
            <w:tcBorders>
              <w:top w:val="single" w:sz="4" w:space="0" w:color="auto"/>
              <w:bottom w:val="single" w:sz="4" w:space="0" w:color="auto"/>
            </w:tcBorders>
          </w:tcPr>
          <w:p w14:paraId="5827A336" w14:textId="77777777" w:rsidR="008E2CF8" w:rsidRPr="0068350D" w:rsidRDefault="008E2CF8" w:rsidP="004C3B29">
            <w:pPr>
              <w:tabs>
                <w:tab w:val="left" w:pos="567"/>
              </w:tabs>
              <w:rPr>
                <w:iCs/>
                <w:color w:val="000000"/>
                <w:lang w:eastAsia="lt-LT"/>
              </w:rPr>
            </w:pPr>
            <w:r w:rsidRPr="0068350D">
              <w:rPr>
                <w:iCs/>
                <w:color w:val="000000"/>
                <w:lang w:eastAsia="lt-LT"/>
              </w:rPr>
              <w:t>Vaistinių preparatų įsigijimo kaštai</w:t>
            </w:r>
          </w:p>
        </w:tc>
        <w:tc>
          <w:tcPr>
            <w:tcW w:w="1613" w:type="dxa"/>
            <w:tcBorders>
              <w:top w:val="single" w:sz="4" w:space="0" w:color="auto"/>
              <w:bottom w:val="single" w:sz="4" w:space="0" w:color="auto"/>
            </w:tcBorders>
            <w:vAlign w:val="center"/>
          </w:tcPr>
          <w:p w14:paraId="03AD34E6" w14:textId="4107DE20" w:rsidR="008E2CF8" w:rsidRPr="0068350D" w:rsidRDefault="000A19FD" w:rsidP="004C3B29">
            <w:pPr>
              <w:jc w:val="right"/>
            </w:pPr>
            <w:r>
              <w:t>***</w:t>
            </w:r>
          </w:p>
          <w:p w14:paraId="26D30CB6" w14:textId="77777777" w:rsidR="008E2CF8" w:rsidRPr="0068350D" w:rsidRDefault="008E2CF8" w:rsidP="004C3B29">
            <w:pPr>
              <w:tabs>
                <w:tab w:val="left" w:pos="567"/>
              </w:tabs>
              <w:jc w:val="right"/>
              <w:rPr>
                <w:i/>
                <w:iCs/>
                <w:lang w:eastAsia="lt-LT"/>
              </w:rPr>
            </w:pPr>
          </w:p>
        </w:tc>
        <w:tc>
          <w:tcPr>
            <w:tcW w:w="2019" w:type="dxa"/>
            <w:tcBorders>
              <w:top w:val="single" w:sz="4" w:space="0" w:color="auto"/>
              <w:bottom w:val="single" w:sz="4" w:space="0" w:color="auto"/>
            </w:tcBorders>
            <w:vAlign w:val="center"/>
          </w:tcPr>
          <w:p w14:paraId="099B5B97" w14:textId="31147897" w:rsidR="008E2CF8" w:rsidRPr="0068350D" w:rsidRDefault="000A19FD" w:rsidP="004C3B29">
            <w:pPr>
              <w:jc w:val="right"/>
            </w:pPr>
            <w:r>
              <w:t>***</w:t>
            </w:r>
          </w:p>
          <w:p w14:paraId="28156F8C" w14:textId="77777777" w:rsidR="008E2CF8" w:rsidRPr="0068350D" w:rsidRDefault="008E2CF8" w:rsidP="004C3B29">
            <w:pPr>
              <w:tabs>
                <w:tab w:val="left" w:pos="567"/>
              </w:tabs>
              <w:jc w:val="right"/>
              <w:rPr>
                <w:i/>
                <w:iCs/>
                <w:lang w:eastAsia="lt-LT"/>
              </w:rPr>
            </w:pPr>
          </w:p>
        </w:tc>
        <w:tc>
          <w:tcPr>
            <w:tcW w:w="3579" w:type="dxa"/>
            <w:tcBorders>
              <w:top w:val="single" w:sz="4" w:space="0" w:color="auto"/>
              <w:bottom w:val="single" w:sz="4" w:space="0" w:color="auto"/>
            </w:tcBorders>
            <w:vAlign w:val="center"/>
          </w:tcPr>
          <w:p w14:paraId="59651078" w14:textId="58744186" w:rsidR="008E2CF8" w:rsidRPr="0068350D" w:rsidRDefault="000A19FD" w:rsidP="004C3B29">
            <w:pPr>
              <w:jc w:val="right"/>
            </w:pPr>
            <w:r>
              <w:t>***</w:t>
            </w:r>
          </w:p>
          <w:p w14:paraId="1535B7CB" w14:textId="77777777" w:rsidR="008E2CF8" w:rsidRPr="0068350D" w:rsidRDefault="008E2CF8" w:rsidP="004C3B29">
            <w:pPr>
              <w:tabs>
                <w:tab w:val="left" w:pos="567"/>
              </w:tabs>
              <w:jc w:val="right"/>
              <w:rPr>
                <w:lang w:eastAsia="lt-LT"/>
              </w:rPr>
            </w:pPr>
          </w:p>
        </w:tc>
      </w:tr>
      <w:tr w:rsidR="008E2CF8" w:rsidRPr="0068350D" w14:paraId="1AE9B45A" w14:textId="77777777" w:rsidTr="004C3B29">
        <w:trPr>
          <w:jc w:val="center"/>
        </w:trPr>
        <w:tc>
          <w:tcPr>
            <w:tcW w:w="2697" w:type="dxa"/>
            <w:tcBorders>
              <w:top w:val="single" w:sz="4" w:space="0" w:color="auto"/>
              <w:bottom w:val="single" w:sz="4" w:space="0" w:color="auto"/>
            </w:tcBorders>
          </w:tcPr>
          <w:p w14:paraId="3A4ABB3D" w14:textId="77777777" w:rsidR="008E2CF8" w:rsidRPr="0068350D" w:rsidRDefault="008E2CF8" w:rsidP="004C3B29">
            <w:pPr>
              <w:tabs>
                <w:tab w:val="left" w:pos="567"/>
              </w:tabs>
              <w:jc w:val="both"/>
              <w:rPr>
                <w:iCs/>
                <w:color w:val="00B050"/>
                <w:lang w:eastAsia="lt-LT"/>
              </w:rPr>
            </w:pPr>
            <w:r w:rsidRPr="0068350D">
              <w:rPr>
                <w:iCs/>
                <w:color w:val="000000"/>
                <w:lang w:eastAsia="lt-LT"/>
              </w:rPr>
              <w:t>Nepageidaujamų reiškinių valdymo kaštai</w:t>
            </w:r>
          </w:p>
        </w:tc>
        <w:tc>
          <w:tcPr>
            <w:tcW w:w="1613" w:type="dxa"/>
            <w:tcBorders>
              <w:top w:val="single" w:sz="4" w:space="0" w:color="auto"/>
              <w:bottom w:val="single" w:sz="4" w:space="0" w:color="auto"/>
            </w:tcBorders>
            <w:vAlign w:val="center"/>
          </w:tcPr>
          <w:p w14:paraId="5FFDF072" w14:textId="52377781" w:rsidR="008E2CF8" w:rsidRPr="0068350D" w:rsidRDefault="000A19FD" w:rsidP="004C3B29">
            <w:pPr>
              <w:jc w:val="right"/>
            </w:pPr>
            <w:r>
              <w:t>***</w:t>
            </w:r>
          </w:p>
          <w:p w14:paraId="2BFE24B9" w14:textId="77777777" w:rsidR="008E2CF8" w:rsidRPr="0068350D" w:rsidRDefault="008E2CF8" w:rsidP="004C3B29">
            <w:pPr>
              <w:tabs>
                <w:tab w:val="left" w:pos="567"/>
              </w:tabs>
              <w:jc w:val="right"/>
              <w:rPr>
                <w:i/>
                <w:iCs/>
                <w:lang w:eastAsia="lt-LT"/>
              </w:rPr>
            </w:pPr>
          </w:p>
        </w:tc>
        <w:tc>
          <w:tcPr>
            <w:tcW w:w="2019" w:type="dxa"/>
            <w:tcBorders>
              <w:top w:val="single" w:sz="4" w:space="0" w:color="auto"/>
              <w:bottom w:val="single" w:sz="4" w:space="0" w:color="auto"/>
            </w:tcBorders>
            <w:vAlign w:val="center"/>
          </w:tcPr>
          <w:p w14:paraId="4FD3A8D8" w14:textId="4A0F7057" w:rsidR="008E2CF8" w:rsidRPr="0068350D" w:rsidRDefault="000A19FD" w:rsidP="004C3B29">
            <w:pPr>
              <w:jc w:val="right"/>
            </w:pPr>
            <w:r>
              <w:t>***</w:t>
            </w:r>
            <w:r w:rsidR="008E2CF8" w:rsidRPr="0068350D">
              <w:t xml:space="preserve"> €</w:t>
            </w:r>
          </w:p>
          <w:p w14:paraId="060145EE" w14:textId="77777777" w:rsidR="008E2CF8" w:rsidRPr="0068350D" w:rsidRDefault="008E2CF8" w:rsidP="004C3B29">
            <w:pPr>
              <w:tabs>
                <w:tab w:val="left" w:pos="567"/>
              </w:tabs>
              <w:jc w:val="right"/>
              <w:rPr>
                <w:i/>
                <w:iCs/>
                <w:lang w:eastAsia="lt-LT"/>
              </w:rPr>
            </w:pPr>
          </w:p>
        </w:tc>
        <w:tc>
          <w:tcPr>
            <w:tcW w:w="3579" w:type="dxa"/>
            <w:tcBorders>
              <w:top w:val="single" w:sz="4" w:space="0" w:color="auto"/>
              <w:bottom w:val="single" w:sz="4" w:space="0" w:color="auto"/>
            </w:tcBorders>
            <w:vAlign w:val="center"/>
          </w:tcPr>
          <w:p w14:paraId="79E47EAB" w14:textId="7268A36D" w:rsidR="008E2CF8" w:rsidRPr="0068350D" w:rsidRDefault="000A19FD" w:rsidP="004C3B29">
            <w:pPr>
              <w:jc w:val="right"/>
            </w:pPr>
            <w:r>
              <w:t>***</w:t>
            </w:r>
          </w:p>
          <w:p w14:paraId="4DDC63B3" w14:textId="77777777" w:rsidR="008E2CF8" w:rsidRPr="0068350D" w:rsidRDefault="008E2CF8" w:rsidP="004C3B29">
            <w:pPr>
              <w:tabs>
                <w:tab w:val="left" w:pos="567"/>
              </w:tabs>
              <w:jc w:val="right"/>
              <w:rPr>
                <w:i/>
                <w:iCs/>
                <w:lang w:eastAsia="lt-LT"/>
              </w:rPr>
            </w:pPr>
          </w:p>
        </w:tc>
      </w:tr>
      <w:tr w:rsidR="008E2CF8" w:rsidRPr="0068350D" w14:paraId="47419E90" w14:textId="77777777" w:rsidTr="004C3B29">
        <w:trPr>
          <w:jc w:val="center"/>
        </w:trPr>
        <w:tc>
          <w:tcPr>
            <w:tcW w:w="2697" w:type="dxa"/>
            <w:tcBorders>
              <w:top w:val="single" w:sz="4" w:space="0" w:color="auto"/>
              <w:bottom w:val="single" w:sz="4" w:space="0" w:color="auto"/>
            </w:tcBorders>
          </w:tcPr>
          <w:p w14:paraId="12B8B0DF" w14:textId="77777777" w:rsidR="008E2CF8" w:rsidRPr="0068350D" w:rsidRDefault="008E2CF8" w:rsidP="004C3B29">
            <w:pPr>
              <w:tabs>
                <w:tab w:val="left" w:pos="567"/>
              </w:tabs>
              <w:rPr>
                <w:iCs/>
                <w:color w:val="000000"/>
                <w:lang w:eastAsia="lt-LT"/>
              </w:rPr>
            </w:pPr>
            <w:r w:rsidRPr="0068350D">
              <w:rPr>
                <w:iCs/>
                <w:color w:val="000000"/>
                <w:lang w:eastAsia="lt-LT"/>
              </w:rPr>
              <w:t>Vaistų administravimo ir stebėsenos kaštai</w:t>
            </w:r>
          </w:p>
        </w:tc>
        <w:tc>
          <w:tcPr>
            <w:tcW w:w="1613" w:type="dxa"/>
            <w:tcBorders>
              <w:top w:val="single" w:sz="4" w:space="0" w:color="auto"/>
              <w:bottom w:val="single" w:sz="4" w:space="0" w:color="auto"/>
            </w:tcBorders>
            <w:vAlign w:val="center"/>
          </w:tcPr>
          <w:p w14:paraId="52661C20" w14:textId="1910F106" w:rsidR="008E2CF8" w:rsidRPr="0068350D" w:rsidRDefault="000A19FD" w:rsidP="004C3B29">
            <w:pPr>
              <w:jc w:val="right"/>
            </w:pPr>
            <w:r>
              <w:t>***</w:t>
            </w:r>
            <w:r w:rsidR="008E2CF8" w:rsidRPr="0068350D">
              <w:t xml:space="preserve"> €</w:t>
            </w:r>
          </w:p>
          <w:p w14:paraId="3251CB8C" w14:textId="77777777" w:rsidR="008E2CF8" w:rsidRPr="0068350D" w:rsidRDefault="008E2CF8" w:rsidP="004C3B29">
            <w:pPr>
              <w:tabs>
                <w:tab w:val="left" w:pos="567"/>
              </w:tabs>
              <w:jc w:val="right"/>
              <w:rPr>
                <w:i/>
                <w:iCs/>
                <w:lang w:eastAsia="lt-LT"/>
              </w:rPr>
            </w:pPr>
          </w:p>
        </w:tc>
        <w:tc>
          <w:tcPr>
            <w:tcW w:w="2019" w:type="dxa"/>
            <w:tcBorders>
              <w:top w:val="single" w:sz="4" w:space="0" w:color="auto"/>
              <w:bottom w:val="single" w:sz="4" w:space="0" w:color="auto"/>
            </w:tcBorders>
            <w:vAlign w:val="center"/>
          </w:tcPr>
          <w:p w14:paraId="06FA7E1F" w14:textId="775D3B63" w:rsidR="008E2CF8" w:rsidRPr="0068350D" w:rsidRDefault="000A19FD" w:rsidP="004C3B29">
            <w:pPr>
              <w:jc w:val="right"/>
            </w:pPr>
            <w:r>
              <w:t>***</w:t>
            </w:r>
            <w:r w:rsidR="008E2CF8" w:rsidRPr="0068350D">
              <w:t xml:space="preserve"> €</w:t>
            </w:r>
          </w:p>
          <w:p w14:paraId="52C530F2" w14:textId="77777777" w:rsidR="008E2CF8" w:rsidRPr="0068350D" w:rsidRDefault="008E2CF8" w:rsidP="004C3B29">
            <w:pPr>
              <w:tabs>
                <w:tab w:val="left" w:pos="567"/>
              </w:tabs>
              <w:jc w:val="right"/>
              <w:rPr>
                <w:i/>
                <w:iCs/>
                <w:lang w:eastAsia="lt-LT"/>
              </w:rPr>
            </w:pPr>
          </w:p>
        </w:tc>
        <w:tc>
          <w:tcPr>
            <w:tcW w:w="3579" w:type="dxa"/>
            <w:tcBorders>
              <w:top w:val="single" w:sz="4" w:space="0" w:color="auto"/>
              <w:bottom w:val="single" w:sz="4" w:space="0" w:color="auto"/>
            </w:tcBorders>
            <w:vAlign w:val="center"/>
          </w:tcPr>
          <w:p w14:paraId="71F38AE7" w14:textId="7EBC378E" w:rsidR="008E2CF8" w:rsidRPr="0068350D" w:rsidRDefault="000A19FD" w:rsidP="004C3B29">
            <w:pPr>
              <w:jc w:val="right"/>
            </w:pPr>
            <w:r>
              <w:t>***</w:t>
            </w:r>
          </w:p>
          <w:p w14:paraId="2724BBB4" w14:textId="77777777" w:rsidR="008E2CF8" w:rsidRPr="0068350D" w:rsidRDefault="008E2CF8" w:rsidP="004C3B29">
            <w:pPr>
              <w:tabs>
                <w:tab w:val="left" w:pos="567"/>
              </w:tabs>
              <w:jc w:val="right"/>
              <w:rPr>
                <w:i/>
                <w:iCs/>
                <w:lang w:eastAsia="lt-LT"/>
              </w:rPr>
            </w:pPr>
          </w:p>
        </w:tc>
      </w:tr>
      <w:tr w:rsidR="008E2CF8" w:rsidRPr="0068350D" w14:paraId="190F7744" w14:textId="77777777" w:rsidTr="004C3B29">
        <w:trPr>
          <w:jc w:val="center"/>
        </w:trPr>
        <w:tc>
          <w:tcPr>
            <w:tcW w:w="2697" w:type="dxa"/>
            <w:tcBorders>
              <w:top w:val="single" w:sz="4" w:space="0" w:color="auto"/>
              <w:bottom w:val="single" w:sz="12" w:space="0" w:color="auto"/>
            </w:tcBorders>
          </w:tcPr>
          <w:p w14:paraId="3B6CE0AA" w14:textId="77777777" w:rsidR="008E2CF8" w:rsidRPr="0068350D" w:rsidRDefault="008E2CF8" w:rsidP="004C3B29">
            <w:pPr>
              <w:jc w:val="both"/>
            </w:pPr>
            <w:r w:rsidRPr="0068350D">
              <w:t>Gyvenimo pabaigos priežiūra</w:t>
            </w:r>
          </w:p>
        </w:tc>
        <w:tc>
          <w:tcPr>
            <w:tcW w:w="1613" w:type="dxa"/>
            <w:tcBorders>
              <w:top w:val="single" w:sz="4" w:space="0" w:color="auto"/>
              <w:bottom w:val="single" w:sz="12" w:space="0" w:color="auto"/>
            </w:tcBorders>
            <w:vAlign w:val="center"/>
          </w:tcPr>
          <w:p w14:paraId="5AF3B83E" w14:textId="6D6C5540" w:rsidR="008E2CF8" w:rsidRPr="0068350D" w:rsidRDefault="000A19FD" w:rsidP="004C3B29">
            <w:pPr>
              <w:jc w:val="right"/>
            </w:pPr>
            <w:r>
              <w:t>***</w:t>
            </w:r>
          </w:p>
          <w:p w14:paraId="52EFFE3C" w14:textId="77777777" w:rsidR="008E2CF8" w:rsidRPr="0068350D" w:rsidRDefault="008E2CF8" w:rsidP="004C3B29">
            <w:pPr>
              <w:tabs>
                <w:tab w:val="left" w:pos="567"/>
              </w:tabs>
              <w:jc w:val="right"/>
              <w:rPr>
                <w:i/>
                <w:iCs/>
                <w:lang w:eastAsia="lt-LT"/>
              </w:rPr>
            </w:pPr>
          </w:p>
        </w:tc>
        <w:tc>
          <w:tcPr>
            <w:tcW w:w="2019" w:type="dxa"/>
            <w:tcBorders>
              <w:top w:val="single" w:sz="4" w:space="0" w:color="auto"/>
              <w:bottom w:val="single" w:sz="12" w:space="0" w:color="auto"/>
            </w:tcBorders>
            <w:vAlign w:val="center"/>
          </w:tcPr>
          <w:p w14:paraId="5BF92A39" w14:textId="531066AA" w:rsidR="008E2CF8" w:rsidRPr="0068350D" w:rsidRDefault="000A19FD" w:rsidP="004C3B29">
            <w:pPr>
              <w:jc w:val="right"/>
            </w:pPr>
            <w:r>
              <w:t>***</w:t>
            </w:r>
          </w:p>
          <w:p w14:paraId="00D5B22A" w14:textId="77777777" w:rsidR="008E2CF8" w:rsidRPr="0068350D" w:rsidRDefault="008E2CF8" w:rsidP="004C3B29">
            <w:pPr>
              <w:tabs>
                <w:tab w:val="left" w:pos="567"/>
              </w:tabs>
              <w:jc w:val="right"/>
              <w:rPr>
                <w:i/>
                <w:iCs/>
                <w:lang w:eastAsia="lt-LT"/>
              </w:rPr>
            </w:pPr>
          </w:p>
        </w:tc>
        <w:tc>
          <w:tcPr>
            <w:tcW w:w="3579" w:type="dxa"/>
            <w:tcBorders>
              <w:top w:val="single" w:sz="4" w:space="0" w:color="auto"/>
              <w:bottom w:val="single" w:sz="12" w:space="0" w:color="auto"/>
            </w:tcBorders>
            <w:vAlign w:val="center"/>
          </w:tcPr>
          <w:p w14:paraId="2120A67D" w14:textId="1E00E39D" w:rsidR="008E2CF8" w:rsidRPr="0068350D" w:rsidRDefault="000A19FD" w:rsidP="004C3B29">
            <w:pPr>
              <w:jc w:val="right"/>
            </w:pPr>
            <w:r>
              <w:t>***</w:t>
            </w:r>
          </w:p>
          <w:p w14:paraId="7C9FC9D9" w14:textId="77777777" w:rsidR="008E2CF8" w:rsidRPr="0068350D" w:rsidRDefault="008E2CF8" w:rsidP="004C3B29">
            <w:pPr>
              <w:tabs>
                <w:tab w:val="left" w:pos="567"/>
              </w:tabs>
              <w:jc w:val="right"/>
              <w:rPr>
                <w:i/>
                <w:iCs/>
                <w:lang w:eastAsia="lt-LT"/>
              </w:rPr>
            </w:pPr>
          </w:p>
        </w:tc>
      </w:tr>
      <w:tr w:rsidR="008E2CF8" w:rsidRPr="0068350D" w14:paraId="53FA19D2" w14:textId="77777777" w:rsidTr="004C3B29">
        <w:trPr>
          <w:jc w:val="center"/>
        </w:trPr>
        <w:tc>
          <w:tcPr>
            <w:tcW w:w="6329" w:type="dxa"/>
            <w:gridSpan w:val="3"/>
            <w:tcBorders>
              <w:top w:val="single" w:sz="4" w:space="0" w:color="auto"/>
              <w:bottom w:val="single" w:sz="12" w:space="0" w:color="auto"/>
            </w:tcBorders>
          </w:tcPr>
          <w:p w14:paraId="015F3D74" w14:textId="77777777" w:rsidR="008E2CF8" w:rsidRPr="0068350D" w:rsidRDefault="008E2CF8" w:rsidP="004C3B29">
            <w:pPr>
              <w:jc w:val="right"/>
            </w:pPr>
            <w:r w:rsidRPr="0068350D">
              <w:t>Iš viso</w:t>
            </w:r>
          </w:p>
        </w:tc>
        <w:tc>
          <w:tcPr>
            <w:tcW w:w="3579" w:type="dxa"/>
            <w:tcBorders>
              <w:top w:val="single" w:sz="4" w:space="0" w:color="auto"/>
              <w:bottom w:val="single" w:sz="12" w:space="0" w:color="auto"/>
            </w:tcBorders>
          </w:tcPr>
          <w:p w14:paraId="3DC54523" w14:textId="15BD6F0E" w:rsidR="008E2CF8" w:rsidRPr="0068350D" w:rsidRDefault="000A19FD" w:rsidP="004C3B29">
            <w:pPr>
              <w:jc w:val="right"/>
            </w:pPr>
            <w:r>
              <w:t>***</w:t>
            </w:r>
          </w:p>
        </w:tc>
      </w:tr>
      <w:tr w:rsidR="008E2CF8" w:rsidRPr="0068350D" w14:paraId="48D3F28A" w14:textId="77777777" w:rsidTr="004C3B29">
        <w:trPr>
          <w:jc w:val="center"/>
        </w:trPr>
        <w:tc>
          <w:tcPr>
            <w:tcW w:w="9908" w:type="dxa"/>
            <w:gridSpan w:val="4"/>
            <w:tcBorders>
              <w:top w:val="single" w:sz="12" w:space="0" w:color="auto"/>
              <w:bottom w:val="single" w:sz="4" w:space="0" w:color="auto"/>
            </w:tcBorders>
          </w:tcPr>
          <w:p w14:paraId="3CBD64E1" w14:textId="77777777" w:rsidR="008E2CF8" w:rsidRPr="0068350D" w:rsidRDefault="008E2CF8" w:rsidP="004C3B29">
            <w:pPr>
              <w:tabs>
                <w:tab w:val="left" w:pos="567"/>
              </w:tabs>
              <w:jc w:val="center"/>
              <w:rPr>
                <w:iCs/>
                <w:lang w:eastAsia="lt-LT"/>
              </w:rPr>
            </w:pPr>
            <w:r w:rsidRPr="0068350D">
              <w:rPr>
                <w:lang w:eastAsia="lt-LT"/>
              </w:rPr>
              <w:t>Papildomi gyvenimo metai (LY)</w:t>
            </w:r>
          </w:p>
        </w:tc>
      </w:tr>
      <w:tr w:rsidR="008E2CF8" w:rsidRPr="0068350D" w14:paraId="2DE2D35D" w14:textId="77777777" w:rsidTr="004C3B29">
        <w:trPr>
          <w:jc w:val="center"/>
        </w:trPr>
        <w:tc>
          <w:tcPr>
            <w:tcW w:w="2697" w:type="dxa"/>
            <w:tcBorders>
              <w:top w:val="single" w:sz="4" w:space="0" w:color="auto"/>
              <w:bottom w:val="single" w:sz="4" w:space="0" w:color="auto"/>
            </w:tcBorders>
          </w:tcPr>
          <w:p w14:paraId="060C7A11" w14:textId="77777777" w:rsidR="008E2CF8" w:rsidRPr="0068350D" w:rsidRDefault="008E2CF8" w:rsidP="004C3B29">
            <w:pPr>
              <w:tabs>
                <w:tab w:val="left" w:pos="567"/>
              </w:tabs>
              <w:jc w:val="both"/>
              <w:rPr>
                <w:lang w:eastAsia="lt-LT"/>
              </w:rPr>
            </w:pPr>
            <w:r w:rsidRPr="0068350D">
              <w:rPr>
                <w:iCs/>
                <w:lang w:eastAsia="lt-LT"/>
              </w:rPr>
              <w:t>Kinpeygo</w:t>
            </w:r>
          </w:p>
        </w:tc>
        <w:tc>
          <w:tcPr>
            <w:tcW w:w="3632" w:type="dxa"/>
            <w:gridSpan w:val="2"/>
            <w:tcBorders>
              <w:top w:val="single" w:sz="4" w:space="0" w:color="auto"/>
              <w:bottom w:val="single" w:sz="4" w:space="0" w:color="auto"/>
            </w:tcBorders>
            <w:vAlign w:val="center"/>
          </w:tcPr>
          <w:p w14:paraId="27B3A12A" w14:textId="2D19D222" w:rsidR="008E2CF8" w:rsidRPr="0068350D" w:rsidRDefault="000A19FD" w:rsidP="004C3B29">
            <w:pPr>
              <w:jc w:val="center"/>
            </w:pPr>
            <w:r>
              <w:t>***</w:t>
            </w:r>
          </w:p>
        </w:tc>
        <w:tc>
          <w:tcPr>
            <w:tcW w:w="3579" w:type="dxa"/>
            <w:vMerge w:val="restart"/>
            <w:tcBorders>
              <w:top w:val="single" w:sz="4" w:space="0" w:color="auto"/>
            </w:tcBorders>
            <w:vAlign w:val="center"/>
          </w:tcPr>
          <w:p w14:paraId="313A8A92" w14:textId="01377BCF" w:rsidR="008E2CF8" w:rsidRPr="0068350D" w:rsidRDefault="008E2CF8" w:rsidP="004C3B29">
            <w:pPr>
              <w:jc w:val="right"/>
            </w:pPr>
            <w:r w:rsidRPr="0068350D">
              <w:rPr>
                <w:lang w:eastAsia="lt-LT"/>
              </w:rPr>
              <w:t xml:space="preserve">Skirtumas: </w:t>
            </w:r>
            <w:r w:rsidR="000A19FD">
              <w:t>***</w:t>
            </w:r>
          </w:p>
        </w:tc>
      </w:tr>
      <w:tr w:rsidR="008E2CF8" w:rsidRPr="0068350D" w14:paraId="38441145" w14:textId="77777777" w:rsidTr="004C3B29">
        <w:trPr>
          <w:jc w:val="center"/>
        </w:trPr>
        <w:tc>
          <w:tcPr>
            <w:tcW w:w="2697" w:type="dxa"/>
            <w:tcBorders>
              <w:top w:val="single" w:sz="4" w:space="0" w:color="auto"/>
              <w:bottom w:val="single" w:sz="12" w:space="0" w:color="auto"/>
            </w:tcBorders>
          </w:tcPr>
          <w:p w14:paraId="71D365D5" w14:textId="77777777" w:rsidR="008E2CF8" w:rsidRPr="0068350D" w:rsidRDefault="008E2CF8" w:rsidP="004C3B29">
            <w:pPr>
              <w:tabs>
                <w:tab w:val="left" w:pos="567"/>
              </w:tabs>
              <w:jc w:val="both"/>
              <w:rPr>
                <w:lang w:eastAsia="lt-LT"/>
              </w:rPr>
            </w:pPr>
            <w:r w:rsidRPr="0068350D">
              <w:rPr>
                <w:lang w:eastAsia="lt-LT"/>
              </w:rPr>
              <w:t>Standard of care (ACEi/ARB)</w:t>
            </w:r>
          </w:p>
        </w:tc>
        <w:tc>
          <w:tcPr>
            <w:tcW w:w="3632" w:type="dxa"/>
            <w:gridSpan w:val="2"/>
            <w:tcBorders>
              <w:top w:val="single" w:sz="4" w:space="0" w:color="auto"/>
              <w:bottom w:val="single" w:sz="12" w:space="0" w:color="auto"/>
            </w:tcBorders>
            <w:vAlign w:val="center"/>
          </w:tcPr>
          <w:p w14:paraId="55F68E6B" w14:textId="2FB43FEA" w:rsidR="008E2CF8" w:rsidRPr="0068350D" w:rsidRDefault="000A19FD" w:rsidP="004C3B29">
            <w:pPr>
              <w:jc w:val="center"/>
            </w:pPr>
            <w:r>
              <w:t>***</w:t>
            </w:r>
          </w:p>
        </w:tc>
        <w:tc>
          <w:tcPr>
            <w:tcW w:w="3579" w:type="dxa"/>
            <w:vMerge/>
            <w:tcBorders>
              <w:bottom w:val="single" w:sz="12" w:space="0" w:color="auto"/>
            </w:tcBorders>
          </w:tcPr>
          <w:p w14:paraId="6EC28A64" w14:textId="77777777" w:rsidR="008E2CF8" w:rsidRPr="0068350D" w:rsidRDefault="008E2CF8" w:rsidP="004C3B29">
            <w:pPr>
              <w:tabs>
                <w:tab w:val="left" w:pos="567"/>
              </w:tabs>
              <w:jc w:val="both"/>
              <w:rPr>
                <w:i/>
                <w:iCs/>
                <w:lang w:eastAsia="lt-LT"/>
              </w:rPr>
            </w:pPr>
          </w:p>
        </w:tc>
      </w:tr>
      <w:tr w:rsidR="008E2CF8" w:rsidRPr="0068350D" w14:paraId="7EA976BF" w14:textId="77777777" w:rsidTr="004C3B29">
        <w:trPr>
          <w:jc w:val="center"/>
        </w:trPr>
        <w:tc>
          <w:tcPr>
            <w:tcW w:w="9908" w:type="dxa"/>
            <w:gridSpan w:val="4"/>
            <w:tcBorders>
              <w:top w:val="single" w:sz="12" w:space="0" w:color="auto"/>
              <w:bottom w:val="single" w:sz="4" w:space="0" w:color="auto"/>
            </w:tcBorders>
          </w:tcPr>
          <w:p w14:paraId="2657501F" w14:textId="77777777" w:rsidR="008E2CF8" w:rsidRPr="0068350D" w:rsidRDefault="008E2CF8" w:rsidP="004C3B29">
            <w:pPr>
              <w:tabs>
                <w:tab w:val="left" w:pos="567"/>
              </w:tabs>
              <w:jc w:val="center"/>
              <w:rPr>
                <w:iCs/>
                <w:lang w:eastAsia="lt-LT"/>
              </w:rPr>
            </w:pPr>
            <w:r w:rsidRPr="0068350D">
              <w:rPr>
                <w:lang w:eastAsia="lt-LT"/>
              </w:rPr>
              <w:t>Kokybiški gyvenimo metai (QALY)</w:t>
            </w:r>
          </w:p>
        </w:tc>
      </w:tr>
      <w:tr w:rsidR="008E2CF8" w:rsidRPr="0068350D" w14:paraId="247206F5" w14:textId="77777777" w:rsidTr="004C3B29">
        <w:trPr>
          <w:jc w:val="center"/>
        </w:trPr>
        <w:tc>
          <w:tcPr>
            <w:tcW w:w="2697" w:type="dxa"/>
            <w:tcBorders>
              <w:top w:val="single" w:sz="4" w:space="0" w:color="auto"/>
              <w:bottom w:val="single" w:sz="4" w:space="0" w:color="auto"/>
            </w:tcBorders>
          </w:tcPr>
          <w:p w14:paraId="463D7426" w14:textId="77777777" w:rsidR="008E2CF8" w:rsidRPr="0068350D" w:rsidRDefault="008E2CF8" w:rsidP="004C3B29">
            <w:pPr>
              <w:tabs>
                <w:tab w:val="left" w:pos="567"/>
              </w:tabs>
              <w:jc w:val="both"/>
              <w:rPr>
                <w:iCs/>
                <w:lang w:eastAsia="lt-LT"/>
              </w:rPr>
            </w:pPr>
            <w:r w:rsidRPr="0068350D">
              <w:rPr>
                <w:iCs/>
                <w:lang w:eastAsia="lt-LT"/>
              </w:rPr>
              <w:t>Kinpeygo</w:t>
            </w:r>
          </w:p>
        </w:tc>
        <w:tc>
          <w:tcPr>
            <w:tcW w:w="3632" w:type="dxa"/>
            <w:gridSpan w:val="2"/>
            <w:tcBorders>
              <w:top w:val="single" w:sz="4" w:space="0" w:color="auto"/>
              <w:bottom w:val="single" w:sz="4" w:space="0" w:color="auto"/>
            </w:tcBorders>
          </w:tcPr>
          <w:p w14:paraId="3E9DABE6" w14:textId="48A48191" w:rsidR="008E2CF8" w:rsidRPr="0068350D" w:rsidRDefault="000A19FD" w:rsidP="004C3B29">
            <w:pPr>
              <w:jc w:val="both"/>
            </w:pPr>
            <w:r>
              <w:t>***</w:t>
            </w:r>
          </w:p>
          <w:p w14:paraId="41D86514" w14:textId="77777777" w:rsidR="008E2CF8" w:rsidRPr="0068350D" w:rsidRDefault="008E2CF8" w:rsidP="004C3B29">
            <w:pPr>
              <w:tabs>
                <w:tab w:val="left" w:pos="567"/>
              </w:tabs>
              <w:jc w:val="both"/>
              <w:rPr>
                <w:i/>
                <w:iCs/>
                <w:lang w:eastAsia="lt-LT"/>
              </w:rPr>
            </w:pPr>
          </w:p>
        </w:tc>
        <w:tc>
          <w:tcPr>
            <w:tcW w:w="3579" w:type="dxa"/>
            <w:vMerge w:val="restart"/>
            <w:tcBorders>
              <w:top w:val="single" w:sz="4" w:space="0" w:color="auto"/>
            </w:tcBorders>
            <w:vAlign w:val="center"/>
          </w:tcPr>
          <w:p w14:paraId="25AA97E5" w14:textId="42ADFC36" w:rsidR="008E2CF8" w:rsidRPr="0068350D" w:rsidRDefault="008E2CF8" w:rsidP="004C3B29">
            <w:pPr>
              <w:tabs>
                <w:tab w:val="left" w:pos="567"/>
              </w:tabs>
              <w:jc w:val="right"/>
              <w:rPr>
                <w:lang w:eastAsia="lt-LT"/>
              </w:rPr>
            </w:pPr>
            <w:r w:rsidRPr="0068350D">
              <w:rPr>
                <w:lang w:eastAsia="lt-LT"/>
              </w:rPr>
              <w:t xml:space="preserve">Skirtumas: </w:t>
            </w:r>
            <w:r w:rsidR="000A19FD">
              <w:t>***</w:t>
            </w:r>
          </w:p>
          <w:p w14:paraId="1C91E7B0" w14:textId="77777777" w:rsidR="008E2CF8" w:rsidRPr="0068350D" w:rsidRDefault="008E2CF8" w:rsidP="004C3B29">
            <w:pPr>
              <w:tabs>
                <w:tab w:val="left" w:pos="567"/>
              </w:tabs>
              <w:jc w:val="right"/>
              <w:rPr>
                <w:lang w:eastAsia="lt-LT"/>
              </w:rPr>
            </w:pPr>
          </w:p>
        </w:tc>
      </w:tr>
      <w:tr w:rsidR="008E2CF8" w:rsidRPr="0068350D" w14:paraId="65502078" w14:textId="77777777" w:rsidTr="004C3B29">
        <w:trPr>
          <w:jc w:val="center"/>
        </w:trPr>
        <w:tc>
          <w:tcPr>
            <w:tcW w:w="2697" w:type="dxa"/>
            <w:tcBorders>
              <w:top w:val="single" w:sz="4" w:space="0" w:color="auto"/>
              <w:bottom w:val="single" w:sz="12" w:space="0" w:color="auto"/>
            </w:tcBorders>
          </w:tcPr>
          <w:p w14:paraId="4581AB70" w14:textId="77777777" w:rsidR="008E2CF8" w:rsidRPr="0068350D" w:rsidRDefault="008E2CF8" w:rsidP="004C3B29">
            <w:pPr>
              <w:tabs>
                <w:tab w:val="left" w:pos="567"/>
              </w:tabs>
              <w:jc w:val="both"/>
              <w:rPr>
                <w:iCs/>
                <w:lang w:eastAsia="lt-LT"/>
              </w:rPr>
            </w:pPr>
            <w:r w:rsidRPr="0068350D">
              <w:rPr>
                <w:lang w:eastAsia="lt-LT"/>
              </w:rPr>
              <w:t>Standard of care (ACEi/ARB)</w:t>
            </w:r>
          </w:p>
        </w:tc>
        <w:tc>
          <w:tcPr>
            <w:tcW w:w="3632" w:type="dxa"/>
            <w:gridSpan w:val="2"/>
            <w:tcBorders>
              <w:top w:val="single" w:sz="4" w:space="0" w:color="auto"/>
              <w:bottom w:val="single" w:sz="12" w:space="0" w:color="auto"/>
            </w:tcBorders>
          </w:tcPr>
          <w:p w14:paraId="1A9AB7A3" w14:textId="0D833B57" w:rsidR="008E2CF8" w:rsidRPr="0068350D" w:rsidRDefault="000A19FD" w:rsidP="004C3B29">
            <w:pPr>
              <w:jc w:val="both"/>
            </w:pPr>
            <w:r>
              <w:t>***</w:t>
            </w:r>
          </w:p>
          <w:p w14:paraId="3C83BAC9" w14:textId="77777777" w:rsidR="008E2CF8" w:rsidRPr="0068350D" w:rsidRDefault="008E2CF8" w:rsidP="004C3B29">
            <w:pPr>
              <w:tabs>
                <w:tab w:val="left" w:pos="567"/>
              </w:tabs>
              <w:jc w:val="both"/>
              <w:rPr>
                <w:i/>
                <w:iCs/>
                <w:lang w:eastAsia="lt-LT"/>
              </w:rPr>
            </w:pPr>
          </w:p>
        </w:tc>
        <w:tc>
          <w:tcPr>
            <w:tcW w:w="3579" w:type="dxa"/>
            <w:vMerge/>
            <w:tcBorders>
              <w:bottom w:val="single" w:sz="12" w:space="0" w:color="auto"/>
            </w:tcBorders>
          </w:tcPr>
          <w:p w14:paraId="24A1914E" w14:textId="77777777" w:rsidR="008E2CF8" w:rsidRPr="0068350D" w:rsidRDefault="008E2CF8" w:rsidP="004C3B29">
            <w:pPr>
              <w:tabs>
                <w:tab w:val="left" w:pos="567"/>
              </w:tabs>
              <w:jc w:val="both"/>
              <w:rPr>
                <w:i/>
                <w:iCs/>
                <w:lang w:eastAsia="lt-LT"/>
              </w:rPr>
            </w:pPr>
          </w:p>
        </w:tc>
      </w:tr>
      <w:tr w:rsidR="008E2CF8" w:rsidRPr="0068350D" w14:paraId="20C7C356" w14:textId="77777777" w:rsidTr="004C3B29">
        <w:trPr>
          <w:trHeight w:val="347"/>
          <w:jc w:val="center"/>
        </w:trPr>
        <w:tc>
          <w:tcPr>
            <w:tcW w:w="9908" w:type="dxa"/>
            <w:gridSpan w:val="4"/>
            <w:tcBorders>
              <w:top w:val="single" w:sz="12" w:space="0" w:color="auto"/>
            </w:tcBorders>
            <w:vAlign w:val="center"/>
          </w:tcPr>
          <w:p w14:paraId="4DFA9234" w14:textId="77777777" w:rsidR="008E2CF8" w:rsidRPr="0068350D" w:rsidRDefault="008E2CF8" w:rsidP="004C3B29">
            <w:pPr>
              <w:tabs>
                <w:tab w:val="left" w:pos="567"/>
              </w:tabs>
              <w:jc w:val="center"/>
              <w:rPr>
                <w:b/>
                <w:bCs/>
                <w:lang w:eastAsia="lt-LT"/>
              </w:rPr>
            </w:pPr>
            <w:r w:rsidRPr="0068350D">
              <w:rPr>
                <w:b/>
                <w:bCs/>
                <w:lang w:eastAsia="lt-LT"/>
              </w:rPr>
              <w:t>Rezultatai</w:t>
            </w:r>
          </w:p>
        </w:tc>
      </w:tr>
      <w:tr w:rsidR="008E2CF8" w:rsidRPr="0068350D" w14:paraId="4DB0E503" w14:textId="77777777" w:rsidTr="004C3B29">
        <w:trPr>
          <w:jc w:val="center"/>
        </w:trPr>
        <w:tc>
          <w:tcPr>
            <w:tcW w:w="6329" w:type="dxa"/>
            <w:gridSpan w:val="3"/>
          </w:tcPr>
          <w:p w14:paraId="2A9D8A0B" w14:textId="77777777" w:rsidR="008E2CF8" w:rsidRPr="0068350D" w:rsidRDefault="008E2CF8" w:rsidP="004C3B29">
            <w:pPr>
              <w:tabs>
                <w:tab w:val="left" w:pos="567"/>
              </w:tabs>
              <w:jc w:val="right"/>
              <w:rPr>
                <w:iCs/>
                <w:lang w:eastAsia="lt-LT"/>
              </w:rPr>
            </w:pPr>
            <w:r w:rsidRPr="0068350D">
              <w:rPr>
                <w:iCs/>
                <w:lang w:eastAsia="lt-LT"/>
              </w:rPr>
              <w:t>ICER už LY</w:t>
            </w:r>
          </w:p>
        </w:tc>
        <w:tc>
          <w:tcPr>
            <w:tcW w:w="3579" w:type="dxa"/>
          </w:tcPr>
          <w:p w14:paraId="78C58CA1" w14:textId="7FAC037E" w:rsidR="008E2CF8" w:rsidRPr="0068350D" w:rsidRDefault="000A19FD" w:rsidP="004C3B29">
            <w:pPr>
              <w:tabs>
                <w:tab w:val="left" w:pos="567"/>
              </w:tabs>
              <w:jc w:val="right"/>
              <w:rPr>
                <w:i/>
                <w:iCs/>
                <w:lang w:eastAsia="lt-LT"/>
              </w:rPr>
            </w:pPr>
            <w:r>
              <w:rPr>
                <w:i/>
                <w:iCs/>
                <w:lang w:eastAsia="lt-LT"/>
              </w:rPr>
              <w:t>***</w:t>
            </w:r>
          </w:p>
        </w:tc>
      </w:tr>
      <w:tr w:rsidR="008E2CF8" w:rsidRPr="0068350D" w14:paraId="0E02DCE1" w14:textId="77777777" w:rsidTr="004C3B29">
        <w:trPr>
          <w:jc w:val="center"/>
        </w:trPr>
        <w:tc>
          <w:tcPr>
            <w:tcW w:w="6329" w:type="dxa"/>
            <w:gridSpan w:val="3"/>
          </w:tcPr>
          <w:p w14:paraId="164E8CEB" w14:textId="77777777" w:rsidR="008E2CF8" w:rsidRPr="0068350D" w:rsidRDefault="008E2CF8" w:rsidP="004C3B29">
            <w:pPr>
              <w:tabs>
                <w:tab w:val="left" w:pos="567"/>
              </w:tabs>
              <w:jc w:val="right"/>
              <w:rPr>
                <w:iCs/>
                <w:lang w:eastAsia="lt-LT"/>
              </w:rPr>
            </w:pPr>
            <w:r w:rsidRPr="0068350D">
              <w:rPr>
                <w:iCs/>
                <w:lang w:eastAsia="lt-LT"/>
              </w:rPr>
              <w:t>ICER už QALY</w:t>
            </w:r>
          </w:p>
        </w:tc>
        <w:tc>
          <w:tcPr>
            <w:tcW w:w="3579" w:type="dxa"/>
          </w:tcPr>
          <w:p w14:paraId="5E80CB44" w14:textId="487597FA" w:rsidR="008E2CF8" w:rsidRPr="0068350D" w:rsidRDefault="000A19FD" w:rsidP="004C3B29">
            <w:pPr>
              <w:jc w:val="right"/>
            </w:pPr>
            <w:r>
              <w:t>***</w:t>
            </w:r>
          </w:p>
        </w:tc>
      </w:tr>
      <w:tr w:rsidR="008E2CF8" w:rsidRPr="0068350D" w14:paraId="3E2997A1" w14:textId="77777777" w:rsidTr="004C3B29">
        <w:trPr>
          <w:jc w:val="center"/>
        </w:trPr>
        <w:tc>
          <w:tcPr>
            <w:tcW w:w="6329" w:type="dxa"/>
            <w:gridSpan w:val="3"/>
          </w:tcPr>
          <w:p w14:paraId="1EE049CE" w14:textId="77777777" w:rsidR="008E2CF8" w:rsidRPr="0068350D" w:rsidRDefault="008E2CF8" w:rsidP="004C3B29">
            <w:pPr>
              <w:tabs>
                <w:tab w:val="left" w:pos="567"/>
              </w:tabs>
              <w:jc w:val="right"/>
              <w:rPr>
                <w:iCs/>
                <w:lang w:eastAsia="lt-LT"/>
              </w:rPr>
            </w:pPr>
            <w:r w:rsidRPr="0068350D">
              <w:rPr>
                <w:iCs/>
                <w:lang w:eastAsia="lt-LT"/>
              </w:rPr>
              <w:t>Referencinė kaštų naudingumo vertė</w:t>
            </w:r>
          </w:p>
        </w:tc>
        <w:tc>
          <w:tcPr>
            <w:tcW w:w="3579" w:type="dxa"/>
          </w:tcPr>
          <w:p w14:paraId="1D7C21CE" w14:textId="76BE466A" w:rsidR="008E2CF8" w:rsidRPr="0068350D" w:rsidRDefault="000A19FD" w:rsidP="004C3B29">
            <w:pPr>
              <w:tabs>
                <w:tab w:val="left" w:pos="567"/>
              </w:tabs>
              <w:jc w:val="right"/>
              <w:rPr>
                <w:i/>
                <w:iCs/>
                <w:lang w:eastAsia="lt-LT"/>
              </w:rPr>
            </w:pPr>
            <w:r>
              <w:rPr>
                <w:color w:val="000000"/>
                <w:lang w:eastAsia="lt-LT"/>
              </w:rPr>
              <w:t>***</w:t>
            </w:r>
          </w:p>
        </w:tc>
      </w:tr>
    </w:tbl>
    <w:p w14:paraId="5CAAD361" w14:textId="77777777" w:rsidR="008E2CF8" w:rsidRPr="0068350D" w:rsidRDefault="008E2CF8" w:rsidP="008E2CF8">
      <w:pPr>
        <w:tabs>
          <w:tab w:val="left" w:pos="567"/>
        </w:tabs>
        <w:jc w:val="both"/>
        <w:rPr>
          <w:iCs/>
          <w:lang w:eastAsia="lt-LT"/>
        </w:rPr>
      </w:pPr>
      <w:r w:rsidRPr="0068350D">
        <w:rPr>
          <w:iCs/>
          <w:lang w:eastAsia="lt-LT"/>
        </w:rPr>
        <w:t>ICER – (</w:t>
      </w:r>
      <w:r w:rsidRPr="0068350D">
        <w:rPr>
          <w:i/>
          <w:lang w:eastAsia="lt-LT"/>
        </w:rPr>
        <w:t>angl. incremental cost-effectiveness ratio</w:t>
      </w:r>
      <w:r w:rsidRPr="0068350D">
        <w:rPr>
          <w:iCs/>
          <w:lang w:eastAsia="lt-LT"/>
        </w:rPr>
        <w:t>) inkrementinis kaštų naudingumo koeficientas; LY – (</w:t>
      </w:r>
      <w:r w:rsidRPr="0068350D">
        <w:rPr>
          <w:i/>
          <w:lang w:eastAsia="lt-LT"/>
        </w:rPr>
        <w:t>angl. life years</w:t>
      </w:r>
      <w:r w:rsidRPr="0068350D">
        <w:rPr>
          <w:iCs/>
          <w:lang w:eastAsia="lt-LT"/>
        </w:rPr>
        <w:t>) gyvenimo metai; QALY- (</w:t>
      </w:r>
      <w:r w:rsidRPr="0068350D">
        <w:rPr>
          <w:i/>
          <w:lang w:eastAsia="lt-LT"/>
        </w:rPr>
        <w:t xml:space="preserve">angl. quality-adjusted life years) </w:t>
      </w:r>
      <w:r w:rsidRPr="0068350D">
        <w:rPr>
          <w:iCs/>
          <w:lang w:eastAsia="lt-LT"/>
        </w:rPr>
        <w:t>kokybiški gyvenimo metai.</w:t>
      </w:r>
    </w:p>
    <w:p w14:paraId="665B63DB" w14:textId="77777777" w:rsidR="006D7D8B" w:rsidRPr="0068350D" w:rsidRDefault="006D7D8B" w:rsidP="006D7D8B">
      <w:pPr>
        <w:tabs>
          <w:tab w:val="left" w:pos="426"/>
        </w:tabs>
        <w:rPr>
          <w:i/>
          <w:color w:val="000000" w:themeColor="text1"/>
          <w:sz w:val="22"/>
          <w:szCs w:val="22"/>
        </w:rPr>
      </w:pPr>
    </w:p>
    <w:p w14:paraId="7836661D" w14:textId="59269D9A" w:rsidR="009015BB" w:rsidRPr="0068350D" w:rsidRDefault="009015BB" w:rsidP="009015BB">
      <w:pPr>
        <w:tabs>
          <w:tab w:val="left" w:pos="426"/>
        </w:tabs>
        <w:jc w:val="both"/>
        <w:rPr>
          <w:iCs/>
          <w:color w:val="000000" w:themeColor="text1"/>
        </w:rPr>
      </w:pPr>
      <w:r w:rsidRPr="0068350D">
        <w:rPr>
          <w:iCs/>
          <w:color w:val="000000" w:themeColor="text1"/>
        </w:rPr>
        <w:t xml:space="preserve">Svarbu atkreipti dėmesį į gydymo poveikio mažėjimą, t. y. kiek laiko Kinpeygo išlieka veiksmingas po gydymo nutraukimo. Tai yra esminis neatsakytas klinikinis klausimas, kuris kelia diskusijų. Jei gydymo nauda nemažėja taip, kaip daro prielaidą </w:t>
      </w:r>
      <w:r w:rsidR="001213F2">
        <w:rPr>
          <w:iCs/>
          <w:color w:val="000000" w:themeColor="text1"/>
        </w:rPr>
        <w:t>p</w:t>
      </w:r>
      <w:r w:rsidRPr="0068350D">
        <w:rPr>
          <w:iCs/>
          <w:color w:val="000000" w:themeColor="text1"/>
        </w:rPr>
        <w:t>areiškėjas (po 1,5</w:t>
      </w:r>
      <w:r w:rsidR="001213F2">
        <w:rPr>
          <w:iCs/>
          <w:color w:val="000000" w:themeColor="text1"/>
        </w:rPr>
        <w:t xml:space="preserve"> metų</w:t>
      </w:r>
      <w:r w:rsidRPr="0068350D">
        <w:rPr>
          <w:iCs/>
          <w:color w:val="000000" w:themeColor="text1"/>
        </w:rPr>
        <w:t xml:space="preserve">) vaisto </w:t>
      </w:r>
      <w:r w:rsidR="001213F2">
        <w:rPr>
          <w:iCs/>
          <w:color w:val="000000" w:themeColor="text1"/>
        </w:rPr>
        <w:t xml:space="preserve">piniginė </w:t>
      </w:r>
      <w:r w:rsidRPr="0068350D">
        <w:rPr>
          <w:iCs/>
          <w:color w:val="000000" w:themeColor="text1"/>
        </w:rPr>
        <w:t xml:space="preserve">vertė yra gera. Jei gydymo efektas mažės greičiau nei tikėtasi 1,5 metų, vertė nebūtų tokia patraukli, kaip rodo </w:t>
      </w:r>
      <w:r w:rsidR="001213F2">
        <w:rPr>
          <w:iCs/>
          <w:color w:val="000000" w:themeColor="text1"/>
        </w:rPr>
        <w:t>p</w:t>
      </w:r>
      <w:r w:rsidRPr="0068350D">
        <w:rPr>
          <w:iCs/>
          <w:color w:val="000000" w:themeColor="text1"/>
        </w:rPr>
        <w:t>areiškėjo scenarijaus analizė.</w:t>
      </w:r>
    </w:p>
    <w:p w14:paraId="68A33A5E" w14:textId="1E594CF7" w:rsidR="006D7D8B" w:rsidRPr="0068350D" w:rsidRDefault="006D7D8B" w:rsidP="002816B6">
      <w:pPr>
        <w:tabs>
          <w:tab w:val="left" w:pos="426"/>
        </w:tabs>
        <w:jc w:val="both"/>
        <w:rPr>
          <w:i/>
          <w:color w:val="000000" w:themeColor="text1"/>
          <w:sz w:val="22"/>
          <w:szCs w:val="22"/>
        </w:rPr>
      </w:pPr>
    </w:p>
    <w:p w14:paraId="59030881" w14:textId="77777777" w:rsidR="006D7D8B" w:rsidRPr="0068350D" w:rsidRDefault="006D7D8B" w:rsidP="006D7D8B">
      <w:pPr>
        <w:tabs>
          <w:tab w:val="left" w:pos="426"/>
        </w:tabs>
        <w:rPr>
          <w:i/>
          <w:color w:val="00B050"/>
          <w:sz w:val="22"/>
          <w:szCs w:val="22"/>
        </w:rPr>
      </w:pPr>
    </w:p>
    <w:p w14:paraId="646A2D54" w14:textId="77777777" w:rsidR="006D7D8B" w:rsidRPr="0068350D" w:rsidRDefault="006D7D8B" w:rsidP="006D7D8B">
      <w:pPr>
        <w:pStyle w:val="Sraopastraipa"/>
        <w:numPr>
          <w:ilvl w:val="0"/>
          <w:numId w:val="12"/>
        </w:numPr>
        <w:tabs>
          <w:tab w:val="left" w:pos="567"/>
        </w:tabs>
        <w:ind w:hanging="720"/>
        <w:rPr>
          <w:b/>
          <w:bCs/>
          <w:caps/>
        </w:rPr>
      </w:pPr>
      <w:r w:rsidRPr="0068350D">
        <w:rPr>
          <w:b/>
          <w:bCs/>
          <w:caps/>
        </w:rPr>
        <w:t xml:space="preserve">Pacientų organizacijų pateikti duomenys </w:t>
      </w:r>
    </w:p>
    <w:p w14:paraId="5859E201" w14:textId="77777777" w:rsidR="006D7D8B" w:rsidRPr="0068350D" w:rsidRDefault="00000000" w:rsidP="006D7D8B">
      <w:pPr>
        <w:spacing w:after="120"/>
        <w:jc w:val="both"/>
      </w:pPr>
      <w:sdt>
        <w:sdtPr>
          <w:rPr>
            <w:rStyle w:val="Style2"/>
            <w:rFonts w:ascii="MS Gothic" w:eastAsia="MS Gothic" w:hAnsi="MS Gothic"/>
            <w:sz w:val="24"/>
          </w:rPr>
          <w:id w:val="-724367014"/>
          <w15:color w:val="FFCC00"/>
          <w14:checkbox>
            <w14:checked w14:val="0"/>
            <w14:checkedState w14:val="2612" w14:font="MS Gothic"/>
            <w14:uncheckedState w14:val="2610" w14:font="MS Gothic"/>
          </w14:checkbox>
        </w:sdtPr>
        <w:sdtContent>
          <w:r w:rsidR="006D7D8B" w:rsidRPr="0068350D">
            <w:rPr>
              <w:rStyle w:val="Style2"/>
              <w:rFonts w:ascii="MS Gothic" w:eastAsia="MS Gothic" w:hAnsi="MS Gothic"/>
              <w:sz w:val="24"/>
            </w:rPr>
            <w:t>☐</w:t>
          </w:r>
        </w:sdtContent>
      </w:sdt>
      <w:r w:rsidR="006D7D8B" w:rsidRPr="0068350D">
        <w:t xml:space="preserve"> Pacientų organizacijos pozicija pateikta. Žr. priedą.</w:t>
      </w:r>
    </w:p>
    <w:p w14:paraId="0B402F30" w14:textId="77777777" w:rsidR="006D7D8B" w:rsidRPr="0068350D" w:rsidRDefault="00000000" w:rsidP="006D7D8B">
      <w:pPr>
        <w:spacing w:after="120"/>
        <w:jc w:val="both"/>
      </w:pPr>
      <w:sdt>
        <w:sdtPr>
          <w:rPr>
            <w:rStyle w:val="Style2"/>
            <w:rFonts w:ascii="MS Gothic" w:eastAsia="MS Gothic" w:hAnsi="MS Gothic"/>
            <w:sz w:val="24"/>
          </w:rPr>
          <w:id w:val="268977064"/>
          <w15:color w:val="FFCC00"/>
          <w14:checkbox>
            <w14:checked w14:val="1"/>
            <w14:checkedState w14:val="2612" w14:font="MS Gothic"/>
            <w14:uncheckedState w14:val="2610" w14:font="MS Gothic"/>
          </w14:checkbox>
        </w:sdtPr>
        <w:sdtContent>
          <w:r w:rsidR="006D7D8B" w:rsidRPr="0068350D">
            <w:rPr>
              <w:rStyle w:val="Style2"/>
              <w:rFonts w:ascii="MS Gothic" w:eastAsia="MS Gothic" w:hAnsi="MS Gothic"/>
              <w:sz w:val="24"/>
            </w:rPr>
            <w:t>☒</w:t>
          </w:r>
        </w:sdtContent>
      </w:sdt>
      <w:r w:rsidR="006D7D8B" w:rsidRPr="0068350D">
        <w:t xml:space="preserve"> Pacientų organizacijos pozicija nepateikta.</w:t>
      </w:r>
    </w:p>
    <w:p w14:paraId="385EEA5A" w14:textId="77777777" w:rsidR="006D7D8B" w:rsidRPr="0068350D" w:rsidRDefault="006D7D8B" w:rsidP="006D7D8B">
      <w:pPr>
        <w:spacing w:after="120"/>
        <w:jc w:val="both"/>
      </w:pPr>
    </w:p>
    <w:p w14:paraId="2C515517" w14:textId="77777777" w:rsidR="006D7D8B" w:rsidRPr="0068350D" w:rsidRDefault="006D7D8B" w:rsidP="006D7D8B">
      <w:pPr>
        <w:pStyle w:val="Sraopastraipa"/>
        <w:numPr>
          <w:ilvl w:val="0"/>
          <w:numId w:val="12"/>
        </w:numPr>
        <w:tabs>
          <w:tab w:val="left" w:pos="567"/>
        </w:tabs>
        <w:ind w:hanging="720"/>
        <w:rPr>
          <w:b/>
          <w:bCs/>
          <w:caps/>
        </w:rPr>
      </w:pPr>
      <w:r w:rsidRPr="0068350D">
        <w:rPr>
          <w:b/>
          <w:bCs/>
          <w:caps/>
        </w:rPr>
        <w:lastRenderedPageBreak/>
        <w:t>Gydytojų organizacijų pateikti duomenys</w:t>
      </w:r>
    </w:p>
    <w:p w14:paraId="473A1764" w14:textId="77777777" w:rsidR="006D7D8B" w:rsidRPr="0068350D" w:rsidRDefault="00000000" w:rsidP="006D7D8B">
      <w:pPr>
        <w:spacing w:after="120"/>
        <w:jc w:val="both"/>
      </w:pPr>
      <w:sdt>
        <w:sdtPr>
          <w:rPr>
            <w:rStyle w:val="Style2"/>
            <w:rFonts w:ascii="MS Gothic" w:eastAsia="MS Gothic" w:hAnsi="MS Gothic"/>
            <w:sz w:val="24"/>
          </w:rPr>
          <w:id w:val="-418243542"/>
          <w15:color w:val="FFCC00"/>
          <w14:checkbox>
            <w14:checked w14:val="0"/>
            <w14:checkedState w14:val="2612" w14:font="MS Gothic"/>
            <w14:uncheckedState w14:val="2610" w14:font="MS Gothic"/>
          </w14:checkbox>
        </w:sdtPr>
        <w:sdtContent>
          <w:r w:rsidR="006D7D8B" w:rsidRPr="0068350D">
            <w:rPr>
              <w:rStyle w:val="Style2"/>
              <w:rFonts w:ascii="MS Gothic" w:eastAsia="MS Gothic" w:hAnsi="MS Gothic"/>
              <w:sz w:val="24"/>
            </w:rPr>
            <w:t>☐</w:t>
          </w:r>
        </w:sdtContent>
      </w:sdt>
      <w:r w:rsidR="006D7D8B" w:rsidRPr="0068350D">
        <w:t xml:space="preserve"> Gydytojų specialistų organizacijos pozicija pateikta. Žr. priedą.</w:t>
      </w:r>
    </w:p>
    <w:p w14:paraId="1AA02E79" w14:textId="77777777" w:rsidR="006D7D8B" w:rsidRPr="0068350D" w:rsidRDefault="00000000" w:rsidP="006D7D8B">
      <w:pPr>
        <w:spacing w:after="120"/>
        <w:jc w:val="both"/>
      </w:pPr>
      <w:sdt>
        <w:sdtPr>
          <w:rPr>
            <w:rStyle w:val="Style2"/>
            <w:rFonts w:ascii="MS Gothic" w:eastAsia="MS Gothic" w:hAnsi="MS Gothic"/>
            <w:sz w:val="24"/>
          </w:rPr>
          <w:id w:val="-1313944049"/>
          <w15:color w:val="FFCC00"/>
          <w14:checkbox>
            <w14:checked w14:val="1"/>
            <w14:checkedState w14:val="2612" w14:font="MS Gothic"/>
            <w14:uncheckedState w14:val="2610" w14:font="MS Gothic"/>
          </w14:checkbox>
        </w:sdtPr>
        <w:sdtContent>
          <w:r w:rsidR="006D7D8B" w:rsidRPr="0068350D">
            <w:rPr>
              <w:rStyle w:val="Style2"/>
              <w:rFonts w:ascii="MS Gothic" w:eastAsia="MS Gothic" w:hAnsi="MS Gothic"/>
              <w:sz w:val="24"/>
            </w:rPr>
            <w:t>☒</w:t>
          </w:r>
        </w:sdtContent>
      </w:sdt>
      <w:r w:rsidR="006D7D8B" w:rsidRPr="0068350D">
        <w:t xml:space="preserve"> Gydytojų specialistų organizacijos pozicija nepateikta.</w:t>
      </w:r>
    </w:p>
    <w:p w14:paraId="0E2394F4" w14:textId="77777777" w:rsidR="006D7D8B" w:rsidRPr="0068350D" w:rsidRDefault="006D7D8B" w:rsidP="006D7D8B">
      <w:pPr>
        <w:spacing w:after="120"/>
        <w:jc w:val="both"/>
      </w:pPr>
    </w:p>
    <w:p w14:paraId="06160293" w14:textId="77777777" w:rsidR="006D7D8B" w:rsidRPr="0068350D" w:rsidRDefault="006D7D8B" w:rsidP="006D7D8B">
      <w:pPr>
        <w:pStyle w:val="Sraopastraipa"/>
        <w:numPr>
          <w:ilvl w:val="0"/>
          <w:numId w:val="12"/>
        </w:numPr>
        <w:tabs>
          <w:tab w:val="left" w:pos="567"/>
        </w:tabs>
        <w:ind w:hanging="720"/>
        <w:rPr>
          <w:b/>
          <w:bCs/>
          <w:caps/>
        </w:rPr>
      </w:pPr>
      <w:r w:rsidRPr="0068350D">
        <w:rPr>
          <w:b/>
          <w:bCs/>
          <w:caps/>
        </w:rPr>
        <w:t xml:space="preserve">Išvada </w:t>
      </w:r>
    </w:p>
    <w:p w14:paraId="156D8225" w14:textId="77777777" w:rsidR="006D7D8B" w:rsidRPr="0068350D" w:rsidRDefault="006D7D8B" w:rsidP="006D7D8B">
      <w:pPr>
        <w:rPr>
          <w:i/>
          <w:color w:val="00B050"/>
          <w:sz w:val="22"/>
          <w:szCs w:val="22"/>
        </w:rPr>
      </w:pPr>
    </w:p>
    <w:tbl>
      <w:tblPr>
        <w:tblStyle w:val="Lentelstinklelis"/>
        <w:tblW w:w="0" w:type="auto"/>
        <w:tblLook w:val="04A0" w:firstRow="1" w:lastRow="0" w:firstColumn="1" w:lastColumn="0" w:noHBand="0" w:noVBand="1"/>
      </w:tblPr>
      <w:tblGrid>
        <w:gridCol w:w="4815"/>
        <w:gridCol w:w="4814"/>
      </w:tblGrid>
      <w:tr w:rsidR="006D7D8B" w:rsidRPr="0068350D" w14:paraId="6DD6BFE2" w14:textId="77777777" w:rsidTr="005249D5">
        <w:trPr>
          <w:trHeight w:val="510"/>
        </w:trPr>
        <w:tc>
          <w:tcPr>
            <w:tcW w:w="4981" w:type="dxa"/>
            <w:vAlign w:val="center"/>
          </w:tcPr>
          <w:p w14:paraId="25267685"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68350D">
              <w:rPr>
                <w:rStyle w:val="Style2"/>
                <w:rFonts w:eastAsia="MS Gothic"/>
                <w:b/>
                <w:bCs/>
                <w:sz w:val="24"/>
              </w:rPr>
              <w:t>Rekomenduojama kompensuoti</w:t>
            </w:r>
          </w:p>
        </w:tc>
        <w:tc>
          <w:tcPr>
            <w:tcW w:w="4981" w:type="dxa"/>
            <w:vAlign w:val="center"/>
          </w:tcPr>
          <w:p w14:paraId="4F9DA52E"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b/>
                <w:bCs/>
                <w:sz w:val="24"/>
              </w:rPr>
            </w:pPr>
            <w:r w:rsidRPr="0068350D">
              <w:rPr>
                <w:rStyle w:val="Style2"/>
                <w:rFonts w:eastAsia="MS Gothic"/>
                <w:b/>
                <w:bCs/>
                <w:sz w:val="24"/>
              </w:rPr>
              <w:t xml:space="preserve">Rekomenduojama nekompensuoti </w:t>
            </w:r>
          </w:p>
        </w:tc>
      </w:tr>
      <w:tr w:rsidR="006D7D8B" w:rsidRPr="0068350D" w14:paraId="3628A7BF" w14:textId="77777777" w:rsidTr="005249D5">
        <w:trPr>
          <w:trHeight w:val="510"/>
        </w:trPr>
        <w:tc>
          <w:tcPr>
            <w:tcW w:w="9962" w:type="dxa"/>
            <w:gridSpan w:val="2"/>
            <w:vAlign w:val="center"/>
          </w:tcPr>
          <w:p w14:paraId="628C29B3"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8350D">
              <w:rPr>
                <w:rStyle w:val="Style2"/>
                <w:rFonts w:eastAsia="MS Gothic"/>
                <w:b/>
                <w:bCs/>
                <w:sz w:val="24"/>
              </w:rPr>
              <w:t>Palyginamasis efektyvumas</w:t>
            </w:r>
          </w:p>
        </w:tc>
      </w:tr>
      <w:tr w:rsidR="006D7D8B" w:rsidRPr="0068350D" w14:paraId="64AC88C2" w14:textId="77777777" w:rsidTr="005249D5">
        <w:tc>
          <w:tcPr>
            <w:tcW w:w="4981" w:type="dxa"/>
          </w:tcPr>
          <w:p w14:paraId="50B81D8E" w14:textId="65769045"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890414704"/>
                <w15:color w:val="FFCC00"/>
                <w14:checkbox>
                  <w14:checked w14:val="1"/>
                  <w14:checkedState w14:val="2612" w14:font="MS Gothic"/>
                  <w14:uncheckedState w14:val="2610" w14:font="MS Gothic"/>
                </w14:checkbox>
              </w:sdtPr>
              <w:sdtContent>
                <w:r w:rsidR="006D7D8B" w:rsidRPr="0068350D">
                  <w:rPr>
                    <w:rStyle w:val="Style2"/>
                    <w:rFonts w:ascii="MS Gothic" w:eastAsia="MS Gothic" w:hAnsi="MS Gothic"/>
                    <w:sz w:val="24"/>
                  </w:rPr>
                  <w:t>☒</w:t>
                </w:r>
              </w:sdtContent>
            </w:sdt>
            <w:r w:rsidR="006D7D8B" w:rsidRPr="0068350D">
              <w:rPr>
                <w:rStyle w:val="Style2"/>
                <w:sz w:val="24"/>
              </w:rPr>
              <w:t xml:space="preserve"> </w:t>
            </w:r>
            <w:r w:rsidR="009015BB" w:rsidRPr="0068350D">
              <w:t>32.1. yra didesnis</w:t>
            </w:r>
          </w:p>
          <w:p w14:paraId="4252C241"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7BF30024"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34595EB0" w14:textId="18ADDCB5"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381565273"/>
                <w15:color w:val="FFCC00"/>
                <w14:checkbox>
                  <w14:checked w14:val="0"/>
                  <w14:checkedState w14:val="2612" w14:font="MS Gothic"/>
                  <w14:uncheckedState w14:val="2610" w14:font="MS Gothic"/>
                </w14:checkbox>
              </w:sdtPr>
              <w:sdtContent>
                <w:r w:rsidR="006D7D8B" w:rsidRPr="0068350D">
                  <w:rPr>
                    <w:rStyle w:val="Style2"/>
                    <w:rFonts w:ascii="Segoe UI Symbol" w:eastAsia="MS Gothic" w:hAnsi="Segoe UI Symbol" w:cs="Segoe UI Symbol"/>
                    <w:sz w:val="24"/>
                  </w:rPr>
                  <w:t>☐</w:t>
                </w:r>
              </w:sdtContent>
            </w:sdt>
            <w:r w:rsidR="006D7D8B" w:rsidRPr="0068350D">
              <w:t xml:space="preserve"> 32</w:t>
            </w:r>
            <w:r w:rsidR="009015BB" w:rsidRPr="0068350D">
              <w:t>.4. yra iš esmės nesiskiriantis</w:t>
            </w:r>
            <w:r w:rsidR="006D7D8B" w:rsidRPr="0068350D">
              <w:t xml:space="preserve"> </w:t>
            </w:r>
          </w:p>
          <w:p w14:paraId="63925848"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sz w:val="24"/>
              </w:rPr>
            </w:pPr>
          </w:p>
        </w:tc>
        <w:tc>
          <w:tcPr>
            <w:tcW w:w="4981" w:type="dxa"/>
          </w:tcPr>
          <w:p w14:paraId="0051B3E7" w14:textId="67E1203B"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1562897061"/>
                <w15:color w:val="FFCC00"/>
                <w14:checkbox>
                  <w14:checked w14:val="0"/>
                  <w14:checkedState w14:val="2612" w14:font="MS Gothic"/>
                  <w14:uncheckedState w14:val="2610" w14:font="MS Gothic"/>
                </w14:checkbox>
              </w:sdtPr>
              <w:sdtContent>
                <w:r w:rsidR="006D7D8B" w:rsidRPr="0068350D">
                  <w:rPr>
                    <w:rStyle w:val="Style2"/>
                    <w:rFonts w:ascii="Segoe UI Symbol" w:eastAsia="MS Gothic" w:hAnsi="Segoe UI Symbol" w:cs="Segoe UI Symbol"/>
                    <w:sz w:val="24"/>
                  </w:rPr>
                  <w:t>☐</w:t>
                </w:r>
              </w:sdtContent>
            </w:sdt>
            <w:r w:rsidR="006D7D8B" w:rsidRPr="0068350D">
              <w:t xml:space="preserve"> 33.4. yra </w:t>
            </w:r>
            <w:r w:rsidR="006D7D8B" w:rsidRPr="0068350D">
              <w:rPr>
                <w:rFonts w:eastAsia="Calibri"/>
                <w:bCs/>
              </w:rPr>
              <w:t xml:space="preserve">įvertintas kaip </w:t>
            </w:r>
            <w:r w:rsidR="006D7D8B" w:rsidRPr="0068350D">
              <w:rPr>
                <w:bCs/>
              </w:rPr>
              <w:t>mažesnis</w:t>
            </w:r>
          </w:p>
          <w:p w14:paraId="596F4E0D"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1E123E37" w14:textId="460F20DC"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709539241"/>
                <w15:color w:val="FFCC00"/>
                <w14:checkbox>
                  <w14:checked w14:val="0"/>
                  <w14:checkedState w14:val="2612" w14:font="MS Gothic"/>
                  <w14:uncheckedState w14:val="2610" w14:font="MS Gothic"/>
                </w14:checkbox>
              </w:sdtPr>
              <w:sdtContent>
                <w:r w:rsidR="006D7D8B" w:rsidRPr="0068350D">
                  <w:rPr>
                    <w:rStyle w:val="Style2"/>
                    <w:rFonts w:ascii="Segoe UI Symbol" w:eastAsia="MS Gothic" w:hAnsi="Segoe UI Symbol" w:cs="Segoe UI Symbol"/>
                    <w:sz w:val="24"/>
                  </w:rPr>
                  <w:t>☐</w:t>
                </w:r>
              </w:sdtContent>
            </w:sdt>
            <w:r w:rsidR="006D7D8B" w:rsidRPr="0068350D">
              <w:t xml:space="preserve"> 33.4</w:t>
            </w:r>
            <w:r w:rsidR="009015BB" w:rsidRPr="0068350D">
              <w:t>. yra neįrodytas kaip toks pat</w:t>
            </w:r>
          </w:p>
          <w:p w14:paraId="3CE97EA6"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r w:rsidR="006D7D8B" w:rsidRPr="0068350D" w14:paraId="1A1D0C5A" w14:textId="77777777" w:rsidTr="005249D5">
        <w:trPr>
          <w:trHeight w:val="510"/>
        </w:trPr>
        <w:tc>
          <w:tcPr>
            <w:tcW w:w="9962" w:type="dxa"/>
            <w:gridSpan w:val="2"/>
            <w:vAlign w:val="center"/>
          </w:tcPr>
          <w:p w14:paraId="4A076E3E"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8350D">
              <w:rPr>
                <w:rStyle w:val="Style2"/>
                <w:rFonts w:eastAsia="MS Gothic"/>
                <w:b/>
                <w:bCs/>
                <w:sz w:val="24"/>
              </w:rPr>
              <w:t>Klinikinis veiksmingumas</w:t>
            </w:r>
          </w:p>
        </w:tc>
      </w:tr>
      <w:tr w:rsidR="006D7D8B" w:rsidRPr="0068350D" w14:paraId="1CB1D9BF" w14:textId="77777777" w:rsidTr="005249D5">
        <w:tc>
          <w:tcPr>
            <w:tcW w:w="4981" w:type="dxa"/>
          </w:tcPr>
          <w:p w14:paraId="676FABA4" w14:textId="77777777"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137680932"/>
                <w15:color w:val="FFCC00"/>
                <w14:checkbox>
                  <w14:checked w14:val="1"/>
                  <w14:checkedState w14:val="2612" w14:font="MS Gothic"/>
                  <w14:uncheckedState w14:val="2610" w14:font="MS Gothic"/>
                </w14:checkbox>
              </w:sdtPr>
              <w:sdtContent>
                <w:r w:rsidR="006D7D8B" w:rsidRPr="0068350D">
                  <w:rPr>
                    <w:rStyle w:val="Style2"/>
                    <w:rFonts w:ascii="MS Gothic" w:eastAsia="MS Gothic" w:hAnsi="MS Gothic"/>
                    <w:sz w:val="24"/>
                  </w:rPr>
                  <w:t>☒</w:t>
                </w:r>
              </w:sdtContent>
            </w:sdt>
            <w:r w:rsidR="006D7D8B" w:rsidRPr="0068350D">
              <w:t xml:space="preserve"> 32.2. yra įvertintas kaip pagrindžiantis papildomos naudos pacientų sveikatai sukūrimą, lyginant su įprasta klinikine praktika</w:t>
            </w:r>
          </w:p>
          <w:p w14:paraId="42188F57"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33FD180"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0254EDA0" w14:textId="77777777"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212667218"/>
                <w15:color w:val="FFCC00"/>
                <w14:checkbox>
                  <w14:checked w14:val="0"/>
                  <w14:checkedState w14:val="2612" w14:font="MS Gothic"/>
                  <w14:uncheckedState w14:val="2610" w14:font="MS Gothic"/>
                </w14:checkbox>
              </w:sdtPr>
              <w:sdtContent>
                <w:r w:rsidR="006D7D8B" w:rsidRPr="0068350D">
                  <w:rPr>
                    <w:rStyle w:val="Style2"/>
                    <w:rFonts w:ascii="Segoe UI Symbol" w:eastAsia="MS Gothic" w:hAnsi="Segoe UI Symbol" w:cs="Segoe UI Symbol"/>
                    <w:sz w:val="24"/>
                  </w:rPr>
                  <w:t>☐</w:t>
                </w:r>
              </w:sdtContent>
            </w:sdt>
            <w:r w:rsidR="006D7D8B" w:rsidRPr="0068350D">
              <w:t xml:space="preserve"> 32.4. yra iš esmės nesiskiriantis, palyginti su įprasta klinikine praktika</w:t>
            </w:r>
          </w:p>
          <w:p w14:paraId="0F2CC99A"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43ECE72"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c>
          <w:tcPr>
            <w:tcW w:w="4981" w:type="dxa"/>
          </w:tcPr>
          <w:p w14:paraId="3882D06B" w14:textId="77777777"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552278144"/>
                <w15:color w:val="FFCC00"/>
                <w14:checkbox>
                  <w14:checked w14:val="0"/>
                  <w14:checkedState w14:val="2612" w14:font="MS Gothic"/>
                  <w14:uncheckedState w14:val="2610" w14:font="MS Gothic"/>
                </w14:checkbox>
              </w:sdtPr>
              <w:sdtContent>
                <w:r w:rsidR="006D7D8B" w:rsidRPr="0068350D">
                  <w:rPr>
                    <w:rStyle w:val="Style2"/>
                    <w:rFonts w:ascii="Segoe UI Symbol" w:eastAsia="MS Gothic" w:hAnsi="Segoe UI Symbol" w:cs="Segoe UI Symbol"/>
                    <w:sz w:val="24"/>
                  </w:rPr>
                  <w:t>☐</w:t>
                </w:r>
              </w:sdtContent>
            </w:sdt>
            <w:r w:rsidR="006D7D8B" w:rsidRPr="0068350D">
              <w:t xml:space="preserve"> 33.4. yra </w:t>
            </w:r>
            <w:r w:rsidR="006D7D8B" w:rsidRPr="0068350D">
              <w:rPr>
                <w:rFonts w:eastAsia="Calibri"/>
                <w:bCs/>
              </w:rPr>
              <w:t xml:space="preserve">įvertintas kaip </w:t>
            </w:r>
            <w:r w:rsidR="006D7D8B" w:rsidRPr="0068350D">
              <w:rPr>
                <w:bCs/>
              </w:rPr>
              <w:t>mažesnis</w:t>
            </w:r>
            <w:r w:rsidR="006D7D8B" w:rsidRPr="0068350D">
              <w:t>, lyginant su įprasta klinikine praktika</w:t>
            </w:r>
          </w:p>
          <w:p w14:paraId="0D826D05"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F9D0B9E" w14:textId="77777777"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sz w:val="24"/>
                </w:rPr>
                <w:id w:val="548118221"/>
                <w15:color w:val="FFCC00"/>
                <w14:checkbox>
                  <w14:checked w14:val="0"/>
                  <w14:checkedState w14:val="2612" w14:font="MS Gothic"/>
                  <w14:uncheckedState w14:val="2610" w14:font="MS Gothic"/>
                </w14:checkbox>
              </w:sdtPr>
              <w:sdtContent>
                <w:r w:rsidR="006D7D8B" w:rsidRPr="0068350D">
                  <w:rPr>
                    <w:rStyle w:val="Style2"/>
                    <w:rFonts w:ascii="Segoe UI Symbol" w:eastAsia="MS Gothic" w:hAnsi="Segoe UI Symbol" w:cs="Segoe UI Symbol"/>
                    <w:sz w:val="24"/>
                  </w:rPr>
                  <w:t>☐</w:t>
                </w:r>
              </w:sdtContent>
            </w:sdt>
            <w:r w:rsidR="006D7D8B" w:rsidRPr="0068350D">
              <w:t xml:space="preserve"> 33.4. yra neįrodytas kaip toks pat, lyginant su įprasta klinikine praktika</w:t>
            </w:r>
          </w:p>
          <w:p w14:paraId="26D38C15"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sz w:val="24"/>
              </w:rPr>
            </w:pPr>
          </w:p>
        </w:tc>
      </w:tr>
    </w:tbl>
    <w:tbl>
      <w:tblPr>
        <w:tblStyle w:val="TableGrid1"/>
        <w:tblW w:w="0" w:type="auto"/>
        <w:jc w:val="center"/>
        <w:tblLook w:val="04A0" w:firstRow="1" w:lastRow="0" w:firstColumn="1" w:lastColumn="0" w:noHBand="0" w:noVBand="1"/>
      </w:tblPr>
      <w:tblGrid>
        <w:gridCol w:w="4815"/>
        <w:gridCol w:w="4814"/>
      </w:tblGrid>
      <w:tr w:rsidR="006D7D8B" w:rsidRPr="0068350D" w14:paraId="0CBEA163" w14:textId="77777777" w:rsidTr="005249D5">
        <w:trPr>
          <w:trHeight w:val="510"/>
          <w:jc w:val="center"/>
        </w:trPr>
        <w:tc>
          <w:tcPr>
            <w:tcW w:w="9629" w:type="dxa"/>
            <w:gridSpan w:val="2"/>
            <w:vAlign w:val="center"/>
          </w:tcPr>
          <w:p w14:paraId="4569F3E6"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Style w:val="Style2"/>
                <w:rFonts w:eastAsia="MS Gothic"/>
                <w:b/>
                <w:bCs/>
                <w:sz w:val="24"/>
              </w:rPr>
            </w:pPr>
            <w:r w:rsidRPr="0068350D">
              <w:rPr>
                <w:rStyle w:val="Style2"/>
                <w:rFonts w:eastAsia="MS Gothic"/>
                <w:b/>
                <w:bCs/>
                <w:sz w:val="24"/>
              </w:rPr>
              <w:t>Kaštų naudingumas</w:t>
            </w:r>
          </w:p>
        </w:tc>
      </w:tr>
      <w:tr w:rsidR="006D7D8B" w:rsidRPr="0068350D" w14:paraId="4EE62705" w14:textId="77777777" w:rsidTr="005249D5">
        <w:trPr>
          <w:jc w:val="center"/>
        </w:trPr>
        <w:tc>
          <w:tcPr>
            <w:tcW w:w="4815" w:type="dxa"/>
          </w:tcPr>
          <w:p w14:paraId="08421CD9" w14:textId="2FDAEB07"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975984416"/>
                <w15:color w:val="FFCC00"/>
                <w14:checkbox>
                  <w14:checked w14:val="0"/>
                  <w14:checkedState w14:val="2612" w14:font="MS Gothic"/>
                  <w14:uncheckedState w14:val="2610" w14:font="MS Gothic"/>
                </w14:checkbox>
              </w:sdtPr>
              <w:sdtContent>
                <w:r w:rsidR="006D7D8B" w:rsidRPr="0068350D">
                  <w:rPr>
                    <w:rStyle w:val="Style2"/>
                    <w:rFonts w:ascii="MS Gothic" w:eastAsia="MS Gothic" w:hAnsi="MS Gothic"/>
                  </w:rPr>
                  <w:t>☐</w:t>
                </w:r>
              </w:sdtContent>
            </w:sdt>
            <w:r w:rsidR="006D7D8B" w:rsidRPr="0068350D">
              <w:t xml:space="preserve"> 32.3. atitinka referencinę</w:t>
            </w:r>
            <w:r w:rsidR="009015BB" w:rsidRPr="0068350D">
              <w:t xml:space="preserve"> naudingumo vertę, taikant PGS</w:t>
            </w:r>
          </w:p>
          <w:p w14:paraId="6B59680D"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5FF9B5E7" w14:textId="7AF7DAAD"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sdt>
              <w:sdtPr>
                <w:rPr>
                  <w:rStyle w:val="Style2"/>
                </w:rPr>
                <w:id w:val="-1308081728"/>
                <w15:color w:val="FFCC00"/>
                <w14:checkbox>
                  <w14:checked w14:val="0"/>
                  <w14:checkedState w14:val="2612" w14:font="MS Gothic"/>
                  <w14:uncheckedState w14:val="2610" w14:font="MS Gothic"/>
                </w14:checkbox>
              </w:sdtPr>
              <w:sdtContent>
                <w:r w:rsidR="006D7D8B" w:rsidRPr="0068350D">
                  <w:rPr>
                    <w:rStyle w:val="Style2"/>
                    <w:rFonts w:ascii="Segoe UI Symbol" w:eastAsia="MS Gothic" w:hAnsi="Segoe UI Symbol" w:cs="Segoe UI Symbol"/>
                  </w:rPr>
                  <w:t>☐</w:t>
                </w:r>
              </w:sdtContent>
            </w:sdt>
            <w:r w:rsidR="006D7D8B" w:rsidRPr="0068350D">
              <w:t xml:space="preserve"> 32.3. gydymo juo kaštai yra mažesni ar tokie patys esant iš esmės nesiskiriančiam palyginamajam efektyvumu</w:t>
            </w:r>
            <w:r w:rsidR="009015BB" w:rsidRPr="0068350D">
              <w:t>i, taikant PGS</w:t>
            </w:r>
            <w:r w:rsidR="006D7D8B" w:rsidRPr="0068350D">
              <w:t>, lyginant su įprasta klinikine praktika</w:t>
            </w:r>
          </w:p>
          <w:p w14:paraId="09C45070"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Fonts w:eastAsia="MS Gothic"/>
              </w:rPr>
            </w:pPr>
          </w:p>
        </w:tc>
        <w:tc>
          <w:tcPr>
            <w:tcW w:w="4814" w:type="dxa"/>
          </w:tcPr>
          <w:p w14:paraId="4B4E9348" w14:textId="77777777"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365405113"/>
                <w15:color w:val="FFCC00"/>
                <w14:checkbox>
                  <w14:checked w14:val="1"/>
                  <w14:checkedState w14:val="2612" w14:font="MS Gothic"/>
                  <w14:uncheckedState w14:val="2610" w14:font="MS Gothic"/>
                </w14:checkbox>
              </w:sdtPr>
              <w:sdtContent>
                <w:r w:rsidR="006D7D8B" w:rsidRPr="0068350D">
                  <w:rPr>
                    <w:rStyle w:val="Style2"/>
                    <w:rFonts w:ascii="MS Gothic" w:eastAsia="MS Gothic" w:hAnsi="MS Gothic"/>
                  </w:rPr>
                  <w:t>☒</w:t>
                </w:r>
              </w:sdtContent>
            </w:sdt>
            <w:r w:rsidR="006D7D8B" w:rsidRPr="0068350D">
              <w:t xml:space="preserve"> 33.3. neatitinka referencinės naudingumo vertės Lietuvos Respublikoje</w:t>
            </w:r>
          </w:p>
          <w:p w14:paraId="20750CA5"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p>
          <w:p w14:paraId="4572E777" w14:textId="377EBF24"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1135473618"/>
                <w15:color w:val="FFCC00"/>
                <w14:checkbox>
                  <w14:checked w14:val="0"/>
                  <w14:checkedState w14:val="2612" w14:font="MS Gothic"/>
                  <w14:uncheckedState w14:val="2610" w14:font="MS Gothic"/>
                </w14:checkbox>
              </w:sdtPr>
              <w:sdtContent>
                <w:r w:rsidR="006D7D8B" w:rsidRPr="0068350D">
                  <w:rPr>
                    <w:rStyle w:val="Style2"/>
                    <w:rFonts w:ascii="Segoe UI Symbol" w:eastAsia="MS Gothic" w:hAnsi="Segoe UI Symbol" w:cs="Segoe UI Symbol"/>
                  </w:rPr>
                  <w:t>☐</w:t>
                </w:r>
              </w:sdtContent>
            </w:sdt>
            <w:r w:rsidR="006D7D8B" w:rsidRPr="0068350D">
              <w:t xml:space="preserve"> 33.3. gydymo juo kaštai yra didesni esant iš esmės nesiskirianč</w:t>
            </w:r>
            <w:r w:rsidR="009015BB" w:rsidRPr="0068350D">
              <w:t xml:space="preserve">iam palyginamajam efektyvumui, taikant PGS, </w:t>
            </w:r>
            <w:r w:rsidR="006D7D8B" w:rsidRPr="0068350D">
              <w:t>lyginant su įprasta klinikine praktika</w:t>
            </w:r>
          </w:p>
          <w:p w14:paraId="64268BAE"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color w:val="000000" w:themeColor="text1"/>
              </w:rPr>
            </w:pPr>
          </w:p>
          <w:p w14:paraId="35C98F0B" w14:textId="77777777" w:rsidR="006D7D8B" w:rsidRPr="0068350D" w:rsidRDefault="00000000"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pPr>
            <w:sdt>
              <w:sdtPr>
                <w:rPr>
                  <w:rStyle w:val="Style2"/>
                </w:rPr>
                <w:id w:val="-2008360022"/>
                <w15:color w:val="FFCC00"/>
                <w14:checkbox>
                  <w14:checked w14:val="0"/>
                  <w14:checkedState w14:val="2612" w14:font="MS Gothic"/>
                  <w14:uncheckedState w14:val="2610" w14:font="MS Gothic"/>
                </w14:checkbox>
              </w:sdtPr>
              <w:sdtContent>
                <w:r w:rsidR="006D7D8B" w:rsidRPr="0068350D">
                  <w:rPr>
                    <w:rStyle w:val="Style2"/>
                    <w:rFonts w:ascii="Segoe UI Symbol" w:eastAsia="MS Gothic" w:hAnsi="Segoe UI Symbol" w:cs="Segoe UI Symbol"/>
                  </w:rPr>
                  <w:t>☐</w:t>
                </w:r>
              </w:sdtContent>
            </w:sdt>
            <w:r w:rsidR="006D7D8B" w:rsidRPr="0068350D">
              <w:t xml:space="preserve"> 33.3. pateikti duomenys apie kaštų naudingumą yra netinkami vertinti</w:t>
            </w:r>
          </w:p>
          <w:p w14:paraId="10816401" w14:textId="77777777" w:rsidR="006D7D8B" w:rsidRPr="0068350D" w:rsidRDefault="006D7D8B" w:rsidP="005249D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Style w:val="Style2"/>
              </w:rPr>
            </w:pPr>
          </w:p>
        </w:tc>
      </w:tr>
    </w:tbl>
    <w:p w14:paraId="6E73CE8B" w14:textId="77777777" w:rsidR="006D7D8B" w:rsidRPr="0068350D" w:rsidRDefault="006D7D8B" w:rsidP="006D7D8B"/>
    <w:p w14:paraId="6BC7A1A1" w14:textId="77777777" w:rsidR="006D7D8B" w:rsidRPr="0068350D" w:rsidRDefault="006D7D8B" w:rsidP="006D7D8B"/>
    <w:p w14:paraId="6490967F" w14:textId="77777777" w:rsidR="006D7D8B" w:rsidRPr="0068350D" w:rsidRDefault="006D7D8B" w:rsidP="006D7D8B">
      <w:pPr>
        <w:pStyle w:val="Sraopastraipa"/>
        <w:numPr>
          <w:ilvl w:val="0"/>
          <w:numId w:val="12"/>
        </w:numPr>
        <w:ind w:left="567" w:hanging="567"/>
      </w:pPr>
      <w:r w:rsidRPr="0068350D">
        <w:rPr>
          <w:b/>
        </w:rPr>
        <w:t>REKOMENDACIJA</w:t>
      </w:r>
    </w:p>
    <w:p w14:paraId="19EA6D77" w14:textId="77777777" w:rsidR="006D7D8B" w:rsidRPr="0068350D" w:rsidRDefault="006D7D8B" w:rsidP="001F0E34">
      <w:pPr>
        <w:spacing w:line="276" w:lineRule="auto"/>
      </w:pPr>
    </w:p>
    <w:p w14:paraId="107B1211" w14:textId="21D7499F" w:rsidR="006D7D8B" w:rsidRPr="0068350D" w:rsidRDefault="006D7D8B" w:rsidP="001F0E34">
      <w:pPr>
        <w:spacing w:line="276" w:lineRule="auto"/>
        <w:jc w:val="both"/>
      </w:pPr>
      <w:r w:rsidRPr="0068350D">
        <w:t xml:space="preserve">Vadovaujantis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punktu 34.4. rekomenduojama </w:t>
      </w:r>
      <w:r w:rsidRPr="0068350D">
        <w:rPr>
          <w:i/>
        </w:rPr>
        <w:lastRenderedPageBreak/>
        <w:t xml:space="preserve">nekompensuoti </w:t>
      </w:r>
      <w:r w:rsidRPr="0068350D">
        <w:t xml:space="preserve">vaistinio preparato pagal paraiškoje nurodytą indikaciją su skyrimo sąlygomis, netaikant papildoma nuolaida dėl vertinimo išvadų, nurodytų 33.3 papunktyje (žr. </w:t>
      </w:r>
      <w:r w:rsidR="00E97109">
        <w:t>6</w:t>
      </w:r>
      <w:r w:rsidR="009015BB" w:rsidRPr="0068350D">
        <w:t xml:space="preserve"> skyrių).</w:t>
      </w:r>
    </w:p>
    <w:p w14:paraId="61406AFA" w14:textId="29B77ACE" w:rsidR="009015BB" w:rsidRPr="0068350D" w:rsidRDefault="009015BB" w:rsidP="009015BB">
      <w:pPr>
        <w:jc w:val="both"/>
      </w:pPr>
    </w:p>
    <w:p w14:paraId="6CCDA419" w14:textId="097D4B59" w:rsidR="009015BB" w:rsidRPr="00FC11A4" w:rsidRDefault="009015BB" w:rsidP="009015BB">
      <w:pPr>
        <w:jc w:val="both"/>
        <w:rPr>
          <w:i/>
          <w:iCs/>
        </w:rPr>
      </w:pPr>
      <w:r w:rsidRPr="00FC11A4">
        <w:rPr>
          <w:i/>
          <w:iCs/>
        </w:rPr>
        <w:t>Papildomos pastabos ir pasiūlymai</w:t>
      </w:r>
    </w:p>
    <w:p w14:paraId="26C0394D" w14:textId="0D913F0C" w:rsidR="009015BB" w:rsidRPr="0068350D" w:rsidRDefault="009015BB" w:rsidP="009015BB">
      <w:pPr>
        <w:jc w:val="both"/>
      </w:pPr>
    </w:p>
    <w:p w14:paraId="6B23D0C4" w14:textId="08AC91CE" w:rsidR="009015BB" w:rsidRPr="0068350D" w:rsidRDefault="009015BB" w:rsidP="001213F2">
      <w:pPr>
        <w:spacing w:line="276" w:lineRule="auto"/>
        <w:jc w:val="both"/>
      </w:pPr>
      <w:r w:rsidRPr="0068350D">
        <w:t xml:space="preserve">Atsižvelgiant į tai, jog </w:t>
      </w:r>
      <w:r w:rsidR="001213F2">
        <w:t>K</w:t>
      </w:r>
      <w:r w:rsidRPr="0068350D">
        <w:t xml:space="preserve">inpeygo (budezonidas) klinikinis veiksmingumas yra įvertintas kaip pagrindžiantis papildomos naudos sukūrimą pacientų sveikatai, </w:t>
      </w:r>
      <w:r w:rsidRPr="0068350D">
        <w:rPr>
          <w:bCs/>
        </w:rPr>
        <w:t>Tarnyba</w:t>
      </w:r>
      <w:r w:rsidRPr="0068350D" w:rsidDel="008074EB">
        <w:rPr>
          <w:bCs/>
        </w:rPr>
        <w:t xml:space="preserve"> </w:t>
      </w:r>
      <w:r w:rsidRPr="0068350D">
        <w:rPr>
          <w:bCs/>
        </w:rPr>
        <w:t xml:space="preserve">vadovaujamasi Vaistinių preparatų ir medicinos pagalbos priemonių įrašymo į kompensavimo sąrašus ir jų keitimo tvarkos aprašo, patvirtinto Lietuvos Respublikos sveikatos apsaugos ministro 2002 m. balandžio 5 d. įsakymu Nr. V-159 „Dėl vaistinių preparatų ir medicinos pagalbos priemonių įrašymo į kompensavimo sąrašus ir jų keitimo tvarkos aprašo patvirtinimo“ 35 punktu, siūlo </w:t>
      </w:r>
      <w:r w:rsidRPr="00FC11A4">
        <w:rPr>
          <w:i/>
          <w:iCs/>
        </w:rPr>
        <w:t xml:space="preserve">kompensuoti </w:t>
      </w:r>
      <w:r w:rsidRPr="0068350D">
        <w:rPr>
          <w:bCs/>
        </w:rPr>
        <w:t xml:space="preserve">vaistinį preparatą </w:t>
      </w:r>
      <w:r w:rsidR="00FC11A4">
        <w:rPr>
          <w:bCs/>
        </w:rPr>
        <w:t>k</w:t>
      </w:r>
      <w:r w:rsidRPr="0068350D">
        <w:rPr>
          <w:bCs/>
        </w:rPr>
        <w:t xml:space="preserve">inpeygo (budezonidas) pateikus papildomą maždaug </w:t>
      </w:r>
      <w:r w:rsidR="000A19FD">
        <w:rPr>
          <w:bCs/>
        </w:rPr>
        <w:t>***</w:t>
      </w:r>
      <w:r w:rsidRPr="0068350D">
        <w:rPr>
          <w:bCs/>
        </w:rPr>
        <w:t xml:space="preserve"> procentų nuolaidą.</w:t>
      </w:r>
    </w:p>
    <w:p w14:paraId="182C7379" w14:textId="77777777" w:rsidR="009015BB" w:rsidRPr="0068350D" w:rsidRDefault="009015BB" w:rsidP="009015BB">
      <w:pPr>
        <w:jc w:val="both"/>
      </w:pPr>
    </w:p>
    <w:p w14:paraId="06BC01EE" w14:textId="44333E0B" w:rsidR="000723FF" w:rsidRPr="0068350D" w:rsidRDefault="000723FF" w:rsidP="00381024"/>
    <w:p w14:paraId="18B4292E" w14:textId="1AB9B41E" w:rsidR="000723FF" w:rsidRPr="0068350D" w:rsidRDefault="00CC09D4" w:rsidP="00CC09D4">
      <w:pPr>
        <w:tabs>
          <w:tab w:val="left" w:pos="567"/>
        </w:tabs>
        <w:ind w:left="567" w:hanging="567"/>
        <w:jc w:val="both"/>
        <w:rPr>
          <w:b/>
          <w:color w:val="000000"/>
          <w:lang w:eastAsia="lt-LT"/>
        </w:rPr>
      </w:pPr>
      <w:r w:rsidRPr="0068350D">
        <w:rPr>
          <w:b/>
          <w:color w:val="000000"/>
          <w:lang w:eastAsia="lt-LT"/>
        </w:rPr>
        <w:t>8.</w:t>
      </w:r>
      <w:r w:rsidRPr="0068350D">
        <w:rPr>
          <w:b/>
          <w:color w:val="000000"/>
          <w:lang w:eastAsia="lt-LT"/>
        </w:rPr>
        <w:tab/>
      </w:r>
      <w:r w:rsidR="000723FF" w:rsidRPr="0068350D">
        <w:rPr>
          <w:b/>
          <w:color w:val="000000"/>
          <w:lang w:eastAsia="lt-LT"/>
        </w:rPr>
        <w:t xml:space="preserve">SIŪLOMOS KOMPENSUOTI TERAPINĖS </w:t>
      </w:r>
      <w:r w:rsidR="00A30D53" w:rsidRPr="0068350D">
        <w:rPr>
          <w:b/>
          <w:color w:val="000000"/>
          <w:lang w:eastAsia="lt-LT"/>
        </w:rPr>
        <w:t>INDIKACIJOS IR SKYRIMO SĄLYGOS</w:t>
      </w:r>
    </w:p>
    <w:p w14:paraId="691340BB" w14:textId="77777777" w:rsidR="000723FF" w:rsidRPr="0068350D" w:rsidRDefault="000723FF" w:rsidP="000723FF">
      <w:pPr>
        <w:tabs>
          <w:tab w:val="left" w:pos="426"/>
        </w:tabs>
        <w:jc w:val="both"/>
        <w:rPr>
          <w:b/>
          <w:color w:val="000000"/>
          <w:lang w:eastAsia="lt-LT"/>
        </w:rPr>
      </w:pPr>
    </w:p>
    <w:p w14:paraId="529C92C4" w14:textId="152E5FB4" w:rsidR="000723FF" w:rsidRPr="0068350D" w:rsidRDefault="000723FF" w:rsidP="00824B92">
      <w:pPr>
        <w:rPr>
          <w:b/>
          <w:lang w:eastAsia="lt-LT"/>
        </w:rPr>
      </w:pPr>
      <w:r w:rsidRPr="0068350D">
        <w:rPr>
          <w:b/>
          <w:lang w:eastAsia="lt-LT"/>
        </w:rPr>
        <w:t>Terapinės indikacijos</w:t>
      </w:r>
    </w:p>
    <w:p w14:paraId="1CEB9CFE" w14:textId="77777777" w:rsidR="00F10B53" w:rsidRPr="0068350D" w:rsidRDefault="00F10B53" w:rsidP="00824B92"/>
    <w:p w14:paraId="597367EF" w14:textId="338D3FB8" w:rsidR="000723FF" w:rsidRPr="0068350D" w:rsidRDefault="00000000" w:rsidP="00824B92">
      <w:sdt>
        <w:sdtPr>
          <w:rPr>
            <w:rStyle w:val="Style2"/>
          </w:rPr>
          <w:id w:val="1467245146"/>
          <w15:color w:val="FFCC00"/>
          <w14:checkbox>
            <w14:checked w14:val="1"/>
            <w14:checkedState w14:val="2612" w14:font="MS Gothic"/>
            <w14:uncheckedState w14:val="2610" w14:font="MS Gothic"/>
          </w14:checkbox>
        </w:sdtPr>
        <w:sdtContent>
          <w:r w:rsidR="0054746C" w:rsidRPr="0068350D">
            <w:rPr>
              <w:rStyle w:val="Style2"/>
              <w:rFonts w:ascii="MS Gothic" w:eastAsia="MS Gothic" w:hAnsi="MS Gothic"/>
            </w:rPr>
            <w:t>☒</w:t>
          </w:r>
        </w:sdtContent>
      </w:sdt>
      <w:r w:rsidR="000723FF" w:rsidRPr="0068350D">
        <w:t xml:space="preserve"> Siūloma kompensuoti Pareiškėjo teikiamą indikaciją su pakeitimais.</w:t>
      </w:r>
    </w:p>
    <w:p w14:paraId="4CD24139" w14:textId="008B4215" w:rsidR="00C16EA7" w:rsidRPr="0068350D" w:rsidRDefault="00C16EA7" w:rsidP="00824B92">
      <w:r w:rsidRPr="0068350D">
        <w:t>Pagal registruotą terapinė indikaciją:</w:t>
      </w:r>
    </w:p>
    <w:p w14:paraId="5A7CE390" w14:textId="77777777" w:rsidR="00A04EAC" w:rsidRPr="0068350D" w:rsidRDefault="00A04EAC" w:rsidP="00EA1813"/>
    <w:p w14:paraId="5E6E9A18" w14:textId="7E9CA542" w:rsidR="00EA1813" w:rsidRPr="0068350D" w:rsidRDefault="00EA1813" w:rsidP="00EA1813">
      <w:r w:rsidRPr="0068350D">
        <w:t>Kinpeygo skirtas gydyti pirmine imunoglobulino A nefropatija (IgAN) sergančius suaugusiuosius, kai baltymo išsiskyrimas su šlapimu ≥ 1,0 g per parą (arba baltymo ir kreatinino santykis šlapime yra ≥ 0,8 g/g).</w:t>
      </w:r>
    </w:p>
    <w:p w14:paraId="71D312BD" w14:textId="77777777" w:rsidR="0054746C" w:rsidRPr="0068350D" w:rsidRDefault="0054746C" w:rsidP="00824B92">
      <w:pPr>
        <w:rPr>
          <w:highlight w:val="yellow"/>
        </w:rPr>
      </w:pPr>
    </w:p>
    <w:p w14:paraId="241A6E6B" w14:textId="77777777" w:rsidR="000723FF" w:rsidRPr="0068350D" w:rsidRDefault="000723FF" w:rsidP="00824B92">
      <w:pPr>
        <w:rPr>
          <w:b/>
        </w:rPr>
      </w:pPr>
      <w:r w:rsidRPr="0068350D">
        <w:rPr>
          <w:b/>
        </w:rPr>
        <w:t>Skyrimo sąlygos</w:t>
      </w:r>
    </w:p>
    <w:p w14:paraId="250ACC46" w14:textId="488FA08A" w:rsidR="000723FF" w:rsidRPr="0068350D" w:rsidRDefault="00000000" w:rsidP="00824B92">
      <w:sdt>
        <w:sdtPr>
          <w:rPr>
            <w:rStyle w:val="Style2"/>
          </w:rPr>
          <w:id w:val="169305347"/>
          <w15:color w:val="FFCC00"/>
          <w14:checkbox>
            <w14:checked w14:val="0"/>
            <w14:checkedState w14:val="2612" w14:font="MS Gothic"/>
            <w14:uncheckedState w14:val="2610" w14:font="MS Gothic"/>
          </w14:checkbox>
        </w:sdtPr>
        <w:sdtContent>
          <w:r w:rsidR="00685608" w:rsidRPr="0068350D">
            <w:rPr>
              <w:rStyle w:val="Style2"/>
              <w:rFonts w:ascii="MS Gothic" w:eastAsia="MS Gothic" w:hAnsi="MS Gothic"/>
            </w:rPr>
            <w:t>☐</w:t>
          </w:r>
        </w:sdtContent>
      </w:sdt>
      <w:r w:rsidR="000723FF" w:rsidRPr="0068350D">
        <w:t xml:space="preserve"> Pareiškėjo siūlomos skyrimo sąlygos priimtinos. </w:t>
      </w:r>
    </w:p>
    <w:p w14:paraId="538DD0D3" w14:textId="77777777" w:rsidR="00A04EAC" w:rsidRPr="0068350D" w:rsidRDefault="00000000" w:rsidP="00824B92">
      <w:sdt>
        <w:sdtPr>
          <w:rPr>
            <w:rStyle w:val="Style2"/>
          </w:rPr>
          <w:id w:val="1823936883"/>
          <w15:color w:val="FFCC00"/>
          <w14:checkbox>
            <w14:checked w14:val="1"/>
            <w14:checkedState w14:val="2612" w14:font="MS Gothic"/>
            <w14:uncheckedState w14:val="2610" w14:font="MS Gothic"/>
          </w14:checkbox>
        </w:sdtPr>
        <w:sdtContent>
          <w:r w:rsidR="0054746C" w:rsidRPr="0068350D">
            <w:rPr>
              <w:rStyle w:val="Style2"/>
              <w:rFonts w:ascii="MS Gothic" w:eastAsia="MS Gothic" w:hAnsi="MS Gothic"/>
            </w:rPr>
            <w:t>☒</w:t>
          </w:r>
        </w:sdtContent>
      </w:sdt>
      <w:r w:rsidR="000723FF" w:rsidRPr="0068350D">
        <w:t xml:space="preserve"> Pareiškėjo siūlom</w:t>
      </w:r>
      <w:r w:rsidR="00A04EAC" w:rsidRPr="0068350D">
        <w:t>os skyrimo sąlygos nepriimtinos.</w:t>
      </w:r>
    </w:p>
    <w:p w14:paraId="55A083C2" w14:textId="77777777" w:rsidR="00C16EA7" w:rsidRPr="0068350D" w:rsidRDefault="00C16EA7" w:rsidP="00824B92"/>
    <w:p w14:paraId="297867ED" w14:textId="128A1050" w:rsidR="000723FF" w:rsidRPr="0068350D" w:rsidRDefault="00A04EAC" w:rsidP="00824B92">
      <w:r w:rsidRPr="0068350D">
        <w:t>Siūlomos skyrimo sąlygos:</w:t>
      </w:r>
    </w:p>
    <w:p w14:paraId="48BA224A" w14:textId="4F3C7264" w:rsidR="00C16EA7" w:rsidRPr="0068350D" w:rsidRDefault="00C16EA7" w:rsidP="001213F2">
      <w:pPr>
        <w:pStyle w:val="Betarp"/>
        <w:jc w:val="both"/>
        <w:rPr>
          <w:rFonts w:ascii="Times New Roman" w:hAnsi="Times New Roman"/>
          <w:bCs/>
          <w:i/>
          <w:color w:val="000000" w:themeColor="text1"/>
          <w:sz w:val="24"/>
          <w:szCs w:val="24"/>
          <w:lang w:eastAsia="lt-LT"/>
        </w:rPr>
      </w:pPr>
    </w:p>
    <w:p w14:paraId="2655D2F5" w14:textId="31F9E320" w:rsidR="00BF0858" w:rsidRPr="00AD1C80" w:rsidRDefault="00BF0858" w:rsidP="00AD1C80">
      <w:pPr>
        <w:pStyle w:val="Betarp"/>
        <w:spacing w:line="276" w:lineRule="auto"/>
        <w:jc w:val="both"/>
        <w:rPr>
          <w:rFonts w:ascii="Times New Roman" w:hAnsi="Times New Roman"/>
          <w:bCs/>
          <w:iCs/>
          <w:color w:val="000000" w:themeColor="text1"/>
          <w:sz w:val="24"/>
          <w:szCs w:val="24"/>
          <w:lang w:eastAsia="lt-LT"/>
        </w:rPr>
      </w:pPr>
      <w:r w:rsidRPr="00AD1C80">
        <w:rPr>
          <w:rFonts w:ascii="Times New Roman" w:hAnsi="Times New Roman"/>
          <w:iCs/>
          <w:sz w:val="24"/>
          <w:szCs w:val="24"/>
        </w:rPr>
        <w:t xml:space="preserve">Skiriamas </w:t>
      </w:r>
      <w:r w:rsidR="00DB3A69" w:rsidRPr="00AD1C80">
        <w:rPr>
          <w:rFonts w:ascii="Times New Roman" w:hAnsi="Times New Roman"/>
          <w:iCs/>
          <w:sz w:val="24"/>
          <w:szCs w:val="24"/>
        </w:rPr>
        <w:t xml:space="preserve">standartinio gydymo papildymui </w:t>
      </w:r>
      <w:r w:rsidR="00DB3A69" w:rsidRPr="00AD1C80">
        <w:rPr>
          <w:rFonts w:ascii="Times New Roman" w:hAnsi="Times New Roman"/>
          <w:sz w:val="24"/>
          <w:szCs w:val="24"/>
        </w:rPr>
        <w:t xml:space="preserve">pacientams, </w:t>
      </w:r>
      <w:r w:rsidR="00DB3A69" w:rsidRPr="00AD1C80">
        <w:rPr>
          <w:rFonts w:ascii="Times New Roman" w:eastAsia="Times New Roman" w:hAnsi="Times New Roman"/>
          <w:sz w:val="24"/>
          <w:szCs w:val="24"/>
        </w:rPr>
        <w:t xml:space="preserve">ne mažiau kaip 3 mėnesius </w:t>
      </w:r>
      <w:r w:rsidR="00DB3A69" w:rsidRPr="00AD1C80">
        <w:rPr>
          <w:rFonts w:ascii="Times New Roman" w:hAnsi="Times New Roman"/>
          <w:sz w:val="24"/>
          <w:szCs w:val="24"/>
        </w:rPr>
        <w:t>vartojantiems didžiausias patvirtintas toleruojamas AKF inhibitorių arba angiotenzino receptorių blokatorių dozes (nebent jie kontraindikuotini),</w:t>
      </w:r>
      <w:r w:rsidR="00DB3A69" w:rsidRPr="00AD1C80">
        <w:rPr>
          <w:rFonts w:eastAsia="Times New Roman"/>
          <w:sz w:val="24"/>
          <w:szCs w:val="24"/>
        </w:rPr>
        <w:t xml:space="preserve"> </w:t>
      </w:r>
      <w:r w:rsidR="00DB3A69" w:rsidRPr="00AD1C80">
        <w:rPr>
          <w:rFonts w:ascii="Times New Roman" w:hAnsi="Times New Roman"/>
          <w:bCs/>
          <w:iCs/>
          <w:color w:val="000000" w:themeColor="text1"/>
          <w:sz w:val="24"/>
          <w:szCs w:val="24"/>
          <w:lang w:eastAsia="lt-LT"/>
        </w:rPr>
        <w:t xml:space="preserve">neilgesniam kaip </w:t>
      </w:r>
      <w:r w:rsidRPr="00AD1C80">
        <w:rPr>
          <w:rFonts w:ascii="Times New Roman" w:hAnsi="Times New Roman"/>
          <w:bCs/>
          <w:iCs/>
          <w:color w:val="000000" w:themeColor="text1"/>
          <w:sz w:val="24"/>
          <w:szCs w:val="24"/>
          <w:lang w:eastAsia="lt-LT"/>
        </w:rPr>
        <w:t xml:space="preserve"> 10 mėnesių</w:t>
      </w:r>
      <w:r w:rsidR="00DB3A69" w:rsidRPr="00AD1C80">
        <w:rPr>
          <w:rFonts w:ascii="Times New Roman" w:hAnsi="Times New Roman"/>
          <w:bCs/>
          <w:iCs/>
          <w:color w:val="000000" w:themeColor="text1"/>
          <w:sz w:val="24"/>
          <w:szCs w:val="24"/>
          <w:lang w:eastAsia="lt-LT"/>
        </w:rPr>
        <w:t xml:space="preserve"> trukmės (įskaitant 2-4 savaičių dozės mažinim</w:t>
      </w:r>
      <w:r w:rsidR="004A00F2" w:rsidRPr="00AD1C80">
        <w:rPr>
          <w:rFonts w:ascii="Times New Roman" w:hAnsi="Times New Roman"/>
          <w:bCs/>
          <w:iCs/>
          <w:color w:val="000000" w:themeColor="text1"/>
          <w:sz w:val="24"/>
          <w:szCs w:val="24"/>
          <w:lang w:eastAsia="lt-LT"/>
        </w:rPr>
        <w:t>o laikotarpį)</w:t>
      </w:r>
      <w:r w:rsidR="00DB3A69" w:rsidRPr="00AD1C80">
        <w:rPr>
          <w:rFonts w:ascii="Times New Roman" w:hAnsi="Times New Roman"/>
          <w:bCs/>
          <w:iCs/>
          <w:color w:val="000000" w:themeColor="text1"/>
          <w:sz w:val="24"/>
          <w:szCs w:val="24"/>
          <w:lang w:eastAsia="lt-LT"/>
        </w:rPr>
        <w:t xml:space="preserve"> gydymui</w:t>
      </w:r>
      <w:r w:rsidR="004A00F2" w:rsidRPr="00AD1C80">
        <w:rPr>
          <w:rFonts w:ascii="Times New Roman" w:hAnsi="Times New Roman"/>
          <w:bCs/>
          <w:iCs/>
          <w:color w:val="000000" w:themeColor="text1"/>
          <w:sz w:val="24"/>
          <w:szCs w:val="24"/>
          <w:lang w:eastAsia="lt-LT"/>
        </w:rPr>
        <w:t>.</w:t>
      </w:r>
      <w:r w:rsidR="00DB3A69" w:rsidRPr="00AD1C80">
        <w:rPr>
          <w:rFonts w:ascii="Times New Roman" w:hAnsi="Times New Roman"/>
          <w:bCs/>
          <w:iCs/>
          <w:color w:val="000000" w:themeColor="text1"/>
          <w:sz w:val="24"/>
          <w:szCs w:val="24"/>
          <w:lang w:eastAsia="lt-LT"/>
        </w:rPr>
        <w:t xml:space="preserve"> </w:t>
      </w:r>
      <w:r w:rsidRPr="00AD1C80">
        <w:rPr>
          <w:rFonts w:ascii="Times New Roman" w:hAnsi="Times New Roman"/>
          <w:bCs/>
          <w:iCs/>
          <w:color w:val="000000" w:themeColor="text1"/>
          <w:sz w:val="24"/>
          <w:szCs w:val="24"/>
          <w:lang w:eastAsia="lt-LT"/>
        </w:rPr>
        <w:t xml:space="preserve"> </w:t>
      </w:r>
    </w:p>
    <w:p w14:paraId="7CDFF220" w14:textId="58191D98" w:rsidR="000723FF" w:rsidRPr="0068350D" w:rsidRDefault="000723FF" w:rsidP="00824B92">
      <w:pPr>
        <w:rPr>
          <w:b/>
        </w:rPr>
      </w:pPr>
    </w:p>
    <w:sectPr w:rsidR="000723FF" w:rsidRPr="0068350D" w:rsidSect="005D30E1">
      <w:headerReference w:type="even" r:id="rId8"/>
      <w:headerReference w:type="default" r:id="rId9"/>
      <w:headerReference w:type="first" r:id="rId10"/>
      <w:footerReference w:type="first" r:id="rId11"/>
      <w:pgSz w:w="11907" w:h="16840" w:code="9"/>
      <w:pgMar w:top="1134" w:right="567" w:bottom="1134" w:left="1701" w:header="646" w:footer="0" w:gutter="0"/>
      <w:cols w:space="1296"/>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F389EE1" w14:textId="77777777" w:rsidR="00E6716B" w:rsidRDefault="00E6716B">
      <w:r>
        <w:separator/>
      </w:r>
    </w:p>
  </w:endnote>
  <w:endnote w:type="continuationSeparator" w:id="0">
    <w:p w14:paraId="599918D0" w14:textId="77777777" w:rsidR="00E6716B" w:rsidRDefault="00E671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DD3368" w14:textId="77777777" w:rsidR="00347FAA" w:rsidRDefault="00347FAA">
    <w:pPr>
      <w:pStyle w:val="Porat"/>
      <w:jc w:val="right"/>
      <w:rPr>
        <w:i/>
        <w:sz w:val="16"/>
        <w:szCs w:val="16"/>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769482" w14:textId="77777777" w:rsidR="00E6716B" w:rsidRDefault="00E6716B">
      <w:r>
        <w:separator/>
      </w:r>
    </w:p>
  </w:footnote>
  <w:footnote w:type="continuationSeparator" w:id="0">
    <w:p w14:paraId="76AA51D0" w14:textId="77777777" w:rsidR="00E6716B" w:rsidRDefault="00E6716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2186FB2" w14:textId="77777777"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Pr>
        <w:rStyle w:val="Puslapionumeris"/>
        <w:noProof/>
      </w:rPr>
      <w:t>1</w:t>
    </w:r>
    <w:r>
      <w:rPr>
        <w:rStyle w:val="Puslapionumeris"/>
      </w:rPr>
      <w:fldChar w:fldCharType="end"/>
    </w:r>
  </w:p>
  <w:p w14:paraId="3E81DB01" w14:textId="77777777" w:rsidR="00347FAA" w:rsidRDefault="00347FAA">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BD5F9" w14:textId="71C07149" w:rsidR="00347FAA" w:rsidRDefault="00347FAA">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FC11A4">
      <w:rPr>
        <w:rStyle w:val="Puslapionumeris"/>
        <w:noProof/>
      </w:rPr>
      <w:t>10</w:t>
    </w:r>
    <w:r>
      <w:rPr>
        <w:rStyle w:val="Puslapionumeris"/>
      </w:rPr>
      <w:fldChar w:fldCharType="end"/>
    </w:r>
  </w:p>
  <w:p w14:paraId="13EC872E" w14:textId="77777777" w:rsidR="00347FAA" w:rsidRDefault="00347FAA">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4E1C8F" w14:textId="77777777" w:rsidR="00347FAA" w:rsidRDefault="00347FAA" w:rsidP="00FD793C">
    <w:pPr>
      <w:pStyle w:val="Antrats"/>
      <w:ind w:left="612"/>
      <w:rPr>
        <w:sz w:val="2"/>
        <w:szCs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17D8E"/>
    <w:multiLevelType w:val="hybridMultilevel"/>
    <w:tmpl w:val="10FAC1CC"/>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1" w15:restartNumberingAfterBreak="0">
    <w:nsid w:val="09E0081E"/>
    <w:multiLevelType w:val="multilevel"/>
    <w:tmpl w:val="0427001F"/>
    <w:lvl w:ilvl="0">
      <w:start w:val="1"/>
      <w:numFmt w:val="decimal"/>
      <w:lvlText w:val="%1."/>
      <w:lvlJc w:val="left"/>
      <w:pPr>
        <w:ind w:left="360" w:hanging="360"/>
      </w:pPr>
      <w:rPr>
        <w:rFonts w:hint="default"/>
        <w:b w:val="0"/>
        <w:bCs w:val="0"/>
      </w:rPr>
    </w:lvl>
    <w:lvl w:ilvl="1">
      <w:start w:val="1"/>
      <w:numFmt w:val="decimal"/>
      <w:lvlText w:val="%1.%2."/>
      <w:lvlJc w:val="left"/>
      <w:pPr>
        <w:ind w:left="284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12AD2E58"/>
    <w:multiLevelType w:val="multilevel"/>
    <w:tmpl w:val="404E487E"/>
    <w:lvl w:ilvl="0">
      <w:start w:val="1"/>
      <w:numFmt w:val="decimal"/>
      <w:lvlText w:val="%1."/>
      <w:lvlJc w:val="left"/>
      <w:pPr>
        <w:ind w:left="720" w:hanging="360"/>
      </w:pPr>
      <w:rPr>
        <w:b/>
      </w:rPr>
    </w:lvl>
    <w:lvl w:ilvl="1">
      <w:start w:val="8"/>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3" w15:restartNumberingAfterBreak="0">
    <w:nsid w:val="1A101C59"/>
    <w:multiLevelType w:val="hybridMultilevel"/>
    <w:tmpl w:val="64544F3A"/>
    <w:lvl w:ilvl="0" w:tplc="04270001">
      <w:start w:val="1"/>
      <w:numFmt w:val="bullet"/>
      <w:lvlText w:val=""/>
      <w:lvlJc w:val="left"/>
      <w:pPr>
        <w:ind w:left="2160" w:hanging="360"/>
      </w:pPr>
      <w:rPr>
        <w:rFonts w:ascii="Symbol" w:hAnsi="Symbol" w:hint="default"/>
      </w:rPr>
    </w:lvl>
    <w:lvl w:ilvl="1" w:tplc="04270003" w:tentative="1">
      <w:start w:val="1"/>
      <w:numFmt w:val="bullet"/>
      <w:lvlText w:val="o"/>
      <w:lvlJc w:val="left"/>
      <w:pPr>
        <w:ind w:left="2880" w:hanging="360"/>
      </w:pPr>
      <w:rPr>
        <w:rFonts w:ascii="Courier New" w:hAnsi="Courier New" w:cs="Courier New" w:hint="default"/>
      </w:rPr>
    </w:lvl>
    <w:lvl w:ilvl="2" w:tplc="04270005" w:tentative="1">
      <w:start w:val="1"/>
      <w:numFmt w:val="bullet"/>
      <w:lvlText w:val=""/>
      <w:lvlJc w:val="left"/>
      <w:pPr>
        <w:ind w:left="3600" w:hanging="360"/>
      </w:pPr>
      <w:rPr>
        <w:rFonts w:ascii="Wingdings" w:hAnsi="Wingdings" w:hint="default"/>
      </w:rPr>
    </w:lvl>
    <w:lvl w:ilvl="3" w:tplc="04270001" w:tentative="1">
      <w:start w:val="1"/>
      <w:numFmt w:val="bullet"/>
      <w:lvlText w:val=""/>
      <w:lvlJc w:val="left"/>
      <w:pPr>
        <w:ind w:left="4320" w:hanging="360"/>
      </w:pPr>
      <w:rPr>
        <w:rFonts w:ascii="Symbol" w:hAnsi="Symbol" w:hint="default"/>
      </w:rPr>
    </w:lvl>
    <w:lvl w:ilvl="4" w:tplc="04270003" w:tentative="1">
      <w:start w:val="1"/>
      <w:numFmt w:val="bullet"/>
      <w:lvlText w:val="o"/>
      <w:lvlJc w:val="left"/>
      <w:pPr>
        <w:ind w:left="5040" w:hanging="360"/>
      </w:pPr>
      <w:rPr>
        <w:rFonts w:ascii="Courier New" w:hAnsi="Courier New" w:cs="Courier New" w:hint="default"/>
      </w:rPr>
    </w:lvl>
    <w:lvl w:ilvl="5" w:tplc="04270005" w:tentative="1">
      <w:start w:val="1"/>
      <w:numFmt w:val="bullet"/>
      <w:lvlText w:val=""/>
      <w:lvlJc w:val="left"/>
      <w:pPr>
        <w:ind w:left="5760" w:hanging="360"/>
      </w:pPr>
      <w:rPr>
        <w:rFonts w:ascii="Wingdings" w:hAnsi="Wingdings" w:hint="default"/>
      </w:rPr>
    </w:lvl>
    <w:lvl w:ilvl="6" w:tplc="04270001" w:tentative="1">
      <w:start w:val="1"/>
      <w:numFmt w:val="bullet"/>
      <w:lvlText w:val=""/>
      <w:lvlJc w:val="left"/>
      <w:pPr>
        <w:ind w:left="6480" w:hanging="360"/>
      </w:pPr>
      <w:rPr>
        <w:rFonts w:ascii="Symbol" w:hAnsi="Symbol" w:hint="default"/>
      </w:rPr>
    </w:lvl>
    <w:lvl w:ilvl="7" w:tplc="04270003" w:tentative="1">
      <w:start w:val="1"/>
      <w:numFmt w:val="bullet"/>
      <w:lvlText w:val="o"/>
      <w:lvlJc w:val="left"/>
      <w:pPr>
        <w:ind w:left="7200" w:hanging="360"/>
      </w:pPr>
      <w:rPr>
        <w:rFonts w:ascii="Courier New" w:hAnsi="Courier New" w:cs="Courier New" w:hint="default"/>
      </w:rPr>
    </w:lvl>
    <w:lvl w:ilvl="8" w:tplc="04270005" w:tentative="1">
      <w:start w:val="1"/>
      <w:numFmt w:val="bullet"/>
      <w:lvlText w:val=""/>
      <w:lvlJc w:val="left"/>
      <w:pPr>
        <w:ind w:left="7920" w:hanging="360"/>
      </w:pPr>
      <w:rPr>
        <w:rFonts w:ascii="Wingdings" w:hAnsi="Wingdings" w:hint="default"/>
      </w:rPr>
    </w:lvl>
  </w:abstractNum>
  <w:abstractNum w:abstractNumId="4" w15:restartNumberingAfterBreak="0">
    <w:nsid w:val="27C55FC1"/>
    <w:multiLevelType w:val="hybridMultilevel"/>
    <w:tmpl w:val="71D4551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5" w15:restartNumberingAfterBreak="0">
    <w:nsid w:val="2AA111CC"/>
    <w:multiLevelType w:val="hybridMultilevel"/>
    <w:tmpl w:val="F650205C"/>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6" w15:restartNumberingAfterBreak="0">
    <w:nsid w:val="3975004F"/>
    <w:multiLevelType w:val="hybridMultilevel"/>
    <w:tmpl w:val="13E46078"/>
    <w:lvl w:ilvl="0" w:tplc="04270001">
      <w:start w:val="1"/>
      <w:numFmt w:val="bullet"/>
      <w:lvlText w:val=""/>
      <w:lvlJc w:val="left"/>
      <w:pPr>
        <w:ind w:left="1440" w:hanging="360"/>
      </w:pPr>
      <w:rPr>
        <w:rFonts w:ascii="Symbol" w:hAnsi="Symbol" w:hint="default"/>
      </w:rPr>
    </w:lvl>
    <w:lvl w:ilvl="1" w:tplc="04270003" w:tentative="1">
      <w:start w:val="1"/>
      <w:numFmt w:val="bullet"/>
      <w:lvlText w:val="o"/>
      <w:lvlJc w:val="left"/>
      <w:pPr>
        <w:ind w:left="2160" w:hanging="360"/>
      </w:pPr>
      <w:rPr>
        <w:rFonts w:ascii="Courier New" w:hAnsi="Courier New" w:cs="Courier New" w:hint="default"/>
      </w:rPr>
    </w:lvl>
    <w:lvl w:ilvl="2" w:tplc="04270005" w:tentative="1">
      <w:start w:val="1"/>
      <w:numFmt w:val="bullet"/>
      <w:lvlText w:val=""/>
      <w:lvlJc w:val="left"/>
      <w:pPr>
        <w:ind w:left="2880" w:hanging="360"/>
      </w:pPr>
      <w:rPr>
        <w:rFonts w:ascii="Wingdings" w:hAnsi="Wingdings" w:hint="default"/>
      </w:rPr>
    </w:lvl>
    <w:lvl w:ilvl="3" w:tplc="04270001" w:tentative="1">
      <w:start w:val="1"/>
      <w:numFmt w:val="bullet"/>
      <w:lvlText w:val=""/>
      <w:lvlJc w:val="left"/>
      <w:pPr>
        <w:ind w:left="3600" w:hanging="360"/>
      </w:pPr>
      <w:rPr>
        <w:rFonts w:ascii="Symbol" w:hAnsi="Symbol" w:hint="default"/>
      </w:rPr>
    </w:lvl>
    <w:lvl w:ilvl="4" w:tplc="04270003" w:tentative="1">
      <w:start w:val="1"/>
      <w:numFmt w:val="bullet"/>
      <w:lvlText w:val="o"/>
      <w:lvlJc w:val="left"/>
      <w:pPr>
        <w:ind w:left="4320" w:hanging="360"/>
      </w:pPr>
      <w:rPr>
        <w:rFonts w:ascii="Courier New" w:hAnsi="Courier New" w:cs="Courier New" w:hint="default"/>
      </w:rPr>
    </w:lvl>
    <w:lvl w:ilvl="5" w:tplc="04270005" w:tentative="1">
      <w:start w:val="1"/>
      <w:numFmt w:val="bullet"/>
      <w:lvlText w:val=""/>
      <w:lvlJc w:val="left"/>
      <w:pPr>
        <w:ind w:left="5040" w:hanging="360"/>
      </w:pPr>
      <w:rPr>
        <w:rFonts w:ascii="Wingdings" w:hAnsi="Wingdings" w:hint="default"/>
      </w:rPr>
    </w:lvl>
    <w:lvl w:ilvl="6" w:tplc="04270001" w:tentative="1">
      <w:start w:val="1"/>
      <w:numFmt w:val="bullet"/>
      <w:lvlText w:val=""/>
      <w:lvlJc w:val="left"/>
      <w:pPr>
        <w:ind w:left="5760" w:hanging="360"/>
      </w:pPr>
      <w:rPr>
        <w:rFonts w:ascii="Symbol" w:hAnsi="Symbol" w:hint="default"/>
      </w:rPr>
    </w:lvl>
    <w:lvl w:ilvl="7" w:tplc="04270003" w:tentative="1">
      <w:start w:val="1"/>
      <w:numFmt w:val="bullet"/>
      <w:lvlText w:val="o"/>
      <w:lvlJc w:val="left"/>
      <w:pPr>
        <w:ind w:left="6480" w:hanging="360"/>
      </w:pPr>
      <w:rPr>
        <w:rFonts w:ascii="Courier New" w:hAnsi="Courier New" w:cs="Courier New" w:hint="default"/>
      </w:rPr>
    </w:lvl>
    <w:lvl w:ilvl="8" w:tplc="04270005" w:tentative="1">
      <w:start w:val="1"/>
      <w:numFmt w:val="bullet"/>
      <w:lvlText w:val=""/>
      <w:lvlJc w:val="left"/>
      <w:pPr>
        <w:ind w:left="7200" w:hanging="360"/>
      </w:pPr>
      <w:rPr>
        <w:rFonts w:ascii="Wingdings" w:hAnsi="Wingdings" w:hint="default"/>
      </w:rPr>
    </w:lvl>
  </w:abstractNum>
  <w:abstractNum w:abstractNumId="7" w15:restartNumberingAfterBreak="0">
    <w:nsid w:val="3BCC4222"/>
    <w:multiLevelType w:val="multilevel"/>
    <w:tmpl w:val="C9C6278E"/>
    <w:lvl w:ilvl="0">
      <w:start w:val="2"/>
      <w:numFmt w:val="decimal"/>
      <w:lvlText w:val="%1."/>
      <w:lvlJc w:val="left"/>
      <w:pPr>
        <w:ind w:left="360" w:hanging="360"/>
      </w:pPr>
      <w:rPr>
        <w:rFonts w:eastAsia="Arial Unicode MS" w:hint="default"/>
      </w:rPr>
    </w:lvl>
    <w:lvl w:ilvl="1">
      <w:start w:val="7"/>
      <w:numFmt w:val="decimal"/>
      <w:lvlText w:val="%1.%2."/>
      <w:lvlJc w:val="left"/>
      <w:pPr>
        <w:ind w:left="720" w:hanging="360"/>
      </w:pPr>
      <w:rPr>
        <w:rFonts w:eastAsia="Arial Unicode MS" w:hint="default"/>
      </w:rPr>
    </w:lvl>
    <w:lvl w:ilvl="2">
      <w:start w:val="1"/>
      <w:numFmt w:val="decimal"/>
      <w:lvlText w:val="%1.%2.%3."/>
      <w:lvlJc w:val="left"/>
      <w:pPr>
        <w:ind w:left="1440" w:hanging="720"/>
      </w:pPr>
      <w:rPr>
        <w:rFonts w:eastAsia="Arial Unicode MS" w:hint="default"/>
      </w:rPr>
    </w:lvl>
    <w:lvl w:ilvl="3">
      <w:start w:val="1"/>
      <w:numFmt w:val="decimal"/>
      <w:lvlText w:val="%1.%2.%3.%4."/>
      <w:lvlJc w:val="left"/>
      <w:pPr>
        <w:ind w:left="1800" w:hanging="720"/>
      </w:pPr>
      <w:rPr>
        <w:rFonts w:eastAsia="Arial Unicode MS" w:hint="default"/>
      </w:rPr>
    </w:lvl>
    <w:lvl w:ilvl="4">
      <w:start w:val="1"/>
      <w:numFmt w:val="decimal"/>
      <w:lvlText w:val="%1.%2.%3.%4.%5."/>
      <w:lvlJc w:val="left"/>
      <w:pPr>
        <w:ind w:left="2520" w:hanging="1080"/>
      </w:pPr>
      <w:rPr>
        <w:rFonts w:eastAsia="Arial Unicode MS" w:hint="default"/>
      </w:rPr>
    </w:lvl>
    <w:lvl w:ilvl="5">
      <w:start w:val="1"/>
      <w:numFmt w:val="decimal"/>
      <w:lvlText w:val="%1.%2.%3.%4.%5.%6."/>
      <w:lvlJc w:val="left"/>
      <w:pPr>
        <w:ind w:left="2880" w:hanging="1080"/>
      </w:pPr>
      <w:rPr>
        <w:rFonts w:eastAsia="Arial Unicode MS" w:hint="default"/>
      </w:rPr>
    </w:lvl>
    <w:lvl w:ilvl="6">
      <w:start w:val="1"/>
      <w:numFmt w:val="decimal"/>
      <w:lvlText w:val="%1.%2.%3.%4.%5.%6.%7."/>
      <w:lvlJc w:val="left"/>
      <w:pPr>
        <w:ind w:left="3600" w:hanging="1440"/>
      </w:pPr>
      <w:rPr>
        <w:rFonts w:eastAsia="Arial Unicode MS" w:hint="default"/>
      </w:rPr>
    </w:lvl>
    <w:lvl w:ilvl="7">
      <w:start w:val="1"/>
      <w:numFmt w:val="decimal"/>
      <w:lvlText w:val="%1.%2.%3.%4.%5.%6.%7.%8."/>
      <w:lvlJc w:val="left"/>
      <w:pPr>
        <w:ind w:left="3960" w:hanging="1440"/>
      </w:pPr>
      <w:rPr>
        <w:rFonts w:eastAsia="Arial Unicode MS" w:hint="default"/>
      </w:rPr>
    </w:lvl>
    <w:lvl w:ilvl="8">
      <w:start w:val="1"/>
      <w:numFmt w:val="decimal"/>
      <w:lvlText w:val="%1.%2.%3.%4.%5.%6.%7.%8.%9."/>
      <w:lvlJc w:val="left"/>
      <w:pPr>
        <w:ind w:left="4680" w:hanging="1800"/>
      </w:pPr>
      <w:rPr>
        <w:rFonts w:eastAsia="Arial Unicode MS" w:hint="default"/>
      </w:rPr>
    </w:lvl>
  </w:abstractNum>
  <w:abstractNum w:abstractNumId="8" w15:restartNumberingAfterBreak="0">
    <w:nsid w:val="41953EAB"/>
    <w:multiLevelType w:val="hybridMultilevel"/>
    <w:tmpl w:val="D0F01BA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09B0191"/>
    <w:multiLevelType w:val="multilevel"/>
    <w:tmpl w:val="0427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58F865F7"/>
    <w:multiLevelType w:val="hybridMultilevel"/>
    <w:tmpl w:val="0CCA07C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1" w15:restartNumberingAfterBreak="0">
    <w:nsid w:val="59B83C1B"/>
    <w:multiLevelType w:val="multilevel"/>
    <w:tmpl w:val="5F384374"/>
    <w:lvl w:ilvl="0">
      <w:start w:val="1"/>
      <w:numFmt w:val="upperRoman"/>
      <w:lvlText w:val="%1."/>
      <w:lvlJc w:val="left"/>
      <w:pPr>
        <w:ind w:left="1080" w:hanging="720"/>
      </w:pPr>
      <w:rPr>
        <w:rFonts w:hint="default"/>
      </w:rPr>
    </w:lvl>
    <w:lvl w:ilvl="1">
      <w:start w:val="1"/>
      <w:numFmt w:val="decimal"/>
      <w:isLgl/>
      <w:lvlText w:val="%1.%2."/>
      <w:lvlJc w:val="left"/>
      <w:pPr>
        <w:ind w:left="720" w:hanging="360"/>
      </w:pPr>
      <w:rPr>
        <w:rFonts w:hint="default"/>
        <w:b w:val="0"/>
        <w:i w:val="0"/>
      </w:rPr>
    </w:lvl>
    <w:lvl w:ilvl="2">
      <w:start w:val="1"/>
      <w:numFmt w:val="decimal"/>
      <w:isLgl/>
      <w:lvlText w:val="%1.%2.%3."/>
      <w:lvlJc w:val="left"/>
      <w:pPr>
        <w:ind w:left="1080" w:hanging="720"/>
      </w:pPr>
      <w:rPr>
        <w:rFonts w:hint="default"/>
        <w:i w:val="0"/>
      </w:rPr>
    </w:lvl>
    <w:lvl w:ilvl="3">
      <w:start w:val="1"/>
      <w:numFmt w:val="decimal"/>
      <w:isLgl/>
      <w:lvlText w:val="%1.%2.%3.%4."/>
      <w:lvlJc w:val="left"/>
      <w:pPr>
        <w:ind w:left="1080" w:hanging="720"/>
      </w:pPr>
      <w:rPr>
        <w:rFonts w:hint="default"/>
        <w:i w:val="0"/>
      </w:rPr>
    </w:lvl>
    <w:lvl w:ilvl="4">
      <w:start w:val="1"/>
      <w:numFmt w:val="decimal"/>
      <w:isLgl/>
      <w:lvlText w:val="%1.%2.%3.%4.%5."/>
      <w:lvlJc w:val="left"/>
      <w:pPr>
        <w:ind w:left="1440" w:hanging="1080"/>
      </w:pPr>
      <w:rPr>
        <w:rFonts w:hint="default"/>
        <w:i w:val="0"/>
      </w:rPr>
    </w:lvl>
    <w:lvl w:ilvl="5">
      <w:start w:val="1"/>
      <w:numFmt w:val="decimal"/>
      <w:isLgl/>
      <w:lvlText w:val="%1.%2.%3.%4.%5.%6."/>
      <w:lvlJc w:val="left"/>
      <w:pPr>
        <w:ind w:left="1440" w:hanging="1080"/>
      </w:pPr>
      <w:rPr>
        <w:rFonts w:hint="default"/>
        <w:i w:val="0"/>
      </w:rPr>
    </w:lvl>
    <w:lvl w:ilvl="6">
      <w:start w:val="1"/>
      <w:numFmt w:val="decimal"/>
      <w:isLgl/>
      <w:lvlText w:val="%1.%2.%3.%4.%5.%6.%7."/>
      <w:lvlJc w:val="left"/>
      <w:pPr>
        <w:ind w:left="1800" w:hanging="1440"/>
      </w:pPr>
      <w:rPr>
        <w:rFonts w:hint="default"/>
        <w:i w:val="0"/>
      </w:rPr>
    </w:lvl>
    <w:lvl w:ilvl="7">
      <w:start w:val="1"/>
      <w:numFmt w:val="decimal"/>
      <w:isLgl/>
      <w:lvlText w:val="%1.%2.%3.%4.%5.%6.%7.%8."/>
      <w:lvlJc w:val="left"/>
      <w:pPr>
        <w:ind w:left="1800" w:hanging="1440"/>
      </w:pPr>
      <w:rPr>
        <w:rFonts w:hint="default"/>
        <w:i w:val="0"/>
      </w:rPr>
    </w:lvl>
    <w:lvl w:ilvl="8">
      <w:start w:val="1"/>
      <w:numFmt w:val="decimal"/>
      <w:isLgl/>
      <w:lvlText w:val="%1.%2.%3.%4.%5.%6.%7.%8.%9."/>
      <w:lvlJc w:val="left"/>
      <w:pPr>
        <w:ind w:left="2160" w:hanging="1800"/>
      </w:pPr>
      <w:rPr>
        <w:rFonts w:hint="default"/>
        <w:i w:val="0"/>
      </w:rPr>
    </w:lvl>
  </w:abstractNum>
  <w:abstractNum w:abstractNumId="12" w15:restartNumberingAfterBreak="0">
    <w:nsid w:val="5A0D73F3"/>
    <w:multiLevelType w:val="hybridMultilevel"/>
    <w:tmpl w:val="CA9A2AC8"/>
    <w:lvl w:ilvl="0" w:tplc="0427000F">
      <w:start w:val="8"/>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6AB27E1E"/>
    <w:multiLevelType w:val="hybridMultilevel"/>
    <w:tmpl w:val="3D568A5E"/>
    <w:lvl w:ilvl="0" w:tplc="0427000F">
      <w:start w:val="1"/>
      <w:numFmt w:val="decimal"/>
      <w:lvlText w:val="%1."/>
      <w:lvlJc w:val="left"/>
      <w:pPr>
        <w:ind w:left="720" w:hanging="360"/>
      </w:p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72266018"/>
    <w:multiLevelType w:val="hybridMultilevel"/>
    <w:tmpl w:val="AA9C989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16cid:durableId="462580437">
    <w:abstractNumId w:val="8"/>
  </w:num>
  <w:num w:numId="2" w16cid:durableId="1448696153">
    <w:abstractNumId w:val="1"/>
  </w:num>
  <w:num w:numId="3" w16cid:durableId="143741491">
    <w:abstractNumId w:val="11"/>
  </w:num>
  <w:num w:numId="4" w16cid:durableId="594752550">
    <w:abstractNumId w:val="9"/>
  </w:num>
  <w:num w:numId="5" w16cid:durableId="1001202186">
    <w:abstractNumId w:val="7"/>
  </w:num>
  <w:num w:numId="6" w16cid:durableId="53697793">
    <w:abstractNumId w:val="6"/>
  </w:num>
  <w:num w:numId="7" w16cid:durableId="851838799">
    <w:abstractNumId w:val="3"/>
  </w:num>
  <w:num w:numId="8" w16cid:durableId="402916553">
    <w:abstractNumId w:val="14"/>
  </w:num>
  <w:num w:numId="9" w16cid:durableId="364908976">
    <w:abstractNumId w:val="0"/>
  </w:num>
  <w:num w:numId="10" w16cid:durableId="1254978070">
    <w:abstractNumId w:val="12"/>
  </w:num>
  <w:num w:numId="11" w16cid:durableId="1001619333">
    <w:abstractNumId w:val="13"/>
  </w:num>
  <w:num w:numId="12" w16cid:durableId="140581250">
    <w:abstractNumId w:val="2"/>
  </w:num>
  <w:num w:numId="13" w16cid:durableId="1430466122">
    <w:abstractNumId w:val="5"/>
  </w:num>
  <w:num w:numId="14" w16cid:durableId="1660501950">
    <w:abstractNumId w:val="4"/>
  </w:num>
  <w:num w:numId="15" w16cid:durableId="544028969">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396"/>
  <w:drawingGridHorizontalSpacing w:val="120"/>
  <w:drawingGridVerticalSpacing w:val="163"/>
  <w:displayHorizontalDrawingGridEvery w:val="0"/>
  <w:displayVerticalDrawingGridEvery w:val="2"/>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A00E7"/>
    <w:rsid w:val="000001B0"/>
    <w:rsid w:val="00003F5B"/>
    <w:rsid w:val="000114DD"/>
    <w:rsid w:val="000136F7"/>
    <w:rsid w:val="00021723"/>
    <w:rsid w:val="0002686C"/>
    <w:rsid w:val="00031D0E"/>
    <w:rsid w:val="000337E6"/>
    <w:rsid w:val="0003402E"/>
    <w:rsid w:val="00034EAE"/>
    <w:rsid w:val="00041398"/>
    <w:rsid w:val="00042924"/>
    <w:rsid w:val="00053975"/>
    <w:rsid w:val="00057A2B"/>
    <w:rsid w:val="000606BE"/>
    <w:rsid w:val="000723FF"/>
    <w:rsid w:val="000736B8"/>
    <w:rsid w:val="00074F38"/>
    <w:rsid w:val="0008190F"/>
    <w:rsid w:val="00081D9C"/>
    <w:rsid w:val="00082907"/>
    <w:rsid w:val="0008378D"/>
    <w:rsid w:val="000908A5"/>
    <w:rsid w:val="00092805"/>
    <w:rsid w:val="000A19FD"/>
    <w:rsid w:val="000A785B"/>
    <w:rsid w:val="000C454C"/>
    <w:rsid w:val="000D28C5"/>
    <w:rsid w:val="000D5038"/>
    <w:rsid w:val="000E2216"/>
    <w:rsid w:val="000E29D4"/>
    <w:rsid w:val="000F3540"/>
    <w:rsid w:val="00100491"/>
    <w:rsid w:val="00104E2E"/>
    <w:rsid w:val="00107287"/>
    <w:rsid w:val="00117406"/>
    <w:rsid w:val="001213F2"/>
    <w:rsid w:val="00121EF0"/>
    <w:rsid w:val="00124A9E"/>
    <w:rsid w:val="00130703"/>
    <w:rsid w:val="0013153F"/>
    <w:rsid w:val="001408B8"/>
    <w:rsid w:val="0014519E"/>
    <w:rsid w:val="001517E2"/>
    <w:rsid w:val="001519C6"/>
    <w:rsid w:val="001521D9"/>
    <w:rsid w:val="001554E2"/>
    <w:rsid w:val="00161FA5"/>
    <w:rsid w:val="00164146"/>
    <w:rsid w:val="00170DDA"/>
    <w:rsid w:val="0017369C"/>
    <w:rsid w:val="00175D57"/>
    <w:rsid w:val="00180C39"/>
    <w:rsid w:val="00180D96"/>
    <w:rsid w:val="00184BD3"/>
    <w:rsid w:val="001921F3"/>
    <w:rsid w:val="001A694B"/>
    <w:rsid w:val="001B3C5B"/>
    <w:rsid w:val="001D746F"/>
    <w:rsid w:val="001E4BBB"/>
    <w:rsid w:val="001E6304"/>
    <w:rsid w:val="001F0E34"/>
    <w:rsid w:val="001F2377"/>
    <w:rsid w:val="0020381E"/>
    <w:rsid w:val="00213471"/>
    <w:rsid w:val="00215906"/>
    <w:rsid w:val="00241CD8"/>
    <w:rsid w:val="00244B09"/>
    <w:rsid w:val="002519CB"/>
    <w:rsid w:val="0025697F"/>
    <w:rsid w:val="00260258"/>
    <w:rsid w:val="0026588E"/>
    <w:rsid w:val="00272428"/>
    <w:rsid w:val="00272948"/>
    <w:rsid w:val="002816B6"/>
    <w:rsid w:val="00292392"/>
    <w:rsid w:val="002946C7"/>
    <w:rsid w:val="002A557A"/>
    <w:rsid w:val="002B3CC1"/>
    <w:rsid w:val="002C09E0"/>
    <w:rsid w:val="002C1BB1"/>
    <w:rsid w:val="002C26BB"/>
    <w:rsid w:val="002C2786"/>
    <w:rsid w:val="002C3A10"/>
    <w:rsid w:val="002C4A90"/>
    <w:rsid w:val="002C4ED5"/>
    <w:rsid w:val="002D02EF"/>
    <w:rsid w:val="002E0702"/>
    <w:rsid w:val="002E57AD"/>
    <w:rsid w:val="002E6F80"/>
    <w:rsid w:val="002F0E4F"/>
    <w:rsid w:val="002F1053"/>
    <w:rsid w:val="00303E2D"/>
    <w:rsid w:val="00317B0E"/>
    <w:rsid w:val="0034635D"/>
    <w:rsid w:val="00347FAA"/>
    <w:rsid w:val="0035172D"/>
    <w:rsid w:val="00351BB3"/>
    <w:rsid w:val="0036187D"/>
    <w:rsid w:val="00362EAD"/>
    <w:rsid w:val="00367EDB"/>
    <w:rsid w:val="00381024"/>
    <w:rsid w:val="00386307"/>
    <w:rsid w:val="003874DE"/>
    <w:rsid w:val="00393E9F"/>
    <w:rsid w:val="0039696E"/>
    <w:rsid w:val="003B211A"/>
    <w:rsid w:val="003C141F"/>
    <w:rsid w:val="003C2ECC"/>
    <w:rsid w:val="003C6B0E"/>
    <w:rsid w:val="003C7257"/>
    <w:rsid w:val="003C7E35"/>
    <w:rsid w:val="003D1E99"/>
    <w:rsid w:val="003D245E"/>
    <w:rsid w:val="003D6208"/>
    <w:rsid w:val="003E2E8B"/>
    <w:rsid w:val="00404E8A"/>
    <w:rsid w:val="0040622F"/>
    <w:rsid w:val="004115F2"/>
    <w:rsid w:val="004121D2"/>
    <w:rsid w:val="0041334B"/>
    <w:rsid w:val="00413F24"/>
    <w:rsid w:val="00422853"/>
    <w:rsid w:val="00423160"/>
    <w:rsid w:val="00423E61"/>
    <w:rsid w:val="0043140E"/>
    <w:rsid w:val="00453862"/>
    <w:rsid w:val="0045469B"/>
    <w:rsid w:val="00461338"/>
    <w:rsid w:val="00461408"/>
    <w:rsid w:val="004677DB"/>
    <w:rsid w:val="00476256"/>
    <w:rsid w:val="0048630F"/>
    <w:rsid w:val="004947A1"/>
    <w:rsid w:val="0049482A"/>
    <w:rsid w:val="004979D3"/>
    <w:rsid w:val="004A00E7"/>
    <w:rsid w:val="004A00F2"/>
    <w:rsid w:val="004A16B5"/>
    <w:rsid w:val="004A3A61"/>
    <w:rsid w:val="004B59BA"/>
    <w:rsid w:val="004B5A03"/>
    <w:rsid w:val="004C263A"/>
    <w:rsid w:val="004D48A6"/>
    <w:rsid w:val="004D7B8F"/>
    <w:rsid w:val="004E512A"/>
    <w:rsid w:val="004E6458"/>
    <w:rsid w:val="004E6E7D"/>
    <w:rsid w:val="004F1AAC"/>
    <w:rsid w:val="004F1AE2"/>
    <w:rsid w:val="004F34F0"/>
    <w:rsid w:val="004F3B2B"/>
    <w:rsid w:val="004F6050"/>
    <w:rsid w:val="005005EF"/>
    <w:rsid w:val="00502997"/>
    <w:rsid w:val="005109B1"/>
    <w:rsid w:val="005119C9"/>
    <w:rsid w:val="005123C2"/>
    <w:rsid w:val="005148B2"/>
    <w:rsid w:val="0052144B"/>
    <w:rsid w:val="0052285C"/>
    <w:rsid w:val="00524066"/>
    <w:rsid w:val="0053271E"/>
    <w:rsid w:val="00534E11"/>
    <w:rsid w:val="005378D8"/>
    <w:rsid w:val="005400D9"/>
    <w:rsid w:val="00543B4D"/>
    <w:rsid w:val="0054746C"/>
    <w:rsid w:val="005476A4"/>
    <w:rsid w:val="0055019B"/>
    <w:rsid w:val="0055484D"/>
    <w:rsid w:val="00556E63"/>
    <w:rsid w:val="005601A4"/>
    <w:rsid w:val="00566DBB"/>
    <w:rsid w:val="005767DB"/>
    <w:rsid w:val="005815E6"/>
    <w:rsid w:val="00582C02"/>
    <w:rsid w:val="0058712F"/>
    <w:rsid w:val="005976CE"/>
    <w:rsid w:val="005A23D4"/>
    <w:rsid w:val="005A2480"/>
    <w:rsid w:val="005A2D1E"/>
    <w:rsid w:val="005B3756"/>
    <w:rsid w:val="005C493F"/>
    <w:rsid w:val="005C6BF7"/>
    <w:rsid w:val="005C71BF"/>
    <w:rsid w:val="005D002C"/>
    <w:rsid w:val="005D30E1"/>
    <w:rsid w:val="005D6555"/>
    <w:rsid w:val="005D7BDF"/>
    <w:rsid w:val="005E4870"/>
    <w:rsid w:val="005E7E35"/>
    <w:rsid w:val="005F5A0E"/>
    <w:rsid w:val="005F71D9"/>
    <w:rsid w:val="005F7602"/>
    <w:rsid w:val="006014FC"/>
    <w:rsid w:val="006062BE"/>
    <w:rsid w:val="00613143"/>
    <w:rsid w:val="00613501"/>
    <w:rsid w:val="0061611B"/>
    <w:rsid w:val="006166A8"/>
    <w:rsid w:val="006174A1"/>
    <w:rsid w:val="00621D6C"/>
    <w:rsid w:val="00623315"/>
    <w:rsid w:val="00633032"/>
    <w:rsid w:val="00633B49"/>
    <w:rsid w:val="0064297F"/>
    <w:rsid w:val="00642EA6"/>
    <w:rsid w:val="00645102"/>
    <w:rsid w:val="00646CF3"/>
    <w:rsid w:val="00653D11"/>
    <w:rsid w:val="00662983"/>
    <w:rsid w:val="006834D3"/>
    <w:rsid w:val="0068350D"/>
    <w:rsid w:val="00685608"/>
    <w:rsid w:val="00692625"/>
    <w:rsid w:val="00695CD3"/>
    <w:rsid w:val="006A38B6"/>
    <w:rsid w:val="006B1987"/>
    <w:rsid w:val="006B5B71"/>
    <w:rsid w:val="006B6CB0"/>
    <w:rsid w:val="006C0296"/>
    <w:rsid w:val="006C0307"/>
    <w:rsid w:val="006C2B64"/>
    <w:rsid w:val="006D3E07"/>
    <w:rsid w:val="006D4C85"/>
    <w:rsid w:val="006D66AC"/>
    <w:rsid w:val="006D7D8B"/>
    <w:rsid w:val="006E33F6"/>
    <w:rsid w:val="006F1251"/>
    <w:rsid w:val="006F1C23"/>
    <w:rsid w:val="00702C18"/>
    <w:rsid w:val="00703166"/>
    <w:rsid w:val="00704627"/>
    <w:rsid w:val="007127F3"/>
    <w:rsid w:val="00715073"/>
    <w:rsid w:val="007301CF"/>
    <w:rsid w:val="007316FB"/>
    <w:rsid w:val="007374D0"/>
    <w:rsid w:val="00737E2D"/>
    <w:rsid w:val="007424D5"/>
    <w:rsid w:val="00750A88"/>
    <w:rsid w:val="007523DD"/>
    <w:rsid w:val="00757B7E"/>
    <w:rsid w:val="00764DEF"/>
    <w:rsid w:val="007656B2"/>
    <w:rsid w:val="0077016F"/>
    <w:rsid w:val="007708EA"/>
    <w:rsid w:val="007713AD"/>
    <w:rsid w:val="00795DC5"/>
    <w:rsid w:val="00797153"/>
    <w:rsid w:val="007A21F7"/>
    <w:rsid w:val="007A2B68"/>
    <w:rsid w:val="007B0DDA"/>
    <w:rsid w:val="007D3347"/>
    <w:rsid w:val="007E5466"/>
    <w:rsid w:val="007F1949"/>
    <w:rsid w:val="007F2592"/>
    <w:rsid w:val="00800A08"/>
    <w:rsid w:val="008055AE"/>
    <w:rsid w:val="00817A84"/>
    <w:rsid w:val="008225A4"/>
    <w:rsid w:val="00824B92"/>
    <w:rsid w:val="00826D5E"/>
    <w:rsid w:val="00832013"/>
    <w:rsid w:val="00832DB7"/>
    <w:rsid w:val="00834732"/>
    <w:rsid w:val="008426F6"/>
    <w:rsid w:val="0085200C"/>
    <w:rsid w:val="00857C52"/>
    <w:rsid w:val="00860D5F"/>
    <w:rsid w:val="00880A44"/>
    <w:rsid w:val="0088345E"/>
    <w:rsid w:val="0088656F"/>
    <w:rsid w:val="00891EF6"/>
    <w:rsid w:val="008A0303"/>
    <w:rsid w:val="008A5FDD"/>
    <w:rsid w:val="008C3947"/>
    <w:rsid w:val="008E2CF8"/>
    <w:rsid w:val="008E473B"/>
    <w:rsid w:val="008E51A6"/>
    <w:rsid w:val="008E7329"/>
    <w:rsid w:val="008F2ED5"/>
    <w:rsid w:val="008F7117"/>
    <w:rsid w:val="009015BB"/>
    <w:rsid w:val="0092297E"/>
    <w:rsid w:val="00923651"/>
    <w:rsid w:val="00927B56"/>
    <w:rsid w:val="00930E37"/>
    <w:rsid w:val="009341BF"/>
    <w:rsid w:val="00937907"/>
    <w:rsid w:val="00941739"/>
    <w:rsid w:val="009425B6"/>
    <w:rsid w:val="00951573"/>
    <w:rsid w:val="00963003"/>
    <w:rsid w:val="00966EEF"/>
    <w:rsid w:val="00971B28"/>
    <w:rsid w:val="009758D0"/>
    <w:rsid w:val="00983471"/>
    <w:rsid w:val="009909AB"/>
    <w:rsid w:val="0099468A"/>
    <w:rsid w:val="009A0DAA"/>
    <w:rsid w:val="009B37DB"/>
    <w:rsid w:val="009B62A6"/>
    <w:rsid w:val="009C7A8C"/>
    <w:rsid w:val="009D056F"/>
    <w:rsid w:val="009D23F9"/>
    <w:rsid w:val="009D4FA8"/>
    <w:rsid w:val="009E44AE"/>
    <w:rsid w:val="009E6CD6"/>
    <w:rsid w:val="009F4D66"/>
    <w:rsid w:val="00A00C3C"/>
    <w:rsid w:val="00A01091"/>
    <w:rsid w:val="00A042B9"/>
    <w:rsid w:val="00A04EAC"/>
    <w:rsid w:val="00A06DBB"/>
    <w:rsid w:val="00A22ADF"/>
    <w:rsid w:val="00A25612"/>
    <w:rsid w:val="00A30D53"/>
    <w:rsid w:val="00A31E86"/>
    <w:rsid w:val="00A54D87"/>
    <w:rsid w:val="00A5553C"/>
    <w:rsid w:val="00A55D5E"/>
    <w:rsid w:val="00A701C9"/>
    <w:rsid w:val="00A81785"/>
    <w:rsid w:val="00A84803"/>
    <w:rsid w:val="00A84C51"/>
    <w:rsid w:val="00A86F2B"/>
    <w:rsid w:val="00A91366"/>
    <w:rsid w:val="00A93AA6"/>
    <w:rsid w:val="00AA4E48"/>
    <w:rsid w:val="00AA6202"/>
    <w:rsid w:val="00AA7B57"/>
    <w:rsid w:val="00AC26FC"/>
    <w:rsid w:val="00AC3261"/>
    <w:rsid w:val="00AC3625"/>
    <w:rsid w:val="00AC4A99"/>
    <w:rsid w:val="00AC64D2"/>
    <w:rsid w:val="00AD02E7"/>
    <w:rsid w:val="00AD1C80"/>
    <w:rsid w:val="00AE0FE8"/>
    <w:rsid w:val="00AE1322"/>
    <w:rsid w:val="00AF2180"/>
    <w:rsid w:val="00AF60D5"/>
    <w:rsid w:val="00B00959"/>
    <w:rsid w:val="00B04415"/>
    <w:rsid w:val="00B057AF"/>
    <w:rsid w:val="00B06509"/>
    <w:rsid w:val="00B11D60"/>
    <w:rsid w:val="00B13D65"/>
    <w:rsid w:val="00B21805"/>
    <w:rsid w:val="00B3072E"/>
    <w:rsid w:val="00B31D27"/>
    <w:rsid w:val="00B343A1"/>
    <w:rsid w:val="00B36E15"/>
    <w:rsid w:val="00B37245"/>
    <w:rsid w:val="00B4017A"/>
    <w:rsid w:val="00B4468D"/>
    <w:rsid w:val="00B55C82"/>
    <w:rsid w:val="00B71C72"/>
    <w:rsid w:val="00B81E92"/>
    <w:rsid w:val="00B908D7"/>
    <w:rsid w:val="00B915AB"/>
    <w:rsid w:val="00B935E8"/>
    <w:rsid w:val="00B93B30"/>
    <w:rsid w:val="00B94CB5"/>
    <w:rsid w:val="00B96192"/>
    <w:rsid w:val="00BA0DD9"/>
    <w:rsid w:val="00BA5DBC"/>
    <w:rsid w:val="00BB55E8"/>
    <w:rsid w:val="00BB6312"/>
    <w:rsid w:val="00BC4D06"/>
    <w:rsid w:val="00BD585E"/>
    <w:rsid w:val="00BD6919"/>
    <w:rsid w:val="00BE1EA7"/>
    <w:rsid w:val="00BE7489"/>
    <w:rsid w:val="00BF0858"/>
    <w:rsid w:val="00BF2E0D"/>
    <w:rsid w:val="00BF3927"/>
    <w:rsid w:val="00BF3F8B"/>
    <w:rsid w:val="00BF76DA"/>
    <w:rsid w:val="00C018EF"/>
    <w:rsid w:val="00C07413"/>
    <w:rsid w:val="00C07C7B"/>
    <w:rsid w:val="00C16245"/>
    <w:rsid w:val="00C16EA7"/>
    <w:rsid w:val="00C22DC5"/>
    <w:rsid w:val="00C24479"/>
    <w:rsid w:val="00C273F2"/>
    <w:rsid w:val="00C34F14"/>
    <w:rsid w:val="00C37B53"/>
    <w:rsid w:val="00C517D2"/>
    <w:rsid w:val="00C556B8"/>
    <w:rsid w:val="00C5772E"/>
    <w:rsid w:val="00C62B36"/>
    <w:rsid w:val="00C7012C"/>
    <w:rsid w:val="00C712EA"/>
    <w:rsid w:val="00C842AF"/>
    <w:rsid w:val="00CA217D"/>
    <w:rsid w:val="00CC09D4"/>
    <w:rsid w:val="00CC668D"/>
    <w:rsid w:val="00CC7832"/>
    <w:rsid w:val="00CE7717"/>
    <w:rsid w:val="00CF0C1C"/>
    <w:rsid w:val="00CF27FD"/>
    <w:rsid w:val="00CF5F12"/>
    <w:rsid w:val="00D00D8F"/>
    <w:rsid w:val="00D17996"/>
    <w:rsid w:val="00D21F3A"/>
    <w:rsid w:val="00D23808"/>
    <w:rsid w:val="00D26C3D"/>
    <w:rsid w:val="00D3016A"/>
    <w:rsid w:val="00D417D2"/>
    <w:rsid w:val="00D42960"/>
    <w:rsid w:val="00D43BD7"/>
    <w:rsid w:val="00D4485B"/>
    <w:rsid w:val="00D4708D"/>
    <w:rsid w:val="00D4744C"/>
    <w:rsid w:val="00D521DE"/>
    <w:rsid w:val="00D5459B"/>
    <w:rsid w:val="00D5470B"/>
    <w:rsid w:val="00D63068"/>
    <w:rsid w:val="00D6498C"/>
    <w:rsid w:val="00D76A70"/>
    <w:rsid w:val="00D83182"/>
    <w:rsid w:val="00D8521E"/>
    <w:rsid w:val="00D9167D"/>
    <w:rsid w:val="00D9291C"/>
    <w:rsid w:val="00D93A97"/>
    <w:rsid w:val="00DB1F64"/>
    <w:rsid w:val="00DB3A69"/>
    <w:rsid w:val="00DB65A4"/>
    <w:rsid w:val="00DC2F53"/>
    <w:rsid w:val="00DC47F9"/>
    <w:rsid w:val="00DC5BAC"/>
    <w:rsid w:val="00DC6816"/>
    <w:rsid w:val="00DC76C2"/>
    <w:rsid w:val="00DD1CF2"/>
    <w:rsid w:val="00DD3C3A"/>
    <w:rsid w:val="00DE4484"/>
    <w:rsid w:val="00DE6806"/>
    <w:rsid w:val="00DF41B7"/>
    <w:rsid w:val="00DF4A4A"/>
    <w:rsid w:val="00DF583C"/>
    <w:rsid w:val="00E03C3F"/>
    <w:rsid w:val="00E06FD7"/>
    <w:rsid w:val="00E07417"/>
    <w:rsid w:val="00E1120F"/>
    <w:rsid w:val="00E24D45"/>
    <w:rsid w:val="00E33DB8"/>
    <w:rsid w:val="00E33EFF"/>
    <w:rsid w:val="00E34387"/>
    <w:rsid w:val="00E348BA"/>
    <w:rsid w:val="00E369FE"/>
    <w:rsid w:val="00E37C6F"/>
    <w:rsid w:val="00E475F8"/>
    <w:rsid w:val="00E5102E"/>
    <w:rsid w:val="00E5721C"/>
    <w:rsid w:val="00E619C6"/>
    <w:rsid w:val="00E62072"/>
    <w:rsid w:val="00E6716B"/>
    <w:rsid w:val="00E703A3"/>
    <w:rsid w:val="00E745A1"/>
    <w:rsid w:val="00E77388"/>
    <w:rsid w:val="00E81529"/>
    <w:rsid w:val="00E83A13"/>
    <w:rsid w:val="00E97109"/>
    <w:rsid w:val="00EA1813"/>
    <w:rsid w:val="00EB6FC5"/>
    <w:rsid w:val="00EC2356"/>
    <w:rsid w:val="00EC2582"/>
    <w:rsid w:val="00EC337C"/>
    <w:rsid w:val="00ED0CFF"/>
    <w:rsid w:val="00ED31D2"/>
    <w:rsid w:val="00EE0EAC"/>
    <w:rsid w:val="00EE3322"/>
    <w:rsid w:val="00EE33CB"/>
    <w:rsid w:val="00EE4F36"/>
    <w:rsid w:val="00EF1ED4"/>
    <w:rsid w:val="00F0061A"/>
    <w:rsid w:val="00F02834"/>
    <w:rsid w:val="00F04EEB"/>
    <w:rsid w:val="00F05467"/>
    <w:rsid w:val="00F055D2"/>
    <w:rsid w:val="00F06B22"/>
    <w:rsid w:val="00F07CD7"/>
    <w:rsid w:val="00F10B53"/>
    <w:rsid w:val="00F127E9"/>
    <w:rsid w:val="00F14B5D"/>
    <w:rsid w:val="00F259FC"/>
    <w:rsid w:val="00F25D7A"/>
    <w:rsid w:val="00F36972"/>
    <w:rsid w:val="00F42426"/>
    <w:rsid w:val="00F456BC"/>
    <w:rsid w:val="00F50666"/>
    <w:rsid w:val="00F70C9E"/>
    <w:rsid w:val="00F74A74"/>
    <w:rsid w:val="00F7572C"/>
    <w:rsid w:val="00F8382C"/>
    <w:rsid w:val="00F855D7"/>
    <w:rsid w:val="00F92035"/>
    <w:rsid w:val="00F92748"/>
    <w:rsid w:val="00F97FDA"/>
    <w:rsid w:val="00FA4169"/>
    <w:rsid w:val="00FB0D41"/>
    <w:rsid w:val="00FB2030"/>
    <w:rsid w:val="00FB2417"/>
    <w:rsid w:val="00FB61C1"/>
    <w:rsid w:val="00FC11A4"/>
    <w:rsid w:val="00FD0E46"/>
    <w:rsid w:val="00FD1CF2"/>
    <w:rsid w:val="00FD3EDF"/>
    <w:rsid w:val="00FD793C"/>
    <w:rsid w:val="00FE0FD5"/>
    <w:rsid w:val="00FE20E6"/>
    <w:rsid w:val="00FE3E3B"/>
    <w:rsid w:val="00FF4032"/>
    <w:rsid w:val="00FF6469"/>
    <w:rsid w:val="00FF7E4A"/>
  </w:rsids>
  <m:mathPr>
    <m:mathFont m:val="Cambria Math"/>
    <m:brkBin m:val="before"/>
    <m:brkBinSub m:val="--"/>
    <m:smallFrac m:val="0"/>
    <m:dispDef/>
    <m:lMargin m:val="0"/>
    <m:rMargin m:val="0"/>
    <m:defJc m:val="centerGroup"/>
    <m:wrapIndent m:val="1440"/>
    <m:intLim m:val="subSup"/>
    <m:naryLim m:val="undOvr"/>
  </m:mathPr>
  <w:themeFontLang w:val="lt-LT"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2DFE6E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E81529"/>
    <w:rPr>
      <w:sz w:val="24"/>
      <w:szCs w:val="24"/>
      <w:lang w:eastAsia="en-US"/>
    </w:rPr>
  </w:style>
  <w:style w:type="paragraph" w:styleId="Antrat1">
    <w:name w:val="heading 1"/>
    <w:basedOn w:val="prastasis"/>
    <w:next w:val="prastasis"/>
    <w:qFormat/>
    <w:rsid w:val="00A84C51"/>
    <w:pPr>
      <w:keepNext/>
      <w:jc w:val="center"/>
      <w:outlineLvl w:val="0"/>
    </w:pPr>
    <w:rPr>
      <w:b/>
      <w:bCs/>
      <w:caps/>
    </w:rPr>
  </w:style>
  <w:style w:type="paragraph" w:styleId="Antrat2">
    <w:name w:val="heading 2"/>
    <w:basedOn w:val="prastasis"/>
    <w:next w:val="prastasis"/>
    <w:qFormat/>
    <w:rsid w:val="00A84C51"/>
    <w:pPr>
      <w:keepNext/>
      <w:jc w:val="center"/>
      <w:outlineLvl w:val="1"/>
    </w:pPr>
    <w:rPr>
      <w:b/>
      <w:bCs/>
      <w:caps/>
      <w:sz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rsid w:val="00A84C51"/>
    <w:pPr>
      <w:tabs>
        <w:tab w:val="center" w:pos="4986"/>
        <w:tab w:val="right" w:pos="9972"/>
      </w:tabs>
    </w:pPr>
  </w:style>
  <w:style w:type="paragraph" w:styleId="Porat">
    <w:name w:val="footer"/>
    <w:basedOn w:val="prastasis"/>
    <w:link w:val="PoratDiagrama"/>
    <w:rsid w:val="00A84C51"/>
    <w:pPr>
      <w:tabs>
        <w:tab w:val="center" w:pos="4986"/>
        <w:tab w:val="right" w:pos="9972"/>
      </w:tabs>
    </w:pPr>
  </w:style>
  <w:style w:type="character" w:styleId="Puslapionumeris">
    <w:name w:val="page number"/>
    <w:basedOn w:val="Numatytasispastraiposriftas"/>
    <w:rsid w:val="00A84C51"/>
  </w:style>
  <w:style w:type="character" w:styleId="Hipersaitas">
    <w:name w:val="Hyperlink"/>
    <w:basedOn w:val="Numatytasispastraiposriftas"/>
    <w:uiPriority w:val="99"/>
    <w:rsid w:val="00A84C51"/>
    <w:rPr>
      <w:color w:val="0000FF"/>
      <w:u w:val="single"/>
    </w:rPr>
  </w:style>
  <w:style w:type="paragraph" w:styleId="Debesliotekstas">
    <w:name w:val="Balloon Text"/>
    <w:basedOn w:val="prastasis"/>
    <w:semiHidden/>
    <w:rsid w:val="00EC2356"/>
    <w:rPr>
      <w:rFonts w:ascii="Tahoma" w:hAnsi="Tahoma" w:cs="Tahoma"/>
      <w:sz w:val="16"/>
      <w:szCs w:val="16"/>
    </w:rPr>
  </w:style>
  <w:style w:type="character" w:customStyle="1" w:styleId="PoratDiagrama">
    <w:name w:val="Poraštė Diagrama"/>
    <w:basedOn w:val="Numatytasispastraiposriftas"/>
    <w:link w:val="Porat"/>
    <w:rsid w:val="00737E2D"/>
    <w:rPr>
      <w:sz w:val="24"/>
      <w:szCs w:val="24"/>
      <w:lang w:eastAsia="en-US"/>
    </w:rPr>
  </w:style>
  <w:style w:type="character" w:customStyle="1" w:styleId="Neapdorotaspaminjimas1">
    <w:name w:val="Neapdorotas paminėjimas1"/>
    <w:basedOn w:val="Numatytasispastraiposriftas"/>
    <w:uiPriority w:val="99"/>
    <w:semiHidden/>
    <w:unhideWhenUsed/>
    <w:rsid w:val="00A31E86"/>
    <w:rPr>
      <w:color w:val="605E5C"/>
      <w:shd w:val="clear" w:color="auto" w:fill="E1DFDD"/>
    </w:rPr>
  </w:style>
  <w:style w:type="character" w:styleId="Perirtashipersaitas">
    <w:name w:val="FollowedHyperlink"/>
    <w:basedOn w:val="Numatytasispastraiposriftas"/>
    <w:semiHidden/>
    <w:unhideWhenUsed/>
    <w:rsid w:val="00A31E86"/>
    <w:rPr>
      <w:color w:val="800080" w:themeColor="followedHyperlink"/>
      <w:u w:val="single"/>
    </w:rPr>
  </w:style>
  <w:style w:type="table" w:styleId="Lentelstinklelis">
    <w:name w:val="Table Grid"/>
    <w:aliases w:val="Summary box,Dossier Table"/>
    <w:basedOn w:val="prastojilentel"/>
    <w:rsid w:val="00D4296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entaronuoroda">
    <w:name w:val="annotation reference"/>
    <w:basedOn w:val="Numatytasispastraiposriftas"/>
    <w:semiHidden/>
    <w:unhideWhenUsed/>
    <w:rsid w:val="00C7012C"/>
    <w:rPr>
      <w:sz w:val="16"/>
      <w:szCs w:val="16"/>
    </w:rPr>
  </w:style>
  <w:style w:type="paragraph" w:styleId="Komentarotekstas">
    <w:name w:val="annotation text"/>
    <w:basedOn w:val="prastasis"/>
    <w:link w:val="KomentarotekstasDiagrama"/>
    <w:unhideWhenUsed/>
    <w:rsid w:val="00C7012C"/>
    <w:rPr>
      <w:sz w:val="20"/>
      <w:szCs w:val="20"/>
    </w:rPr>
  </w:style>
  <w:style w:type="character" w:customStyle="1" w:styleId="KomentarotekstasDiagrama">
    <w:name w:val="Komentaro tekstas Diagrama"/>
    <w:basedOn w:val="Numatytasispastraiposriftas"/>
    <w:link w:val="Komentarotekstas"/>
    <w:rsid w:val="00C7012C"/>
    <w:rPr>
      <w:lang w:eastAsia="en-US"/>
    </w:rPr>
  </w:style>
  <w:style w:type="paragraph" w:styleId="Komentarotema">
    <w:name w:val="annotation subject"/>
    <w:basedOn w:val="Komentarotekstas"/>
    <w:next w:val="Komentarotekstas"/>
    <w:link w:val="KomentarotemaDiagrama"/>
    <w:semiHidden/>
    <w:unhideWhenUsed/>
    <w:rsid w:val="00C7012C"/>
    <w:rPr>
      <w:b/>
      <w:bCs/>
    </w:rPr>
  </w:style>
  <w:style w:type="character" w:customStyle="1" w:styleId="KomentarotemaDiagrama">
    <w:name w:val="Komentaro tema Diagrama"/>
    <w:basedOn w:val="KomentarotekstasDiagrama"/>
    <w:link w:val="Komentarotema"/>
    <w:semiHidden/>
    <w:rsid w:val="00C7012C"/>
    <w:rPr>
      <w:b/>
      <w:bCs/>
      <w:lang w:eastAsia="en-US"/>
    </w:rPr>
  </w:style>
  <w:style w:type="paragraph" w:styleId="Sraopastraipa">
    <w:name w:val="List Paragraph"/>
    <w:aliases w:val="Bullet List,Bullet1,Use Case List Paragraph,List Paragraph1,Body Bullet,Table Number Paragraph,Colorful List - Accent 11,List Paragraph 1,Ref,B1,Figure_name,bu1,bu1 + Before:  0 pt,After:  6 pt,Bullet for no #'s,Paragraph,lp1,List 1"/>
    <w:basedOn w:val="prastasis"/>
    <w:link w:val="SraopastraipaDiagrama"/>
    <w:uiPriority w:val="34"/>
    <w:qFormat/>
    <w:rsid w:val="00104E2E"/>
    <w:pPr>
      <w:ind w:left="720"/>
      <w:contextualSpacing/>
    </w:pPr>
  </w:style>
  <w:style w:type="character" w:customStyle="1" w:styleId="Style2">
    <w:name w:val="Style2"/>
    <w:basedOn w:val="Numatytasispastraiposriftas"/>
    <w:uiPriority w:val="1"/>
    <w:rsid w:val="00D6498C"/>
    <w:rPr>
      <w:sz w:val="32"/>
    </w:rPr>
  </w:style>
  <w:style w:type="character" w:styleId="Vietosrezervavimoenklotekstas">
    <w:name w:val="Placeholder Text"/>
    <w:basedOn w:val="Numatytasispastraiposriftas"/>
    <w:uiPriority w:val="99"/>
    <w:rsid w:val="00B13D65"/>
    <w:rPr>
      <w:color w:val="808080"/>
    </w:rPr>
  </w:style>
  <w:style w:type="paragraph" w:styleId="Betarp">
    <w:name w:val="No Spacing"/>
    <w:uiPriority w:val="1"/>
    <w:qFormat/>
    <w:rsid w:val="00B13D65"/>
    <w:rPr>
      <w:rFonts w:ascii="Calibri" w:eastAsia="Calibri" w:hAnsi="Calibri"/>
      <w:sz w:val="22"/>
      <w:szCs w:val="22"/>
      <w:lang w:eastAsia="en-US"/>
    </w:rPr>
  </w:style>
  <w:style w:type="table" w:customStyle="1" w:styleId="Lentelstinklelis1">
    <w:name w:val="Lentelės tinklelis1"/>
    <w:basedOn w:val="prastojilentel"/>
    <w:next w:val="Lentelstinklelis"/>
    <w:rsid w:val="009E44AE"/>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476256"/>
    <w:rPr>
      <w:sz w:val="24"/>
      <w:szCs w:val="24"/>
      <w:lang w:eastAsia="en-US"/>
    </w:rPr>
  </w:style>
  <w:style w:type="paragraph" w:styleId="HTMLiankstoformatuotas">
    <w:name w:val="HTML Preformatted"/>
    <w:basedOn w:val="prastasis"/>
    <w:link w:val="HTMLiankstoformatuotasDiagrama"/>
    <w:uiPriority w:val="99"/>
    <w:unhideWhenUsed/>
    <w:rsid w:val="00DE6806"/>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lang w:eastAsia="lt-LT"/>
    </w:rPr>
  </w:style>
  <w:style w:type="character" w:customStyle="1" w:styleId="HTMLiankstoformatuotasDiagrama">
    <w:name w:val="HTML iš anksto formatuotas Diagrama"/>
    <w:basedOn w:val="Numatytasispastraiposriftas"/>
    <w:link w:val="HTMLiankstoformatuotas"/>
    <w:uiPriority w:val="99"/>
    <w:rsid w:val="00DE6806"/>
    <w:rPr>
      <w:rFonts w:ascii="Courier New" w:hAnsi="Courier New" w:cs="Courier New"/>
      <w:szCs w:val="24"/>
    </w:rPr>
  </w:style>
  <w:style w:type="character" w:customStyle="1" w:styleId="y2iqfc">
    <w:name w:val="y2iqfc"/>
    <w:basedOn w:val="Numatytasispastraiposriftas"/>
    <w:rsid w:val="00DE6806"/>
  </w:style>
  <w:style w:type="character" w:customStyle="1" w:styleId="SraopastraipaDiagrama">
    <w:name w:val="Sąrašo pastraipa Diagrama"/>
    <w:aliases w:val="Bullet List Diagrama,Bullet1 Diagrama,Use Case List Paragraph Diagrama,List Paragraph1 Diagrama,Body Bullet Diagrama,Table Number Paragraph Diagrama,Colorful List - Accent 11 Diagrama,List Paragraph 1 Diagrama,Ref Diagrama"/>
    <w:basedOn w:val="Numatytasispastraiposriftas"/>
    <w:link w:val="Sraopastraipa"/>
    <w:uiPriority w:val="34"/>
    <w:rsid w:val="00764DEF"/>
    <w:rPr>
      <w:sz w:val="24"/>
      <w:szCs w:val="24"/>
      <w:lang w:eastAsia="en-US"/>
    </w:rPr>
  </w:style>
  <w:style w:type="table" w:customStyle="1" w:styleId="TableGrid1">
    <w:name w:val="Table Grid1"/>
    <w:basedOn w:val="prastojilentel"/>
    <w:next w:val="Lentelstinklelis"/>
    <w:rsid w:val="006D7D8B"/>
    <w:rPr>
      <w:sz w:val="24"/>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98802146">
      <w:bodyDiv w:val="1"/>
      <w:marLeft w:val="0"/>
      <w:marRight w:val="0"/>
      <w:marTop w:val="0"/>
      <w:marBottom w:val="0"/>
      <w:divBdr>
        <w:top w:val="none" w:sz="0" w:space="0" w:color="auto"/>
        <w:left w:val="none" w:sz="0" w:space="0" w:color="auto"/>
        <w:bottom w:val="none" w:sz="0" w:space="0" w:color="auto"/>
        <w:right w:val="none" w:sz="0" w:space="0" w:color="auto"/>
      </w:divBdr>
    </w:div>
    <w:div w:id="1597787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glossaryDocument" Target="glossary/document.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eader" Target="header3.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A1DCC42A2974C359888226B925C8FF8"/>
        <w:category>
          <w:name w:val="Bendrosios nuostatos"/>
          <w:gallery w:val="placeholder"/>
        </w:category>
        <w:types>
          <w:type w:val="bbPlcHdr"/>
        </w:types>
        <w:behaviors>
          <w:behavior w:val="content"/>
        </w:behaviors>
        <w:guid w:val="{DA594F7C-085F-4470-BFBE-73CE12F450B6}"/>
      </w:docPartPr>
      <w:docPartBody>
        <w:p w:rsidR="00E44A86" w:rsidRDefault="005E40DD" w:rsidP="005E40DD">
          <w:pPr>
            <w:pStyle w:val="0A1DCC42A2974C359888226B925C8FF8"/>
          </w:pPr>
          <w:r>
            <w:rPr>
              <w:rStyle w:val="Vietosrezervavimoenklotekstas"/>
            </w:rPr>
            <w:t>Click here to enter a date.</w:t>
          </w:r>
        </w:p>
      </w:docPartBody>
    </w:docPart>
    <w:docPart>
      <w:docPartPr>
        <w:name w:val="CDB60824EC144AB3B75C05A5823BEE2D"/>
        <w:category>
          <w:name w:val="Bendrosios nuostatos"/>
          <w:gallery w:val="placeholder"/>
        </w:category>
        <w:types>
          <w:type w:val="bbPlcHdr"/>
        </w:types>
        <w:behaviors>
          <w:behavior w:val="content"/>
        </w:behaviors>
        <w:guid w:val="{BCA21354-5277-4E37-94EF-AC6CA7E9D852}"/>
      </w:docPartPr>
      <w:docPartBody>
        <w:p w:rsidR="00E44A86" w:rsidRDefault="005E40DD" w:rsidP="005E40DD">
          <w:pPr>
            <w:pStyle w:val="CDB60824EC144AB3B75C05A5823BEE2D"/>
          </w:pPr>
          <w:r>
            <w:rPr>
              <w:rStyle w:val="Vietosrezervavimoenklotekstas"/>
            </w:rPr>
            <w:t>Click here to enter a date.</w:t>
          </w:r>
        </w:p>
      </w:docPartBody>
    </w:docPart>
    <w:docPart>
      <w:docPartPr>
        <w:name w:val="2CB859764A4C4B5DA3587F3FA7DA6AA8"/>
        <w:category>
          <w:name w:val="General"/>
          <w:gallery w:val="placeholder"/>
        </w:category>
        <w:types>
          <w:type w:val="bbPlcHdr"/>
        </w:types>
        <w:behaviors>
          <w:behavior w:val="content"/>
        </w:behaviors>
        <w:guid w:val="{C1FEC918-7B44-4273-9416-B5841C6FA3EA}"/>
      </w:docPartPr>
      <w:docPartBody>
        <w:p w:rsidR="007E54FE" w:rsidRDefault="00FB6BEF" w:rsidP="00FB6BEF">
          <w:pPr>
            <w:pStyle w:val="2CB859764A4C4B5DA3587F3FA7DA6AA8"/>
          </w:pPr>
          <w:r>
            <w:rPr>
              <w:rStyle w:val="Vietosrezervavimoenklotekstas"/>
            </w:rPr>
            <w:t>Click here to enter a date.</w:t>
          </w:r>
        </w:p>
      </w:docPartBody>
    </w:docPart>
    <w:docPart>
      <w:docPartPr>
        <w:name w:val="E8A2E71B04BA4BD395A44D305BD9CBBB"/>
        <w:category>
          <w:name w:val="General"/>
          <w:gallery w:val="placeholder"/>
        </w:category>
        <w:types>
          <w:type w:val="bbPlcHdr"/>
        </w:types>
        <w:behaviors>
          <w:behavior w:val="content"/>
        </w:behaviors>
        <w:guid w:val="{5497BD30-BB62-4602-A04F-2DA24EC976D5}"/>
      </w:docPartPr>
      <w:docPartBody>
        <w:p w:rsidR="007E54FE" w:rsidRDefault="00FB6BEF" w:rsidP="00FB6BEF">
          <w:pPr>
            <w:pStyle w:val="E8A2E71B04BA4BD395A44D305BD9CBBB"/>
          </w:pPr>
          <w:r>
            <w:rPr>
              <w:rStyle w:val="Vietosrezervavimoenklotekstas"/>
            </w:rPr>
            <w:t>Click here to enter a date.</w:t>
          </w:r>
        </w:p>
      </w:docPartBody>
    </w:docPart>
    <w:docPart>
      <w:docPartPr>
        <w:name w:val="2645F993B9ED49DEBF7AB3DCFE2F4E34"/>
        <w:category>
          <w:name w:val="General"/>
          <w:gallery w:val="placeholder"/>
        </w:category>
        <w:types>
          <w:type w:val="bbPlcHdr"/>
        </w:types>
        <w:behaviors>
          <w:behavior w:val="content"/>
        </w:behaviors>
        <w:guid w:val="{B48363AF-8570-4CED-8573-10F5C690A025}"/>
      </w:docPartPr>
      <w:docPartBody>
        <w:p w:rsidR="007E54FE" w:rsidRDefault="00FB6BEF" w:rsidP="00FB6BEF">
          <w:pPr>
            <w:pStyle w:val="2645F993B9ED49DEBF7AB3DCFE2F4E34"/>
          </w:pPr>
          <w:r>
            <w:rPr>
              <w:rStyle w:val="Vietosrezervavimoenklotekstas"/>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00000000" w:usb1="E9DFFFFF" w:usb2="0000003F" w:usb3="00000000" w:csb0="003F01FF" w:csb1="00000000"/>
  </w:font>
  <w:font w:name="Tahoma">
    <w:panose1 w:val="020B0604030504040204"/>
    <w:charset w:val="BA"/>
    <w:family w:val="swiss"/>
    <w:pitch w:val="variable"/>
    <w:sig w:usb0="E1002EFF" w:usb1="C000605B" w:usb2="00000029" w:usb3="00000000" w:csb0="000101FF"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mbria">
    <w:panose1 w:val="02040503050406030204"/>
    <w:charset w:val="BA"/>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E40DD"/>
    <w:rsid w:val="0001247F"/>
    <w:rsid w:val="000555F1"/>
    <w:rsid w:val="00061157"/>
    <w:rsid w:val="000937FE"/>
    <w:rsid w:val="000A559A"/>
    <w:rsid w:val="000D24D4"/>
    <w:rsid w:val="00145F5A"/>
    <w:rsid w:val="00194538"/>
    <w:rsid w:val="001A0A2E"/>
    <w:rsid w:val="001C35A9"/>
    <w:rsid w:val="00237556"/>
    <w:rsid w:val="002D6F34"/>
    <w:rsid w:val="0039303B"/>
    <w:rsid w:val="004121D2"/>
    <w:rsid w:val="004144A3"/>
    <w:rsid w:val="004160E7"/>
    <w:rsid w:val="004416C6"/>
    <w:rsid w:val="00456A2A"/>
    <w:rsid w:val="004F5AB2"/>
    <w:rsid w:val="00501DFF"/>
    <w:rsid w:val="00505419"/>
    <w:rsid w:val="005074B9"/>
    <w:rsid w:val="0053271E"/>
    <w:rsid w:val="005C6A8A"/>
    <w:rsid w:val="005E40DD"/>
    <w:rsid w:val="00625C57"/>
    <w:rsid w:val="006437D6"/>
    <w:rsid w:val="006C0307"/>
    <w:rsid w:val="006C6303"/>
    <w:rsid w:val="00715073"/>
    <w:rsid w:val="007219C1"/>
    <w:rsid w:val="00753462"/>
    <w:rsid w:val="00772325"/>
    <w:rsid w:val="007A2FE0"/>
    <w:rsid w:val="007C1753"/>
    <w:rsid w:val="007C6D1D"/>
    <w:rsid w:val="007E54FE"/>
    <w:rsid w:val="007F54EA"/>
    <w:rsid w:val="00856803"/>
    <w:rsid w:val="0090074D"/>
    <w:rsid w:val="00944DD5"/>
    <w:rsid w:val="009A0DAA"/>
    <w:rsid w:val="009B3BF0"/>
    <w:rsid w:val="009D5E5E"/>
    <w:rsid w:val="009E1BAA"/>
    <w:rsid w:val="009F1BB4"/>
    <w:rsid w:val="00AB6ED4"/>
    <w:rsid w:val="00AC3261"/>
    <w:rsid w:val="00B14210"/>
    <w:rsid w:val="00B23DC0"/>
    <w:rsid w:val="00B96656"/>
    <w:rsid w:val="00BE29C1"/>
    <w:rsid w:val="00C2401D"/>
    <w:rsid w:val="00C53A68"/>
    <w:rsid w:val="00C842AF"/>
    <w:rsid w:val="00C86B5C"/>
    <w:rsid w:val="00CA5BB4"/>
    <w:rsid w:val="00CB4BD1"/>
    <w:rsid w:val="00CE2DA9"/>
    <w:rsid w:val="00CE44BE"/>
    <w:rsid w:val="00D17996"/>
    <w:rsid w:val="00D4356B"/>
    <w:rsid w:val="00D7162F"/>
    <w:rsid w:val="00DA42C9"/>
    <w:rsid w:val="00E44A86"/>
    <w:rsid w:val="00E522EB"/>
    <w:rsid w:val="00E60827"/>
    <w:rsid w:val="00E73FF6"/>
    <w:rsid w:val="00EF6E0C"/>
    <w:rsid w:val="00F55028"/>
    <w:rsid w:val="00F77BEF"/>
    <w:rsid w:val="00FB2AEF"/>
    <w:rsid w:val="00FB6BEF"/>
    <w:rsid w:val="00FC755C"/>
    <w:rsid w:val="00FE0D46"/>
    <w:rsid w:val="00FE7226"/>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uiPriority w:val="99"/>
    <w:rsid w:val="00FB6BEF"/>
    <w:rPr>
      <w:color w:val="808080"/>
    </w:rPr>
  </w:style>
  <w:style w:type="paragraph" w:customStyle="1" w:styleId="0A1DCC42A2974C359888226B925C8FF8">
    <w:name w:val="0A1DCC42A2974C359888226B925C8FF8"/>
    <w:rsid w:val="005E40DD"/>
  </w:style>
  <w:style w:type="paragraph" w:customStyle="1" w:styleId="CDB60824EC144AB3B75C05A5823BEE2D">
    <w:name w:val="CDB60824EC144AB3B75C05A5823BEE2D"/>
    <w:rsid w:val="005E40DD"/>
  </w:style>
  <w:style w:type="paragraph" w:customStyle="1" w:styleId="2CB859764A4C4B5DA3587F3FA7DA6AA8">
    <w:name w:val="2CB859764A4C4B5DA3587F3FA7DA6AA8"/>
    <w:rsid w:val="00FB6BEF"/>
  </w:style>
  <w:style w:type="paragraph" w:customStyle="1" w:styleId="E8A2E71B04BA4BD395A44D305BD9CBBB">
    <w:name w:val="E8A2E71B04BA4BD395A44D305BD9CBBB"/>
    <w:rsid w:val="00FB6BEF"/>
  </w:style>
  <w:style w:type="paragraph" w:customStyle="1" w:styleId="2645F993B9ED49DEBF7AB3DCFE2F4E34">
    <w:name w:val="2645F993B9ED49DEBF7AB3DCFE2F4E34"/>
    <w:rsid w:val="00FB6BE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117A001-C2B1-4270-904F-4D2D1DDF710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10</Pages>
  <Words>17164</Words>
  <Characters>9784</Characters>
  <Application>Microsoft Office Word</Application>
  <DocSecurity>0</DocSecurity>
  <Lines>81</Lines>
  <Paragraphs>53</Paragraphs>
  <ScaleCrop>false</ScaleCrop>
  <Company/>
  <LinksUpToDate>false</LinksUpToDate>
  <CharactersWithSpaces>26895</CharactersWithSpaces>
  <SharedDoc>false</SharedDoc>
  <HLinks>
    <vt:vector size="6" baseType="variant">
      <vt:variant>
        <vt:i4>5308539</vt:i4>
      </vt:variant>
      <vt:variant>
        <vt:i4>6</vt:i4>
      </vt:variant>
      <vt:variant>
        <vt:i4>0</vt:i4>
      </vt:variant>
      <vt:variant>
        <vt:i4>5</vt:i4>
      </vt:variant>
      <vt:variant>
        <vt:lpwstr>mailto:vvkt@vvkt.lt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2025-01-02T11:33:00Z</dcterms:created>
  <dcterms:modified xsi:type="dcterms:W3CDTF">2025-01-02T11:36:00Z</dcterms:modified>
</cp:coreProperties>
</file>