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4BA7052B" w14:textId="77777777" w:rsidR="003A2821" w:rsidRDefault="003A2821" w:rsidP="003A2821">
      <w:pPr>
        <w:jc w:val="center"/>
        <w:rPr>
          <w:b/>
        </w:rPr>
      </w:pPr>
      <w:proofErr w:type="spellStart"/>
      <w:r w:rsidRPr="00DB003E">
        <w:rPr>
          <w:b/>
        </w:rPr>
        <w:t>Polivy</w:t>
      </w:r>
      <w:proofErr w:type="spellEnd"/>
      <w:r w:rsidRPr="00DB003E">
        <w:rPr>
          <w:b/>
        </w:rPr>
        <w:t xml:space="preserve"> 30</w:t>
      </w:r>
      <w:r>
        <w:rPr>
          <w:b/>
        </w:rPr>
        <w:t xml:space="preserve"> mg</w:t>
      </w:r>
      <w:r w:rsidRPr="00DB003E">
        <w:rPr>
          <w:b/>
        </w:rPr>
        <w:t xml:space="preserve"> milteliai infuzinio tirpalo koncentratui</w:t>
      </w:r>
    </w:p>
    <w:p w14:paraId="617E0EAC" w14:textId="77777777" w:rsidR="003A2821" w:rsidRPr="00DB003E" w:rsidRDefault="003A2821" w:rsidP="003A2821">
      <w:pPr>
        <w:jc w:val="center"/>
        <w:rPr>
          <w:b/>
        </w:rPr>
      </w:pPr>
      <w:proofErr w:type="spellStart"/>
      <w:r w:rsidRPr="00DB003E">
        <w:rPr>
          <w:b/>
        </w:rPr>
        <w:t>Polivy</w:t>
      </w:r>
      <w:proofErr w:type="spellEnd"/>
      <w:r>
        <w:rPr>
          <w:b/>
        </w:rPr>
        <w:t xml:space="preserve"> </w:t>
      </w:r>
      <w:r w:rsidRPr="00DB003E">
        <w:rPr>
          <w:b/>
        </w:rPr>
        <w:t>140 mg milteliai infuzinio tirpalo koncentratui</w:t>
      </w:r>
    </w:p>
    <w:p w14:paraId="3C05C456" w14:textId="77777777" w:rsidR="003A2821" w:rsidRPr="00DB003E" w:rsidRDefault="003A2821" w:rsidP="003A2821">
      <w:pPr>
        <w:jc w:val="center"/>
        <w:rPr>
          <w:b/>
        </w:rPr>
      </w:pPr>
    </w:p>
    <w:p w14:paraId="4449E7A4" w14:textId="77777777" w:rsidR="003A2821" w:rsidRPr="00DB003E" w:rsidRDefault="003A2821" w:rsidP="003A2821">
      <w:pPr>
        <w:jc w:val="center"/>
        <w:rPr>
          <w:b/>
        </w:rPr>
      </w:pPr>
      <w:proofErr w:type="spellStart"/>
      <w:r w:rsidRPr="00DB003E">
        <w:rPr>
          <w:b/>
        </w:rPr>
        <w:t>Polatuzumabas</w:t>
      </w:r>
      <w:proofErr w:type="spellEnd"/>
      <w:r w:rsidRPr="00DB003E">
        <w:rPr>
          <w:b/>
        </w:rPr>
        <w:t xml:space="preserve"> </w:t>
      </w:r>
      <w:proofErr w:type="spellStart"/>
      <w:r w:rsidRPr="00DB003E">
        <w:rPr>
          <w:b/>
        </w:rPr>
        <w:t>vedotinas</w:t>
      </w:r>
      <w:proofErr w:type="spellEnd"/>
    </w:p>
    <w:p w14:paraId="453197C8" w14:textId="6E03B534" w:rsidR="00D4708D" w:rsidRDefault="003A2821" w:rsidP="003A2821">
      <w:pPr>
        <w:jc w:val="center"/>
        <w:rPr>
          <w:b/>
        </w:rPr>
      </w:pPr>
      <w:r w:rsidRPr="00DB003E">
        <w:rPr>
          <w:b/>
        </w:rPr>
        <w:t>STV-171</w:t>
      </w:r>
    </w:p>
    <w:p w14:paraId="1F4B7039" w14:textId="77777777" w:rsidR="003A2821" w:rsidRPr="000203E1" w:rsidRDefault="003A2821" w:rsidP="003A2821">
      <w:pP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3A2821" w:rsidRPr="000203E1" w14:paraId="18A83EC2" w14:textId="77777777" w:rsidTr="00BE7489">
        <w:trPr>
          <w:trHeight w:val="538"/>
        </w:trPr>
        <w:tc>
          <w:tcPr>
            <w:tcW w:w="632" w:type="dxa"/>
          </w:tcPr>
          <w:p w14:paraId="0646FBEA" w14:textId="77777777" w:rsidR="003A2821" w:rsidRPr="000203E1" w:rsidRDefault="003A2821" w:rsidP="003A2821">
            <w:pPr>
              <w:rPr>
                <w:rFonts w:eastAsia="Arial"/>
              </w:rPr>
            </w:pPr>
            <w:r w:rsidRPr="000203E1">
              <w:rPr>
                <w:rFonts w:eastAsia="Arial"/>
              </w:rPr>
              <w:t>1.1</w:t>
            </w:r>
          </w:p>
        </w:tc>
        <w:tc>
          <w:tcPr>
            <w:tcW w:w="3694" w:type="dxa"/>
          </w:tcPr>
          <w:p w14:paraId="6C3AE864" w14:textId="77777777" w:rsidR="003A2821" w:rsidRPr="000203E1" w:rsidRDefault="003A2821" w:rsidP="003A2821">
            <w:pPr>
              <w:rPr>
                <w:rFonts w:eastAsia="Arial"/>
              </w:rPr>
            </w:pPr>
            <w:r w:rsidRPr="000203E1">
              <w:rPr>
                <w:rFonts w:eastAsia="Arial"/>
              </w:rPr>
              <w:t>Pareiškėjas</w:t>
            </w:r>
          </w:p>
          <w:p w14:paraId="2AF240DC" w14:textId="77777777" w:rsidR="003A2821" w:rsidRPr="000203E1" w:rsidRDefault="003A2821" w:rsidP="003A2821">
            <w:pPr>
              <w:rPr>
                <w:rFonts w:eastAsia="Arial"/>
              </w:rPr>
            </w:pPr>
          </w:p>
        </w:tc>
        <w:tc>
          <w:tcPr>
            <w:tcW w:w="5167" w:type="dxa"/>
          </w:tcPr>
          <w:p w14:paraId="2AAF0D91" w14:textId="3CE94E24" w:rsidR="003A2821" w:rsidRPr="000203E1" w:rsidRDefault="003A2821" w:rsidP="003A2821">
            <w:pPr>
              <w:rPr>
                <w:rFonts w:eastAsia="Arial"/>
              </w:rPr>
            </w:pPr>
            <w:r w:rsidRPr="00DB003E">
              <w:t>UAB „</w:t>
            </w:r>
            <w:proofErr w:type="spellStart"/>
            <w:r w:rsidRPr="00DB003E">
              <w:t>Roche</w:t>
            </w:r>
            <w:proofErr w:type="spellEnd"/>
            <w:r w:rsidRPr="00DB003E">
              <w:t xml:space="preserve"> Lietuva“</w:t>
            </w:r>
          </w:p>
        </w:tc>
      </w:tr>
      <w:tr w:rsidR="003A2821" w:rsidRPr="000203E1" w14:paraId="31998B0D" w14:textId="77777777" w:rsidTr="00BE7489">
        <w:trPr>
          <w:trHeight w:val="538"/>
        </w:trPr>
        <w:tc>
          <w:tcPr>
            <w:tcW w:w="632" w:type="dxa"/>
          </w:tcPr>
          <w:p w14:paraId="2005EC67" w14:textId="662300D0" w:rsidR="003A2821" w:rsidRPr="000203E1" w:rsidRDefault="003A2821" w:rsidP="003A2821">
            <w:pPr>
              <w:rPr>
                <w:rFonts w:eastAsia="Arial"/>
              </w:rPr>
            </w:pPr>
            <w:r w:rsidRPr="000203E1">
              <w:rPr>
                <w:rFonts w:eastAsia="Arial"/>
              </w:rPr>
              <w:t>1.2</w:t>
            </w:r>
          </w:p>
        </w:tc>
        <w:tc>
          <w:tcPr>
            <w:tcW w:w="3694" w:type="dxa"/>
          </w:tcPr>
          <w:p w14:paraId="1E4AE3B1" w14:textId="77777777" w:rsidR="003A2821" w:rsidRPr="000203E1" w:rsidRDefault="003A2821" w:rsidP="003A2821">
            <w:pPr>
              <w:rPr>
                <w:bCs/>
                <w:lang w:eastAsia="lt-LT"/>
              </w:rPr>
            </w:pPr>
            <w:r w:rsidRPr="000203E1">
              <w:rPr>
                <w:bCs/>
                <w:lang w:eastAsia="lt-LT"/>
              </w:rPr>
              <w:t xml:space="preserve">Registracijos data </w:t>
            </w:r>
          </w:p>
          <w:p w14:paraId="3A0DC096" w14:textId="77777777" w:rsidR="003A2821" w:rsidRPr="000203E1" w:rsidRDefault="003A2821" w:rsidP="003A2821">
            <w:pPr>
              <w:rPr>
                <w:bCs/>
                <w:lang w:eastAsia="lt-LT"/>
              </w:rPr>
            </w:pPr>
          </w:p>
        </w:tc>
        <w:tc>
          <w:tcPr>
            <w:tcW w:w="5167" w:type="dxa"/>
          </w:tcPr>
          <w:p w14:paraId="3CA218AD" w14:textId="6730CAEA" w:rsidR="003A2821" w:rsidRPr="000203E1" w:rsidRDefault="00000000" w:rsidP="003A2821">
            <w:pPr>
              <w:rPr>
                <w:rStyle w:val="Style2"/>
              </w:rPr>
            </w:pPr>
            <w:sdt>
              <w:sdtPr>
                <w:rPr>
                  <w:sz w:val="32"/>
                </w:rPr>
                <w:alias w:val="Nurodykite konkrečią dieną"/>
                <w:tag w:val="Nurodykite pradžios datą"/>
                <w:id w:val="423238108"/>
                <w:placeholder>
                  <w:docPart w:val="B00275C125DA4A0E830AF29295049E2E"/>
                </w:placeholder>
                <w15:color w:val="FFCC99"/>
                <w:date>
                  <w:dateFormat w:val="yyyy 'm.' MMMM d 'd.'"/>
                  <w:lid w:val="lt-LT"/>
                  <w:storeMappedDataAs w:val="dateTime"/>
                  <w:calendar w:val="gregorian"/>
                </w:date>
              </w:sdtPr>
              <w:sdtContent>
                <w:r w:rsidR="003A2821" w:rsidRPr="00DB003E">
                  <w:t>2020 m. sausio 16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6EC232A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A2821">
              <w:t>n</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72AD270C" w:rsidR="00B13D65" w:rsidRPr="009B2F9C"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9B2F9C" w:rsidRPr="009B2F9C">
                  <w:rPr>
                    <w:rStyle w:val="Style2"/>
                    <w:rFonts w:ascii="Segoe UI Symbol" w:eastAsia="MS Gothic" w:hAnsi="Segoe UI Symbol" w:cs="Segoe UI Symbol"/>
                    <w:sz w:val="24"/>
                  </w:rPr>
                  <w:t>☒</w:t>
                </w:r>
              </w:sdtContent>
            </w:sdt>
            <w:r w:rsidR="00B13D65" w:rsidRPr="009B2F9C">
              <w:t xml:space="preserve">8.3 str. (pilna byla, pagrįsta savais tyrimais) </w:t>
            </w:r>
          </w:p>
          <w:p w14:paraId="32BA564E" w14:textId="3FDA3E01" w:rsidR="00B13D65" w:rsidRPr="009B2F9C"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 xml:space="preserve">10 a str. (pripažintas medicininis vartojimas) </w:t>
            </w:r>
          </w:p>
          <w:p w14:paraId="318DCD7F" w14:textId="32333E53" w:rsidR="00B13D65" w:rsidRPr="009B2F9C"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10.1 str. (</w:t>
            </w:r>
            <w:proofErr w:type="spellStart"/>
            <w:r w:rsidR="00B13D65" w:rsidRPr="009B2F9C">
              <w:t>generinis</w:t>
            </w:r>
            <w:proofErr w:type="spellEnd"/>
            <w:r w:rsidR="00B13D65" w:rsidRPr="009B2F9C">
              <w:t>)</w:t>
            </w:r>
          </w:p>
          <w:p w14:paraId="3B0A4F72" w14:textId="3F5FB073" w:rsidR="00B13D65" w:rsidRPr="000203E1"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D67CD4" w:rsidRDefault="00B13D65" w:rsidP="00824B92">
            <w:pPr>
              <w:rPr>
                <w:bCs/>
                <w:lang w:eastAsia="lt-LT"/>
              </w:rPr>
            </w:pPr>
            <w:r w:rsidRPr="00D67CD4">
              <w:rPr>
                <w:bCs/>
                <w:lang w:eastAsia="lt-LT"/>
              </w:rPr>
              <w:t xml:space="preserve">Ar vaistinis preparatas įrašytas į Bendrijos retųjų vaistinių preparatų registrą? </w:t>
            </w:r>
          </w:p>
          <w:p w14:paraId="33726F9C" w14:textId="77777777" w:rsidR="00B13D65" w:rsidRPr="00D67CD4" w:rsidRDefault="00B13D65" w:rsidP="00824B92">
            <w:pPr>
              <w:rPr>
                <w:bCs/>
                <w:i/>
                <w:lang w:eastAsia="lt-LT"/>
              </w:rPr>
            </w:pPr>
          </w:p>
          <w:p w14:paraId="483071A3" w14:textId="0F633FFC" w:rsidR="00B13D65" w:rsidRPr="00D67CD4" w:rsidRDefault="00DF583C" w:rsidP="00824B92">
            <w:pPr>
              <w:rPr>
                <w:bCs/>
                <w:lang w:eastAsia="lt-LT"/>
              </w:rPr>
            </w:pPr>
            <w:r w:rsidRPr="00D67CD4">
              <w:rPr>
                <w:bCs/>
                <w:i/>
                <w:sz w:val="20"/>
                <w:lang w:eastAsia="lt-LT"/>
              </w:rPr>
              <w:t>Jei taip, n</w:t>
            </w:r>
            <w:r w:rsidR="00B13D65" w:rsidRPr="00D67CD4">
              <w:rPr>
                <w:bCs/>
                <w:i/>
                <w:sz w:val="20"/>
                <w:lang w:eastAsia="lt-LT"/>
              </w:rPr>
              <w:t xml:space="preserve">urodykite </w:t>
            </w:r>
            <w:r w:rsidR="007656B2" w:rsidRPr="00D67CD4">
              <w:rPr>
                <w:bCs/>
                <w:i/>
                <w:sz w:val="20"/>
                <w:lang w:eastAsia="lt-LT"/>
              </w:rPr>
              <w:t>įrašymo</w:t>
            </w:r>
            <w:r w:rsidR="00B13D65" w:rsidRPr="00D67CD4">
              <w:rPr>
                <w:bCs/>
                <w:i/>
                <w:sz w:val="20"/>
                <w:lang w:eastAsia="lt-LT"/>
              </w:rPr>
              <w:t xml:space="preserve"> datą ir numerį</w:t>
            </w:r>
          </w:p>
        </w:tc>
        <w:tc>
          <w:tcPr>
            <w:tcW w:w="5167" w:type="dxa"/>
          </w:tcPr>
          <w:p w14:paraId="05845C60" w14:textId="08465C17" w:rsidR="00B13D65" w:rsidRPr="00D67CD4" w:rsidRDefault="00000000" w:rsidP="00824B92">
            <w:sdt>
              <w:sdtPr>
                <w:rPr>
                  <w:rStyle w:val="Style2"/>
                  <w:sz w:val="24"/>
                </w:rPr>
                <w:id w:val="2024432173"/>
                <w15:color w:val="FFCC00"/>
                <w14:checkbox>
                  <w14:checked w14:val="1"/>
                  <w14:checkedState w14:val="2612" w14:font="MS Gothic"/>
                  <w14:uncheckedState w14:val="2610" w14:font="MS Gothic"/>
                </w14:checkbox>
              </w:sdtPr>
              <w:sdtContent>
                <w:r w:rsidR="003A2821" w:rsidRPr="00D67CD4">
                  <w:rPr>
                    <w:rStyle w:val="Style2"/>
                    <w:rFonts w:ascii="MS Gothic" w:eastAsia="MS Gothic" w:hAnsi="MS Gothic" w:hint="eastAsia"/>
                    <w:sz w:val="24"/>
                  </w:rPr>
                  <w:t>☒</w:t>
                </w:r>
              </w:sdtContent>
            </w:sdt>
            <w:r w:rsidR="00B13D65" w:rsidRPr="00D67CD4">
              <w:t xml:space="preserve"> Taip</w:t>
            </w:r>
          </w:p>
          <w:p w14:paraId="41D88067" w14:textId="0403F029" w:rsidR="00B13D65" w:rsidRPr="00D67CD4" w:rsidRDefault="00000000" w:rsidP="00824B92">
            <w:sdt>
              <w:sdtPr>
                <w:rPr>
                  <w:rStyle w:val="Style2"/>
                  <w:sz w:val="24"/>
                </w:rPr>
                <w:id w:val="-970507926"/>
                <w15:color w:val="FFCC00"/>
                <w14:checkbox>
                  <w14:checked w14:val="0"/>
                  <w14:checkedState w14:val="2612" w14:font="MS Gothic"/>
                  <w14:uncheckedState w14:val="2610" w14:font="MS Gothic"/>
                </w14:checkbox>
              </w:sdtPr>
              <w:sdtContent>
                <w:r w:rsidR="003A2821" w:rsidRPr="00D67CD4">
                  <w:rPr>
                    <w:rStyle w:val="Style2"/>
                    <w:rFonts w:ascii="MS Gothic" w:eastAsia="MS Gothic" w:hAnsi="MS Gothic" w:hint="eastAsia"/>
                    <w:sz w:val="24"/>
                  </w:rPr>
                  <w:t>☐</w:t>
                </w:r>
              </w:sdtContent>
            </w:sdt>
            <w:r w:rsidR="00B13D65" w:rsidRPr="00D67CD4">
              <w:t xml:space="preserve"> Ne</w:t>
            </w:r>
          </w:p>
          <w:p w14:paraId="213CE67E" w14:textId="77777777" w:rsidR="00B13D65" w:rsidRPr="00D67CD4" w:rsidRDefault="00000000" w:rsidP="00824B92">
            <w:sdt>
              <w:sdtPr>
                <w:alias w:val="Nurodykite konkrečią dieną"/>
                <w:tag w:val="Nurodykite pradžios datą"/>
                <w:id w:val="693498901"/>
                <w:placeholder>
                  <w:docPart w:val="CDB60824EC144AB3B75C05A5823BEE2D"/>
                </w:placeholder>
                <w15:color w:val="FFCC99"/>
                <w:date>
                  <w:dateFormat w:val="yyyy 'm.' MMMM d 'd.'"/>
                  <w:lid w:val="lt-LT"/>
                  <w:storeMappedDataAs w:val="dateTime"/>
                  <w:calendar w:val="gregorian"/>
                </w:date>
              </w:sdtPr>
              <w:sdtContent>
                <w:r w:rsidR="003A2821" w:rsidRPr="00D67CD4">
                  <w:t>2018 m. vasario 16 d.</w:t>
                </w:r>
              </w:sdtContent>
            </w:sdt>
          </w:p>
          <w:p w14:paraId="29C2CBBB" w14:textId="243E9C1C" w:rsidR="00D67CD4" w:rsidRPr="00D67CD4" w:rsidRDefault="00D67CD4" w:rsidP="00824B92">
            <w:pPr>
              <w:rPr>
                <w:rFonts w:eastAsia="Arial"/>
              </w:rPr>
            </w:pPr>
            <w:r w:rsidRPr="00D67CD4">
              <w:rPr>
                <w:rFonts w:eastAsia="Arial"/>
              </w:rPr>
              <w:t>EU/3/18/2013</w:t>
            </w:r>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35BCCAFE"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A2821">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w:t>
            </w:r>
            <w:proofErr w:type="spellStart"/>
            <w:r w:rsidR="00B13D65" w:rsidRPr="000203E1">
              <w:rPr>
                <w:bCs/>
                <w:lang w:eastAsia="lt-LT"/>
              </w:rPr>
              <w:t>os</w:t>
            </w:r>
            <w:proofErr w:type="spellEnd"/>
            <w:r w:rsidR="00B13D65" w:rsidRPr="000203E1">
              <w:rPr>
                <w:bCs/>
                <w:lang w:eastAsia="lt-LT"/>
              </w:rPr>
              <w:t>) kompensuoti vaistinio preparato indikacija (-</w:t>
            </w:r>
            <w:proofErr w:type="spellStart"/>
            <w:r w:rsidR="00B13D65" w:rsidRPr="000203E1">
              <w:rPr>
                <w:bCs/>
                <w:lang w:eastAsia="lt-LT"/>
              </w:rPr>
              <w:t>os</w:t>
            </w:r>
            <w:proofErr w:type="spellEnd"/>
            <w:r w:rsidR="00B13D65" w:rsidRPr="000203E1">
              <w:rPr>
                <w:bCs/>
                <w:lang w:eastAsia="lt-LT"/>
              </w:rPr>
              <w:t>)</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112CA11A" w14:textId="77777777" w:rsidR="003A2821" w:rsidRPr="00DB003E" w:rsidRDefault="003A2821" w:rsidP="003A2821">
            <w:pPr>
              <w:spacing w:after="120"/>
              <w:jc w:val="both"/>
            </w:pPr>
            <w:proofErr w:type="spellStart"/>
            <w:r w:rsidRPr="00DB003E">
              <w:t>Polivy</w:t>
            </w:r>
            <w:proofErr w:type="spellEnd"/>
            <w:r w:rsidRPr="00DB003E">
              <w:t xml:space="preserve"> deriniu su </w:t>
            </w:r>
            <w:proofErr w:type="spellStart"/>
            <w:r w:rsidRPr="00DB003E">
              <w:t>rituksimabu</w:t>
            </w:r>
            <w:proofErr w:type="spellEnd"/>
            <w:r w:rsidRPr="00DB003E">
              <w:t xml:space="preserve">, </w:t>
            </w:r>
            <w:proofErr w:type="spellStart"/>
            <w:r w:rsidRPr="00DB003E">
              <w:t>ciklofosfamidu</w:t>
            </w:r>
            <w:proofErr w:type="spellEnd"/>
            <w:r w:rsidRPr="00DB003E">
              <w:t xml:space="preserve">, </w:t>
            </w:r>
            <w:proofErr w:type="spellStart"/>
            <w:r w:rsidRPr="00DB003E">
              <w:t>doksorubicinu</w:t>
            </w:r>
            <w:proofErr w:type="spellEnd"/>
            <w:r w:rsidRPr="00DB003E">
              <w:t xml:space="preserve"> ir prednizonu (R-CHP) skirtas anksčiau negydyta difuzine didelių B ląstelių limfoma (DDBLL) sergančių suaugusių pacientų gydymui.</w:t>
            </w:r>
          </w:p>
          <w:p w14:paraId="13F7DFB0" w14:textId="782D1099" w:rsidR="00B13D65" w:rsidRPr="000203E1" w:rsidRDefault="003A2821" w:rsidP="003A2821">
            <w:r w:rsidRPr="00DB003E">
              <w:t>TLK kodas C83.3</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535856A1" w:rsidR="00B13D65" w:rsidRPr="000203E1" w:rsidRDefault="009B2F9C" w:rsidP="009B2F9C">
            <w:pPr>
              <w:tabs>
                <w:tab w:val="left" w:pos="3324"/>
              </w:tabs>
            </w:pPr>
            <w:r>
              <w:t>Pagal registruotą indikaciją</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35E09FFA" w:rsidR="009F4D66" w:rsidRPr="000203E1"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9F4D66" w:rsidRPr="000203E1">
              <w:t xml:space="preserve"> Tinkamas</w:t>
            </w:r>
            <w:r w:rsidR="009B2F9C">
              <w:t xml:space="preserve"> (</w:t>
            </w:r>
            <w:r w:rsidR="003A2821">
              <w:t>R-CHOP</w:t>
            </w:r>
            <w:r w:rsidR="009B2F9C">
              <w:t>)</w:t>
            </w:r>
          </w:p>
          <w:p w14:paraId="41B44044" w14:textId="199BD9DF" w:rsidR="00B13D65" w:rsidRPr="000203E1"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3A2821" w:rsidRPr="00DB003E" w14:paraId="4797E7A0" w14:textId="77777777" w:rsidTr="001A6516">
        <w:trPr>
          <w:trHeight w:val="924"/>
        </w:trPr>
        <w:tc>
          <w:tcPr>
            <w:tcW w:w="2927" w:type="dxa"/>
          </w:tcPr>
          <w:p w14:paraId="22B47C55" w14:textId="77777777" w:rsidR="003A2821" w:rsidRPr="00DB003E" w:rsidRDefault="003A2821" w:rsidP="001A6516">
            <w:pPr>
              <w:spacing w:line="276" w:lineRule="auto"/>
              <w:rPr>
                <w:rFonts w:eastAsia="Arial"/>
              </w:rPr>
            </w:pPr>
            <w:r w:rsidRPr="00DB003E">
              <w:rPr>
                <w:rFonts w:eastAsia="Arial"/>
              </w:rPr>
              <w:t>STV agentūros pavadinimas, šalis</w:t>
            </w:r>
          </w:p>
        </w:tc>
        <w:tc>
          <w:tcPr>
            <w:tcW w:w="1915" w:type="dxa"/>
          </w:tcPr>
          <w:p w14:paraId="01128C2B" w14:textId="77777777" w:rsidR="003A2821" w:rsidRPr="00DB003E" w:rsidRDefault="003A2821" w:rsidP="001A6516">
            <w:pPr>
              <w:spacing w:line="276" w:lineRule="auto"/>
              <w:rPr>
                <w:rFonts w:eastAsia="Arial"/>
              </w:rPr>
            </w:pPr>
            <w:r w:rsidRPr="00DB003E">
              <w:rPr>
                <w:rFonts w:eastAsia="Arial"/>
              </w:rPr>
              <w:t>STV vertinimas atliktas</w:t>
            </w:r>
          </w:p>
        </w:tc>
        <w:tc>
          <w:tcPr>
            <w:tcW w:w="2351" w:type="dxa"/>
          </w:tcPr>
          <w:p w14:paraId="3F980571" w14:textId="77777777" w:rsidR="003A2821" w:rsidRPr="00DB003E" w:rsidRDefault="003A2821" w:rsidP="001A6516">
            <w:pPr>
              <w:spacing w:line="276" w:lineRule="auto"/>
              <w:rPr>
                <w:rFonts w:eastAsia="Arial"/>
              </w:rPr>
            </w:pPr>
            <w:r w:rsidRPr="00DB003E">
              <w:rPr>
                <w:rFonts w:eastAsia="Arial"/>
              </w:rPr>
              <w:t>Klinikinio vertinimo išvada</w:t>
            </w:r>
          </w:p>
        </w:tc>
        <w:tc>
          <w:tcPr>
            <w:tcW w:w="2725" w:type="dxa"/>
          </w:tcPr>
          <w:p w14:paraId="4615A641" w14:textId="77777777" w:rsidR="003A2821" w:rsidRPr="00DB003E" w:rsidRDefault="003A2821" w:rsidP="001A6516">
            <w:pPr>
              <w:spacing w:line="276" w:lineRule="auto"/>
              <w:rPr>
                <w:rFonts w:eastAsia="Arial"/>
              </w:rPr>
            </w:pPr>
            <w:proofErr w:type="spellStart"/>
            <w:r w:rsidRPr="00DB003E">
              <w:rPr>
                <w:rFonts w:eastAsia="Arial"/>
              </w:rPr>
              <w:t>Farmakoekonominio</w:t>
            </w:r>
            <w:proofErr w:type="spellEnd"/>
            <w:r w:rsidRPr="00DB003E">
              <w:rPr>
                <w:rFonts w:eastAsia="Arial"/>
              </w:rPr>
              <w:t xml:space="preserve"> vertinimo išvada</w:t>
            </w:r>
          </w:p>
        </w:tc>
      </w:tr>
      <w:tr w:rsidR="003A2821" w:rsidRPr="00DB003E" w14:paraId="2A68681B" w14:textId="77777777" w:rsidTr="001A6516">
        <w:trPr>
          <w:trHeight w:val="1765"/>
        </w:trPr>
        <w:tc>
          <w:tcPr>
            <w:tcW w:w="2927" w:type="dxa"/>
          </w:tcPr>
          <w:p w14:paraId="299DC110" w14:textId="77777777" w:rsidR="003A2821" w:rsidRPr="00DB003E" w:rsidRDefault="003A2821" w:rsidP="001A6516">
            <w:pPr>
              <w:autoSpaceDE w:val="0"/>
              <w:autoSpaceDN w:val="0"/>
              <w:adjustRightInd w:val="0"/>
              <w:rPr>
                <w:bCs/>
              </w:rPr>
            </w:pPr>
            <w:r w:rsidRPr="00DB003E">
              <w:rPr>
                <w:bCs/>
              </w:rPr>
              <w:t>Nacionalinis sveikatos ir klinikinės kompetencijos institutas, Didžioji Britanija</w:t>
            </w:r>
          </w:p>
          <w:p w14:paraId="240457C9" w14:textId="77777777" w:rsidR="003A2821" w:rsidRPr="00DB003E" w:rsidRDefault="003A2821" w:rsidP="001A6516">
            <w:pPr>
              <w:spacing w:line="276" w:lineRule="auto"/>
              <w:rPr>
                <w:rFonts w:eastAsia="Arial"/>
              </w:rPr>
            </w:pPr>
            <w:r w:rsidRPr="00DB003E">
              <w:rPr>
                <w:rFonts w:eastAsia="Arial"/>
              </w:rPr>
              <w:t xml:space="preserve">(angl. </w:t>
            </w:r>
            <w:proofErr w:type="spellStart"/>
            <w:r w:rsidRPr="00DB003E">
              <w:rPr>
                <w:rFonts w:eastAsia="Arial"/>
                <w:i/>
              </w:rPr>
              <w:t>National</w:t>
            </w:r>
            <w:proofErr w:type="spellEnd"/>
            <w:r w:rsidRPr="00DB003E">
              <w:rPr>
                <w:rFonts w:eastAsia="Arial"/>
                <w:i/>
              </w:rPr>
              <w:t xml:space="preserve"> Institute </w:t>
            </w:r>
            <w:proofErr w:type="spellStart"/>
            <w:r w:rsidRPr="00DB003E">
              <w:rPr>
                <w:rFonts w:eastAsia="Arial"/>
                <w:i/>
              </w:rPr>
              <w:t>for</w:t>
            </w:r>
            <w:proofErr w:type="spellEnd"/>
            <w:r w:rsidRPr="00DB003E">
              <w:rPr>
                <w:rFonts w:eastAsia="Arial"/>
                <w:i/>
              </w:rPr>
              <w:t xml:space="preserve"> </w:t>
            </w:r>
            <w:proofErr w:type="spellStart"/>
            <w:r w:rsidRPr="00DB003E">
              <w:rPr>
                <w:rFonts w:eastAsia="Arial"/>
                <w:i/>
              </w:rPr>
              <w:t>Health</w:t>
            </w:r>
            <w:proofErr w:type="spellEnd"/>
            <w:r w:rsidRPr="00DB003E">
              <w:rPr>
                <w:rFonts w:eastAsia="Arial"/>
                <w:i/>
              </w:rPr>
              <w:t xml:space="preserve"> </w:t>
            </w:r>
            <w:proofErr w:type="spellStart"/>
            <w:r w:rsidRPr="00DB003E">
              <w:rPr>
                <w:rFonts w:eastAsia="Arial"/>
                <w:i/>
              </w:rPr>
              <w:t>and</w:t>
            </w:r>
            <w:proofErr w:type="spellEnd"/>
            <w:r w:rsidRPr="00DB003E">
              <w:rPr>
                <w:rFonts w:eastAsia="Arial"/>
                <w:i/>
              </w:rPr>
              <w:t xml:space="preserve"> Care </w:t>
            </w:r>
            <w:proofErr w:type="spellStart"/>
            <w:r w:rsidRPr="00DB003E">
              <w:rPr>
                <w:rFonts w:eastAsia="Arial"/>
                <w:i/>
              </w:rPr>
              <w:t>Excellence</w:t>
            </w:r>
            <w:proofErr w:type="spellEnd"/>
            <w:r w:rsidRPr="00DB003E">
              <w:rPr>
                <w:rFonts w:eastAsia="Arial"/>
                <w:i/>
              </w:rPr>
              <w:t>, NICE</w:t>
            </w:r>
            <w:r w:rsidRPr="00DB003E">
              <w:rPr>
                <w:rFonts w:eastAsia="Arial"/>
              </w:rPr>
              <w:t>)</w:t>
            </w:r>
          </w:p>
        </w:tc>
        <w:tc>
          <w:tcPr>
            <w:tcW w:w="1915" w:type="dxa"/>
          </w:tcPr>
          <w:p w14:paraId="55A86CBF" w14:textId="77777777" w:rsidR="003A2821" w:rsidRPr="00DB003E" w:rsidRDefault="00000000" w:rsidP="001A6516">
            <w:sdt>
              <w:sdtPr>
                <w:rPr>
                  <w:rStyle w:val="Style2"/>
                </w:rPr>
                <w:id w:val="1558205022"/>
                <w15:color w:val="FFCC00"/>
                <w14:checkbox>
                  <w14:checked w14:val="1"/>
                  <w14:checkedState w14:val="2612" w14:font="MS Gothic"/>
                  <w14:uncheckedState w14:val="2610" w14:font="MS Gothic"/>
                </w14:checkbox>
              </w:sdtPr>
              <w:sdtContent>
                <w:r w:rsidR="003A2821" w:rsidRPr="00DB003E">
                  <w:rPr>
                    <w:rStyle w:val="Style2"/>
                    <w:rFonts w:ascii="MS Gothic" w:eastAsia="MS Gothic" w:hAnsi="MS Gothic" w:hint="eastAsia"/>
                  </w:rPr>
                  <w:t>☒</w:t>
                </w:r>
              </w:sdtContent>
            </w:sdt>
            <w:r w:rsidR="003A2821" w:rsidRPr="00DB003E">
              <w:t xml:space="preserve"> Taip</w:t>
            </w:r>
          </w:p>
          <w:p w14:paraId="3960B41A" w14:textId="77777777" w:rsidR="003A2821" w:rsidRPr="00DB003E" w:rsidRDefault="00000000" w:rsidP="001A6516">
            <w:sdt>
              <w:sdtPr>
                <w:rPr>
                  <w:rStyle w:val="Style2"/>
                </w:rPr>
                <w:id w:val="866029625"/>
                <w15:color w:val="FFCC00"/>
                <w14:checkbox>
                  <w14:checked w14:val="0"/>
                  <w14:checkedState w14:val="2612" w14:font="MS Gothic"/>
                  <w14:uncheckedState w14:val="2610" w14:font="MS Gothic"/>
                </w14:checkbox>
              </w:sdtPr>
              <w:sdtContent>
                <w:r w:rsidR="003A2821" w:rsidRPr="00DB003E">
                  <w:rPr>
                    <w:rStyle w:val="Style2"/>
                    <w:rFonts w:ascii="MS Gothic" w:eastAsia="MS Gothic" w:hAnsi="MS Gothic" w:hint="eastAsia"/>
                  </w:rPr>
                  <w:t>☐</w:t>
                </w:r>
              </w:sdtContent>
            </w:sdt>
            <w:r w:rsidR="003A2821" w:rsidRPr="00DB003E">
              <w:t xml:space="preserve"> Ne</w:t>
            </w:r>
          </w:p>
          <w:p w14:paraId="4DEA25AE" w14:textId="77777777" w:rsidR="003A2821" w:rsidRPr="00DB003E" w:rsidRDefault="00000000" w:rsidP="001A6516">
            <w:pPr>
              <w:rPr>
                <w:rFonts w:eastAsia="Arial"/>
              </w:rPr>
            </w:pPr>
            <w:sdt>
              <w:sdtPr>
                <w:alias w:val="Nurodykite konkrečią dieną"/>
                <w:tag w:val="Nurodykite pradžios datą"/>
                <w:id w:val="922837954"/>
                <w:placeholder>
                  <w:docPart w:val="864268AB2C384DBDAF50A31402A41D2E"/>
                </w:placeholder>
                <w15:color w:val="FFCC99"/>
                <w:date>
                  <w:dateFormat w:val="yyyy 'm.' MMMM d 'd.'"/>
                  <w:lid w:val="lt-LT"/>
                  <w:storeMappedDataAs w:val="dateTime"/>
                  <w:calendar w:val="gregorian"/>
                </w:date>
              </w:sdtPr>
              <w:sdtContent>
                <w:r w:rsidR="003A2821" w:rsidRPr="00DB003E">
                  <w:t>2023 m. kovo 01 d.</w:t>
                </w:r>
              </w:sdtContent>
            </w:sdt>
          </w:p>
        </w:tc>
        <w:tc>
          <w:tcPr>
            <w:tcW w:w="5076" w:type="dxa"/>
            <w:gridSpan w:val="2"/>
          </w:tcPr>
          <w:p w14:paraId="2AB4750E" w14:textId="77777777" w:rsidR="003A2821" w:rsidRPr="00DB003E" w:rsidRDefault="003A2821" w:rsidP="001A6516">
            <w:pPr>
              <w:spacing w:after="120"/>
              <w:jc w:val="both"/>
            </w:pPr>
            <w:proofErr w:type="spellStart"/>
            <w:r w:rsidRPr="00DB003E">
              <w:t>Polivy</w:t>
            </w:r>
            <w:proofErr w:type="spellEnd"/>
            <w:r w:rsidRPr="00DB003E">
              <w:t xml:space="preserve"> rekomenduojamas kompensuoti derinyje su </w:t>
            </w:r>
            <w:proofErr w:type="spellStart"/>
            <w:r w:rsidRPr="00DB003E">
              <w:t>rituksimabu</w:t>
            </w:r>
            <w:proofErr w:type="spellEnd"/>
            <w:r w:rsidRPr="00DB003E">
              <w:t xml:space="preserve">, </w:t>
            </w:r>
            <w:proofErr w:type="spellStart"/>
            <w:r w:rsidRPr="00DB003E">
              <w:t>ciklofosfamidu</w:t>
            </w:r>
            <w:proofErr w:type="spellEnd"/>
            <w:r w:rsidRPr="00DB003E">
              <w:t xml:space="preserve">, </w:t>
            </w:r>
            <w:proofErr w:type="spellStart"/>
            <w:r w:rsidRPr="00DB003E">
              <w:t>doksorubicinu</w:t>
            </w:r>
            <w:proofErr w:type="spellEnd"/>
            <w:r w:rsidRPr="00DB003E">
              <w:t xml:space="preserve"> ir prednizonu (R-CHP) anksčiau negydytos difuzinės didelių B ląstelių limfomos (DDBLL) suaugusių pacientų gydymui, jeigu:</w:t>
            </w:r>
          </w:p>
          <w:p w14:paraId="67FB62B0" w14:textId="77777777" w:rsidR="003A2821" w:rsidRPr="00DB003E" w:rsidRDefault="003A2821" w:rsidP="003A2821">
            <w:pPr>
              <w:pStyle w:val="Sraopastraipa"/>
              <w:numPr>
                <w:ilvl w:val="0"/>
                <w:numId w:val="14"/>
              </w:numPr>
              <w:spacing w:after="120"/>
              <w:jc w:val="both"/>
            </w:pPr>
            <w:r w:rsidRPr="00DB003E">
              <w:rPr>
                <w:rFonts w:eastAsia="Arial"/>
              </w:rPr>
              <w:t>Jei bendrovė jį teikia pagal komercinį susitarimą.</w:t>
            </w:r>
          </w:p>
          <w:p w14:paraId="3205FA84" w14:textId="77777777" w:rsidR="003A2821" w:rsidRPr="00DB003E" w:rsidRDefault="003A2821" w:rsidP="003A2821">
            <w:pPr>
              <w:pStyle w:val="Sraopastraipa"/>
              <w:numPr>
                <w:ilvl w:val="0"/>
                <w:numId w:val="14"/>
              </w:numPr>
              <w:spacing w:after="120"/>
              <w:jc w:val="both"/>
            </w:pPr>
            <w:r w:rsidRPr="00DB003E">
              <w:t>Nustatytas tarptautinis prognostinis žymuo nuo 2 iki 5.</w:t>
            </w:r>
          </w:p>
        </w:tc>
      </w:tr>
      <w:tr w:rsidR="003A2821" w:rsidRPr="00DB003E" w14:paraId="2FB4204E" w14:textId="77777777" w:rsidTr="001A6516">
        <w:trPr>
          <w:trHeight w:val="1547"/>
        </w:trPr>
        <w:tc>
          <w:tcPr>
            <w:tcW w:w="2927" w:type="dxa"/>
          </w:tcPr>
          <w:p w14:paraId="026E9899" w14:textId="77777777" w:rsidR="003A2821" w:rsidRPr="00DB003E" w:rsidRDefault="003A2821" w:rsidP="001A6516">
            <w:pPr>
              <w:spacing w:line="276" w:lineRule="auto"/>
              <w:rPr>
                <w:rFonts w:eastAsia="Arial"/>
              </w:rPr>
            </w:pPr>
            <w:r w:rsidRPr="00DB003E">
              <w:rPr>
                <w:rFonts w:eastAsia="Arial"/>
              </w:rPr>
              <w:t>Kanados sveikatos technologijų agentūra</w:t>
            </w:r>
          </w:p>
          <w:p w14:paraId="67E0CF51" w14:textId="77777777" w:rsidR="003A2821" w:rsidRPr="00DB003E" w:rsidRDefault="003A2821" w:rsidP="001A6516">
            <w:pPr>
              <w:spacing w:line="276" w:lineRule="auto"/>
              <w:rPr>
                <w:rFonts w:eastAsia="Arial"/>
              </w:rPr>
            </w:pPr>
            <w:r w:rsidRPr="00DB003E">
              <w:rPr>
                <w:rFonts w:eastAsia="Arial"/>
              </w:rPr>
              <w:t xml:space="preserve">(angl. </w:t>
            </w:r>
            <w:proofErr w:type="spellStart"/>
            <w:r w:rsidRPr="00DB003E">
              <w:rPr>
                <w:rFonts w:eastAsia="Arial"/>
                <w:i/>
              </w:rPr>
              <w:t>Canadian</w:t>
            </w:r>
            <w:proofErr w:type="spellEnd"/>
            <w:r w:rsidRPr="00DB003E">
              <w:rPr>
                <w:rFonts w:eastAsia="Arial"/>
                <w:i/>
              </w:rPr>
              <w:t xml:space="preserve"> </w:t>
            </w:r>
            <w:proofErr w:type="spellStart"/>
            <w:r w:rsidRPr="00DB003E">
              <w:rPr>
                <w:rFonts w:eastAsia="Arial"/>
                <w:i/>
              </w:rPr>
              <w:t>health</w:t>
            </w:r>
            <w:proofErr w:type="spellEnd"/>
            <w:r w:rsidRPr="00DB003E">
              <w:rPr>
                <w:rFonts w:eastAsia="Arial"/>
                <w:i/>
              </w:rPr>
              <w:t xml:space="preserve"> </w:t>
            </w:r>
            <w:proofErr w:type="spellStart"/>
            <w:r w:rsidRPr="00DB003E">
              <w:rPr>
                <w:rFonts w:eastAsia="Arial"/>
                <w:i/>
              </w:rPr>
              <w:t>Technology</w:t>
            </w:r>
            <w:proofErr w:type="spellEnd"/>
            <w:r w:rsidRPr="00DB003E">
              <w:rPr>
                <w:rFonts w:eastAsia="Arial"/>
                <w:i/>
              </w:rPr>
              <w:t xml:space="preserve"> </w:t>
            </w:r>
            <w:proofErr w:type="spellStart"/>
            <w:r w:rsidRPr="00DB003E">
              <w:rPr>
                <w:rFonts w:eastAsia="Arial"/>
                <w:i/>
              </w:rPr>
              <w:t>Assessment</w:t>
            </w:r>
            <w:proofErr w:type="spellEnd"/>
            <w:r w:rsidRPr="00DB003E">
              <w:rPr>
                <w:rFonts w:eastAsia="Arial"/>
                <w:i/>
              </w:rPr>
              <w:t xml:space="preserve"> </w:t>
            </w:r>
            <w:proofErr w:type="spellStart"/>
            <w:r w:rsidRPr="00DB003E">
              <w:rPr>
                <w:rFonts w:eastAsia="Arial"/>
                <w:i/>
              </w:rPr>
              <w:t>agency</w:t>
            </w:r>
            <w:proofErr w:type="spellEnd"/>
            <w:r w:rsidRPr="00DB003E">
              <w:rPr>
                <w:rFonts w:eastAsia="Arial"/>
                <w:i/>
              </w:rPr>
              <w:t>, CADTH</w:t>
            </w:r>
            <w:r w:rsidRPr="00DB003E">
              <w:rPr>
                <w:rFonts w:eastAsia="Arial"/>
              </w:rPr>
              <w:t>)</w:t>
            </w:r>
          </w:p>
        </w:tc>
        <w:tc>
          <w:tcPr>
            <w:tcW w:w="1915" w:type="dxa"/>
          </w:tcPr>
          <w:p w14:paraId="367E36F0" w14:textId="77777777" w:rsidR="003A2821" w:rsidRPr="00DB003E" w:rsidRDefault="00000000" w:rsidP="001A6516">
            <w:sdt>
              <w:sdtPr>
                <w:rPr>
                  <w:rStyle w:val="Style2"/>
                </w:rPr>
                <w:id w:val="-372539057"/>
                <w15:color w:val="FFCC00"/>
                <w14:checkbox>
                  <w14:checked w14:val="1"/>
                  <w14:checkedState w14:val="2612" w14:font="MS Gothic"/>
                  <w14:uncheckedState w14:val="2610" w14:font="MS Gothic"/>
                </w14:checkbox>
              </w:sdtPr>
              <w:sdtContent>
                <w:r w:rsidR="003A2821" w:rsidRPr="00DB003E">
                  <w:rPr>
                    <w:rStyle w:val="Style2"/>
                    <w:rFonts w:ascii="MS Gothic" w:eastAsia="MS Gothic" w:hAnsi="MS Gothic" w:hint="eastAsia"/>
                  </w:rPr>
                  <w:t>☒</w:t>
                </w:r>
              </w:sdtContent>
            </w:sdt>
            <w:r w:rsidR="003A2821" w:rsidRPr="00DB003E">
              <w:t xml:space="preserve"> Taip</w:t>
            </w:r>
          </w:p>
          <w:p w14:paraId="230E5DDF" w14:textId="77777777" w:rsidR="003A2821" w:rsidRPr="00DB003E" w:rsidRDefault="00000000" w:rsidP="001A6516">
            <w:sdt>
              <w:sdtPr>
                <w:rPr>
                  <w:rStyle w:val="Style2"/>
                </w:rPr>
                <w:id w:val="594442222"/>
                <w15:color w:val="FFCC00"/>
                <w14:checkbox>
                  <w14:checked w14:val="0"/>
                  <w14:checkedState w14:val="2612" w14:font="MS Gothic"/>
                  <w14:uncheckedState w14:val="2610" w14:font="MS Gothic"/>
                </w14:checkbox>
              </w:sdtPr>
              <w:sdtContent>
                <w:r w:rsidR="003A2821" w:rsidRPr="00DB003E">
                  <w:rPr>
                    <w:rStyle w:val="Style2"/>
                    <w:rFonts w:ascii="MS Gothic" w:eastAsia="MS Gothic" w:hAnsi="MS Gothic" w:hint="eastAsia"/>
                  </w:rPr>
                  <w:t>☐</w:t>
                </w:r>
              </w:sdtContent>
            </w:sdt>
            <w:r w:rsidR="003A2821" w:rsidRPr="00DB003E">
              <w:t xml:space="preserve"> Ne</w:t>
            </w:r>
          </w:p>
          <w:p w14:paraId="7933EED4" w14:textId="77777777" w:rsidR="003A2821" w:rsidRPr="00DB003E" w:rsidRDefault="00000000" w:rsidP="001A6516">
            <w:pPr>
              <w:spacing w:line="276" w:lineRule="auto"/>
              <w:rPr>
                <w:rFonts w:eastAsia="Arial"/>
              </w:rPr>
            </w:pPr>
            <w:sdt>
              <w:sdtPr>
                <w:alias w:val="Nurodykite konkrečią dieną"/>
                <w:tag w:val="Nurodykite pradžios datą"/>
                <w:id w:val="1072468416"/>
                <w:placeholder>
                  <w:docPart w:val="272B033B1DC747AC8AB578AE6A569768"/>
                </w:placeholder>
                <w15:color w:val="FFCC99"/>
                <w:date>
                  <w:dateFormat w:val="yyyy 'm.' MMMM d 'd.'"/>
                  <w:lid w:val="lt-LT"/>
                  <w:storeMappedDataAs w:val="dateTime"/>
                  <w:calendar w:val="gregorian"/>
                </w:date>
              </w:sdtPr>
              <w:sdtContent>
                <w:r w:rsidR="003A2821" w:rsidRPr="00DB003E">
                  <w:t>2023 m. gruodžio 20 d.</w:t>
                </w:r>
              </w:sdtContent>
            </w:sdt>
          </w:p>
        </w:tc>
        <w:tc>
          <w:tcPr>
            <w:tcW w:w="5076" w:type="dxa"/>
            <w:gridSpan w:val="2"/>
          </w:tcPr>
          <w:p w14:paraId="585E2B68" w14:textId="77777777" w:rsidR="003A2821" w:rsidRPr="00DB003E" w:rsidRDefault="003A2821" w:rsidP="001A6516">
            <w:pPr>
              <w:spacing w:line="276" w:lineRule="auto"/>
              <w:jc w:val="both"/>
              <w:rPr>
                <w:rFonts w:eastAsia="Arial"/>
              </w:rPr>
            </w:pPr>
            <w:proofErr w:type="spellStart"/>
            <w:r w:rsidRPr="00DB003E">
              <w:rPr>
                <w:rFonts w:eastAsia="Arial"/>
              </w:rPr>
              <w:t>Polivy</w:t>
            </w:r>
            <w:proofErr w:type="spellEnd"/>
            <w:r w:rsidRPr="00DB003E">
              <w:rPr>
                <w:rFonts w:eastAsia="Arial"/>
              </w:rPr>
              <w:t xml:space="preserve"> kartu su </w:t>
            </w:r>
            <w:proofErr w:type="spellStart"/>
            <w:r w:rsidRPr="00DB003E">
              <w:rPr>
                <w:rFonts w:eastAsia="Arial"/>
              </w:rPr>
              <w:t>rituksimabu</w:t>
            </w:r>
            <w:proofErr w:type="spellEnd"/>
            <w:r w:rsidRPr="00DB003E">
              <w:rPr>
                <w:rFonts w:eastAsia="Arial"/>
              </w:rPr>
              <w:t xml:space="preserve">, </w:t>
            </w:r>
            <w:proofErr w:type="spellStart"/>
            <w:r w:rsidRPr="00DB003E">
              <w:rPr>
                <w:rFonts w:eastAsia="Arial"/>
              </w:rPr>
              <w:t>ciklofosfamidu</w:t>
            </w:r>
            <w:proofErr w:type="spellEnd"/>
            <w:r w:rsidRPr="00DB003E">
              <w:rPr>
                <w:rFonts w:eastAsia="Arial"/>
              </w:rPr>
              <w:t xml:space="preserve">, </w:t>
            </w:r>
            <w:proofErr w:type="spellStart"/>
            <w:r w:rsidRPr="00DB003E">
              <w:rPr>
                <w:rFonts w:eastAsia="Arial"/>
              </w:rPr>
              <w:t>doksorubicinu</w:t>
            </w:r>
            <w:proofErr w:type="spellEnd"/>
            <w:r w:rsidRPr="00DB003E">
              <w:rPr>
                <w:rFonts w:eastAsia="Arial"/>
              </w:rPr>
              <w:t xml:space="preserve"> ir prednizolonu (R-CHP) nerekomenduojamas kompensuoti suaugusių pacientų, sergančių anksčiau negydytu didelių B ląstelių limfoma, įskaitant neklasifikuotą difuzinę didelių B ląstelių limfomą (</w:t>
            </w:r>
            <w:r w:rsidRPr="00DB003E">
              <w:t>DDBLL</w:t>
            </w:r>
            <w:r w:rsidRPr="00DB003E">
              <w:rPr>
                <w:rFonts w:eastAsia="Arial"/>
              </w:rPr>
              <w:t xml:space="preserve">), aukštos rizikos didelių B ląstelių limfomą, </w:t>
            </w:r>
            <w:proofErr w:type="spellStart"/>
            <w:r w:rsidRPr="00DB003E">
              <w:rPr>
                <w:rFonts w:eastAsia="Arial"/>
              </w:rPr>
              <w:t>Epšteino</w:t>
            </w:r>
            <w:proofErr w:type="spellEnd"/>
            <w:r w:rsidRPr="00DB003E">
              <w:rPr>
                <w:rFonts w:eastAsia="Arial"/>
              </w:rPr>
              <w:t>-Baro viruso (EBV) sukeltą neklasifikuotą DLBCL ir T-ląstelių/</w:t>
            </w:r>
            <w:proofErr w:type="spellStart"/>
            <w:r w:rsidRPr="00DB003E">
              <w:rPr>
                <w:rFonts w:eastAsia="Arial"/>
              </w:rPr>
              <w:t>histiocitų</w:t>
            </w:r>
            <w:proofErr w:type="spellEnd"/>
            <w:r w:rsidRPr="00DB003E">
              <w:rPr>
                <w:rFonts w:eastAsia="Arial"/>
              </w:rPr>
              <w:t xml:space="preserve"> turtingą LBCL, gydymui.</w:t>
            </w:r>
          </w:p>
        </w:tc>
      </w:tr>
      <w:tr w:rsidR="003A2821" w:rsidRPr="00DB003E" w14:paraId="29D546EA" w14:textId="77777777" w:rsidTr="001A6516">
        <w:trPr>
          <w:trHeight w:val="1927"/>
        </w:trPr>
        <w:tc>
          <w:tcPr>
            <w:tcW w:w="2927" w:type="dxa"/>
          </w:tcPr>
          <w:p w14:paraId="2C481CEA" w14:textId="77777777" w:rsidR="003A2821" w:rsidRPr="00DB003E" w:rsidRDefault="003A2821" w:rsidP="001A6516">
            <w:pPr>
              <w:spacing w:line="276" w:lineRule="auto"/>
              <w:rPr>
                <w:rFonts w:eastAsia="Arial"/>
              </w:rPr>
            </w:pPr>
            <w:r w:rsidRPr="00DB003E">
              <w:rPr>
                <w:rFonts w:eastAsia="Arial"/>
              </w:rPr>
              <w:t xml:space="preserve">Nacionalinis </w:t>
            </w:r>
            <w:proofErr w:type="spellStart"/>
            <w:r w:rsidRPr="00DB003E">
              <w:rPr>
                <w:rFonts w:eastAsia="Arial"/>
              </w:rPr>
              <w:t>farmakoekonomikos</w:t>
            </w:r>
            <w:proofErr w:type="spellEnd"/>
            <w:r w:rsidRPr="00DB003E">
              <w:rPr>
                <w:rFonts w:eastAsia="Arial"/>
              </w:rPr>
              <w:t xml:space="preserve"> centras, Airija</w:t>
            </w:r>
          </w:p>
          <w:p w14:paraId="658A08E9" w14:textId="77777777" w:rsidR="003A2821" w:rsidRPr="00DB003E" w:rsidRDefault="003A2821" w:rsidP="001A6516">
            <w:pPr>
              <w:spacing w:line="276" w:lineRule="auto"/>
              <w:rPr>
                <w:rFonts w:eastAsia="Arial"/>
              </w:rPr>
            </w:pPr>
            <w:r w:rsidRPr="00DB003E">
              <w:rPr>
                <w:rFonts w:eastAsia="Arial"/>
              </w:rPr>
              <w:t>(angl.</w:t>
            </w:r>
            <w:r w:rsidRPr="00DB003E">
              <w:rPr>
                <w:rFonts w:eastAsia="Arial"/>
                <w:i/>
              </w:rPr>
              <w:t xml:space="preserve"> </w:t>
            </w:r>
            <w:proofErr w:type="spellStart"/>
            <w:r w:rsidRPr="00DB003E">
              <w:rPr>
                <w:rFonts w:eastAsia="Arial"/>
                <w:i/>
              </w:rPr>
              <w:t>National</w:t>
            </w:r>
            <w:proofErr w:type="spellEnd"/>
            <w:r w:rsidRPr="00DB003E">
              <w:rPr>
                <w:rFonts w:eastAsia="Arial"/>
                <w:i/>
              </w:rPr>
              <w:t xml:space="preserve"> Centre </w:t>
            </w:r>
            <w:proofErr w:type="spellStart"/>
            <w:r w:rsidRPr="00DB003E">
              <w:rPr>
                <w:rFonts w:eastAsia="Arial"/>
                <w:i/>
              </w:rPr>
              <w:t>for</w:t>
            </w:r>
            <w:proofErr w:type="spellEnd"/>
            <w:r w:rsidRPr="00DB003E">
              <w:rPr>
                <w:rFonts w:eastAsia="Arial"/>
                <w:i/>
              </w:rPr>
              <w:t xml:space="preserve"> </w:t>
            </w:r>
            <w:proofErr w:type="spellStart"/>
            <w:r w:rsidRPr="00DB003E">
              <w:rPr>
                <w:rFonts w:eastAsia="Arial"/>
                <w:i/>
              </w:rPr>
              <w:t>Pharmacoeconomics</w:t>
            </w:r>
            <w:proofErr w:type="spellEnd"/>
            <w:r w:rsidRPr="00DB003E">
              <w:rPr>
                <w:rFonts w:eastAsia="Arial"/>
                <w:i/>
              </w:rPr>
              <w:t>, NCPE</w:t>
            </w:r>
            <w:r w:rsidRPr="00DB003E">
              <w:rPr>
                <w:rFonts w:eastAsia="Arial"/>
              </w:rPr>
              <w:t>)</w:t>
            </w:r>
          </w:p>
        </w:tc>
        <w:tc>
          <w:tcPr>
            <w:tcW w:w="1915" w:type="dxa"/>
          </w:tcPr>
          <w:p w14:paraId="7B84AC8E" w14:textId="77777777" w:rsidR="003A2821" w:rsidRPr="00DB003E" w:rsidRDefault="00000000" w:rsidP="001A6516">
            <w:sdt>
              <w:sdtPr>
                <w:rPr>
                  <w:rStyle w:val="Style2"/>
                </w:rPr>
                <w:id w:val="-1888403732"/>
                <w15:color w:val="FFCC00"/>
                <w14:checkbox>
                  <w14:checked w14:val="1"/>
                  <w14:checkedState w14:val="2612" w14:font="MS Gothic"/>
                  <w14:uncheckedState w14:val="2610" w14:font="MS Gothic"/>
                </w14:checkbox>
              </w:sdtPr>
              <w:sdtContent>
                <w:r w:rsidR="003A2821" w:rsidRPr="00DB003E">
                  <w:rPr>
                    <w:rStyle w:val="Style2"/>
                    <w:rFonts w:ascii="Segoe UI Symbol" w:eastAsia="MS Gothic" w:hAnsi="Segoe UI Symbol" w:cs="Segoe UI Symbol"/>
                  </w:rPr>
                  <w:t>☒</w:t>
                </w:r>
              </w:sdtContent>
            </w:sdt>
            <w:r w:rsidR="003A2821" w:rsidRPr="00DB003E">
              <w:t xml:space="preserve"> Taip</w:t>
            </w:r>
          </w:p>
          <w:p w14:paraId="2BDCC297" w14:textId="77777777" w:rsidR="003A2821" w:rsidRPr="00DB003E" w:rsidRDefault="00000000" w:rsidP="001A6516">
            <w:sdt>
              <w:sdtPr>
                <w:rPr>
                  <w:rStyle w:val="Style2"/>
                </w:rPr>
                <w:id w:val="1092201793"/>
                <w15:color w:val="FFCC00"/>
                <w14:checkbox>
                  <w14:checked w14:val="0"/>
                  <w14:checkedState w14:val="2612" w14:font="MS Gothic"/>
                  <w14:uncheckedState w14:val="2610" w14:font="MS Gothic"/>
                </w14:checkbox>
              </w:sdtPr>
              <w:sdtContent>
                <w:r w:rsidR="003A2821" w:rsidRPr="00DB003E">
                  <w:rPr>
                    <w:rStyle w:val="Style2"/>
                    <w:rFonts w:ascii="Segoe UI Symbol" w:eastAsia="MS Gothic" w:hAnsi="Segoe UI Symbol" w:cs="Segoe UI Symbol"/>
                  </w:rPr>
                  <w:t>☐</w:t>
                </w:r>
              </w:sdtContent>
            </w:sdt>
            <w:r w:rsidR="003A2821" w:rsidRPr="00DB003E">
              <w:t xml:space="preserve"> Ne</w:t>
            </w:r>
          </w:p>
          <w:p w14:paraId="4F21F033" w14:textId="77777777" w:rsidR="003A2821" w:rsidRPr="00DB003E" w:rsidRDefault="00000000" w:rsidP="001A6516">
            <w:pPr>
              <w:spacing w:line="276" w:lineRule="auto"/>
              <w:rPr>
                <w:rFonts w:eastAsia="Arial"/>
              </w:rPr>
            </w:pPr>
            <w:sdt>
              <w:sdtPr>
                <w:alias w:val="Nurodykite konkrečią dieną"/>
                <w:tag w:val="Nurodykite pradžios datą"/>
                <w:id w:val="-198323198"/>
                <w:placeholder>
                  <w:docPart w:val="D86FF2BEAFCF45399EBF8A309411AE2A"/>
                </w:placeholder>
                <w15:color w:val="FFCC99"/>
                <w:date>
                  <w:dateFormat w:val="yyyy 'm.' MMMM d 'd.'"/>
                  <w:lid w:val="lt-LT"/>
                  <w:storeMappedDataAs w:val="dateTime"/>
                  <w:calendar w:val="gregorian"/>
                </w:date>
              </w:sdtPr>
              <w:sdtContent>
                <w:r w:rsidR="003A2821" w:rsidRPr="00DB003E">
                  <w:t>2023 m. gruodžio 5 d.</w:t>
                </w:r>
              </w:sdtContent>
            </w:sdt>
          </w:p>
        </w:tc>
        <w:tc>
          <w:tcPr>
            <w:tcW w:w="5076" w:type="dxa"/>
            <w:gridSpan w:val="2"/>
          </w:tcPr>
          <w:p w14:paraId="6408AA18" w14:textId="77777777" w:rsidR="003A2821" w:rsidRPr="00DB003E" w:rsidRDefault="003A2821" w:rsidP="001A6516">
            <w:pPr>
              <w:spacing w:line="276" w:lineRule="auto"/>
              <w:jc w:val="both"/>
              <w:rPr>
                <w:rFonts w:eastAsia="Arial"/>
              </w:rPr>
            </w:pPr>
            <w:r w:rsidRPr="00DB003E">
              <w:rPr>
                <w:rFonts w:eastAsia="Arial"/>
              </w:rPr>
              <w:t xml:space="preserve">NCPE rekomenduoja, kad </w:t>
            </w:r>
            <w:proofErr w:type="spellStart"/>
            <w:r w:rsidRPr="00DB003E">
              <w:rPr>
                <w:rFonts w:eastAsia="Arial"/>
              </w:rPr>
              <w:t>Polivy</w:t>
            </w:r>
            <w:proofErr w:type="spellEnd"/>
            <w:r w:rsidRPr="00DB003E">
              <w:rPr>
                <w:rFonts w:eastAsia="Arial"/>
              </w:rPr>
              <w:t xml:space="preserve"> nebūtų kompensuojamas, nebent jo sąnaudų efektyvumas būtų pagerintas, palyginti su esamais gydymo būdais.</w:t>
            </w:r>
          </w:p>
          <w:p w14:paraId="3B724531" w14:textId="77777777" w:rsidR="003A2821" w:rsidRPr="00DB003E" w:rsidRDefault="003A2821" w:rsidP="001A6516">
            <w:pPr>
              <w:spacing w:line="276" w:lineRule="auto"/>
              <w:rPr>
                <w:rFonts w:eastAsia="Arial"/>
              </w:rPr>
            </w:pPr>
          </w:p>
        </w:tc>
      </w:tr>
    </w:tbl>
    <w:p w14:paraId="2EB7FD31" w14:textId="4D2A8479" w:rsidR="007A2B68" w:rsidRPr="000203E1" w:rsidRDefault="007A2B68" w:rsidP="00E03C3F">
      <w:pPr>
        <w:pStyle w:val="Sraopastraipa"/>
        <w:tabs>
          <w:tab w:val="left" w:pos="426"/>
        </w:tabs>
        <w:ind w:left="0"/>
        <w:rPr>
          <w:b/>
          <w:bCs/>
          <w:caps/>
        </w:rPr>
      </w:pPr>
    </w:p>
    <w:p w14:paraId="5055E8A8" w14:textId="471A9757" w:rsidR="002E6F80" w:rsidRPr="00666CF4" w:rsidRDefault="00CC7832" w:rsidP="00CC09D4">
      <w:pPr>
        <w:pStyle w:val="Sraopastraipa"/>
        <w:numPr>
          <w:ilvl w:val="0"/>
          <w:numId w:val="12"/>
        </w:numPr>
        <w:tabs>
          <w:tab w:val="left" w:pos="567"/>
        </w:tabs>
        <w:ind w:hanging="720"/>
        <w:rPr>
          <w:b/>
          <w:bCs/>
          <w:caps/>
        </w:rPr>
      </w:pPr>
      <w:r w:rsidRPr="00666CF4">
        <w:rPr>
          <w:b/>
          <w:bCs/>
          <w:caps/>
        </w:rPr>
        <w:t>Klinikinio vertinimo a</w:t>
      </w:r>
      <w:r w:rsidR="00D4485B" w:rsidRPr="00666CF4">
        <w:rPr>
          <w:b/>
          <w:bCs/>
          <w:caps/>
        </w:rPr>
        <w:t>pibendrinimas</w:t>
      </w:r>
    </w:p>
    <w:p w14:paraId="0ACD4596" w14:textId="77777777" w:rsidR="00C21A99" w:rsidRDefault="00C21A99" w:rsidP="00C21A99">
      <w:pPr>
        <w:pStyle w:val="Style1"/>
        <w:spacing w:line="276" w:lineRule="auto"/>
        <w:jc w:val="both"/>
      </w:pPr>
    </w:p>
    <w:p w14:paraId="5FEA5BA2" w14:textId="77777777" w:rsidR="003A2821" w:rsidRPr="007D7A21" w:rsidRDefault="003A2821" w:rsidP="003A2821">
      <w:pPr>
        <w:spacing w:line="276" w:lineRule="auto"/>
        <w:ind w:firstLine="720"/>
        <w:jc w:val="both"/>
        <w:rPr>
          <w:rFonts w:eastAsia="Arial"/>
          <w:iCs/>
        </w:rPr>
      </w:pPr>
      <w:r w:rsidRPr="007D7A21">
        <w:rPr>
          <w:rFonts w:eastAsia="Arial"/>
          <w:iCs/>
        </w:rPr>
        <w:t xml:space="preserve">Difuzinė didelių B ląstelių limfoma (DDBLL) yra dažniausias histologinis ne </w:t>
      </w:r>
      <w:proofErr w:type="spellStart"/>
      <w:r w:rsidRPr="007D7A21">
        <w:rPr>
          <w:rFonts w:eastAsia="Arial"/>
          <w:iCs/>
        </w:rPr>
        <w:t>Hodžkino</w:t>
      </w:r>
      <w:proofErr w:type="spellEnd"/>
      <w:r w:rsidRPr="007D7A21">
        <w:rPr>
          <w:rFonts w:eastAsia="Arial"/>
          <w:iCs/>
        </w:rPr>
        <w:t xml:space="preserve"> limfomos (NHL) potipis. DDBLL didėja su amžiumi ir dažniausiai liga diagnozuojama 65–74 metų amžiaus grupėje (mediana diagnozės metu - 65 metai). Remiantis ekspertų vertinimu, Lietuvoje DDBLL kasmet naujai suserga apie 220 pacientų. 2020 m. GLOBOCAN duomenimis NHL Lietuvoje sirgo 1495 pacientai, taigi DDBLL sirgo apie 374 pacientai (25% nuo NHL sergančiųjų skaičiaus). DDBLL – </w:t>
      </w:r>
      <w:proofErr w:type="spellStart"/>
      <w:r w:rsidRPr="007D7A21">
        <w:rPr>
          <w:rFonts w:eastAsia="Arial"/>
          <w:iCs/>
        </w:rPr>
        <w:t>heterogeniškas</w:t>
      </w:r>
      <w:proofErr w:type="spellEnd"/>
      <w:r w:rsidRPr="007D7A21">
        <w:rPr>
          <w:rFonts w:eastAsia="Arial"/>
          <w:iCs/>
        </w:rPr>
        <w:t xml:space="preserve"> susirgimas, pasižymintis visa eile histologinių, </w:t>
      </w:r>
      <w:proofErr w:type="spellStart"/>
      <w:r w:rsidRPr="007D7A21">
        <w:rPr>
          <w:rFonts w:eastAsia="Arial"/>
          <w:iCs/>
        </w:rPr>
        <w:t>proteominių</w:t>
      </w:r>
      <w:proofErr w:type="spellEnd"/>
      <w:r w:rsidRPr="007D7A21">
        <w:rPr>
          <w:rFonts w:eastAsia="Arial"/>
          <w:iCs/>
        </w:rPr>
        <w:t xml:space="preserve"> ir molekulinių potipių su skirtingais prognozės profiliais. Negydant, ligos prognozė yra labai bloga – išgyvenamumo mediana yra tik apie 6 mėnesius.</w:t>
      </w:r>
    </w:p>
    <w:p w14:paraId="3CCA311D" w14:textId="77777777" w:rsidR="003A2821" w:rsidRPr="007D7A21" w:rsidRDefault="003A2821" w:rsidP="003A2821">
      <w:pPr>
        <w:tabs>
          <w:tab w:val="left" w:pos="426"/>
        </w:tabs>
        <w:spacing w:line="276" w:lineRule="auto"/>
        <w:jc w:val="both"/>
        <w:rPr>
          <w:rFonts w:eastAsia="Arial"/>
        </w:rPr>
      </w:pPr>
      <w:r w:rsidRPr="007D7A21">
        <w:rPr>
          <w:rFonts w:eastAsia="Arial"/>
          <w:iCs/>
        </w:rPr>
        <w:lastRenderedPageBreak/>
        <w:tab/>
      </w:r>
      <w:r w:rsidRPr="007D7A21">
        <w:rPr>
          <w:rFonts w:eastAsia="Arial"/>
          <w:iCs/>
        </w:rPr>
        <w:tab/>
      </w:r>
      <w:proofErr w:type="spellStart"/>
      <w:r w:rsidRPr="007D7A21">
        <w:rPr>
          <w:rFonts w:eastAsia="Arial"/>
        </w:rPr>
        <w:t>Polatuzumabas</w:t>
      </w:r>
      <w:proofErr w:type="spellEnd"/>
      <w:r w:rsidRPr="007D7A21">
        <w:rPr>
          <w:rFonts w:eastAsia="Arial"/>
        </w:rPr>
        <w:t xml:space="preserve"> </w:t>
      </w:r>
      <w:proofErr w:type="spellStart"/>
      <w:r w:rsidRPr="007D7A21">
        <w:rPr>
          <w:rFonts w:eastAsia="Arial"/>
        </w:rPr>
        <w:t>vedotinas</w:t>
      </w:r>
      <w:proofErr w:type="spellEnd"/>
      <w:r w:rsidRPr="007D7A21">
        <w:rPr>
          <w:rFonts w:eastAsia="Arial"/>
        </w:rPr>
        <w:t xml:space="preserve"> yra prieš CD79b nukreiptas antikūno ir vaisto junginys (</w:t>
      </w:r>
      <w:proofErr w:type="spellStart"/>
      <w:r w:rsidRPr="007D7A21">
        <w:rPr>
          <w:rFonts w:eastAsia="Arial"/>
        </w:rPr>
        <w:t>konjugatas</w:t>
      </w:r>
      <w:proofErr w:type="spellEnd"/>
      <w:r w:rsidRPr="007D7A21">
        <w:rPr>
          <w:rFonts w:eastAsia="Arial"/>
        </w:rPr>
        <w:t>), kurio pagalba stiprus mitozę slopinantis preparatas (</w:t>
      </w:r>
      <w:proofErr w:type="spellStart"/>
      <w:r w:rsidRPr="007D7A21">
        <w:rPr>
          <w:rFonts w:eastAsia="Arial"/>
        </w:rPr>
        <w:t>monometil-auristatinas</w:t>
      </w:r>
      <w:proofErr w:type="spellEnd"/>
      <w:r w:rsidRPr="007D7A21">
        <w:rPr>
          <w:rFonts w:eastAsia="Arial"/>
        </w:rPr>
        <w:t xml:space="preserve"> E arba MMAE) lengvai įnešamas į B ląsteles; tokiu būdu sukeliama piktybinių B ląstelių žūtis. </w:t>
      </w:r>
      <w:proofErr w:type="spellStart"/>
      <w:r w:rsidRPr="007D7A21">
        <w:rPr>
          <w:rFonts w:eastAsia="Arial"/>
        </w:rPr>
        <w:t>Polatuzumabo</w:t>
      </w:r>
      <w:proofErr w:type="spellEnd"/>
      <w:r w:rsidRPr="007D7A21">
        <w:rPr>
          <w:rFonts w:eastAsia="Arial"/>
        </w:rPr>
        <w:t xml:space="preserve"> </w:t>
      </w:r>
      <w:proofErr w:type="spellStart"/>
      <w:r w:rsidRPr="007D7A21">
        <w:rPr>
          <w:rFonts w:eastAsia="Arial"/>
        </w:rPr>
        <w:t>vedotino</w:t>
      </w:r>
      <w:proofErr w:type="spellEnd"/>
      <w:r w:rsidRPr="007D7A21">
        <w:rPr>
          <w:rFonts w:eastAsia="Arial"/>
        </w:rPr>
        <w:t xml:space="preserve"> molekulę sudaro MMAE, kuris </w:t>
      </w:r>
      <w:proofErr w:type="spellStart"/>
      <w:r w:rsidRPr="007D7A21">
        <w:rPr>
          <w:rFonts w:eastAsia="Arial"/>
        </w:rPr>
        <w:t>kovalentine</w:t>
      </w:r>
      <w:proofErr w:type="spellEnd"/>
      <w:r w:rsidRPr="007D7A21">
        <w:rPr>
          <w:rFonts w:eastAsia="Arial"/>
        </w:rPr>
        <w:t xml:space="preserve"> suskaidoma jungtimi sujungtas su humanizuotu imunoglobulino G1 </w:t>
      </w:r>
      <w:proofErr w:type="spellStart"/>
      <w:r w:rsidRPr="007D7A21">
        <w:rPr>
          <w:rFonts w:eastAsia="Arial"/>
        </w:rPr>
        <w:t>monokloniniu</w:t>
      </w:r>
      <w:proofErr w:type="spellEnd"/>
      <w:r w:rsidRPr="007D7A21">
        <w:rPr>
          <w:rFonts w:eastAsia="Arial"/>
        </w:rPr>
        <w:t xml:space="preserve"> antikūnu. </w:t>
      </w:r>
      <w:proofErr w:type="spellStart"/>
      <w:r w:rsidRPr="007D7A21">
        <w:rPr>
          <w:rFonts w:eastAsia="Arial"/>
        </w:rPr>
        <w:t>Monokloninis</w:t>
      </w:r>
      <w:proofErr w:type="spellEnd"/>
      <w:r w:rsidRPr="007D7A21">
        <w:rPr>
          <w:rFonts w:eastAsia="Arial"/>
        </w:rPr>
        <w:t xml:space="preserve"> antikūnas dideliu </w:t>
      </w:r>
      <w:proofErr w:type="spellStart"/>
      <w:r w:rsidRPr="007D7A21">
        <w:rPr>
          <w:rFonts w:eastAsia="Arial"/>
        </w:rPr>
        <w:t>afinitetu</w:t>
      </w:r>
      <w:proofErr w:type="spellEnd"/>
      <w:r w:rsidRPr="007D7A21">
        <w:rPr>
          <w:rFonts w:eastAsia="Arial"/>
        </w:rPr>
        <w:t xml:space="preserve"> ir selektyvumu prisijungia prie CD79b, t. y., prie B ląstelių receptorių paviršiaus komponento. CD79b </w:t>
      </w:r>
      <w:proofErr w:type="spellStart"/>
      <w:r w:rsidRPr="007D7A21">
        <w:rPr>
          <w:rFonts w:eastAsia="Arial"/>
        </w:rPr>
        <w:t>ekspresuoja</w:t>
      </w:r>
      <w:proofErr w:type="spellEnd"/>
      <w:r w:rsidRPr="007D7A21">
        <w:rPr>
          <w:rFonts w:eastAsia="Arial"/>
        </w:rPr>
        <w:t xml:space="preserve"> tik B ląstelių linijos normalios ląstelės (išskyrus plazmines ląsteles) ir piktybinės B ląstelės; CD79b </w:t>
      </w:r>
      <w:proofErr w:type="spellStart"/>
      <w:r w:rsidRPr="007D7A21">
        <w:rPr>
          <w:rFonts w:eastAsia="Arial"/>
        </w:rPr>
        <w:t>ekspresuoja</w:t>
      </w:r>
      <w:proofErr w:type="spellEnd"/>
      <w:r w:rsidRPr="007D7A21">
        <w:rPr>
          <w:rFonts w:eastAsia="Arial"/>
        </w:rPr>
        <w:t xml:space="preserve"> &gt; 95 % difuzinės didelių B ląstelių limfomos ląstelių. Prisijungęs prie CD79b </w:t>
      </w:r>
      <w:proofErr w:type="spellStart"/>
      <w:r w:rsidRPr="007D7A21">
        <w:rPr>
          <w:rFonts w:eastAsia="Arial"/>
        </w:rPr>
        <w:t>polatuzumabas</w:t>
      </w:r>
      <w:proofErr w:type="spellEnd"/>
      <w:r w:rsidRPr="007D7A21">
        <w:rPr>
          <w:rFonts w:eastAsia="Arial"/>
        </w:rPr>
        <w:t xml:space="preserve"> </w:t>
      </w:r>
      <w:proofErr w:type="spellStart"/>
      <w:r w:rsidRPr="007D7A21">
        <w:rPr>
          <w:rFonts w:eastAsia="Arial"/>
        </w:rPr>
        <w:t>vedotinas</w:t>
      </w:r>
      <w:proofErr w:type="spellEnd"/>
      <w:r w:rsidRPr="007D7A21">
        <w:rPr>
          <w:rFonts w:eastAsia="Arial"/>
        </w:rPr>
        <w:t xml:space="preserve"> greitai patenka į ląstelės vidų, o </w:t>
      </w:r>
      <w:proofErr w:type="spellStart"/>
      <w:r w:rsidRPr="007D7A21">
        <w:rPr>
          <w:rFonts w:eastAsia="Arial"/>
        </w:rPr>
        <w:t>kovalentinę</w:t>
      </w:r>
      <w:proofErr w:type="spellEnd"/>
      <w:r w:rsidRPr="007D7A21">
        <w:rPr>
          <w:rFonts w:eastAsia="Arial"/>
        </w:rPr>
        <w:t xml:space="preserve"> jungtį suskaido </w:t>
      </w:r>
      <w:proofErr w:type="spellStart"/>
      <w:r w:rsidRPr="007D7A21">
        <w:rPr>
          <w:rFonts w:eastAsia="Arial"/>
        </w:rPr>
        <w:t>lizosomų</w:t>
      </w:r>
      <w:proofErr w:type="spellEnd"/>
      <w:r w:rsidRPr="007D7A21">
        <w:rPr>
          <w:rFonts w:eastAsia="Arial"/>
        </w:rPr>
        <w:t xml:space="preserve"> proteazės; tokiu būdu MMAE įnešamas į ląstelių vidų. MMAE prisijungia prie </w:t>
      </w:r>
      <w:proofErr w:type="spellStart"/>
      <w:r w:rsidRPr="007D7A21">
        <w:rPr>
          <w:rFonts w:eastAsia="Arial"/>
        </w:rPr>
        <w:t>mikrotubulių</w:t>
      </w:r>
      <w:proofErr w:type="spellEnd"/>
      <w:r w:rsidRPr="007D7A21">
        <w:rPr>
          <w:rFonts w:eastAsia="Arial"/>
        </w:rPr>
        <w:t xml:space="preserve">, slopina ląstelių dalijimąsi ir sukelia jų </w:t>
      </w:r>
      <w:proofErr w:type="spellStart"/>
      <w:r w:rsidRPr="007D7A21">
        <w:rPr>
          <w:rFonts w:eastAsia="Arial"/>
        </w:rPr>
        <w:t>apoptozę</w:t>
      </w:r>
      <w:proofErr w:type="spellEnd"/>
      <w:r w:rsidRPr="007D7A21">
        <w:rPr>
          <w:rFonts w:eastAsia="Arial"/>
        </w:rPr>
        <w:t>; tokiu būdu sukeliama besidalijančių ląstelių žūtis.</w:t>
      </w:r>
    </w:p>
    <w:p w14:paraId="33CB0884" w14:textId="77777777" w:rsidR="003A2821" w:rsidRPr="007D7A21" w:rsidRDefault="003A2821" w:rsidP="003A2821">
      <w:pPr>
        <w:tabs>
          <w:tab w:val="left" w:pos="426"/>
        </w:tabs>
        <w:spacing w:line="276" w:lineRule="auto"/>
        <w:jc w:val="both"/>
        <w:rPr>
          <w:rFonts w:eastAsia="Arial"/>
          <w:iCs/>
        </w:rPr>
      </w:pPr>
      <w:r w:rsidRPr="007D7A21">
        <w:rPr>
          <w:rFonts w:eastAsia="Arial"/>
          <w:iCs/>
        </w:rPr>
        <w:tab/>
      </w:r>
      <w:r w:rsidRPr="007D7A21">
        <w:rPr>
          <w:rFonts w:eastAsia="Arial"/>
          <w:iCs/>
        </w:rPr>
        <w:tab/>
        <w:t xml:space="preserve">Lietuvoje šiuo metu nėra patvirtinto DDBLL gydymo aprašo, todėl remiamasi 2015 m. Europos medicinos onkologų draugijos (angl. </w:t>
      </w:r>
      <w:proofErr w:type="spellStart"/>
      <w:r w:rsidRPr="007D7A21">
        <w:rPr>
          <w:rFonts w:eastAsia="Arial"/>
          <w:iCs/>
        </w:rPr>
        <w:t>European</w:t>
      </w:r>
      <w:proofErr w:type="spellEnd"/>
      <w:r w:rsidRPr="007D7A21">
        <w:rPr>
          <w:rFonts w:eastAsia="Arial"/>
          <w:iCs/>
        </w:rPr>
        <w:t xml:space="preserve"> </w:t>
      </w:r>
      <w:proofErr w:type="spellStart"/>
      <w:r w:rsidRPr="007D7A21">
        <w:rPr>
          <w:rFonts w:eastAsia="Arial"/>
          <w:iCs/>
        </w:rPr>
        <w:t>Society</w:t>
      </w:r>
      <w:proofErr w:type="spellEnd"/>
      <w:r w:rsidRPr="007D7A21">
        <w:rPr>
          <w:rFonts w:eastAsia="Arial"/>
          <w:iCs/>
        </w:rPr>
        <w:t xml:space="preserve"> </w:t>
      </w:r>
      <w:proofErr w:type="spellStart"/>
      <w:r w:rsidRPr="007D7A21">
        <w:rPr>
          <w:rFonts w:eastAsia="Arial"/>
          <w:iCs/>
        </w:rPr>
        <w:t>of</w:t>
      </w:r>
      <w:proofErr w:type="spellEnd"/>
      <w:r w:rsidRPr="007D7A21">
        <w:rPr>
          <w:rFonts w:eastAsia="Arial"/>
          <w:iCs/>
        </w:rPr>
        <w:t xml:space="preserve"> </w:t>
      </w:r>
      <w:proofErr w:type="spellStart"/>
      <w:r w:rsidRPr="007D7A21">
        <w:rPr>
          <w:rFonts w:eastAsia="Arial"/>
          <w:iCs/>
        </w:rPr>
        <w:t>Medical</w:t>
      </w:r>
      <w:proofErr w:type="spellEnd"/>
      <w:r w:rsidRPr="007D7A21">
        <w:rPr>
          <w:rFonts w:eastAsia="Arial"/>
          <w:iCs/>
        </w:rPr>
        <w:t xml:space="preserve"> </w:t>
      </w:r>
      <w:proofErr w:type="spellStart"/>
      <w:r w:rsidRPr="007D7A21">
        <w:rPr>
          <w:rFonts w:eastAsia="Arial"/>
          <w:iCs/>
        </w:rPr>
        <w:t>Oncology</w:t>
      </w:r>
      <w:proofErr w:type="spellEnd"/>
      <w:r w:rsidRPr="007D7A21">
        <w:rPr>
          <w:rFonts w:eastAsia="Arial"/>
          <w:iCs/>
        </w:rPr>
        <w:t xml:space="preserve">; ESMO) rekomendacijomis. Šiame dokumente rekomenduojamas gydymas skiriasi tarp amžiaus grupių ir nustatyto tarptautinio prognostinio indekso vertės, tačiau dažniausia pasikartojančios schemos yra R-CHOP, R-ACVBP. 2024 m. paskelbtos </w:t>
      </w:r>
      <w:r w:rsidRPr="007D7A21">
        <w:rPr>
          <w:rFonts w:eastAsia="Arial"/>
        </w:rPr>
        <w:t>Nacionalinio išplėstinio vėžio tinklo (</w:t>
      </w:r>
      <w:r w:rsidRPr="007D7A21">
        <w:rPr>
          <w:rFonts w:eastAsia="Arial"/>
          <w:i/>
          <w:iCs/>
        </w:rPr>
        <w:t xml:space="preserve">angl. </w:t>
      </w:r>
      <w:proofErr w:type="spellStart"/>
      <w:r w:rsidRPr="007D7A21">
        <w:rPr>
          <w:rFonts w:eastAsia="Arial"/>
          <w:i/>
          <w:iCs/>
        </w:rPr>
        <w:t>National</w:t>
      </w:r>
      <w:proofErr w:type="spellEnd"/>
      <w:r w:rsidRPr="007D7A21">
        <w:rPr>
          <w:rFonts w:eastAsia="Arial"/>
          <w:i/>
          <w:iCs/>
        </w:rPr>
        <w:t xml:space="preserve"> </w:t>
      </w:r>
      <w:proofErr w:type="spellStart"/>
      <w:r w:rsidRPr="007D7A21">
        <w:rPr>
          <w:rFonts w:eastAsia="Arial"/>
          <w:i/>
          <w:iCs/>
        </w:rPr>
        <w:t>Comprehensive</w:t>
      </w:r>
      <w:proofErr w:type="spellEnd"/>
      <w:r w:rsidRPr="007D7A21">
        <w:rPr>
          <w:rFonts w:eastAsia="Arial"/>
          <w:i/>
          <w:iCs/>
        </w:rPr>
        <w:t xml:space="preserve"> </w:t>
      </w:r>
      <w:proofErr w:type="spellStart"/>
      <w:r w:rsidRPr="007D7A21">
        <w:rPr>
          <w:rFonts w:eastAsia="Arial"/>
          <w:i/>
          <w:iCs/>
        </w:rPr>
        <w:t>Cancer</w:t>
      </w:r>
      <w:proofErr w:type="spellEnd"/>
      <w:r w:rsidRPr="007D7A21">
        <w:rPr>
          <w:rFonts w:eastAsia="Arial"/>
          <w:i/>
          <w:iCs/>
        </w:rPr>
        <w:t xml:space="preserve"> Network, NCCN)</w:t>
      </w:r>
      <w:r w:rsidRPr="007D7A21">
        <w:rPr>
          <w:rFonts w:eastAsia="Arial"/>
          <w:iCs/>
        </w:rPr>
        <w:t xml:space="preserve"> gairės nurodo, kad </w:t>
      </w:r>
      <w:proofErr w:type="spellStart"/>
      <w:r w:rsidRPr="007D7A21">
        <w:rPr>
          <w:rFonts w:eastAsia="Arial"/>
          <w:iCs/>
        </w:rPr>
        <w:t>Polivy</w:t>
      </w:r>
      <w:proofErr w:type="spellEnd"/>
      <w:r w:rsidRPr="007D7A21">
        <w:rPr>
          <w:rFonts w:eastAsia="Arial"/>
          <w:iCs/>
        </w:rPr>
        <w:t>, kaip sudėtinė R-CHP schemos dalis, gali būti skiriama kaip alternatyva įprastai schemai R-CHOP.</w:t>
      </w:r>
    </w:p>
    <w:p w14:paraId="0F1287C6" w14:textId="77777777" w:rsidR="003A2821" w:rsidRPr="007D7A21" w:rsidRDefault="003A2821" w:rsidP="003A2821">
      <w:pPr>
        <w:tabs>
          <w:tab w:val="left" w:pos="426"/>
        </w:tabs>
        <w:spacing w:line="276" w:lineRule="auto"/>
        <w:jc w:val="both"/>
        <w:rPr>
          <w:rFonts w:eastAsia="Arial"/>
        </w:rPr>
      </w:pPr>
      <w:r w:rsidRPr="007D7A21">
        <w:rPr>
          <w:rFonts w:eastAsia="Arial"/>
        </w:rPr>
        <w:tab/>
      </w:r>
      <w:r w:rsidRPr="007D7A21">
        <w:rPr>
          <w:rFonts w:eastAsia="Arial"/>
        </w:rPr>
        <w:tab/>
        <w:t xml:space="preserve">Remiantis Lietuvos Respublikos sveikatos apsaugos ministro 2000 m. sausio 28 d. įsakymu Nr. 49 chemoterapija R-CHOP yra kompensuojama </w:t>
      </w:r>
      <w:r w:rsidRPr="007D7A21">
        <w:t>DDBLL</w:t>
      </w:r>
      <w:r w:rsidRPr="007D7A21">
        <w:rPr>
          <w:rFonts w:eastAsia="Arial"/>
        </w:rPr>
        <w:t xml:space="preserve"> gydyti (TLK-10 AM kodai: C83.3), todėl ši schema nurodoma, kaip palyginamasis vaistinis preparatas.</w:t>
      </w:r>
      <w:r w:rsidRPr="007D7A21">
        <w:rPr>
          <w:rFonts w:eastAsia="Arial"/>
        </w:rPr>
        <w:tab/>
      </w:r>
      <w:r w:rsidRPr="007D7A21">
        <w:rPr>
          <w:bCs/>
          <w:iCs/>
          <w:lang w:eastAsia="lt-LT"/>
        </w:rPr>
        <w:t>Palyginamoji schema R-CHOP laikoma atitinkanti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54EF65E9" w14:textId="77777777" w:rsidR="003A2821" w:rsidRPr="007D7A21" w:rsidRDefault="003A2821" w:rsidP="003A2821">
      <w:pPr>
        <w:tabs>
          <w:tab w:val="left" w:pos="426"/>
        </w:tabs>
        <w:spacing w:line="276" w:lineRule="auto"/>
        <w:jc w:val="both"/>
        <w:rPr>
          <w:rFonts w:eastAsia="Arial"/>
        </w:rPr>
      </w:pPr>
      <w:r w:rsidRPr="007D7A21">
        <w:rPr>
          <w:rFonts w:eastAsia="Arial"/>
        </w:rPr>
        <w:tab/>
      </w:r>
      <w:r w:rsidRPr="007D7A21">
        <w:rPr>
          <w:rFonts w:eastAsia="Arial"/>
        </w:rPr>
        <w:tab/>
      </w:r>
    </w:p>
    <w:p w14:paraId="7F257136" w14:textId="77777777" w:rsidR="003A2821" w:rsidRPr="007D7A21" w:rsidRDefault="003A2821" w:rsidP="003A2821">
      <w:pPr>
        <w:tabs>
          <w:tab w:val="left" w:pos="426"/>
        </w:tabs>
        <w:spacing w:line="276" w:lineRule="auto"/>
        <w:jc w:val="both"/>
        <w:rPr>
          <w:i/>
          <w:iCs/>
          <w:color w:val="000000"/>
          <w:lang w:eastAsia="lt-LT"/>
        </w:rPr>
      </w:pPr>
      <w:r w:rsidRPr="007D7A21">
        <w:rPr>
          <w:i/>
          <w:iCs/>
          <w:color w:val="000000"/>
          <w:lang w:eastAsia="lt-LT"/>
        </w:rPr>
        <w:t>Tiesioginis palyginimas</w:t>
      </w:r>
    </w:p>
    <w:p w14:paraId="5A750F17" w14:textId="77777777" w:rsidR="003A2821" w:rsidRPr="00233607" w:rsidRDefault="003A2821" w:rsidP="003A2821">
      <w:pPr>
        <w:tabs>
          <w:tab w:val="left" w:pos="492"/>
        </w:tabs>
        <w:spacing w:line="276" w:lineRule="auto"/>
        <w:jc w:val="both"/>
        <w:outlineLvl w:val="1"/>
      </w:pPr>
      <w:r w:rsidRPr="007D7A21">
        <w:tab/>
      </w:r>
      <w:r w:rsidRPr="007D7A21">
        <w:tab/>
      </w:r>
      <w:proofErr w:type="spellStart"/>
      <w:r w:rsidRPr="007D7A21">
        <w:t>Polivy</w:t>
      </w:r>
      <w:proofErr w:type="spellEnd"/>
      <w:r w:rsidRPr="007D7A21">
        <w:t xml:space="preserve"> veiksmingumas ir saugumas vertinti atliekant </w:t>
      </w:r>
      <w:proofErr w:type="spellStart"/>
      <w:r w:rsidRPr="007D7A21">
        <w:t>daugiacentrį</w:t>
      </w:r>
      <w:proofErr w:type="spellEnd"/>
      <w:r w:rsidRPr="007D7A21">
        <w:t xml:space="preserve">, </w:t>
      </w:r>
      <w:r w:rsidRPr="007D7A21">
        <w:rPr>
          <w:rFonts w:eastAsia="Arial"/>
        </w:rPr>
        <w:t>atsitiktinių imčių,</w:t>
      </w:r>
      <w:r w:rsidRPr="007D7A21">
        <w:t xml:space="preserve"> dvigubai koduotą, placebu kontroliuojamą III fazės tyrimą (</w:t>
      </w:r>
      <w:r w:rsidRPr="007D7A21">
        <w:rPr>
          <w:rFonts w:eastAsia="Arial"/>
        </w:rPr>
        <w:t>POLARIX</w:t>
      </w:r>
      <w:r w:rsidRPr="007D7A21">
        <w:t xml:space="preserve">), kuriame dalyvavo </w:t>
      </w:r>
      <w:r w:rsidRPr="007D7A21">
        <w:rPr>
          <w:rFonts w:eastAsia="Arial"/>
        </w:rPr>
        <w:t>sirgę anksčiau</w:t>
      </w:r>
      <w:r w:rsidRPr="00233607">
        <w:rPr>
          <w:rFonts w:eastAsia="Arial"/>
        </w:rPr>
        <w:t xml:space="preserve"> negydyta DDBLL</w:t>
      </w:r>
      <w:r w:rsidRPr="00233607">
        <w:t>.</w:t>
      </w:r>
    </w:p>
    <w:p w14:paraId="57D0C38A" w14:textId="77777777" w:rsidR="003A2821" w:rsidRPr="00233607" w:rsidRDefault="003A2821" w:rsidP="003A2821">
      <w:pPr>
        <w:tabs>
          <w:tab w:val="left" w:pos="426"/>
        </w:tabs>
        <w:spacing w:line="276" w:lineRule="auto"/>
        <w:jc w:val="both"/>
        <w:rPr>
          <w:rFonts w:eastAsia="Arial"/>
        </w:rPr>
      </w:pPr>
      <w:r w:rsidRPr="00233607">
        <w:rPr>
          <w:rFonts w:eastAsia="Arial"/>
        </w:rPr>
        <w:tab/>
      </w:r>
      <w:r w:rsidRPr="00233607">
        <w:rPr>
          <w:rFonts w:eastAsia="Arial"/>
        </w:rPr>
        <w:tab/>
        <w:t xml:space="preserve">Tyrimo pacientų populiacija atitinka Lietuvos pacientų populiaciją, kuriai gydymas gali būti skiriamas pagal numatomas </w:t>
      </w:r>
      <w:proofErr w:type="spellStart"/>
      <w:r w:rsidRPr="00233607">
        <w:rPr>
          <w:rFonts w:eastAsia="Arial"/>
        </w:rPr>
        <w:t>Polivy</w:t>
      </w:r>
      <w:proofErr w:type="spellEnd"/>
      <w:r w:rsidRPr="00233607">
        <w:rPr>
          <w:rFonts w:eastAsia="Arial"/>
        </w:rPr>
        <w:t xml:space="preserve"> skyrimo indikacijas ir siūlomas skyrimo sąlygas. </w:t>
      </w:r>
      <w:r w:rsidRPr="00233607">
        <w:t xml:space="preserve">Iš viso 879 pacientai atsitiktine tvarka santykiu 1:1 buvo suskirstyti į grupes, 440 pacientai atsitiktiniu būdu buvo atrinkti į </w:t>
      </w:r>
      <w:proofErr w:type="spellStart"/>
      <w:r w:rsidRPr="00233607">
        <w:t>Pola</w:t>
      </w:r>
      <w:proofErr w:type="spellEnd"/>
      <w:r w:rsidRPr="00233607">
        <w:t>-R-CHP grupę ir 439 pacientai – į R-CHOP grupę (2 paveikslas).</w:t>
      </w:r>
      <w:r w:rsidRPr="00233607">
        <w:rPr>
          <w:noProof/>
        </w:rPr>
        <w:t xml:space="preserve"> Pacientai buvo stratifikuojami pagal IPI įvertinimo balą (2 balai, lyginant su 3-5 balais), didelės apimties naviko buvimą ar jo nebuvimą (kai naviko skersmuo yra ≥ 7,5 cm) bei geografinį regioną. </w:t>
      </w:r>
      <w:r w:rsidRPr="00233607">
        <w:rPr>
          <w:lang w:eastAsia="lt-LT"/>
        </w:rPr>
        <w:t>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 vertinamoji baigtis, išgyvenamumas be ligos progresavimo, laikomas tinkama pirmine baigtimi.</w:t>
      </w:r>
    </w:p>
    <w:p w14:paraId="7EEA6B55" w14:textId="77777777" w:rsidR="003A2821" w:rsidRPr="00233607" w:rsidRDefault="003A2821" w:rsidP="003A2821">
      <w:pPr>
        <w:tabs>
          <w:tab w:val="left" w:pos="426"/>
        </w:tabs>
        <w:spacing w:line="276" w:lineRule="auto"/>
        <w:jc w:val="both"/>
        <w:rPr>
          <w:rFonts w:eastAsia="Arial"/>
        </w:rPr>
      </w:pPr>
      <w:r w:rsidRPr="00233607">
        <w:tab/>
      </w:r>
      <w:r w:rsidRPr="00233607">
        <w:tab/>
        <w:t xml:space="preserve">Pradinės pacientų charakteristikos abiejose grupėse buvo panašios. </w:t>
      </w:r>
      <w:r w:rsidRPr="00233607">
        <w:rPr>
          <w:rFonts w:eastAsia="Arial"/>
          <w:iCs/>
          <w:color w:val="000000" w:themeColor="text1"/>
        </w:rPr>
        <w:t>Tyrime dalyvavusių pacientų demografiniai bei ligos rodikliai atspindi realią pacientų populiaciją, kuriai šis vaistai yra skiriamas Lietuvoje.</w:t>
      </w:r>
      <w:r w:rsidRPr="00233607">
        <w:rPr>
          <w:rFonts w:eastAsia="Arial"/>
        </w:rPr>
        <w:t xml:space="preserve"> </w:t>
      </w:r>
    </w:p>
    <w:p w14:paraId="022492CB" w14:textId="77777777" w:rsidR="003A2821" w:rsidRPr="00233607" w:rsidRDefault="003A2821" w:rsidP="003A2821">
      <w:pPr>
        <w:tabs>
          <w:tab w:val="left" w:pos="426"/>
        </w:tabs>
        <w:spacing w:line="276" w:lineRule="auto"/>
        <w:jc w:val="both"/>
      </w:pPr>
      <w:r w:rsidRPr="00233607">
        <w:rPr>
          <w:rFonts w:eastAsia="Arial"/>
          <w:color w:val="000000" w:themeColor="text1"/>
        </w:rPr>
        <w:lastRenderedPageBreak/>
        <w:tab/>
      </w:r>
      <w:r w:rsidRPr="00233607">
        <w:rPr>
          <w:rFonts w:eastAsia="Arial"/>
          <w:color w:val="000000" w:themeColor="text1"/>
        </w:rPr>
        <w:tab/>
      </w:r>
      <w:r w:rsidRPr="00233607">
        <w:rPr>
          <w:rFonts w:eastAsia="Arial"/>
        </w:rPr>
        <w:t xml:space="preserve">Tyrimo </w:t>
      </w:r>
      <w:r w:rsidRPr="00233607">
        <w:rPr>
          <w:rFonts w:eastAsia="Arial"/>
          <w:u w:val="single"/>
        </w:rPr>
        <w:t>pagrindinė</w:t>
      </w:r>
      <w:r w:rsidRPr="00233607">
        <w:rPr>
          <w:rFonts w:eastAsia="Arial"/>
        </w:rPr>
        <w:t xml:space="preserve"> (pirminė) veiksmingumo vertinamoji </w:t>
      </w:r>
      <w:r w:rsidRPr="00233607">
        <w:rPr>
          <w:rFonts w:eastAsia="Arial"/>
          <w:u w:val="single"/>
        </w:rPr>
        <w:t>baigtis</w:t>
      </w:r>
      <w:r w:rsidRPr="00233607">
        <w:rPr>
          <w:rFonts w:eastAsia="Arial"/>
        </w:rPr>
        <w:t xml:space="preserve"> buvo </w:t>
      </w:r>
      <w:r w:rsidRPr="00233607">
        <w:t xml:space="preserve">tyrėjo įvertintas išgyvenamumas be ligos progresavimo – laikas nuo atsitiktinės atrankos iki pirmo ligos progresavimo ar recidyvo, kaip įvertino tyrėjas pagal </w:t>
      </w:r>
      <w:proofErr w:type="spellStart"/>
      <w:r w:rsidRPr="00233607">
        <w:t>Lugano</w:t>
      </w:r>
      <w:proofErr w:type="spellEnd"/>
      <w:r w:rsidRPr="00233607">
        <w:t xml:space="preserve"> atsako kriterijus piktybinei limfomai, arba mirties dėl bet kokios priežasties, atsižvelgiant į tai, kas įvyksta anksčiau. </w:t>
      </w:r>
    </w:p>
    <w:p w14:paraId="50203369" w14:textId="77777777" w:rsidR="003A2821" w:rsidRPr="00233607" w:rsidRDefault="003A2821" w:rsidP="003A2821">
      <w:pPr>
        <w:tabs>
          <w:tab w:val="left" w:pos="426"/>
        </w:tabs>
        <w:spacing w:line="276" w:lineRule="auto"/>
        <w:jc w:val="both"/>
      </w:pPr>
      <w:r w:rsidRPr="00233607">
        <w:tab/>
      </w:r>
      <w:r w:rsidRPr="00233607">
        <w:tab/>
        <w:t xml:space="preserve">2021 m. birželio 28 d. atlikta pirminė duomenų analizė. Stebėjimo mediana buvo 28,2 mėn. (intervalas nuo 0,1 iki 43,4 mėn.). Stebėjimo laikotarpiu buvo nustatyti 107 (24,3 proc.) pacientų, kuriems nustatyti reiškiniai </w:t>
      </w:r>
      <w:proofErr w:type="spellStart"/>
      <w:r w:rsidRPr="00233607">
        <w:t>pola</w:t>
      </w:r>
      <w:proofErr w:type="spellEnd"/>
      <w:r w:rsidRPr="00233607">
        <w:t xml:space="preserve">-R-CHP grupėje ir 134 (30,5 proc.) R-CHOP grupėje. Rizika ligos progresavimui, atkryčiui arba mirčiai buvo reikšmingai mažesnė </w:t>
      </w:r>
      <w:proofErr w:type="spellStart"/>
      <w:r w:rsidRPr="00233607">
        <w:t>pola</w:t>
      </w:r>
      <w:proofErr w:type="spellEnd"/>
      <w:r w:rsidRPr="00233607">
        <w:t>-R-CHP grupėje nei R-CHOP grupėje (</w:t>
      </w:r>
      <w:proofErr w:type="spellStart"/>
      <w:r w:rsidRPr="00233607">
        <w:t>stratifikuotas</w:t>
      </w:r>
      <w:proofErr w:type="spellEnd"/>
      <w:r w:rsidRPr="00233607">
        <w:t xml:space="preserve"> rizikos santykis (RS) 0,73; 95% </w:t>
      </w:r>
      <w:proofErr w:type="spellStart"/>
      <w:r w:rsidRPr="00233607">
        <w:t>pasikliautinasis</w:t>
      </w:r>
      <w:proofErr w:type="spellEnd"/>
      <w:r w:rsidRPr="00233607">
        <w:t xml:space="preserve"> intervalas [PI], 0,57–0,95; p=0,02). </w:t>
      </w:r>
      <w:r w:rsidRPr="00233607">
        <w:rPr>
          <w:rFonts w:eastAsia="Arial"/>
          <w:color w:val="000000" w:themeColor="text1"/>
        </w:rPr>
        <w:t xml:space="preserve">Analizuojant pacientų pogrupius nustatyta, kad </w:t>
      </w:r>
      <w:proofErr w:type="spellStart"/>
      <w:r w:rsidRPr="00233607">
        <w:rPr>
          <w:rFonts w:eastAsia="Arial"/>
          <w:color w:val="000000" w:themeColor="text1"/>
        </w:rPr>
        <w:t>Polivy</w:t>
      </w:r>
      <w:proofErr w:type="spellEnd"/>
      <w:r w:rsidRPr="00233607">
        <w:t xml:space="preserve"> sumažino pagrindinės vertinamosios baigties atvejų riziką tik specifinėse grupėse, </w:t>
      </w:r>
      <w:proofErr w:type="spellStart"/>
      <w:r w:rsidRPr="00233607">
        <w:t>t.y</w:t>
      </w:r>
      <w:proofErr w:type="spellEnd"/>
      <w:r w:rsidRPr="00233607">
        <w:t xml:space="preserve">. vyresniems pacientams, vyrams, turintiems mažesnį ECOG įvertį, turintiems IPA indeksą 3-5, nesant nustatytam didelės apimties navikui, į ABC panašus DDBLL. Tuo metu pacientai iki 60 metų, pacientai su </w:t>
      </w:r>
      <w:proofErr w:type="spellStart"/>
      <w:r w:rsidRPr="00233607">
        <w:t>germinacinių</w:t>
      </w:r>
      <w:proofErr w:type="spellEnd"/>
      <w:r w:rsidRPr="00233607">
        <w:t xml:space="preserve"> centrų B ląstelių tipo DDBLL, pacientai su masyvia liga bei pacientai su mažesniais IPI balais, neparodė aiškios naudos, gydant </w:t>
      </w:r>
      <w:proofErr w:type="spellStart"/>
      <w:r w:rsidRPr="00233607">
        <w:t>pola</w:t>
      </w:r>
      <w:proofErr w:type="spellEnd"/>
      <w:r w:rsidRPr="00233607">
        <w:t xml:space="preserve">-R-CHP. </w:t>
      </w:r>
    </w:p>
    <w:p w14:paraId="7E612FCA" w14:textId="77777777" w:rsidR="003A2821" w:rsidRPr="00233607" w:rsidRDefault="003A2821" w:rsidP="003A2821">
      <w:pPr>
        <w:tabs>
          <w:tab w:val="left" w:pos="426"/>
        </w:tabs>
        <w:spacing w:line="276" w:lineRule="auto"/>
        <w:ind w:left="-90" w:firstLine="90"/>
        <w:jc w:val="both"/>
      </w:pPr>
      <w:r w:rsidRPr="00233607">
        <w:tab/>
      </w:r>
      <w:r w:rsidRPr="00233607">
        <w:tab/>
        <w:t>Antrinių vertinamųjų baigčių analizė:</w:t>
      </w:r>
    </w:p>
    <w:p w14:paraId="717357C2" w14:textId="77777777" w:rsidR="003A2821" w:rsidRPr="00233607" w:rsidRDefault="003A2821" w:rsidP="003A2821">
      <w:pPr>
        <w:pStyle w:val="Sraopastraipa"/>
        <w:numPr>
          <w:ilvl w:val="0"/>
          <w:numId w:val="15"/>
        </w:numPr>
        <w:tabs>
          <w:tab w:val="left" w:pos="426"/>
        </w:tabs>
        <w:spacing w:line="276" w:lineRule="auto"/>
        <w:ind w:left="-90" w:firstLine="90"/>
        <w:jc w:val="both"/>
      </w:pPr>
      <w:r w:rsidRPr="00233607">
        <w:rPr>
          <w:position w:val="2"/>
        </w:rPr>
        <w:t>Išgyvenamumas</w:t>
      </w:r>
      <w:r w:rsidRPr="00233607">
        <w:rPr>
          <w:spacing w:val="-12"/>
          <w:position w:val="2"/>
        </w:rPr>
        <w:t xml:space="preserve"> </w:t>
      </w:r>
      <w:r w:rsidRPr="00233607">
        <w:rPr>
          <w:position w:val="2"/>
        </w:rPr>
        <w:t>be</w:t>
      </w:r>
      <w:r w:rsidRPr="00233607">
        <w:rPr>
          <w:spacing w:val="-13"/>
          <w:position w:val="2"/>
        </w:rPr>
        <w:t xml:space="preserve"> </w:t>
      </w:r>
      <w:r w:rsidRPr="00233607">
        <w:rPr>
          <w:position w:val="2"/>
        </w:rPr>
        <w:t>įvykių:</w:t>
      </w:r>
      <w:r w:rsidRPr="00233607">
        <w:t xml:space="preserve"> Stebėjimo laikotarpiu buvo nustatyti 112 (25,5 proc.) pacientų, kuriems nustatyti įvykiai </w:t>
      </w:r>
      <w:proofErr w:type="spellStart"/>
      <w:r w:rsidRPr="00233607">
        <w:t>pola</w:t>
      </w:r>
      <w:proofErr w:type="spellEnd"/>
      <w:r w:rsidRPr="00233607">
        <w:t xml:space="preserve">-R-CHP grupėje ir 138 (31,4 proc.) R-CHOP grupėje. Rizika ligos progresavimui, atkryčiui arba mirčiai ar kitam įvykiui buvo reikšmingai mažesnė </w:t>
      </w:r>
      <w:proofErr w:type="spellStart"/>
      <w:r w:rsidRPr="00233607">
        <w:t>pola</w:t>
      </w:r>
      <w:proofErr w:type="spellEnd"/>
      <w:r w:rsidRPr="00233607">
        <w:t>-R-CHP grupėje nei R-CHOP grupėje (</w:t>
      </w:r>
      <w:proofErr w:type="spellStart"/>
      <w:r w:rsidRPr="00233607">
        <w:t>stratifikuotas</w:t>
      </w:r>
      <w:proofErr w:type="spellEnd"/>
      <w:r w:rsidRPr="00233607">
        <w:t xml:space="preserve"> RS 0,75; 95% PI, 0,58–0,96; p=0,02).</w:t>
      </w:r>
    </w:p>
    <w:p w14:paraId="70FAA595" w14:textId="77777777" w:rsidR="003A2821" w:rsidRPr="00233607" w:rsidRDefault="003A2821" w:rsidP="003A2821">
      <w:pPr>
        <w:pStyle w:val="Sraopastraipa"/>
        <w:numPr>
          <w:ilvl w:val="0"/>
          <w:numId w:val="15"/>
        </w:numPr>
        <w:tabs>
          <w:tab w:val="left" w:pos="426"/>
        </w:tabs>
        <w:spacing w:line="276" w:lineRule="auto"/>
        <w:ind w:left="-90" w:firstLine="90"/>
        <w:jc w:val="both"/>
      </w:pPr>
      <w:r w:rsidRPr="00233607">
        <w:t xml:space="preserve">Visiškas atsakas nustatytas Koduoto nepriklausomo duomenų peržiūros komiteto: Pacientų, kuriems buvo nustatytas visiškas atsakas gydymo pabaigoje, procentas, reikšmingai nesiskyrė tarp dviejų grupių: 78,0 proc. (343 pacientai) </w:t>
      </w:r>
      <w:proofErr w:type="spellStart"/>
      <w:r w:rsidRPr="00233607">
        <w:t>pola</w:t>
      </w:r>
      <w:proofErr w:type="spellEnd"/>
      <w:r w:rsidRPr="00233607">
        <w:t>-R-CHP grupėje ir 74,0 proc. (325 pacientai) R-CHOP grupėje (P = 0,16).</w:t>
      </w:r>
    </w:p>
    <w:p w14:paraId="5AAF4BEC" w14:textId="77777777" w:rsidR="003A2821" w:rsidRPr="00233607" w:rsidRDefault="003A2821" w:rsidP="003A2821">
      <w:pPr>
        <w:pStyle w:val="prastasiniatinklio"/>
        <w:numPr>
          <w:ilvl w:val="0"/>
          <w:numId w:val="15"/>
        </w:numPr>
        <w:spacing w:before="0" w:beforeAutospacing="0" w:after="0" w:afterAutospacing="0" w:line="276" w:lineRule="auto"/>
        <w:ind w:left="-90" w:firstLine="90"/>
        <w:jc w:val="both"/>
      </w:pPr>
      <w:r w:rsidRPr="00233607">
        <w:t>Bendras išgyvenamumas: Atlikus pirminę duomenų analizę, BI duomenys statistiškai reikšmingai nesiskyrė (</w:t>
      </w:r>
      <w:proofErr w:type="spellStart"/>
      <w:r w:rsidRPr="00233607">
        <w:t>stratifikuotas</w:t>
      </w:r>
      <w:proofErr w:type="spellEnd"/>
      <w:r w:rsidRPr="00233607">
        <w:t xml:space="preserve"> RS 0,94 [95 % PI: 0,65; 1,37]; p = 0,7524). Stebėjimo laikotarpiu buvo nustatyti 53 (12 proc.) pacientų, kuriems nustatytas mirties faktas </w:t>
      </w:r>
      <w:proofErr w:type="spellStart"/>
      <w:r w:rsidRPr="00233607">
        <w:t>pola</w:t>
      </w:r>
      <w:proofErr w:type="spellEnd"/>
      <w:r w:rsidRPr="00233607">
        <w:t xml:space="preserve"> -R-CHP grupėje ir 57 (13 proc.) pacientai R-CHOP grupėje.</w:t>
      </w:r>
    </w:p>
    <w:p w14:paraId="12009440" w14:textId="77777777" w:rsidR="003A2821" w:rsidRPr="00233607" w:rsidRDefault="003A2821" w:rsidP="003A2821">
      <w:pPr>
        <w:pStyle w:val="Sraopastraipa"/>
        <w:numPr>
          <w:ilvl w:val="0"/>
          <w:numId w:val="15"/>
        </w:numPr>
        <w:spacing w:line="276" w:lineRule="auto"/>
        <w:ind w:left="-90" w:firstLine="90"/>
        <w:jc w:val="both"/>
      </w:pPr>
      <w:r w:rsidRPr="00233607">
        <w:t xml:space="preserve">Išgyvenamumas be ligos atkryčio: Stebėjimo laikotarpiu buvo nustatyti 62 (16,3 proc.) pacientų, kuriems nustatyti ligos atkryčiai </w:t>
      </w:r>
      <w:proofErr w:type="spellStart"/>
      <w:r w:rsidRPr="00233607">
        <w:t>pola</w:t>
      </w:r>
      <w:proofErr w:type="spellEnd"/>
      <w:r w:rsidRPr="00233607">
        <w:t xml:space="preserve">-R-CHP grupėje ir 79 (21,8 proc.) R-CHOP grupėje analizė parodė, kad pacientams, kuriems po gydymo </w:t>
      </w:r>
      <w:proofErr w:type="spellStart"/>
      <w:r w:rsidRPr="00233607">
        <w:t>Pola</w:t>
      </w:r>
      <w:proofErr w:type="spellEnd"/>
      <w:r w:rsidRPr="00233607">
        <w:t xml:space="preserve">-R-CHP buvo pasiektas visiškas atsakas kaip geriausias atsakas, remisija išliko ilgiau, palyginti su tais, kurie buvo gydomi R-CHOP ir taip pat pasiekė visiška atsaką (atkryčio ar mirties RS, 0,70; 95% PI 0,50–0,98). </w:t>
      </w:r>
    </w:p>
    <w:p w14:paraId="3B4403DD" w14:textId="77777777" w:rsidR="003A2821" w:rsidRPr="00233607" w:rsidRDefault="003A2821" w:rsidP="003A2821">
      <w:pPr>
        <w:tabs>
          <w:tab w:val="left" w:pos="426"/>
        </w:tabs>
        <w:spacing w:line="276" w:lineRule="auto"/>
        <w:jc w:val="both"/>
        <w:rPr>
          <w:lang w:eastAsia="lt-LT"/>
        </w:rPr>
      </w:pPr>
      <w:r w:rsidRPr="00233607">
        <w:rPr>
          <w:lang w:eastAsia="lt-LT"/>
        </w:rPr>
        <w:tab/>
      </w:r>
      <w:r w:rsidRPr="00233607">
        <w:rPr>
          <w:lang w:eastAsia="lt-LT"/>
        </w:rPr>
        <w:tab/>
        <w:t xml:space="preserve">Rezultatai pakartotinai buvo įvertini 2022 m. birželio 15 d. Atnaujintos klinikinio tyrimo ataskaitos (2022 m. birželio 15 d.) tikslas buvo pateikti iš anksto numatytos galutinės BI analizės rezultatus, kuri turėjo būti atlikta praėjus 36 mėnesiams po paskutinio paciento įtraukimo į tyrimą. </w:t>
      </w:r>
    </w:p>
    <w:p w14:paraId="3B54F9FF" w14:textId="77777777" w:rsidR="003A2821" w:rsidRPr="007D7A21" w:rsidRDefault="003A2821" w:rsidP="003A2821">
      <w:pPr>
        <w:tabs>
          <w:tab w:val="left" w:pos="426"/>
        </w:tabs>
        <w:spacing w:line="276" w:lineRule="auto"/>
        <w:jc w:val="both"/>
        <w:rPr>
          <w:bCs/>
          <w:lang w:eastAsia="lt-LT"/>
        </w:rPr>
      </w:pPr>
      <w:r>
        <w:rPr>
          <w:bCs/>
          <w:lang w:eastAsia="lt-LT"/>
        </w:rPr>
        <w:tab/>
      </w:r>
      <w:r>
        <w:rPr>
          <w:bCs/>
          <w:lang w:eastAsia="lt-LT"/>
        </w:rPr>
        <w:tab/>
      </w:r>
      <w:r w:rsidRPr="007D7A21">
        <w:rPr>
          <w:bCs/>
          <w:lang w:eastAsia="lt-LT"/>
        </w:rPr>
        <w:t>Pagrindinės baigties analizė</w:t>
      </w:r>
    </w:p>
    <w:p w14:paraId="460774C4" w14:textId="77777777" w:rsidR="003A2821" w:rsidRPr="00233607" w:rsidRDefault="003A2821" w:rsidP="003A2821">
      <w:pPr>
        <w:tabs>
          <w:tab w:val="left" w:pos="426"/>
        </w:tabs>
        <w:spacing w:line="276" w:lineRule="auto"/>
        <w:jc w:val="both"/>
      </w:pPr>
      <w:r w:rsidRPr="00233607">
        <w:tab/>
      </w:r>
      <w:r w:rsidRPr="00233607">
        <w:tab/>
        <w:t xml:space="preserve">Stebėjimo mediana buvo 30,9 mėn. (intervalas nuo 0,1 iki 46 mėn.) </w:t>
      </w:r>
      <w:proofErr w:type="spellStart"/>
      <w:r w:rsidRPr="00233607">
        <w:t>pola+R-CHP</w:t>
      </w:r>
      <w:proofErr w:type="spellEnd"/>
      <w:r w:rsidRPr="00233607">
        <w:t xml:space="preserve"> grupėje ir 30,8 mėn. (intervalas nuo 0,1 iki 54 mėn.) R-CHOP grupėje. Stebėjimo laikotarpiu buvo nustatyti 118 (26,8 proc.) pacientų, kuriems nustatyti reiškiniai </w:t>
      </w:r>
      <w:proofErr w:type="spellStart"/>
      <w:r w:rsidRPr="00233607">
        <w:t>pola</w:t>
      </w:r>
      <w:proofErr w:type="spellEnd"/>
      <w:r w:rsidRPr="00233607">
        <w:t xml:space="preserve">-R-CHP grupėje ir 143 (32,6 proc.) R-CHOP grupėje. Rizika ligos progresavimui, atkryčiui arba mirčiai buvo reikšmingai mažesnė </w:t>
      </w:r>
      <w:proofErr w:type="spellStart"/>
      <w:r w:rsidRPr="00233607">
        <w:t>pola</w:t>
      </w:r>
      <w:proofErr w:type="spellEnd"/>
      <w:r w:rsidRPr="00233607">
        <w:t>-R-CHP grupėje nei R-CHOP grupėje (</w:t>
      </w:r>
      <w:proofErr w:type="spellStart"/>
      <w:r w:rsidRPr="00233607">
        <w:t>stratifikuotas</w:t>
      </w:r>
      <w:proofErr w:type="spellEnd"/>
      <w:r w:rsidRPr="00233607">
        <w:t xml:space="preserve"> RS 0,76; 95% PI 0,60–0,97; p=0,03). </w:t>
      </w:r>
    </w:p>
    <w:p w14:paraId="271767D5" w14:textId="77777777" w:rsidR="003A2821" w:rsidRPr="007D7A21" w:rsidRDefault="003A2821" w:rsidP="003A2821">
      <w:pPr>
        <w:spacing w:line="276" w:lineRule="auto"/>
        <w:ind w:firstLine="720"/>
        <w:jc w:val="both"/>
      </w:pPr>
      <w:r w:rsidRPr="00233607">
        <w:t>A</w:t>
      </w:r>
      <w:r w:rsidRPr="00233607">
        <w:rPr>
          <w:rFonts w:eastAsia="Arial"/>
          <w:color w:val="000000" w:themeColor="text1"/>
        </w:rPr>
        <w:t xml:space="preserve">nalizuojant pacientų pogrupius (pvz., sudarytus pagal </w:t>
      </w:r>
      <w:proofErr w:type="spellStart"/>
      <w:r w:rsidRPr="00233607">
        <w:rPr>
          <w:rFonts w:eastAsia="Arial"/>
          <w:color w:val="000000" w:themeColor="text1"/>
        </w:rPr>
        <w:t>amžiu</w:t>
      </w:r>
      <w:proofErr w:type="spellEnd"/>
      <w:r w:rsidRPr="00233607">
        <w:rPr>
          <w:rFonts w:eastAsia="Arial"/>
          <w:color w:val="000000" w:themeColor="text1"/>
        </w:rPr>
        <w:t xml:space="preserve">̨, regioną, ECOG balą) nustatyta, kad </w:t>
      </w:r>
      <w:proofErr w:type="spellStart"/>
      <w:r w:rsidRPr="00233607">
        <w:rPr>
          <w:rFonts w:eastAsia="Arial"/>
          <w:color w:val="000000" w:themeColor="text1"/>
        </w:rPr>
        <w:t>Polivy</w:t>
      </w:r>
      <w:proofErr w:type="spellEnd"/>
      <w:r w:rsidRPr="00233607">
        <w:t xml:space="preserve"> sumažino pagrindinės vertinamosios baigties (PFS) atvejų riziką tik specifinėse grupėse, </w:t>
      </w:r>
      <w:proofErr w:type="spellStart"/>
      <w:r w:rsidRPr="00233607">
        <w:t>t.y</w:t>
      </w:r>
      <w:proofErr w:type="spellEnd"/>
      <w:r w:rsidRPr="00233607">
        <w:t xml:space="preserve">. vyresniems pacientams, </w:t>
      </w:r>
      <w:r w:rsidRPr="007D7A21">
        <w:t xml:space="preserve">vyrams, turintiems mažesnį ECOG įvertį, turintiems IPA </w:t>
      </w:r>
      <w:r w:rsidRPr="007D7A21">
        <w:lastRenderedPageBreak/>
        <w:t xml:space="preserve">indeksą 3-5, nesant nustatytam didelės apimties navikui, į ABC panašus DDBLL. Tuo metu pacientai iki 60 metų, pacientai su </w:t>
      </w:r>
      <w:proofErr w:type="spellStart"/>
      <w:r w:rsidRPr="007D7A21">
        <w:t>germinacinių</w:t>
      </w:r>
      <w:proofErr w:type="spellEnd"/>
      <w:r w:rsidRPr="007D7A21">
        <w:t xml:space="preserve"> centrų B ląstelių tipo DDBLL, pacientai su masyvia liga bei pacientai su mažesniais IPI balais, neparodė aiškios naudos, gydant </w:t>
      </w:r>
      <w:proofErr w:type="spellStart"/>
      <w:r w:rsidRPr="007D7A21">
        <w:t>pola</w:t>
      </w:r>
      <w:proofErr w:type="spellEnd"/>
      <w:r w:rsidRPr="007D7A21">
        <w:t>-R-CHP. Tokia pati tendencija stebėta ir ankstesnėje analizėje.</w:t>
      </w:r>
    </w:p>
    <w:p w14:paraId="47F72E0B" w14:textId="77777777" w:rsidR="003A2821" w:rsidRPr="007D7A21" w:rsidRDefault="003A2821" w:rsidP="003A2821">
      <w:pPr>
        <w:tabs>
          <w:tab w:val="left" w:pos="426"/>
        </w:tabs>
        <w:spacing w:line="276" w:lineRule="auto"/>
        <w:jc w:val="both"/>
      </w:pPr>
      <w:r w:rsidRPr="007D7A21">
        <w:tab/>
      </w:r>
      <w:r w:rsidRPr="007D7A21">
        <w:tab/>
        <w:t>Antrinių vertinamųjų baigčių analizė:</w:t>
      </w:r>
    </w:p>
    <w:p w14:paraId="70AE49C3" w14:textId="77777777" w:rsidR="003A2821" w:rsidRPr="007D7A21" w:rsidRDefault="003A2821" w:rsidP="003A2821">
      <w:pPr>
        <w:pStyle w:val="Sraopastraipa"/>
        <w:numPr>
          <w:ilvl w:val="0"/>
          <w:numId w:val="16"/>
        </w:numPr>
        <w:tabs>
          <w:tab w:val="left" w:pos="426"/>
        </w:tabs>
        <w:spacing w:line="276" w:lineRule="auto"/>
        <w:ind w:left="0" w:firstLine="0"/>
        <w:jc w:val="both"/>
      </w:pPr>
      <w:r w:rsidRPr="007D7A21">
        <w:rPr>
          <w:position w:val="2"/>
        </w:rPr>
        <w:t>Išgyvenamumas</w:t>
      </w:r>
      <w:r w:rsidRPr="007D7A21">
        <w:rPr>
          <w:spacing w:val="-12"/>
          <w:position w:val="2"/>
        </w:rPr>
        <w:t xml:space="preserve"> </w:t>
      </w:r>
      <w:r w:rsidRPr="007D7A21">
        <w:rPr>
          <w:position w:val="2"/>
        </w:rPr>
        <w:t>be</w:t>
      </w:r>
      <w:r w:rsidRPr="007D7A21">
        <w:rPr>
          <w:spacing w:val="-13"/>
          <w:position w:val="2"/>
        </w:rPr>
        <w:t xml:space="preserve"> </w:t>
      </w:r>
      <w:r w:rsidRPr="007D7A21">
        <w:rPr>
          <w:position w:val="2"/>
        </w:rPr>
        <w:t>įvykių:</w:t>
      </w:r>
      <w:r w:rsidRPr="007D7A21">
        <w:t xml:space="preserve"> Stebėjimo laikotarpiu buvo nustatyti 124 (28,2 proc.) pacientų, kuriems nustatyti įvykiai </w:t>
      </w:r>
      <w:proofErr w:type="spellStart"/>
      <w:r w:rsidRPr="007D7A21">
        <w:t>pola</w:t>
      </w:r>
      <w:proofErr w:type="spellEnd"/>
      <w:r w:rsidRPr="007D7A21">
        <w:t xml:space="preserve">-R-CHP grupėje ir 147 (33,5 proc.) R-CHOP grupėje. Rizika ligos progresavimui, atkryčiui arba mirčiai ar kitam įvykiui buvo reikšmingai mažesnė </w:t>
      </w:r>
      <w:proofErr w:type="spellStart"/>
      <w:r w:rsidRPr="007D7A21">
        <w:t>pola</w:t>
      </w:r>
      <w:proofErr w:type="spellEnd"/>
      <w:r w:rsidRPr="007D7A21">
        <w:t>-R-CHP grupėje nei R-CHOP grupėje (</w:t>
      </w:r>
      <w:proofErr w:type="spellStart"/>
      <w:r w:rsidRPr="007D7A21">
        <w:t>stratifikuotas</w:t>
      </w:r>
      <w:proofErr w:type="spellEnd"/>
      <w:r w:rsidRPr="007D7A21">
        <w:t xml:space="preserve"> RS 0,79; 95% PI, 0,62–1,00; p=0,02). </w:t>
      </w:r>
    </w:p>
    <w:p w14:paraId="6950C203" w14:textId="77777777" w:rsidR="003A2821" w:rsidRDefault="003A2821" w:rsidP="003A2821">
      <w:pPr>
        <w:pStyle w:val="prastasiniatinklio"/>
        <w:numPr>
          <w:ilvl w:val="0"/>
          <w:numId w:val="16"/>
        </w:numPr>
        <w:spacing w:before="0" w:beforeAutospacing="0" w:after="0" w:afterAutospacing="0" w:line="276" w:lineRule="auto"/>
        <w:ind w:left="0" w:firstLine="0"/>
        <w:jc w:val="both"/>
      </w:pPr>
      <w:r w:rsidRPr="007D7A21">
        <w:t>Bendras išgyvenamumas: Atlikus pirminę duomenų analizę, BI duomenys statistiškai reikšmingai nesiskyrė (</w:t>
      </w:r>
      <w:proofErr w:type="spellStart"/>
      <w:r w:rsidRPr="007D7A21">
        <w:t>stratifikuotas</w:t>
      </w:r>
      <w:proofErr w:type="spellEnd"/>
      <w:r w:rsidRPr="007D7A21">
        <w:t xml:space="preserve"> RS 0,94 [95 % PI: 0,67; 1,33]; p = 0,7326). Stebėjimo laikotarpiu buvo nustatyti 64  (14,5 proc.) pacientų, kuriems nustatytas mirties faktas </w:t>
      </w:r>
      <w:proofErr w:type="spellStart"/>
      <w:r w:rsidRPr="007D7A21">
        <w:t>pola</w:t>
      </w:r>
      <w:proofErr w:type="spellEnd"/>
      <w:r w:rsidRPr="007D7A21">
        <w:t>-R-CHP grupėje ir 67 (15,3 proc.) pacientai R-CHOP grupėje.</w:t>
      </w:r>
    </w:p>
    <w:p w14:paraId="5A2FD6D0" w14:textId="77777777" w:rsidR="003A2821" w:rsidRPr="007D7A21" w:rsidRDefault="003A2821" w:rsidP="003A2821">
      <w:pPr>
        <w:pStyle w:val="prastasiniatinklio"/>
        <w:numPr>
          <w:ilvl w:val="0"/>
          <w:numId w:val="16"/>
        </w:numPr>
        <w:spacing w:before="0" w:beforeAutospacing="0" w:after="0" w:afterAutospacing="0" w:line="276" w:lineRule="auto"/>
        <w:ind w:left="0" w:firstLine="0"/>
        <w:jc w:val="both"/>
      </w:pPr>
      <w:r w:rsidRPr="007D7A21">
        <w:t xml:space="preserve">Išgyvenamumas be ligos atkryčio: Stebėjimo laikotarpiu buvo nustatyti 72 (18,9 proc.) pacientų, kuriems nustatyti įvykiai </w:t>
      </w:r>
      <w:proofErr w:type="spellStart"/>
      <w:r w:rsidRPr="007D7A21">
        <w:t>pola</w:t>
      </w:r>
      <w:proofErr w:type="spellEnd"/>
      <w:r w:rsidRPr="007D7A21">
        <w:t xml:space="preserve">-R-CHP grupėje ir 89 (24,4 proc.) R-CHOP grupėje. Rizika ligos progresavimui buvo reikšmingai mažesnė </w:t>
      </w:r>
      <w:proofErr w:type="spellStart"/>
      <w:r w:rsidRPr="007D7A21">
        <w:t>pola</w:t>
      </w:r>
      <w:proofErr w:type="spellEnd"/>
      <w:r w:rsidRPr="007D7A21">
        <w:t>-R-CHP grupėje nei R-CHOP grupėje (</w:t>
      </w:r>
      <w:proofErr w:type="spellStart"/>
      <w:r w:rsidRPr="007D7A21">
        <w:t>stratifikuotas</w:t>
      </w:r>
      <w:proofErr w:type="spellEnd"/>
      <w:r w:rsidRPr="007D7A21">
        <w:t xml:space="preserve"> RS 0,72; 95% PI, 0,53–0,99; p=0,02).</w:t>
      </w:r>
    </w:p>
    <w:p w14:paraId="4F172490" w14:textId="77777777" w:rsidR="003A2821" w:rsidRDefault="003A2821" w:rsidP="003A2821">
      <w:pPr>
        <w:spacing w:line="276" w:lineRule="auto"/>
        <w:ind w:firstLine="720"/>
        <w:jc w:val="both"/>
        <w:rPr>
          <w:rFonts w:eastAsia="Arial"/>
          <w:iCs/>
        </w:rPr>
      </w:pPr>
      <w:r w:rsidRPr="00C75A43">
        <w:rPr>
          <w:rFonts w:eastAsia="Arial"/>
          <w:iCs/>
        </w:rPr>
        <w:t xml:space="preserve">Pareiškėjo pateikti argumentai ir įrodymai pagrindžia, kad IBLP yra tinkama ir </w:t>
      </w:r>
      <w:proofErr w:type="spellStart"/>
      <w:r w:rsidRPr="00C75A43">
        <w:rPr>
          <w:rFonts w:eastAsia="Arial"/>
          <w:iCs/>
        </w:rPr>
        <w:t>validuota</w:t>
      </w:r>
      <w:proofErr w:type="spellEnd"/>
      <w:r w:rsidRPr="00C75A43">
        <w:rPr>
          <w:rFonts w:eastAsia="Arial"/>
          <w:iCs/>
        </w:rPr>
        <w:t xml:space="preserve"> BI pakaitinė baigtis šiai indikacijai. Atsižvelgiant į tai, kad POLARIX tyrimas nebuvo skirtas BI skirtumui vertinti, vėlesni gydymo pasirinkimai reikšmingai įtakojo BI, o IBLP ir BI rezultatai koreliuoja, laikome, kad šie argumentai yra pagrįsti ir priimtini.</w:t>
      </w:r>
      <w:r>
        <w:rPr>
          <w:rFonts w:eastAsia="Arial"/>
          <w:iCs/>
        </w:rPr>
        <w:t xml:space="preserve"> </w:t>
      </w:r>
      <w:r w:rsidRPr="00C75A43">
        <w:rPr>
          <w:rFonts w:eastAsia="Arial"/>
          <w:iCs/>
        </w:rPr>
        <w:t>Esminis prieštaravimas laikomas išspręstu</w:t>
      </w:r>
      <w:r>
        <w:rPr>
          <w:rFonts w:eastAsia="Arial"/>
          <w:iCs/>
        </w:rPr>
        <w:t>.</w:t>
      </w:r>
    </w:p>
    <w:p w14:paraId="074BA203" w14:textId="34F82D16" w:rsidR="009B2F9C" w:rsidRPr="003A2821" w:rsidRDefault="003A2821" w:rsidP="003A2821">
      <w:pPr>
        <w:spacing w:line="276" w:lineRule="auto"/>
        <w:ind w:firstLine="720"/>
        <w:jc w:val="both"/>
        <w:rPr>
          <w:rFonts w:eastAsia="Arial"/>
          <w:iCs/>
        </w:rPr>
      </w:pPr>
      <w:r w:rsidRPr="007D7A21">
        <w:rPr>
          <w:rFonts w:eastAsia="Arial"/>
          <w:iCs/>
        </w:rPr>
        <w:t xml:space="preserve">Remiantis šiais duomenimis, </w:t>
      </w:r>
      <w:proofErr w:type="spellStart"/>
      <w:r>
        <w:rPr>
          <w:rFonts w:eastAsia="Arial"/>
          <w:iCs/>
        </w:rPr>
        <w:t>Polivy</w:t>
      </w:r>
      <w:proofErr w:type="spellEnd"/>
      <w:r w:rsidRPr="007D7A21">
        <w:rPr>
          <w:rFonts w:eastAsia="Arial"/>
          <w:iCs/>
        </w:rPr>
        <w:t xml:space="preserve"> palyginamasis </w:t>
      </w:r>
      <w:r w:rsidR="00666CF4">
        <w:rPr>
          <w:rFonts w:eastAsia="Arial"/>
          <w:iCs/>
        </w:rPr>
        <w:t>veiksmingumas</w:t>
      </w:r>
      <w:r w:rsidRPr="007D7A21">
        <w:rPr>
          <w:rFonts w:eastAsia="Arial"/>
          <w:iCs/>
        </w:rPr>
        <w:t xml:space="preserve"> yra įvertintas, kaip </w:t>
      </w:r>
      <w:r>
        <w:rPr>
          <w:rFonts w:eastAsia="Arial"/>
          <w:iCs/>
        </w:rPr>
        <w:t>didesnis</w:t>
      </w:r>
      <w:r w:rsidRPr="007D7A21">
        <w:rPr>
          <w:rFonts w:eastAsia="Arial"/>
          <w:iCs/>
        </w:rPr>
        <w:t xml:space="preserve">, o klinikinis veiksmingumas yra įvertintas kaip pagrindžiantis </w:t>
      </w:r>
      <w:r>
        <w:rPr>
          <w:rFonts w:eastAsia="Arial"/>
          <w:iCs/>
        </w:rPr>
        <w:t>papildomos</w:t>
      </w:r>
      <w:r w:rsidRPr="007D7A21">
        <w:rPr>
          <w:rFonts w:eastAsia="Arial"/>
          <w:iCs/>
        </w:rPr>
        <w:t xml:space="preserve"> naudos pacientų sveikatai sukūrimą, lyginant su įprasta klinikine praktika.</w:t>
      </w:r>
    </w:p>
    <w:p w14:paraId="25F89291" w14:textId="5C45C8FC" w:rsidR="00D4485B" w:rsidRPr="000203E1" w:rsidRDefault="00D4485B"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6A019F56" w:rsidR="00C62B36" w:rsidRDefault="00C62B36" w:rsidP="00A93AA6">
      <w:pPr>
        <w:tabs>
          <w:tab w:val="left" w:pos="426"/>
        </w:tabs>
        <w:rPr>
          <w:i/>
        </w:rPr>
      </w:pPr>
    </w:p>
    <w:p w14:paraId="75D7924B" w14:textId="77777777" w:rsidR="003A2821" w:rsidRDefault="003A2821" w:rsidP="003A2821">
      <w:pPr>
        <w:spacing w:line="276" w:lineRule="auto"/>
        <w:ind w:firstLine="360"/>
        <w:jc w:val="both"/>
        <w:rPr>
          <w:rFonts w:eastAsia="Arial"/>
        </w:rPr>
      </w:pPr>
      <w:proofErr w:type="spellStart"/>
      <w:r>
        <w:rPr>
          <w:rFonts w:eastAsia="Arial"/>
        </w:rPr>
        <w:t>Polatuzumabas</w:t>
      </w:r>
      <w:proofErr w:type="spellEnd"/>
      <w:r>
        <w:rPr>
          <w:rFonts w:eastAsia="Arial"/>
        </w:rPr>
        <w:t xml:space="preserve"> </w:t>
      </w:r>
      <w:proofErr w:type="spellStart"/>
      <w:r>
        <w:rPr>
          <w:rFonts w:eastAsia="Arial"/>
        </w:rPr>
        <w:t>vedotinas</w:t>
      </w:r>
      <w:proofErr w:type="spellEnd"/>
      <w:r>
        <w:rPr>
          <w:rFonts w:eastAsia="Arial"/>
        </w:rPr>
        <w:t xml:space="preserve"> (</w:t>
      </w:r>
      <w:proofErr w:type="spellStart"/>
      <w:r w:rsidRPr="00C67053">
        <w:rPr>
          <w:rFonts w:eastAsia="Arial"/>
        </w:rPr>
        <w:t>Polivy</w:t>
      </w:r>
      <w:proofErr w:type="spellEnd"/>
      <w:r>
        <w:rPr>
          <w:rFonts w:eastAsia="Arial"/>
        </w:rPr>
        <w:t>) derinyje</w:t>
      </w:r>
      <w:r w:rsidRPr="00C67053">
        <w:rPr>
          <w:rFonts w:eastAsia="Arial"/>
        </w:rPr>
        <w:t xml:space="preserve"> su </w:t>
      </w:r>
      <w:proofErr w:type="spellStart"/>
      <w:r w:rsidRPr="00C67053">
        <w:rPr>
          <w:rFonts w:eastAsia="Arial"/>
        </w:rPr>
        <w:t>rituksimabu</w:t>
      </w:r>
      <w:proofErr w:type="spellEnd"/>
      <w:r w:rsidRPr="00C67053">
        <w:rPr>
          <w:rFonts w:eastAsia="Arial"/>
        </w:rPr>
        <w:t xml:space="preserve">, </w:t>
      </w:r>
      <w:proofErr w:type="spellStart"/>
      <w:r w:rsidRPr="00C67053">
        <w:rPr>
          <w:rFonts w:eastAsia="Arial"/>
        </w:rPr>
        <w:t>ciklofosfamidu</w:t>
      </w:r>
      <w:proofErr w:type="spellEnd"/>
      <w:r w:rsidRPr="00C67053">
        <w:rPr>
          <w:rFonts w:eastAsia="Arial"/>
        </w:rPr>
        <w:t xml:space="preserve">, </w:t>
      </w:r>
      <w:proofErr w:type="spellStart"/>
      <w:r w:rsidRPr="00C67053">
        <w:rPr>
          <w:rFonts w:eastAsia="Arial"/>
        </w:rPr>
        <w:t>doksorubicinu</w:t>
      </w:r>
      <w:proofErr w:type="spellEnd"/>
      <w:r w:rsidRPr="00C67053">
        <w:rPr>
          <w:rFonts w:eastAsia="Arial"/>
        </w:rPr>
        <w:t xml:space="preserve"> ir prednizonu (R-CHP) skirtas anksčiau negydyta difuzine didelių B ląstelių limfoma (DDBLL) sergančių suaugusių pacientų gydymui</w:t>
      </w:r>
      <w:r>
        <w:rPr>
          <w:rFonts w:eastAsia="Arial"/>
        </w:rPr>
        <w:t xml:space="preserve"> (kompensavimui teikiama registruota indikacija). </w:t>
      </w:r>
      <w:r w:rsidRPr="0007396E">
        <w:rPr>
          <w:lang w:eastAsia="en-GB"/>
        </w:rPr>
        <w:t>Ekonominiame modelyje vertinami pacientai atitinka siūlomą kompensuoti indikaciją:</w:t>
      </w:r>
      <w:r w:rsidRPr="005701C0">
        <w:rPr>
          <w:rFonts w:eastAsia="Arial"/>
        </w:rPr>
        <w:t xml:space="preserve"> </w:t>
      </w:r>
      <w:r w:rsidRPr="00C67053">
        <w:rPr>
          <w:rFonts w:eastAsia="Arial"/>
        </w:rPr>
        <w:t>anksčiau negydyta difuzine didelių B lą</w:t>
      </w:r>
      <w:r>
        <w:rPr>
          <w:rFonts w:eastAsia="Arial"/>
        </w:rPr>
        <w:t>stelių limfoma (DDBLL) sergantys</w:t>
      </w:r>
      <w:r w:rsidRPr="00C67053">
        <w:rPr>
          <w:rFonts w:eastAsia="Arial"/>
        </w:rPr>
        <w:t xml:space="preserve"> </w:t>
      </w:r>
      <w:r>
        <w:rPr>
          <w:rFonts w:eastAsia="Arial"/>
        </w:rPr>
        <w:t>suaugę pacientai.</w:t>
      </w:r>
    </w:p>
    <w:p w14:paraId="6A144CC4" w14:textId="367D3B7F" w:rsidR="003A2821" w:rsidRDefault="003A2821" w:rsidP="003A2821">
      <w:pPr>
        <w:spacing w:line="276" w:lineRule="auto"/>
        <w:ind w:firstLine="360"/>
        <w:jc w:val="both"/>
        <w:rPr>
          <w:rFonts w:eastAsia="Arial"/>
        </w:rPr>
      </w:pPr>
      <w:r>
        <w:rPr>
          <w:rFonts w:eastAsia="Arial"/>
        </w:rPr>
        <w:t xml:space="preserve">Ekonominei daliai teikiami klinikiniai duomenys sutampa su teikiamais klinikinėje dalyje. </w:t>
      </w:r>
      <w:proofErr w:type="spellStart"/>
      <w:r w:rsidRPr="00CC618F">
        <w:rPr>
          <w:rFonts w:eastAsia="Arial"/>
        </w:rPr>
        <w:t>Polivy</w:t>
      </w:r>
      <w:proofErr w:type="spellEnd"/>
      <w:r w:rsidRPr="00CC618F">
        <w:rPr>
          <w:rFonts w:eastAsia="Arial"/>
        </w:rPr>
        <w:t xml:space="preserve"> veiksmingumas buvo įvertintas atlikus tarptautinį, </w:t>
      </w:r>
      <w:proofErr w:type="spellStart"/>
      <w:r w:rsidRPr="00CC618F">
        <w:rPr>
          <w:rFonts w:eastAsia="Arial"/>
        </w:rPr>
        <w:t>daugiacentrį</w:t>
      </w:r>
      <w:proofErr w:type="spellEnd"/>
      <w:r w:rsidRPr="00CC618F">
        <w:rPr>
          <w:rFonts w:eastAsia="Arial"/>
        </w:rPr>
        <w:t>, atsitiktinių imčių, dvigubai koduotą, placebu kontroliuojamą tyrimą (POLARIX, GO39942), kuriame dalyvavo 879 pacientai, sirgę anksčiau negydyta DDBLL.</w:t>
      </w:r>
      <w:r>
        <w:rPr>
          <w:rFonts w:eastAsia="Arial"/>
        </w:rPr>
        <w:t xml:space="preserve"> Įvertinus pateiktus tarpinės analizės duomenis formuota išvada, kad sveikatai sukuriama nauda tarp palyginamųjų yra nesiskirianti. P</w:t>
      </w:r>
      <w:r>
        <w:rPr>
          <w:rFonts w:eastAsia="Arial"/>
          <w:iCs/>
        </w:rPr>
        <w:t xml:space="preserve">areiškėjas pateikė papildomus įrodymus (plačiau detalizuojama klinikinėje dalyje) dėl ko </w:t>
      </w:r>
      <w:proofErr w:type="spellStart"/>
      <w:r>
        <w:rPr>
          <w:rFonts w:eastAsia="Arial"/>
          <w:iCs/>
        </w:rPr>
        <w:t>Polivy</w:t>
      </w:r>
      <w:proofErr w:type="spellEnd"/>
      <w:r w:rsidRPr="007D7A21">
        <w:rPr>
          <w:rFonts w:eastAsia="Arial"/>
          <w:iCs/>
        </w:rPr>
        <w:t xml:space="preserve"> palyginamasis efektyvumas </w:t>
      </w:r>
      <w:r>
        <w:rPr>
          <w:rFonts w:eastAsia="Arial"/>
          <w:iCs/>
        </w:rPr>
        <w:t>vertintas</w:t>
      </w:r>
      <w:r w:rsidRPr="007D7A21">
        <w:rPr>
          <w:rFonts w:eastAsia="Arial"/>
          <w:iCs/>
        </w:rPr>
        <w:t xml:space="preserve"> kaip </w:t>
      </w:r>
      <w:r>
        <w:rPr>
          <w:rFonts w:eastAsia="Arial"/>
          <w:iCs/>
        </w:rPr>
        <w:t>didesnis</w:t>
      </w:r>
      <w:r w:rsidRPr="007D7A21">
        <w:rPr>
          <w:rFonts w:eastAsia="Arial"/>
          <w:iCs/>
        </w:rPr>
        <w:t xml:space="preserve">, o klinikinis veiksmingumas </w:t>
      </w:r>
      <w:r>
        <w:rPr>
          <w:rFonts w:eastAsia="Arial"/>
          <w:iCs/>
        </w:rPr>
        <w:t>vertintas</w:t>
      </w:r>
      <w:r w:rsidRPr="007D7A21">
        <w:rPr>
          <w:rFonts w:eastAsia="Arial"/>
          <w:iCs/>
        </w:rPr>
        <w:t xml:space="preserve"> kaip pagrindžiantis </w:t>
      </w:r>
      <w:r>
        <w:rPr>
          <w:rFonts w:eastAsia="Arial"/>
          <w:iCs/>
        </w:rPr>
        <w:t>papildomos</w:t>
      </w:r>
      <w:r w:rsidRPr="007D7A21">
        <w:rPr>
          <w:rFonts w:eastAsia="Arial"/>
          <w:iCs/>
        </w:rPr>
        <w:t xml:space="preserve"> naudos pacientų sveikatai sukūrimą, lyginant su įprasta klinikine praktika.</w:t>
      </w:r>
      <w:r>
        <w:rPr>
          <w:rFonts w:eastAsia="Arial"/>
          <w:iCs/>
        </w:rPr>
        <w:t xml:space="preserve"> Kadangi klinikinei ir ekonominei daliai teikiami šaltiniai sutampa, Pareiškėjas atnaujino KNA įtraukiant naujausius POLARIX klinikinio tyrimo duomenis (papildoma duomenų analizė atlikta po 5 m. stebėjimo trukmės, 2024 m. liepos mėn. klinikinio tyrimo duomenų pjūvis), Tarnyba laiko, kad teikiama kaštų naudingumo ekonominė analizė yra tinkama (nėra tikslinga atlikti KMA).</w:t>
      </w:r>
    </w:p>
    <w:p w14:paraId="27D1EF6B" w14:textId="77777777" w:rsidR="003A2821" w:rsidRDefault="003A2821" w:rsidP="003A2821">
      <w:pPr>
        <w:spacing w:line="276" w:lineRule="auto"/>
        <w:ind w:firstLine="360"/>
        <w:jc w:val="both"/>
        <w:rPr>
          <w:rFonts w:eastAsia="Arial"/>
        </w:rPr>
      </w:pPr>
      <w:r>
        <w:rPr>
          <w:rFonts w:eastAsia="Arial"/>
        </w:rPr>
        <w:lastRenderedPageBreak/>
        <w:t xml:space="preserve">Ekonominė analizė atliekama </w:t>
      </w:r>
      <w:proofErr w:type="spellStart"/>
      <w:r>
        <w:rPr>
          <w:rFonts w:eastAsia="Arial"/>
        </w:rPr>
        <w:t>Polivy</w:t>
      </w:r>
      <w:proofErr w:type="spellEnd"/>
      <w:r>
        <w:rPr>
          <w:rFonts w:eastAsia="Arial"/>
        </w:rPr>
        <w:t xml:space="preserve"> derinyje</w:t>
      </w:r>
      <w:r w:rsidRPr="00C67053">
        <w:rPr>
          <w:rFonts w:eastAsia="Arial"/>
        </w:rPr>
        <w:t xml:space="preserve"> su </w:t>
      </w:r>
      <w:proofErr w:type="spellStart"/>
      <w:r w:rsidRPr="00C67053">
        <w:rPr>
          <w:rFonts w:eastAsia="Arial"/>
        </w:rPr>
        <w:t>rituksimabu</w:t>
      </w:r>
      <w:proofErr w:type="spellEnd"/>
      <w:r w:rsidRPr="00C67053">
        <w:rPr>
          <w:rFonts w:eastAsia="Arial"/>
        </w:rPr>
        <w:t xml:space="preserve">, </w:t>
      </w:r>
      <w:proofErr w:type="spellStart"/>
      <w:r w:rsidRPr="00C67053">
        <w:rPr>
          <w:rFonts w:eastAsia="Arial"/>
        </w:rPr>
        <w:t>ciklofosfamidu</w:t>
      </w:r>
      <w:proofErr w:type="spellEnd"/>
      <w:r w:rsidRPr="00C67053">
        <w:rPr>
          <w:rFonts w:eastAsia="Arial"/>
        </w:rPr>
        <w:t xml:space="preserve">, </w:t>
      </w:r>
      <w:proofErr w:type="spellStart"/>
      <w:r w:rsidRPr="00C67053">
        <w:rPr>
          <w:rFonts w:eastAsia="Arial"/>
        </w:rPr>
        <w:t>doksorubicinu</w:t>
      </w:r>
      <w:proofErr w:type="spellEnd"/>
      <w:r w:rsidRPr="00C67053">
        <w:rPr>
          <w:rFonts w:eastAsia="Arial"/>
        </w:rPr>
        <w:t xml:space="preserve"> ir prednizonu (R-CHP)</w:t>
      </w:r>
      <w:r>
        <w:t xml:space="preserve"> lyginant su</w:t>
      </w:r>
      <w:r w:rsidRPr="0005085C">
        <w:t xml:space="preserve"> vaistini</w:t>
      </w:r>
      <w:r>
        <w:t>ų</w:t>
      </w:r>
      <w:r w:rsidRPr="0005085C">
        <w:t xml:space="preserve"> preparat</w:t>
      </w:r>
      <w:r>
        <w:t xml:space="preserve">ų deriniu: </w:t>
      </w:r>
      <w:proofErr w:type="spellStart"/>
      <w:r>
        <w:t>rituksimabu</w:t>
      </w:r>
      <w:proofErr w:type="spellEnd"/>
      <w:r>
        <w:t xml:space="preserve">, </w:t>
      </w:r>
      <w:proofErr w:type="spellStart"/>
      <w:r>
        <w:t>ciklofosfamidu</w:t>
      </w:r>
      <w:proofErr w:type="spellEnd"/>
      <w:r>
        <w:t xml:space="preserve">, </w:t>
      </w:r>
      <w:proofErr w:type="spellStart"/>
      <w:r>
        <w:t>doksorubicinu</w:t>
      </w:r>
      <w:proofErr w:type="spellEnd"/>
      <w:r>
        <w:t xml:space="preserve">, </w:t>
      </w:r>
      <w:proofErr w:type="spellStart"/>
      <w:r>
        <w:t>vinkristinu</w:t>
      </w:r>
      <w:proofErr w:type="spellEnd"/>
      <w:r>
        <w:t xml:space="preserve"> ir prednizonu</w:t>
      </w:r>
      <w:r w:rsidRPr="00D1056E">
        <w:t xml:space="preserve"> (R-CHOP).</w:t>
      </w:r>
      <w:r w:rsidRPr="0005085C">
        <w:t xml:space="preserve"> </w:t>
      </w:r>
      <w:r>
        <w:rPr>
          <w:rFonts w:eastAsia="Arial"/>
          <w:bCs/>
          <w:szCs w:val="22"/>
        </w:rPr>
        <w:t>E</w:t>
      </w:r>
      <w:r w:rsidRPr="00B408C6">
        <w:rPr>
          <w:rFonts w:eastAsia="Arial"/>
          <w:bCs/>
          <w:szCs w:val="22"/>
        </w:rPr>
        <w:t xml:space="preserve">konominėje analizėje pateiktas palyginamasis gydymas atitinka klinikinio </w:t>
      </w:r>
      <w:r>
        <w:rPr>
          <w:rFonts w:eastAsia="Arial"/>
          <w:bCs/>
          <w:szCs w:val="22"/>
        </w:rPr>
        <w:t xml:space="preserve">paraiškos </w:t>
      </w:r>
      <w:r w:rsidRPr="00B408C6">
        <w:rPr>
          <w:rFonts w:eastAsia="Arial"/>
          <w:bCs/>
          <w:szCs w:val="22"/>
        </w:rPr>
        <w:t xml:space="preserve">vertinimo dalyje pateiktą palyginamąjį gydymą (žr. šio vertinimo protokolo 2.3 </w:t>
      </w:r>
      <w:r>
        <w:rPr>
          <w:rFonts w:eastAsia="Arial"/>
          <w:bCs/>
          <w:szCs w:val="22"/>
        </w:rPr>
        <w:t>punktą</w:t>
      </w:r>
      <w:r w:rsidRPr="00B408C6">
        <w:rPr>
          <w:rFonts w:eastAsia="Arial"/>
          <w:bCs/>
          <w:szCs w:val="22"/>
        </w:rPr>
        <w:t>)</w:t>
      </w:r>
      <w:r>
        <w:rPr>
          <w:rFonts w:eastAsia="Arial"/>
          <w:bCs/>
          <w:szCs w:val="22"/>
        </w:rPr>
        <w:t xml:space="preserve"> ir laikoma, kad </w:t>
      </w:r>
      <w:r w:rsidRPr="00B408C6">
        <w:rPr>
          <w:rFonts w:eastAsia="Arial"/>
          <w:bCs/>
          <w:szCs w:val="22"/>
        </w:rPr>
        <w:t>atitinka įprastą Lietuvos</w:t>
      </w:r>
      <w:r>
        <w:rPr>
          <w:rFonts w:eastAsia="Arial"/>
          <w:bCs/>
          <w:szCs w:val="22"/>
        </w:rPr>
        <w:t xml:space="preserve"> Respublikos klinikinę praktiką.</w:t>
      </w:r>
    </w:p>
    <w:p w14:paraId="3BDAAB25" w14:textId="77777777" w:rsidR="003A2821" w:rsidRDefault="003A2821" w:rsidP="003A2821">
      <w:pPr>
        <w:spacing w:line="276" w:lineRule="auto"/>
        <w:ind w:firstLine="360"/>
        <w:jc w:val="both"/>
        <w:rPr>
          <w:rFonts w:eastAsia="Arial"/>
        </w:rPr>
      </w:pPr>
      <w:proofErr w:type="spellStart"/>
      <w:r w:rsidRPr="000A04CC">
        <w:t>Farmakoekonominėje</w:t>
      </w:r>
      <w:proofErr w:type="spellEnd"/>
      <w:r w:rsidRPr="000A04CC">
        <w:t xml:space="preserve"> analizėje taikomas trijų sveikatos būklių modeliavimas, taikant padalintos kohortos išgyvenamumo modelį (angl. </w:t>
      </w:r>
      <w:proofErr w:type="spellStart"/>
      <w:r w:rsidRPr="000A04CC">
        <w:rPr>
          <w:i/>
        </w:rPr>
        <w:t>partitioned</w:t>
      </w:r>
      <w:proofErr w:type="spellEnd"/>
      <w:r w:rsidRPr="000A04CC">
        <w:rPr>
          <w:i/>
        </w:rPr>
        <w:t xml:space="preserve"> </w:t>
      </w:r>
      <w:proofErr w:type="spellStart"/>
      <w:r w:rsidRPr="000A04CC">
        <w:rPr>
          <w:i/>
        </w:rPr>
        <w:t>survival</w:t>
      </w:r>
      <w:proofErr w:type="spellEnd"/>
      <w:r w:rsidRPr="000A04CC">
        <w:rPr>
          <w:i/>
        </w:rPr>
        <w:t xml:space="preserve"> </w:t>
      </w:r>
      <w:proofErr w:type="spellStart"/>
      <w:r w:rsidRPr="000A04CC">
        <w:rPr>
          <w:i/>
        </w:rPr>
        <w:t>model</w:t>
      </w:r>
      <w:proofErr w:type="spellEnd"/>
      <w:r w:rsidRPr="000A04CC">
        <w:t>).</w:t>
      </w:r>
      <w:r>
        <w:t xml:space="preserve"> </w:t>
      </w:r>
      <w:r w:rsidRPr="000A04CC">
        <w:t xml:space="preserve">Pareiškėjas įprastinėje atvejo analizėje modeliuojant ilgalaikio gydymo išeitis taiko mišraus sveikimo modelį (angl. </w:t>
      </w:r>
      <w:proofErr w:type="spellStart"/>
      <w:r w:rsidRPr="000A04CC">
        <w:rPr>
          <w:rFonts w:eastAsia="PMingLiU"/>
          <w:i/>
          <w:iCs/>
        </w:rPr>
        <w:t>mixture</w:t>
      </w:r>
      <w:proofErr w:type="spellEnd"/>
      <w:r w:rsidRPr="000A04CC">
        <w:rPr>
          <w:rFonts w:eastAsia="PMingLiU"/>
          <w:i/>
          <w:iCs/>
        </w:rPr>
        <w:t xml:space="preserve"> </w:t>
      </w:r>
      <w:proofErr w:type="spellStart"/>
      <w:r w:rsidRPr="000A04CC">
        <w:rPr>
          <w:rFonts w:eastAsia="PMingLiU"/>
          <w:i/>
          <w:iCs/>
        </w:rPr>
        <w:t>cure</w:t>
      </w:r>
      <w:proofErr w:type="spellEnd"/>
      <w:r w:rsidRPr="000A04CC">
        <w:rPr>
          <w:rFonts w:eastAsia="PMingLiU"/>
          <w:i/>
          <w:iCs/>
        </w:rPr>
        <w:t xml:space="preserve">-rate </w:t>
      </w:r>
      <w:proofErr w:type="spellStart"/>
      <w:r w:rsidRPr="000A04CC">
        <w:rPr>
          <w:rFonts w:eastAsia="PMingLiU"/>
          <w:i/>
          <w:iCs/>
        </w:rPr>
        <w:t>model</w:t>
      </w:r>
      <w:proofErr w:type="spellEnd"/>
      <w:r w:rsidRPr="000A04CC">
        <w:t xml:space="preserve">), kuriame dalis pacientų priskiriama prie išgyvenančių ilgą laiką ir jų duomenys modelyje analizuojami atskirai. Buvo daryta prielaida, kad po dviejų metų (2,4 m.) pacientams, kurie priskiriami išgyvenančių ilgą laiką daliai bus taikomi bendrajai populiacijai būdingi parametrai (mirtingumo rizikų santykio, naudingumo koeficientų ir kt.). </w:t>
      </w:r>
    </w:p>
    <w:p w14:paraId="4EE48B06" w14:textId="77777777" w:rsidR="003A2821" w:rsidRDefault="003A2821" w:rsidP="003A2821">
      <w:pPr>
        <w:spacing w:line="276" w:lineRule="auto"/>
        <w:ind w:firstLine="360"/>
        <w:jc w:val="both"/>
        <w:rPr>
          <w:rFonts w:eastAsia="Arial"/>
        </w:rPr>
      </w:pPr>
      <w:r>
        <w:t>S</w:t>
      </w:r>
      <w:r w:rsidRPr="0007396E">
        <w:t xml:space="preserve">u sveikata susijusi gyvenimo kokybė (angl. </w:t>
      </w:r>
      <w:proofErr w:type="spellStart"/>
      <w:r w:rsidRPr="0007396E">
        <w:rPr>
          <w:i/>
          <w:iCs/>
        </w:rPr>
        <w:t>Health</w:t>
      </w:r>
      <w:proofErr w:type="spellEnd"/>
      <w:r w:rsidRPr="0007396E">
        <w:rPr>
          <w:i/>
          <w:iCs/>
        </w:rPr>
        <w:t xml:space="preserve"> </w:t>
      </w:r>
      <w:proofErr w:type="spellStart"/>
      <w:r w:rsidRPr="0007396E">
        <w:rPr>
          <w:i/>
          <w:iCs/>
        </w:rPr>
        <w:t>realated</w:t>
      </w:r>
      <w:proofErr w:type="spellEnd"/>
      <w:r w:rsidRPr="0007396E">
        <w:rPr>
          <w:i/>
          <w:iCs/>
        </w:rPr>
        <w:t xml:space="preserve"> </w:t>
      </w:r>
      <w:proofErr w:type="spellStart"/>
      <w:r w:rsidRPr="0007396E">
        <w:rPr>
          <w:i/>
          <w:iCs/>
        </w:rPr>
        <w:t>quality</w:t>
      </w:r>
      <w:proofErr w:type="spellEnd"/>
      <w:r w:rsidRPr="0007396E">
        <w:rPr>
          <w:i/>
          <w:iCs/>
        </w:rPr>
        <w:t xml:space="preserve"> </w:t>
      </w:r>
      <w:proofErr w:type="spellStart"/>
      <w:r w:rsidRPr="0007396E">
        <w:rPr>
          <w:i/>
          <w:iCs/>
        </w:rPr>
        <w:t>of</w:t>
      </w:r>
      <w:proofErr w:type="spellEnd"/>
      <w:r w:rsidRPr="0007396E">
        <w:rPr>
          <w:i/>
          <w:iCs/>
        </w:rPr>
        <w:t xml:space="preserve"> </w:t>
      </w:r>
      <w:proofErr w:type="spellStart"/>
      <w:r w:rsidRPr="0007396E">
        <w:rPr>
          <w:i/>
          <w:iCs/>
        </w:rPr>
        <w:t>life</w:t>
      </w:r>
      <w:proofErr w:type="spellEnd"/>
      <w:r w:rsidRPr="0007396E">
        <w:rPr>
          <w:i/>
          <w:iCs/>
        </w:rPr>
        <w:t xml:space="preserve">, </w:t>
      </w:r>
      <w:proofErr w:type="spellStart"/>
      <w:r w:rsidRPr="0007396E">
        <w:t>HRQoL</w:t>
      </w:r>
      <w:proofErr w:type="spellEnd"/>
      <w:r w:rsidRPr="0007396E">
        <w:t>)</w:t>
      </w:r>
      <w:r>
        <w:t xml:space="preserve"> buvo vertinta </w:t>
      </w:r>
      <w:proofErr w:type="spellStart"/>
      <w:r>
        <w:t>Polivy</w:t>
      </w:r>
      <w:proofErr w:type="spellEnd"/>
      <w:r>
        <w:t xml:space="preserve"> pagrindinio </w:t>
      </w:r>
      <w:r w:rsidRPr="0007396E">
        <w:t xml:space="preserve">klinikinio tyrimo metu </w:t>
      </w:r>
      <w:r>
        <w:t xml:space="preserve">(POLARIX), tačiau įprastinėje atvejo analizėje Pareiškėjas taiko GOYA klinikinio tyrimo metu gautus gyvenimo kokybės įverčius, pagrindžiant, kad </w:t>
      </w:r>
      <w:proofErr w:type="spellStart"/>
      <w:r>
        <w:t>metodologiškai</w:t>
      </w:r>
      <w:proofErr w:type="spellEnd"/>
      <w:r>
        <w:t xml:space="preserve"> gyvenimo kokybės įverčiai GOYA klinikinio tyrimo metu nustatyti tiksliau (individualių pacientų duomenys galėjo būti naudojami GOYA duomenims persverti, siekiant sutapatinti juos su POLARIX klinikiniais prognoziniais veiksniais bei pradiniais pacientų praneštais rezultatais).</w:t>
      </w:r>
    </w:p>
    <w:p w14:paraId="30B64431" w14:textId="77777777" w:rsidR="003A2821" w:rsidRDefault="003A2821" w:rsidP="003A2821">
      <w:pPr>
        <w:spacing w:line="276" w:lineRule="auto"/>
        <w:ind w:firstLine="360"/>
        <w:jc w:val="both"/>
        <w:rPr>
          <w:rFonts w:eastAsia="Arial"/>
        </w:rPr>
      </w:pPr>
      <w:r>
        <w:rPr>
          <w:lang w:val="en-US"/>
        </w:rPr>
        <w:t xml:space="preserve">KNA </w:t>
      </w:r>
      <w:proofErr w:type="spellStart"/>
      <w:r>
        <w:rPr>
          <w:lang w:val="en-US"/>
        </w:rPr>
        <w:t>taikoma</w:t>
      </w:r>
      <w:proofErr w:type="spellEnd"/>
      <w:r>
        <w:rPr>
          <w:lang w:val="en-US"/>
        </w:rPr>
        <w:t xml:space="preserve"> </w:t>
      </w:r>
      <w:proofErr w:type="spellStart"/>
      <w:r>
        <w:rPr>
          <w:lang w:val="en-US"/>
        </w:rPr>
        <w:t>ilgesnė</w:t>
      </w:r>
      <w:proofErr w:type="spellEnd"/>
      <w:r>
        <w:rPr>
          <w:lang w:val="en-US"/>
        </w:rPr>
        <w:t xml:space="preserve"> </w:t>
      </w:r>
      <w:proofErr w:type="spellStart"/>
      <w:r>
        <w:rPr>
          <w:lang w:val="en-US"/>
        </w:rPr>
        <w:t>laiko</w:t>
      </w:r>
      <w:proofErr w:type="spellEnd"/>
      <w:r>
        <w:rPr>
          <w:lang w:val="en-US"/>
        </w:rPr>
        <w:t xml:space="preserve"> </w:t>
      </w:r>
      <w:proofErr w:type="spellStart"/>
      <w:r>
        <w:rPr>
          <w:lang w:val="en-US"/>
        </w:rPr>
        <w:t>perspektyva</w:t>
      </w:r>
      <w:proofErr w:type="spellEnd"/>
      <w:r>
        <w:rPr>
          <w:lang w:val="en-US"/>
        </w:rPr>
        <w:t xml:space="preserve">, </w:t>
      </w:r>
      <w:proofErr w:type="spellStart"/>
      <w:r>
        <w:rPr>
          <w:lang w:val="en-US"/>
        </w:rPr>
        <w:t>duomenys</w:t>
      </w:r>
      <w:proofErr w:type="spellEnd"/>
      <w:r>
        <w:rPr>
          <w:lang w:val="en-US"/>
        </w:rPr>
        <w:t xml:space="preserve"> </w:t>
      </w:r>
      <w:proofErr w:type="spellStart"/>
      <w:r>
        <w:rPr>
          <w:lang w:val="en-US"/>
        </w:rPr>
        <w:t>ekstrapoliuojami</w:t>
      </w:r>
      <w:proofErr w:type="spellEnd"/>
      <w:r>
        <w:rPr>
          <w:lang w:val="en-US"/>
        </w:rPr>
        <w:t xml:space="preserve"> po </w:t>
      </w:r>
      <w:proofErr w:type="spellStart"/>
      <w:r>
        <w:rPr>
          <w:lang w:val="en-US"/>
        </w:rPr>
        <w:t>klinikinio</w:t>
      </w:r>
      <w:proofErr w:type="spellEnd"/>
      <w:r>
        <w:rPr>
          <w:lang w:val="en-US"/>
        </w:rPr>
        <w:t xml:space="preserve"> </w:t>
      </w:r>
      <w:proofErr w:type="spellStart"/>
      <w:r>
        <w:rPr>
          <w:lang w:val="en-US"/>
        </w:rPr>
        <w:t>tyrimo</w:t>
      </w:r>
      <w:proofErr w:type="spellEnd"/>
      <w:r>
        <w:rPr>
          <w:lang w:val="en-US"/>
        </w:rPr>
        <w:t xml:space="preserve"> </w:t>
      </w:r>
      <w:proofErr w:type="spellStart"/>
      <w:r>
        <w:rPr>
          <w:lang w:val="en-US"/>
        </w:rPr>
        <w:t>stebėjimo</w:t>
      </w:r>
      <w:proofErr w:type="spellEnd"/>
      <w:r>
        <w:rPr>
          <w:lang w:val="en-US"/>
        </w:rPr>
        <w:t xml:space="preserve"> </w:t>
      </w:r>
      <w:proofErr w:type="spellStart"/>
      <w:r>
        <w:rPr>
          <w:lang w:val="en-US"/>
        </w:rPr>
        <w:t>pabaigos</w:t>
      </w:r>
      <w:proofErr w:type="spellEnd"/>
      <w:r>
        <w:rPr>
          <w:lang w:val="en-US"/>
        </w:rPr>
        <w:t xml:space="preserve">. </w:t>
      </w:r>
      <w:proofErr w:type="spellStart"/>
      <w:r>
        <w:rPr>
          <w:lang w:val="en-US"/>
        </w:rPr>
        <w:t>Tarnyba</w:t>
      </w:r>
      <w:proofErr w:type="spellEnd"/>
      <w:r>
        <w:rPr>
          <w:lang w:val="en-US"/>
        </w:rPr>
        <w:t xml:space="preserve"> </w:t>
      </w:r>
      <w:proofErr w:type="spellStart"/>
      <w:r>
        <w:rPr>
          <w:lang w:val="en-US"/>
        </w:rPr>
        <w:t>įprastinėje</w:t>
      </w:r>
      <w:proofErr w:type="spellEnd"/>
      <w:r>
        <w:rPr>
          <w:lang w:val="en-US"/>
        </w:rPr>
        <w:t xml:space="preserve"> </w:t>
      </w:r>
      <w:proofErr w:type="spellStart"/>
      <w:r>
        <w:rPr>
          <w:lang w:val="en-US"/>
        </w:rPr>
        <w:t>atvejo</w:t>
      </w:r>
      <w:proofErr w:type="spellEnd"/>
      <w:r>
        <w:rPr>
          <w:lang w:val="en-US"/>
        </w:rPr>
        <w:t xml:space="preserve"> </w:t>
      </w:r>
      <w:proofErr w:type="spellStart"/>
      <w:r>
        <w:rPr>
          <w:lang w:val="en-US"/>
        </w:rPr>
        <w:t>analizėje</w:t>
      </w:r>
      <w:proofErr w:type="spellEnd"/>
      <w:r>
        <w:rPr>
          <w:lang w:val="en-US"/>
        </w:rPr>
        <w:t xml:space="preserve"> taiko </w:t>
      </w:r>
      <w:proofErr w:type="spellStart"/>
      <w:r>
        <w:rPr>
          <w:lang w:val="en-US"/>
        </w:rPr>
        <w:t>prielaidą</w:t>
      </w:r>
      <w:proofErr w:type="spellEnd"/>
      <w:r>
        <w:rPr>
          <w:lang w:val="en-US"/>
        </w:rPr>
        <w:t xml:space="preserve">, kai </w:t>
      </w:r>
      <w:proofErr w:type="spellStart"/>
      <w:r>
        <w:rPr>
          <w:lang w:val="en-US"/>
        </w:rPr>
        <w:t>įtraukiamas</w:t>
      </w:r>
      <w:proofErr w:type="spellEnd"/>
      <w:r>
        <w:rPr>
          <w:lang w:val="en-US"/>
        </w:rPr>
        <w:t xml:space="preserve"> </w:t>
      </w:r>
      <w:proofErr w:type="spellStart"/>
      <w:r>
        <w:rPr>
          <w:lang w:val="en-US"/>
        </w:rPr>
        <w:t>vidutinis</w:t>
      </w:r>
      <w:proofErr w:type="spellEnd"/>
      <w:r>
        <w:rPr>
          <w:lang w:val="en-US"/>
        </w:rPr>
        <w:t xml:space="preserve"> </w:t>
      </w:r>
      <w:proofErr w:type="spellStart"/>
      <w:r>
        <w:rPr>
          <w:lang w:val="en-US"/>
        </w:rPr>
        <w:t>pacientų</w:t>
      </w:r>
      <w:proofErr w:type="spellEnd"/>
      <w:r>
        <w:rPr>
          <w:lang w:val="en-US"/>
        </w:rPr>
        <w:t xml:space="preserve"> </w:t>
      </w:r>
      <w:proofErr w:type="spellStart"/>
      <w:r>
        <w:rPr>
          <w:lang w:val="en-US"/>
        </w:rPr>
        <w:t>amžius</w:t>
      </w:r>
      <w:proofErr w:type="spellEnd"/>
      <w:r>
        <w:rPr>
          <w:lang w:val="en-US"/>
        </w:rPr>
        <w:t xml:space="preserve"> (</w:t>
      </w:r>
      <w:proofErr w:type="spellStart"/>
      <w:r>
        <w:rPr>
          <w:lang w:val="en-US"/>
        </w:rPr>
        <w:t>remiantis</w:t>
      </w:r>
      <w:proofErr w:type="spellEnd"/>
      <w:r>
        <w:rPr>
          <w:lang w:val="en-US"/>
        </w:rPr>
        <w:t xml:space="preserve"> POLARIX – 63 m.) </w:t>
      </w:r>
      <w:proofErr w:type="spellStart"/>
      <w:r>
        <w:rPr>
          <w:lang w:val="en-US"/>
        </w:rPr>
        <w:t>ir</w:t>
      </w:r>
      <w:proofErr w:type="spellEnd"/>
      <w:r>
        <w:rPr>
          <w:lang w:val="en-US"/>
        </w:rPr>
        <w:t xml:space="preserve"> </w:t>
      </w:r>
      <w:proofErr w:type="spellStart"/>
      <w:r>
        <w:rPr>
          <w:lang w:val="en-US"/>
        </w:rPr>
        <w:t>taikoma</w:t>
      </w:r>
      <w:proofErr w:type="spellEnd"/>
      <w:r>
        <w:rPr>
          <w:lang w:val="en-US"/>
        </w:rPr>
        <w:t xml:space="preserve"> </w:t>
      </w:r>
      <w:proofErr w:type="spellStart"/>
      <w:r>
        <w:rPr>
          <w:lang w:val="en-US"/>
        </w:rPr>
        <w:t>viso</w:t>
      </w:r>
      <w:proofErr w:type="spellEnd"/>
      <w:r>
        <w:rPr>
          <w:lang w:val="en-US"/>
        </w:rPr>
        <w:t xml:space="preserve"> </w:t>
      </w:r>
      <w:proofErr w:type="spellStart"/>
      <w:r>
        <w:rPr>
          <w:lang w:val="en-US"/>
        </w:rPr>
        <w:t>gyvenimo</w:t>
      </w:r>
      <w:proofErr w:type="spellEnd"/>
      <w:r>
        <w:rPr>
          <w:lang w:val="en-US"/>
        </w:rPr>
        <w:t xml:space="preserve"> </w:t>
      </w:r>
      <w:proofErr w:type="spellStart"/>
      <w:r>
        <w:rPr>
          <w:lang w:val="en-US"/>
        </w:rPr>
        <w:t>laiko</w:t>
      </w:r>
      <w:proofErr w:type="spellEnd"/>
      <w:r>
        <w:rPr>
          <w:lang w:val="en-US"/>
        </w:rPr>
        <w:t xml:space="preserve"> </w:t>
      </w:r>
      <w:proofErr w:type="spellStart"/>
      <w:r>
        <w:rPr>
          <w:lang w:val="en-US"/>
        </w:rPr>
        <w:t>perspektyva</w:t>
      </w:r>
      <w:proofErr w:type="spellEnd"/>
      <w:r>
        <w:rPr>
          <w:lang w:val="en-US"/>
        </w:rPr>
        <w:t xml:space="preserve"> (</w:t>
      </w:r>
      <w:proofErr w:type="spellStart"/>
      <w:r>
        <w:rPr>
          <w:lang w:val="en-US"/>
        </w:rPr>
        <w:t>iki</w:t>
      </w:r>
      <w:proofErr w:type="spellEnd"/>
      <w:r>
        <w:rPr>
          <w:lang w:val="en-US"/>
        </w:rPr>
        <w:t xml:space="preserve"> 100 m.) </w:t>
      </w:r>
      <w:proofErr w:type="spellStart"/>
      <w:r>
        <w:rPr>
          <w:lang w:val="en-US"/>
        </w:rPr>
        <w:t>apima</w:t>
      </w:r>
      <w:proofErr w:type="spellEnd"/>
      <w:r>
        <w:rPr>
          <w:lang w:val="en-US"/>
        </w:rPr>
        <w:t xml:space="preserve"> 37 m.</w:t>
      </w:r>
    </w:p>
    <w:p w14:paraId="5B62CB90" w14:textId="77777777" w:rsidR="003A2821" w:rsidRDefault="003A2821" w:rsidP="003A2821">
      <w:pPr>
        <w:spacing w:line="276" w:lineRule="auto"/>
        <w:ind w:firstLine="360"/>
        <w:jc w:val="both"/>
        <w:rPr>
          <w:rFonts w:eastAsia="Arial"/>
        </w:rPr>
      </w:pPr>
      <w:r w:rsidRPr="00870D0F">
        <w:t xml:space="preserve">Analizė atlikta iš PSDF biudžeto perspektyvos, įtraukti tiesiogiai su sveikatos sistema susiję kaštai. Tai atitinka teisės aktuose nustatytus paraiškos rengimo taisyklių reikalavimus. Pareiškėjas įtraukia vaistinių preparatų įsigijimo ir skyrimo, stebėsenos, sekančių eilių bei nepageidaujamų reiškinių valdymo, </w:t>
      </w:r>
      <w:proofErr w:type="spellStart"/>
      <w:r w:rsidRPr="00870D0F">
        <w:t>paliatyvios</w:t>
      </w:r>
      <w:proofErr w:type="spellEnd"/>
      <w:r w:rsidRPr="00870D0F">
        <w:t xml:space="preserve"> pagalbos kaštus, atnaujintus pagal 2024 m. II </w:t>
      </w:r>
      <w:proofErr w:type="spellStart"/>
      <w:r w:rsidRPr="00870D0F">
        <w:t>pusm</w:t>
      </w:r>
      <w:proofErr w:type="spellEnd"/>
      <w:r w:rsidRPr="00870D0F">
        <w:t>. sveikatos priežiūros paslaugų ir kainyno įkainius</w:t>
      </w:r>
      <w:r>
        <w:t xml:space="preserve">. </w:t>
      </w:r>
    </w:p>
    <w:p w14:paraId="78284341" w14:textId="77777777" w:rsidR="003A2821" w:rsidRDefault="003A2821" w:rsidP="003A2821">
      <w:pPr>
        <w:spacing w:line="276" w:lineRule="auto"/>
        <w:ind w:firstLine="360"/>
        <w:jc w:val="both"/>
        <w:rPr>
          <w:rFonts w:eastAsia="Arial"/>
        </w:rPr>
      </w:pPr>
      <w:r w:rsidRPr="0016095B">
        <w:t xml:space="preserve">Apibendrinant duomenų ekstrapoliacijai KNA taikomas prielaidas, Pareiškėjas atsižvelgė į Tarnybos pastabas ir pritaikė prielaidas pagal publikuotus POLARIX tyrimo 5-erių metų stebėjimo ir papildomos analizės duomenis. Tarnyba su šiomis prielaidomis sutinka: atnaujintoje įprastinio atvejo analizėje Pareiškėjas taiko POLARIX tyrimo IBLP ir BI </w:t>
      </w:r>
      <w:proofErr w:type="spellStart"/>
      <w:r w:rsidRPr="0016095B">
        <w:t>Kaplan-Meier</w:t>
      </w:r>
      <w:proofErr w:type="spellEnd"/>
      <w:r w:rsidRPr="0016095B">
        <w:t xml:space="preserve"> duomenis iki klinikinio tyrimo stebėjimo medianos (54,9 mėn. IBLP atveju ir 64,1 mėn. BI), o tolesnei duomenų ekstrapoliacijai taikomos parametrinės funkcijos, rodančios didžiausią atitiktį pagal AIC ir BIC kriterijus (IBLP: </w:t>
      </w:r>
      <w:proofErr w:type="spellStart"/>
      <w:r w:rsidRPr="0016095B">
        <w:t>Log-normal</w:t>
      </w:r>
      <w:proofErr w:type="spellEnd"/>
      <w:r w:rsidRPr="0016095B">
        <w:t xml:space="preserve"> (</w:t>
      </w:r>
      <w:proofErr w:type="spellStart"/>
      <w:r w:rsidRPr="0016095B">
        <w:t>Polivy</w:t>
      </w:r>
      <w:proofErr w:type="spellEnd"/>
      <w:r w:rsidRPr="0016095B">
        <w:t xml:space="preserve"> + R-CHP) ir </w:t>
      </w:r>
      <w:proofErr w:type="spellStart"/>
      <w:r w:rsidRPr="0016095B">
        <w:t>Generalized</w:t>
      </w:r>
      <w:proofErr w:type="spellEnd"/>
      <w:r w:rsidRPr="0016095B">
        <w:t xml:space="preserve"> </w:t>
      </w:r>
      <w:proofErr w:type="spellStart"/>
      <w:r w:rsidRPr="0016095B">
        <w:t>Gamma</w:t>
      </w:r>
      <w:proofErr w:type="spellEnd"/>
      <w:r w:rsidRPr="0016095B">
        <w:t xml:space="preserve"> (R-CHOP); BI: </w:t>
      </w:r>
      <w:proofErr w:type="spellStart"/>
      <w:r w:rsidRPr="0016095B">
        <w:t>log-normal</w:t>
      </w:r>
      <w:proofErr w:type="spellEnd"/>
      <w:r w:rsidRPr="0016095B">
        <w:t xml:space="preserve">). Atnaujintoje įprastinio atvejo analizėje Pareiškėjas atsižvelgė į Tarnybos taikomą prielaidą, kad gydymo efektas pradeda mažėti nuo KM pabaigos (stebėjimo medianos) ir visiškai išnyksta praėjus 18 mėnesių. Atnaujintoje analizėje, ilgalaikis išgyvenamumas buvo tiesiogiai įvertintas naudojant POLARIX tyrimo BI duomenimis pagrįstas kreives ir atsižvelgtus į </w:t>
      </w:r>
      <w:proofErr w:type="spellStart"/>
      <w:r w:rsidRPr="0016095B">
        <w:t>Tarbynos</w:t>
      </w:r>
      <w:proofErr w:type="spellEnd"/>
      <w:r w:rsidRPr="0016095B">
        <w:t xml:space="preserve"> pastabas neįtraukiami išorinių šaltinių - GOYA klinikinio tyrimo duomenys.</w:t>
      </w:r>
    </w:p>
    <w:p w14:paraId="0061004E" w14:textId="2099F16C" w:rsidR="00C21EB8" w:rsidRPr="00B75F80" w:rsidRDefault="003A2821" w:rsidP="00004066">
      <w:pPr>
        <w:spacing w:line="276" w:lineRule="auto"/>
        <w:ind w:firstLine="360"/>
        <w:jc w:val="both"/>
      </w:pPr>
      <w:r w:rsidRPr="0016095B">
        <w:t>Pareiškėjui atnaujinus KNA, Tarnybai lieka neaiškumų dėl sekančių eilių gydymui taikomų prielaidų. Pareiškėjas pateikė šaltinius ir detalizuoja sekančių eilių gydymo kaštų apskaičiavimui taikomas prielaidas, kurios pagrįstos publikuotais POLARIX tyrimo 5-erių</w:t>
      </w:r>
      <w:r w:rsidRPr="00D10880">
        <w:t xml:space="preserve"> metų stebėjimo duomenimis, VLK turimais ir klinikinių ekspertų (Lietuvos Hematologų Draugijos praktinės nuomonės) duomenimis. Tarnyba sutinka su Pareiškėjo sekančių eilių gydymo kursų skaičiumi </w:t>
      </w:r>
      <w:r w:rsidRPr="00D10880">
        <w:lastRenderedPageBreak/>
        <w:t xml:space="preserve">pagrįstu pagal publikuotus naujausius POLARIX klinikinio tyrimo (2024.07.05 duomenų pjūvis) duomenis, atsižvelgiant, kad kitų prieinamų duomenų nėra. Taip pat sutinkama dėl Pareiškėjo taikomo 10,03 proc. AUTOKKLT paslaugų vidurkio pagrįsto VLK duomenimis 2021 – 2024 m. pacientams, kuriems anksčiau buvo skirtas gydymas </w:t>
      </w:r>
      <w:proofErr w:type="spellStart"/>
      <w:r w:rsidRPr="00D10880">
        <w:t>rituksimabu</w:t>
      </w:r>
      <w:proofErr w:type="spellEnd"/>
      <w:r w:rsidRPr="00D10880">
        <w:t xml:space="preserve"> (riboti dėl amžiaus ir kitų veiksnių). Tačiau Tarnyba laiko nepagrįstais, Pareiškėjo KNA taikomą, </w:t>
      </w:r>
      <w:r w:rsidRPr="00D10880">
        <w:rPr>
          <w:lang w:eastAsia="lt-LT"/>
        </w:rPr>
        <w:t xml:space="preserve">sekančių eilių gydymui skiriamų VP pasiskirstymą (proc.), grindžiamą Lietuvos klinikinių ekspertų praktine nuomone (Lietuvos hematologų draugija). </w:t>
      </w:r>
      <w:r w:rsidRPr="00D10880">
        <w:t xml:space="preserve"> </w:t>
      </w:r>
      <w:r w:rsidRPr="0020107E">
        <w:t xml:space="preserve">Tarnyba sutinka su Pareiškėjo sekančių eilių gydymo kursų skaičiumi pagrįstu pagal publikuotus naujausius POLARIX klinikinio tyrimo (2024.07.05 duomenų pjūvis) duomenis, atsižvelgiant, kad kitų prieinamų duomenų nėra. Taip pat sutinkama dėl Pareiškėjo taikomo 10,03 proc. AUTOKKLT paslaugų vidurkio pagrįsto VLK duomenimis 2021 – 2024 m. pacientams, kuriems anksčiau buvo skirtas gydymas </w:t>
      </w:r>
      <w:proofErr w:type="spellStart"/>
      <w:r w:rsidRPr="0020107E">
        <w:t>rituksimabu</w:t>
      </w:r>
      <w:proofErr w:type="spellEnd"/>
      <w:r w:rsidRPr="0020107E">
        <w:t xml:space="preserve"> (riboti dėl amžiaus ir kitų veiksnių). Tačiau Tarnyba laiko nepagrįstais, Pareiškėjo KNA taikomą, </w:t>
      </w:r>
      <w:r w:rsidRPr="0020107E">
        <w:rPr>
          <w:lang w:eastAsia="lt-LT"/>
        </w:rPr>
        <w:t xml:space="preserve">sekančių eilių gydymui skiriamų VP pasiskirstymą (proc.), grindžiamą Lietuvos klinikinių ekspertų praktine nuomone (Lietuvos hematologų draugija Tarnyba atkreipia dėmesį, kad duomenys nėra pagrįsti faktiniais ligoninėse teikiamų paslaugų (finansinių išlaidų) skaičiais ar kitais nuomonę pagrindžiančiais dokumentais, </w:t>
      </w:r>
      <w:proofErr w:type="spellStart"/>
      <w:r w:rsidRPr="0020107E">
        <w:rPr>
          <w:lang w:eastAsia="lt-LT"/>
        </w:rPr>
        <w:t>t.y</w:t>
      </w:r>
      <w:proofErr w:type="spellEnd"/>
      <w:r w:rsidRPr="0020107E">
        <w:rPr>
          <w:lang w:eastAsia="lt-LT"/>
        </w:rPr>
        <w:t>. šaltiniai pagrindžiantys duomenų autentiškumą nėra pateikti. Svarbu tai, jog klinikinių duomenų prielaidos KNA pagrįstos pagrindinio POLARIX klinikinio tyrimo duomenimis (klinikinis efektyvumas vertintas šiai POLARIX klinikinio tyrimo populiacijai) ir nors į</w:t>
      </w:r>
      <w:r w:rsidRPr="0020107E">
        <w:t>prastai vertinimų praktikoje Tarnyba siekia duomenis adaptuoti atsižvelgiant į Lietuvos klinikinę praktiką, šiuo atveju yra vertinama, kad klinikinio tyrimo (POLARIX, kuriuo grindžiami klinikiniai KNA) duomenys yra patikimesni ir įprastinėje atvejo analizėje taiko sekančių eilių gydymo pasiskirstymą (proc.) pagal stebėtą POLARIX klinikiniame tyrime.</w:t>
      </w:r>
    </w:p>
    <w:p w14:paraId="5B4A8AB8" w14:textId="77777777" w:rsidR="00450075" w:rsidRPr="00164D64" w:rsidRDefault="00450075"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30EE03C2" w:rsidR="00BA5DBC" w:rsidRPr="002B50EA" w:rsidRDefault="000F0954" w:rsidP="00BA5DBC">
            <w:pPr>
              <w:tabs>
                <w:tab w:val="left" w:pos="567"/>
              </w:tabs>
              <w:jc w:val="both"/>
              <w:rPr>
                <w:iCs/>
                <w:lang w:eastAsia="lt-LT"/>
              </w:rPr>
            </w:pPr>
            <w:r>
              <w:rPr>
                <w:iCs/>
                <w:lang w:eastAsia="lt-LT"/>
              </w:rPr>
              <w:t>......</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36A5274B" w:rsidR="00BA5DBC" w:rsidRPr="00E27419" w:rsidRDefault="000F0954" w:rsidP="00E27419">
            <w:pPr>
              <w:jc w:val="both"/>
            </w:pPr>
            <w: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46861798" w:rsidR="00BA5DBC" w:rsidRPr="002B50EA" w:rsidRDefault="000F0954" w:rsidP="00BA5DBC">
            <w:pPr>
              <w:tabs>
                <w:tab w:val="left" w:pos="567"/>
              </w:tabs>
              <w:jc w:val="both"/>
              <w:rPr>
                <w:iCs/>
                <w:lang w:eastAsia="lt-LT"/>
              </w:rPr>
            </w:pPr>
            <w:r>
              <w:rPr>
                <w:iCs/>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0DEF29D5" w:rsidR="00BA5DBC" w:rsidRPr="002B50EA" w:rsidRDefault="000F0954" w:rsidP="009E44AE">
            <w:pPr>
              <w:tabs>
                <w:tab w:val="left" w:pos="567"/>
              </w:tabs>
              <w:jc w:val="both"/>
              <w:rPr>
                <w:iCs/>
                <w:lang w:eastAsia="lt-LT"/>
              </w:rPr>
            </w:pPr>
            <w:r>
              <w:t>.......</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14EF6618" w:rsidR="009E44AE" w:rsidRPr="002B50EA" w:rsidRDefault="000F0954" w:rsidP="009E44AE">
            <w:pPr>
              <w:tabs>
                <w:tab w:val="left" w:pos="567"/>
              </w:tabs>
              <w:jc w:val="both"/>
              <w:rPr>
                <w:iCs/>
                <w:lang w:eastAsia="lt-LT"/>
              </w:rPr>
            </w:pPr>
            <w:r>
              <w:rPr>
                <w:lang w:eastAsia="lt-LT"/>
              </w:rPr>
              <w:t>.......</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9E44AE">
            <w:pPr>
              <w:tabs>
                <w:tab w:val="left" w:pos="567"/>
              </w:tabs>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724AEC62" w:rsidR="009E44AE" w:rsidRPr="002B50EA" w:rsidRDefault="000F0954" w:rsidP="009E44AE">
            <w:pPr>
              <w:tabs>
                <w:tab w:val="left" w:pos="567"/>
              </w:tabs>
              <w:jc w:val="both"/>
              <w:rPr>
                <w:iCs/>
                <w:lang w:eastAsia="lt-LT"/>
              </w:rPr>
            </w:pPr>
            <w:r>
              <w:rPr>
                <w:lang w:eastAsia="lt-LT"/>
              </w:rPr>
              <w:t>.......</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 xml:space="preserve">angl. </w:t>
      </w:r>
      <w:proofErr w:type="spellStart"/>
      <w:r w:rsidR="00453862" w:rsidRPr="000203E1">
        <w:rPr>
          <w:i/>
          <w:sz w:val="20"/>
          <w:lang w:eastAsia="lt-LT"/>
        </w:rPr>
        <w:t>incremental</w:t>
      </w:r>
      <w:proofErr w:type="spellEnd"/>
      <w:r w:rsidR="00453862" w:rsidRPr="000203E1">
        <w:rPr>
          <w:i/>
          <w:sz w:val="20"/>
          <w:lang w:eastAsia="lt-LT"/>
        </w:rPr>
        <w:t xml:space="preserve"> </w:t>
      </w:r>
      <w:proofErr w:type="spellStart"/>
      <w:r w:rsidR="00453862" w:rsidRPr="000203E1">
        <w:rPr>
          <w:i/>
          <w:sz w:val="20"/>
          <w:lang w:eastAsia="lt-LT"/>
        </w:rPr>
        <w:t>cost-effectiveness</w:t>
      </w:r>
      <w:proofErr w:type="spellEnd"/>
      <w:r w:rsidR="00453862" w:rsidRPr="000203E1">
        <w:rPr>
          <w:i/>
          <w:sz w:val="20"/>
          <w:lang w:eastAsia="lt-LT"/>
        </w:rPr>
        <w:t xml:space="preserve"> </w:t>
      </w:r>
      <w:proofErr w:type="spellStart"/>
      <w:r w:rsidR="00453862" w:rsidRPr="000203E1">
        <w:rPr>
          <w:i/>
          <w:sz w:val="20"/>
          <w:lang w:eastAsia="lt-LT"/>
        </w:rPr>
        <w:t>ratio</w:t>
      </w:r>
      <w:proofErr w:type="spellEnd"/>
      <w:r w:rsidR="00453862" w:rsidRPr="000203E1">
        <w:rPr>
          <w:iCs/>
          <w:sz w:val="20"/>
          <w:lang w:eastAsia="lt-LT"/>
        </w:rPr>
        <w:t xml:space="preserve">) </w:t>
      </w:r>
      <w:proofErr w:type="spellStart"/>
      <w:r w:rsidR="00453862" w:rsidRPr="000203E1">
        <w:rPr>
          <w:iCs/>
          <w:sz w:val="20"/>
          <w:lang w:eastAsia="lt-LT"/>
        </w:rPr>
        <w:t>inkrementinis</w:t>
      </w:r>
      <w:proofErr w:type="spellEnd"/>
      <w:r w:rsidR="00453862" w:rsidRPr="000203E1">
        <w:rPr>
          <w:iCs/>
          <w:sz w:val="20"/>
          <w:lang w:eastAsia="lt-LT"/>
        </w:rPr>
        <w:t xml:space="preserve">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 xml:space="preserve">angl. </w:t>
      </w:r>
      <w:proofErr w:type="spellStart"/>
      <w:r w:rsidR="00453862" w:rsidRPr="000203E1">
        <w:rPr>
          <w:i/>
          <w:sz w:val="20"/>
          <w:lang w:eastAsia="lt-LT"/>
        </w:rPr>
        <w:t>life</w:t>
      </w:r>
      <w:proofErr w:type="spellEnd"/>
      <w:r w:rsidR="00453862" w:rsidRPr="000203E1">
        <w:rPr>
          <w:i/>
          <w:sz w:val="20"/>
          <w:lang w:eastAsia="lt-LT"/>
        </w:rPr>
        <w:t xml:space="preserve"> </w:t>
      </w:r>
      <w:proofErr w:type="spellStart"/>
      <w:r w:rsidR="00453862" w:rsidRPr="000203E1">
        <w:rPr>
          <w:i/>
          <w:sz w:val="20"/>
          <w:lang w:eastAsia="lt-LT"/>
        </w:rPr>
        <w:t>years</w:t>
      </w:r>
      <w:proofErr w:type="spellEnd"/>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w:t>
      </w:r>
      <w:proofErr w:type="spellStart"/>
      <w:r w:rsidR="00453862" w:rsidRPr="000203E1">
        <w:rPr>
          <w:i/>
          <w:sz w:val="20"/>
          <w:lang w:eastAsia="lt-LT"/>
        </w:rPr>
        <w:t>quality</w:t>
      </w:r>
      <w:proofErr w:type="spellEnd"/>
      <w:r w:rsidR="00453862" w:rsidRPr="000203E1">
        <w:rPr>
          <w:i/>
          <w:sz w:val="20"/>
          <w:lang w:eastAsia="lt-LT"/>
        </w:rPr>
        <w:t xml:space="preserve"> </w:t>
      </w:r>
      <w:proofErr w:type="spellStart"/>
      <w:r w:rsidR="00453862" w:rsidRPr="000203E1">
        <w:rPr>
          <w:i/>
          <w:sz w:val="20"/>
          <w:lang w:eastAsia="lt-LT"/>
        </w:rPr>
        <w:t>adjusted</w:t>
      </w:r>
      <w:proofErr w:type="spellEnd"/>
      <w:r w:rsidR="00453862" w:rsidRPr="000203E1">
        <w:rPr>
          <w:i/>
          <w:sz w:val="20"/>
          <w:lang w:eastAsia="lt-LT"/>
        </w:rPr>
        <w:t xml:space="preserve"> </w:t>
      </w:r>
      <w:proofErr w:type="spellStart"/>
      <w:r w:rsidR="00453862" w:rsidRPr="000203E1">
        <w:rPr>
          <w:i/>
          <w:sz w:val="20"/>
          <w:lang w:eastAsia="lt-LT"/>
        </w:rPr>
        <w:t>life</w:t>
      </w:r>
      <w:proofErr w:type="spellEnd"/>
      <w:r w:rsidR="00453862" w:rsidRPr="000203E1">
        <w:rPr>
          <w:i/>
          <w:sz w:val="20"/>
          <w:lang w:eastAsia="lt-LT"/>
        </w:rPr>
        <w:t xml:space="preserve"> </w:t>
      </w:r>
      <w:proofErr w:type="spellStart"/>
      <w:r w:rsidR="00453862" w:rsidRPr="000203E1">
        <w:rPr>
          <w:i/>
          <w:sz w:val="20"/>
          <w:lang w:eastAsia="lt-LT"/>
        </w:rPr>
        <w:t>years</w:t>
      </w:r>
      <w:proofErr w:type="spellEnd"/>
      <w:r w:rsidR="00453862" w:rsidRPr="000203E1">
        <w:rPr>
          <w:i/>
          <w:sz w:val="20"/>
          <w:lang w:eastAsia="lt-LT"/>
        </w:rPr>
        <w:t xml:space="preserve">) </w:t>
      </w:r>
      <w:r w:rsidR="00453862" w:rsidRPr="000203E1">
        <w:rPr>
          <w:iCs/>
          <w:sz w:val="20"/>
          <w:lang w:eastAsia="lt-LT"/>
        </w:rPr>
        <w:t>kokybiški gyvenimo metai.</w:t>
      </w:r>
    </w:p>
    <w:p w14:paraId="33875138" w14:textId="6C0C3260" w:rsidR="0035172D" w:rsidRDefault="0035172D" w:rsidP="00A93AA6">
      <w:pPr>
        <w:tabs>
          <w:tab w:val="left" w:pos="426"/>
        </w:tabs>
        <w:rPr>
          <w:b/>
          <w:bCs/>
          <w:caps/>
        </w:rPr>
      </w:pPr>
    </w:p>
    <w:p w14:paraId="1E734C1B" w14:textId="04A9733F" w:rsidR="00004066" w:rsidRPr="00562896" w:rsidRDefault="00004066" w:rsidP="00004066">
      <w:pPr>
        <w:spacing w:line="276" w:lineRule="auto"/>
        <w:ind w:firstLine="360"/>
        <w:jc w:val="both"/>
        <w:rPr>
          <w:rFonts w:eastAsia="Arial"/>
        </w:rPr>
      </w:pPr>
      <w:r w:rsidRPr="00D10880">
        <w:t xml:space="preserve">Paminėtina, kad Pareiškėjas teikia atnaujiną </w:t>
      </w:r>
      <w:proofErr w:type="spellStart"/>
      <w:r w:rsidRPr="00D10880">
        <w:t>Polivy</w:t>
      </w:r>
      <w:proofErr w:type="spellEnd"/>
      <w:r w:rsidRPr="00D10880">
        <w:t xml:space="preserve"> kainą (su PGS):140 mg - </w:t>
      </w:r>
      <w:r w:rsidR="000F0954">
        <w:t>...... (140 mg) ir .......</w:t>
      </w:r>
      <w:r w:rsidRPr="00D10880">
        <w:t>. (30 mg).</w:t>
      </w:r>
      <w:r>
        <w:t xml:space="preserve"> Gautais ekonominės analizės rezultatais, taikant aukščiau paminėtas prielaidas,</w:t>
      </w:r>
      <w:r w:rsidRPr="00562896">
        <w:rPr>
          <w:rFonts w:eastAsia="Arial"/>
        </w:rPr>
        <w:t xml:space="preserve"> </w:t>
      </w:r>
      <w:proofErr w:type="spellStart"/>
      <w:r w:rsidRPr="00562896">
        <w:rPr>
          <w:rFonts w:eastAsia="Arial"/>
        </w:rPr>
        <w:t>polatuzumabą</w:t>
      </w:r>
      <w:proofErr w:type="spellEnd"/>
      <w:r w:rsidRPr="00562896">
        <w:rPr>
          <w:rFonts w:eastAsia="Arial"/>
        </w:rPr>
        <w:t xml:space="preserve"> </w:t>
      </w:r>
      <w:proofErr w:type="spellStart"/>
      <w:r w:rsidRPr="00562896">
        <w:rPr>
          <w:rFonts w:eastAsia="Arial"/>
        </w:rPr>
        <w:t>vedotiną</w:t>
      </w:r>
      <w:proofErr w:type="spellEnd"/>
      <w:r w:rsidRPr="00562896">
        <w:rPr>
          <w:rFonts w:eastAsia="Arial"/>
        </w:rPr>
        <w:t xml:space="preserve"> (</w:t>
      </w:r>
      <w:proofErr w:type="spellStart"/>
      <w:r w:rsidRPr="00562896">
        <w:rPr>
          <w:rFonts w:eastAsia="Arial"/>
        </w:rPr>
        <w:t>Polivy</w:t>
      </w:r>
      <w:proofErr w:type="spellEnd"/>
      <w:r w:rsidRPr="00562896">
        <w:rPr>
          <w:rFonts w:eastAsia="Arial"/>
        </w:rPr>
        <w:t xml:space="preserve">) derinyje su </w:t>
      </w:r>
      <w:proofErr w:type="spellStart"/>
      <w:r w:rsidRPr="00562896">
        <w:rPr>
          <w:rFonts w:eastAsia="Arial"/>
        </w:rPr>
        <w:t>rituksimabu</w:t>
      </w:r>
      <w:proofErr w:type="spellEnd"/>
      <w:r w:rsidRPr="00562896">
        <w:rPr>
          <w:rFonts w:eastAsia="Arial"/>
        </w:rPr>
        <w:t xml:space="preserve">, </w:t>
      </w:r>
      <w:proofErr w:type="spellStart"/>
      <w:r w:rsidRPr="00562896">
        <w:rPr>
          <w:rFonts w:eastAsia="Arial"/>
        </w:rPr>
        <w:t>ciklofosfamidu</w:t>
      </w:r>
      <w:proofErr w:type="spellEnd"/>
      <w:r w:rsidRPr="00562896">
        <w:rPr>
          <w:rFonts w:eastAsia="Arial"/>
        </w:rPr>
        <w:t xml:space="preserve">, </w:t>
      </w:r>
      <w:proofErr w:type="spellStart"/>
      <w:r w:rsidRPr="00562896">
        <w:rPr>
          <w:rFonts w:eastAsia="Arial"/>
        </w:rPr>
        <w:t>doksorubicinu</w:t>
      </w:r>
      <w:proofErr w:type="spellEnd"/>
      <w:r w:rsidRPr="00562896">
        <w:rPr>
          <w:rFonts w:eastAsia="Arial"/>
        </w:rPr>
        <w:t xml:space="preserve"> ir prednizonu (R-CHP) skiriant anksčiau negydyta difuzine didelių B ląstelių limfoma (DDBLL) sergančių suaugusių pacientų gydymui lyginant su įprasta klinikine praktika (</w:t>
      </w:r>
      <w:r w:rsidRPr="00562896">
        <w:t xml:space="preserve">vaistinių preparatų deriniu: </w:t>
      </w:r>
      <w:proofErr w:type="spellStart"/>
      <w:r w:rsidRPr="00562896">
        <w:t>rituksimabu</w:t>
      </w:r>
      <w:proofErr w:type="spellEnd"/>
      <w:r w:rsidRPr="00562896">
        <w:t xml:space="preserve">, </w:t>
      </w:r>
      <w:proofErr w:type="spellStart"/>
      <w:r w:rsidRPr="00562896">
        <w:t>ciklofosfamidu</w:t>
      </w:r>
      <w:proofErr w:type="spellEnd"/>
      <w:r w:rsidRPr="00562896">
        <w:t xml:space="preserve">, </w:t>
      </w:r>
      <w:proofErr w:type="spellStart"/>
      <w:r w:rsidRPr="00562896">
        <w:t>doksorubicinu</w:t>
      </w:r>
      <w:proofErr w:type="spellEnd"/>
      <w:r w:rsidRPr="00562896">
        <w:t xml:space="preserve">, </w:t>
      </w:r>
      <w:proofErr w:type="spellStart"/>
      <w:r w:rsidRPr="00562896">
        <w:t>vinkristinu</w:t>
      </w:r>
      <w:proofErr w:type="spellEnd"/>
      <w:r w:rsidRPr="00562896">
        <w:t xml:space="preserve"> ir prednizonu (R-CHOP)), viso gyvenimo perspektyvoje yra </w:t>
      </w:r>
      <w:r w:rsidR="000F0954">
        <w:rPr>
          <w:bCs/>
          <w:iCs/>
          <w:lang w:eastAsia="lt-LT"/>
        </w:rPr>
        <w:t>išsaugomi papildomi ...</w:t>
      </w:r>
      <w:r w:rsidRPr="00562896">
        <w:rPr>
          <w:bCs/>
          <w:iCs/>
          <w:lang w:eastAsia="lt-LT"/>
        </w:rPr>
        <w:t xml:space="preserve"> kokybiški gyvenimo metai, kurie lemia </w:t>
      </w:r>
      <w:r w:rsidR="000F0954">
        <w:rPr>
          <w:bCs/>
          <w:iCs/>
          <w:lang w:eastAsia="lt-LT"/>
        </w:rPr>
        <w:t>.......</w:t>
      </w:r>
      <w:r w:rsidRPr="00562896">
        <w:rPr>
          <w:bCs/>
          <w:color w:val="000000"/>
          <w:lang w:eastAsia="lt-LT"/>
        </w:rPr>
        <w:t>. papildomas išlaidas. A</w:t>
      </w:r>
      <w:r w:rsidRPr="00562896">
        <w:rPr>
          <w:rFonts w:eastAsia="Arial"/>
          <w:lang w:eastAsia="lt-LT"/>
        </w:rPr>
        <w:t>pskaičiuotas ICER (</w:t>
      </w:r>
      <w:r w:rsidR="000F0954">
        <w:rPr>
          <w:color w:val="000000"/>
        </w:rPr>
        <w:t>........</w:t>
      </w:r>
      <w:r w:rsidRPr="00562896">
        <w:rPr>
          <w:color w:val="000000"/>
        </w:rPr>
        <w:t>./QALY</w:t>
      </w:r>
      <w:r w:rsidR="000F0954">
        <w:rPr>
          <w:bCs/>
          <w:color w:val="000000"/>
          <w:lang w:eastAsia="lt-LT"/>
        </w:rPr>
        <w:t>)</w:t>
      </w:r>
      <w:r w:rsidRPr="00562896">
        <w:rPr>
          <w:lang w:eastAsia="lt-LT"/>
        </w:rPr>
        <w:t>.</w:t>
      </w:r>
    </w:p>
    <w:p w14:paraId="22A828F0" w14:textId="67B9D458" w:rsidR="00004066" w:rsidRPr="00881D4F" w:rsidRDefault="00004066" w:rsidP="00004066">
      <w:pPr>
        <w:spacing w:line="276" w:lineRule="auto"/>
        <w:ind w:firstLine="450"/>
        <w:jc w:val="both"/>
        <w:rPr>
          <w:rFonts w:eastAsia="Arial"/>
          <w:i/>
        </w:rPr>
      </w:pPr>
      <w:r w:rsidRPr="00881D4F">
        <w:rPr>
          <w:rFonts w:eastAsia="Arial"/>
          <w:i/>
        </w:rPr>
        <w:t>Pareiškėjas at</w:t>
      </w:r>
      <w:r w:rsidR="000F0954">
        <w:rPr>
          <w:rFonts w:eastAsia="Arial"/>
          <w:i/>
        </w:rPr>
        <w:t>naujindamas KNA suteikė .......</w:t>
      </w:r>
      <w:r w:rsidRPr="00881D4F">
        <w:rPr>
          <w:rFonts w:eastAsia="Arial"/>
          <w:i/>
        </w:rPr>
        <w:t xml:space="preserve"> </w:t>
      </w:r>
      <w:proofErr w:type="spellStart"/>
      <w:r w:rsidRPr="00881D4F">
        <w:rPr>
          <w:rFonts w:eastAsia="Arial"/>
          <w:i/>
        </w:rPr>
        <w:t>Polivy</w:t>
      </w:r>
      <w:proofErr w:type="spellEnd"/>
      <w:r w:rsidRPr="00881D4F">
        <w:rPr>
          <w:rFonts w:eastAsia="Arial"/>
          <w:i/>
        </w:rPr>
        <w:t xml:space="preserve"> kainos nuolaidą, siekiant, kad galutinis ekonominės analizės rezultatas (ICER) atitiktų </w:t>
      </w:r>
      <w:r w:rsidR="000F0954">
        <w:rPr>
          <w:rFonts w:eastAsia="Arial"/>
          <w:i/>
        </w:rPr>
        <w:t>..........</w:t>
      </w:r>
    </w:p>
    <w:p w14:paraId="3D038093" w14:textId="7E5DB276" w:rsidR="002B50EA" w:rsidRPr="000203E1" w:rsidRDefault="002B50EA"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79BCFF40" w14:textId="396F63A1" w:rsidR="00937907"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937907" w:rsidRPr="000203E1">
        <w:t xml:space="preserve"> Pacientų organizacijos pozicija pateikta. Žr. priedą.</w:t>
      </w:r>
    </w:p>
    <w:p w14:paraId="203EAAFB" w14:textId="77777777" w:rsidR="00D528EA" w:rsidRPr="000203E1" w:rsidRDefault="00D528EA" w:rsidP="00937907">
      <w:pPr>
        <w:spacing w:after="120"/>
        <w:jc w:val="both"/>
      </w:pP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5D8CC48C" w14:textId="31A2C539"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55E76E53" w14:textId="5437B761" w:rsidR="0064249A" w:rsidRPr="000203E1" w:rsidRDefault="0064249A"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143A7356" w14:textId="77777777" w:rsidTr="00C16245">
        <w:trPr>
          <w:trHeight w:val="510"/>
        </w:trPr>
        <w:tc>
          <w:tcPr>
            <w:tcW w:w="9629" w:type="dxa"/>
            <w:gridSpan w:val="2"/>
            <w:vAlign w:val="center"/>
          </w:tcPr>
          <w:p w14:paraId="0AF5D6B4" w14:textId="12D1C777"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0203E1">
              <w:rPr>
                <w:rStyle w:val="Style2"/>
                <w:rFonts w:eastAsia="MS Gothic"/>
                <w:b/>
                <w:bCs/>
                <w:sz w:val="24"/>
              </w:rPr>
              <w:t xml:space="preserve">Palyginamasis </w:t>
            </w:r>
            <w:r w:rsidR="001C1D94">
              <w:rPr>
                <w:rStyle w:val="Style2"/>
                <w:rFonts w:eastAsia="MS Gothic"/>
                <w:b/>
                <w:bCs/>
                <w:sz w:val="24"/>
              </w:rPr>
              <w:t>veiksmingumas</w:t>
            </w:r>
          </w:p>
        </w:tc>
      </w:tr>
      <w:tr w:rsidR="000203E1" w:rsidRPr="000203E1" w14:paraId="28A0C814" w14:textId="77777777" w:rsidTr="0061611B">
        <w:tc>
          <w:tcPr>
            <w:tcW w:w="4815" w:type="dxa"/>
          </w:tcPr>
          <w:p w14:paraId="216769B5" w14:textId="4B55F66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1C1D94">
              <w:rPr>
                <w:rStyle w:val="Style2"/>
                <w:sz w:val="24"/>
              </w:rPr>
              <w:t xml:space="preserve"> 29</w:t>
            </w:r>
            <w:r w:rsidR="00B13D65" w:rsidRPr="000203E1">
              <w:t>.1.</w:t>
            </w:r>
            <w:r w:rsidR="001C1D94">
              <w:t>1</w:t>
            </w:r>
            <w:r w:rsidR="00B13D65" w:rsidRPr="000203E1">
              <w:t xml:space="preserve">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DAF016"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2 </w:t>
            </w:r>
            <w:r w:rsidR="00B13D65" w:rsidRPr="000203E1">
              <w:t>iš esmės nesiskiria</w:t>
            </w:r>
            <w:r w:rsidR="00B00959" w:rsidRPr="000203E1">
              <w:t>, lyginant su įprasta klinikine praktika</w:t>
            </w:r>
          </w:p>
        </w:tc>
        <w:tc>
          <w:tcPr>
            <w:tcW w:w="4814" w:type="dxa"/>
          </w:tcPr>
          <w:p w14:paraId="507828D9" w14:textId="2D47A9E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3 </w:t>
            </w:r>
            <w:r w:rsidR="001C1D94" w:rsidRPr="000203E1">
              <w:t>yra neįrodytas kaip didesnis</w:t>
            </w:r>
            <w:r w:rsidR="001C1D94">
              <w:t xml:space="preserve"> </w:t>
            </w:r>
            <w:r w:rsidR="001C1D94" w:rsidRPr="001C1D94">
              <w:t> ar iš esmės nesiskiriantis</w:t>
            </w:r>
            <w:r w:rsidR="001C1D94" w:rsidRPr="000203E1">
              <w:t xml:space="preserve">, lyginant su įprasta klinikine praktika </w:t>
            </w:r>
            <w:r w:rsidR="00B13D65" w:rsidRPr="000203E1">
              <w:t xml:space="preserve"> </w:t>
            </w:r>
          </w:p>
          <w:p w14:paraId="282277FB" w14:textId="77777777" w:rsidR="001C1D94" w:rsidRPr="000203E1"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4 </w:t>
            </w:r>
            <w:r w:rsidR="001C1D94" w:rsidRPr="000203E1">
              <w:t>yra mažesnis, lyginant su įprasta klinikine praktika</w:t>
            </w:r>
          </w:p>
          <w:p w14:paraId="3396544A" w14:textId="77777777" w:rsidR="001C1D94"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w:t>
            </w:r>
            <w:r w:rsidR="001C1D94">
              <w:t xml:space="preserve"> </w:t>
            </w:r>
            <w:r w:rsidR="001C1D94">
              <w:rPr>
                <w:rStyle w:val="Style2"/>
                <w:sz w:val="24"/>
              </w:rPr>
              <w:t>29</w:t>
            </w:r>
            <w:r w:rsidR="001C1D94" w:rsidRPr="000203E1">
              <w:t>.1.</w:t>
            </w:r>
            <w:r w:rsidR="001C1D94">
              <w:t>5</w:t>
            </w:r>
            <w:r w:rsidR="001C1D94" w:rsidRPr="000203E1">
              <w:t xml:space="preserve"> pateikti duomenys apie palyginamąjį </w:t>
            </w:r>
            <w:r w:rsidR="001C1D94">
              <w:t>veiksmingumą</w:t>
            </w:r>
            <w:r w:rsidR="001C1D94" w:rsidRPr="000203E1">
              <w:t xml:space="preserve"> yra netinkami vertinti</w:t>
            </w:r>
          </w:p>
          <w:p w14:paraId="5DDAA961" w14:textId="77777777" w:rsidR="00B13D65" w:rsidRPr="000203E1"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787"/>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46B4BA3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w:t>
            </w:r>
            <w:r w:rsidR="001C1D94">
              <w:t xml:space="preserve">29.2.1 </w:t>
            </w:r>
            <w:r w:rsidR="00B13D65" w:rsidRPr="000203E1">
              <w:t>atitink</w:t>
            </w:r>
            <w:r w:rsidR="00450075">
              <w:t>a referencinę naudingumo vertę</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49B528D5" w:rsidR="00B13D65" w:rsidRPr="000203E1" w:rsidRDefault="00000000"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t xml:space="preserve">29.2.2 </w:t>
            </w:r>
            <w:r w:rsidR="00B13D65" w:rsidRPr="000203E1">
              <w:t>gydymo juo kaštai yra mažesni ar tokie patys esant iš esmės nesiskiriančiam palyginamajam efektyvumui, taikant</w:t>
            </w:r>
            <w:r w:rsidR="001C1D94">
              <w:t xml:space="preserve"> arba netaikant </w:t>
            </w:r>
            <w:r w:rsidR="00B13D65" w:rsidRPr="000203E1">
              <w:t xml:space="preserve"> </w:t>
            </w:r>
            <w:r w:rsidR="00450075">
              <w:t>PGS</w:t>
            </w:r>
          </w:p>
        </w:tc>
        <w:tc>
          <w:tcPr>
            <w:tcW w:w="4814" w:type="dxa"/>
          </w:tcPr>
          <w:p w14:paraId="53380063" w14:textId="5F2B393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450075">
                  <w:rPr>
                    <w:rStyle w:val="Style2"/>
                    <w:rFonts w:ascii="MS Gothic" w:eastAsia="MS Gothic" w:hAnsi="MS Gothic" w:hint="eastAsia"/>
                    <w:sz w:val="24"/>
                  </w:rPr>
                  <w:t>☒</w:t>
                </w:r>
              </w:sdtContent>
            </w:sdt>
            <w:r w:rsidR="00B13D65" w:rsidRPr="000203E1">
              <w:t xml:space="preserve"> </w:t>
            </w:r>
            <w:r w:rsidR="001C1D94">
              <w:t>29</w:t>
            </w:r>
            <w:r w:rsidR="00B13D65" w:rsidRPr="000203E1">
              <w:t>.</w:t>
            </w:r>
            <w:r w:rsidR="001C1D94">
              <w:t>2.</w:t>
            </w:r>
            <w:r w:rsidR="00B13D65" w:rsidRPr="000203E1">
              <w:t xml:space="preserve">3 neatitinka referencinės naudingumo vertės </w:t>
            </w:r>
            <w:r w:rsidR="001C1D94" w:rsidRPr="001C1D94">
              <w:t>taikant arba netaikant PGS</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2.4</w:t>
            </w:r>
            <w:r w:rsidR="007D2CF4" w:rsidRPr="000203E1">
              <w:t xml:space="preserve"> </w:t>
            </w:r>
            <w:r w:rsidR="00B13D65" w:rsidRPr="000203E1">
              <w:t xml:space="preserve">gydymo juo kaštai yra didesni esant iš esmės nesiskiriančiam palyginamajam </w:t>
            </w:r>
            <w:r w:rsidR="007D2CF4">
              <w:t>veiksmingumui</w:t>
            </w:r>
            <w:r w:rsidR="00B13D65" w:rsidRPr="000203E1">
              <w:t>, taikant</w:t>
            </w:r>
            <w:r w:rsidR="00450075">
              <w:t xml:space="preserve"> </w:t>
            </w:r>
            <w:r w:rsidR="007D2CF4" w:rsidRPr="001C1D94">
              <w:t>arba netaikant PGS</w:t>
            </w:r>
          </w:p>
          <w:p w14:paraId="4A9C7D2A" w14:textId="1B3F88FF"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2.5</w:t>
            </w:r>
            <w:r w:rsidR="00B13D65" w:rsidRPr="000203E1">
              <w:t xml:space="preserve">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29A90384" w14:textId="4772D5ED"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7C0124C4" w14:textId="45F4B190" w:rsidR="0064249A" w:rsidRPr="002A024D" w:rsidRDefault="00450075" w:rsidP="00D528EA">
      <w:pPr>
        <w:spacing w:line="360"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7D2CF4">
        <w:t xml:space="preserve"> </w:t>
      </w:r>
      <w:r w:rsidR="0064249A" w:rsidRPr="00471EC6">
        <w:rPr>
          <w:color w:val="000000"/>
          <w:lang w:eastAsia="lt-LT"/>
        </w:rPr>
        <w:t>30</w:t>
      </w:r>
      <w:r w:rsidR="0064249A" w:rsidRPr="00471EC6">
        <w:rPr>
          <w:color w:val="000000"/>
          <w:vertAlign w:val="superscript"/>
          <w:lang w:eastAsia="lt-LT"/>
        </w:rPr>
        <w:t>1</w:t>
      </w:r>
      <w:r w:rsidR="0064249A" w:rsidRPr="00471EC6">
        <w:rPr>
          <w:color w:val="000000"/>
          <w:lang w:eastAsia="lt-LT"/>
        </w:rPr>
        <w:t>.2.</w:t>
      </w:r>
      <w:r w:rsidR="0064249A">
        <w:rPr>
          <w:color w:val="000000"/>
          <w:lang w:eastAsia="lt-LT"/>
        </w:rPr>
        <w:t xml:space="preserve"> rekomenduojama</w:t>
      </w:r>
      <w:r w:rsidR="0064249A"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sidR="0064249A">
        <w:rPr>
          <w:color w:val="000000"/>
          <w:lang w:eastAsia="lt-LT"/>
        </w:rPr>
        <w:t xml:space="preserve">, </w:t>
      </w:r>
      <w:r w:rsidR="0064249A" w:rsidRPr="00471EC6">
        <w:rPr>
          <w:color w:val="000000"/>
          <w:lang w:eastAsia="lt-LT"/>
        </w:rPr>
        <w:t>kai vertinimo išvados atitinka Aprašo 29.1.1 ir 29.2.3 papunkčiuose numatytas sąlygas</w:t>
      </w:r>
      <w:r w:rsidR="0064249A">
        <w:rPr>
          <w:color w:val="000000"/>
          <w:lang w:eastAsia="lt-LT"/>
        </w:rPr>
        <w:t>.</w:t>
      </w:r>
    </w:p>
    <w:p w14:paraId="7CDFF220" w14:textId="4CEB6564" w:rsidR="000723FF" w:rsidRDefault="000723FF" w:rsidP="00824B92">
      <w:pPr>
        <w:rPr>
          <w:b/>
        </w:rPr>
      </w:pPr>
    </w:p>
    <w:p w14:paraId="589858DD" w14:textId="0DE464C8" w:rsidR="00650F05" w:rsidRPr="003819E3" w:rsidRDefault="00650F05" w:rsidP="00650F05">
      <w:pPr>
        <w:pStyle w:val="Betarp"/>
        <w:spacing w:line="360" w:lineRule="auto"/>
        <w:rPr>
          <w:rFonts w:ascii="Times New Roman" w:hAnsi="Times New Roman"/>
          <w:b/>
          <w:sz w:val="24"/>
          <w:szCs w:val="24"/>
        </w:rPr>
      </w:pPr>
      <w:r w:rsidRPr="003819E3">
        <w:rPr>
          <w:rFonts w:ascii="Times New Roman" w:hAnsi="Times New Roman"/>
          <w:b/>
          <w:sz w:val="24"/>
          <w:szCs w:val="24"/>
        </w:rPr>
        <w:t>Skyrimo sąlygos</w:t>
      </w:r>
      <w:r w:rsidR="002A1619">
        <w:rPr>
          <w:rStyle w:val="Puslapioinaosnuoroda"/>
          <w:rFonts w:ascii="Times New Roman" w:hAnsi="Times New Roman"/>
          <w:b/>
          <w:sz w:val="24"/>
          <w:szCs w:val="24"/>
        </w:rPr>
        <w:footnoteReference w:id="1"/>
      </w:r>
    </w:p>
    <w:p w14:paraId="6795F3F2" w14:textId="77777777" w:rsidR="00650F05" w:rsidRDefault="00000000" w:rsidP="00650F05">
      <w:pPr>
        <w:tabs>
          <w:tab w:val="left" w:pos="426"/>
        </w:tabs>
        <w:spacing w:line="360" w:lineRule="auto"/>
        <w:jc w:val="both"/>
        <w:rPr>
          <w:rFonts w:eastAsia="Calibri"/>
        </w:rPr>
      </w:pPr>
      <w:sdt>
        <w:sdtPr>
          <w:rPr>
            <w:rFonts w:eastAsia="Calibri"/>
          </w:rPr>
          <w:id w:val="169305347"/>
          <w14:checkbox>
            <w14:checked w14:val="1"/>
            <w14:checkedState w14:val="2612" w14:font="MS Gothic"/>
            <w14:uncheckedState w14:val="2610" w14:font="MS Gothic"/>
          </w14:checkbox>
        </w:sdtPr>
        <w:sdtContent>
          <w:r w:rsidR="00650F05" w:rsidRPr="00390FC2">
            <w:rPr>
              <w:rFonts w:ascii="Segoe UI Symbol" w:eastAsia="Calibri" w:hAnsi="Segoe UI Symbol" w:cs="Segoe UI Symbol"/>
            </w:rPr>
            <w:t>☒</w:t>
          </w:r>
        </w:sdtContent>
      </w:sdt>
      <w:r w:rsidR="00650F05" w:rsidRPr="00390FC2">
        <w:rPr>
          <w:rFonts w:eastAsia="Calibri"/>
        </w:rPr>
        <w:t xml:space="preserve"> Pareiškėjo siūlomos skyrimo sąlygos priimtinos. </w:t>
      </w:r>
    </w:p>
    <w:p w14:paraId="51667BB9" w14:textId="09E372D7" w:rsidR="00650F05" w:rsidRPr="000203E1" w:rsidRDefault="00650F05" w:rsidP="00650F05">
      <w:pPr>
        <w:pStyle w:val="Betarp"/>
        <w:rPr>
          <w:b/>
        </w:rPr>
      </w:pPr>
      <w:r w:rsidRPr="00AB67E8">
        <w:rPr>
          <w:rFonts w:ascii="Times New Roman" w:hAnsi="Times New Roman"/>
          <w:sz w:val="24"/>
          <w:szCs w:val="24"/>
        </w:rPr>
        <w:t xml:space="preserve">Skiriamas derinant su </w:t>
      </w:r>
      <w:proofErr w:type="spellStart"/>
      <w:r w:rsidRPr="00AB67E8">
        <w:rPr>
          <w:rFonts w:ascii="Times New Roman" w:hAnsi="Times New Roman"/>
          <w:sz w:val="24"/>
          <w:szCs w:val="24"/>
        </w:rPr>
        <w:t>rituksimabu</w:t>
      </w:r>
      <w:proofErr w:type="spellEnd"/>
      <w:r w:rsidRPr="00AB67E8">
        <w:rPr>
          <w:rFonts w:ascii="Times New Roman" w:hAnsi="Times New Roman"/>
          <w:sz w:val="24"/>
          <w:szCs w:val="24"/>
        </w:rPr>
        <w:t xml:space="preserve">, </w:t>
      </w:r>
      <w:proofErr w:type="spellStart"/>
      <w:r w:rsidRPr="00AB67E8">
        <w:rPr>
          <w:rFonts w:ascii="Times New Roman" w:hAnsi="Times New Roman"/>
          <w:sz w:val="24"/>
          <w:szCs w:val="24"/>
        </w:rPr>
        <w:t>ciklofosfamidu</w:t>
      </w:r>
      <w:proofErr w:type="spellEnd"/>
      <w:r w:rsidRPr="00AB67E8">
        <w:rPr>
          <w:rFonts w:ascii="Times New Roman" w:hAnsi="Times New Roman"/>
          <w:sz w:val="24"/>
          <w:szCs w:val="24"/>
        </w:rPr>
        <w:t xml:space="preserve">, </w:t>
      </w:r>
      <w:proofErr w:type="spellStart"/>
      <w:r w:rsidRPr="00AB67E8">
        <w:rPr>
          <w:rFonts w:ascii="Times New Roman" w:hAnsi="Times New Roman"/>
          <w:sz w:val="24"/>
          <w:szCs w:val="24"/>
        </w:rPr>
        <w:t>doksorubicinu</w:t>
      </w:r>
      <w:proofErr w:type="spellEnd"/>
      <w:r w:rsidRPr="00AB67E8">
        <w:rPr>
          <w:rFonts w:ascii="Times New Roman" w:hAnsi="Times New Roman"/>
          <w:sz w:val="24"/>
          <w:szCs w:val="24"/>
        </w:rPr>
        <w:t xml:space="preserve"> ir prednizonu anksčiau negydyta difuzine didelių B ląstelių limfoma sergan</w:t>
      </w:r>
      <w:r>
        <w:rPr>
          <w:rFonts w:ascii="Times New Roman" w:hAnsi="Times New Roman"/>
          <w:sz w:val="24"/>
          <w:szCs w:val="24"/>
        </w:rPr>
        <w:t>tiems</w:t>
      </w:r>
      <w:r w:rsidRPr="00AB67E8">
        <w:rPr>
          <w:rFonts w:ascii="Times New Roman" w:hAnsi="Times New Roman"/>
          <w:sz w:val="24"/>
          <w:szCs w:val="24"/>
        </w:rPr>
        <w:t xml:space="preserve"> suaugusi</w:t>
      </w:r>
      <w:r>
        <w:rPr>
          <w:rFonts w:ascii="Times New Roman" w:hAnsi="Times New Roman"/>
          <w:sz w:val="24"/>
          <w:szCs w:val="24"/>
        </w:rPr>
        <w:t xml:space="preserve">ems </w:t>
      </w:r>
      <w:r w:rsidRPr="00AB67E8">
        <w:rPr>
          <w:rFonts w:ascii="Times New Roman" w:hAnsi="Times New Roman"/>
          <w:sz w:val="24"/>
          <w:szCs w:val="24"/>
        </w:rPr>
        <w:t>pacient</w:t>
      </w:r>
      <w:r>
        <w:rPr>
          <w:rFonts w:ascii="Times New Roman" w:hAnsi="Times New Roman"/>
          <w:sz w:val="24"/>
          <w:szCs w:val="24"/>
        </w:rPr>
        <w:t>ams</w:t>
      </w:r>
      <w:r w:rsidRPr="00AB67E8">
        <w:rPr>
          <w:rFonts w:ascii="Times New Roman" w:hAnsi="Times New Roman"/>
          <w:sz w:val="24"/>
          <w:szCs w:val="24"/>
        </w:rPr>
        <w:t>.</w:t>
      </w:r>
    </w:p>
    <w:sectPr w:rsidR="00650F05"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38C9" w14:textId="77777777" w:rsidR="007C462B" w:rsidRDefault="007C462B">
      <w:r>
        <w:separator/>
      </w:r>
    </w:p>
  </w:endnote>
  <w:endnote w:type="continuationSeparator" w:id="0">
    <w:p w14:paraId="47A6B536" w14:textId="77777777" w:rsidR="007C462B" w:rsidRDefault="007C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FA72" w14:textId="77777777" w:rsidR="007C462B" w:rsidRDefault="007C462B">
      <w:r>
        <w:separator/>
      </w:r>
    </w:p>
  </w:footnote>
  <w:footnote w:type="continuationSeparator" w:id="0">
    <w:p w14:paraId="579FF5CC" w14:textId="77777777" w:rsidR="007C462B" w:rsidRDefault="007C462B">
      <w:r>
        <w:continuationSeparator/>
      </w:r>
    </w:p>
  </w:footnote>
  <w:footnote w:id="1">
    <w:p w14:paraId="0DFAF56C" w14:textId="18BA8A6F" w:rsidR="002A1619" w:rsidRDefault="002A1619">
      <w:pPr>
        <w:pStyle w:val="Puslapioinaostekstas"/>
      </w:pPr>
      <w:r>
        <w:rPr>
          <w:rStyle w:val="Puslapioinaosnuoroda"/>
        </w:rPr>
        <w:footnoteRef/>
      </w:r>
      <w:r>
        <w:t xml:space="preserve"> Taikytina, jei bus priimtas sprendimas kompensuoti.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4382907E"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0954">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869B9"/>
    <w:multiLevelType w:val="hybridMultilevel"/>
    <w:tmpl w:val="CB88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A87DAA"/>
    <w:multiLevelType w:val="hybridMultilevel"/>
    <w:tmpl w:val="D81AF118"/>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A5D93"/>
    <w:multiLevelType w:val="hybridMultilevel"/>
    <w:tmpl w:val="3014E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215571">
    <w:abstractNumId w:val="7"/>
  </w:num>
  <w:num w:numId="2" w16cid:durableId="2047441709">
    <w:abstractNumId w:val="1"/>
  </w:num>
  <w:num w:numId="3" w16cid:durableId="1277297062">
    <w:abstractNumId w:val="10"/>
  </w:num>
  <w:num w:numId="4" w16cid:durableId="107550426">
    <w:abstractNumId w:val="8"/>
  </w:num>
  <w:num w:numId="5" w16cid:durableId="708527727">
    <w:abstractNumId w:val="6"/>
  </w:num>
  <w:num w:numId="6" w16cid:durableId="1414274644">
    <w:abstractNumId w:val="5"/>
  </w:num>
  <w:num w:numId="7" w16cid:durableId="1548296255">
    <w:abstractNumId w:val="3"/>
  </w:num>
  <w:num w:numId="8" w16cid:durableId="1640840248">
    <w:abstractNumId w:val="13"/>
  </w:num>
  <w:num w:numId="9" w16cid:durableId="2109111146">
    <w:abstractNumId w:val="0"/>
  </w:num>
  <w:num w:numId="10" w16cid:durableId="1945333681">
    <w:abstractNumId w:val="11"/>
  </w:num>
  <w:num w:numId="11" w16cid:durableId="1625500364">
    <w:abstractNumId w:val="12"/>
  </w:num>
  <w:num w:numId="12" w16cid:durableId="1616987278">
    <w:abstractNumId w:val="2"/>
  </w:num>
  <w:num w:numId="13" w16cid:durableId="2005624889">
    <w:abstractNumId w:val="4"/>
  </w:num>
  <w:num w:numId="14" w16cid:durableId="700395672">
    <w:abstractNumId w:val="9"/>
  </w:num>
  <w:num w:numId="15" w16cid:durableId="1852524450">
    <w:abstractNumId w:val="14"/>
  </w:num>
  <w:num w:numId="16" w16cid:durableId="20396961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4066"/>
    <w:rsid w:val="000114DD"/>
    <w:rsid w:val="000136F7"/>
    <w:rsid w:val="000203E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0954"/>
    <w:rsid w:val="000F3540"/>
    <w:rsid w:val="00100491"/>
    <w:rsid w:val="00104E2E"/>
    <w:rsid w:val="00107287"/>
    <w:rsid w:val="00117406"/>
    <w:rsid w:val="00121EF0"/>
    <w:rsid w:val="00124A9E"/>
    <w:rsid w:val="00124E31"/>
    <w:rsid w:val="00130703"/>
    <w:rsid w:val="0013153F"/>
    <w:rsid w:val="001408B8"/>
    <w:rsid w:val="001517E2"/>
    <w:rsid w:val="001521D9"/>
    <w:rsid w:val="001554E2"/>
    <w:rsid w:val="00164146"/>
    <w:rsid w:val="00164D64"/>
    <w:rsid w:val="0017369C"/>
    <w:rsid w:val="00175D57"/>
    <w:rsid w:val="00180C39"/>
    <w:rsid w:val="00180D96"/>
    <w:rsid w:val="00184BD3"/>
    <w:rsid w:val="00185963"/>
    <w:rsid w:val="001921F3"/>
    <w:rsid w:val="001B3C5B"/>
    <w:rsid w:val="001C1D94"/>
    <w:rsid w:val="001C4F45"/>
    <w:rsid w:val="001D15C0"/>
    <w:rsid w:val="001D5B91"/>
    <w:rsid w:val="001D746F"/>
    <w:rsid w:val="001E4BBB"/>
    <w:rsid w:val="001E6304"/>
    <w:rsid w:val="0020381E"/>
    <w:rsid w:val="00213471"/>
    <w:rsid w:val="00215906"/>
    <w:rsid w:val="00241CD8"/>
    <w:rsid w:val="00244B09"/>
    <w:rsid w:val="002519CB"/>
    <w:rsid w:val="0025697F"/>
    <w:rsid w:val="00260258"/>
    <w:rsid w:val="0026588E"/>
    <w:rsid w:val="002661E3"/>
    <w:rsid w:val="00272428"/>
    <w:rsid w:val="00272948"/>
    <w:rsid w:val="00283E59"/>
    <w:rsid w:val="00292392"/>
    <w:rsid w:val="002946C7"/>
    <w:rsid w:val="002A1619"/>
    <w:rsid w:val="002B3CC1"/>
    <w:rsid w:val="002B50EA"/>
    <w:rsid w:val="002C09E0"/>
    <w:rsid w:val="002C1BB1"/>
    <w:rsid w:val="002C2786"/>
    <w:rsid w:val="002C3A10"/>
    <w:rsid w:val="002C4A90"/>
    <w:rsid w:val="002C4ED5"/>
    <w:rsid w:val="002D02EF"/>
    <w:rsid w:val="002E0702"/>
    <w:rsid w:val="002E57AD"/>
    <w:rsid w:val="002E5E08"/>
    <w:rsid w:val="002E6F80"/>
    <w:rsid w:val="002F0E4F"/>
    <w:rsid w:val="002F1053"/>
    <w:rsid w:val="00314816"/>
    <w:rsid w:val="00317B0E"/>
    <w:rsid w:val="00347FAA"/>
    <w:rsid w:val="0035172D"/>
    <w:rsid w:val="00355AA0"/>
    <w:rsid w:val="0036187D"/>
    <w:rsid w:val="00367EDB"/>
    <w:rsid w:val="00371CEB"/>
    <w:rsid w:val="00381024"/>
    <w:rsid w:val="00386307"/>
    <w:rsid w:val="003874DE"/>
    <w:rsid w:val="00393E9F"/>
    <w:rsid w:val="0039696E"/>
    <w:rsid w:val="003A2821"/>
    <w:rsid w:val="003A604B"/>
    <w:rsid w:val="003B211A"/>
    <w:rsid w:val="003C141F"/>
    <w:rsid w:val="003C6B0E"/>
    <w:rsid w:val="003C7257"/>
    <w:rsid w:val="003C7E35"/>
    <w:rsid w:val="003D1E99"/>
    <w:rsid w:val="003D6208"/>
    <w:rsid w:val="00404E8A"/>
    <w:rsid w:val="0040622F"/>
    <w:rsid w:val="00413F24"/>
    <w:rsid w:val="00422853"/>
    <w:rsid w:val="00423160"/>
    <w:rsid w:val="00450075"/>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1C75"/>
    <w:rsid w:val="004D2953"/>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41A6"/>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49A"/>
    <w:rsid w:val="0064297F"/>
    <w:rsid w:val="00645102"/>
    <w:rsid w:val="00646CF3"/>
    <w:rsid w:val="00650959"/>
    <w:rsid w:val="00650F05"/>
    <w:rsid w:val="00653D11"/>
    <w:rsid w:val="00662983"/>
    <w:rsid w:val="00666CF4"/>
    <w:rsid w:val="00670984"/>
    <w:rsid w:val="006834D3"/>
    <w:rsid w:val="006859A4"/>
    <w:rsid w:val="00692625"/>
    <w:rsid w:val="00695CD3"/>
    <w:rsid w:val="006A36FB"/>
    <w:rsid w:val="006A38B6"/>
    <w:rsid w:val="006B1987"/>
    <w:rsid w:val="006B5B71"/>
    <w:rsid w:val="006B5D3E"/>
    <w:rsid w:val="006B6CB0"/>
    <w:rsid w:val="006C0251"/>
    <w:rsid w:val="006C2B64"/>
    <w:rsid w:val="006D1BF3"/>
    <w:rsid w:val="006D4C85"/>
    <w:rsid w:val="006D66AC"/>
    <w:rsid w:val="006E33F6"/>
    <w:rsid w:val="006F1251"/>
    <w:rsid w:val="006F1C23"/>
    <w:rsid w:val="00702C18"/>
    <w:rsid w:val="00703166"/>
    <w:rsid w:val="007127F3"/>
    <w:rsid w:val="00713C8C"/>
    <w:rsid w:val="007301CF"/>
    <w:rsid w:val="007316FB"/>
    <w:rsid w:val="00737E2D"/>
    <w:rsid w:val="007424D5"/>
    <w:rsid w:val="00750A88"/>
    <w:rsid w:val="007523DD"/>
    <w:rsid w:val="00757B7E"/>
    <w:rsid w:val="007656B2"/>
    <w:rsid w:val="0077016F"/>
    <w:rsid w:val="007713AD"/>
    <w:rsid w:val="00795DC5"/>
    <w:rsid w:val="00797005"/>
    <w:rsid w:val="00797153"/>
    <w:rsid w:val="007A21F7"/>
    <w:rsid w:val="007A2B68"/>
    <w:rsid w:val="007B0DDA"/>
    <w:rsid w:val="007C462B"/>
    <w:rsid w:val="007D2CF4"/>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60ECB"/>
    <w:rsid w:val="00880A44"/>
    <w:rsid w:val="0088345E"/>
    <w:rsid w:val="0088656F"/>
    <w:rsid w:val="00891EF6"/>
    <w:rsid w:val="008A0303"/>
    <w:rsid w:val="008A592E"/>
    <w:rsid w:val="008A5FDD"/>
    <w:rsid w:val="008C3947"/>
    <w:rsid w:val="008C467D"/>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720BC"/>
    <w:rsid w:val="00983471"/>
    <w:rsid w:val="009860D1"/>
    <w:rsid w:val="009909AB"/>
    <w:rsid w:val="009B2F9C"/>
    <w:rsid w:val="009B37DB"/>
    <w:rsid w:val="009C7A8C"/>
    <w:rsid w:val="009D23F9"/>
    <w:rsid w:val="009D4FA8"/>
    <w:rsid w:val="009E44AE"/>
    <w:rsid w:val="009E6CD6"/>
    <w:rsid w:val="009F4D66"/>
    <w:rsid w:val="00A00C3C"/>
    <w:rsid w:val="00A01091"/>
    <w:rsid w:val="00A042B9"/>
    <w:rsid w:val="00A06DBB"/>
    <w:rsid w:val="00A22ADF"/>
    <w:rsid w:val="00A31E86"/>
    <w:rsid w:val="00A41129"/>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250F4"/>
    <w:rsid w:val="00B3072E"/>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1A99"/>
    <w:rsid w:val="00C21EB8"/>
    <w:rsid w:val="00C22DC5"/>
    <w:rsid w:val="00C23DA3"/>
    <w:rsid w:val="00C24479"/>
    <w:rsid w:val="00C273F2"/>
    <w:rsid w:val="00C37B53"/>
    <w:rsid w:val="00C434EB"/>
    <w:rsid w:val="00C517D2"/>
    <w:rsid w:val="00C5772E"/>
    <w:rsid w:val="00C62B36"/>
    <w:rsid w:val="00C7012C"/>
    <w:rsid w:val="00C712EA"/>
    <w:rsid w:val="00CA217D"/>
    <w:rsid w:val="00CB434D"/>
    <w:rsid w:val="00CC09D4"/>
    <w:rsid w:val="00CC668D"/>
    <w:rsid w:val="00CC7832"/>
    <w:rsid w:val="00CD488E"/>
    <w:rsid w:val="00CF0C1C"/>
    <w:rsid w:val="00CF27FD"/>
    <w:rsid w:val="00CF5F12"/>
    <w:rsid w:val="00D00D8F"/>
    <w:rsid w:val="00D07BEA"/>
    <w:rsid w:val="00D20CA7"/>
    <w:rsid w:val="00D21F3A"/>
    <w:rsid w:val="00D23808"/>
    <w:rsid w:val="00D3016A"/>
    <w:rsid w:val="00D417D2"/>
    <w:rsid w:val="00D42960"/>
    <w:rsid w:val="00D43BD7"/>
    <w:rsid w:val="00D4485B"/>
    <w:rsid w:val="00D46CCD"/>
    <w:rsid w:val="00D4708D"/>
    <w:rsid w:val="00D4744C"/>
    <w:rsid w:val="00D521DE"/>
    <w:rsid w:val="00D528EA"/>
    <w:rsid w:val="00D5470B"/>
    <w:rsid w:val="00D63068"/>
    <w:rsid w:val="00D6498C"/>
    <w:rsid w:val="00D67CD4"/>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27419"/>
    <w:rsid w:val="00E33DB8"/>
    <w:rsid w:val="00E33EFF"/>
    <w:rsid w:val="00E34387"/>
    <w:rsid w:val="00E348BA"/>
    <w:rsid w:val="00E369FE"/>
    <w:rsid w:val="00E37C6F"/>
    <w:rsid w:val="00E475F8"/>
    <w:rsid w:val="00E5102E"/>
    <w:rsid w:val="00E5329F"/>
    <w:rsid w:val="00E5721C"/>
    <w:rsid w:val="00E619C6"/>
    <w:rsid w:val="00E745A1"/>
    <w:rsid w:val="00E81529"/>
    <w:rsid w:val="00E83A13"/>
    <w:rsid w:val="00EB3CB8"/>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7718F"/>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YHEC table,Lash Style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qFormat/>
    <w:rsid w:val="009B2F9C"/>
    <w:rPr>
      <w:sz w:val="24"/>
      <w:szCs w:val="24"/>
      <w:lang w:eastAsia="en-US"/>
    </w:rPr>
  </w:style>
  <w:style w:type="paragraph" w:customStyle="1" w:styleId="Style1">
    <w:name w:val="Style1"/>
    <w:basedOn w:val="prastasis"/>
    <w:qFormat/>
    <w:rsid w:val="009B2F9C"/>
    <w:pPr>
      <w:ind w:firstLine="720"/>
    </w:pPr>
    <w:rPr>
      <w:color w:val="000000"/>
    </w:rPr>
  </w:style>
  <w:style w:type="paragraph" w:styleId="prastasiniatinklio">
    <w:name w:val="Normal (Web)"/>
    <w:basedOn w:val="prastasis"/>
    <w:uiPriority w:val="99"/>
    <w:unhideWhenUsed/>
    <w:rsid w:val="003A2821"/>
    <w:pPr>
      <w:spacing w:before="100" w:beforeAutospacing="1" w:after="100" w:afterAutospacing="1"/>
    </w:pPr>
    <w:rPr>
      <w:lang w:eastAsia="lt-LT"/>
    </w:rPr>
  </w:style>
  <w:style w:type="paragraph" w:styleId="Puslapioinaostekstas">
    <w:name w:val="footnote text"/>
    <w:basedOn w:val="prastasis"/>
    <w:link w:val="PuslapioinaostekstasDiagrama"/>
    <w:semiHidden/>
    <w:unhideWhenUsed/>
    <w:rsid w:val="00650F05"/>
    <w:rPr>
      <w:sz w:val="20"/>
      <w:szCs w:val="20"/>
    </w:rPr>
  </w:style>
  <w:style w:type="character" w:customStyle="1" w:styleId="PuslapioinaostekstasDiagrama">
    <w:name w:val="Puslapio išnašos tekstas Diagrama"/>
    <w:basedOn w:val="Numatytasispastraiposriftas"/>
    <w:link w:val="Puslapioinaostekstas"/>
    <w:semiHidden/>
    <w:rsid w:val="00650F05"/>
    <w:rPr>
      <w:lang w:eastAsia="en-US"/>
    </w:rPr>
  </w:style>
  <w:style w:type="character" w:styleId="Puslapioinaosnuoroda">
    <w:name w:val="footnote reference"/>
    <w:basedOn w:val="Numatytasispastraiposriftas"/>
    <w:semiHidden/>
    <w:unhideWhenUsed/>
    <w:rsid w:val="0065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B00275C125DA4A0E830AF29295049E2E"/>
        <w:category>
          <w:name w:val="General"/>
          <w:gallery w:val="placeholder"/>
        </w:category>
        <w:types>
          <w:type w:val="bbPlcHdr"/>
        </w:types>
        <w:behaviors>
          <w:behavior w:val="content"/>
        </w:behaviors>
        <w:guid w:val="{3728CEB1-CADF-483A-B174-D9713DFD131A}"/>
      </w:docPartPr>
      <w:docPartBody>
        <w:p w:rsidR="007B60B8" w:rsidRDefault="00B50C49" w:rsidP="00B50C49">
          <w:pPr>
            <w:pStyle w:val="B00275C125DA4A0E830AF29295049E2E"/>
          </w:pPr>
          <w:r>
            <w:rPr>
              <w:rStyle w:val="Vietosrezervavimoenklotekstas"/>
            </w:rPr>
            <w:t>Click here to enter a date.</w:t>
          </w:r>
        </w:p>
      </w:docPartBody>
    </w:docPart>
    <w:docPart>
      <w:docPartPr>
        <w:name w:val="864268AB2C384DBDAF50A31402A41D2E"/>
        <w:category>
          <w:name w:val="General"/>
          <w:gallery w:val="placeholder"/>
        </w:category>
        <w:types>
          <w:type w:val="bbPlcHdr"/>
        </w:types>
        <w:behaviors>
          <w:behavior w:val="content"/>
        </w:behaviors>
        <w:guid w:val="{061500BE-3B0B-4320-8DDE-C7A7F47A43CB}"/>
      </w:docPartPr>
      <w:docPartBody>
        <w:p w:rsidR="007B60B8" w:rsidRDefault="00B50C49" w:rsidP="00B50C49">
          <w:pPr>
            <w:pStyle w:val="864268AB2C384DBDAF50A31402A41D2E"/>
          </w:pPr>
          <w:r>
            <w:rPr>
              <w:rStyle w:val="Vietosrezervavimoenklotekstas"/>
            </w:rPr>
            <w:t>Click here to enter a date.</w:t>
          </w:r>
        </w:p>
      </w:docPartBody>
    </w:docPart>
    <w:docPart>
      <w:docPartPr>
        <w:name w:val="272B033B1DC747AC8AB578AE6A569768"/>
        <w:category>
          <w:name w:val="General"/>
          <w:gallery w:val="placeholder"/>
        </w:category>
        <w:types>
          <w:type w:val="bbPlcHdr"/>
        </w:types>
        <w:behaviors>
          <w:behavior w:val="content"/>
        </w:behaviors>
        <w:guid w:val="{CC917A0C-868E-4131-A4D9-FA908FE44A6C}"/>
      </w:docPartPr>
      <w:docPartBody>
        <w:p w:rsidR="007B60B8" w:rsidRDefault="00B50C49" w:rsidP="00B50C49">
          <w:pPr>
            <w:pStyle w:val="272B033B1DC747AC8AB578AE6A569768"/>
          </w:pPr>
          <w:r>
            <w:rPr>
              <w:rStyle w:val="Vietosrezervavimoenklotekstas"/>
            </w:rPr>
            <w:t>Click here to enter a date.</w:t>
          </w:r>
        </w:p>
      </w:docPartBody>
    </w:docPart>
    <w:docPart>
      <w:docPartPr>
        <w:name w:val="D86FF2BEAFCF45399EBF8A309411AE2A"/>
        <w:category>
          <w:name w:val="General"/>
          <w:gallery w:val="placeholder"/>
        </w:category>
        <w:types>
          <w:type w:val="bbPlcHdr"/>
        </w:types>
        <w:behaviors>
          <w:behavior w:val="content"/>
        </w:behaviors>
        <w:guid w:val="{2A821798-3E72-4D15-A460-739BFA9C00A6}"/>
      </w:docPartPr>
      <w:docPartBody>
        <w:p w:rsidR="007B60B8" w:rsidRDefault="00B50C49" w:rsidP="00B50C49">
          <w:pPr>
            <w:pStyle w:val="D86FF2BEAFCF45399EBF8A309411AE2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3028"/>
    <w:rsid w:val="00061157"/>
    <w:rsid w:val="000937FE"/>
    <w:rsid w:val="000A559A"/>
    <w:rsid w:val="000D24D4"/>
    <w:rsid w:val="00124E31"/>
    <w:rsid w:val="00142F50"/>
    <w:rsid w:val="00165F12"/>
    <w:rsid w:val="001C35A9"/>
    <w:rsid w:val="0021240C"/>
    <w:rsid w:val="00237556"/>
    <w:rsid w:val="002B6D97"/>
    <w:rsid w:val="00355AA0"/>
    <w:rsid w:val="0039303B"/>
    <w:rsid w:val="004144A3"/>
    <w:rsid w:val="004160E7"/>
    <w:rsid w:val="004416C6"/>
    <w:rsid w:val="00456E96"/>
    <w:rsid w:val="004F5AB2"/>
    <w:rsid w:val="005074B9"/>
    <w:rsid w:val="005C62E5"/>
    <w:rsid w:val="005E40DD"/>
    <w:rsid w:val="0069335C"/>
    <w:rsid w:val="007219C1"/>
    <w:rsid w:val="00736E2F"/>
    <w:rsid w:val="00753462"/>
    <w:rsid w:val="00772325"/>
    <w:rsid w:val="007A2FE0"/>
    <w:rsid w:val="007B60B8"/>
    <w:rsid w:val="007B6244"/>
    <w:rsid w:val="007C1D92"/>
    <w:rsid w:val="007C6D1D"/>
    <w:rsid w:val="00805BE5"/>
    <w:rsid w:val="008152E7"/>
    <w:rsid w:val="008216E9"/>
    <w:rsid w:val="008E4BAE"/>
    <w:rsid w:val="0090074D"/>
    <w:rsid w:val="009860D1"/>
    <w:rsid w:val="009B3BF0"/>
    <w:rsid w:val="009D5E5E"/>
    <w:rsid w:val="009F1BB4"/>
    <w:rsid w:val="00AB6ED4"/>
    <w:rsid w:val="00B14210"/>
    <w:rsid w:val="00B22ED6"/>
    <w:rsid w:val="00B23DC0"/>
    <w:rsid w:val="00B50C49"/>
    <w:rsid w:val="00B96656"/>
    <w:rsid w:val="00C2401D"/>
    <w:rsid w:val="00C250D7"/>
    <w:rsid w:val="00C53A68"/>
    <w:rsid w:val="00CA5BB4"/>
    <w:rsid w:val="00CB434D"/>
    <w:rsid w:val="00CB4BD1"/>
    <w:rsid w:val="00CD139C"/>
    <w:rsid w:val="00CE2DA9"/>
    <w:rsid w:val="00CE44BE"/>
    <w:rsid w:val="00CF40E4"/>
    <w:rsid w:val="00D0142D"/>
    <w:rsid w:val="00D07BEA"/>
    <w:rsid w:val="00D4356B"/>
    <w:rsid w:val="00D67EDE"/>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50C49"/>
    <w:rPr>
      <w:color w:val="808080"/>
    </w:rPr>
  </w:style>
  <w:style w:type="paragraph" w:customStyle="1" w:styleId="CDB60824EC144AB3B75C05A5823BEE2D">
    <w:name w:val="CDB60824EC144AB3B75C05A5823BEE2D"/>
    <w:rsid w:val="005E40DD"/>
  </w:style>
  <w:style w:type="paragraph" w:customStyle="1" w:styleId="B00275C125DA4A0E830AF29295049E2E">
    <w:name w:val="B00275C125DA4A0E830AF29295049E2E"/>
    <w:rsid w:val="00B50C49"/>
  </w:style>
  <w:style w:type="paragraph" w:customStyle="1" w:styleId="864268AB2C384DBDAF50A31402A41D2E">
    <w:name w:val="864268AB2C384DBDAF50A31402A41D2E"/>
    <w:rsid w:val="00B50C49"/>
  </w:style>
  <w:style w:type="paragraph" w:customStyle="1" w:styleId="272B033B1DC747AC8AB578AE6A569768">
    <w:name w:val="272B033B1DC747AC8AB578AE6A569768"/>
    <w:rsid w:val="00B50C49"/>
  </w:style>
  <w:style w:type="paragraph" w:customStyle="1" w:styleId="D86FF2BEAFCF45399EBF8A309411AE2A">
    <w:name w:val="D86FF2BEAFCF45399EBF8A309411AE2A"/>
    <w:rsid w:val="00B50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FEB0-EE47-4030-84F5-532331F1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15693</Words>
  <Characters>8946</Characters>
  <Application>Microsoft Office Word</Application>
  <DocSecurity>0</DocSecurity>
  <Lines>74</Lines>
  <Paragraphs>49</Paragraphs>
  <ScaleCrop>false</ScaleCrop>
  <Company/>
  <LinksUpToDate>false</LinksUpToDate>
  <CharactersWithSpaces>24590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2025-01-02T11:37:00Z</dcterms:created>
  <dcterms:modified xsi:type="dcterms:W3CDTF">2025-01-02T11:37:00Z</dcterms:modified>
</cp:coreProperties>
</file>