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Default="005F7602" w:rsidP="002946C7">
      <w:pPr>
        <w:ind w:left="5529"/>
      </w:pPr>
    </w:p>
    <w:p w14:paraId="12FA4B9E" w14:textId="77777777" w:rsidR="001B3C5B" w:rsidRPr="00E33EFF" w:rsidRDefault="001B3C5B" w:rsidP="001B3C5B">
      <w:pPr>
        <w:ind w:left="6096"/>
      </w:pPr>
      <w:r w:rsidRPr="00E33EFF">
        <w:t>Forma patvirtinta</w:t>
      </w:r>
    </w:p>
    <w:p w14:paraId="7206970B" w14:textId="70E9BD2E"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Pr="00E33EFF" w:rsidRDefault="004C263A" w:rsidP="001B3C5B">
      <w:pPr>
        <w:ind w:left="6096"/>
      </w:pPr>
      <w:r w:rsidRPr="00E33EFF">
        <w:t>(Valstybinės vaistų kontrolės tarnybos prie Lietuvos Respublikos sveikatos apsaugos ministerijos viršininko 2022 m.                         d. įsakymo Nr.                    redakcija)</w:t>
      </w:r>
    </w:p>
    <w:p w14:paraId="3336BD74" w14:textId="77777777" w:rsidR="001B3C5B" w:rsidRPr="00E33EFF" w:rsidRDefault="001B3C5B" w:rsidP="00FA4169"/>
    <w:p w14:paraId="77AFB67E" w14:textId="1639725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4E4395D" w14:textId="15FB10DF" w:rsidR="00B13D65" w:rsidRPr="00E33EFF" w:rsidRDefault="00B13D65" w:rsidP="003B211A">
      <w:pPr>
        <w:jc w:val="center"/>
        <w:rPr>
          <w:b/>
        </w:rPr>
      </w:pPr>
    </w:p>
    <w:p w14:paraId="2519732B" w14:textId="77777777" w:rsidR="009C0F47" w:rsidRPr="00A81DC8" w:rsidRDefault="009C0F47" w:rsidP="009C0F47">
      <w:pPr>
        <w:jc w:val="center"/>
        <w:rPr>
          <w:b/>
          <w:color w:val="333333"/>
          <w:shd w:val="clear" w:color="auto" w:fill="FFFFFF"/>
          <w:lang w:eastAsia="en-GB"/>
        </w:rPr>
      </w:pPr>
      <w:r w:rsidRPr="00A81DC8">
        <w:rPr>
          <w:b/>
        </w:rPr>
        <w:t xml:space="preserve">Skyrizi 75 mg </w:t>
      </w:r>
      <w:r w:rsidRPr="00A81DC8">
        <w:rPr>
          <w:b/>
          <w:color w:val="333333"/>
          <w:shd w:val="clear" w:color="auto" w:fill="FFFFFF"/>
          <w:lang w:eastAsia="en-GB"/>
        </w:rPr>
        <w:t>injekcinis tirpalas užpildytame švirkšte</w:t>
      </w:r>
    </w:p>
    <w:p w14:paraId="5C63F3BD" w14:textId="77777777" w:rsidR="009C0F47" w:rsidRPr="00A81DC8" w:rsidRDefault="009C0F47" w:rsidP="009C0F47">
      <w:pPr>
        <w:jc w:val="center"/>
        <w:rPr>
          <w:b/>
          <w:lang w:eastAsia="en-GB"/>
        </w:rPr>
      </w:pPr>
      <w:r w:rsidRPr="00A81DC8">
        <w:rPr>
          <w:b/>
        </w:rPr>
        <w:t xml:space="preserve">Skyrizi 150 mg </w:t>
      </w:r>
      <w:r w:rsidRPr="00A81DC8">
        <w:rPr>
          <w:b/>
          <w:color w:val="333333"/>
          <w:shd w:val="clear" w:color="auto" w:fill="FFFFFF"/>
          <w:lang w:eastAsia="en-GB"/>
        </w:rPr>
        <w:t>injekcinis tirpalas užpildytame švirkšte</w:t>
      </w:r>
    </w:p>
    <w:p w14:paraId="018A7F91" w14:textId="77777777" w:rsidR="009C0F47" w:rsidRPr="00A81DC8" w:rsidRDefault="009C0F47" w:rsidP="009C0F47">
      <w:pPr>
        <w:jc w:val="center"/>
        <w:rPr>
          <w:lang w:eastAsia="en-GB"/>
        </w:rPr>
      </w:pPr>
    </w:p>
    <w:p w14:paraId="394C925A" w14:textId="77777777" w:rsidR="009C0F47" w:rsidRPr="00A81DC8" w:rsidRDefault="009C0F47" w:rsidP="009C0F47">
      <w:pPr>
        <w:rPr>
          <w:b/>
        </w:rPr>
      </w:pPr>
    </w:p>
    <w:p w14:paraId="499754C6" w14:textId="77777777" w:rsidR="009C0F47" w:rsidRPr="00A81DC8" w:rsidRDefault="009C0F47" w:rsidP="009C0F47">
      <w:pPr>
        <w:jc w:val="center"/>
      </w:pPr>
      <w:r w:rsidRPr="00A81DC8">
        <w:t>(</w:t>
      </w:r>
      <w:r w:rsidRPr="00A81DC8">
        <w:rPr>
          <w:b/>
        </w:rPr>
        <w:t>Risankizumabas</w:t>
      </w:r>
      <w:r w:rsidRPr="00A81DC8">
        <w:t>)</w:t>
      </w:r>
    </w:p>
    <w:p w14:paraId="4D9BF936" w14:textId="77777777" w:rsidR="009C0F47" w:rsidRPr="00A81DC8" w:rsidRDefault="009C0F47" w:rsidP="009C0F47">
      <w:pPr>
        <w:jc w:val="center"/>
      </w:pPr>
    </w:p>
    <w:p w14:paraId="1D98E530" w14:textId="091A34D9" w:rsidR="00943E06" w:rsidRPr="00D05364" w:rsidRDefault="00937907" w:rsidP="00943E06">
      <w:pPr>
        <w:spacing w:line="276" w:lineRule="auto"/>
        <w:jc w:val="center"/>
        <w:rPr>
          <w:b/>
        </w:rPr>
      </w:pPr>
      <w:r w:rsidRPr="00E33EFF">
        <w:rPr>
          <w:b/>
        </w:rPr>
        <w:t>Paraiškos numeris</w:t>
      </w:r>
      <w:r w:rsidR="00943E06" w:rsidRPr="00943E06">
        <w:rPr>
          <w:b/>
        </w:rPr>
        <w:t xml:space="preserve"> </w:t>
      </w:r>
      <w:r w:rsidR="00943E06">
        <w:rPr>
          <w:b/>
        </w:rPr>
        <w:t>STV</w:t>
      </w:r>
      <w:r w:rsidR="009C0F47">
        <w:rPr>
          <w:b/>
        </w:rPr>
        <w:t xml:space="preserve"> 177</w:t>
      </w:r>
    </w:p>
    <w:p w14:paraId="5BC2EA5D" w14:textId="45A77B4A" w:rsidR="00937907" w:rsidRPr="00E33EFF" w:rsidRDefault="00937907" w:rsidP="003B211A">
      <w:pPr>
        <w:jc w:val="center"/>
        <w:rPr>
          <w:b/>
        </w:rPr>
      </w:pPr>
    </w:p>
    <w:p w14:paraId="453197C8" w14:textId="77777777" w:rsidR="00D4708D" w:rsidRPr="00E33EFF" w:rsidRDefault="00D4708D" w:rsidP="003B211A">
      <w:pPr>
        <w:jc w:val="center"/>
        <w:rPr>
          <w:b/>
        </w:rPr>
      </w:pPr>
    </w:p>
    <w:p w14:paraId="78C89D1C" w14:textId="0DEFFAA5" w:rsidR="00D4485B" w:rsidRPr="00E33EFF" w:rsidRDefault="00B13D65" w:rsidP="00CC09D4">
      <w:pPr>
        <w:pStyle w:val="Sraopastraipa"/>
        <w:numPr>
          <w:ilvl w:val="0"/>
          <w:numId w:val="12"/>
        </w:numPr>
        <w:tabs>
          <w:tab w:val="left" w:pos="567"/>
        </w:tabs>
        <w:ind w:left="567" w:hanging="567"/>
        <w:rPr>
          <w:b/>
          <w:bCs/>
          <w:caps/>
        </w:rPr>
      </w:pPr>
      <w:r w:rsidRPr="00E33EFF">
        <w:rPr>
          <w:b/>
          <w:bCs/>
          <w:caps/>
        </w:rPr>
        <w:t>Bendroji dalis</w:t>
      </w:r>
    </w:p>
    <w:p w14:paraId="04A7C7A7" w14:textId="77777777" w:rsidR="00B13D65" w:rsidRPr="00E33EFF"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EE69C1" w:rsidRPr="00E33EFF" w14:paraId="18A83EC2" w14:textId="77777777" w:rsidTr="00BE7489">
        <w:trPr>
          <w:trHeight w:val="538"/>
        </w:trPr>
        <w:tc>
          <w:tcPr>
            <w:tcW w:w="632" w:type="dxa"/>
          </w:tcPr>
          <w:p w14:paraId="0646FBEA" w14:textId="77777777" w:rsidR="00EE69C1" w:rsidRPr="00E33EFF" w:rsidRDefault="00EE69C1" w:rsidP="00EE69C1">
            <w:pPr>
              <w:rPr>
                <w:rFonts w:eastAsia="Arial"/>
              </w:rPr>
            </w:pPr>
            <w:r w:rsidRPr="00E33EFF">
              <w:rPr>
                <w:rFonts w:eastAsia="Arial"/>
              </w:rPr>
              <w:t>1.1</w:t>
            </w:r>
          </w:p>
        </w:tc>
        <w:tc>
          <w:tcPr>
            <w:tcW w:w="3694" w:type="dxa"/>
          </w:tcPr>
          <w:p w14:paraId="6C3AE864" w14:textId="77777777" w:rsidR="00EE69C1" w:rsidRPr="00E33EFF" w:rsidRDefault="00EE69C1" w:rsidP="00EE69C1">
            <w:pPr>
              <w:rPr>
                <w:rFonts w:eastAsia="Arial"/>
              </w:rPr>
            </w:pPr>
            <w:r w:rsidRPr="00E33EFF">
              <w:rPr>
                <w:rFonts w:eastAsia="Arial"/>
              </w:rPr>
              <w:t>Pareiškėjas</w:t>
            </w:r>
          </w:p>
          <w:p w14:paraId="2AF240DC" w14:textId="77777777" w:rsidR="00EE69C1" w:rsidRPr="00E33EFF" w:rsidRDefault="00EE69C1" w:rsidP="00EE69C1">
            <w:pPr>
              <w:rPr>
                <w:rFonts w:eastAsia="Arial"/>
              </w:rPr>
            </w:pPr>
          </w:p>
        </w:tc>
        <w:tc>
          <w:tcPr>
            <w:tcW w:w="5167" w:type="dxa"/>
          </w:tcPr>
          <w:p w14:paraId="2AAF0D91" w14:textId="4031E155" w:rsidR="00EE69C1" w:rsidRPr="00E33EFF" w:rsidRDefault="00EE69C1" w:rsidP="00EE69C1">
            <w:pPr>
              <w:rPr>
                <w:rFonts w:eastAsia="Arial"/>
              </w:rPr>
            </w:pPr>
            <w:r w:rsidRPr="00A81DC8">
              <w:t>UAB „AbbVie“</w:t>
            </w:r>
          </w:p>
        </w:tc>
      </w:tr>
      <w:tr w:rsidR="00EE69C1" w:rsidRPr="00E33EFF" w14:paraId="31998B0D" w14:textId="77777777" w:rsidTr="00BE7489">
        <w:trPr>
          <w:trHeight w:val="538"/>
        </w:trPr>
        <w:tc>
          <w:tcPr>
            <w:tcW w:w="632" w:type="dxa"/>
          </w:tcPr>
          <w:p w14:paraId="2005EC67" w14:textId="662300D0" w:rsidR="00EE69C1" w:rsidRPr="00E33EFF" w:rsidRDefault="00EE69C1" w:rsidP="00EE69C1">
            <w:pPr>
              <w:rPr>
                <w:rFonts w:eastAsia="Arial"/>
              </w:rPr>
            </w:pPr>
            <w:r w:rsidRPr="00E33EFF">
              <w:rPr>
                <w:rFonts w:eastAsia="Arial"/>
              </w:rPr>
              <w:t>1.2</w:t>
            </w:r>
          </w:p>
        </w:tc>
        <w:tc>
          <w:tcPr>
            <w:tcW w:w="3694" w:type="dxa"/>
          </w:tcPr>
          <w:p w14:paraId="1E4AE3B1" w14:textId="77777777" w:rsidR="00EE69C1" w:rsidRPr="00E33EFF" w:rsidRDefault="00EE69C1" w:rsidP="00EE69C1">
            <w:pPr>
              <w:rPr>
                <w:bCs/>
                <w:color w:val="000000"/>
                <w:lang w:eastAsia="lt-LT"/>
              </w:rPr>
            </w:pPr>
            <w:r w:rsidRPr="00E33EFF">
              <w:rPr>
                <w:bCs/>
                <w:color w:val="000000"/>
                <w:lang w:eastAsia="lt-LT"/>
              </w:rPr>
              <w:t xml:space="preserve">Registracijos data </w:t>
            </w:r>
          </w:p>
          <w:p w14:paraId="3A0DC096" w14:textId="77777777" w:rsidR="00EE69C1" w:rsidRPr="00E33EFF" w:rsidRDefault="00EE69C1" w:rsidP="00EE69C1">
            <w:pPr>
              <w:rPr>
                <w:bCs/>
                <w:color w:val="000000"/>
                <w:lang w:eastAsia="lt-LT"/>
              </w:rPr>
            </w:pPr>
          </w:p>
        </w:tc>
        <w:tc>
          <w:tcPr>
            <w:tcW w:w="5167" w:type="dxa"/>
          </w:tcPr>
          <w:p w14:paraId="3CA218AD" w14:textId="56E503B3" w:rsidR="00EE69C1" w:rsidRPr="00E33EFF" w:rsidRDefault="00000000" w:rsidP="00EE69C1">
            <w:pPr>
              <w:rPr>
                <w:rStyle w:val="Style2"/>
              </w:rPr>
            </w:pPr>
            <w:sdt>
              <w:sdtPr>
                <w:rPr>
                  <w:color w:val="000000" w:themeColor="text1"/>
                  <w:sz w:val="32"/>
                  <w:shd w:val="clear" w:color="auto" w:fill="FFFFFF"/>
                  <w:lang w:eastAsia="en-GB"/>
                </w:rPr>
                <w:alias w:val="Nurodykite konkrečią dieną"/>
                <w:tag w:val="Nurodykite pradžios datą"/>
                <w:id w:val="423238108"/>
                <w:placeholder>
                  <w:docPart w:val="28BCC124EF464F7B8923DF705093523D"/>
                </w:placeholder>
                <w15:color w:val="FFCC99"/>
                <w:date>
                  <w:dateFormat w:val="yyyy 'm.' MMMM d 'd.'"/>
                  <w:lid w:val="lt-LT"/>
                  <w:storeMappedDataAs w:val="dateTime"/>
                  <w:calendar w:val="gregorian"/>
                </w:date>
              </w:sdtPr>
              <w:sdtContent>
                <w:r w:rsidR="00EE69C1" w:rsidRPr="00A81DC8">
                  <w:rPr>
                    <w:color w:val="000000" w:themeColor="text1"/>
                    <w:shd w:val="clear" w:color="auto" w:fill="FFFFFF"/>
                    <w:lang w:eastAsia="en-GB"/>
                  </w:rPr>
                  <w:t xml:space="preserve">2019 m. balandžio </w:t>
                </w:r>
                <w:r w:rsidR="00EE69C1" w:rsidRPr="00A81DC8">
                  <w:rPr>
                    <w:color w:val="000000" w:themeColor="text1"/>
                    <w:shd w:val="clear" w:color="auto" w:fill="FFFFFF"/>
                    <w:lang w:val="en-US" w:eastAsia="en-GB"/>
                  </w:rPr>
                  <w:t>26</w:t>
                </w:r>
                <w:r w:rsidR="00EE69C1" w:rsidRPr="00A81DC8">
                  <w:rPr>
                    <w:color w:val="000000" w:themeColor="text1"/>
                    <w:shd w:val="clear" w:color="auto" w:fill="FFFFFF"/>
                    <w:lang w:eastAsia="en-GB"/>
                  </w:rPr>
                  <w:t xml:space="preserve"> d.</w:t>
                </w:r>
              </w:sdtContent>
            </w:sdt>
          </w:p>
        </w:tc>
      </w:tr>
      <w:tr w:rsidR="00B13D65" w:rsidRPr="00E33EFF" w14:paraId="15968AE1" w14:textId="77777777" w:rsidTr="00BE7489">
        <w:trPr>
          <w:trHeight w:val="1500"/>
        </w:trPr>
        <w:tc>
          <w:tcPr>
            <w:tcW w:w="632" w:type="dxa"/>
          </w:tcPr>
          <w:p w14:paraId="6A784245" w14:textId="1E461489" w:rsidR="00B13D65" w:rsidRPr="00E33EFF" w:rsidRDefault="002E0702" w:rsidP="00824B92">
            <w:pPr>
              <w:rPr>
                <w:rFonts w:eastAsia="Arial"/>
              </w:rPr>
            </w:pPr>
            <w:r w:rsidRPr="00E33EFF">
              <w:rPr>
                <w:rFonts w:eastAsia="Arial"/>
              </w:rPr>
              <w:t>1.3</w:t>
            </w:r>
          </w:p>
        </w:tc>
        <w:tc>
          <w:tcPr>
            <w:tcW w:w="3694" w:type="dxa"/>
          </w:tcPr>
          <w:p w14:paraId="22933506" w14:textId="77777777" w:rsidR="00B13D65" w:rsidRPr="00E33EFF" w:rsidRDefault="00B13D65" w:rsidP="00824B92">
            <w:r w:rsidRPr="00E33EFF">
              <w:t xml:space="preserve">Paraiškos tipas </w:t>
            </w:r>
          </w:p>
          <w:p w14:paraId="0465E680" w14:textId="7F0A0714" w:rsidR="00B13D65" w:rsidRPr="00E33EFF" w:rsidRDefault="00B13D65" w:rsidP="00824B92">
            <w:r w:rsidRPr="00E33EFF">
              <w:t>(</w:t>
            </w:r>
            <w:r w:rsidR="00695CD3" w:rsidRPr="00E33EFF">
              <w:t xml:space="preserve">pagal </w:t>
            </w:r>
            <w:r w:rsidR="0039696E" w:rsidRPr="00E33EFF">
              <w:rPr>
                <w:color w:val="333333"/>
                <w:shd w:val="clear" w:color="auto" w:fill="FFFFFF"/>
              </w:rPr>
              <w:t>vaistinio preparato registracijos tipą, įtvirtintą</w:t>
            </w:r>
            <w:r w:rsidR="0039696E" w:rsidRPr="00E33EFF">
              <w:t xml:space="preserve"> </w:t>
            </w:r>
            <w:r w:rsidRPr="00E33EFF">
              <w:t>Direktyv</w:t>
            </w:r>
            <w:r w:rsidR="00695CD3" w:rsidRPr="00E33EFF">
              <w:t>os</w:t>
            </w:r>
            <w:r w:rsidRPr="00E33EFF">
              <w:t xml:space="preserve"> 2001/83/EB</w:t>
            </w:r>
            <w:r w:rsidR="00695CD3" w:rsidRPr="00E33EFF">
              <w:t xml:space="preserve"> straips</w:t>
            </w:r>
            <w:r w:rsidR="0039696E" w:rsidRPr="00E33EFF">
              <w:t>iuose</w:t>
            </w:r>
            <w:r w:rsidRPr="00E33EFF">
              <w:t>)</w:t>
            </w:r>
          </w:p>
          <w:p w14:paraId="77089D80" w14:textId="6681D72A" w:rsidR="00B13D65" w:rsidRPr="00E33EFF" w:rsidRDefault="00B13D65" w:rsidP="00824B92">
            <w:pPr>
              <w:rPr>
                <w:bCs/>
                <w:color w:val="000000"/>
                <w:lang w:eastAsia="lt-LT"/>
              </w:rPr>
            </w:pPr>
          </w:p>
        </w:tc>
        <w:tc>
          <w:tcPr>
            <w:tcW w:w="5167" w:type="dxa"/>
          </w:tcPr>
          <w:p w14:paraId="208F40EC" w14:textId="2F4EA9C5" w:rsidR="00B13D65" w:rsidRPr="00E33EFF" w:rsidRDefault="00000000" w:rsidP="00824B92">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Content>
                <w:r w:rsidR="003D1877">
                  <w:rPr>
                    <w:rStyle w:val="Style2"/>
                    <w:rFonts w:ascii="MS Gothic" w:eastAsia="MS Gothic" w:hAnsi="MS Gothic" w:hint="eastAsia"/>
                    <w:sz w:val="22"/>
                    <w:szCs w:val="22"/>
                  </w:rPr>
                  <w:t>☒</w:t>
                </w:r>
              </w:sdtContent>
            </w:sdt>
            <w:r w:rsidR="00B13D65" w:rsidRPr="00E33EFF">
              <w:rPr>
                <w:sz w:val="22"/>
                <w:szCs w:val="22"/>
              </w:rPr>
              <w:t xml:space="preserve">8.3 str. (pilna byla, pagrįsta savais tyrimais) </w:t>
            </w:r>
          </w:p>
          <w:p w14:paraId="32BA564E" w14:textId="3FDA3E01" w:rsidR="00B13D65" w:rsidRPr="00E33EFF" w:rsidRDefault="00000000" w:rsidP="00824B92">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 xml:space="preserve">10 a str. (pripažintas medicininis vartojimas) </w:t>
            </w:r>
          </w:p>
          <w:p w14:paraId="318DCD7F" w14:textId="32333E53" w:rsidR="00B13D65" w:rsidRPr="00E33EFF" w:rsidRDefault="00000000" w:rsidP="00824B92">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10.1 str. (generinis)</w:t>
            </w:r>
          </w:p>
          <w:p w14:paraId="3B0A4F72" w14:textId="3F5FB073" w:rsidR="00B13D65" w:rsidRPr="00E33EFF" w:rsidRDefault="00000000" w:rsidP="00824B92">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10.3 str. (hibridinis)</w:t>
            </w:r>
          </w:p>
        </w:tc>
      </w:tr>
      <w:tr w:rsidR="00B13D65" w:rsidRPr="00E33EFF" w14:paraId="310E9662" w14:textId="77777777" w:rsidTr="00BE7489">
        <w:trPr>
          <w:trHeight w:val="1442"/>
        </w:trPr>
        <w:tc>
          <w:tcPr>
            <w:tcW w:w="632" w:type="dxa"/>
          </w:tcPr>
          <w:p w14:paraId="4B5A91A2" w14:textId="561B5E5F" w:rsidR="00B13D65" w:rsidRPr="00E33EFF" w:rsidRDefault="00B13D65" w:rsidP="00824B92">
            <w:pPr>
              <w:rPr>
                <w:rFonts w:eastAsia="Arial"/>
              </w:rPr>
            </w:pPr>
            <w:r w:rsidRPr="00E33EFF">
              <w:rPr>
                <w:rFonts w:eastAsia="Arial"/>
              </w:rPr>
              <w:t>1.</w:t>
            </w:r>
            <w:r w:rsidR="002E0702" w:rsidRPr="00E33EFF">
              <w:rPr>
                <w:rFonts w:eastAsia="Arial"/>
              </w:rPr>
              <w:t>4</w:t>
            </w:r>
          </w:p>
        </w:tc>
        <w:tc>
          <w:tcPr>
            <w:tcW w:w="3694" w:type="dxa"/>
          </w:tcPr>
          <w:p w14:paraId="6C91E105" w14:textId="77777777" w:rsidR="00B13D65" w:rsidRPr="00E33EFF" w:rsidRDefault="00B13D65" w:rsidP="00824B92">
            <w:pPr>
              <w:rPr>
                <w:bCs/>
                <w:color w:val="000000"/>
                <w:lang w:eastAsia="lt-LT"/>
              </w:rPr>
            </w:pPr>
            <w:r w:rsidRPr="00E33EFF">
              <w:rPr>
                <w:bCs/>
                <w:color w:val="000000"/>
                <w:lang w:eastAsia="lt-LT"/>
              </w:rPr>
              <w:t xml:space="preserve">Ar vaistinis preparatas įrašytas į Bendrijos retųjų vaistinių preparatų registrą? </w:t>
            </w:r>
          </w:p>
          <w:p w14:paraId="483071A3" w14:textId="2FEB27F0" w:rsidR="00B13D65" w:rsidRPr="00E33EFF" w:rsidRDefault="00B13D65" w:rsidP="00824B92">
            <w:pPr>
              <w:rPr>
                <w:bCs/>
                <w:color w:val="000000"/>
                <w:lang w:eastAsia="lt-LT"/>
              </w:rPr>
            </w:pPr>
          </w:p>
        </w:tc>
        <w:tc>
          <w:tcPr>
            <w:tcW w:w="5167" w:type="dxa"/>
          </w:tcPr>
          <w:p w14:paraId="05845C60" w14:textId="10CF4033" w:rsidR="00B13D65" w:rsidRPr="00E33EFF" w:rsidRDefault="00000000" w:rsidP="00824B92">
            <w:sdt>
              <w:sdtPr>
                <w:rPr>
                  <w:rStyle w:val="Style2"/>
                  <w:sz w:val="24"/>
                </w:rPr>
                <w:id w:val="2024432173"/>
                <w15:color w:val="FFCC00"/>
                <w14:checkbox>
                  <w14:checked w14:val="0"/>
                  <w14:checkedState w14:val="2612" w14:font="MS Gothic"/>
                  <w14:uncheckedState w14:val="2610" w14:font="MS Gothic"/>
                </w14:checkbox>
              </w:sdtPr>
              <w:sdtContent>
                <w:r w:rsidR="00D417D2" w:rsidRPr="00E33EFF">
                  <w:rPr>
                    <w:rStyle w:val="Style2"/>
                    <w:rFonts w:ascii="MS Gothic" w:eastAsia="MS Gothic" w:hAnsi="MS Gothic" w:hint="eastAsia"/>
                    <w:sz w:val="24"/>
                  </w:rPr>
                  <w:t>☐</w:t>
                </w:r>
              </w:sdtContent>
            </w:sdt>
            <w:r w:rsidR="00B13D65" w:rsidRPr="00E33EFF">
              <w:t xml:space="preserve"> Taip</w:t>
            </w:r>
          </w:p>
          <w:p w14:paraId="41D88067" w14:textId="50A2D786" w:rsidR="00B13D65" w:rsidRPr="00E33EFF" w:rsidRDefault="00000000" w:rsidP="00824B92">
            <w:sdt>
              <w:sdtPr>
                <w:rPr>
                  <w:rStyle w:val="Style2"/>
                  <w:sz w:val="24"/>
                </w:rPr>
                <w:id w:val="-970507926"/>
                <w15:color w:val="FFCC00"/>
                <w14:checkbox>
                  <w14:checked w14:val="1"/>
                  <w14:checkedState w14:val="2612" w14:font="MS Gothic"/>
                  <w14:uncheckedState w14:val="2610" w14:font="MS Gothic"/>
                </w14:checkbox>
              </w:sdtPr>
              <w:sdtContent>
                <w:r w:rsidR="003D1877">
                  <w:rPr>
                    <w:rStyle w:val="Style2"/>
                    <w:rFonts w:ascii="MS Gothic" w:eastAsia="MS Gothic" w:hAnsi="MS Gothic" w:hint="eastAsia"/>
                    <w:sz w:val="24"/>
                  </w:rPr>
                  <w:t>☒</w:t>
                </w:r>
              </w:sdtContent>
            </w:sdt>
            <w:r w:rsidR="00B13D65" w:rsidRPr="00E33EFF">
              <w:t xml:space="preserve"> Ne</w:t>
            </w:r>
          </w:p>
          <w:p w14:paraId="29C2CBBB" w14:textId="77777777" w:rsidR="00B13D65" w:rsidRPr="00E33EFF" w:rsidRDefault="00000000" w:rsidP="00824B92">
            <w:pPr>
              <w:rPr>
                <w:rFonts w:eastAsia="Arial"/>
              </w:rPr>
            </w:pPr>
            <w:sdt>
              <w:sdtPr>
                <w:alias w:val="Nurodykite konkrečią dieną"/>
                <w:tag w:val="Nurodykite pradžios datą"/>
                <w:id w:val="693498901"/>
                <w:placeholder>
                  <w:docPart w:val="CDB60824EC144AB3B75C05A5823BEE2D"/>
                </w:placeholder>
                <w:showingPlcHdr/>
                <w15:color w:val="FFCC99"/>
                <w:date w:fullDate="2022-05-18T00:00:00Z">
                  <w:dateFormat w:val="yyyy 'm.' MMMM d 'd.'"/>
                  <w:lid w:val="lt-LT"/>
                  <w:storeMappedDataAs w:val="dateTime"/>
                  <w:calendar w:val="gregorian"/>
                </w:date>
              </w:sdtPr>
              <w:sdtContent>
                <w:r w:rsidR="00B13D65" w:rsidRPr="00E33EFF">
                  <w:rPr>
                    <w:rStyle w:val="Vietosrezervavimoenklotekstas"/>
                  </w:rPr>
                  <w:t>Click here to enter a date.</w:t>
                </w:r>
              </w:sdtContent>
            </w:sdt>
          </w:p>
        </w:tc>
      </w:tr>
      <w:tr w:rsidR="00D417D2" w:rsidRPr="00E33EFF" w14:paraId="7841E5F8" w14:textId="77777777" w:rsidTr="00BE7489">
        <w:trPr>
          <w:trHeight w:val="476"/>
        </w:trPr>
        <w:tc>
          <w:tcPr>
            <w:tcW w:w="632" w:type="dxa"/>
          </w:tcPr>
          <w:p w14:paraId="109D2861" w14:textId="73BF27DF" w:rsidR="00D417D2" w:rsidRPr="00E33EFF" w:rsidRDefault="00D417D2" w:rsidP="00824B92">
            <w:pPr>
              <w:rPr>
                <w:rFonts w:eastAsia="Arial"/>
              </w:rPr>
            </w:pPr>
            <w:r w:rsidRPr="00E33EFF">
              <w:rPr>
                <w:rFonts w:eastAsia="Arial"/>
              </w:rPr>
              <w:t>1.5</w:t>
            </w:r>
          </w:p>
        </w:tc>
        <w:tc>
          <w:tcPr>
            <w:tcW w:w="3694" w:type="dxa"/>
          </w:tcPr>
          <w:p w14:paraId="7822D63E" w14:textId="68C38334" w:rsidR="00D417D2" w:rsidRPr="00E33EFF" w:rsidRDefault="00D417D2" w:rsidP="00824B92">
            <w:pPr>
              <w:rPr>
                <w:bCs/>
                <w:color w:val="000000"/>
                <w:lang w:eastAsia="lt-LT"/>
              </w:rPr>
            </w:pPr>
            <w:r w:rsidRPr="00E33EFF">
              <w:t>STV paraiškos pobūdis</w:t>
            </w:r>
          </w:p>
        </w:tc>
        <w:tc>
          <w:tcPr>
            <w:tcW w:w="5167" w:type="dxa"/>
          </w:tcPr>
          <w:p w14:paraId="403461B9" w14:textId="68A37216" w:rsidR="00D417D2" w:rsidRPr="00E33EFF" w:rsidRDefault="00000000" w:rsidP="00824B92">
            <w:sdt>
              <w:sdtPr>
                <w:rPr>
                  <w:rStyle w:val="Style2"/>
                  <w:sz w:val="24"/>
                </w:rPr>
                <w:id w:val="-468433535"/>
                <w15:color w:val="FFCC00"/>
                <w14:checkbox>
                  <w14:checked w14:val="1"/>
                  <w14:checkedState w14:val="2612" w14:font="MS Gothic"/>
                  <w14:uncheckedState w14:val="2610" w14:font="MS Gothic"/>
                </w14:checkbox>
              </w:sdtPr>
              <w:sdtContent>
                <w:r w:rsidR="003D1877">
                  <w:rPr>
                    <w:rStyle w:val="Style2"/>
                    <w:rFonts w:ascii="MS Gothic" w:eastAsia="MS Gothic" w:hAnsi="MS Gothic" w:hint="eastAsia"/>
                    <w:sz w:val="24"/>
                  </w:rPr>
                  <w:t>☒</w:t>
                </w:r>
              </w:sdtContent>
            </w:sdt>
            <w:r w:rsidR="00D417D2" w:rsidRPr="00E33EFF">
              <w:t xml:space="preserve"> Pilna paraiška</w:t>
            </w:r>
          </w:p>
          <w:p w14:paraId="6B8213E3" w14:textId="3495CDF4" w:rsidR="00D417D2" w:rsidRPr="00E33EFF" w:rsidRDefault="00000000" w:rsidP="00824B92">
            <w:sdt>
              <w:sdtPr>
                <w:rPr>
                  <w:rStyle w:val="Style2"/>
                  <w:sz w:val="24"/>
                </w:rPr>
                <w:id w:val="-1489014904"/>
                <w15:color w:val="FFCC00"/>
                <w14:checkbox>
                  <w14:checked w14:val="0"/>
                  <w14:checkedState w14:val="2612" w14:font="MS Gothic"/>
                  <w14:uncheckedState w14:val="2610" w14:font="MS Gothic"/>
                </w14:checkbox>
              </w:sdtPr>
              <w:sdtContent>
                <w:r w:rsidR="00D417D2" w:rsidRPr="00E33EFF">
                  <w:rPr>
                    <w:rStyle w:val="Style2"/>
                    <w:rFonts w:ascii="MS Gothic" w:eastAsia="MS Gothic" w:hAnsi="MS Gothic" w:hint="eastAsia"/>
                    <w:sz w:val="24"/>
                  </w:rPr>
                  <w:t>☐</w:t>
                </w:r>
              </w:sdtContent>
            </w:sdt>
            <w:r w:rsidR="00D417D2" w:rsidRPr="00E33EFF">
              <w:t xml:space="preserve"> Supaprastinta paraiška</w:t>
            </w:r>
          </w:p>
        </w:tc>
      </w:tr>
      <w:tr w:rsidR="00B13D65" w:rsidRPr="00E33EFF" w14:paraId="274D1DAF" w14:textId="77777777" w:rsidTr="00161411">
        <w:trPr>
          <w:trHeight w:val="2258"/>
        </w:trPr>
        <w:tc>
          <w:tcPr>
            <w:tcW w:w="632" w:type="dxa"/>
          </w:tcPr>
          <w:p w14:paraId="17ABF217" w14:textId="14AC00D7" w:rsidR="00B13D65" w:rsidRPr="00E33EFF" w:rsidRDefault="00B13D65" w:rsidP="00824B92">
            <w:pPr>
              <w:rPr>
                <w:rFonts w:eastAsia="Arial"/>
              </w:rPr>
            </w:pPr>
            <w:r w:rsidRPr="00E33EFF">
              <w:rPr>
                <w:rFonts w:eastAsia="Arial"/>
              </w:rPr>
              <w:lastRenderedPageBreak/>
              <w:t>1.</w:t>
            </w:r>
            <w:r w:rsidR="00D417D2" w:rsidRPr="00E33EFF">
              <w:rPr>
                <w:rFonts w:eastAsia="Arial"/>
              </w:rPr>
              <w:t>6</w:t>
            </w:r>
          </w:p>
        </w:tc>
        <w:tc>
          <w:tcPr>
            <w:tcW w:w="3694" w:type="dxa"/>
          </w:tcPr>
          <w:p w14:paraId="4D49DBF5" w14:textId="77777777" w:rsidR="007656B2" w:rsidRPr="00E33EFF" w:rsidRDefault="00DE4484" w:rsidP="00824B92">
            <w:pPr>
              <w:rPr>
                <w:bCs/>
                <w:color w:val="000000"/>
                <w:lang w:eastAsia="lt-LT"/>
              </w:rPr>
            </w:pPr>
            <w:r w:rsidRPr="00E33EFF">
              <w:rPr>
                <w:bCs/>
                <w:color w:val="000000"/>
                <w:lang w:eastAsia="lt-LT"/>
              </w:rPr>
              <w:t>Par</w:t>
            </w:r>
            <w:r w:rsidR="007656B2" w:rsidRPr="00E33EFF">
              <w:rPr>
                <w:bCs/>
                <w:color w:val="000000"/>
                <w:lang w:eastAsia="lt-LT"/>
              </w:rPr>
              <w:t>eiškėjo t</w:t>
            </w:r>
            <w:r w:rsidR="00B13D65" w:rsidRPr="00E33EFF">
              <w:rPr>
                <w:bCs/>
                <w:color w:val="000000"/>
                <w:lang w:eastAsia="lt-LT"/>
              </w:rPr>
              <w:t>eikiama (-os) kompensuoti vaistinio preparato indikacija (-os)</w:t>
            </w:r>
          </w:p>
          <w:p w14:paraId="0D46828A" w14:textId="39583DB6" w:rsidR="00D970E4" w:rsidRDefault="00D970E4" w:rsidP="00824B92">
            <w:pPr>
              <w:rPr>
                <w:bCs/>
                <w:color w:val="000000"/>
                <w:lang w:eastAsia="lt-LT"/>
              </w:rPr>
            </w:pPr>
          </w:p>
          <w:p w14:paraId="09443FF8" w14:textId="4D0006A9" w:rsidR="00D970E4" w:rsidRDefault="00D970E4" w:rsidP="00824B92">
            <w:pPr>
              <w:rPr>
                <w:bCs/>
                <w:color w:val="000000"/>
                <w:lang w:eastAsia="lt-LT"/>
              </w:rPr>
            </w:pPr>
          </w:p>
          <w:p w14:paraId="150C5C6F" w14:textId="77777777" w:rsidR="00D970E4" w:rsidRDefault="00D970E4" w:rsidP="00824B92">
            <w:pPr>
              <w:rPr>
                <w:bCs/>
                <w:color w:val="000000"/>
                <w:lang w:eastAsia="lt-LT"/>
              </w:rPr>
            </w:pPr>
          </w:p>
          <w:p w14:paraId="3A6B054C" w14:textId="77777777" w:rsidR="00AE1322" w:rsidRDefault="00AE1322" w:rsidP="00824B92">
            <w:pPr>
              <w:rPr>
                <w:bCs/>
                <w:color w:val="000000"/>
                <w:lang w:eastAsia="lt-LT"/>
              </w:rPr>
            </w:pPr>
          </w:p>
          <w:p w14:paraId="6B4FEEC1" w14:textId="378668B0" w:rsidR="00B13D65" w:rsidRPr="00E33EFF" w:rsidRDefault="007656B2" w:rsidP="00824B92">
            <w:pPr>
              <w:rPr>
                <w:bCs/>
                <w:color w:val="000000"/>
                <w:lang w:eastAsia="lt-LT"/>
              </w:rPr>
            </w:pPr>
            <w:r w:rsidRPr="00E33EFF">
              <w:rPr>
                <w:bCs/>
                <w:color w:val="000000"/>
                <w:lang w:eastAsia="lt-LT"/>
              </w:rPr>
              <w:t>K</w:t>
            </w:r>
            <w:r w:rsidR="00B13D65" w:rsidRPr="00E33EFF">
              <w:rPr>
                <w:bCs/>
                <w:color w:val="000000"/>
                <w:lang w:eastAsia="lt-LT"/>
              </w:rPr>
              <w:t>odas</w:t>
            </w:r>
            <w:r w:rsidRPr="00E33EFF">
              <w:rPr>
                <w:bCs/>
                <w:color w:val="000000"/>
                <w:lang w:eastAsia="lt-LT"/>
              </w:rPr>
              <w:t xml:space="preserve"> pagal TLK-10 AM</w:t>
            </w:r>
          </w:p>
        </w:tc>
        <w:tc>
          <w:tcPr>
            <w:tcW w:w="5167" w:type="dxa"/>
          </w:tcPr>
          <w:p w14:paraId="2561489B" w14:textId="77777777" w:rsidR="00161411" w:rsidRPr="00A81DC8" w:rsidRDefault="00161411" w:rsidP="00161411">
            <w:pPr>
              <w:spacing w:line="276" w:lineRule="auto"/>
              <w:jc w:val="both"/>
            </w:pPr>
            <w:r w:rsidRPr="00A81DC8">
              <w:t>Skyrizi skirtas suaugusiems pacientams, sergantiems vidutinio sunkumo ir sunkia aktyvia Krono liga, gydyti, jeigu atsakas į gydymą standartiniais arba biologiniais vaistiniais preparatais buvo nepakankamas ar prarastas, arba kai pacientas šių vaistinių preparatų netoleravo.</w:t>
            </w:r>
          </w:p>
          <w:p w14:paraId="202B23CD" w14:textId="77777777" w:rsidR="00161411" w:rsidRPr="00A81DC8" w:rsidRDefault="00161411" w:rsidP="00161411">
            <w:pPr>
              <w:spacing w:line="276" w:lineRule="auto"/>
              <w:jc w:val="both"/>
            </w:pPr>
            <w:r w:rsidRPr="00A81DC8">
              <w:t>TLK-10 AM - K50</w:t>
            </w:r>
          </w:p>
          <w:p w14:paraId="13F7DFB0" w14:textId="014DEBF2" w:rsidR="00B13D65" w:rsidRPr="00E33EFF" w:rsidRDefault="00B13D65" w:rsidP="00D970E4">
            <w:pPr>
              <w:pStyle w:val="Sraopastraipa"/>
              <w:spacing w:after="120" w:line="276" w:lineRule="auto"/>
              <w:ind w:left="0"/>
              <w:contextualSpacing w:val="0"/>
              <w:jc w:val="both"/>
            </w:pPr>
          </w:p>
        </w:tc>
      </w:tr>
      <w:tr w:rsidR="00B13D65" w:rsidRPr="00E33EFF" w14:paraId="2F79DC08" w14:textId="77777777" w:rsidTr="00BE7489">
        <w:trPr>
          <w:trHeight w:val="378"/>
        </w:trPr>
        <w:tc>
          <w:tcPr>
            <w:tcW w:w="632" w:type="dxa"/>
          </w:tcPr>
          <w:p w14:paraId="547885A2" w14:textId="08AA8055" w:rsidR="00B13D65" w:rsidRPr="00E33EFF" w:rsidRDefault="00B13D65" w:rsidP="00824B92">
            <w:pPr>
              <w:rPr>
                <w:rFonts w:eastAsia="Arial"/>
              </w:rPr>
            </w:pPr>
            <w:r w:rsidRPr="00E33EFF">
              <w:rPr>
                <w:rFonts w:eastAsia="Arial"/>
              </w:rPr>
              <w:t>1.</w:t>
            </w:r>
            <w:r w:rsidR="002E0702" w:rsidRPr="00E33EFF">
              <w:rPr>
                <w:rFonts w:eastAsia="Arial"/>
              </w:rPr>
              <w:t>6</w:t>
            </w:r>
          </w:p>
        </w:tc>
        <w:tc>
          <w:tcPr>
            <w:tcW w:w="3694" w:type="dxa"/>
          </w:tcPr>
          <w:p w14:paraId="2EAB877F" w14:textId="39A36941" w:rsidR="00B13D65" w:rsidRPr="00E33EFF" w:rsidRDefault="007656B2" w:rsidP="00824B92">
            <w:pPr>
              <w:rPr>
                <w:bCs/>
                <w:color w:val="000000"/>
                <w:u w:val="single"/>
                <w:lang w:eastAsia="lt-LT"/>
              </w:rPr>
            </w:pPr>
            <w:r w:rsidRPr="00E33EFF">
              <w:rPr>
                <w:bCs/>
                <w:color w:val="000000"/>
                <w:lang w:eastAsia="lt-LT"/>
              </w:rPr>
              <w:t>Pareiškėjo t</w:t>
            </w:r>
            <w:r w:rsidR="00B13D65" w:rsidRPr="00E33EFF">
              <w:rPr>
                <w:bCs/>
                <w:color w:val="000000"/>
                <w:lang w:eastAsia="lt-LT"/>
              </w:rPr>
              <w:t>eikiamos skyrimo sąlygos</w:t>
            </w:r>
            <w:r w:rsidR="005B3756" w:rsidRPr="00E33EFF">
              <w:rPr>
                <w:bCs/>
                <w:color w:val="000000"/>
                <w:lang w:eastAsia="lt-LT"/>
              </w:rPr>
              <w:t xml:space="preserve"> </w:t>
            </w:r>
          </w:p>
        </w:tc>
        <w:tc>
          <w:tcPr>
            <w:tcW w:w="5167" w:type="dxa"/>
          </w:tcPr>
          <w:p w14:paraId="0579DF58" w14:textId="4B155348" w:rsidR="00B13D65" w:rsidRPr="00E33EFF" w:rsidRDefault="0047414A" w:rsidP="00824B92">
            <w:r>
              <w:t>Neteikiamos</w:t>
            </w:r>
          </w:p>
        </w:tc>
      </w:tr>
      <w:tr w:rsidR="00B13D65" w:rsidRPr="00E33EFF" w14:paraId="3B125269" w14:textId="77777777" w:rsidTr="00BE7489">
        <w:trPr>
          <w:trHeight w:val="378"/>
        </w:trPr>
        <w:tc>
          <w:tcPr>
            <w:tcW w:w="632" w:type="dxa"/>
          </w:tcPr>
          <w:p w14:paraId="0058E11F" w14:textId="77777777" w:rsidR="00B13D65" w:rsidRPr="00E33EFF" w:rsidRDefault="00B13D65" w:rsidP="00824B92">
            <w:pPr>
              <w:rPr>
                <w:rFonts w:eastAsia="Arial"/>
              </w:rPr>
            </w:pPr>
            <w:r w:rsidRPr="00E33EFF">
              <w:rPr>
                <w:rFonts w:eastAsia="Arial"/>
              </w:rPr>
              <w:t>1.7</w:t>
            </w:r>
          </w:p>
        </w:tc>
        <w:tc>
          <w:tcPr>
            <w:tcW w:w="3694" w:type="dxa"/>
          </w:tcPr>
          <w:p w14:paraId="738E1926" w14:textId="50A9DC79" w:rsidR="00B13D65" w:rsidRDefault="007656B2" w:rsidP="00824B92">
            <w:pPr>
              <w:rPr>
                <w:bCs/>
                <w:color w:val="000000"/>
                <w:lang w:eastAsia="lt-LT"/>
              </w:rPr>
            </w:pPr>
            <w:r w:rsidRPr="00E33EFF">
              <w:rPr>
                <w:bCs/>
                <w:color w:val="000000"/>
                <w:lang w:eastAsia="lt-LT"/>
              </w:rPr>
              <w:t>Pareiškėjo teikiamas p</w:t>
            </w:r>
            <w:r w:rsidR="00B13D65" w:rsidRPr="00E33EFF">
              <w:rPr>
                <w:bCs/>
                <w:color w:val="000000"/>
                <w:lang w:eastAsia="lt-LT"/>
              </w:rPr>
              <w:t>alyginamasis</w:t>
            </w:r>
            <w:r w:rsidR="005B3756" w:rsidRPr="00E33EFF">
              <w:rPr>
                <w:bCs/>
                <w:color w:val="000000"/>
                <w:lang w:eastAsia="lt-LT"/>
              </w:rPr>
              <w:t xml:space="preserve"> </w:t>
            </w:r>
            <w:r w:rsidR="00B13D65" w:rsidRPr="00E33EFF">
              <w:rPr>
                <w:bCs/>
                <w:color w:val="000000"/>
                <w:lang w:eastAsia="lt-LT"/>
              </w:rPr>
              <w:t>gydymas</w:t>
            </w:r>
            <w:r w:rsidR="0047414A">
              <w:rPr>
                <w:bCs/>
                <w:color w:val="000000"/>
                <w:lang w:eastAsia="lt-LT"/>
              </w:rPr>
              <w:t>:</w:t>
            </w:r>
            <w:r w:rsidR="00B13D65" w:rsidRPr="00E33EFF">
              <w:rPr>
                <w:bCs/>
                <w:color w:val="000000"/>
                <w:lang w:eastAsia="lt-LT"/>
              </w:rPr>
              <w:t xml:space="preserve"> </w:t>
            </w:r>
          </w:p>
          <w:p w14:paraId="1F7BF92F" w14:textId="6E3AE3A9" w:rsidR="007C7519" w:rsidRDefault="007C7519" w:rsidP="00824B92">
            <w:pPr>
              <w:rPr>
                <w:bCs/>
                <w:i/>
                <w:color w:val="000000"/>
                <w:lang w:eastAsia="lt-LT"/>
              </w:rPr>
            </w:pPr>
            <w:r w:rsidRPr="007C7519">
              <w:rPr>
                <w:bCs/>
                <w:i/>
                <w:color w:val="000000"/>
                <w:lang w:eastAsia="lt-LT"/>
              </w:rPr>
              <w:t>Tiesioginis</w:t>
            </w:r>
          </w:p>
          <w:p w14:paraId="643CC07B" w14:textId="2D7C9848" w:rsidR="00D970E4" w:rsidRDefault="00D970E4" w:rsidP="00824B92">
            <w:pPr>
              <w:rPr>
                <w:bCs/>
                <w:i/>
                <w:color w:val="000000"/>
                <w:lang w:eastAsia="lt-LT"/>
              </w:rPr>
            </w:pPr>
          </w:p>
          <w:p w14:paraId="1FEACC56" w14:textId="0E2E44A3" w:rsidR="00D970E4" w:rsidRDefault="00D970E4" w:rsidP="00824B92">
            <w:pPr>
              <w:rPr>
                <w:bCs/>
                <w:i/>
                <w:color w:val="000000"/>
                <w:lang w:eastAsia="lt-LT"/>
              </w:rPr>
            </w:pPr>
          </w:p>
          <w:p w14:paraId="62057D94" w14:textId="77777777" w:rsidR="00413F24" w:rsidRPr="00E33EFF" w:rsidRDefault="00413F24" w:rsidP="00824B92">
            <w:pPr>
              <w:rPr>
                <w:bCs/>
                <w:color w:val="000000"/>
                <w:lang w:eastAsia="lt-LT"/>
              </w:rPr>
            </w:pPr>
          </w:p>
          <w:p w14:paraId="6CC1022E" w14:textId="2B6BCEE1" w:rsidR="009F4D66" w:rsidRPr="00E33EFF" w:rsidRDefault="009F4D66" w:rsidP="00824B92">
            <w:pPr>
              <w:rPr>
                <w:bCs/>
                <w:color w:val="000000"/>
                <w:lang w:eastAsia="lt-LT"/>
              </w:rPr>
            </w:pPr>
          </w:p>
        </w:tc>
        <w:tc>
          <w:tcPr>
            <w:tcW w:w="5167" w:type="dxa"/>
          </w:tcPr>
          <w:p w14:paraId="3E389C70" w14:textId="22AFFC76" w:rsidR="0047414A" w:rsidRDefault="0047414A" w:rsidP="00824B92">
            <w:pPr>
              <w:rPr>
                <w:rStyle w:val="Style2"/>
                <w:sz w:val="24"/>
              </w:rPr>
            </w:pPr>
          </w:p>
          <w:p w14:paraId="0AC43073" w14:textId="77777777" w:rsidR="00D970E4" w:rsidRPr="00E33EFF" w:rsidRDefault="00D970E4" w:rsidP="00D970E4"/>
          <w:p w14:paraId="2383573D" w14:textId="639590F6" w:rsidR="00D970E4" w:rsidRPr="00E33EFF" w:rsidRDefault="00000000" w:rsidP="00D970E4">
            <w:sdt>
              <w:sdtPr>
                <w:rPr>
                  <w:rStyle w:val="Style2"/>
                  <w:sz w:val="24"/>
                </w:rPr>
                <w:id w:val="-439376113"/>
                <w15:color w:val="FFCC00"/>
                <w14:checkbox>
                  <w14:checked w14:val="1"/>
                  <w14:checkedState w14:val="2612" w14:font="MS Gothic"/>
                  <w14:uncheckedState w14:val="2610" w14:font="MS Gothic"/>
                </w14:checkbox>
              </w:sdtPr>
              <w:sdtContent>
                <w:r w:rsidR="00161411">
                  <w:rPr>
                    <w:rStyle w:val="Style2"/>
                    <w:rFonts w:ascii="MS Gothic" w:eastAsia="MS Gothic" w:hAnsi="MS Gothic" w:hint="eastAsia"/>
                    <w:sz w:val="24"/>
                  </w:rPr>
                  <w:t>☒</w:t>
                </w:r>
              </w:sdtContent>
            </w:sdt>
            <w:r w:rsidR="00D970E4" w:rsidRPr="00E33EFF">
              <w:t xml:space="preserve"> Tinkamas</w:t>
            </w:r>
            <w:r w:rsidR="00161411">
              <w:t xml:space="preserve"> (ustekinumabas)</w:t>
            </w:r>
          </w:p>
          <w:p w14:paraId="5474EFC4" w14:textId="3B3134AB" w:rsidR="0047414A" w:rsidRDefault="00000000" w:rsidP="00D970E4">
            <w:pPr>
              <w:rPr>
                <w:rStyle w:val="Style2"/>
                <w:sz w:val="24"/>
              </w:rPr>
            </w:pPr>
            <w:sdt>
              <w:sdtPr>
                <w:rPr>
                  <w:rStyle w:val="Style2"/>
                  <w:sz w:val="24"/>
                </w:rPr>
                <w:id w:val="991603600"/>
                <w15:color w:val="FFCC00"/>
                <w14:checkbox>
                  <w14:checked w14:val="0"/>
                  <w14:checkedState w14:val="2612" w14:font="MS Gothic"/>
                  <w14:uncheckedState w14:val="2610" w14:font="MS Gothic"/>
                </w14:checkbox>
              </w:sdtPr>
              <w:sdtContent>
                <w:r w:rsidR="00161411">
                  <w:rPr>
                    <w:rStyle w:val="Style2"/>
                    <w:rFonts w:ascii="MS Gothic" w:eastAsia="MS Gothic" w:hAnsi="MS Gothic" w:hint="eastAsia"/>
                    <w:sz w:val="24"/>
                  </w:rPr>
                  <w:t>☐</w:t>
                </w:r>
              </w:sdtContent>
            </w:sdt>
            <w:r w:rsidR="00D970E4" w:rsidRPr="00E33EFF">
              <w:t xml:space="preserve"> Netinkama</w:t>
            </w:r>
            <w:r w:rsidR="00D970E4">
              <w:t>s</w:t>
            </w:r>
          </w:p>
          <w:p w14:paraId="41B44044" w14:textId="0928C912" w:rsidR="00B13D65" w:rsidRPr="00E33EFF" w:rsidRDefault="00B13D65" w:rsidP="00824B92"/>
        </w:tc>
      </w:tr>
    </w:tbl>
    <w:p w14:paraId="108176F7" w14:textId="640C6F75" w:rsidR="00F70C9E" w:rsidRPr="00E33EFF" w:rsidRDefault="00F70C9E" w:rsidP="00E03C3F">
      <w:pPr>
        <w:pStyle w:val="Sraopastraipa"/>
        <w:tabs>
          <w:tab w:val="left" w:pos="426"/>
        </w:tabs>
        <w:ind w:left="0"/>
        <w:rPr>
          <w:b/>
          <w:bCs/>
          <w:caps/>
        </w:rPr>
      </w:pPr>
    </w:p>
    <w:p w14:paraId="2871CA7F" w14:textId="2370BDDB" w:rsidR="00F70C9E" w:rsidRPr="00E33EFF" w:rsidRDefault="00F70C9E" w:rsidP="00880A44">
      <w:pPr>
        <w:spacing w:line="276" w:lineRule="auto"/>
        <w:jc w:val="both"/>
        <w:rPr>
          <w:rFonts w:eastAsia="Arial"/>
          <w:b/>
        </w:rPr>
      </w:pPr>
      <w:r w:rsidRPr="00E33EFF">
        <w:rPr>
          <w:rFonts w:eastAsia="Arial"/>
          <w:b/>
        </w:rPr>
        <w:t xml:space="preserve">1.8 Kitų </w:t>
      </w:r>
      <w:r w:rsidR="00DF583C" w:rsidRPr="00E33EFF">
        <w:rPr>
          <w:rFonts w:eastAsia="Arial"/>
          <w:b/>
        </w:rPr>
        <w:t xml:space="preserve">valstybių </w:t>
      </w:r>
      <w:r w:rsidRPr="00E33EFF">
        <w:rPr>
          <w:rFonts w:eastAsia="Arial"/>
          <w:b/>
        </w:rPr>
        <w:t xml:space="preserve">atsakingų institucijų atlikto </w:t>
      </w:r>
      <w:r w:rsidR="00DF583C" w:rsidRPr="00E33EFF">
        <w:rPr>
          <w:rFonts w:eastAsia="Arial"/>
          <w:b/>
        </w:rPr>
        <w:t>Sveikatos technologijų vertinimo (toliau – STV)</w:t>
      </w:r>
      <w:r w:rsidRPr="00E33EFF">
        <w:rPr>
          <w:rFonts w:eastAsia="Arial"/>
          <w:b/>
        </w:rPr>
        <w:t xml:space="preserve"> išvados</w:t>
      </w:r>
    </w:p>
    <w:p w14:paraId="405CE385" w14:textId="77777777" w:rsidR="000A05CF" w:rsidRPr="000A05CF" w:rsidRDefault="000A05CF" w:rsidP="00312D0D">
      <w:pPr>
        <w:pStyle w:val="Sraopastraipa"/>
        <w:spacing w:line="276" w:lineRule="auto"/>
        <w:rPr>
          <w:rFonts w:eastAsia="Arial"/>
        </w:rPr>
      </w:pPr>
    </w:p>
    <w:tbl>
      <w:tblPr>
        <w:tblStyle w:val="Lentelstinklelis"/>
        <w:tblW w:w="9918" w:type="dxa"/>
        <w:tblLook w:val="04A0" w:firstRow="1" w:lastRow="0" w:firstColumn="1" w:lastColumn="0" w:noHBand="0" w:noVBand="1"/>
      </w:tblPr>
      <w:tblGrid>
        <w:gridCol w:w="2927"/>
        <w:gridCol w:w="1915"/>
        <w:gridCol w:w="2351"/>
        <w:gridCol w:w="2725"/>
      </w:tblGrid>
      <w:tr w:rsidR="000A05CF" w:rsidRPr="00A81DC8" w14:paraId="04849069" w14:textId="77777777" w:rsidTr="00336AF1">
        <w:trPr>
          <w:trHeight w:val="924"/>
        </w:trPr>
        <w:tc>
          <w:tcPr>
            <w:tcW w:w="2927" w:type="dxa"/>
          </w:tcPr>
          <w:p w14:paraId="46913843" w14:textId="77777777" w:rsidR="000A05CF" w:rsidRPr="00A81DC8" w:rsidRDefault="000A05CF" w:rsidP="00336AF1">
            <w:pPr>
              <w:spacing w:line="276" w:lineRule="auto"/>
              <w:rPr>
                <w:rFonts w:eastAsia="Arial"/>
              </w:rPr>
            </w:pPr>
            <w:r w:rsidRPr="00A81DC8">
              <w:rPr>
                <w:rFonts w:eastAsia="Arial"/>
              </w:rPr>
              <w:t>STV agentūros pavadinimas, šalis</w:t>
            </w:r>
          </w:p>
        </w:tc>
        <w:tc>
          <w:tcPr>
            <w:tcW w:w="1915" w:type="dxa"/>
          </w:tcPr>
          <w:p w14:paraId="4C283F1A" w14:textId="77777777" w:rsidR="000A05CF" w:rsidRPr="00A81DC8" w:rsidRDefault="000A05CF" w:rsidP="00336AF1">
            <w:pPr>
              <w:spacing w:line="276" w:lineRule="auto"/>
              <w:rPr>
                <w:rFonts w:eastAsia="Arial"/>
              </w:rPr>
            </w:pPr>
            <w:r w:rsidRPr="00A81DC8">
              <w:rPr>
                <w:rFonts w:eastAsia="Arial"/>
              </w:rPr>
              <w:t>STV vertinimas atliktas</w:t>
            </w:r>
          </w:p>
        </w:tc>
        <w:tc>
          <w:tcPr>
            <w:tcW w:w="2351" w:type="dxa"/>
          </w:tcPr>
          <w:p w14:paraId="3F099D57" w14:textId="77777777" w:rsidR="000A05CF" w:rsidRPr="00A81DC8" w:rsidRDefault="000A05CF" w:rsidP="00336AF1">
            <w:pPr>
              <w:spacing w:line="276" w:lineRule="auto"/>
              <w:rPr>
                <w:rFonts w:eastAsia="Arial"/>
              </w:rPr>
            </w:pPr>
            <w:r w:rsidRPr="00A81DC8">
              <w:rPr>
                <w:rFonts w:eastAsia="Arial"/>
              </w:rPr>
              <w:t>Klinikinio vertinimo išvada</w:t>
            </w:r>
          </w:p>
        </w:tc>
        <w:tc>
          <w:tcPr>
            <w:tcW w:w="2725" w:type="dxa"/>
          </w:tcPr>
          <w:p w14:paraId="6EE5E4B9" w14:textId="77777777" w:rsidR="000A05CF" w:rsidRPr="00A81DC8" w:rsidRDefault="000A05CF" w:rsidP="00336AF1">
            <w:pPr>
              <w:spacing w:line="276" w:lineRule="auto"/>
              <w:rPr>
                <w:rFonts w:eastAsia="Arial"/>
              </w:rPr>
            </w:pPr>
            <w:r w:rsidRPr="00A81DC8">
              <w:rPr>
                <w:rFonts w:eastAsia="Arial"/>
              </w:rPr>
              <w:t>Farmakoekonominio vertinimo išvada</w:t>
            </w:r>
          </w:p>
        </w:tc>
      </w:tr>
      <w:tr w:rsidR="000A05CF" w:rsidRPr="00A81DC8" w14:paraId="003F9ABB" w14:textId="77777777" w:rsidTr="00336AF1">
        <w:trPr>
          <w:trHeight w:val="1765"/>
        </w:trPr>
        <w:tc>
          <w:tcPr>
            <w:tcW w:w="2927" w:type="dxa"/>
          </w:tcPr>
          <w:p w14:paraId="6CA4C1B7" w14:textId="77777777" w:rsidR="000A05CF" w:rsidRPr="00A81DC8" w:rsidRDefault="000A05CF" w:rsidP="00336AF1">
            <w:pPr>
              <w:autoSpaceDE w:val="0"/>
              <w:autoSpaceDN w:val="0"/>
              <w:adjustRightInd w:val="0"/>
              <w:rPr>
                <w:bCs/>
              </w:rPr>
            </w:pPr>
            <w:r w:rsidRPr="00A81DC8">
              <w:rPr>
                <w:bCs/>
              </w:rPr>
              <w:t>Nacionalinis sveikatos ir klinikinės kompetencijos institutas, Didžioji Britanija</w:t>
            </w:r>
          </w:p>
          <w:p w14:paraId="07A884D1" w14:textId="77777777" w:rsidR="000A05CF" w:rsidRPr="00A81DC8" w:rsidRDefault="000A05CF" w:rsidP="00336AF1">
            <w:pPr>
              <w:spacing w:line="276" w:lineRule="auto"/>
              <w:rPr>
                <w:rFonts w:eastAsia="Arial"/>
              </w:rPr>
            </w:pPr>
            <w:r w:rsidRPr="00A81DC8">
              <w:rPr>
                <w:rFonts w:eastAsia="Arial"/>
              </w:rPr>
              <w:t xml:space="preserve">(angl. </w:t>
            </w:r>
            <w:r w:rsidRPr="00A81DC8">
              <w:rPr>
                <w:rFonts w:eastAsia="Arial"/>
                <w:i/>
              </w:rPr>
              <w:t>National Institute for Health and Care Excellence, NICE</w:t>
            </w:r>
            <w:r w:rsidRPr="00A81DC8">
              <w:rPr>
                <w:rFonts w:eastAsia="Arial"/>
              </w:rPr>
              <w:t>)</w:t>
            </w:r>
          </w:p>
        </w:tc>
        <w:tc>
          <w:tcPr>
            <w:tcW w:w="1915" w:type="dxa"/>
          </w:tcPr>
          <w:p w14:paraId="66FBF8CD" w14:textId="77777777" w:rsidR="000A05CF" w:rsidRPr="00A81DC8" w:rsidRDefault="00000000" w:rsidP="00336AF1">
            <w:sdt>
              <w:sdtPr>
                <w:rPr>
                  <w:rStyle w:val="Style2"/>
                </w:rPr>
                <w:id w:val="1558205022"/>
                <w15:color w:val="FFCC00"/>
                <w14:checkbox>
                  <w14:checked w14:val="1"/>
                  <w14:checkedState w14:val="2612" w14:font="MS Gothic"/>
                  <w14:uncheckedState w14:val="2610" w14:font="MS Gothic"/>
                </w14:checkbox>
              </w:sdtPr>
              <w:sdtContent>
                <w:r w:rsidR="000A05CF">
                  <w:rPr>
                    <w:rStyle w:val="Style2"/>
                    <w:rFonts w:ascii="MS Gothic" w:eastAsia="MS Gothic" w:hAnsi="MS Gothic" w:hint="eastAsia"/>
                  </w:rPr>
                  <w:t>☒</w:t>
                </w:r>
              </w:sdtContent>
            </w:sdt>
            <w:r w:rsidR="000A05CF" w:rsidRPr="00A81DC8">
              <w:t xml:space="preserve"> Taip</w:t>
            </w:r>
          </w:p>
          <w:p w14:paraId="6B84B71F" w14:textId="77777777" w:rsidR="000A05CF" w:rsidRPr="00A81DC8" w:rsidRDefault="00000000" w:rsidP="00336AF1">
            <w:sdt>
              <w:sdtPr>
                <w:rPr>
                  <w:rStyle w:val="Style2"/>
                </w:rPr>
                <w:id w:val="866029625"/>
                <w15:color w:val="FFCC00"/>
                <w14:checkbox>
                  <w14:checked w14:val="0"/>
                  <w14:checkedState w14:val="2612" w14:font="MS Gothic"/>
                  <w14:uncheckedState w14:val="2610" w14:font="MS Gothic"/>
                </w14:checkbox>
              </w:sdtPr>
              <w:sdtContent>
                <w:r w:rsidR="000A05CF" w:rsidRPr="00A81DC8">
                  <w:rPr>
                    <w:rStyle w:val="Style2"/>
                    <w:rFonts w:ascii="Segoe UI Symbol" w:eastAsia="MS Gothic" w:hAnsi="Segoe UI Symbol" w:cs="Segoe UI Symbol"/>
                  </w:rPr>
                  <w:t>☐</w:t>
                </w:r>
              </w:sdtContent>
            </w:sdt>
            <w:r w:rsidR="000A05CF" w:rsidRPr="00A81DC8">
              <w:t xml:space="preserve"> Ne</w:t>
            </w:r>
          </w:p>
          <w:p w14:paraId="5D721A9E" w14:textId="77777777" w:rsidR="000A05CF" w:rsidRPr="00A81DC8" w:rsidRDefault="00000000" w:rsidP="00336AF1">
            <w:pPr>
              <w:rPr>
                <w:rFonts w:eastAsia="Arial"/>
              </w:rPr>
            </w:pPr>
            <w:sdt>
              <w:sdtPr>
                <w:alias w:val="Nurodykite konkrečią dieną"/>
                <w:tag w:val="Nurodykite pradžios datą"/>
                <w:id w:val="922837954"/>
                <w:placeholder>
                  <w:docPart w:val="3B350F7943004F8F8E390AF12F962E3D"/>
                </w:placeholder>
                <w15:color w:val="FFCC99"/>
                <w:date w:fullDate="2023-05-17T00:00:00Z">
                  <w:dateFormat w:val="yyyy 'm.' MMMM d 'd.'"/>
                  <w:lid w:val="lt-LT"/>
                  <w:storeMappedDataAs w:val="dateTime"/>
                  <w:calendar w:val="gregorian"/>
                </w:date>
              </w:sdtPr>
              <w:sdtContent>
                <w:r w:rsidR="000A05CF">
                  <w:t>2023 m. gegužės 17 d.</w:t>
                </w:r>
              </w:sdtContent>
            </w:sdt>
          </w:p>
        </w:tc>
        <w:tc>
          <w:tcPr>
            <w:tcW w:w="2351" w:type="dxa"/>
          </w:tcPr>
          <w:p w14:paraId="7D741110" w14:textId="77777777" w:rsidR="000A05CF" w:rsidRPr="00B92D4C" w:rsidRDefault="000A05CF" w:rsidP="00336AF1">
            <w:pPr>
              <w:spacing w:line="276" w:lineRule="auto"/>
              <w:rPr>
                <w:rFonts w:eastAsia="Arial"/>
              </w:rPr>
            </w:pPr>
            <w:r w:rsidRPr="00B92D4C">
              <w:rPr>
                <w:rFonts w:eastAsia="Arial"/>
              </w:rPr>
              <w:t xml:space="preserve">Risankizumabas rekomenduojamas kaip </w:t>
            </w:r>
            <w:r w:rsidRPr="00A02915">
              <w:rPr>
                <w:rFonts w:eastAsia="Arial"/>
                <w:u w:val="single"/>
              </w:rPr>
              <w:t>alternatyva vidutinio sunkumo ar sunkios aktyvios</w:t>
            </w:r>
            <w:r w:rsidRPr="00B92D4C">
              <w:rPr>
                <w:rFonts w:eastAsia="Arial"/>
              </w:rPr>
              <w:t xml:space="preserve"> Krono ligos gydymui 16 metų ir vyresniems žmonėms, tik jei:</w:t>
            </w:r>
            <w:r>
              <w:rPr>
                <w:rFonts w:eastAsia="Arial"/>
              </w:rPr>
              <w:t xml:space="preserve"> </w:t>
            </w:r>
          </w:p>
          <w:p w14:paraId="68BF81B4" w14:textId="77777777" w:rsidR="000A05CF" w:rsidRPr="00B92D4C" w:rsidRDefault="000A05CF" w:rsidP="00336AF1">
            <w:pPr>
              <w:spacing w:line="276" w:lineRule="auto"/>
              <w:rPr>
                <w:rFonts w:eastAsia="Arial"/>
              </w:rPr>
            </w:pPr>
            <w:r w:rsidRPr="00B92D4C">
              <w:rPr>
                <w:rFonts w:eastAsia="Arial"/>
              </w:rPr>
              <w:t>liga nepakankamai reagavo arba prarado atsaką į ankstesnį biologinį gydymą, arba</w:t>
            </w:r>
            <w:r>
              <w:rPr>
                <w:rFonts w:eastAsia="Arial"/>
              </w:rPr>
              <w:t xml:space="preserve"> </w:t>
            </w:r>
          </w:p>
          <w:p w14:paraId="15DFD001" w14:textId="77777777" w:rsidR="000A05CF" w:rsidRPr="00B92D4C" w:rsidRDefault="000A05CF" w:rsidP="00336AF1">
            <w:pPr>
              <w:spacing w:line="276" w:lineRule="auto"/>
              <w:rPr>
                <w:rFonts w:eastAsia="Arial"/>
              </w:rPr>
            </w:pPr>
            <w:r w:rsidRPr="00B92D4C">
              <w:rPr>
                <w:rFonts w:eastAsia="Arial"/>
              </w:rPr>
              <w:t>ankstesnis biologinis gydymas nebuvo toleruojamas arba</w:t>
            </w:r>
            <w:r>
              <w:rPr>
                <w:rFonts w:eastAsia="Arial"/>
              </w:rPr>
              <w:t xml:space="preserve"> </w:t>
            </w:r>
          </w:p>
          <w:p w14:paraId="463B6245" w14:textId="77777777" w:rsidR="000A05CF" w:rsidRPr="00A81DC8" w:rsidRDefault="000A05CF" w:rsidP="00336AF1">
            <w:pPr>
              <w:spacing w:line="276" w:lineRule="auto"/>
              <w:rPr>
                <w:rFonts w:eastAsia="Arial"/>
              </w:rPr>
            </w:pPr>
            <w:r w:rsidRPr="00B92D4C">
              <w:rPr>
                <w:rFonts w:eastAsia="Arial"/>
              </w:rPr>
              <w:t>naviko nekrozės faktoriaus (TNF) alfa inhibitoriai netinka.</w:t>
            </w:r>
          </w:p>
        </w:tc>
        <w:tc>
          <w:tcPr>
            <w:tcW w:w="2725" w:type="dxa"/>
          </w:tcPr>
          <w:p w14:paraId="6F35DBD6" w14:textId="77777777" w:rsidR="000A05CF" w:rsidRPr="00A81DC8" w:rsidRDefault="000A05CF" w:rsidP="00336AF1">
            <w:pPr>
              <w:spacing w:line="276" w:lineRule="auto"/>
              <w:rPr>
                <w:rFonts w:eastAsia="Arial"/>
              </w:rPr>
            </w:pPr>
            <w:r w:rsidRPr="004D6166">
              <w:rPr>
                <w:rFonts w:eastAsia="Arial"/>
              </w:rPr>
              <w:t xml:space="preserve">Risankizumabas rekomenduojamas tik tuo atveju, jei </w:t>
            </w:r>
            <w:r>
              <w:rPr>
                <w:rFonts w:eastAsia="Arial"/>
              </w:rPr>
              <w:t>rinkodaros teisės turėtojas</w:t>
            </w:r>
            <w:r w:rsidRPr="004D6166">
              <w:rPr>
                <w:rFonts w:eastAsia="Arial"/>
              </w:rPr>
              <w:t xml:space="preserve"> jį teikia pagal komercinį susitarimą.</w:t>
            </w:r>
          </w:p>
        </w:tc>
      </w:tr>
      <w:tr w:rsidR="000A05CF" w:rsidRPr="00A81DC8" w14:paraId="5F5F857C" w14:textId="77777777" w:rsidTr="00336AF1">
        <w:trPr>
          <w:trHeight w:val="1547"/>
        </w:trPr>
        <w:tc>
          <w:tcPr>
            <w:tcW w:w="2927" w:type="dxa"/>
          </w:tcPr>
          <w:p w14:paraId="231FA052" w14:textId="77777777" w:rsidR="000A05CF" w:rsidRPr="00A81DC8" w:rsidRDefault="000A05CF" w:rsidP="00336AF1">
            <w:pPr>
              <w:spacing w:line="276" w:lineRule="auto"/>
              <w:rPr>
                <w:rFonts w:eastAsia="Arial"/>
              </w:rPr>
            </w:pPr>
            <w:r w:rsidRPr="00A81DC8">
              <w:rPr>
                <w:rFonts w:eastAsia="Arial"/>
              </w:rPr>
              <w:lastRenderedPageBreak/>
              <w:t>Kanados sveikatos technologijų agentūra</w:t>
            </w:r>
          </w:p>
          <w:p w14:paraId="0F563FF6" w14:textId="77777777" w:rsidR="000A05CF" w:rsidRPr="00A81DC8" w:rsidRDefault="000A05CF" w:rsidP="00336AF1">
            <w:pPr>
              <w:spacing w:line="276" w:lineRule="auto"/>
              <w:rPr>
                <w:rFonts w:eastAsia="Arial"/>
              </w:rPr>
            </w:pPr>
            <w:r w:rsidRPr="00A81DC8">
              <w:rPr>
                <w:rFonts w:eastAsia="Arial"/>
              </w:rPr>
              <w:t xml:space="preserve">(angl. </w:t>
            </w:r>
            <w:r w:rsidRPr="00A81DC8">
              <w:rPr>
                <w:rFonts w:eastAsia="Arial"/>
                <w:i/>
              </w:rPr>
              <w:t>Canadian health Technology Assessment agency, CADTH</w:t>
            </w:r>
            <w:r w:rsidRPr="00A81DC8">
              <w:rPr>
                <w:rFonts w:eastAsia="Arial"/>
              </w:rPr>
              <w:t>)</w:t>
            </w:r>
          </w:p>
        </w:tc>
        <w:tc>
          <w:tcPr>
            <w:tcW w:w="1915" w:type="dxa"/>
          </w:tcPr>
          <w:p w14:paraId="7AE07DE1" w14:textId="77777777" w:rsidR="000A05CF" w:rsidRPr="00A81DC8" w:rsidRDefault="00000000" w:rsidP="00336AF1">
            <w:sdt>
              <w:sdtPr>
                <w:rPr>
                  <w:rStyle w:val="Style2"/>
                </w:rPr>
                <w:id w:val="-372539057"/>
                <w15:color w:val="FFCC00"/>
                <w14:checkbox>
                  <w14:checked w14:val="1"/>
                  <w14:checkedState w14:val="2612" w14:font="MS Gothic"/>
                  <w14:uncheckedState w14:val="2610" w14:font="MS Gothic"/>
                </w14:checkbox>
              </w:sdtPr>
              <w:sdtContent>
                <w:r w:rsidR="000A05CF">
                  <w:rPr>
                    <w:rStyle w:val="Style2"/>
                    <w:rFonts w:ascii="MS Gothic" w:eastAsia="MS Gothic" w:hAnsi="MS Gothic" w:hint="eastAsia"/>
                  </w:rPr>
                  <w:t>☒</w:t>
                </w:r>
              </w:sdtContent>
            </w:sdt>
            <w:r w:rsidR="000A05CF" w:rsidRPr="00A81DC8">
              <w:t xml:space="preserve"> Taip</w:t>
            </w:r>
          </w:p>
          <w:p w14:paraId="114A25D0" w14:textId="77777777" w:rsidR="000A05CF" w:rsidRPr="00A81DC8" w:rsidRDefault="00000000" w:rsidP="00336AF1">
            <w:sdt>
              <w:sdtPr>
                <w:rPr>
                  <w:rStyle w:val="Style2"/>
                </w:rPr>
                <w:id w:val="594442222"/>
                <w15:color w:val="FFCC00"/>
                <w14:checkbox>
                  <w14:checked w14:val="0"/>
                  <w14:checkedState w14:val="2612" w14:font="MS Gothic"/>
                  <w14:uncheckedState w14:val="2610" w14:font="MS Gothic"/>
                </w14:checkbox>
              </w:sdtPr>
              <w:sdtContent>
                <w:r w:rsidR="000A05CF" w:rsidRPr="00A81DC8">
                  <w:rPr>
                    <w:rStyle w:val="Style2"/>
                    <w:rFonts w:ascii="Segoe UI Symbol" w:eastAsia="MS Gothic" w:hAnsi="Segoe UI Symbol" w:cs="Segoe UI Symbol"/>
                  </w:rPr>
                  <w:t>☐</w:t>
                </w:r>
              </w:sdtContent>
            </w:sdt>
            <w:r w:rsidR="000A05CF" w:rsidRPr="00A81DC8">
              <w:t xml:space="preserve"> Ne</w:t>
            </w:r>
          </w:p>
          <w:p w14:paraId="649966D1" w14:textId="77777777" w:rsidR="000A05CF" w:rsidRPr="00A81DC8" w:rsidRDefault="00000000" w:rsidP="00336AF1">
            <w:pPr>
              <w:spacing w:line="276" w:lineRule="auto"/>
              <w:rPr>
                <w:rFonts w:eastAsia="Arial"/>
              </w:rPr>
            </w:pPr>
            <w:sdt>
              <w:sdtPr>
                <w:alias w:val="Nurodykite konkrečią dieną"/>
                <w:tag w:val="Nurodykite pradžios datą"/>
                <w:id w:val="1072468416"/>
                <w:placeholder>
                  <w:docPart w:val="02A0A8C0C1DE4AE2A9B81898B167E74D"/>
                </w:placeholder>
                <w15:color w:val="FFCC99"/>
                <w:date w:fullDate="2023-08-23T00:00:00Z">
                  <w:dateFormat w:val="yyyy 'm.' MMMM d 'd.'"/>
                  <w:lid w:val="lt-LT"/>
                  <w:storeMappedDataAs w:val="dateTime"/>
                  <w:calendar w:val="gregorian"/>
                </w:date>
              </w:sdtPr>
              <w:sdtContent>
                <w:r w:rsidR="000A05CF">
                  <w:t>2023 m. rugpjūčio 23 d.</w:t>
                </w:r>
              </w:sdtContent>
            </w:sdt>
          </w:p>
        </w:tc>
        <w:tc>
          <w:tcPr>
            <w:tcW w:w="5076" w:type="dxa"/>
            <w:gridSpan w:val="2"/>
          </w:tcPr>
          <w:p w14:paraId="6C0A39FD" w14:textId="77777777" w:rsidR="000A05CF" w:rsidRPr="00A81DC8" w:rsidRDefault="000A05CF" w:rsidP="00336AF1">
            <w:pPr>
              <w:spacing w:line="276" w:lineRule="auto"/>
              <w:jc w:val="both"/>
              <w:rPr>
                <w:rFonts w:eastAsia="Arial"/>
              </w:rPr>
            </w:pPr>
            <w:r w:rsidRPr="0083758D">
              <w:rPr>
                <w:rFonts w:eastAsia="Arial"/>
              </w:rPr>
              <w:t>Kanados vaistų ekspertų komitetas (CDEC) rekomenduoja kompensuoti risankizumabo išlaidas</w:t>
            </w:r>
            <w:r>
              <w:rPr>
                <w:rFonts w:eastAsia="Arial"/>
              </w:rPr>
              <w:t xml:space="preserve"> </w:t>
            </w:r>
            <w:r w:rsidRPr="0083758D">
              <w:rPr>
                <w:rFonts w:eastAsia="Arial"/>
              </w:rPr>
              <w:t>suaugusiųjų, sergančių vidutinio sunkumo ar sunkia aktyvia Krono liga (CD), gydymui, kuriems buvo nepakankama</w:t>
            </w:r>
            <w:r>
              <w:rPr>
                <w:rFonts w:eastAsia="Arial"/>
              </w:rPr>
              <w:t xml:space="preserve"> </w:t>
            </w:r>
            <w:r w:rsidRPr="0083758D">
              <w:rPr>
                <w:rFonts w:eastAsia="Arial"/>
              </w:rPr>
              <w:t>atsakas, netoleravimas arba įrodyta priklausomybė nuo kortikosteroidų; arba netinkamas atsakymas,</w:t>
            </w:r>
            <w:r>
              <w:rPr>
                <w:rFonts w:eastAsia="Arial"/>
              </w:rPr>
              <w:t xml:space="preserve"> </w:t>
            </w:r>
            <w:r w:rsidRPr="0083758D">
              <w:rPr>
                <w:rFonts w:eastAsia="Arial"/>
              </w:rPr>
              <w:t>netoleravimas arba atsako į imunomoduliatorius ar biologinį gydymą praradimas, tik tuo atveju, jei atitinka</w:t>
            </w:r>
            <w:r>
              <w:rPr>
                <w:rFonts w:eastAsia="Arial"/>
              </w:rPr>
              <w:t xml:space="preserve"> nurodytas kompensavimo sąlygas.</w:t>
            </w:r>
            <w:r w:rsidRPr="0083758D">
              <w:rPr>
                <w:rFonts w:eastAsia="Arial"/>
              </w:rPr>
              <w:t xml:space="preserve"> </w:t>
            </w:r>
            <w:r>
              <w:rPr>
                <w:rFonts w:eastAsia="Arial"/>
              </w:rPr>
              <w:t>Tai yra 1 iš galimų biologinių gydymų.</w:t>
            </w:r>
          </w:p>
        </w:tc>
      </w:tr>
      <w:tr w:rsidR="000A05CF" w:rsidRPr="00A81DC8" w14:paraId="24B0E05A" w14:textId="77777777" w:rsidTr="00336AF1">
        <w:trPr>
          <w:trHeight w:val="1927"/>
        </w:trPr>
        <w:tc>
          <w:tcPr>
            <w:tcW w:w="2927" w:type="dxa"/>
          </w:tcPr>
          <w:p w14:paraId="6E90D982" w14:textId="77777777" w:rsidR="000A05CF" w:rsidRPr="00A81DC8" w:rsidRDefault="000A05CF" w:rsidP="00336AF1">
            <w:pPr>
              <w:spacing w:line="276" w:lineRule="auto"/>
              <w:rPr>
                <w:rFonts w:eastAsia="Arial"/>
              </w:rPr>
            </w:pPr>
            <w:r w:rsidRPr="00A81DC8">
              <w:rPr>
                <w:rFonts w:eastAsia="Arial"/>
              </w:rPr>
              <w:t>Nacionalinis farmakoekonomikos centras, Airija</w:t>
            </w:r>
          </w:p>
          <w:p w14:paraId="45F54CE8" w14:textId="77777777" w:rsidR="000A05CF" w:rsidRPr="00A81DC8" w:rsidRDefault="000A05CF" w:rsidP="00336AF1">
            <w:pPr>
              <w:spacing w:line="276" w:lineRule="auto"/>
              <w:rPr>
                <w:rFonts w:eastAsia="Arial"/>
              </w:rPr>
            </w:pPr>
            <w:r w:rsidRPr="00A81DC8">
              <w:rPr>
                <w:rFonts w:eastAsia="Arial"/>
              </w:rPr>
              <w:t>(angl.</w:t>
            </w:r>
            <w:r w:rsidRPr="00A81DC8">
              <w:rPr>
                <w:rFonts w:eastAsia="Arial"/>
                <w:i/>
              </w:rPr>
              <w:t xml:space="preserve"> National Centre for Pharmacoeconomics, NCPE</w:t>
            </w:r>
            <w:r w:rsidRPr="00A81DC8">
              <w:rPr>
                <w:rFonts w:eastAsia="Arial"/>
              </w:rPr>
              <w:t>)</w:t>
            </w:r>
          </w:p>
        </w:tc>
        <w:tc>
          <w:tcPr>
            <w:tcW w:w="1915" w:type="dxa"/>
          </w:tcPr>
          <w:p w14:paraId="6E9443B5" w14:textId="77777777" w:rsidR="000A05CF" w:rsidRPr="00A81DC8" w:rsidRDefault="00000000" w:rsidP="00336AF1">
            <w:sdt>
              <w:sdtPr>
                <w:rPr>
                  <w:rStyle w:val="Style2"/>
                </w:rPr>
                <w:id w:val="-1888403732"/>
                <w15:color w:val="FFCC00"/>
                <w14:checkbox>
                  <w14:checked w14:val="1"/>
                  <w14:checkedState w14:val="2612" w14:font="MS Gothic"/>
                  <w14:uncheckedState w14:val="2610" w14:font="MS Gothic"/>
                </w14:checkbox>
              </w:sdtPr>
              <w:sdtContent>
                <w:r w:rsidR="000A05CF">
                  <w:rPr>
                    <w:rStyle w:val="Style2"/>
                    <w:rFonts w:ascii="MS Gothic" w:eastAsia="MS Gothic" w:hAnsi="MS Gothic" w:hint="eastAsia"/>
                  </w:rPr>
                  <w:t>☒</w:t>
                </w:r>
              </w:sdtContent>
            </w:sdt>
            <w:r w:rsidR="000A05CF" w:rsidRPr="00A81DC8">
              <w:t xml:space="preserve"> Taip</w:t>
            </w:r>
          </w:p>
          <w:p w14:paraId="48F67861" w14:textId="77777777" w:rsidR="000A05CF" w:rsidRPr="00A81DC8" w:rsidRDefault="00000000" w:rsidP="00336AF1">
            <w:sdt>
              <w:sdtPr>
                <w:rPr>
                  <w:rStyle w:val="Style2"/>
                </w:rPr>
                <w:id w:val="1092201793"/>
                <w15:color w:val="FFCC00"/>
                <w14:checkbox>
                  <w14:checked w14:val="0"/>
                  <w14:checkedState w14:val="2612" w14:font="MS Gothic"/>
                  <w14:uncheckedState w14:val="2610" w14:font="MS Gothic"/>
                </w14:checkbox>
              </w:sdtPr>
              <w:sdtContent>
                <w:r w:rsidR="000A05CF" w:rsidRPr="00A81DC8">
                  <w:rPr>
                    <w:rStyle w:val="Style2"/>
                    <w:rFonts w:ascii="Segoe UI Symbol" w:eastAsia="MS Gothic" w:hAnsi="Segoe UI Symbol" w:cs="Segoe UI Symbol"/>
                  </w:rPr>
                  <w:t>☐</w:t>
                </w:r>
              </w:sdtContent>
            </w:sdt>
            <w:r w:rsidR="000A05CF" w:rsidRPr="00A81DC8">
              <w:t xml:space="preserve"> Ne</w:t>
            </w:r>
          </w:p>
          <w:p w14:paraId="3275045F" w14:textId="77777777" w:rsidR="000A05CF" w:rsidRPr="00A81DC8" w:rsidRDefault="00000000" w:rsidP="00336AF1">
            <w:pPr>
              <w:spacing w:line="276" w:lineRule="auto"/>
              <w:rPr>
                <w:rFonts w:eastAsia="Arial"/>
              </w:rPr>
            </w:pPr>
            <w:sdt>
              <w:sdtPr>
                <w:alias w:val="Nurodykite konkrečią dieną"/>
                <w:tag w:val="Nurodykite pradžios datą"/>
                <w:id w:val="-198323198"/>
                <w:placeholder>
                  <w:docPart w:val="DC191C0FAD634F3DA04FFDC769D49DD7"/>
                </w:placeholder>
                <w15:color w:val="FFCC99"/>
                <w:date w:fullDate="2023-11-07T00:00:00Z">
                  <w:dateFormat w:val="yyyy 'm.' MMMM d 'd.'"/>
                  <w:lid w:val="lt-LT"/>
                  <w:storeMappedDataAs w:val="dateTime"/>
                  <w:calendar w:val="gregorian"/>
                </w:date>
              </w:sdtPr>
              <w:sdtContent>
                <w:r w:rsidR="000A05CF">
                  <w:t>2023 m. lapkričio 7 d.</w:t>
                </w:r>
              </w:sdtContent>
            </w:sdt>
          </w:p>
        </w:tc>
        <w:tc>
          <w:tcPr>
            <w:tcW w:w="2351" w:type="dxa"/>
          </w:tcPr>
          <w:p w14:paraId="4E356FE7" w14:textId="77777777" w:rsidR="000A05CF" w:rsidRPr="00A81DC8" w:rsidRDefault="000A05CF" w:rsidP="00336AF1">
            <w:pPr>
              <w:spacing w:line="276" w:lineRule="auto"/>
              <w:rPr>
                <w:rFonts w:eastAsia="Arial"/>
              </w:rPr>
            </w:pPr>
            <w:r w:rsidRPr="003147A6">
              <w:rPr>
                <w:rFonts w:eastAsia="Arial"/>
              </w:rPr>
              <w:t xml:space="preserve">Risankizumabas skirtas gydyti suaugusius pacientus, sergančius vidutinio sunkumo ar sunkia Krono liga, kurių atsakas buvo nepakankamas </w:t>
            </w:r>
            <w:r>
              <w:rPr>
                <w:rFonts w:eastAsia="Arial"/>
              </w:rPr>
              <w:t xml:space="preserve">arba </w:t>
            </w:r>
            <w:r w:rsidRPr="003147A6">
              <w:rPr>
                <w:rFonts w:eastAsia="Arial"/>
              </w:rPr>
              <w:t>prarastas</w:t>
            </w:r>
            <w:r>
              <w:rPr>
                <w:rFonts w:eastAsia="Arial"/>
              </w:rPr>
              <w:t>,</w:t>
            </w:r>
            <w:r w:rsidRPr="003147A6">
              <w:rPr>
                <w:rFonts w:eastAsia="Arial"/>
              </w:rPr>
              <w:t xml:space="preserve"> arba kurie netoleravo tradicinio gydymo ar biologinių medžiagų. Pareiškėjas siekia gauti kompensaciją licencijuotų gyventojų pogrupyje, kaip antrosios eilės gydymą po nesėkmingo pirmojo biologinio gydymo.</w:t>
            </w:r>
          </w:p>
        </w:tc>
        <w:tc>
          <w:tcPr>
            <w:tcW w:w="2725" w:type="dxa"/>
          </w:tcPr>
          <w:p w14:paraId="7312BE04" w14:textId="77777777" w:rsidR="000A05CF" w:rsidRDefault="000A05CF" w:rsidP="00336AF1">
            <w:pPr>
              <w:spacing w:line="276" w:lineRule="auto"/>
              <w:rPr>
                <w:rFonts w:eastAsia="Arial"/>
              </w:rPr>
            </w:pPr>
            <w:r>
              <w:rPr>
                <w:rFonts w:eastAsia="Arial"/>
              </w:rPr>
              <w:t>Pilnas STV</w:t>
            </w:r>
            <w:r w:rsidRPr="005317E2">
              <w:rPr>
                <w:rFonts w:eastAsia="Arial"/>
              </w:rPr>
              <w:t xml:space="preserve"> nerekomenduojamas. NCPE rekomenduoja nesvarstyti risankizumabo kompensavimo už pateiktą kainą.</w:t>
            </w:r>
          </w:p>
          <w:p w14:paraId="31109C23" w14:textId="77777777" w:rsidR="000A05CF" w:rsidRPr="00C420AD" w:rsidRDefault="000A05CF" w:rsidP="00336AF1">
            <w:pPr>
              <w:spacing w:line="276" w:lineRule="auto"/>
              <w:rPr>
                <w:rFonts w:eastAsia="Arial"/>
              </w:rPr>
            </w:pPr>
            <w:r>
              <w:rPr>
                <w:rFonts w:eastAsia="Arial"/>
              </w:rPr>
              <w:t>*</w:t>
            </w:r>
            <w:r w:rsidRPr="00C420AD">
              <w:rPr>
                <w:rFonts w:ascii="inherit" w:hAnsi="inherit" w:cs="Courier New"/>
                <w:color w:val="1F1F1F"/>
                <w:sz w:val="42"/>
                <w:szCs w:val="42"/>
                <w:lang w:eastAsia="lt-LT"/>
              </w:rPr>
              <w:t xml:space="preserve"> </w:t>
            </w:r>
            <w:r>
              <w:rPr>
                <w:rFonts w:eastAsia="Arial"/>
              </w:rPr>
              <w:t>K</w:t>
            </w:r>
            <w:r w:rsidRPr="00C420AD">
              <w:rPr>
                <w:rFonts w:eastAsia="Arial"/>
              </w:rPr>
              <w:t>ompensa</w:t>
            </w:r>
            <w:r>
              <w:rPr>
                <w:rFonts w:eastAsia="Arial"/>
              </w:rPr>
              <w:t xml:space="preserve">vimas  patvirtintas </w:t>
            </w:r>
            <w:r w:rsidRPr="00C420AD">
              <w:rPr>
                <w:rFonts w:eastAsia="Arial"/>
              </w:rPr>
              <w:t>po konfidencialių derybų dėl kainos. 2024 m. balandžio mėn</w:t>
            </w:r>
            <w:r>
              <w:rPr>
                <w:rFonts w:eastAsia="Arial"/>
              </w:rPr>
              <w:t>.</w:t>
            </w:r>
          </w:p>
          <w:p w14:paraId="6542A7C8" w14:textId="77777777" w:rsidR="000A05CF" w:rsidRPr="005317E2" w:rsidRDefault="000A05CF" w:rsidP="00336AF1">
            <w:pPr>
              <w:spacing w:line="276" w:lineRule="auto"/>
              <w:rPr>
                <w:rFonts w:eastAsia="Arial"/>
              </w:rPr>
            </w:pPr>
          </w:p>
          <w:p w14:paraId="492B7EEB" w14:textId="77777777" w:rsidR="000A05CF" w:rsidRPr="00A81DC8" w:rsidRDefault="000A05CF" w:rsidP="00336AF1">
            <w:pPr>
              <w:spacing w:line="276" w:lineRule="auto"/>
              <w:rPr>
                <w:rFonts w:eastAsia="Arial"/>
              </w:rPr>
            </w:pPr>
          </w:p>
        </w:tc>
      </w:tr>
    </w:tbl>
    <w:p w14:paraId="309BB483" w14:textId="77777777" w:rsidR="000A05CF" w:rsidRPr="000A05CF" w:rsidRDefault="000A05CF" w:rsidP="000A05CF">
      <w:pPr>
        <w:pStyle w:val="Sraopastraipa"/>
        <w:spacing w:line="276" w:lineRule="auto"/>
        <w:rPr>
          <w:rFonts w:eastAsia="Arial"/>
        </w:rPr>
      </w:pPr>
    </w:p>
    <w:p w14:paraId="5055E8A8" w14:textId="471A9757" w:rsidR="002E6F80" w:rsidRDefault="00CC7832" w:rsidP="00CC09D4">
      <w:pPr>
        <w:pStyle w:val="Sraopastraipa"/>
        <w:numPr>
          <w:ilvl w:val="0"/>
          <w:numId w:val="12"/>
        </w:numPr>
        <w:tabs>
          <w:tab w:val="left" w:pos="567"/>
        </w:tabs>
        <w:ind w:hanging="720"/>
        <w:rPr>
          <w:b/>
          <w:bCs/>
          <w:caps/>
        </w:rPr>
      </w:pPr>
      <w:r w:rsidRPr="00E33EFF">
        <w:rPr>
          <w:b/>
          <w:bCs/>
          <w:caps/>
        </w:rPr>
        <w:t>Klinikinio vertinimo a</w:t>
      </w:r>
      <w:r w:rsidR="00D4485B" w:rsidRPr="00E33EFF">
        <w:rPr>
          <w:b/>
          <w:bCs/>
          <w:caps/>
        </w:rPr>
        <w:t>pibendrinimas</w:t>
      </w:r>
    </w:p>
    <w:p w14:paraId="178CDC2D" w14:textId="77777777" w:rsidR="00EE6245" w:rsidRPr="00E33EFF" w:rsidRDefault="00EE6245" w:rsidP="00EE6245">
      <w:pPr>
        <w:pStyle w:val="Sraopastraipa"/>
        <w:tabs>
          <w:tab w:val="left" w:pos="567"/>
        </w:tabs>
        <w:rPr>
          <w:b/>
          <w:bCs/>
          <w:caps/>
        </w:rPr>
      </w:pPr>
    </w:p>
    <w:p w14:paraId="46FDCCB7" w14:textId="77777777" w:rsidR="00EE6245" w:rsidRDefault="00EE6245" w:rsidP="00E11559">
      <w:pPr>
        <w:autoSpaceDE w:val="0"/>
        <w:autoSpaceDN w:val="0"/>
        <w:adjustRightInd w:val="0"/>
        <w:spacing w:line="276" w:lineRule="auto"/>
        <w:ind w:firstLine="720"/>
        <w:jc w:val="both"/>
      </w:pPr>
      <w:r w:rsidRPr="00A81DC8">
        <w:rPr>
          <w:color w:val="000000"/>
        </w:rPr>
        <w:t>Lietuvoje K</w:t>
      </w:r>
      <w:r>
        <w:rPr>
          <w:color w:val="000000"/>
        </w:rPr>
        <w:t>rono ligos (K</w:t>
      </w:r>
      <w:r w:rsidRPr="00A81DC8">
        <w:rPr>
          <w:color w:val="000000"/>
        </w:rPr>
        <w:t>L</w:t>
      </w:r>
      <w:r>
        <w:rPr>
          <w:color w:val="000000"/>
        </w:rPr>
        <w:t>)</w:t>
      </w:r>
      <w:r w:rsidRPr="00A81DC8">
        <w:rPr>
          <w:color w:val="000000"/>
        </w:rPr>
        <w:t xml:space="preserve"> gydymas reglamentuotas Lietuvos Respublikos sveikatos apsaugos ministro 2018 m. vasario 12 d. įsakymu Nr. V-158  dėl „Krono (CROHN) ligos  (sritinio enterito) diagnostikos ir gydymo vaistais, kurių įsigijimo išlaidos apmokomos privalomojo sveikatos draudimo fondo biudžeto lėšomis, tvarkos aprašo“ (toliau – Aprašas). Pagal sunkumo stadiją KL skiriama į lengvą, vidutinio sunkumo ir sunkia formas.</w:t>
      </w:r>
      <w:r>
        <w:rPr>
          <w:color w:val="000000"/>
        </w:rPr>
        <w:t xml:space="preserve"> </w:t>
      </w:r>
      <w:r w:rsidRPr="00A81DC8">
        <w:rPr>
          <w:color w:val="000000"/>
        </w:rPr>
        <w:t>Nustačius vidutinio sunkumo arba sunkią KL formą, pirmiausiai pacientui skiriami gliukokortikoidai</w:t>
      </w:r>
      <w:r w:rsidRPr="00A81DC8">
        <w:t>. Tačiau GK naudojami remisijai sukelti, bet jie yra neveiksmingi remisijai palaikyti</w:t>
      </w:r>
      <w:r>
        <w:t xml:space="preserve">. </w:t>
      </w:r>
      <w:r w:rsidRPr="00A81DC8">
        <w:t xml:space="preserve">Jei 3 mėnesių gydymas GK kartu su azatioprinu nėra veiksmingas, atsižvelgiant į paciento sveikatos būklę gydytojas-gastroenterologas gali keisti gydymą. Tokiu atveju gydymas navikų (angl. </w:t>
      </w:r>
      <w:r w:rsidRPr="00A81DC8">
        <w:rPr>
          <w:i/>
          <w:iCs/>
        </w:rPr>
        <w:t>tumor</w:t>
      </w:r>
      <w:r w:rsidRPr="00A81DC8">
        <w:t>) nekrozės faktoriaus α (toliau – TNF</w:t>
      </w:r>
      <w:r w:rsidRPr="00D01B31">
        <w:t xml:space="preserve">α) inhibitoriumi </w:t>
      </w:r>
      <w:r w:rsidRPr="00D01B31">
        <w:rPr>
          <w:color w:val="000000"/>
        </w:rPr>
        <w:t>ar vedolizumabu</w:t>
      </w:r>
      <w:r w:rsidRPr="00D01B31">
        <w:t xml:space="preserve"> skiriamas pacientams, sergantiems aktyvia vidutine ar sunkia Krono liga. Jei </w:t>
      </w:r>
      <w:r w:rsidRPr="00D01B31">
        <w:rPr>
          <w:iCs/>
        </w:rPr>
        <w:t xml:space="preserve">gydymas TNFα inhibitoriais </w:t>
      </w:r>
      <w:r w:rsidRPr="00D01B31">
        <w:rPr>
          <w:iCs/>
          <w:color w:val="000000"/>
        </w:rPr>
        <w:t>ar vedolizumabu</w:t>
      </w:r>
      <w:r w:rsidRPr="00D01B31">
        <w:rPr>
          <w:iCs/>
        </w:rPr>
        <w:t xml:space="preserve"> mažiausiai 3 mėnesius yra neveiksmingas ar liga recidyvuoja, taip pat jei atsiranda pašalinių poveikių ar kitų kontraindikacijų, gydytojas gastroenterologas gali </w:t>
      </w:r>
      <w:r w:rsidRPr="00D01B31">
        <w:rPr>
          <w:iCs/>
        </w:rPr>
        <w:lastRenderedPageBreak/>
        <w:t>spręsti dėl vaisto keitimo kitu TNFα inhibitoriumi, kurio metinė gydymo kaina (skelbiama VLK interneto svetainėje) mažiausia,</w:t>
      </w:r>
      <w:r w:rsidRPr="00D01B31">
        <w:rPr>
          <w:iCs/>
          <w:color w:val="000000"/>
        </w:rPr>
        <w:t xml:space="preserve"> vedolizumabu ar ustekinumabu</w:t>
      </w:r>
      <w:r w:rsidRPr="00A81DC8">
        <w:t>.</w:t>
      </w:r>
      <w:r>
        <w:t xml:space="preserve"> </w:t>
      </w:r>
    </w:p>
    <w:p w14:paraId="11A35536" w14:textId="77777777" w:rsidR="00EE6245" w:rsidRPr="00A81DC8" w:rsidRDefault="00EE6245" w:rsidP="00E11559">
      <w:pPr>
        <w:tabs>
          <w:tab w:val="left" w:pos="426"/>
        </w:tabs>
        <w:spacing w:line="276" w:lineRule="auto"/>
        <w:jc w:val="both"/>
        <w:rPr>
          <w:rFonts w:eastAsia="Arial"/>
        </w:rPr>
      </w:pPr>
      <w:r>
        <w:rPr>
          <w:rFonts w:eastAsia="Arial"/>
        </w:rPr>
        <w:tab/>
      </w:r>
      <w:r w:rsidRPr="00A81DC8">
        <w:rPr>
          <w:rFonts w:eastAsia="Arial"/>
        </w:rPr>
        <w:t>Risankizumabas yra humanizuotas imunoglobulino G1 (IgG1) monokloninis antikūnas, kuris selektyviai su dideliu afinitetu prisijungia prie žmogaus interleukino 23 (IL-23) citokino p19 subvieneto, nesusijungdamas su IL-12, ir slopina jo sąveiką su IL-23 receptoriaus kompleksu. IL-23 yra citokinas, kuris dalyvauja uždegimo ir imuniniame atsake. Blokuodamas IL-23 nuo susijungimo su jo receptoriumi, risankizumabas slopina nuo IL-23 priklausomų ląstelių signalinę funkciją ir uždegimą skatinančių citokinų atpalaidavimą.</w:t>
      </w:r>
    </w:p>
    <w:p w14:paraId="4208AC18" w14:textId="77777777" w:rsidR="00EE6245" w:rsidRPr="00A81DC8" w:rsidRDefault="00EE6245" w:rsidP="00E11559">
      <w:pPr>
        <w:pStyle w:val="0TEXT"/>
        <w:spacing w:line="276" w:lineRule="auto"/>
        <w:rPr>
          <w:lang w:val="lt-LT"/>
        </w:rPr>
      </w:pPr>
      <w:r>
        <w:rPr>
          <w:rFonts w:eastAsia="Arial"/>
          <w:lang w:val="lt-LT"/>
        </w:rPr>
        <w:t xml:space="preserve">Risankizumabo klinikinis veiksmingumas </w:t>
      </w:r>
      <w:r w:rsidRPr="00A81DC8">
        <w:rPr>
          <w:rFonts w:eastAsia="Arial"/>
          <w:lang w:val="lt-LT"/>
        </w:rPr>
        <w:t xml:space="preserve"> </w:t>
      </w:r>
      <w:r>
        <w:rPr>
          <w:rFonts w:eastAsia="Arial"/>
          <w:lang w:val="lt-LT"/>
        </w:rPr>
        <w:t xml:space="preserve">grindžiamas 3b </w:t>
      </w:r>
      <w:r w:rsidRPr="00A81DC8">
        <w:rPr>
          <w:rFonts w:eastAsia="Arial"/>
          <w:lang w:val="lt-LT"/>
        </w:rPr>
        <w:t>fazės klinikin</w:t>
      </w:r>
      <w:r>
        <w:rPr>
          <w:rFonts w:eastAsia="Arial"/>
          <w:lang w:val="lt-LT"/>
        </w:rPr>
        <w:t>io</w:t>
      </w:r>
      <w:r w:rsidRPr="00A81DC8">
        <w:rPr>
          <w:rFonts w:eastAsia="Arial"/>
          <w:lang w:val="lt-LT"/>
        </w:rPr>
        <w:t xml:space="preserve"> tyrim</w:t>
      </w:r>
      <w:r>
        <w:rPr>
          <w:rFonts w:eastAsia="Arial"/>
          <w:lang w:val="lt-LT"/>
        </w:rPr>
        <w:t>o</w:t>
      </w:r>
      <w:r w:rsidRPr="00A81DC8">
        <w:rPr>
          <w:rFonts w:eastAsia="Arial"/>
          <w:lang w:val="lt-LT"/>
        </w:rPr>
        <w:t xml:space="preserve"> SEQUENCE </w:t>
      </w:r>
      <w:r>
        <w:rPr>
          <w:rFonts w:eastAsia="Arial"/>
          <w:lang w:val="lt-LT"/>
        </w:rPr>
        <w:t>duomenimis. Klinikiniame tyrime SEQUENCE risankizumabo</w:t>
      </w:r>
      <w:r w:rsidRPr="00A81DC8">
        <w:rPr>
          <w:rFonts w:eastAsia="Arial"/>
          <w:lang w:val="lt-LT"/>
        </w:rPr>
        <w:t xml:space="preserve"> veiksmingumas lygintas su ustekinumabu.</w:t>
      </w:r>
      <w:r>
        <w:rPr>
          <w:rFonts w:eastAsia="Arial"/>
          <w:lang w:val="lt-LT"/>
        </w:rPr>
        <w:t xml:space="preserve"> </w:t>
      </w:r>
      <w:r w:rsidRPr="00A81DC8">
        <w:rPr>
          <w:lang w:val="lt-LT"/>
        </w:rPr>
        <w:t xml:space="preserve">gydant pacientus  kuriems nustatyta vidutinio sunkumo arba sunki KL forma ir kuriems TNFα inhibitorių terapija buvo neveiksminga. </w:t>
      </w:r>
      <w:r>
        <w:rPr>
          <w:lang w:val="lt-LT"/>
        </w:rPr>
        <w:t xml:space="preserve">Ustekinumabas yra laikomas tinkamu palyginamuoju gydymu. Klinikinių tyrimų </w:t>
      </w:r>
      <w:r w:rsidRPr="00A81DC8">
        <w:rPr>
          <w:rFonts w:eastAsia="Arial"/>
          <w:lang w:val="lt-LT"/>
        </w:rPr>
        <w:t>ADVANCE, MOTIVATE ir jų tęsinys – FORTIFY</w:t>
      </w:r>
      <w:r>
        <w:rPr>
          <w:rFonts w:eastAsia="Arial"/>
          <w:lang w:val="lt-LT"/>
        </w:rPr>
        <w:t xml:space="preserve"> duomenys vertinami kaip papildoma informacija.</w:t>
      </w:r>
    </w:p>
    <w:p w14:paraId="360D5618" w14:textId="63830B80" w:rsidR="00367971" w:rsidRPr="00A81DC8" w:rsidRDefault="00367971" w:rsidP="00E11559">
      <w:pPr>
        <w:pStyle w:val="0TEXT"/>
        <w:spacing w:line="276" w:lineRule="auto"/>
        <w:rPr>
          <w:rFonts w:eastAsia="Arial"/>
        </w:rPr>
      </w:pPr>
      <w:r w:rsidRPr="00A81DC8">
        <w:rPr>
          <w:i/>
          <w:lang w:val="lt-LT"/>
        </w:rPr>
        <w:t>Tiesioginis palyginimas</w:t>
      </w:r>
      <w:r>
        <w:rPr>
          <w:i/>
          <w:lang w:val="lt-LT"/>
        </w:rPr>
        <w:t xml:space="preserve">. </w:t>
      </w:r>
      <w:r w:rsidRPr="00A81DC8">
        <w:rPr>
          <w:lang w:val="lt-LT"/>
        </w:rPr>
        <w:t xml:space="preserve">Tyrimo populiacija atitinka vertinimui pateiktą terapinę indikaciją bei siūlomą skyrimo sąlygą. </w:t>
      </w:r>
      <w:r w:rsidRPr="00A81DC8">
        <w:rPr>
          <w:rFonts w:eastAsia="Arial"/>
          <w:color w:val="000000" w:themeColor="text1"/>
          <w:lang w:val="lt-LT"/>
        </w:rPr>
        <w:t>Įvertinus atmetimo kriterijus, nustatyta, kad mažiai tikėtina atmetimo kriterijų įtaka rezultatų pritaikomumui Lietuvos populiacijai. Laikoma, kad vertinama pacientų populiacija tinkama nustatyti risankizumbo palyginamąjį veiksmingumą įprastinėje klinikinėje praktikoje Lietuvoje.</w:t>
      </w:r>
      <w:r>
        <w:rPr>
          <w:rFonts w:eastAsia="Arial"/>
          <w:color w:val="000000" w:themeColor="text1"/>
          <w:lang w:val="lt-LT"/>
        </w:rPr>
        <w:t xml:space="preserve"> </w:t>
      </w:r>
      <w:r w:rsidRPr="00A81DC8">
        <w:rPr>
          <w:rFonts w:eastAsia="Arial"/>
        </w:rPr>
        <w:t>SEQUENCE tyrimas yra atviras, daugiacentris, atsitiktinių imčių, koduotas 3b klinikinis tyrimas, kuriame dalyvavo jau TNFα inhibitoriais gydyti pacientai dėl KL ir kuriems šis gydymas buvo neveiksmingas. Tyrimas buvo padalintas į dvi dalis: Pirmoje dalyje (indukcijos fazė) pacientai santykiu 1:1 buvo suskirstyti į dvi grupes tyrimo pradžioje: vienoje grupėje tyrimo gydymas buvo ri</w:t>
      </w:r>
      <w:r>
        <w:rPr>
          <w:rFonts w:eastAsia="Arial"/>
        </w:rPr>
        <w:t>s</w:t>
      </w:r>
      <w:r w:rsidRPr="00A81DC8">
        <w:rPr>
          <w:rFonts w:eastAsia="Arial"/>
        </w:rPr>
        <w:t>ankizuabas (RZN: 600 mg IV indukcijos gydymo fazėje 4 ir 8 savaitę nuo gydymo pradžios, pradedant  nuo 12 tyrimo savaitės -  360 mg IV kas 8 savaitę iki yrimo pabaigos, t.y. 48 sav.) ir palyginamojo gydymo grupėje – ustekinumabas (UST: 90 mg IV indukcijos gydymo fazėje, pradedant nuo 8 tyrimo savaitės – 90 mg kas 8 savaitę iki tyrimo pabaigos). Antroje tyrimo dalyje (palaikomojo gydymo fazė) pacientai gydyti RZN tęsė palaikomąjį gydymą, vartojant 360 mg IV kas 8 savaitę iki 220 stebėjimo savaitės nuo tyrimo pradžios arba gydymas buvo nutrauktas dėl gydymo netoleravimo. Pacientai, kuriems buvo nustatytas netinkamą atsaką į gydymą, t.y klin</w:t>
      </w:r>
      <w:r>
        <w:rPr>
          <w:rFonts w:eastAsia="Arial"/>
        </w:rPr>
        <w:t>i</w:t>
      </w:r>
      <w:r w:rsidRPr="00A81DC8">
        <w:rPr>
          <w:rFonts w:eastAsia="Arial"/>
        </w:rPr>
        <w:t>kinių simpt</w:t>
      </w:r>
      <w:r>
        <w:rPr>
          <w:rFonts w:eastAsia="Arial"/>
        </w:rPr>
        <w:t>o</w:t>
      </w:r>
      <w:r w:rsidRPr="00A81DC8">
        <w:rPr>
          <w:rFonts w:eastAsia="Arial"/>
        </w:rPr>
        <w:t xml:space="preserve">mų vidurkis pagal SF  </w:t>
      </w:r>
      <w:r w:rsidRPr="00A81DC8">
        <w:t xml:space="preserve">SF ≥ 3,3 ir/arba AP santykio vidurkis ≥ 1,5 patvirtintas nustatant uždegimo bio-žymeklį. Laipsniškas steroidų nutraukimas prasidėjo nuo 2 tyrimo savaitės. </w:t>
      </w:r>
      <w:r w:rsidRPr="00A81DC8">
        <w:rPr>
          <w:rFonts w:eastAsia="Arial"/>
        </w:rPr>
        <w:t xml:space="preserve">Kiekvienoje gydymo grupėje  apie 83 proc. pacientų KL buvo nustatyta storojoje arba storojoje ir  klubinėje žarnose. Dauguma pacientų prieš dalyvavimo tyriame patyrė gydymo nesėkmę nuo vieno TNFα inhibitoriaus. Abejose grupėse tyrimo pradžioje virš 50 proc. pacientų CDAI santykis buvo &gt; 300, o SES-CD santykis ≤ 15 RZN grupėje turėjo 68 proc. pacientų ir UST grupėje – 61,5 proc.. </w:t>
      </w:r>
    </w:p>
    <w:p w14:paraId="38AC9C41" w14:textId="77777777" w:rsidR="00367971" w:rsidRPr="00A81DC8" w:rsidRDefault="00367971" w:rsidP="00E11559">
      <w:pPr>
        <w:tabs>
          <w:tab w:val="left" w:pos="426"/>
        </w:tabs>
        <w:spacing w:line="276" w:lineRule="auto"/>
        <w:jc w:val="both"/>
        <w:rPr>
          <w:rFonts w:eastAsia="Arial"/>
          <w:color w:val="000000" w:themeColor="text1"/>
        </w:rPr>
      </w:pPr>
      <w:r w:rsidRPr="00A81DC8">
        <w:tab/>
        <w:t xml:space="preserve">Dvi pirminės baigtys buvo pasiektos: pusė dalyvavusių pacientų pasiekė </w:t>
      </w:r>
      <w:r w:rsidRPr="00A81DC8">
        <w:rPr>
          <w:b/>
        </w:rPr>
        <w:t>klinikinės remisijos 24 gydymo savaitę</w:t>
      </w:r>
      <w:r w:rsidRPr="00A81DC8">
        <w:t xml:space="preserve"> – 58,6 proc. RZN grupėje, palyginus su 39,6 proc. pacientų UST grupėje. Pagal numatytą statistinę planą </w:t>
      </w:r>
      <w:r w:rsidRPr="00A81DC8">
        <w:rPr>
          <w:i/>
        </w:rPr>
        <w:t>neprastumas</w:t>
      </w:r>
      <w:r w:rsidRPr="00A81DC8">
        <w:t xml:space="preserve"> (</w:t>
      </w:r>
      <w:r w:rsidRPr="00A81DC8">
        <w:rPr>
          <w:i/>
        </w:rPr>
        <w:t>angl. non-inferiority</w:t>
      </w:r>
      <w:r w:rsidRPr="00A81DC8">
        <w:t>) laikomas įrodytų, jai skirtumas tarp grupių yra nemažiau 10 proc. Gauti rezultatai rodo 18,4 proc. skirtumą, kas patvirtino RZN panašų veiksmingumą su UST siekiant klinikinės remisijos pacientas su vidutinio sunkumo ir sunkia KL (2 lentelė). Vertinant antrą pirminę baigtį 48 gydymo savaitę, , RZN grupėje 31,8 proc. (81/255) pacientų pasiekė endoskopinę remisiją RZN grupėje ir 16,2 proc. (43/265) – UST grupėje. Buvo įrodytas RZN pranašumas, įrodantys, kad gydant RZN reikšmingai didesnė dalis pacientų pasieks endos</w:t>
      </w:r>
      <w:r>
        <w:t>k</w:t>
      </w:r>
      <w:r w:rsidRPr="00A81DC8">
        <w:t xml:space="preserve">opinės remisijos, lyginant su gydymu UST (skirtumas 15,6 proc. RZN naudai (95 proc. PI: </w:t>
      </w:r>
      <w:r w:rsidRPr="00A81DC8">
        <w:lastRenderedPageBreak/>
        <w:t xml:space="preserve">8,4–22,9; p &lt; 0,0001. </w:t>
      </w:r>
      <w:r w:rsidRPr="00A81DC8">
        <w:rPr>
          <w:rFonts w:eastAsia="Arial"/>
          <w:color w:val="000000" w:themeColor="text1"/>
        </w:rPr>
        <w:t xml:space="preserve">Remiantis antrų baigčių rezultatais palyginamose grupėse nustatyta, kad RZN grupėje reikšmingai didesnė pacientų dalis pasiekė klinikinę remisiją 48 gydymo savaitę, palyginus su UST grupe: 60,8 proc. ir 40,8 proc., atitinkamai (skirtumas 19,7 proc. RZN naudai, 95 proc. PI: 11,3-28,1; p&lt;0,0001). Kitos antrinės baigtys – pacientų, pasiekusių endoskopinę remisiją 24 ir 48 savaitę nuo gydymo pradžios, dalis; pacientų, kuriems endoskopijos tyrimų patvirtintas atsakas į gydymą, dalis; pacientų, kurie pasiekė endoskopinę remisiją be steroidų vartojimo 48 savaitę, dalis bei pacientų, kurie pasiekė klinikinę remisiją be steroidų vartojimo 48 gydymo savaitę, dalis buvo reikšmingai didesnės RZN grupėje, palyginus su UST grupe. RZN pranašumas pagal išvardintas antrines baigtys buvo įrodytas. </w:t>
      </w:r>
    </w:p>
    <w:p w14:paraId="50F332AB" w14:textId="77777777" w:rsidR="00367971" w:rsidRDefault="00367971" w:rsidP="00E11559">
      <w:pPr>
        <w:tabs>
          <w:tab w:val="left" w:pos="492"/>
        </w:tabs>
        <w:spacing w:line="276" w:lineRule="auto"/>
        <w:jc w:val="both"/>
        <w:outlineLvl w:val="1"/>
        <w:rPr>
          <w:rFonts w:eastAsia="Arial"/>
        </w:rPr>
      </w:pPr>
      <w:r w:rsidRPr="00A81DC8">
        <w:rPr>
          <w:rFonts w:eastAsia="Arial"/>
        </w:rPr>
        <w:tab/>
        <w:t>Įvertinus palyginamąjį saugumą, nustatyta, kad RZN ir UST saugumas yra panašus. Dažniausiai registruojamas nepageidautinas reiškinys buvo alerginės reakcijos abiejose  grupėse: 10,7 proc. RZN grupėje ir 9,1 proc. UST grupėje.  Naujų arba netikėtų nepageidaujamų reiškinių nebuvo užfiksuota tyrimo ir po tyrimo stebėjimo metu. Išsami informaciją apie NR dažnius pateikta produkto charakteristikos santraukoje.</w:t>
      </w:r>
    </w:p>
    <w:p w14:paraId="79E62D78" w14:textId="0D83EAE6" w:rsidR="006B57B3" w:rsidRPr="006516B6" w:rsidRDefault="006B57B3" w:rsidP="006B57B3">
      <w:pPr>
        <w:tabs>
          <w:tab w:val="left" w:pos="492"/>
        </w:tabs>
        <w:spacing w:line="276" w:lineRule="auto"/>
        <w:jc w:val="both"/>
        <w:outlineLvl w:val="1"/>
        <w:rPr>
          <w:rFonts w:eastAsia="Arial"/>
        </w:rPr>
      </w:pPr>
      <w:r>
        <w:rPr>
          <w:rFonts w:eastAsia="Arial"/>
        </w:rPr>
        <w:tab/>
      </w:r>
      <w:r w:rsidRPr="006B57B3">
        <w:rPr>
          <w:rFonts w:eastAsia="Arial"/>
        </w:rPr>
        <w:t xml:space="preserve">SEQUENCE tyrimas parodė, gydant risankizumabu didesnė pacientų dalis gali pasiekti </w:t>
      </w:r>
      <w:r w:rsidRPr="006516B6">
        <w:rPr>
          <w:rFonts w:eastAsia="Arial"/>
        </w:rPr>
        <w:t xml:space="preserve">klinikinę ir endoskopinę remisiją, nei gydant ustekinumabu  tarp pacientų, kuriems ankstesnis gydymas anti-TNF buvo nesėkmingas. </w:t>
      </w:r>
      <w:r w:rsidR="00EE5AE5" w:rsidRPr="006516B6">
        <w:rPr>
          <w:iCs/>
        </w:rPr>
        <w:t>Atkreiptinas dėmesys, kad SEQUENCE tyrimo populiaciją sudarė pacientai, kuriems prieš tai  buvo nesėkmingai taikytas gydymas tik TNFα inhibitoriais, todėl gauti rezultatai negali būti visiškai  pritaikomi Lietuvos pacientų populiacijai, nes naudos ir rizikos santykį gali lemti su pacientu susijęs veiksnys – vedolizumabo vartojimas pirmoje gydymo eilėje.</w:t>
      </w:r>
      <w:r w:rsidR="00344033" w:rsidRPr="006516B6">
        <w:rPr>
          <w:iCs/>
        </w:rPr>
        <w:t xml:space="preserve"> </w:t>
      </w:r>
      <w:r w:rsidR="00344033" w:rsidRPr="006516B6">
        <w:rPr>
          <w:rFonts w:eastAsia="Arial"/>
        </w:rPr>
        <w:t>K</w:t>
      </w:r>
      <w:r w:rsidRPr="006516B6">
        <w:rPr>
          <w:rFonts w:eastAsia="Arial"/>
        </w:rPr>
        <w:t>aip nurodyta Europos Krono ir kolito organizacijos Krono ligos gydymo gairėse (</w:t>
      </w:r>
      <w:r w:rsidRPr="006516B6">
        <w:rPr>
          <w:rFonts w:eastAsia="Arial"/>
          <w:i/>
          <w:iCs/>
        </w:rPr>
        <w:t>European Crohn and Colitis Organization Guidelines on Therapeutics in Crohn’s Disease, ECCO 2024</w:t>
      </w:r>
      <w:r w:rsidRPr="006516B6">
        <w:rPr>
          <w:rFonts w:eastAsia="Arial"/>
        </w:rPr>
        <w:t xml:space="preserve">) šiuo metu risankizumabas nėra rekomenduojamas kaip pirmo pasirinkimo biologinis vaistinis preparatas gydant pacientus su vidutinio sunkumo ir sunkia Krono liga. ECCO rekomendacijose nurodyta, kad </w:t>
      </w:r>
      <w:r w:rsidR="00B84801" w:rsidRPr="006516B6">
        <w:rPr>
          <w:rFonts w:eastAsia="Arial"/>
        </w:rPr>
        <w:t xml:space="preserve">skiriant biologinį vaistą (pvz. risankzumabą) </w:t>
      </w:r>
      <w:bookmarkStart w:id="0" w:name="_Hlk185601337"/>
      <w:r w:rsidR="006516B6" w:rsidRPr="006516B6">
        <w:rPr>
          <w:rFonts w:eastAsia="Arial"/>
        </w:rPr>
        <w:t xml:space="preserve">reikia atsižvelgti </w:t>
      </w:r>
      <w:bookmarkEnd w:id="0"/>
      <w:r w:rsidRPr="006516B6">
        <w:rPr>
          <w:rFonts w:eastAsia="Arial"/>
        </w:rPr>
        <w:t>atsižvelgti į su liga susijusius veiksnius (pvz., perianalinės ligos buvim</w:t>
      </w:r>
      <w:r w:rsidR="006516B6" w:rsidRPr="006516B6">
        <w:rPr>
          <w:rFonts w:eastAsia="Arial"/>
        </w:rPr>
        <w:t>ą</w:t>
      </w:r>
      <w:r w:rsidRPr="006516B6">
        <w:rPr>
          <w:rFonts w:eastAsia="Arial"/>
        </w:rPr>
        <w:t xml:space="preserve">) ir su pacientu susijusius veiksnius (tokius kaip gretutinės ligos, įskaitant tuo pačiu metu atsirandančius imuninės sistemos sutrikimus, amžių, nėštumą ir polinkį sirgti infekcinėmis ligomis), nes </w:t>
      </w:r>
      <w:r w:rsidR="006516B6" w:rsidRPr="006516B6">
        <w:rPr>
          <w:rFonts w:eastAsia="Arial"/>
        </w:rPr>
        <w:t>tai</w:t>
      </w:r>
      <w:r w:rsidRPr="006516B6">
        <w:rPr>
          <w:rFonts w:eastAsia="Arial"/>
        </w:rPr>
        <w:t xml:space="preserve"> gali turėti įtakos </w:t>
      </w:r>
      <w:r w:rsidR="006516B6">
        <w:rPr>
          <w:rFonts w:eastAsia="Arial"/>
        </w:rPr>
        <w:t>gydymui vartojamo</w:t>
      </w:r>
      <w:r w:rsidRPr="006516B6">
        <w:rPr>
          <w:rFonts w:eastAsia="Arial"/>
        </w:rPr>
        <w:t xml:space="preserve"> vaistinio preparato naudos ir rizikos santykiui.</w:t>
      </w:r>
    </w:p>
    <w:p w14:paraId="25F89291" w14:textId="5FD127DA" w:rsidR="00D4485B" w:rsidRDefault="00367971" w:rsidP="00E11559">
      <w:pPr>
        <w:tabs>
          <w:tab w:val="left" w:pos="492"/>
        </w:tabs>
        <w:spacing w:line="276" w:lineRule="auto"/>
        <w:jc w:val="both"/>
        <w:outlineLvl w:val="1"/>
        <w:rPr>
          <w:iCs/>
        </w:rPr>
      </w:pPr>
      <w:r w:rsidRPr="006516B6">
        <w:rPr>
          <w:iCs/>
        </w:rPr>
        <w:tab/>
      </w:r>
      <w:r w:rsidR="00E11559" w:rsidRPr="006516B6">
        <w:rPr>
          <w:iCs/>
        </w:rPr>
        <w:t>Apibendrinant klinikinių tyrimų duomenis, nustatyta, kad risankizumabo palyginamasis veiksmingumas yra pagrindžiantis nesiskiriančios naudos pacientų sveikatai sukūrimą, lyginant su įprasta klinikine praktika Lietuvoje.</w:t>
      </w:r>
    </w:p>
    <w:p w14:paraId="2C30EAE5" w14:textId="77777777" w:rsidR="00E11559" w:rsidRPr="00E33EFF" w:rsidRDefault="00E11559" w:rsidP="00E11559">
      <w:pPr>
        <w:tabs>
          <w:tab w:val="left" w:pos="492"/>
        </w:tabs>
        <w:spacing w:line="360" w:lineRule="auto"/>
        <w:jc w:val="both"/>
        <w:outlineLvl w:val="1"/>
        <w:rPr>
          <w:b/>
          <w:bCs/>
          <w:caps/>
        </w:rPr>
      </w:pPr>
    </w:p>
    <w:p w14:paraId="7DE09EB5" w14:textId="69E9DD74" w:rsidR="00E03C3F" w:rsidRPr="00E33EFF" w:rsidRDefault="00CC7832" w:rsidP="00CC09D4">
      <w:pPr>
        <w:pStyle w:val="Sraopastraipa"/>
        <w:numPr>
          <w:ilvl w:val="0"/>
          <w:numId w:val="12"/>
        </w:numPr>
        <w:tabs>
          <w:tab w:val="left" w:pos="567"/>
        </w:tabs>
        <w:ind w:hanging="720"/>
        <w:rPr>
          <w:b/>
          <w:bCs/>
          <w:caps/>
        </w:rPr>
      </w:pPr>
      <w:r w:rsidRPr="00E33EFF">
        <w:rPr>
          <w:b/>
          <w:bCs/>
          <w:caps/>
        </w:rPr>
        <w:t xml:space="preserve">ekonominio vertinimo </w:t>
      </w:r>
      <w:r w:rsidR="002F0E4F" w:rsidRPr="00E33EFF">
        <w:rPr>
          <w:b/>
          <w:bCs/>
          <w:caps/>
        </w:rPr>
        <w:t>apibendrinimas</w:t>
      </w:r>
    </w:p>
    <w:p w14:paraId="1A900598" w14:textId="2E06575F" w:rsidR="00C62B36" w:rsidRDefault="00C62B36" w:rsidP="00A93AA6">
      <w:pPr>
        <w:tabs>
          <w:tab w:val="left" w:pos="426"/>
        </w:tabs>
        <w:rPr>
          <w:i/>
          <w:color w:val="00B050"/>
          <w:sz w:val="22"/>
          <w:szCs w:val="22"/>
        </w:rPr>
      </w:pPr>
    </w:p>
    <w:p w14:paraId="165B660C" w14:textId="03FAA7EE" w:rsidR="00312D0D" w:rsidRDefault="00312D0D" w:rsidP="00E11559">
      <w:pPr>
        <w:pStyle w:val="Sraopastraipa"/>
        <w:tabs>
          <w:tab w:val="left" w:pos="270"/>
        </w:tabs>
        <w:spacing w:line="276" w:lineRule="auto"/>
        <w:ind w:left="0"/>
        <w:jc w:val="both"/>
        <w:rPr>
          <w:shd w:val="clear" w:color="auto" w:fill="FFFFFF"/>
        </w:rPr>
      </w:pPr>
      <w:r>
        <w:tab/>
      </w:r>
      <w:r w:rsidRPr="00E674BF">
        <w:t xml:space="preserve">Pareiškėjas pateikė risankizumabo ir ustekinumabo lyginamąją </w:t>
      </w:r>
      <w:r w:rsidRPr="00312D0D">
        <w:t>kaštų naudingumo analizę</w:t>
      </w:r>
      <w:r w:rsidRPr="00E674BF">
        <w:t>. Įvertinus klinikinėje dalyje pateiktus netiesioginio palyginimo analizės duomenis, nustatyta, kad pacientų populiacijoje, sergančių vidutinio sunkumo ir sunkia aktyvia Krono liga, gydyti, jeigu atsakas į gydymą standartiniais arba biologiniais vaistiniais preparatais buvo nepakankamas ar prarastas, arba kai pacientas šių vaistinių preparatų netoleravo, risankizumabo klinikinis efektyvumas nesiskiria nuo ustekinumabo. Atsižvelgiant į pirmiau išdėstytą ir vadovaujantis Lietuvos Respublikos sveikatos apsaugos ministro 2002 m. balandžio 5 d. įsakymu Nr. 159 „Dėl Vaistinių preparatų ir medicinos pagalbos priemonių įrašymo į kompensavimo sąrašus ir jų keitimo tvarkos aprašo patvirtinimo“ patvirtintų „P</w:t>
      </w:r>
      <w:r w:rsidRPr="00E674BF">
        <w:rPr>
          <w:bCs/>
        </w:rPr>
        <w:t>araiškos įrašyti vaistinį preparatą į kompensavimo sąrašus rengimo taisyklių</w:t>
      </w:r>
      <w:r w:rsidRPr="00E674BF">
        <w:t xml:space="preserve"> 127 punktu“, </w:t>
      </w:r>
      <w:r w:rsidRPr="00E674BF">
        <w:rPr>
          <w:rFonts w:eastAsia="Arial"/>
          <w:bCs/>
        </w:rPr>
        <w:t xml:space="preserve">dėl iš esmės nesiskiriančio gydymo efektyvumo ir sukuriamos naudos pacientų sveikatai, lyginant su įprasta klinikine praktika Pareiškėjo prašyta pateikti kaštų mažinimo analizę </w:t>
      </w:r>
      <w:r w:rsidRPr="00E674BF">
        <w:rPr>
          <w:rFonts w:eastAsia="Arial"/>
          <w:bCs/>
        </w:rPr>
        <w:lastRenderedPageBreak/>
        <w:t xml:space="preserve">(toliau – KMA), </w:t>
      </w:r>
      <w:r w:rsidRPr="00E674BF">
        <w:t xml:space="preserve">kurioje būtų pateikiama </w:t>
      </w:r>
      <w:r w:rsidRPr="00E674BF">
        <w:rPr>
          <w:shd w:val="clear" w:color="auto" w:fill="FFFFFF"/>
        </w:rPr>
        <w:t>risankizumabo ir ustekinumabo kaštų lyginamoji analizė iš kaštų mažinimo perspektyvos (sveikatai sukuriama nauda nevertinama).</w:t>
      </w:r>
    </w:p>
    <w:p w14:paraId="4B66A00B" w14:textId="77777777" w:rsidR="00312D0D" w:rsidRDefault="00312D0D" w:rsidP="00E11559">
      <w:pPr>
        <w:pStyle w:val="Sraopastraipa"/>
        <w:tabs>
          <w:tab w:val="left" w:pos="270"/>
        </w:tabs>
        <w:spacing w:line="276" w:lineRule="auto"/>
        <w:ind w:left="0"/>
        <w:jc w:val="both"/>
      </w:pPr>
      <w:r>
        <w:rPr>
          <w:shd w:val="clear" w:color="auto" w:fill="FFFFFF"/>
        </w:rPr>
        <w:tab/>
        <w:t xml:space="preserve">Pareiškėjui pateikus KMA, </w:t>
      </w:r>
      <w:r>
        <w:t>l</w:t>
      </w:r>
      <w:r w:rsidRPr="00855B02">
        <w:t>aikoma, kad sveikatos būklių (gydymo) kaštai panašūs ir analizėje įtraukiami tik esminius skirtumus lemiantys kaštai. Indikaciją su skyrimo sąlygomis atitinkančios populiacijos klinikinis veiksmingumas ir saugumas pagrįstas</w:t>
      </w:r>
      <w:r>
        <w:t xml:space="preserve"> </w:t>
      </w:r>
      <w:r>
        <w:rPr>
          <w:rFonts w:eastAsia="Arial"/>
        </w:rPr>
        <w:t>4 tiesioginio palyginimo tyrimuose: ADVANCE, MOTIVATE ir jų tęsinyje – FORTIFY, kuriame risankizumabo veiksmingumas buvo lyginamas su placebu, bei SEQUENCE tiesioginio palyginimo, kuriame risankizumabo veiksmingumas lygintas su ustekinumabu,</w:t>
      </w:r>
      <w:r w:rsidRPr="00AA6C2D">
        <w:rPr>
          <w:rFonts w:eastAsia="Arial"/>
        </w:rPr>
        <w:t xml:space="preserve"> </w:t>
      </w:r>
      <w:r>
        <w:rPr>
          <w:rFonts w:eastAsia="Arial"/>
        </w:rPr>
        <w:t xml:space="preserve">klinikinio tyrimo duomenimis. </w:t>
      </w:r>
      <w:r w:rsidRPr="00855B02">
        <w:t>Vertinama, kad vaistiniai preparatai bus skiriami kompensavimui teikiamos indikacijos populiacijai.</w:t>
      </w:r>
    </w:p>
    <w:p w14:paraId="3B169CFD" w14:textId="77777777" w:rsidR="00312D0D" w:rsidRDefault="00312D0D" w:rsidP="00E11559">
      <w:pPr>
        <w:pStyle w:val="Sraopastraipa"/>
        <w:tabs>
          <w:tab w:val="left" w:pos="270"/>
        </w:tabs>
        <w:spacing w:line="276" w:lineRule="auto"/>
        <w:ind w:left="0"/>
        <w:jc w:val="both"/>
        <w:rPr>
          <w:rFonts w:eastAsia="Arial"/>
          <w:color w:val="000000" w:themeColor="text1"/>
        </w:rPr>
      </w:pPr>
      <w:r>
        <w:tab/>
      </w:r>
      <w:r>
        <w:rPr>
          <w:bCs/>
          <w:color w:val="000000" w:themeColor="text1"/>
          <w:lang w:eastAsia="lt-LT"/>
        </w:rPr>
        <w:t xml:space="preserve">Tinkamu palyginamuoju gydymu yra laikomas </w:t>
      </w:r>
      <w:r>
        <w:rPr>
          <w:rFonts w:eastAsia="Arial"/>
          <w:color w:val="000000" w:themeColor="text1"/>
        </w:rPr>
        <w:t xml:space="preserve">ustekinumabas, kadangi jis yra kompensuojamas ir skiriamas pacientams, </w:t>
      </w:r>
      <w:r w:rsidRPr="00E25F4E">
        <w:t>sergantiems vidutinio sunkumo ir sunkia aktyvia Krono liga</w:t>
      </w:r>
      <w:r>
        <w:t xml:space="preserve">, </w:t>
      </w:r>
      <w:r w:rsidRPr="0062591E">
        <w:t xml:space="preserve">gydyti, </w:t>
      </w:r>
      <w:r w:rsidRPr="007625C2">
        <w:t>jeigu atsakas į</w:t>
      </w:r>
      <w:r>
        <w:t xml:space="preserve"> </w:t>
      </w:r>
      <w:r w:rsidRPr="007625C2">
        <w:t>gydymą</w:t>
      </w:r>
      <w:r>
        <w:t xml:space="preserve"> </w:t>
      </w:r>
      <w:r w:rsidRPr="007625C2">
        <w:t>biologiniais vaistiniais preparatais (bLMV)  buvo nepakankamas</w:t>
      </w:r>
      <w:r>
        <w:t xml:space="preserve"> </w:t>
      </w:r>
      <w:r w:rsidRPr="007625C2">
        <w:t>ar prarastas</w:t>
      </w:r>
      <w:r>
        <w:t xml:space="preserve"> ir a</w:t>
      </w:r>
      <w:r>
        <w:rPr>
          <w:rFonts w:eastAsia="Arial"/>
          <w:color w:val="000000" w:themeColor="text1"/>
        </w:rPr>
        <w:t>titinka įprastinę klinikinę praktiką Lietuvoje bei yra to paties veikimo mechanizmo biologinė terapija.</w:t>
      </w:r>
    </w:p>
    <w:p w14:paraId="6D916B53" w14:textId="77777777" w:rsidR="00312D0D" w:rsidRDefault="00312D0D" w:rsidP="00E11559">
      <w:pPr>
        <w:pStyle w:val="Sraopastraipa"/>
        <w:tabs>
          <w:tab w:val="left" w:pos="270"/>
        </w:tabs>
        <w:spacing w:line="276" w:lineRule="auto"/>
        <w:ind w:left="0"/>
        <w:jc w:val="both"/>
      </w:pPr>
      <w:r>
        <w:rPr>
          <w:rFonts w:eastAsia="Arial"/>
          <w:color w:val="000000" w:themeColor="text1"/>
        </w:rPr>
        <w:tab/>
      </w:r>
      <w:r>
        <w:t>T</w:t>
      </w:r>
      <w:r w:rsidRPr="00690601">
        <w:rPr>
          <w:rFonts w:eastAsiaTheme="minorHAnsi"/>
        </w:rPr>
        <w:t>eikiama kaštų mažinimo analize siekiama pagrįsti nesiskiriančius gydymo kaštus, t.y. gydymo kaštai laikomi panašiais (klinikiniai duomenys nėra įtraukiami ir modeliavimas netaikomas) ir KMA neįtraukiami.</w:t>
      </w:r>
      <w:r>
        <w:t xml:space="preserve"> K</w:t>
      </w:r>
      <w:r w:rsidRPr="00690601">
        <w:rPr>
          <w:rFonts w:eastAsiaTheme="minorHAnsi"/>
        </w:rPr>
        <w:t>adangi risankizumabas ir palyginamojo gydymo vaistas ustekinumabas būtų skiriami ambulatoriniam gydymui (abiejų vaistų įvadinės dozės skiriamos į veną, toliau šie vaistai skiriami ambulatoriniam gydymui (po oda, injekcijos)), pacientams nebūtų poreikio suteikti papildomų sveikatos priežiūros paslaugų ar atlikti diagnostinių tyrimų, todėl skyrimo kaštai nėra vertinami.</w:t>
      </w:r>
      <w:r>
        <w:t xml:space="preserve"> </w:t>
      </w:r>
      <w:r w:rsidRPr="00690601">
        <w:rPr>
          <w:rFonts w:eastAsiaTheme="minorHAnsi"/>
        </w:rPr>
        <w:t xml:space="preserve">SEQUENCE tyrimo duomenimis, nepageidaujamo poveikio dažnis tarp gydymo grupių </w:t>
      </w:r>
      <w:r>
        <w:t>nesiskyrė, t</w:t>
      </w:r>
      <w:r w:rsidRPr="00690601">
        <w:rPr>
          <w:rFonts w:eastAsiaTheme="minorHAnsi"/>
        </w:rPr>
        <w:t>odėl KMA nepageidaujamo poveikio kaštai nėra vertinami.</w:t>
      </w:r>
      <w:r w:rsidRPr="00E674BF">
        <w:t xml:space="preserve"> </w:t>
      </w:r>
      <w:r>
        <w:t>KMA apima tik vaistinių preparatų įsigijimo kaštus vienerių ir sekančių metų laikotarpiu (kadangi skiriasi pirmaisiais ir sekančiais metais dozavimas).</w:t>
      </w:r>
    </w:p>
    <w:p w14:paraId="7ECF520C" w14:textId="77777777" w:rsidR="00312D0D" w:rsidRDefault="00312D0D" w:rsidP="00E11559">
      <w:pPr>
        <w:pStyle w:val="Sraopastraipa"/>
        <w:tabs>
          <w:tab w:val="left" w:pos="270"/>
        </w:tabs>
        <w:spacing w:line="276" w:lineRule="auto"/>
        <w:ind w:left="0"/>
        <w:jc w:val="both"/>
        <w:rPr>
          <w:rFonts w:eastAsiaTheme="minorHAnsi"/>
        </w:rPr>
      </w:pPr>
      <w:r>
        <w:tab/>
        <w:t>Apskaičiuojant kaštus taikomos prielaidos, kad: 1) r</w:t>
      </w:r>
      <w:r w:rsidRPr="00690601">
        <w:t>isankizumabo</w:t>
      </w:r>
      <w:r>
        <w:t xml:space="preserve"> dozavimas pagrįsta</w:t>
      </w:r>
      <w:r>
        <w:rPr>
          <w:rFonts w:eastAsiaTheme="minorHAnsi"/>
        </w:rPr>
        <w:t>s</w:t>
      </w:r>
      <w:r w:rsidRPr="00690601">
        <w:rPr>
          <w:rFonts w:eastAsiaTheme="minorHAnsi"/>
        </w:rPr>
        <w:t xml:space="preserve"> SEQUENCE klinikinio tyrimo metu stebėtais duomenimis, t.y. </w:t>
      </w:r>
      <w:r w:rsidRPr="00690601">
        <w:rPr>
          <w:rFonts w:eastAsiaTheme="majorEastAsia"/>
        </w:rPr>
        <w:t>kas 8 sav. nuo 12 sav. skiriama 50 proc. pacientų - 360 mg ir 50 proc. - 90 mg.</w:t>
      </w:r>
      <w:r>
        <w:t xml:space="preserve"> 2) </w:t>
      </w:r>
      <w:r>
        <w:rPr>
          <w:iCs/>
        </w:rPr>
        <w:t>U</w:t>
      </w:r>
      <w:r w:rsidRPr="000A2D49">
        <w:rPr>
          <w:iCs/>
        </w:rPr>
        <w:t xml:space="preserve">stekinumabas </w:t>
      </w:r>
      <w:r>
        <w:rPr>
          <w:iCs/>
        </w:rPr>
        <w:t>yra</w:t>
      </w:r>
      <w:r w:rsidRPr="000A2D49">
        <w:rPr>
          <w:iCs/>
        </w:rPr>
        <w:t xml:space="preserve"> skiriamas kas 12 sav.</w:t>
      </w:r>
      <w:r>
        <w:rPr>
          <w:iCs/>
        </w:rPr>
        <w:t xml:space="preserve"> </w:t>
      </w:r>
      <w:r w:rsidRPr="000A2D49">
        <w:rPr>
          <w:iCs/>
        </w:rPr>
        <w:t>36 proc. pacientų, 64 proc. – kas 8 sav., (VLK pateikti duomenys pagal 2022 m. IS Sveidra faktinius duomenis</w:t>
      </w:r>
      <w:r w:rsidRPr="000A2D49">
        <w:t>).</w:t>
      </w:r>
      <w:r>
        <w:t xml:space="preserve"> Tarnyba vertina, kad nėra pagrindo manyti, jog gydymo trukmė bus skirtinga, atsižvelgiant, kad gydymo efektyvumas vertinamas panašiu, vaistai yra skiriami tuo pačiu periodiškumu (stebėsena) bei nėra skirtumo tarp nepageidaujamo poveikio ir nutraukimo dažnio stebėto </w:t>
      </w:r>
      <w:r w:rsidRPr="00690601">
        <w:rPr>
          <w:rFonts w:eastAsiaTheme="minorHAnsi"/>
        </w:rPr>
        <w:t>SEQUENCE</w:t>
      </w:r>
      <w:r>
        <w:rPr>
          <w:rFonts w:eastAsiaTheme="minorHAnsi"/>
        </w:rPr>
        <w:t xml:space="preserve"> klinikinio tyrimo metu.</w:t>
      </w:r>
    </w:p>
    <w:p w14:paraId="71FECE54" w14:textId="615C4F04" w:rsidR="00312D0D" w:rsidRPr="00FF46A1" w:rsidRDefault="00312D0D" w:rsidP="00E11559">
      <w:pPr>
        <w:pStyle w:val="Sraopastraipa"/>
        <w:tabs>
          <w:tab w:val="left" w:pos="270"/>
        </w:tabs>
        <w:spacing w:line="276" w:lineRule="auto"/>
        <w:ind w:left="0"/>
        <w:jc w:val="both"/>
        <w:rPr>
          <w:lang w:eastAsia="lt-LT"/>
        </w:rPr>
      </w:pPr>
      <w:r>
        <w:rPr>
          <w:rFonts w:eastAsiaTheme="minorHAnsi"/>
        </w:rPr>
        <w:tab/>
      </w:r>
      <w:r>
        <w:t xml:space="preserve">KMA rezultatai apskaičiuoti taikant </w:t>
      </w:r>
      <w:r w:rsidRPr="005E0FE6">
        <w:rPr>
          <w:rFonts w:eastAsiaTheme="minorHAnsi"/>
        </w:rPr>
        <w:t xml:space="preserve">risankizumabo </w:t>
      </w:r>
      <w:r w:rsidRPr="005E0FE6">
        <w:rPr>
          <w:rFonts w:eastAsiaTheme="minorHAnsi"/>
          <w:bCs/>
        </w:rPr>
        <w:t>(Skyrizi)</w:t>
      </w:r>
      <w:r>
        <w:t xml:space="preserve"> bazines pakuočių kaina</w:t>
      </w:r>
      <w:r w:rsidRPr="005E0FE6">
        <w:rPr>
          <w:rFonts w:eastAsiaTheme="minorHAnsi"/>
        </w:rPr>
        <w:t>s su</w:t>
      </w:r>
      <w:r>
        <w:t xml:space="preserve"> nuolaida (su</w:t>
      </w:r>
      <w:r w:rsidRPr="005E0FE6">
        <w:rPr>
          <w:rFonts w:eastAsiaTheme="minorHAnsi"/>
        </w:rPr>
        <w:t xml:space="preserve"> PGS</w:t>
      </w:r>
      <w:r>
        <w:t>)</w:t>
      </w:r>
      <w:r>
        <w:rPr>
          <w:rFonts w:eastAsiaTheme="minorHAnsi"/>
        </w:rPr>
        <w:t xml:space="preserve"> ir ustekinumabo </w:t>
      </w:r>
      <w:r>
        <w:t>kainas</w:t>
      </w:r>
      <w:r>
        <w:rPr>
          <w:rFonts w:eastAsiaTheme="minorHAnsi"/>
        </w:rPr>
        <w:t xml:space="preserve"> pagal 2025 m. I pusm. projektinį kainyną.</w:t>
      </w:r>
      <w:r>
        <w:t xml:space="preserve"> </w:t>
      </w:r>
    </w:p>
    <w:p w14:paraId="4452AFB4" w14:textId="77777777" w:rsidR="00312D0D" w:rsidRPr="00E33EFF" w:rsidRDefault="00312D0D" w:rsidP="00A93AA6">
      <w:pPr>
        <w:tabs>
          <w:tab w:val="left" w:pos="426"/>
        </w:tabs>
        <w:rPr>
          <w:b/>
          <w:bCs/>
          <w:caps/>
        </w:rPr>
      </w:pPr>
    </w:p>
    <w:p w14:paraId="174D84D7" w14:textId="102A896C" w:rsidR="0035172D" w:rsidRDefault="0035172D" w:rsidP="00312D0D">
      <w:pPr>
        <w:tabs>
          <w:tab w:val="left" w:pos="426"/>
        </w:tabs>
        <w:jc w:val="center"/>
        <w:rPr>
          <w:b/>
          <w:lang w:eastAsia="lt-LT"/>
        </w:rPr>
      </w:pPr>
      <w:r w:rsidRPr="00E33EFF">
        <w:rPr>
          <w:b/>
          <w:lang w:eastAsia="lt-LT"/>
        </w:rPr>
        <w:t>Ekonominės analizės rezultatas</w:t>
      </w:r>
    </w:p>
    <w:p w14:paraId="4AE6B2B9" w14:textId="1E628A7D" w:rsidR="00312D0D" w:rsidRDefault="00312D0D" w:rsidP="00312D0D">
      <w:pPr>
        <w:tabs>
          <w:tab w:val="left" w:pos="426"/>
        </w:tabs>
        <w:jc w:val="center"/>
        <w:rPr>
          <w:b/>
          <w:lang w:eastAsia="lt-LT"/>
        </w:rPr>
      </w:pPr>
    </w:p>
    <w:tbl>
      <w:tblPr>
        <w:tblStyle w:val="Lentelstinklelis"/>
        <w:tblW w:w="0" w:type="auto"/>
        <w:tblLook w:val="04A0" w:firstRow="1" w:lastRow="0" w:firstColumn="1" w:lastColumn="0" w:noHBand="0" w:noVBand="1"/>
      </w:tblPr>
      <w:tblGrid>
        <w:gridCol w:w="2657"/>
        <w:gridCol w:w="2324"/>
        <w:gridCol w:w="2324"/>
        <w:gridCol w:w="2324"/>
      </w:tblGrid>
      <w:tr w:rsidR="00312D0D" w14:paraId="5CF02D7D" w14:textId="3C9A9593" w:rsidTr="00312D0D">
        <w:trPr>
          <w:trHeight w:val="271"/>
        </w:trPr>
        <w:tc>
          <w:tcPr>
            <w:tcW w:w="2657" w:type="dxa"/>
          </w:tcPr>
          <w:p w14:paraId="580FFDEC" w14:textId="75A4F264" w:rsidR="00312D0D" w:rsidRDefault="00312D0D" w:rsidP="00312D0D">
            <w:pPr>
              <w:tabs>
                <w:tab w:val="left" w:pos="426"/>
              </w:tabs>
              <w:jc w:val="center"/>
              <w:rPr>
                <w:b/>
                <w:lang w:eastAsia="lt-LT"/>
              </w:rPr>
            </w:pPr>
          </w:p>
        </w:tc>
        <w:tc>
          <w:tcPr>
            <w:tcW w:w="2324" w:type="dxa"/>
          </w:tcPr>
          <w:p w14:paraId="788D39D2" w14:textId="2644FA02" w:rsidR="00312D0D" w:rsidRDefault="00312D0D" w:rsidP="00312D0D">
            <w:pPr>
              <w:tabs>
                <w:tab w:val="left" w:pos="426"/>
              </w:tabs>
              <w:jc w:val="center"/>
              <w:rPr>
                <w:b/>
                <w:lang w:eastAsia="lt-LT"/>
              </w:rPr>
            </w:pPr>
            <w:r w:rsidRPr="00943DB1">
              <w:rPr>
                <w:rFonts w:eastAsiaTheme="majorEastAsia"/>
                <w:b/>
                <w:bCs/>
              </w:rPr>
              <w:t>Risankizumab</w:t>
            </w:r>
            <w:r>
              <w:rPr>
                <w:rFonts w:eastAsiaTheme="majorEastAsia"/>
                <w:b/>
                <w:bCs/>
              </w:rPr>
              <w:t>as</w:t>
            </w:r>
            <w:r w:rsidRPr="00943DB1">
              <w:rPr>
                <w:rFonts w:eastAsiaTheme="majorEastAsia"/>
                <w:b/>
                <w:bCs/>
              </w:rPr>
              <w:t xml:space="preserve"> (Skyrizi)</w:t>
            </w:r>
          </w:p>
        </w:tc>
        <w:tc>
          <w:tcPr>
            <w:tcW w:w="2324" w:type="dxa"/>
          </w:tcPr>
          <w:p w14:paraId="182CA766" w14:textId="53F3CF27" w:rsidR="00312D0D" w:rsidRDefault="00312D0D" w:rsidP="00312D0D">
            <w:pPr>
              <w:tabs>
                <w:tab w:val="left" w:pos="426"/>
              </w:tabs>
              <w:jc w:val="center"/>
              <w:rPr>
                <w:b/>
                <w:lang w:eastAsia="lt-LT"/>
              </w:rPr>
            </w:pPr>
            <w:r w:rsidRPr="00943DB1">
              <w:rPr>
                <w:rFonts w:eastAsiaTheme="majorEastAsia"/>
                <w:b/>
                <w:bCs/>
              </w:rPr>
              <w:t>Ustekinumabas</w:t>
            </w:r>
          </w:p>
        </w:tc>
        <w:tc>
          <w:tcPr>
            <w:tcW w:w="2324" w:type="dxa"/>
          </w:tcPr>
          <w:p w14:paraId="1168F3EF" w14:textId="7FAD4172" w:rsidR="00312D0D" w:rsidRDefault="00312D0D" w:rsidP="00312D0D">
            <w:pPr>
              <w:tabs>
                <w:tab w:val="left" w:pos="426"/>
              </w:tabs>
              <w:jc w:val="center"/>
              <w:rPr>
                <w:b/>
                <w:lang w:eastAsia="lt-LT"/>
              </w:rPr>
            </w:pPr>
            <w:r>
              <w:rPr>
                <w:b/>
                <w:lang w:eastAsia="lt-LT"/>
              </w:rPr>
              <w:t>Skirtumas</w:t>
            </w:r>
          </w:p>
        </w:tc>
      </w:tr>
      <w:tr w:rsidR="00312D0D" w14:paraId="1F88F8F4" w14:textId="0262CEE7" w:rsidTr="00312D0D">
        <w:trPr>
          <w:trHeight w:val="261"/>
        </w:trPr>
        <w:tc>
          <w:tcPr>
            <w:tcW w:w="2657" w:type="dxa"/>
          </w:tcPr>
          <w:p w14:paraId="050E0C86" w14:textId="4EC20BF0" w:rsidR="00312D0D" w:rsidRPr="00312D0D" w:rsidRDefault="00312D0D" w:rsidP="00312D0D">
            <w:pPr>
              <w:tabs>
                <w:tab w:val="left" w:pos="426"/>
              </w:tabs>
              <w:jc w:val="center"/>
              <w:rPr>
                <w:lang w:eastAsia="lt-LT"/>
              </w:rPr>
            </w:pPr>
            <w:r w:rsidRPr="00312D0D">
              <w:rPr>
                <w:lang w:eastAsia="lt-LT"/>
              </w:rPr>
              <w:t xml:space="preserve">Metinė gydymo kaina </w:t>
            </w:r>
            <w:r w:rsidRPr="00312D0D">
              <w:rPr>
                <w:b/>
                <w:i/>
                <w:lang w:eastAsia="lt-LT"/>
              </w:rPr>
              <w:t>(pirmieji metai)</w:t>
            </w:r>
          </w:p>
        </w:tc>
        <w:tc>
          <w:tcPr>
            <w:tcW w:w="2324" w:type="dxa"/>
          </w:tcPr>
          <w:p w14:paraId="07032AAE" w14:textId="12105DB4" w:rsidR="00312D0D" w:rsidRDefault="00EC446E" w:rsidP="00312D0D">
            <w:pPr>
              <w:tabs>
                <w:tab w:val="left" w:pos="426"/>
              </w:tabs>
              <w:jc w:val="center"/>
              <w:rPr>
                <w:b/>
                <w:lang w:eastAsia="lt-LT"/>
              </w:rPr>
            </w:pPr>
            <w:r>
              <w:rPr>
                <w:rFonts w:eastAsiaTheme="majorEastAsia"/>
              </w:rPr>
              <w:t>***</w:t>
            </w:r>
          </w:p>
        </w:tc>
        <w:tc>
          <w:tcPr>
            <w:tcW w:w="2324" w:type="dxa"/>
          </w:tcPr>
          <w:p w14:paraId="2A131B4B" w14:textId="18BF3BE6" w:rsidR="00312D0D" w:rsidRDefault="00EC446E" w:rsidP="00312D0D">
            <w:pPr>
              <w:tabs>
                <w:tab w:val="left" w:pos="426"/>
              </w:tabs>
              <w:jc w:val="center"/>
              <w:rPr>
                <w:b/>
                <w:lang w:eastAsia="lt-LT"/>
              </w:rPr>
            </w:pPr>
            <w:r>
              <w:rPr>
                <w:b/>
              </w:rPr>
              <w:t>***</w:t>
            </w:r>
          </w:p>
        </w:tc>
        <w:tc>
          <w:tcPr>
            <w:tcW w:w="2324" w:type="dxa"/>
          </w:tcPr>
          <w:p w14:paraId="36F03DFC" w14:textId="23AD61BE" w:rsidR="00312D0D" w:rsidRPr="00312D0D" w:rsidRDefault="00EC446E" w:rsidP="00312D0D">
            <w:pPr>
              <w:pStyle w:val="Pagrindinistekstas"/>
              <w:spacing w:before="0" w:after="0"/>
              <w:rPr>
                <w:rFonts w:eastAsiaTheme="majorEastAsia"/>
                <w:szCs w:val="24"/>
              </w:rPr>
            </w:pPr>
            <w:r>
              <w:rPr>
                <w:rFonts w:eastAsiaTheme="majorEastAsia"/>
                <w:szCs w:val="24"/>
              </w:rPr>
              <w:t>***</w:t>
            </w:r>
            <w:r w:rsidR="00312D0D" w:rsidRPr="00312D0D">
              <w:rPr>
                <w:rFonts w:eastAsiaTheme="majorEastAsia"/>
                <w:szCs w:val="24"/>
              </w:rPr>
              <w:t xml:space="preserve"> Eur., </w:t>
            </w:r>
          </w:p>
          <w:p w14:paraId="23A81470" w14:textId="3F147A41" w:rsidR="00312D0D" w:rsidRPr="00312D0D" w:rsidRDefault="00EC446E" w:rsidP="00312D0D">
            <w:pPr>
              <w:tabs>
                <w:tab w:val="left" w:pos="426"/>
              </w:tabs>
              <w:rPr>
                <w:lang w:eastAsia="lt-LT"/>
              </w:rPr>
            </w:pPr>
            <w:r>
              <w:rPr>
                <w:rFonts w:eastAsiaTheme="majorEastAsia"/>
              </w:rPr>
              <w:t>*</w:t>
            </w:r>
            <w:r w:rsidR="00312D0D" w:rsidRPr="00312D0D">
              <w:rPr>
                <w:rFonts w:eastAsiaTheme="majorEastAsia"/>
              </w:rPr>
              <w:t xml:space="preserve"> proc.</w:t>
            </w:r>
          </w:p>
        </w:tc>
      </w:tr>
      <w:tr w:rsidR="00312D0D" w14:paraId="371A1C75" w14:textId="0224E017" w:rsidTr="00312D0D">
        <w:trPr>
          <w:trHeight w:val="271"/>
        </w:trPr>
        <w:tc>
          <w:tcPr>
            <w:tcW w:w="2657" w:type="dxa"/>
          </w:tcPr>
          <w:p w14:paraId="64C374C4" w14:textId="1B42D595" w:rsidR="00312D0D" w:rsidRPr="00312D0D" w:rsidRDefault="00312D0D" w:rsidP="00312D0D">
            <w:pPr>
              <w:tabs>
                <w:tab w:val="left" w:pos="426"/>
              </w:tabs>
              <w:jc w:val="center"/>
              <w:rPr>
                <w:lang w:eastAsia="lt-LT"/>
              </w:rPr>
            </w:pPr>
            <w:r w:rsidRPr="00312D0D">
              <w:rPr>
                <w:lang w:eastAsia="lt-LT"/>
              </w:rPr>
              <w:t xml:space="preserve">Metinė gydymo kaina </w:t>
            </w:r>
            <w:r w:rsidRPr="00312D0D">
              <w:rPr>
                <w:b/>
                <w:i/>
                <w:lang w:eastAsia="lt-LT"/>
              </w:rPr>
              <w:t>(sekantys metai)</w:t>
            </w:r>
          </w:p>
        </w:tc>
        <w:tc>
          <w:tcPr>
            <w:tcW w:w="2324" w:type="dxa"/>
          </w:tcPr>
          <w:p w14:paraId="39637206" w14:textId="0D18E4C3" w:rsidR="00312D0D" w:rsidRDefault="00EC446E" w:rsidP="00312D0D">
            <w:pPr>
              <w:tabs>
                <w:tab w:val="left" w:pos="426"/>
              </w:tabs>
              <w:jc w:val="center"/>
              <w:rPr>
                <w:b/>
                <w:lang w:eastAsia="lt-LT"/>
              </w:rPr>
            </w:pPr>
            <w:r>
              <w:rPr>
                <w:rFonts w:eastAsiaTheme="majorEastAsia"/>
              </w:rPr>
              <w:t>***</w:t>
            </w:r>
          </w:p>
        </w:tc>
        <w:tc>
          <w:tcPr>
            <w:tcW w:w="2324" w:type="dxa"/>
          </w:tcPr>
          <w:p w14:paraId="49F107CD" w14:textId="4AD40898" w:rsidR="00312D0D" w:rsidRDefault="00EC446E" w:rsidP="00312D0D">
            <w:pPr>
              <w:tabs>
                <w:tab w:val="left" w:pos="426"/>
              </w:tabs>
              <w:jc w:val="center"/>
              <w:rPr>
                <w:b/>
                <w:lang w:eastAsia="lt-LT"/>
              </w:rPr>
            </w:pPr>
            <w:r>
              <w:rPr>
                <w:rFonts w:eastAsiaTheme="majorEastAsia"/>
              </w:rPr>
              <w:t>***</w:t>
            </w:r>
          </w:p>
        </w:tc>
        <w:tc>
          <w:tcPr>
            <w:tcW w:w="2324" w:type="dxa"/>
          </w:tcPr>
          <w:p w14:paraId="2DA359B9" w14:textId="164319BE" w:rsidR="00312D0D" w:rsidRPr="00312D0D" w:rsidRDefault="00EC446E" w:rsidP="00312D0D">
            <w:pPr>
              <w:pStyle w:val="Pagrindinistekstas"/>
              <w:spacing w:before="0" w:after="0"/>
              <w:rPr>
                <w:rFonts w:eastAsiaTheme="majorEastAsia"/>
                <w:szCs w:val="24"/>
              </w:rPr>
            </w:pPr>
            <w:r>
              <w:rPr>
                <w:rFonts w:eastAsiaTheme="majorEastAsia"/>
                <w:szCs w:val="24"/>
              </w:rPr>
              <w:t>***</w:t>
            </w:r>
            <w:r w:rsidR="00312D0D" w:rsidRPr="00312D0D">
              <w:rPr>
                <w:rFonts w:eastAsiaTheme="majorEastAsia"/>
                <w:szCs w:val="24"/>
              </w:rPr>
              <w:t xml:space="preserve"> Eur., </w:t>
            </w:r>
          </w:p>
          <w:p w14:paraId="5BB57CD7" w14:textId="1857BEF7" w:rsidR="00312D0D" w:rsidRPr="00312D0D" w:rsidRDefault="00EC446E" w:rsidP="00312D0D">
            <w:pPr>
              <w:tabs>
                <w:tab w:val="left" w:pos="426"/>
              </w:tabs>
              <w:rPr>
                <w:lang w:eastAsia="lt-LT"/>
              </w:rPr>
            </w:pPr>
            <w:r>
              <w:rPr>
                <w:rFonts w:eastAsiaTheme="majorEastAsia"/>
              </w:rPr>
              <w:t>*</w:t>
            </w:r>
            <w:r w:rsidR="00312D0D" w:rsidRPr="00312D0D">
              <w:rPr>
                <w:rFonts w:eastAsiaTheme="majorEastAsia"/>
              </w:rPr>
              <w:t xml:space="preserve"> proc.</w:t>
            </w:r>
          </w:p>
        </w:tc>
      </w:tr>
      <w:tr w:rsidR="00312D0D" w14:paraId="32404281" w14:textId="77777777" w:rsidTr="00E96AF7">
        <w:trPr>
          <w:trHeight w:val="271"/>
        </w:trPr>
        <w:tc>
          <w:tcPr>
            <w:tcW w:w="7305" w:type="dxa"/>
            <w:gridSpan w:val="3"/>
          </w:tcPr>
          <w:p w14:paraId="307B0443" w14:textId="20662D9D" w:rsidR="00312D0D" w:rsidRDefault="00312D0D" w:rsidP="00312D0D">
            <w:pPr>
              <w:tabs>
                <w:tab w:val="left" w:pos="426"/>
              </w:tabs>
              <w:jc w:val="center"/>
              <w:rPr>
                <w:b/>
                <w:lang w:eastAsia="lt-LT"/>
              </w:rPr>
            </w:pPr>
            <w:r w:rsidRPr="00312D0D">
              <w:rPr>
                <w:rFonts w:eastAsiaTheme="majorEastAsia"/>
                <w:b/>
                <w:bCs/>
              </w:rPr>
              <w:t>Viso</w:t>
            </w:r>
            <w:r>
              <w:rPr>
                <w:rFonts w:eastAsiaTheme="majorEastAsia"/>
                <w:b/>
                <w:bCs/>
              </w:rPr>
              <w:t xml:space="preserve"> bendrieji kaštai</w:t>
            </w:r>
            <w:r w:rsidRPr="00312D0D">
              <w:rPr>
                <w:rFonts w:eastAsiaTheme="majorEastAsia"/>
                <w:bCs/>
              </w:rPr>
              <w:t xml:space="preserve"> (pirmaisiais ir sekančiais metais)</w:t>
            </w:r>
          </w:p>
        </w:tc>
        <w:tc>
          <w:tcPr>
            <w:tcW w:w="2324" w:type="dxa"/>
          </w:tcPr>
          <w:p w14:paraId="7A5F39FB" w14:textId="055B2C11" w:rsidR="00312D0D" w:rsidRDefault="00EC446E" w:rsidP="00312D0D">
            <w:pPr>
              <w:tabs>
                <w:tab w:val="left" w:pos="426"/>
              </w:tabs>
              <w:jc w:val="center"/>
              <w:rPr>
                <w:b/>
                <w:lang w:eastAsia="lt-LT"/>
              </w:rPr>
            </w:pPr>
            <w:r>
              <w:rPr>
                <w:rFonts w:eastAsiaTheme="majorEastAsia"/>
                <w:b/>
              </w:rPr>
              <w:t>***</w:t>
            </w:r>
            <w:r w:rsidR="00312D0D" w:rsidRPr="00943DB1">
              <w:rPr>
                <w:rFonts w:eastAsiaTheme="majorEastAsia"/>
                <w:b/>
              </w:rPr>
              <w:t xml:space="preserve"> proc.</w:t>
            </w:r>
          </w:p>
        </w:tc>
      </w:tr>
    </w:tbl>
    <w:p w14:paraId="33875138" w14:textId="0A7D0CF4" w:rsidR="0035172D" w:rsidRDefault="0035172D" w:rsidP="00A93AA6">
      <w:pPr>
        <w:tabs>
          <w:tab w:val="left" w:pos="426"/>
        </w:tabs>
        <w:rPr>
          <w:b/>
          <w:bCs/>
          <w:caps/>
        </w:rPr>
      </w:pPr>
    </w:p>
    <w:p w14:paraId="3B731485" w14:textId="32A3C693" w:rsidR="00312D0D" w:rsidRDefault="00312D0D" w:rsidP="00312D0D">
      <w:pPr>
        <w:pStyle w:val="Sraopastraipa"/>
        <w:tabs>
          <w:tab w:val="left" w:pos="270"/>
        </w:tabs>
        <w:spacing w:line="276" w:lineRule="auto"/>
        <w:ind w:left="0"/>
        <w:jc w:val="both"/>
        <w:rPr>
          <w:u w:val="single"/>
          <w:lang w:eastAsia="lt-LT"/>
        </w:rPr>
      </w:pPr>
      <w:r>
        <w:rPr>
          <w:lang w:eastAsia="lt-LT"/>
        </w:rPr>
        <w:lastRenderedPageBreak/>
        <w:tab/>
        <w:t xml:space="preserve">Gautais ekonominės analizės rezultatais, vertinant vienerių bei sekančiųjų metų laikotarpiu risankizumabo ir ustekinumabo įsigijimo </w:t>
      </w:r>
      <w:r w:rsidRPr="00FF46A1">
        <w:rPr>
          <w:lang w:eastAsia="lt-LT"/>
        </w:rPr>
        <w:t xml:space="preserve">kaštus, matyti, kad risankizumabo kaštai yra didesni </w:t>
      </w:r>
      <w:r w:rsidR="00EC446E">
        <w:rPr>
          <w:lang w:eastAsia="lt-LT"/>
        </w:rPr>
        <w:t>***</w:t>
      </w:r>
      <w:r w:rsidRPr="00FF46A1">
        <w:rPr>
          <w:lang w:eastAsia="lt-LT"/>
        </w:rPr>
        <w:t xml:space="preserve"> proc. (</w:t>
      </w:r>
      <w:r w:rsidR="00EC446E">
        <w:rPr>
          <w:lang w:eastAsia="lt-LT"/>
        </w:rPr>
        <w:t>***</w:t>
      </w:r>
      <w:r w:rsidRPr="00FF46A1">
        <w:rPr>
          <w:lang w:eastAsia="lt-LT"/>
        </w:rPr>
        <w:t xml:space="preserve"> proc. pirmaisiais ir </w:t>
      </w:r>
      <w:r w:rsidR="00EC446E">
        <w:rPr>
          <w:lang w:eastAsia="lt-LT"/>
        </w:rPr>
        <w:t>***</w:t>
      </w:r>
      <w:r w:rsidRPr="00FF46A1">
        <w:rPr>
          <w:lang w:eastAsia="lt-LT"/>
        </w:rPr>
        <w:t xml:space="preserve"> proc. sekančiais metais).</w:t>
      </w:r>
    </w:p>
    <w:p w14:paraId="14B32DCB" w14:textId="4EA00A6E" w:rsidR="00E0646D" w:rsidRDefault="00312D0D" w:rsidP="00E0646D">
      <w:pPr>
        <w:shd w:val="clear" w:color="auto" w:fill="FFFFFF"/>
        <w:spacing w:line="276" w:lineRule="auto"/>
        <w:jc w:val="both"/>
        <w:rPr>
          <w:rFonts w:eastAsia="Arial"/>
          <w:i/>
        </w:rPr>
      </w:pPr>
      <w:r w:rsidRPr="00FF46A1">
        <w:rPr>
          <w:lang w:eastAsia="lt-LT"/>
        </w:rPr>
        <w:tab/>
        <w:t xml:space="preserve">Siekiant kaštų mažinimo, </w:t>
      </w:r>
      <w:r w:rsidRPr="00FF46A1">
        <w:rPr>
          <w:rFonts w:eastAsiaTheme="minorHAnsi"/>
        </w:rPr>
        <w:t xml:space="preserve">risankizumabo </w:t>
      </w:r>
      <w:r w:rsidRPr="00FF46A1">
        <w:rPr>
          <w:rFonts w:eastAsiaTheme="minorHAnsi"/>
          <w:bCs/>
        </w:rPr>
        <w:t xml:space="preserve">(Skyrizi) kainą reikalinga sumažinti </w:t>
      </w:r>
      <w:r w:rsidRPr="00FF46A1">
        <w:rPr>
          <w:rFonts w:eastAsiaTheme="minorHAnsi"/>
          <w:bCs/>
          <w:i/>
          <w:u w:val="single"/>
        </w:rPr>
        <w:t xml:space="preserve">ne mažiau </w:t>
      </w:r>
      <w:r w:rsidR="00EC446E">
        <w:rPr>
          <w:rFonts w:eastAsiaTheme="minorHAnsi"/>
          <w:bCs/>
          <w:i/>
          <w:u w:val="single"/>
        </w:rPr>
        <w:t>***</w:t>
      </w:r>
      <w:r w:rsidRPr="00FF46A1">
        <w:rPr>
          <w:rFonts w:eastAsiaTheme="minorHAnsi"/>
          <w:bCs/>
          <w:i/>
          <w:u w:val="single"/>
        </w:rPr>
        <w:t xml:space="preserve"> proc.</w:t>
      </w:r>
      <w:r w:rsidR="00E0646D" w:rsidRPr="00E0646D">
        <w:rPr>
          <w:rFonts w:eastAsia="Arial"/>
          <w:i/>
        </w:rPr>
        <w:t xml:space="preserve"> </w:t>
      </w:r>
    </w:p>
    <w:p w14:paraId="03F2507C" w14:textId="6F292BC2" w:rsidR="00E0646D" w:rsidRPr="00312D0D" w:rsidRDefault="00E0646D" w:rsidP="00E0646D">
      <w:pPr>
        <w:shd w:val="clear" w:color="auto" w:fill="FFFFFF"/>
        <w:spacing w:line="276" w:lineRule="auto"/>
        <w:ind w:firstLine="720"/>
        <w:jc w:val="both"/>
        <w:rPr>
          <w:rFonts w:eastAsia="Arial"/>
          <w:i/>
          <w:lang w:val="en-US"/>
        </w:rPr>
      </w:pPr>
      <w:r w:rsidRPr="00AC58C8">
        <w:rPr>
          <w:rFonts w:eastAsia="Arial"/>
          <w:iCs/>
        </w:rPr>
        <w:t xml:space="preserve">Atkreiptinas dėmesys, kad siekiant jog </w:t>
      </w:r>
      <w:r w:rsidRPr="00AC58C8">
        <w:rPr>
          <w:rFonts w:eastAsiaTheme="minorHAnsi"/>
          <w:iCs/>
        </w:rPr>
        <w:t xml:space="preserve">risankizumabo </w:t>
      </w:r>
      <w:r w:rsidRPr="00AC58C8">
        <w:rPr>
          <w:rFonts w:eastAsiaTheme="minorHAnsi"/>
          <w:bCs/>
          <w:iCs/>
        </w:rPr>
        <w:t xml:space="preserve">(Skyrizi) </w:t>
      </w:r>
      <w:r w:rsidRPr="00AC58C8">
        <w:rPr>
          <w:rFonts w:eastAsia="Arial"/>
          <w:iCs/>
        </w:rPr>
        <w:t xml:space="preserve">teikiama kaina atitiktų </w:t>
      </w:r>
      <w:r w:rsidRPr="002A024D">
        <w:t>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w:t>
      </w:r>
      <w:r w:rsidRPr="00AC58C8">
        <w:rPr>
          <w:rFonts w:eastAsia="Arial"/>
          <w:iCs/>
        </w:rPr>
        <w:t xml:space="preserve"> papunktį </w:t>
      </w:r>
      <w:r w:rsidRPr="00AC58C8">
        <w:rPr>
          <w:iCs/>
          <w:color w:val="000000"/>
        </w:rPr>
        <w:t>54.1</w:t>
      </w:r>
      <w:r w:rsidRPr="00AC58C8">
        <w:rPr>
          <w:iCs/>
          <w:color w:val="000000"/>
          <w:vertAlign w:val="superscript"/>
        </w:rPr>
        <w:t>1</w:t>
      </w:r>
      <w:r w:rsidRPr="00AC58C8">
        <w:rPr>
          <w:rFonts w:eastAsia="Arial"/>
          <w:iCs/>
        </w:rPr>
        <w:t xml:space="preserve"> </w:t>
      </w:r>
      <w:r w:rsidRPr="00AC58C8">
        <w:rPr>
          <w:iCs/>
          <w:color w:val="000000"/>
        </w:rPr>
        <w:t>&lt;...gydymo vaistiniu preparatu kaštai, mažėja ne mažiau kaip 5 proc..&gt;,</w:t>
      </w:r>
      <w:r w:rsidRPr="00AC58C8">
        <w:rPr>
          <w:rFonts w:eastAsia="Arial"/>
          <w:iCs/>
        </w:rPr>
        <w:t xml:space="preserve"> </w:t>
      </w:r>
      <w:r w:rsidRPr="00AC58C8">
        <w:rPr>
          <w:rFonts w:eastAsiaTheme="minorHAnsi"/>
          <w:iCs/>
        </w:rPr>
        <w:t xml:space="preserve">risankizumabo </w:t>
      </w:r>
      <w:r w:rsidRPr="00AC58C8">
        <w:rPr>
          <w:rFonts w:eastAsiaTheme="minorHAnsi"/>
          <w:bCs/>
          <w:iCs/>
        </w:rPr>
        <w:t xml:space="preserve">(Skyrizi) </w:t>
      </w:r>
      <w:r w:rsidRPr="00AC58C8">
        <w:rPr>
          <w:rFonts w:eastAsia="Arial"/>
          <w:iCs/>
        </w:rPr>
        <w:t xml:space="preserve">kaštai atitinkamai turi būti sumažinti </w:t>
      </w:r>
      <w:r w:rsidRPr="00312D0D">
        <w:rPr>
          <w:rFonts w:eastAsia="Arial"/>
          <w:i/>
          <w:u w:val="single"/>
        </w:rPr>
        <w:t xml:space="preserve">ne mažiau </w:t>
      </w:r>
      <w:r w:rsidR="00EC446E">
        <w:rPr>
          <w:rFonts w:eastAsia="Arial"/>
          <w:i/>
          <w:u w:val="single"/>
        </w:rPr>
        <w:t>***</w:t>
      </w:r>
      <w:r w:rsidRPr="00312D0D">
        <w:rPr>
          <w:rFonts w:eastAsia="Arial"/>
          <w:i/>
          <w:u w:val="single"/>
        </w:rPr>
        <w:t xml:space="preserve"> proc.</w:t>
      </w:r>
    </w:p>
    <w:p w14:paraId="48E6F53A" w14:textId="02064CEA" w:rsidR="00312D0D" w:rsidRPr="00FF46A1" w:rsidRDefault="00312D0D" w:rsidP="00312D0D">
      <w:pPr>
        <w:pStyle w:val="Sraopastraipa"/>
        <w:tabs>
          <w:tab w:val="left" w:pos="270"/>
        </w:tabs>
        <w:spacing w:line="276" w:lineRule="auto"/>
        <w:ind w:left="0"/>
        <w:jc w:val="both"/>
        <w:rPr>
          <w:lang w:eastAsia="lt-LT"/>
        </w:rPr>
      </w:pPr>
    </w:p>
    <w:p w14:paraId="0768F359" w14:textId="77777777" w:rsidR="00312D0D" w:rsidRPr="00E33EFF" w:rsidRDefault="00312D0D" w:rsidP="00A93AA6">
      <w:pPr>
        <w:tabs>
          <w:tab w:val="left" w:pos="426"/>
        </w:tabs>
        <w:rPr>
          <w:b/>
          <w:bCs/>
          <w:caps/>
        </w:rPr>
      </w:pPr>
    </w:p>
    <w:p w14:paraId="4FC424F9" w14:textId="4E767245" w:rsidR="00C62B36" w:rsidRPr="00E33EFF" w:rsidRDefault="00C62B36" w:rsidP="00CC09D4">
      <w:pPr>
        <w:pStyle w:val="Sraopastraipa"/>
        <w:numPr>
          <w:ilvl w:val="0"/>
          <w:numId w:val="12"/>
        </w:numPr>
        <w:tabs>
          <w:tab w:val="left" w:pos="567"/>
        </w:tabs>
        <w:ind w:hanging="720"/>
        <w:rPr>
          <w:b/>
          <w:bCs/>
          <w:caps/>
        </w:rPr>
      </w:pPr>
      <w:r w:rsidRPr="00E33EFF">
        <w:rPr>
          <w:b/>
          <w:bCs/>
          <w:caps/>
        </w:rPr>
        <w:t xml:space="preserve">Pacientų organizacijų pateikti duomenys </w:t>
      </w:r>
    </w:p>
    <w:p w14:paraId="79BCFF40" w14:textId="1992DF4A" w:rsidR="00937907" w:rsidRPr="00E33EFF" w:rsidRDefault="00000000"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937907" w:rsidRPr="00E33EFF">
        <w:t xml:space="preserve"> Pacientų organizacijos pozicija pateikta. Žr. priedą.</w:t>
      </w:r>
    </w:p>
    <w:p w14:paraId="62992180" w14:textId="5254DA12" w:rsidR="00937907" w:rsidRPr="00E33EFF" w:rsidRDefault="00000000"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Content>
          <w:r w:rsidR="00447E37">
            <w:rPr>
              <w:rStyle w:val="Style2"/>
              <w:rFonts w:ascii="MS Gothic" w:eastAsia="MS Gothic" w:hAnsi="MS Gothic" w:hint="eastAsia"/>
              <w:sz w:val="24"/>
            </w:rPr>
            <w:t>☒</w:t>
          </w:r>
        </w:sdtContent>
      </w:sdt>
      <w:r w:rsidR="00937907" w:rsidRPr="00E33EFF">
        <w:t xml:space="preserve"> Pacientų organizacijos pozicija </w:t>
      </w:r>
      <w:r w:rsidR="00880A44" w:rsidRPr="00E33EFF">
        <w:t>ne</w:t>
      </w:r>
      <w:r w:rsidR="00937907" w:rsidRPr="00E33EFF">
        <w:t>pateikta.</w:t>
      </w:r>
    </w:p>
    <w:p w14:paraId="03E73D82" w14:textId="77777777" w:rsidR="00D417D2" w:rsidRPr="00E33EFF" w:rsidRDefault="00D417D2" w:rsidP="00937907">
      <w:pPr>
        <w:spacing w:after="120"/>
        <w:jc w:val="both"/>
      </w:pPr>
    </w:p>
    <w:p w14:paraId="3D3277FA" w14:textId="3CEEB2D2" w:rsidR="00C62B36" w:rsidRPr="00E33EFF" w:rsidRDefault="00C62B36" w:rsidP="00CC09D4">
      <w:pPr>
        <w:pStyle w:val="Sraopastraipa"/>
        <w:numPr>
          <w:ilvl w:val="0"/>
          <w:numId w:val="12"/>
        </w:numPr>
        <w:tabs>
          <w:tab w:val="left" w:pos="567"/>
        </w:tabs>
        <w:ind w:hanging="720"/>
        <w:rPr>
          <w:b/>
          <w:bCs/>
          <w:caps/>
        </w:rPr>
      </w:pPr>
      <w:r w:rsidRPr="00E33EFF">
        <w:rPr>
          <w:b/>
          <w:bCs/>
          <w:caps/>
        </w:rPr>
        <w:t>Gydytojų organizacijų pateikti duomenys</w:t>
      </w:r>
    </w:p>
    <w:p w14:paraId="389A346C" w14:textId="2F1FF525" w:rsidR="00937907" w:rsidRPr="00E33EFF" w:rsidRDefault="00000000" w:rsidP="00662983">
      <w:pPr>
        <w:spacing w:after="120"/>
        <w:jc w:val="both"/>
      </w:pPr>
      <w:sdt>
        <w:sdtPr>
          <w:rPr>
            <w:rStyle w:val="Style2"/>
            <w:rFonts w:ascii="MS Gothic" w:eastAsia="MS Gothic" w:hAnsi="MS Gothic"/>
            <w:sz w:val="24"/>
          </w:rPr>
          <w:id w:val="1613862788"/>
          <w15:color w:val="FFCC00"/>
          <w14:checkbox>
            <w14:checked w14:val="1"/>
            <w14:checkedState w14:val="2612" w14:font="MS Gothic"/>
            <w14:uncheckedState w14:val="2610" w14:font="MS Gothic"/>
          </w14:checkbox>
        </w:sdtPr>
        <w:sdtContent>
          <w:r w:rsidR="00447E37">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pateikta. </w:t>
      </w:r>
      <w:r w:rsidR="00662983" w:rsidRPr="00E33EFF">
        <w:t>Žr. priedą</w:t>
      </w:r>
      <w:r w:rsidR="00937907" w:rsidRPr="00E33EFF">
        <w:t>.</w:t>
      </w:r>
    </w:p>
    <w:p w14:paraId="5D8CC48C" w14:textId="7AA56ADF" w:rsidR="00662983" w:rsidRPr="00E33EFF" w:rsidRDefault="00000000" w:rsidP="00662983">
      <w:pPr>
        <w:spacing w:after="120"/>
        <w:jc w:val="both"/>
      </w:pPr>
      <w:sdt>
        <w:sdtPr>
          <w:rPr>
            <w:rStyle w:val="Style2"/>
            <w:rFonts w:ascii="MS Gothic" w:eastAsia="MS Gothic" w:hAnsi="MS Gothic"/>
            <w:sz w:val="24"/>
          </w:rPr>
          <w:id w:val="-41988141"/>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w:t>
      </w:r>
      <w:r w:rsidR="00880A44" w:rsidRPr="00E33EFF">
        <w:t>ne</w:t>
      </w:r>
      <w:r w:rsidR="00937907" w:rsidRPr="00E33EFF">
        <w:t>pateikta.</w:t>
      </w:r>
    </w:p>
    <w:p w14:paraId="3701D46A" w14:textId="77777777" w:rsidR="00A042B9" w:rsidRPr="00E33EFF" w:rsidRDefault="00A042B9" w:rsidP="00662983">
      <w:pPr>
        <w:spacing w:after="120"/>
        <w:jc w:val="both"/>
      </w:pPr>
    </w:p>
    <w:p w14:paraId="4958A31E" w14:textId="5070932E" w:rsidR="00BD18D3" w:rsidRPr="0090513A" w:rsidRDefault="002F0E4F" w:rsidP="0061611B">
      <w:pPr>
        <w:pStyle w:val="Sraopastraipa"/>
        <w:numPr>
          <w:ilvl w:val="0"/>
          <w:numId w:val="12"/>
        </w:numPr>
        <w:tabs>
          <w:tab w:val="left" w:pos="567"/>
        </w:tabs>
        <w:ind w:hanging="720"/>
        <w:rPr>
          <w:b/>
          <w:bCs/>
          <w:caps/>
        </w:rPr>
      </w:pPr>
      <w:r w:rsidRPr="00E33EFF">
        <w:rPr>
          <w:b/>
          <w:bCs/>
          <w:caps/>
        </w:rPr>
        <w:t xml:space="preserve">Išvada </w:t>
      </w:r>
    </w:p>
    <w:p w14:paraId="2922DDCD" w14:textId="77777777" w:rsidR="00BD18D3" w:rsidRPr="00E33EFF" w:rsidRDefault="00BD18D3" w:rsidP="0061611B">
      <w:pPr>
        <w:rPr>
          <w:i/>
          <w:color w:val="00B050"/>
          <w:szCs w:val="22"/>
        </w:rPr>
      </w:pPr>
    </w:p>
    <w:tbl>
      <w:tblPr>
        <w:tblStyle w:val="Lentelstinklelis"/>
        <w:tblW w:w="0" w:type="auto"/>
        <w:tblLook w:val="04A0" w:firstRow="1" w:lastRow="0" w:firstColumn="1" w:lastColumn="0" w:noHBand="0" w:noVBand="1"/>
      </w:tblPr>
      <w:tblGrid>
        <w:gridCol w:w="4815"/>
        <w:gridCol w:w="4814"/>
      </w:tblGrid>
      <w:tr w:rsidR="006E6FB2" w:rsidRPr="000203E1" w14:paraId="7B3C57C9" w14:textId="77777777" w:rsidTr="001A6516">
        <w:trPr>
          <w:trHeight w:val="510"/>
        </w:trPr>
        <w:tc>
          <w:tcPr>
            <w:tcW w:w="9629" w:type="dxa"/>
            <w:gridSpan w:val="2"/>
            <w:vAlign w:val="center"/>
          </w:tcPr>
          <w:p w14:paraId="426D6EB1" w14:textId="77777777" w:rsidR="006E6FB2" w:rsidRPr="000203E1" w:rsidRDefault="006E6FB2" w:rsidP="001A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bookmarkStart w:id="1" w:name="_Hlk185374656"/>
            <w:r w:rsidRPr="000203E1">
              <w:rPr>
                <w:rStyle w:val="Style2"/>
                <w:rFonts w:eastAsia="MS Gothic"/>
                <w:b/>
                <w:bCs/>
                <w:sz w:val="24"/>
              </w:rPr>
              <w:t xml:space="preserve">Palyginamasis </w:t>
            </w:r>
            <w:r>
              <w:rPr>
                <w:rStyle w:val="Style2"/>
                <w:rFonts w:eastAsia="MS Gothic"/>
                <w:b/>
                <w:bCs/>
                <w:sz w:val="24"/>
              </w:rPr>
              <w:t>veiksmingumas</w:t>
            </w:r>
          </w:p>
        </w:tc>
      </w:tr>
      <w:tr w:rsidR="006E6FB2" w:rsidRPr="000203E1" w14:paraId="6DF071BC" w14:textId="77777777" w:rsidTr="001A6516">
        <w:tc>
          <w:tcPr>
            <w:tcW w:w="4815" w:type="dxa"/>
          </w:tcPr>
          <w:p w14:paraId="5500B1E7" w14:textId="47ADC868" w:rsidR="006E6FB2" w:rsidRPr="000203E1" w:rsidRDefault="00000000" w:rsidP="001A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0"/>
                  <w14:checkedState w14:val="2612" w14:font="MS Gothic"/>
                  <w14:uncheckedState w14:val="2610" w14:font="MS Gothic"/>
                </w14:checkbox>
              </w:sdtPr>
              <w:sdtContent>
                <w:r w:rsidR="006E6FB2">
                  <w:rPr>
                    <w:rStyle w:val="Style2"/>
                    <w:rFonts w:ascii="MS Gothic" w:eastAsia="MS Gothic" w:hAnsi="MS Gothic" w:hint="eastAsia"/>
                    <w:sz w:val="24"/>
                  </w:rPr>
                  <w:t>☐</w:t>
                </w:r>
              </w:sdtContent>
            </w:sdt>
            <w:r w:rsidR="006E6FB2">
              <w:rPr>
                <w:rStyle w:val="Style2"/>
                <w:sz w:val="24"/>
              </w:rPr>
              <w:t xml:space="preserve"> 29</w:t>
            </w:r>
            <w:r w:rsidR="006E6FB2" w:rsidRPr="000203E1">
              <w:t>.1.</w:t>
            </w:r>
            <w:r w:rsidR="006E6FB2">
              <w:t>1</w:t>
            </w:r>
            <w:r w:rsidR="006E6FB2" w:rsidRPr="000203E1">
              <w:t xml:space="preserve"> yra didesnis, lyginant su įprasta klinikine praktika</w:t>
            </w:r>
          </w:p>
          <w:p w14:paraId="16B5DCBD" w14:textId="77777777" w:rsidR="006E6FB2" w:rsidRPr="000203E1" w:rsidRDefault="006E6FB2" w:rsidP="001A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9E1EEC3" w14:textId="3ECB0706" w:rsidR="006E6FB2" w:rsidRPr="000203E1" w:rsidRDefault="00000000" w:rsidP="001A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1"/>
                  <w14:checkedState w14:val="2612" w14:font="MS Gothic"/>
                  <w14:uncheckedState w14:val="2610" w14:font="MS Gothic"/>
                </w14:checkbox>
              </w:sdtPr>
              <w:sdtContent>
                <w:r w:rsidR="006E6FB2">
                  <w:rPr>
                    <w:rStyle w:val="Style2"/>
                    <w:rFonts w:ascii="MS Gothic" w:eastAsia="MS Gothic" w:hAnsi="MS Gothic" w:hint="eastAsia"/>
                    <w:sz w:val="24"/>
                  </w:rPr>
                  <w:t>☒</w:t>
                </w:r>
              </w:sdtContent>
            </w:sdt>
            <w:r w:rsidR="006E6FB2" w:rsidRPr="000203E1">
              <w:t xml:space="preserve"> </w:t>
            </w:r>
            <w:r w:rsidR="006E6FB2">
              <w:rPr>
                <w:rStyle w:val="Style2"/>
                <w:sz w:val="24"/>
              </w:rPr>
              <w:t>29</w:t>
            </w:r>
            <w:r w:rsidR="006E6FB2" w:rsidRPr="000203E1">
              <w:t>.1.</w:t>
            </w:r>
            <w:r w:rsidR="006E6FB2">
              <w:t xml:space="preserve">2 </w:t>
            </w:r>
            <w:r w:rsidR="006E6FB2" w:rsidRPr="000203E1">
              <w:t>iš esmės nesiskiria, lyginant su įprasta klinikine praktika</w:t>
            </w:r>
          </w:p>
        </w:tc>
        <w:tc>
          <w:tcPr>
            <w:tcW w:w="4814" w:type="dxa"/>
          </w:tcPr>
          <w:p w14:paraId="4B91A035" w14:textId="77777777" w:rsidR="006E6FB2" w:rsidRDefault="00000000" w:rsidP="001A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6E6FB2" w:rsidRPr="000203E1">
                  <w:rPr>
                    <w:rStyle w:val="Style2"/>
                    <w:rFonts w:ascii="Segoe UI Symbol" w:eastAsia="MS Gothic" w:hAnsi="Segoe UI Symbol" w:cs="Segoe UI Symbol"/>
                    <w:sz w:val="24"/>
                  </w:rPr>
                  <w:t>☐</w:t>
                </w:r>
              </w:sdtContent>
            </w:sdt>
            <w:r w:rsidR="006E6FB2" w:rsidRPr="000203E1">
              <w:t xml:space="preserve"> </w:t>
            </w:r>
            <w:r w:rsidR="006E6FB2">
              <w:rPr>
                <w:rStyle w:val="Style2"/>
                <w:sz w:val="24"/>
              </w:rPr>
              <w:t>29</w:t>
            </w:r>
            <w:r w:rsidR="006E6FB2" w:rsidRPr="000203E1">
              <w:t>.1.</w:t>
            </w:r>
            <w:r w:rsidR="006E6FB2">
              <w:t xml:space="preserve">3 </w:t>
            </w:r>
            <w:r w:rsidR="006E6FB2" w:rsidRPr="000203E1">
              <w:t>yra neįrodytas kaip didesnis</w:t>
            </w:r>
            <w:r w:rsidR="006E6FB2">
              <w:t xml:space="preserve"> </w:t>
            </w:r>
            <w:r w:rsidR="006E6FB2" w:rsidRPr="001C1D94">
              <w:t> ar iš esmės nesiskiriantis</w:t>
            </w:r>
            <w:r w:rsidR="006E6FB2" w:rsidRPr="000203E1">
              <w:t xml:space="preserve">, lyginant su įprasta klinikine praktika  </w:t>
            </w:r>
          </w:p>
          <w:p w14:paraId="2CBBE447" w14:textId="77777777" w:rsidR="006E6FB2" w:rsidRPr="000203E1" w:rsidRDefault="006E6FB2" w:rsidP="001A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F313529" w14:textId="77777777" w:rsidR="006E6FB2" w:rsidRDefault="00000000" w:rsidP="001A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6E6FB2" w:rsidRPr="000203E1">
                  <w:rPr>
                    <w:rStyle w:val="Style2"/>
                    <w:rFonts w:ascii="Segoe UI Symbol" w:eastAsia="MS Gothic" w:hAnsi="Segoe UI Symbol" w:cs="Segoe UI Symbol"/>
                    <w:sz w:val="24"/>
                  </w:rPr>
                  <w:t>☐</w:t>
                </w:r>
              </w:sdtContent>
            </w:sdt>
            <w:r w:rsidR="006E6FB2" w:rsidRPr="000203E1">
              <w:t xml:space="preserve"> </w:t>
            </w:r>
            <w:r w:rsidR="006E6FB2">
              <w:rPr>
                <w:rStyle w:val="Style2"/>
                <w:sz w:val="24"/>
              </w:rPr>
              <w:t>29</w:t>
            </w:r>
            <w:r w:rsidR="006E6FB2" w:rsidRPr="000203E1">
              <w:t>.1.</w:t>
            </w:r>
            <w:r w:rsidR="006E6FB2">
              <w:t xml:space="preserve">4 </w:t>
            </w:r>
            <w:r w:rsidR="006E6FB2" w:rsidRPr="000203E1">
              <w:t>yra mažesnis, lyginant su įprasta klinikine praktika</w:t>
            </w:r>
          </w:p>
          <w:p w14:paraId="5DD136AA" w14:textId="77777777" w:rsidR="006E6FB2" w:rsidRDefault="006E6FB2" w:rsidP="001A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E2B109E" w14:textId="77777777" w:rsidR="006E6FB2" w:rsidRPr="000203E1" w:rsidRDefault="00000000" w:rsidP="001A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6E6FB2" w:rsidRPr="000203E1">
                  <w:rPr>
                    <w:rStyle w:val="Style2"/>
                    <w:rFonts w:ascii="Segoe UI Symbol" w:eastAsia="MS Gothic" w:hAnsi="Segoe UI Symbol" w:cs="Segoe UI Symbol"/>
                    <w:sz w:val="24"/>
                  </w:rPr>
                  <w:t>☐</w:t>
                </w:r>
              </w:sdtContent>
            </w:sdt>
            <w:r w:rsidR="006E6FB2" w:rsidRPr="000203E1">
              <w:t xml:space="preserve"> </w:t>
            </w:r>
            <w:r w:rsidR="006E6FB2">
              <w:t xml:space="preserve"> </w:t>
            </w:r>
            <w:r w:rsidR="006E6FB2">
              <w:rPr>
                <w:rStyle w:val="Style2"/>
                <w:sz w:val="24"/>
              </w:rPr>
              <w:t>29</w:t>
            </w:r>
            <w:r w:rsidR="006E6FB2" w:rsidRPr="000203E1">
              <w:t>.1.</w:t>
            </w:r>
            <w:r w:rsidR="006E6FB2">
              <w:t>5</w:t>
            </w:r>
            <w:r w:rsidR="006E6FB2" w:rsidRPr="000203E1">
              <w:t xml:space="preserve"> pateikti duomenys apie palyginamąjį </w:t>
            </w:r>
            <w:r w:rsidR="006E6FB2">
              <w:t>veiksmingumą</w:t>
            </w:r>
            <w:r w:rsidR="006E6FB2" w:rsidRPr="000203E1">
              <w:t xml:space="preserve"> yra netinkami vertinti</w:t>
            </w:r>
          </w:p>
          <w:p w14:paraId="152956B7" w14:textId="77777777" w:rsidR="006E6FB2" w:rsidRPr="000203E1" w:rsidRDefault="006E6FB2" w:rsidP="001A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6E6FB2" w:rsidRPr="000203E1" w14:paraId="38546686" w14:textId="77777777" w:rsidTr="001A6516">
        <w:trPr>
          <w:trHeight w:val="510"/>
        </w:trPr>
        <w:tc>
          <w:tcPr>
            <w:tcW w:w="9629" w:type="dxa"/>
            <w:gridSpan w:val="2"/>
            <w:vAlign w:val="center"/>
          </w:tcPr>
          <w:p w14:paraId="3C482F89" w14:textId="77777777" w:rsidR="006E6FB2" w:rsidRPr="000203E1" w:rsidRDefault="006E6FB2" w:rsidP="001A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bookmarkStart w:id="2" w:name="_Hlk185374787"/>
            <w:r w:rsidRPr="000203E1">
              <w:rPr>
                <w:rStyle w:val="Style2"/>
                <w:rFonts w:eastAsia="MS Gothic"/>
                <w:b/>
                <w:bCs/>
                <w:sz w:val="24"/>
              </w:rPr>
              <w:t>Kaštų naudingumas</w:t>
            </w:r>
          </w:p>
        </w:tc>
      </w:tr>
      <w:tr w:rsidR="006E6FB2" w:rsidRPr="000203E1" w14:paraId="61481892" w14:textId="77777777" w:rsidTr="001A6516">
        <w:tc>
          <w:tcPr>
            <w:tcW w:w="4815" w:type="dxa"/>
          </w:tcPr>
          <w:p w14:paraId="18EDEEA9" w14:textId="77777777" w:rsidR="006E6FB2" w:rsidRPr="000203E1" w:rsidRDefault="00000000" w:rsidP="001A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Content>
                <w:r w:rsidR="006E6FB2" w:rsidRPr="000203E1">
                  <w:rPr>
                    <w:rStyle w:val="Style2"/>
                    <w:rFonts w:ascii="MS Gothic" w:eastAsia="MS Gothic" w:hAnsi="MS Gothic" w:hint="eastAsia"/>
                    <w:sz w:val="24"/>
                  </w:rPr>
                  <w:t>☐</w:t>
                </w:r>
              </w:sdtContent>
            </w:sdt>
            <w:r w:rsidR="006E6FB2" w:rsidRPr="000203E1">
              <w:t xml:space="preserve"> </w:t>
            </w:r>
            <w:r w:rsidR="006E6FB2">
              <w:t xml:space="preserve">29.2.1 </w:t>
            </w:r>
            <w:r w:rsidR="006E6FB2" w:rsidRPr="000203E1">
              <w:t>atitink</w:t>
            </w:r>
            <w:r w:rsidR="006E6FB2">
              <w:t>a referencinę naudingumo vertę</w:t>
            </w:r>
          </w:p>
          <w:p w14:paraId="7AE983E9" w14:textId="77777777" w:rsidR="006E6FB2" w:rsidRPr="000203E1" w:rsidRDefault="006E6FB2" w:rsidP="001A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B767C86" w14:textId="77777777" w:rsidR="006E6FB2" w:rsidRPr="000203E1" w:rsidRDefault="00000000" w:rsidP="001A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sdt>
              <w:sdtPr>
                <w:rPr>
                  <w:rStyle w:val="Style2"/>
                  <w:sz w:val="24"/>
                </w:rPr>
                <w:id w:val="-1308081728"/>
                <w15:color w:val="FFCC00"/>
                <w14:checkbox>
                  <w14:checked w14:val="0"/>
                  <w14:checkedState w14:val="2612" w14:font="MS Gothic"/>
                  <w14:uncheckedState w14:val="2610" w14:font="MS Gothic"/>
                </w14:checkbox>
              </w:sdtPr>
              <w:sdtContent>
                <w:r w:rsidR="006E6FB2" w:rsidRPr="000203E1">
                  <w:rPr>
                    <w:rStyle w:val="Style2"/>
                    <w:rFonts w:ascii="Segoe UI Symbol" w:eastAsia="MS Gothic" w:hAnsi="Segoe UI Symbol" w:cs="Segoe UI Symbol"/>
                    <w:sz w:val="24"/>
                  </w:rPr>
                  <w:t>☐</w:t>
                </w:r>
              </w:sdtContent>
            </w:sdt>
            <w:r w:rsidR="006E6FB2" w:rsidRPr="000203E1">
              <w:t xml:space="preserve"> </w:t>
            </w:r>
            <w:r w:rsidR="006E6FB2">
              <w:t xml:space="preserve">29.2.2 </w:t>
            </w:r>
            <w:r w:rsidR="006E6FB2" w:rsidRPr="000203E1">
              <w:t>gydymo juo kaštai yra mažesni ar tokie patys esant iš esmės nesiskiriančiam palyginamajam efektyvumui, taikant</w:t>
            </w:r>
            <w:r w:rsidR="006E6FB2">
              <w:t xml:space="preserve"> arba netaikant </w:t>
            </w:r>
            <w:r w:rsidR="006E6FB2" w:rsidRPr="000203E1">
              <w:t xml:space="preserve"> </w:t>
            </w:r>
            <w:r w:rsidR="006E6FB2">
              <w:t>PGS</w:t>
            </w:r>
          </w:p>
        </w:tc>
        <w:tc>
          <w:tcPr>
            <w:tcW w:w="4814" w:type="dxa"/>
          </w:tcPr>
          <w:p w14:paraId="3B941CB0" w14:textId="7A752382" w:rsidR="006E6FB2" w:rsidRPr="000203E1" w:rsidRDefault="00000000" w:rsidP="001A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Content>
                <w:r w:rsidR="006E6FB2">
                  <w:rPr>
                    <w:rStyle w:val="Style2"/>
                    <w:rFonts w:ascii="MS Gothic" w:eastAsia="MS Gothic" w:hAnsi="MS Gothic" w:hint="eastAsia"/>
                    <w:sz w:val="24"/>
                  </w:rPr>
                  <w:t>☐</w:t>
                </w:r>
              </w:sdtContent>
            </w:sdt>
            <w:r w:rsidR="006E6FB2" w:rsidRPr="000203E1">
              <w:t xml:space="preserve"> </w:t>
            </w:r>
            <w:r w:rsidR="006E6FB2">
              <w:t>29</w:t>
            </w:r>
            <w:r w:rsidR="006E6FB2" w:rsidRPr="000203E1">
              <w:t>.</w:t>
            </w:r>
            <w:r w:rsidR="006E6FB2">
              <w:t>2.</w:t>
            </w:r>
            <w:r w:rsidR="006E6FB2" w:rsidRPr="000203E1">
              <w:t xml:space="preserve">3 neatitinka referencinės naudingumo vertės </w:t>
            </w:r>
            <w:r w:rsidR="006E6FB2" w:rsidRPr="001C1D94">
              <w:t>taikant arba netaikant PGS</w:t>
            </w:r>
          </w:p>
          <w:p w14:paraId="3C1D5717" w14:textId="77777777" w:rsidR="006E6FB2" w:rsidRPr="000203E1" w:rsidRDefault="006E6FB2" w:rsidP="001A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CA2EE50" w14:textId="46DBAD2B" w:rsidR="006E6FB2" w:rsidRPr="000203E1" w:rsidRDefault="00000000" w:rsidP="001A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dt>
              <w:sdtPr>
                <w:rPr>
                  <w:rStyle w:val="Style2"/>
                  <w:sz w:val="24"/>
                </w:rPr>
                <w:id w:val="-1135473618"/>
                <w15:color w:val="FFCC00"/>
                <w14:checkbox>
                  <w14:checked w14:val="1"/>
                  <w14:checkedState w14:val="2612" w14:font="MS Gothic"/>
                  <w14:uncheckedState w14:val="2610" w14:font="MS Gothic"/>
                </w14:checkbox>
              </w:sdtPr>
              <w:sdtContent>
                <w:r w:rsidR="006E6FB2">
                  <w:rPr>
                    <w:rStyle w:val="Style2"/>
                    <w:rFonts w:ascii="MS Gothic" w:eastAsia="MS Gothic" w:hAnsi="MS Gothic" w:hint="eastAsia"/>
                    <w:sz w:val="24"/>
                  </w:rPr>
                  <w:t>☒</w:t>
                </w:r>
              </w:sdtContent>
            </w:sdt>
            <w:r w:rsidR="006E6FB2" w:rsidRPr="000203E1">
              <w:t xml:space="preserve"> </w:t>
            </w:r>
            <w:r w:rsidR="006E6FB2">
              <w:t>29</w:t>
            </w:r>
            <w:r w:rsidR="006E6FB2" w:rsidRPr="000203E1">
              <w:t>.</w:t>
            </w:r>
            <w:r w:rsidR="006E6FB2">
              <w:t>2.4</w:t>
            </w:r>
            <w:r w:rsidR="006E6FB2" w:rsidRPr="000203E1">
              <w:t xml:space="preserve"> gydymo juo kaštai yra didesni esant iš esmės nesiskiriančiam palyginamajam </w:t>
            </w:r>
            <w:r w:rsidR="006E6FB2">
              <w:t>veiksmingumui</w:t>
            </w:r>
            <w:r w:rsidR="006E6FB2" w:rsidRPr="000203E1">
              <w:t>, taikant</w:t>
            </w:r>
            <w:r w:rsidR="006E6FB2">
              <w:t xml:space="preserve"> </w:t>
            </w:r>
            <w:r w:rsidR="006E6FB2" w:rsidRPr="001C1D94">
              <w:t>arba netaikant PGS</w:t>
            </w:r>
          </w:p>
          <w:p w14:paraId="219D4E8D" w14:textId="77777777" w:rsidR="006E6FB2" w:rsidRPr="000203E1" w:rsidRDefault="006E6FB2" w:rsidP="001A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ADB48BF" w14:textId="77777777" w:rsidR="006E6FB2" w:rsidRPr="000203E1" w:rsidRDefault="00000000" w:rsidP="001A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dt>
              <w:sdtPr>
                <w:rPr>
                  <w:rStyle w:val="Style2"/>
                  <w:sz w:val="24"/>
                </w:rPr>
                <w:id w:val="-2008360022"/>
                <w15:color w:val="FFCC00"/>
                <w14:checkbox>
                  <w14:checked w14:val="0"/>
                  <w14:checkedState w14:val="2612" w14:font="MS Gothic"/>
                  <w14:uncheckedState w14:val="2610" w14:font="MS Gothic"/>
                </w14:checkbox>
              </w:sdtPr>
              <w:sdtContent>
                <w:r w:rsidR="006E6FB2" w:rsidRPr="000203E1">
                  <w:rPr>
                    <w:rStyle w:val="Style2"/>
                    <w:rFonts w:ascii="Segoe UI Symbol" w:eastAsia="MS Gothic" w:hAnsi="Segoe UI Symbol" w:cs="Segoe UI Symbol"/>
                    <w:sz w:val="24"/>
                  </w:rPr>
                  <w:t>☐</w:t>
                </w:r>
              </w:sdtContent>
            </w:sdt>
            <w:r w:rsidR="006E6FB2" w:rsidRPr="000203E1">
              <w:t xml:space="preserve"> </w:t>
            </w:r>
            <w:r w:rsidR="006E6FB2">
              <w:t>29</w:t>
            </w:r>
            <w:r w:rsidR="006E6FB2" w:rsidRPr="000203E1">
              <w:t>.</w:t>
            </w:r>
            <w:r w:rsidR="006E6FB2">
              <w:t>2.5</w:t>
            </w:r>
            <w:r w:rsidR="006E6FB2" w:rsidRPr="000203E1">
              <w:t xml:space="preserve"> pateikti duomenys apie kaštų naudingumą yra netinkami vertinti</w:t>
            </w:r>
          </w:p>
          <w:p w14:paraId="398292D7" w14:textId="77777777" w:rsidR="006E6FB2" w:rsidRPr="000203E1" w:rsidRDefault="006E6FB2" w:rsidP="001A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bookmarkEnd w:id="1"/>
      <w:bookmarkEnd w:id="2"/>
    </w:tbl>
    <w:p w14:paraId="1B85C083" w14:textId="223CCED9" w:rsidR="009E44AE" w:rsidRPr="00E33EFF" w:rsidRDefault="009E44AE" w:rsidP="00381024"/>
    <w:p w14:paraId="3B2D1F25" w14:textId="67FB25CD" w:rsidR="000001B0" w:rsidRPr="0090513A" w:rsidRDefault="000001B0" w:rsidP="00CC09D4">
      <w:pPr>
        <w:pStyle w:val="Sraopastraipa"/>
        <w:numPr>
          <w:ilvl w:val="0"/>
          <w:numId w:val="12"/>
        </w:numPr>
        <w:ind w:left="567" w:hanging="567"/>
      </w:pPr>
      <w:r w:rsidRPr="00E33EFF">
        <w:rPr>
          <w:b/>
        </w:rPr>
        <w:t>REKOME</w:t>
      </w:r>
      <w:r w:rsidR="00D83182" w:rsidRPr="00E33EFF">
        <w:rPr>
          <w:b/>
        </w:rPr>
        <w:t>N</w:t>
      </w:r>
      <w:r w:rsidRPr="00E33EFF">
        <w:rPr>
          <w:b/>
        </w:rPr>
        <w:t>DACIJA</w:t>
      </w:r>
    </w:p>
    <w:p w14:paraId="06F59BE5" w14:textId="612AEB6D" w:rsidR="00312D0D" w:rsidRDefault="00312D0D" w:rsidP="00312D0D">
      <w:pPr>
        <w:shd w:val="clear" w:color="auto" w:fill="FFFFFF"/>
        <w:spacing w:line="276" w:lineRule="auto"/>
        <w:jc w:val="both"/>
        <w:rPr>
          <w:rFonts w:eastAsia="Arial"/>
          <w:i/>
        </w:rPr>
      </w:pPr>
    </w:p>
    <w:p w14:paraId="0FE759F9" w14:textId="5A0F773D" w:rsidR="002D6B65" w:rsidRPr="002A024D" w:rsidRDefault="002D6B65" w:rsidP="002D6B65">
      <w:pPr>
        <w:spacing w:line="276" w:lineRule="auto"/>
        <w:ind w:firstLine="567"/>
        <w:jc w:val="both"/>
      </w:pPr>
      <w:r w:rsidRPr="002A024D">
        <w:t>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w:t>
      </w:r>
      <w:r>
        <w:t xml:space="preserve"> </w:t>
      </w:r>
      <w:r w:rsidRPr="00471EC6">
        <w:rPr>
          <w:color w:val="000000"/>
          <w:lang w:eastAsia="lt-LT"/>
        </w:rPr>
        <w:t>30</w:t>
      </w:r>
      <w:r w:rsidRPr="00471EC6">
        <w:rPr>
          <w:color w:val="000000"/>
          <w:vertAlign w:val="superscript"/>
          <w:lang w:eastAsia="lt-LT"/>
        </w:rPr>
        <w:t>1</w:t>
      </w:r>
      <w:r w:rsidRPr="00471EC6">
        <w:rPr>
          <w:color w:val="000000"/>
          <w:lang w:eastAsia="lt-LT"/>
        </w:rPr>
        <w:t>.2.</w:t>
      </w:r>
      <w:r>
        <w:rPr>
          <w:color w:val="000000"/>
          <w:lang w:eastAsia="lt-LT"/>
        </w:rPr>
        <w:t xml:space="preserve"> </w:t>
      </w:r>
      <w:r w:rsidRPr="00471EC6">
        <w:rPr>
          <w:color w:val="000000"/>
          <w:lang w:eastAsia="lt-LT"/>
        </w:rPr>
        <w:t>kai vertinimo išvados atitinka Aprašo 29.1</w:t>
      </w:r>
      <w:r>
        <w:rPr>
          <w:color w:val="000000"/>
          <w:lang w:eastAsia="lt-LT"/>
        </w:rPr>
        <w:t>.2 ir 29.2.4</w:t>
      </w:r>
      <w:r w:rsidRPr="00471EC6">
        <w:rPr>
          <w:color w:val="000000"/>
          <w:lang w:eastAsia="lt-LT"/>
        </w:rPr>
        <w:t xml:space="preserve"> papunkčiuose numatytas sąlygas</w:t>
      </w:r>
      <w:r>
        <w:rPr>
          <w:color w:val="000000"/>
          <w:lang w:eastAsia="lt-LT"/>
        </w:rPr>
        <w:t xml:space="preserve"> rekomenduojama</w:t>
      </w:r>
      <w:r w:rsidRPr="00471EC6">
        <w:rPr>
          <w:color w:val="000000"/>
          <w:lang w:eastAsia="lt-LT"/>
        </w:rPr>
        <w:t xml:space="preserve"> kompensuoti vaistinį preparatą pagal paraiškoje nurodytą indikaciją (arba jos dalį)</w:t>
      </w:r>
      <w:r>
        <w:rPr>
          <w:color w:val="000000"/>
          <w:lang w:eastAsia="lt-LT"/>
        </w:rPr>
        <w:t xml:space="preserve"> su arba be skyrimo sąlygų, jei</w:t>
      </w:r>
      <w:r w:rsidRPr="00471EC6">
        <w:rPr>
          <w:color w:val="000000"/>
          <w:lang w:eastAsia="lt-LT"/>
        </w:rPr>
        <w:t xml:space="preserve"> pateikus naują ar atnaujintą PGS</w:t>
      </w:r>
      <w:r>
        <w:rPr>
          <w:color w:val="000000"/>
          <w:lang w:eastAsia="lt-LT"/>
        </w:rPr>
        <w:t xml:space="preserve"> </w:t>
      </w:r>
      <w:r>
        <w:t>kaštai tampa tokie patys ar mažesni esant iš esmės nesiskiriančiam palyginamajam veiksmingumui</w:t>
      </w:r>
      <w:r>
        <w:rPr>
          <w:color w:val="000000"/>
          <w:lang w:eastAsia="lt-LT"/>
        </w:rPr>
        <w:t>.</w:t>
      </w:r>
    </w:p>
    <w:p w14:paraId="77868BD9" w14:textId="47A01869" w:rsidR="002D6B65" w:rsidRPr="00312D0D" w:rsidRDefault="002D6B65" w:rsidP="00312D0D">
      <w:pPr>
        <w:shd w:val="clear" w:color="auto" w:fill="FFFFFF"/>
        <w:spacing w:line="276" w:lineRule="auto"/>
        <w:jc w:val="both"/>
        <w:rPr>
          <w:rFonts w:eastAsia="Arial"/>
          <w:i/>
        </w:rPr>
      </w:pPr>
    </w:p>
    <w:p w14:paraId="06BC01EE" w14:textId="44333E0B" w:rsidR="000723FF" w:rsidRPr="00E33EFF" w:rsidRDefault="000723FF" w:rsidP="00381024"/>
    <w:p w14:paraId="18B4292E" w14:textId="36551CF2" w:rsidR="000723FF" w:rsidRPr="00E33EFF" w:rsidRDefault="00CC09D4" w:rsidP="00CC09D4">
      <w:pPr>
        <w:tabs>
          <w:tab w:val="left" w:pos="567"/>
        </w:tabs>
        <w:ind w:left="567" w:hanging="567"/>
        <w:jc w:val="both"/>
        <w:rPr>
          <w:b/>
          <w:color w:val="000000"/>
          <w:lang w:eastAsia="lt-LT"/>
        </w:rPr>
      </w:pPr>
      <w:r>
        <w:rPr>
          <w:b/>
          <w:color w:val="000000"/>
          <w:lang w:eastAsia="lt-LT"/>
        </w:rPr>
        <w:t>8.</w:t>
      </w:r>
      <w:r>
        <w:rPr>
          <w:b/>
          <w:color w:val="000000"/>
          <w:lang w:eastAsia="lt-LT"/>
        </w:rPr>
        <w:tab/>
      </w:r>
      <w:r w:rsidR="000723FF" w:rsidRPr="00E33EFF">
        <w:rPr>
          <w:b/>
          <w:color w:val="000000"/>
          <w:lang w:eastAsia="lt-LT"/>
        </w:rPr>
        <w:t xml:space="preserve">SIŪLOMOS KOMPENSUOTI TERAPINĖS </w:t>
      </w:r>
      <w:r w:rsidR="00312D0D">
        <w:rPr>
          <w:b/>
          <w:color w:val="000000"/>
          <w:lang w:eastAsia="lt-LT"/>
        </w:rPr>
        <w:t>INDIKACIJOS IR SKYRIMO SĄLYGOS</w:t>
      </w:r>
    </w:p>
    <w:p w14:paraId="691340BB" w14:textId="77777777" w:rsidR="000723FF" w:rsidRPr="00E33EFF" w:rsidRDefault="000723FF" w:rsidP="000723FF">
      <w:pPr>
        <w:tabs>
          <w:tab w:val="left" w:pos="426"/>
        </w:tabs>
        <w:jc w:val="both"/>
        <w:rPr>
          <w:b/>
          <w:color w:val="000000"/>
          <w:lang w:eastAsia="lt-LT"/>
        </w:rPr>
      </w:pPr>
    </w:p>
    <w:p w14:paraId="529C92C4" w14:textId="152E5FB4" w:rsidR="000723FF" w:rsidRPr="00DC5BAC" w:rsidRDefault="000723FF" w:rsidP="00824B92">
      <w:pPr>
        <w:rPr>
          <w:b/>
          <w:lang w:eastAsia="lt-LT"/>
        </w:rPr>
      </w:pPr>
      <w:r w:rsidRPr="00DC5BAC">
        <w:rPr>
          <w:b/>
          <w:lang w:eastAsia="lt-LT"/>
        </w:rPr>
        <w:t>Terapinės indikacijos</w:t>
      </w:r>
    </w:p>
    <w:p w14:paraId="5BB746DD" w14:textId="64BE7063" w:rsidR="000723FF" w:rsidRPr="00E33EFF" w:rsidRDefault="00000000" w:rsidP="00824B92">
      <w:sdt>
        <w:sdtPr>
          <w:rPr>
            <w:rStyle w:val="Style2"/>
          </w:rPr>
          <w:id w:val="1146316688"/>
          <w15:color w:val="FFCC00"/>
          <w14:checkbox>
            <w14:checked w14:val="1"/>
            <w14:checkedState w14:val="2612" w14:font="MS Gothic"/>
            <w14:uncheckedState w14:val="2610" w14:font="MS Gothic"/>
          </w14:checkbox>
        </w:sdtPr>
        <w:sdtContent>
          <w:r w:rsidR="00C0555C">
            <w:rPr>
              <w:rStyle w:val="Style2"/>
              <w:rFonts w:ascii="MS Gothic" w:eastAsia="MS Gothic" w:hAnsi="MS Gothic" w:hint="eastAsia"/>
            </w:rPr>
            <w:t>☒</w:t>
          </w:r>
        </w:sdtContent>
      </w:sdt>
      <w:r w:rsidR="000723FF" w:rsidRPr="00E33EFF">
        <w:t xml:space="preserve"> Siūloma kompensuoti Pareiškėjo teikiamą indikaciją be pakeitimų.</w:t>
      </w:r>
    </w:p>
    <w:p w14:paraId="5CE292DA" w14:textId="77777777" w:rsidR="004D7A8A" w:rsidRPr="007E6F84" w:rsidRDefault="004D7A8A" w:rsidP="004D7A8A">
      <w:pPr>
        <w:spacing w:line="276" w:lineRule="auto"/>
        <w:jc w:val="both"/>
      </w:pPr>
      <w:r w:rsidRPr="007E6F84">
        <w:t>Skyrizi skirtas suaugusiems pacientams, sergantiems vidutinio sunkumo ir sunkia aktyvia Krono liga, gydyti, jeigu atsakas į gydymą standartiniais arba biologiniais vaistiniais preparatais buvo nepakankamas ar prarastas, arba kai pacientas šių vaistinių preparatų netoleravo.</w:t>
      </w:r>
    </w:p>
    <w:p w14:paraId="0CF0498E" w14:textId="77777777" w:rsidR="004D7A8A" w:rsidRDefault="004D7A8A" w:rsidP="00824B92">
      <w:pPr>
        <w:rPr>
          <w:rStyle w:val="Style2"/>
        </w:rPr>
      </w:pPr>
    </w:p>
    <w:p w14:paraId="7DD65F7E" w14:textId="77777777" w:rsidR="000723FF" w:rsidRPr="00E33EFF" w:rsidRDefault="000723FF" w:rsidP="00824B92"/>
    <w:p w14:paraId="241A6E6B" w14:textId="77777777" w:rsidR="000723FF" w:rsidRPr="00E33EFF" w:rsidRDefault="000723FF" w:rsidP="00824B92">
      <w:pPr>
        <w:rPr>
          <w:b/>
        </w:rPr>
      </w:pPr>
      <w:r w:rsidRPr="00E33EFF">
        <w:rPr>
          <w:b/>
        </w:rPr>
        <w:t>Skyrimo sąlygos</w:t>
      </w:r>
    </w:p>
    <w:p w14:paraId="297867ED" w14:textId="63E7AEBD" w:rsidR="000723FF" w:rsidRDefault="00000000" w:rsidP="00824B92">
      <w:sdt>
        <w:sdtPr>
          <w:rPr>
            <w:rStyle w:val="Style2"/>
          </w:rPr>
          <w:id w:val="1823936883"/>
          <w15:color w:val="FFCC00"/>
          <w14:checkbox>
            <w14:checked w14:val="1"/>
            <w14:checkedState w14:val="2612" w14:font="MS Gothic"/>
            <w14:uncheckedState w14:val="2610" w14:font="MS Gothic"/>
          </w14:checkbox>
        </w:sdtPr>
        <w:sdtContent>
          <w:r w:rsidR="001E1820">
            <w:rPr>
              <w:rStyle w:val="Style2"/>
              <w:rFonts w:ascii="MS Gothic" w:eastAsia="MS Gothic" w:hAnsi="MS Gothic" w:hint="eastAsia"/>
            </w:rPr>
            <w:t>☒</w:t>
          </w:r>
        </w:sdtContent>
      </w:sdt>
      <w:r w:rsidR="000723FF" w:rsidRPr="00E33EFF">
        <w:t xml:space="preserve"> Pareiškėjo siūlomos skyrimo sąlygos nepriimtinos. </w:t>
      </w:r>
    </w:p>
    <w:p w14:paraId="4C4914EF" w14:textId="77777777" w:rsidR="00054320" w:rsidRDefault="00054320" w:rsidP="00824B92"/>
    <w:p w14:paraId="0147F1AE" w14:textId="2AB4FCE7" w:rsidR="003738C9" w:rsidRPr="00054320" w:rsidRDefault="003738C9" w:rsidP="00824B92">
      <w:pPr>
        <w:rPr>
          <w:b/>
          <w:bCs/>
        </w:rPr>
      </w:pPr>
      <w:r w:rsidRPr="00054320">
        <w:rPr>
          <w:b/>
          <w:bCs/>
        </w:rPr>
        <w:t>Siūlomos skyrimo sąlygos</w:t>
      </w:r>
    </w:p>
    <w:p w14:paraId="5A13083F" w14:textId="77777777" w:rsidR="00B26125" w:rsidRPr="00E45378" w:rsidRDefault="00B26125" w:rsidP="00B26125">
      <w:pPr>
        <w:pStyle w:val="Betarp"/>
        <w:spacing w:line="280" w:lineRule="atLeast"/>
        <w:rPr>
          <w:rFonts w:ascii="Times New Roman" w:hAnsi="Times New Roman"/>
          <w:iCs/>
          <w:color w:val="000000" w:themeColor="text1"/>
          <w:sz w:val="24"/>
          <w:szCs w:val="24"/>
        </w:rPr>
      </w:pPr>
    </w:p>
    <w:p w14:paraId="0DEE710B" w14:textId="77777777" w:rsidR="007E6F84" w:rsidRPr="00AC58C8" w:rsidRDefault="007E6F84" w:rsidP="00E0646D">
      <w:pPr>
        <w:pStyle w:val="Betarp"/>
        <w:spacing w:line="276" w:lineRule="auto"/>
        <w:rPr>
          <w:b/>
        </w:rPr>
      </w:pPr>
      <w:r w:rsidRPr="00E45378">
        <w:rPr>
          <w:rFonts w:ascii="Times New Roman" w:hAnsi="Times New Roman"/>
          <w:iCs/>
          <w:color w:val="000000" w:themeColor="text1"/>
          <w:sz w:val="24"/>
          <w:szCs w:val="24"/>
        </w:rPr>
        <w:t>Skiriamas sveikatos apsaugos ministro nustatyta tvarka, vidutinio sunkumo ir sunkia aktyvia Krono liga</w:t>
      </w:r>
      <w:r w:rsidRPr="00AC58C8">
        <w:rPr>
          <w:rFonts w:ascii="Times New Roman" w:hAnsi="Times New Roman"/>
          <w:iCs/>
          <w:color w:val="000000" w:themeColor="text1"/>
          <w:sz w:val="24"/>
          <w:szCs w:val="24"/>
        </w:rPr>
        <w:t xml:space="preserve"> </w:t>
      </w:r>
      <w:r w:rsidRPr="00E45378">
        <w:rPr>
          <w:rFonts w:ascii="Times New Roman" w:hAnsi="Times New Roman"/>
          <w:iCs/>
          <w:color w:val="000000" w:themeColor="text1"/>
          <w:sz w:val="24"/>
          <w:szCs w:val="24"/>
        </w:rPr>
        <w:t>sergantiems</w:t>
      </w:r>
      <w:r w:rsidRPr="00AC58C8">
        <w:rPr>
          <w:rFonts w:ascii="Times New Roman" w:hAnsi="Times New Roman"/>
          <w:iCs/>
          <w:color w:val="000000" w:themeColor="text1"/>
          <w:sz w:val="24"/>
          <w:szCs w:val="24"/>
        </w:rPr>
        <w:t xml:space="preserve"> </w:t>
      </w:r>
      <w:r w:rsidRPr="00E45378">
        <w:rPr>
          <w:rFonts w:ascii="Times New Roman" w:hAnsi="Times New Roman"/>
          <w:iCs/>
          <w:color w:val="000000" w:themeColor="text1"/>
          <w:sz w:val="24"/>
          <w:szCs w:val="24"/>
        </w:rPr>
        <w:t xml:space="preserve">suaugusiems pacientams, kuriems atsakas į gydymą </w:t>
      </w:r>
      <w:r>
        <w:rPr>
          <w:rFonts w:ascii="Times New Roman" w:hAnsi="Times New Roman"/>
          <w:iCs/>
          <w:color w:val="000000" w:themeColor="text1"/>
          <w:sz w:val="24"/>
          <w:szCs w:val="24"/>
        </w:rPr>
        <w:t xml:space="preserve">tumoro nekrozės faktoriaus  alfa  inhibitoriais </w:t>
      </w:r>
      <w:r w:rsidRPr="00E45378">
        <w:rPr>
          <w:rFonts w:ascii="Times New Roman" w:hAnsi="Times New Roman"/>
          <w:iCs/>
          <w:color w:val="000000" w:themeColor="text1"/>
          <w:sz w:val="24"/>
          <w:szCs w:val="24"/>
        </w:rPr>
        <w:t>buvo nepakankamas</w:t>
      </w:r>
      <w:r>
        <w:rPr>
          <w:rFonts w:ascii="Times New Roman" w:hAnsi="Times New Roman"/>
          <w:iCs/>
          <w:color w:val="000000" w:themeColor="text1"/>
          <w:sz w:val="24"/>
          <w:szCs w:val="24"/>
        </w:rPr>
        <w:t xml:space="preserve">, </w:t>
      </w:r>
      <w:r w:rsidRPr="00E45378">
        <w:rPr>
          <w:rFonts w:ascii="Times New Roman" w:hAnsi="Times New Roman"/>
          <w:iCs/>
          <w:color w:val="000000" w:themeColor="text1"/>
          <w:sz w:val="24"/>
          <w:szCs w:val="24"/>
        </w:rPr>
        <w:t>prarastas</w:t>
      </w:r>
      <w:r>
        <w:rPr>
          <w:rFonts w:ascii="Times New Roman" w:hAnsi="Times New Roman"/>
          <w:iCs/>
          <w:color w:val="000000" w:themeColor="text1"/>
          <w:sz w:val="24"/>
          <w:szCs w:val="24"/>
        </w:rPr>
        <w:t xml:space="preserve"> ar netoleruojamas</w:t>
      </w:r>
      <w:r w:rsidRPr="00AC58C8">
        <w:rPr>
          <w:rFonts w:ascii="Times New Roman" w:hAnsi="Times New Roman"/>
          <w:szCs w:val="24"/>
        </w:rPr>
        <w:t>.</w:t>
      </w:r>
    </w:p>
    <w:p w14:paraId="7CDFF220" w14:textId="0BFD428A" w:rsidR="000723FF" w:rsidRPr="00E45378" w:rsidRDefault="000723FF" w:rsidP="00E0646D">
      <w:pPr>
        <w:pStyle w:val="Betarp"/>
        <w:spacing w:line="276" w:lineRule="auto"/>
        <w:rPr>
          <w:b/>
          <w:iCs/>
        </w:rPr>
      </w:pPr>
    </w:p>
    <w:sectPr w:rsidR="000723FF" w:rsidRPr="00E45378"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F8DB0" w14:textId="77777777" w:rsidR="00111FDE" w:rsidRDefault="00111FDE">
      <w:r>
        <w:separator/>
      </w:r>
    </w:p>
  </w:endnote>
  <w:endnote w:type="continuationSeparator" w:id="0">
    <w:p w14:paraId="1E17B3BB" w14:textId="77777777" w:rsidR="00111FDE" w:rsidRDefault="00111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nherit">
    <w:altName w:val="Cambri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5E9F5" w14:textId="77777777" w:rsidR="00111FDE" w:rsidRDefault="00111FDE">
      <w:r>
        <w:separator/>
      </w:r>
    </w:p>
  </w:footnote>
  <w:footnote w:type="continuationSeparator" w:id="0">
    <w:p w14:paraId="27AC6E0A" w14:textId="77777777" w:rsidR="00111FDE" w:rsidRDefault="00111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D5F9" w14:textId="37BDC0E1"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57D29">
      <w:rPr>
        <w:rStyle w:val="Puslapionumeris"/>
        <w:noProof/>
      </w:rPr>
      <w:t>9</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6"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0700421">
    <w:abstractNumId w:val="6"/>
  </w:num>
  <w:num w:numId="2" w16cid:durableId="1531066232">
    <w:abstractNumId w:val="1"/>
  </w:num>
  <w:num w:numId="3" w16cid:durableId="1013874474">
    <w:abstractNumId w:val="8"/>
  </w:num>
  <w:num w:numId="4" w16cid:durableId="593130258">
    <w:abstractNumId w:val="7"/>
  </w:num>
  <w:num w:numId="5" w16cid:durableId="1237352423">
    <w:abstractNumId w:val="5"/>
  </w:num>
  <w:num w:numId="6" w16cid:durableId="735781354">
    <w:abstractNumId w:val="4"/>
  </w:num>
  <w:num w:numId="7" w16cid:durableId="1799446545">
    <w:abstractNumId w:val="3"/>
  </w:num>
  <w:num w:numId="8" w16cid:durableId="516962968">
    <w:abstractNumId w:val="11"/>
  </w:num>
  <w:num w:numId="9" w16cid:durableId="1634679230">
    <w:abstractNumId w:val="0"/>
  </w:num>
  <w:num w:numId="10" w16cid:durableId="560599408">
    <w:abstractNumId w:val="9"/>
  </w:num>
  <w:num w:numId="11" w16cid:durableId="2071612251">
    <w:abstractNumId w:val="10"/>
  </w:num>
  <w:num w:numId="12" w16cid:durableId="1368330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128C"/>
    <w:rsid w:val="0002686C"/>
    <w:rsid w:val="00031D0E"/>
    <w:rsid w:val="00032C47"/>
    <w:rsid w:val="000337E6"/>
    <w:rsid w:val="0003402E"/>
    <w:rsid w:val="00034EAE"/>
    <w:rsid w:val="00042924"/>
    <w:rsid w:val="00053975"/>
    <w:rsid w:val="00054320"/>
    <w:rsid w:val="00057A2B"/>
    <w:rsid w:val="000606BE"/>
    <w:rsid w:val="000723FF"/>
    <w:rsid w:val="000736B8"/>
    <w:rsid w:val="0008190F"/>
    <w:rsid w:val="00081D9C"/>
    <w:rsid w:val="00082907"/>
    <w:rsid w:val="0008378D"/>
    <w:rsid w:val="000908A5"/>
    <w:rsid w:val="00092805"/>
    <w:rsid w:val="000A05CF"/>
    <w:rsid w:val="000C454C"/>
    <w:rsid w:val="000D5038"/>
    <w:rsid w:val="000E29D4"/>
    <w:rsid w:val="000F3540"/>
    <w:rsid w:val="00100491"/>
    <w:rsid w:val="0010179E"/>
    <w:rsid w:val="00104E2E"/>
    <w:rsid w:val="00107287"/>
    <w:rsid w:val="00111FDE"/>
    <w:rsid w:val="00117406"/>
    <w:rsid w:val="00121EF0"/>
    <w:rsid w:val="00124A9E"/>
    <w:rsid w:val="00130703"/>
    <w:rsid w:val="0013153F"/>
    <w:rsid w:val="001408B8"/>
    <w:rsid w:val="001517E2"/>
    <w:rsid w:val="001521D9"/>
    <w:rsid w:val="00153D8A"/>
    <w:rsid w:val="001554E2"/>
    <w:rsid w:val="00160105"/>
    <w:rsid w:val="00161411"/>
    <w:rsid w:val="00164146"/>
    <w:rsid w:val="00165462"/>
    <w:rsid w:val="0017369C"/>
    <w:rsid w:val="00175D57"/>
    <w:rsid w:val="00180C39"/>
    <w:rsid w:val="00180D96"/>
    <w:rsid w:val="00184BD3"/>
    <w:rsid w:val="001921F3"/>
    <w:rsid w:val="001B3C5B"/>
    <w:rsid w:val="001D746F"/>
    <w:rsid w:val="001E1820"/>
    <w:rsid w:val="001E4BBB"/>
    <w:rsid w:val="001E6304"/>
    <w:rsid w:val="0020381E"/>
    <w:rsid w:val="00213471"/>
    <w:rsid w:val="00215906"/>
    <w:rsid w:val="00241CD8"/>
    <w:rsid w:val="00244B09"/>
    <w:rsid w:val="002519CB"/>
    <w:rsid w:val="00254FB9"/>
    <w:rsid w:val="0025697F"/>
    <w:rsid w:val="00260258"/>
    <w:rsid w:val="0026588E"/>
    <w:rsid w:val="00272428"/>
    <w:rsid w:val="00272948"/>
    <w:rsid w:val="00277E18"/>
    <w:rsid w:val="00292392"/>
    <w:rsid w:val="002946C7"/>
    <w:rsid w:val="002B3CC1"/>
    <w:rsid w:val="002C09E0"/>
    <w:rsid w:val="002C1BB1"/>
    <w:rsid w:val="002C2786"/>
    <w:rsid w:val="002C3A10"/>
    <w:rsid w:val="002C4A90"/>
    <w:rsid w:val="002C4ED5"/>
    <w:rsid w:val="002D02EF"/>
    <w:rsid w:val="002D6B65"/>
    <w:rsid w:val="002E0702"/>
    <w:rsid w:val="002E57AD"/>
    <w:rsid w:val="002E6F80"/>
    <w:rsid w:val="002F0E4F"/>
    <w:rsid w:val="002F1053"/>
    <w:rsid w:val="00312D0D"/>
    <w:rsid w:val="00317B0E"/>
    <w:rsid w:val="00344033"/>
    <w:rsid w:val="00347FAA"/>
    <w:rsid w:val="0035172D"/>
    <w:rsid w:val="0036187D"/>
    <w:rsid w:val="00367971"/>
    <w:rsid w:val="00367EDB"/>
    <w:rsid w:val="003738C9"/>
    <w:rsid w:val="00381024"/>
    <w:rsid w:val="00386307"/>
    <w:rsid w:val="003874DE"/>
    <w:rsid w:val="00393E9F"/>
    <w:rsid w:val="0039696E"/>
    <w:rsid w:val="003B211A"/>
    <w:rsid w:val="003C141F"/>
    <w:rsid w:val="003C6B0E"/>
    <w:rsid w:val="003C7257"/>
    <w:rsid w:val="003C7E35"/>
    <w:rsid w:val="003D1877"/>
    <w:rsid w:val="003D1E99"/>
    <w:rsid w:val="003D6208"/>
    <w:rsid w:val="00404E8A"/>
    <w:rsid w:val="0040622F"/>
    <w:rsid w:val="00413F24"/>
    <w:rsid w:val="0042075D"/>
    <w:rsid w:val="00422853"/>
    <w:rsid w:val="00423160"/>
    <w:rsid w:val="00447E37"/>
    <w:rsid w:val="00453862"/>
    <w:rsid w:val="0045469B"/>
    <w:rsid w:val="00461338"/>
    <w:rsid w:val="004677DB"/>
    <w:rsid w:val="0047414A"/>
    <w:rsid w:val="00476256"/>
    <w:rsid w:val="0048630F"/>
    <w:rsid w:val="004947A1"/>
    <w:rsid w:val="0049482A"/>
    <w:rsid w:val="004979D3"/>
    <w:rsid w:val="004A00E7"/>
    <w:rsid w:val="004A3A61"/>
    <w:rsid w:val="004B205D"/>
    <w:rsid w:val="004B59BA"/>
    <w:rsid w:val="004B5A03"/>
    <w:rsid w:val="004C263A"/>
    <w:rsid w:val="004D48A6"/>
    <w:rsid w:val="004D7A8A"/>
    <w:rsid w:val="004D7B8F"/>
    <w:rsid w:val="004E0EAD"/>
    <w:rsid w:val="004E6458"/>
    <w:rsid w:val="004E6E7D"/>
    <w:rsid w:val="004F1AAC"/>
    <w:rsid w:val="004F1AE2"/>
    <w:rsid w:val="004F34F0"/>
    <w:rsid w:val="004F3B2B"/>
    <w:rsid w:val="004F6050"/>
    <w:rsid w:val="005005EF"/>
    <w:rsid w:val="005123C2"/>
    <w:rsid w:val="0052144B"/>
    <w:rsid w:val="00524066"/>
    <w:rsid w:val="00534E11"/>
    <w:rsid w:val="005378D8"/>
    <w:rsid w:val="005400D9"/>
    <w:rsid w:val="005476A4"/>
    <w:rsid w:val="0055019B"/>
    <w:rsid w:val="00556E63"/>
    <w:rsid w:val="005601A4"/>
    <w:rsid w:val="00566DBB"/>
    <w:rsid w:val="005767DB"/>
    <w:rsid w:val="005815E6"/>
    <w:rsid w:val="005848FC"/>
    <w:rsid w:val="0058712F"/>
    <w:rsid w:val="005976CE"/>
    <w:rsid w:val="005A23D4"/>
    <w:rsid w:val="005A2D1E"/>
    <w:rsid w:val="005B3756"/>
    <w:rsid w:val="005C493F"/>
    <w:rsid w:val="005C6BF7"/>
    <w:rsid w:val="005C71BF"/>
    <w:rsid w:val="005D002C"/>
    <w:rsid w:val="005D30E1"/>
    <w:rsid w:val="005D6555"/>
    <w:rsid w:val="005D7BDF"/>
    <w:rsid w:val="005E4870"/>
    <w:rsid w:val="005F71D9"/>
    <w:rsid w:val="005F7602"/>
    <w:rsid w:val="006031C8"/>
    <w:rsid w:val="006062BE"/>
    <w:rsid w:val="00613143"/>
    <w:rsid w:val="00613501"/>
    <w:rsid w:val="0061611B"/>
    <w:rsid w:val="006166A8"/>
    <w:rsid w:val="006174A1"/>
    <w:rsid w:val="00621D6C"/>
    <w:rsid w:val="00633B49"/>
    <w:rsid w:val="0064297F"/>
    <w:rsid w:val="00645102"/>
    <w:rsid w:val="00646CF3"/>
    <w:rsid w:val="006516B6"/>
    <w:rsid w:val="00653D11"/>
    <w:rsid w:val="00662983"/>
    <w:rsid w:val="006834D3"/>
    <w:rsid w:val="006913FD"/>
    <w:rsid w:val="00692625"/>
    <w:rsid w:val="00695CD3"/>
    <w:rsid w:val="006A38B6"/>
    <w:rsid w:val="006B1987"/>
    <w:rsid w:val="006B57B3"/>
    <w:rsid w:val="006B5B71"/>
    <w:rsid w:val="006B6CB0"/>
    <w:rsid w:val="006C0296"/>
    <w:rsid w:val="006C2B64"/>
    <w:rsid w:val="006D4C85"/>
    <w:rsid w:val="006D66AC"/>
    <w:rsid w:val="006E33F6"/>
    <w:rsid w:val="006E6FB2"/>
    <w:rsid w:val="006F1251"/>
    <w:rsid w:val="006F1C23"/>
    <w:rsid w:val="00702C18"/>
    <w:rsid w:val="00703166"/>
    <w:rsid w:val="00705F6C"/>
    <w:rsid w:val="007127F3"/>
    <w:rsid w:val="00714097"/>
    <w:rsid w:val="007301CF"/>
    <w:rsid w:val="007316FB"/>
    <w:rsid w:val="007374D0"/>
    <w:rsid w:val="00737E2D"/>
    <w:rsid w:val="007424D5"/>
    <w:rsid w:val="00750A88"/>
    <w:rsid w:val="007523DD"/>
    <w:rsid w:val="00757B7E"/>
    <w:rsid w:val="007656B2"/>
    <w:rsid w:val="0077016F"/>
    <w:rsid w:val="007713AD"/>
    <w:rsid w:val="00795DC5"/>
    <w:rsid w:val="00797153"/>
    <w:rsid w:val="007A21F7"/>
    <w:rsid w:val="007A2B68"/>
    <w:rsid w:val="007A4C45"/>
    <w:rsid w:val="007B0DDA"/>
    <w:rsid w:val="007C0875"/>
    <w:rsid w:val="007C6794"/>
    <w:rsid w:val="007C7519"/>
    <w:rsid w:val="007D3347"/>
    <w:rsid w:val="007E5466"/>
    <w:rsid w:val="007E6F84"/>
    <w:rsid w:val="007F1949"/>
    <w:rsid w:val="007F2592"/>
    <w:rsid w:val="00800A08"/>
    <w:rsid w:val="00800B74"/>
    <w:rsid w:val="0081513D"/>
    <w:rsid w:val="00817A84"/>
    <w:rsid w:val="008225A4"/>
    <w:rsid w:val="00824B92"/>
    <w:rsid w:val="00826D5E"/>
    <w:rsid w:val="00832013"/>
    <w:rsid w:val="00832DB7"/>
    <w:rsid w:val="00834732"/>
    <w:rsid w:val="0085200C"/>
    <w:rsid w:val="00857C52"/>
    <w:rsid w:val="00860D5F"/>
    <w:rsid w:val="00867923"/>
    <w:rsid w:val="00877B31"/>
    <w:rsid w:val="00880A44"/>
    <w:rsid w:val="0088345E"/>
    <w:rsid w:val="0088656F"/>
    <w:rsid w:val="00891EF6"/>
    <w:rsid w:val="008A0303"/>
    <w:rsid w:val="008A2D5D"/>
    <w:rsid w:val="008A458F"/>
    <w:rsid w:val="008A5FDD"/>
    <w:rsid w:val="008C2172"/>
    <w:rsid w:val="008C3947"/>
    <w:rsid w:val="008C3FEE"/>
    <w:rsid w:val="008D4FAE"/>
    <w:rsid w:val="008E473B"/>
    <w:rsid w:val="008E51A6"/>
    <w:rsid w:val="008E7329"/>
    <w:rsid w:val="008F2ED5"/>
    <w:rsid w:val="00900F7A"/>
    <w:rsid w:val="00903DB4"/>
    <w:rsid w:val="0090513A"/>
    <w:rsid w:val="0092297E"/>
    <w:rsid w:val="00923651"/>
    <w:rsid w:val="00927B56"/>
    <w:rsid w:val="009341BF"/>
    <w:rsid w:val="00937907"/>
    <w:rsid w:val="00941739"/>
    <w:rsid w:val="00943E06"/>
    <w:rsid w:val="00951573"/>
    <w:rsid w:val="009604CB"/>
    <w:rsid w:val="00963003"/>
    <w:rsid w:val="00966EEF"/>
    <w:rsid w:val="00971B28"/>
    <w:rsid w:val="00983471"/>
    <w:rsid w:val="009909AB"/>
    <w:rsid w:val="009B37DB"/>
    <w:rsid w:val="009C0F47"/>
    <w:rsid w:val="009C7A8C"/>
    <w:rsid w:val="009D23F9"/>
    <w:rsid w:val="009D4FA8"/>
    <w:rsid w:val="009E44AE"/>
    <w:rsid w:val="009E541D"/>
    <w:rsid w:val="009E6CD6"/>
    <w:rsid w:val="009F4D66"/>
    <w:rsid w:val="00A00C3C"/>
    <w:rsid w:val="00A01091"/>
    <w:rsid w:val="00A042B9"/>
    <w:rsid w:val="00A06DBB"/>
    <w:rsid w:val="00A22ADF"/>
    <w:rsid w:val="00A31E86"/>
    <w:rsid w:val="00A54D87"/>
    <w:rsid w:val="00A5553C"/>
    <w:rsid w:val="00A573C9"/>
    <w:rsid w:val="00A57D29"/>
    <w:rsid w:val="00A62D64"/>
    <w:rsid w:val="00A701C9"/>
    <w:rsid w:val="00A81785"/>
    <w:rsid w:val="00A84803"/>
    <w:rsid w:val="00A84C51"/>
    <w:rsid w:val="00A86F2B"/>
    <w:rsid w:val="00A91366"/>
    <w:rsid w:val="00A93AA6"/>
    <w:rsid w:val="00A93DFF"/>
    <w:rsid w:val="00AA2433"/>
    <w:rsid w:val="00AA4E48"/>
    <w:rsid w:val="00AA6202"/>
    <w:rsid w:val="00AA7B57"/>
    <w:rsid w:val="00AB7BB3"/>
    <w:rsid w:val="00AC26FC"/>
    <w:rsid w:val="00AC4A99"/>
    <w:rsid w:val="00AC64D2"/>
    <w:rsid w:val="00AD02E7"/>
    <w:rsid w:val="00AD1318"/>
    <w:rsid w:val="00AE0FE8"/>
    <w:rsid w:val="00AE1322"/>
    <w:rsid w:val="00AF60D5"/>
    <w:rsid w:val="00B00959"/>
    <w:rsid w:val="00B04415"/>
    <w:rsid w:val="00B06509"/>
    <w:rsid w:val="00B11D60"/>
    <w:rsid w:val="00B13D65"/>
    <w:rsid w:val="00B21805"/>
    <w:rsid w:val="00B26125"/>
    <w:rsid w:val="00B3072E"/>
    <w:rsid w:val="00B36E15"/>
    <w:rsid w:val="00B37245"/>
    <w:rsid w:val="00B4017A"/>
    <w:rsid w:val="00B4468D"/>
    <w:rsid w:val="00B71C72"/>
    <w:rsid w:val="00B81E92"/>
    <w:rsid w:val="00B84801"/>
    <w:rsid w:val="00B908D7"/>
    <w:rsid w:val="00B915AB"/>
    <w:rsid w:val="00B935E8"/>
    <w:rsid w:val="00B93B30"/>
    <w:rsid w:val="00B94CB5"/>
    <w:rsid w:val="00BA0DD9"/>
    <w:rsid w:val="00BA5DBC"/>
    <w:rsid w:val="00BB6312"/>
    <w:rsid w:val="00BC4D06"/>
    <w:rsid w:val="00BD18D3"/>
    <w:rsid w:val="00BD585E"/>
    <w:rsid w:val="00BD6919"/>
    <w:rsid w:val="00BE1EA7"/>
    <w:rsid w:val="00BE7489"/>
    <w:rsid w:val="00BF2E0D"/>
    <w:rsid w:val="00BF3927"/>
    <w:rsid w:val="00BF3F8B"/>
    <w:rsid w:val="00BF76DA"/>
    <w:rsid w:val="00C0555C"/>
    <w:rsid w:val="00C07C7B"/>
    <w:rsid w:val="00C16245"/>
    <w:rsid w:val="00C2244A"/>
    <w:rsid w:val="00C22DC5"/>
    <w:rsid w:val="00C24479"/>
    <w:rsid w:val="00C273F2"/>
    <w:rsid w:val="00C37B53"/>
    <w:rsid w:val="00C40156"/>
    <w:rsid w:val="00C517D2"/>
    <w:rsid w:val="00C5772E"/>
    <w:rsid w:val="00C62B36"/>
    <w:rsid w:val="00C7012C"/>
    <w:rsid w:val="00C712EA"/>
    <w:rsid w:val="00C74345"/>
    <w:rsid w:val="00C842AF"/>
    <w:rsid w:val="00CA217D"/>
    <w:rsid w:val="00CB66BE"/>
    <w:rsid w:val="00CC09D4"/>
    <w:rsid w:val="00CC668D"/>
    <w:rsid w:val="00CC7832"/>
    <w:rsid w:val="00CF0C1C"/>
    <w:rsid w:val="00CF27FD"/>
    <w:rsid w:val="00CF54C3"/>
    <w:rsid w:val="00CF5F12"/>
    <w:rsid w:val="00D00D8F"/>
    <w:rsid w:val="00D21F3A"/>
    <w:rsid w:val="00D23808"/>
    <w:rsid w:val="00D3016A"/>
    <w:rsid w:val="00D417D2"/>
    <w:rsid w:val="00D42960"/>
    <w:rsid w:val="00D43BD7"/>
    <w:rsid w:val="00D4485B"/>
    <w:rsid w:val="00D466D5"/>
    <w:rsid w:val="00D4708D"/>
    <w:rsid w:val="00D4744C"/>
    <w:rsid w:val="00D521DE"/>
    <w:rsid w:val="00D5470B"/>
    <w:rsid w:val="00D63068"/>
    <w:rsid w:val="00D6498C"/>
    <w:rsid w:val="00D76A70"/>
    <w:rsid w:val="00D83182"/>
    <w:rsid w:val="00D8521E"/>
    <w:rsid w:val="00D9291C"/>
    <w:rsid w:val="00D93A97"/>
    <w:rsid w:val="00D970E4"/>
    <w:rsid w:val="00DB1F64"/>
    <w:rsid w:val="00DC2778"/>
    <w:rsid w:val="00DC2F53"/>
    <w:rsid w:val="00DC5BAC"/>
    <w:rsid w:val="00DC6816"/>
    <w:rsid w:val="00DC76C2"/>
    <w:rsid w:val="00DD1CF2"/>
    <w:rsid w:val="00DD237A"/>
    <w:rsid w:val="00DE4484"/>
    <w:rsid w:val="00DF41B7"/>
    <w:rsid w:val="00DF4A4A"/>
    <w:rsid w:val="00DF583C"/>
    <w:rsid w:val="00E03C3F"/>
    <w:rsid w:val="00E0646D"/>
    <w:rsid w:val="00E06FD7"/>
    <w:rsid w:val="00E07417"/>
    <w:rsid w:val="00E11559"/>
    <w:rsid w:val="00E24D45"/>
    <w:rsid w:val="00E2740E"/>
    <w:rsid w:val="00E33DB8"/>
    <w:rsid w:val="00E33EFF"/>
    <w:rsid w:val="00E34387"/>
    <w:rsid w:val="00E348BA"/>
    <w:rsid w:val="00E351CD"/>
    <w:rsid w:val="00E369FE"/>
    <w:rsid w:val="00E37C6F"/>
    <w:rsid w:val="00E45378"/>
    <w:rsid w:val="00E475F8"/>
    <w:rsid w:val="00E5102E"/>
    <w:rsid w:val="00E5721C"/>
    <w:rsid w:val="00E619C6"/>
    <w:rsid w:val="00E745A1"/>
    <w:rsid w:val="00E81529"/>
    <w:rsid w:val="00E83A13"/>
    <w:rsid w:val="00E9788C"/>
    <w:rsid w:val="00EA794E"/>
    <w:rsid w:val="00EB4395"/>
    <w:rsid w:val="00EB46B0"/>
    <w:rsid w:val="00EB6FC5"/>
    <w:rsid w:val="00EC2356"/>
    <w:rsid w:val="00EC2582"/>
    <w:rsid w:val="00EC337C"/>
    <w:rsid w:val="00EC446E"/>
    <w:rsid w:val="00ED0CFF"/>
    <w:rsid w:val="00ED31D2"/>
    <w:rsid w:val="00EE0EAC"/>
    <w:rsid w:val="00EE3322"/>
    <w:rsid w:val="00EE33CB"/>
    <w:rsid w:val="00EE5AE5"/>
    <w:rsid w:val="00EE6245"/>
    <w:rsid w:val="00EE69C1"/>
    <w:rsid w:val="00EF02B6"/>
    <w:rsid w:val="00F0061A"/>
    <w:rsid w:val="00F02834"/>
    <w:rsid w:val="00F04EEB"/>
    <w:rsid w:val="00F05467"/>
    <w:rsid w:val="00F055D2"/>
    <w:rsid w:val="00F07CD7"/>
    <w:rsid w:val="00F127E9"/>
    <w:rsid w:val="00F14B5D"/>
    <w:rsid w:val="00F259FC"/>
    <w:rsid w:val="00F36972"/>
    <w:rsid w:val="00F42426"/>
    <w:rsid w:val="00F44C9F"/>
    <w:rsid w:val="00F456BC"/>
    <w:rsid w:val="00F50666"/>
    <w:rsid w:val="00F70C9E"/>
    <w:rsid w:val="00F74A74"/>
    <w:rsid w:val="00F7572C"/>
    <w:rsid w:val="00F8382C"/>
    <w:rsid w:val="00F855D7"/>
    <w:rsid w:val="00F92035"/>
    <w:rsid w:val="00F92748"/>
    <w:rsid w:val="00F9452A"/>
    <w:rsid w:val="00FA4169"/>
    <w:rsid w:val="00FB0D41"/>
    <w:rsid w:val="00FB2030"/>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aliases w:val="Summary box,Dossier Table"/>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Summary Bullets,Bullet 1,Bullet1,Bullet List,Section 5,List Paragraph CCT minutes,Table Legend,Bullets Points,Use Case List Paragraph,List Paragraph1,Body Bullet,Table Number Paragraph,Colorful List - Accent 11,List Paragraph 1,Ref,B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link w:val="BetarpDiagrama"/>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Summary Bullets Diagrama,Bullet 1 Diagrama,Bullet1 Diagrama,Bullet List Diagrama,Section 5 Diagrama,List Paragraph CCT minutes Diagrama,Table Legend Diagrama,Bullets Points Diagrama,Use Case List Paragraph Diagrama,Ref Diagrama"/>
    <w:basedOn w:val="Numatytasispastraiposriftas"/>
    <w:link w:val="Sraopastraipa"/>
    <w:uiPriority w:val="34"/>
    <w:rsid w:val="003D1877"/>
    <w:rPr>
      <w:sz w:val="24"/>
      <w:szCs w:val="24"/>
      <w:lang w:eastAsia="en-US"/>
    </w:rPr>
  </w:style>
  <w:style w:type="paragraph" w:customStyle="1" w:styleId="0TEXT">
    <w:name w:val="0: TEXT"/>
    <w:basedOn w:val="prastasis"/>
    <w:link w:val="0TEXTChar"/>
    <w:qFormat/>
    <w:rsid w:val="00EE6245"/>
    <w:pPr>
      <w:spacing w:before="240"/>
      <w:ind w:firstLine="567"/>
      <w:jc w:val="both"/>
    </w:pPr>
    <w:rPr>
      <w:rFonts w:eastAsiaTheme="minorHAnsi"/>
      <w:bCs/>
      <w:color w:val="000000"/>
      <w:lang w:val="en-GB"/>
    </w:rPr>
  </w:style>
  <w:style w:type="character" w:customStyle="1" w:styleId="0TEXTChar">
    <w:name w:val="0: TEXT Char"/>
    <w:basedOn w:val="Numatytasispastraiposriftas"/>
    <w:link w:val="0TEXT"/>
    <w:rsid w:val="00EE6245"/>
    <w:rPr>
      <w:rFonts w:eastAsiaTheme="minorHAnsi"/>
      <w:bCs/>
      <w:color w:val="000000"/>
      <w:sz w:val="24"/>
      <w:szCs w:val="24"/>
      <w:lang w:val="en-GB" w:eastAsia="en-US"/>
    </w:rPr>
  </w:style>
  <w:style w:type="paragraph" w:styleId="Pagrindinistekstas">
    <w:name w:val="Body Text"/>
    <w:aliases w:val="Tekstas"/>
    <w:basedOn w:val="prastasis"/>
    <w:link w:val="PagrindinistekstasDiagrama"/>
    <w:qFormat/>
    <w:rsid w:val="00312D0D"/>
    <w:pPr>
      <w:widowControl w:val="0"/>
      <w:autoSpaceDE w:val="0"/>
      <w:autoSpaceDN w:val="0"/>
      <w:spacing w:before="120" w:after="120"/>
      <w:jc w:val="both"/>
    </w:pPr>
    <w:rPr>
      <w:szCs w:val="22"/>
      <w:lang w:val="en-US"/>
    </w:rPr>
  </w:style>
  <w:style w:type="character" w:customStyle="1" w:styleId="PagrindinistekstasDiagrama">
    <w:name w:val="Pagrindinis tekstas Diagrama"/>
    <w:aliases w:val="Tekstas Diagrama"/>
    <w:basedOn w:val="Numatytasispastraiposriftas"/>
    <w:link w:val="Pagrindinistekstas"/>
    <w:rsid w:val="00312D0D"/>
    <w:rPr>
      <w:sz w:val="24"/>
      <w:szCs w:val="22"/>
      <w:lang w:val="en-US" w:eastAsia="en-US"/>
    </w:rPr>
  </w:style>
  <w:style w:type="character" w:customStyle="1" w:styleId="BetarpDiagrama">
    <w:name w:val="Be tarpų Diagrama"/>
    <w:basedOn w:val="Numatytasispastraiposriftas"/>
    <w:link w:val="Betarp"/>
    <w:uiPriority w:val="1"/>
    <w:locked/>
    <w:rsid w:val="00B26125"/>
    <w:rPr>
      <w:rFonts w:ascii="Calibri" w:eastAsia="Calibri" w:hAnsi="Calibri"/>
      <w:sz w:val="22"/>
      <w:szCs w:val="22"/>
      <w:lang w:eastAsia="en-US"/>
    </w:rPr>
  </w:style>
  <w:style w:type="character" w:styleId="Grietas">
    <w:name w:val="Strong"/>
    <w:basedOn w:val="Numatytasispastraiposriftas"/>
    <w:uiPriority w:val="22"/>
    <w:qFormat/>
    <w:rsid w:val="002D6B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B60824EC144AB3B75C05A5823BEE2D"/>
        <w:category>
          <w:name w:val="Bendrosios nuostatos"/>
          <w:gallery w:val="placeholder"/>
        </w:category>
        <w:types>
          <w:type w:val="bbPlcHdr"/>
        </w:types>
        <w:behaviors>
          <w:behavior w:val="content"/>
        </w:behaviors>
        <w:guid w:val="{BCA21354-5277-4E37-94EF-AC6CA7E9D852}"/>
      </w:docPartPr>
      <w:docPartBody>
        <w:p w:rsidR="00E44A86" w:rsidRDefault="005E40DD" w:rsidP="005E40DD">
          <w:pPr>
            <w:pStyle w:val="CDB60824EC144AB3B75C05A5823BEE2D"/>
          </w:pPr>
          <w:r>
            <w:rPr>
              <w:rStyle w:val="Vietosrezervavimoenklotekstas"/>
            </w:rPr>
            <w:t>Click here to enter a date.</w:t>
          </w:r>
        </w:p>
      </w:docPartBody>
    </w:docPart>
    <w:docPart>
      <w:docPartPr>
        <w:name w:val="28BCC124EF464F7B8923DF705093523D"/>
        <w:category>
          <w:name w:val="General"/>
          <w:gallery w:val="placeholder"/>
        </w:category>
        <w:types>
          <w:type w:val="bbPlcHdr"/>
        </w:types>
        <w:behaviors>
          <w:behavior w:val="content"/>
        </w:behaviors>
        <w:guid w:val="{FED865C2-90D6-4281-8AAA-7EB4E7C4DD68}"/>
      </w:docPartPr>
      <w:docPartBody>
        <w:p w:rsidR="003D694B" w:rsidRDefault="003D694B" w:rsidP="003D694B">
          <w:pPr>
            <w:pStyle w:val="28BCC124EF464F7B8923DF705093523D"/>
          </w:pPr>
          <w:r>
            <w:rPr>
              <w:rStyle w:val="Vietosrezervavimoenklotekstas"/>
            </w:rPr>
            <w:t>Click here to enter a date.</w:t>
          </w:r>
        </w:p>
      </w:docPartBody>
    </w:docPart>
    <w:docPart>
      <w:docPartPr>
        <w:name w:val="3B350F7943004F8F8E390AF12F962E3D"/>
        <w:category>
          <w:name w:val="General"/>
          <w:gallery w:val="placeholder"/>
        </w:category>
        <w:types>
          <w:type w:val="bbPlcHdr"/>
        </w:types>
        <w:behaviors>
          <w:behavior w:val="content"/>
        </w:behaviors>
        <w:guid w:val="{A03F2E84-F716-4FCF-AC1F-2F904A45CAC8}"/>
      </w:docPartPr>
      <w:docPartBody>
        <w:p w:rsidR="003D694B" w:rsidRDefault="003D694B" w:rsidP="003D694B">
          <w:pPr>
            <w:pStyle w:val="3B350F7943004F8F8E390AF12F962E3D"/>
          </w:pPr>
          <w:r>
            <w:rPr>
              <w:rStyle w:val="Vietosrezervavimoenklotekstas"/>
            </w:rPr>
            <w:t>Click here to enter a date.</w:t>
          </w:r>
        </w:p>
      </w:docPartBody>
    </w:docPart>
    <w:docPart>
      <w:docPartPr>
        <w:name w:val="02A0A8C0C1DE4AE2A9B81898B167E74D"/>
        <w:category>
          <w:name w:val="General"/>
          <w:gallery w:val="placeholder"/>
        </w:category>
        <w:types>
          <w:type w:val="bbPlcHdr"/>
        </w:types>
        <w:behaviors>
          <w:behavior w:val="content"/>
        </w:behaviors>
        <w:guid w:val="{202150A5-CCDF-4C34-A955-77F18CB9C31A}"/>
      </w:docPartPr>
      <w:docPartBody>
        <w:p w:rsidR="003D694B" w:rsidRDefault="003D694B" w:rsidP="003D694B">
          <w:pPr>
            <w:pStyle w:val="02A0A8C0C1DE4AE2A9B81898B167E74D"/>
          </w:pPr>
          <w:r>
            <w:rPr>
              <w:rStyle w:val="Vietosrezervavimoenklotekstas"/>
            </w:rPr>
            <w:t>Click here to enter a date.</w:t>
          </w:r>
        </w:p>
      </w:docPartBody>
    </w:docPart>
    <w:docPart>
      <w:docPartPr>
        <w:name w:val="DC191C0FAD634F3DA04FFDC769D49DD7"/>
        <w:category>
          <w:name w:val="General"/>
          <w:gallery w:val="placeholder"/>
        </w:category>
        <w:types>
          <w:type w:val="bbPlcHdr"/>
        </w:types>
        <w:behaviors>
          <w:behavior w:val="content"/>
        </w:behaviors>
        <w:guid w:val="{54135D3F-7F42-442E-9F80-55594616B1E7}"/>
      </w:docPartPr>
      <w:docPartBody>
        <w:p w:rsidR="003D694B" w:rsidRDefault="003D694B" w:rsidP="003D694B">
          <w:pPr>
            <w:pStyle w:val="DC191C0FAD634F3DA04FFDC769D49DD7"/>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nherit">
    <w:altName w:val="Cambri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61157"/>
    <w:rsid w:val="000937FE"/>
    <w:rsid w:val="000A559A"/>
    <w:rsid w:val="000D24D4"/>
    <w:rsid w:val="00140D05"/>
    <w:rsid w:val="001B2BB6"/>
    <w:rsid w:val="001C35A9"/>
    <w:rsid w:val="001D6223"/>
    <w:rsid w:val="001F47C5"/>
    <w:rsid w:val="00237556"/>
    <w:rsid w:val="002B2565"/>
    <w:rsid w:val="0039303B"/>
    <w:rsid w:val="003945EC"/>
    <w:rsid w:val="003D694B"/>
    <w:rsid w:val="004144A3"/>
    <w:rsid w:val="004160E7"/>
    <w:rsid w:val="004416C6"/>
    <w:rsid w:val="004F5AB2"/>
    <w:rsid w:val="005074B9"/>
    <w:rsid w:val="005E40DD"/>
    <w:rsid w:val="007219C1"/>
    <w:rsid w:val="0074261C"/>
    <w:rsid w:val="00753462"/>
    <w:rsid w:val="00772325"/>
    <w:rsid w:val="007A2FE0"/>
    <w:rsid w:val="007A4C45"/>
    <w:rsid w:val="007C6D1D"/>
    <w:rsid w:val="00867923"/>
    <w:rsid w:val="008A2D5D"/>
    <w:rsid w:val="0090074D"/>
    <w:rsid w:val="0095615F"/>
    <w:rsid w:val="009B3BF0"/>
    <w:rsid w:val="009D5E5E"/>
    <w:rsid w:val="009F1BB4"/>
    <w:rsid w:val="00A62D64"/>
    <w:rsid w:val="00AB6ED4"/>
    <w:rsid w:val="00AB7BB3"/>
    <w:rsid w:val="00B14210"/>
    <w:rsid w:val="00B23DC0"/>
    <w:rsid w:val="00B96656"/>
    <w:rsid w:val="00BE29C1"/>
    <w:rsid w:val="00C2401D"/>
    <w:rsid w:val="00C53A68"/>
    <w:rsid w:val="00C62863"/>
    <w:rsid w:val="00C842AF"/>
    <w:rsid w:val="00CA5BB4"/>
    <w:rsid w:val="00CB4BD1"/>
    <w:rsid w:val="00CE2DA9"/>
    <w:rsid w:val="00CE44BE"/>
    <w:rsid w:val="00D107CD"/>
    <w:rsid w:val="00D4356B"/>
    <w:rsid w:val="00D7162F"/>
    <w:rsid w:val="00E44A86"/>
    <w:rsid w:val="00E522EB"/>
    <w:rsid w:val="00E60827"/>
    <w:rsid w:val="00E73FF6"/>
    <w:rsid w:val="00EF02B6"/>
    <w:rsid w:val="00EF4BDC"/>
    <w:rsid w:val="00EF6E0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3D694B"/>
    <w:rPr>
      <w:color w:val="808080"/>
    </w:rPr>
  </w:style>
  <w:style w:type="paragraph" w:customStyle="1" w:styleId="CDB60824EC144AB3B75C05A5823BEE2D">
    <w:name w:val="CDB60824EC144AB3B75C05A5823BEE2D"/>
    <w:rsid w:val="005E40DD"/>
  </w:style>
  <w:style w:type="paragraph" w:customStyle="1" w:styleId="28BCC124EF464F7B8923DF705093523D">
    <w:name w:val="28BCC124EF464F7B8923DF705093523D"/>
    <w:rsid w:val="003D694B"/>
    <w:pPr>
      <w:spacing w:line="278" w:lineRule="auto"/>
    </w:pPr>
    <w:rPr>
      <w:kern w:val="2"/>
      <w:sz w:val="24"/>
      <w:szCs w:val="24"/>
      <w14:ligatures w14:val="standardContextual"/>
    </w:rPr>
  </w:style>
  <w:style w:type="paragraph" w:customStyle="1" w:styleId="3B350F7943004F8F8E390AF12F962E3D">
    <w:name w:val="3B350F7943004F8F8E390AF12F962E3D"/>
    <w:rsid w:val="003D694B"/>
    <w:pPr>
      <w:spacing w:line="278" w:lineRule="auto"/>
    </w:pPr>
    <w:rPr>
      <w:kern w:val="2"/>
      <w:sz w:val="24"/>
      <w:szCs w:val="24"/>
      <w14:ligatures w14:val="standardContextual"/>
    </w:rPr>
  </w:style>
  <w:style w:type="paragraph" w:customStyle="1" w:styleId="02A0A8C0C1DE4AE2A9B81898B167E74D">
    <w:name w:val="02A0A8C0C1DE4AE2A9B81898B167E74D"/>
    <w:rsid w:val="003D694B"/>
    <w:pPr>
      <w:spacing w:line="278" w:lineRule="auto"/>
    </w:pPr>
    <w:rPr>
      <w:kern w:val="2"/>
      <w:sz w:val="24"/>
      <w:szCs w:val="24"/>
      <w14:ligatures w14:val="standardContextual"/>
    </w:rPr>
  </w:style>
  <w:style w:type="paragraph" w:customStyle="1" w:styleId="DC191C0FAD634F3DA04FFDC769D49DD7">
    <w:name w:val="DC191C0FAD634F3DA04FFDC769D49DD7"/>
    <w:rsid w:val="003D694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6E1CC-2107-45D9-9566-0EB05660F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12786</Words>
  <Characters>7289</Characters>
  <Application>Microsoft Office Word</Application>
  <DocSecurity>0</DocSecurity>
  <Lines>60</Lines>
  <Paragraphs>40</Paragraphs>
  <ScaleCrop>false</ScaleCrop>
  <Company/>
  <LinksUpToDate>false</LinksUpToDate>
  <CharactersWithSpaces>20035</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2024-12-30T20:31:00Z</dcterms:created>
  <dcterms:modified xsi:type="dcterms:W3CDTF">2024-12-30T20:34:00Z</dcterms:modified>
</cp:coreProperties>
</file>