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0203E1" w:rsidRDefault="005F7602" w:rsidP="002946C7">
      <w:pPr>
        <w:ind w:left="5529"/>
      </w:pPr>
    </w:p>
    <w:p w14:paraId="12FA4B9E" w14:textId="77777777" w:rsidR="001B3C5B" w:rsidRPr="000203E1" w:rsidRDefault="001B3C5B" w:rsidP="001B3C5B">
      <w:pPr>
        <w:ind w:left="6096"/>
      </w:pPr>
      <w:r w:rsidRPr="000203E1">
        <w:t>Forma 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520B9136" w:rsidR="001B3C5B" w:rsidRPr="000203E1" w:rsidRDefault="004C263A" w:rsidP="001B3C5B">
      <w:pPr>
        <w:ind w:left="6096"/>
      </w:pPr>
      <w:r w:rsidRPr="000203E1">
        <w:t>(Valstybinės vaistų kontrolės tarnybos prie Lietuvos Respublikos sveikatos apsaugos ministerijos viršininko 2022 m.                         d. įsakymo Nr.                    redakcija)</w:t>
      </w:r>
    </w:p>
    <w:p w14:paraId="3336BD74" w14:textId="77777777" w:rsidR="001B3C5B" w:rsidRPr="000203E1" w:rsidRDefault="001B3C5B" w:rsidP="00FA4169"/>
    <w:p w14:paraId="77AFB67E" w14:textId="16397257"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13EF903B" w14:textId="09E9DC15" w:rsidR="00030C28" w:rsidRPr="00530071" w:rsidRDefault="00030C28" w:rsidP="00030C28">
      <w:pPr>
        <w:spacing w:line="276" w:lineRule="auto"/>
        <w:jc w:val="center"/>
        <w:rPr>
          <w:b/>
        </w:rPr>
      </w:pPr>
      <w:r w:rsidRPr="00530071">
        <w:rPr>
          <w:b/>
        </w:rPr>
        <w:t>A</w:t>
      </w:r>
      <w:r>
        <w:rPr>
          <w:b/>
        </w:rPr>
        <w:t>KEEGA</w:t>
      </w:r>
      <w:r>
        <w:t xml:space="preserve"> </w:t>
      </w:r>
      <w:r w:rsidRPr="00530071">
        <w:rPr>
          <w:b/>
        </w:rPr>
        <w:t>50 mg/500 mg</w:t>
      </w:r>
      <w:r>
        <w:t xml:space="preserve"> </w:t>
      </w:r>
      <w:r w:rsidRPr="00530071">
        <w:rPr>
          <w:b/>
        </w:rPr>
        <w:t>plėvele dengtos tabletės</w:t>
      </w:r>
    </w:p>
    <w:p w14:paraId="687CE001" w14:textId="77777777" w:rsidR="00030C28" w:rsidRPr="001C7392" w:rsidRDefault="00030C28" w:rsidP="00030C28">
      <w:pPr>
        <w:spacing w:line="276" w:lineRule="auto"/>
        <w:jc w:val="center"/>
        <w:rPr>
          <w:b/>
          <w:bCs/>
        </w:rPr>
      </w:pPr>
      <w:r w:rsidRPr="001C7392">
        <w:rPr>
          <w:b/>
          <w:bCs/>
        </w:rPr>
        <w:t xml:space="preserve">  </w:t>
      </w:r>
    </w:p>
    <w:p w14:paraId="19AA6586" w14:textId="77777777" w:rsidR="00030C28" w:rsidRPr="00D05364" w:rsidRDefault="00030C28" w:rsidP="00030C28">
      <w:pPr>
        <w:spacing w:line="276" w:lineRule="auto"/>
        <w:jc w:val="center"/>
      </w:pPr>
      <w:r w:rsidRPr="001C7392">
        <w:rPr>
          <w:b/>
          <w:bCs/>
        </w:rPr>
        <w:t>(Niraparibas/Abiraterono acetatas)</w:t>
      </w:r>
    </w:p>
    <w:p w14:paraId="39059362" w14:textId="77777777" w:rsidR="00030C28" w:rsidRPr="00D05364" w:rsidRDefault="00030C28" w:rsidP="00030C28">
      <w:pPr>
        <w:spacing w:line="276" w:lineRule="auto"/>
        <w:jc w:val="center"/>
      </w:pPr>
    </w:p>
    <w:p w14:paraId="25F3D7F1" w14:textId="77777777" w:rsidR="00030C28" w:rsidRPr="00D05364" w:rsidRDefault="00030C28" w:rsidP="00030C28">
      <w:pPr>
        <w:spacing w:line="276" w:lineRule="auto"/>
        <w:jc w:val="center"/>
        <w:rPr>
          <w:b/>
        </w:rPr>
      </w:pPr>
      <w:r w:rsidRPr="00D05364">
        <w:rPr>
          <w:b/>
        </w:rPr>
        <w:t>Paraiškos numeris</w:t>
      </w:r>
      <w:r>
        <w:rPr>
          <w:b/>
        </w:rPr>
        <w:t xml:space="preserve"> STV 183</w:t>
      </w:r>
    </w:p>
    <w:p w14:paraId="453197C8" w14:textId="77777777" w:rsidR="00D4708D" w:rsidRPr="000203E1" w:rsidRDefault="00D4708D" w:rsidP="009B2F9C">
      <w:pPr>
        <w:rPr>
          <w:b/>
        </w:rPr>
      </w:pPr>
    </w:p>
    <w:p w14:paraId="78C89D1C" w14:textId="0DEFFAA5" w:rsidR="00D4485B" w:rsidRPr="000203E1" w:rsidRDefault="00B13D65" w:rsidP="00CC09D4">
      <w:pPr>
        <w:pStyle w:val="Sraopastraipa"/>
        <w:numPr>
          <w:ilvl w:val="0"/>
          <w:numId w:val="12"/>
        </w:numPr>
        <w:tabs>
          <w:tab w:val="left" w:pos="567"/>
        </w:tabs>
        <w:ind w:left="567" w:hanging="567"/>
        <w:rPr>
          <w:b/>
          <w:bCs/>
          <w:caps/>
        </w:rPr>
      </w:pPr>
      <w:r w:rsidRPr="000203E1">
        <w:rPr>
          <w:b/>
          <w:bCs/>
          <w:caps/>
        </w:rPr>
        <w:t>Bendroji dalis</w:t>
      </w:r>
    </w:p>
    <w:p w14:paraId="04A7C7A7" w14:textId="77777777" w:rsidR="00B13D65" w:rsidRPr="000203E1"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0203E1" w:rsidRPr="000203E1" w14:paraId="18A83EC2" w14:textId="77777777" w:rsidTr="00BE7489">
        <w:trPr>
          <w:trHeight w:val="538"/>
        </w:trPr>
        <w:tc>
          <w:tcPr>
            <w:tcW w:w="632" w:type="dxa"/>
          </w:tcPr>
          <w:p w14:paraId="0646FBEA" w14:textId="77777777" w:rsidR="00B13D65" w:rsidRPr="000203E1" w:rsidRDefault="00B13D65" w:rsidP="00824B92">
            <w:pPr>
              <w:rPr>
                <w:rFonts w:eastAsia="Arial"/>
              </w:rPr>
            </w:pPr>
            <w:r w:rsidRPr="000203E1">
              <w:rPr>
                <w:rFonts w:eastAsia="Arial"/>
              </w:rPr>
              <w:t>1.1</w:t>
            </w:r>
          </w:p>
        </w:tc>
        <w:tc>
          <w:tcPr>
            <w:tcW w:w="3694" w:type="dxa"/>
          </w:tcPr>
          <w:p w14:paraId="6C3AE864" w14:textId="77777777" w:rsidR="00B13D65" w:rsidRPr="000203E1" w:rsidRDefault="00B13D65" w:rsidP="00824B92">
            <w:pPr>
              <w:rPr>
                <w:rFonts w:eastAsia="Arial"/>
              </w:rPr>
            </w:pPr>
            <w:r w:rsidRPr="000203E1">
              <w:rPr>
                <w:rFonts w:eastAsia="Arial"/>
              </w:rPr>
              <w:t>Pareiškėjas</w:t>
            </w:r>
          </w:p>
          <w:p w14:paraId="2AF240DC" w14:textId="77777777" w:rsidR="00B13D65" w:rsidRPr="000203E1" w:rsidRDefault="00B13D65" w:rsidP="00824B92">
            <w:pPr>
              <w:rPr>
                <w:rFonts w:eastAsia="Arial"/>
              </w:rPr>
            </w:pPr>
          </w:p>
        </w:tc>
        <w:tc>
          <w:tcPr>
            <w:tcW w:w="5167" w:type="dxa"/>
          </w:tcPr>
          <w:p w14:paraId="2AAF0D91" w14:textId="4723AC73" w:rsidR="00B13D65" w:rsidRPr="000203E1" w:rsidRDefault="00030C28" w:rsidP="00824B92">
            <w:pPr>
              <w:rPr>
                <w:rFonts w:eastAsia="Arial"/>
              </w:rPr>
            </w:pPr>
            <w:r w:rsidRPr="00416EE5">
              <w:rPr>
                <w:rFonts w:eastAsia="Arial"/>
                <w:color w:val="000000"/>
              </w:rPr>
              <w:t>Janssen-Cilag International N.V., Belgija</w:t>
            </w:r>
            <w:r w:rsidRPr="000203E1">
              <w:rPr>
                <w:rFonts w:eastAsia="Arial"/>
              </w:rPr>
              <w:t xml:space="preserve"> </w:t>
            </w:r>
          </w:p>
        </w:tc>
      </w:tr>
      <w:tr w:rsidR="000203E1" w:rsidRPr="000203E1" w14:paraId="31998B0D" w14:textId="77777777" w:rsidTr="00BE7489">
        <w:trPr>
          <w:trHeight w:val="538"/>
        </w:trPr>
        <w:tc>
          <w:tcPr>
            <w:tcW w:w="632" w:type="dxa"/>
          </w:tcPr>
          <w:p w14:paraId="2005EC67" w14:textId="662300D0" w:rsidR="00B13D65" w:rsidRPr="000203E1" w:rsidRDefault="002E0702" w:rsidP="00824B92">
            <w:pPr>
              <w:rPr>
                <w:rFonts w:eastAsia="Arial"/>
              </w:rPr>
            </w:pPr>
            <w:r w:rsidRPr="000203E1">
              <w:rPr>
                <w:rFonts w:eastAsia="Arial"/>
              </w:rPr>
              <w:t>1.2</w:t>
            </w:r>
          </w:p>
        </w:tc>
        <w:tc>
          <w:tcPr>
            <w:tcW w:w="3694" w:type="dxa"/>
          </w:tcPr>
          <w:p w14:paraId="1E4AE3B1" w14:textId="77777777" w:rsidR="00B13D65" w:rsidRPr="000203E1" w:rsidRDefault="00B13D65" w:rsidP="00824B92">
            <w:pPr>
              <w:rPr>
                <w:bCs/>
                <w:lang w:eastAsia="lt-LT"/>
              </w:rPr>
            </w:pPr>
            <w:r w:rsidRPr="000203E1">
              <w:rPr>
                <w:bCs/>
                <w:lang w:eastAsia="lt-LT"/>
              </w:rPr>
              <w:t xml:space="preserve">Registracijos data </w:t>
            </w:r>
          </w:p>
          <w:p w14:paraId="3A0DC096" w14:textId="77777777" w:rsidR="00B13D65" w:rsidRPr="000203E1" w:rsidRDefault="00B13D65" w:rsidP="00824B92">
            <w:pPr>
              <w:rPr>
                <w:bCs/>
                <w:lang w:eastAsia="lt-LT"/>
              </w:rPr>
            </w:pPr>
          </w:p>
        </w:tc>
        <w:tc>
          <w:tcPr>
            <w:tcW w:w="5167" w:type="dxa"/>
          </w:tcPr>
          <w:p w14:paraId="3CA218AD" w14:textId="59B42C62" w:rsidR="009B2F9C" w:rsidRPr="000203E1" w:rsidRDefault="00000000" w:rsidP="00824B92">
            <w:pPr>
              <w:rPr>
                <w:rStyle w:val="Style2"/>
              </w:rPr>
            </w:pPr>
            <w:sdt>
              <w:sdtPr>
                <w:rPr>
                  <w:sz w:val="32"/>
                </w:rPr>
                <w:alias w:val="Nurodykite konkrečią dieną"/>
                <w:tag w:val="Nurodykite pradžios datą"/>
                <w:id w:val="423238108"/>
                <w:placeholder>
                  <w:docPart w:val="B5DD268B8B439E49AA53F38DBAA54E63"/>
                </w:placeholder>
                <w15:color w:val="FFCC99"/>
                <w:date>
                  <w:dateFormat w:val="yyyy 'm.' MMMM d 'd.'"/>
                  <w:lid w:val="lt-LT"/>
                  <w:storeMappedDataAs w:val="dateTime"/>
                  <w:calendar w:val="gregorian"/>
                </w:date>
              </w:sdtPr>
              <w:sdtEndPr>
                <w:rPr>
                  <w:sz w:val="24"/>
                </w:rPr>
              </w:sdtEndPr>
              <w:sdtContent>
                <w:r w:rsidR="00030C28" w:rsidRPr="00030C28">
                  <w:t>2015 m. liepos 17 d.</w:t>
                </w:r>
              </w:sdtContent>
            </w:sdt>
          </w:p>
        </w:tc>
      </w:tr>
      <w:tr w:rsidR="000203E1" w:rsidRPr="000203E1" w14:paraId="15968AE1" w14:textId="77777777" w:rsidTr="00BE7489">
        <w:trPr>
          <w:trHeight w:val="1500"/>
        </w:trPr>
        <w:tc>
          <w:tcPr>
            <w:tcW w:w="632" w:type="dxa"/>
          </w:tcPr>
          <w:p w14:paraId="6A784245" w14:textId="1E461489" w:rsidR="00B13D65" w:rsidRPr="000203E1" w:rsidRDefault="002E0702" w:rsidP="00824B92">
            <w:pPr>
              <w:rPr>
                <w:rFonts w:eastAsia="Arial"/>
              </w:rPr>
            </w:pPr>
            <w:r w:rsidRPr="000203E1">
              <w:rPr>
                <w:rFonts w:eastAsia="Arial"/>
              </w:rPr>
              <w:t>1.3</w:t>
            </w:r>
          </w:p>
        </w:tc>
        <w:tc>
          <w:tcPr>
            <w:tcW w:w="3694" w:type="dxa"/>
          </w:tcPr>
          <w:p w14:paraId="22933506" w14:textId="77777777" w:rsidR="00B13D65" w:rsidRPr="000203E1" w:rsidRDefault="00B13D65" w:rsidP="00824B92">
            <w:r w:rsidRPr="000203E1">
              <w:t xml:space="preserve">Paraiškos tipas </w:t>
            </w:r>
          </w:p>
          <w:p w14:paraId="0465E680" w14:textId="7F0A0714" w:rsidR="00B13D65" w:rsidRPr="000203E1" w:rsidRDefault="00B13D65" w:rsidP="00824B92">
            <w:r w:rsidRPr="000203E1">
              <w:t>(</w:t>
            </w:r>
            <w:r w:rsidR="00695CD3" w:rsidRPr="000203E1">
              <w:t xml:space="preserve">pagal </w:t>
            </w:r>
            <w:r w:rsidR="0039696E" w:rsidRPr="000203E1">
              <w:rPr>
                <w:shd w:val="clear" w:color="auto" w:fill="FFFFFF"/>
              </w:rPr>
              <w:t>vaistinio preparato registracijos tipą, įtvirtintą</w:t>
            </w:r>
            <w:r w:rsidR="0039696E" w:rsidRPr="000203E1">
              <w:t xml:space="preserve"> </w:t>
            </w:r>
            <w:r w:rsidRPr="000203E1">
              <w:t>Direktyv</w:t>
            </w:r>
            <w:r w:rsidR="00695CD3" w:rsidRPr="000203E1">
              <w:t>os</w:t>
            </w:r>
            <w:r w:rsidRPr="000203E1">
              <w:t xml:space="preserve"> 2001/83/EB</w:t>
            </w:r>
            <w:r w:rsidR="00695CD3" w:rsidRPr="000203E1">
              <w:t xml:space="preserve"> straips</w:t>
            </w:r>
            <w:r w:rsidR="0039696E" w:rsidRPr="000203E1">
              <w:t>iuose</w:t>
            </w:r>
            <w:r w:rsidRPr="000203E1">
              <w:t>)</w:t>
            </w:r>
          </w:p>
          <w:p w14:paraId="77089D80" w14:textId="6681D72A" w:rsidR="00B13D65" w:rsidRPr="000203E1" w:rsidRDefault="00B13D65" w:rsidP="00824B92">
            <w:pPr>
              <w:rPr>
                <w:bCs/>
                <w:lang w:eastAsia="lt-LT"/>
              </w:rPr>
            </w:pPr>
          </w:p>
        </w:tc>
        <w:tc>
          <w:tcPr>
            <w:tcW w:w="5167" w:type="dxa"/>
          </w:tcPr>
          <w:p w14:paraId="208F40EC" w14:textId="72AD270C" w:rsidR="00B13D65" w:rsidRPr="009B2F9C" w:rsidRDefault="00000000" w:rsidP="00824B92">
            <w:sdt>
              <w:sdtPr>
                <w:rPr>
                  <w:rStyle w:val="Style2"/>
                  <w:sz w:val="24"/>
                </w:rPr>
                <w:id w:val="526292078"/>
                <w15:color w:val="FFCC00"/>
                <w14:checkbox>
                  <w14:checked w14:val="1"/>
                  <w14:checkedState w14:val="2612" w14:font="MS Gothic"/>
                  <w14:uncheckedState w14:val="2610" w14:font="MS Gothic"/>
                </w14:checkbox>
              </w:sdtPr>
              <w:sdtContent>
                <w:r w:rsidR="009B2F9C" w:rsidRPr="009B2F9C">
                  <w:rPr>
                    <w:rStyle w:val="Style2"/>
                    <w:rFonts w:ascii="Segoe UI Symbol" w:eastAsia="MS Gothic" w:hAnsi="Segoe UI Symbol" w:cs="Segoe UI Symbol"/>
                    <w:sz w:val="24"/>
                  </w:rPr>
                  <w:t>☒</w:t>
                </w:r>
              </w:sdtContent>
            </w:sdt>
            <w:r w:rsidR="00B13D65" w:rsidRPr="009B2F9C">
              <w:t xml:space="preserve">8.3 str. (pilna byla, pagrįsta savais tyrimais) </w:t>
            </w:r>
          </w:p>
          <w:p w14:paraId="32BA564E" w14:textId="3FDA3E01" w:rsidR="00B13D65" w:rsidRPr="009B2F9C" w:rsidRDefault="00000000" w:rsidP="00824B92">
            <w:sdt>
              <w:sdtPr>
                <w:rPr>
                  <w:rStyle w:val="Style2"/>
                  <w:sz w:val="24"/>
                </w:rPr>
                <w:id w:val="-1497953736"/>
                <w15:color w:val="FFCC00"/>
                <w14:checkbox>
                  <w14:checked w14:val="0"/>
                  <w14:checkedState w14:val="2612" w14:font="MS Gothic"/>
                  <w14:uncheckedState w14:val="2610" w14:font="MS Gothic"/>
                </w14:checkbox>
              </w:sdtPr>
              <w:sdtContent>
                <w:r w:rsidR="00CC7832" w:rsidRPr="009B2F9C">
                  <w:rPr>
                    <w:rStyle w:val="Style2"/>
                    <w:rFonts w:ascii="Segoe UI Symbol" w:eastAsia="MS Gothic" w:hAnsi="Segoe UI Symbol" w:cs="Segoe UI Symbol"/>
                    <w:sz w:val="24"/>
                  </w:rPr>
                  <w:t>☐</w:t>
                </w:r>
              </w:sdtContent>
            </w:sdt>
            <w:r w:rsidR="00B13D65" w:rsidRPr="009B2F9C">
              <w:t xml:space="preserve">10 a str. (pripažintas medicininis vartojimas) </w:t>
            </w:r>
          </w:p>
          <w:p w14:paraId="318DCD7F" w14:textId="32333E53" w:rsidR="00B13D65" w:rsidRPr="009B2F9C" w:rsidRDefault="00000000" w:rsidP="00824B92">
            <w:sdt>
              <w:sdtPr>
                <w:rPr>
                  <w:rStyle w:val="Style2"/>
                  <w:sz w:val="24"/>
                </w:rPr>
                <w:id w:val="204142496"/>
                <w15:color w:val="FFCC00"/>
                <w14:checkbox>
                  <w14:checked w14:val="0"/>
                  <w14:checkedState w14:val="2612" w14:font="MS Gothic"/>
                  <w14:uncheckedState w14:val="2610" w14:font="MS Gothic"/>
                </w14:checkbox>
              </w:sdtPr>
              <w:sdtContent>
                <w:r w:rsidR="00CC7832" w:rsidRPr="009B2F9C">
                  <w:rPr>
                    <w:rStyle w:val="Style2"/>
                    <w:rFonts w:ascii="Segoe UI Symbol" w:eastAsia="MS Gothic" w:hAnsi="Segoe UI Symbol" w:cs="Segoe UI Symbol"/>
                    <w:sz w:val="24"/>
                  </w:rPr>
                  <w:t>☐</w:t>
                </w:r>
              </w:sdtContent>
            </w:sdt>
            <w:r w:rsidR="00B13D65" w:rsidRPr="009B2F9C">
              <w:t>10.1 str. (generinis)</w:t>
            </w:r>
          </w:p>
          <w:p w14:paraId="3B0A4F72" w14:textId="3F5FB073" w:rsidR="00B13D65" w:rsidRPr="000203E1" w:rsidRDefault="00000000" w:rsidP="00824B92">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Content>
                <w:r w:rsidR="00CC7832" w:rsidRPr="009B2F9C">
                  <w:rPr>
                    <w:rStyle w:val="Style2"/>
                    <w:rFonts w:ascii="Segoe UI Symbol" w:eastAsia="MS Gothic" w:hAnsi="Segoe UI Symbol" w:cs="Segoe UI Symbol"/>
                    <w:sz w:val="24"/>
                  </w:rPr>
                  <w:t>☐</w:t>
                </w:r>
              </w:sdtContent>
            </w:sdt>
            <w:r w:rsidR="00B13D65" w:rsidRPr="009B2F9C">
              <w:t>10.3 str. (hibridinis)</w:t>
            </w:r>
          </w:p>
        </w:tc>
      </w:tr>
      <w:tr w:rsidR="000203E1" w:rsidRPr="000203E1" w14:paraId="310E9662" w14:textId="77777777" w:rsidTr="00BE7489">
        <w:trPr>
          <w:trHeight w:val="1442"/>
        </w:trPr>
        <w:tc>
          <w:tcPr>
            <w:tcW w:w="632" w:type="dxa"/>
          </w:tcPr>
          <w:p w14:paraId="4B5A91A2" w14:textId="561B5E5F" w:rsidR="00B13D65" w:rsidRPr="000203E1" w:rsidRDefault="00B13D65" w:rsidP="00824B92">
            <w:pPr>
              <w:rPr>
                <w:rFonts w:eastAsia="Arial"/>
              </w:rPr>
            </w:pPr>
            <w:r w:rsidRPr="000203E1">
              <w:rPr>
                <w:rFonts w:eastAsia="Arial"/>
              </w:rPr>
              <w:t>1.</w:t>
            </w:r>
            <w:r w:rsidR="002E0702" w:rsidRPr="000203E1">
              <w:rPr>
                <w:rFonts w:eastAsia="Arial"/>
              </w:rPr>
              <w:t>4</w:t>
            </w:r>
          </w:p>
        </w:tc>
        <w:tc>
          <w:tcPr>
            <w:tcW w:w="3694" w:type="dxa"/>
          </w:tcPr>
          <w:p w14:paraId="6C91E105" w14:textId="77777777" w:rsidR="00B13D65" w:rsidRPr="000203E1" w:rsidRDefault="00B13D65" w:rsidP="00824B92">
            <w:pPr>
              <w:rPr>
                <w:bCs/>
                <w:lang w:eastAsia="lt-LT"/>
              </w:rPr>
            </w:pPr>
            <w:r w:rsidRPr="000203E1">
              <w:rPr>
                <w:bCs/>
                <w:lang w:eastAsia="lt-LT"/>
              </w:rPr>
              <w:t xml:space="preserve">Ar vaistinis preparatas įrašytas į Bendrijos retųjų vaistinių preparatų registrą? </w:t>
            </w:r>
          </w:p>
          <w:p w14:paraId="33726F9C" w14:textId="77777777" w:rsidR="00B13D65" w:rsidRPr="000203E1" w:rsidRDefault="00B13D65" w:rsidP="00824B92">
            <w:pPr>
              <w:rPr>
                <w:bCs/>
                <w:i/>
                <w:lang w:eastAsia="lt-LT"/>
              </w:rPr>
            </w:pPr>
          </w:p>
          <w:p w14:paraId="483071A3" w14:textId="0F633FFC" w:rsidR="00B13D65" w:rsidRPr="000203E1" w:rsidRDefault="00DF583C" w:rsidP="00824B92">
            <w:pPr>
              <w:rPr>
                <w:bCs/>
                <w:lang w:eastAsia="lt-LT"/>
              </w:rPr>
            </w:pPr>
            <w:r w:rsidRPr="000203E1">
              <w:rPr>
                <w:bCs/>
                <w:i/>
                <w:sz w:val="20"/>
                <w:lang w:eastAsia="lt-LT"/>
              </w:rPr>
              <w:t>Jei taip, n</w:t>
            </w:r>
            <w:r w:rsidR="00B13D65" w:rsidRPr="000203E1">
              <w:rPr>
                <w:bCs/>
                <w:i/>
                <w:sz w:val="20"/>
                <w:lang w:eastAsia="lt-LT"/>
              </w:rPr>
              <w:t xml:space="preserve">urodykite </w:t>
            </w:r>
            <w:r w:rsidR="007656B2" w:rsidRPr="000203E1">
              <w:rPr>
                <w:bCs/>
                <w:i/>
                <w:sz w:val="20"/>
                <w:lang w:eastAsia="lt-LT"/>
              </w:rPr>
              <w:t>įrašymo</w:t>
            </w:r>
            <w:r w:rsidR="00B13D65" w:rsidRPr="000203E1">
              <w:rPr>
                <w:bCs/>
                <w:i/>
                <w:sz w:val="20"/>
                <w:lang w:eastAsia="lt-LT"/>
              </w:rPr>
              <w:t xml:space="preserve"> datą ir numerį</w:t>
            </w:r>
          </w:p>
        </w:tc>
        <w:tc>
          <w:tcPr>
            <w:tcW w:w="5167" w:type="dxa"/>
          </w:tcPr>
          <w:p w14:paraId="05845C60" w14:textId="10CF4033" w:rsidR="00B13D65" w:rsidRPr="000203E1"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0203E1">
                  <w:rPr>
                    <w:rStyle w:val="Style2"/>
                    <w:rFonts w:ascii="MS Gothic" w:eastAsia="MS Gothic" w:hAnsi="MS Gothic" w:hint="eastAsia"/>
                    <w:sz w:val="24"/>
                  </w:rPr>
                  <w:t>☐</w:t>
                </w:r>
              </w:sdtContent>
            </w:sdt>
            <w:r w:rsidR="00B13D65" w:rsidRPr="000203E1">
              <w:t xml:space="preserve"> Taip</w:t>
            </w:r>
          </w:p>
          <w:p w14:paraId="41D88067" w14:textId="289F3BDA" w:rsidR="00B13D65" w:rsidRPr="000203E1"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9B2F9C">
                  <w:rPr>
                    <w:rStyle w:val="Style2"/>
                    <w:rFonts w:ascii="MS Gothic" w:eastAsia="MS Gothic" w:hAnsi="MS Gothic" w:hint="eastAsia"/>
                    <w:sz w:val="24"/>
                  </w:rPr>
                  <w:t>☒</w:t>
                </w:r>
              </w:sdtContent>
            </w:sdt>
            <w:r w:rsidR="00B13D65" w:rsidRPr="000203E1">
              <w:t xml:space="preserve"> Ne</w:t>
            </w:r>
          </w:p>
          <w:p w14:paraId="29C2CBBB" w14:textId="77777777" w:rsidR="00B13D65" w:rsidRPr="000203E1" w:rsidRDefault="00000000"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Content>
                <w:r w:rsidR="00B13D65" w:rsidRPr="000203E1">
                  <w:rPr>
                    <w:rStyle w:val="Vietosrezervavimoenklotekstas"/>
                    <w:color w:val="auto"/>
                  </w:rPr>
                  <w:t>Click here to enter a date.</w:t>
                </w:r>
              </w:sdtContent>
            </w:sdt>
          </w:p>
        </w:tc>
      </w:tr>
      <w:tr w:rsidR="000203E1" w:rsidRPr="000203E1" w14:paraId="7841E5F8" w14:textId="77777777" w:rsidTr="00BE7489">
        <w:trPr>
          <w:trHeight w:val="476"/>
        </w:trPr>
        <w:tc>
          <w:tcPr>
            <w:tcW w:w="632" w:type="dxa"/>
          </w:tcPr>
          <w:p w14:paraId="109D2861" w14:textId="73BF27DF" w:rsidR="00D417D2" w:rsidRPr="000203E1" w:rsidRDefault="00D417D2" w:rsidP="00824B92">
            <w:pPr>
              <w:rPr>
                <w:rFonts w:eastAsia="Arial"/>
              </w:rPr>
            </w:pPr>
            <w:r w:rsidRPr="000203E1">
              <w:rPr>
                <w:rFonts w:eastAsia="Arial"/>
              </w:rPr>
              <w:t>1.5</w:t>
            </w:r>
          </w:p>
        </w:tc>
        <w:tc>
          <w:tcPr>
            <w:tcW w:w="3694" w:type="dxa"/>
          </w:tcPr>
          <w:p w14:paraId="7822D63E" w14:textId="68C38334" w:rsidR="00D417D2" w:rsidRPr="000203E1" w:rsidRDefault="00D417D2" w:rsidP="00824B92">
            <w:pPr>
              <w:rPr>
                <w:bCs/>
                <w:lang w:eastAsia="lt-LT"/>
              </w:rPr>
            </w:pPr>
            <w:r w:rsidRPr="000203E1">
              <w:t>STV paraiškos pobūdis</w:t>
            </w:r>
          </w:p>
        </w:tc>
        <w:tc>
          <w:tcPr>
            <w:tcW w:w="5167" w:type="dxa"/>
          </w:tcPr>
          <w:p w14:paraId="403461B9" w14:textId="77777777" w:rsidR="00D417D2" w:rsidRPr="000203E1" w:rsidRDefault="00000000" w:rsidP="00824B92">
            <w:sdt>
              <w:sdtPr>
                <w:rPr>
                  <w:rStyle w:val="Style2"/>
                  <w:sz w:val="24"/>
                </w:rPr>
                <w:id w:val="-468433535"/>
                <w15:color w:val="FFCC00"/>
                <w14:checkbox>
                  <w14:checked w14:val="0"/>
                  <w14:checkedState w14:val="2612" w14:font="MS Gothic"/>
                  <w14:uncheckedState w14:val="2610" w14:font="MS Gothic"/>
                </w14:checkbox>
              </w:sdtPr>
              <w:sdtContent>
                <w:r w:rsidR="00D417D2" w:rsidRPr="000203E1">
                  <w:rPr>
                    <w:rStyle w:val="Style2"/>
                    <w:rFonts w:ascii="MS Gothic" w:eastAsia="MS Gothic" w:hAnsi="MS Gothic" w:hint="eastAsia"/>
                    <w:sz w:val="24"/>
                  </w:rPr>
                  <w:t>☐</w:t>
                </w:r>
              </w:sdtContent>
            </w:sdt>
            <w:r w:rsidR="00D417D2" w:rsidRPr="000203E1">
              <w:t xml:space="preserve"> Pilna paraiška</w:t>
            </w:r>
          </w:p>
          <w:p w14:paraId="6B8213E3" w14:textId="3495CDF4" w:rsidR="00D417D2" w:rsidRPr="000203E1"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0203E1">
                  <w:rPr>
                    <w:rStyle w:val="Style2"/>
                    <w:rFonts w:ascii="MS Gothic" w:eastAsia="MS Gothic" w:hAnsi="MS Gothic" w:hint="eastAsia"/>
                    <w:sz w:val="24"/>
                  </w:rPr>
                  <w:t>☐</w:t>
                </w:r>
              </w:sdtContent>
            </w:sdt>
            <w:r w:rsidR="00D417D2" w:rsidRPr="000203E1">
              <w:t xml:space="preserve"> Supaprastinta paraiška</w:t>
            </w:r>
          </w:p>
        </w:tc>
      </w:tr>
      <w:tr w:rsidR="000203E1" w:rsidRPr="000203E1" w14:paraId="274D1DAF" w14:textId="77777777" w:rsidTr="00030C28">
        <w:trPr>
          <w:trHeight w:val="440"/>
        </w:trPr>
        <w:tc>
          <w:tcPr>
            <w:tcW w:w="632" w:type="dxa"/>
          </w:tcPr>
          <w:p w14:paraId="17ABF217" w14:textId="14AC00D7" w:rsidR="00B13D65" w:rsidRPr="000203E1" w:rsidRDefault="00B13D65" w:rsidP="00824B92">
            <w:pPr>
              <w:rPr>
                <w:rFonts w:eastAsia="Arial"/>
              </w:rPr>
            </w:pPr>
            <w:r w:rsidRPr="000203E1">
              <w:rPr>
                <w:rFonts w:eastAsia="Arial"/>
              </w:rPr>
              <w:t>1.</w:t>
            </w:r>
            <w:r w:rsidR="00D417D2" w:rsidRPr="000203E1">
              <w:rPr>
                <w:rFonts w:eastAsia="Arial"/>
              </w:rPr>
              <w:t>6</w:t>
            </w:r>
          </w:p>
        </w:tc>
        <w:tc>
          <w:tcPr>
            <w:tcW w:w="3694" w:type="dxa"/>
          </w:tcPr>
          <w:p w14:paraId="4D49DBF5" w14:textId="77777777" w:rsidR="007656B2" w:rsidRPr="000203E1" w:rsidRDefault="00DE4484" w:rsidP="00824B92">
            <w:pPr>
              <w:rPr>
                <w:bCs/>
                <w:lang w:eastAsia="lt-LT"/>
              </w:rPr>
            </w:pPr>
            <w:r w:rsidRPr="000203E1">
              <w:rPr>
                <w:bCs/>
                <w:lang w:eastAsia="lt-LT"/>
              </w:rPr>
              <w:t>Par</w:t>
            </w:r>
            <w:r w:rsidR="007656B2" w:rsidRPr="000203E1">
              <w:rPr>
                <w:bCs/>
                <w:lang w:eastAsia="lt-LT"/>
              </w:rPr>
              <w:t>eiškėjo t</w:t>
            </w:r>
            <w:r w:rsidR="00B13D65" w:rsidRPr="000203E1">
              <w:rPr>
                <w:bCs/>
                <w:lang w:eastAsia="lt-LT"/>
              </w:rPr>
              <w:t>eikiama (-os) kompensuoti vaistinio preparato indikacija (-os)</w:t>
            </w:r>
          </w:p>
          <w:p w14:paraId="6B4FEEC1" w14:textId="6A619694" w:rsidR="00B13D65" w:rsidRPr="000203E1" w:rsidRDefault="007656B2" w:rsidP="00824B92">
            <w:pPr>
              <w:rPr>
                <w:bCs/>
                <w:lang w:eastAsia="lt-LT"/>
              </w:rPr>
            </w:pPr>
            <w:r w:rsidRPr="000203E1">
              <w:rPr>
                <w:bCs/>
                <w:lang w:eastAsia="lt-LT"/>
              </w:rPr>
              <w:t>K</w:t>
            </w:r>
            <w:r w:rsidR="00B13D65" w:rsidRPr="000203E1">
              <w:rPr>
                <w:bCs/>
                <w:lang w:eastAsia="lt-LT"/>
              </w:rPr>
              <w:t>odas</w:t>
            </w:r>
            <w:r w:rsidRPr="000203E1">
              <w:rPr>
                <w:bCs/>
                <w:lang w:eastAsia="lt-LT"/>
              </w:rPr>
              <w:t xml:space="preserve"> pagal TLK-10 AM</w:t>
            </w:r>
          </w:p>
        </w:tc>
        <w:tc>
          <w:tcPr>
            <w:tcW w:w="5167" w:type="dxa"/>
          </w:tcPr>
          <w:p w14:paraId="0D40BD11" w14:textId="77777777" w:rsidR="00030C28" w:rsidRPr="00257937" w:rsidRDefault="00030C28" w:rsidP="00030C28">
            <w:pPr>
              <w:pStyle w:val="Sraopastraipa"/>
              <w:spacing w:after="120" w:line="276" w:lineRule="auto"/>
              <w:ind w:left="0"/>
              <w:contextualSpacing w:val="0"/>
              <w:jc w:val="both"/>
              <w:rPr>
                <w:rFonts w:eastAsia="Arial"/>
              </w:rPr>
            </w:pPr>
            <w:r w:rsidRPr="00257937">
              <w:rPr>
                <w:rFonts w:eastAsia="Arial"/>
              </w:rPr>
              <w:t xml:space="preserve">Akeega kartu su prednizonu arba prednizolonu yra skirtas suaugusių pacientų, sergančių metastazavusiu kastracijai atspariu prostatos vėžiu (mKAPV) ir kuriems yra BRCA 1/2 mutacijų (germinacinių ir/arba somatinių) bei kuriems nėra klinikinių indikacijų taikyti chemoterapiją, gydymui. </w:t>
            </w:r>
          </w:p>
          <w:p w14:paraId="13F7DFB0" w14:textId="07A1E68F" w:rsidR="00B13D65" w:rsidRPr="000203E1" w:rsidRDefault="00030C28" w:rsidP="00030C28">
            <w:r w:rsidRPr="00257937">
              <w:lastRenderedPageBreak/>
              <w:t>C61</w:t>
            </w:r>
          </w:p>
        </w:tc>
      </w:tr>
      <w:tr w:rsidR="000203E1" w:rsidRPr="000203E1" w14:paraId="2F79DC08" w14:textId="77777777" w:rsidTr="00BE7489">
        <w:trPr>
          <w:trHeight w:val="378"/>
        </w:trPr>
        <w:tc>
          <w:tcPr>
            <w:tcW w:w="632" w:type="dxa"/>
          </w:tcPr>
          <w:p w14:paraId="547885A2" w14:textId="2EE70237" w:rsidR="00B13D65" w:rsidRPr="000203E1" w:rsidRDefault="00B13D65" w:rsidP="00164D64">
            <w:pPr>
              <w:rPr>
                <w:rFonts w:eastAsia="Arial"/>
              </w:rPr>
            </w:pPr>
            <w:r w:rsidRPr="000203E1">
              <w:rPr>
                <w:rFonts w:eastAsia="Arial"/>
              </w:rPr>
              <w:lastRenderedPageBreak/>
              <w:t>1.</w:t>
            </w:r>
            <w:r w:rsidR="00164D64">
              <w:rPr>
                <w:rFonts w:eastAsia="Arial"/>
              </w:rPr>
              <w:t>7</w:t>
            </w:r>
          </w:p>
        </w:tc>
        <w:tc>
          <w:tcPr>
            <w:tcW w:w="3694" w:type="dxa"/>
          </w:tcPr>
          <w:p w14:paraId="2EAB877F" w14:textId="39A36941" w:rsidR="00B13D65" w:rsidRPr="000203E1" w:rsidRDefault="007656B2" w:rsidP="00824B92">
            <w:pPr>
              <w:rPr>
                <w:bCs/>
                <w:u w:val="single"/>
                <w:lang w:eastAsia="lt-LT"/>
              </w:rPr>
            </w:pPr>
            <w:r w:rsidRPr="000203E1">
              <w:rPr>
                <w:bCs/>
                <w:lang w:eastAsia="lt-LT"/>
              </w:rPr>
              <w:t>Pareiškėjo t</w:t>
            </w:r>
            <w:r w:rsidR="00B13D65" w:rsidRPr="000203E1">
              <w:rPr>
                <w:bCs/>
                <w:lang w:eastAsia="lt-LT"/>
              </w:rPr>
              <w:t>eikiamos skyrimo sąlygos</w:t>
            </w:r>
            <w:r w:rsidR="005B3756" w:rsidRPr="000203E1">
              <w:rPr>
                <w:bCs/>
                <w:lang w:eastAsia="lt-LT"/>
              </w:rPr>
              <w:t xml:space="preserve"> </w:t>
            </w:r>
          </w:p>
        </w:tc>
        <w:tc>
          <w:tcPr>
            <w:tcW w:w="5167" w:type="dxa"/>
          </w:tcPr>
          <w:p w14:paraId="0579DF58" w14:textId="535856A1" w:rsidR="00B13D65" w:rsidRPr="000203E1" w:rsidRDefault="009B2F9C" w:rsidP="009B2F9C">
            <w:pPr>
              <w:tabs>
                <w:tab w:val="left" w:pos="3324"/>
              </w:tabs>
            </w:pPr>
            <w:r>
              <w:t>Pagal registruotą indikaciją</w:t>
            </w:r>
          </w:p>
        </w:tc>
      </w:tr>
      <w:tr w:rsidR="00B13D65" w:rsidRPr="000203E1" w14:paraId="3B125269" w14:textId="77777777" w:rsidTr="00BE7489">
        <w:trPr>
          <w:trHeight w:val="378"/>
        </w:trPr>
        <w:tc>
          <w:tcPr>
            <w:tcW w:w="632" w:type="dxa"/>
          </w:tcPr>
          <w:p w14:paraId="0058E11F" w14:textId="3C0D7626" w:rsidR="00B13D65" w:rsidRPr="000203E1" w:rsidRDefault="00B13D65" w:rsidP="00164D64">
            <w:pPr>
              <w:rPr>
                <w:rFonts w:eastAsia="Arial"/>
              </w:rPr>
            </w:pPr>
            <w:r w:rsidRPr="000203E1">
              <w:rPr>
                <w:rFonts w:eastAsia="Arial"/>
              </w:rPr>
              <w:t>1.</w:t>
            </w:r>
            <w:r w:rsidR="00164D64">
              <w:rPr>
                <w:rFonts w:eastAsia="Arial"/>
              </w:rPr>
              <w:t>8</w:t>
            </w:r>
          </w:p>
        </w:tc>
        <w:tc>
          <w:tcPr>
            <w:tcW w:w="3694" w:type="dxa"/>
          </w:tcPr>
          <w:p w14:paraId="738E1926" w14:textId="77777777" w:rsidR="00B13D65" w:rsidRPr="000203E1" w:rsidRDefault="007656B2" w:rsidP="00824B92">
            <w:pPr>
              <w:rPr>
                <w:bCs/>
                <w:lang w:eastAsia="lt-LT"/>
              </w:rPr>
            </w:pPr>
            <w:r w:rsidRPr="000203E1">
              <w:rPr>
                <w:bCs/>
                <w:lang w:eastAsia="lt-LT"/>
              </w:rPr>
              <w:t>Pareiškėjo teikiamas p</w:t>
            </w:r>
            <w:r w:rsidR="00B13D65" w:rsidRPr="000203E1">
              <w:rPr>
                <w:bCs/>
                <w:lang w:eastAsia="lt-LT"/>
              </w:rPr>
              <w:t>alyginamasis</w:t>
            </w:r>
            <w:r w:rsidR="005B3756" w:rsidRPr="000203E1">
              <w:rPr>
                <w:bCs/>
                <w:lang w:eastAsia="lt-LT"/>
              </w:rPr>
              <w:t xml:space="preserve"> </w:t>
            </w:r>
            <w:r w:rsidR="00B13D65" w:rsidRPr="000203E1">
              <w:rPr>
                <w:bCs/>
                <w:lang w:eastAsia="lt-LT"/>
              </w:rPr>
              <w:t xml:space="preserve">gydymas </w:t>
            </w:r>
          </w:p>
          <w:p w14:paraId="61EC5BBD" w14:textId="7A8BD8B4" w:rsidR="009F4D66" w:rsidRPr="000203E1" w:rsidRDefault="009F4D66" w:rsidP="00824B92">
            <w:pPr>
              <w:rPr>
                <w:bCs/>
                <w:lang w:eastAsia="lt-LT"/>
              </w:rPr>
            </w:pPr>
          </w:p>
          <w:p w14:paraId="62057D94" w14:textId="77777777" w:rsidR="00413F24" w:rsidRPr="000203E1" w:rsidRDefault="00413F24" w:rsidP="00824B92">
            <w:pPr>
              <w:rPr>
                <w:bCs/>
                <w:lang w:eastAsia="lt-LT"/>
              </w:rPr>
            </w:pPr>
          </w:p>
          <w:p w14:paraId="6CC1022E" w14:textId="2B6BCEE1" w:rsidR="009F4D66" w:rsidRPr="000203E1" w:rsidRDefault="009F4D66" w:rsidP="00824B92">
            <w:pPr>
              <w:rPr>
                <w:bCs/>
                <w:lang w:eastAsia="lt-LT"/>
              </w:rPr>
            </w:pPr>
          </w:p>
        </w:tc>
        <w:tc>
          <w:tcPr>
            <w:tcW w:w="5167" w:type="dxa"/>
          </w:tcPr>
          <w:p w14:paraId="1F113AC0" w14:textId="32749071" w:rsidR="009F4D66" w:rsidRPr="000203E1" w:rsidRDefault="00000000" w:rsidP="00824B92">
            <w:sdt>
              <w:sdtPr>
                <w:rPr>
                  <w:rStyle w:val="Style2"/>
                  <w:sz w:val="24"/>
                </w:rPr>
                <w:id w:val="1480955706"/>
                <w15:color w:val="FFCC00"/>
                <w14:checkbox>
                  <w14:checked w14:val="1"/>
                  <w14:checkedState w14:val="2612" w14:font="MS Gothic"/>
                  <w14:uncheckedState w14:val="2610" w14:font="MS Gothic"/>
                </w14:checkbox>
              </w:sdtPr>
              <w:sdtContent>
                <w:r w:rsidR="009B2F9C">
                  <w:rPr>
                    <w:rStyle w:val="Style2"/>
                    <w:rFonts w:ascii="MS Gothic" w:eastAsia="MS Gothic" w:hAnsi="MS Gothic" w:hint="eastAsia"/>
                    <w:sz w:val="24"/>
                  </w:rPr>
                  <w:t>☒</w:t>
                </w:r>
              </w:sdtContent>
            </w:sdt>
            <w:r w:rsidR="009F4D66" w:rsidRPr="000203E1">
              <w:t xml:space="preserve"> Tinkamas</w:t>
            </w:r>
            <w:r w:rsidR="009B2F9C">
              <w:t xml:space="preserve"> (</w:t>
            </w:r>
            <w:r w:rsidR="00030C28" w:rsidRPr="0007410A">
              <w:t>AAP</w:t>
            </w:r>
            <w:r w:rsidR="009B2F9C">
              <w:t>)</w:t>
            </w:r>
          </w:p>
          <w:p w14:paraId="41B44044" w14:textId="199BD9DF" w:rsidR="00B13D65" w:rsidRPr="000203E1" w:rsidRDefault="00000000" w:rsidP="00824B92">
            <w:sdt>
              <w:sdtPr>
                <w:rPr>
                  <w:rStyle w:val="Style2"/>
                  <w:sz w:val="24"/>
                </w:rPr>
                <w:id w:val="-352420698"/>
                <w15:color w:val="FFCC00"/>
                <w14:checkbox>
                  <w14:checked w14:val="0"/>
                  <w14:checkedState w14:val="2612" w14:font="MS Gothic"/>
                  <w14:uncheckedState w14:val="2610" w14:font="MS Gothic"/>
                </w14:checkbox>
              </w:sdtPr>
              <w:sdtContent>
                <w:r w:rsidR="009F4D66" w:rsidRPr="000203E1">
                  <w:rPr>
                    <w:rStyle w:val="Style2"/>
                    <w:rFonts w:ascii="MS Gothic" w:eastAsia="MS Gothic" w:hAnsi="MS Gothic" w:hint="eastAsia"/>
                    <w:sz w:val="24"/>
                  </w:rPr>
                  <w:t>☐</w:t>
                </w:r>
              </w:sdtContent>
            </w:sdt>
            <w:r w:rsidR="009F4D66" w:rsidRPr="000203E1">
              <w:t xml:space="preserve"> Netinkama</w:t>
            </w:r>
          </w:p>
        </w:tc>
      </w:tr>
    </w:tbl>
    <w:p w14:paraId="108176F7" w14:textId="640C6F75" w:rsidR="00F70C9E" w:rsidRPr="000203E1" w:rsidRDefault="00F70C9E" w:rsidP="00E03C3F">
      <w:pPr>
        <w:pStyle w:val="Sraopastraipa"/>
        <w:tabs>
          <w:tab w:val="left" w:pos="426"/>
        </w:tabs>
        <w:ind w:left="0"/>
        <w:rPr>
          <w:b/>
          <w:bCs/>
          <w:caps/>
        </w:rPr>
      </w:pPr>
    </w:p>
    <w:p w14:paraId="2871CA7F" w14:textId="3B173597" w:rsidR="00F70C9E" w:rsidRPr="000203E1" w:rsidRDefault="00F70C9E" w:rsidP="00880A44">
      <w:pPr>
        <w:spacing w:line="276" w:lineRule="auto"/>
        <w:jc w:val="both"/>
        <w:rPr>
          <w:rFonts w:eastAsia="Arial"/>
          <w:b/>
        </w:rPr>
      </w:pPr>
      <w:r w:rsidRPr="00492965">
        <w:rPr>
          <w:rFonts w:eastAsia="Arial"/>
          <w:b/>
        </w:rPr>
        <w:t>1.</w:t>
      </w:r>
      <w:r w:rsidR="00164D64" w:rsidRPr="00492965">
        <w:rPr>
          <w:rFonts w:eastAsia="Arial"/>
          <w:b/>
        </w:rPr>
        <w:t>9</w:t>
      </w:r>
      <w:r w:rsidRPr="00492965">
        <w:rPr>
          <w:rFonts w:eastAsia="Arial"/>
          <w:b/>
        </w:rPr>
        <w:t xml:space="preserve"> Kitų </w:t>
      </w:r>
      <w:r w:rsidR="00DF583C" w:rsidRPr="00492965">
        <w:rPr>
          <w:rFonts w:eastAsia="Arial"/>
          <w:b/>
        </w:rPr>
        <w:t xml:space="preserve">valstybių </w:t>
      </w:r>
      <w:r w:rsidRPr="00492965">
        <w:rPr>
          <w:rFonts w:eastAsia="Arial"/>
          <w:b/>
        </w:rPr>
        <w:t xml:space="preserve">atsakingų institucijų atlikto </w:t>
      </w:r>
      <w:r w:rsidR="00DF583C" w:rsidRPr="00492965">
        <w:rPr>
          <w:rFonts w:eastAsia="Arial"/>
          <w:b/>
        </w:rPr>
        <w:t>Sveikatos technologijų vertinimo (toliau – STV)</w:t>
      </w:r>
      <w:r w:rsidRPr="00492965">
        <w:rPr>
          <w:rFonts w:eastAsia="Arial"/>
          <w:b/>
        </w:rPr>
        <w:t xml:space="preserve"> išvados</w:t>
      </w:r>
    </w:p>
    <w:p w14:paraId="55C4B355" w14:textId="77777777" w:rsidR="00E2686D" w:rsidRPr="00E2686D" w:rsidRDefault="00E2686D" w:rsidP="00E2686D">
      <w:pPr>
        <w:pStyle w:val="Sraopastraipa"/>
        <w:numPr>
          <w:ilvl w:val="0"/>
          <w:numId w:val="12"/>
        </w:numPr>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E2686D" w:rsidRPr="00D05364" w14:paraId="7D1F0F95" w14:textId="77777777" w:rsidTr="00F71C92">
        <w:trPr>
          <w:trHeight w:val="924"/>
        </w:trPr>
        <w:tc>
          <w:tcPr>
            <w:tcW w:w="2927" w:type="dxa"/>
          </w:tcPr>
          <w:p w14:paraId="7620B817" w14:textId="77777777" w:rsidR="00E2686D" w:rsidRPr="00D05364" w:rsidRDefault="00E2686D" w:rsidP="00F71C92">
            <w:pPr>
              <w:spacing w:line="276" w:lineRule="auto"/>
              <w:rPr>
                <w:rFonts w:eastAsia="Arial"/>
              </w:rPr>
            </w:pPr>
            <w:r w:rsidRPr="00D05364">
              <w:rPr>
                <w:rFonts w:eastAsia="Arial"/>
              </w:rPr>
              <w:t>STV agentūros pavadinimas, šalis</w:t>
            </w:r>
          </w:p>
        </w:tc>
        <w:tc>
          <w:tcPr>
            <w:tcW w:w="1915" w:type="dxa"/>
          </w:tcPr>
          <w:p w14:paraId="60433FFE" w14:textId="77777777" w:rsidR="00E2686D" w:rsidRPr="00D05364" w:rsidRDefault="00E2686D" w:rsidP="00F71C92">
            <w:pPr>
              <w:spacing w:line="276" w:lineRule="auto"/>
              <w:rPr>
                <w:rFonts w:eastAsia="Arial"/>
              </w:rPr>
            </w:pPr>
            <w:r w:rsidRPr="00D05364">
              <w:rPr>
                <w:rFonts w:eastAsia="Arial"/>
              </w:rPr>
              <w:t>STV vertinimas atliktas</w:t>
            </w:r>
          </w:p>
        </w:tc>
        <w:tc>
          <w:tcPr>
            <w:tcW w:w="2351" w:type="dxa"/>
          </w:tcPr>
          <w:p w14:paraId="0EFAD402" w14:textId="77777777" w:rsidR="00E2686D" w:rsidRPr="00D05364" w:rsidRDefault="00E2686D" w:rsidP="00F71C92">
            <w:pPr>
              <w:spacing w:line="276" w:lineRule="auto"/>
              <w:rPr>
                <w:rFonts w:eastAsia="Arial"/>
              </w:rPr>
            </w:pPr>
            <w:r w:rsidRPr="00D05364">
              <w:rPr>
                <w:rFonts w:eastAsia="Arial"/>
              </w:rPr>
              <w:t>Klinikinio vertinimo išvada</w:t>
            </w:r>
          </w:p>
        </w:tc>
        <w:tc>
          <w:tcPr>
            <w:tcW w:w="2725" w:type="dxa"/>
          </w:tcPr>
          <w:p w14:paraId="47A4174F" w14:textId="77777777" w:rsidR="00E2686D" w:rsidRPr="00D05364" w:rsidRDefault="00E2686D" w:rsidP="00F71C92">
            <w:pPr>
              <w:spacing w:line="276" w:lineRule="auto"/>
              <w:rPr>
                <w:rFonts w:eastAsia="Arial"/>
              </w:rPr>
            </w:pPr>
            <w:r w:rsidRPr="00D05364">
              <w:rPr>
                <w:rFonts w:eastAsia="Arial"/>
              </w:rPr>
              <w:t>Farmakoekonominio vertinimo išvada</w:t>
            </w:r>
          </w:p>
        </w:tc>
      </w:tr>
      <w:tr w:rsidR="00E2686D" w:rsidRPr="00D05364" w14:paraId="2CDFEF4C" w14:textId="77777777" w:rsidTr="00F71C92">
        <w:trPr>
          <w:trHeight w:val="1765"/>
        </w:trPr>
        <w:tc>
          <w:tcPr>
            <w:tcW w:w="2927" w:type="dxa"/>
          </w:tcPr>
          <w:p w14:paraId="2BA5B7D3" w14:textId="77777777" w:rsidR="00E2686D" w:rsidRPr="00D05364" w:rsidRDefault="00E2686D" w:rsidP="00F71C92">
            <w:pPr>
              <w:autoSpaceDE w:val="0"/>
              <w:autoSpaceDN w:val="0"/>
              <w:adjustRightInd w:val="0"/>
              <w:spacing w:line="276" w:lineRule="auto"/>
              <w:rPr>
                <w:bCs/>
              </w:rPr>
            </w:pPr>
            <w:r w:rsidRPr="00D05364">
              <w:rPr>
                <w:bCs/>
              </w:rPr>
              <w:t>Nacionalinis sveikatos ir klinikinės kompetencijos institutas, Didžioji Britanija</w:t>
            </w:r>
          </w:p>
          <w:p w14:paraId="0F89D453" w14:textId="77777777" w:rsidR="00E2686D" w:rsidRPr="00D05364" w:rsidRDefault="00E2686D" w:rsidP="00F71C92">
            <w:pPr>
              <w:spacing w:line="276" w:lineRule="auto"/>
              <w:rPr>
                <w:rFonts w:eastAsia="Arial"/>
              </w:rPr>
            </w:pPr>
            <w:r w:rsidRPr="00D05364">
              <w:rPr>
                <w:rFonts w:eastAsia="Arial"/>
              </w:rPr>
              <w:t xml:space="preserve">(angl. </w:t>
            </w:r>
            <w:r w:rsidRPr="00D05364">
              <w:rPr>
                <w:rFonts w:eastAsia="Arial"/>
                <w:i/>
              </w:rPr>
              <w:t>National Institute for Health and Care Excellence, NICE</w:t>
            </w:r>
            <w:r w:rsidRPr="00D05364">
              <w:rPr>
                <w:rFonts w:eastAsia="Arial"/>
              </w:rPr>
              <w:t>)</w:t>
            </w:r>
          </w:p>
        </w:tc>
        <w:tc>
          <w:tcPr>
            <w:tcW w:w="1915" w:type="dxa"/>
          </w:tcPr>
          <w:p w14:paraId="35A3303F" w14:textId="77777777" w:rsidR="00E2686D" w:rsidRPr="00D05364" w:rsidRDefault="00000000" w:rsidP="00F71C92">
            <w:pPr>
              <w:spacing w:line="276" w:lineRule="auto"/>
            </w:pPr>
            <w:sdt>
              <w:sdtPr>
                <w:rPr>
                  <w:rStyle w:val="Style2"/>
                </w:rPr>
                <w:id w:val="1558205022"/>
                <w15:color w:val="FFCC00"/>
                <w14:checkbox>
                  <w14:checked w14:val="0"/>
                  <w14:checkedState w14:val="2612" w14:font="MS Gothic"/>
                  <w14:uncheckedState w14:val="2610" w14:font="MS Gothic"/>
                </w14:checkbox>
              </w:sdtPr>
              <w:sdtContent>
                <w:r w:rsidR="00E2686D">
                  <w:rPr>
                    <w:rStyle w:val="Style2"/>
                    <w:rFonts w:ascii="MS Gothic" w:eastAsia="MS Gothic" w:hAnsi="MS Gothic" w:hint="eastAsia"/>
                  </w:rPr>
                  <w:t>☐</w:t>
                </w:r>
              </w:sdtContent>
            </w:sdt>
            <w:r w:rsidR="00E2686D" w:rsidRPr="00D05364">
              <w:t xml:space="preserve"> Taip</w:t>
            </w:r>
          </w:p>
          <w:p w14:paraId="507EAE49" w14:textId="77777777" w:rsidR="00E2686D" w:rsidRPr="00D05364" w:rsidRDefault="00000000" w:rsidP="00F71C92">
            <w:pPr>
              <w:spacing w:line="276" w:lineRule="auto"/>
            </w:pPr>
            <w:sdt>
              <w:sdtPr>
                <w:rPr>
                  <w:rStyle w:val="Style2"/>
                </w:rPr>
                <w:id w:val="866029625"/>
                <w15:color w:val="FFCC00"/>
                <w14:checkbox>
                  <w14:checked w14:val="1"/>
                  <w14:checkedState w14:val="2612" w14:font="MS Gothic"/>
                  <w14:uncheckedState w14:val="2610" w14:font="MS Gothic"/>
                </w14:checkbox>
              </w:sdtPr>
              <w:sdtContent>
                <w:r w:rsidR="00E2686D">
                  <w:rPr>
                    <w:rStyle w:val="Style2"/>
                    <w:rFonts w:ascii="MS Gothic" w:eastAsia="MS Gothic" w:hAnsi="MS Gothic" w:hint="eastAsia"/>
                  </w:rPr>
                  <w:t>☒</w:t>
                </w:r>
              </w:sdtContent>
            </w:sdt>
            <w:r w:rsidR="00E2686D" w:rsidRPr="00D05364">
              <w:t xml:space="preserve"> Ne</w:t>
            </w:r>
          </w:p>
          <w:p w14:paraId="26F118B6" w14:textId="77777777" w:rsidR="00E2686D" w:rsidRPr="00D05364" w:rsidRDefault="00000000" w:rsidP="00F71C92">
            <w:pPr>
              <w:spacing w:line="276" w:lineRule="auto"/>
              <w:rPr>
                <w:rFonts w:eastAsia="Arial"/>
              </w:rPr>
            </w:pPr>
            <w:sdt>
              <w:sdtPr>
                <w:alias w:val="Nurodykite konkrečią dieną"/>
                <w:tag w:val="Nurodykite pradžios datą"/>
                <w:id w:val="922837954"/>
                <w:placeholder>
                  <w:docPart w:val="C9BF9C47847C45A5BDF68A45A0982813"/>
                </w:placeholder>
                <w:showingPlcHdr/>
                <w15:color w:val="FFCC99"/>
                <w:date w:fullDate="2022-05-18T00:00:00Z">
                  <w:dateFormat w:val="yyyy 'm.' MMMM d 'd.'"/>
                  <w:lid w:val="lt-LT"/>
                  <w:storeMappedDataAs w:val="dateTime"/>
                  <w:calendar w:val="gregorian"/>
                </w:date>
              </w:sdtPr>
              <w:sdtContent>
                <w:r w:rsidR="00E2686D" w:rsidRPr="00D05364">
                  <w:rPr>
                    <w:rStyle w:val="Vietosrezervavimoenklotekstas"/>
                  </w:rPr>
                  <w:t>Click here to enter a date.</w:t>
                </w:r>
              </w:sdtContent>
            </w:sdt>
          </w:p>
        </w:tc>
        <w:tc>
          <w:tcPr>
            <w:tcW w:w="2351" w:type="dxa"/>
          </w:tcPr>
          <w:p w14:paraId="0A4DD111" w14:textId="77777777" w:rsidR="00E2686D" w:rsidRPr="00D05364" w:rsidRDefault="00E2686D" w:rsidP="00F71C92">
            <w:pPr>
              <w:spacing w:line="276" w:lineRule="auto"/>
              <w:rPr>
                <w:rFonts w:eastAsia="Arial"/>
              </w:rPr>
            </w:pPr>
            <w:r>
              <w:rPr>
                <w:rFonts w:eastAsia="Arial"/>
              </w:rPr>
              <w:t>Vyksta vertinimas</w:t>
            </w:r>
          </w:p>
        </w:tc>
        <w:tc>
          <w:tcPr>
            <w:tcW w:w="2725" w:type="dxa"/>
          </w:tcPr>
          <w:p w14:paraId="665A2F92" w14:textId="77777777" w:rsidR="00E2686D" w:rsidRPr="00D05364" w:rsidRDefault="00E2686D" w:rsidP="00F71C92">
            <w:pPr>
              <w:spacing w:line="276" w:lineRule="auto"/>
              <w:rPr>
                <w:rFonts w:eastAsia="Arial"/>
              </w:rPr>
            </w:pPr>
          </w:p>
        </w:tc>
      </w:tr>
      <w:tr w:rsidR="00E2686D" w:rsidRPr="00D05364" w14:paraId="4DD6FF71" w14:textId="77777777" w:rsidTr="00F71C92">
        <w:trPr>
          <w:trHeight w:val="1547"/>
        </w:trPr>
        <w:tc>
          <w:tcPr>
            <w:tcW w:w="2927" w:type="dxa"/>
          </w:tcPr>
          <w:p w14:paraId="25EC08BC" w14:textId="77777777" w:rsidR="00E2686D" w:rsidRPr="00D05364" w:rsidRDefault="00E2686D" w:rsidP="00F71C92">
            <w:pPr>
              <w:spacing w:line="276" w:lineRule="auto"/>
              <w:rPr>
                <w:rFonts w:eastAsia="Arial"/>
              </w:rPr>
            </w:pPr>
            <w:r w:rsidRPr="00D05364">
              <w:rPr>
                <w:rFonts w:eastAsia="Arial"/>
              </w:rPr>
              <w:t>Kanados sveikatos technologijų agentūra</w:t>
            </w:r>
          </w:p>
          <w:p w14:paraId="6B17CAC4" w14:textId="77777777" w:rsidR="00E2686D" w:rsidRPr="00D05364" w:rsidRDefault="00E2686D" w:rsidP="00F71C92">
            <w:pPr>
              <w:spacing w:line="276" w:lineRule="auto"/>
              <w:rPr>
                <w:rFonts w:eastAsia="Arial"/>
              </w:rPr>
            </w:pPr>
            <w:r w:rsidRPr="00D05364">
              <w:rPr>
                <w:rFonts w:eastAsia="Arial"/>
              </w:rPr>
              <w:t xml:space="preserve">(angl. </w:t>
            </w:r>
            <w:r w:rsidRPr="00D05364">
              <w:rPr>
                <w:rFonts w:eastAsia="Arial"/>
                <w:i/>
              </w:rPr>
              <w:t>Canadian health Technology Assessment agency, CADTH</w:t>
            </w:r>
            <w:r w:rsidRPr="00D05364">
              <w:rPr>
                <w:rFonts w:eastAsia="Arial"/>
              </w:rPr>
              <w:t>)</w:t>
            </w:r>
          </w:p>
        </w:tc>
        <w:tc>
          <w:tcPr>
            <w:tcW w:w="1915" w:type="dxa"/>
          </w:tcPr>
          <w:p w14:paraId="0ACAC36F" w14:textId="77777777" w:rsidR="00E2686D" w:rsidRPr="00D05364" w:rsidRDefault="00000000" w:rsidP="00F71C92">
            <w:pPr>
              <w:spacing w:line="276" w:lineRule="auto"/>
            </w:pPr>
            <w:sdt>
              <w:sdtPr>
                <w:rPr>
                  <w:rStyle w:val="Style2"/>
                </w:rPr>
                <w:id w:val="-372539057"/>
                <w15:color w:val="FFCC00"/>
                <w14:checkbox>
                  <w14:checked w14:val="1"/>
                  <w14:checkedState w14:val="2612" w14:font="MS Gothic"/>
                  <w14:uncheckedState w14:val="2610" w14:font="MS Gothic"/>
                </w14:checkbox>
              </w:sdtPr>
              <w:sdtContent>
                <w:r w:rsidR="00E2686D">
                  <w:rPr>
                    <w:rStyle w:val="Style2"/>
                    <w:rFonts w:ascii="MS Gothic" w:eastAsia="MS Gothic" w:hAnsi="MS Gothic" w:hint="eastAsia"/>
                  </w:rPr>
                  <w:t>☒</w:t>
                </w:r>
              </w:sdtContent>
            </w:sdt>
            <w:r w:rsidR="00E2686D" w:rsidRPr="00D05364">
              <w:t xml:space="preserve"> Taip</w:t>
            </w:r>
          </w:p>
          <w:p w14:paraId="1FB8211D" w14:textId="77777777" w:rsidR="00E2686D" w:rsidRPr="00D05364" w:rsidRDefault="00000000" w:rsidP="00F71C92">
            <w:pPr>
              <w:spacing w:line="276" w:lineRule="auto"/>
            </w:pPr>
            <w:sdt>
              <w:sdtPr>
                <w:rPr>
                  <w:rStyle w:val="Style2"/>
                </w:rPr>
                <w:id w:val="594442222"/>
                <w15:color w:val="FFCC00"/>
                <w14:checkbox>
                  <w14:checked w14:val="0"/>
                  <w14:checkedState w14:val="2612" w14:font="MS Gothic"/>
                  <w14:uncheckedState w14:val="2610" w14:font="MS Gothic"/>
                </w14:checkbox>
              </w:sdtPr>
              <w:sdtContent>
                <w:r w:rsidR="00E2686D" w:rsidRPr="00D05364">
                  <w:rPr>
                    <w:rStyle w:val="Style2"/>
                    <w:rFonts w:ascii="Segoe UI Symbol" w:eastAsia="MS Gothic" w:hAnsi="Segoe UI Symbol" w:cs="Segoe UI Symbol"/>
                  </w:rPr>
                  <w:t>☐</w:t>
                </w:r>
              </w:sdtContent>
            </w:sdt>
            <w:r w:rsidR="00E2686D" w:rsidRPr="00D05364">
              <w:t xml:space="preserve"> Ne</w:t>
            </w:r>
          </w:p>
          <w:p w14:paraId="75DB1A51" w14:textId="77777777" w:rsidR="00E2686D" w:rsidRPr="00D05364" w:rsidRDefault="00000000" w:rsidP="00F71C92">
            <w:pPr>
              <w:spacing w:line="276" w:lineRule="auto"/>
              <w:rPr>
                <w:rFonts w:eastAsia="Arial"/>
              </w:rPr>
            </w:pPr>
            <w:sdt>
              <w:sdtPr>
                <w:alias w:val="Nurodykite konkrečią dieną"/>
                <w:tag w:val="Nurodykite pradžios datą"/>
                <w:id w:val="1072468416"/>
                <w:placeholder>
                  <w:docPart w:val="B66ACE57D4E745B182F4DB683C584E15"/>
                </w:placeholder>
                <w15:color w:val="FFCC99"/>
                <w:date w:fullDate="2024-02-20T00:00:00Z">
                  <w:dateFormat w:val="yyyy 'm.' MMMM d 'd.'"/>
                  <w:lid w:val="lt-LT"/>
                  <w:storeMappedDataAs w:val="dateTime"/>
                  <w:calendar w:val="gregorian"/>
                </w:date>
              </w:sdtPr>
              <w:sdtContent>
                <w:r w:rsidR="00E2686D">
                  <w:t>2024 m. vasario 20 d.</w:t>
                </w:r>
              </w:sdtContent>
            </w:sdt>
          </w:p>
        </w:tc>
        <w:tc>
          <w:tcPr>
            <w:tcW w:w="2351" w:type="dxa"/>
          </w:tcPr>
          <w:p w14:paraId="718D8BE2" w14:textId="1EBBC253" w:rsidR="00E2686D" w:rsidRPr="00D05364" w:rsidRDefault="00E2686D" w:rsidP="00F71C92">
            <w:pPr>
              <w:spacing w:line="276" w:lineRule="auto"/>
              <w:rPr>
                <w:rFonts w:eastAsia="Arial"/>
              </w:rPr>
            </w:pPr>
            <w:r>
              <w:rPr>
                <w:rFonts w:eastAsia="Arial"/>
              </w:rPr>
              <w:t>Rekomenduojama kompensuoti</w:t>
            </w:r>
            <w:r w:rsidRPr="00175FC1">
              <w:rPr>
                <w:rFonts w:eastAsia="Arial"/>
              </w:rPr>
              <w:t xml:space="preserve"> kartu su prednizonu arba prednizolonu yra skirtas suaugusių pacientų, sergančių metastazavusiu kastracijai atspariu prostatos vėžiu (mKAPV) ir kuriems yra BRCA 1/2 mutacijų (germinacinių ir/arba somatinių) bei kuriems nėra klinikinių indikacijų taikyti chemoterapiją, gydymui</w:t>
            </w:r>
            <w:r w:rsidR="003919EA">
              <w:rPr>
                <w:rFonts w:eastAsia="Arial"/>
              </w:rPr>
              <w:t>, jei p</w:t>
            </w:r>
            <w:r>
              <w:rPr>
                <w:rFonts w:eastAsia="Arial"/>
              </w:rPr>
              <w:t>acientai neturėjo sisteminio gydymo mažiausiai 4 mėnesius. Gydymas tęsiamas iki ligos progresijos.</w:t>
            </w:r>
          </w:p>
        </w:tc>
        <w:tc>
          <w:tcPr>
            <w:tcW w:w="2725" w:type="dxa"/>
          </w:tcPr>
          <w:p w14:paraId="5E3C640C" w14:textId="3FB01FC7" w:rsidR="00E2686D" w:rsidRPr="00D05364" w:rsidRDefault="00E2686D" w:rsidP="00F71C92">
            <w:pPr>
              <w:spacing w:line="276" w:lineRule="auto"/>
              <w:rPr>
                <w:rFonts w:eastAsia="Arial"/>
              </w:rPr>
            </w:pPr>
            <w:r>
              <w:rPr>
                <w:rFonts w:eastAsia="Arial"/>
              </w:rPr>
              <w:t xml:space="preserve">Reikalingas kainos mažinimas </w:t>
            </w:r>
            <w:r w:rsidR="0081764D">
              <w:rPr>
                <w:rFonts w:eastAsia="Arial"/>
              </w:rPr>
              <w:t>&lt;...&gt;</w:t>
            </w:r>
            <w:r>
              <w:rPr>
                <w:rFonts w:eastAsia="Arial"/>
              </w:rPr>
              <w:t>, įvertinus kaštų naudingumą.</w:t>
            </w:r>
          </w:p>
        </w:tc>
      </w:tr>
      <w:tr w:rsidR="00E2686D" w:rsidRPr="00D05364" w14:paraId="24BCAB16" w14:textId="77777777" w:rsidTr="00F71C92">
        <w:trPr>
          <w:trHeight w:val="1927"/>
        </w:trPr>
        <w:tc>
          <w:tcPr>
            <w:tcW w:w="2927" w:type="dxa"/>
          </w:tcPr>
          <w:p w14:paraId="4C127F25" w14:textId="77777777" w:rsidR="00E2686D" w:rsidRPr="00D05364" w:rsidRDefault="00E2686D" w:rsidP="00F71C92">
            <w:pPr>
              <w:spacing w:line="276" w:lineRule="auto"/>
              <w:rPr>
                <w:rFonts w:eastAsia="Arial"/>
              </w:rPr>
            </w:pPr>
            <w:r w:rsidRPr="00D05364">
              <w:rPr>
                <w:rFonts w:eastAsia="Arial"/>
              </w:rPr>
              <w:lastRenderedPageBreak/>
              <w:t>Nacionalinis farmakoekonomikos centras, Airija</w:t>
            </w:r>
          </w:p>
          <w:p w14:paraId="7CA49A43" w14:textId="77777777" w:rsidR="00E2686D" w:rsidRPr="00D05364" w:rsidRDefault="00E2686D" w:rsidP="00F71C92">
            <w:pPr>
              <w:spacing w:line="276" w:lineRule="auto"/>
              <w:rPr>
                <w:rFonts w:eastAsia="Arial"/>
              </w:rPr>
            </w:pPr>
            <w:r w:rsidRPr="00D05364">
              <w:rPr>
                <w:rFonts w:eastAsia="Arial"/>
              </w:rPr>
              <w:t>(angl.</w:t>
            </w:r>
            <w:r w:rsidRPr="00D05364">
              <w:rPr>
                <w:rFonts w:eastAsia="Arial"/>
                <w:i/>
              </w:rPr>
              <w:t xml:space="preserve"> National Centre for Pharmacoeconomics, NCPE</w:t>
            </w:r>
            <w:r w:rsidRPr="00D05364">
              <w:rPr>
                <w:rFonts w:eastAsia="Arial"/>
              </w:rPr>
              <w:t>)</w:t>
            </w:r>
          </w:p>
        </w:tc>
        <w:tc>
          <w:tcPr>
            <w:tcW w:w="1915" w:type="dxa"/>
          </w:tcPr>
          <w:p w14:paraId="51BEE4CA" w14:textId="77777777" w:rsidR="00E2686D" w:rsidRPr="00D05364" w:rsidRDefault="00000000" w:rsidP="00F71C92">
            <w:pPr>
              <w:spacing w:line="276" w:lineRule="auto"/>
            </w:pPr>
            <w:sdt>
              <w:sdtPr>
                <w:rPr>
                  <w:rStyle w:val="Style2"/>
                </w:rPr>
                <w:id w:val="-1888403732"/>
                <w15:color w:val="FFCC00"/>
                <w14:checkbox>
                  <w14:checked w14:val="1"/>
                  <w14:checkedState w14:val="2612" w14:font="MS Gothic"/>
                  <w14:uncheckedState w14:val="2610" w14:font="MS Gothic"/>
                </w14:checkbox>
              </w:sdtPr>
              <w:sdtContent>
                <w:r w:rsidR="00E2686D">
                  <w:rPr>
                    <w:rStyle w:val="Style2"/>
                    <w:rFonts w:ascii="MS Gothic" w:eastAsia="MS Gothic" w:hAnsi="MS Gothic" w:hint="eastAsia"/>
                  </w:rPr>
                  <w:t>☒</w:t>
                </w:r>
              </w:sdtContent>
            </w:sdt>
            <w:r w:rsidR="00E2686D" w:rsidRPr="00D05364">
              <w:t xml:space="preserve"> Taip</w:t>
            </w:r>
          </w:p>
          <w:p w14:paraId="235BFB51" w14:textId="77777777" w:rsidR="00E2686D" w:rsidRPr="00D05364" w:rsidRDefault="00000000" w:rsidP="00F71C92">
            <w:pPr>
              <w:spacing w:line="276" w:lineRule="auto"/>
            </w:pPr>
            <w:sdt>
              <w:sdtPr>
                <w:rPr>
                  <w:rStyle w:val="Style2"/>
                </w:rPr>
                <w:id w:val="1092201793"/>
                <w15:color w:val="FFCC00"/>
                <w14:checkbox>
                  <w14:checked w14:val="0"/>
                  <w14:checkedState w14:val="2612" w14:font="MS Gothic"/>
                  <w14:uncheckedState w14:val="2610" w14:font="MS Gothic"/>
                </w14:checkbox>
              </w:sdtPr>
              <w:sdtContent>
                <w:r w:rsidR="00E2686D" w:rsidRPr="00D05364">
                  <w:rPr>
                    <w:rStyle w:val="Style2"/>
                    <w:rFonts w:ascii="Segoe UI Symbol" w:eastAsia="MS Gothic" w:hAnsi="Segoe UI Symbol" w:cs="Segoe UI Symbol"/>
                  </w:rPr>
                  <w:t>☐</w:t>
                </w:r>
              </w:sdtContent>
            </w:sdt>
            <w:r w:rsidR="00E2686D" w:rsidRPr="00D05364">
              <w:t xml:space="preserve"> Ne</w:t>
            </w:r>
          </w:p>
          <w:p w14:paraId="1AC5156A" w14:textId="77777777" w:rsidR="00E2686D" w:rsidRPr="00D05364" w:rsidRDefault="00000000" w:rsidP="00F71C92">
            <w:pPr>
              <w:spacing w:line="276" w:lineRule="auto"/>
              <w:rPr>
                <w:rFonts w:eastAsia="Arial"/>
              </w:rPr>
            </w:pPr>
            <w:sdt>
              <w:sdtPr>
                <w:alias w:val="Nurodykite konkrečią dieną"/>
                <w:tag w:val="Nurodykite pradžios datą"/>
                <w:id w:val="-198323198"/>
                <w:placeholder>
                  <w:docPart w:val="6745F32A02BD4D0F95B4B2EC609C445A"/>
                </w:placeholder>
                <w15:color w:val="FFCC99"/>
                <w:date w:fullDate="2023-07-11T00:00:00Z">
                  <w:dateFormat w:val="yyyy 'm.' MMMM d 'd.'"/>
                  <w:lid w:val="lt-LT"/>
                  <w:storeMappedDataAs w:val="dateTime"/>
                  <w:calendar w:val="gregorian"/>
                </w:date>
              </w:sdtPr>
              <w:sdtContent>
                <w:r w:rsidR="00E2686D">
                  <w:t>2023 m. liepos 11 d.</w:t>
                </w:r>
              </w:sdtContent>
            </w:sdt>
          </w:p>
        </w:tc>
        <w:tc>
          <w:tcPr>
            <w:tcW w:w="5076" w:type="dxa"/>
            <w:gridSpan w:val="2"/>
          </w:tcPr>
          <w:p w14:paraId="15D345D2" w14:textId="77777777" w:rsidR="00E2686D" w:rsidRDefault="00E2686D" w:rsidP="00F71C92">
            <w:pPr>
              <w:spacing w:line="276" w:lineRule="auto"/>
              <w:rPr>
                <w:rFonts w:eastAsia="Arial"/>
              </w:rPr>
            </w:pPr>
            <w:r>
              <w:rPr>
                <w:rFonts w:eastAsia="Arial"/>
              </w:rPr>
              <w:t>Nerekomenduojama kompensuoti pagal pateiktą kainą*.</w:t>
            </w:r>
          </w:p>
          <w:p w14:paraId="652A599C" w14:textId="77777777" w:rsidR="00E2686D" w:rsidRPr="00D05364" w:rsidRDefault="00E2686D" w:rsidP="00F71C92">
            <w:pPr>
              <w:spacing w:line="276" w:lineRule="auto"/>
              <w:rPr>
                <w:rFonts w:eastAsia="Arial"/>
              </w:rPr>
            </w:pPr>
            <w:r>
              <w:rPr>
                <w:rFonts w:eastAsia="Arial"/>
              </w:rPr>
              <w:t xml:space="preserve">Kompensavimas suteiktas 2023 lapkričio mėn. suderinus vaisto kainą. </w:t>
            </w:r>
          </w:p>
        </w:tc>
      </w:tr>
    </w:tbl>
    <w:p w14:paraId="74FC36AB" w14:textId="77777777" w:rsidR="00E2686D" w:rsidRPr="00E2686D" w:rsidRDefault="00E2686D" w:rsidP="00E2686D">
      <w:pPr>
        <w:pStyle w:val="Sraopastraipa"/>
        <w:spacing w:line="276" w:lineRule="auto"/>
        <w:rPr>
          <w:rFonts w:eastAsia="Arial"/>
        </w:rPr>
      </w:pPr>
    </w:p>
    <w:p w14:paraId="5055E8A8" w14:textId="471A9757" w:rsidR="002E6F80" w:rsidRPr="009C0B64" w:rsidRDefault="00CC7832" w:rsidP="00CC09D4">
      <w:pPr>
        <w:pStyle w:val="Sraopastraipa"/>
        <w:numPr>
          <w:ilvl w:val="0"/>
          <w:numId w:val="12"/>
        </w:numPr>
        <w:tabs>
          <w:tab w:val="left" w:pos="567"/>
        </w:tabs>
        <w:ind w:hanging="720"/>
        <w:rPr>
          <w:b/>
          <w:bCs/>
          <w:caps/>
        </w:rPr>
      </w:pPr>
      <w:r w:rsidRPr="009C0B64">
        <w:rPr>
          <w:b/>
          <w:bCs/>
          <w:caps/>
        </w:rPr>
        <w:t>Klinikinio vertinimo a</w:t>
      </w:r>
      <w:r w:rsidR="00D4485B" w:rsidRPr="009C0B64">
        <w:rPr>
          <w:b/>
          <w:bCs/>
          <w:caps/>
        </w:rPr>
        <w:t>pibendrinimas</w:t>
      </w:r>
    </w:p>
    <w:p w14:paraId="0ACD4596" w14:textId="77777777" w:rsidR="00C21A99" w:rsidRDefault="00C21A99" w:rsidP="00C21A99">
      <w:pPr>
        <w:pStyle w:val="Style1"/>
        <w:spacing w:line="276" w:lineRule="auto"/>
        <w:jc w:val="both"/>
      </w:pPr>
    </w:p>
    <w:p w14:paraId="2BED4C6F" w14:textId="77777777" w:rsidR="005E6BB7" w:rsidRDefault="00E27ABF" w:rsidP="00991321">
      <w:pPr>
        <w:spacing w:line="276" w:lineRule="auto"/>
        <w:ind w:firstLine="720"/>
        <w:jc w:val="both"/>
      </w:pPr>
      <w:bookmarkStart w:id="0" w:name="_Hlk185617886"/>
      <w:r w:rsidRPr="00E27ABF">
        <w:t>Prostatos vėž</w:t>
      </w:r>
      <w:r w:rsidR="001C7392">
        <w:t>ys</w:t>
      </w:r>
      <w:r w:rsidRPr="00E27ABF">
        <w:t xml:space="preserve"> priklauso nuo androgenų medijuojamo signalo, įtakojančio jų augimą. Daugelį dešimtmečių pradinis (pirmos eilės) metastazavusio prostatos vėžio gydymas buvo chirurginė kastracija dvišalės orchiektomijos arba cheminės kastracijos būdu skiriant ADT. Gydymo ADT pradžioje stebimas pradinis gydymo efektyvumas, tačiau vėliau neišvengiamai atsiranda atsparumas ADT, kurį daugiausia lemia androgenų receptorių (AR) signalizacijos reaktyvacija per nuolatinę antinksčių androgenų gamybą, naviko testosterono gamybos reguliavimą, AR biologinių savybių modifikavimą ir kitus mechanizmus. Išsivysčius mKAPV, ne tik sutrumpėja išgyvenamumas (iki mažiau nei 3 met</w:t>
      </w:r>
      <w:r w:rsidR="001C7392">
        <w:t>ų</w:t>
      </w:r>
      <w:r w:rsidRPr="00E27ABF">
        <w:t xml:space="preserve">), bet ir pasireiškia sunkesni ligos simptomai – nuovargis, skausmas, apetito praradimas, svorio kritimas, ženklus gyvenimo kokybės praradimas bei fizinės ir psichologinės sveikatos problemos. </w:t>
      </w:r>
    </w:p>
    <w:p w14:paraId="0D84F4E1" w14:textId="3A562299" w:rsidR="00E27ABF" w:rsidRPr="00E27ABF" w:rsidRDefault="00E27ABF" w:rsidP="00991321">
      <w:pPr>
        <w:spacing w:line="276" w:lineRule="auto"/>
        <w:ind w:firstLine="720"/>
        <w:jc w:val="both"/>
      </w:pPr>
      <w:bookmarkStart w:id="1" w:name="_Hlk185619519"/>
      <w:r w:rsidRPr="00E27ABF">
        <w:t xml:space="preserve">Lietuvoje kompensuojamaisiais vaistiniais preparatais prostatos vėžys gydomas vadovaujantis </w:t>
      </w:r>
      <w:r w:rsidR="001C7392">
        <w:t xml:space="preserve">Lietuvos </w:t>
      </w:r>
      <w:r w:rsidR="00C27521">
        <w:t>R</w:t>
      </w:r>
      <w:r w:rsidR="001C7392">
        <w:t>espublikos s</w:t>
      </w:r>
      <w:r w:rsidRPr="00E27ABF">
        <w:t>veikatos apsaugos ministro</w:t>
      </w:r>
      <w:r w:rsidR="001C7392">
        <w:t xml:space="preserve"> įsakymu</w:t>
      </w:r>
      <w:r w:rsidRPr="00E27ABF">
        <w:t xml:space="preserve"> </w:t>
      </w:r>
      <w:r w:rsidR="001C7392">
        <w:t>„Dėl p</w:t>
      </w:r>
      <w:r w:rsidRPr="00E27ABF">
        <w:t>riešinės liaukos (prostatos) piktybinio naviko ambulatorinio gydymo kompensuojamaisiais vaistais tvarkos apraš</w:t>
      </w:r>
      <w:r w:rsidR="001C7392">
        <w:t>o patvirtinimo“,</w:t>
      </w:r>
      <w:r w:rsidRPr="00E27ABF">
        <w:t xml:space="preserve"> </w:t>
      </w:r>
      <w:r w:rsidR="001C7392" w:rsidRPr="00E27ABF">
        <w:t>2011</w:t>
      </w:r>
      <w:r w:rsidR="001C7392">
        <w:t xml:space="preserve"> m. lapkričio </w:t>
      </w:r>
      <w:r w:rsidR="001C7392" w:rsidRPr="00E27ABF">
        <w:t>2</w:t>
      </w:r>
      <w:r w:rsidR="001C7392">
        <w:t xml:space="preserve"> d.</w:t>
      </w:r>
      <w:r w:rsidR="001C7392" w:rsidRPr="00E27ABF">
        <w:t xml:space="preserve"> Nr. V-941 </w:t>
      </w:r>
      <w:r w:rsidRPr="00E27ABF">
        <w:t xml:space="preserve">(toliau – Aprašas) ir </w:t>
      </w:r>
      <w:r w:rsidR="00C27521">
        <w:t>Lietuvos Respublikos s</w:t>
      </w:r>
      <w:r w:rsidR="00C27521" w:rsidRPr="00E27ABF">
        <w:t>veikatos apsaugos ministro</w:t>
      </w:r>
      <w:r w:rsidR="00C27521">
        <w:t xml:space="preserve"> įsakymu</w:t>
      </w:r>
      <w:r w:rsidR="00C27521" w:rsidRPr="00E27ABF">
        <w:t xml:space="preserve"> </w:t>
      </w:r>
      <w:r w:rsidR="00C27521">
        <w:t>„</w:t>
      </w:r>
      <w:r w:rsidRPr="00E27ABF">
        <w:t>Dėl kompensuojamųjų vaistų sąrašu patvirtinimo</w:t>
      </w:r>
      <w:r w:rsidR="00C27521">
        <w:t xml:space="preserve">“ </w:t>
      </w:r>
      <w:r w:rsidR="00C27521" w:rsidRPr="00E27ABF">
        <w:t>2000</w:t>
      </w:r>
      <w:r w:rsidR="00C27521">
        <w:t xml:space="preserve"> m. sausio </w:t>
      </w:r>
      <w:r w:rsidR="00C27521" w:rsidRPr="00E27ABF">
        <w:t>28</w:t>
      </w:r>
      <w:r w:rsidR="00C27521">
        <w:t xml:space="preserve"> d. Nr</w:t>
      </w:r>
      <w:r w:rsidR="00C27521" w:rsidRPr="00E27ABF">
        <w:t>. 49</w:t>
      </w:r>
      <w:r w:rsidR="00C27521">
        <w:t xml:space="preserve"> patvirtintu </w:t>
      </w:r>
      <w:r w:rsidR="00C27521" w:rsidRPr="00C27521">
        <w:t>L</w:t>
      </w:r>
      <w:r w:rsidR="00C27521" w:rsidRPr="00C27521">
        <w:rPr>
          <w:szCs w:val="20"/>
        </w:rPr>
        <w:t>igų ir kompensuojamųjų vaistų joms gydyti sąrašas (A sąrašas)</w:t>
      </w:r>
      <w:r w:rsidR="00C27521" w:rsidRPr="00C27521">
        <w:t>.</w:t>
      </w:r>
      <w:r w:rsidR="005E6BB7">
        <w:t xml:space="preserve"> </w:t>
      </w:r>
      <w:r w:rsidRPr="00E27ABF">
        <w:t xml:space="preserve">Pagal Aprašą metastazavusio kastracijai atsparaus prostatos vėžio medikamentiniam gydymui gali būti skiriama abirateronas, enzulatamidas arba docetakselis. Klinikinėje praktikoje skiriamas ir kabazitakselis, kurio kompensuojama indikacija pagal </w:t>
      </w:r>
      <w:r w:rsidR="00C27521">
        <w:t>A sąrašą</w:t>
      </w:r>
      <w:r w:rsidRPr="00E27ABF">
        <w:t xml:space="preserve">: </w:t>
      </w:r>
      <w:r w:rsidRPr="00C27521">
        <w:rPr>
          <w:iCs/>
        </w:rPr>
        <w:t>„skiriamas tik metastazavusio kastracijai atsparaus prostatos vėžiui, progresavusiam taikant chemoterapiją su docetakseliu arba po jos, gydyti“.</w:t>
      </w:r>
      <w:r w:rsidRPr="00E27ABF">
        <w:rPr>
          <w:i/>
        </w:rPr>
        <w:t xml:space="preserve"> </w:t>
      </w:r>
      <w:r w:rsidRPr="00E27ABF">
        <w:rPr>
          <w:rFonts w:eastAsia="Arial"/>
          <w:color w:val="000000"/>
        </w:rPr>
        <w:t>Šiuo metu Lietuvoje nėra specifi</w:t>
      </w:r>
      <w:r w:rsidR="00C27521">
        <w:rPr>
          <w:rFonts w:eastAsia="Arial"/>
          <w:color w:val="000000"/>
        </w:rPr>
        <w:t>nio</w:t>
      </w:r>
      <w:r w:rsidRPr="00E27ABF">
        <w:rPr>
          <w:rFonts w:eastAsia="Arial"/>
          <w:color w:val="000000"/>
        </w:rPr>
        <w:t xml:space="preserve"> mKAPV gydymo, kai nustatoma BRCA mutacija.</w:t>
      </w:r>
      <w:bookmarkEnd w:id="1"/>
    </w:p>
    <w:p w14:paraId="40B30699" w14:textId="78596844" w:rsidR="00E27ABF" w:rsidRPr="00E27ABF" w:rsidRDefault="00C27521" w:rsidP="00991321">
      <w:pPr>
        <w:spacing w:after="120" w:line="276" w:lineRule="auto"/>
        <w:ind w:firstLine="720"/>
        <w:jc w:val="both"/>
        <w:rPr>
          <w:szCs w:val="20"/>
        </w:rPr>
      </w:pPr>
      <w:r w:rsidRPr="00C27521">
        <w:rPr>
          <w:i/>
          <w:iCs/>
          <w:szCs w:val="20"/>
        </w:rPr>
        <w:t xml:space="preserve">Akeega </w:t>
      </w:r>
      <w:r w:rsidRPr="00C27521">
        <w:rPr>
          <w:i/>
          <w:iCs/>
        </w:rPr>
        <w:t>50 mg/500 mg plėvele dengtos tabletės</w:t>
      </w:r>
      <w:r w:rsidRPr="00E27ABF">
        <w:rPr>
          <w:szCs w:val="20"/>
        </w:rPr>
        <w:t xml:space="preserve"> </w:t>
      </w:r>
      <w:r>
        <w:rPr>
          <w:szCs w:val="20"/>
        </w:rPr>
        <w:t xml:space="preserve">yra </w:t>
      </w:r>
      <w:r w:rsidRPr="00E27ABF">
        <w:rPr>
          <w:szCs w:val="20"/>
        </w:rPr>
        <w:t>dv</w:t>
      </w:r>
      <w:r>
        <w:rPr>
          <w:szCs w:val="20"/>
        </w:rPr>
        <w:t>i</w:t>
      </w:r>
      <w:r w:rsidRPr="00E27ABF">
        <w:rPr>
          <w:szCs w:val="20"/>
        </w:rPr>
        <w:t>ejų v</w:t>
      </w:r>
      <w:r>
        <w:rPr>
          <w:szCs w:val="20"/>
        </w:rPr>
        <w:t>eikliųjų medžiagų n</w:t>
      </w:r>
      <w:r w:rsidRPr="00E27ABF">
        <w:rPr>
          <w:szCs w:val="20"/>
        </w:rPr>
        <w:t>iraparib</w:t>
      </w:r>
      <w:r>
        <w:rPr>
          <w:szCs w:val="20"/>
        </w:rPr>
        <w:t>o ir a</w:t>
      </w:r>
      <w:r w:rsidRPr="00E27ABF">
        <w:rPr>
          <w:szCs w:val="20"/>
        </w:rPr>
        <w:t>biraterono acetat</w:t>
      </w:r>
      <w:r>
        <w:rPr>
          <w:szCs w:val="20"/>
        </w:rPr>
        <w:t>o derinys</w:t>
      </w:r>
      <w:r w:rsidR="00E27ABF" w:rsidRPr="00E27ABF">
        <w:rPr>
          <w:szCs w:val="20"/>
        </w:rPr>
        <w:t xml:space="preserve">. </w:t>
      </w:r>
      <w:r w:rsidR="00E27ABF" w:rsidRPr="00C27521">
        <w:rPr>
          <w:bCs/>
          <w:iCs/>
          <w:szCs w:val="20"/>
        </w:rPr>
        <w:t xml:space="preserve">Niraparibas </w:t>
      </w:r>
      <w:r w:rsidR="00E27ABF" w:rsidRPr="00E27ABF">
        <w:rPr>
          <w:szCs w:val="20"/>
        </w:rPr>
        <w:t xml:space="preserve">yra </w:t>
      </w:r>
      <w:r w:rsidR="00E27ABF" w:rsidRPr="00E27ABF">
        <w:t xml:space="preserve">Poli(ADF ribozės) polimerazės (PARP) inhibitorius. PARP kelias buvo nustatytas kaip galimas vaisto taikinys sergant prostatos vėžiu ir esant HRR genų pakitimams. PARP inhibitoriai poli(ADF ribozės) polimerazę slopina. PARP padeda ląstelėms </w:t>
      </w:r>
      <w:r>
        <w:t>„</w:t>
      </w:r>
      <w:r w:rsidR="00E27ABF" w:rsidRPr="00E27ABF">
        <w:t>sutaisyti</w:t>
      </w:r>
      <w:r>
        <w:t>“</w:t>
      </w:r>
      <w:r w:rsidR="00E27ABF" w:rsidRPr="00E27ABF">
        <w:t xml:space="preserve"> sugadintą DNR, ir kai PARP slopinamas, vėžinės ląstelės negali </w:t>
      </w:r>
      <w:r>
        <w:t>„</w:t>
      </w:r>
      <w:r w:rsidR="00E27ABF" w:rsidRPr="00E27ABF">
        <w:t>sutaisyti</w:t>
      </w:r>
      <w:r>
        <w:t>“</w:t>
      </w:r>
      <w:r w:rsidR="00E27ABF" w:rsidRPr="00E27ABF">
        <w:t xml:space="preserve"> savo DNR, todėl naviko ląstelės žū</w:t>
      </w:r>
      <w:r>
        <w:t>st</w:t>
      </w:r>
      <w:r w:rsidR="00E27ABF" w:rsidRPr="00E27ABF">
        <w:t xml:space="preserve">a ir tai padeda kontroliuoti vėžį. </w:t>
      </w:r>
      <w:r w:rsidR="00E27ABF" w:rsidRPr="00C27521">
        <w:rPr>
          <w:bCs/>
          <w:iCs/>
          <w:szCs w:val="20"/>
        </w:rPr>
        <w:t>Abiraterono acetatas</w:t>
      </w:r>
      <w:r w:rsidR="00E27ABF" w:rsidRPr="00E27ABF">
        <w:rPr>
          <w:szCs w:val="20"/>
        </w:rPr>
        <w:t xml:space="preserve"> </w:t>
      </w:r>
      <w:r w:rsidR="00E27ABF" w:rsidRPr="00C27521">
        <w:rPr>
          <w:i/>
          <w:iCs/>
          <w:szCs w:val="20"/>
        </w:rPr>
        <w:t>in vivo</w:t>
      </w:r>
      <w:r w:rsidR="00E27ABF" w:rsidRPr="00E27ABF">
        <w:rPr>
          <w:szCs w:val="20"/>
        </w:rPr>
        <w:t xml:space="preserve"> virsta abirateronu, androgenų biosintezės inhibitoriumi. </w:t>
      </w:r>
      <w:r>
        <w:rPr>
          <w:szCs w:val="20"/>
        </w:rPr>
        <w:t>A</w:t>
      </w:r>
      <w:r w:rsidR="00E27ABF" w:rsidRPr="00E27ABF">
        <w:rPr>
          <w:szCs w:val="20"/>
        </w:rPr>
        <w:t>birateronas selektyviai slopina fermentą 17α-hidroksilazę/C17,20-liazę (CYP17). Šis fermentas yra išreikštas ir reikalingas androgenų biosintezei sėklidžių, antinksčių ir prostatos navikų audiniuose. CYP17 katalizuoja pregnenolono ir progesterono virsmą testosterono prekursoriais – DHEA (dehidroepiandrosteronu) ir androstenedionu, atitinkamai per 17α-hidroksilinimą ir C17,20 jungties skėlimą. Vadovaujantis  patvirtintu Lietuvos Respublikos sveikatos apsaugos ministro 2002 m. balandžio 5 d. įsakymu Nr. V-159 „Dėl vaistinių preparatų ir medicinos pagalbos priemonių įrašymo į kompensavimo sąrašus ir jų keitimo tvarkos aprašo patvirtinimo“ 116 - 119 punktais, tinkamas palyginamasis gydymas yra  abirateron</w:t>
      </w:r>
      <w:r w:rsidR="00A34CB8">
        <w:rPr>
          <w:szCs w:val="20"/>
        </w:rPr>
        <w:t>o</w:t>
      </w:r>
      <w:r w:rsidR="00E27ABF" w:rsidRPr="00E27ABF">
        <w:rPr>
          <w:szCs w:val="20"/>
        </w:rPr>
        <w:t xml:space="preserve"> acetat</w:t>
      </w:r>
      <w:r w:rsidR="00A34CB8">
        <w:rPr>
          <w:szCs w:val="20"/>
        </w:rPr>
        <w:t>as</w:t>
      </w:r>
      <w:r w:rsidR="00E27ABF" w:rsidRPr="00E27ABF">
        <w:rPr>
          <w:szCs w:val="20"/>
        </w:rPr>
        <w:t xml:space="preserve"> kartu su prednizolonu.</w:t>
      </w:r>
    </w:p>
    <w:p w14:paraId="2F10F187" w14:textId="4DAEC8DB" w:rsidR="00E27ABF" w:rsidRPr="00E27ABF" w:rsidRDefault="00E27ABF" w:rsidP="00991321">
      <w:pPr>
        <w:spacing w:after="120" w:line="276" w:lineRule="auto"/>
        <w:ind w:firstLine="720"/>
        <w:jc w:val="both"/>
        <w:rPr>
          <w:spacing w:val="-3"/>
        </w:rPr>
      </w:pPr>
      <w:r w:rsidRPr="00E27ABF">
        <w:lastRenderedPageBreak/>
        <w:t>Niraparibo</w:t>
      </w:r>
      <w:r w:rsidR="00A34CB8">
        <w:t xml:space="preserve"> ir a</w:t>
      </w:r>
      <w:r w:rsidRPr="00E27ABF">
        <w:t xml:space="preserve">biraterono acetato </w:t>
      </w:r>
      <w:r w:rsidRPr="00E27ABF">
        <w:rPr>
          <w:rFonts w:eastAsia="Arial"/>
        </w:rPr>
        <w:t>derinio klinikinis veiksmingumas grindžiamas 3 fazės klinikinio tyrimo MAGNITUDE duomenimis. Klinikinis tyrimas MAGNITUDE yra atsitiktinių imčių dvigubai maskuotas placebu kontroliuojamas daugiacentris tyrimas, kuriame buvo vertinamas gydymas kartą per parą vartojamu niraparibo (200 mg) ir abiraterono acetato (1 000 mg) deriniu kartu su prednizonu/</w:t>
      </w:r>
      <w:r w:rsidRPr="00E27ABF">
        <w:t xml:space="preserve"> prednizolonu</w:t>
      </w:r>
      <w:r w:rsidRPr="00E27ABF">
        <w:rPr>
          <w:rFonts w:eastAsia="Arial"/>
        </w:rPr>
        <w:t xml:space="preserve"> (10 mg) (toliau NARI+APP), lyginant jį su standartiniu gydymu </w:t>
      </w:r>
      <w:r w:rsidRPr="00E27ABF">
        <w:t>abiraterono acetatu ir prednizonu/prednizolonu (toliau P+</w:t>
      </w:r>
      <w:r w:rsidRPr="00E27ABF">
        <w:rPr>
          <w:rFonts w:eastAsia="Arial"/>
        </w:rPr>
        <w:t>AAP). Tai yra tiesioginis palyginimas su Lietuvos įprastin</w:t>
      </w:r>
      <w:r w:rsidR="00A34CB8">
        <w:rPr>
          <w:rFonts w:eastAsia="Arial"/>
        </w:rPr>
        <w:t>ę</w:t>
      </w:r>
      <w:r w:rsidRPr="00E27ABF">
        <w:rPr>
          <w:rFonts w:eastAsia="Arial"/>
        </w:rPr>
        <w:t xml:space="preserve"> klinikin</w:t>
      </w:r>
      <w:r w:rsidR="00A34CB8">
        <w:rPr>
          <w:rFonts w:eastAsia="Arial"/>
        </w:rPr>
        <w:t>ę</w:t>
      </w:r>
      <w:r w:rsidRPr="00E27ABF">
        <w:rPr>
          <w:rFonts w:eastAsia="Arial"/>
        </w:rPr>
        <w:t xml:space="preserve"> praktik</w:t>
      </w:r>
      <w:r w:rsidR="00A34CB8">
        <w:rPr>
          <w:rFonts w:eastAsia="Arial"/>
        </w:rPr>
        <w:t>ą</w:t>
      </w:r>
      <w:r w:rsidRPr="00E27ABF">
        <w:rPr>
          <w:rFonts w:eastAsia="Arial"/>
        </w:rPr>
        <w:t xml:space="preserve"> </w:t>
      </w:r>
      <w:r w:rsidR="00A34CB8" w:rsidRPr="00E27ABF">
        <w:rPr>
          <w:rFonts w:eastAsia="Arial"/>
        </w:rPr>
        <w:t xml:space="preserve">atitinkančiu </w:t>
      </w:r>
      <w:r w:rsidRPr="00E27ABF">
        <w:rPr>
          <w:rFonts w:eastAsia="Arial"/>
        </w:rPr>
        <w:t>gydymu</w:t>
      </w:r>
      <w:r w:rsidR="00A34CB8">
        <w:rPr>
          <w:rFonts w:eastAsia="Arial"/>
        </w:rPr>
        <w:t xml:space="preserve"> (</w:t>
      </w:r>
      <w:r w:rsidR="00A34CB8" w:rsidRPr="00E27ABF">
        <w:rPr>
          <w:szCs w:val="20"/>
        </w:rPr>
        <w:t>abirateron</w:t>
      </w:r>
      <w:r w:rsidR="00A34CB8">
        <w:rPr>
          <w:szCs w:val="20"/>
        </w:rPr>
        <w:t>o</w:t>
      </w:r>
      <w:r w:rsidR="00A34CB8" w:rsidRPr="00E27ABF">
        <w:rPr>
          <w:szCs w:val="20"/>
        </w:rPr>
        <w:t xml:space="preserve"> acetat</w:t>
      </w:r>
      <w:r w:rsidR="00A34CB8">
        <w:rPr>
          <w:szCs w:val="20"/>
        </w:rPr>
        <w:t>as</w:t>
      </w:r>
      <w:r w:rsidR="00A34CB8" w:rsidRPr="00E27ABF">
        <w:rPr>
          <w:szCs w:val="20"/>
        </w:rPr>
        <w:t xml:space="preserve"> kartu su prednizolonu</w:t>
      </w:r>
      <w:r w:rsidR="00A34CB8">
        <w:rPr>
          <w:szCs w:val="20"/>
        </w:rPr>
        <w:t>)</w:t>
      </w:r>
      <w:r w:rsidRPr="00E27ABF">
        <w:rPr>
          <w:rFonts w:eastAsia="Arial"/>
        </w:rPr>
        <w:t xml:space="preserve">. </w:t>
      </w:r>
      <w:r w:rsidRPr="00E27ABF">
        <w:t>Veiksmingumo duomenys pagrįsti pacientų grupės, kurioje buvo 423 mKAPV sergantys pacientai, kuriems buvo atrinktų HRR genų mutacijų. Šiems pacientams atsitiktine</w:t>
      </w:r>
      <w:r w:rsidRPr="00E27ABF">
        <w:rPr>
          <w:spacing w:val="-1"/>
        </w:rPr>
        <w:t xml:space="preserve"> </w:t>
      </w:r>
      <w:r w:rsidRPr="00E27ABF">
        <w:t>tvarka</w:t>
      </w:r>
      <w:r w:rsidRPr="00E27ABF">
        <w:rPr>
          <w:spacing w:val="-1"/>
        </w:rPr>
        <w:t xml:space="preserve"> </w:t>
      </w:r>
      <w:r w:rsidRPr="00E27ABF">
        <w:t>buvo</w:t>
      </w:r>
      <w:r w:rsidRPr="00E27ABF">
        <w:rPr>
          <w:spacing w:val="-1"/>
        </w:rPr>
        <w:t xml:space="preserve"> </w:t>
      </w:r>
      <w:r w:rsidRPr="00E27ABF">
        <w:t>skirtas</w:t>
      </w:r>
      <w:r w:rsidRPr="00E27ABF">
        <w:rPr>
          <w:spacing w:val="-1"/>
        </w:rPr>
        <w:t xml:space="preserve"> </w:t>
      </w:r>
      <w:r w:rsidRPr="00E27ABF">
        <w:t>gydymas</w:t>
      </w:r>
      <w:r w:rsidRPr="00E27ABF">
        <w:rPr>
          <w:spacing w:val="-1"/>
        </w:rPr>
        <w:t xml:space="preserve"> </w:t>
      </w:r>
      <w:r w:rsidRPr="00E27ABF">
        <w:t>niraparibu</w:t>
      </w:r>
      <w:r w:rsidRPr="00E27ABF">
        <w:rPr>
          <w:spacing w:val="-1"/>
        </w:rPr>
        <w:t xml:space="preserve"> </w:t>
      </w:r>
      <w:r w:rsidRPr="00E27ABF">
        <w:t>ir</w:t>
      </w:r>
      <w:r w:rsidRPr="00E27ABF">
        <w:rPr>
          <w:spacing w:val="-1"/>
        </w:rPr>
        <w:t xml:space="preserve"> </w:t>
      </w:r>
      <w:r w:rsidRPr="00E27ABF">
        <w:t>AAP</w:t>
      </w:r>
      <w:r w:rsidRPr="00E27ABF">
        <w:rPr>
          <w:spacing w:val="-1"/>
        </w:rPr>
        <w:t xml:space="preserve"> </w:t>
      </w:r>
      <w:r w:rsidRPr="00E27ABF">
        <w:t>arba</w:t>
      </w:r>
      <w:r w:rsidRPr="00E27ABF">
        <w:rPr>
          <w:spacing w:val="-1"/>
        </w:rPr>
        <w:t xml:space="preserve"> </w:t>
      </w:r>
      <w:r w:rsidRPr="00E27ABF">
        <w:t>placebas</w:t>
      </w:r>
      <w:r w:rsidRPr="00E27ABF">
        <w:rPr>
          <w:spacing w:val="-1"/>
        </w:rPr>
        <w:t xml:space="preserve"> </w:t>
      </w:r>
      <w:r w:rsidRPr="00E27ABF">
        <w:t>ir AAP</w:t>
      </w:r>
      <w:r w:rsidRPr="00E27ABF">
        <w:rPr>
          <w:spacing w:val="-3"/>
        </w:rPr>
        <w:t xml:space="preserve">, </w:t>
      </w:r>
      <w:r w:rsidRPr="00E27ABF">
        <w:t>vartojant</w:t>
      </w:r>
      <w:r w:rsidRPr="00E27ABF">
        <w:rPr>
          <w:spacing w:val="-3"/>
        </w:rPr>
        <w:t xml:space="preserve"> </w:t>
      </w:r>
      <w:r w:rsidRPr="00E27ABF">
        <w:t>per</w:t>
      </w:r>
      <w:r w:rsidRPr="00E27ABF">
        <w:rPr>
          <w:spacing w:val="-3"/>
        </w:rPr>
        <w:t xml:space="preserve"> </w:t>
      </w:r>
      <w:r w:rsidRPr="00E27ABF">
        <w:t>burną</w:t>
      </w:r>
      <w:r w:rsidRPr="00E27ABF">
        <w:rPr>
          <w:spacing w:val="-3"/>
        </w:rPr>
        <w:t xml:space="preserve"> </w:t>
      </w:r>
      <w:r w:rsidRPr="00E27ABF">
        <w:t>kartą</w:t>
      </w:r>
      <w:r w:rsidRPr="00E27ABF">
        <w:rPr>
          <w:spacing w:val="-3"/>
        </w:rPr>
        <w:t xml:space="preserve"> </w:t>
      </w:r>
      <w:r w:rsidRPr="00E27ABF">
        <w:t>per</w:t>
      </w:r>
      <w:r w:rsidRPr="00E27ABF">
        <w:rPr>
          <w:spacing w:val="-3"/>
        </w:rPr>
        <w:t xml:space="preserve"> </w:t>
      </w:r>
      <w:r w:rsidRPr="00E27ABF">
        <w:t>parą.</w:t>
      </w:r>
      <w:r w:rsidRPr="00E27ABF">
        <w:rPr>
          <w:spacing w:val="-3"/>
        </w:rPr>
        <w:t xml:space="preserve"> </w:t>
      </w:r>
    </w:p>
    <w:p w14:paraId="380E88A2" w14:textId="0B50C489" w:rsidR="00E27ABF" w:rsidRPr="00E27ABF" w:rsidRDefault="00E27ABF" w:rsidP="00991321">
      <w:pPr>
        <w:spacing w:after="120" w:line="276" w:lineRule="auto"/>
        <w:ind w:firstLine="720"/>
        <w:jc w:val="both"/>
      </w:pPr>
      <w:r w:rsidRPr="00E27ABF">
        <w:t>Į tyrimą buvo įtraukti mKAPV sergantys pacientai, kuriems prieš tai nebuvo skirtas sisteminis gydymas</w:t>
      </w:r>
      <w:r w:rsidRPr="00E27ABF">
        <w:rPr>
          <w:spacing w:val="-3"/>
        </w:rPr>
        <w:t xml:space="preserve"> </w:t>
      </w:r>
      <w:r w:rsidRPr="00E27ABF">
        <w:t>nuo</w:t>
      </w:r>
      <w:r w:rsidRPr="00E27ABF">
        <w:rPr>
          <w:spacing w:val="-3"/>
        </w:rPr>
        <w:t xml:space="preserve"> </w:t>
      </w:r>
      <w:r w:rsidRPr="00E27ABF">
        <w:t>mKAPV,</w:t>
      </w:r>
      <w:r w:rsidRPr="00E27ABF">
        <w:rPr>
          <w:spacing w:val="-3"/>
        </w:rPr>
        <w:t xml:space="preserve"> </w:t>
      </w:r>
      <w:r w:rsidRPr="00E27ABF">
        <w:t>išskyrus</w:t>
      </w:r>
      <w:r w:rsidRPr="00E27ABF">
        <w:rPr>
          <w:spacing w:val="-3"/>
        </w:rPr>
        <w:t xml:space="preserve"> </w:t>
      </w:r>
      <w:r w:rsidRPr="00E27ABF">
        <w:t>anksčiau</w:t>
      </w:r>
      <w:r w:rsidRPr="00E27ABF">
        <w:rPr>
          <w:spacing w:val="-3"/>
        </w:rPr>
        <w:t xml:space="preserve"> </w:t>
      </w:r>
      <w:r w:rsidRPr="00E27ABF">
        <w:t>taikytą</w:t>
      </w:r>
      <w:r w:rsidRPr="00E27ABF">
        <w:rPr>
          <w:spacing w:val="-3"/>
        </w:rPr>
        <w:t xml:space="preserve"> </w:t>
      </w:r>
      <w:r w:rsidRPr="00E27ABF">
        <w:t>trumpalaikį</w:t>
      </w:r>
      <w:r w:rsidRPr="00E27ABF">
        <w:rPr>
          <w:spacing w:val="-3"/>
        </w:rPr>
        <w:t xml:space="preserve"> </w:t>
      </w:r>
      <w:r w:rsidR="00A34CB8" w:rsidRPr="00E27ABF">
        <w:t>(mažiau</w:t>
      </w:r>
      <w:r w:rsidR="00A34CB8" w:rsidRPr="00E27ABF">
        <w:rPr>
          <w:spacing w:val="-3"/>
        </w:rPr>
        <w:t xml:space="preserve"> </w:t>
      </w:r>
      <w:r w:rsidR="00A34CB8" w:rsidRPr="00E27ABF">
        <w:t>kaip</w:t>
      </w:r>
      <w:r w:rsidR="00A34CB8" w:rsidRPr="00E27ABF">
        <w:rPr>
          <w:spacing w:val="-3"/>
        </w:rPr>
        <w:t xml:space="preserve"> </w:t>
      </w:r>
      <w:r w:rsidR="00A34CB8" w:rsidRPr="00E27ABF">
        <w:t>4</w:t>
      </w:r>
      <w:r w:rsidR="00A34CB8" w:rsidRPr="00E27ABF">
        <w:rPr>
          <w:spacing w:val="-3"/>
        </w:rPr>
        <w:t xml:space="preserve"> </w:t>
      </w:r>
      <w:r w:rsidR="00A34CB8" w:rsidRPr="00E27ABF">
        <w:t>mėnesi</w:t>
      </w:r>
      <w:r w:rsidR="00EF0883">
        <w:t>ų</w:t>
      </w:r>
      <w:r w:rsidR="00A34CB8" w:rsidRPr="00E27ABF">
        <w:t xml:space="preserve">) </w:t>
      </w:r>
      <w:r w:rsidRPr="00E27ABF">
        <w:t>gydymą</w:t>
      </w:r>
      <w:r w:rsidRPr="00E27ABF">
        <w:rPr>
          <w:spacing w:val="-3"/>
        </w:rPr>
        <w:t xml:space="preserve"> </w:t>
      </w:r>
      <w:r w:rsidRPr="00E27ABF">
        <w:t>AAP</w:t>
      </w:r>
      <w:r w:rsidRPr="00E27ABF">
        <w:rPr>
          <w:spacing w:val="-3"/>
        </w:rPr>
        <w:t xml:space="preserve"> </w:t>
      </w:r>
      <w:r w:rsidRPr="00E27ABF">
        <w:t xml:space="preserve">ir taikomą ADT. Taip pat, bendroje tyrimo populiacijoje  buvo iš anksto numatytas pacientų pogrupis, į kurį pateko 225 tiriamieji (113 tiriamųjų vartojo </w:t>
      </w:r>
      <w:r w:rsidR="00A34CB8">
        <w:t>n</w:t>
      </w:r>
      <w:r w:rsidRPr="00E27ABF">
        <w:rPr>
          <w:szCs w:val="20"/>
        </w:rPr>
        <w:t>iraparibo</w:t>
      </w:r>
      <w:r w:rsidR="00A34CB8">
        <w:rPr>
          <w:szCs w:val="20"/>
        </w:rPr>
        <w:t xml:space="preserve"> ir a</w:t>
      </w:r>
      <w:r w:rsidRPr="00E27ABF">
        <w:rPr>
          <w:szCs w:val="20"/>
        </w:rPr>
        <w:t xml:space="preserve">biraterono acetato </w:t>
      </w:r>
      <w:r w:rsidRPr="00E27ABF">
        <w:rPr>
          <w:rFonts w:eastAsia="Arial"/>
        </w:rPr>
        <w:t>derinį ir prednizoną/predinzoloną</w:t>
      </w:r>
      <w:r w:rsidRPr="00E27ABF">
        <w:t xml:space="preserve">), kuriems buvo nustatyta BRCA 1/2 mutacijų. </w:t>
      </w:r>
    </w:p>
    <w:p w14:paraId="209C785C" w14:textId="77777777" w:rsidR="00E27ABF" w:rsidRPr="00E27ABF" w:rsidRDefault="00E27ABF" w:rsidP="00991321">
      <w:pPr>
        <w:spacing w:after="120" w:line="276" w:lineRule="auto"/>
        <w:ind w:firstLine="720"/>
        <w:jc w:val="both"/>
      </w:pPr>
      <w:r w:rsidRPr="00E27ABF">
        <w:t xml:space="preserve">Vertinimo metu nustatyta, kad klinikinio tyrimo MAGNITUDE pacientų populiacija atitinka Lietuvos pacientų populiaciją. </w:t>
      </w:r>
    </w:p>
    <w:p w14:paraId="5BB450A0" w14:textId="624EF701" w:rsidR="003346B8" w:rsidRDefault="00E27ABF" w:rsidP="00991321">
      <w:pPr>
        <w:pStyle w:val="Tekstas"/>
        <w:spacing w:line="276" w:lineRule="auto"/>
      </w:pPr>
      <w:bookmarkStart w:id="2" w:name="_Hlk185616675"/>
      <w:r w:rsidRPr="00E27ABF">
        <w:rPr>
          <w:i/>
        </w:rPr>
        <w:t>Pagrindinė ir pirminė  vertinamoji baigtis</w:t>
      </w:r>
      <w:r w:rsidRPr="00E27ABF">
        <w:t xml:space="preserve"> buvo </w:t>
      </w:r>
      <w:r w:rsidR="003346B8">
        <w:t>išgyvenamumas be radiografinio progresavimo (rIBLP), kaip apibrėžta</w:t>
      </w:r>
      <w:r w:rsidR="003346B8">
        <w:rPr>
          <w:spacing w:val="-4"/>
        </w:rPr>
        <w:t xml:space="preserve"> </w:t>
      </w:r>
      <w:r w:rsidR="003346B8">
        <w:t>koduotos</w:t>
      </w:r>
      <w:r w:rsidR="003346B8">
        <w:rPr>
          <w:spacing w:val="-4"/>
        </w:rPr>
        <w:t xml:space="preserve"> </w:t>
      </w:r>
      <w:r w:rsidR="003346B8">
        <w:t>nepriklausomos</w:t>
      </w:r>
      <w:r w:rsidR="003346B8">
        <w:rPr>
          <w:spacing w:val="-4"/>
        </w:rPr>
        <w:t xml:space="preserve"> </w:t>
      </w:r>
      <w:r w:rsidR="003346B8">
        <w:t>radiologinės</w:t>
      </w:r>
      <w:r w:rsidR="003346B8">
        <w:rPr>
          <w:spacing w:val="-2"/>
        </w:rPr>
        <w:t xml:space="preserve"> </w:t>
      </w:r>
      <w:r w:rsidR="003346B8">
        <w:t>centrinės</w:t>
      </w:r>
      <w:r w:rsidR="003346B8">
        <w:rPr>
          <w:spacing w:val="-4"/>
        </w:rPr>
        <w:t xml:space="preserve"> </w:t>
      </w:r>
      <w:r w:rsidR="003346B8">
        <w:t>peržiūros</w:t>
      </w:r>
      <w:r w:rsidR="003346B8">
        <w:rPr>
          <w:spacing w:val="-2"/>
        </w:rPr>
        <w:t xml:space="preserve"> </w:t>
      </w:r>
      <w:r w:rsidR="003346B8">
        <w:t>(angl.</w:t>
      </w:r>
      <w:r w:rsidR="003346B8">
        <w:rPr>
          <w:spacing w:val="-4"/>
        </w:rPr>
        <w:t xml:space="preserve"> </w:t>
      </w:r>
      <w:r w:rsidR="003346B8">
        <w:rPr>
          <w:i/>
        </w:rPr>
        <w:t>blinded</w:t>
      </w:r>
      <w:r w:rsidR="003346B8">
        <w:rPr>
          <w:i/>
          <w:spacing w:val="-4"/>
        </w:rPr>
        <w:t xml:space="preserve"> </w:t>
      </w:r>
      <w:r w:rsidR="003346B8">
        <w:rPr>
          <w:i/>
        </w:rPr>
        <w:t>independent</w:t>
      </w:r>
      <w:r w:rsidR="003346B8">
        <w:rPr>
          <w:i/>
          <w:spacing w:val="-4"/>
        </w:rPr>
        <w:t xml:space="preserve"> </w:t>
      </w:r>
      <w:r w:rsidR="003346B8">
        <w:rPr>
          <w:i/>
        </w:rPr>
        <w:t>central radiology</w:t>
      </w:r>
      <w:r w:rsidR="003346B8">
        <w:t xml:space="preserve">, BICR), remiantis solidinių navikų atsako vertinimo kriterijų (angl. </w:t>
      </w:r>
      <w:r w:rsidR="003346B8">
        <w:rPr>
          <w:i/>
        </w:rPr>
        <w:t>Response Evaluation Criteria in Solid Tumors</w:t>
      </w:r>
      <w:r w:rsidR="003346B8">
        <w:t xml:space="preserve">, RECIST) 1.1 versija (minkštųjų audinių pažeidimams) ir prostatos vėžio klinikinių tyrimų darbo grupės 3 (angl. </w:t>
      </w:r>
      <w:r w:rsidR="003346B8">
        <w:rPr>
          <w:i/>
        </w:rPr>
        <w:t xml:space="preserve">Prostate Cancer Working Group-3, </w:t>
      </w:r>
      <w:r w:rsidR="003346B8">
        <w:t xml:space="preserve">PCWG-3) kriterijus (kaulų pažeidimams). </w:t>
      </w:r>
    </w:p>
    <w:bookmarkEnd w:id="2"/>
    <w:p w14:paraId="171CB8C6" w14:textId="210A0FB7" w:rsidR="003346B8" w:rsidRDefault="003346B8" w:rsidP="00991321">
      <w:pPr>
        <w:pStyle w:val="Tekstas"/>
        <w:spacing w:line="276" w:lineRule="auto"/>
      </w:pPr>
      <w:r w:rsidRPr="003346B8">
        <w:rPr>
          <w:i/>
          <w:iCs/>
        </w:rPr>
        <w:t>Antrin</w:t>
      </w:r>
      <w:r>
        <w:rPr>
          <w:i/>
          <w:iCs/>
        </w:rPr>
        <w:t xml:space="preserve">ės vertinamosios baigtys </w:t>
      </w:r>
      <w:r w:rsidRPr="003346B8">
        <w:t>buvo l</w:t>
      </w:r>
      <w:r>
        <w:t>aikas iki citotoksinės</w:t>
      </w:r>
      <w:r>
        <w:rPr>
          <w:spacing w:val="40"/>
        </w:rPr>
        <w:t xml:space="preserve"> </w:t>
      </w:r>
      <w:r>
        <w:t>chemoterapijos (LCC), laikas iki simptominio progresavimo (LSP) ir bendrasis išgyvenamumas (BI).</w:t>
      </w:r>
    </w:p>
    <w:p w14:paraId="77CF5157" w14:textId="77777777" w:rsidR="003346B8" w:rsidRDefault="00E27ABF" w:rsidP="00991321">
      <w:pPr>
        <w:spacing w:after="120" w:line="276" w:lineRule="auto"/>
        <w:ind w:firstLine="720"/>
        <w:jc w:val="both"/>
        <w:rPr>
          <w:rFonts w:eastAsia="Arial"/>
          <w:szCs w:val="20"/>
        </w:rPr>
      </w:pPr>
      <w:r w:rsidRPr="00E27ABF">
        <w:t xml:space="preserve"> </w:t>
      </w:r>
      <w:r w:rsidRPr="00E27ABF">
        <w:rPr>
          <w:rFonts w:eastAsia="Arial"/>
        </w:rPr>
        <w:t xml:space="preserve">Pirminė </w:t>
      </w:r>
      <w:r w:rsidR="003346B8">
        <w:rPr>
          <w:rFonts w:eastAsia="Arial"/>
        </w:rPr>
        <w:t xml:space="preserve">vertinamoji </w:t>
      </w:r>
      <w:r w:rsidRPr="00E27ABF">
        <w:rPr>
          <w:rFonts w:eastAsia="Arial"/>
        </w:rPr>
        <w:t xml:space="preserve">baigtis (rIBLP) bei antrinė baigtis (BI) laikomos tinkamos </w:t>
      </w:r>
      <w:r w:rsidRPr="00E27ABF">
        <w:rPr>
          <w:rFonts w:eastAsia="Arial"/>
          <w:szCs w:val="20"/>
        </w:rPr>
        <w:t xml:space="preserve">niraparibo </w:t>
      </w:r>
      <w:r w:rsidR="003346B8">
        <w:rPr>
          <w:rFonts w:eastAsia="Arial"/>
          <w:szCs w:val="20"/>
        </w:rPr>
        <w:t xml:space="preserve">ir </w:t>
      </w:r>
      <w:r w:rsidRPr="00E27ABF">
        <w:rPr>
          <w:rFonts w:eastAsia="Arial"/>
          <w:szCs w:val="20"/>
        </w:rPr>
        <w:t xml:space="preserve">abiraterono acetato derinio ir prednizono/prednizolono palyginamajam veiksmingumui įvertinti. </w:t>
      </w:r>
    </w:p>
    <w:p w14:paraId="2DC21C2B" w14:textId="3546CA65" w:rsidR="00E27ABF" w:rsidRPr="00E27ABF" w:rsidRDefault="00E27ABF" w:rsidP="00991321">
      <w:pPr>
        <w:spacing w:after="120" w:line="276" w:lineRule="auto"/>
        <w:jc w:val="both"/>
      </w:pPr>
      <w:r w:rsidRPr="00E27ABF">
        <w:rPr>
          <w:i/>
        </w:rPr>
        <w:t xml:space="preserve">Pacientų praneštos baigtys </w:t>
      </w:r>
      <w:r w:rsidRPr="00E27ABF">
        <w:t xml:space="preserve">buvo laikas iki laikas iki didžiausio skausmo, skausmo trukdžiai ir vidutinis skausmo progresavimas. Jos buvo vertinamos pagal mediana naudojant </w:t>
      </w:r>
      <w:r w:rsidRPr="00E27ABF">
        <w:rPr>
          <w:i/>
        </w:rPr>
        <w:t>Least square means</w:t>
      </w:r>
      <w:r w:rsidRPr="00E27ABF">
        <w:t xml:space="preserve"> reikšmes. Pacientų praneštos baigtys (t.y. laikas iki laikas iki didžiausio skausmo, skausmo trukdžiai ir vidutinis skausmo progresavimas) reikalingos įvertinti paciento savijautą gydymo metu bei progresavusios ligos simptomų sumažėjimą, palyginus su AAP terapija. Taip pat buvo vertinamas šio gydymo saugumas visoje pacientų populiacijoje.</w:t>
      </w:r>
    </w:p>
    <w:p w14:paraId="0ABF60AF" w14:textId="15974C98" w:rsidR="00E27ABF" w:rsidRPr="00E27ABF" w:rsidRDefault="00E27ABF" w:rsidP="00991321">
      <w:pPr>
        <w:spacing w:after="120" w:line="276" w:lineRule="auto"/>
        <w:ind w:firstLine="720"/>
        <w:jc w:val="both"/>
      </w:pPr>
      <w:r w:rsidRPr="00E27ABF">
        <w:t xml:space="preserve">Pažymėtina, kad duomenų analizėje taikomi statistiniai metodai laikomi kaip tinkamais. Numatyta statistinio reikšmingumo galia rizikos santykiui nustatyti yra pakankama įrodyti </w:t>
      </w:r>
      <w:r w:rsidRPr="00E27ABF">
        <w:rPr>
          <w:rFonts w:eastAsia="Arial"/>
          <w:szCs w:val="20"/>
        </w:rPr>
        <w:t xml:space="preserve">niraparibo </w:t>
      </w:r>
      <w:r w:rsidR="003346B8">
        <w:rPr>
          <w:rFonts w:eastAsia="Arial"/>
          <w:szCs w:val="20"/>
        </w:rPr>
        <w:t>ir a</w:t>
      </w:r>
      <w:r w:rsidRPr="00E27ABF">
        <w:rPr>
          <w:rFonts w:eastAsia="Arial"/>
          <w:szCs w:val="20"/>
        </w:rPr>
        <w:t>biraterono acetato derinio ir prednizono/prednizolono</w:t>
      </w:r>
      <w:r w:rsidRPr="00E27ABF">
        <w:t xml:space="preserve"> pranašumą prieš AAP terapiją.</w:t>
      </w:r>
    </w:p>
    <w:p w14:paraId="6AECE2DA" w14:textId="2805DE51" w:rsidR="00E27ABF" w:rsidRPr="00E27ABF" w:rsidRDefault="00E27ABF" w:rsidP="00991321">
      <w:pPr>
        <w:spacing w:after="120" w:line="276" w:lineRule="auto"/>
        <w:ind w:firstLine="720"/>
        <w:jc w:val="both"/>
        <w:rPr>
          <w:rFonts w:eastAsia="Arial"/>
          <w:szCs w:val="20"/>
        </w:rPr>
      </w:pPr>
      <w:r w:rsidRPr="00E27ABF">
        <w:rPr>
          <w:rFonts w:eastAsia="Arial"/>
          <w:color w:val="000000"/>
        </w:rPr>
        <w:t>Pacientų pradinės charakteristikos buvo panašios ab</w:t>
      </w:r>
      <w:r w:rsidR="00991321">
        <w:rPr>
          <w:rFonts w:eastAsia="Arial"/>
          <w:color w:val="000000"/>
        </w:rPr>
        <w:t>i</w:t>
      </w:r>
      <w:r w:rsidRPr="00E27ABF">
        <w:rPr>
          <w:rFonts w:eastAsia="Arial"/>
          <w:color w:val="000000"/>
        </w:rPr>
        <w:t>ejose tyrimo grupėse, tačiau  pacientų su metastazėmis į vid</w:t>
      </w:r>
      <w:r w:rsidR="003346B8">
        <w:rPr>
          <w:rFonts w:eastAsia="Arial"/>
          <w:color w:val="000000"/>
        </w:rPr>
        <w:t>aus</w:t>
      </w:r>
      <w:r w:rsidRPr="00E27ABF">
        <w:rPr>
          <w:rFonts w:eastAsia="Arial"/>
          <w:color w:val="000000"/>
        </w:rPr>
        <w:t xml:space="preserve"> organus ir kaulus bei </w:t>
      </w:r>
      <w:r w:rsidR="003346B8">
        <w:rPr>
          <w:rFonts w:eastAsia="Arial"/>
          <w:color w:val="000000"/>
        </w:rPr>
        <w:t xml:space="preserve">blogesnės sveikatos būklės </w:t>
      </w:r>
      <w:r w:rsidRPr="00E27ABF">
        <w:rPr>
          <w:rFonts w:eastAsia="Arial"/>
          <w:color w:val="000000"/>
        </w:rPr>
        <w:t xml:space="preserve">pacientų (atitinka ECOG </w:t>
      </w:r>
      <w:r w:rsidRPr="00E27ABF">
        <w:rPr>
          <w:rFonts w:eastAsia="Arial"/>
          <w:color w:val="000000"/>
          <w:lang w:val="en-GB"/>
        </w:rPr>
        <w:t xml:space="preserve">= 1) </w:t>
      </w:r>
      <w:r w:rsidRPr="00E27ABF">
        <w:rPr>
          <w:rFonts w:eastAsia="Arial"/>
          <w:color w:val="000000"/>
        </w:rPr>
        <w:t>buvo daugiau</w:t>
      </w:r>
      <w:r w:rsidRPr="00E27ABF">
        <w:rPr>
          <w:rFonts w:eastAsia="Arial"/>
          <w:color w:val="000000"/>
          <w:lang w:val="en-GB"/>
        </w:rPr>
        <w:t xml:space="preserve"> </w:t>
      </w:r>
      <w:r w:rsidRPr="00E27ABF">
        <w:rPr>
          <w:rFonts w:eastAsia="Arial"/>
          <w:color w:val="000000"/>
        </w:rPr>
        <w:t xml:space="preserve"> </w:t>
      </w:r>
      <w:r w:rsidRPr="00E27ABF">
        <w:rPr>
          <w:rFonts w:eastAsia="Arial"/>
          <w:szCs w:val="20"/>
        </w:rPr>
        <w:t>niraparibo</w:t>
      </w:r>
      <w:r w:rsidR="00991321">
        <w:rPr>
          <w:rFonts w:eastAsia="Arial"/>
          <w:szCs w:val="20"/>
        </w:rPr>
        <w:t xml:space="preserve"> ir </w:t>
      </w:r>
      <w:r w:rsidRPr="00E27ABF">
        <w:rPr>
          <w:rFonts w:eastAsia="Arial"/>
          <w:szCs w:val="20"/>
        </w:rPr>
        <w:t xml:space="preserve">abiraterono acetato derinio ir prednizono/prednizolono </w:t>
      </w:r>
      <w:r w:rsidR="00991321" w:rsidRPr="00E27ABF">
        <w:rPr>
          <w:rFonts w:eastAsia="Arial"/>
          <w:szCs w:val="20"/>
        </w:rPr>
        <w:t>(NIRA+AAP)</w:t>
      </w:r>
      <w:r w:rsidR="00991321">
        <w:rPr>
          <w:rFonts w:eastAsia="Arial"/>
          <w:szCs w:val="20"/>
        </w:rPr>
        <w:t xml:space="preserve"> </w:t>
      </w:r>
      <w:r w:rsidRPr="00E27ABF">
        <w:rPr>
          <w:rFonts w:eastAsia="Arial"/>
          <w:szCs w:val="20"/>
        </w:rPr>
        <w:t xml:space="preserve">grupėje, palyginus su placebu ir AAP </w:t>
      </w:r>
      <w:r w:rsidR="00991321" w:rsidRPr="00E27ABF">
        <w:rPr>
          <w:rFonts w:eastAsia="Arial"/>
          <w:szCs w:val="20"/>
        </w:rPr>
        <w:t>(P+AAP)</w:t>
      </w:r>
      <w:r w:rsidR="00991321">
        <w:rPr>
          <w:rFonts w:eastAsia="Arial"/>
          <w:szCs w:val="20"/>
        </w:rPr>
        <w:t xml:space="preserve"> </w:t>
      </w:r>
      <w:r w:rsidRPr="00E27ABF">
        <w:rPr>
          <w:rFonts w:eastAsia="Arial"/>
          <w:szCs w:val="20"/>
        </w:rPr>
        <w:t>gydomų pacientų grupe.</w:t>
      </w:r>
    </w:p>
    <w:p w14:paraId="1CC7B7C3" w14:textId="2A4C7538" w:rsidR="00E27ABF" w:rsidRPr="00E27ABF" w:rsidRDefault="00E27ABF" w:rsidP="00991321">
      <w:pPr>
        <w:tabs>
          <w:tab w:val="left" w:pos="426"/>
        </w:tabs>
        <w:spacing w:line="276" w:lineRule="auto"/>
        <w:jc w:val="both"/>
        <w:rPr>
          <w:color w:val="000000"/>
          <w:szCs w:val="20"/>
        </w:rPr>
      </w:pPr>
      <w:r w:rsidRPr="00E27ABF">
        <w:rPr>
          <w:i/>
          <w:color w:val="000000"/>
          <w:szCs w:val="20"/>
        </w:rPr>
        <w:t xml:space="preserve">Pirminė vertinamoji baigtis (vertinama centralizuotai nepriklausomo peržiūros komiteto) - </w:t>
      </w:r>
      <w:r w:rsidRPr="00991321">
        <w:rPr>
          <w:u w:val="single"/>
        </w:rPr>
        <w:t xml:space="preserve">išgyvenamumas </w:t>
      </w:r>
      <w:r w:rsidR="00991321" w:rsidRPr="00991321">
        <w:rPr>
          <w:u w:val="single"/>
        </w:rPr>
        <w:t xml:space="preserve">be radiografinio progresavimo </w:t>
      </w:r>
      <w:r w:rsidRPr="00991321">
        <w:rPr>
          <w:u w:val="single"/>
        </w:rPr>
        <w:t>(</w:t>
      </w:r>
      <w:r w:rsidRPr="00991321">
        <w:rPr>
          <w:i/>
          <w:u w:val="single"/>
        </w:rPr>
        <w:t>rIBRP</w:t>
      </w:r>
      <w:r w:rsidRPr="00991321">
        <w:rPr>
          <w:u w:val="single"/>
        </w:rPr>
        <w:t>)</w:t>
      </w:r>
      <w:r w:rsidRPr="00991321">
        <w:rPr>
          <w:i/>
          <w:color w:val="000000"/>
          <w:szCs w:val="20"/>
          <w:u w:val="single"/>
        </w:rPr>
        <w:t xml:space="preserve">. </w:t>
      </w:r>
      <w:r w:rsidRPr="00991321">
        <w:rPr>
          <w:color w:val="000000"/>
          <w:szCs w:val="20"/>
          <w:u w:val="single"/>
        </w:rPr>
        <w:t>Pirminės tarpinės analizės rezultatai parodė,</w:t>
      </w:r>
      <w:r w:rsidRPr="00E27ABF">
        <w:rPr>
          <w:color w:val="000000"/>
          <w:szCs w:val="20"/>
        </w:rPr>
        <w:t xml:space="preserve"> </w:t>
      </w:r>
      <w:r w:rsidRPr="00E27ABF">
        <w:rPr>
          <w:color w:val="000000"/>
          <w:szCs w:val="20"/>
        </w:rPr>
        <w:lastRenderedPageBreak/>
        <w:t>kad BRCA1/2 pacientų pogrupyje rIBLP buvo statistiškai reikšmingai ilgesnis, gydant pacientus NIRA+AAP, nei gydant P+AAP (pav.1). rIBLP mediana NIRA+AAP pacientų grupėje buvo 16,6 mėn., o P+AAP grupėje – 10,9 mėn. Rizikos santykis (RS) buvo 0,53 (95 proc. PI: 0,36-0,79; p</w:t>
      </w:r>
      <w:r w:rsidRPr="00E27ABF">
        <w:rPr>
          <w:color w:val="000000"/>
          <w:szCs w:val="20"/>
          <w:lang w:val="en-GB"/>
        </w:rPr>
        <w:t>=0,001</w:t>
      </w:r>
      <w:r w:rsidRPr="00E27ABF">
        <w:rPr>
          <w:color w:val="000000"/>
          <w:szCs w:val="20"/>
        </w:rPr>
        <w:t>). Statistinio plano hierarchinę strategiją, pasiekus rIBLP statistiškai reikšmingo skirtumo NIRA+AAP naudai,  buvo toliau vertinamas  rIBLP ITT populiacijoje (t.y. HRR teigiamoje cohortoje). ITT populiacijoje rIBLP rezultatai atkartojo BRCA pacientų gautus rezultatus. rIBLP mediana NIRA+AAP grupėje buvo 16,5 mėn. ir P+AAP grupėje – 13,7 mėn.; RS</w:t>
      </w:r>
      <w:r w:rsidRPr="00E27ABF">
        <w:rPr>
          <w:color w:val="000000"/>
          <w:szCs w:val="20"/>
          <w:lang w:val="en-GB"/>
        </w:rPr>
        <w:t>=</w:t>
      </w:r>
      <w:r w:rsidRPr="00E27ABF">
        <w:rPr>
          <w:color w:val="000000"/>
          <w:szCs w:val="20"/>
        </w:rPr>
        <w:t>0,73 (95 proc. PI: 056-0,96; P</w:t>
      </w:r>
      <w:r w:rsidRPr="00E27ABF">
        <w:rPr>
          <w:color w:val="000000"/>
          <w:szCs w:val="20"/>
          <w:lang w:val="en-GB"/>
        </w:rPr>
        <w:t>=</w:t>
      </w:r>
      <w:r w:rsidRPr="00E27ABF">
        <w:rPr>
          <w:color w:val="000000"/>
          <w:szCs w:val="20"/>
        </w:rPr>
        <w:t>0,022). Pranašumas NIRA+AAP buvo įrodytas pagal pirmosios vertinamosios baigties rezultatus. Papildomai atlikta analizė ITT populiacijoje  parodė, kad statistiškai reikšmingai ilgesnis rIBLP buvo NIRA+AAP grupėje, jei pacientai turėjo PSA virš medianos (&gt; 20ng/l) prieš pradedant tyrimą, buvo  ≥ 65-74 metų diagnozės metu ir jiems prieš tyrimą nebuvo taikyta chemoterapija taksanų pagrindu. Pirminė baigtis taip pat pakartotinai buvo įvertinta antrinės tarpinės analizės metu BRCA ½ pogrupyje. Jos rezultatai parodė, kad gydymo NIRA+AAP pranašumas įrodytas pirminėje tarpinėje analizėje, buvo išlaikytas ilgėjant gydymo trukmei. Ligos progresijos arba mirties nuo bet kokios priežasties rizika išliko 45 proc. mažesnė gydant pacientus su BRCA ½ mutacija NIRA+AAP deriniu, nei gydant pacientus  P+AAP.</w:t>
      </w:r>
    </w:p>
    <w:p w14:paraId="34E18357" w14:textId="65455DF0" w:rsidR="00E27ABF" w:rsidRPr="00E27ABF" w:rsidRDefault="00E27ABF" w:rsidP="00991321">
      <w:pPr>
        <w:spacing w:after="120" w:line="276" w:lineRule="auto"/>
        <w:ind w:firstLine="720"/>
        <w:jc w:val="both"/>
        <w:rPr>
          <w:rFonts w:eastAsia="Arial"/>
          <w:szCs w:val="20"/>
        </w:rPr>
      </w:pPr>
      <w:r w:rsidRPr="00E27ABF">
        <w:rPr>
          <w:u w:val="single"/>
        </w:rPr>
        <w:t>Bendr</w:t>
      </w:r>
      <w:r w:rsidR="00991321">
        <w:rPr>
          <w:u w:val="single"/>
        </w:rPr>
        <w:t>ojo</w:t>
      </w:r>
      <w:r w:rsidRPr="00E27ABF">
        <w:rPr>
          <w:u w:val="single"/>
        </w:rPr>
        <w:t xml:space="preserve"> išgyvenamumo (BI)</w:t>
      </w:r>
      <w:r w:rsidRPr="00E27ABF">
        <w:t xml:space="preserve"> duomenys priminės analizės metu buvo nebrand</w:t>
      </w:r>
      <w:r w:rsidR="00991321">
        <w:t>ū</w:t>
      </w:r>
      <w:r w:rsidRPr="00E27ABF">
        <w:t xml:space="preserve">s. Tačiau antrinės analizės rezultatai BRCA ½ pogrupyje parodė, kad  NIRA+AAP grupėje BI mediana buvo 29,3 mėn. ir P+AAP grupėje – 28,6 mėn., iš viso buvo užfiksuota 43 ir 49 mirties atvejų, atitinkamai. Rizikos santykis buvo 0,88, tačiau statistinis reikšmingumas buvo 0,055 ir nepasiekė numatyto statistinio plane reikšmingumo lygio (0,050). Papildomai iš ankšto numatyta ir atlikta jautrumo analizė vis dėlto parodė, kad gydymas NIRA+AAP suteikia pacientams papildoma BI pranašumą, palyginus su P+AAP: RS=0,54 (95 proc. PI: 0,33-0,90; p=0,018). Atsižvelgiant į  rezultatų visumą, gydymas NIRA+AAP yra laikomas pranašesniu, nei įprasta klinikinė praktika Lietuvoje, nes tikėtina, kad jis prailgina bendrą išgyvenamumą pacientams, kuriems yra nustatytas mKAPV ir yra BRCA ½ mutacijų </w:t>
      </w:r>
      <w:r w:rsidRPr="00E27ABF">
        <w:rPr>
          <w:rFonts w:eastAsia="Arial"/>
          <w:szCs w:val="20"/>
        </w:rPr>
        <w:t>(germinacinių ir/arba somatinių) bei kuriems nėra klinikinių indikacijų taikyti chemoterapiją.</w:t>
      </w:r>
    </w:p>
    <w:p w14:paraId="4A786FBB" w14:textId="77777777" w:rsidR="00E27ABF" w:rsidRPr="00E27ABF" w:rsidRDefault="00E27ABF" w:rsidP="00991321">
      <w:pPr>
        <w:spacing w:after="120" w:line="276" w:lineRule="auto"/>
        <w:ind w:firstLine="720"/>
        <w:jc w:val="both"/>
        <w:rPr>
          <w:szCs w:val="20"/>
        </w:rPr>
      </w:pPr>
      <w:r w:rsidRPr="00E27ABF">
        <w:rPr>
          <w:color w:val="000000"/>
          <w:szCs w:val="20"/>
        </w:rPr>
        <w:t xml:space="preserve">Papildomai atlikta analizė bendroje populiacijoje  parodė, kad statistiškai reikšmingai ilgesnis rIBLP buvo NIRA+AAP grupėje, jei pacientai turėjo PSA virš medianos (&gt; 20ng/l) prieš pradedant tyrimą, buvo  ≥ 65-74 metų diagnozės metu ir jiems prieš tyrimą nebuvo taikyta chemoterapija taksanų pagrindu. </w:t>
      </w:r>
      <w:r w:rsidRPr="00E27ABF">
        <w:rPr>
          <w:szCs w:val="20"/>
        </w:rPr>
        <w:t xml:space="preserve">Kitų antrinių baigčių rezultatai (t.y. </w:t>
      </w:r>
      <w:r w:rsidRPr="00E27ABF">
        <w:rPr>
          <w:u w:val="single"/>
        </w:rPr>
        <w:t>laikas iki citotoksinės</w:t>
      </w:r>
      <w:r w:rsidRPr="00E27ABF">
        <w:rPr>
          <w:spacing w:val="40"/>
          <w:u w:val="single"/>
        </w:rPr>
        <w:t xml:space="preserve"> </w:t>
      </w:r>
      <w:r w:rsidRPr="00E27ABF">
        <w:rPr>
          <w:u w:val="single"/>
        </w:rPr>
        <w:t>chemoterapijos</w:t>
      </w:r>
      <w:r w:rsidRPr="00E27ABF">
        <w:t xml:space="preserve"> bei </w:t>
      </w:r>
      <w:r w:rsidRPr="00E27ABF">
        <w:rPr>
          <w:szCs w:val="20"/>
        </w:rPr>
        <w:t xml:space="preserve">  </w:t>
      </w:r>
      <w:r w:rsidRPr="00E27ABF">
        <w:rPr>
          <w:u w:val="single"/>
        </w:rPr>
        <w:t>laikas iki simptominio progresavimo</w:t>
      </w:r>
      <w:r w:rsidRPr="00E27ABF">
        <w:t xml:space="preserve">) </w:t>
      </w:r>
      <w:r w:rsidRPr="00E27ABF">
        <w:rPr>
          <w:szCs w:val="20"/>
        </w:rPr>
        <w:t>suteikia papildomą informaciją apie NIRA+AAP veiksmingumą ir bendrai atspindi rIBLP ir BI rezultatus.</w:t>
      </w:r>
    </w:p>
    <w:p w14:paraId="09632B95" w14:textId="65B66F8E" w:rsidR="00E27ABF" w:rsidRPr="00E27ABF" w:rsidRDefault="00E27ABF" w:rsidP="00991321">
      <w:pPr>
        <w:spacing w:line="276" w:lineRule="auto"/>
        <w:ind w:firstLine="360"/>
        <w:jc w:val="both"/>
      </w:pPr>
      <w:r w:rsidRPr="00E27ABF">
        <w:rPr>
          <w:szCs w:val="20"/>
        </w:rPr>
        <w:t xml:space="preserve">Įvertinus pacientų praneštų baigčių rezultatus BRCA ½ pogrupyje, nustatyta, kad </w:t>
      </w:r>
      <w:r w:rsidRPr="00E27ABF">
        <w:t>laikas iki didžiausio skausmo, iki skausm</w:t>
      </w:r>
      <w:r w:rsidR="00991321">
        <w:t>o</w:t>
      </w:r>
      <w:r w:rsidRPr="00E27ABF">
        <w:t xml:space="preserve"> trukdžių ir iki vidutinio skausmo progresavimo buvo skaitmenine išraiška buvo trumpesni P+AAP grupėje, palyginus su NIRA+AAP grupe.  Bendrai, analizė parodė, kad laikas iki didžiausio skausmo  ir ik</w:t>
      </w:r>
      <w:r w:rsidR="00991321">
        <w:t>i</w:t>
      </w:r>
      <w:r w:rsidRPr="00E27ABF">
        <w:t xml:space="preserve"> skausm</w:t>
      </w:r>
      <w:r w:rsidR="00991321">
        <w:t>o</w:t>
      </w:r>
      <w:r w:rsidRPr="00E27ABF">
        <w:t xml:space="preserve"> trukdžių trumpėjo ilgėjant gydymui, tačiau skausmas vis tiek liko minimalus. Vis dėlto reikšmingų skirtumų tarp tyrimo grupių nebuvo nustatyta. </w:t>
      </w:r>
    </w:p>
    <w:p w14:paraId="3C8BB404" w14:textId="77777777" w:rsidR="00E27ABF" w:rsidRPr="00E27ABF" w:rsidRDefault="00E27ABF" w:rsidP="00991321">
      <w:pPr>
        <w:spacing w:after="120" w:line="276" w:lineRule="auto"/>
        <w:ind w:firstLine="720"/>
        <w:jc w:val="both"/>
      </w:pPr>
      <w:r w:rsidRPr="00E27ABF">
        <w:rPr>
          <w:rFonts w:eastAsia="Arial"/>
          <w:u w:val="single"/>
        </w:rPr>
        <w:t>Palyginamasis saugumas</w:t>
      </w:r>
      <w:r w:rsidRPr="00E27ABF">
        <w:rPr>
          <w:rFonts w:eastAsia="Arial"/>
        </w:rPr>
        <w:t xml:space="preserve"> grindžiamas pirminės ir antrinės tarpinės analizių duomenimis. Atliekant antrinę tarpinę analizę gydymo NIRA+AAP mediana sudarė 17,9 mėn., saugumo duomenys bendroje populiacijoje buvo panašūs į duomenis įvertintus pirminėje tarpinėje analizėje.  Naujų arba netikėtų reiškinių, susijusių su gydymų NIRA+AAP, nebuvo užfiksuota. Nepageidaujami reiškiniai (NR) buvo nustatyti 211 (99,5 proc.) pacientų gydant NIRA+AAP ir  203 (96,2 proc.) pacientų gydant AAP. Dažniausiai pasitaikantis nepageidaujamas reiškinys NIRA+AAP grupėje, palyginus su P+AAP grupe, buvo anemija - 50 proc. ir 22,7 proc.; hipertenzija – 33,0 proc. ir 15,6 proc. bei vidurių </w:t>
      </w:r>
      <w:r w:rsidRPr="00E27ABF">
        <w:rPr>
          <w:rFonts w:eastAsia="Arial"/>
        </w:rPr>
        <w:lastRenderedPageBreak/>
        <w:t>užkietėjimas – 33,0 proc. ir 15, 6 proc., atitinkamai. Transfuzija dėl anemijos buvo atlikta 27,4 proc. pacientų NIRA+AAP grupėje ir 5,2 proc. pacientų P+AAP grupėje. NR dažniai gydant NIRA+AAP  išsamiau pateikti preparato charakteristikos santraukoje.</w:t>
      </w:r>
    </w:p>
    <w:p w14:paraId="5685E2D4" w14:textId="7A057DEB" w:rsidR="00E27ABF" w:rsidRPr="00E27ABF" w:rsidRDefault="00E27ABF" w:rsidP="00991321">
      <w:pPr>
        <w:tabs>
          <w:tab w:val="left" w:pos="426"/>
        </w:tabs>
        <w:spacing w:line="276" w:lineRule="auto"/>
        <w:jc w:val="both"/>
        <w:rPr>
          <w:color w:val="000000"/>
          <w:szCs w:val="20"/>
        </w:rPr>
      </w:pPr>
      <w:r w:rsidRPr="00E27ABF">
        <w:rPr>
          <w:color w:val="000000"/>
          <w:szCs w:val="20"/>
        </w:rPr>
        <w:tab/>
        <w:t>Apibendrinant, rIBLP ir BI vertinam</w:t>
      </w:r>
      <w:r w:rsidR="00991321">
        <w:rPr>
          <w:color w:val="000000"/>
          <w:szCs w:val="20"/>
        </w:rPr>
        <w:t>osios</w:t>
      </w:r>
      <w:r w:rsidRPr="00E27ABF">
        <w:rPr>
          <w:color w:val="000000"/>
          <w:szCs w:val="20"/>
        </w:rPr>
        <w:t xml:space="preserve"> baigtys laikomos tinkamomis </w:t>
      </w:r>
      <w:r w:rsidRPr="00E27ABF">
        <w:rPr>
          <w:szCs w:val="20"/>
        </w:rPr>
        <w:t>niraparibo</w:t>
      </w:r>
      <w:r w:rsidR="00991321">
        <w:rPr>
          <w:szCs w:val="20"/>
        </w:rPr>
        <w:t xml:space="preserve"> ir </w:t>
      </w:r>
      <w:r w:rsidRPr="00E27ABF">
        <w:rPr>
          <w:szCs w:val="20"/>
        </w:rPr>
        <w:t>abiraterono acetato derinio su prednizonu</w:t>
      </w:r>
      <w:r w:rsidRPr="00E27ABF">
        <w:rPr>
          <w:color w:val="000000"/>
          <w:szCs w:val="20"/>
        </w:rPr>
        <w:t xml:space="preserve"> veiksmingumui įrodyti</w:t>
      </w:r>
      <w:r w:rsidR="00991321">
        <w:rPr>
          <w:color w:val="000000"/>
          <w:szCs w:val="20"/>
        </w:rPr>
        <w:t>. A</w:t>
      </w:r>
      <w:r w:rsidRPr="00E27ABF">
        <w:rPr>
          <w:color w:val="000000"/>
          <w:szCs w:val="20"/>
        </w:rPr>
        <w:t xml:space="preserve">ntrinių baigčių rezultatai  suteikia papildomą informaciją apie </w:t>
      </w:r>
      <w:r w:rsidRPr="00E27ABF">
        <w:rPr>
          <w:szCs w:val="20"/>
        </w:rPr>
        <w:t>niraparibo</w:t>
      </w:r>
      <w:r w:rsidR="00991321">
        <w:rPr>
          <w:szCs w:val="20"/>
        </w:rPr>
        <w:t xml:space="preserve"> ir </w:t>
      </w:r>
      <w:r w:rsidRPr="00E27ABF">
        <w:rPr>
          <w:szCs w:val="20"/>
        </w:rPr>
        <w:t>abiraterono acetato derinio su prednizonu</w:t>
      </w:r>
      <w:r w:rsidRPr="00E27ABF">
        <w:rPr>
          <w:color w:val="000000"/>
          <w:szCs w:val="20"/>
        </w:rPr>
        <w:t xml:space="preserve"> veiksmingumą ir bendrai atspindi rIBLP ir BI rezultatus. </w:t>
      </w:r>
      <w:r w:rsidR="00991321">
        <w:rPr>
          <w:color w:val="000000"/>
          <w:szCs w:val="20"/>
        </w:rPr>
        <w:t xml:space="preserve">Klininiai tyrimai </w:t>
      </w:r>
      <w:r w:rsidRPr="00E27ABF">
        <w:rPr>
          <w:color w:val="000000"/>
          <w:szCs w:val="20"/>
        </w:rPr>
        <w:t xml:space="preserve">parodė, kad gydymas </w:t>
      </w:r>
      <w:r w:rsidRPr="00E27ABF">
        <w:rPr>
          <w:szCs w:val="20"/>
        </w:rPr>
        <w:t>niraparibo/abiraterono acetato deriniu su prednizonu</w:t>
      </w:r>
      <w:r w:rsidRPr="00E27ABF">
        <w:rPr>
          <w:color w:val="000000"/>
          <w:szCs w:val="20"/>
        </w:rPr>
        <w:t xml:space="preserve"> prailgina išgyvenamumą be ligos progres</w:t>
      </w:r>
      <w:r w:rsidR="00991321">
        <w:rPr>
          <w:color w:val="000000"/>
          <w:szCs w:val="20"/>
        </w:rPr>
        <w:t>avimo</w:t>
      </w:r>
      <w:r w:rsidRPr="00E27ABF">
        <w:rPr>
          <w:color w:val="000000"/>
          <w:szCs w:val="20"/>
        </w:rPr>
        <w:t xml:space="preserve"> ir mažina mirties riziką nuo bet kokios priežasties, </w:t>
      </w:r>
      <w:r w:rsidR="00991321">
        <w:rPr>
          <w:color w:val="000000"/>
          <w:szCs w:val="20"/>
        </w:rPr>
        <w:t xml:space="preserve">pacientams </w:t>
      </w:r>
      <w:r w:rsidRPr="00E27ABF">
        <w:rPr>
          <w:color w:val="000000"/>
          <w:szCs w:val="20"/>
        </w:rPr>
        <w:t xml:space="preserve">kuriems nustatytas metastazavęs kastracijai atsparus prostatos vėžys (mKAPV) ir kuriems yra BRCA 1/2 mutacijų (germinacinių ir/arba somatinių) bei kuriems nėra klinikinių indikacijų taikyti chemoterapiją. </w:t>
      </w:r>
      <w:bookmarkEnd w:id="0"/>
    </w:p>
    <w:p w14:paraId="25F89291" w14:textId="5C45C8FC" w:rsidR="00D4485B" w:rsidRPr="000203E1" w:rsidRDefault="00D4485B" w:rsidP="00A93AA6">
      <w:pPr>
        <w:pStyle w:val="Sraopastraipa"/>
        <w:tabs>
          <w:tab w:val="left" w:pos="426"/>
        </w:tabs>
        <w:ind w:left="0"/>
        <w:rPr>
          <w:b/>
          <w:bCs/>
          <w:caps/>
        </w:rPr>
      </w:pPr>
    </w:p>
    <w:p w14:paraId="7DE09EB5" w14:textId="69E9DD74" w:rsidR="00E03C3F" w:rsidRPr="000203E1" w:rsidRDefault="00CC7832" w:rsidP="00CC09D4">
      <w:pPr>
        <w:pStyle w:val="Sraopastraipa"/>
        <w:numPr>
          <w:ilvl w:val="0"/>
          <w:numId w:val="12"/>
        </w:numPr>
        <w:tabs>
          <w:tab w:val="left" w:pos="567"/>
        </w:tabs>
        <w:ind w:hanging="720"/>
        <w:rPr>
          <w:b/>
          <w:bCs/>
          <w:caps/>
        </w:rPr>
      </w:pPr>
      <w:r w:rsidRPr="000203E1">
        <w:rPr>
          <w:b/>
          <w:bCs/>
          <w:caps/>
        </w:rPr>
        <w:t xml:space="preserve">ekonominio vertinimo </w:t>
      </w:r>
      <w:r w:rsidR="002F0E4F" w:rsidRPr="000203E1">
        <w:rPr>
          <w:b/>
          <w:bCs/>
          <w:caps/>
        </w:rPr>
        <w:t>apibendrinimas</w:t>
      </w:r>
    </w:p>
    <w:p w14:paraId="1A900598" w14:textId="1CE93230" w:rsidR="00C62B36" w:rsidRDefault="00C62B36" w:rsidP="00A93AA6">
      <w:pPr>
        <w:tabs>
          <w:tab w:val="left" w:pos="426"/>
        </w:tabs>
        <w:rPr>
          <w:i/>
        </w:rPr>
      </w:pPr>
    </w:p>
    <w:p w14:paraId="04A90D3F" w14:textId="75318B79" w:rsidR="00030C28" w:rsidRDefault="00030C28" w:rsidP="00030C28">
      <w:pPr>
        <w:spacing w:line="276" w:lineRule="auto"/>
        <w:ind w:firstLine="360"/>
        <w:jc w:val="both"/>
      </w:pPr>
      <w:r w:rsidRPr="00B80C86">
        <w:rPr>
          <w:iCs/>
          <w:lang w:eastAsia="lt-LT"/>
        </w:rPr>
        <w:t>Ekonominiame vertinime analizuojami pacientai atitinka siūlomą kompensuoti indikaciją: „</w:t>
      </w:r>
      <w:r w:rsidRPr="00B80C86">
        <w:rPr>
          <w:rFonts w:eastAsia="Arial"/>
        </w:rPr>
        <w:t>Akeega kartu su prednizonu arba prednizolonu yra skirtas suaugusių pacientų, sergančių metastazavusiu kastracijai atspariu prostatos vėžiu (mKAPV) ir kuriems yra BRCA 1/2 mutacijų (germinacinių ir/arba somatinių) bei kuriems nėra klinikinių indikacijų taikyti chemoterapiją, gydymui</w:t>
      </w:r>
      <w:r w:rsidR="0081764D">
        <w:rPr>
          <w:rFonts w:eastAsia="Arial"/>
        </w:rPr>
        <w:t>“</w:t>
      </w:r>
      <w:r w:rsidRPr="00B80C86">
        <w:rPr>
          <w:rFonts w:eastAsia="Arial"/>
        </w:rPr>
        <w:t xml:space="preserve"> (TLK-10-AM - </w:t>
      </w:r>
      <w:r w:rsidRPr="00B80C86">
        <w:t>C61) ir klinikinei daliai teikiamus šaltinius. KNA taikomi klinikiniai duomenys pagrįsti MAGNITUDE klinikiniu tyrimu: III</w:t>
      </w:r>
      <w:r w:rsidRPr="00B80C86">
        <w:rPr>
          <w:spacing w:val="-4"/>
        </w:rPr>
        <w:t xml:space="preserve"> </w:t>
      </w:r>
      <w:r w:rsidRPr="00B80C86">
        <w:t>fazės</w:t>
      </w:r>
      <w:r w:rsidRPr="00B80C86">
        <w:rPr>
          <w:spacing w:val="-4"/>
        </w:rPr>
        <w:t xml:space="preserve"> </w:t>
      </w:r>
      <w:r w:rsidRPr="00B80C86">
        <w:t>atsitiktinių</w:t>
      </w:r>
      <w:r w:rsidRPr="00B80C86">
        <w:rPr>
          <w:spacing w:val="-4"/>
        </w:rPr>
        <w:t xml:space="preserve"> </w:t>
      </w:r>
      <w:r w:rsidRPr="00B80C86">
        <w:t>imčių</w:t>
      </w:r>
      <w:r w:rsidRPr="00B80C86">
        <w:rPr>
          <w:spacing w:val="-4"/>
        </w:rPr>
        <w:t xml:space="preserve"> </w:t>
      </w:r>
      <w:r w:rsidRPr="00B80C86">
        <w:t>dvigubai</w:t>
      </w:r>
      <w:r w:rsidRPr="00B80C86">
        <w:rPr>
          <w:spacing w:val="-4"/>
        </w:rPr>
        <w:t xml:space="preserve"> </w:t>
      </w:r>
      <w:r w:rsidRPr="00B80C86">
        <w:t>maskuotu</w:t>
      </w:r>
      <w:r w:rsidRPr="00B80C86">
        <w:rPr>
          <w:spacing w:val="-4"/>
        </w:rPr>
        <w:t xml:space="preserve"> </w:t>
      </w:r>
      <w:r w:rsidRPr="00B80C86">
        <w:t>placebu</w:t>
      </w:r>
      <w:r w:rsidRPr="00B80C86">
        <w:rPr>
          <w:spacing w:val="-4"/>
        </w:rPr>
        <w:t xml:space="preserve"> </w:t>
      </w:r>
      <w:r w:rsidRPr="00B80C86">
        <w:t>kontroliuojamu daugiacentriu tyrimu, kuriame buvo vertinamas gydymas kartą per parą vartojamu niraparibo (200</w:t>
      </w:r>
      <w:r w:rsidRPr="00B80C86">
        <w:rPr>
          <w:spacing w:val="-2"/>
        </w:rPr>
        <w:t xml:space="preserve"> </w:t>
      </w:r>
      <w:r w:rsidRPr="00B80C86">
        <w:t>mg)</w:t>
      </w:r>
      <w:r w:rsidRPr="00B80C86">
        <w:rPr>
          <w:spacing w:val="-3"/>
        </w:rPr>
        <w:t xml:space="preserve"> </w:t>
      </w:r>
      <w:r w:rsidRPr="00B80C86">
        <w:t>ir</w:t>
      </w:r>
      <w:r w:rsidRPr="00B80C86">
        <w:rPr>
          <w:spacing w:val="-3"/>
        </w:rPr>
        <w:t xml:space="preserve"> </w:t>
      </w:r>
      <w:r w:rsidRPr="00B80C86">
        <w:t>abiraterono</w:t>
      </w:r>
      <w:r w:rsidRPr="00B80C86">
        <w:rPr>
          <w:spacing w:val="-3"/>
        </w:rPr>
        <w:t xml:space="preserve"> </w:t>
      </w:r>
      <w:r w:rsidRPr="00B80C86">
        <w:t>acetato</w:t>
      </w:r>
      <w:r w:rsidRPr="00B80C86">
        <w:rPr>
          <w:spacing w:val="-3"/>
        </w:rPr>
        <w:t xml:space="preserve"> </w:t>
      </w:r>
      <w:r w:rsidRPr="00B80C86">
        <w:t>(1</w:t>
      </w:r>
      <w:r w:rsidRPr="00B80C86">
        <w:rPr>
          <w:spacing w:val="-3"/>
        </w:rPr>
        <w:t xml:space="preserve"> </w:t>
      </w:r>
      <w:r w:rsidRPr="00B80C86">
        <w:t>000</w:t>
      </w:r>
      <w:r w:rsidRPr="00B80C86">
        <w:rPr>
          <w:spacing w:val="-2"/>
        </w:rPr>
        <w:t xml:space="preserve"> </w:t>
      </w:r>
      <w:r w:rsidRPr="00B80C86">
        <w:t>mg)</w:t>
      </w:r>
      <w:r w:rsidRPr="00B80C86">
        <w:rPr>
          <w:spacing w:val="-3"/>
        </w:rPr>
        <w:t xml:space="preserve"> </w:t>
      </w:r>
      <w:r w:rsidRPr="00B80C86">
        <w:t>deriniu</w:t>
      </w:r>
      <w:r w:rsidRPr="00B80C86">
        <w:rPr>
          <w:spacing w:val="-2"/>
        </w:rPr>
        <w:t xml:space="preserve"> </w:t>
      </w:r>
      <w:r w:rsidRPr="00B80C86">
        <w:t>kartu</w:t>
      </w:r>
      <w:r w:rsidRPr="00B80C86">
        <w:rPr>
          <w:spacing w:val="-3"/>
        </w:rPr>
        <w:t xml:space="preserve"> </w:t>
      </w:r>
      <w:r w:rsidRPr="00B80C86">
        <w:t>su</w:t>
      </w:r>
      <w:r w:rsidRPr="00B80C86">
        <w:rPr>
          <w:spacing w:val="-3"/>
        </w:rPr>
        <w:t xml:space="preserve"> </w:t>
      </w:r>
      <w:r w:rsidRPr="00B80C86">
        <w:t>prednizonu</w:t>
      </w:r>
      <w:r w:rsidRPr="00B80C86">
        <w:rPr>
          <w:spacing w:val="-3"/>
        </w:rPr>
        <w:t xml:space="preserve"> </w:t>
      </w:r>
      <w:r w:rsidRPr="00B80C86">
        <w:t>(10</w:t>
      </w:r>
      <w:r w:rsidRPr="00B80C86">
        <w:rPr>
          <w:spacing w:val="-2"/>
        </w:rPr>
        <w:t xml:space="preserve"> </w:t>
      </w:r>
      <w:r w:rsidRPr="00B80C86">
        <w:t>mg),</w:t>
      </w:r>
      <w:r w:rsidRPr="00B80C86">
        <w:rPr>
          <w:spacing w:val="-3"/>
        </w:rPr>
        <w:t xml:space="preserve"> </w:t>
      </w:r>
      <w:r w:rsidRPr="00B80C86">
        <w:t>lyginant</w:t>
      </w:r>
      <w:r w:rsidRPr="00B80C86">
        <w:rPr>
          <w:spacing w:val="-3"/>
        </w:rPr>
        <w:t xml:space="preserve"> </w:t>
      </w:r>
      <w:r w:rsidRPr="00B80C86">
        <w:t>jį</w:t>
      </w:r>
      <w:r w:rsidRPr="00B80C86">
        <w:rPr>
          <w:spacing w:val="-3"/>
        </w:rPr>
        <w:t xml:space="preserve"> </w:t>
      </w:r>
      <w:r w:rsidRPr="00B80C86">
        <w:t xml:space="preserve">su standartiniu gydymu AAP. </w:t>
      </w:r>
      <w:r w:rsidRPr="00B80C86">
        <w:rPr>
          <w:rFonts w:eastAsia="Arial"/>
          <w:bCs/>
          <w:szCs w:val="22"/>
        </w:rPr>
        <w:t xml:space="preserve">KNA atliekama </w:t>
      </w:r>
      <w:r w:rsidRPr="00B80C86">
        <w:t>niraparibo</w:t>
      </w:r>
      <w:r w:rsidRPr="00B80C86">
        <w:rPr>
          <w:spacing w:val="-3"/>
        </w:rPr>
        <w:t xml:space="preserve"> </w:t>
      </w:r>
      <w:r w:rsidRPr="00B80C86">
        <w:t>ir</w:t>
      </w:r>
      <w:r w:rsidRPr="00B80C86">
        <w:rPr>
          <w:spacing w:val="-3"/>
        </w:rPr>
        <w:t xml:space="preserve"> </w:t>
      </w:r>
      <w:r w:rsidRPr="00B80C86">
        <w:t>abiraterono</w:t>
      </w:r>
      <w:r w:rsidRPr="00B80C86">
        <w:rPr>
          <w:spacing w:val="-3"/>
        </w:rPr>
        <w:t xml:space="preserve"> </w:t>
      </w:r>
      <w:r w:rsidRPr="00B80C86">
        <w:t>acetato</w:t>
      </w:r>
      <w:r w:rsidRPr="00B80C86">
        <w:rPr>
          <w:spacing w:val="-3"/>
        </w:rPr>
        <w:t xml:space="preserve"> </w:t>
      </w:r>
      <w:r w:rsidRPr="00B80C86">
        <w:t>derinį</w:t>
      </w:r>
      <w:r w:rsidRPr="00B80C86">
        <w:rPr>
          <w:spacing w:val="-2"/>
        </w:rPr>
        <w:t xml:space="preserve"> </w:t>
      </w:r>
      <w:r w:rsidRPr="00B80C86">
        <w:t>kartu</w:t>
      </w:r>
      <w:r w:rsidRPr="00B80C86">
        <w:rPr>
          <w:spacing w:val="-3"/>
        </w:rPr>
        <w:t xml:space="preserve"> </w:t>
      </w:r>
      <w:r w:rsidRPr="00B80C86">
        <w:t>su</w:t>
      </w:r>
      <w:r w:rsidRPr="00B80C86">
        <w:rPr>
          <w:spacing w:val="-3"/>
        </w:rPr>
        <w:t xml:space="preserve"> </w:t>
      </w:r>
      <w:r w:rsidRPr="00B80C86">
        <w:t>prednizonu</w:t>
      </w:r>
      <w:r w:rsidRPr="00B80C86">
        <w:rPr>
          <w:spacing w:val="-3"/>
        </w:rPr>
        <w:t xml:space="preserve"> (NAAP)</w:t>
      </w:r>
      <w:r w:rsidRPr="00B80C86">
        <w:t>,</w:t>
      </w:r>
      <w:r w:rsidRPr="00B80C86">
        <w:rPr>
          <w:spacing w:val="-3"/>
        </w:rPr>
        <w:t xml:space="preserve"> </w:t>
      </w:r>
      <w:r w:rsidRPr="00B80C86">
        <w:t>lyginant</w:t>
      </w:r>
      <w:r w:rsidRPr="00B80C86">
        <w:rPr>
          <w:spacing w:val="-3"/>
        </w:rPr>
        <w:t xml:space="preserve"> </w:t>
      </w:r>
      <w:r w:rsidRPr="00B80C86">
        <w:t>su standartiniu gydymu abiraterono</w:t>
      </w:r>
      <w:r w:rsidRPr="00B80C86">
        <w:rPr>
          <w:spacing w:val="-3"/>
        </w:rPr>
        <w:t xml:space="preserve"> </w:t>
      </w:r>
      <w:r w:rsidRPr="00B80C86">
        <w:t>acetato</w:t>
      </w:r>
      <w:r w:rsidRPr="00B80C86">
        <w:rPr>
          <w:spacing w:val="-3"/>
        </w:rPr>
        <w:t xml:space="preserve"> </w:t>
      </w:r>
      <w:r w:rsidRPr="00B80C86">
        <w:t>deriniu</w:t>
      </w:r>
      <w:r w:rsidRPr="00B80C86">
        <w:rPr>
          <w:spacing w:val="-2"/>
        </w:rPr>
        <w:t xml:space="preserve"> </w:t>
      </w:r>
      <w:r w:rsidRPr="00B80C86">
        <w:t>kartu</w:t>
      </w:r>
      <w:r w:rsidRPr="00B80C86">
        <w:rPr>
          <w:spacing w:val="-3"/>
        </w:rPr>
        <w:t xml:space="preserve"> </w:t>
      </w:r>
      <w:r w:rsidRPr="00B80C86">
        <w:t>su</w:t>
      </w:r>
      <w:r w:rsidRPr="00B80C86">
        <w:rPr>
          <w:spacing w:val="-3"/>
        </w:rPr>
        <w:t xml:space="preserve"> </w:t>
      </w:r>
      <w:r w:rsidRPr="00B80C86">
        <w:t>prednizonu</w:t>
      </w:r>
      <w:r w:rsidRPr="00B80C86">
        <w:rPr>
          <w:spacing w:val="-3"/>
        </w:rPr>
        <w:t xml:space="preserve"> (</w:t>
      </w:r>
      <w:r w:rsidRPr="00B80C86">
        <w:t>AAP</w:t>
      </w:r>
      <w:r w:rsidRPr="00B80C86">
        <w:rPr>
          <w:rFonts w:eastAsia="Arial"/>
          <w:bCs/>
          <w:szCs w:val="22"/>
        </w:rPr>
        <w:t>). Ekonominėje analizėje pateiktas palyginamasis gydymas atitinka klinikinio paraiškos vertinimo dalyje pateiktą palyginamąjį gydymą (žr. šio vertinimo protokolo 2.3 punktą) ir laikoma, kad atitinka įprastą Lietuvos Respublikos klinikinę praktiką.</w:t>
      </w:r>
    </w:p>
    <w:p w14:paraId="646DDE69" w14:textId="77777777" w:rsidR="00030C28" w:rsidRDefault="00030C28" w:rsidP="00030C28">
      <w:pPr>
        <w:spacing w:line="276" w:lineRule="auto"/>
        <w:ind w:firstLine="360"/>
        <w:jc w:val="both"/>
      </w:pPr>
      <w:r w:rsidRPr="00B80C86">
        <w:rPr>
          <w:bCs/>
          <w:lang w:eastAsia="lt-LT"/>
        </w:rPr>
        <w:t xml:space="preserve">Pareiškėjo taikomas </w:t>
      </w:r>
      <w:r w:rsidRPr="009F51C9">
        <w:t xml:space="preserve">padalintos kohortos išgyvenamumo trijų sveikatos būklių modelis yra plačiai taikomas sveikatos technologijų vertinimo praktikoje onkologinių ligų KNA modeliavimui ir yra tinkamas ir priimtinas. </w:t>
      </w:r>
    </w:p>
    <w:p w14:paraId="65FA48A5" w14:textId="77777777" w:rsidR="00030C28" w:rsidRPr="00B80C86" w:rsidRDefault="00030C28" w:rsidP="00030C28">
      <w:pPr>
        <w:spacing w:line="276" w:lineRule="auto"/>
        <w:ind w:firstLine="360"/>
        <w:jc w:val="both"/>
      </w:pPr>
      <w:r w:rsidRPr="00B80C86">
        <w:t xml:space="preserve">Sveikatai sukuriama nauda buvo vertinama pagal su sveikata susijusią gyvenimo kokybę (angl. </w:t>
      </w:r>
      <w:r w:rsidRPr="00B80C86">
        <w:rPr>
          <w:i/>
          <w:iCs/>
        </w:rPr>
        <w:t xml:space="preserve">Health realated quality of life, </w:t>
      </w:r>
      <w:r w:rsidRPr="00B80C86">
        <w:t xml:space="preserve">HRQoL), kuri buvo įvertinta naudojant EQ-5D klausimyną, </w:t>
      </w:r>
      <w:r>
        <w:t>MAGNITUDE</w:t>
      </w:r>
      <w:r w:rsidRPr="00B80C86">
        <w:t xml:space="preserve"> klinikinio tyrimo metu. Įprastinėje atvejo analizėje sveikatos būklėje iki ligos progreso taiko gyvenimo kokybės koeficientus remiantis </w:t>
      </w:r>
      <w:r>
        <w:t>MAGNITUDE klinikinio tyrimo rezultatais. Sveikatos būklėje ligai progresavus taikomi Diels ir kt. 2015 šaltinio duomenys laikomi patikimesniais (Magnitude klinikinio tyrimo stebėjimo trukmė trumpa bei mažos pacientų imtys ligai progresavus).</w:t>
      </w:r>
      <w:r w:rsidRPr="00B80C86">
        <w:t xml:space="preserve"> Analizė atlikta iš PSDF biudžeto perspektyvos, įtraukti tiesiogiai su sveikatos sistema susiję kaštai. Tai atitinka teisės aktuose nustatytus paraiškos rengimo taisyklių reikalavimus.</w:t>
      </w:r>
    </w:p>
    <w:p w14:paraId="4DC1CE5D" w14:textId="5FC88117" w:rsidR="00030C28" w:rsidRDefault="00030C28" w:rsidP="00030C28">
      <w:pPr>
        <w:spacing w:line="276" w:lineRule="auto"/>
        <w:jc w:val="both"/>
        <w:rPr>
          <w:lang w:eastAsia="lt-LT"/>
        </w:rPr>
      </w:pPr>
      <w:r w:rsidRPr="00B80C86">
        <w:rPr>
          <w:lang w:eastAsia="lt-LT"/>
        </w:rPr>
        <w:t xml:space="preserve">KNA taikoma ilgesnė laiko perspektyva besitęsianti po klinikinio tyrimo pabaigos. Įprastinė atvejo analizė apima 30 m. (viso gyvenimo) laiko perspektyvą. Tarnyba vertina, kad pasirinkta laiko perspektyva yra tinkama siekiant, kad laikotarpis būtų pakankamas sveikatai sukuriamai naudai ir patiriamiems kaštams užfiksuoti (vidutinis </w:t>
      </w:r>
      <w:r w:rsidRPr="00B80C86">
        <w:rPr>
          <w:rFonts w:eastAsia="Arial"/>
        </w:rPr>
        <w:t>mKAPV</w:t>
      </w:r>
      <w:r w:rsidRPr="00B80C86">
        <w:rPr>
          <w:lang w:eastAsia="lt-LT"/>
        </w:rPr>
        <w:t xml:space="preserve"> pacientų amžius MAGNITUDE klinikiniame tyrime – </w:t>
      </w:r>
      <w:r w:rsidRPr="00196289">
        <w:t>67</w:t>
      </w:r>
      <w:r w:rsidR="0081764D">
        <w:t>,</w:t>
      </w:r>
      <w:r w:rsidRPr="00196289">
        <w:t>9</w:t>
      </w:r>
      <w:r w:rsidRPr="00B80C86">
        <w:rPr>
          <w:spacing w:val="-5"/>
        </w:rPr>
        <w:t xml:space="preserve"> </w:t>
      </w:r>
      <w:r w:rsidRPr="00B80C86">
        <w:rPr>
          <w:lang w:eastAsia="lt-LT"/>
        </w:rPr>
        <w:t>m.).</w:t>
      </w:r>
    </w:p>
    <w:p w14:paraId="1F169942" w14:textId="77777777" w:rsidR="00030C28" w:rsidRPr="00B80C86" w:rsidRDefault="00030C28" w:rsidP="00030C28">
      <w:pPr>
        <w:spacing w:line="276" w:lineRule="auto"/>
        <w:ind w:firstLine="360"/>
        <w:jc w:val="both"/>
        <w:rPr>
          <w:lang w:eastAsia="lt-LT"/>
        </w:rPr>
      </w:pPr>
      <w:r w:rsidRPr="0096241E">
        <w:t xml:space="preserve">Tarnyba vertina, kad </w:t>
      </w:r>
      <w:r w:rsidRPr="00B80C86">
        <w:rPr>
          <w:color w:val="000000"/>
          <w:lang w:eastAsia="lt-LT"/>
        </w:rPr>
        <w:t>Pareiškėjo taikomos prielaidos, vertinant efektyvumo skirtumus tarp siūlomo ir palyginamojo gydymo ilgajame laikotarpyje yra pagrįstos. Ekonominės analizės rezultatų dalyje detalizuojamos prielaidos, kurias Tarnyba taiko (ir keičia) įprastinėje atvejo analizėje.</w:t>
      </w:r>
    </w:p>
    <w:p w14:paraId="39371DE6" w14:textId="77777777" w:rsidR="00030C28" w:rsidRDefault="00030C28" w:rsidP="00A93AA6">
      <w:pPr>
        <w:tabs>
          <w:tab w:val="left" w:pos="426"/>
        </w:tabs>
        <w:rPr>
          <w:i/>
        </w:rPr>
      </w:pPr>
    </w:p>
    <w:p w14:paraId="174D84D7" w14:textId="09C7BC2B" w:rsidR="0035172D" w:rsidRPr="000203E1" w:rsidRDefault="00164D64" w:rsidP="00A93AA6">
      <w:pPr>
        <w:tabs>
          <w:tab w:val="left" w:pos="426"/>
        </w:tabs>
        <w:rPr>
          <w:b/>
          <w:lang w:eastAsia="lt-LT"/>
        </w:rPr>
      </w:pPr>
      <w:r>
        <w:rPr>
          <w:b/>
          <w:lang w:eastAsia="lt-LT"/>
        </w:rPr>
        <w:t xml:space="preserve">3.1 </w:t>
      </w:r>
      <w:r w:rsidR="0035172D" w:rsidRPr="000203E1">
        <w:rPr>
          <w:b/>
          <w:lang w:eastAsia="lt-LT"/>
        </w:rPr>
        <w:t>Ekonominės analizės rezultatas</w:t>
      </w:r>
    </w:p>
    <w:p w14:paraId="4801D227" w14:textId="77777777" w:rsidR="009E44AE" w:rsidRPr="000203E1"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0203E1" w:rsidRPr="000203E1"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0203E1" w:rsidRDefault="009E44AE" w:rsidP="009E44AE">
            <w:pPr>
              <w:tabs>
                <w:tab w:val="left" w:pos="567"/>
              </w:tabs>
              <w:jc w:val="center"/>
              <w:rPr>
                <w:b/>
                <w:bCs/>
                <w:sz w:val="26"/>
                <w:szCs w:val="26"/>
                <w:lang w:eastAsia="lt-LT"/>
              </w:rPr>
            </w:pPr>
            <w:r w:rsidRPr="000203E1">
              <w:rPr>
                <w:b/>
                <w:bCs/>
                <w:sz w:val="26"/>
                <w:szCs w:val="26"/>
                <w:lang w:eastAsia="lt-LT"/>
              </w:rPr>
              <w:t>Rezultatai</w:t>
            </w:r>
          </w:p>
        </w:tc>
      </w:tr>
      <w:tr w:rsidR="000203E1" w:rsidRPr="000203E1" w14:paraId="319AF392" w14:textId="77777777" w:rsidTr="00DF5AF3">
        <w:trPr>
          <w:trHeight w:val="267"/>
          <w:jc w:val="center"/>
        </w:trPr>
        <w:tc>
          <w:tcPr>
            <w:tcW w:w="6200" w:type="dxa"/>
            <w:tcBorders>
              <w:left w:val="single" w:sz="4" w:space="0" w:color="auto"/>
            </w:tcBorders>
          </w:tcPr>
          <w:p w14:paraId="44CD8D27" w14:textId="27245A0B" w:rsidR="00BA5DBC" w:rsidRPr="000203E1" w:rsidRDefault="00BA5DBC" w:rsidP="00BA5DBC">
            <w:pPr>
              <w:tabs>
                <w:tab w:val="left" w:pos="567"/>
              </w:tabs>
              <w:jc w:val="right"/>
              <w:rPr>
                <w:iCs/>
                <w:lang w:eastAsia="lt-LT"/>
              </w:rPr>
            </w:pPr>
            <w:r w:rsidRPr="000203E1">
              <w:rPr>
                <w:iCs/>
                <w:lang w:eastAsia="lt-LT"/>
              </w:rPr>
              <w:t>Kaštų skirtumas</w:t>
            </w:r>
          </w:p>
        </w:tc>
        <w:tc>
          <w:tcPr>
            <w:tcW w:w="3239" w:type="dxa"/>
            <w:tcBorders>
              <w:right w:val="single" w:sz="4" w:space="0" w:color="auto"/>
            </w:tcBorders>
          </w:tcPr>
          <w:p w14:paraId="1CACF0B4" w14:textId="098F93E6" w:rsidR="00BA5DBC" w:rsidRPr="002B50EA" w:rsidRDefault="0081764D" w:rsidP="00BA5DBC">
            <w:pPr>
              <w:tabs>
                <w:tab w:val="left" w:pos="567"/>
              </w:tabs>
              <w:jc w:val="both"/>
              <w:rPr>
                <w:iCs/>
                <w:lang w:eastAsia="lt-LT"/>
              </w:rPr>
            </w:pPr>
            <w:r>
              <w:rPr>
                <w:iCs/>
                <w:lang w:eastAsia="lt-LT"/>
              </w:rPr>
              <w:t>...</w:t>
            </w:r>
          </w:p>
        </w:tc>
      </w:tr>
      <w:tr w:rsidR="000203E1" w:rsidRPr="000203E1" w14:paraId="49F818A3" w14:textId="77777777" w:rsidTr="00DF5AF3">
        <w:trPr>
          <w:trHeight w:val="267"/>
          <w:jc w:val="center"/>
        </w:trPr>
        <w:tc>
          <w:tcPr>
            <w:tcW w:w="6200" w:type="dxa"/>
            <w:tcBorders>
              <w:left w:val="single" w:sz="4" w:space="0" w:color="auto"/>
            </w:tcBorders>
          </w:tcPr>
          <w:p w14:paraId="021DB925" w14:textId="389F1BF5" w:rsidR="00BA5DBC" w:rsidRPr="000203E1" w:rsidRDefault="00BA5DBC" w:rsidP="00BA5DBC">
            <w:pPr>
              <w:tabs>
                <w:tab w:val="left" w:pos="567"/>
              </w:tabs>
              <w:jc w:val="right"/>
              <w:rPr>
                <w:iCs/>
                <w:lang w:eastAsia="lt-LT"/>
              </w:rPr>
            </w:pPr>
            <w:r w:rsidRPr="000203E1">
              <w:rPr>
                <w:iCs/>
                <w:lang w:eastAsia="lt-LT"/>
              </w:rPr>
              <w:t>Papildomi gyvenimo metai (LY)</w:t>
            </w:r>
          </w:p>
        </w:tc>
        <w:tc>
          <w:tcPr>
            <w:tcW w:w="3239" w:type="dxa"/>
            <w:tcBorders>
              <w:right w:val="single" w:sz="4" w:space="0" w:color="auto"/>
            </w:tcBorders>
          </w:tcPr>
          <w:p w14:paraId="4954817B" w14:textId="6F2CD761" w:rsidR="00BA5DBC" w:rsidRPr="00E27419" w:rsidRDefault="0081764D" w:rsidP="00E27419">
            <w:pPr>
              <w:jc w:val="both"/>
            </w:pPr>
            <w:r>
              <w:t>...</w:t>
            </w:r>
          </w:p>
        </w:tc>
      </w:tr>
      <w:tr w:rsidR="000203E1" w:rsidRPr="000203E1" w14:paraId="20ADA742" w14:textId="77777777" w:rsidTr="00DF5AF3">
        <w:trPr>
          <w:trHeight w:val="267"/>
          <w:jc w:val="center"/>
        </w:trPr>
        <w:tc>
          <w:tcPr>
            <w:tcW w:w="6200" w:type="dxa"/>
            <w:tcBorders>
              <w:left w:val="single" w:sz="4" w:space="0" w:color="auto"/>
            </w:tcBorders>
          </w:tcPr>
          <w:p w14:paraId="0F567576" w14:textId="2606A2E9" w:rsidR="00BA5DBC" w:rsidRPr="000203E1" w:rsidRDefault="0058712F" w:rsidP="00BA5DBC">
            <w:pPr>
              <w:tabs>
                <w:tab w:val="left" w:pos="567"/>
              </w:tabs>
              <w:jc w:val="right"/>
              <w:rPr>
                <w:iCs/>
                <w:lang w:eastAsia="lt-LT"/>
              </w:rPr>
            </w:pPr>
            <w:r w:rsidRPr="000203E1">
              <w:rPr>
                <w:iCs/>
                <w:lang w:eastAsia="lt-LT"/>
              </w:rPr>
              <w:t>Papildomi k</w:t>
            </w:r>
            <w:r w:rsidR="00BA5DBC" w:rsidRPr="000203E1">
              <w:rPr>
                <w:iCs/>
                <w:lang w:eastAsia="lt-LT"/>
              </w:rPr>
              <w:t>okybiški gyvenimo metai (QALY)</w:t>
            </w:r>
          </w:p>
        </w:tc>
        <w:tc>
          <w:tcPr>
            <w:tcW w:w="3239" w:type="dxa"/>
            <w:tcBorders>
              <w:right w:val="single" w:sz="4" w:space="0" w:color="auto"/>
            </w:tcBorders>
          </w:tcPr>
          <w:p w14:paraId="02E4DAE1" w14:textId="6CD141C9" w:rsidR="00BA5DBC" w:rsidRPr="002B50EA" w:rsidRDefault="0081764D" w:rsidP="00BA5DBC">
            <w:pPr>
              <w:tabs>
                <w:tab w:val="left" w:pos="567"/>
              </w:tabs>
              <w:jc w:val="both"/>
              <w:rPr>
                <w:iCs/>
                <w:lang w:eastAsia="lt-LT"/>
              </w:rPr>
            </w:pPr>
            <w:r>
              <w:rPr>
                <w:iCs/>
                <w:lang w:eastAsia="lt-LT"/>
              </w:rPr>
              <w:t>...</w:t>
            </w:r>
          </w:p>
        </w:tc>
      </w:tr>
      <w:tr w:rsidR="00DF5AF3" w:rsidRPr="000203E1" w14:paraId="1FADA2B3" w14:textId="77777777" w:rsidTr="00DF5AF3">
        <w:trPr>
          <w:trHeight w:val="267"/>
          <w:jc w:val="center"/>
        </w:trPr>
        <w:tc>
          <w:tcPr>
            <w:tcW w:w="6200" w:type="dxa"/>
            <w:tcBorders>
              <w:left w:val="single" w:sz="4" w:space="0" w:color="auto"/>
            </w:tcBorders>
          </w:tcPr>
          <w:p w14:paraId="13E089E8" w14:textId="0BCEB339" w:rsidR="00DF5AF3" w:rsidRPr="000203E1" w:rsidRDefault="00DF5AF3" w:rsidP="00DF5AF3">
            <w:pPr>
              <w:tabs>
                <w:tab w:val="left" w:pos="567"/>
              </w:tabs>
              <w:jc w:val="right"/>
              <w:rPr>
                <w:iCs/>
                <w:lang w:eastAsia="lt-LT"/>
              </w:rPr>
            </w:pPr>
            <w:r w:rsidRPr="000203E1">
              <w:rPr>
                <w:iCs/>
                <w:lang w:eastAsia="lt-LT"/>
              </w:rPr>
              <w:t>ICER už LY</w:t>
            </w:r>
          </w:p>
        </w:tc>
        <w:tc>
          <w:tcPr>
            <w:tcW w:w="3239" w:type="dxa"/>
            <w:tcBorders>
              <w:right w:val="single" w:sz="4" w:space="0" w:color="auto"/>
            </w:tcBorders>
          </w:tcPr>
          <w:p w14:paraId="2817448D" w14:textId="5B51924F" w:rsidR="00DF5AF3" w:rsidRPr="002B50EA" w:rsidRDefault="0081764D" w:rsidP="00DF5AF3">
            <w:pPr>
              <w:tabs>
                <w:tab w:val="left" w:pos="567"/>
              </w:tabs>
              <w:jc w:val="both"/>
              <w:rPr>
                <w:iCs/>
                <w:lang w:eastAsia="lt-LT"/>
              </w:rPr>
            </w:pPr>
            <w:r>
              <w:rPr>
                <w:iCs/>
                <w:lang w:eastAsia="lt-LT"/>
              </w:rPr>
              <w:t>...</w:t>
            </w:r>
          </w:p>
        </w:tc>
      </w:tr>
      <w:tr w:rsidR="00DF5AF3" w:rsidRPr="000203E1" w14:paraId="250DE960" w14:textId="77777777" w:rsidTr="00DF5AF3">
        <w:trPr>
          <w:trHeight w:val="267"/>
          <w:jc w:val="center"/>
        </w:trPr>
        <w:tc>
          <w:tcPr>
            <w:tcW w:w="6200" w:type="dxa"/>
            <w:tcBorders>
              <w:left w:val="single" w:sz="4" w:space="0" w:color="auto"/>
            </w:tcBorders>
          </w:tcPr>
          <w:p w14:paraId="207EFB23" w14:textId="77777777" w:rsidR="00DF5AF3" w:rsidRPr="000203E1" w:rsidRDefault="00DF5AF3" w:rsidP="00DF5AF3">
            <w:pPr>
              <w:tabs>
                <w:tab w:val="left" w:pos="567"/>
              </w:tabs>
              <w:jc w:val="right"/>
              <w:rPr>
                <w:iCs/>
                <w:lang w:eastAsia="lt-LT"/>
              </w:rPr>
            </w:pPr>
            <w:r w:rsidRPr="000203E1">
              <w:rPr>
                <w:iCs/>
                <w:lang w:eastAsia="lt-LT"/>
              </w:rPr>
              <w:t>ICER už QALY</w:t>
            </w:r>
          </w:p>
        </w:tc>
        <w:tc>
          <w:tcPr>
            <w:tcW w:w="3239" w:type="dxa"/>
            <w:tcBorders>
              <w:right w:val="single" w:sz="4" w:space="0" w:color="auto"/>
            </w:tcBorders>
          </w:tcPr>
          <w:p w14:paraId="4275320D" w14:textId="2A41472E" w:rsidR="00DF5AF3" w:rsidRPr="002B50EA" w:rsidRDefault="0081764D" w:rsidP="00DF5AF3">
            <w:pPr>
              <w:tabs>
                <w:tab w:val="left" w:pos="567"/>
              </w:tabs>
              <w:jc w:val="both"/>
              <w:rPr>
                <w:iCs/>
                <w:lang w:eastAsia="lt-LT"/>
              </w:rPr>
            </w:pPr>
            <w:r>
              <w:rPr>
                <w:iCs/>
                <w:lang w:eastAsia="lt-LT"/>
              </w:rPr>
              <w:t>...</w:t>
            </w:r>
          </w:p>
        </w:tc>
      </w:tr>
      <w:tr w:rsidR="00DF5AF3" w:rsidRPr="000203E1" w14:paraId="2C4C68BA" w14:textId="77777777" w:rsidTr="00DF5AF3">
        <w:trPr>
          <w:trHeight w:val="267"/>
          <w:jc w:val="center"/>
        </w:trPr>
        <w:tc>
          <w:tcPr>
            <w:tcW w:w="6200" w:type="dxa"/>
            <w:tcBorders>
              <w:left w:val="single" w:sz="4" w:space="0" w:color="auto"/>
              <w:bottom w:val="single" w:sz="4" w:space="0" w:color="auto"/>
              <w:right w:val="single" w:sz="4" w:space="0" w:color="auto"/>
            </w:tcBorders>
          </w:tcPr>
          <w:p w14:paraId="21BEDABF" w14:textId="77777777" w:rsidR="00DF5AF3" w:rsidRPr="000203E1" w:rsidRDefault="00DF5AF3" w:rsidP="00DF5AF3">
            <w:pPr>
              <w:tabs>
                <w:tab w:val="left" w:pos="567"/>
              </w:tabs>
              <w:jc w:val="right"/>
              <w:rPr>
                <w:iCs/>
                <w:lang w:eastAsia="lt-LT"/>
              </w:rPr>
            </w:pPr>
            <w:r w:rsidRPr="000203E1">
              <w:rPr>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31DAA72E" w14:textId="6E8C9431" w:rsidR="00DF5AF3" w:rsidRPr="002B50EA" w:rsidRDefault="0081764D" w:rsidP="00DF5AF3">
            <w:pPr>
              <w:tabs>
                <w:tab w:val="left" w:pos="567"/>
              </w:tabs>
              <w:jc w:val="both"/>
              <w:rPr>
                <w:iCs/>
                <w:lang w:eastAsia="lt-LT"/>
              </w:rPr>
            </w:pPr>
            <w:r>
              <w:rPr>
                <w:iCs/>
                <w:lang w:eastAsia="lt-LT"/>
              </w:rPr>
              <w:t>...</w:t>
            </w:r>
          </w:p>
        </w:tc>
      </w:tr>
    </w:tbl>
    <w:p w14:paraId="5FC8C737" w14:textId="4136B7F4" w:rsidR="0035172D" w:rsidRPr="000203E1" w:rsidRDefault="00E5102E" w:rsidP="0035172D">
      <w:pPr>
        <w:tabs>
          <w:tab w:val="left" w:pos="567"/>
        </w:tabs>
        <w:jc w:val="both"/>
        <w:rPr>
          <w:iCs/>
          <w:sz w:val="20"/>
          <w:lang w:eastAsia="lt-LT"/>
        </w:rPr>
      </w:pPr>
      <w:r w:rsidRPr="000203E1">
        <w:rPr>
          <w:iCs/>
          <w:sz w:val="20"/>
          <w:lang w:eastAsia="lt-LT"/>
        </w:rPr>
        <w:t xml:space="preserve">ICER </w:t>
      </w:r>
      <w:r w:rsidR="00453862" w:rsidRPr="000203E1">
        <w:rPr>
          <w:iCs/>
          <w:sz w:val="20"/>
          <w:lang w:eastAsia="lt-LT"/>
        </w:rPr>
        <w:t>– (</w:t>
      </w:r>
      <w:r w:rsidR="00453862" w:rsidRPr="000203E1">
        <w:rPr>
          <w:i/>
          <w:sz w:val="20"/>
          <w:lang w:eastAsia="lt-LT"/>
        </w:rPr>
        <w:t>angl. incremental cost-effectiveness ratio</w:t>
      </w:r>
      <w:r w:rsidR="00453862" w:rsidRPr="000203E1">
        <w:rPr>
          <w:iCs/>
          <w:sz w:val="20"/>
          <w:lang w:eastAsia="lt-LT"/>
        </w:rPr>
        <w:t>) inkrementinis kaštų naudingumo koeficientas</w:t>
      </w:r>
      <w:r w:rsidRPr="000203E1">
        <w:rPr>
          <w:iCs/>
          <w:sz w:val="20"/>
          <w:lang w:eastAsia="lt-LT"/>
        </w:rPr>
        <w:t>; LY –</w:t>
      </w:r>
      <w:r w:rsidR="00453862" w:rsidRPr="000203E1">
        <w:rPr>
          <w:iCs/>
          <w:sz w:val="20"/>
          <w:lang w:eastAsia="lt-LT"/>
        </w:rPr>
        <w:t xml:space="preserve"> (</w:t>
      </w:r>
      <w:r w:rsidR="00453862" w:rsidRPr="000203E1">
        <w:rPr>
          <w:i/>
          <w:sz w:val="20"/>
          <w:lang w:eastAsia="lt-LT"/>
        </w:rPr>
        <w:t>angl. life years</w:t>
      </w:r>
      <w:r w:rsidR="00453862" w:rsidRPr="000203E1">
        <w:rPr>
          <w:iCs/>
          <w:sz w:val="20"/>
          <w:lang w:eastAsia="lt-LT"/>
        </w:rPr>
        <w:t>) gyvenimo metai</w:t>
      </w:r>
      <w:r w:rsidRPr="000203E1">
        <w:rPr>
          <w:iCs/>
          <w:sz w:val="20"/>
          <w:lang w:eastAsia="lt-LT"/>
        </w:rPr>
        <w:t xml:space="preserve">; QALY- </w:t>
      </w:r>
      <w:r w:rsidR="00453862" w:rsidRPr="000203E1">
        <w:rPr>
          <w:iCs/>
          <w:sz w:val="20"/>
          <w:lang w:eastAsia="lt-LT"/>
        </w:rPr>
        <w:t>(</w:t>
      </w:r>
      <w:r w:rsidR="00453862" w:rsidRPr="000203E1">
        <w:rPr>
          <w:i/>
          <w:sz w:val="20"/>
          <w:lang w:eastAsia="lt-LT"/>
        </w:rPr>
        <w:t xml:space="preserve">angl. quality adjusted life years) </w:t>
      </w:r>
      <w:r w:rsidR="00453862" w:rsidRPr="000203E1">
        <w:rPr>
          <w:iCs/>
          <w:sz w:val="20"/>
          <w:lang w:eastAsia="lt-LT"/>
        </w:rPr>
        <w:t>kokybiški gyvenimo metai.</w:t>
      </w:r>
    </w:p>
    <w:p w14:paraId="33875138" w14:textId="61C0D04A" w:rsidR="0035172D" w:rsidRDefault="0035172D" w:rsidP="00A93AA6">
      <w:pPr>
        <w:tabs>
          <w:tab w:val="left" w:pos="426"/>
        </w:tabs>
        <w:rPr>
          <w:b/>
          <w:bCs/>
          <w:caps/>
        </w:rPr>
      </w:pPr>
    </w:p>
    <w:p w14:paraId="4CF3E91A" w14:textId="1FF93EFF" w:rsidR="00030C28" w:rsidRPr="00B80C86" w:rsidRDefault="00030C28" w:rsidP="00030C28">
      <w:pPr>
        <w:spacing w:line="276" w:lineRule="auto"/>
        <w:ind w:firstLine="360"/>
        <w:jc w:val="both"/>
        <w:rPr>
          <w:rFonts w:eastAsia="Arial"/>
        </w:rPr>
      </w:pPr>
      <w:r w:rsidRPr="00B80C86">
        <w:rPr>
          <w:rFonts w:eastAsia="Arial"/>
        </w:rPr>
        <w:t xml:space="preserve">Galutiniais ekonominės analizės rezultatais, niraparibas (Akeega) kartu su prednizonu arba prednizolonu skiriant jį suaugusių pacientų, sergančių metastazavusiu kastracijai atspariu prostatos vėžiu (mKAPV) ir kuriems yra BRCA 1/2 mutacijų (germinacinių ir/arba somatinių) bei kuriems nėra klinikinių indikacijų taikyti chemoterapiją, gydymui </w:t>
      </w:r>
      <w:r w:rsidRPr="00B80C86">
        <w:rPr>
          <w:lang w:eastAsia="lt-LT"/>
        </w:rPr>
        <w:t>lyginant su</w:t>
      </w:r>
      <w:r w:rsidRPr="00B80C86">
        <w:rPr>
          <w:rFonts w:eastAsia="Arial"/>
        </w:rPr>
        <w:t xml:space="preserve"> </w:t>
      </w:r>
      <w:r w:rsidRPr="00B80C86">
        <w:t>standartiniu gydymu (abiraterono</w:t>
      </w:r>
      <w:r w:rsidRPr="00B80C86">
        <w:rPr>
          <w:spacing w:val="-3"/>
        </w:rPr>
        <w:t xml:space="preserve"> </w:t>
      </w:r>
      <w:r w:rsidRPr="00B80C86">
        <w:t>acetato</w:t>
      </w:r>
      <w:r w:rsidRPr="00B80C86">
        <w:rPr>
          <w:spacing w:val="-3"/>
        </w:rPr>
        <w:t xml:space="preserve"> </w:t>
      </w:r>
      <w:r w:rsidRPr="00B80C86">
        <w:t>deriniu</w:t>
      </w:r>
      <w:r w:rsidRPr="00B80C86">
        <w:rPr>
          <w:spacing w:val="-2"/>
        </w:rPr>
        <w:t xml:space="preserve"> </w:t>
      </w:r>
      <w:r w:rsidRPr="00B80C86">
        <w:t>kartu</w:t>
      </w:r>
      <w:r w:rsidRPr="00B80C86">
        <w:rPr>
          <w:spacing w:val="-3"/>
        </w:rPr>
        <w:t xml:space="preserve"> </w:t>
      </w:r>
      <w:r w:rsidRPr="00B80C86">
        <w:t>su</w:t>
      </w:r>
      <w:r w:rsidRPr="00B80C86">
        <w:rPr>
          <w:spacing w:val="-3"/>
        </w:rPr>
        <w:t xml:space="preserve"> </w:t>
      </w:r>
      <w:r w:rsidRPr="00B80C86">
        <w:t>prednizonu</w:t>
      </w:r>
      <w:r w:rsidRPr="00B80C86">
        <w:rPr>
          <w:spacing w:val="-3"/>
        </w:rPr>
        <w:t xml:space="preserve"> (</w:t>
      </w:r>
      <w:r w:rsidRPr="00B80C86">
        <w:t>AAP</w:t>
      </w:r>
      <w:r w:rsidRPr="00B80C86">
        <w:rPr>
          <w:rFonts w:eastAsia="Arial"/>
          <w:bCs/>
          <w:szCs w:val="22"/>
        </w:rPr>
        <w:t>))</w:t>
      </w:r>
      <w:r w:rsidRPr="00B80C86">
        <w:rPr>
          <w:rFonts w:eastAsia="Arial"/>
        </w:rPr>
        <w:t xml:space="preserve"> </w:t>
      </w:r>
      <w:r w:rsidRPr="00B80C86">
        <w:rPr>
          <w:bCs/>
          <w:iCs/>
          <w:lang w:eastAsia="lt-LT"/>
        </w:rPr>
        <w:t xml:space="preserve">ir vertinant viso gyvenimo laiko perspektyvoje yra išsaugomi papildomi </w:t>
      </w:r>
      <w:r w:rsidR="00DC472D">
        <w:rPr>
          <w:bCs/>
          <w:iCs/>
          <w:lang w:eastAsia="lt-LT"/>
        </w:rPr>
        <w:t>&lt;...&gt;</w:t>
      </w:r>
      <w:r w:rsidRPr="00B80C86">
        <w:rPr>
          <w:bCs/>
          <w:iCs/>
          <w:lang w:eastAsia="lt-LT"/>
        </w:rPr>
        <w:t xml:space="preserve"> kokybiški gyvenimo metai, kurie lemia </w:t>
      </w:r>
      <w:r w:rsidR="0081764D">
        <w:rPr>
          <w:bCs/>
          <w:iCs/>
          <w:lang w:eastAsia="lt-LT"/>
        </w:rPr>
        <w:t>&lt;...&gt;</w:t>
      </w:r>
      <w:r w:rsidRPr="00B80C86">
        <w:t xml:space="preserve"> </w:t>
      </w:r>
      <w:r w:rsidRPr="00B80C86">
        <w:rPr>
          <w:bCs/>
          <w:color w:val="000000"/>
          <w:lang w:eastAsia="lt-LT"/>
        </w:rPr>
        <w:t>Eur. papildomas išlaidas. A</w:t>
      </w:r>
      <w:r w:rsidRPr="00B80C86">
        <w:rPr>
          <w:rFonts w:eastAsia="Arial"/>
          <w:lang w:eastAsia="lt-LT"/>
        </w:rPr>
        <w:t xml:space="preserve">pskaičiuotas ICER </w:t>
      </w:r>
      <w:r w:rsidR="0081764D">
        <w:rPr>
          <w:rFonts w:eastAsia="Arial"/>
          <w:lang w:eastAsia="lt-LT"/>
        </w:rPr>
        <w:t xml:space="preserve">&lt;...&gt; </w:t>
      </w:r>
      <w:r w:rsidRPr="00B80C86">
        <w:rPr>
          <w:bCs/>
          <w:lang w:eastAsia="lt-LT"/>
        </w:rPr>
        <w:t>atitinka sunkiai ligos naštai taikomą referencinę kaštų naudingumo vertę (&lt;</w:t>
      </w:r>
      <w:r w:rsidRPr="00B80C86">
        <w:rPr>
          <w:lang w:eastAsia="lt-LT"/>
        </w:rPr>
        <w:t xml:space="preserve">119 011 Eur.). Šiuos duomenis patvirtina jautrumo analizės rezultatai, kurie rodo, jog nė vienu atveju, (išskyrus prielaidą dėl taikomų </w:t>
      </w:r>
      <w:r>
        <w:rPr>
          <w:lang w:eastAsia="lt-LT"/>
        </w:rPr>
        <w:t>gyvenimo kokybės įverčių IBLP sveikatos būklėje, kuri yra laikoma pagrįsta) neviršija sunkiai ligos naštai taikomos referencinės kaštų naudingumo vertės).</w:t>
      </w:r>
    </w:p>
    <w:p w14:paraId="3D038093" w14:textId="77777777" w:rsidR="002B50EA" w:rsidRPr="000203E1" w:rsidRDefault="002B50EA" w:rsidP="00A93AA6">
      <w:pPr>
        <w:tabs>
          <w:tab w:val="left" w:pos="426"/>
        </w:tabs>
        <w:rPr>
          <w:b/>
          <w:bCs/>
          <w:caps/>
        </w:rPr>
      </w:pPr>
    </w:p>
    <w:p w14:paraId="4FC424F9" w14:textId="4E767245" w:rsidR="00C62B36" w:rsidRPr="000203E1" w:rsidRDefault="00C62B36" w:rsidP="00CC09D4">
      <w:pPr>
        <w:pStyle w:val="Sraopastraipa"/>
        <w:numPr>
          <w:ilvl w:val="0"/>
          <w:numId w:val="12"/>
        </w:numPr>
        <w:tabs>
          <w:tab w:val="left" w:pos="567"/>
        </w:tabs>
        <w:ind w:hanging="720"/>
        <w:rPr>
          <w:b/>
          <w:bCs/>
          <w:caps/>
        </w:rPr>
      </w:pPr>
      <w:r w:rsidRPr="000203E1">
        <w:rPr>
          <w:b/>
          <w:bCs/>
          <w:caps/>
        </w:rPr>
        <w:t xml:space="preserve">Pacientų organizacijų pateikti duomenys </w:t>
      </w:r>
    </w:p>
    <w:p w14:paraId="51BC91C6" w14:textId="77777777" w:rsidR="00EB1550" w:rsidRDefault="00EB1550" w:rsidP="00937907">
      <w:pPr>
        <w:spacing w:after="120"/>
        <w:jc w:val="both"/>
        <w:rPr>
          <w:rStyle w:val="Style2"/>
          <w:rFonts w:ascii="MS Gothic" w:eastAsia="MS Gothic" w:hAnsi="MS Gothic"/>
          <w:sz w:val="24"/>
        </w:rPr>
      </w:pPr>
    </w:p>
    <w:p w14:paraId="62992180" w14:textId="5C4B59B0" w:rsidR="00937907" w:rsidRPr="000203E1"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DF5AF3">
            <w:rPr>
              <w:rStyle w:val="Style2"/>
              <w:rFonts w:ascii="MS Gothic" w:eastAsia="MS Gothic" w:hAnsi="MS Gothic" w:hint="eastAsia"/>
              <w:sz w:val="24"/>
            </w:rPr>
            <w:t>☒</w:t>
          </w:r>
        </w:sdtContent>
      </w:sdt>
      <w:r w:rsidR="00937907" w:rsidRPr="000203E1">
        <w:t xml:space="preserve"> Pacientų organizacijos pozicija </w:t>
      </w:r>
      <w:r w:rsidR="00880A44" w:rsidRPr="000203E1">
        <w:t>ne</w:t>
      </w:r>
      <w:r w:rsidR="00937907" w:rsidRPr="000203E1">
        <w:t>pateikta.</w:t>
      </w:r>
    </w:p>
    <w:p w14:paraId="3D3277FA" w14:textId="3CEEB2D2" w:rsidR="00C62B36" w:rsidRPr="000203E1" w:rsidRDefault="00C62B36" w:rsidP="00CC09D4">
      <w:pPr>
        <w:pStyle w:val="Sraopastraipa"/>
        <w:numPr>
          <w:ilvl w:val="0"/>
          <w:numId w:val="12"/>
        </w:numPr>
        <w:tabs>
          <w:tab w:val="left" w:pos="567"/>
        </w:tabs>
        <w:ind w:hanging="720"/>
        <w:rPr>
          <w:b/>
          <w:bCs/>
          <w:caps/>
        </w:rPr>
      </w:pPr>
      <w:r w:rsidRPr="000203E1">
        <w:rPr>
          <w:b/>
          <w:bCs/>
          <w:caps/>
        </w:rPr>
        <w:t>Gydytojų organizacijų pateikti duomenys</w:t>
      </w:r>
    </w:p>
    <w:p w14:paraId="011B2256" w14:textId="77777777" w:rsidR="00991321" w:rsidRDefault="00991321" w:rsidP="00662983">
      <w:pPr>
        <w:spacing w:after="120"/>
        <w:jc w:val="both"/>
        <w:rPr>
          <w:rStyle w:val="Style2"/>
          <w:rFonts w:ascii="MS Gothic" w:eastAsia="MS Gothic" w:hAnsi="MS Gothic"/>
          <w:sz w:val="24"/>
        </w:rPr>
      </w:pPr>
    </w:p>
    <w:p w14:paraId="5D8CC48C" w14:textId="7EBBAE50" w:rsidR="00662983" w:rsidRPr="000203E1"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C21A99">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w:t>
      </w:r>
      <w:r w:rsidR="00880A44" w:rsidRPr="000203E1">
        <w:t>ne</w:t>
      </w:r>
      <w:r w:rsidR="00937907" w:rsidRPr="000203E1">
        <w:t>pateikta.</w:t>
      </w:r>
    </w:p>
    <w:p w14:paraId="3701D46A" w14:textId="77777777" w:rsidR="00A042B9" w:rsidRPr="000203E1" w:rsidRDefault="00A042B9" w:rsidP="00662983">
      <w:pPr>
        <w:spacing w:after="120"/>
        <w:jc w:val="both"/>
      </w:pPr>
    </w:p>
    <w:p w14:paraId="78F23ECB" w14:textId="23A3A002" w:rsidR="002F0E4F" w:rsidRPr="000203E1" w:rsidRDefault="002F0E4F" w:rsidP="00CC09D4">
      <w:pPr>
        <w:pStyle w:val="Sraopastraipa"/>
        <w:numPr>
          <w:ilvl w:val="0"/>
          <w:numId w:val="12"/>
        </w:numPr>
        <w:tabs>
          <w:tab w:val="left" w:pos="567"/>
        </w:tabs>
        <w:ind w:hanging="720"/>
        <w:rPr>
          <w:b/>
          <w:bCs/>
          <w:caps/>
        </w:rPr>
      </w:pPr>
      <w:r w:rsidRPr="000203E1">
        <w:rPr>
          <w:b/>
          <w:bCs/>
          <w:caps/>
        </w:rPr>
        <w:t xml:space="preserve">Išvada </w:t>
      </w:r>
    </w:p>
    <w:p w14:paraId="55E76E53" w14:textId="5437B761" w:rsidR="0064249A" w:rsidRPr="000203E1" w:rsidRDefault="0064249A" w:rsidP="0061611B">
      <w:pPr>
        <w:rPr>
          <w:i/>
          <w:szCs w:val="22"/>
        </w:rPr>
      </w:pPr>
    </w:p>
    <w:tbl>
      <w:tblPr>
        <w:tblStyle w:val="Lentelstinklelis"/>
        <w:tblW w:w="0" w:type="auto"/>
        <w:tblLook w:val="04A0" w:firstRow="1" w:lastRow="0" w:firstColumn="1" w:lastColumn="0" w:noHBand="0" w:noVBand="1"/>
      </w:tblPr>
      <w:tblGrid>
        <w:gridCol w:w="4815"/>
        <w:gridCol w:w="4814"/>
      </w:tblGrid>
      <w:tr w:rsidR="000203E1" w:rsidRPr="000203E1" w14:paraId="143A7356" w14:textId="77777777" w:rsidTr="00C16245">
        <w:trPr>
          <w:trHeight w:val="510"/>
        </w:trPr>
        <w:tc>
          <w:tcPr>
            <w:tcW w:w="9629" w:type="dxa"/>
            <w:gridSpan w:val="2"/>
            <w:vAlign w:val="center"/>
          </w:tcPr>
          <w:p w14:paraId="0AF5D6B4" w14:textId="12D1C777"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3" w:name="_Hlk185374656"/>
            <w:r w:rsidRPr="000203E1">
              <w:rPr>
                <w:rStyle w:val="Style2"/>
                <w:rFonts w:eastAsia="MS Gothic"/>
                <w:b/>
                <w:bCs/>
                <w:sz w:val="24"/>
              </w:rPr>
              <w:t xml:space="preserve">Palyginamasis </w:t>
            </w:r>
            <w:r w:rsidR="001C1D94">
              <w:rPr>
                <w:rStyle w:val="Style2"/>
                <w:rFonts w:eastAsia="MS Gothic"/>
                <w:b/>
                <w:bCs/>
                <w:sz w:val="24"/>
              </w:rPr>
              <w:t>veiksmingumas</w:t>
            </w:r>
          </w:p>
        </w:tc>
      </w:tr>
      <w:tr w:rsidR="000203E1" w:rsidRPr="000203E1" w14:paraId="28A0C814" w14:textId="77777777" w:rsidTr="0061611B">
        <w:tc>
          <w:tcPr>
            <w:tcW w:w="4815" w:type="dxa"/>
          </w:tcPr>
          <w:p w14:paraId="216769B5" w14:textId="4B55F66E"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9B2F9C">
                  <w:rPr>
                    <w:rStyle w:val="Style2"/>
                    <w:rFonts w:ascii="MS Gothic" w:eastAsia="MS Gothic" w:hAnsi="MS Gothic" w:hint="eastAsia"/>
                    <w:sz w:val="24"/>
                  </w:rPr>
                  <w:t>☒</w:t>
                </w:r>
              </w:sdtContent>
            </w:sdt>
            <w:r w:rsidR="001C1D94">
              <w:rPr>
                <w:rStyle w:val="Style2"/>
                <w:sz w:val="24"/>
              </w:rPr>
              <w:t xml:space="preserve"> 29</w:t>
            </w:r>
            <w:r w:rsidR="00B13D65" w:rsidRPr="000203E1">
              <w:t>.1.</w:t>
            </w:r>
            <w:r w:rsidR="001C1D94">
              <w:t>1</w:t>
            </w:r>
            <w:r w:rsidR="00B13D65" w:rsidRPr="000203E1">
              <w:t xml:space="preserve"> yra didesnis</w:t>
            </w:r>
            <w:r w:rsidR="00B00959" w:rsidRPr="000203E1">
              <w:t>, lyginant su įprasta klinikine praktika</w:t>
            </w:r>
          </w:p>
          <w:p w14:paraId="3B48F372"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5DDAF016" w:rsidR="00B13D65" w:rsidRPr="000203E1"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w:t>
            </w:r>
            <w:r w:rsidR="001C1D94">
              <w:rPr>
                <w:rStyle w:val="Style2"/>
                <w:sz w:val="24"/>
              </w:rPr>
              <w:t>29</w:t>
            </w:r>
            <w:r w:rsidR="001C1D94" w:rsidRPr="000203E1">
              <w:t>.1.</w:t>
            </w:r>
            <w:r w:rsidR="001C1D94">
              <w:t xml:space="preserve">2 </w:t>
            </w:r>
            <w:r w:rsidR="00B13D65" w:rsidRPr="000203E1">
              <w:t>iš esmės nesiskiria</w:t>
            </w:r>
            <w:r w:rsidR="00B00959" w:rsidRPr="000203E1">
              <w:t>, lyginant su įprasta klinikine praktika</w:t>
            </w:r>
          </w:p>
        </w:tc>
        <w:tc>
          <w:tcPr>
            <w:tcW w:w="4814" w:type="dxa"/>
          </w:tcPr>
          <w:p w14:paraId="507828D9" w14:textId="2D47A9EF"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w:t>
            </w:r>
            <w:r w:rsidR="001C1D94">
              <w:rPr>
                <w:rStyle w:val="Style2"/>
                <w:sz w:val="24"/>
              </w:rPr>
              <w:t>29</w:t>
            </w:r>
            <w:r w:rsidR="001C1D94" w:rsidRPr="000203E1">
              <w:t>.1.</w:t>
            </w:r>
            <w:r w:rsidR="001C1D94">
              <w:t xml:space="preserve">3 </w:t>
            </w:r>
            <w:r w:rsidR="001C1D94" w:rsidRPr="000203E1">
              <w:t>yra neįrodytas kaip didesnis</w:t>
            </w:r>
            <w:r w:rsidR="001C1D94">
              <w:t xml:space="preserve"> </w:t>
            </w:r>
            <w:r w:rsidR="001C1D94" w:rsidRPr="001C1D94">
              <w:t> ar iš esmės nesiskiriantis</w:t>
            </w:r>
            <w:r w:rsidR="001C1D94" w:rsidRPr="000203E1">
              <w:t xml:space="preserve">, lyginant su įprasta klinikine praktika </w:t>
            </w:r>
            <w:r w:rsidR="00B13D65" w:rsidRPr="000203E1">
              <w:t xml:space="preserve"> </w:t>
            </w:r>
          </w:p>
          <w:p w14:paraId="282277FB" w14:textId="77777777" w:rsidR="001C1D94" w:rsidRPr="000203E1" w:rsidRDefault="001C1D9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912B9C4" w14:textId="1D4329EA" w:rsidR="001C1D94"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w:t>
            </w:r>
            <w:r w:rsidR="001C1D94">
              <w:rPr>
                <w:rStyle w:val="Style2"/>
                <w:sz w:val="24"/>
              </w:rPr>
              <w:t>29</w:t>
            </w:r>
            <w:r w:rsidR="001C1D94" w:rsidRPr="000203E1">
              <w:t>.1.</w:t>
            </w:r>
            <w:r w:rsidR="001C1D94">
              <w:t xml:space="preserve">4 </w:t>
            </w:r>
            <w:r w:rsidR="001C1D94" w:rsidRPr="000203E1">
              <w:t>yra mažesnis, lyginant su įprasta klinikine praktika</w:t>
            </w:r>
          </w:p>
          <w:p w14:paraId="3396544A" w14:textId="77777777" w:rsidR="001C1D94" w:rsidRDefault="001C1D9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34F09BE7"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0203E1">
                  <w:rPr>
                    <w:rStyle w:val="Style2"/>
                    <w:rFonts w:ascii="Segoe UI Symbol" w:eastAsia="MS Gothic" w:hAnsi="Segoe UI Symbol" w:cs="Segoe UI Symbol"/>
                    <w:sz w:val="24"/>
                  </w:rPr>
                  <w:t>☐</w:t>
                </w:r>
              </w:sdtContent>
            </w:sdt>
            <w:r w:rsidR="00662983" w:rsidRPr="000203E1">
              <w:t xml:space="preserve"> </w:t>
            </w:r>
            <w:r w:rsidR="001C1D94">
              <w:t xml:space="preserve"> </w:t>
            </w:r>
            <w:r w:rsidR="001C1D94">
              <w:rPr>
                <w:rStyle w:val="Style2"/>
                <w:sz w:val="24"/>
              </w:rPr>
              <w:t>29</w:t>
            </w:r>
            <w:r w:rsidR="001C1D94" w:rsidRPr="000203E1">
              <w:t>.1.</w:t>
            </w:r>
            <w:r w:rsidR="001C1D94">
              <w:t>5</w:t>
            </w:r>
            <w:r w:rsidR="001C1D94" w:rsidRPr="000203E1">
              <w:t xml:space="preserve"> pateikti duomenys apie palyginamąjį </w:t>
            </w:r>
            <w:r w:rsidR="001C1D94">
              <w:t>veiksmingumą</w:t>
            </w:r>
            <w:r w:rsidR="001C1D94" w:rsidRPr="000203E1">
              <w:t xml:space="preserve"> yra netinkami vertinti</w:t>
            </w:r>
          </w:p>
          <w:p w14:paraId="5DDAA961" w14:textId="77777777" w:rsidR="00B13D65" w:rsidRPr="000203E1" w:rsidRDefault="00B13D65" w:rsidP="001C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0203E1" w14:paraId="1C75AE76" w14:textId="77777777" w:rsidTr="00C16245">
        <w:trPr>
          <w:trHeight w:val="510"/>
        </w:trPr>
        <w:tc>
          <w:tcPr>
            <w:tcW w:w="9629" w:type="dxa"/>
            <w:gridSpan w:val="2"/>
            <w:vAlign w:val="center"/>
          </w:tcPr>
          <w:p w14:paraId="0247EDAD" w14:textId="7FBBB759"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4" w:name="_Hlk185374787"/>
            <w:r w:rsidRPr="000203E1">
              <w:rPr>
                <w:rStyle w:val="Style2"/>
                <w:rFonts w:eastAsia="MS Gothic"/>
                <w:b/>
                <w:bCs/>
                <w:sz w:val="24"/>
              </w:rPr>
              <w:t>Kaštų naudingumas</w:t>
            </w:r>
          </w:p>
        </w:tc>
      </w:tr>
      <w:tr w:rsidR="00B13D65" w:rsidRPr="000203E1" w14:paraId="7091A05B" w14:textId="77777777" w:rsidTr="0061611B">
        <w:tc>
          <w:tcPr>
            <w:tcW w:w="4815" w:type="dxa"/>
          </w:tcPr>
          <w:p w14:paraId="69B2A994" w14:textId="44CCCE21"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Content>
                <w:r w:rsidR="00030C28">
                  <w:rPr>
                    <w:rStyle w:val="Style2"/>
                    <w:rFonts w:ascii="MS Gothic" w:eastAsia="MS Gothic" w:hAnsi="MS Gothic" w:hint="eastAsia"/>
                    <w:sz w:val="24"/>
                  </w:rPr>
                  <w:t>☒</w:t>
                </w:r>
              </w:sdtContent>
            </w:sdt>
            <w:r w:rsidR="00B13D65" w:rsidRPr="000203E1">
              <w:t xml:space="preserve"> </w:t>
            </w:r>
            <w:r w:rsidR="001C1D94">
              <w:t xml:space="preserve">29.2.1 </w:t>
            </w:r>
            <w:r w:rsidR="00B13D65" w:rsidRPr="000203E1">
              <w:t>atitink</w:t>
            </w:r>
            <w:r w:rsidR="00450075">
              <w:t>a referencinę naudingumo vertę</w:t>
            </w:r>
          </w:p>
          <w:p w14:paraId="3F76F153"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E4BD1E" w14:textId="49B528D5" w:rsidR="00B13D65" w:rsidRPr="000203E1" w:rsidRDefault="00000000" w:rsidP="001C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w:t>
            </w:r>
            <w:r w:rsidR="001C1D94">
              <w:t xml:space="preserve">29.2.2 </w:t>
            </w:r>
            <w:r w:rsidR="00B13D65" w:rsidRPr="000203E1">
              <w:t>gydymo juo kaštai yra mažesni ar tokie patys esant iš esmės nesiskiriančiam palyginamajam efektyvumui, taikant</w:t>
            </w:r>
            <w:r w:rsidR="001C1D94">
              <w:t xml:space="preserve"> arba netaikant </w:t>
            </w:r>
            <w:r w:rsidR="00B13D65" w:rsidRPr="000203E1">
              <w:t xml:space="preserve"> </w:t>
            </w:r>
            <w:r w:rsidR="00450075">
              <w:t>PGS</w:t>
            </w:r>
          </w:p>
        </w:tc>
        <w:tc>
          <w:tcPr>
            <w:tcW w:w="4814" w:type="dxa"/>
          </w:tcPr>
          <w:p w14:paraId="53380063" w14:textId="5C8AD260"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030C28">
                  <w:rPr>
                    <w:rStyle w:val="Style2"/>
                    <w:rFonts w:ascii="MS Gothic" w:eastAsia="MS Gothic" w:hAnsi="MS Gothic" w:hint="eastAsia"/>
                    <w:sz w:val="24"/>
                  </w:rPr>
                  <w:t>☐</w:t>
                </w:r>
              </w:sdtContent>
            </w:sdt>
            <w:r w:rsidR="00B13D65" w:rsidRPr="000203E1">
              <w:t xml:space="preserve"> </w:t>
            </w:r>
            <w:r w:rsidR="001C1D94">
              <w:t>29</w:t>
            </w:r>
            <w:r w:rsidR="00B13D65" w:rsidRPr="000203E1">
              <w:t>.</w:t>
            </w:r>
            <w:r w:rsidR="001C1D94">
              <w:t>2.</w:t>
            </w:r>
            <w:r w:rsidR="00B13D65" w:rsidRPr="000203E1">
              <w:t xml:space="preserve">3 neatitinka referencinės naudingumo vertės </w:t>
            </w:r>
            <w:r w:rsidR="001C1D94" w:rsidRPr="001C1D94">
              <w:t>taikant arba netaikant PGS</w:t>
            </w:r>
          </w:p>
          <w:p w14:paraId="229ED51A"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F7D76B3" w14:textId="77777777" w:rsidR="007D2CF4" w:rsidRPr="000203E1" w:rsidRDefault="00000000" w:rsidP="007D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135473618"/>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w:t>
            </w:r>
            <w:r w:rsidR="007D2CF4">
              <w:t>29</w:t>
            </w:r>
            <w:r w:rsidR="007D2CF4" w:rsidRPr="000203E1">
              <w:t>.</w:t>
            </w:r>
            <w:r w:rsidR="007D2CF4">
              <w:t>2.4</w:t>
            </w:r>
            <w:r w:rsidR="007D2CF4" w:rsidRPr="000203E1">
              <w:t xml:space="preserve"> </w:t>
            </w:r>
            <w:r w:rsidR="00B13D65" w:rsidRPr="000203E1">
              <w:t xml:space="preserve">gydymo juo kaštai yra didesni esant iš esmės nesiskiriančiam palyginamajam </w:t>
            </w:r>
            <w:r w:rsidR="007D2CF4">
              <w:t>veiksmingumui</w:t>
            </w:r>
            <w:r w:rsidR="00B13D65" w:rsidRPr="000203E1">
              <w:t>, taikant</w:t>
            </w:r>
            <w:r w:rsidR="00450075">
              <w:t xml:space="preserve"> </w:t>
            </w:r>
            <w:r w:rsidR="007D2CF4" w:rsidRPr="001C1D94">
              <w:t>arba netaikant PGS</w:t>
            </w:r>
          </w:p>
          <w:p w14:paraId="4A9C7D2A" w14:textId="1B3F88FF"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7E2B340F" w:rsidR="00B13D65" w:rsidRPr="000203E1" w:rsidRDefault="00000000" w:rsidP="007D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2008360022"/>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w:t>
            </w:r>
            <w:r w:rsidR="007D2CF4">
              <w:t>29</w:t>
            </w:r>
            <w:r w:rsidR="007D2CF4" w:rsidRPr="000203E1">
              <w:t>.</w:t>
            </w:r>
            <w:r w:rsidR="007D2CF4">
              <w:t>2.5</w:t>
            </w:r>
            <w:r w:rsidR="00B13D65" w:rsidRPr="000203E1">
              <w:t xml:space="preserve"> pateikti duomenys apie kaštų na</w:t>
            </w:r>
            <w:r w:rsidR="00662983" w:rsidRPr="000203E1">
              <w:t>udingumą yra netinkami vertinti</w:t>
            </w:r>
          </w:p>
          <w:p w14:paraId="470A48A4"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bookmarkEnd w:id="3"/>
      <w:bookmarkEnd w:id="4"/>
    </w:tbl>
    <w:p w14:paraId="29A90384" w14:textId="4772D5ED" w:rsidR="004A3A61" w:rsidRPr="000203E1" w:rsidRDefault="004A3A61" w:rsidP="00381024"/>
    <w:p w14:paraId="1B85C083" w14:textId="77777777" w:rsidR="009E44AE" w:rsidRPr="000203E1" w:rsidRDefault="009E44AE" w:rsidP="00381024"/>
    <w:p w14:paraId="3B2D1F25" w14:textId="3A80E19F" w:rsidR="000001B0" w:rsidRPr="000203E1" w:rsidRDefault="000001B0" w:rsidP="00CC09D4">
      <w:pPr>
        <w:pStyle w:val="Sraopastraipa"/>
        <w:numPr>
          <w:ilvl w:val="0"/>
          <w:numId w:val="12"/>
        </w:numPr>
        <w:ind w:left="567" w:hanging="567"/>
      </w:pPr>
      <w:r w:rsidRPr="000203E1">
        <w:rPr>
          <w:b/>
        </w:rPr>
        <w:t>REKOME</w:t>
      </w:r>
      <w:r w:rsidR="00D83182" w:rsidRPr="000203E1">
        <w:rPr>
          <w:b/>
        </w:rPr>
        <w:t>N</w:t>
      </w:r>
      <w:r w:rsidRPr="000203E1">
        <w:rPr>
          <w:b/>
        </w:rPr>
        <w:t>DACIJA</w:t>
      </w:r>
    </w:p>
    <w:p w14:paraId="7D5C6700" w14:textId="77777777" w:rsidR="00D5470B" w:rsidRPr="000203E1" w:rsidRDefault="00D5470B" w:rsidP="00C712EA">
      <w:pPr>
        <w:pStyle w:val="Sraopastraipa"/>
        <w:ind w:left="426"/>
      </w:pPr>
    </w:p>
    <w:p w14:paraId="273E98CA" w14:textId="77777777" w:rsidR="00030C28" w:rsidRPr="002A024D" w:rsidRDefault="00030C28" w:rsidP="00030C28">
      <w:pPr>
        <w:spacing w:line="276" w:lineRule="auto"/>
        <w:ind w:firstLine="360"/>
        <w:jc w:val="both"/>
      </w:pPr>
      <w:r w:rsidRPr="002A024D">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r>
        <w:t xml:space="preserve"> </w:t>
      </w:r>
      <w:r w:rsidRPr="00BC44E2">
        <w:rPr>
          <w:color w:val="000000"/>
          <w:lang w:eastAsia="lt-LT"/>
        </w:rPr>
        <w:t>30</w:t>
      </w:r>
      <w:r w:rsidRPr="00BC44E2">
        <w:rPr>
          <w:color w:val="000000"/>
          <w:vertAlign w:val="superscript"/>
          <w:lang w:eastAsia="lt-LT"/>
        </w:rPr>
        <w:t>1</w:t>
      </w:r>
      <w:r>
        <w:rPr>
          <w:color w:val="000000"/>
          <w:lang w:eastAsia="lt-LT"/>
        </w:rPr>
        <w:t>.1</w:t>
      </w:r>
      <w:r w:rsidRPr="00BC44E2">
        <w:rPr>
          <w:color w:val="000000"/>
          <w:lang w:eastAsia="lt-LT"/>
        </w:rPr>
        <w:t xml:space="preserve">. rekomenduojama </w:t>
      </w:r>
      <w:r w:rsidRPr="00991321">
        <w:rPr>
          <w:i/>
          <w:iCs/>
          <w:color w:val="000000"/>
          <w:lang w:eastAsia="lt-LT"/>
        </w:rPr>
        <w:t>kompensuot</w:t>
      </w:r>
      <w:r w:rsidRPr="00BC44E2">
        <w:rPr>
          <w:color w:val="000000"/>
          <w:lang w:eastAsia="lt-LT"/>
        </w:rPr>
        <w:t xml:space="preserve">i vaistinį preparatą pagal paraiškoje nurodytą indikaciją (arba jos dalį) su arba be skyrimo sąlygų, </w:t>
      </w:r>
      <w:r>
        <w:rPr>
          <w:color w:val="000000"/>
        </w:rPr>
        <w:t>taikant ar netaikant PGS</w:t>
      </w:r>
      <w:r w:rsidRPr="00BC44E2">
        <w:rPr>
          <w:color w:val="000000"/>
          <w:lang w:eastAsia="lt-LT"/>
        </w:rPr>
        <w:t>, kai vertin</w:t>
      </w:r>
      <w:r>
        <w:rPr>
          <w:color w:val="000000"/>
          <w:lang w:eastAsia="lt-LT"/>
        </w:rPr>
        <w:t xml:space="preserve">imo išvados atitinka Aprašo </w:t>
      </w:r>
      <w:r>
        <w:rPr>
          <w:color w:val="000000"/>
        </w:rPr>
        <w:t xml:space="preserve">29.1.1 ir </w:t>
      </w:r>
      <w:r>
        <w:rPr>
          <w:color w:val="000000"/>
          <w:lang w:eastAsia="lt-LT"/>
        </w:rPr>
        <w:t>29.2</w:t>
      </w:r>
      <w:r w:rsidRPr="00BC44E2">
        <w:rPr>
          <w:color w:val="000000"/>
          <w:lang w:eastAsia="lt-LT"/>
        </w:rPr>
        <w:t>.1 ir papunkčiuose numatytas sąlygas.</w:t>
      </w:r>
    </w:p>
    <w:p w14:paraId="06BC01EE" w14:textId="44333E0B" w:rsidR="000723FF" w:rsidRPr="000203E1" w:rsidRDefault="000723FF" w:rsidP="00381024"/>
    <w:p w14:paraId="562A1372" w14:textId="77777777" w:rsidR="00283E59" w:rsidRDefault="00283E59" w:rsidP="00283E59">
      <w:pPr>
        <w:jc w:val="both"/>
        <w:rPr>
          <w:b/>
          <w:sz w:val="20"/>
        </w:rPr>
      </w:pPr>
    </w:p>
    <w:p w14:paraId="2CF46523" w14:textId="77777777" w:rsidR="008F0849" w:rsidRPr="0002553B" w:rsidRDefault="008F0849" w:rsidP="008F0849">
      <w:pPr>
        <w:pStyle w:val="Betarp"/>
        <w:spacing w:line="276" w:lineRule="auto"/>
        <w:rPr>
          <w:rFonts w:ascii="Times New Roman" w:hAnsi="Times New Roman"/>
          <w:b/>
          <w:sz w:val="24"/>
          <w:szCs w:val="24"/>
          <w:lang w:eastAsia="lt-LT"/>
        </w:rPr>
      </w:pPr>
      <w:r w:rsidRPr="0002553B">
        <w:rPr>
          <w:rFonts w:ascii="Times New Roman" w:hAnsi="Times New Roman"/>
          <w:b/>
          <w:sz w:val="24"/>
          <w:szCs w:val="24"/>
          <w:lang w:eastAsia="lt-LT"/>
        </w:rPr>
        <w:t>Terapinės indikacijos</w:t>
      </w:r>
    </w:p>
    <w:p w14:paraId="36D8C043" w14:textId="77777777" w:rsidR="008F0849" w:rsidRPr="0002553B" w:rsidRDefault="00000000" w:rsidP="008F0849">
      <w:pPr>
        <w:pStyle w:val="Betarp"/>
        <w:spacing w:line="276" w:lineRule="auto"/>
        <w:rPr>
          <w:rFonts w:ascii="Times New Roman" w:hAnsi="Times New Roman"/>
          <w:sz w:val="24"/>
          <w:szCs w:val="24"/>
        </w:rPr>
      </w:pPr>
      <w:sdt>
        <w:sdtPr>
          <w:rPr>
            <w:rStyle w:val="Style2"/>
            <w:rFonts w:ascii="Times New Roman" w:hAnsi="Times New Roman"/>
            <w:sz w:val="24"/>
            <w:szCs w:val="24"/>
          </w:rPr>
          <w:id w:val="1146316688"/>
          <w15:color w:val="FFCC00"/>
          <w14:checkbox>
            <w14:checked w14:val="1"/>
            <w14:checkedState w14:val="2612" w14:font="MS Gothic"/>
            <w14:uncheckedState w14:val="2610" w14:font="MS Gothic"/>
          </w14:checkbox>
        </w:sdtPr>
        <w:sdtContent>
          <w:r w:rsidR="008F0849">
            <w:rPr>
              <w:rStyle w:val="Style2"/>
              <w:rFonts w:ascii="MS Gothic" w:eastAsia="MS Gothic" w:hAnsi="MS Gothic" w:hint="eastAsia"/>
              <w:sz w:val="24"/>
              <w:szCs w:val="24"/>
            </w:rPr>
            <w:t>☒</w:t>
          </w:r>
        </w:sdtContent>
      </w:sdt>
      <w:r w:rsidR="008F0849" w:rsidRPr="0002553B">
        <w:rPr>
          <w:rFonts w:ascii="Times New Roman" w:hAnsi="Times New Roman"/>
          <w:sz w:val="24"/>
          <w:szCs w:val="24"/>
        </w:rPr>
        <w:t xml:space="preserve"> Siūloma kompensuoti Pareiškėjo teikiamą indikaciją be pakeitimų.</w:t>
      </w:r>
    </w:p>
    <w:p w14:paraId="3454AE4C" w14:textId="77777777" w:rsidR="008F0849" w:rsidRPr="00137780" w:rsidRDefault="008F0849" w:rsidP="008F0849">
      <w:pPr>
        <w:pStyle w:val="Betarp"/>
        <w:spacing w:line="276" w:lineRule="auto"/>
        <w:jc w:val="both"/>
        <w:rPr>
          <w:rFonts w:ascii="Times New Roman" w:hAnsi="Times New Roman"/>
          <w:sz w:val="24"/>
          <w:szCs w:val="24"/>
        </w:rPr>
      </w:pPr>
      <w:r w:rsidRPr="00137780">
        <w:rPr>
          <w:rFonts w:ascii="Times New Roman" w:hAnsi="Times New Roman"/>
          <w:i/>
          <w:sz w:val="24"/>
          <w:szCs w:val="24"/>
        </w:rPr>
        <w:t xml:space="preserve"> Akeega kartu su prednizonu arba prednizolonu yra skirtas suaugusių pacientų, sergančių metastazavusiu kastracijai atspariu prostatos vėžiu (mKAPV) ir kuriems yra BRCA 1/2 mutacijų (germinacinių ir/arba somatinių) bei kuriems nėra klinikinių indikacijų taikyti chemoterapiją, gydymui.</w:t>
      </w:r>
      <w:r w:rsidRPr="00137780">
        <w:rPr>
          <w:rFonts w:ascii="Times New Roman" w:hAnsi="Times New Roman"/>
          <w:sz w:val="24"/>
          <w:szCs w:val="24"/>
        </w:rPr>
        <w:t xml:space="preserve"> </w:t>
      </w:r>
    </w:p>
    <w:p w14:paraId="74F3423A" w14:textId="77777777" w:rsidR="008F0849" w:rsidRPr="0002553B" w:rsidRDefault="008F0849" w:rsidP="008F0849">
      <w:pPr>
        <w:pStyle w:val="Betarp"/>
        <w:spacing w:line="276" w:lineRule="auto"/>
        <w:rPr>
          <w:rFonts w:ascii="Times New Roman" w:hAnsi="Times New Roman"/>
          <w:sz w:val="24"/>
          <w:szCs w:val="24"/>
        </w:rPr>
      </w:pPr>
    </w:p>
    <w:p w14:paraId="3340ABE0" w14:textId="77777777" w:rsidR="008F0849" w:rsidRPr="0002553B" w:rsidRDefault="008F0849" w:rsidP="008F0849">
      <w:pPr>
        <w:pStyle w:val="Betarp"/>
        <w:spacing w:line="276" w:lineRule="auto"/>
        <w:rPr>
          <w:rFonts w:ascii="Times New Roman" w:hAnsi="Times New Roman"/>
          <w:b/>
          <w:sz w:val="24"/>
          <w:szCs w:val="24"/>
        </w:rPr>
      </w:pPr>
      <w:r w:rsidRPr="0002553B">
        <w:rPr>
          <w:rFonts w:ascii="Times New Roman" w:hAnsi="Times New Roman"/>
          <w:b/>
          <w:sz w:val="24"/>
          <w:szCs w:val="24"/>
        </w:rPr>
        <w:t>Skyrimo sąlygos</w:t>
      </w:r>
    </w:p>
    <w:p w14:paraId="0AFD501E" w14:textId="3433CB19" w:rsidR="008F0849" w:rsidRPr="00720162" w:rsidRDefault="008F0849" w:rsidP="008F0849">
      <w:pPr>
        <w:pStyle w:val="Betarp"/>
        <w:spacing w:line="276" w:lineRule="auto"/>
        <w:jc w:val="both"/>
        <w:rPr>
          <w:rFonts w:ascii="Times New Roman" w:hAnsi="Times New Roman"/>
          <w:iCs/>
          <w:sz w:val="24"/>
          <w:szCs w:val="24"/>
        </w:rPr>
      </w:pPr>
      <w:bookmarkStart w:id="5" w:name="_Hlk185619076"/>
      <w:r w:rsidRPr="00E00620">
        <w:rPr>
          <w:rFonts w:ascii="Times New Roman" w:hAnsi="Times New Roman"/>
          <w:iCs/>
          <w:sz w:val="24"/>
          <w:szCs w:val="24"/>
        </w:rPr>
        <w:t>Skiriamas kartu su prednizonu arba prednizolonu suaugusiems pacientams, sergantiems  metastazavusiu kastracijai atspariu prostatos vėžiu (mKAPV) ir kuriems yra BRCA 1/2 mutacijų (germinacinių ir/arba somatinių) bei kuriems nėra klinikinių indikacijų taikyti chemoterapiją. Gydymas tęsiamas iki</w:t>
      </w:r>
      <w:r w:rsidR="00E567C4" w:rsidRPr="00E00620">
        <w:rPr>
          <w:rFonts w:ascii="Times New Roman" w:hAnsi="Times New Roman"/>
          <w:iCs/>
          <w:sz w:val="24"/>
          <w:szCs w:val="24"/>
        </w:rPr>
        <w:t xml:space="preserve"> radiologiniu tyrimu</w:t>
      </w:r>
      <w:r w:rsidRPr="00E00620">
        <w:rPr>
          <w:rFonts w:ascii="Times New Roman" w:hAnsi="Times New Roman"/>
          <w:iCs/>
          <w:sz w:val="24"/>
          <w:szCs w:val="24"/>
        </w:rPr>
        <w:t xml:space="preserve"> patvirtinto </w:t>
      </w:r>
      <w:r w:rsidR="00E567C4" w:rsidRPr="00E00620">
        <w:rPr>
          <w:rFonts w:ascii="Times New Roman" w:hAnsi="Times New Roman"/>
          <w:iCs/>
          <w:sz w:val="24"/>
          <w:szCs w:val="24"/>
        </w:rPr>
        <w:t>ligos progresavimo</w:t>
      </w:r>
      <w:r w:rsidR="00720162" w:rsidRPr="00E00620">
        <w:rPr>
          <w:rFonts w:ascii="Times New Roman" w:hAnsi="Times New Roman"/>
          <w:iCs/>
          <w:sz w:val="24"/>
          <w:szCs w:val="24"/>
        </w:rPr>
        <w:t xml:space="preserve"> ar </w:t>
      </w:r>
      <w:r w:rsidR="00720162" w:rsidRPr="00E00620">
        <w:rPr>
          <w:rFonts w:ascii="Times New Roman" w:hAnsi="Times New Roman"/>
          <w:sz w:val="24"/>
          <w:szCs w:val="24"/>
        </w:rPr>
        <w:t>nepriimtino toksinio poveikio atsiradimo</w:t>
      </w:r>
      <w:r w:rsidR="002926AC" w:rsidRPr="00E00620">
        <w:rPr>
          <w:rFonts w:ascii="Times New Roman" w:hAnsi="Times New Roman"/>
          <w:iCs/>
          <w:sz w:val="24"/>
          <w:szCs w:val="24"/>
        </w:rPr>
        <w:t>.</w:t>
      </w:r>
    </w:p>
    <w:bookmarkEnd w:id="5"/>
    <w:p w14:paraId="7CDFF220" w14:textId="58191D98" w:rsidR="000723FF" w:rsidRPr="000203E1" w:rsidRDefault="000723FF" w:rsidP="00824B92">
      <w:pPr>
        <w:rPr>
          <w:b/>
        </w:rPr>
      </w:pPr>
    </w:p>
    <w:sectPr w:rsidR="000723FF" w:rsidRPr="000203E1"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B3B06" w14:textId="77777777" w:rsidR="008158CF" w:rsidRDefault="008158CF">
      <w:r>
        <w:separator/>
      </w:r>
    </w:p>
  </w:endnote>
  <w:endnote w:type="continuationSeparator" w:id="0">
    <w:p w14:paraId="0AD12502" w14:textId="77777777" w:rsidR="008158CF" w:rsidRDefault="0081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A9DA0" w14:textId="77777777" w:rsidR="008158CF" w:rsidRDefault="008158CF">
      <w:r>
        <w:separator/>
      </w:r>
    </w:p>
  </w:footnote>
  <w:footnote w:type="continuationSeparator" w:id="0">
    <w:p w14:paraId="4EE7C8B3" w14:textId="77777777" w:rsidR="008158CF" w:rsidRDefault="00815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03EE42E9"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7410A">
      <w:rPr>
        <w:rStyle w:val="Puslapionumeris"/>
        <w:noProof/>
      </w:rPr>
      <w:t>5</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5110E32"/>
    <w:multiLevelType w:val="hybridMultilevel"/>
    <w:tmpl w:val="7C347EC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49751666">
    <w:abstractNumId w:val="7"/>
  </w:num>
  <w:num w:numId="2" w16cid:durableId="158228310">
    <w:abstractNumId w:val="1"/>
  </w:num>
  <w:num w:numId="3" w16cid:durableId="1046030940">
    <w:abstractNumId w:val="9"/>
  </w:num>
  <w:num w:numId="4" w16cid:durableId="1338654952">
    <w:abstractNumId w:val="8"/>
  </w:num>
  <w:num w:numId="5" w16cid:durableId="1485510665">
    <w:abstractNumId w:val="6"/>
  </w:num>
  <w:num w:numId="6" w16cid:durableId="263148473">
    <w:abstractNumId w:val="5"/>
  </w:num>
  <w:num w:numId="7" w16cid:durableId="1581599880">
    <w:abstractNumId w:val="3"/>
  </w:num>
  <w:num w:numId="8" w16cid:durableId="1074166244">
    <w:abstractNumId w:val="12"/>
  </w:num>
  <w:num w:numId="9" w16cid:durableId="1276208317">
    <w:abstractNumId w:val="0"/>
  </w:num>
  <w:num w:numId="10" w16cid:durableId="820729964">
    <w:abstractNumId w:val="10"/>
  </w:num>
  <w:num w:numId="11" w16cid:durableId="557664840">
    <w:abstractNumId w:val="11"/>
  </w:num>
  <w:num w:numId="12" w16cid:durableId="1036352695">
    <w:abstractNumId w:val="2"/>
  </w:num>
  <w:num w:numId="13" w16cid:durableId="1839731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0C28"/>
    <w:rsid w:val="00031D0E"/>
    <w:rsid w:val="000337E6"/>
    <w:rsid w:val="0003402E"/>
    <w:rsid w:val="00034EAE"/>
    <w:rsid w:val="00042924"/>
    <w:rsid w:val="00053975"/>
    <w:rsid w:val="00057A2B"/>
    <w:rsid w:val="000606BE"/>
    <w:rsid w:val="000723FF"/>
    <w:rsid w:val="000736B8"/>
    <w:rsid w:val="0007410A"/>
    <w:rsid w:val="0008190F"/>
    <w:rsid w:val="00081D9C"/>
    <w:rsid w:val="00082907"/>
    <w:rsid w:val="0008378D"/>
    <w:rsid w:val="000908A5"/>
    <w:rsid w:val="00092805"/>
    <w:rsid w:val="000C454C"/>
    <w:rsid w:val="000D5038"/>
    <w:rsid w:val="000D585B"/>
    <w:rsid w:val="000E29D4"/>
    <w:rsid w:val="000F3540"/>
    <w:rsid w:val="00100491"/>
    <w:rsid w:val="00104E2E"/>
    <w:rsid w:val="00107287"/>
    <w:rsid w:val="00117406"/>
    <w:rsid w:val="00121EF0"/>
    <w:rsid w:val="00124A9E"/>
    <w:rsid w:val="00124E31"/>
    <w:rsid w:val="00130703"/>
    <w:rsid w:val="0013153F"/>
    <w:rsid w:val="001408B8"/>
    <w:rsid w:val="001517E2"/>
    <w:rsid w:val="001521D9"/>
    <w:rsid w:val="001554E2"/>
    <w:rsid w:val="00164146"/>
    <w:rsid w:val="00164D64"/>
    <w:rsid w:val="0017369C"/>
    <w:rsid w:val="00175D57"/>
    <w:rsid w:val="00180C39"/>
    <w:rsid w:val="00180D96"/>
    <w:rsid w:val="00184BD3"/>
    <w:rsid w:val="00185963"/>
    <w:rsid w:val="001909F6"/>
    <w:rsid w:val="001921F3"/>
    <w:rsid w:val="001A0E47"/>
    <w:rsid w:val="001B3C5B"/>
    <w:rsid w:val="001C1D94"/>
    <w:rsid w:val="001C3ED7"/>
    <w:rsid w:val="001C4F45"/>
    <w:rsid w:val="001C7392"/>
    <w:rsid w:val="001D15C0"/>
    <w:rsid w:val="001D2BC4"/>
    <w:rsid w:val="001D5B91"/>
    <w:rsid w:val="001D746F"/>
    <w:rsid w:val="001E4BBB"/>
    <w:rsid w:val="001E6304"/>
    <w:rsid w:val="001F12F0"/>
    <w:rsid w:val="0020381E"/>
    <w:rsid w:val="00213471"/>
    <w:rsid w:val="00215906"/>
    <w:rsid w:val="00237C48"/>
    <w:rsid w:val="00241CD8"/>
    <w:rsid w:val="00244B09"/>
    <w:rsid w:val="002519CB"/>
    <w:rsid w:val="0025697F"/>
    <w:rsid w:val="00260258"/>
    <w:rsid w:val="0026588E"/>
    <w:rsid w:val="002661E3"/>
    <w:rsid w:val="00272428"/>
    <w:rsid w:val="00272948"/>
    <w:rsid w:val="00283E59"/>
    <w:rsid w:val="00292392"/>
    <w:rsid w:val="002926AC"/>
    <w:rsid w:val="002946C7"/>
    <w:rsid w:val="002A1AF9"/>
    <w:rsid w:val="002B3CC1"/>
    <w:rsid w:val="002B50EA"/>
    <w:rsid w:val="002C09E0"/>
    <w:rsid w:val="002C1BB1"/>
    <w:rsid w:val="002C2786"/>
    <w:rsid w:val="002C3A10"/>
    <w:rsid w:val="002C4A90"/>
    <w:rsid w:val="002C4ED5"/>
    <w:rsid w:val="002D02EF"/>
    <w:rsid w:val="002E0702"/>
    <w:rsid w:val="002E57AD"/>
    <w:rsid w:val="002E6F80"/>
    <w:rsid w:val="002F0E4F"/>
    <w:rsid w:val="002F1053"/>
    <w:rsid w:val="00307B87"/>
    <w:rsid w:val="00314816"/>
    <w:rsid w:val="00317B0E"/>
    <w:rsid w:val="003346B8"/>
    <w:rsid w:val="00347FAA"/>
    <w:rsid w:val="0035172D"/>
    <w:rsid w:val="0036187D"/>
    <w:rsid w:val="00367EDB"/>
    <w:rsid w:val="00381024"/>
    <w:rsid w:val="00386307"/>
    <w:rsid w:val="003874DE"/>
    <w:rsid w:val="003919EA"/>
    <w:rsid w:val="00393E9F"/>
    <w:rsid w:val="0039696E"/>
    <w:rsid w:val="003A604B"/>
    <w:rsid w:val="003B211A"/>
    <w:rsid w:val="003C141F"/>
    <w:rsid w:val="003C6B0E"/>
    <w:rsid w:val="003C7257"/>
    <w:rsid w:val="003C7E35"/>
    <w:rsid w:val="003D1E99"/>
    <w:rsid w:val="003D6208"/>
    <w:rsid w:val="00404E8A"/>
    <w:rsid w:val="0040622F"/>
    <w:rsid w:val="00413F24"/>
    <w:rsid w:val="00422853"/>
    <w:rsid w:val="00423160"/>
    <w:rsid w:val="00450075"/>
    <w:rsid w:val="00453862"/>
    <w:rsid w:val="0045469B"/>
    <w:rsid w:val="00461338"/>
    <w:rsid w:val="004677DB"/>
    <w:rsid w:val="00476256"/>
    <w:rsid w:val="0048630F"/>
    <w:rsid w:val="00492965"/>
    <w:rsid w:val="004947A1"/>
    <w:rsid w:val="0049482A"/>
    <w:rsid w:val="004979D3"/>
    <w:rsid w:val="004A00E7"/>
    <w:rsid w:val="004A3A61"/>
    <w:rsid w:val="004B59BA"/>
    <w:rsid w:val="004B5A03"/>
    <w:rsid w:val="004C263A"/>
    <w:rsid w:val="004D2953"/>
    <w:rsid w:val="004D48A6"/>
    <w:rsid w:val="004D7B8F"/>
    <w:rsid w:val="004E241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5B1"/>
    <w:rsid w:val="00566DBB"/>
    <w:rsid w:val="005767DB"/>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E6BB7"/>
    <w:rsid w:val="005F71D9"/>
    <w:rsid w:val="005F7602"/>
    <w:rsid w:val="006062BE"/>
    <w:rsid w:val="00613143"/>
    <w:rsid w:val="00613501"/>
    <w:rsid w:val="0061611B"/>
    <w:rsid w:val="006166A8"/>
    <w:rsid w:val="006174A1"/>
    <w:rsid w:val="00621D6C"/>
    <w:rsid w:val="00633B49"/>
    <w:rsid w:val="0064249A"/>
    <w:rsid w:val="0064297F"/>
    <w:rsid w:val="00645102"/>
    <w:rsid w:val="00646CF3"/>
    <w:rsid w:val="00650959"/>
    <w:rsid w:val="00653D11"/>
    <w:rsid w:val="00662983"/>
    <w:rsid w:val="00670984"/>
    <w:rsid w:val="006834D3"/>
    <w:rsid w:val="006859A4"/>
    <w:rsid w:val="00692625"/>
    <w:rsid w:val="00695CD3"/>
    <w:rsid w:val="006A36FB"/>
    <w:rsid w:val="006A38B6"/>
    <w:rsid w:val="006B1987"/>
    <w:rsid w:val="006B5B71"/>
    <w:rsid w:val="006B5D3E"/>
    <w:rsid w:val="006B6CB0"/>
    <w:rsid w:val="006C0251"/>
    <w:rsid w:val="006C2B64"/>
    <w:rsid w:val="006D1BF3"/>
    <w:rsid w:val="006D4C85"/>
    <w:rsid w:val="006D66AC"/>
    <w:rsid w:val="006E33F6"/>
    <w:rsid w:val="006F1251"/>
    <w:rsid w:val="006F1C23"/>
    <w:rsid w:val="00702C18"/>
    <w:rsid w:val="00703166"/>
    <w:rsid w:val="007127F3"/>
    <w:rsid w:val="00713C8C"/>
    <w:rsid w:val="00720162"/>
    <w:rsid w:val="007301CF"/>
    <w:rsid w:val="007316FB"/>
    <w:rsid w:val="00737E2D"/>
    <w:rsid w:val="007424D5"/>
    <w:rsid w:val="00750A88"/>
    <w:rsid w:val="007523DD"/>
    <w:rsid w:val="00757B7E"/>
    <w:rsid w:val="007656B2"/>
    <w:rsid w:val="0077016F"/>
    <w:rsid w:val="007713AD"/>
    <w:rsid w:val="00795DC5"/>
    <w:rsid w:val="00797005"/>
    <w:rsid w:val="00797153"/>
    <w:rsid w:val="007A21F7"/>
    <w:rsid w:val="007A2B68"/>
    <w:rsid w:val="007B0DDA"/>
    <w:rsid w:val="007D0A3D"/>
    <w:rsid w:val="007D2CF4"/>
    <w:rsid w:val="007D3347"/>
    <w:rsid w:val="007E5466"/>
    <w:rsid w:val="007F1949"/>
    <w:rsid w:val="007F2592"/>
    <w:rsid w:val="00800A08"/>
    <w:rsid w:val="008158CF"/>
    <w:rsid w:val="0081764D"/>
    <w:rsid w:val="00817A84"/>
    <w:rsid w:val="008225A4"/>
    <w:rsid w:val="00824B92"/>
    <w:rsid w:val="00826D5E"/>
    <w:rsid w:val="00832013"/>
    <w:rsid w:val="00832DB7"/>
    <w:rsid w:val="00834732"/>
    <w:rsid w:val="0085200C"/>
    <w:rsid w:val="00857C52"/>
    <w:rsid w:val="00860D5F"/>
    <w:rsid w:val="00860ECB"/>
    <w:rsid w:val="00880A44"/>
    <w:rsid w:val="0088345E"/>
    <w:rsid w:val="0088656F"/>
    <w:rsid w:val="00891C35"/>
    <w:rsid w:val="00891EF6"/>
    <w:rsid w:val="008A0303"/>
    <w:rsid w:val="008A5FDD"/>
    <w:rsid w:val="008C3947"/>
    <w:rsid w:val="008C467D"/>
    <w:rsid w:val="008E473B"/>
    <w:rsid w:val="008E51A6"/>
    <w:rsid w:val="008E7329"/>
    <w:rsid w:val="008F0849"/>
    <w:rsid w:val="008F2ED5"/>
    <w:rsid w:val="008F463E"/>
    <w:rsid w:val="0092297E"/>
    <w:rsid w:val="00923651"/>
    <w:rsid w:val="00927B56"/>
    <w:rsid w:val="009341BF"/>
    <w:rsid w:val="00937907"/>
    <w:rsid w:val="00941739"/>
    <w:rsid w:val="00951573"/>
    <w:rsid w:val="00963003"/>
    <w:rsid w:val="00966EEF"/>
    <w:rsid w:val="00971987"/>
    <w:rsid w:val="00971B28"/>
    <w:rsid w:val="009720BC"/>
    <w:rsid w:val="00983471"/>
    <w:rsid w:val="009860D1"/>
    <w:rsid w:val="009909AB"/>
    <w:rsid w:val="00991321"/>
    <w:rsid w:val="009B2F9C"/>
    <w:rsid w:val="009B37DB"/>
    <w:rsid w:val="009C0B64"/>
    <w:rsid w:val="009C7A8C"/>
    <w:rsid w:val="009D23F9"/>
    <w:rsid w:val="009D4FA8"/>
    <w:rsid w:val="009E44AE"/>
    <w:rsid w:val="009E6CD6"/>
    <w:rsid w:val="009F4D66"/>
    <w:rsid w:val="00A00C3C"/>
    <w:rsid w:val="00A01091"/>
    <w:rsid w:val="00A042B9"/>
    <w:rsid w:val="00A06DBB"/>
    <w:rsid w:val="00A22ADF"/>
    <w:rsid w:val="00A31E86"/>
    <w:rsid w:val="00A34CB8"/>
    <w:rsid w:val="00A54D87"/>
    <w:rsid w:val="00A5553C"/>
    <w:rsid w:val="00A701C9"/>
    <w:rsid w:val="00A81785"/>
    <w:rsid w:val="00A84803"/>
    <w:rsid w:val="00A84C51"/>
    <w:rsid w:val="00A86F2B"/>
    <w:rsid w:val="00A91366"/>
    <w:rsid w:val="00A92F91"/>
    <w:rsid w:val="00A93AA6"/>
    <w:rsid w:val="00AA4E48"/>
    <w:rsid w:val="00AA6202"/>
    <w:rsid w:val="00AA7B57"/>
    <w:rsid w:val="00AB2806"/>
    <w:rsid w:val="00AC26FC"/>
    <w:rsid w:val="00AC4A99"/>
    <w:rsid w:val="00AC64D2"/>
    <w:rsid w:val="00AD02E7"/>
    <w:rsid w:val="00AD76D4"/>
    <w:rsid w:val="00AE0FE8"/>
    <w:rsid w:val="00AF60D5"/>
    <w:rsid w:val="00B00959"/>
    <w:rsid w:val="00B04415"/>
    <w:rsid w:val="00B06509"/>
    <w:rsid w:val="00B11D60"/>
    <w:rsid w:val="00B13D65"/>
    <w:rsid w:val="00B21805"/>
    <w:rsid w:val="00B3072E"/>
    <w:rsid w:val="00B36E15"/>
    <w:rsid w:val="00B37245"/>
    <w:rsid w:val="00B4017A"/>
    <w:rsid w:val="00B4468D"/>
    <w:rsid w:val="00B71C72"/>
    <w:rsid w:val="00B7641C"/>
    <w:rsid w:val="00B81E92"/>
    <w:rsid w:val="00B908D7"/>
    <w:rsid w:val="00B935E8"/>
    <w:rsid w:val="00B93B30"/>
    <w:rsid w:val="00B94CB5"/>
    <w:rsid w:val="00BA0DD9"/>
    <w:rsid w:val="00BA5DBC"/>
    <w:rsid w:val="00BA6584"/>
    <w:rsid w:val="00BB6312"/>
    <w:rsid w:val="00BC4D06"/>
    <w:rsid w:val="00BD585E"/>
    <w:rsid w:val="00BD6919"/>
    <w:rsid w:val="00BE1EA7"/>
    <w:rsid w:val="00BE7489"/>
    <w:rsid w:val="00BF2E0D"/>
    <w:rsid w:val="00BF3927"/>
    <w:rsid w:val="00BF3F8B"/>
    <w:rsid w:val="00BF76DA"/>
    <w:rsid w:val="00C07C7B"/>
    <w:rsid w:val="00C16245"/>
    <w:rsid w:val="00C21A99"/>
    <w:rsid w:val="00C21EB8"/>
    <w:rsid w:val="00C22DC5"/>
    <w:rsid w:val="00C24479"/>
    <w:rsid w:val="00C273F2"/>
    <w:rsid w:val="00C27521"/>
    <w:rsid w:val="00C37B53"/>
    <w:rsid w:val="00C434EB"/>
    <w:rsid w:val="00C517D2"/>
    <w:rsid w:val="00C5772E"/>
    <w:rsid w:val="00C62B36"/>
    <w:rsid w:val="00C7012C"/>
    <w:rsid w:val="00C712EA"/>
    <w:rsid w:val="00CA217D"/>
    <w:rsid w:val="00CB236A"/>
    <w:rsid w:val="00CC09D4"/>
    <w:rsid w:val="00CC668D"/>
    <w:rsid w:val="00CC7832"/>
    <w:rsid w:val="00CD488E"/>
    <w:rsid w:val="00CF0C1C"/>
    <w:rsid w:val="00CF27FD"/>
    <w:rsid w:val="00CF5F12"/>
    <w:rsid w:val="00D00D8F"/>
    <w:rsid w:val="00D07BEA"/>
    <w:rsid w:val="00D20CA7"/>
    <w:rsid w:val="00D21F3A"/>
    <w:rsid w:val="00D23808"/>
    <w:rsid w:val="00D3016A"/>
    <w:rsid w:val="00D417D2"/>
    <w:rsid w:val="00D42960"/>
    <w:rsid w:val="00D43BD7"/>
    <w:rsid w:val="00D4485B"/>
    <w:rsid w:val="00D46CCD"/>
    <w:rsid w:val="00D4708D"/>
    <w:rsid w:val="00D4744C"/>
    <w:rsid w:val="00D521DE"/>
    <w:rsid w:val="00D5470B"/>
    <w:rsid w:val="00D63068"/>
    <w:rsid w:val="00D6498C"/>
    <w:rsid w:val="00D76A70"/>
    <w:rsid w:val="00D83182"/>
    <w:rsid w:val="00D8521E"/>
    <w:rsid w:val="00D9291C"/>
    <w:rsid w:val="00D93A97"/>
    <w:rsid w:val="00DB1F64"/>
    <w:rsid w:val="00DC2F53"/>
    <w:rsid w:val="00DC472D"/>
    <w:rsid w:val="00DC5BAC"/>
    <w:rsid w:val="00DC6816"/>
    <w:rsid w:val="00DC76C2"/>
    <w:rsid w:val="00DD1CF2"/>
    <w:rsid w:val="00DE4484"/>
    <w:rsid w:val="00DF41B7"/>
    <w:rsid w:val="00DF4A4A"/>
    <w:rsid w:val="00DF583C"/>
    <w:rsid w:val="00DF5AF3"/>
    <w:rsid w:val="00E00620"/>
    <w:rsid w:val="00E03C3F"/>
    <w:rsid w:val="00E06FD7"/>
    <w:rsid w:val="00E07417"/>
    <w:rsid w:val="00E24D45"/>
    <w:rsid w:val="00E2686D"/>
    <w:rsid w:val="00E27354"/>
    <w:rsid w:val="00E27419"/>
    <w:rsid w:val="00E27ABF"/>
    <w:rsid w:val="00E33DB8"/>
    <w:rsid w:val="00E33EFF"/>
    <w:rsid w:val="00E34387"/>
    <w:rsid w:val="00E348BA"/>
    <w:rsid w:val="00E369FE"/>
    <w:rsid w:val="00E37C6F"/>
    <w:rsid w:val="00E475F8"/>
    <w:rsid w:val="00E5102E"/>
    <w:rsid w:val="00E567C4"/>
    <w:rsid w:val="00E5721C"/>
    <w:rsid w:val="00E619C6"/>
    <w:rsid w:val="00E745A1"/>
    <w:rsid w:val="00E81529"/>
    <w:rsid w:val="00E83A13"/>
    <w:rsid w:val="00EB1550"/>
    <w:rsid w:val="00EB6FC5"/>
    <w:rsid w:val="00EC2356"/>
    <w:rsid w:val="00EC2582"/>
    <w:rsid w:val="00EC337C"/>
    <w:rsid w:val="00ED0CFF"/>
    <w:rsid w:val="00ED31D2"/>
    <w:rsid w:val="00EE0EAC"/>
    <w:rsid w:val="00EE3322"/>
    <w:rsid w:val="00EE33CB"/>
    <w:rsid w:val="00EF0883"/>
    <w:rsid w:val="00F0061A"/>
    <w:rsid w:val="00F02834"/>
    <w:rsid w:val="00F04EEB"/>
    <w:rsid w:val="00F05467"/>
    <w:rsid w:val="00F055D2"/>
    <w:rsid w:val="00F07CD7"/>
    <w:rsid w:val="00F127E9"/>
    <w:rsid w:val="00F14B5D"/>
    <w:rsid w:val="00F259FC"/>
    <w:rsid w:val="00F36972"/>
    <w:rsid w:val="00F42426"/>
    <w:rsid w:val="00F456BC"/>
    <w:rsid w:val="00F50666"/>
    <w:rsid w:val="00F70731"/>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 List,Bullet1,Use Case List Paragraph,List Paragraph1,Body Bullet,Table Number Paragraph,Colorful List - Accent 11,List Paragraph 1,Ref,B1,Figure_name,bu1,bu1 + Before:  0 pt,After:  6 pt,Bullet for no #'s,Paragraph,lp1,Bullet 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 List Diagrama,Bullet1 Diagrama,Use Case List Paragraph Diagrama,List Paragraph1 Diagrama,Body Bullet Diagrama,Table Number Paragraph Diagrama,Colorful List - Accent 11 Diagrama,List Paragraph 1 Diagrama,Ref Diagrama"/>
    <w:basedOn w:val="Numatytasispastraiposriftas"/>
    <w:link w:val="Sraopastraipa"/>
    <w:uiPriority w:val="34"/>
    <w:rsid w:val="009B2F9C"/>
    <w:rPr>
      <w:sz w:val="24"/>
      <w:szCs w:val="24"/>
      <w:lang w:eastAsia="en-US"/>
    </w:rPr>
  </w:style>
  <w:style w:type="paragraph" w:customStyle="1" w:styleId="Style1">
    <w:name w:val="Style1"/>
    <w:basedOn w:val="prastasis"/>
    <w:qFormat/>
    <w:rsid w:val="009B2F9C"/>
    <w:pPr>
      <w:ind w:firstLine="720"/>
    </w:pPr>
    <w:rPr>
      <w:color w:val="000000"/>
    </w:rPr>
  </w:style>
  <w:style w:type="paragraph" w:customStyle="1" w:styleId="Tekstas">
    <w:name w:val="Tekstas"/>
    <w:basedOn w:val="prastasis"/>
    <w:link w:val="TekstasChar"/>
    <w:qFormat/>
    <w:rsid w:val="003346B8"/>
    <w:pPr>
      <w:spacing w:after="120"/>
      <w:jc w:val="both"/>
    </w:pPr>
  </w:style>
  <w:style w:type="character" w:customStyle="1" w:styleId="TekstasChar">
    <w:name w:val="Tekstas Char"/>
    <w:link w:val="Tekstas"/>
    <w:rsid w:val="003346B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Vietosrezervavimoenklotekstas"/>
            </w:rPr>
            <w:t>Click here to enter a date.</w:t>
          </w:r>
        </w:p>
      </w:docPartBody>
    </w:docPart>
    <w:docPart>
      <w:docPartPr>
        <w:name w:val="B5DD268B8B439E49AA53F38DBAA54E63"/>
        <w:category>
          <w:name w:val="General"/>
          <w:gallery w:val="placeholder"/>
        </w:category>
        <w:types>
          <w:type w:val="bbPlcHdr"/>
        </w:types>
        <w:behaviors>
          <w:behavior w:val="content"/>
        </w:behaviors>
        <w:guid w:val="{727D055A-FCB6-7042-89A1-15958F3141AA}"/>
      </w:docPartPr>
      <w:docPartBody>
        <w:p w:rsidR="00165F12" w:rsidRDefault="008152E7" w:rsidP="008152E7">
          <w:pPr>
            <w:pStyle w:val="B5DD268B8B439E49AA53F38DBAA54E63"/>
          </w:pPr>
          <w:r>
            <w:rPr>
              <w:rStyle w:val="Vietosrezervavimoenklotekstas"/>
            </w:rPr>
            <w:t>Click here to enter a date.</w:t>
          </w:r>
        </w:p>
      </w:docPartBody>
    </w:docPart>
    <w:docPart>
      <w:docPartPr>
        <w:name w:val="C9BF9C47847C45A5BDF68A45A0982813"/>
        <w:category>
          <w:name w:val="General"/>
          <w:gallery w:val="placeholder"/>
        </w:category>
        <w:types>
          <w:type w:val="bbPlcHdr"/>
        </w:types>
        <w:behaviors>
          <w:behavior w:val="content"/>
        </w:behaviors>
        <w:guid w:val="{5A04D64D-53E8-4BB2-A90C-EDA90A5B6B1A}"/>
      </w:docPartPr>
      <w:docPartBody>
        <w:p w:rsidR="0079159E" w:rsidRDefault="0079159E" w:rsidP="0079159E">
          <w:pPr>
            <w:pStyle w:val="C9BF9C47847C45A5BDF68A45A0982813"/>
          </w:pPr>
          <w:r>
            <w:rPr>
              <w:rStyle w:val="Vietosrezervavimoenklotekstas"/>
            </w:rPr>
            <w:t>Click here to enter a date.</w:t>
          </w:r>
        </w:p>
      </w:docPartBody>
    </w:docPart>
    <w:docPart>
      <w:docPartPr>
        <w:name w:val="B66ACE57D4E745B182F4DB683C584E15"/>
        <w:category>
          <w:name w:val="General"/>
          <w:gallery w:val="placeholder"/>
        </w:category>
        <w:types>
          <w:type w:val="bbPlcHdr"/>
        </w:types>
        <w:behaviors>
          <w:behavior w:val="content"/>
        </w:behaviors>
        <w:guid w:val="{BEC639D0-B8E4-42D8-BAF1-3F9330DC1683}"/>
      </w:docPartPr>
      <w:docPartBody>
        <w:p w:rsidR="0079159E" w:rsidRDefault="0079159E" w:rsidP="0079159E">
          <w:pPr>
            <w:pStyle w:val="B66ACE57D4E745B182F4DB683C584E15"/>
          </w:pPr>
          <w:r>
            <w:rPr>
              <w:rStyle w:val="Vietosrezervavimoenklotekstas"/>
            </w:rPr>
            <w:t>Click here to enter a date.</w:t>
          </w:r>
        </w:p>
      </w:docPartBody>
    </w:docPart>
    <w:docPart>
      <w:docPartPr>
        <w:name w:val="6745F32A02BD4D0F95B4B2EC609C445A"/>
        <w:category>
          <w:name w:val="General"/>
          <w:gallery w:val="placeholder"/>
        </w:category>
        <w:types>
          <w:type w:val="bbPlcHdr"/>
        </w:types>
        <w:behaviors>
          <w:behavior w:val="content"/>
        </w:behaviors>
        <w:guid w:val="{1C9A6333-48E0-4AEC-8E9C-070BB588C832}"/>
      </w:docPartPr>
      <w:docPartBody>
        <w:p w:rsidR="0079159E" w:rsidRDefault="0079159E" w:rsidP="0079159E">
          <w:pPr>
            <w:pStyle w:val="6745F32A02BD4D0F95B4B2EC609C445A"/>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24E31"/>
    <w:rsid w:val="00142F50"/>
    <w:rsid w:val="00165F12"/>
    <w:rsid w:val="001909F6"/>
    <w:rsid w:val="001A0E47"/>
    <w:rsid w:val="001C35A9"/>
    <w:rsid w:val="00237556"/>
    <w:rsid w:val="00237C48"/>
    <w:rsid w:val="002B6D97"/>
    <w:rsid w:val="0039303B"/>
    <w:rsid w:val="004144A3"/>
    <w:rsid w:val="004160E7"/>
    <w:rsid w:val="004416C6"/>
    <w:rsid w:val="00456E96"/>
    <w:rsid w:val="004B0476"/>
    <w:rsid w:val="004F5AB2"/>
    <w:rsid w:val="005074B9"/>
    <w:rsid w:val="005468DD"/>
    <w:rsid w:val="005C62E5"/>
    <w:rsid w:val="005E40DD"/>
    <w:rsid w:val="007219C1"/>
    <w:rsid w:val="00736E2F"/>
    <w:rsid w:val="00753462"/>
    <w:rsid w:val="00772325"/>
    <w:rsid w:val="0079159E"/>
    <w:rsid w:val="007A2FE0"/>
    <w:rsid w:val="007B6244"/>
    <w:rsid w:val="007C1D92"/>
    <w:rsid w:val="007C6D1D"/>
    <w:rsid w:val="00805BE5"/>
    <w:rsid w:val="008152E7"/>
    <w:rsid w:val="0090074D"/>
    <w:rsid w:val="009860D1"/>
    <w:rsid w:val="009B3BF0"/>
    <w:rsid w:val="009D5E5E"/>
    <w:rsid w:val="009F1BB4"/>
    <w:rsid w:val="00AB6ED4"/>
    <w:rsid w:val="00B14210"/>
    <w:rsid w:val="00B22ED6"/>
    <w:rsid w:val="00B23DC0"/>
    <w:rsid w:val="00B7641C"/>
    <w:rsid w:val="00B96656"/>
    <w:rsid w:val="00C07C62"/>
    <w:rsid w:val="00C2401D"/>
    <w:rsid w:val="00C250D7"/>
    <w:rsid w:val="00C53A68"/>
    <w:rsid w:val="00CA5BB4"/>
    <w:rsid w:val="00CB236A"/>
    <w:rsid w:val="00CB4BD1"/>
    <w:rsid w:val="00CD139C"/>
    <w:rsid w:val="00CE2DA9"/>
    <w:rsid w:val="00CE44BE"/>
    <w:rsid w:val="00D0142D"/>
    <w:rsid w:val="00D07BEA"/>
    <w:rsid w:val="00D4356B"/>
    <w:rsid w:val="00D67EDE"/>
    <w:rsid w:val="00D7162F"/>
    <w:rsid w:val="00DB4DB5"/>
    <w:rsid w:val="00DE4D10"/>
    <w:rsid w:val="00E44A86"/>
    <w:rsid w:val="00E522EB"/>
    <w:rsid w:val="00E60827"/>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79159E"/>
    <w:rPr>
      <w:color w:val="808080"/>
    </w:rPr>
  </w:style>
  <w:style w:type="paragraph" w:customStyle="1" w:styleId="CDB60824EC144AB3B75C05A5823BEE2D">
    <w:name w:val="CDB60824EC144AB3B75C05A5823BEE2D"/>
    <w:rsid w:val="005E40DD"/>
  </w:style>
  <w:style w:type="paragraph" w:customStyle="1" w:styleId="B5DD268B8B439E49AA53F38DBAA54E63">
    <w:name w:val="B5DD268B8B439E49AA53F38DBAA54E63"/>
    <w:rsid w:val="008152E7"/>
    <w:pPr>
      <w:spacing w:after="0" w:line="240" w:lineRule="auto"/>
    </w:pPr>
    <w:rPr>
      <w:sz w:val="24"/>
      <w:szCs w:val="24"/>
      <w:lang w:eastAsia="en-GB"/>
    </w:rPr>
  </w:style>
  <w:style w:type="paragraph" w:customStyle="1" w:styleId="C9BF9C47847C45A5BDF68A45A0982813">
    <w:name w:val="C9BF9C47847C45A5BDF68A45A0982813"/>
    <w:rsid w:val="0079159E"/>
    <w:pPr>
      <w:spacing w:line="278" w:lineRule="auto"/>
    </w:pPr>
    <w:rPr>
      <w:kern w:val="2"/>
      <w:sz w:val="24"/>
      <w:szCs w:val="24"/>
      <w14:ligatures w14:val="standardContextual"/>
    </w:rPr>
  </w:style>
  <w:style w:type="paragraph" w:customStyle="1" w:styleId="B66ACE57D4E745B182F4DB683C584E15">
    <w:name w:val="B66ACE57D4E745B182F4DB683C584E15"/>
    <w:rsid w:val="0079159E"/>
    <w:pPr>
      <w:spacing w:line="278" w:lineRule="auto"/>
    </w:pPr>
    <w:rPr>
      <w:kern w:val="2"/>
      <w:sz w:val="24"/>
      <w:szCs w:val="24"/>
      <w14:ligatures w14:val="standardContextual"/>
    </w:rPr>
  </w:style>
  <w:style w:type="paragraph" w:customStyle="1" w:styleId="6745F32A02BD4D0F95B4B2EC609C445A">
    <w:name w:val="6745F32A02BD4D0F95B4B2EC609C445A"/>
    <w:rsid w:val="0079159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C73A8-D2BB-48D4-8308-7EC4DE2E2BE5}">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14045</Words>
  <Characters>8006</Characters>
  <Application>Microsoft Office Word</Application>
  <DocSecurity>0</DocSecurity>
  <Lines>66</Lines>
  <Paragraphs>44</Paragraphs>
  <ScaleCrop>false</ScaleCrop>
  <Company/>
  <LinksUpToDate>false</LinksUpToDate>
  <CharactersWithSpaces>22007</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2024-12-30T20:27:00Z</dcterms:created>
  <dcterms:modified xsi:type="dcterms:W3CDTF">2024-12-30T20:27:00Z</dcterms:modified>
</cp:coreProperties>
</file>