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580D9F" w:rsidRDefault="001B3C5B" w:rsidP="001B3C5B">
      <w:pPr>
        <w:ind w:left="6096"/>
      </w:pPr>
      <w:r w:rsidRPr="00580D9F">
        <w:t>Forma patvirtinta</w:t>
      </w:r>
    </w:p>
    <w:p w14:paraId="7206970B" w14:textId="70E9BD2E" w:rsidR="004C263A" w:rsidRPr="00580D9F" w:rsidRDefault="001B3C5B" w:rsidP="001B3C5B">
      <w:pPr>
        <w:ind w:left="6096"/>
      </w:pPr>
      <w:r w:rsidRPr="00580D9F">
        <w:t>Valstybinės vaistų kontrolės tarnybos prie Lietuvos Respublikos sveikatos apsaugos ministerijos viršininko 2021 m</w:t>
      </w:r>
      <w:r w:rsidR="004C263A" w:rsidRPr="00580D9F">
        <w:t xml:space="preserve">. lapkričio 12 </w:t>
      </w:r>
      <w:r w:rsidRPr="00580D9F">
        <w:t>d. įsakymu Nr.</w:t>
      </w:r>
      <w:r w:rsidR="004C263A" w:rsidRPr="00580D9F">
        <w:t xml:space="preserve"> (1.72E)1A-1418</w:t>
      </w:r>
    </w:p>
    <w:p w14:paraId="5B219AA6" w14:textId="520B9136" w:rsidR="001B3C5B" w:rsidRPr="00580D9F" w:rsidRDefault="004C263A" w:rsidP="001B3C5B">
      <w:pPr>
        <w:ind w:left="6096"/>
      </w:pPr>
      <w:r w:rsidRPr="00580D9F">
        <w:t>(Valstybinės vaistų kontrolės tarnybos prie Lietuvos Respublikos sveikatos apsaugos ministerijos viršininko 2022 m.                         d. įsakymo Nr.                    redakcija)</w:t>
      </w:r>
    </w:p>
    <w:p w14:paraId="3336BD74" w14:textId="77777777" w:rsidR="001B3C5B" w:rsidRPr="00580D9F" w:rsidRDefault="001B3C5B" w:rsidP="00FA4169"/>
    <w:p w14:paraId="77AFB67E" w14:textId="16397257" w:rsidR="00613501" w:rsidRPr="00580D9F" w:rsidRDefault="002F0E4F" w:rsidP="003B211A">
      <w:pPr>
        <w:jc w:val="center"/>
        <w:rPr>
          <w:b/>
          <w:bCs/>
          <w:caps/>
        </w:rPr>
      </w:pPr>
      <w:r w:rsidRPr="00580D9F">
        <w:rPr>
          <w:b/>
        </w:rPr>
        <w:t xml:space="preserve">REKOMENDACIJA DĖL VAISTINIO PREPARATO </w:t>
      </w:r>
      <w:r w:rsidRPr="00580D9F">
        <w:rPr>
          <w:b/>
          <w:bCs/>
          <w:caps/>
        </w:rPr>
        <w:t>Lietuvos Respublikos Sveikatos apsaugos ministerijos vaistinių preparatų ir medicinos pagalbos priemonių kompensavimo komisijai</w:t>
      </w:r>
    </w:p>
    <w:p w14:paraId="34E4395D" w14:textId="15FB10DF" w:rsidR="00B13D65" w:rsidRPr="00580D9F" w:rsidRDefault="00B13D65" w:rsidP="003B211A">
      <w:pPr>
        <w:jc w:val="center"/>
        <w:rPr>
          <w:b/>
        </w:rPr>
      </w:pPr>
    </w:p>
    <w:p w14:paraId="7FA09874" w14:textId="77777777" w:rsidR="00172E13" w:rsidRPr="00580D9F" w:rsidRDefault="00172E13" w:rsidP="00172E13">
      <w:pPr>
        <w:spacing w:line="276" w:lineRule="auto"/>
        <w:jc w:val="center"/>
        <w:rPr>
          <w:b/>
          <w:bCs/>
        </w:rPr>
      </w:pPr>
      <w:r w:rsidRPr="00580D9F">
        <w:rPr>
          <w:b/>
          <w:bCs/>
          <w:color w:val="000000"/>
        </w:rPr>
        <w:t>OPDIVO</w:t>
      </w:r>
      <w:r w:rsidRPr="00580D9F">
        <w:rPr>
          <w:b/>
          <w:bCs/>
          <w:color w:val="333333"/>
          <w:shd w:val="clear" w:color="auto" w:fill="FFFFFF"/>
        </w:rPr>
        <w:t xml:space="preserve"> 10 mg/ml</w:t>
      </w:r>
      <w:r w:rsidRPr="00580D9F">
        <w:rPr>
          <w:b/>
          <w:bCs/>
        </w:rPr>
        <w:t xml:space="preserve"> </w:t>
      </w:r>
      <w:r w:rsidRPr="00580D9F">
        <w:rPr>
          <w:b/>
          <w:bCs/>
          <w:color w:val="000000"/>
        </w:rPr>
        <w:t xml:space="preserve">koncentratas infuziniam tirpalui </w:t>
      </w:r>
    </w:p>
    <w:p w14:paraId="4F0587AF" w14:textId="77777777" w:rsidR="00172E13" w:rsidRPr="00580D9F" w:rsidRDefault="00172E13" w:rsidP="00172E13">
      <w:pPr>
        <w:spacing w:line="276" w:lineRule="auto"/>
        <w:jc w:val="center"/>
        <w:rPr>
          <w:rFonts w:eastAsia="Arial"/>
          <w:color w:val="000000"/>
        </w:rPr>
      </w:pPr>
    </w:p>
    <w:p w14:paraId="223333FF" w14:textId="77777777" w:rsidR="00172E13" w:rsidRPr="00580D9F" w:rsidRDefault="00172E13" w:rsidP="00172E13">
      <w:pPr>
        <w:spacing w:line="276" w:lineRule="auto"/>
        <w:jc w:val="center"/>
        <w:rPr>
          <w:b/>
          <w:bCs/>
        </w:rPr>
      </w:pPr>
      <w:proofErr w:type="spellStart"/>
      <w:r w:rsidRPr="00580D9F">
        <w:rPr>
          <w:rFonts w:eastAsia="Arial"/>
          <w:b/>
          <w:bCs/>
          <w:color w:val="000000"/>
        </w:rPr>
        <w:t>Nivolumabas</w:t>
      </w:r>
      <w:proofErr w:type="spellEnd"/>
    </w:p>
    <w:p w14:paraId="0DBA5D56" w14:textId="76E3CA0D" w:rsidR="00C71C63" w:rsidRPr="00580D9F" w:rsidRDefault="00C71C63" w:rsidP="00C71C63">
      <w:pPr>
        <w:spacing w:line="276" w:lineRule="auto"/>
        <w:jc w:val="center"/>
        <w:rPr>
          <w:b/>
        </w:rPr>
      </w:pPr>
      <w:r w:rsidRPr="00580D9F">
        <w:rPr>
          <w:b/>
        </w:rPr>
        <w:t>STV-90</w:t>
      </w:r>
    </w:p>
    <w:p w14:paraId="7245D69E" w14:textId="77777777" w:rsidR="00937907" w:rsidRPr="00580D9F" w:rsidRDefault="00937907" w:rsidP="00937907">
      <w:pPr>
        <w:jc w:val="center"/>
      </w:pPr>
    </w:p>
    <w:p w14:paraId="453197C8" w14:textId="77777777" w:rsidR="00D4708D" w:rsidRPr="00580D9F" w:rsidRDefault="00D4708D" w:rsidP="003B211A">
      <w:pPr>
        <w:jc w:val="center"/>
        <w:rPr>
          <w:b/>
        </w:rPr>
      </w:pPr>
    </w:p>
    <w:p w14:paraId="78C89D1C" w14:textId="0DEFFAA5" w:rsidR="00D4485B" w:rsidRPr="00580D9F" w:rsidRDefault="00B13D65" w:rsidP="00CC09D4">
      <w:pPr>
        <w:pStyle w:val="ListParagraph"/>
        <w:numPr>
          <w:ilvl w:val="0"/>
          <w:numId w:val="12"/>
        </w:numPr>
        <w:tabs>
          <w:tab w:val="left" w:pos="567"/>
        </w:tabs>
        <w:ind w:left="567" w:hanging="567"/>
        <w:rPr>
          <w:b/>
          <w:bCs/>
          <w:caps/>
        </w:rPr>
      </w:pPr>
      <w:r w:rsidRPr="00580D9F">
        <w:rPr>
          <w:b/>
          <w:bCs/>
          <w:caps/>
        </w:rPr>
        <w:t>Bendroji dalis</w:t>
      </w:r>
    </w:p>
    <w:p w14:paraId="04A7C7A7" w14:textId="77777777" w:rsidR="00B13D65" w:rsidRPr="00580D9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EA3484" w:rsidRPr="00580D9F" w14:paraId="18A83EC2" w14:textId="77777777" w:rsidTr="00BE7489">
        <w:trPr>
          <w:trHeight w:val="538"/>
        </w:trPr>
        <w:tc>
          <w:tcPr>
            <w:tcW w:w="632" w:type="dxa"/>
          </w:tcPr>
          <w:p w14:paraId="0646FBEA" w14:textId="77777777" w:rsidR="00EA3484" w:rsidRPr="00580D9F" w:rsidRDefault="00EA3484" w:rsidP="00EA3484">
            <w:pPr>
              <w:rPr>
                <w:rFonts w:eastAsia="Arial"/>
              </w:rPr>
            </w:pPr>
            <w:r w:rsidRPr="00580D9F">
              <w:rPr>
                <w:rFonts w:eastAsia="Arial"/>
              </w:rPr>
              <w:t>1.1</w:t>
            </w:r>
          </w:p>
        </w:tc>
        <w:tc>
          <w:tcPr>
            <w:tcW w:w="3694" w:type="dxa"/>
          </w:tcPr>
          <w:p w14:paraId="6C3AE864" w14:textId="77777777" w:rsidR="00EA3484" w:rsidRPr="00580D9F" w:rsidRDefault="00EA3484" w:rsidP="00EA3484">
            <w:pPr>
              <w:rPr>
                <w:rFonts w:eastAsia="Arial"/>
              </w:rPr>
            </w:pPr>
            <w:r w:rsidRPr="00580D9F">
              <w:rPr>
                <w:rFonts w:eastAsia="Arial"/>
              </w:rPr>
              <w:t>Pareiškėjas</w:t>
            </w:r>
          </w:p>
          <w:p w14:paraId="2AF240DC" w14:textId="77777777" w:rsidR="00EA3484" w:rsidRPr="00580D9F" w:rsidRDefault="00EA3484" w:rsidP="00EA3484">
            <w:pPr>
              <w:rPr>
                <w:rFonts w:eastAsia="Arial"/>
              </w:rPr>
            </w:pPr>
          </w:p>
        </w:tc>
        <w:tc>
          <w:tcPr>
            <w:tcW w:w="5167" w:type="dxa"/>
          </w:tcPr>
          <w:p w14:paraId="2AAF0D91" w14:textId="6FE191BB" w:rsidR="00EA3484" w:rsidRPr="00580D9F" w:rsidRDefault="00EA3484" w:rsidP="00EA3484">
            <w:pPr>
              <w:rPr>
                <w:rFonts w:eastAsia="Arial"/>
              </w:rPr>
            </w:pPr>
            <w:r w:rsidRPr="00580D9F">
              <w:rPr>
                <w:lang w:eastAsia="lt-LT"/>
              </w:rPr>
              <w:t xml:space="preserve">Swixx </w:t>
            </w:r>
            <w:proofErr w:type="spellStart"/>
            <w:r w:rsidRPr="00580D9F">
              <w:rPr>
                <w:lang w:eastAsia="lt-LT"/>
              </w:rPr>
              <w:t>Biopharma</w:t>
            </w:r>
            <w:proofErr w:type="spellEnd"/>
            <w:r w:rsidRPr="00580D9F">
              <w:rPr>
                <w:lang w:eastAsia="lt-LT"/>
              </w:rPr>
              <w:t>, UAB</w:t>
            </w:r>
          </w:p>
        </w:tc>
      </w:tr>
      <w:tr w:rsidR="00EA3484" w:rsidRPr="00580D9F" w14:paraId="31998B0D" w14:textId="77777777" w:rsidTr="00BE7489">
        <w:trPr>
          <w:trHeight w:val="538"/>
        </w:trPr>
        <w:tc>
          <w:tcPr>
            <w:tcW w:w="632" w:type="dxa"/>
          </w:tcPr>
          <w:p w14:paraId="2005EC67" w14:textId="662300D0" w:rsidR="00EA3484" w:rsidRPr="00580D9F" w:rsidRDefault="00EA3484" w:rsidP="00EA3484">
            <w:pPr>
              <w:rPr>
                <w:rFonts w:eastAsia="Arial"/>
              </w:rPr>
            </w:pPr>
            <w:r w:rsidRPr="00580D9F">
              <w:rPr>
                <w:rFonts w:eastAsia="Arial"/>
              </w:rPr>
              <w:t>1.2</w:t>
            </w:r>
          </w:p>
        </w:tc>
        <w:tc>
          <w:tcPr>
            <w:tcW w:w="3694" w:type="dxa"/>
          </w:tcPr>
          <w:p w14:paraId="1E4AE3B1" w14:textId="77777777" w:rsidR="00EA3484" w:rsidRPr="00580D9F" w:rsidRDefault="00EA3484" w:rsidP="00EA3484">
            <w:pPr>
              <w:rPr>
                <w:bCs/>
                <w:color w:val="000000"/>
                <w:lang w:eastAsia="lt-LT"/>
              </w:rPr>
            </w:pPr>
            <w:r w:rsidRPr="00580D9F">
              <w:rPr>
                <w:bCs/>
                <w:color w:val="000000"/>
                <w:lang w:eastAsia="lt-LT"/>
              </w:rPr>
              <w:t xml:space="preserve">Registracijos data </w:t>
            </w:r>
          </w:p>
          <w:p w14:paraId="3A0DC096" w14:textId="77777777" w:rsidR="00EA3484" w:rsidRPr="00580D9F" w:rsidRDefault="00EA3484" w:rsidP="00EA3484">
            <w:pPr>
              <w:rPr>
                <w:bCs/>
                <w:color w:val="000000"/>
                <w:lang w:eastAsia="lt-LT"/>
              </w:rPr>
            </w:pPr>
          </w:p>
        </w:tc>
        <w:tc>
          <w:tcPr>
            <w:tcW w:w="5167" w:type="dxa"/>
          </w:tcPr>
          <w:p w14:paraId="3CA218AD" w14:textId="1C72D528" w:rsidR="00EA3484" w:rsidRPr="00580D9F" w:rsidRDefault="00000000" w:rsidP="00EA3484">
            <w:pPr>
              <w:rPr>
                <w:rStyle w:val="Style2"/>
              </w:rPr>
            </w:pPr>
            <w:sdt>
              <w:sdtPr>
                <w:rPr>
                  <w:color w:val="000000" w:themeColor="text1"/>
                  <w:sz w:val="32"/>
                  <w:shd w:val="clear" w:color="auto" w:fill="FFFFFF"/>
                  <w:lang w:eastAsia="en-GB"/>
                </w:rPr>
                <w:alias w:val="Nurodykite konkrečią dieną"/>
                <w:tag w:val="Nurodykite pradžios datą"/>
                <w:id w:val="423238108"/>
                <w:placeholder>
                  <w:docPart w:val="EC638ECBDB194C6A937310DF88763A81"/>
                </w:placeholder>
                <w:date>
                  <w:dateFormat w:val="yyyy 'm.' MMMM d 'd.'"/>
                  <w:lid w:val="lt-LT"/>
                  <w:storeMappedDataAs w:val="dateTime"/>
                  <w:calendar w:val="gregorian"/>
                </w:date>
              </w:sdtPr>
              <w:sdtContent>
                <w:proofErr w:type="spellStart"/>
                <w:r w:rsidR="00EA3484" w:rsidRPr="00580D9F">
                  <w:rPr>
                    <w:color w:val="000000" w:themeColor="text1"/>
                    <w:shd w:val="clear" w:color="auto" w:fill="FFFFFF"/>
                    <w:lang w:eastAsia="en-GB"/>
                  </w:rPr>
                  <w:t>Opdivo</w:t>
                </w:r>
                <w:proofErr w:type="spellEnd"/>
                <w:r w:rsidR="00EA3484" w:rsidRPr="00580D9F">
                  <w:rPr>
                    <w:color w:val="000000" w:themeColor="text1"/>
                    <w:shd w:val="clear" w:color="auto" w:fill="FFFFFF"/>
                    <w:lang w:eastAsia="en-GB"/>
                  </w:rPr>
                  <w:t xml:space="preserve"> 2015 m. birželio 19 d.</w:t>
                </w:r>
              </w:sdtContent>
            </w:sdt>
            <w:r w:rsidR="00EA3484" w:rsidRPr="00580D9F">
              <w:rPr>
                <w:color w:val="000000" w:themeColor="text1"/>
                <w:shd w:val="clear" w:color="auto" w:fill="FFFFFF"/>
                <w:lang w:eastAsia="en-GB"/>
              </w:rPr>
              <w:t xml:space="preserve">; </w:t>
            </w:r>
          </w:p>
        </w:tc>
      </w:tr>
      <w:tr w:rsidR="00B13D65" w:rsidRPr="00580D9F" w14:paraId="15968AE1" w14:textId="77777777" w:rsidTr="00BE7489">
        <w:trPr>
          <w:trHeight w:val="1500"/>
        </w:trPr>
        <w:tc>
          <w:tcPr>
            <w:tcW w:w="632" w:type="dxa"/>
          </w:tcPr>
          <w:p w14:paraId="6A784245" w14:textId="1E461489" w:rsidR="00B13D65" w:rsidRPr="00580D9F" w:rsidRDefault="002E0702" w:rsidP="00824B92">
            <w:pPr>
              <w:rPr>
                <w:rFonts w:eastAsia="Arial"/>
              </w:rPr>
            </w:pPr>
            <w:r w:rsidRPr="00580D9F">
              <w:rPr>
                <w:rFonts w:eastAsia="Arial"/>
              </w:rPr>
              <w:t>1.3</w:t>
            </w:r>
          </w:p>
        </w:tc>
        <w:tc>
          <w:tcPr>
            <w:tcW w:w="3694" w:type="dxa"/>
          </w:tcPr>
          <w:p w14:paraId="22933506" w14:textId="77777777" w:rsidR="00B13D65" w:rsidRPr="00580D9F" w:rsidRDefault="00B13D65" w:rsidP="00824B92">
            <w:r w:rsidRPr="00580D9F">
              <w:t xml:space="preserve">Paraiškos tipas </w:t>
            </w:r>
          </w:p>
          <w:p w14:paraId="0465E680" w14:textId="7F0A0714" w:rsidR="00B13D65" w:rsidRPr="00580D9F" w:rsidRDefault="00B13D65" w:rsidP="00824B92">
            <w:r w:rsidRPr="00580D9F">
              <w:t>(</w:t>
            </w:r>
            <w:r w:rsidR="00695CD3" w:rsidRPr="00580D9F">
              <w:t xml:space="preserve">pagal </w:t>
            </w:r>
            <w:r w:rsidR="0039696E" w:rsidRPr="00580D9F">
              <w:rPr>
                <w:color w:val="333333"/>
                <w:shd w:val="clear" w:color="auto" w:fill="FFFFFF"/>
              </w:rPr>
              <w:t>vaistinio preparato registracijos tipą, įtvirtintą</w:t>
            </w:r>
            <w:r w:rsidR="0039696E" w:rsidRPr="00580D9F">
              <w:t xml:space="preserve"> </w:t>
            </w:r>
            <w:r w:rsidRPr="00580D9F">
              <w:t>Direktyv</w:t>
            </w:r>
            <w:r w:rsidR="00695CD3" w:rsidRPr="00580D9F">
              <w:t>os</w:t>
            </w:r>
            <w:r w:rsidRPr="00580D9F">
              <w:t xml:space="preserve"> 2001/83/EB</w:t>
            </w:r>
            <w:r w:rsidR="00695CD3" w:rsidRPr="00580D9F">
              <w:t xml:space="preserve"> </w:t>
            </w:r>
            <w:proofErr w:type="spellStart"/>
            <w:r w:rsidR="00695CD3" w:rsidRPr="00580D9F">
              <w:t>straips</w:t>
            </w:r>
            <w:r w:rsidR="0039696E" w:rsidRPr="00580D9F">
              <w:t>iuose</w:t>
            </w:r>
            <w:proofErr w:type="spellEnd"/>
            <w:r w:rsidRPr="00580D9F">
              <w:t>)</w:t>
            </w:r>
          </w:p>
          <w:p w14:paraId="77089D80" w14:textId="6681D72A" w:rsidR="00B13D65" w:rsidRPr="00580D9F" w:rsidRDefault="00B13D65" w:rsidP="00824B92">
            <w:pPr>
              <w:rPr>
                <w:bCs/>
                <w:color w:val="000000"/>
                <w:lang w:eastAsia="lt-LT"/>
              </w:rPr>
            </w:pPr>
          </w:p>
        </w:tc>
        <w:tc>
          <w:tcPr>
            <w:tcW w:w="5167" w:type="dxa"/>
          </w:tcPr>
          <w:p w14:paraId="208F40EC" w14:textId="2F4EA9C5" w:rsidR="00B13D65" w:rsidRPr="00580D9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sidRPr="00580D9F">
                  <w:rPr>
                    <w:rStyle w:val="Style2"/>
                    <w:rFonts w:ascii="MS Gothic" w:eastAsia="MS Gothic" w:hAnsi="MS Gothic" w:hint="eastAsia"/>
                    <w:sz w:val="22"/>
                    <w:szCs w:val="22"/>
                  </w:rPr>
                  <w:t>☒</w:t>
                </w:r>
              </w:sdtContent>
            </w:sdt>
            <w:r w:rsidR="00B13D65" w:rsidRPr="00580D9F">
              <w:rPr>
                <w:sz w:val="22"/>
                <w:szCs w:val="22"/>
              </w:rPr>
              <w:t xml:space="preserve">8.3 str. (pilna byla, pagrįsta savais tyrimais) </w:t>
            </w:r>
          </w:p>
          <w:p w14:paraId="32BA564E" w14:textId="3FDA3E01" w:rsidR="00B13D65" w:rsidRPr="00580D9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580D9F">
                  <w:rPr>
                    <w:rStyle w:val="Style2"/>
                    <w:rFonts w:ascii="Segoe UI Symbol" w:eastAsia="MS Gothic" w:hAnsi="Segoe UI Symbol" w:cs="Segoe UI Symbol"/>
                    <w:sz w:val="22"/>
                    <w:szCs w:val="22"/>
                  </w:rPr>
                  <w:t>☐</w:t>
                </w:r>
              </w:sdtContent>
            </w:sdt>
            <w:r w:rsidR="00B13D65" w:rsidRPr="00580D9F">
              <w:rPr>
                <w:sz w:val="22"/>
                <w:szCs w:val="22"/>
              </w:rPr>
              <w:t xml:space="preserve">10 a str. (pripažintas medicininis vartojimas) </w:t>
            </w:r>
          </w:p>
          <w:p w14:paraId="318DCD7F" w14:textId="32333E53" w:rsidR="00B13D65" w:rsidRPr="00580D9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580D9F">
                  <w:rPr>
                    <w:rStyle w:val="Style2"/>
                    <w:rFonts w:ascii="Segoe UI Symbol" w:eastAsia="MS Gothic" w:hAnsi="Segoe UI Symbol" w:cs="Segoe UI Symbol"/>
                    <w:sz w:val="22"/>
                    <w:szCs w:val="22"/>
                  </w:rPr>
                  <w:t>☐</w:t>
                </w:r>
              </w:sdtContent>
            </w:sdt>
            <w:r w:rsidR="00B13D65" w:rsidRPr="00580D9F">
              <w:rPr>
                <w:sz w:val="22"/>
                <w:szCs w:val="22"/>
              </w:rPr>
              <w:t>10.1 str. (</w:t>
            </w:r>
            <w:proofErr w:type="spellStart"/>
            <w:r w:rsidR="00B13D65" w:rsidRPr="00580D9F">
              <w:rPr>
                <w:sz w:val="22"/>
                <w:szCs w:val="22"/>
              </w:rPr>
              <w:t>generinis</w:t>
            </w:r>
            <w:proofErr w:type="spellEnd"/>
            <w:r w:rsidR="00B13D65" w:rsidRPr="00580D9F">
              <w:rPr>
                <w:sz w:val="22"/>
                <w:szCs w:val="22"/>
              </w:rPr>
              <w:t>)</w:t>
            </w:r>
          </w:p>
          <w:p w14:paraId="3B0A4F72" w14:textId="3F5FB073" w:rsidR="00B13D65" w:rsidRPr="00580D9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580D9F">
                  <w:rPr>
                    <w:rStyle w:val="Style2"/>
                    <w:rFonts w:ascii="Segoe UI Symbol" w:eastAsia="MS Gothic" w:hAnsi="Segoe UI Symbol" w:cs="Segoe UI Symbol"/>
                    <w:sz w:val="22"/>
                    <w:szCs w:val="22"/>
                  </w:rPr>
                  <w:t>☐</w:t>
                </w:r>
              </w:sdtContent>
            </w:sdt>
            <w:r w:rsidR="00B13D65" w:rsidRPr="00580D9F">
              <w:rPr>
                <w:sz w:val="22"/>
                <w:szCs w:val="22"/>
              </w:rPr>
              <w:t>10.3 str. (hibridinis)</w:t>
            </w:r>
          </w:p>
        </w:tc>
      </w:tr>
      <w:tr w:rsidR="00B13D65" w:rsidRPr="00580D9F" w14:paraId="310E9662" w14:textId="77777777" w:rsidTr="00BE7489">
        <w:trPr>
          <w:trHeight w:val="1442"/>
        </w:trPr>
        <w:tc>
          <w:tcPr>
            <w:tcW w:w="632" w:type="dxa"/>
          </w:tcPr>
          <w:p w14:paraId="4B5A91A2" w14:textId="561B5E5F" w:rsidR="00B13D65" w:rsidRPr="00580D9F" w:rsidRDefault="00B13D65" w:rsidP="00824B92">
            <w:pPr>
              <w:rPr>
                <w:rFonts w:eastAsia="Arial"/>
              </w:rPr>
            </w:pPr>
            <w:r w:rsidRPr="00580D9F">
              <w:rPr>
                <w:rFonts w:eastAsia="Arial"/>
              </w:rPr>
              <w:t>1.</w:t>
            </w:r>
            <w:r w:rsidR="002E0702" w:rsidRPr="00580D9F">
              <w:rPr>
                <w:rFonts w:eastAsia="Arial"/>
              </w:rPr>
              <w:t>4</w:t>
            </w:r>
          </w:p>
        </w:tc>
        <w:tc>
          <w:tcPr>
            <w:tcW w:w="3694" w:type="dxa"/>
          </w:tcPr>
          <w:p w14:paraId="6C91E105" w14:textId="77777777" w:rsidR="00B13D65" w:rsidRPr="00580D9F" w:rsidRDefault="00B13D65" w:rsidP="00824B92">
            <w:pPr>
              <w:rPr>
                <w:bCs/>
                <w:color w:val="000000"/>
                <w:lang w:eastAsia="lt-LT"/>
              </w:rPr>
            </w:pPr>
            <w:r w:rsidRPr="00580D9F">
              <w:rPr>
                <w:bCs/>
                <w:color w:val="000000"/>
                <w:lang w:eastAsia="lt-LT"/>
              </w:rPr>
              <w:t xml:space="preserve">Ar vaistinis preparatas įrašytas į Bendrijos retųjų vaistinių preparatų registrą? </w:t>
            </w:r>
          </w:p>
          <w:p w14:paraId="483071A3" w14:textId="2FEB27F0" w:rsidR="00B13D65" w:rsidRPr="00580D9F" w:rsidRDefault="00B13D65" w:rsidP="00824B92">
            <w:pPr>
              <w:rPr>
                <w:bCs/>
                <w:color w:val="000000"/>
                <w:lang w:eastAsia="lt-LT"/>
              </w:rPr>
            </w:pPr>
          </w:p>
        </w:tc>
        <w:tc>
          <w:tcPr>
            <w:tcW w:w="5167" w:type="dxa"/>
          </w:tcPr>
          <w:p w14:paraId="05845C60" w14:textId="10CF4033" w:rsidR="00B13D65" w:rsidRPr="00580D9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580D9F">
                  <w:rPr>
                    <w:rStyle w:val="Style2"/>
                    <w:rFonts w:ascii="MS Gothic" w:eastAsia="MS Gothic" w:hAnsi="MS Gothic" w:hint="eastAsia"/>
                    <w:sz w:val="24"/>
                  </w:rPr>
                  <w:t>☐</w:t>
                </w:r>
              </w:sdtContent>
            </w:sdt>
            <w:r w:rsidR="00B13D65" w:rsidRPr="00580D9F">
              <w:t xml:space="preserve"> Taip</w:t>
            </w:r>
          </w:p>
          <w:p w14:paraId="41D88067" w14:textId="50A2D786" w:rsidR="00B13D65" w:rsidRPr="00580D9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sidRPr="00580D9F">
                  <w:rPr>
                    <w:rStyle w:val="Style2"/>
                    <w:rFonts w:ascii="MS Gothic" w:eastAsia="MS Gothic" w:hAnsi="MS Gothic" w:hint="eastAsia"/>
                    <w:sz w:val="24"/>
                  </w:rPr>
                  <w:t>☒</w:t>
                </w:r>
              </w:sdtContent>
            </w:sdt>
            <w:r w:rsidR="00B13D65" w:rsidRPr="00580D9F">
              <w:t xml:space="preserve"> Ne</w:t>
            </w:r>
          </w:p>
          <w:p w14:paraId="29C2CBBB" w14:textId="77777777" w:rsidR="00B13D65" w:rsidRPr="00580D9F"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580D9F">
                  <w:rPr>
                    <w:rStyle w:val="PlaceholderText"/>
                  </w:rPr>
                  <w:t>Click here to enter a date.</w:t>
                </w:r>
              </w:sdtContent>
            </w:sdt>
          </w:p>
        </w:tc>
      </w:tr>
      <w:tr w:rsidR="00D417D2" w:rsidRPr="00580D9F" w14:paraId="7841E5F8" w14:textId="77777777" w:rsidTr="00BE7489">
        <w:trPr>
          <w:trHeight w:val="476"/>
        </w:trPr>
        <w:tc>
          <w:tcPr>
            <w:tcW w:w="632" w:type="dxa"/>
          </w:tcPr>
          <w:p w14:paraId="109D2861" w14:textId="73BF27DF" w:rsidR="00D417D2" w:rsidRPr="00580D9F" w:rsidRDefault="00D417D2" w:rsidP="00824B92">
            <w:pPr>
              <w:rPr>
                <w:rFonts w:eastAsia="Arial"/>
              </w:rPr>
            </w:pPr>
            <w:r w:rsidRPr="00580D9F">
              <w:rPr>
                <w:rFonts w:eastAsia="Arial"/>
              </w:rPr>
              <w:t>1.5</w:t>
            </w:r>
          </w:p>
        </w:tc>
        <w:tc>
          <w:tcPr>
            <w:tcW w:w="3694" w:type="dxa"/>
          </w:tcPr>
          <w:p w14:paraId="7822D63E" w14:textId="68C38334" w:rsidR="00D417D2" w:rsidRPr="00580D9F" w:rsidRDefault="00D417D2" w:rsidP="00824B92">
            <w:pPr>
              <w:rPr>
                <w:bCs/>
                <w:color w:val="000000"/>
                <w:lang w:eastAsia="lt-LT"/>
              </w:rPr>
            </w:pPr>
            <w:r w:rsidRPr="00580D9F">
              <w:t>STV paraiškos pobūdis</w:t>
            </w:r>
          </w:p>
        </w:tc>
        <w:tc>
          <w:tcPr>
            <w:tcW w:w="5167" w:type="dxa"/>
          </w:tcPr>
          <w:p w14:paraId="403461B9" w14:textId="68A37216" w:rsidR="00D417D2" w:rsidRPr="00580D9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sidRPr="00580D9F">
                  <w:rPr>
                    <w:rStyle w:val="Style2"/>
                    <w:rFonts w:ascii="MS Gothic" w:eastAsia="MS Gothic" w:hAnsi="MS Gothic" w:hint="eastAsia"/>
                    <w:sz w:val="24"/>
                  </w:rPr>
                  <w:t>☒</w:t>
                </w:r>
              </w:sdtContent>
            </w:sdt>
            <w:r w:rsidR="00D417D2" w:rsidRPr="00580D9F">
              <w:t xml:space="preserve"> Pilna paraiška</w:t>
            </w:r>
          </w:p>
          <w:p w14:paraId="6B8213E3" w14:textId="3495CDF4" w:rsidR="00D417D2" w:rsidRPr="00580D9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580D9F">
                  <w:rPr>
                    <w:rStyle w:val="Style2"/>
                    <w:rFonts w:ascii="MS Gothic" w:eastAsia="MS Gothic" w:hAnsi="MS Gothic" w:hint="eastAsia"/>
                    <w:sz w:val="24"/>
                  </w:rPr>
                  <w:t>☐</w:t>
                </w:r>
              </w:sdtContent>
            </w:sdt>
            <w:r w:rsidR="00D417D2" w:rsidRPr="00580D9F">
              <w:t xml:space="preserve"> Supaprastinta paraiška</w:t>
            </w:r>
          </w:p>
        </w:tc>
      </w:tr>
      <w:tr w:rsidR="00B13D65" w:rsidRPr="00580D9F" w14:paraId="274D1DAF" w14:textId="77777777" w:rsidTr="00BE7489">
        <w:trPr>
          <w:trHeight w:val="1922"/>
        </w:trPr>
        <w:tc>
          <w:tcPr>
            <w:tcW w:w="632" w:type="dxa"/>
          </w:tcPr>
          <w:p w14:paraId="17ABF217" w14:textId="14AC00D7" w:rsidR="00B13D65" w:rsidRPr="00580D9F" w:rsidRDefault="00B13D65" w:rsidP="00824B92">
            <w:pPr>
              <w:rPr>
                <w:rFonts w:eastAsia="Arial"/>
              </w:rPr>
            </w:pPr>
            <w:r w:rsidRPr="00580D9F">
              <w:rPr>
                <w:rFonts w:eastAsia="Arial"/>
              </w:rPr>
              <w:t>1.</w:t>
            </w:r>
            <w:r w:rsidR="00D417D2" w:rsidRPr="00580D9F">
              <w:rPr>
                <w:rFonts w:eastAsia="Arial"/>
              </w:rPr>
              <w:t>6</w:t>
            </w:r>
          </w:p>
        </w:tc>
        <w:tc>
          <w:tcPr>
            <w:tcW w:w="3694" w:type="dxa"/>
          </w:tcPr>
          <w:p w14:paraId="4D49DBF5" w14:textId="77777777" w:rsidR="007656B2" w:rsidRPr="00580D9F" w:rsidRDefault="00DE4484" w:rsidP="00824B92">
            <w:pPr>
              <w:rPr>
                <w:bCs/>
                <w:color w:val="000000"/>
                <w:lang w:eastAsia="lt-LT"/>
              </w:rPr>
            </w:pPr>
            <w:r w:rsidRPr="00580D9F">
              <w:rPr>
                <w:bCs/>
                <w:color w:val="000000"/>
                <w:lang w:eastAsia="lt-LT"/>
              </w:rPr>
              <w:t>Par</w:t>
            </w:r>
            <w:r w:rsidR="007656B2" w:rsidRPr="00580D9F">
              <w:rPr>
                <w:bCs/>
                <w:color w:val="000000"/>
                <w:lang w:eastAsia="lt-LT"/>
              </w:rPr>
              <w:t>eiškėjo t</w:t>
            </w:r>
            <w:r w:rsidR="00B13D65" w:rsidRPr="00580D9F">
              <w:rPr>
                <w:bCs/>
                <w:color w:val="000000"/>
                <w:lang w:eastAsia="lt-LT"/>
              </w:rPr>
              <w:t>eikiama (-</w:t>
            </w:r>
            <w:proofErr w:type="spellStart"/>
            <w:r w:rsidR="00B13D65" w:rsidRPr="00580D9F">
              <w:rPr>
                <w:bCs/>
                <w:color w:val="000000"/>
                <w:lang w:eastAsia="lt-LT"/>
              </w:rPr>
              <w:t>os</w:t>
            </w:r>
            <w:proofErr w:type="spellEnd"/>
            <w:r w:rsidR="00B13D65" w:rsidRPr="00580D9F">
              <w:rPr>
                <w:bCs/>
                <w:color w:val="000000"/>
                <w:lang w:eastAsia="lt-LT"/>
              </w:rPr>
              <w:t>) kompensuoti vaistinio preparato indikacija (-</w:t>
            </w:r>
            <w:proofErr w:type="spellStart"/>
            <w:r w:rsidR="00B13D65" w:rsidRPr="00580D9F">
              <w:rPr>
                <w:bCs/>
                <w:color w:val="000000"/>
                <w:lang w:eastAsia="lt-LT"/>
              </w:rPr>
              <w:t>os</w:t>
            </w:r>
            <w:proofErr w:type="spellEnd"/>
            <w:r w:rsidR="00B13D65" w:rsidRPr="00580D9F">
              <w:rPr>
                <w:bCs/>
                <w:color w:val="000000"/>
                <w:lang w:eastAsia="lt-LT"/>
              </w:rPr>
              <w:t>)</w:t>
            </w:r>
          </w:p>
          <w:p w14:paraId="3FB07EE5" w14:textId="39AB446B" w:rsidR="00AE1322" w:rsidRPr="00580D9F" w:rsidRDefault="00AE1322" w:rsidP="00824B92">
            <w:pPr>
              <w:rPr>
                <w:bCs/>
                <w:color w:val="000000"/>
                <w:lang w:eastAsia="lt-LT"/>
              </w:rPr>
            </w:pPr>
          </w:p>
          <w:p w14:paraId="3A6B054C" w14:textId="77777777" w:rsidR="00AE1322" w:rsidRPr="00580D9F" w:rsidRDefault="00AE1322" w:rsidP="00824B92">
            <w:pPr>
              <w:rPr>
                <w:bCs/>
                <w:color w:val="000000"/>
                <w:lang w:eastAsia="lt-LT"/>
              </w:rPr>
            </w:pPr>
          </w:p>
          <w:p w14:paraId="6B4FEEC1" w14:textId="378668B0" w:rsidR="00B13D65" w:rsidRPr="00580D9F" w:rsidRDefault="007656B2" w:rsidP="00824B92">
            <w:pPr>
              <w:rPr>
                <w:bCs/>
                <w:color w:val="000000"/>
                <w:lang w:eastAsia="lt-LT"/>
              </w:rPr>
            </w:pPr>
            <w:r w:rsidRPr="00580D9F">
              <w:rPr>
                <w:bCs/>
                <w:color w:val="000000"/>
                <w:lang w:eastAsia="lt-LT"/>
              </w:rPr>
              <w:t>K</w:t>
            </w:r>
            <w:r w:rsidR="00B13D65" w:rsidRPr="00580D9F">
              <w:rPr>
                <w:bCs/>
                <w:color w:val="000000"/>
                <w:lang w:eastAsia="lt-LT"/>
              </w:rPr>
              <w:t>odas</w:t>
            </w:r>
            <w:r w:rsidRPr="00580D9F">
              <w:rPr>
                <w:bCs/>
                <w:color w:val="000000"/>
                <w:lang w:eastAsia="lt-LT"/>
              </w:rPr>
              <w:t xml:space="preserve"> pagal TLK-10 AM</w:t>
            </w:r>
          </w:p>
        </w:tc>
        <w:tc>
          <w:tcPr>
            <w:tcW w:w="5167" w:type="dxa"/>
          </w:tcPr>
          <w:p w14:paraId="61FFAE78" w14:textId="77777777" w:rsidR="00EA3484" w:rsidRPr="00580D9F" w:rsidRDefault="00EA3484" w:rsidP="00EA3484">
            <w:pPr>
              <w:pStyle w:val="ListParagraph"/>
              <w:spacing w:after="120" w:line="276" w:lineRule="auto"/>
              <w:ind w:left="0"/>
              <w:contextualSpacing w:val="0"/>
              <w:jc w:val="both"/>
            </w:pPr>
            <w:r w:rsidRPr="00580D9F">
              <w:t xml:space="preserve">Pagal registruotą indikaciją - </w:t>
            </w:r>
            <w:r w:rsidRPr="00580D9F">
              <w:rPr>
                <w:color w:val="000000"/>
                <w:lang w:eastAsia="lt-LT"/>
              </w:rPr>
              <w:t xml:space="preserve">OPDIVO yra skirtas </w:t>
            </w:r>
            <w:r w:rsidRPr="00580D9F">
              <w:rPr>
                <w:b/>
                <w:color w:val="000000"/>
                <w:lang w:eastAsia="lt-LT"/>
              </w:rPr>
              <w:t xml:space="preserve">pažeidusios limfmazgius arba </w:t>
            </w:r>
            <w:proofErr w:type="spellStart"/>
            <w:r w:rsidRPr="00580D9F">
              <w:rPr>
                <w:b/>
                <w:color w:val="000000"/>
                <w:lang w:eastAsia="lt-LT"/>
              </w:rPr>
              <w:t>metastazavusios</w:t>
            </w:r>
            <w:proofErr w:type="spellEnd"/>
            <w:r w:rsidRPr="00580D9F">
              <w:rPr>
                <w:b/>
                <w:color w:val="000000"/>
                <w:lang w:eastAsia="lt-LT"/>
              </w:rPr>
              <w:t xml:space="preserve"> melanomos</w:t>
            </w:r>
            <w:r w:rsidRPr="00580D9F">
              <w:rPr>
                <w:color w:val="000000"/>
                <w:lang w:eastAsia="lt-LT"/>
              </w:rPr>
              <w:t xml:space="preserve">, </w:t>
            </w:r>
            <w:r w:rsidRPr="00580D9F">
              <w:rPr>
                <w:b/>
                <w:color w:val="000000"/>
                <w:lang w:eastAsia="lt-LT"/>
              </w:rPr>
              <w:t>pilnai pašalintos operacijos būdu</w:t>
            </w:r>
            <w:r w:rsidRPr="00580D9F">
              <w:rPr>
                <w:color w:val="000000"/>
                <w:lang w:eastAsia="lt-LT"/>
              </w:rPr>
              <w:t xml:space="preserve">, </w:t>
            </w:r>
            <w:proofErr w:type="spellStart"/>
            <w:r w:rsidRPr="00580D9F">
              <w:rPr>
                <w:color w:val="000000"/>
                <w:lang w:eastAsia="lt-LT"/>
              </w:rPr>
              <w:t>adjuvantinei</w:t>
            </w:r>
            <w:proofErr w:type="spellEnd"/>
            <w:r w:rsidRPr="00580D9F">
              <w:rPr>
                <w:color w:val="000000"/>
                <w:lang w:eastAsia="lt-LT"/>
              </w:rPr>
              <w:t xml:space="preserve"> </w:t>
            </w:r>
            <w:proofErr w:type="spellStart"/>
            <w:r w:rsidRPr="00580D9F">
              <w:rPr>
                <w:color w:val="000000"/>
                <w:lang w:eastAsia="lt-LT"/>
              </w:rPr>
              <w:t>monoterapijai</w:t>
            </w:r>
            <w:proofErr w:type="spellEnd"/>
            <w:r w:rsidRPr="00580D9F">
              <w:rPr>
                <w:color w:val="000000"/>
                <w:lang w:eastAsia="lt-LT"/>
              </w:rPr>
              <w:t xml:space="preserve"> suaugusiesiems.</w:t>
            </w:r>
          </w:p>
          <w:p w14:paraId="1BD57256" w14:textId="7B9A80FB" w:rsidR="00EA3484" w:rsidRPr="00580D9F" w:rsidRDefault="00EA3484" w:rsidP="00EA3484">
            <w:pPr>
              <w:pStyle w:val="ListParagraph"/>
              <w:spacing w:after="120" w:line="276" w:lineRule="auto"/>
              <w:ind w:left="0"/>
              <w:contextualSpacing w:val="0"/>
              <w:jc w:val="both"/>
            </w:pPr>
            <w:r w:rsidRPr="00580D9F">
              <w:rPr>
                <w:lang w:eastAsia="lt-LT"/>
              </w:rPr>
              <w:t xml:space="preserve">TLK – 10 kodas: </w:t>
            </w:r>
            <w:r w:rsidRPr="00580D9F">
              <w:rPr>
                <w:color w:val="000000"/>
              </w:rPr>
              <w:t>C43.</w:t>
            </w:r>
          </w:p>
          <w:p w14:paraId="13F7DFB0" w14:textId="030F55B3" w:rsidR="00B13D65" w:rsidRPr="00580D9F" w:rsidRDefault="00B13D65" w:rsidP="00D970E4">
            <w:pPr>
              <w:pStyle w:val="ListParagraph"/>
              <w:spacing w:after="120" w:line="276" w:lineRule="auto"/>
              <w:ind w:left="0"/>
              <w:contextualSpacing w:val="0"/>
              <w:jc w:val="both"/>
            </w:pPr>
          </w:p>
        </w:tc>
      </w:tr>
      <w:tr w:rsidR="00B13D65" w:rsidRPr="00580D9F" w14:paraId="2F79DC08" w14:textId="77777777" w:rsidTr="00BE7489">
        <w:trPr>
          <w:trHeight w:val="378"/>
        </w:trPr>
        <w:tc>
          <w:tcPr>
            <w:tcW w:w="632" w:type="dxa"/>
          </w:tcPr>
          <w:p w14:paraId="547885A2" w14:textId="08AA8055" w:rsidR="00B13D65" w:rsidRPr="00580D9F" w:rsidRDefault="00B13D65" w:rsidP="00824B92">
            <w:pPr>
              <w:rPr>
                <w:rFonts w:eastAsia="Arial"/>
              </w:rPr>
            </w:pPr>
            <w:r w:rsidRPr="00580D9F">
              <w:rPr>
                <w:rFonts w:eastAsia="Arial"/>
              </w:rPr>
              <w:lastRenderedPageBreak/>
              <w:t>1.</w:t>
            </w:r>
            <w:r w:rsidR="002E0702" w:rsidRPr="00580D9F">
              <w:rPr>
                <w:rFonts w:eastAsia="Arial"/>
              </w:rPr>
              <w:t>6</w:t>
            </w:r>
          </w:p>
        </w:tc>
        <w:tc>
          <w:tcPr>
            <w:tcW w:w="3694" w:type="dxa"/>
          </w:tcPr>
          <w:p w14:paraId="2EAB877F" w14:textId="39A36941" w:rsidR="00B13D65" w:rsidRPr="00580D9F" w:rsidRDefault="007656B2" w:rsidP="00824B92">
            <w:pPr>
              <w:rPr>
                <w:bCs/>
                <w:color w:val="000000"/>
                <w:u w:val="single"/>
                <w:lang w:eastAsia="lt-LT"/>
              </w:rPr>
            </w:pPr>
            <w:r w:rsidRPr="00580D9F">
              <w:rPr>
                <w:bCs/>
                <w:color w:val="000000"/>
                <w:lang w:eastAsia="lt-LT"/>
              </w:rPr>
              <w:t>Pareiškėjo t</w:t>
            </w:r>
            <w:r w:rsidR="00B13D65" w:rsidRPr="00580D9F">
              <w:rPr>
                <w:bCs/>
                <w:color w:val="000000"/>
                <w:lang w:eastAsia="lt-LT"/>
              </w:rPr>
              <w:t>eikiamos skyrimo sąlygos</w:t>
            </w:r>
            <w:r w:rsidR="005B3756" w:rsidRPr="00580D9F">
              <w:rPr>
                <w:bCs/>
                <w:color w:val="000000"/>
                <w:lang w:eastAsia="lt-LT"/>
              </w:rPr>
              <w:t xml:space="preserve"> </w:t>
            </w:r>
          </w:p>
        </w:tc>
        <w:tc>
          <w:tcPr>
            <w:tcW w:w="5167" w:type="dxa"/>
          </w:tcPr>
          <w:p w14:paraId="0579DF58" w14:textId="4B155348" w:rsidR="00B13D65" w:rsidRPr="00580D9F" w:rsidRDefault="0047414A" w:rsidP="00824B92">
            <w:r w:rsidRPr="00580D9F">
              <w:t>Neteikiamos</w:t>
            </w:r>
          </w:p>
        </w:tc>
      </w:tr>
      <w:tr w:rsidR="00B13D65" w:rsidRPr="00580D9F" w14:paraId="3B125269" w14:textId="77777777" w:rsidTr="00BE7489">
        <w:trPr>
          <w:trHeight w:val="378"/>
        </w:trPr>
        <w:tc>
          <w:tcPr>
            <w:tcW w:w="632" w:type="dxa"/>
          </w:tcPr>
          <w:p w14:paraId="0058E11F" w14:textId="77777777" w:rsidR="00B13D65" w:rsidRPr="00580D9F" w:rsidRDefault="00B13D65" w:rsidP="00824B92">
            <w:pPr>
              <w:rPr>
                <w:rFonts w:eastAsia="Arial"/>
              </w:rPr>
            </w:pPr>
            <w:r w:rsidRPr="00580D9F">
              <w:rPr>
                <w:rFonts w:eastAsia="Arial"/>
              </w:rPr>
              <w:t>1.7</w:t>
            </w:r>
          </w:p>
        </w:tc>
        <w:tc>
          <w:tcPr>
            <w:tcW w:w="3694" w:type="dxa"/>
          </w:tcPr>
          <w:p w14:paraId="738E1926" w14:textId="50A9DC79" w:rsidR="00B13D65" w:rsidRPr="00580D9F" w:rsidRDefault="007656B2" w:rsidP="00824B92">
            <w:pPr>
              <w:rPr>
                <w:bCs/>
                <w:color w:val="000000"/>
                <w:lang w:eastAsia="lt-LT"/>
              </w:rPr>
            </w:pPr>
            <w:r w:rsidRPr="00580D9F">
              <w:rPr>
                <w:bCs/>
                <w:color w:val="000000"/>
                <w:lang w:eastAsia="lt-LT"/>
              </w:rPr>
              <w:t>Pareiškėjo teikiamas p</w:t>
            </w:r>
            <w:r w:rsidR="00B13D65" w:rsidRPr="00580D9F">
              <w:rPr>
                <w:bCs/>
                <w:color w:val="000000"/>
                <w:lang w:eastAsia="lt-LT"/>
              </w:rPr>
              <w:t>alyginamasis</w:t>
            </w:r>
            <w:r w:rsidR="005B3756" w:rsidRPr="00580D9F">
              <w:rPr>
                <w:bCs/>
                <w:color w:val="000000"/>
                <w:lang w:eastAsia="lt-LT"/>
              </w:rPr>
              <w:t xml:space="preserve"> </w:t>
            </w:r>
            <w:r w:rsidR="00B13D65" w:rsidRPr="00580D9F">
              <w:rPr>
                <w:bCs/>
                <w:color w:val="000000"/>
                <w:lang w:eastAsia="lt-LT"/>
              </w:rPr>
              <w:t>gydymas</w:t>
            </w:r>
            <w:r w:rsidR="0047414A" w:rsidRPr="00580D9F">
              <w:rPr>
                <w:bCs/>
                <w:color w:val="000000"/>
                <w:lang w:eastAsia="lt-LT"/>
              </w:rPr>
              <w:t>:</w:t>
            </w:r>
            <w:r w:rsidR="00B13D65" w:rsidRPr="00580D9F">
              <w:rPr>
                <w:bCs/>
                <w:color w:val="000000"/>
                <w:lang w:eastAsia="lt-LT"/>
              </w:rPr>
              <w:t xml:space="preserve"> </w:t>
            </w:r>
          </w:p>
          <w:p w14:paraId="2EA1DE0B" w14:textId="77777777" w:rsidR="00523C20" w:rsidRPr="00580D9F" w:rsidRDefault="00523C20" w:rsidP="00523C20">
            <w:pPr>
              <w:tabs>
                <w:tab w:val="left" w:pos="284"/>
              </w:tabs>
              <w:spacing w:line="276" w:lineRule="auto"/>
              <w:rPr>
                <w:b/>
                <w:bCs/>
                <w:color w:val="000000"/>
                <w:lang w:eastAsia="lt-LT"/>
              </w:rPr>
            </w:pPr>
          </w:p>
          <w:p w14:paraId="12D0205E" w14:textId="77777777" w:rsidR="00523C20" w:rsidRPr="00580D9F" w:rsidRDefault="00523C20" w:rsidP="00523C20">
            <w:pPr>
              <w:tabs>
                <w:tab w:val="left" w:pos="284"/>
              </w:tabs>
              <w:spacing w:line="276" w:lineRule="auto"/>
              <w:rPr>
                <w:b/>
                <w:bCs/>
                <w:color w:val="000000"/>
                <w:lang w:eastAsia="lt-LT"/>
              </w:rPr>
            </w:pPr>
            <w:r w:rsidRPr="00580D9F">
              <w:rPr>
                <w:b/>
                <w:bCs/>
                <w:color w:val="000000"/>
                <w:lang w:eastAsia="lt-LT"/>
              </w:rPr>
              <w:t>Tiesioginis:</w:t>
            </w:r>
          </w:p>
          <w:p w14:paraId="55767DDB" w14:textId="77777777" w:rsidR="00523C20" w:rsidRPr="00580D9F" w:rsidRDefault="00523C20" w:rsidP="00523C20">
            <w:pPr>
              <w:tabs>
                <w:tab w:val="left" w:pos="284"/>
              </w:tabs>
              <w:spacing w:line="276" w:lineRule="auto"/>
              <w:rPr>
                <w:color w:val="000000"/>
                <w:lang w:eastAsia="lt-LT"/>
              </w:rPr>
            </w:pPr>
            <w:proofErr w:type="spellStart"/>
            <w:r w:rsidRPr="00580D9F">
              <w:rPr>
                <w:color w:val="000000"/>
                <w:lang w:eastAsia="lt-LT"/>
              </w:rPr>
              <w:t>nivolumabo</w:t>
            </w:r>
            <w:proofErr w:type="spellEnd"/>
            <w:r w:rsidRPr="00580D9F">
              <w:rPr>
                <w:color w:val="000000"/>
                <w:lang w:eastAsia="lt-LT"/>
              </w:rPr>
              <w:t xml:space="preserve"> </w:t>
            </w:r>
            <w:proofErr w:type="spellStart"/>
            <w:r w:rsidRPr="00580D9F">
              <w:rPr>
                <w:color w:val="000000"/>
                <w:lang w:eastAsia="lt-LT"/>
              </w:rPr>
              <w:t>monoterapija</w:t>
            </w:r>
            <w:proofErr w:type="spellEnd"/>
            <w:r w:rsidRPr="00580D9F">
              <w:rPr>
                <w:color w:val="000000"/>
                <w:lang w:eastAsia="lt-LT"/>
              </w:rPr>
              <w:t xml:space="preserve"> su </w:t>
            </w:r>
            <w:proofErr w:type="spellStart"/>
            <w:r w:rsidRPr="00580D9F">
              <w:rPr>
                <w:color w:val="000000"/>
                <w:lang w:eastAsia="lt-LT"/>
              </w:rPr>
              <w:t>nivolumabo</w:t>
            </w:r>
            <w:proofErr w:type="spellEnd"/>
            <w:r w:rsidRPr="00580D9F">
              <w:rPr>
                <w:color w:val="000000"/>
                <w:lang w:eastAsia="lt-LT"/>
              </w:rPr>
              <w:t xml:space="preserve"> ir </w:t>
            </w:r>
            <w:proofErr w:type="spellStart"/>
            <w:r w:rsidRPr="00580D9F">
              <w:rPr>
                <w:color w:val="000000"/>
                <w:lang w:eastAsia="lt-LT"/>
              </w:rPr>
              <w:t>ipilimumabo</w:t>
            </w:r>
            <w:proofErr w:type="spellEnd"/>
            <w:r w:rsidRPr="00580D9F">
              <w:rPr>
                <w:color w:val="000000"/>
                <w:lang w:eastAsia="lt-LT"/>
              </w:rPr>
              <w:t xml:space="preserve"> deriniu bei </w:t>
            </w:r>
            <w:proofErr w:type="spellStart"/>
            <w:r w:rsidRPr="00580D9F">
              <w:rPr>
                <w:color w:val="000000"/>
                <w:lang w:eastAsia="lt-LT"/>
              </w:rPr>
              <w:t>ipilimumabo</w:t>
            </w:r>
            <w:proofErr w:type="spellEnd"/>
            <w:r w:rsidRPr="00580D9F">
              <w:rPr>
                <w:color w:val="000000"/>
                <w:lang w:eastAsia="lt-LT"/>
              </w:rPr>
              <w:t xml:space="preserve"> </w:t>
            </w:r>
            <w:proofErr w:type="spellStart"/>
            <w:r w:rsidRPr="00580D9F">
              <w:rPr>
                <w:color w:val="000000"/>
                <w:lang w:eastAsia="lt-LT"/>
              </w:rPr>
              <w:t>monoterapija</w:t>
            </w:r>
            <w:proofErr w:type="spellEnd"/>
            <w:r w:rsidRPr="00580D9F">
              <w:rPr>
                <w:color w:val="000000"/>
                <w:lang w:eastAsia="lt-LT"/>
              </w:rPr>
              <w:t>.</w:t>
            </w:r>
          </w:p>
          <w:p w14:paraId="3DC70DE1" w14:textId="77777777" w:rsidR="00523C20" w:rsidRPr="00580D9F" w:rsidRDefault="00523C20" w:rsidP="00523C20">
            <w:pPr>
              <w:tabs>
                <w:tab w:val="left" w:pos="284"/>
              </w:tabs>
              <w:spacing w:line="276" w:lineRule="auto"/>
              <w:rPr>
                <w:b/>
                <w:bCs/>
                <w:color w:val="000000"/>
                <w:lang w:eastAsia="lt-LT"/>
              </w:rPr>
            </w:pPr>
          </w:p>
          <w:p w14:paraId="186C49FB" w14:textId="77777777" w:rsidR="00523C20" w:rsidRPr="00580D9F" w:rsidRDefault="00523C20" w:rsidP="00523C20">
            <w:pPr>
              <w:tabs>
                <w:tab w:val="left" w:pos="284"/>
              </w:tabs>
              <w:spacing w:line="276" w:lineRule="auto"/>
              <w:rPr>
                <w:b/>
                <w:bCs/>
                <w:color w:val="000000"/>
                <w:lang w:eastAsia="lt-LT"/>
              </w:rPr>
            </w:pPr>
            <w:r w:rsidRPr="00580D9F">
              <w:rPr>
                <w:b/>
                <w:bCs/>
                <w:color w:val="000000"/>
                <w:lang w:eastAsia="lt-LT"/>
              </w:rPr>
              <w:t>Netiesioginis:</w:t>
            </w:r>
          </w:p>
          <w:p w14:paraId="62057D94" w14:textId="0D5EE27A" w:rsidR="00413F24" w:rsidRPr="00580D9F" w:rsidRDefault="00523C20" w:rsidP="00523C20">
            <w:pPr>
              <w:rPr>
                <w:bCs/>
                <w:color w:val="000000"/>
                <w:lang w:eastAsia="lt-LT"/>
              </w:rPr>
            </w:pPr>
            <w:proofErr w:type="spellStart"/>
            <w:r w:rsidRPr="00580D9F">
              <w:t>nivolumabo</w:t>
            </w:r>
            <w:proofErr w:type="spellEnd"/>
            <w:r w:rsidRPr="00580D9F">
              <w:t xml:space="preserve"> ir </w:t>
            </w:r>
            <w:proofErr w:type="spellStart"/>
            <w:r w:rsidRPr="00580D9F">
              <w:t>ipilimumabo</w:t>
            </w:r>
            <w:proofErr w:type="spellEnd"/>
            <w:r w:rsidRPr="00580D9F">
              <w:t xml:space="preserve"> derinys su </w:t>
            </w:r>
            <w:proofErr w:type="spellStart"/>
            <w:r w:rsidRPr="00580D9F">
              <w:t>dabrafenibo</w:t>
            </w:r>
            <w:proofErr w:type="spellEnd"/>
            <w:r w:rsidRPr="00580D9F">
              <w:t xml:space="preserve"> + </w:t>
            </w:r>
            <w:proofErr w:type="spellStart"/>
            <w:r w:rsidRPr="00580D9F">
              <w:t>trametinibo</w:t>
            </w:r>
            <w:proofErr w:type="spellEnd"/>
            <w:r w:rsidRPr="00580D9F">
              <w:t xml:space="preserve"> ir </w:t>
            </w:r>
            <w:proofErr w:type="spellStart"/>
            <w:r w:rsidRPr="00580D9F">
              <w:t>vemurafenibo</w:t>
            </w:r>
            <w:proofErr w:type="spellEnd"/>
            <w:r w:rsidRPr="00580D9F">
              <w:t xml:space="preserve"> + </w:t>
            </w:r>
            <w:proofErr w:type="spellStart"/>
            <w:r w:rsidRPr="00580D9F">
              <w:t>kobimetinibo</w:t>
            </w:r>
            <w:proofErr w:type="spellEnd"/>
            <w:r w:rsidRPr="00580D9F">
              <w:t xml:space="preserve"> deriniais.</w:t>
            </w:r>
          </w:p>
          <w:p w14:paraId="6CC1022E" w14:textId="2B6BCEE1" w:rsidR="009F4D66" w:rsidRPr="00580D9F" w:rsidRDefault="009F4D66" w:rsidP="00824B92">
            <w:pPr>
              <w:rPr>
                <w:bCs/>
                <w:color w:val="000000"/>
                <w:lang w:eastAsia="lt-LT"/>
              </w:rPr>
            </w:pPr>
          </w:p>
        </w:tc>
        <w:tc>
          <w:tcPr>
            <w:tcW w:w="5167" w:type="dxa"/>
          </w:tcPr>
          <w:p w14:paraId="3E389C70" w14:textId="22AFFC76" w:rsidR="0047414A" w:rsidRPr="00580D9F" w:rsidRDefault="0047414A" w:rsidP="00824B92">
            <w:pPr>
              <w:rPr>
                <w:rStyle w:val="Style2"/>
                <w:sz w:val="24"/>
              </w:rPr>
            </w:pPr>
          </w:p>
          <w:p w14:paraId="0AC43073" w14:textId="77777777" w:rsidR="00D970E4" w:rsidRPr="00580D9F" w:rsidRDefault="00D970E4" w:rsidP="00D970E4"/>
          <w:p w14:paraId="2383573D" w14:textId="0A79A42C" w:rsidR="00D970E4" w:rsidRPr="00580D9F" w:rsidRDefault="00000000" w:rsidP="00D970E4">
            <w:sdt>
              <w:sdtPr>
                <w:rPr>
                  <w:rStyle w:val="Style2"/>
                  <w:sz w:val="24"/>
                </w:rPr>
                <w:id w:val="-439376113"/>
                <w15:color w:val="FFCC00"/>
                <w14:checkbox>
                  <w14:checked w14:val="1"/>
                  <w14:checkedState w14:val="2612" w14:font="MS Gothic"/>
                  <w14:uncheckedState w14:val="2610" w14:font="MS Gothic"/>
                </w14:checkbox>
              </w:sdtPr>
              <w:sdtContent>
                <w:r w:rsidR="00523C20" w:rsidRPr="00580D9F">
                  <w:rPr>
                    <w:rStyle w:val="Style2"/>
                    <w:rFonts w:ascii="MS Gothic" w:eastAsia="MS Gothic" w:hAnsi="MS Gothic" w:hint="eastAsia"/>
                    <w:sz w:val="24"/>
                  </w:rPr>
                  <w:t>☒</w:t>
                </w:r>
              </w:sdtContent>
            </w:sdt>
            <w:r w:rsidR="00D970E4" w:rsidRPr="00580D9F">
              <w:t xml:space="preserve"> Tinkamas</w:t>
            </w:r>
          </w:p>
          <w:p w14:paraId="5474EFC4" w14:textId="04B6E683" w:rsidR="0047414A" w:rsidRPr="00580D9F" w:rsidRDefault="00000000" w:rsidP="00D970E4">
            <w:sdt>
              <w:sdtPr>
                <w:rPr>
                  <w:rStyle w:val="Style2"/>
                  <w:sz w:val="24"/>
                </w:rPr>
                <w:id w:val="991603600"/>
                <w15:color w:val="FFCC00"/>
                <w14:checkbox>
                  <w14:checked w14:val="0"/>
                  <w14:checkedState w14:val="2612" w14:font="MS Gothic"/>
                  <w14:uncheckedState w14:val="2610" w14:font="MS Gothic"/>
                </w14:checkbox>
              </w:sdtPr>
              <w:sdtContent>
                <w:r w:rsidR="00523C20" w:rsidRPr="00580D9F">
                  <w:rPr>
                    <w:rStyle w:val="Style2"/>
                    <w:rFonts w:ascii="MS Gothic" w:eastAsia="MS Gothic" w:hAnsi="MS Gothic" w:hint="eastAsia"/>
                    <w:sz w:val="24"/>
                  </w:rPr>
                  <w:t>☐</w:t>
                </w:r>
              </w:sdtContent>
            </w:sdt>
            <w:r w:rsidR="00D970E4" w:rsidRPr="00580D9F">
              <w:t xml:space="preserve"> Netinkamas</w:t>
            </w:r>
          </w:p>
          <w:p w14:paraId="77B5D9B2" w14:textId="7539B088" w:rsidR="00523C20" w:rsidRPr="00580D9F" w:rsidRDefault="00523C20" w:rsidP="00D970E4"/>
          <w:p w14:paraId="4136555B" w14:textId="5F35FB1E" w:rsidR="00523C20" w:rsidRPr="00580D9F" w:rsidRDefault="00523C20" w:rsidP="00D970E4"/>
          <w:p w14:paraId="34EF8B1C" w14:textId="5DAD7961" w:rsidR="00523C20" w:rsidRPr="00580D9F" w:rsidRDefault="00523C20" w:rsidP="00D970E4"/>
          <w:p w14:paraId="6316748C" w14:textId="77777777" w:rsidR="00523C20" w:rsidRPr="00580D9F" w:rsidRDefault="00523C20" w:rsidP="00D970E4">
            <w:pPr>
              <w:rPr>
                <w:rStyle w:val="Style2"/>
                <w:sz w:val="24"/>
              </w:rPr>
            </w:pPr>
          </w:p>
          <w:p w14:paraId="5481FC83" w14:textId="77777777" w:rsidR="007C7519" w:rsidRPr="00580D9F" w:rsidRDefault="007C7519" w:rsidP="00824B92">
            <w:pPr>
              <w:rPr>
                <w:rStyle w:val="Style2"/>
                <w:sz w:val="24"/>
              </w:rPr>
            </w:pPr>
          </w:p>
          <w:p w14:paraId="66741CBF" w14:textId="03099B04" w:rsidR="0047414A" w:rsidRPr="00580D9F" w:rsidRDefault="00000000" w:rsidP="0047414A">
            <w:sdt>
              <w:sdtPr>
                <w:rPr>
                  <w:rStyle w:val="Style2"/>
                  <w:sz w:val="24"/>
                </w:rPr>
                <w:id w:val="-834302966"/>
                <w15:color w:val="FFCC00"/>
                <w14:checkbox>
                  <w14:checked w14:val="1"/>
                  <w14:checkedState w14:val="2612" w14:font="MS Gothic"/>
                  <w14:uncheckedState w14:val="2610" w14:font="MS Gothic"/>
                </w14:checkbox>
              </w:sdtPr>
              <w:sdtContent>
                <w:r w:rsidR="0047414A" w:rsidRPr="00580D9F">
                  <w:rPr>
                    <w:rStyle w:val="Style2"/>
                    <w:rFonts w:ascii="MS Gothic" w:eastAsia="MS Gothic" w:hAnsi="MS Gothic" w:hint="eastAsia"/>
                    <w:sz w:val="24"/>
                  </w:rPr>
                  <w:t>☒</w:t>
                </w:r>
              </w:sdtContent>
            </w:sdt>
            <w:r w:rsidR="0047414A" w:rsidRPr="00580D9F">
              <w:t xml:space="preserve"> Tinkamas</w:t>
            </w:r>
          </w:p>
          <w:p w14:paraId="41B44044" w14:textId="2E013ACA" w:rsidR="00B13D65" w:rsidRPr="00580D9F"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D970E4" w:rsidRPr="00580D9F">
                  <w:rPr>
                    <w:rStyle w:val="Style2"/>
                    <w:rFonts w:ascii="MS Gothic" w:eastAsia="MS Gothic" w:hAnsi="MS Gothic" w:hint="eastAsia"/>
                    <w:sz w:val="24"/>
                  </w:rPr>
                  <w:t>☐</w:t>
                </w:r>
              </w:sdtContent>
            </w:sdt>
            <w:r w:rsidR="009F4D66" w:rsidRPr="00580D9F">
              <w:t xml:space="preserve"> Netinkama</w:t>
            </w:r>
            <w:r w:rsidR="0047414A" w:rsidRPr="00580D9F">
              <w:t>s</w:t>
            </w:r>
          </w:p>
        </w:tc>
      </w:tr>
    </w:tbl>
    <w:p w14:paraId="108176F7" w14:textId="640C6F75" w:rsidR="00F70C9E" w:rsidRPr="00580D9F" w:rsidRDefault="00F70C9E" w:rsidP="00E03C3F">
      <w:pPr>
        <w:pStyle w:val="ListParagraph"/>
        <w:tabs>
          <w:tab w:val="left" w:pos="426"/>
        </w:tabs>
        <w:ind w:left="0"/>
        <w:rPr>
          <w:b/>
          <w:bCs/>
          <w:caps/>
        </w:rPr>
      </w:pPr>
    </w:p>
    <w:p w14:paraId="2871CA7F" w14:textId="2370BDDB" w:rsidR="00F70C9E" w:rsidRPr="00580D9F" w:rsidRDefault="00F70C9E" w:rsidP="00880A44">
      <w:pPr>
        <w:spacing w:line="276" w:lineRule="auto"/>
        <w:jc w:val="both"/>
        <w:rPr>
          <w:rFonts w:eastAsia="Arial"/>
          <w:b/>
        </w:rPr>
      </w:pPr>
      <w:r w:rsidRPr="00580D9F">
        <w:rPr>
          <w:rFonts w:eastAsia="Arial"/>
          <w:b/>
        </w:rPr>
        <w:t xml:space="preserve">1.8 Kitų </w:t>
      </w:r>
      <w:r w:rsidR="00DF583C" w:rsidRPr="00580D9F">
        <w:rPr>
          <w:rFonts w:eastAsia="Arial"/>
          <w:b/>
        </w:rPr>
        <w:t xml:space="preserve">valstybių </w:t>
      </w:r>
      <w:r w:rsidRPr="00580D9F">
        <w:rPr>
          <w:rFonts w:eastAsia="Arial"/>
          <w:b/>
        </w:rPr>
        <w:t xml:space="preserve">atsakingų institucijų atlikto </w:t>
      </w:r>
      <w:r w:rsidR="00DF583C" w:rsidRPr="00580D9F">
        <w:rPr>
          <w:rFonts w:eastAsia="Arial"/>
          <w:b/>
        </w:rPr>
        <w:t>Sveikatos technologijų vertinimo (toliau – STV)</w:t>
      </w:r>
      <w:r w:rsidRPr="00580D9F">
        <w:rPr>
          <w:rFonts w:eastAsia="Arial"/>
          <w:b/>
        </w:rPr>
        <w:t xml:space="preserve"> išvados</w:t>
      </w:r>
    </w:p>
    <w:p w14:paraId="59915FC0" w14:textId="77777777" w:rsidR="00D2588F" w:rsidRPr="00580D9F" w:rsidRDefault="00D2588F" w:rsidP="00D2588F">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D2588F" w:rsidRPr="00580D9F" w14:paraId="4ED1AE71" w14:textId="77777777" w:rsidTr="009E5088">
        <w:trPr>
          <w:trHeight w:val="924"/>
        </w:trPr>
        <w:tc>
          <w:tcPr>
            <w:tcW w:w="2927" w:type="dxa"/>
          </w:tcPr>
          <w:p w14:paraId="39132177" w14:textId="77777777" w:rsidR="00D2588F" w:rsidRPr="00580D9F" w:rsidRDefault="00D2588F" w:rsidP="009E5088">
            <w:pPr>
              <w:spacing w:line="276" w:lineRule="auto"/>
              <w:rPr>
                <w:rFonts w:eastAsia="Arial"/>
              </w:rPr>
            </w:pPr>
            <w:r w:rsidRPr="00580D9F">
              <w:rPr>
                <w:rFonts w:eastAsia="Arial"/>
              </w:rPr>
              <w:t>STV agentūros pavadinimas, šalis</w:t>
            </w:r>
          </w:p>
        </w:tc>
        <w:tc>
          <w:tcPr>
            <w:tcW w:w="1915" w:type="dxa"/>
          </w:tcPr>
          <w:p w14:paraId="2DF7AE78" w14:textId="77777777" w:rsidR="00D2588F" w:rsidRPr="00580D9F" w:rsidRDefault="00D2588F" w:rsidP="009E5088">
            <w:pPr>
              <w:spacing w:line="276" w:lineRule="auto"/>
              <w:rPr>
                <w:rFonts w:eastAsia="Arial"/>
              </w:rPr>
            </w:pPr>
            <w:r w:rsidRPr="00580D9F">
              <w:rPr>
                <w:rFonts w:eastAsia="Arial"/>
              </w:rPr>
              <w:t>STV vertinimas atliktas</w:t>
            </w:r>
          </w:p>
        </w:tc>
        <w:tc>
          <w:tcPr>
            <w:tcW w:w="2351" w:type="dxa"/>
          </w:tcPr>
          <w:p w14:paraId="11ECFC13" w14:textId="77777777" w:rsidR="00D2588F" w:rsidRPr="00580D9F" w:rsidRDefault="00D2588F" w:rsidP="009E5088">
            <w:pPr>
              <w:spacing w:line="276" w:lineRule="auto"/>
              <w:rPr>
                <w:rFonts w:eastAsia="Arial"/>
              </w:rPr>
            </w:pPr>
            <w:r w:rsidRPr="00580D9F">
              <w:rPr>
                <w:rFonts w:eastAsia="Arial"/>
              </w:rPr>
              <w:t>Klinikinio vertinimo išvada</w:t>
            </w:r>
          </w:p>
        </w:tc>
        <w:tc>
          <w:tcPr>
            <w:tcW w:w="2725" w:type="dxa"/>
          </w:tcPr>
          <w:p w14:paraId="4B8F2D82" w14:textId="77777777" w:rsidR="00D2588F" w:rsidRPr="00580D9F" w:rsidRDefault="00D2588F" w:rsidP="009E5088">
            <w:pPr>
              <w:spacing w:line="276" w:lineRule="auto"/>
              <w:rPr>
                <w:rFonts w:eastAsia="Arial"/>
              </w:rPr>
            </w:pPr>
            <w:proofErr w:type="spellStart"/>
            <w:r w:rsidRPr="00580D9F">
              <w:rPr>
                <w:rFonts w:eastAsia="Arial"/>
              </w:rPr>
              <w:t>Farmakoekonominio</w:t>
            </w:r>
            <w:proofErr w:type="spellEnd"/>
            <w:r w:rsidRPr="00580D9F">
              <w:rPr>
                <w:rFonts w:eastAsia="Arial"/>
              </w:rPr>
              <w:t xml:space="preserve"> vertinimo išvada</w:t>
            </w:r>
          </w:p>
        </w:tc>
      </w:tr>
      <w:tr w:rsidR="00D2588F" w:rsidRPr="00580D9F" w14:paraId="389732DA" w14:textId="77777777" w:rsidTr="009E5088">
        <w:trPr>
          <w:trHeight w:val="1765"/>
        </w:trPr>
        <w:tc>
          <w:tcPr>
            <w:tcW w:w="2927" w:type="dxa"/>
          </w:tcPr>
          <w:p w14:paraId="5D1DF333" w14:textId="77777777" w:rsidR="00D2588F" w:rsidRPr="00580D9F" w:rsidRDefault="00D2588F" w:rsidP="009E5088">
            <w:pPr>
              <w:autoSpaceDE w:val="0"/>
              <w:autoSpaceDN w:val="0"/>
              <w:adjustRightInd w:val="0"/>
              <w:spacing w:line="276" w:lineRule="auto"/>
              <w:rPr>
                <w:bCs/>
              </w:rPr>
            </w:pPr>
            <w:r w:rsidRPr="00580D9F">
              <w:rPr>
                <w:bCs/>
              </w:rPr>
              <w:t>Nacionalinis sveikatos ir klinikinės kompetencijos institutas, Didžioji Britanija</w:t>
            </w:r>
          </w:p>
          <w:p w14:paraId="6107D6AC" w14:textId="77777777" w:rsidR="00D2588F" w:rsidRPr="00580D9F" w:rsidRDefault="00D2588F" w:rsidP="009E5088">
            <w:pPr>
              <w:spacing w:line="276" w:lineRule="auto"/>
              <w:rPr>
                <w:rFonts w:eastAsia="Arial"/>
              </w:rPr>
            </w:pPr>
            <w:r w:rsidRPr="00580D9F">
              <w:rPr>
                <w:rFonts w:eastAsia="Arial"/>
              </w:rPr>
              <w:t xml:space="preserve">(angl. </w:t>
            </w:r>
            <w:proofErr w:type="spellStart"/>
            <w:r w:rsidRPr="00580D9F">
              <w:rPr>
                <w:rFonts w:eastAsia="Arial"/>
                <w:i/>
              </w:rPr>
              <w:t>National</w:t>
            </w:r>
            <w:proofErr w:type="spellEnd"/>
            <w:r w:rsidRPr="00580D9F">
              <w:rPr>
                <w:rFonts w:eastAsia="Arial"/>
                <w:i/>
              </w:rPr>
              <w:t xml:space="preserve"> Institute </w:t>
            </w:r>
            <w:proofErr w:type="spellStart"/>
            <w:r w:rsidRPr="00580D9F">
              <w:rPr>
                <w:rFonts w:eastAsia="Arial"/>
                <w:i/>
              </w:rPr>
              <w:t>for</w:t>
            </w:r>
            <w:proofErr w:type="spellEnd"/>
            <w:r w:rsidRPr="00580D9F">
              <w:rPr>
                <w:rFonts w:eastAsia="Arial"/>
                <w:i/>
              </w:rPr>
              <w:t xml:space="preserve"> </w:t>
            </w:r>
            <w:proofErr w:type="spellStart"/>
            <w:r w:rsidRPr="00580D9F">
              <w:rPr>
                <w:rFonts w:eastAsia="Arial"/>
                <w:i/>
              </w:rPr>
              <w:t>Health</w:t>
            </w:r>
            <w:proofErr w:type="spellEnd"/>
            <w:r w:rsidRPr="00580D9F">
              <w:rPr>
                <w:rFonts w:eastAsia="Arial"/>
                <w:i/>
              </w:rPr>
              <w:t xml:space="preserve"> </w:t>
            </w:r>
            <w:proofErr w:type="spellStart"/>
            <w:r w:rsidRPr="00580D9F">
              <w:rPr>
                <w:rFonts w:eastAsia="Arial"/>
                <w:i/>
              </w:rPr>
              <w:t>and</w:t>
            </w:r>
            <w:proofErr w:type="spellEnd"/>
            <w:r w:rsidRPr="00580D9F">
              <w:rPr>
                <w:rFonts w:eastAsia="Arial"/>
                <w:i/>
              </w:rPr>
              <w:t xml:space="preserve"> Care </w:t>
            </w:r>
            <w:proofErr w:type="spellStart"/>
            <w:r w:rsidRPr="00580D9F">
              <w:rPr>
                <w:rFonts w:eastAsia="Arial"/>
                <w:i/>
              </w:rPr>
              <w:t>Excellence</w:t>
            </w:r>
            <w:proofErr w:type="spellEnd"/>
            <w:r w:rsidRPr="00580D9F">
              <w:rPr>
                <w:rFonts w:eastAsia="Arial"/>
                <w:i/>
              </w:rPr>
              <w:t>, NICE</w:t>
            </w:r>
            <w:r w:rsidRPr="00580D9F">
              <w:rPr>
                <w:rFonts w:eastAsia="Arial"/>
              </w:rPr>
              <w:t>)</w:t>
            </w:r>
          </w:p>
        </w:tc>
        <w:tc>
          <w:tcPr>
            <w:tcW w:w="1915" w:type="dxa"/>
          </w:tcPr>
          <w:p w14:paraId="04C37AF3" w14:textId="77777777" w:rsidR="00D2588F" w:rsidRPr="00580D9F" w:rsidRDefault="00000000" w:rsidP="009E5088">
            <w:pPr>
              <w:spacing w:line="276" w:lineRule="auto"/>
            </w:pPr>
            <w:sdt>
              <w:sdtPr>
                <w:rPr>
                  <w:rStyle w:val="Style2"/>
                </w:rPr>
                <w:id w:val="1558205022"/>
              </w:sdtPr>
              <w:sdtContent>
                <w:r w:rsidR="00D2588F" w:rsidRPr="00580D9F">
                  <w:rPr>
                    <w:rStyle w:val="Style2"/>
                    <w:rFonts w:ascii="MS Gothic" w:eastAsia="MS Gothic" w:hAnsi="MS Gothic"/>
                  </w:rPr>
                  <w:t>☒</w:t>
                </w:r>
              </w:sdtContent>
            </w:sdt>
            <w:r w:rsidR="00D2588F" w:rsidRPr="00580D9F">
              <w:t xml:space="preserve"> Taip</w:t>
            </w:r>
          </w:p>
          <w:p w14:paraId="5A50766C" w14:textId="77777777" w:rsidR="00D2588F" w:rsidRPr="00580D9F" w:rsidRDefault="00000000" w:rsidP="009E5088">
            <w:pPr>
              <w:spacing w:line="276" w:lineRule="auto"/>
            </w:pPr>
            <w:sdt>
              <w:sdtPr>
                <w:rPr>
                  <w:rStyle w:val="Style2"/>
                </w:rPr>
                <w:id w:val="866029625"/>
              </w:sdtPr>
              <w:sdtContent>
                <w:r w:rsidR="00D2588F" w:rsidRPr="00580D9F">
                  <w:rPr>
                    <w:rStyle w:val="Style2"/>
                    <w:rFonts w:ascii="MS Gothic" w:eastAsia="MS Gothic" w:hAnsi="MS Gothic"/>
                  </w:rPr>
                  <w:t>☐</w:t>
                </w:r>
              </w:sdtContent>
            </w:sdt>
            <w:r w:rsidR="00D2588F" w:rsidRPr="00580D9F">
              <w:t xml:space="preserve"> Ne</w:t>
            </w:r>
          </w:p>
          <w:p w14:paraId="5BDBE546" w14:textId="77777777" w:rsidR="00D2588F" w:rsidRPr="00580D9F" w:rsidRDefault="00000000" w:rsidP="009E5088">
            <w:pPr>
              <w:spacing w:line="276" w:lineRule="auto"/>
              <w:rPr>
                <w:rFonts w:eastAsia="Arial"/>
              </w:rPr>
            </w:pPr>
            <w:sdt>
              <w:sdtPr>
                <w:alias w:val="Nurodykite konkrečią dieną"/>
                <w:tag w:val="Nurodykite pradžios datą"/>
                <w:id w:val="922837954"/>
                <w:date>
                  <w:dateFormat w:val="yyyy 'm.' MMMM d 'd.'"/>
                  <w:lid w:val="lt-LT"/>
                  <w:storeMappedDataAs w:val="dateTime"/>
                  <w:calendar w:val="gregorian"/>
                </w:date>
              </w:sdtPr>
              <w:sdtContent>
                <w:r w:rsidR="00D2588F" w:rsidRPr="00580D9F">
                  <w:t>2021-09-98</w:t>
                </w:r>
              </w:sdtContent>
            </w:sdt>
          </w:p>
        </w:tc>
        <w:tc>
          <w:tcPr>
            <w:tcW w:w="2351" w:type="dxa"/>
            <w:shd w:val="clear" w:color="auto" w:fill="auto"/>
          </w:tcPr>
          <w:p w14:paraId="1DF798AE" w14:textId="77777777" w:rsidR="00D2588F" w:rsidRPr="00580D9F" w:rsidRDefault="00D2588F" w:rsidP="009E5088">
            <w:pPr>
              <w:pStyle w:val="HTMLPreformatted"/>
              <w:spacing w:line="276" w:lineRule="auto"/>
              <w:rPr>
                <w:rStyle w:val="y2iqfc"/>
                <w:rFonts w:ascii="Times New Roman" w:hAnsi="Times New Roman" w:cs="Times New Roman"/>
                <w:color w:val="202124"/>
                <w:sz w:val="24"/>
                <w:szCs w:val="24"/>
              </w:rPr>
            </w:pPr>
            <w:proofErr w:type="spellStart"/>
            <w:r w:rsidRPr="00580D9F">
              <w:rPr>
                <w:rStyle w:val="y2iqfc"/>
                <w:rFonts w:ascii="Times New Roman" w:hAnsi="Times New Roman" w:cs="Times New Roman"/>
                <w:color w:val="202124"/>
                <w:sz w:val="24"/>
                <w:szCs w:val="24"/>
              </w:rPr>
              <w:t>Nivolumabo</w:t>
            </w:r>
            <w:proofErr w:type="spellEnd"/>
            <w:r w:rsidRPr="00580D9F">
              <w:rPr>
                <w:rStyle w:val="y2iqfc"/>
                <w:rFonts w:ascii="Times New Roman" w:hAnsi="Times New Roman" w:cs="Times New Roman"/>
                <w:color w:val="202124"/>
                <w:sz w:val="24"/>
                <w:szCs w:val="24"/>
              </w:rPr>
              <w:t xml:space="preserve"> derinys tik</w:t>
            </w:r>
          </w:p>
          <w:p w14:paraId="3EA9146B" w14:textId="77777777" w:rsidR="00D2588F" w:rsidRPr="00580D9F" w:rsidRDefault="00D2588F" w:rsidP="009E5088">
            <w:pPr>
              <w:pStyle w:val="HTMLPreformatted"/>
              <w:spacing w:line="276" w:lineRule="auto"/>
              <w:rPr>
                <w:rStyle w:val="y2iqfc"/>
                <w:rFonts w:ascii="Times New Roman" w:hAnsi="Times New Roman" w:cs="Times New Roman"/>
                <w:color w:val="202124"/>
                <w:sz w:val="24"/>
                <w:szCs w:val="24"/>
              </w:rPr>
            </w:pPr>
            <w:r w:rsidRPr="00580D9F">
              <w:rPr>
                <w:rStyle w:val="y2iqfc"/>
                <w:rFonts w:ascii="Times New Roman" w:hAnsi="Times New Roman" w:cs="Times New Roman"/>
                <w:color w:val="202124"/>
                <w:sz w:val="24"/>
                <w:szCs w:val="24"/>
              </w:rPr>
              <w:t>netiesiogiai lyginamas su kitais gydymo būdais. Netiesioginio palyginimo rezultatai nėra aiškūs</w:t>
            </w:r>
          </w:p>
          <w:p w14:paraId="7781121A" w14:textId="77777777" w:rsidR="00D2588F" w:rsidRPr="00580D9F" w:rsidRDefault="00D2588F" w:rsidP="009E5088">
            <w:pPr>
              <w:pStyle w:val="HTMLPreformatted"/>
              <w:spacing w:line="276" w:lineRule="auto"/>
              <w:rPr>
                <w:rStyle w:val="y2iqfc"/>
                <w:rFonts w:ascii="Times New Roman" w:hAnsi="Times New Roman" w:cs="Times New Roman"/>
                <w:color w:val="202124"/>
                <w:sz w:val="24"/>
                <w:szCs w:val="24"/>
              </w:rPr>
            </w:pPr>
            <w:r w:rsidRPr="00580D9F">
              <w:rPr>
                <w:rStyle w:val="y2iqfc"/>
                <w:rFonts w:ascii="Times New Roman" w:hAnsi="Times New Roman" w:cs="Times New Roman"/>
                <w:color w:val="202124"/>
                <w:sz w:val="24"/>
                <w:szCs w:val="24"/>
              </w:rPr>
              <w:t>Taip pat neaišku, kiek laiko</w:t>
            </w:r>
          </w:p>
          <w:p w14:paraId="2DA0695B" w14:textId="77777777" w:rsidR="00D2588F" w:rsidRPr="00580D9F" w:rsidRDefault="00D2588F" w:rsidP="009E5088">
            <w:pPr>
              <w:pStyle w:val="HTMLPreformatted"/>
              <w:spacing w:line="276" w:lineRule="auto"/>
              <w:rPr>
                <w:rFonts w:ascii="Times New Roman" w:hAnsi="Times New Roman" w:cs="Times New Roman"/>
                <w:color w:val="202124"/>
                <w:sz w:val="24"/>
                <w:szCs w:val="24"/>
              </w:rPr>
            </w:pPr>
            <w:proofErr w:type="spellStart"/>
            <w:r w:rsidRPr="00580D9F">
              <w:rPr>
                <w:rStyle w:val="y2iqfc"/>
                <w:rFonts w:ascii="Times New Roman" w:hAnsi="Times New Roman" w:cs="Times New Roman"/>
                <w:color w:val="202124"/>
                <w:sz w:val="24"/>
                <w:szCs w:val="24"/>
              </w:rPr>
              <w:t>nivolumabo</w:t>
            </w:r>
            <w:proofErr w:type="spellEnd"/>
            <w:r w:rsidRPr="00580D9F">
              <w:rPr>
                <w:rStyle w:val="y2iqfc"/>
                <w:rFonts w:ascii="Times New Roman" w:hAnsi="Times New Roman" w:cs="Times New Roman"/>
                <w:color w:val="202124"/>
                <w:sz w:val="24"/>
                <w:szCs w:val="24"/>
              </w:rPr>
              <w:t xml:space="preserve"> derinio poveikis išlieka.</w:t>
            </w:r>
          </w:p>
          <w:p w14:paraId="7DF68FE9" w14:textId="77777777" w:rsidR="00D2588F" w:rsidRPr="00580D9F" w:rsidRDefault="00D2588F" w:rsidP="009E5088">
            <w:pPr>
              <w:spacing w:line="276" w:lineRule="auto"/>
              <w:rPr>
                <w:rFonts w:eastAsia="Arial"/>
              </w:rPr>
            </w:pPr>
          </w:p>
        </w:tc>
        <w:tc>
          <w:tcPr>
            <w:tcW w:w="2725" w:type="dxa"/>
          </w:tcPr>
          <w:p w14:paraId="76FBE543" w14:textId="2CB65FD5" w:rsidR="00D2588F" w:rsidRPr="00580D9F" w:rsidRDefault="005C6C02" w:rsidP="009E5088">
            <w:pPr>
              <w:spacing w:line="276" w:lineRule="auto"/>
              <w:rPr>
                <w:rFonts w:eastAsia="Arial"/>
              </w:rPr>
            </w:pPr>
            <w:r w:rsidRPr="00580D9F">
              <w:rPr>
                <w:rFonts w:eastAsia="Arial"/>
              </w:rPr>
              <w:t xml:space="preserve">Buvo padaryta išvada, kad </w:t>
            </w:r>
            <w:proofErr w:type="spellStart"/>
            <w:r w:rsidRPr="00580D9F">
              <w:rPr>
                <w:rFonts w:eastAsia="Arial"/>
              </w:rPr>
              <w:t>nivolumabo</w:t>
            </w:r>
            <w:proofErr w:type="spellEnd"/>
            <w:r w:rsidRPr="00580D9F">
              <w:rPr>
                <w:rFonts w:eastAsia="Arial"/>
              </w:rPr>
              <w:t xml:space="preserve"> ICER (angl. </w:t>
            </w:r>
            <w:proofErr w:type="spellStart"/>
            <w:r w:rsidRPr="00580D9F">
              <w:rPr>
                <w:rFonts w:eastAsia="Arial"/>
              </w:rPr>
              <w:t>incremental</w:t>
            </w:r>
            <w:proofErr w:type="spellEnd"/>
            <w:r w:rsidRPr="00580D9F">
              <w:rPr>
                <w:rFonts w:eastAsia="Arial"/>
              </w:rPr>
              <w:t xml:space="preserve"> </w:t>
            </w:r>
            <w:proofErr w:type="spellStart"/>
            <w:r w:rsidRPr="00580D9F">
              <w:rPr>
                <w:rFonts w:eastAsia="Arial"/>
              </w:rPr>
              <w:t>cost-effectiveness</w:t>
            </w:r>
            <w:proofErr w:type="spellEnd"/>
            <w:r w:rsidRPr="00580D9F">
              <w:rPr>
                <w:rFonts w:eastAsia="Arial"/>
              </w:rPr>
              <w:t xml:space="preserve"> </w:t>
            </w:r>
            <w:proofErr w:type="spellStart"/>
            <w:r w:rsidRPr="00580D9F">
              <w:rPr>
                <w:rFonts w:eastAsia="Arial"/>
              </w:rPr>
              <w:t>ratio</w:t>
            </w:r>
            <w:proofErr w:type="spellEnd"/>
            <w:r w:rsidRPr="00580D9F">
              <w:rPr>
                <w:rFonts w:eastAsia="Arial"/>
              </w:rPr>
              <w:t xml:space="preserve">) tikėtina yra mažesnis nei 30 000 svarų už QALY tiek BRAF mutacija teigiamam, tiek BRAF mutacija neigiamam išplitusios melanomos atvejui. Todėl </w:t>
            </w:r>
            <w:proofErr w:type="spellStart"/>
            <w:r w:rsidRPr="00580D9F">
              <w:rPr>
                <w:rFonts w:eastAsia="Arial"/>
              </w:rPr>
              <w:t>nivolumabas</w:t>
            </w:r>
            <w:proofErr w:type="spellEnd"/>
            <w:r w:rsidRPr="00580D9F">
              <w:rPr>
                <w:rFonts w:eastAsia="Arial"/>
              </w:rPr>
              <w:t xml:space="preserve"> laikomas ekonomiškai efektyvia</w:t>
            </w:r>
          </w:p>
        </w:tc>
      </w:tr>
      <w:tr w:rsidR="00D2588F" w:rsidRPr="00580D9F" w14:paraId="56F5751B" w14:textId="77777777" w:rsidTr="009E5088">
        <w:trPr>
          <w:trHeight w:val="1547"/>
        </w:trPr>
        <w:tc>
          <w:tcPr>
            <w:tcW w:w="2927" w:type="dxa"/>
          </w:tcPr>
          <w:p w14:paraId="1B86A43F" w14:textId="77777777" w:rsidR="00D2588F" w:rsidRPr="00580D9F" w:rsidRDefault="00D2588F" w:rsidP="009E5088">
            <w:pPr>
              <w:spacing w:line="276" w:lineRule="auto"/>
              <w:rPr>
                <w:rFonts w:eastAsia="Arial"/>
              </w:rPr>
            </w:pPr>
            <w:r w:rsidRPr="00580D9F">
              <w:rPr>
                <w:rFonts w:eastAsia="Arial"/>
              </w:rPr>
              <w:t>Kanados sveikatos technologijų agentūra</w:t>
            </w:r>
          </w:p>
          <w:p w14:paraId="1757D091" w14:textId="77777777" w:rsidR="00D2588F" w:rsidRPr="00580D9F" w:rsidRDefault="00D2588F" w:rsidP="009E5088">
            <w:pPr>
              <w:spacing w:line="276" w:lineRule="auto"/>
              <w:rPr>
                <w:rFonts w:eastAsia="Arial"/>
              </w:rPr>
            </w:pPr>
            <w:r w:rsidRPr="00580D9F">
              <w:rPr>
                <w:rFonts w:eastAsia="Arial"/>
              </w:rPr>
              <w:t xml:space="preserve">(angl. </w:t>
            </w:r>
            <w:proofErr w:type="spellStart"/>
            <w:r w:rsidRPr="00580D9F">
              <w:rPr>
                <w:rFonts w:eastAsia="Arial"/>
                <w:i/>
              </w:rPr>
              <w:t>Canadian</w:t>
            </w:r>
            <w:proofErr w:type="spellEnd"/>
            <w:r w:rsidRPr="00580D9F">
              <w:rPr>
                <w:rFonts w:eastAsia="Arial"/>
                <w:i/>
              </w:rPr>
              <w:t xml:space="preserve"> </w:t>
            </w:r>
            <w:proofErr w:type="spellStart"/>
            <w:r w:rsidRPr="00580D9F">
              <w:rPr>
                <w:rFonts w:eastAsia="Arial"/>
                <w:i/>
              </w:rPr>
              <w:t>health</w:t>
            </w:r>
            <w:proofErr w:type="spellEnd"/>
            <w:r w:rsidRPr="00580D9F">
              <w:rPr>
                <w:rFonts w:eastAsia="Arial"/>
                <w:i/>
              </w:rPr>
              <w:t xml:space="preserve"> </w:t>
            </w:r>
            <w:proofErr w:type="spellStart"/>
            <w:r w:rsidRPr="00580D9F">
              <w:rPr>
                <w:rFonts w:eastAsia="Arial"/>
                <w:i/>
              </w:rPr>
              <w:t>Technology</w:t>
            </w:r>
            <w:proofErr w:type="spellEnd"/>
            <w:r w:rsidRPr="00580D9F">
              <w:rPr>
                <w:rFonts w:eastAsia="Arial"/>
                <w:i/>
              </w:rPr>
              <w:t xml:space="preserve"> </w:t>
            </w:r>
            <w:proofErr w:type="spellStart"/>
            <w:r w:rsidRPr="00580D9F">
              <w:rPr>
                <w:rFonts w:eastAsia="Arial"/>
                <w:i/>
              </w:rPr>
              <w:t>Assessment</w:t>
            </w:r>
            <w:proofErr w:type="spellEnd"/>
            <w:r w:rsidRPr="00580D9F">
              <w:rPr>
                <w:rFonts w:eastAsia="Arial"/>
                <w:i/>
              </w:rPr>
              <w:t xml:space="preserve"> </w:t>
            </w:r>
            <w:proofErr w:type="spellStart"/>
            <w:r w:rsidRPr="00580D9F">
              <w:rPr>
                <w:rFonts w:eastAsia="Arial"/>
                <w:i/>
              </w:rPr>
              <w:t>agency</w:t>
            </w:r>
            <w:proofErr w:type="spellEnd"/>
            <w:r w:rsidRPr="00580D9F">
              <w:rPr>
                <w:rFonts w:eastAsia="Arial"/>
                <w:i/>
              </w:rPr>
              <w:t>, CADTH</w:t>
            </w:r>
            <w:r w:rsidRPr="00580D9F">
              <w:rPr>
                <w:rFonts w:eastAsia="Arial"/>
              </w:rPr>
              <w:t>)</w:t>
            </w:r>
          </w:p>
        </w:tc>
        <w:tc>
          <w:tcPr>
            <w:tcW w:w="1915" w:type="dxa"/>
          </w:tcPr>
          <w:p w14:paraId="1EE90FB0" w14:textId="77777777" w:rsidR="00D2588F" w:rsidRPr="00580D9F" w:rsidRDefault="00000000" w:rsidP="009E5088">
            <w:pPr>
              <w:spacing w:line="276" w:lineRule="auto"/>
            </w:pPr>
            <w:sdt>
              <w:sdtPr>
                <w:rPr>
                  <w:rStyle w:val="Style2"/>
                </w:rPr>
                <w:id w:val="-372539057"/>
              </w:sdtPr>
              <w:sdtContent>
                <w:r w:rsidR="00D2588F" w:rsidRPr="00580D9F">
                  <w:rPr>
                    <w:rStyle w:val="Style2"/>
                    <w:rFonts w:ascii="MS Gothic" w:eastAsia="MS Gothic" w:hAnsi="MS Gothic"/>
                  </w:rPr>
                  <w:t>☒</w:t>
                </w:r>
              </w:sdtContent>
            </w:sdt>
            <w:r w:rsidR="00D2588F" w:rsidRPr="00580D9F">
              <w:t xml:space="preserve"> Taip</w:t>
            </w:r>
          </w:p>
          <w:p w14:paraId="6E0B9193" w14:textId="77777777" w:rsidR="00D2588F" w:rsidRPr="00580D9F" w:rsidRDefault="00000000" w:rsidP="009E5088">
            <w:pPr>
              <w:spacing w:line="276" w:lineRule="auto"/>
            </w:pPr>
            <w:sdt>
              <w:sdtPr>
                <w:rPr>
                  <w:rStyle w:val="Style2"/>
                </w:rPr>
                <w:id w:val="594442222"/>
              </w:sdtPr>
              <w:sdtContent>
                <w:r w:rsidR="00D2588F" w:rsidRPr="00580D9F">
                  <w:rPr>
                    <w:rStyle w:val="Style2"/>
                    <w:rFonts w:ascii="Segoe UI Symbol" w:eastAsia="MS Gothic" w:hAnsi="Segoe UI Symbol" w:cs="Segoe UI Symbol"/>
                  </w:rPr>
                  <w:t>☐</w:t>
                </w:r>
              </w:sdtContent>
            </w:sdt>
            <w:r w:rsidR="00D2588F" w:rsidRPr="00580D9F">
              <w:t xml:space="preserve"> Ne</w:t>
            </w:r>
          </w:p>
          <w:p w14:paraId="4CDCAEE9" w14:textId="77777777" w:rsidR="00D2588F" w:rsidRPr="00580D9F" w:rsidRDefault="00000000" w:rsidP="009E5088">
            <w:pPr>
              <w:spacing w:line="276" w:lineRule="auto"/>
              <w:rPr>
                <w:rFonts w:eastAsia="Arial"/>
              </w:rPr>
            </w:pPr>
            <w:sdt>
              <w:sdtPr>
                <w:alias w:val="Nurodykite konkrečią dieną"/>
                <w:tag w:val="Nurodykite pradžios datą"/>
                <w:id w:val="1072468416"/>
                <w:date>
                  <w:dateFormat w:val="yyyy 'm.' MMMM d 'd.'"/>
                  <w:lid w:val="lt-LT"/>
                  <w:storeMappedDataAs w:val="dateTime"/>
                  <w:calendar w:val="gregorian"/>
                </w:date>
              </w:sdtPr>
              <w:sdtContent>
                <w:r w:rsidR="00D2588F" w:rsidRPr="00580D9F">
                  <w:t>2021 m. kovo 23 d.</w:t>
                </w:r>
              </w:sdtContent>
            </w:sdt>
          </w:p>
        </w:tc>
        <w:tc>
          <w:tcPr>
            <w:tcW w:w="2351" w:type="dxa"/>
            <w:shd w:val="clear" w:color="auto" w:fill="auto"/>
          </w:tcPr>
          <w:p w14:paraId="492EF9E2" w14:textId="77777777" w:rsidR="00D2588F" w:rsidRPr="00580D9F" w:rsidRDefault="00D2588F" w:rsidP="009E5088">
            <w:pPr>
              <w:spacing w:line="276" w:lineRule="auto"/>
              <w:rPr>
                <w:rFonts w:eastAsia="Arial"/>
              </w:rPr>
            </w:pPr>
            <w:r w:rsidRPr="00580D9F">
              <w:rPr>
                <w:rFonts w:eastAsia="Arial"/>
              </w:rPr>
              <w:t>Rekomenduojama kompensuoti tuo atveju, jeigu kaštų efektyvumas bus priimtinas iki tam tikro lygio.</w:t>
            </w:r>
          </w:p>
        </w:tc>
        <w:tc>
          <w:tcPr>
            <w:tcW w:w="2725" w:type="dxa"/>
          </w:tcPr>
          <w:p w14:paraId="2A3539C1" w14:textId="2AA99BD9" w:rsidR="00D2588F" w:rsidRPr="00580D9F" w:rsidRDefault="005C6C02" w:rsidP="009E5088">
            <w:pPr>
              <w:spacing w:line="276" w:lineRule="auto"/>
              <w:rPr>
                <w:rFonts w:eastAsia="Arial"/>
              </w:rPr>
            </w:pPr>
            <w:r w:rsidRPr="00580D9F">
              <w:rPr>
                <w:rFonts w:eastAsia="Arial"/>
              </w:rPr>
              <w:t xml:space="preserve">Išlaidų mažinimo procedūra: CADTH bazinio scenarijaus atveju prognozuojama, kad </w:t>
            </w:r>
            <w:proofErr w:type="spellStart"/>
            <w:r w:rsidRPr="00580D9F">
              <w:rPr>
                <w:rFonts w:eastAsia="Arial"/>
              </w:rPr>
              <w:t>nivolumabo</w:t>
            </w:r>
            <w:proofErr w:type="spellEnd"/>
            <w:r w:rsidRPr="00580D9F">
              <w:rPr>
                <w:rFonts w:eastAsia="Arial"/>
              </w:rPr>
              <w:t xml:space="preserve">, skirto suaugusiems pacientams kaip papildomo gydymo priemonė po visiško IIB arba IIC stadijos melanomos </w:t>
            </w:r>
            <w:proofErr w:type="spellStart"/>
            <w:r w:rsidRPr="00580D9F">
              <w:rPr>
                <w:rFonts w:eastAsia="Arial"/>
              </w:rPr>
              <w:t>rezekcijos</w:t>
            </w:r>
            <w:proofErr w:type="spellEnd"/>
            <w:r w:rsidRPr="00580D9F">
              <w:rPr>
                <w:rFonts w:eastAsia="Arial"/>
              </w:rPr>
              <w:t>, poveikis biudžetui lems išlaidų mažėjimą: 540 130 CAD pirmaisiais metais, 867 977 CAD antraisiais metais ir 876 743 CAD trečiaisiais metais, per trejus metus iš viso sutaupant 2 284 851 CAD.</w:t>
            </w:r>
          </w:p>
        </w:tc>
      </w:tr>
      <w:tr w:rsidR="00D2588F" w:rsidRPr="00580D9F" w14:paraId="1CB0F3CD" w14:textId="77777777" w:rsidTr="009E5088">
        <w:trPr>
          <w:trHeight w:val="1927"/>
        </w:trPr>
        <w:tc>
          <w:tcPr>
            <w:tcW w:w="2927" w:type="dxa"/>
          </w:tcPr>
          <w:p w14:paraId="219A7E67" w14:textId="77777777" w:rsidR="00D2588F" w:rsidRPr="00580D9F" w:rsidRDefault="00D2588F" w:rsidP="009E5088">
            <w:pPr>
              <w:spacing w:line="276" w:lineRule="auto"/>
              <w:rPr>
                <w:rFonts w:eastAsia="Arial"/>
              </w:rPr>
            </w:pPr>
            <w:r w:rsidRPr="00580D9F">
              <w:rPr>
                <w:rFonts w:eastAsia="Arial"/>
              </w:rPr>
              <w:t xml:space="preserve">Nacionalinis </w:t>
            </w:r>
            <w:proofErr w:type="spellStart"/>
            <w:r w:rsidRPr="00580D9F">
              <w:rPr>
                <w:rFonts w:eastAsia="Arial"/>
              </w:rPr>
              <w:t>farmakoekonomikos</w:t>
            </w:r>
            <w:proofErr w:type="spellEnd"/>
            <w:r w:rsidRPr="00580D9F">
              <w:rPr>
                <w:rFonts w:eastAsia="Arial"/>
              </w:rPr>
              <w:t xml:space="preserve"> centras, Airija</w:t>
            </w:r>
          </w:p>
          <w:p w14:paraId="3EEFF6FB" w14:textId="77777777" w:rsidR="00D2588F" w:rsidRPr="00580D9F" w:rsidRDefault="00D2588F" w:rsidP="009E5088">
            <w:pPr>
              <w:spacing w:line="276" w:lineRule="auto"/>
              <w:rPr>
                <w:rFonts w:eastAsia="Arial"/>
              </w:rPr>
            </w:pPr>
            <w:r w:rsidRPr="00580D9F">
              <w:rPr>
                <w:rFonts w:eastAsia="Arial"/>
              </w:rPr>
              <w:t>(angl.</w:t>
            </w:r>
            <w:r w:rsidRPr="00580D9F">
              <w:rPr>
                <w:rFonts w:eastAsia="Arial"/>
                <w:i/>
              </w:rPr>
              <w:t xml:space="preserve"> </w:t>
            </w:r>
            <w:proofErr w:type="spellStart"/>
            <w:r w:rsidRPr="00580D9F">
              <w:rPr>
                <w:rFonts w:eastAsia="Arial"/>
                <w:i/>
              </w:rPr>
              <w:t>National</w:t>
            </w:r>
            <w:proofErr w:type="spellEnd"/>
            <w:r w:rsidRPr="00580D9F">
              <w:rPr>
                <w:rFonts w:eastAsia="Arial"/>
                <w:i/>
              </w:rPr>
              <w:t xml:space="preserve"> Centre </w:t>
            </w:r>
            <w:proofErr w:type="spellStart"/>
            <w:r w:rsidRPr="00580D9F">
              <w:rPr>
                <w:rFonts w:eastAsia="Arial"/>
                <w:i/>
              </w:rPr>
              <w:t>for</w:t>
            </w:r>
            <w:proofErr w:type="spellEnd"/>
            <w:r w:rsidRPr="00580D9F">
              <w:rPr>
                <w:rFonts w:eastAsia="Arial"/>
                <w:i/>
              </w:rPr>
              <w:t xml:space="preserve"> </w:t>
            </w:r>
            <w:proofErr w:type="spellStart"/>
            <w:r w:rsidRPr="00580D9F">
              <w:rPr>
                <w:rFonts w:eastAsia="Arial"/>
                <w:i/>
              </w:rPr>
              <w:t>Pharmacoeconomics</w:t>
            </w:r>
            <w:proofErr w:type="spellEnd"/>
            <w:r w:rsidRPr="00580D9F">
              <w:rPr>
                <w:rFonts w:eastAsia="Arial"/>
                <w:i/>
              </w:rPr>
              <w:t>, NCPE</w:t>
            </w:r>
            <w:r w:rsidRPr="00580D9F">
              <w:rPr>
                <w:rFonts w:eastAsia="Arial"/>
              </w:rPr>
              <w:t>)</w:t>
            </w:r>
          </w:p>
        </w:tc>
        <w:tc>
          <w:tcPr>
            <w:tcW w:w="1915" w:type="dxa"/>
          </w:tcPr>
          <w:p w14:paraId="16E2D28E" w14:textId="77777777" w:rsidR="00D2588F" w:rsidRPr="00580D9F" w:rsidRDefault="00000000" w:rsidP="009E5088">
            <w:pPr>
              <w:spacing w:line="276" w:lineRule="auto"/>
            </w:pPr>
            <w:sdt>
              <w:sdtPr>
                <w:rPr>
                  <w:rStyle w:val="Style2"/>
                </w:rPr>
                <w:id w:val="-1888403732"/>
              </w:sdtPr>
              <w:sdtContent>
                <w:r w:rsidR="00D2588F" w:rsidRPr="00580D9F">
                  <w:rPr>
                    <w:rStyle w:val="Style2"/>
                    <w:rFonts w:ascii="MS Gothic" w:eastAsia="MS Gothic" w:hAnsi="MS Gothic"/>
                  </w:rPr>
                  <w:t>☒</w:t>
                </w:r>
              </w:sdtContent>
            </w:sdt>
            <w:r w:rsidR="00D2588F" w:rsidRPr="00580D9F">
              <w:t xml:space="preserve"> Taip</w:t>
            </w:r>
          </w:p>
          <w:p w14:paraId="16B43D1F" w14:textId="77777777" w:rsidR="00D2588F" w:rsidRPr="00580D9F" w:rsidRDefault="00000000" w:rsidP="009E5088">
            <w:pPr>
              <w:spacing w:line="276" w:lineRule="auto"/>
            </w:pPr>
            <w:sdt>
              <w:sdtPr>
                <w:rPr>
                  <w:rStyle w:val="Style2"/>
                </w:rPr>
                <w:id w:val="1092201793"/>
              </w:sdtPr>
              <w:sdtContent>
                <w:r w:rsidR="00D2588F" w:rsidRPr="00580D9F">
                  <w:rPr>
                    <w:rStyle w:val="Style2"/>
                    <w:rFonts w:ascii="Segoe UI Symbol" w:eastAsia="MS Gothic" w:hAnsi="Segoe UI Symbol" w:cs="Segoe UI Symbol"/>
                  </w:rPr>
                  <w:t>☐</w:t>
                </w:r>
              </w:sdtContent>
            </w:sdt>
            <w:r w:rsidR="00D2588F" w:rsidRPr="00580D9F">
              <w:t xml:space="preserve"> Ne</w:t>
            </w:r>
          </w:p>
          <w:p w14:paraId="1B999632" w14:textId="77777777" w:rsidR="00D2588F" w:rsidRPr="00580D9F" w:rsidRDefault="00000000" w:rsidP="009E5088">
            <w:pPr>
              <w:spacing w:line="276" w:lineRule="auto"/>
              <w:rPr>
                <w:rFonts w:eastAsia="Arial"/>
              </w:rPr>
            </w:pPr>
            <w:sdt>
              <w:sdtPr>
                <w:alias w:val="Nurodykite konkrečią dieną"/>
                <w:tag w:val="Nurodykite pradžios datą"/>
                <w:id w:val="-198323198"/>
                <w:date w:fullDate="2021-04-21T00:00:00Z">
                  <w:dateFormat w:val="yyyy 'm.' MMMM d 'd.'"/>
                  <w:lid w:val="lt-LT"/>
                  <w:storeMappedDataAs w:val="dateTime"/>
                  <w:calendar w:val="gregorian"/>
                </w:date>
              </w:sdtPr>
              <w:sdtContent>
                <w:r w:rsidR="00D2588F" w:rsidRPr="00580D9F">
                  <w:t>2021 m. balandžio 21 d.</w:t>
                </w:r>
              </w:sdtContent>
            </w:sdt>
          </w:p>
        </w:tc>
        <w:tc>
          <w:tcPr>
            <w:tcW w:w="2351" w:type="dxa"/>
          </w:tcPr>
          <w:p w14:paraId="6E23BE06" w14:textId="77777777" w:rsidR="00D2588F" w:rsidRPr="00580D9F" w:rsidRDefault="00D2588F" w:rsidP="009E5088">
            <w:pPr>
              <w:spacing w:line="276" w:lineRule="auto"/>
              <w:rPr>
                <w:rFonts w:eastAsia="Arial"/>
              </w:rPr>
            </w:pPr>
            <w:r w:rsidRPr="00580D9F">
              <w:rPr>
                <w:rFonts w:eastAsia="Arial"/>
              </w:rPr>
              <w:t>Nerekomenduojama kompensuoti pagal pateiktą kainą.</w:t>
            </w:r>
          </w:p>
        </w:tc>
        <w:tc>
          <w:tcPr>
            <w:tcW w:w="2725" w:type="dxa"/>
          </w:tcPr>
          <w:p w14:paraId="6C3DDF6B" w14:textId="046F2F1E" w:rsidR="00D2588F" w:rsidRPr="00580D9F" w:rsidRDefault="008C2C4D" w:rsidP="009E5088">
            <w:pPr>
              <w:spacing w:line="276" w:lineRule="auto"/>
              <w:rPr>
                <w:rFonts w:eastAsia="Arial"/>
              </w:rPr>
            </w:pPr>
            <w:r w:rsidRPr="00580D9F">
              <w:rPr>
                <w:rFonts w:eastAsia="Arial"/>
              </w:rPr>
              <w:t xml:space="preserve">NCPE rekomenduoja apsvarstyti </w:t>
            </w:r>
            <w:proofErr w:type="spellStart"/>
            <w:r w:rsidRPr="00580D9F">
              <w:rPr>
                <w:rFonts w:eastAsia="Arial"/>
              </w:rPr>
              <w:t>nivolumabo</w:t>
            </w:r>
            <w:proofErr w:type="spellEnd"/>
            <w:r w:rsidRPr="00580D9F">
              <w:rPr>
                <w:rFonts w:eastAsia="Arial"/>
              </w:rPr>
              <w:t xml:space="preserve"> kompensavimą, jei galima padidinti šio vaisto kaštų efektyvumą, palyginti su esamomis gydymo alternatyvomis.</w:t>
            </w:r>
          </w:p>
        </w:tc>
      </w:tr>
    </w:tbl>
    <w:p w14:paraId="4B85B08D" w14:textId="77777777" w:rsidR="00D2588F" w:rsidRPr="00580D9F" w:rsidRDefault="00D2588F" w:rsidP="00D2588F">
      <w:pPr>
        <w:spacing w:line="276" w:lineRule="auto"/>
        <w:rPr>
          <w:rFonts w:eastAsia="Arial"/>
        </w:rPr>
      </w:pPr>
    </w:p>
    <w:p w14:paraId="73290081" w14:textId="3779EFC1" w:rsidR="007A2B68" w:rsidRPr="00580D9F" w:rsidRDefault="007A2B68">
      <w:pPr>
        <w:rPr>
          <w:b/>
          <w:bCs/>
          <w:caps/>
        </w:rPr>
      </w:pPr>
    </w:p>
    <w:p w14:paraId="5055E8A8" w14:textId="471A9757" w:rsidR="002E6F80" w:rsidRPr="00580D9F" w:rsidRDefault="00CC7832" w:rsidP="00CC09D4">
      <w:pPr>
        <w:pStyle w:val="ListParagraph"/>
        <w:numPr>
          <w:ilvl w:val="0"/>
          <w:numId w:val="12"/>
        </w:numPr>
        <w:tabs>
          <w:tab w:val="left" w:pos="567"/>
        </w:tabs>
        <w:ind w:hanging="720"/>
        <w:rPr>
          <w:b/>
          <w:bCs/>
          <w:caps/>
        </w:rPr>
      </w:pPr>
      <w:r w:rsidRPr="00580D9F">
        <w:rPr>
          <w:b/>
          <w:bCs/>
          <w:caps/>
        </w:rPr>
        <w:t>Klinikinio vertinimo a</w:t>
      </w:r>
      <w:r w:rsidR="00D4485B" w:rsidRPr="00580D9F">
        <w:rPr>
          <w:b/>
          <w:bCs/>
          <w:caps/>
        </w:rPr>
        <w:t>pibendrinimas</w:t>
      </w:r>
    </w:p>
    <w:p w14:paraId="25F89291" w14:textId="3F5B7D8D" w:rsidR="00D4485B" w:rsidRPr="00580D9F" w:rsidRDefault="00D4485B" w:rsidP="00A93AA6">
      <w:pPr>
        <w:pStyle w:val="ListParagraph"/>
        <w:tabs>
          <w:tab w:val="left" w:pos="426"/>
        </w:tabs>
        <w:ind w:left="0"/>
        <w:rPr>
          <w:b/>
          <w:bCs/>
          <w:caps/>
        </w:rPr>
      </w:pPr>
    </w:p>
    <w:p w14:paraId="593FDBA9" w14:textId="75548172" w:rsidR="00773BC9" w:rsidRPr="00580D9F" w:rsidRDefault="00773BC9" w:rsidP="00773BC9">
      <w:pPr>
        <w:spacing w:line="276" w:lineRule="auto"/>
        <w:ind w:firstLine="720"/>
        <w:jc w:val="both"/>
        <w:rPr>
          <w:lang w:eastAsia="lt-LT"/>
        </w:rPr>
      </w:pPr>
      <w:r w:rsidRPr="00580D9F">
        <w:rPr>
          <w:bCs/>
          <w:szCs w:val="20"/>
        </w:rPr>
        <w:t>Odos melanoma</w:t>
      </w:r>
      <w:r w:rsidRPr="00580D9F">
        <w:rPr>
          <w:szCs w:val="20"/>
        </w:rPr>
        <w:t xml:space="preserve"> – piktybinis odos navikas, susiformuojantis iš </w:t>
      </w:r>
      <w:proofErr w:type="spellStart"/>
      <w:r w:rsidRPr="00580D9F">
        <w:rPr>
          <w:szCs w:val="20"/>
        </w:rPr>
        <w:t>melanocitinių</w:t>
      </w:r>
      <w:proofErr w:type="spellEnd"/>
      <w:r w:rsidRPr="00580D9F">
        <w:rPr>
          <w:szCs w:val="20"/>
        </w:rPr>
        <w:t xml:space="preserve"> ląstelių, kurios pradeda nekontroliuojamai daugintis. Dažniausiai pažeidžiama oda, taip pat navikas gali formuotis gleivinėse, junginėje, tinklainėje, stiklakūnyje bei smegenų  dangaluose. </w:t>
      </w:r>
      <w:proofErr w:type="spellStart"/>
      <w:r w:rsidRPr="00580D9F">
        <w:rPr>
          <w:color w:val="000000"/>
        </w:rPr>
        <w:t>Adjuvantinis</w:t>
      </w:r>
      <w:proofErr w:type="spellEnd"/>
      <w:r w:rsidRPr="00580D9F">
        <w:rPr>
          <w:color w:val="000000"/>
        </w:rPr>
        <w:t xml:space="preserve"> melanomos gydymas nėra įprasta klinikinė praktika Lietuvoje dėl riboto efektyvumo ir didelio susijusio su galimu gydymu </w:t>
      </w:r>
      <w:r w:rsidR="009E2836" w:rsidRPr="00580D9F">
        <w:rPr>
          <w:color w:val="000000"/>
        </w:rPr>
        <w:t>šalutinių</w:t>
      </w:r>
      <w:r w:rsidRPr="00580D9F">
        <w:rPr>
          <w:color w:val="000000"/>
        </w:rPr>
        <w:t xml:space="preserve"> reiškinių skaičiaus. </w:t>
      </w:r>
      <w:r w:rsidRPr="00580D9F">
        <w:rPr>
          <w:lang w:eastAsia="lt-LT"/>
        </w:rPr>
        <w:t xml:space="preserve">Šiuo metu Lietuvoje pažeidusios limfmazgius arba </w:t>
      </w:r>
      <w:proofErr w:type="spellStart"/>
      <w:r w:rsidRPr="00580D9F">
        <w:rPr>
          <w:lang w:eastAsia="lt-LT"/>
        </w:rPr>
        <w:t>metastazavusios</w:t>
      </w:r>
      <w:proofErr w:type="spellEnd"/>
      <w:r w:rsidRPr="00580D9F">
        <w:rPr>
          <w:lang w:eastAsia="lt-LT"/>
        </w:rPr>
        <w:t xml:space="preserve"> melanomos </w:t>
      </w:r>
      <w:r w:rsidRPr="00580D9F">
        <w:rPr>
          <w:szCs w:val="20"/>
        </w:rPr>
        <w:t>(esant teigiamai PD-L1 raiškai)</w:t>
      </w:r>
      <w:r w:rsidRPr="00580D9F">
        <w:rPr>
          <w:lang w:eastAsia="lt-LT"/>
        </w:rPr>
        <w:t xml:space="preserve">, pilnai pašalintos operacijos būdu, </w:t>
      </w:r>
      <w:proofErr w:type="spellStart"/>
      <w:r w:rsidRPr="00580D9F">
        <w:rPr>
          <w:lang w:eastAsia="lt-LT"/>
        </w:rPr>
        <w:t>adjuvantinio</w:t>
      </w:r>
      <w:proofErr w:type="spellEnd"/>
      <w:r w:rsidRPr="00580D9F">
        <w:rPr>
          <w:lang w:eastAsia="lt-LT"/>
        </w:rPr>
        <w:t xml:space="preserve"> gydymo nėra, todėl paprastai taikoma stebėjimo taktika (placebas). </w:t>
      </w:r>
    </w:p>
    <w:p w14:paraId="01DABF03" w14:textId="2601D741" w:rsidR="00773BC9" w:rsidRPr="00580D9F" w:rsidRDefault="00773BC9" w:rsidP="00773BC9">
      <w:pPr>
        <w:spacing w:line="276" w:lineRule="auto"/>
        <w:ind w:firstLine="720"/>
        <w:jc w:val="both"/>
        <w:rPr>
          <w:rFonts w:eastAsia="Arial"/>
          <w:iCs/>
          <w:color w:val="000000"/>
          <w:szCs w:val="20"/>
        </w:rPr>
      </w:pPr>
      <w:proofErr w:type="spellStart"/>
      <w:r w:rsidRPr="00580D9F">
        <w:rPr>
          <w:iCs/>
          <w:color w:val="000000"/>
          <w:lang w:eastAsia="lt-LT"/>
        </w:rPr>
        <w:t>Opdivo</w:t>
      </w:r>
      <w:proofErr w:type="spellEnd"/>
      <w:r w:rsidRPr="00580D9F">
        <w:rPr>
          <w:iCs/>
          <w:color w:val="000000"/>
          <w:lang w:eastAsia="lt-LT"/>
        </w:rPr>
        <w:t xml:space="preserve"> (</w:t>
      </w:r>
      <w:proofErr w:type="spellStart"/>
      <w:r w:rsidRPr="00580D9F">
        <w:rPr>
          <w:iCs/>
          <w:color w:val="000000"/>
          <w:lang w:eastAsia="lt-LT"/>
        </w:rPr>
        <w:t>nivolumabas</w:t>
      </w:r>
      <w:proofErr w:type="spellEnd"/>
      <w:r w:rsidRPr="00580D9F">
        <w:rPr>
          <w:iCs/>
          <w:color w:val="000000"/>
          <w:lang w:eastAsia="lt-LT"/>
        </w:rPr>
        <w:t xml:space="preserve">) - </w:t>
      </w:r>
      <w:r w:rsidRPr="00580D9F">
        <w:rPr>
          <w:color w:val="000000"/>
        </w:rPr>
        <w:t xml:space="preserve">yra žmogui pritaikytas imunoglobulinas G4 (IgG4) – </w:t>
      </w:r>
      <w:proofErr w:type="spellStart"/>
      <w:r w:rsidRPr="00580D9F">
        <w:rPr>
          <w:color w:val="000000"/>
        </w:rPr>
        <w:t>monokloninis</w:t>
      </w:r>
      <w:proofErr w:type="spellEnd"/>
      <w:r w:rsidRPr="00580D9F">
        <w:rPr>
          <w:color w:val="000000"/>
        </w:rPr>
        <w:t xml:space="preserve"> antikūnas (</w:t>
      </w:r>
      <w:proofErr w:type="spellStart"/>
      <w:r w:rsidRPr="00580D9F">
        <w:rPr>
          <w:color w:val="000000"/>
        </w:rPr>
        <w:t>HuMAb</w:t>
      </w:r>
      <w:proofErr w:type="spellEnd"/>
      <w:r w:rsidRPr="00580D9F">
        <w:rPr>
          <w:color w:val="000000"/>
        </w:rPr>
        <w:t xml:space="preserve">), kuris prisijungia prie programuojamo žuvimo (angl. </w:t>
      </w:r>
      <w:proofErr w:type="spellStart"/>
      <w:r w:rsidRPr="00580D9F">
        <w:rPr>
          <w:color w:val="000000"/>
        </w:rPr>
        <w:t>programmed</w:t>
      </w:r>
      <w:proofErr w:type="spellEnd"/>
      <w:r w:rsidRPr="00580D9F">
        <w:rPr>
          <w:color w:val="000000"/>
        </w:rPr>
        <w:t xml:space="preserve"> </w:t>
      </w:r>
      <w:proofErr w:type="spellStart"/>
      <w:r w:rsidRPr="00580D9F">
        <w:rPr>
          <w:color w:val="000000"/>
        </w:rPr>
        <w:t>death</w:t>
      </w:r>
      <w:proofErr w:type="spellEnd"/>
      <w:r w:rsidRPr="00580D9F">
        <w:rPr>
          <w:color w:val="000000"/>
        </w:rPr>
        <w:t>) pirmųjų receptorių (PD-1) ir blokuoja jų sąveiką su PD-L1 ir PD-L2. Jo veiksmingumas siūlomai kompensuoti indikacijai pareiškėjas pagrindė tiesioginiu (</w:t>
      </w:r>
      <w:r w:rsidRPr="00580D9F">
        <w:rPr>
          <w:rFonts w:eastAsia="Arial"/>
        </w:rPr>
        <w:t xml:space="preserve">CheckMate238 klinikinis tyrimas) </w:t>
      </w:r>
      <w:r w:rsidRPr="00580D9F">
        <w:rPr>
          <w:color w:val="000000"/>
        </w:rPr>
        <w:t xml:space="preserve">ir netiesioginiu (meta-analizė) palyginimu.  </w:t>
      </w:r>
      <w:r w:rsidRPr="00580D9F">
        <w:rPr>
          <w:szCs w:val="20"/>
        </w:rPr>
        <w:t xml:space="preserve">Tačiau, atsižvelgiant į įprastą klinikinę praktiką Lietuvoje </w:t>
      </w:r>
      <w:proofErr w:type="spellStart"/>
      <w:r w:rsidRPr="00580D9F">
        <w:rPr>
          <w:szCs w:val="20"/>
        </w:rPr>
        <w:t>nivolumabo</w:t>
      </w:r>
      <w:proofErr w:type="spellEnd"/>
      <w:r w:rsidRPr="00580D9F">
        <w:rPr>
          <w:szCs w:val="20"/>
        </w:rPr>
        <w:t xml:space="preserve"> k</w:t>
      </w:r>
      <w:r w:rsidRPr="00580D9F">
        <w:rPr>
          <w:rFonts w:eastAsia="Arial"/>
        </w:rPr>
        <w:t>linikinis veiksmingumas buvo vertinamas pagal netiesioginio palyginimo klinikinių tyrimų CheckMate238 (</w:t>
      </w:r>
      <w:r w:rsidRPr="00580D9F">
        <w:t xml:space="preserve">CA209-238) ir CA184-029 </w:t>
      </w:r>
      <w:r w:rsidRPr="00580D9F">
        <w:rPr>
          <w:rFonts w:eastAsia="Arial"/>
        </w:rPr>
        <w:t xml:space="preserve">duomenis. Netiesioginėje analizėje buvo apdoroti suvestini  </w:t>
      </w:r>
      <w:proofErr w:type="spellStart"/>
      <w:r w:rsidRPr="00580D9F">
        <w:rPr>
          <w:rFonts w:eastAsia="Arial"/>
        </w:rPr>
        <w:t>nivolumabo</w:t>
      </w:r>
      <w:proofErr w:type="spellEnd"/>
      <w:r w:rsidRPr="00580D9F">
        <w:rPr>
          <w:rFonts w:eastAsia="Arial"/>
        </w:rPr>
        <w:t xml:space="preserve"> ir placebo gydymo rezultatų duomenys iš minėtų klinikinių tyrimų.  Pagrindinės vertinamosios baigtys buvo išg</w:t>
      </w:r>
      <w:r w:rsidR="002A596E">
        <w:rPr>
          <w:rFonts w:eastAsia="Arial"/>
        </w:rPr>
        <w:t>y</w:t>
      </w:r>
      <w:r w:rsidRPr="00580D9F">
        <w:rPr>
          <w:rFonts w:eastAsia="Arial"/>
        </w:rPr>
        <w:t>v</w:t>
      </w:r>
      <w:r w:rsidR="002A596E">
        <w:rPr>
          <w:rFonts w:eastAsia="Arial"/>
        </w:rPr>
        <w:t>e</w:t>
      </w:r>
      <w:r w:rsidRPr="00580D9F">
        <w:rPr>
          <w:rFonts w:eastAsia="Arial"/>
        </w:rPr>
        <w:t xml:space="preserve">namumas be recidyvo bei išgyvenamumas be tolimų metastazių, bendro išgyvenamumo duomenys vertinami teoriškai po 4 metų stebėjimo. Tikslinė pacientų populiacija atitinka terapinę indikaciją bei Lietuvos pacientų populiaciją. </w:t>
      </w:r>
      <w:r w:rsidRPr="00580D9F">
        <w:rPr>
          <w:rFonts w:eastAsia="Arial"/>
          <w:iCs/>
          <w:color w:val="000000"/>
          <w:szCs w:val="20"/>
        </w:rPr>
        <w:t>Šiuo metu Lietuvoje sveikatos apsaugos ministro patvirtinto odos melanomos gydymo kompensuojamaisiais vaistais tvarkos aprašo nėra. Odos melanomos gydymas vyksta pagal ECMO rekomendacijas.</w:t>
      </w:r>
    </w:p>
    <w:p w14:paraId="3FDE76AF" w14:textId="77777777" w:rsidR="00773BC9" w:rsidRPr="00580D9F" w:rsidRDefault="00773BC9" w:rsidP="00773BC9">
      <w:pPr>
        <w:tabs>
          <w:tab w:val="left" w:pos="720"/>
        </w:tabs>
        <w:spacing w:line="276" w:lineRule="auto"/>
        <w:jc w:val="both"/>
        <w:rPr>
          <w:szCs w:val="20"/>
        </w:rPr>
      </w:pPr>
      <w:r w:rsidRPr="00580D9F">
        <w:rPr>
          <w:rFonts w:eastAsia="Arial"/>
        </w:rPr>
        <w:tab/>
      </w:r>
      <w:r w:rsidRPr="00580D9F">
        <w:rPr>
          <w:rFonts w:eastAsia="Arial"/>
          <w:i/>
        </w:rPr>
        <w:t>Tiesioginio palyginimo</w:t>
      </w:r>
      <w:r w:rsidRPr="00580D9F">
        <w:rPr>
          <w:rFonts w:eastAsia="Arial"/>
        </w:rPr>
        <w:t xml:space="preserve"> (Tyrimas CheckMate238) rezultatai vertinami papildomai, nes </w:t>
      </w:r>
      <w:proofErr w:type="spellStart"/>
      <w:r w:rsidRPr="00580D9F">
        <w:rPr>
          <w:rFonts w:eastAsia="Arial"/>
        </w:rPr>
        <w:t>nivolumabo</w:t>
      </w:r>
      <w:proofErr w:type="spellEnd"/>
      <w:r w:rsidRPr="00580D9F">
        <w:rPr>
          <w:rFonts w:eastAsia="Arial"/>
        </w:rPr>
        <w:t xml:space="preserve"> gydymo rezultatai naudojami netiesioginiame palyginime. Tyrimas CheckMate238 - </w:t>
      </w:r>
      <w:r w:rsidRPr="00580D9F">
        <w:t xml:space="preserve">3 fazės, atsitiktinių imčių, dvigubai koduotas klinikinis tyrimas, kurio tikslas yra  palyginti sergančių </w:t>
      </w:r>
      <w:proofErr w:type="spellStart"/>
      <w:r w:rsidRPr="00580D9F">
        <w:t>rezekuota</w:t>
      </w:r>
      <w:proofErr w:type="spellEnd"/>
      <w:r w:rsidRPr="00580D9F">
        <w:t xml:space="preserve"> IIIB, IIIC arba IV stadijos melanoma </w:t>
      </w:r>
      <w:proofErr w:type="spellStart"/>
      <w:r w:rsidRPr="00580D9F">
        <w:t>adjuvantinį</w:t>
      </w:r>
      <w:proofErr w:type="spellEnd"/>
      <w:r w:rsidRPr="00580D9F">
        <w:t xml:space="preserve"> gydymą </w:t>
      </w:r>
      <w:proofErr w:type="spellStart"/>
      <w:r w:rsidRPr="00580D9F">
        <w:t>nivolumabu</w:t>
      </w:r>
      <w:proofErr w:type="spellEnd"/>
      <w:r w:rsidRPr="00580D9F">
        <w:t xml:space="preserve"> arba </w:t>
      </w:r>
      <w:proofErr w:type="spellStart"/>
      <w:r w:rsidRPr="00580D9F">
        <w:t>ipilimumabu</w:t>
      </w:r>
      <w:proofErr w:type="spellEnd"/>
      <w:r w:rsidRPr="00580D9F">
        <w:t xml:space="preserve"> (3 mg/kg </w:t>
      </w:r>
      <w:proofErr w:type="spellStart"/>
      <w:r w:rsidRPr="00580D9F">
        <w:t>nivolumabo</w:t>
      </w:r>
      <w:proofErr w:type="spellEnd"/>
      <w:r w:rsidRPr="00580D9F">
        <w:t xml:space="preserve"> (n = 453) ir 10 mg/kg (n = 453) </w:t>
      </w:r>
      <w:proofErr w:type="spellStart"/>
      <w:r w:rsidRPr="00580D9F">
        <w:t>ipilimumabo</w:t>
      </w:r>
      <w:proofErr w:type="spellEnd"/>
      <w:r w:rsidRPr="00580D9F">
        <w:t>).</w:t>
      </w:r>
    </w:p>
    <w:p w14:paraId="547BF1F0" w14:textId="77777777" w:rsidR="00773BC9" w:rsidRPr="00580D9F" w:rsidRDefault="00773BC9" w:rsidP="00773BC9">
      <w:pPr>
        <w:autoSpaceDE w:val="0"/>
        <w:autoSpaceDN w:val="0"/>
        <w:adjustRightInd w:val="0"/>
        <w:spacing w:line="276" w:lineRule="auto"/>
        <w:ind w:firstLine="720"/>
        <w:jc w:val="both"/>
        <w:rPr>
          <w:szCs w:val="20"/>
          <w:u w:val="single"/>
        </w:rPr>
      </w:pPr>
    </w:p>
    <w:p w14:paraId="31FD7747" w14:textId="77777777" w:rsidR="00773BC9" w:rsidRPr="00580D9F" w:rsidRDefault="00773BC9" w:rsidP="00773BC9">
      <w:pPr>
        <w:autoSpaceDE w:val="0"/>
        <w:autoSpaceDN w:val="0"/>
        <w:adjustRightInd w:val="0"/>
        <w:spacing w:line="276" w:lineRule="auto"/>
        <w:ind w:firstLine="720"/>
        <w:jc w:val="both"/>
        <w:rPr>
          <w:szCs w:val="20"/>
        </w:rPr>
      </w:pPr>
      <w:r w:rsidRPr="00580D9F">
        <w:rPr>
          <w:szCs w:val="20"/>
          <w:u w:val="single"/>
        </w:rPr>
        <w:t>Tyrimo pirminė vertinamoji baigtis</w:t>
      </w:r>
      <w:r w:rsidRPr="00580D9F">
        <w:rPr>
          <w:szCs w:val="20"/>
        </w:rPr>
        <w:t xml:space="preserve"> buvo </w:t>
      </w:r>
      <w:r w:rsidRPr="00580D9F">
        <w:t>išgyvenamumas be ligos recidyvo (IBLR): iki ligos recidyvo arba mirties nuo bent kokios priežasties (</w:t>
      </w:r>
      <w:r w:rsidRPr="00580D9F">
        <w:rPr>
          <w:i/>
        </w:rPr>
        <w:t xml:space="preserve">angl. </w:t>
      </w:r>
      <w:proofErr w:type="spellStart"/>
      <w:r w:rsidRPr="00580D9F">
        <w:rPr>
          <w:i/>
        </w:rPr>
        <w:t>Recurrence</w:t>
      </w:r>
      <w:proofErr w:type="spellEnd"/>
      <w:r w:rsidRPr="00580D9F">
        <w:rPr>
          <w:i/>
        </w:rPr>
        <w:t xml:space="preserve"> </w:t>
      </w:r>
      <w:proofErr w:type="spellStart"/>
      <w:r w:rsidRPr="00580D9F">
        <w:rPr>
          <w:i/>
        </w:rPr>
        <w:t>Free</w:t>
      </w:r>
      <w:proofErr w:type="spellEnd"/>
      <w:r w:rsidRPr="00580D9F">
        <w:rPr>
          <w:i/>
        </w:rPr>
        <w:t xml:space="preserve"> </w:t>
      </w:r>
      <w:proofErr w:type="spellStart"/>
      <w:r w:rsidRPr="00580D9F">
        <w:rPr>
          <w:i/>
        </w:rPr>
        <w:t>Survival</w:t>
      </w:r>
      <w:proofErr w:type="spellEnd"/>
      <w:r w:rsidRPr="00580D9F">
        <w:t xml:space="preserve">). </w:t>
      </w:r>
      <w:r w:rsidRPr="00580D9F">
        <w:rPr>
          <w:color w:val="000000"/>
        </w:rPr>
        <w:t xml:space="preserve">Po 12 mėnesių, be ligos recidyvo buvo 70,5 proc. pacientų gydytų </w:t>
      </w:r>
      <w:proofErr w:type="spellStart"/>
      <w:r w:rsidRPr="00580D9F">
        <w:rPr>
          <w:color w:val="000000"/>
        </w:rPr>
        <w:t>nivolumabu</w:t>
      </w:r>
      <w:proofErr w:type="spellEnd"/>
      <w:r w:rsidRPr="00580D9F">
        <w:rPr>
          <w:color w:val="000000"/>
        </w:rPr>
        <w:t xml:space="preserve"> (95% PI  intervale, 66,1-74,5) ir 60,8 proc. (95% PI, 56,0-65,2) </w:t>
      </w:r>
      <w:proofErr w:type="spellStart"/>
      <w:r w:rsidRPr="00580D9F">
        <w:rPr>
          <w:color w:val="000000"/>
        </w:rPr>
        <w:t>ipilimumabo</w:t>
      </w:r>
      <w:proofErr w:type="spellEnd"/>
      <w:r w:rsidRPr="00580D9F">
        <w:rPr>
          <w:color w:val="000000"/>
        </w:rPr>
        <w:t xml:space="preserve"> grupėje. </w:t>
      </w:r>
    </w:p>
    <w:p w14:paraId="63D5B8A1" w14:textId="77777777" w:rsidR="00773BC9" w:rsidRPr="00580D9F" w:rsidRDefault="00773BC9" w:rsidP="0077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580D9F">
        <w:rPr>
          <w:szCs w:val="20"/>
        </w:rPr>
        <w:tab/>
        <w:t xml:space="preserve">Po 18 mėnesių, atitinkamai be ligos recidyvo buvo 66,4 proc. (95% PI, 61,8-70,6) gydytų </w:t>
      </w:r>
      <w:proofErr w:type="spellStart"/>
      <w:r w:rsidRPr="00580D9F">
        <w:rPr>
          <w:szCs w:val="20"/>
        </w:rPr>
        <w:t>nivolumabu</w:t>
      </w:r>
      <w:proofErr w:type="spellEnd"/>
      <w:r w:rsidRPr="00580D9F">
        <w:rPr>
          <w:szCs w:val="20"/>
        </w:rPr>
        <w:t xml:space="preserve"> ir 52,7 proc. (95% PI, 47,8–57,4) gydytų </w:t>
      </w:r>
      <w:proofErr w:type="spellStart"/>
      <w:r w:rsidRPr="00580D9F">
        <w:rPr>
          <w:szCs w:val="20"/>
        </w:rPr>
        <w:t>ipilimumabu</w:t>
      </w:r>
      <w:proofErr w:type="spellEnd"/>
      <w:r w:rsidRPr="00580D9F">
        <w:rPr>
          <w:szCs w:val="20"/>
        </w:rPr>
        <w:t xml:space="preserve">. Gydant </w:t>
      </w:r>
      <w:proofErr w:type="spellStart"/>
      <w:r w:rsidRPr="00580D9F">
        <w:rPr>
          <w:szCs w:val="20"/>
        </w:rPr>
        <w:t>nivolumabu</w:t>
      </w:r>
      <w:proofErr w:type="spellEnd"/>
      <w:r w:rsidRPr="00580D9F">
        <w:rPr>
          <w:szCs w:val="20"/>
        </w:rPr>
        <w:t xml:space="preserve"> mirė ar liga </w:t>
      </w:r>
      <w:proofErr w:type="spellStart"/>
      <w:r w:rsidRPr="00580D9F">
        <w:rPr>
          <w:szCs w:val="20"/>
        </w:rPr>
        <w:t>recidyvavo</w:t>
      </w:r>
      <w:proofErr w:type="spellEnd"/>
      <w:r w:rsidRPr="00580D9F">
        <w:rPr>
          <w:szCs w:val="20"/>
        </w:rPr>
        <w:t xml:space="preserve"> 154 iš 453 pacientų (34,0 proc.), tuo tarpu </w:t>
      </w:r>
      <w:proofErr w:type="spellStart"/>
      <w:r w:rsidRPr="00580D9F">
        <w:rPr>
          <w:szCs w:val="20"/>
        </w:rPr>
        <w:t>ipilimumabo</w:t>
      </w:r>
      <w:proofErr w:type="spellEnd"/>
      <w:r w:rsidRPr="00580D9F">
        <w:rPr>
          <w:szCs w:val="20"/>
        </w:rPr>
        <w:t xml:space="preserve"> grupėje mirė arba liga </w:t>
      </w:r>
      <w:proofErr w:type="spellStart"/>
      <w:r w:rsidRPr="00580D9F">
        <w:rPr>
          <w:szCs w:val="20"/>
        </w:rPr>
        <w:t>recidyvavo</w:t>
      </w:r>
      <w:proofErr w:type="spellEnd"/>
      <w:r w:rsidRPr="00580D9F">
        <w:rPr>
          <w:szCs w:val="20"/>
        </w:rPr>
        <w:t xml:space="preserve"> 206 iš 453 pacientų (45,5 proc.) (HR, 0,65; 97,56% PI, 0,51 iki 0,5 0,83; P &lt;0,001). Pacientai, sergantys bet kurios stadijos liga geresnius rezultatus pasiekė gydant </w:t>
      </w:r>
      <w:proofErr w:type="spellStart"/>
      <w:r w:rsidRPr="00580D9F">
        <w:rPr>
          <w:szCs w:val="20"/>
        </w:rPr>
        <w:t>nivolumabu</w:t>
      </w:r>
      <w:proofErr w:type="spellEnd"/>
      <w:r w:rsidRPr="00580D9F">
        <w:rPr>
          <w:szCs w:val="20"/>
        </w:rPr>
        <w:t xml:space="preserve">. Po bent 24 mėn. stebėjimo atnaujinus aprašomąją RFS analizę, RFS pailgėjimą̨ patvirtino HR = 0,66 (95 % PI – 0,54; 0,81; p &lt; 0,0001), o OS duomenys buvo </w:t>
      </w:r>
      <w:proofErr w:type="spellStart"/>
      <w:r w:rsidRPr="00580D9F">
        <w:rPr>
          <w:szCs w:val="20"/>
        </w:rPr>
        <w:t>nebrandūs</w:t>
      </w:r>
      <w:proofErr w:type="spellEnd"/>
      <w:r w:rsidRPr="00580D9F">
        <w:rPr>
          <w:szCs w:val="20"/>
        </w:rPr>
        <w:t xml:space="preserve">. Minimalus stebėjimas truko maždaug 24 mėn. Po bent 36 </w:t>
      </w:r>
      <w:proofErr w:type="spellStart"/>
      <w:r w:rsidRPr="00580D9F">
        <w:rPr>
          <w:szCs w:val="20"/>
        </w:rPr>
        <w:t>mėn</w:t>
      </w:r>
      <w:proofErr w:type="spellEnd"/>
      <w:r w:rsidRPr="00580D9F">
        <w:rPr>
          <w:szCs w:val="20"/>
        </w:rPr>
        <w:t xml:space="preserve">. trukusio stebėjimo tyrimas parodė statistiškai reikšmingą vartojusių </w:t>
      </w:r>
      <w:proofErr w:type="spellStart"/>
      <w:r w:rsidRPr="00580D9F">
        <w:rPr>
          <w:szCs w:val="20"/>
        </w:rPr>
        <w:t>nivolumaba</w:t>
      </w:r>
      <w:proofErr w:type="spellEnd"/>
      <w:r w:rsidRPr="00580D9F">
        <w:rPr>
          <w:szCs w:val="20"/>
        </w:rPr>
        <w:t xml:space="preserve">̨ </w:t>
      </w:r>
      <w:proofErr w:type="spellStart"/>
      <w:r w:rsidRPr="00580D9F">
        <w:rPr>
          <w:szCs w:val="20"/>
        </w:rPr>
        <w:t>randomizuotu</w:t>
      </w:r>
      <w:proofErr w:type="spellEnd"/>
      <w:r w:rsidRPr="00580D9F">
        <w:rPr>
          <w:szCs w:val="20"/>
        </w:rPr>
        <w:t xml:space="preserve">̨ pacientų RFS pailgėjimą̨ palyginus su </w:t>
      </w:r>
      <w:proofErr w:type="spellStart"/>
      <w:r w:rsidRPr="00580D9F">
        <w:rPr>
          <w:szCs w:val="20"/>
        </w:rPr>
        <w:t>ipilimumabo</w:t>
      </w:r>
      <w:proofErr w:type="spellEnd"/>
      <w:r w:rsidRPr="00580D9F">
        <w:rPr>
          <w:szCs w:val="20"/>
        </w:rPr>
        <w:t xml:space="preserve"> 10 mg/kg grupe. Palankus poveikis RFS nuosekliai nustatytas įvairiuose pogrupiuose, sudarytuose pagal PD-L1 raišką navike, BRAF būklę̨ ir ligos stadiją. Po bent 48 </w:t>
      </w:r>
      <w:proofErr w:type="spellStart"/>
      <w:r w:rsidRPr="00580D9F">
        <w:rPr>
          <w:szCs w:val="20"/>
        </w:rPr>
        <w:t>mėn</w:t>
      </w:r>
      <w:proofErr w:type="spellEnd"/>
      <w:r w:rsidRPr="00580D9F">
        <w:rPr>
          <w:szCs w:val="20"/>
        </w:rPr>
        <w:t xml:space="preserve">. stebėjimo tyrimas toliau </w:t>
      </w:r>
      <w:proofErr w:type="spellStart"/>
      <w:r w:rsidRPr="00580D9F">
        <w:rPr>
          <w:szCs w:val="20"/>
        </w:rPr>
        <w:t>rode</w:t>
      </w:r>
      <w:proofErr w:type="spellEnd"/>
      <w:r w:rsidRPr="00580D9F">
        <w:rPr>
          <w:szCs w:val="20"/>
        </w:rPr>
        <w:t xml:space="preserve">̇ ilgesnį </w:t>
      </w:r>
      <w:proofErr w:type="spellStart"/>
      <w:r w:rsidRPr="00580D9F">
        <w:rPr>
          <w:szCs w:val="20"/>
        </w:rPr>
        <w:t>nivolumabo</w:t>
      </w:r>
      <w:proofErr w:type="spellEnd"/>
      <w:r w:rsidRPr="00580D9F">
        <w:rPr>
          <w:szCs w:val="20"/>
        </w:rPr>
        <w:t xml:space="preserve"> grupės pacientų RFS palyginus su </w:t>
      </w:r>
      <w:proofErr w:type="spellStart"/>
      <w:r w:rsidRPr="00580D9F">
        <w:rPr>
          <w:szCs w:val="20"/>
        </w:rPr>
        <w:t>ipilimumabo</w:t>
      </w:r>
      <w:proofErr w:type="spellEnd"/>
      <w:r w:rsidRPr="00580D9F">
        <w:rPr>
          <w:szCs w:val="20"/>
        </w:rPr>
        <w:t xml:space="preserve"> grupe. Palankus poveikis RFS nustatytas visuose pogrupiuose. </w:t>
      </w:r>
    </w:p>
    <w:p w14:paraId="1918F087" w14:textId="77777777" w:rsidR="00773BC9" w:rsidRPr="00580D9F" w:rsidRDefault="00773BC9" w:rsidP="00773BC9">
      <w:pPr>
        <w:spacing w:after="80" w:line="276" w:lineRule="auto"/>
        <w:ind w:firstLine="360"/>
        <w:jc w:val="both"/>
        <w:rPr>
          <w:szCs w:val="20"/>
        </w:rPr>
      </w:pPr>
      <w:r w:rsidRPr="00580D9F">
        <w:rPr>
          <w:szCs w:val="20"/>
          <w:u w:val="single"/>
        </w:rPr>
        <w:t>Tyrimo antrinės vertinamosios baigtys</w:t>
      </w:r>
    </w:p>
    <w:p w14:paraId="6CD01E11" w14:textId="77777777" w:rsidR="00773BC9" w:rsidRPr="00580D9F" w:rsidRDefault="00773BC9" w:rsidP="00773BC9">
      <w:pPr>
        <w:spacing w:line="276" w:lineRule="auto"/>
        <w:jc w:val="both"/>
        <w:rPr>
          <w:rFonts w:eastAsia="Arial"/>
          <w:iCs/>
        </w:rPr>
      </w:pPr>
      <w:r w:rsidRPr="00580D9F">
        <w:rPr>
          <w:i/>
          <w:szCs w:val="20"/>
        </w:rPr>
        <w:t xml:space="preserve">Bendrasis išgyvenamumas </w:t>
      </w:r>
      <w:r w:rsidRPr="00580D9F">
        <w:rPr>
          <w:szCs w:val="20"/>
        </w:rPr>
        <w:t xml:space="preserve">buvo apibrėžtas kaip išgyvenamumas iki mirties nuo bent kokios priežasties (BI). </w:t>
      </w:r>
      <w:r w:rsidRPr="00580D9F">
        <w:rPr>
          <w:rFonts w:eastAsia="Arial"/>
          <w:iCs/>
        </w:rPr>
        <w:t xml:space="preserve">Bendras išgyvenamumas neparodė skirtumų tarp tyrimo grupių. Pasibaigus tyrimo gydymui stebėjimo metu buvo užfiksuoti 44 mirties atvejai </w:t>
      </w:r>
      <w:proofErr w:type="spellStart"/>
      <w:r w:rsidRPr="00580D9F">
        <w:rPr>
          <w:rFonts w:eastAsia="Arial"/>
          <w:iCs/>
        </w:rPr>
        <w:t>nivolumabo</w:t>
      </w:r>
      <w:proofErr w:type="spellEnd"/>
      <w:r w:rsidRPr="00580D9F">
        <w:rPr>
          <w:rFonts w:eastAsia="Arial"/>
          <w:iCs/>
        </w:rPr>
        <w:t xml:space="preserve"> grupėje bei 45 atvejai </w:t>
      </w:r>
      <w:proofErr w:type="spellStart"/>
      <w:r w:rsidRPr="00580D9F">
        <w:rPr>
          <w:rFonts w:eastAsia="Arial"/>
          <w:iCs/>
        </w:rPr>
        <w:t>ipilimumabo</w:t>
      </w:r>
      <w:proofErr w:type="spellEnd"/>
      <w:r w:rsidRPr="00580D9F">
        <w:rPr>
          <w:rFonts w:eastAsia="Arial"/>
          <w:iCs/>
        </w:rPr>
        <w:t xml:space="preserve"> grupėje. Gydymo metu mirties atvejų nebuvo užregistruota.</w:t>
      </w:r>
    </w:p>
    <w:p w14:paraId="071E66C5" w14:textId="77777777" w:rsidR="00773BC9" w:rsidRPr="00580D9F" w:rsidRDefault="00773BC9" w:rsidP="00773BC9">
      <w:pPr>
        <w:tabs>
          <w:tab w:val="left" w:pos="720"/>
        </w:tabs>
        <w:spacing w:line="276" w:lineRule="auto"/>
        <w:jc w:val="both"/>
        <w:rPr>
          <w:szCs w:val="20"/>
        </w:rPr>
      </w:pPr>
      <w:r w:rsidRPr="00580D9F">
        <w:rPr>
          <w:szCs w:val="20"/>
        </w:rPr>
        <w:tab/>
      </w:r>
      <w:r w:rsidRPr="00580D9F">
        <w:rPr>
          <w:i/>
          <w:szCs w:val="20"/>
        </w:rPr>
        <w:t>IBLR pacientams su PD-L1 raiška (iš anksto numatytas pogrupis).</w:t>
      </w:r>
      <w:r w:rsidRPr="00580D9F">
        <w:rPr>
          <w:szCs w:val="20"/>
        </w:rPr>
        <w:t xml:space="preserve"> Pacientų su PD-L1 raiška IBLR analizė parodė, kad gydymas </w:t>
      </w:r>
      <w:proofErr w:type="spellStart"/>
      <w:r w:rsidRPr="00580D9F">
        <w:rPr>
          <w:szCs w:val="20"/>
        </w:rPr>
        <w:t>nivolumabu</w:t>
      </w:r>
      <w:proofErr w:type="spellEnd"/>
      <w:r w:rsidRPr="00580D9F">
        <w:rPr>
          <w:szCs w:val="20"/>
        </w:rPr>
        <w:t xml:space="preserve"> buvo statistiškai pranašesnis nei </w:t>
      </w:r>
      <w:proofErr w:type="spellStart"/>
      <w:r w:rsidRPr="00580D9F">
        <w:rPr>
          <w:szCs w:val="20"/>
        </w:rPr>
        <w:t>ipilimumabo</w:t>
      </w:r>
      <w:proofErr w:type="spellEnd"/>
      <w:r w:rsidRPr="00580D9F">
        <w:rPr>
          <w:szCs w:val="20"/>
        </w:rPr>
        <w:t xml:space="preserve"> grupėje. Esant PD-L1 raiškai ≥ 5 proc. rizikos santykis (RS: 0,50 (95 proc. PI: 0,32-0,78) yra net mažesnis nei bendrojoje populiacijoje. Remiantis </w:t>
      </w:r>
      <w:proofErr w:type="spellStart"/>
      <w:r w:rsidRPr="00580D9F">
        <w:rPr>
          <w:szCs w:val="20"/>
        </w:rPr>
        <w:t>Kaplan-Meir</w:t>
      </w:r>
      <w:proofErr w:type="spellEnd"/>
      <w:r w:rsidRPr="00580D9F">
        <w:rPr>
          <w:szCs w:val="20"/>
        </w:rPr>
        <w:t xml:space="preserve"> kreivės duomenimis, šiems pacientams IBLR rizika yra 50 proc. mažesnė, jei buvo taikomas gydymas </w:t>
      </w:r>
      <w:proofErr w:type="spellStart"/>
      <w:r w:rsidRPr="00580D9F">
        <w:rPr>
          <w:szCs w:val="20"/>
        </w:rPr>
        <w:t>nivolumabu</w:t>
      </w:r>
      <w:proofErr w:type="spellEnd"/>
      <w:r w:rsidRPr="00580D9F">
        <w:rPr>
          <w:szCs w:val="20"/>
        </w:rPr>
        <w:t xml:space="preserve">, palyginus su </w:t>
      </w:r>
      <w:proofErr w:type="spellStart"/>
      <w:r w:rsidRPr="00580D9F">
        <w:rPr>
          <w:szCs w:val="20"/>
        </w:rPr>
        <w:t>ipilimumabu</w:t>
      </w:r>
      <w:proofErr w:type="spellEnd"/>
      <w:r w:rsidRPr="00580D9F">
        <w:rPr>
          <w:szCs w:val="20"/>
        </w:rPr>
        <w:t xml:space="preserve">. Esant nedidelei PD-L1 raiškai (&lt; 5 proc.) </w:t>
      </w:r>
      <w:proofErr w:type="spellStart"/>
      <w:r w:rsidRPr="00580D9F">
        <w:rPr>
          <w:szCs w:val="20"/>
        </w:rPr>
        <w:t>nivolumabo</w:t>
      </w:r>
      <w:proofErr w:type="spellEnd"/>
      <w:r w:rsidRPr="00580D9F">
        <w:rPr>
          <w:szCs w:val="20"/>
        </w:rPr>
        <w:t xml:space="preserve"> veiksmingumas mažėja, bet vis dėl to geresnis nei gydant </w:t>
      </w:r>
      <w:proofErr w:type="spellStart"/>
      <w:r w:rsidRPr="00580D9F">
        <w:rPr>
          <w:szCs w:val="20"/>
        </w:rPr>
        <w:t>ipilimumabu</w:t>
      </w:r>
      <w:proofErr w:type="spellEnd"/>
      <w:r w:rsidRPr="00580D9F">
        <w:rPr>
          <w:szCs w:val="20"/>
        </w:rPr>
        <w:t xml:space="preserve"> (pav.6). </w:t>
      </w:r>
    </w:p>
    <w:p w14:paraId="345938F5" w14:textId="77777777" w:rsidR="00773BC9" w:rsidRPr="00580D9F" w:rsidRDefault="00773BC9" w:rsidP="00773BC9">
      <w:pPr>
        <w:tabs>
          <w:tab w:val="left" w:pos="1867"/>
        </w:tabs>
        <w:spacing w:line="276" w:lineRule="auto"/>
        <w:jc w:val="both"/>
        <w:rPr>
          <w:u w:val="single"/>
        </w:rPr>
      </w:pPr>
    </w:p>
    <w:p w14:paraId="5DEADAFB" w14:textId="77777777" w:rsidR="00773BC9" w:rsidRPr="00580D9F" w:rsidRDefault="00773BC9" w:rsidP="00773BC9">
      <w:pPr>
        <w:tabs>
          <w:tab w:val="left" w:pos="1867"/>
        </w:tabs>
        <w:spacing w:line="276" w:lineRule="auto"/>
        <w:jc w:val="both"/>
        <w:rPr>
          <w:u w:val="single"/>
        </w:rPr>
      </w:pPr>
      <w:r w:rsidRPr="00580D9F">
        <w:rPr>
          <w:u w:val="single"/>
        </w:rPr>
        <w:t>Gyvenimo kokybės (</w:t>
      </w:r>
      <w:proofErr w:type="spellStart"/>
      <w:r w:rsidRPr="00580D9F">
        <w:rPr>
          <w:u w:val="single"/>
        </w:rPr>
        <w:t>HRQoL</w:t>
      </w:r>
      <w:proofErr w:type="spellEnd"/>
      <w:r w:rsidRPr="00580D9F">
        <w:rPr>
          <w:u w:val="single"/>
        </w:rPr>
        <w:t>) pokytis</w:t>
      </w:r>
    </w:p>
    <w:p w14:paraId="15DFB012" w14:textId="34BD0ED4" w:rsidR="00773BC9" w:rsidRPr="00580D9F" w:rsidRDefault="00773BC9" w:rsidP="00773BC9">
      <w:pPr>
        <w:spacing w:line="276" w:lineRule="auto"/>
        <w:ind w:firstLine="720"/>
        <w:jc w:val="both"/>
      </w:pPr>
      <w:r w:rsidRPr="00580D9F">
        <w:rPr>
          <w:rFonts w:eastAsia="Arial"/>
          <w:iCs/>
        </w:rPr>
        <w:t>A</w:t>
      </w:r>
      <w:r w:rsidRPr="00580D9F">
        <w:t xml:space="preserve">tsižvelgiant į 3/4 laipsnio </w:t>
      </w:r>
      <w:r w:rsidR="009E2836" w:rsidRPr="00580D9F">
        <w:t>šalutinius</w:t>
      </w:r>
      <w:r w:rsidRPr="00580D9F">
        <w:t xml:space="preserve"> reiškinius, gydymo nutraukimą, taip pat ir nutraukimą dėl nepageidaujamų reiškinių ir EORTC QLQ C-30 kaip saugumo ir </w:t>
      </w:r>
      <w:proofErr w:type="spellStart"/>
      <w:r w:rsidRPr="00580D9F">
        <w:t>HRQoL</w:t>
      </w:r>
      <w:proofErr w:type="spellEnd"/>
      <w:r w:rsidRPr="00580D9F">
        <w:t xml:space="preserve"> kaip gyvenimo kokybės vertinimo skales pacientams, sergantiems III/IV stadijos melanoma pagal AJCC klasifikaciją, reikšmingų skirtumų bendrai vertinant pacientų savijautą gydymo metu nebuvo nustatyta. Tačiau, gydymas </w:t>
      </w:r>
      <w:proofErr w:type="spellStart"/>
      <w:r w:rsidRPr="00580D9F">
        <w:t>nivolumabu</w:t>
      </w:r>
      <w:proofErr w:type="spellEnd"/>
      <w:r w:rsidRPr="00580D9F">
        <w:t xml:space="preserve"> pasižymi žymiai mažesnių toksiškumu, lyginant su </w:t>
      </w:r>
      <w:proofErr w:type="spellStart"/>
      <w:r w:rsidRPr="00580D9F">
        <w:t>ipilmimabu</w:t>
      </w:r>
      <w:proofErr w:type="spellEnd"/>
      <w:r w:rsidRPr="00580D9F">
        <w:t xml:space="preserve">. </w:t>
      </w:r>
    </w:p>
    <w:p w14:paraId="417250B2" w14:textId="77777777" w:rsidR="00773BC9" w:rsidRPr="00580D9F" w:rsidRDefault="00773BC9" w:rsidP="00773BC9">
      <w:pPr>
        <w:spacing w:line="276" w:lineRule="auto"/>
        <w:ind w:firstLine="720"/>
        <w:jc w:val="both"/>
        <w:rPr>
          <w:color w:val="000000"/>
        </w:rPr>
      </w:pPr>
      <w:r w:rsidRPr="00580D9F">
        <w:t xml:space="preserve">Taip pat </w:t>
      </w:r>
      <w:r w:rsidRPr="00580D9F">
        <w:rPr>
          <w:color w:val="000000"/>
        </w:rPr>
        <w:t xml:space="preserve">pacientų su III stadijos melanoma pogrupyje </w:t>
      </w:r>
      <w:proofErr w:type="spellStart"/>
      <w:r w:rsidRPr="00580D9F">
        <w:rPr>
          <w:color w:val="000000"/>
        </w:rPr>
        <w:t>nivolumabas</w:t>
      </w:r>
      <w:proofErr w:type="spellEnd"/>
      <w:r w:rsidRPr="00580D9F">
        <w:rPr>
          <w:color w:val="000000"/>
        </w:rPr>
        <w:t xml:space="preserve"> parodė geresnius rezultatus nei </w:t>
      </w:r>
      <w:proofErr w:type="spellStart"/>
      <w:r w:rsidRPr="00580D9F">
        <w:rPr>
          <w:color w:val="000000"/>
        </w:rPr>
        <w:t>ipilimumabas</w:t>
      </w:r>
      <w:proofErr w:type="spellEnd"/>
      <w:r w:rsidRPr="00580D9F">
        <w:rPr>
          <w:color w:val="000000"/>
        </w:rPr>
        <w:t xml:space="preserve">, vertinant laiką be tolimųjų ligos metastazių (RS=0,76 [95% PI, 0,59-0,98]) (žvalgomoji vertinamoji baigtis). </w:t>
      </w:r>
    </w:p>
    <w:p w14:paraId="598E924E" w14:textId="77777777" w:rsidR="00773BC9" w:rsidRPr="00580D9F" w:rsidRDefault="00773BC9" w:rsidP="00773BC9">
      <w:pPr>
        <w:spacing w:line="276" w:lineRule="auto"/>
        <w:ind w:firstLine="720"/>
        <w:jc w:val="both"/>
      </w:pPr>
      <w:r w:rsidRPr="00580D9F">
        <w:t xml:space="preserve">Saugumas buvo vertinimas pagal nepageidaujamų reiškinių dažnį (pagal laipsnius nuo 1iki 5). </w:t>
      </w:r>
      <w:proofErr w:type="spellStart"/>
      <w:r w:rsidRPr="00580D9F">
        <w:t>Nivolumabo</w:t>
      </w:r>
      <w:proofErr w:type="spellEnd"/>
      <w:r w:rsidRPr="00580D9F">
        <w:t xml:space="preserve"> ir </w:t>
      </w:r>
      <w:proofErr w:type="spellStart"/>
      <w:r w:rsidRPr="00580D9F">
        <w:t>ipilimumabo</w:t>
      </w:r>
      <w:proofErr w:type="spellEnd"/>
      <w:r w:rsidRPr="00580D9F">
        <w:t xml:space="preserve"> derinio saugumo vertinimas grindžiamas jungtiniais dviejų, 3 </w:t>
      </w:r>
      <w:proofErr w:type="spellStart"/>
      <w:r w:rsidRPr="00580D9F">
        <w:t>fazės</w:t>
      </w:r>
      <w:proofErr w:type="spellEnd"/>
      <w:r w:rsidRPr="00580D9F">
        <w:t xml:space="preserve"> ir 2 fazės klinikinių tyrimų duomenimis. Remiantis klinikinių tyrimų duomenimis, gydymas vaistinių preparatų </w:t>
      </w:r>
      <w:proofErr w:type="spellStart"/>
      <w:r w:rsidRPr="00580D9F">
        <w:t>nivolumabo</w:t>
      </w:r>
      <w:proofErr w:type="spellEnd"/>
      <w:r w:rsidRPr="00580D9F">
        <w:t>/</w:t>
      </w:r>
      <w:proofErr w:type="spellStart"/>
      <w:r w:rsidRPr="00580D9F">
        <w:t>ipilimumabo</w:t>
      </w:r>
      <w:proofErr w:type="spellEnd"/>
      <w:r w:rsidRPr="00580D9F">
        <w:t xml:space="preserve"> deriniu yra pakankamai saugus. Sunkios nepageidaujamos reakcijos stebėtos tik 11 proc. tyrimuose dalyvavusių pacientų, vartojusių </w:t>
      </w:r>
      <w:proofErr w:type="spellStart"/>
      <w:r w:rsidRPr="00580D9F">
        <w:t>nivolumabo</w:t>
      </w:r>
      <w:proofErr w:type="spellEnd"/>
      <w:r w:rsidRPr="00580D9F">
        <w:t>/</w:t>
      </w:r>
      <w:proofErr w:type="spellStart"/>
      <w:r w:rsidRPr="00580D9F">
        <w:t>ipilimumabo</w:t>
      </w:r>
      <w:proofErr w:type="spellEnd"/>
      <w:r w:rsidRPr="00580D9F">
        <w:t xml:space="preserve"> derinį.</w:t>
      </w:r>
    </w:p>
    <w:p w14:paraId="4D8FABC7" w14:textId="77777777" w:rsidR="00773BC9" w:rsidRPr="00580D9F" w:rsidRDefault="00773BC9" w:rsidP="00773BC9">
      <w:pPr>
        <w:spacing w:line="276" w:lineRule="auto"/>
        <w:ind w:firstLine="720"/>
        <w:jc w:val="both"/>
        <w:rPr>
          <w:i/>
        </w:rPr>
      </w:pPr>
      <w:r w:rsidRPr="00580D9F">
        <w:rPr>
          <w:i/>
        </w:rPr>
        <w:t>Netiesioginis palyginimas</w:t>
      </w:r>
    </w:p>
    <w:p w14:paraId="1BBDCB49" w14:textId="77777777" w:rsidR="00773BC9" w:rsidRPr="00580D9F" w:rsidRDefault="00773BC9" w:rsidP="00773BC9">
      <w:pPr>
        <w:spacing w:after="80" w:line="276" w:lineRule="auto"/>
        <w:ind w:firstLine="360"/>
        <w:jc w:val="both"/>
        <w:rPr>
          <w:szCs w:val="20"/>
        </w:rPr>
      </w:pPr>
      <w:r w:rsidRPr="00580D9F">
        <w:rPr>
          <w:szCs w:val="20"/>
        </w:rPr>
        <w:t xml:space="preserve">3 fazės atsitiktinių imčių kontroliuojamas tyrimas, lyginant </w:t>
      </w:r>
      <w:proofErr w:type="spellStart"/>
      <w:r w:rsidRPr="00580D9F">
        <w:rPr>
          <w:szCs w:val="20"/>
        </w:rPr>
        <w:t>ipilimumabą</w:t>
      </w:r>
      <w:proofErr w:type="spellEnd"/>
      <w:r w:rsidRPr="00580D9F">
        <w:rPr>
          <w:szCs w:val="20"/>
        </w:rPr>
        <w:t xml:space="preserve"> su placebu pacientams, kuriems buvo </w:t>
      </w:r>
      <w:proofErr w:type="spellStart"/>
      <w:r w:rsidRPr="00580D9F">
        <w:rPr>
          <w:szCs w:val="20"/>
        </w:rPr>
        <w:t>rezekuota</w:t>
      </w:r>
      <w:proofErr w:type="spellEnd"/>
      <w:r w:rsidRPr="00580D9F">
        <w:rPr>
          <w:szCs w:val="20"/>
        </w:rPr>
        <w:t xml:space="preserve"> III stadijos melanoma, CA184-029 (NCT00636168), buvo naudojamas kartu su „</w:t>
      </w:r>
      <w:proofErr w:type="spellStart"/>
      <w:r w:rsidRPr="00580D9F">
        <w:rPr>
          <w:szCs w:val="20"/>
        </w:rPr>
        <w:t>CheckMate</w:t>
      </w:r>
      <w:proofErr w:type="spellEnd"/>
      <w:r w:rsidRPr="00580D9F">
        <w:rPr>
          <w:szCs w:val="20"/>
        </w:rPr>
        <w:t xml:space="preserve"> 238“, kad būtų sudarytas netiesioginis </w:t>
      </w:r>
      <w:proofErr w:type="spellStart"/>
      <w:r w:rsidRPr="00580D9F">
        <w:rPr>
          <w:szCs w:val="20"/>
        </w:rPr>
        <w:t>nivolumabo</w:t>
      </w:r>
      <w:proofErr w:type="spellEnd"/>
      <w:r w:rsidRPr="00580D9F">
        <w:rPr>
          <w:szCs w:val="20"/>
        </w:rPr>
        <w:t xml:space="preserve"> ir placebo gydymo palyginimas (ITC). Netiesioginis palyginimas lygina dviejų atskirų atsitiktinių imčių kontroliuojamų tyrimų rezultatus, naudojant bendrą surastą vardiklį, palaikant atsitiktinę atranką tarp gydymo kiekviename tyrime (CA184-029 ir „</w:t>
      </w:r>
      <w:proofErr w:type="spellStart"/>
      <w:r w:rsidRPr="00580D9F">
        <w:rPr>
          <w:szCs w:val="20"/>
        </w:rPr>
        <w:t>CheckMate</w:t>
      </w:r>
      <w:proofErr w:type="spellEnd"/>
      <w:r w:rsidRPr="00580D9F">
        <w:rPr>
          <w:szCs w:val="20"/>
        </w:rPr>
        <w:t xml:space="preserve"> 238“). Po to kiekvienos iš šių dviejų analizių apdorojimo atitinkamo poveikio įvertinimai naudojami kaip koreguoto netiesioginio palyginimo vertės.</w:t>
      </w:r>
    </w:p>
    <w:p w14:paraId="5B2C68C3" w14:textId="7D536700" w:rsidR="00773BC9" w:rsidRPr="00580D9F" w:rsidRDefault="00773BC9" w:rsidP="00773BC9">
      <w:pPr>
        <w:spacing w:line="276" w:lineRule="auto"/>
        <w:jc w:val="both"/>
        <w:rPr>
          <w:szCs w:val="20"/>
        </w:rPr>
      </w:pPr>
      <w:r w:rsidRPr="00580D9F">
        <w:t xml:space="preserve">Išanalizuotos dvi skirtingos populiacijos: 1) bendra populiacija (ITT populiacijoje efektyvumui įvertinti) ir 2) bendras pacientų pogrupis iš CA209-238 ir CA184-029, sergančių IIIB/C stadijos melanoma. </w:t>
      </w:r>
      <w:proofErr w:type="spellStart"/>
      <w:r w:rsidRPr="00580D9F">
        <w:t>Bucherio</w:t>
      </w:r>
      <w:proofErr w:type="spellEnd"/>
      <w:r w:rsidRPr="00580D9F">
        <w:t xml:space="preserve"> analizė rodo, kad </w:t>
      </w:r>
      <w:proofErr w:type="spellStart"/>
      <w:r w:rsidRPr="00580D9F">
        <w:t>nivolumabas</w:t>
      </w:r>
      <w:proofErr w:type="spellEnd"/>
      <w:r w:rsidRPr="00580D9F">
        <w:t xml:space="preserve"> žymiai </w:t>
      </w:r>
      <w:r w:rsidRPr="00580D9F">
        <w:rPr>
          <w:u w:val="single"/>
        </w:rPr>
        <w:t>pailgina laiką be ligos recidyvo</w:t>
      </w:r>
      <w:r w:rsidRPr="00580D9F">
        <w:t xml:space="preserve"> (RS modelyje 0,526 [95% PI, 0,406-0,681]; 95% PI, 0,425-0,772]; RS pirminis: 0,558 [95% PI, 0,418-0,745]), taip pat ir </w:t>
      </w:r>
      <w:r w:rsidRPr="00580D9F">
        <w:rPr>
          <w:u w:val="single"/>
        </w:rPr>
        <w:t>laiką be ligos tolimųjų metastazių</w:t>
      </w:r>
      <w:r w:rsidRPr="00580D9F">
        <w:t xml:space="preserve"> (RS modelyje: 0,573 [95% PI, 0,425-0,772]; RS pirminis: 0,558 [95% PI, 0,418-0,745]) palyginti su laukimo taktika/placebu. </w:t>
      </w:r>
      <w:proofErr w:type="spellStart"/>
      <w:r w:rsidRPr="00580D9F">
        <w:t>Bucherio</w:t>
      </w:r>
      <w:proofErr w:type="spellEnd"/>
      <w:r w:rsidRPr="00580D9F">
        <w:t xml:space="preserve"> analizės ir nekoreguoto bendrojo </w:t>
      </w:r>
      <w:proofErr w:type="spellStart"/>
      <w:r w:rsidRPr="00580D9F">
        <w:t>Cox</w:t>
      </w:r>
      <w:proofErr w:type="spellEnd"/>
      <w:r w:rsidRPr="00580D9F">
        <w:t xml:space="preserve"> rezultatai beveik identiški. Vertinant BI, buvo atlikta keletą scenarijų, atspindinčių tą patį mirties pavojų nuo 3 iki 10 metų. Vėlesni gydymo metodai, kai modelyje atžymimas vienodas mirties pavojus, yra pagrįsti </w:t>
      </w:r>
      <w:proofErr w:type="spellStart"/>
      <w:r w:rsidRPr="00580D9F">
        <w:t>nivolumabo</w:t>
      </w:r>
      <w:proofErr w:type="spellEnd"/>
      <w:r w:rsidRPr="00580D9F">
        <w:t xml:space="preserve"> grupės gydymu „</w:t>
      </w:r>
      <w:proofErr w:type="spellStart"/>
      <w:r w:rsidRPr="00580D9F">
        <w:t>CheckMate</w:t>
      </w:r>
      <w:proofErr w:type="spellEnd"/>
      <w:r w:rsidRPr="00580D9F">
        <w:t xml:space="preserve"> 238“. Apibendrinant, nebuvo pateikta svarių įrodymų dėl BI pranašumo gydant </w:t>
      </w:r>
      <w:proofErr w:type="spellStart"/>
      <w:r w:rsidRPr="00580D9F">
        <w:t>nivolumabo</w:t>
      </w:r>
      <w:proofErr w:type="spellEnd"/>
      <w:r w:rsidRPr="00580D9F">
        <w:t xml:space="preserve">, todėl </w:t>
      </w:r>
      <w:proofErr w:type="spellStart"/>
      <w:r w:rsidRPr="00580D9F">
        <w:t>nivolumabo</w:t>
      </w:r>
      <w:proofErr w:type="spellEnd"/>
      <w:r w:rsidRPr="00580D9F">
        <w:t xml:space="preserve"> pranašumas </w:t>
      </w:r>
      <w:r w:rsidR="009E2836" w:rsidRPr="00580D9F">
        <w:t>palyginus su placebu yra teorinis</w:t>
      </w:r>
      <w:r w:rsidRPr="00580D9F">
        <w:t>.</w:t>
      </w:r>
    </w:p>
    <w:p w14:paraId="51BBF85A" w14:textId="69CC663B" w:rsidR="00773BC9" w:rsidRPr="00580D9F" w:rsidRDefault="00773BC9" w:rsidP="00773BC9">
      <w:pPr>
        <w:tabs>
          <w:tab w:val="left" w:pos="5103"/>
        </w:tabs>
        <w:spacing w:line="276" w:lineRule="auto"/>
        <w:ind w:firstLine="720"/>
        <w:jc w:val="both"/>
      </w:pPr>
      <w:r w:rsidRPr="00580D9F">
        <w:rPr>
          <w:szCs w:val="20"/>
        </w:rPr>
        <w:t xml:space="preserve">Taip pat buvo atlikta meta-analizė remiantis 25 tyrimų duomenimis.  Visuose tyrimuose, kuriuose tinkamumo kriterijais naudoti ECOG, nurodyta, kad visi pacientai turi pranešti ECOG balą 0–1, išskyrus konferencijos santrauką </w:t>
      </w:r>
      <w:proofErr w:type="spellStart"/>
      <w:r w:rsidRPr="00580D9F">
        <w:rPr>
          <w:szCs w:val="20"/>
        </w:rPr>
        <w:t>Wang</w:t>
      </w:r>
      <w:proofErr w:type="spellEnd"/>
      <w:r w:rsidRPr="00580D9F">
        <w:rPr>
          <w:szCs w:val="20"/>
        </w:rPr>
        <w:t xml:space="preserve"> 2015 (žr. 10 lentelę), kurioje dalyvavo visi pacientai, kurių balas ≥ 1 (šiame tyrime dalyvavo tik pacientai, sergantys gleivinių melanoma). Nė viename iš tyrimų nebuvo skirta išankstinės chemoterapijos ar imunoterapijos ar pirminio gydymo (</w:t>
      </w:r>
      <w:proofErr w:type="spellStart"/>
      <w:r w:rsidRPr="00580D9F">
        <w:rPr>
          <w:szCs w:val="20"/>
        </w:rPr>
        <w:t>PubD</w:t>
      </w:r>
      <w:proofErr w:type="spellEnd"/>
      <w:r w:rsidRPr="00580D9F">
        <w:rPr>
          <w:szCs w:val="20"/>
        </w:rPr>
        <w:t xml:space="preserve"> 0004935). Tyrimo vidutinė gydymo trukmė svyravo nuo 4 iki 24 mėnesių (</w:t>
      </w:r>
      <w:proofErr w:type="spellStart"/>
      <w:r w:rsidRPr="00580D9F">
        <w:rPr>
          <w:szCs w:val="20"/>
        </w:rPr>
        <w:t>PubD</w:t>
      </w:r>
      <w:proofErr w:type="spellEnd"/>
      <w:r w:rsidRPr="00580D9F">
        <w:rPr>
          <w:szCs w:val="20"/>
        </w:rPr>
        <w:t xml:space="preserve"> 00049355). Nors populiacija, intervencijos, palyginimai, rezultatai ir tyrimo plane teigiama, kad reikalingi tik III/IV stadijos pacientai, II/III stadijos populiaciją vertinantys tyrimai įtraukti į </w:t>
      </w:r>
      <w:proofErr w:type="spellStart"/>
      <w:r w:rsidRPr="00580D9F">
        <w:rPr>
          <w:szCs w:val="20"/>
        </w:rPr>
        <w:t>metaanalizę</w:t>
      </w:r>
      <w:proofErr w:type="spellEnd"/>
      <w:r w:rsidRPr="00580D9F">
        <w:rPr>
          <w:szCs w:val="20"/>
        </w:rPr>
        <w:t>, kad būtų kuo geriau panaudoti visi turimi įrodymai. Siekiant įvertinti šių tyrimų įtaką, atlikta pogrupio analizė, pašalinant tyrimus su II stadijos pacientais. Ja buvo siekiama nustatyti, ar šių tyrimų įtraukimas į pirminę analizę galėjo turėti neobjektyvių veiksmingumo ir saugumo duomenų. Jei tyrime pateikti III/IV stadijos populiacijos pogrupio duomenys, šie duomenys įtraukti į pogrupio analizę (</w:t>
      </w:r>
      <w:proofErr w:type="spellStart"/>
      <w:r w:rsidRPr="00580D9F">
        <w:rPr>
          <w:szCs w:val="20"/>
        </w:rPr>
        <w:t>PubD</w:t>
      </w:r>
      <w:proofErr w:type="spellEnd"/>
      <w:r w:rsidRPr="00580D9F">
        <w:rPr>
          <w:szCs w:val="20"/>
        </w:rPr>
        <w:t xml:space="preserve"> 00049355 duomenys byloje). </w:t>
      </w:r>
      <w:r w:rsidRPr="00580D9F">
        <w:t xml:space="preserve">Rizikos santykio analizės rezultatai parodė, kad </w:t>
      </w:r>
      <w:proofErr w:type="spellStart"/>
      <w:r w:rsidRPr="00580D9F">
        <w:t>nivolumabas</w:t>
      </w:r>
      <w:proofErr w:type="spellEnd"/>
      <w:r w:rsidRPr="00580D9F">
        <w:t xml:space="preserve"> susijęs su žymiai mažesne ligos pasikartojimo (RS: 0,50 [95% PI, 0,39-0,65])  ir tolimų metastazių rizika (RS: 0,58 [95% PI, 0,42-0,79]), lyginant su stebėjimo taktika/placebu. </w:t>
      </w:r>
      <w:r w:rsidR="009E2836" w:rsidRPr="00580D9F">
        <w:t xml:space="preserve">Pažymėtina, kad nebuvo pateikta svarių įrodymų dėl BI pranašumo gydant </w:t>
      </w:r>
      <w:proofErr w:type="spellStart"/>
      <w:r w:rsidR="009E2836" w:rsidRPr="00580D9F">
        <w:t>nivolumabu</w:t>
      </w:r>
      <w:proofErr w:type="spellEnd"/>
      <w:r w:rsidR="009E2836" w:rsidRPr="00580D9F">
        <w:t xml:space="preserve">, todėl </w:t>
      </w:r>
      <w:proofErr w:type="spellStart"/>
      <w:r w:rsidR="009E2836" w:rsidRPr="00580D9F">
        <w:t>nivolumabo</w:t>
      </w:r>
      <w:proofErr w:type="spellEnd"/>
      <w:r w:rsidR="009E2836" w:rsidRPr="00580D9F">
        <w:t xml:space="preserve"> pranašumas palyginus su placebu, laikomas teoriniu. Kita vertus, kadangi gydymas </w:t>
      </w:r>
      <w:proofErr w:type="spellStart"/>
      <w:r w:rsidR="009E2836" w:rsidRPr="00580D9F">
        <w:t>nivolumabu</w:t>
      </w:r>
      <w:proofErr w:type="spellEnd"/>
      <w:r w:rsidR="009E2836" w:rsidRPr="00580D9F">
        <w:t xml:space="preserve"> yra </w:t>
      </w:r>
      <w:proofErr w:type="spellStart"/>
      <w:r w:rsidR="009E2836" w:rsidRPr="00580D9F">
        <w:t>adjuvantinis</w:t>
      </w:r>
      <w:proofErr w:type="spellEnd"/>
      <w:r w:rsidR="009E2836" w:rsidRPr="00580D9F">
        <w:t xml:space="preserve">, bendro išgyvenamumo duomenų rinkimas gali užtrukti, tačiau jei gydymas lemia kliniškai reikšmingą išgyvenamumo be recidyvo skirtumą, tikėtina, kad tai atsispindės bendro išgyvenamumo rezultatuose. </w:t>
      </w:r>
      <w:r w:rsidRPr="00580D9F">
        <w:t xml:space="preserve">Kalbant apie saugumo rezultatus, </w:t>
      </w:r>
      <w:proofErr w:type="spellStart"/>
      <w:r w:rsidRPr="00580D9F">
        <w:t>nivolumabas</w:t>
      </w:r>
      <w:proofErr w:type="spellEnd"/>
      <w:r w:rsidRPr="00580D9F">
        <w:t xml:space="preserve"> susijęs su retesniais 3/4 laipsnio </w:t>
      </w:r>
      <w:r w:rsidR="009E2836" w:rsidRPr="00580D9F">
        <w:t>šalutiniais</w:t>
      </w:r>
      <w:r w:rsidRPr="00580D9F">
        <w:t xml:space="preserve"> reiškiniais, nutraukimo ir dozės mažinimo atvejais, lyginant su interferonu. </w:t>
      </w:r>
      <w:proofErr w:type="spellStart"/>
      <w:r w:rsidRPr="00580D9F">
        <w:t>Nivolumabo</w:t>
      </w:r>
      <w:proofErr w:type="spellEnd"/>
      <w:r w:rsidRPr="00580D9F">
        <w:t xml:space="preserve"> saugumas panašus kaip ir laukimo taktikoje/placebo grupėje, išskyrus gydymo nutraukimą dėl </w:t>
      </w:r>
      <w:r w:rsidR="009E2836" w:rsidRPr="00580D9F">
        <w:t>šalutinių</w:t>
      </w:r>
      <w:r w:rsidRPr="00580D9F">
        <w:t xml:space="preserve"> reiškinių, kurie dažniau pasireiškė vartojant </w:t>
      </w:r>
      <w:proofErr w:type="spellStart"/>
      <w:r w:rsidRPr="00580D9F">
        <w:t>nivolumabą</w:t>
      </w:r>
      <w:proofErr w:type="spellEnd"/>
      <w:r w:rsidRPr="00580D9F">
        <w:t xml:space="preserve"> (OR 3,52; 95% PI, 1,95-6,48). </w:t>
      </w:r>
    </w:p>
    <w:p w14:paraId="333363AC" w14:textId="77777777" w:rsidR="00773BC9" w:rsidRPr="00580D9F" w:rsidRDefault="00773BC9" w:rsidP="00773BC9">
      <w:pPr>
        <w:tabs>
          <w:tab w:val="left" w:pos="5103"/>
        </w:tabs>
        <w:spacing w:line="276" w:lineRule="auto"/>
        <w:ind w:firstLine="720"/>
        <w:jc w:val="both"/>
        <w:rPr>
          <w:i/>
        </w:rPr>
      </w:pPr>
      <w:r w:rsidRPr="00580D9F">
        <w:t xml:space="preserve">Atsižvelgiant į pateiktą esminį prieštaravimą dėl netinkamo palyginamojo gydymo pacientams su BRAF V600 mutacija, Pareiškėjas pateikė atsakymą į esminį prieštaravimą, kuriame remiasi atliktos </w:t>
      </w:r>
      <w:proofErr w:type="spellStart"/>
      <w:r w:rsidRPr="00580D9F">
        <w:t>Toor</w:t>
      </w:r>
      <w:proofErr w:type="spellEnd"/>
      <w:r w:rsidRPr="00580D9F">
        <w:t xml:space="preserve"> et al (2021) meta-analizės rezultatais. Atlikus detalų vertinimą, daryta išvada, kad gydymas </w:t>
      </w:r>
      <w:proofErr w:type="spellStart"/>
      <w:r w:rsidRPr="00580D9F">
        <w:t>nivolumabu</w:t>
      </w:r>
      <w:proofErr w:type="spellEnd"/>
      <w:r w:rsidRPr="00580D9F">
        <w:t xml:space="preserve"> galimai gali būti pranašesnis nei gydymas </w:t>
      </w:r>
      <w:proofErr w:type="spellStart"/>
      <w:r w:rsidRPr="00580D9F">
        <w:t>dabrafenibu</w:t>
      </w:r>
      <w:proofErr w:type="spellEnd"/>
      <w:r w:rsidRPr="00580D9F">
        <w:t xml:space="preserve"> ir </w:t>
      </w:r>
      <w:proofErr w:type="spellStart"/>
      <w:r w:rsidRPr="00580D9F">
        <w:t>trametinibu</w:t>
      </w:r>
      <w:proofErr w:type="spellEnd"/>
      <w:r w:rsidRPr="00580D9F">
        <w:t xml:space="preserve"> pacientams su </w:t>
      </w:r>
      <w:proofErr w:type="spellStart"/>
      <w:r w:rsidRPr="00580D9F">
        <w:t>metastazavusia</w:t>
      </w:r>
      <w:proofErr w:type="spellEnd"/>
      <w:r w:rsidRPr="00580D9F">
        <w:t xml:space="preserve"> III-IV stadijos melanoma nepriklausomai nuo BRAF V600 statuso, tačiau dėl netiesioginio palyginimo pobūdžio ši išvada nepakankamai apibrėžta. Pažymėtina, kad </w:t>
      </w:r>
      <w:r w:rsidRPr="00580D9F">
        <w:rPr>
          <w:color w:val="000000"/>
        </w:rPr>
        <w:t xml:space="preserve">pagrindinio tyrimo </w:t>
      </w:r>
      <w:r w:rsidRPr="00580D9F">
        <w:rPr>
          <w:rFonts w:eastAsia="Arial"/>
        </w:rPr>
        <w:t xml:space="preserve">CheckMate238 </w:t>
      </w:r>
      <w:r w:rsidRPr="00580D9F">
        <w:rPr>
          <w:color w:val="000000"/>
        </w:rPr>
        <w:t xml:space="preserve">protokolo </w:t>
      </w:r>
      <w:proofErr w:type="spellStart"/>
      <w:r w:rsidRPr="00580D9F">
        <w:rPr>
          <w:color w:val="000000"/>
        </w:rPr>
        <w:t>nivolumabo</w:t>
      </w:r>
      <w:proofErr w:type="spellEnd"/>
      <w:r w:rsidRPr="00580D9F">
        <w:rPr>
          <w:color w:val="000000"/>
        </w:rPr>
        <w:t xml:space="preserve"> veiksmingumas (pirminė ir antrinės vertinamosios baigtys) ir saugumas buvo vertinamas ITT populiacijoje atsižvelgiant į PD-  L1 raišką (&lt;5 proc. arba ≥ 5proc.) bei piktybinio naviko stadiją. BRAF mutacijos buvimas/nebuvimas nebuvo tarp įtraukimo kriterijų, todėl gauti rezultatai pagal BRAF mutacijos statusą vertinami kaip papildomą informaciją.</w:t>
      </w:r>
    </w:p>
    <w:p w14:paraId="55838231" w14:textId="77777777" w:rsidR="00773BC9" w:rsidRPr="00580D9F" w:rsidRDefault="00773BC9" w:rsidP="00580D9F">
      <w:pPr>
        <w:spacing w:line="276" w:lineRule="auto"/>
        <w:ind w:firstLine="720"/>
        <w:jc w:val="both"/>
      </w:pPr>
      <w:r w:rsidRPr="00580D9F">
        <w:t xml:space="preserve">Nors netiesioginio palyginimo rezultatai turi būti vertinami atsargiai dėl galimų pradinių pacientų charakteristikų bei pirminių ir antrinių baigčių apbrėžimų skirtumų arba netikslumų iš atrinktų analizėms tyrimų, yra tikėtinas </w:t>
      </w:r>
      <w:proofErr w:type="spellStart"/>
      <w:r w:rsidRPr="00580D9F">
        <w:t>nivolumabo</w:t>
      </w:r>
      <w:proofErr w:type="spellEnd"/>
      <w:r w:rsidRPr="00580D9F">
        <w:t xml:space="preserve"> pranašumas prieš taikomą įprastinę klinikinę praktiką Lietuvoje nepriklausomai nuo BRAF V600 mutacijos buvimo, pacientams, kuriems nustatyta PD-L1 raišką. Remiantis netiesioginio palyginimo pateiktų analizių rezultatais gydymas </w:t>
      </w:r>
      <w:proofErr w:type="spellStart"/>
      <w:r w:rsidRPr="00580D9F">
        <w:t>nivolumabu</w:t>
      </w:r>
      <w:proofErr w:type="spellEnd"/>
      <w:r w:rsidRPr="00580D9F">
        <w:t xml:space="preserve"> įvertintas  kaip sukuriantis papildoma naudą, ir gali būti pritaikomas Lietuvos klinikinėje praktikoje esant dideliam III/IV stadijos </w:t>
      </w:r>
      <w:proofErr w:type="spellStart"/>
      <w:r w:rsidRPr="00580D9F">
        <w:t>metastazavusios</w:t>
      </w:r>
      <w:proofErr w:type="spellEnd"/>
      <w:r w:rsidRPr="00580D9F">
        <w:t xml:space="preserve"> melanomos </w:t>
      </w:r>
      <w:proofErr w:type="spellStart"/>
      <w:r w:rsidRPr="00580D9F">
        <w:t>adjuvantinio</w:t>
      </w:r>
      <w:proofErr w:type="spellEnd"/>
      <w:r w:rsidRPr="00580D9F">
        <w:t xml:space="preserve"> gydymo poreikiui.</w:t>
      </w:r>
    </w:p>
    <w:p w14:paraId="33EC657D" w14:textId="0FC0E1FE" w:rsidR="00D2588F" w:rsidRPr="00580D9F" w:rsidRDefault="00D2588F" w:rsidP="00A93AA6">
      <w:pPr>
        <w:pStyle w:val="ListParagraph"/>
        <w:tabs>
          <w:tab w:val="left" w:pos="426"/>
        </w:tabs>
        <w:ind w:left="0"/>
        <w:rPr>
          <w:b/>
          <w:bCs/>
          <w:caps/>
        </w:rPr>
      </w:pPr>
    </w:p>
    <w:p w14:paraId="75AA8FBB" w14:textId="77777777" w:rsidR="00D2588F" w:rsidRPr="00580D9F" w:rsidRDefault="00D2588F" w:rsidP="00A93AA6">
      <w:pPr>
        <w:pStyle w:val="ListParagraph"/>
        <w:tabs>
          <w:tab w:val="left" w:pos="426"/>
        </w:tabs>
        <w:ind w:left="0"/>
        <w:rPr>
          <w:bCs/>
          <w:caps/>
        </w:rPr>
      </w:pPr>
    </w:p>
    <w:p w14:paraId="7DE09EB5" w14:textId="69E9DD74" w:rsidR="00E03C3F" w:rsidRPr="00580D9F" w:rsidRDefault="00CC7832" w:rsidP="00CC09D4">
      <w:pPr>
        <w:pStyle w:val="ListParagraph"/>
        <w:numPr>
          <w:ilvl w:val="0"/>
          <w:numId w:val="12"/>
        </w:numPr>
        <w:tabs>
          <w:tab w:val="left" w:pos="567"/>
        </w:tabs>
        <w:ind w:hanging="720"/>
        <w:rPr>
          <w:b/>
          <w:bCs/>
          <w:caps/>
        </w:rPr>
      </w:pPr>
      <w:r w:rsidRPr="00580D9F">
        <w:rPr>
          <w:b/>
          <w:bCs/>
          <w:caps/>
        </w:rPr>
        <w:t xml:space="preserve">ekonominio vertinimo </w:t>
      </w:r>
      <w:r w:rsidR="002F0E4F" w:rsidRPr="00580D9F">
        <w:rPr>
          <w:b/>
          <w:bCs/>
          <w:caps/>
        </w:rPr>
        <w:t>apibendrinimas</w:t>
      </w:r>
    </w:p>
    <w:p w14:paraId="4B58951E" w14:textId="77777777" w:rsidR="001A503C" w:rsidRPr="00580D9F" w:rsidRDefault="001A503C" w:rsidP="00A93AA6">
      <w:pPr>
        <w:tabs>
          <w:tab w:val="left" w:pos="426"/>
        </w:tabs>
        <w:rPr>
          <w:i/>
          <w:color w:val="00B050"/>
          <w:sz w:val="22"/>
          <w:szCs w:val="22"/>
        </w:rPr>
      </w:pPr>
    </w:p>
    <w:p w14:paraId="4EC6121D" w14:textId="6E9ADC29" w:rsidR="004029EB" w:rsidRPr="00580D9F" w:rsidRDefault="004029EB" w:rsidP="004029EB">
      <w:pPr>
        <w:shd w:val="clear" w:color="auto" w:fill="FFFFFF"/>
        <w:spacing w:line="276" w:lineRule="auto"/>
        <w:jc w:val="both"/>
        <w:rPr>
          <w:rFonts w:eastAsia="Arial"/>
          <w:bCs/>
        </w:rPr>
      </w:pPr>
      <w:r w:rsidRPr="00580D9F">
        <w:rPr>
          <w:rFonts w:eastAsia="Arial"/>
          <w:bCs/>
        </w:rPr>
        <w:t xml:space="preserve">Pareiškėjas pateikia ekonominį modelį, pagrįstą </w:t>
      </w:r>
      <w:proofErr w:type="spellStart"/>
      <w:r w:rsidRPr="00580D9F">
        <w:rPr>
          <w:rFonts w:eastAsia="Arial"/>
          <w:bCs/>
        </w:rPr>
        <w:t>nivolumabo</w:t>
      </w:r>
      <w:proofErr w:type="spellEnd"/>
      <w:r w:rsidRPr="00580D9F">
        <w:rPr>
          <w:rFonts w:eastAsia="Arial"/>
          <w:bCs/>
        </w:rPr>
        <w:t xml:space="preserve"> ir placebo/stebėjimo palyginimu. Vienas pagrindinių šio modelio trūkumų yra tas, kad nėra tiesioginio šių dviejų gydymo metodų lyginamojo tyrimo; ekonominis modelis remiasi dviem tyrimais su bendra palyginamąja priemone – </w:t>
      </w:r>
      <w:proofErr w:type="spellStart"/>
      <w:r w:rsidRPr="00580D9F">
        <w:rPr>
          <w:rFonts w:eastAsia="Arial"/>
          <w:bCs/>
        </w:rPr>
        <w:t>ipilimumabu</w:t>
      </w:r>
      <w:proofErr w:type="spellEnd"/>
      <w:r w:rsidRPr="00580D9F">
        <w:rPr>
          <w:rFonts w:eastAsia="Arial"/>
          <w:bCs/>
        </w:rPr>
        <w:t xml:space="preserve">. Kadangi šis vaistas nėra kompensuojamas ir tikėtina, kad Lietuvos praktikoje naudojamas retai, toks netiesioginis metodas buvo laikomas tinkamu. Tai reiškia, kad modelio pagrįstumas priklauso nuo santykinės </w:t>
      </w:r>
      <w:proofErr w:type="spellStart"/>
      <w:r w:rsidRPr="00580D9F">
        <w:rPr>
          <w:rFonts w:eastAsia="Arial"/>
          <w:bCs/>
        </w:rPr>
        <w:t>nivolum</w:t>
      </w:r>
      <w:r w:rsidR="007238BA">
        <w:rPr>
          <w:rFonts w:eastAsia="Arial"/>
          <w:bCs/>
        </w:rPr>
        <w:t>a</w:t>
      </w:r>
      <w:r w:rsidRPr="00580D9F">
        <w:rPr>
          <w:rFonts w:eastAsia="Arial"/>
          <w:bCs/>
        </w:rPr>
        <w:t>bo</w:t>
      </w:r>
      <w:proofErr w:type="spellEnd"/>
      <w:r w:rsidRPr="00580D9F">
        <w:rPr>
          <w:rFonts w:eastAsia="Arial"/>
          <w:bCs/>
        </w:rPr>
        <w:t xml:space="preserve"> klinikinės naudos, o ne nuo galimų palyginamojo vaisto trūkumų. Tranzityvumo principas leidžia tinkamai nustatyti vertės ir veiksmingumo santykį tarp </w:t>
      </w:r>
      <w:proofErr w:type="spellStart"/>
      <w:r w:rsidRPr="00580D9F">
        <w:rPr>
          <w:rFonts w:eastAsia="Arial"/>
          <w:bCs/>
        </w:rPr>
        <w:t>nivol</w:t>
      </w:r>
      <w:r w:rsidR="007238BA">
        <w:rPr>
          <w:rFonts w:eastAsia="Arial"/>
          <w:bCs/>
        </w:rPr>
        <w:t>u</w:t>
      </w:r>
      <w:r w:rsidRPr="00580D9F">
        <w:rPr>
          <w:rFonts w:eastAsia="Arial"/>
          <w:bCs/>
        </w:rPr>
        <w:t>m</w:t>
      </w:r>
      <w:r w:rsidR="007238BA">
        <w:rPr>
          <w:rFonts w:eastAsia="Arial"/>
          <w:bCs/>
        </w:rPr>
        <w:t>a</w:t>
      </w:r>
      <w:r w:rsidRPr="00580D9F">
        <w:rPr>
          <w:rFonts w:eastAsia="Arial"/>
          <w:bCs/>
        </w:rPr>
        <w:t>bo</w:t>
      </w:r>
      <w:proofErr w:type="spellEnd"/>
      <w:r w:rsidRPr="00580D9F">
        <w:rPr>
          <w:rFonts w:eastAsia="Arial"/>
          <w:bCs/>
        </w:rPr>
        <w:t xml:space="preserve"> ir stebėjimo, net jei šis metodas sukelia papildomų neapibrėžtumų. Nors kaštų skaičiavimo metodai ir šaltiniai nėra išsamiai detalizuoti, šio modelio kaštų struktūra yra kur kas paprastesnė, apimanti tik keletą elementų, tokių kaip infuzijos ir ligoninės dienos lovos kaštai, kurie yra pakankamai gerai suprantami ir standartizuoti. Manoma, kad nė vienas iš šių kaštų reikšmingai nedaro įtakos </w:t>
      </w:r>
      <w:proofErr w:type="spellStart"/>
      <w:r w:rsidRPr="00580D9F">
        <w:rPr>
          <w:rFonts w:eastAsia="Arial"/>
          <w:bCs/>
        </w:rPr>
        <w:t>nivolumabo</w:t>
      </w:r>
      <w:proofErr w:type="spellEnd"/>
      <w:r w:rsidRPr="00580D9F">
        <w:rPr>
          <w:rFonts w:eastAsia="Arial"/>
          <w:bCs/>
        </w:rPr>
        <w:t xml:space="preserve"> kaštų efektyvumui, kuris tvirtai remiasi klinikine vaisto nauda, šiuo metu neturinčia alternatyvios gydymo galimybės Lietuvoje. Bendra kaštų paklaida vertinama kaip vidutinė arba maža.</w:t>
      </w:r>
    </w:p>
    <w:p w14:paraId="1FB1BFC0" w14:textId="77777777" w:rsidR="004029EB" w:rsidRPr="00580D9F" w:rsidRDefault="004029EB" w:rsidP="004029EB">
      <w:pPr>
        <w:shd w:val="clear" w:color="auto" w:fill="FFFFFF"/>
        <w:spacing w:line="276" w:lineRule="auto"/>
        <w:jc w:val="both"/>
        <w:rPr>
          <w:rFonts w:eastAsia="Arial"/>
          <w:bCs/>
        </w:rPr>
      </w:pPr>
    </w:p>
    <w:p w14:paraId="0115DABB" w14:textId="77777777" w:rsidR="004029EB" w:rsidRPr="00580D9F" w:rsidRDefault="004029EB" w:rsidP="004029EB">
      <w:pPr>
        <w:shd w:val="clear" w:color="auto" w:fill="FFFFFF"/>
        <w:spacing w:line="276" w:lineRule="auto"/>
        <w:jc w:val="both"/>
        <w:rPr>
          <w:rFonts w:eastAsia="Arial"/>
          <w:bCs/>
        </w:rPr>
      </w:pPr>
      <w:r w:rsidRPr="00580D9F">
        <w:rPr>
          <w:rFonts w:eastAsia="Arial"/>
          <w:bCs/>
        </w:rPr>
        <w:t>Didžiausias neapibrėžtumo šaltinis kyla dėl įvairių tolesnio gydymo priemonių bei faktinio vietinio ir tolimojo vėžio atvejų dažnio Lietuvoje. Dėl šių priežasčių bendra kaupiamoji paklaidos riba įvertinta kaip vidutinė. Kalbant apie modelio pagrįstumą, ekonominiame modelyje nustatyta vertė gerai atitinka vertinamą klinikinę naudą, kas dar labiau patvirtina ekonominio modelio patikimumą.</w:t>
      </w:r>
    </w:p>
    <w:p w14:paraId="3E74F154" w14:textId="77777777" w:rsidR="004029EB" w:rsidRPr="00580D9F" w:rsidRDefault="004029EB" w:rsidP="004029EB">
      <w:pPr>
        <w:tabs>
          <w:tab w:val="left" w:pos="426"/>
        </w:tabs>
        <w:jc w:val="both"/>
        <w:rPr>
          <w:rFonts w:eastAsia="Arial"/>
          <w:bCs/>
        </w:rPr>
      </w:pPr>
    </w:p>
    <w:p w14:paraId="275B029A" w14:textId="7ACEBA29" w:rsidR="004029EB" w:rsidRPr="00580D9F" w:rsidRDefault="004029EB" w:rsidP="004029EB">
      <w:pPr>
        <w:tabs>
          <w:tab w:val="left" w:pos="426"/>
        </w:tabs>
        <w:jc w:val="both"/>
        <w:rPr>
          <w:rFonts w:eastAsia="Arial"/>
          <w:bCs/>
        </w:rPr>
      </w:pPr>
      <w:r w:rsidRPr="00580D9F">
        <w:rPr>
          <w:rFonts w:eastAsia="Arial"/>
          <w:bCs/>
        </w:rPr>
        <w:t xml:space="preserve">Nepaisant čia pateiktų modeliavimo ir analizės trūkumų, galime rekomenduoti </w:t>
      </w:r>
      <w:proofErr w:type="spellStart"/>
      <w:r w:rsidRPr="00580D9F">
        <w:rPr>
          <w:rFonts w:eastAsia="Arial"/>
          <w:bCs/>
        </w:rPr>
        <w:t>nivolumabą</w:t>
      </w:r>
      <w:proofErr w:type="spellEnd"/>
      <w:r w:rsidRPr="00580D9F">
        <w:rPr>
          <w:rFonts w:eastAsia="Arial"/>
          <w:bCs/>
        </w:rPr>
        <w:t xml:space="preserve"> nurodytai būklei ir populi</w:t>
      </w:r>
      <w:r w:rsidR="008560D2">
        <w:rPr>
          <w:rFonts w:eastAsia="Arial"/>
          <w:bCs/>
        </w:rPr>
        <w:t>acijai kaip ekonomiškai efektyvią</w:t>
      </w:r>
      <w:r w:rsidRPr="00580D9F">
        <w:rPr>
          <w:rFonts w:eastAsia="Arial"/>
          <w:bCs/>
        </w:rPr>
        <w:t>, tačiau, atsižvelgiant į ligos naštą, šiek tiek viršijančią Lietuvos pasirengimo mokėti ribą</w:t>
      </w:r>
      <w:r w:rsidR="008560D2">
        <w:rPr>
          <w:rFonts w:eastAsia="Arial"/>
          <w:bCs/>
        </w:rPr>
        <w:t>, sveikatos technologiją</w:t>
      </w:r>
      <w:r w:rsidRPr="00580D9F">
        <w:rPr>
          <w:rFonts w:eastAsia="Arial"/>
          <w:bCs/>
        </w:rPr>
        <w:t>.</w:t>
      </w:r>
    </w:p>
    <w:p w14:paraId="697FA024" w14:textId="77777777" w:rsidR="004029EB" w:rsidRPr="00580D9F" w:rsidRDefault="004029EB" w:rsidP="004029EB">
      <w:pPr>
        <w:tabs>
          <w:tab w:val="left" w:pos="426"/>
        </w:tabs>
        <w:jc w:val="both"/>
        <w:rPr>
          <w:rFonts w:eastAsia="Arial"/>
          <w:bCs/>
        </w:rPr>
      </w:pPr>
    </w:p>
    <w:p w14:paraId="602F68E2" w14:textId="0D5E2E8F" w:rsidR="004029EB" w:rsidRPr="00580D9F" w:rsidRDefault="004029EB" w:rsidP="004029EB">
      <w:pPr>
        <w:shd w:val="clear" w:color="auto" w:fill="FFFFFF"/>
        <w:spacing w:line="276" w:lineRule="auto"/>
        <w:jc w:val="both"/>
        <w:rPr>
          <w:rFonts w:eastAsia="Arial"/>
          <w:bCs/>
        </w:rPr>
      </w:pPr>
      <w:r w:rsidRPr="00580D9F">
        <w:rPr>
          <w:iCs/>
        </w:rPr>
        <w:t>Šiuo metu siūloma vaisto kaina už pakuotę – €</w:t>
      </w:r>
      <w:r w:rsidR="005C28C2">
        <w:rPr>
          <w:iCs/>
          <w:lang w:val="en-US"/>
        </w:rPr>
        <w:t>*****</w:t>
      </w:r>
      <w:r w:rsidRPr="00580D9F">
        <w:rPr>
          <w:iCs/>
        </w:rPr>
        <w:t xml:space="preserve"> (4m</w:t>
      </w:r>
      <w:r w:rsidR="00647688" w:rsidRPr="00580D9F">
        <w:rPr>
          <w:iCs/>
        </w:rPr>
        <w:t xml:space="preserve">l koncentrato flakonas, kuriame yra 40 mg </w:t>
      </w:r>
      <w:proofErr w:type="spellStart"/>
      <w:r w:rsidR="00647688" w:rsidRPr="00580D9F">
        <w:rPr>
          <w:iCs/>
        </w:rPr>
        <w:t>niv</w:t>
      </w:r>
      <w:r w:rsidR="000F7F09">
        <w:rPr>
          <w:iCs/>
        </w:rPr>
        <w:t>o</w:t>
      </w:r>
      <w:r w:rsidR="00647688" w:rsidRPr="00580D9F">
        <w:rPr>
          <w:iCs/>
        </w:rPr>
        <w:t>lumabo</w:t>
      </w:r>
      <w:proofErr w:type="spellEnd"/>
      <w:r w:rsidRPr="00580D9F">
        <w:rPr>
          <w:iCs/>
        </w:rPr>
        <w:t xml:space="preserve">) – neatitinka orientacinės ligos naštos vertės kriterijų, todėl dabartinė kaina, nepaisant klinikinės naudos, yra šiek tiek per didelė. </w:t>
      </w:r>
      <w:r w:rsidRPr="00580D9F">
        <w:rPr>
          <w:rFonts w:eastAsia="Arial"/>
          <w:bCs/>
        </w:rPr>
        <w:t>Gamintojas nepateikė PGS bei nurodė, kad „VVKT, VLK, Kompensavimo Komisijai nustačius atitinkamus reikalavimus, planuojame pateikti prieinamumo gerinimo schemą. Esant reikalui sutinkame koreguoti kainas pagal galiojančius teisės aktus. “</w:t>
      </w:r>
    </w:p>
    <w:p w14:paraId="15D77DD8" w14:textId="2DB938F4" w:rsidR="004029EB" w:rsidRPr="00580D9F" w:rsidRDefault="004029EB" w:rsidP="004029EB">
      <w:pPr>
        <w:shd w:val="clear" w:color="auto" w:fill="FFFFFF"/>
        <w:spacing w:line="276" w:lineRule="auto"/>
        <w:jc w:val="both"/>
        <w:rPr>
          <w:rFonts w:eastAsia="Arial"/>
          <w:b/>
        </w:rPr>
      </w:pPr>
      <w:r w:rsidRPr="00580D9F">
        <w:rPr>
          <w:iCs/>
        </w:rPr>
        <w:t xml:space="preserve">Norint pasiekti reikiamą 1x BVP vienam gyventojui ribą, būtų reikalinga papildoma bent </w:t>
      </w:r>
      <w:r w:rsidR="005C28C2">
        <w:rPr>
          <w:iCs/>
        </w:rPr>
        <w:t>*****</w:t>
      </w:r>
      <w:r w:rsidRPr="00580D9F">
        <w:rPr>
          <w:iCs/>
        </w:rPr>
        <w:t xml:space="preserve"> nuolaida. </w:t>
      </w:r>
    </w:p>
    <w:p w14:paraId="3E75A96D" w14:textId="77777777" w:rsidR="001A503C" w:rsidRPr="00580D9F" w:rsidRDefault="001A503C" w:rsidP="00A93AA6">
      <w:pPr>
        <w:tabs>
          <w:tab w:val="left" w:pos="426"/>
        </w:tabs>
        <w:rPr>
          <w:i/>
          <w:color w:val="00B050"/>
          <w:sz w:val="22"/>
          <w:szCs w:val="22"/>
        </w:rPr>
      </w:pPr>
    </w:p>
    <w:p w14:paraId="1FA91AC9" w14:textId="77777777" w:rsidR="001A503C" w:rsidRPr="00580D9F" w:rsidRDefault="001A503C" w:rsidP="00A93AA6">
      <w:pPr>
        <w:tabs>
          <w:tab w:val="left" w:pos="426"/>
        </w:tabs>
        <w:rPr>
          <w:i/>
          <w:color w:val="00B050"/>
          <w:sz w:val="22"/>
          <w:szCs w:val="22"/>
        </w:rPr>
      </w:pPr>
    </w:p>
    <w:p w14:paraId="41705C45" w14:textId="77777777" w:rsidR="00932B26" w:rsidRPr="00580D9F" w:rsidRDefault="00932B26" w:rsidP="00A93AA6">
      <w:pPr>
        <w:tabs>
          <w:tab w:val="left" w:pos="426"/>
        </w:tabs>
        <w:rPr>
          <w:i/>
          <w:color w:val="00B050"/>
          <w:sz w:val="22"/>
          <w:szCs w:val="22"/>
        </w:rPr>
      </w:pPr>
    </w:p>
    <w:p w14:paraId="174D84D7" w14:textId="205D82F5" w:rsidR="0035172D" w:rsidRPr="00580D9F" w:rsidRDefault="0035172D" w:rsidP="00A93AA6">
      <w:pPr>
        <w:tabs>
          <w:tab w:val="left" w:pos="426"/>
        </w:tabs>
        <w:rPr>
          <w:b/>
          <w:lang w:eastAsia="lt-LT"/>
        </w:rPr>
      </w:pPr>
      <w:r w:rsidRPr="00580D9F">
        <w:rPr>
          <w:b/>
          <w:lang w:eastAsia="lt-LT"/>
        </w:rPr>
        <w:t>Ekonominės analizės rezultatas</w:t>
      </w:r>
    </w:p>
    <w:p w14:paraId="706579FC" w14:textId="77777777" w:rsidR="00B26FCD" w:rsidRPr="00580D9F" w:rsidRDefault="00B26FCD" w:rsidP="00A93AA6">
      <w:pPr>
        <w:tabs>
          <w:tab w:val="left" w:pos="426"/>
        </w:tabs>
        <w:rPr>
          <w:b/>
          <w:lang w:eastAsia="lt-LT"/>
        </w:rPr>
      </w:pPr>
    </w:p>
    <w:p w14:paraId="320C8175" w14:textId="56F15ED7" w:rsidR="002F7F20" w:rsidRPr="00580D9F" w:rsidRDefault="00B26FCD" w:rsidP="002F7F20">
      <w:pPr>
        <w:tabs>
          <w:tab w:val="left" w:pos="567"/>
        </w:tabs>
        <w:spacing w:line="276" w:lineRule="auto"/>
        <w:jc w:val="both"/>
        <w:rPr>
          <w:i/>
          <w:iCs/>
          <w:color w:val="00B050"/>
          <w:lang w:eastAsia="lt-LT"/>
        </w:rPr>
      </w:pPr>
      <w:r w:rsidRPr="00580D9F">
        <w:rPr>
          <w:i/>
          <w:iCs/>
          <w:lang w:eastAsia="lt-LT"/>
        </w:rPr>
        <w:t>Pagrindinis ekonominės analizės rezultatas</w:t>
      </w: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541"/>
        <w:gridCol w:w="2091"/>
        <w:gridCol w:w="3579"/>
      </w:tblGrid>
      <w:tr w:rsidR="002F7F20" w:rsidRPr="00580D9F" w14:paraId="3E843BB8" w14:textId="77777777" w:rsidTr="00D7026D">
        <w:trPr>
          <w:trHeight w:val="364"/>
          <w:jc w:val="center"/>
        </w:trPr>
        <w:tc>
          <w:tcPr>
            <w:tcW w:w="9908" w:type="dxa"/>
            <w:gridSpan w:val="4"/>
            <w:tcBorders>
              <w:top w:val="single" w:sz="12" w:space="0" w:color="auto"/>
              <w:bottom w:val="single" w:sz="4" w:space="0" w:color="auto"/>
            </w:tcBorders>
            <w:vAlign w:val="center"/>
          </w:tcPr>
          <w:p w14:paraId="24CF4484" w14:textId="77777777" w:rsidR="002F7F20" w:rsidRPr="00580D9F" w:rsidRDefault="002F7F20" w:rsidP="00D7026D">
            <w:pPr>
              <w:tabs>
                <w:tab w:val="left" w:pos="567"/>
              </w:tabs>
              <w:spacing w:line="276" w:lineRule="auto"/>
              <w:jc w:val="center"/>
              <w:rPr>
                <w:b/>
                <w:i/>
                <w:iCs/>
                <w:color w:val="00B050"/>
                <w:sz w:val="22"/>
                <w:szCs w:val="22"/>
                <w:lang w:eastAsia="lt-LT"/>
              </w:rPr>
            </w:pPr>
            <w:r w:rsidRPr="00580D9F">
              <w:rPr>
                <w:b/>
                <w:lang w:eastAsia="lt-LT"/>
              </w:rPr>
              <w:t>Kaštai</w:t>
            </w:r>
          </w:p>
        </w:tc>
      </w:tr>
      <w:tr w:rsidR="002F7F20" w:rsidRPr="00580D9F" w14:paraId="4B1DEC63" w14:textId="77777777" w:rsidTr="00D7026D">
        <w:trPr>
          <w:jc w:val="center"/>
        </w:trPr>
        <w:tc>
          <w:tcPr>
            <w:tcW w:w="2697" w:type="dxa"/>
            <w:tcBorders>
              <w:top w:val="single" w:sz="4" w:space="0" w:color="auto"/>
              <w:bottom w:val="single" w:sz="4" w:space="0" w:color="auto"/>
            </w:tcBorders>
            <w:vAlign w:val="center"/>
          </w:tcPr>
          <w:p w14:paraId="71F3CB6C" w14:textId="77777777" w:rsidR="002F7F20" w:rsidRPr="00580D9F" w:rsidRDefault="002F7F20" w:rsidP="00D7026D">
            <w:pPr>
              <w:tabs>
                <w:tab w:val="left" w:pos="567"/>
              </w:tabs>
              <w:spacing w:line="276" w:lineRule="auto"/>
              <w:jc w:val="center"/>
              <w:rPr>
                <w:color w:val="00B050"/>
                <w:lang w:eastAsia="lt-LT"/>
              </w:rPr>
            </w:pPr>
          </w:p>
        </w:tc>
        <w:tc>
          <w:tcPr>
            <w:tcW w:w="1541" w:type="dxa"/>
            <w:tcBorders>
              <w:top w:val="single" w:sz="4" w:space="0" w:color="auto"/>
              <w:bottom w:val="single" w:sz="4" w:space="0" w:color="auto"/>
            </w:tcBorders>
            <w:vAlign w:val="center"/>
          </w:tcPr>
          <w:p w14:paraId="30CFD650" w14:textId="77777777" w:rsidR="002F7F20" w:rsidRPr="00580D9F" w:rsidRDefault="002F7F20" w:rsidP="00D7026D">
            <w:pPr>
              <w:tabs>
                <w:tab w:val="left" w:pos="567"/>
              </w:tabs>
              <w:spacing w:line="276" w:lineRule="auto"/>
              <w:jc w:val="center"/>
              <w:rPr>
                <w:i/>
                <w:iCs/>
                <w:lang w:eastAsia="lt-LT"/>
              </w:rPr>
            </w:pPr>
            <w:r w:rsidRPr="00580D9F">
              <w:rPr>
                <w:i/>
                <w:iCs/>
                <w:lang w:eastAsia="lt-LT"/>
              </w:rPr>
              <w:t>Tiriamasis vaistas</w:t>
            </w:r>
          </w:p>
        </w:tc>
        <w:tc>
          <w:tcPr>
            <w:tcW w:w="2091" w:type="dxa"/>
            <w:tcBorders>
              <w:top w:val="single" w:sz="4" w:space="0" w:color="auto"/>
              <w:bottom w:val="single" w:sz="4" w:space="0" w:color="auto"/>
            </w:tcBorders>
            <w:vAlign w:val="center"/>
          </w:tcPr>
          <w:p w14:paraId="305D7A14" w14:textId="77777777" w:rsidR="002F7F20" w:rsidRPr="00580D9F" w:rsidRDefault="002F7F20" w:rsidP="00D7026D">
            <w:pPr>
              <w:tabs>
                <w:tab w:val="left" w:pos="567"/>
              </w:tabs>
              <w:spacing w:line="276" w:lineRule="auto"/>
              <w:jc w:val="center"/>
              <w:rPr>
                <w:i/>
                <w:iCs/>
                <w:lang w:eastAsia="lt-LT"/>
              </w:rPr>
            </w:pPr>
            <w:r w:rsidRPr="00580D9F">
              <w:rPr>
                <w:i/>
                <w:iCs/>
                <w:lang w:eastAsia="lt-LT"/>
              </w:rPr>
              <w:t>Palyginamasis vaistas (placebas)</w:t>
            </w:r>
          </w:p>
        </w:tc>
        <w:tc>
          <w:tcPr>
            <w:tcW w:w="3579" w:type="dxa"/>
            <w:tcBorders>
              <w:top w:val="single" w:sz="4" w:space="0" w:color="auto"/>
              <w:bottom w:val="single" w:sz="4" w:space="0" w:color="auto"/>
            </w:tcBorders>
            <w:vAlign w:val="center"/>
          </w:tcPr>
          <w:p w14:paraId="0D2121E4" w14:textId="77777777" w:rsidR="002F7F20" w:rsidRPr="00580D9F" w:rsidRDefault="002F7F20" w:rsidP="00D7026D">
            <w:pPr>
              <w:tabs>
                <w:tab w:val="left" w:pos="567"/>
              </w:tabs>
              <w:spacing w:line="276" w:lineRule="auto"/>
              <w:jc w:val="center"/>
              <w:rPr>
                <w:i/>
                <w:lang w:eastAsia="lt-LT"/>
              </w:rPr>
            </w:pPr>
            <w:r w:rsidRPr="00580D9F">
              <w:rPr>
                <w:i/>
                <w:lang w:eastAsia="lt-LT"/>
              </w:rPr>
              <w:t>Skirtumas (EUR)</w:t>
            </w:r>
          </w:p>
        </w:tc>
      </w:tr>
      <w:tr w:rsidR="002F7F20" w:rsidRPr="00580D9F" w14:paraId="2D24DAF6" w14:textId="77777777" w:rsidTr="00D7026D">
        <w:trPr>
          <w:jc w:val="center"/>
        </w:trPr>
        <w:tc>
          <w:tcPr>
            <w:tcW w:w="2697" w:type="dxa"/>
            <w:tcBorders>
              <w:top w:val="single" w:sz="4" w:space="0" w:color="auto"/>
              <w:bottom w:val="single" w:sz="4" w:space="0" w:color="auto"/>
            </w:tcBorders>
          </w:tcPr>
          <w:p w14:paraId="56027385" w14:textId="77777777" w:rsidR="002F7F20" w:rsidRPr="00580D9F" w:rsidRDefault="002F7F20" w:rsidP="00D7026D">
            <w:pPr>
              <w:tabs>
                <w:tab w:val="left" w:pos="567"/>
              </w:tabs>
              <w:spacing w:line="276" w:lineRule="auto"/>
              <w:jc w:val="both"/>
              <w:rPr>
                <w:iCs/>
                <w:color w:val="00B050"/>
                <w:sz w:val="22"/>
                <w:szCs w:val="22"/>
                <w:lang w:eastAsia="lt-LT"/>
              </w:rPr>
            </w:pPr>
            <w:r w:rsidRPr="00580D9F">
              <w:rPr>
                <w:iCs/>
                <w:color w:val="000000"/>
                <w:sz w:val="22"/>
                <w:szCs w:val="22"/>
                <w:lang w:eastAsia="lt-LT"/>
              </w:rPr>
              <w:t>Gydymo kaštai</w:t>
            </w:r>
          </w:p>
        </w:tc>
        <w:tc>
          <w:tcPr>
            <w:tcW w:w="1541" w:type="dxa"/>
            <w:tcBorders>
              <w:top w:val="single" w:sz="4" w:space="0" w:color="auto"/>
              <w:bottom w:val="single" w:sz="4" w:space="0" w:color="auto"/>
            </w:tcBorders>
            <w:vAlign w:val="center"/>
          </w:tcPr>
          <w:p w14:paraId="3716A230" w14:textId="0B4C9B24" w:rsidR="002F7F20" w:rsidRPr="00580D9F" w:rsidRDefault="005C28C2" w:rsidP="00D7026D">
            <w:pPr>
              <w:tabs>
                <w:tab w:val="left" w:pos="567"/>
              </w:tabs>
              <w:spacing w:line="276" w:lineRule="auto"/>
              <w:jc w:val="center"/>
              <w:rPr>
                <w:sz w:val="22"/>
                <w:szCs w:val="22"/>
              </w:rPr>
            </w:pPr>
            <w:r>
              <w:rPr>
                <w:sz w:val="22"/>
                <w:szCs w:val="22"/>
              </w:rPr>
              <w:t>***</w:t>
            </w:r>
          </w:p>
        </w:tc>
        <w:tc>
          <w:tcPr>
            <w:tcW w:w="2091" w:type="dxa"/>
            <w:tcBorders>
              <w:top w:val="single" w:sz="4" w:space="0" w:color="auto"/>
              <w:bottom w:val="single" w:sz="4" w:space="0" w:color="auto"/>
            </w:tcBorders>
            <w:vAlign w:val="center"/>
          </w:tcPr>
          <w:p w14:paraId="7A58E25A" w14:textId="1C9F7824" w:rsidR="002F7F20" w:rsidRPr="00580D9F" w:rsidRDefault="005C28C2" w:rsidP="00D7026D">
            <w:pPr>
              <w:tabs>
                <w:tab w:val="left" w:pos="567"/>
              </w:tabs>
              <w:spacing w:line="276" w:lineRule="auto"/>
              <w:jc w:val="center"/>
              <w:rPr>
                <w:i/>
                <w:iCs/>
                <w:sz w:val="22"/>
                <w:szCs w:val="22"/>
                <w:lang w:eastAsia="lt-LT"/>
              </w:rPr>
            </w:pPr>
            <w:r>
              <w:rPr>
                <w:i/>
                <w:iCs/>
                <w:sz w:val="22"/>
                <w:szCs w:val="22"/>
              </w:rPr>
              <w:t>***</w:t>
            </w:r>
          </w:p>
        </w:tc>
        <w:tc>
          <w:tcPr>
            <w:tcW w:w="3579" w:type="dxa"/>
            <w:tcBorders>
              <w:top w:val="single" w:sz="4" w:space="0" w:color="auto"/>
              <w:bottom w:val="single" w:sz="4" w:space="0" w:color="auto"/>
            </w:tcBorders>
            <w:vAlign w:val="center"/>
          </w:tcPr>
          <w:p w14:paraId="3EF08B82" w14:textId="5A50C639" w:rsidR="002F7F20" w:rsidRPr="00580D9F" w:rsidRDefault="005C28C2" w:rsidP="00D7026D">
            <w:pPr>
              <w:tabs>
                <w:tab w:val="left" w:pos="567"/>
              </w:tabs>
              <w:spacing w:line="276" w:lineRule="auto"/>
              <w:jc w:val="right"/>
              <w:rPr>
                <w:sz w:val="22"/>
                <w:szCs w:val="22"/>
                <w:lang w:eastAsia="lt-LT"/>
              </w:rPr>
            </w:pPr>
            <w:r>
              <w:rPr>
                <w:sz w:val="22"/>
                <w:szCs w:val="22"/>
              </w:rPr>
              <w:t>***</w:t>
            </w:r>
            <w:r w:rsidR="002F7F20" w:rsidRPr="00580D9F">
              <w:rPr>
                <w:sz w:val="22"/>
                <w:szCs w:val="22"/>
              </w:rPr>
              <w:t>1</w:t>
            </w:r>
          </w:p>
        </w:tc>
      </w:tr>
      <w:tr w:rsidR="002F7F20" w:rsidRPr="00580D9F" w14:paraId="1BC53A07" w14:textId="77777777" w:rsidTr="00D7026D">
        <w:trPr>
          <w:jc w:val="center"/>
        </w:trPr>
        <w:tc>
          <w:tcPr>
            <w:tcW w:w="2697" w:type="dxa"/>
            <w:tcBorders>
              <w:top w:val="single" w:sz="4" w:space="0" w:color="auto"/>
              <w:bottom w:val="single" w:sz="4" w:space="0" w:color="auto"/>
            </w:tcBorders>
          </w:tcPr>
          <w:p w14:paraId="79F0D5F2" w14:textId="77777777" w:rsidR="002F7F20" w:rsidRPr="00580D9F" w:rsidRDefault="002F7F20" w:rsidP="00D7026D">
            <w:pPr>
              <w:tabs>
                <w:tab w:val="left" w:pos="567"/>
              </w:tabs>
              <w:spacing w:line="276" w:lineRule="auto"/>
              <w:rPr>
                <w:iCs/>
                <w:color w:val="000000"/>
                <w:sz w:val="22"/>
                <w:szCs w:val="22"/>
                <w:lang w:eastAsia="lt-LT"/>
              </w:rPr>
            </w:pPr>
            <w:r w:rsidRPr="00580D9F">
              <w:rPr>
                <w:iCs/>
                <w:color w:val="000000"/>
                <w:sz w:val="22"/>
                <w:szCs w:val="22"/>
                <w:lang w:eastAsia="lt-LT"/>
              </w:rPr>
              <w:t>Vaistinių preparatų įsigijimo kaštai</w:t>
            </w:r>
          </w:p>
        </w:tc>
        <w:tc>
          <w:tcPr>
            <w:tcW w:w="1541" w:type="dxa"/>
            <w:tcBorders>
              <w:top w:val="single" w:sz="4" w:space="0" w:color="auto"/>
              <w:bottom w:val="single" w:sz="4" w:space="0" w:color="auto"/>
            </w:tcBorders>
            <w:vAlign w:val="center"/>
          </w:tcPr>
          <w:p w14:paraId="274CA92A" w14:textId="49DB8D63" w:rsidR="002F7F20" w:rsidRPr="00580D9F" w:rsidRDefault="005C28C2" w:rsidP="00D7026D">
            <w:pPr>
              <w:tabs>
                <w:tab w:val="left" w:pos="567"/>
              </w:tabs>
              <w:spacing w:line="276" w:lineRule="auto"/>
              <w:jc w:val="center"/>
              <w:rPr>
                <w:sz w:val="22"/>
                <w:szCs w:val="22"/>
                <w:lang w:eastAsia="ja-JP"/>
              </w:rPr>
            </w:pPr>
            <w:r>
              <w:rPr>
                <w:sz w:val="22"/>
                <w:szCs w:val="22"/>
              </w:rPr>
              <w:t>***</w:t>
            </w:r>
          </w:p>
        </w:tc>
        <w:tc>
          <w:tcPr>
            <w:tcW w:w="2091" w:type="dxa"/>
            <w:tcBorders>
              <w:top w:val="single" w:sz="4" w:space="0" w:color="auto"/>
              <w:bottom w:val="single" w:sz="4" w:space="0" w:color="auto"/>
            </w:tcBorders>
            <w:vAlign w:val="center"/>
          </w:tcPr>
          <w:p w14:paraId="43027AA9" w14:textId="274C71BC" w:rsidR="002F7F20" w:rsidRPr="00580D9F" w:rsidRDefault="005C28C2" w:rsidP="00D7026D">
            <w:pPr>
              <w:tabs>
                <w:tab w:val="left" w:pos="567"/>
              </w:tabs>
              <w:spacing w:line="276" w:lineRule="auto"/>
              <w:jc w:val="center"/>
              <w:rPr>
                <w:i/>
                <w:iCs/>
                <w:sz w:val="22"/>
                <w:szCs w:val="22"/>
                <w:lang w:eastAsia="lt-LT"/>
              </w:rPr>
            </w:pPr>
            <w:r>
              <w:rPr>
                <w:i/>
                <w:iCs/>
                <w:sz w:val="22"/>
                <w:szCs w:val="22"/>
              </w:rPr>
              <w:t>***</w:t>
            </w:r>
          </w:p>
        </w:tc>
        <w:tc>
          <w:tcPr>
            <w:tcW w:w="3579" w:type="dxa"/>
            <w:tcBorders>
              <w:top w:val="single" w:sz="4" w:space="0" w:color="auto"/>
              <w:bottom w:val="single" w:sz="4" w:space="0" w:color="auto"/>
            </w:tcBorders>
            <w:vAlign w:val="center"/>
          </w:tcPr>
          <w:p w14:paraId="51288D65" w14:textId="6B098920" w:rsidR="002F7F20" w:rsidRPr="00580D9F" w:rsidRDefault="005C28C2" w:rsidP="00D7026D">
            <w:pPr>
              <w:tabs>
                <w:tab w:val="left" w:pos="567"/>
              </w:tabs>
              <w:spacing w:line="276" w:lineRule="auto"/>
              <w:jc w:val="right"/>
              <w:rPr>
                <w:sz w:val="22"/>
                <w:szCs w:val="22"/>
                <w:lang w:eastAsia="lt-LT"/>
              </w:rPr>
            </w:pPr>
            <w:r>
              <w:rPr>
                <w:sz w:val="22"/>
                <w:szCs w:val="22"/>
                <w:lang w:eastAsia="lt-LT"/>
              </w:rPr>
              <w:t>***</w:t>
            </w:r>
          </w:p>
        </w:tc>
      </w:tr>
      <w:tr w:rsidR="002F7F20" w:rsidRPr="00580D9F" w14:paraId="26EFE852" w14:textId="77777777" w:rsidTr="00D7026D">
        <w:trPr>
          <w:jc w:val="center"/>
        </w:trPr>
        <w:tc>
          <w:tcPr>
            <w:tcW w:w="2697" w:type="dxa"/>
            <w:tcBorders>
              <w:top w:val="single" w:sz="4" w:space="0" w:color="auto"/>
              <w:bottom w:val="single" w:sz="4" w:space="0" w:color="auto"/>
            </w:tcBorders>
          </w:tcPr>
          <w:p w14:paraId="784FEC51" w14:textId="77777777" w:rsidR="002F7F20" w:rsidRPr="00580D9F" w:rsidRDefault="002F7F20" w:rsidP="00D7026D">
            <w:pPr>
              <w:tabs>
                <w:tab w:val="left" w:pos="567"/>
              </w:tabs>
              <w:spacing w:line="276" w:lineRule="auto"/>
              <w:jc w:val="both"/>
              <w:rPr>
                <w:iCs/>
                <w:color w:val="00B050"/>
                <w:sz w:val="22"/>
                <w:szCs w:val="22"/>
                <w:lang w:eastAsia="lt-LT"/>
              </w:rPr>
            </w:pPr>
            <w:r w:rsidRPr="00580D9F">
              <w:rPr>
                <w:iCs/>
                <w:color w:val="000000"/>
                <w:sz w:val="22"/>
                <w:szCs w:val="22"/>
                <w:lang w:eastAsia="lt-LT"/>
              </w:rPr>
              <w:t>Nepageidaujamų reiškinių valdymo kaštai</w:t>
            </w:r>
          </w:p>
        </w:tc>
        <w:tc>
          <w:tcPr>
            <w:tcW w:w="1541" w:type="dxa"/>
            <w:tcBorders>
              <w:top w:val="single" w:sz="4" w:space="0" w:color="auto"/>
              <w:bottom w:val="single" w:sz="4" w:space="0" w:color="auto"/>
            </w:tcBorders>
            <w:vAlign w:val="center"/>
          </w:tcPr>
          <w:p w14:paraId="37D45380" w14:textId="06B5427C" w:rsidR="002F7F20" w:rsidRPr="00580D9F" w:rsidRDefault="005C28C2" w:rsidP="005C28C2">
            <w:pPr>
              <w:tabs>
                <w:tab w:val="left" w:pos="567"/>
              </w:tabs>
              <w:spacing w:line="276" w:lineRule="auto"/>
              <w:jc w:val="center"/>
              <w:rPr>
                <w:i/>
                <w:iCs/>
                <w:sz w:val="22"/>
                <w:szCs w:val="22"/>
                <w:lang w:eastAsia="lt-LT"/>
              </w:rPr>
            </w:pPr>
            <w:r>
              <w:rPr>
                <w:i/>
                <w:iCs/>
                <w:sz w:val="22"/>
                <w:szCs w:val="22"/>
                <w:lang w:eastAsia="lt-LT"/>
              </w:rPr>
              <w:t>***</w:t>
            </w:r>
          </w:p>
        </w:tc>
        <w:tc>
          <w:tcPr>
            <w:tcW w:w="2091" w:type="dxa"/>
            <w:tcBorders>
              <w:top w:val="single" w:sz="4" w:space="0" w:color="auto"/>
              <w:bottom w:val="single" w:sz="4" w:space="0" w:color="auto"/>
            </w:tcBorders>
            <w:vAlign w:val="center"/>
          </w:tcPr>
          <w:p w14:paraId="36EC7C30" w14:textId="36A91A2D" w:rsidR="002F7F20" w:rsidRPr="00580D9F" w:rsidRDefault="005C28C2" w:rsidP="005C28C2">
            <w:pPr>
              <w:jc w:val="center"/>
              <w:rPr>
                <w:i/>
                <w:iCs/>
                <w:sz w:val="22"/>
                <w:szCs w:val="22"/>
                <w:lang w:eastAsia="lt-LT"/>
              </w:rPr>
            </w:pPr>
            <w:r>
              <w:rPr>
                <w:color w:val="000000"/>
                <w:sz w:val="22"/>
                <w:szCs w:val="22"/>
              </w:rPr>
              <w:t>***</w:t>
            </w:r>
          </w:p>
        </w:tc>
        <w:tc>
          <w:tcPr>
            <w:tcW w:w="3579" w:type="dxa"/>
            <w:tcBorders>
              <w:top w:val="single" w:sz="4" w:space="0" w:color="auto"/>
              <w:bottom w:val="single" w:sz="4" w:space="0" w:color="auto"/>
            </w:tcBorders>
            <w:vAlign w:val="center"/>
          </w:tcPr>
          <w:p w14:paraId="29651C00" w14:textId="1DF52C1C" w:rsidR="002F7F20" w:rsidRPr="00580D9F" w:rsidRDefault="005C28C2" w:rsidP="00D7026D">
            <w:pPr>
              <w:tabs>
                <w:tab w:val="left" w:pos="567"/>
              </w:tabs>
              <w:spacing w:line="276" w:lineRule="auto"/>
              <w:jc w:val="right"/>
              <w:rPr>
                <w:i/>
                <w:iCs/>
                <w:sz w:val="22"/>
                <w:szCs w:val="22"/>
                <w:lang w:eastAsia="lt-LT"/>
              </w:rPr>
            </w:pPr>
            <w:r>
              <w:rPr>
                <w:i/>
                <w:iCs/>
                <w:sz w:val="22"/>
                <w:szCs w:val="22"/>
                <w:lang w:eastAsia="lt-LT"/>
              </w:rPr>
              <w:t>***</w:t>
            </w:r>
          </w:p>
        </w:tc>
      </w:tr>
      <w:tr w:rsidR="002F7F20" w:rsidRPr="00580D9F" w14:paraId="4FA007BA" w14:textId="77777777" w:rsidTr="00D7026D">
        <w:trPr>
          <w:jc w:val="center"/>
        </w:trPr>
        <w:tc>
          <w:tcPr>
            <w:tcW w:w="2697" w:type="dxa"/>
            <w:tcBorders>
              <w:top w:val="single" w:sz="4" w:space="0" w:color="auto"/>
              <w:bottom w:val="single" w:sz="4" w:space="0" w:color="auto"/>
            </w:tcBorders>
          </w:tcPr>
          <w:p w14:paraId="5CB04DBB" w14:textId="77777777" w:rsidR="002F7F20" w:rsidRPr="00580D9F" w:rsidRDefault="002F7F20" w:rsidP="00D7026D">
            <w:pPr>
              <w:tabs>
                <w:tab w:val="left" w:pos="567"/>
              </w:tabs>
              <w:spacing w:line="276" w:lineRule="auto"/>
              <w:rPr>
                <w:iCs/>
                <w:color w:val="000000"/>
                <w:sz w:val="22"/>
                <w:szCs w:val="22"/>
                <w:lang w:eastAsia="lt-LT"/>
              </w:rPr>
            </w:pPr>
            <w:r w:rsidRPr="00580D9F">
              <w:rPr>
                <w:iCs/>
                <w:color w:val="000000"/>
                <w:sz w:val="22"/>
                <w:szCs w:val="22"/>
                <w:lang w:eastAsia="lt-LT"/>
              </w:rPr>
              <w:t>Vaistų administravimo ir stebėsenos kaštai</w:t>
            </w:r>
          </w:p>
        </w:tc>
        <w:tc>
          <w:tcPr>
            <w:tcW w:w="1541" w:type="dxa"/>
            <w:tcBorders>
              <w:top w:val="single" w:sz="4" w:space="0" w:color="auto"/>
              <w:bottom w:val="single" w:sz="4" w:space="0" w:color="auto"/>
            </w:tcBorders>
            <w:vAlign w:val="center"/>
          </w:tcPr>
          <w:p w14:paraId="72A2E4C2" w14:textId="71E036B7" w:rsidR="002F7F20" w:rsidRPr="00580D9F" w:rsidRDefault="005C28C2" w:rsidP="00D7026D">
            <w:pPr>
              <w:tabs>
                <w:tab w:val="left" w:pos="567"/>
              </w:tabs>
              <w:spacing w:line="276" w:lineRule="auto"/>
              <w:jc w:val="center"/>
              <w:rPr>
                <w:sz w:val="22"/>
                <w:szCs w:val="22"/>
              </w:rPr>
            </w:pPr>
            <w:r>
              <w:rPr>
                <w:sz w:val="22"/>
                <w:szCs w:val="22"/>
              </w:rPr>
              <w:t>***</w:t>
            </w:r>
          </w:p>
        </w:tc>
        <w:tc>
          <w:tcPr>
            <w:tcW w:w="2091" w:type="dxa"/>
            <w:tcBorders>
              <w:top w:val="single" w:sz="4" w:space="0" w:color="auto"/>
              <w:bottom w:val="single" w:sz="4" w:space="0" w:color="auto"/>
            </w:tcBorders>
            <w:vAlign w:val="center"/>
          </w:tcPr>
          <w:p w14:paraId="6E2EE0E8" w14:textId="0F5082B1" w:rsidR="002F7F20" w:rsidRPr="00580D9F" w:rsidRDefault="005C28C2" w:rsidP="00D7026D">
            <w:pPr>
              <w:jc w:val="center"/>
              <w:rPr>
                <w:color w:val="000000"/>
                <w:sz w:val="22"/>
                <w:szCs w:val="22"/>
              </w:rPr>
            </w:pPr>
            <w:r>
              <w:rPr>
                <w:color w:val="000000"/>
                <w:sz w:val="22"/>
                <w:szCs w:val="22"/>
              </w:rPr>
              <w:t>***</w:t>
            </w:r>
          </w:p>
        </w:tc>
        <w:tc>
          <w:tcPr>
            <w:tcW w:w="3579" w:type="dxa"/>
            <w:tcBorders>
              <w:top w:val="single" w:sz="4" w:space="0" w:color="auto"/>
              <w:bottom w:val="single" w:sz="4" w:space="0" w:color="auto"/>
            </w:tcBorders>
            <w:vAlign w:val="center"/>
          </w:tcPr>
          <w:p w14:paraId="17771CFE" w14:textId="07581546" w:rsidR="002F7F20" w:rsidRPr="00580D9F" w:rsidRDefault="005C28C2" w:rsidP="00D7026D">
            <w:pPr>
              <w:tabs>
                <w:tab w:val="left" w:pos="567"/>
              </w:tabs>
              <w:spacing w:line="276" w:lineRule="auto"/>
              <w:jc w:val="right"/>
              <w:rPr>
                <w:sz w:val="22"/>
                <w:szCs w:val="22"/>
              </w:rPr>
            </w:pPr>
            <w:r>
              <w:rPr>
                <w:sz w:val="22"/>
                <w:szCs w:val="22"/>
              </w:rPr>
              <w:t>***</w:t>
            </w:r>
          </w:p>
        </w:tc>
      </w:tr>
      <w:tr w:rsidR="002F7F20" w:rsidRPr="00580D9F" w14:paraId="3CD18BD1" w14:textId="77777777" w:rsidTr="00D7026D">
        <w:trPr>
          <w:jc w:val="center"/>
        </w:trPr>
        <w:tc>
          <w:tcPr>
            <w:tcW w:w="2697" w:type="dxa"/>
            <w:tcBorders>
              <w:top w:val="single" w:sz="4" w:space="0" w:color="auto"/>
              <w:bottom w:val="single" w:sz="4" w:space="0" w:color="auto"/>
            </w:tcBorders>
          </w:tcPr>
          <w:p w14:paraId="4955410A" w14:textId="77777777" w:rsidR="002F7F20" w:rsidRPr="00580D9F" w:rsidRDefault="002F7F20" w:rsidP="00D7026D">
            <w:pPr>
              <w:tabs>
                <w:tab w:val="left" w:pos="567"/>
              </w:tabs>
              <w:spacing w:line="276" w:lineRule="auto"/>
              <w:rPr>
                <w:iCs/>
                <w:color w:val="000000"/>
                <w:sz w:val="22"/>
                <w:szCs w:val="22"/>
                <w:lang w:eastAsia="lt-LT"/>
              </w:rPr>
            </w:pPr>
            <w:r w:rsidRPr="00580D9F">
              <w:rPr>
                <w:sz w:val="22"/>
                <w:szCs w:val="22"/>
              </w:rPr>
              <w:t>Gyvenimo pabaigos kaštai</w:t>
            </w:r>
          </w:p>
        </w:tc>
        <w:tc>
          <w:tcPr>
            <w:tcW w:w="1541" w:type="dxa"/>
            <w:tcBorders>
              <w:top w:val="single" w:sz="4" w:space="0" w:color="auto"/>
              <w:bottom w:val="single" w:sz="4" w:space="0" w:color="auto"/>
            </w:tcBorders>
            <w:vAlign w:val="center"/>
          </w:tcPr>
          <w:p w14:paraId="66ACE7A2" w14:textId="70700830" w:rsidR="002F7F20" w:rsidRPr="00580D9F" w:rsidRDefault="005C28C2" w:rsidP="00D7026D">
            <w:pPr>
              <w:jc w:val="center"/>
              <w:rPr>
                <w:color w:val="000000"/>
                <w:sz w:val="22"/>
                <w:szCs w:val="22"/>
              </w:rPr>
            </w:pPr>
            <w:r>
              <w:rPr>
                <w:color w:val="000000"/>
                <w:sz w:val="22"/>
                <w:szCs w:val="22"/>
              </w:rPr>
              <w:t>***</w:t>
            </w:r>
          </w:p>
        </w:tc>
        <w:tc>
          <w:tcPr>
            <w:tcW w:w="2091" w:type="dxa"/>
            <w:tcBorders>
              <w:top w:val="single" w:sz="4" w:space="0" w:color="auto"/>
              <w:bottom w:val="single" w:sz="4" w:space="0" w:color="auto"/>
            </w:tcBorders>
            <w:vAlign w:val="center"/>
          </w:tcPr>
          <w:p w14:paraId="123F2B3D" w14:textId="686F9942" w:rsidR="002F7F20" w:rsidRPr="00580D9F" w:rsidRDefault="005C28C2" w:rsidP="00D7026D">
            <w:pPr>
              <w:jc w:val="center"/>
              <w:rPr>
                <w:color w:val="000000"/>
                <w:sz w:val="22"/>
                <w:szCs w:val="22"/>
              </w:rPr>
            </w:pPr>
            <w:r>
              <w:rPr>
                <w:color w:val="000000"/>
                <w:sz w:val="22"/>
                <w:szCs w:val="22"/>
              </w:rPr>
              <w:t>***</w:t>
            </w:r>
          </w:p>
        </w:tc>
        <w:tc>
          <w:tcPr>
            <w:tcW w:w="3579" w:type="dxa"/>
            <w:tcBorders>
              <w:top w:val="single" w:sz="4" w:space="0" w:color="auto"/>
              <w:bottom w:val="single" w:sz="4" w:space="0" w:color="auto"/>
            </w:tcBorders>
            <w:vAlign w:val="center"/>
          </w:tcPr>
          <w:p w14:paraId="1C6A8087" w14:textId="081AE5DA" w:rsidR="002F7F20" w:rsidRPr="00580D9F" w:rsidRDefault="005C28C2" w:rsidP="00D7026D">
            <w:pPr>
              <w:tabs>
                <w:tab w:val="left" w:pos="567"/>
              </w:tabs>
              <w:spacing w:line="276" w:lineRule="auto"/>
              <w:jc w:val="right"/>
              <w:rPr>
                <w:i/>
                <w:iCs/>
                <w:sz w:val="22"/>
                <w:szCs w:val="22"/>
                <w:lang w:eastAsia="lt-LT"/>
              </w:rPr>
            </w:pPr>
            <w:r>
              <w:rPr>
                <w:sz w:val="22"/>
                <w:szCs w:val="22"/>
              </w:rPr>
              <w:t>***</w:t>
            </w:r>
          </w:p>
        </w:tc>
      </w:tr>
      <w:tr w:rsidR="008560D2" w:rsidRPr="00580D9F" w14:paraId="6FFF228D" w14:textId="77777777" w:rsidTr="004A13BC">
        <w:trPr>
          <w:jc w:val="center"/>
        </w:trPr>
        <w:tc>
          <w:tcPr>
            <w:tcW w:w="2697" w:type="dxa"/>
            <w:tcBorders>
              <w:top w:val="single" w:sz="4" w:space="0" w:color="auto"/>
              <w:bottom w:val="single" w:sz="4" w:space="0" w:color="auto"/>
            </w:tcBorders>
          </w:tcPr>
          <w:p w14:paraId="4DEDA36C" w14:textId="77777777" w:rsidR="008560D2" w:rsidRPr="00580D9F" w:rsidRDefault="008560D2" w:rsidP="008560D2">
            <w:pPr>
              <w:tabs>
                <w:tab w:val="left" w:pos="567"/>
              </w:tabs>
              <w:spacing w:line="276" w:lineRule="auto"/>
              <w:jc w:val="both"/>
              <w:rPr>
                <w:iCs/>
                <w:sz w:val="22"/>
                <w:szCs w:val="22"/>
                <w:lang w:eastAsia="lt-LT"/>
              </w:rPr>
            </w:pPr>
            <w:r w:rsidRPr="00580D9F">
              <w:rPr>
                <w:sz w:val="22"/>
                <w:szCs w:val="22"/>
              </w:rPr>
              <w:t>Sekantis gydymas</w:t>
            </w:r>
          </w:p>
        </w:tc>
        <w:tc>
          <w:tcPr>
            <w:tcW w:w="1541" w:type="dxa"/>
            <w:tcBorders>
              <w:top w:val="single" w:sz="4" w:space="0" w:color="auto"/>
              <w:bottom w:val="single" w:sz="4" w:space="0" w:color="auto"/>
            </w:tcBorders>
          </w:tcPr>
          <w:p w14:paraId="30A33F8D" w14:textId="5AA0F175" w:rsidR="008560D2" w:rsidRPr="00580D9F" w:rsidRDefault="008560D2" w:rsidP="008560D2">
            <w:pPr>
              <w:jc w:val="center"/>
              <w:rPr>
                <w:color w:val="000000"/>
                <w:sz w:val="22"/>
                <w:szCs w:val="22"/>
              </w:rPr>
            </w:pPr>
            <w:r w:rsidRPr="002C6851">
              <w:rPr>
                <w:color w:val="000000"/>
                <w:sz w:val="18"/>
                <w:szCs w:val="18"/>
                <w:lang w:eastAsia="lt-LT"/>
              </w:rPr>
              <w:t>*****</w:t>
            </w:r>
          </w:p>
        </w:tc>
        <w:tc>
          <w:tcPr>
            <w:tcW w:w="2091" w:type="dxa"/>
            <w:tcBorders>
              <w:top w:val="single" w:sz="4" w:space="0" w:color="auto"/>
              <w:bottom w:val="single" w:sz="4" w:space="0" w:color="auto"/>
            </w:tcBorders>
          </w:tcPr>
          <w:p w14:paraId="01C9CB7C" w14:textId="6FE713DB" w:rsidR="008560D2" w:rsidRPr="00580D9F" w:rsidRDefault="008560D2" w:rsidP="008560D2">
            <w:pPr>
              <w:jc w:val="center"/>
              <w:rPr>
                <w:color w:val="000000"/>
                <w:sz w:val="22"/>
                <w:szCs w:val="22"/>
              </w:rPr>
            </w:pPr>
            <w:r w:rsidRPr="002C6851">
              <w:rPr>
                <w:color w:val="000000"/>
                <w:sz w:val="18"/>
                <w:szCs w:val="18"/>
                <w:lang w:eastAsia="lt-LT"/>
              </w:rPr>
              <w:t>*****</w:t>
            </w:r>
          </w:p>
        </w:tc>
        <w:tc>
          <w:tcPr>
            <w:tcW w:w="3579" w:type="dxa"/>
            <w:tcBorders>
              <w:top w:val="single" w:sz="4" w:space="0" w:color="auto"/>
              <w:bottom w:val="single" w:sz="4" w:space="0" w:color="auto"/>
            </w:tcBorders>
          </w:tcPr>
          <w:p w14:paraId="358FFD8F" w14:textId="1FA3CEB9" w:rsidR="008560D2" w:rsidRPr="00580D9F" w:rsidRDefault="008560D2" w:rsidP="008560D2">
            <w:pPr>
              <w:jc w:val="right"/>
              <w:rPr>
                <w:color w:val="000000"/>
                <w:sz w:val="22"/>
                <w:szCs w:val="22"/>
              </w:rPr>
            </w:pPr>
            <w:r w:rsidRPr="002C6851">
              <w:rPr>
                <w:color w:val="000000"/>
                <w:sz w:val="18"/>
                <w:szCs w:val="18"/>
                <w:lang w:eastAsia="lt-LT"/>
              </w:rPr>
              <w:t>*****</w:t>
            </w:r>
          </w:p>
        </w:tc>
      </w:tr>
      <w:tr w:rsidR="008560D2" w:rsidRPr="00580D9F" w14:paraId="22056646" w14:textId="77777777" w:rsidTr="004A13BC">
        <w:trPr>
          <w:jc w:val="center"/>
        </w:trPr>
        <w:tc>
          <w:tcPr>
            <w:tcW w:w="2697" w:type="dxa"/>
            <w:tcBorders>
              <w:top w:val="single" w:sz="4" w:space="0" w:color="auto"/>
              <w:bottom w:val="single" w:sz="12" w:space="0" w:color="auto"/>
            </w:tcBorders>
          </w:tcPr>
          <w:p w14:paraId="29DD76A2" w14:textId="77777777" w:rsidR="008560D2" w:rsidRPr="00580D9F" w:rsidRDefault="008560D2" w:rsidP="008560D2">
            <w:pPr>
              <w:tabs>
                <w:tab w:val="left" w:pos="567"/>
              </w:tabs>
              <w:spacing w:line="276" w:lineRule="auto"/>
              <w:jc w:val="both"/>
              <w:rPr>
                <w:iCs/>
                <w:sz w:val="22"/>
                <w:szCs w:val="22"/>
                <w:lang w:eastAsia="lt-LT"/>
              </w:rPr>
            </w:pPr>
            <w:r w:rsidRPr="00580D9F">
              <w:rPr>
                <w:iCs/>
                <w:sz w:val="22"/>
                <w:szCs w:val="22"/>
                <w:lang w:eastAsia="lt-LT"/>
              </w:rPr>
              <w:t>Viso</w:t>
            </w:r>
          </w:p>
        </w:tc>
        <w:tc>
          <w:tcPr>
            <w:tcW w:w="1541" w:type="dxa"/>
            <w:tcBorders>
              <w:top w:val="single" w:sz="4" w:space="0" w:color="auto"/>
              <w:bottom w:val="single" w:sz="12" w:space="0" w:color="auto"/>
            </w:tcBorders>
          </w:tcPr>
          <w:p w14:paraId="301CDE9F" w14:textId="4366B8B5" w:rsidR="008560D2" w:rsidRPr="00580D9F" w:rsidRDefault="008560D2" w:rsidP="008560D2">
            <w:pPr>
              <w:jc w:val="center"/>
              <w:rPr>
                <w:b/>
                <w:bCs/>
                <w:color w:val="000000"/>
                <w:sz w:val="22"/>
                <w:szCs w:val="22"/>
              </w:rPr>
            </w:pPr>
            <w:r w:rsidRPr="002C6851">
              <w:rPr>
                <w:color w:val="000000"/>
                <w:sz w:val="18"/>
                <w:szCs w:val="18"/>
                <w:lang w:eastAsia="lt-LT"/>
              </w:rPr>
              <w:t>*****</w:t>
            </w:r>
          </w:p>
        </w:tc>
        <w:tc>
          <w:tcPr>
            <w:tcW w:w="2091" w:type="dxa"/>
            <w:tcBorders>
              <w:top w:val="single" w:sz="4" w:space="0" w:color="auto"/>
              <w:bottom w:val="single" w:sz="12" w:space="0" w:color="auto"/>
            </w:tcBorders>
          </w:tcPr>
          <w:p w14:paraId="5E955553" w14:textId="67EE3DBE" w:rsidR="008560D2" w:rsidRPr="00580D9F" w:rsidRDefault="008560D2" w:rsidP="008560D2">
            <w:pPr>
              <w:jc w:val="center"/>
              <w:rPr>
                <w:b/>
                <w:bCs/>
                <w:color w:val="000000"/>
                <w:sz w:val="22"/>
                <w:szCs w:val="22"/>
              </w:rPr>
            </w:pPr>
            <w:r w:rsidRPr="002C6851">
              <w:rPr>
                <w:color w:val="000000"/>
                <w:sz w:val="18"/>
                <w:szCs w:val="18"/>
                <w:lang w:eastAsia="lt-LT"/>
              </w:rPr>
              <w:t>*****</w:t>
            </w:r>
          </w:p>
        </w:tc>
        <w:tc>
          <w:tcPr>
            <w:tcW w:w="3579" w:type="dxa"/>
            <w:tcBorders>
              <w:top w:val="single" w:sz="4" w:space="0" w:color="auto"/>
              <w:bottom w:val="single" w:sz="12" w:space="0" w:color="auto"/>
            </w:tcBorders>
          </w:tcPr>
          <w:p w14:paraId="21F729A5" w14:textId="711B2A8C" w:rsidR="008560D2" w:rsidRPr="00580D9F" w:rsidRDefault="008560D2" w:rsidP="008560D2">
            <w:pPr>
              <w:tabs>
                <w:tab w:val="left" w:pos="567"/>
              </w:tabs>
              <w:spacing w:line="276" w:lineRule="auto"/>
              <w:jc w:val="right"/>
              <w:rPr>
                <w:i/>
                <w:iCs/>
                <w:sz w:val="22"/>
                <w:szCs w:val="22"/>
                <w:lang w:val="en-US" w:eastAsia="lt-LT"/>
              </w:rPr>
            </w:pPr>
            <w:r w:rsidRPr="002C6851">
              <w:rPr>
                <w:color w:val="000000"/>
                <w:sz w:val="18"/>
                <w:szCs w:val="18"/>
                <w:lang w:eastAsia="lt-LT"/>
              </w:rPr>
              <w:t>*****</w:t>
            </w:r>
          </w:p>
        </w:tc>
      </w:tr>
      <w:tr w:rsidR="002F7F20" w:rsidRPr="00580D9F" w14:paraId="3593DEEA" w14:textId="77777777" w:rsidTr="00D7026D">
        <w:trPr>
          <w:jc w:val="center"/>
        </w:trPr>
        <w:tc>
          <w:tcPr>
            <w:tcW w:w="9908" w:type="dxa"/>
            <w:gridSpan w:val="4"/>
            <w:tcBorders>
              <w:top w:val="single" w:sz="12" w:space="0" w:color="auto"/>
              <w:bottom w:val="single" w:sz="4" w:space="0" w:color="auto"/>
            </w:tcBorders>
          </w:tcPr>
          <w:p w14:paraId="44316246" w14:textId="77777777" w:rsidR="002F7F20" w:rsidRPr="00580D9F" w:rsidRDefault="002F7F20" w:rsidP="00D7026D">
            <w:pPr>
              <w:tabs>
                <w:tab w:val="left" w:pos="567"/>
              </w:tabs>
              <w:spacing w:line="276" w:lineRule="auto"/>
              <w:jc w:val="center"/>
              <w:rPr>
                <w:iCs/>
                <w:lang w:eastAsia="lt-LT"/>
              </w:rPr>
            </w:pPr>
            <w:r w:rsidRPr="00580D9F">
              <w:rPr>
                <w:lang w:eastAsia="lt-LT"/>
              </w:rPr>
              <w:t>Papildomi gyvenimo metai (LY)</w:t>
            </w:r>
          </w:p>
        </w:tc>
      </w:tr>
      <w:tr w:rsidR="002F7F20" w:rsidRPr="00580D9F" w14:paraId="548BD5AD" w14:textId="77777777" w:rsidTr="00D7026D">
        <w:trPr>
          <w:jc w:val="center"/>
        </w:trPr>
        <w:tc>
          <w:tcPr>
            <w:tcW w:w="2697" w:type="dxa"/>
            <w:tcBorders>
              <w:top w:val="single" w:sz="4" w:space="0" w:color="auto"/>
              <w:bottom w:val="single" w:sz="4" w:space="0" w:color="auto"/>
            </w:tcBorders>
          </w:tcPr>
          <w:p w14:paraId="04DB756D" w14:textId="77777777" w:rsidR="002F7F20" w:rsidRPr="00580D9F" w:rsidRDefault="002F7F20" w:rsidP="00D7026D">
            <w:pPr>
              <w:tabs>
                <w:tab w:val="left" w:pos="567"/>
              </w:tabs>
              <w:spacing w:line="276" w:lineRule="auto"/>
              <w:jc w:val="both"/>
              <w:rPr>
                <w:lang w:eastAsia="lt-LT"/>
              </w:rPr>
            </w:pPr>
            <w:proofErr w:type="spellStart"/>
            <w:r w:rsidRPr="00580D9F">
              <w:t>Nivolumabas</w:t>
            </w:r>
            <w:proofErr w:type="spellEnd"/>
          </w:p>
        </w:tc>
        <w:tc>
          <w:tcPr>
            <w:tcW w:w="3632" w:type="dxa"/>
            <w:gridSpan w:val="2"/>
            <w:tcBorders>
              <w:top w:val="single" w:sz="4" w:space="0" w:color="auto"/>
              <w:bottom w:val="single" w:sz="4" w:space="0" w:color="auto"/>
            </w:tcBorders>
          </w:tcPr>
          <w:p w14:paraId="723495D6" w14:textId="59682790" w:rsidR="002F7F20" w:rsidRPr="00580D9F" w:rsidRDefault="005C28C2" w:rsidP="00D7026D">
            <w:pPr>
              <w:tabs>
                <w:tab w:val="left" w:pos="567"/>
              </w:tabs>
              <w:spacing w:line="276" w:lineRule="auto"/>
              <w:jc w:val="center"/>
              <w:rPr>
                <w:i/>
                <w:iCs/>
                <w:lang w:val="en-US" w:eastAsia="lt-LT"/>
              </w:rPr>
            </w:pPr>
            <w:r>
              <w:rPr>
                <w:lang w:val="en-US"/>
              </w:rPr>
              <w:t>***</w:t>
            </w:r>
          </w:p>
        </w:tc>
        <w:tc>
          <w:tcPr>
            <w:tcW w:w="3579" w:type="dxa"/>
            <w:vMerge w:val="restart"/>
            <w:tcBorders>
              <w:top w:val="single" w:sz="4" w:space="0" w:color="auto"/>
            </w:tcBorders>
          </w:tcPr>
          <w:p w14:paraId="66651845" w14:textId="77777777" w:rsidR="002F7F20" w:rsidRPr="00580D9F" w:rsidRDefault="002F7F20" w:rsidP="00D7026D">
            <w:pPr>
              <w:tabs>
                <w:tab w:val="left" w:pos="567"/>
              </w:tabs>
              <w:spacing w:line="276" w:lineRule="auto"/>
              <w:jc w:val="both"/>
              <w:rPr>
                <w:lang w:eastAsia="lt-LT"/>
              </w:rPr>
            </w:pPr>
            <w:r w:rsidRPr="00580D9F">
              <w:rPr>
                <w:lang w:eastAsia="lt-LT"/>
              </w:rPr>
              <w:t xml:space="preserve">Skirtumas: </w:t>
            </w:r>
          </w:p>
          <w:p w14:paraId="4F60EDB3" w14:textId="6002E0E1" w:rsidR="002F7F20" w:rsidRPr="00580D9F" w:rsidRDefault="005C28C2" w:rsidP="00D7026D">
            <w:pPr>
              <w:tabs>
                <w:tab w:val="left" w:pos="567"/>
              </w:tabs>
              <w:spacing w:line="276" w:lineRule="auto"/>
              <w:jc w:val="right"/>
              <w:rPr>
                <w:lang w:val="en-US" w:eastAsia="lt-LT"/>
              </w:rPr>
            </w:pPr>
            <w:r>
              <w:rPr>
                <w:lang w:val="en-US" w:eastAsia="lt-LT"/>
              </w:rPr>
              <w:t>***</w:t>
            </w:r>
          </w:p>
        </w:tc>
      </w:tr>
      <w:tr w:rsidR="002F7F20" w:rsidRPr="00580D9F" w14:paraId="545EADCC" w14:textId="77777777" w:rsidTr="00D7026D">
        <w:trPr>
          <w:jc w:val="center"/>
        </w:trPr>
        <w:tc>
          <w:tcPr>
            <w:tcW w:w="2697" w:type="dxa"/>
            <w:tcBorders>
              <w:top w:val="single" w:sz="4" w:space="0" w:color="auto"/>
              <w:bottom w:val="single" w:sz="12" w:space="0" w:color="auto"/>
            </w:tcBorders>
          </w:tcPr>
          <w:p w14:paraId="13912C09" w14:textId="77777777" w:rsidR="002F7F20" w:rsidRPr="00580D9F" w:rsidRDefault="002F7F20" w:rsidP="00D7026D">
            <w:pPr>
              <w:tabs>
                <w:tab w:val="left" w:pos="567"/>
              </w:tabs>
              <w:spacing w:line="276" w:lineRule="auto"/>
              <w:jc w:val="both"/>
              <w:rPr>
                <w:lang w:eastAsia="lt-LT"/>
              </w:rPr>
            </w:pPr>
            <w:r w:rsidRPr="00580D9F">
              <w:t>Stebėjimas/placebo</w:t>
            </w:r>
          </w:p>
        </w:tc>
        <w:tc>
          <w:tcPr>
            <w:tcW w:w="3632" w:type="dxa"/>
            <w:gridSpan w:val="2"/>
            <w:tcBorders>
              <w:top w:val="single" w:sz="4" w:space="0" w:color="auto"/>
              <w:bottom w:val="single" w:sz="12" w:space="0" w:color="auto"/>
            </w:tcBorders>
          </w:tcPr>
          <w:p w14:paraId="4353151C" w14:textId="338B49B2" w:rsidR="002F7F20" w:rsidRPr="00580D9F" w:rsidRDefault="005C28C2" w:rsidP="00D7026D">
            <w:pPr>
              <w:tabs>
                <w:tab w:val="left" w:pos="567"/>
              </w:tabs>
              <w:spacing w:line="276" w:lineRule="auto"/>
              <w:jc w:val="center"/>
              <w:rPr>
                <w:i/>
                <w:iCs/>
                <w:lang w:val="en-US" w:eastAsia="lt-LT"/>
              </w:rPr>
            </w:pPr>
            <w:r>
              <w:rPr>
                <w:lang w:val="en-US"/>
              </w:rPr>
              <w:t>***</w:t>
            </w:r>
          </w:p>
        </w:tc>
        <w:tc>
          <w:tcPr>
            <w:tcW w:w="3579" w:type="dxa"/>
            <w:vMerge/>
            <w:tcBorders>
              <w:bottom w:val="single" w:sz="12" w:space="0" w:color="auto"/>
            </w:tcBorders>
          </w:tcPr>
          <w:p w14:paraId="655DA3B8" w14:textId="77777777" w:rsidR="002F7F20" w:rsidRPr="00580D9F" w:rsidRDefault="002F7F20" w:rsidP="00D7026D">
            <w:pPr>
              <w:tabs>
                <w:tab w:val="left" w:pos="567"/>
              </w:tabs>
              <w:spacing w:line="276" w:lineRule="auto"/>
              <w:jc w:val="both"/>
              <w:rPr>
                <w:i/>
                <w:iCs/>
                <w:lang w:eastAsia="lt-LT"/>
              </w:rPr>
            </w:pPr>
          </w:p>
        </w:tc>
      </w:tr>
      <w:tr w:rsidR="002F7F20" w:rsidRPr="00580D9F" w14:paraId="24AE1B85" w14:textId="77777777" w:rsidTr="00D7026D">
        <w:trPr>
          <w:jc w:val="center"/>
        </w:trPr>
        <w:tc>
          <w:tcPr>
            <w:tcW w:w="9908" w:type="dxa"/>
            <w:gridSpan w:val="4"/>
            <w:tcBorders>
              <w:top w:val="single" w:sz="12" w:space="0" w:color="auto"/>
              <w:bottom w:val="single" w:sz="4" w:space="0" w:color="auto"/>
            </w:tcBorders>
          </w:tcPr>
          <w:p w14:paraId="4F3E50C9" w14:textId="77777777" w:rsidR="002F7F20" w:rsidRPr="00580D9F" w:rsidRDefault="002F7F20" w:rsidP="00D7026D">
            <w:pPr>
              <w:tabs>
                <w:tab w:val="left" w:pos="567"/>
              </w:tabs>
              <w:spacing w:line="276" w:lineRule="auto"/>
              <w:jc w:val="center"/>
              <w:rPr>
                <w:iCs/>
                <w:lang w:eastAsia="lt-LT"/>
              </w:rPr>
            </w:pPr>
            <w:r w:rsidRPr="00580D9F">
              <w:rPr>
                <w:lang w:eastAsia="lt-LT"/>
              </w:rPr>
              <w:t>Kokybiški gyvenimo metai (QALY)</w:t>
            </w:r>
          </w:p>
        </w:tc>
      </w:tr>
      <w:tr w:rsidR="002F7F20" w:rsidRPr="00580D9F" w14:paraId="33EB8930" w14:textId="77777777" w:rsidTr="00D7026D">
        <w:trPr>
          <w:jc w:val="center"/>
        </w:trPr>
        <w:tc>
          <w:tcPr>
            <w:tcW w:w="2697" w:type="dxa"/>
            <w:tcBorders>
              <w:top w:val="single" w:sz="4" w:space="0" w:color="auto"/>
              <w:bottom w:val="single" w:sz="4" w:space="0" w:color="auto"/>
            </w:tcBorders>
          </w:tcPr>
          <w:p w14:paraId="46627164" w14:textId="77777777" w:rsidR="002F7F20" w:rsidRPr="00580D9F" w:rsidRDefault="002F7F20" w:rsidP="00D7026D">
            <w:pPr>
              <w:tabs>
                <w:tab w:val="left" w:pos="567"/>
              </w:tabs>
              <w:spacing w:line="276" w:lineRule="auto"/>
              <w:jc w:val="both"/>
              <w:rPr>
                <w:iCs/>
                <w:lang w:eastAsia="lt-LT"/>
              </w:rPr>
            </w:pPr>
            <w:proofErr w:type="spellStart"/>
            <w:r w:rsidRPr="00580D9F">
              <w:t>Nivolumabas</w:t>
            </w:r>
            <w:proofErr w:type="spellEnd"/>
          </w:p>
        </w:tc>
        <w:tc>
          <w:tcPr>
            <w:tcW w:w="3632" w:type="dxa"/>
            <w:gridSpan w:val="2"/>
            <w:tcBorders>
              <w:top w:val="single" w:sz="4" w:space="0" w:color="auto"/>
              <w:bottom w:val="single" w:sz="4" w:space="0" w:color="auto"/>
            </w:tcBorders>
          </w:tcPr>
          <w:p w14:paraId="49A4EC62" w14:textId="412B8419" w:rsidR="002F7F20" w:rsidRPr="00580D9F" w:rsidRDefault="005C28C2" w:rsidP="00D7026D">
            <w:pPr>
              <w:tabs>
                <w:tab w:val="left" w:pos="567"/>
              </w:tabs>
              <w:spacing w:line="276" w:lineRule="auto"/>
              <w:jc w:val="center"/>
              <w:rPr>
                <w:i/>
                <w:iCs/>
                <w:lang w:val="en-US" w:eastAsia="lt-LT"/>
              </w:rPr>
            </w:pPr>
            <w:r>
              <w:t>***</w:t>
            </w:r>
          </w:p>
        </w:tc>
        <w:tc>
          <w:tcPr>
            <w:tcW w:w="3579" w:type="dxa"/>
            <w:tcBorders>
              <w:top w:val="single" w:sz="4" w:space="0" w:color="auto"/>
              <w:bottom w:val="single" w:sz="4" w:space="0" w:color="auto"/>
            </w:tcBorders>
          </w:tcPr>
          <w:p w14:paraId="570D4A63" w14:textId="77777777" w:rsidR="002F7F20" w:rsidRPr="00580D9F" w:rsidRDefault="002F7F20" w:rsidP="00D7026D">
            <w:pPr>
              <w:tabs>
                <w:tab w:val="left" w:pos="567"/>
              </w:tabs>
              <w:spacing w:line="276" w:lineRule="auto"/>
              <w:jc w:val="both"/>
              <w:rPr>
                <w:lang w:eastAsia="lt-LT"/>
              </w:rPr>
            </w:pPr>
            <w:r w:rsidRPr="00580D9F">
              <w:rPr>
                <w:lang w:eastAsia="lt-LT"/>
              </w:rPr>
              <w:t xml:space="preserve">Skirtumas: </w:t>
            </w:r>
          </w:p>
        </w:tc>
      </w:tr>
      <w:tr w:rsidR="002F7F20" w:rsidRPr="00580D9F" w14:paraId="41D53A2F" w14:textId="77777777" w:rsidTr="00D7026D">
        <w:trPr>
          <w:jc w:val="center"/>
        </w:trPr>
        <w:tc>
          <w:tcPr>
            <w:tcW w:w="2697" w:type="dxa"/>
            <w:tcBorders>
              <w:top w:val="single" w:sz="4" w:space="0" w:color="auto"/>
              <w:bottom w:val="single" w:sz="12" w:space="0" w:color="auto"/>
            </w:tcBorders>
          </w:tcPr>
          <w:p w14:paraId="6DFACC61" w14:textId="77777777" w:rsidR="002F7F20" w:rsidRPr="00580D9F" w:rsidRDefault="002F7F20" w:rsidP="00D7026D">
            <w:pPr>
              <w:tabs>
                <w:tab w:val="left" w:pos="567"/>
              </w:tabs>
              <w:spacing w:line="276" w:lineRule="auto"/>
              <w:jc w:val="both"/>
              <w:rPr>
                <w:iCs/>
                <w:lang w:eastAsia="lt-LT"/>
              </w:rPr>
            </w:pPr>
            <w:r w:rsidRPr="00580D9F">
              <w:t>Stebėjimas/placebo</w:t>
            </w:r>
          </w:p>
        </w:tc>
        <w:tc>
          <w:tcPr>
            <w:tcW w:w="3632" w:type="dxa"/>
            <w:gridSpan w:val="2"/>
            <w:tcBorders>
              <w:top w:val="single" w:sz="4" w:space="0" w:color="auto"/>
              <w:bottom w:val="single" w:sz="12" w:space="0" w:color="auto"/>
            </w:tcBorders>
          </w:tcPr>
          <w:p w14:paraId="497F8C31" w14:textId="01ACB152" w:rsidR="002F7F20" w:rsidRPr="00580D9F" w:rsidRDefault="005C28C2" w:rsidP="00D7026D">
            <w:pPr>
              <w:tabs>
                <w:tab w:val="left" w:pos="567"/>
              </w:tabs>
              <w:spacing w:line="276" w:lineRule="auto"/>
              <w:jc w:val="center"/>
              <w:rPr>
                <w:i/>
                <w:iCs/>
                <w:lang w:val="en-US" w:eastAsia="lt-LT"/>
              </w:rPr>
            </w:pPr>
            <w:r>
              <w:rPr>
                <w:lang w:val="en-US"/>
              </w:rPr>
              <w:t>***</w:t>
            </w:r>
          </w:p>
        </w:tc>
        <w:tc>
          <w:tcPr>
            <w:tcW w:w="3579" w:type="dxa"/>
            <w:tcBorders>
              <w:top w:val="single" w:sz="4" w:space="0" w:color="auto"/>
              <w:bottom w:val="single" w:sz="12" w:space="0" w:color="auto"/>
            </w:tcBorders>
          </w:tcPr>
          <w:p w14:paraId="3D31FD75" w14:textId="3A2EF632" w:rsidR="002F7F20" w:rsidRPr="00580D9F" w:rsidRDefault="005C28C2" w:rsidP="00D7026D">
            <w:pPr>
              <w:tabs>
                <w:tab w:val="left" w:pos="567"/>
              </w:tabs>
              <w:spacing w:line="276" w:lineRule="auto"/>
              <w:jc w:val="right"/>
              <w:rPr>
                <w:i/>
                <w:iCs/>
                <w:lang w:val="en-US" w:eastAsia="lt-LT"/>
              </w:rPr>
            </w:pPr>
            <w:r>
              <w:rPr>
                <w:i/>
                <w:iCs/>
                <w:lang w:eastAsia="lt-LT"/>
              </w:rPr>
              <w:t>***</w:t>
            </w:r>
          </w:p>
        </w:tc>
      </w:tr>
      <w:tr w:rsidR="002F7F20" w:rsidRPr="00580D9F" w14:paraId="4897F401" w14:textId="77777777" w:rsidTr="00D7026D">
        <w:trPr>
          <w:trHeight w:val="347"/>
          <w:jc w:val="center"/>
        </w:trPr>
        <w:tc>
          <w:tcPr>
            <w:tcW w:w="9908" w:type="dxa"/>
            <w:gridSpan w:val="4"/>
            <w:tcBorders>
              <w:top w:val="single" w:sz="12" w:space="0" w:color="auto"/>
            </w:tcBorders>
            <w:vAlign w:val="center"/>
          </w:tcPr>
          <w:p w14:paraId="2C25FE42" w14:textId="77777777" w:rsidR="002F7F20" w:rsidRPr="00580D9F" w:rsidRDefault="002F7F20" w:rsidP="00D7026D">
            <w:pPr>
              <w:tabs>
                <w:tab w:val="left" w:pos="567"/>
              </w:tabs>
              <w:spacing w:line="276" w:lineRule="auto"/>
              <w:jc w:val="center"/>
              <w:rPr>
                <w:b/>
                <w:bCs/>
                <w:lang w:eastAsia="lt-LT"/>
              </w:rPr>
            </w:pPr>
            <w:r w:rsidRPr="00580D9F">
              <w:rPr>
                <w:b/>
                <w:bCs/>
                <w:lang w:eastAsia="lt-LT"/>
              </w:rPr>
              <w:t>Rezultatai</w:t>
            </w:r>
          </w:p>
        </w:tc>
      </w:tr>
      <w:tr w:rsidR="008560D2" w:rsidRPr="00580D9F" w14:paraId="3D7D7BE6" w14:textId="77777777" w:rsidTr="00D7026D">
        <w:trPr>
          <w:jc w:val="center"/>
        </w:trPr>
        <w:tc>
          <w:tcPr>
            <w:tcW w:w="6329" w:type="dxa"/>
            <w:gridSpan w:val="3"/>
          </w:tcPr>
          <w:p w14:paraId="0878B5E4" w14:textId="77777777" w:rsidR="008560D2" w:rsidRPr="00580D9F" w:rsidRDefault="008560D2" w:rsidP="008560D2">
            <w:pPr>
              <w:tabs>
                <w:tab w:val="left" w:pos="567"/>
              </w:tabs>
              <w:spacing w:line="276" w:lineRule="auto"/>
              <w:jc w:val="right"/>
              <w:rPr>
                <w:iCs/>
                <w:lang w:eastAsia="lt-LT"/>
              </w:rPr>
            </w:pPr>
            <w:r w:rsidRPr="00580D9F">
              <w:rPr>
                <w:iCs/>
                <w:lang w:eastAsia="lt-LT"/>
              </w:rPr>
              <w:t>ICER už LY</w:t>
            </w:r>
          </w:p>
        </w:tc>
        <w:tc>
          <w:tcPr>
            <w:tcW w:w="3579" w:type="dxa"/>
          </w:tcPr>
          <w:p w14:paraId="19E6920B" w14:textId="51A1C312" w:rsidR="008560D2" w:rsidRPr="00580D9F" w:rsidRDefault="008560D2" w:rsidP="008560D2">
            <w:pPr>
              <w:jc w:val="both"/>
              <w:rPr>
                <w:color w:val="000000"/>
                <w:sz w:val="22"/>
                <w:szCs w:val="22"/>
              </w:rPr>
            </w:pPr>
            <w:r w:rsidRPr="00946B17">
              <w:rPr>
                <w:color w:val="000000"/>
                <w:sz w:val="18"/>
                <w:szCs w:val="18"/>
                <w:lang w:eastAsia="lt-LT"/>
              </w:rPr>
              <w:t>*****</w:t>
            </w:r>
          </w:p>
        </w:tc>
      </w:tr>
      <w:tr w:rsidR="008560D2" w:rsidRPr="00580D9F" w14:paraId="5B3FD710" w14:textId="77777777" w:rsidTr="00D7026D">
        <w:trPr>
          <w:jc w:val="center"/>
        </w:trPr>
        <w:tc>
          <w:tcPr>
            <w:tcW w:w="6329" w:type="dxa"/>
            <w:gridSpan w:val="3"/>
          </w:tcPr>
          <w:p w14:paraId="12070079" w14:textId="77777777" w:rsidR="008560D2" w:rsidRPr="00580D9F" w:rsidRDefault="008560D2" w:rsidP="008560D2">
            <w:pPr>
              <w:tabs>
                <w:tab w:val="left" w:pos="567"/>
              </w:tabs>
              <w:spacing w:line="276" w:lineRule="auto"/>
              <w:jc w:val="right"/>
              <w:rPr>
                <w:iCs/>
                <w:lang w:eastAsia="lt-LT"/>
              </w:rPr>
            </w:pPr>
            <w:r w:rsidRPr="00580D9F">
              <w:rPr>
                <w:iCs/>
                <w:lang w:eastAsia="lt-LT"/>
              </w:rPr>
              <w:t>ICER už QALY</w:t>
            </w:r>
          </w:p>
        </w:tc>
        <w:tc>
          <w:tcPr>
            <w:tcW w:w="3579" w:type="dxa"/>
          </w:tcPr>
          <w:p w14:paraId="31A9D43C" w14:textId="405453FB" w:rsidR="008560D2" w:rsidRPr="00580D9F" w:rsidRDefault="008560D2" w:rsidP="008560D2">
            <w:pPr>
              <w:jc w:val="both"/>
              <w:rPr>
                <w:color w:val="000000"/>
                <w:sz w:val="22"/>
                <w:szCs w:val="22"/>
              </w:rPr>
            </w:pPr>
            <w:r w:rsidRPr="00946B17">
              <w:rPr>
                <w:color w:val="000000"/>
                <w:sz w:val="18"/>
                <w:szCs w:val="18"/>
                <w:lang w:eastAsia="lt-LT"/>
              </w:rPr>
              <w:t>*****</w:t>
            </w:r>
          </w:p>
        </w:tc>
      </w:tr>
      <w:tr w:rsidR="002F7F20" w:rsidRPr="00580D9F" w14:paraId="642DC16A" w14:textId="77777777" w:rsidTr="00D7026D">
        <w:trPr>
          <w:jc w:val="center"/>
        </w:trPr>
        <w:tc>
          <w:tcPr>
            <w:tcW w:w="6329" w:type="dxa"/>
            <w:gridSpan w:val="3"/>
          </w:tcPr>
          <w:p w14:paraId="3B2A75C7" w14:textId="77777777" w:rsidR="002F7F20" w:rsidRPr="00580D9F" w:rsidRDefault="002F7F20" w:rsidP="00D7026D">
            <w:pPr>
              <w:tabs>
                <w:tab w:val="left" w:pos="567"/>
              </w:tabs>
              <w:spacing w:line="276" w:lineRule="auto"/>
              <w:jc w:val="right"/>
              <w:rPr>
                <w:iCs/>
                <w:lang w:eastAsia="lt-LT"/>
              </w:rPr>
            </w:pPr>
            <w:r w:rsidRPr="00580D9F">
              <w:rPr>
                <w:iCs/>
                <w:lang w:eastAsia="lt-LT"/>
              </w:rPr>
              <w:t>Referencinė kaštų naudingumo vertė</w:t>
            </w:r>
          </w:p>
        </w:tc>
        <w:tc>
          <w:tcPr>
            <w:tcW w:w="3579" w:type="dxa"/>
          </w:tcPr>
          <w:p w14:paraId="66F51B86" w14:textId="4FE20FEC" w:rsidR="002F7F20" w:rsidRPr="00580D9F" w:rsidRDefault="005C28C2" w:rsidP="00D7026D">
            <w:pPr>
              <w:tabs>
                <w:tab w:val="left" w:pos="567"/>
              </w:tabs>
              <w:spacing w:line="276" w:lineRule="auto"/>
              <w:jc w:val="both"/>
              <w:rPr>
                <w:i/>
                <w:iCs/>
                <w:lang w:val="en-US" w:eastAsia="lt-LT"/>
              </w:rPr>
            </w:pPr>
            <w:r>
              <w:rPr>
                <w:i/>
                <w:iCs/>
                <w:lang w:val="en-US" w:eastAsia="lt-LT"/>
              </w:rPr>
              <w:t>***</w:t>
            </w:r>
          </w:p>
        </w:tc>
      </w:tr>
    </w:tbl>
    <w:p w14:paraId="35665660" w14:textId="77777777" w:rsidR="002F7F20" w:rsidRPr="00580D9F" w:rsidRDefault="002F7F20" w:rsidP="00B26FCD">
      <w:pPr>
        <w:tabs>
          <w:tab w:val="left" w:pos="567"/>
        </w:tabs>
        <w:spacing w:line="276" w:lineRule="auto"/>
        <w:jc w:val="both"/>
        <w:rPr>
          <w:iCs/>
          <w:sz w:val="20"/>
          <w:lang w:eastAsia="lt-LT"/>
        </w:rPr>
      </w:pPr>
    </w:p>
    <w:p w14:paraId="4B5A47A7" w14:textId="2D29BDE2" w:rsidR="00B26FCD" w:rsidRPr="00580D9F" w:rsidRDefault="00B26FCD" w:rsidP="00B26FCD">
      <w:pPr>
        <w:tabs>
          <w:tab w:val="left" w:pos="567"/>
        </w:tabs>
        <w:spacing w:line="276" w:lineRule="auto"/>
        <w:jc w:val="both"/>
        <w:rPr>
          <w:iCs/>
          <w:sz w:val="20"/>
          <w:lang w:val="en-US" w:eastAsia="lt-LT"/>
        </w:rPr>
      </w:pPr>
      <w:r w:rsidRPr="00580D9F">
        <w:rPr>
          <w:iCs/>
          <w:sz w:val="20"/>
          <w:lang w:eastAsia="lt-LT"/>
        </w:rPr>
        <w:t>ICER – (</w:t>
      </w:r>
      <w:r w:rsidRPr="00580D9F">
        <w:rPr>
          <w:i/>
          <w:sz w:val="20"/>
          <w:lang w:eastAsia="lt-LT"/>
        </w:rPr>
        <w:t xml:space="preserve">angl. </w:t>
      </w:r>
      <w:proofErr w:type="spellStart"/>
      <w:r w:rsidRPr="00580D9F">
        <w:rPr>
          <w:i/>
          <w:sz w:val="20"/>
          <w:lang w:eastAsia="lt-LT"/>
        </w:rPr>
        <w:t>incremental</w:t>
      </w:r>
      <w:proofErr w:type="spellEnd"/>
      <w:r w:rsidRPr="00580D9F">
        <w:rPr>
          <w:i/>
          <w:sz w:val="20"/>
          <w:lang w:eastAsia="lt-LT"/>
        </w:rPr>
        <w:t xml:space="preserve"> </w:t>
      </w:r>
      <w:proofErr w:type="spellStart"/>
      <w:r w:rsidRPr="00580D9F">
        <w:rPr>
          <w:i/>
          <w:sz w:val="20"/>
          <w:lang w:eastAsia="lt-LT"/>
        </w:rPr>
        <w:t>cost-effectiveness</w:t>
      </w:r>
      <w:proofErr w:type="spellEnd"/>
      <w:r w:rsidRPr="00580D9F">
        <w:rPr>
          <w:i/>
          <w:sz w:val="20"/>
          <w:lang w:eastAsia="lt-LT"/>
        </w:rPr>
        <w:t xml:space="preserve"> </w:t>
      </w:r>
      <w:proofErr w:type="spellStart"/>
      <w:r w:rsidRPr="00580D9F">
        <w:rPr>
          <w:i/>
          <w:sz w:val="20"/>
          <w:lang w:eastAsia="lt-LT"/>
        </w:rPr>
        <w:t>ratio</w:t>
      </w:r>
      <w:proofErr w:type="spellEnd"/>
      <w:r w:rsidRPr="00580D9F">
        <w:rPr>
          <w:iCs/>
          <w:sz w:val="20"/>
          <w:lang w:eastAsia="lt-LT"/>
        </w:rPr>
        <w:t xml:space="preserve">) </w:t>
      </w:r>
      <w:proofErr w:type="spellStart"/>
      <w:r w:rsidRPr="00580D9F">
        <w:rPr>
          <w:iCs/>
          <w:sz w:val="20"/>
          <w:lang w:eastAsia="lt-LT"/>
        </w:rPr>
        <w:t>inkrementinis</w:t>
      </w:r>
      <w:proofErr w:type="spellEnd"/>
      <w:r w:rsidRPr="00580D9F">
        <w:rPr>
          <w:iCs/>
          <w:sz w:val="20"/>
          <w:lang w:eastAsia="lt-LT"/>
        </w:rPr>
        <w:t xml:space="preserve"> kaštų naudingumo koeficientas; LY – (</w:t>
      </w:r>
      <w:r w:rsidRPr="00580D9F">
        <w:rPr>
          <w:i/>
          <w:sz w:val="20"/>
          <w:lang w:eastAsia="lt-LT"/>
        </w:rPr>
        <w:t xml:space="preserve">angl. </w:t>
      </w:r>
      <w:proofErr w:type="spellStart"/>
      <w:r w:rsidRPr="00580D9F">
        <w:rPr>
          <w:i/>
          <w:sz w:val="20"/>
          <w:lang w:eastAsia="lt-LT"/>
        </w:rPr>
        <w:t>life</w:t>
      </w:r>
      <w:proofErr w:type="spellEnd"/>
      <w:r w:rsidRPr="00580D9F">
        <w:rPr>
          <w:i/>
          <w:sz w:val="20"/>
          <w:lang w:eastAsia="lt-LT"/>
        </w:rPr>
        <w:t xml:space="preserve"> </w:t>
      </w:r>
      <w:proofErr w:type="spellStart"/>
      <w:r w:rsidRPr="00580D9F">
        <w:rPr>
          <w:i/>
          <w:sz w:val="20"/>
          <w:lang w:eastAsia="lt-LT"/>
        </w:rPr>
        <w:t>years</w:t>
      </w:r>
      <w:proofErr w:type="spellEnd"/>
      <w:r w:rsidRPr="00580D9F">
        <w:rPr>
          <w:iCs/>
          <w:sz w:val="20"/>
          <w:lang w:eastAsia="lt-LT"/>
        </w:rPr>
        <w:t>) gyvenimo metai; QALY- (</w:t>
      </w:r>
      <w:r w:rsidRPr="00580D9F">
        <w:rPr>
          <w:i/>
          <w:sz w:val="20"/>
          <w:lang w:eastAsia="lt-LT"/>
        </w:rPr>
        <w:t xml:space="preserve">angl. </w:t>
      </w:r>
      <w:r w:rsidRPr="00580D9F">
        <w:rPr>
          <w:i/>
          <w:sz w:val="20"/>
          <w:lang w:val="en-US" w:eastAsia="lt-LT"/>
        </w:rPr>
        <w:t>q</w:t>
      </w:r>
      <w:proofErr w:type="spellStart"/>
      <w:r w:rsidRPr="00580D9F">
        <w:rPr>
          <w:i/>
          <w:sz w:val="20"/>
          <w:lang w:eastAsia="lt-LT"/>
        </w:rPr>
        <w:t>uality</w:t>
      </w:r>
      <w:proofErr w:type="spellEnd"/>
      <w:r w:rsidRPr="00580D9F">
        <w:rPr>
          <w:i/>
          <w:sz w:val="20"/>
          <w:lang w:val="en-US" w:eastAsia="lt-LT"/>
        </w:rPr>
        <w:t>-</w:t>
      </w:r>
      <w:proofErr w:type="spellStart"/>
      <w:r w:rsidRPr="00580D9F">
        <w:rPr>
          <w:i/>
          <w:sz w:val="20"/>
          <w:lang w:eastAsia="lt-LT"/>
        </w:rPr>
        <w:t>adjusted</w:t>
      </w:r>
      <w:proofErr w:type="spellEnd"/>
      <w:r w:rsidRPr="00580D9F">
        <w:rPr>
          <w:i/>
          <w:sz w:val="20"/>
          <w:lang w:eastAsia="lt-LT"/>
        </w:rPr>
        <w:t xml:space="preserve"> </w:t>
      </w:r>
      <w:proofErr w:type="spellStart"/>
      <w:r w:rsidRPr="00580D9F">
        <w:rPr>
          <w:i/>
          <w:sz w:val="20"/>
          <w:lang w:eastAsia="lt-LT"/>
        </w:rPr>
        <w:t>life</w:t>
      </w:r>
      <w:proofErr w:type="spellEnd"/>
      <w:r w:rsidRPr="00580D9F">
        <w:rPr>
          <w:i/>
          <w:sz w:val="20"/>
          <w:lang w:eastAsia="lt-LT"/>
        </w:rPr>
        <w:t xml:space="preserve"> </w:t>
      </w:r>
      <w:proofErr w:type="spellStart"/>
      <w:r w:rsidRPr="00580D9F">
        <w:rPr>
          <w:i/>
          <w:sz w:val="20"/>
          <w:lang w:eastAsia="lt-LT"/>
        </w:rPr>
        <w:t>years</w:t>
      </w:r>
      <w:proofErr w:type="spellEnd"/>
      <w:r w:rsidRPr="00580D9F">
        <w:rPr>
          <w:i/>
          <w:sz w:val="20"/>
          <w:lang w:eastAsia="lt-LT"/>
        </w:rPr>
        <w:t xml:space="preserve">) </w:t>
      </w:r>
      <w:r w:rsidRPr="00580D9F">
        <w:rPr>
          <w:iCs/>
          <w:sz w:val="20"/>
          <w:lang w:eastAsia="lt-LT"/>
        </w:rPr>
        <w:t>kokybiški gyvenimo metai.</w:t>
      </w:r>
    </w:p>
    <w:p w14:paraId="33875138" w14:textId="77777777" w:rsidR="0035172D" w:rsidRPr="00580D9F" w:rsidRDefault="0035172D" w:rsidP="00A93AA6">
      <w:pPr>
        <w:tabs>
          <w:tab w:val="left" w:pos="426"/>
        </w:tabs>
        <w:rPr>
          <w:b/>
          <w:bCs/>
          <w:caps/>
        </w:rPr>
      </w:pPr>
    </w:p>
    <w:p w14:paraId="6AB2CAEB" w14:textId="77777777" w:rsidR="00C103A1" w:rsidRPr="00580D9F" w:rsidRDefault="00C103A1" w:rsidP="00A93AA6">
      <w:pPr>
        <w:tabs>
          <w:tab w:val="left" w:pos="426"/>
        </w:tabs>
        <w:rPr>
          <w:b/>
          <w:bCs/>
          <w:caps/>
        </w:rPr>
      </w:pPr>
    </w:p>
    <w:p w14:paraId="46DB6CE7" w14:textId="77777777" w:rsidR="00820EA1" w:rsidRPr="00580D9F" w:rsidRDefault="00820EA1" w:rsidP="00A93AA6">
      <w:pPr>
        <w:tabs>
          <w:tab w:val="left" w:pos="426"/>
        </w:tabs>
        <w:rPr>
          <w:b/>
          <w:bCs/>
          <w:caps/>
        </w:rPr>
      </w:pPr>
    </w:p>
    <w:p w14:paraId="4FC424F9" w14:textId="4E767245" w:rsidR="00C62B36" w:rsidRPr="00580D9F" w:rsidRDefault="00C62B36" w:rsidP="00CC09D4">
      <w:pPr>
        <w:pStyle w:val="ListParagraph"/>
        <w:numPr>
          <w:ilvl w:val="0"/>
          <w:numId w:val="12"/>
        </w:numPr>
        <w:tabs>
          <w:tab w:val="left" w:pos="567"/>
        </w:tabs>
        <w:ind w:hanging="720"/>
        <w:rPr>
          <w:b/>
          <w:bCs/>
          <w:caps/>
        </w:rPr>
      </w:pPr>
      <w:r w:rsidRPr="00580D9F">
        <w:rPr>
          <w:b/>
          <w:bCs/>
          <w:caps/>
        </w:rPr>
        <w:t xml:space="preserve">Pacientų organizacijų pateikti duomenys </w:t>
      </w:r>
    </w:p>
    <w:p w14:paraId="79BCFF40" w14:textId="1992DF4A" w:rsidR="00937907" w:rsidRPr="00580D9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580D9F">
            <w:rPr>
              <w:rStyle w:val="Style2"/>
              <w:rFonts w:ascii="MS Gothic" w:eastAsia="MS Gothic" w:hAnsi="MS Gothic" w:hint="eastAsia"/>
              <w:sz w:val="24"/>
            </w:rPr>
            <w:t>☐</w:t>
          </w:r>
        </w:sdtContent>
      </w:sdt>
      <w:r w:rsidR="00937907" w:rsidRPr="00580D9F">
        <w:t xml:space="preserve"> Pacientų organizacijos pozicija pateikta. Žr. priedą.</w:t>
      </w:r>
    </w:p>
    <w:p w14:paraId="62992180" w14:textId="33F989BE" w:rsidR="00937907" w:rsidRPr="00580D9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C72F03" w:rsidRPr="00580D9F">
            <w:rPr>
              <w:rStyle w:val="Style2"/>
              <w:rFonts w:ascii="MS Gothic" w:eastAsia="MS Gothic" w:hAnsi="MS Gothic" w:hint="eastAsia"/>
              <w:sz w:val="24"/>
            </w:rPr>
            <w:t>☒</w:t>
          </w:r>
        </w:sdtContent>
      </w:sdt>
      <w:r w:rsidR="00937907" w:rsidRPr="00580D9F">
        <w:t xml:space="preserve"> Pacientų organizacijos pozicija </w:t>
      </w:r>
      <w:r w:rsidR="00880A44" w:rsidRPr="00580D9F">
        <w:t>ne</w:t>
      </w:r>
      <w:r w:rsidR="00937907" w:rsidRPr="00580D9F">
        <w:t>pateikta.</w:t>
      </w:r>
    </w:p>
    <w:p w14:paraId="03E73D82" w14:textId="77777777" w:rsidR="00D417D2" w:rsidRPr="00580D9F" w:rsidRDefault="00D417D2" w:rsidP="00937907">
      <w:pPr>
        <w:spacing w:after="120"/>
        <w:jc w:val="both"/>
      </w:pPr>
    </w:p>
    <w:p w14:paraId="3D3277FA" w14:textId="3CEEB2D2" w:rsidR="00C62B36" w:rsidRPr="00580D9F" w:rsidRDefault="00C62B36" w:rsidP="00CC09D4">
      <w:pPr>
        <w:pStyle w:val="ListParagraph"/>
        <w:numPr>
          <w:ilvl w:val="0"/>
          <w:numId w:val="12"/>
        </w:numPr>
        <w:tabs>
          <w:tab w:val="left" w:pos="567"/>
        </w:tabs>
        <w:ind w:hanging="720"/>
        <w:rPr>
          <w:b/>
          <w:bCs/>
          <w:caps/>
        </w:rPr>
      </w:pPr>
      <w:r w:rsidRPr="00580D9F">
        <w:rPr>
          <w:b/>
          <w:bCs/>
          <w:caps/>
        </w:rPr>
        <w:t>Gydytojų organizacijų pateikti duomenys</w:t>
      </w:r>
    </w:p>
    <w:p w14:paraId="389A346C" w14:textId="17184B64" w:rsidR="00937907" w:rsidRPr="00580D9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580D9F">
            <w:rPr>
              <w:rStyle w:val="Style2"/>
              <w:rFonts w:ascii="MS Gothic" w:eastAsia="MS Gothic" w:hAnsi="MS Gothic" w:hint="eastAsia"/>
              <w:sz w:val="24"/>
            </w:rPr>
            <w:t>☐</w:t>
          </w:r>
        </w:sdtContent>
      </w:sdt>
      <w:r w:rsidR="00662983" w:rsidRPr="00580D9F">
        <w:t xml:space="preserve"> </w:t>
      </w:r>
      <w:r w:rsidR="00937907" w:rsidRPr="00580D9F">
        <w:t xml:space="preserve">Gydytojų specialistų organizacijos pozicija pateikta. </w:t>
      </w:r>
      <w:r w:rsidR="00662983" w:rsidRPr="00580D9F">
        <w:t>Žr. priedą</w:t>
      </w:r>
      <w:r w:rsidR="00937907" w:rsidRPr="00580D9F">
        <w:t>.</w:t>
      </w:r>
    </w:p>
    <w:p w14:paraId="5D8CC48C" w14:textId="53EC71CA" w:rsidR="00662983" w:rsidRPr="00580D9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72F03" w:rsidRPr="00580D9F">
            <w:rPr>
              <w:rStyle w:val="Style2"/>
              <w:rFonts w:ascii="MS Gothic" w:eastAsia="MS Gothic" w:hAnsi="MS Gothic" w:hint="eastAsia"/>
              <w:sz w:val="24"/>
            </w:rPr>
            <w:t>☒</w:t>
          </w:r>
        </w:sdtContent>
      </w:sdt>
      <w:r w:rsidR="00662983" w:rsidRPr="00580D9F">
        <w:t xml:space="preserve"> </w:t>
      </w:r>
      <w:r w:rsidR="00937907" w:rsidRPr="00580D9F">
        <w:t xml:space="preserve">Gydytojų specialistų organizacijos pozicija </w:t>
      </w:r>
      <w:r w:rsidR="00880A44" w:rsidRPr="00580D9F">
        <w:t>ne</w:t>
      </w:r>
      <w:r w:rsidR="00937907" w:rsidRPr="00580D9F">
        <w:t>pateikta.</w:t>
      </w:r>
    </w:p>
    <w:p w14:paraId="3701D46A" w14:textId="77777777" w:rsidR="00A042B9" w:rsidRPr="00580D9F" w:rsidRDefault="00A042B9" w:rsidP="00662983">
      <w:pPr>
        <w:spacing w:after="120"/>
        <w:jc w:val="both"/>
      </w:pPr>
    </w:p>
    <w:p w14:paraId="78F23ECB" w14:textId="23A3A002" w:rsidR="002F0E4F" w:rsidRPr="00580D9F" w:rsidRDefault="002F0E4F" w:rsidP="00CC09D4">
      <w:pPr>
        <w:pStyle w:val="ListParagraph"/>
        <w:numPr>
          <w:ilvl w:val="0"/>
          <w:numId w:val="12"/>
        </w:numPr>
        <w:tabs>
          <w:tab w:val="left" w:pos="567"/>
        </w:tabs>
        <w:ind w:hanging="720"/>
        <w:rPr>
          <w:b/>
          <w:bCs/>
          <w:caps/>
        </w:rPr>
      </w:pPr>
      <w:r w:rsidRPr="00580D9F">
        <w:rPr>
          <w:b/>
          <w:bCs/>
          <w:caps/>
        </w:rPr>
        <w:t xml:space="preserve">Išvada </w:t>
      </w:r>
    </w:p>
    <w:p w14:paraId="2922DDCD" w14:textId="793F71EA" w:rsidR="00BD18D3" w:rsidRPr="00580D9F" w:rsidRDefault="00BD18D3"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580D9F" w14:paraId="25A2473E" w14:textId="77777777" w:rsidTr="00C16245">
        <w:trPr>
          <w:trHeight w:val="510"/>
        </w:trPr>
        <w:tc>
          <w:tcPr>
            <w:tcW w:w="4815" w:type="dxa"/>
            <w:vAlign w:val="center"/>
          </w:tcPr>
          <w:p w14:paraId="7EFE6941" w14:textId="23B8BB6D" w:rsidR="00B13D65"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580D9F">
              <w:rPr>
                <w:rStyle w:val="Style2"/>
                <w:rFonts w:eastAsia="MS Gothic"/>
                <w:b/>
                <w:bCs/>
                <w:sz w:val="24"/>
              </w:rPr>
              <w:t>Rekomenduojama kompensuoti</w:t>
            </w:r>
          </w:p>
        </w:tc>
        <w:tc>
          <w:tcPr>
            <w:tcW w:w="4814" w:type="dxa"/>
            <w:vAlign w:val="center"/>
          </w:tcPr>
          <w:p w14:paraId="330A1A5E" w14:textId="19247DC1" w:rsidR="00B13D65"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580D9F">
              <w:rPr>
                <w:rStyle w:val="Style2"/>
                <w:rFonts w:eastAsia="MS Gothic"/>
                <w:b/>
                <w:bCs/>
                <w:sz w:val="24"/>
              </w:rPr>
              <w:t xml:space="preserve">Rekomenduojama nekompensuoti </w:t>
            </w:r>
          </w:p>
        </w:tc>
      </w:tr>
      <w:tr w:rsidR="00B13D65" w:rsidRPr="00580D9F" w14:paraId="143A7356" w14:textId="77777777" w:rsidTr="00C16245">
        <w:trPr>
          <w:trHeight w:val="510"/>
        </w:trPr>
        <w:tc>
          <w:tcPr>
            <w:tcW w:w="9629" w:type="dxa"/>
            <w:gridSpan w:val="2"/>
            <w:vAlign w:val="center"/>
          </w:tcPr>
          <w:p w14:paraId="0AF5D6B4" w14:textId="6D8B6C59" w:rsidR="00B13D65" w:rsidRPr="00580D9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80D9F">
              <w:rPr>
                <w:rStyle w:val="Style2"/>
                <w:rFonts w:eastAsia="MS Gothic"/>
                <w:b/>
                <w:bCs/>
                <w:sz w:val="24"/>
              </w:rPr>
              <w:t>Palyginamasis efektyvumas</w:t>
            </w:r>
          </w:p>
        </w:tc>
      </w:tr>
      <w:tr w:rsidR="00B13D65" w:rsidRPr="00580D9F" w14:paraId="28A0C814" w14:textId="77777777" w:rsidTr="0061611B">
        <w:tc>
          <w:tcPr>
            <w:tcW w:w="4815" w:type="dxa"/>
          </w:tcPr>
          <w:p w14:paraId="216769B5" w14:textId="736FD328"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B8401D" w:rsidRPr="00580D9F">
                  <w:rPr>
                    <w:rStyle w:val="Style2"/>
                    <w:rFonts w:ascii="MS Gothic" w:eastAsia="MS Gothic" w:hAnsi="MS Gothic" w:hint="eastAsia"/>
                    <w:sz w:val="24"/>
                  </w:rPr>
                  <w:t>☒</w:t>
                </w:r>
              </w:sdtContent>
            </w:sdt>
            <w:r w:rsidR="00B13D65" w:rsidRPr="00580D9F">
              <w:t xml:space="preserve"> 32.1. yra didesnis</w:t>
            </w:r>
            <w:r w:rsidR="00B00959" w:rsidRPr="00580D9F">
              <w:t>, lyginant su įprasta klinikine praktika</w:t>
            </w:r>
          </w:p>
          <w:p w14:paraId="3B48F372"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580D9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32.1. iš esmės nesiskiria</w:t>
            </w:r>
            <w:r w:rsidR="00B00959" w:rsidRPr="00580D9F">
              <w:t>, lyginant su įprasta klinikine praktika</w:t>
            </w:r>
          </w:p>
        </w:tc>
        <w:tc>
          <w:tcPr>
            <w:tcW w:w="4814" w:type="dxa"/>
          </w:tcPr>
          <w:p w14:paraId="507828D9" w14:textId="10556E28"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33.1. yra mažesnis</w:t>
            </w:r>
            <w:r w:rsidR="00B00959" w:rsidRPr="00580D9F">
              <w:t>, lyginant su įprasta klinikine praktika</w:t>
            </w:r>
          </w:p>
          <w:p w14:paraId="7F95DEEC"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33.1. yra neįrodytas kaip toks pat</w:t>
            </w:r>
            <w:r w:rsidR="00B00959" w:rsidRPr="00580D9F">
              <w:t>, lyginant su įprasta klinikine praktika</w:t>
            </w:r>
          </w:p>
          <w:p w14:paraId="35205E85"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580D9F">
                  <w:rPr>
                    <w:rStyle w:val="Style2"/>
                    <w:rFonts w:ascii="Segoe UI Symbol" w:eastAsia="MS Gothic" w:hAnsi="Segoe UI Symbol" w:cs="Segoe UI Symbol"/>
                    <w:sz w:val="24"/>
                  </w:rPr>
                  <w:t>☐</w:t>
                </w:r>
              </w:sdtContent>
            </w:sdt>
            <w:r w:rsidR="00662983" w:rsidRPr="00580D9F">
              <w:t xml:space="preserve"> 33.1 </w:t>
            </w:r>
            <w:r w:rsidR="00B00959" w:rsidRPr="00580D9F">
              <w:t xml:space="preserve">yra </w:t>
            </w:r>
            <w:r w:rsidR="00B13D65" w:rsidRPr="00580D9F">
              <w:t>neįrodytas kaip didesnis</w:t>
            </w:r>
            <w:r w:rsidR="00B00959" w:rsidRPr="00580D9F">
              <w:t>, lyginant su įprasta klinikine praktika</w:t>
            </w:r>
          </w:p>
          <w:p w14:paraId="512E653B"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33.1. pateikti duomenys apie palyginamąjį efektyvumą yra netinkami vertinti</w:t>
            </w:r>
          </w:p>
          <w:p w14:paraId="5DDAA961" w14:textId="77777777" w:rsidR="00B13D65" w:rsidRPr="00580D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580D9F" w14:paraId="161CC3FE" w14:textId="77777777" w:rsidTr="00C16245">
        <w:trPr>
          <w:trHeight w:val="510"/>
        </w:trPr>
        <w:tc>
          <w:tcPr>
            <w:tcW w:w="9629" w:type="dxa"/>
            <w:gridSpan w:val="2"/>
            <w:vAlign w:val="center"/>
          </w:tcPr>
          <w:p w14:paraId="1AB46894" w14:textId="3E765638" w:rsidR="00B13D65" w:rsidRPr="00580D9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80D9F">
              <w:rPr>
                <w:rStyle w:val="Style2"/>
                <w:rFonts w:eastAsia="MS Gothic"/>
                <w:b/>
                <w:bCs/>
                <w:sz w:val="24"/>
              </w:rPr>
              <w:t>Klinikinis veiksmingumas</w:t>
            </w:r>
          </w:p>
        </w:tc>
      </w:tr>
      <w:tr w:rsidR="00B13D65" w:rsidRPr="00580D9F" w14:paraId="3C60570A" w14:textId="77777777" w:rsidTr="0061611B">
        <w:tc>
          <w:tcPr>
            <w:tcW w:w="4815" w:type="dxa"/>
          </w:tcPr>
          <w:p w14:paraId="6897B306" w14:textId="22984B69"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B8401D" w:rsidRPr="00580D9F">
                  <w:rPr>
                    <w:rStyle w:val="Style2"/>
                    <w:rFonts w:ascii="MS Gothic" w:eastAsia="MS Gothic" w:hAnsi="MS Gothic" w:hint="eastAsia"/>
                    <w:sz w:val="24"/>
                  </w:rPr>
                  <w:t>☒</w:t>
                </w:r>
              </w:sdtContent>
            </w:sdt>
            <w:r w:rsidR="00B13D65" w:rsidRPr="00580D9F">
              <w:t xml:space="preserve"> 32.2. yra įvertintas kaip pagrindžiantis papildomos naudos pacientų sveikatai sukūrimą, lyginant su įprasta klinikine praktika</w:t>
            </w:r>
          </w:p>
          <w:p w14:paraId="71D57105"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32.2. </w:t>
            </w:r>
            <w:r w:rsidR="00B00959" w:rsidRPr="00580D9F">
              <w:t xml:space="preserve">yra </w:t>
            </w:r>
            <w:r w:rsidR="00B13D65" w:rsidRPr="00580D9F">
              <w:t>įvertintas kaip pagrindžiantis nesiskiriančios naudos pacientų sveikatai sukūrimą, lyginant su įprasta klinikine praktika</w:t>
            </w:r>
          </w:p>
          <w:p w14:paraId="287AD233" w14:textId="77777777" w:rsidR="00B13D65" w:rsidRPr="00580D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580D9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33.1. yra įvertintas kaip nepagrindžiantis papildomos </w:t>
            </w:r>
            <w:r w:rsidR="00662983" w:rsidRPr="00580D9F">
              <w:t>naudos pacientų sveikatai sukūrimo, lyginant su  įprasta klinikine praktika</w:t>
            </w:r>
          </w:p>
          <w:p w14:paraId="6C70BCFC" w14:textId="77777777" w:rsidR="00662983" w:rsidRPr="00580D9F" w:rsidRDefault="00662983" w:rsidP="00BD1E5A">
            <w:pPr>
              <w:jc w:val="both"/>
            </w:pPr>
          </w:p>
          <w:p w14:paraId="0ADEC30D" w14:textId="1353964F" w:rsidR="00B13D65" w:rsidRPr="00580D9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580D9F">
                  <w:rPr>
                    <w:rStyle w:val="Style2"/>
                    <w:rFonts w:ascii="Segoe UI Symbol" w:eastAsia="MS Gothic" w:hAnsi="Segoe UI Symbol" w:cs="Segoe UI Symbol"/>
                    <w:sz w:val="24"/>
                  </w:rPr>
                  <w:t>☐</w:t>
                </w:r>
              </w:sdtContent>
            </w:sdt>
            <w:r w:rsidR="00B13D65" w:rsidRPr="00580D9F">
              <w:t xml:space="preserve"> </w:t>
            </w:r>
            <w:r w:rsidR="00662983" w:rsidRPr="00580D9F">
              <w:t xml:space="preserve">33.1. </w:t>
            </w:r>
            <w:r w:rsidR="00B00959" w:rsidRPr="00580D9F">
              <w:t xml:space="preserve">yra įvertintas kaip nepagrindžiantis </w:t>
            </w:r>
            <w:r w:rsidR="00B13D65" w:rsidRPr="00580D9F">
              <w:t>nesiskiriančios naudos pacientų sveikatai sukūrimo, lyginant su įprasta klinikine praktika</w:t>
            </w:r>
          </w:p>
          <w:p w14:paraId="1EED7901" w14:textId="77777777" w:rsidR="00B13D65" w:rsidRPr="00580D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580D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580D9F" w14:paraId="1C75AE76" w14:textId="77777777" w:rsidTr="00C16245">
        <w:trPr>
          <w:trHeight w:val="510"/>
        </w:trPr>
        <w:tc>
          <w:tcPr>
            <w:tcW w:w="9629" w:type="dxa"/>
            <w:gridSpan w:val="2"/>
            <w:vAlign w:val="center"/>
          </w:tcPr>
          <w:p w14:paraId="0247EDAD" w14:textId="7FBBB759" w:rsidR="00B13D65" w:rsidRPr="00580D9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80D9F">
              <w:rPr>
                <w:rStyle w:val="Style2"/>
                <w:rFonts w:eastAsia="MS Gothic"/>
                <w:b/>
                <w:bCs/>
                <w:sz w:val="24"/>
              </w:rPr>
              <w:t>Kaštų naudingumas</w:t>
            </w:r>
          </w:p>
        </w:tc>
      </w:tr>
      <w:tr w:rsidR="00B13D65" w:rsidRPr="00580D9F" w14:paraId="7091A05B" w14:textId="77777777" w:rsidTr="0061611B">
        <w:tc>
          <w:tcPr>
            <w:tcW w:w="4815" w:type="dxa"/>
          </w:tcPr>
          <w:p w14:paraId="69B2A994" w14:textId="7974A833"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580D9F">
                  <w:rPr>
                    <w:rStyle w:val="Style2"/>
                    <w:rFonts w:ascii="MS Gothic" w:eastAsia="MS Gothic" w:hAnsi="MS Gothic" w:hint="eastAsia"/>
                    <w:sz w:val="24"/>
                  </w:rPr>
                  <w:t>☐</w:t>
                </w:r>
              </w:sdtContent>
            </w:sdt>
            <w:r w:rsidR="00B13D65" w:rsidRPr="00580D9F">
              <w:t xml:space="preserve"> 32.3. atitinka referencinę naudingumo vertę, taikant</w:t>
            </w:r>
            <w:r w:rsidR="00662983" w:rsidRPr="00580D9F">
              <w:t xml:space="preserve"> PGS</w:t>
            </w:r>
          </w:p>
          <w:p w14:paraId="3F76F153"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D1252C6"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32.3. gydymo juo kaštai yra mažesni ar tokie patys esant iš esmės nesiskiriančiam palyginamajam efektyvumui, </w:t>
            </w:r>
            <w:r w:rsidR="004029EB" w:rsidRPr="00580D9F">
              <w:t>n</w:t>
            </w:r>
            <w:r w:rsidR="00B13D65" w:rsidRPr="00580D9F">
              <w:t>etaikant PGS</w:t>
            </w:r>
            <w:r w:rsidR="00B00959" w:rsidRPr="00580D9F">
              <w:t>, lyginant su įprasta klinikine praktika</w:t>
            </w:r>
          </w:p>
          <w:p w14:paraId="25E4BD1E" w14:textId="77777777" w:rsidR="00B13D65" w:rsidRPr="00580D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760E8F97"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713E05" w:rsidRPr="00580D9F">
                  <w:rPr>
                    <w:rStyle w:val="Style2"/>
                    <w:rFonts w:ascii="MS Gothic" w:eastAsia="MS Gothic" w:hAnsi="MS Gothic" w:hint="eastAsia"/>
                    <w:sz w:val="24"/>
                  </w:rPr>
                  <w:t>☒</w:t>
                </w:r>
              </w:sdtContent>
            </w:sdt>
            <w:r w:rsidR="00B13D65" w:rsidRPr="00580D9F">
              <w:t xml:space="preserve"> 33.3. neatitinka referencinės naudingumo vertės Lietuvos Respublikoje</w:t>
            </w:r>
          </w:p>
          <w:p w14:paraId="229ED51A"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1D326C3F"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33.3. gydymo juo kaštai yra didesni esant iš esmės nesiskiriančiam palyginamajam efektyvumui, netaikant PGS</w:t>
            </w:r>
            <w:r w:rsidR="00B00959" w:rsidRPr="00580D9F">
              <w:t>, lyginant su įprasta klinikine praktika</w:t>
            </w:r>
          </w:p>
          <w:p w14:paraId="4A9C7D2A" w14:textId="77777777" w:rsidR="00662983" w:rsidRPr="00580D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580D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580D9F">
                  <w:rPr>
                    <w:rStyle w:val="Style2"/>
                    <w:rFonts w:ascii="Segoe UI Symbol" w:eastAsia="MS Gothic" w:hAnsi="Segoe UI Symbol" w:cs="Segoe UI Symbol"/>
                    <w:sz w:val="24"/>
                  </w:rPr>
                  <w:t>☐</w:t>
                </w:r>
              </w:sdtContent>
            </w:sdt>
            <w:r w:rsidR="00B13D65" w:rsidRPr="00580D9F">
              <w:t xml:space="preserve"> 33.3. pateikti duomenys apie kaštų na</w:t>
            </w:r>
            <w:r w:rsidR="00662983" w:rsidRPr="00580D9F">
              <w:t>udingumą yra netinkami vertinti</w:t>
            </w:r>
          </w:p>
          <w:p w14:paraId="470A48A4" w14:textId="77777777" w:rsidR="00B13D65" w:rsidRPr="00580D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580D9F" w:rsidRDefault="004A3A61" w:rsidP="00381024"/>
    <w:p w14:paraId="3B2D1F25" w14:textId="3A80E19F" w:rsidR="000001B0" w:rsidRPr="00580D9F" w:rsidRDefault="000001B0" w:rsidP="00CC09D4">
      <w:pPr>
        <w:pStyle w:val="ListParagraph"/>
        <w:numPr>
          <w:ilvl w:val="0"/>
          <w:numId w:val="12"/>
        </w:numPr>
        <w:ind w:left="567" w:hanging="567"/>
      </w:pPr>
      <w:r w:rsidRPr="00580D9F">
        <w:rPr>
          <w:b/>
        </w:rPr>
        <w:t>REKOME</w:t>
      </w:r>
      <w:r w:rsidR="00D83182" w:rsidRPr="00580D9F">
        <w:rPr>
          <w:b/>
        </w:rPr>
        <w:t>N</w:t>
      </w:r>
      <w:r w:rsidRPr="00580D9F">
        <w:rPr>
          <w:b/>
        </w:rPr>
        <w:t>DACIJA</w:t>
      </w:r>
    </w:p>
    <w:p w14:paraId="7D5C6700" w14:textId="77777777" w:rsidR="00D5470B" w:rsidRPr="00580D9F" w:rsidRDefault="00D5470B" w:rsidP="00C712EA">
      <w:pPr>
        <w:pStyle w:val="ListParagraph"/>
        <w:ind w:left="426"/>
      </w:pPr>
    </w:p>
    <w:p w14:paraId="09384BDD" w14:textId="1D5ED15A" w:rsidR="004029EB" w:rsidRPr="00580D9F" w:rsidRDefault="004029EB" w:rsidP="00A67F25">
      <w:pPr>
        <w:spacing w:line="276" w:lineRule="auto"/>
        <w:jc w:val="both"/>
      </w:pPr>
      <w:r w:rsidRPr="00580D9F">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580D9F">
        <w:rPr>
          <w:i/>
        </w:rPr>
        <w:t xml:space="preserve">nekompensuoti </w:t>
      </w:r>
      <w:r w:rsidRPr="00580D9F">
        <w:t>vaistinio preparato pagal paraiškoje nurodytą indikaciją, netaikant PGS dėl vertinimo išvadų (žr. 6 skyrių), nurodytų 33.3 papunktyje.</w:t>
      </w:r>
    </w:p>
    <w:p w14:paraId="0FE12A98" w14:textId="77777777" w:rsidR="004029EB" w:rsidRPr="00580D9F" w:rsidRDefault="004029EB" w:rsidP="00A67F25">
      <w:pPr>
        <w:spacing w:line="276" w:lineRule="auto"/>
        <w:jc w:val="both"/>
      </w:pPr>
    </w:p>
    <w:p w14:paraId="087F974C" w14:textId="021D01E4" w:rsidR="00960727" w:rsidRPr="00580D9F" w:rsidRDefault="00960727" w:rsidP="00A67F25">
      <w:pPr>
        <w:spacing w:line="276" w:lineRule="auto"/>
        <w:jc w:val="both"/>
      </w:pPr>
      <w:r w:rsidRPr="00580D9F">
        <w:t xml:space="preserve">Atsižvelgiant į tai, jog </w:t>
      </w:r>
      <w:proofErr w:type="spellStart"/>
      <w:r w:rsidRPr="00580D9F">
        <w:t>nivolumabo</w:t>
      </w:r>
      <w:proofErr w:type="spellEnd"/>
      <w:r w:rsidRPr="00580D9F">
        <w:t xml:space="preserve"> klinikinis veiksmingumas yra įvertintas kaip pagrindžiantis papildomos naudos sukūrimą pacientų sveikatai, </w:t>
      </w:r>
      <w:r w:rsidRPr="00580D9F">
        <w:rPr>
          <w:bCs/>
        </w:rPr>
        <w:t>Tarnyba</w:t>
      </w:r>
      <w:r w:rsidRPr="00580D9F" w:rsidDel="008074EB">
        <w:rPr>
          <w:bCs/>
        </w:rPr>
        <w:t xml:space="preserve"> </w:t>
      </w:r>
      <w:r w:rsidRPr="00580D9F">
        <w:rPr>
          <w:bCs/>
        </w:rPr>
        <w:t xml:space="preserve">vadovaujamasi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580D9F">
        <w:rPr>
          <w:i/>
          <w:iCs/>
        </w:rPr>
        <w:t>kompensuoti</w:t>
      </w:r>
      <w:r w:rsidRPr="00580D9F">
        <w:rPr>
          <w:bCs/>
        </w:rPr>
        <w:t xml:space="preserve"> vaistinį preparatą </w:t>
      </w:r>
      <w:proofErr w:type="spellStart"/>
      <w:r w:rsidRPr="00580D9F">
        <w:rPr>
          <w:bCs/>
        </w:rPr>
        <w:t>Opdivo</w:t>
      </w:r>
      <w:proofErr w:type="spellEnd"/>
      <w:r w:rsidRPr="00580D9F">
        <w:rPr>
          <w:bCs/>
        </w:rPr>
        <w:t xml:space="preserve"> (</w:t>
      </w:r>
      <w:proofErr w:type="spellStart"/>
      <w:r w:rsidRPr="00580D9F">
        <w:rPr>
          <w:bCs/>
        </w:rPr>
        <w:t>nivolumabas</w:t>
      </w:r>
      <w:proofErr w:type="spellEnd"/>
      <w:r w:rsidRPr="00580D9F">
        <w:rPr>
          <w:bCs/>
        </w:rPr>
        <w:t>) pateikus papildomą maždaug</w:t>
      </w:r>
      <w:r w:rsidR="005C28C2">
        <w:rPr>
          <w:bCs/>
        </w:rPr>
        <w:t xml:space="preserve"> </w:t>
      </w:r>
      <w:r w:rsidRPr="00580D9F">
        <w:rPr>
          <w:bCs/>
        </w:rPr>
        <w:t xml:space="preserve"> </w:t>
      </w:r>
      <w:r w:rsidR="005C28C2">
        <w:rPr>
          <w:b/>
        </w:rPr>
        <w:t xml:space="preserve">*** </w:t>
      </w:r>
      <w:r w:rsidRPr="00580D9F">
        <w:rPr>
          <w:bCs/>
        </w:rPr>
        <w:t xml:space="preserve"> nuolaidą.</w:t>
      </w:r>
    </w:p>
    <w:p w14:paraId="06BC01EE" w14:textId="44333E0B" w:rsidR="000723FF" w:rsidRPr="00580D9F" w:rsidRDefault="000723FF" w:rsidP="00381024"/>
    <w:p w14:paraId="18B4292E" w14:textId="46EED7AA" w:rsidR="000723FF" w:rsidRPr="00580D9F" w:rsidRDefault="00CC09D4" w:rsidP="00CC09D4">
      <w:pPr>
        <w:tabs>
          <w:tab w:val="left" w:pos="567"/>
        </w:tabs>
        <w:ind w:left="567" w:hanging="567"/>
        <w:jc w:val="both"/>
        <w:rPr>
          <w:b/>
          <w:color w:val="000000"/>
          <w:lang w:eastAsia="lt-LT"/>
        </w:rPr>
      </w:pPr>
      <w:r w:rsidRPr="00580D9F">
        <w:rPr>
          <w:b/>
          <w:color w:val="000000"/>
          <w:lang w:eastAsia="lt-LT"/>
        </w:rPr>
        <w:t>8.</w:t>
      </w:r>
      <w:r w:rsidRPr="00580D9F">
        <w:rPr>
          <w:b/>
          <w:color w:val="000000"/>
          <w:lang w:eastAsia="lt-LT"/>
        </w:rPr>
        <w:tab/>
      </w:r>
      <w:r w:rsidR="000723FF" w:rsidRPr="00580D9F">
        <w:rPr>
          <w:b/>
          <w:color w:val="000000"/>
          <w:lang w:eastAsia="lt-LT"/>
        </w:rPr>
        <w:t xml:space="preserve">SIŪLOMOS KOMPENSUOTI TERAPINĖS INDIKACIJOS IR SKYRIMO SĄLYGOS </w:t>
      </w:r>
    </w:p>
    <w:p w14:paraId="691340BB" w14:textId="77777777" w:rsidR="000723FF" w:rsidRPr="00580D9F" w:rsidRDefault="000723FF" w:rsidP="000723FF">
      <w:pPr>
        <w:tabs>
          <w:tab w:val="left" w:pos="426"/>
        </w:tabs>
        <w:jc w:val="both"/>
        <w:rPr>
          <w:b/>
          <w:color w:val="000000"/>
          <w:lang w:eastAsia="lt-LT"/>
        </w:rPr>
      </w:pPr>
    </w:p>
    <w:p w14:paraId="529C92C4" w14:textId="152E5FB4" w:rsidR="000723FF" w:rsidRPr="00580D9F" w:rsidRDefault="000723FF" w:rsidP="00824B92">
      <w:pPr>
        <w:rPr>
          <w:b/>
          <w:lang w:eastAsia="lt-LT"/>
        </w:rPr>
      </w:pPr>
      <w:r w:rsidRPr="00580D9F">
        <w:rPr>
          <w:b/>
          <w:lang w:eastAsia="lt-LT"/>
        </w:rPr>
        <w:t>Terapinės indikacijos</w:t>
      </w:r>
    </w:p>
    <w:p w14:paraId="5BB746DD" w14:textId="5715A321" w:rsidR="000723FF" w:rsidRPr="00580D9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A703FA" w:rsidRPr="00580D9F">
            <w:rPr>
              <w:rStyle w:val="Style2"/>
              <w:rFonts w:ascii="MS Gothic" w:eastAsia="MS Gothic" w:hAnsi="MS Gothic" w:hint="eastAsia"/>
            </w:rPr>
            <w:t>☒</w:t>
          </w:r>
        </w:sdtContent>
      </w:sdt>
      <w:r w:rsidR="000723FF" w:rsidRPr="00580D9F">
        <w:t xml:space="preserve"> Siūloma kompensuoti Pareiškėjo t</w:t>
      </w:r>
      <w:r w:rsidR="00644737" w:rsidRPr="00580D9F">
        <w:t>eikiamą indikaciją be pakeitimų:</w:t>
      </w:r>
    </w:p>
    <w:p w14:paraId="23C2B545" w14:textId="77777777" w:rsidR="00644737" w:rsidRPr="00580D9F" w:rsidRDefault="00644737" w:rsidP="00824B92"/>
    <w:p w14:paraId="21266813" w14:textId="33FE1627" w:rsidR="000723FF" w:rsidRPr="00580D9F" w:rsidRDefault="001B244F" w:rsidP="00824B92">
      <w:r w:rsidRPr="00580D9F">
        <w:t xml:space="preserve">OPDIVO yra skirtas pažeidusios limfmazgius arba </w:t>
      </w:r>
      <w:proofErr w:type="spellStart"/>
      <w:r w:rsidRPr="00580D9F">
        <w:t>metastazavusios</w:t>
      </w:r>
      <w:proofErr w:type="spellEnd"/>
      <w:r w:rsidRPr="00580D9F">
        <w:t xml:space="preserve"> melanomos, pilnai pašalintos operacijos būdu, </w:t>
      </w:r>
      <w:proofErr w:type="spellStart"/>
      <w:r w:rsidRPr="00580D9F">
        <w:t>adjuvantinei</w:t>
      </w:r>
      <w:proofErr w:type="spellEnd"/>
      <w:r w:rsidRPr="00580D9F">
        <w:t xml:space="preserve"> </w:t>
      </w:r>
      <w:proofErr w:type="spellStart"/>
      <w:r w:rsidRPr="00580D9F">
        <w:t>monoterapijai</w:t>
      </w:r>
      <w:proofErr w:type="spellEnd"/>
      <w:r w:rsidRPr="00580D9F">
        <w:t xml:space="preserve"> suaugusiesiems.</w:t>
      </w:r>
    </w:p>
    <w:p w14:paraId="3837FE8C" w14:textId="77777777" w:rsidR="00A703FA" w:rsidRPr="00580D9F" w:rsidRDefault="00A703FA" w:rsidP="00824B92"/>
    <w:p w14:paraId="0B9B94DC" w14:textId="77777777" w:rsidR="00A703FA" w:rsidRPr="00580D9F" w:rsidRDefault="00A703FA" w:rsidP="00824B92">
      <w:pPr>
        <w:rPr>
          <w:b/>
        </w:rPr>
      </w:pPr>
    </w:p>
    <w:p w14:paraId="241A6E6B" w14:textId="3AF059D0" w:rsidR="000723FF" w:rsidRPr="00580D9F" w:rsidRDefault="000723FF" w:rsidP="00824B92">
      <w:pPr>
        <w:rPr>
          <w:b/>
        </w:rPr>
      </w:pPr>
      <w:r w:rsidRPr="00580D9F">
        <w:rPr>
          <w:b/>
        </w:rPr>
        <w:t>Skyrimo sąlygos</w:t>
      </w:r>
    </w:p>
    <w:p w14:paraId="250ACC46" w14:textId="6C3F1AC6" w:rsidR="000723FF" w:rsidRPr="00580D9F" w:rsidRDefault="00000000" w:rsidP="00824B92">
      <w:sdt>
        <w:sdtPr>
          <w:rPr>
            <w:rStyle w:val="Style2"/>
          </w:rPr>
          <w:id w:val="169305347"/>
          <w15:color w:val="FFCC00"/>
          <w14:checkbox>
            <w14:checked w14:val="1"/>
            <w14:checkedState w14:val="2612" w14:font="MS Gothic"/>
            <w14:uncheckedState w14:val="2610" w14:font="MS Gothic"/>
          </w14:checkbox>
        </w:sdtPr>
        <w:sdtContent>
          <w:r w:rsidR="00644737" w:rsidRPr="00580D9F">
            <w:rPr>
              <w:rStyle w:val="Style2"/>
              <w:rFonts w:ascii="MS Gothic" w:eastAsia="MS Gothic" w:hAnsi="MS Gothic" w:hint="eastAsia"/>
            </w:rPr>
            <w:t>☒</w:t>
          </w:r>
        </w:sdtContent>
      </w:sdt>
      <w:r w:rsidR="000723FF" w:rsidRPr="00580D9F">
        <w:t xml:space="preserve"> Pareiškėjo siūlomos skyrimo sąlygos priimtinos. </w:t>
      </w:r>
    </w:p>
    <w:p w14:paraId="4CAB4103" w14:textId="2D3B4FF7" w:rsidR="00A122CC" w:rsidRDefault="00A122CC" w:rsidP="00A122CC">
      <w:bookmarkStart w:id="0" w:name="_Hlk185274114"/>
      <w:r w:rsidRPr="00580D9F">
        <w:t xml:space="preserve">Skirtas limfmazgius pažeidusios arba </w:t>
      </w:r>
      <w:proofErr w:type="spellStart"/>
      <w:r w:rsidRPr="00580D9F">
        <w:t>metastazavusios</w:t>
      </w:r>
      <w:proofErr w:type="spellEnd"/>
      <w:r w:rsidRPr="00580D9F">
        <w:t xml:space="preserve"> melanomos, pilnai pašalintos operacijos būdu, </w:t>
      </w:r>
      <w:proofErr w:type="spellStart"/>
      <w:r w:rsidRPr="00580D9F">
        <w:t>adjuvantinei</w:t>
      </w:r>
      <w:proofErr w:type="spellEnd"/>
      <w:r w:rsidRPr="00580D9F">
        <w:t xml:space="preserve"> </w:t>
      </w:r>
      <w:proofErr w:type="spellStart"/>
      <w:r w:rsidRPr="00580D9F">
        <w:t>monoterapijai</w:t>
      </w:r>
      <w:proofErr w:type="spellEnd"/>
      <w:r w:rsidRPr="00580D9F">
        <w:t xml:space="preserve"> suaugusiesiems.</w:t>
      </w:r>
    </w:p>
    <w:bookmarkEnd w:id="0"/>
    <w:p w14:paraId="4A313198" w14:textId="77777777" w:rsidR="00644737" w:rsidRDefault="00644737" w:rsidP="00824B92">
      <w:pPr>
        <w:rPr>
          <w:color w:val="000000"/>
          <w:lang w:eastAsia="lt-LT"/>
        </w:rPr>
      </w:pPr>
    </w:p>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25FA" w14:textId="77777777" w:rsidR="00047304" w:rsidRDefault="00047304">
      <w:r>
        <w:separator/>
      </w:r>
    </w:p>
  </w:endnote>
  <w:endnote w:type="continuationSeparator" w:id="0">
    <w:p w14:paraId="0ACAEE3B" w14:textId="77777777" w:rsidR="00047304" w:rsidRDefault="0004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5DD9" w14:textId="77777777" w:rsidR="00047304" w:rsidRDefault="00047304">
      <w:r>
        <w:separator/>
      </w:r>
    </w:p>
  </w:footnote>
  <w:footnote w:type="continuationSeparator" w:id="0">
    <w:p w14:paraId="45D21501" w14:textId="77777777" w:rsidR="00047304" w:rsidRDefault="0004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59E5C1E6"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0D2">
      <w:rPr>
        <w:rStyle w:val="PageNumber"/>
        <w:noProof/>
      </w:rPr>
      <w:t>9</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4057989">
    <w:abstractNumId w:val="6"/>
  </w:num>
  <w:num w:numId="2" w16cid:durableId="2059669607">
    <w:abstractNumId w:val="1"/>
  </w:num>
  <w:num w:numId="3" w16cid:durableId="1373068520">
    <w:abstractNumId w:val="8"/>
  </w:num>
  <w:num w:numId="4" w16cid:durableId="571744235">
    <w:abstractNumId w:val="7"/>
  </w:num>
  <w:num w:numId="5" w16cid:durableId="551773434">
    <w:abstractNumId w:val="5"/>
  </w:num>
  <w:num w:numId="6" w16cid:durableId="1590041388">
    <w:abstractNumId w:val="4"/>
  </w:num>
  <w:num w:numId="7" w16cid:durableId="436101000">
    <w:abstractNumId w:val="3"/>
  </w:num>
  <w:num w:numId="8" w16cid:durableId="796289919">
    <w:abstractNumId w:val="11"/>
  </w:num>
  <w:num w:numId="9" w16cid:durableId="1929338824">
    <w:abstractNumId w:val="0"/>
  </w:num>
  <w:num w:numId="10" w16cid:durableId="1381513541">
    <w:abstractNumId w:val="9"/>
  </w:num>
  <w:num w:numId="11" w16cid:durableId="1022049483">
    <w:abstractNumId w:val="10"/>
  </w:num>
  <w:num w:numId="12" w16cid:durableId="16279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27390"/>
    <w:rsid w:val="00031D0E"/>
    <w:rsid w:val="000337E6"/>
    <w:rsid w:val="0003402E"/>
    <w:rsid w:val="00034EAE"/>
    <w:rsid w:val="00042924"/>
    <w:rsid w:val="00047304"/>
    <w:rsid w:val="00053975"/>
    <w:rsid w:val="00057A2B"/>
    <w:rsid w:val="000606BE"/>
    <w:rsid w:val="00070108"/>
    <w:rsid w:val="000723FF"/>
    <w:rsid w:val="000736B8"/>
    <w:rsid w:val="00077567"/>
    <w:rsid w:val="0008190F"/>
    <w:rsid w:val="00081D9C"/>
    <w:rsid w:val="00082907"/>
    <w:rsid w:val="0008378D"/>
    <w:rsid w:val="000908A5"/>
    <w:rsid w:val="00092805"/>
    <w:rsid w:val="000C454C"/>
    <w:rsid w:val="000D21D9"/>
    <w:rsid w:val="000D5038"/>
    <w:rsid w:val="000E29D4"/>
    <w:rsid w:val="000F3540"/>
    <w:rsid w:val="000F7F09"/>
    <w:rsid w:val="00100491"/>
    <w:rsid w:val="00104E2E"/>
    <w:rsid w:val="00107287"/>
    <w:rsid w:val="00117406"/>
    <w:rsid w:val="00121EF0"/>
    <w:rsid w:val="00124A9E"/>
    <w:rsid w:val="00130703"/>
    <w:rsid w:val="0013153F"/>
    <w:rsid w:val="001408B8"/>
    <w:rsid w:val="0014179B"/>
    <w:rsid w:val="00144957"/>
    <w:rsid w:val="001517E2"/>
    <w:rsid w:val="001521D9"/>
    <w:rsid w:val="001554E2"/>
    <w:rsid w:val="00160105"/>
    <w:rsid w:val="00164146"/>
    <w:rsid w:val="00172E13"/>
    <w:rsid w:val="0017369C"/>
    <w:rsid w:val="00175D57"/>
    <w:rsid w:val="00180C39"/>
    <w:rsid w:val="00180D96"/>
    <w:rsid w:val="00180F9D"/>
    <w:rsid w:val="00181BCF"/>
    <w:rsid w:val="00184BD3"/>
    <w:rsid w:val="001921F3"/>
    <w:rsid w:val="001A503C"/>
    <w:rsid w:val="001B244F"/>
    <w:rsid w:val="001B3C5B"/>
    <w:rsid w:val="001D746F"/>
    <w:rsid w:val="001E4BBB"/>
    <w:rsid w:val="001E6304"/>
    <w:rsid w:val="0020381E"/>
    <w:rsid w:val="002104EE"/>
    <w:rsid w:val="00213471"/>
    <w:rsid w:val="00215906"/>
    <w:rsid w:val="00241CD8"/>
    <w:rsid w:val="00244B09"/>
    <w:rsid w:val="002519CB"/>
    <w:rsid w:val="0025697F"/>
    <w:rsid w:val="00260258"/>
    <w:rsid w:val="0026588E"/>
    <w:rsid w:val="00272428"/>
    <w:rsid w:val="00272948"/>
    <w:rsid w:val="00292392"/>
    <w:rsid w:val="002946C7"/>
    <w:rsid w:val="002A210A"/>
    <w:rsid w:val="002A596E"/>
    <w:rsid w:val="002B3CC1"/>
    <w:rsid w:val="002C09E0"/>
    <w:rsid w:val="002C1BB1"/>
    <w:rsid w:val="002C2786"/>
    <w:rsid w:val="002C3A10"/>
    <w:rsid w:val="002C4A90"/>
    <w:rsid w:val="002C4ED5"/>
    <w:rsid w:val="002C4EFD"/>
    <w:rsid w:val="002D02EF"/>
    <w:rsid w:val="002E0702"/>
    <w:rsid w:val="002E57AD"/>
    <w:rsid w:val="002E6F80"/>
    <w:rsid w:val="002F0E4F"/>
    <w:rsid w:val="002F1053"/>
    <w:rsid w:val="002F7F20"/>
    <w:rsid w:val="00317B0E"/>
    <w:rsid w:val="00333890"/>
    <w:rsid w:val="00347FAA"/>
    <w:rsid w:val="0035172D"/>
    <w:rsid w:val="0036187D"/>
    <w:rsid w:val="00367EDB"/>
    <w:rsid w:val="00381024"/>
    <w:rsid w:val="00386307"/>
    <w:rsid w:val="003874DE"/>
    <w:rsid w:val="00393E9F"/>
    <w:rsid w:val="0039696E"/>
    <w:rsid w:val="003B211A"/>
    <w:rsid w:val="003C141F"/>
    <w:rsid w:val="003C2445"/>
    <w:rsid w:val="003C6B0E"/>
    <w:rsid w:val="003C7257"/>
    <w:rsid w:val="003C7E35"/>
    <w:rsid w:val="003D1877"/>
    <w:rsid w:val="003D1E99"/>
    <w:rsid w:val="003D2B32"/>
    <w:rsid w:val="003D6208"/>
    <w:rsid w:val="004029EB"/>
    <w:rsid w:val="00404755"/>
    <w:rsid w:val="00404E8A"/>
    <w:rsid w:val="0040622F"/>
    <w:rsid w:val="00413F24"/>
    <w:rsid w:val="00422853"/>
    <w:rsid w:val="00423160"/>
    <w:rsid w:val="00425259"/>
    <w:rsid w:val="00453862"/>
    <w:rsid w:val="0045469B"/>
    <w:rsid w:val="00461338"/>
    <w:rsid w:val="004677DB"/>
    <w:rsid w:val="0047414A"/>
    <w:rsid w:val="00476256"/>
    <w:rsid w:val="0048195A"/>
    <w:rsid w:val="0048630F"/>
    <w:rsid w:val="004869BA"/>
    <w:rsid w:val="004947A1"/>
    <w:rsid w:val="0049482A"/>
    <w:rsid w:val="004979D3"/>
    <w:rsid w:val="004A00E7"/>
    <w:rsid w:val="004A3A61"/>
    <w:rsid w:val="004A4180"/>
    <w:rsid w:val="004B205D"/>
    <w:rsid w:val="004B59BA"/>
    <w:rsid w:val="004B5A03"/>
    <w:rsid w:val="004C129E"/>
    <w:rsid w:val="004C263A"/>
    <w:rsid w:val="004D48A6"/>
    <w:rsid w:val="004D7B8F"/>
    <w:rsid w:val="004E6458"/>
    <w:rsid w:val="004E6E7D"/>
    <w:rsid w:val="004F1AAC"/>
    <w:rsid w:val="004F1AE2"/>
    <w:rsid w:val="004F34F0"/>
    <w:rsid w:val="004F3B2B"/>
    <w:rsid w:val="004F6050"/>
    <w:rsid w:val="005005EF"/>
    <w:rsid w:val="005123C2"/>
    <w:rsid w:val="0052144B"/>
    <w:rsid w:val="00523C20"/>
    <w:rsid w:val="00524066"/>
    <w:rsid w:val="00534B89"/>
    <w:rsid w:val="00534E11"/>
    <w:rsid w:val="005378D8"/>
    <w:rsid w:val="005400D9"/>
    <w:rsid w:val="005476A4"/>
    <w:rsid w:val="0055019B"/>
    <w:rsid w:val="00556E63"/>
    <w:rsid w:val="005601A4"/>
    <w:rsid w:val="0056488E"/>
    <w:rsid w:val="00566DBB"/>
    <w:rsid w:val="005767DB"/>
    <w:rsid w:val="00576D1B"/>
    <w:rsid w:val="00580D9F"/>
    <w:rsid w:val="005815E6"/>
    <w:rsid w:val="0058712F"/>
    <w:rsid w:val="005976CE"/>
    <w:rsid w:val="005A23D4"/>
    <w:rsid w:val="005A2D1E"/>
    <w:rsid w:val="005B3756"/>
    <w:rsid w:val="005C28C2"/>
    <w:rsid w:val="005C320E"/>
    <w:rsid w:val="005C493F"/>
    <w:rsid w:val="005C6BF7"/>
    <w:rsid w:val="005C6C02"/>
    <w:rsid w:val="005C71BF"/>
    <w:rsid w:val="005D002C"/>
    <w:rsid w:val="005D30E1"/>
    <w:rsid w:val="005D6555"/>
    <w:rsid w:val="005D7BDF"/>
    <w:rsid w:val="005E4870"/>
    <w:rsid w:val="005F71D9"/>
    <w:rsid w:val="005F7602"/>
    <w:rsid w:val="006031C8"/>
    <w:rsid w:val="006062BE"/>
    <w:rsid w:val="006126B6"/>
    <w:rsid w:val="00613143"/>
    <w:rsid w:val="00613501"/>
    <w:rsid w:val="0061611B"/>
    <w:rsid w:val="006166A8"/>
    <w:rsid w:val="006174A1"/>
    <w:rsid w:val="00621D6C"/>
    <w:rsid w:val="00622A23"/>
    <w:rsid w:val="00633B49"/>
    <w:rsid w:val="0064297F"/>
    <w:rsid w:val="00644737"/>
    <w:rsid w:val="00645102"/>
    <w:rsid w:val="00646CF3"/>
    <w:rsid w:val="00647688"/>
    <w:rsid w:val="00653D11"/>
    <w:rsid w:val="00662983"/>
    <w:rsid w:val="006834D3"/>
    <w:rsid w:val="00686447"/>
    <w:rsid w:val="00692625"/>
    <w:rsid w:val="00695CD3"/>
    <w:rsid w:val="006962E5"/>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12A6D"/>
    <w:rsid w:val="00713E05"/>
    <w:rsid w:val="007238BA"/>
    <w:rsid w:val="007301CF"/>
    <w:rsid w:val="007316FB"/>
    <w:rsid w:val="007374D0"/>
    <w:rsid w:val="00737E2D"/>
    <w:rsid w:val="007424D5"/>
    <w:rsid w:val="007509AB"/>
    <w:rsid w:val="00750A88"/>
    <w:rsid w:val="007523DD"/>
    <w:rsid w:val="00757B7E"/>
    <w:rsid w:val="007656B2"/>
    <w:rsid w:val="0077016F"/>
    <w:rsid w:val="007713AD"/>
    <w:rsid w:val="00773BC9"/>
    <w:rsid w:val="00795DC5"/>
    <w:rsid w:val="00797153"/>
    <w:rsid w:val="007A21F7"/>
    <w:rsid w:val="007A2B68"/>
    <w:rsid w:val="007B0DDA"/>
    <w:rsid w:val="007C0875"/>
    <w:rsid w:val="007C6794"/>
    <w:rsid w:val="007C7519"/>
    <w:rsid w:val="007D3347"/>
    <w:rsid w:val="007E5466"/>
    <w:rsid w:val="007F1949"/>
    <w:rsid w:val="007F2592"/>
    <w:rsid w:val="00800A08"/>
    <w:rsid w:val="0081204D"/>
    <w:rsid w:val="00817A84"/>
    <w:rsid w:val="00820EA1"/>
    <w:rsid w:val="008225A4"/>
    <w:rsid w:val="00824B92"/>
    <w:rsid w:val="00826D5E"/>
    <w:rsid w:val="00832013"/>
    <w:rsid w:val="00832DB7"/>
    <w:rsid w:val="00834732"/>
    <w:rsid w:val="00842112"/>
    <w:rsid w:val="0085200C"/>
    <w:rsid w:val="008536E9"/>
    <w:rsid w:val="008560D2"/>
    <w:rsid w:val="00857C52"/>
    <w:rsid w:val="00860D5F"/>
    <w:rsid w:val="00880A44"/>
    <w:rsid w:val="0088345E"/>
    <w:rsid w:val="0088656F"/>
    <w:rsid w:val="00891EF6"/>
    <w:rsid w:val="008A0303"/>
    <w:rsid w:val="008A5FDD"/>
    <w:rsid w:val="008C2C4D"/>
    <w:rsid w:val="008C3947"/>
    <w:rsid w:val="008D3A9A"/>
    <w:rsid w:val="008E473B"/>
    <w:rsid w:val="008E51A6"/>
    <w:rsid w:val="008E7329"/>
    <w:rsid w:val="008F2ED5"/>
    <w:rsid w:val="009154FB"/>
    <w:rsid w:val="0092297E"/>
    <w:rsid w:val="00923651"/>
    <w:rsid w:val="00927B56"/>
    <w:rsid w:val="00932B26"/>
    <w:rsid w:val="009341BF"/>
    <w:rsid w:val="00937907"/>
    <w:rsid w:val="00941739"/>
    <w:rsid w:val="00943E06"/>
    <w:rsid w:val="00951573"/>
    <w:rsid w:val="00960727"/>
    <w:rsid w:val="00963003"/>
    <w:rsid w:val="00966EEF"/>
    <w:rsid w:val="00971B28"/>
    <w:rsid w:val="00983471"/>
    <w:rsid w:val="009909AB"/>
    <w:rsid w:val="0099451F"/>
    <w:rsid w:val="009B37DB"/>
    <w:rsid w:val="009C7A8C"/>
    <w:rsid w:val="009D08F9"/>
    <w:rsid w:val="009D23F9"/>
    <w:rsid w:val="009D4FA8"/>
    <w:rsid w:val="009E2836"/>
    <w:rsid w:val="009E44AE"/>
    <w:rsid w:val="009E6CD6"/>
    <w:rsid w:val="009F4D66"/>
    <w:rsid w:val="00A00C3C"/>
    <w:rsid w:val="00A01091"/>
    <w:rsid w:val="00A01764"/>
    <w:rsid w:val="00A042B9"/>
    <w:rsid w:val="00A06DBB"/>
    <w:rsid w:val="00A122CC"/>
    <w:rsid w:val="00A144DF"/>
    <w:rsid w:val="00A22ADF"/>
    <w:rsid w:val="00A31E86"/>
    <w:rsid w:val="00A445BE"/>
    <w:rsid w:val="00A4707C"/>
    <w:rsid w:val="00A54D87"/>
    <w:rsid w:val="00A5553C"/>
    <w:rsid w:val="00A67F25"/>
    <w:rsid w:val="00A701C9"/>
    <w:rsid w:val="00A703FA"/>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26FCD"/>
    <w:rsid w:val="00B30106"/>
    <w:rsid w:val="00B3072E"/>
    <w:rsid w:val="00B32EFB"/>
    <w:rsid w:val="00B36E15"/>
    <w:rsid w:val="00B37245"/>
    <w:rsid w:val="00B4017A"/>
    <w:rsid w:val="00B4468D"/>
    <w:rsid w:val="00B567FE"/>
    <w:rsid w:val="00B71C72"/>
    <w:rsid w:val="00B81E92"/>
    <w:rsid w:val="00B8401D"/>
    <w:rsid w:val="00B908D7"/>
    <w:rsid w:val="00B915AB"/>
    <w:rsid w:val="00B935E8"/>
    <w:rsid w:val="00B93B30"/>
    <w:rsid w:val="00B94CB5"/>
    <w:rsid w:val="00BA0DD9"/>
    <w:rsid w:val="00BA5DBC"/>
    <w:rsid w:val="00BB6312"/>
    <w:rsid w:val="00BC4D06"/>
    <w:rsid w:val="00BD18D3"/>
    <w:rsid w:val="00BD4F49"/>
    <w:rsid w:val="00BD585E"/>
    <w:rsid w:val="00BD6919"/>
    <w:rsid w:val="00BE1EA7"/>
    <w:rsid w:val="00BE7489"/>
    <w:rsid w:val="00BF2E0D"/>
    <w:rsid w:val="00BF3927"/>
    <w:rsid w:val="00BF3F8B"/>
    <w:rsid w:val="00BF76DA"/>
    <w:rsid w:val="00C07C7B"/>
    <w:rsid w:val="00C103A1"/>
    <w:rsid w:val="00C16245"/>
    <w:rsid w:val="00C22DC5"/>
    <w:rsid w:val="00C24479"/>
    <w:rsid w:val="00C273F2"/>
    <w:rsid w:val="00C37B53"/>
    <w:rsid w:val="00C517D2"/>
    <w:rsid w:val="00C5772E"/>
    <w:rsid w:val="00C62B36"/>
    <w:rsid w:val="00C7012C"/>
    <w:rsid w:val="00C712EA"/>
    <w:rsid w:val="00C71C63"/>
    <w:rsid w:val="00C72F03"/>
    <w:rsid w:val="00C74AB5"/>
    <w:rsid w:val="00CA217D"/>
    <w:rsid w:val="00CC09D4"/>
    <w:rsid w:val="00CC29BC"/>
    <w:rsid w:val="00CC668D"/>
    <w:rsid w:val="00CC7832"/>
    <w:rsid w:val="00CF0C1C"/>
    <w:rsid w:val="00CF27FD"/>
    <w:rsid w:val="00CF5F12"/>
    <w:rsid w:val="00D00D8F"/>
    <w:rsid w:val="00D21F3A"/>
    <w:rsid w:val="00D23808"/>
    <w:rsid w:val="00D2588F"/>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14F2"/>
    <w:rsid w:val="00E03C3F"/>
    <w:rsid w:val="00E06FD7"/>
    <w:rsid w:val="00E07417"/>
    <w:rsid w:val="00E1612E"/>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A3484"/>
    <w:rsid w:val="00EA5831"/>
    <w:rsid w:val="00EB6977"/>
    <w:rsid w:val="00EB6FC5"/>
    <w:rsid w:val="00EB75A3"/>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445D"/>
    <w:rsid w:val="00F36972"/>
    <w:rsid w:val="00F42426"/>
    <w:rsid w:val="00F456BC"/>
    <w:rsid w:val="00F50666"/>
    <w:rsid w:val="00F70C9E"/>
    <w:rsid w:val="00F74A74"/>
    <w:rsid w:val="00F7572C"/>
    <w:rsid w:val="00F8382C"/>
    <w:rsid w:val="00F855D7"/>
    <w:rsid w:val="00F92035"/>
    <w:rsid w:val="00F92748"/>
    <w:rsid w:val="00F93CD2"/>
    <w:rsid w:val="00F95392"/>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321E3B74-AF4D-4A62-B0EA-CCF88B07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1"/>
    <w:rsid w:val="003D1877"/>
    <w:rPr>
      <w:sz w:val="24"/>
      <w:szCs w:val="24"/>
      <w:lang w:eastAsia="en-US"/>
    </w:rPr>
  </w:style>
  <w:style w:type="paragraph" w:styleId="HTMLPreformatted">
    <w:name w:val="HTML Preformatted"/>
    <w:basedOn w:val="Normal"/>
    <w:link w:val="HTMLPreformattedChar"/>
    <w:uiPriority w:val="99"/>
    <w:unhideWhenUsed/>
    <w:rsid w:val="00D2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2588F"/>
    <w:rPr>
      <w:rFonts w:ascii="Courier New" w:hAnsi="Courier New" w:cs="Courier New"/>
      <w:lang w:eastAsia="en-GB"/>
    </w:rPr>
  </w:style>
  <w:style w:type="character" w:customStyle="1" w:styleId="y2iqfc">
    <w:name w:val="y2iqfc"/>
    <w:basedOn w:val="DefaultParagraphFont"/>
    <w:rsid w:val="00D2588F"/>
  </w:style>
  <w:style w:type="paragraph" w:styleId="FootnoteText">
    <w:name w:val="footnote text"/>
    <w:basedOn w:val="Normal"/>
    <w:link w:val="FootnoteTextChar"/>
    <w:semiHidden/>
    <w:unhideWhenUsed/>
    <w:rsid w:val="00B26FCD"/>
    <w:rPr>
      <w:sz w:val="20"/>
      <w:lang w:eastAsia="ja-JP"/>
    </w:rPr>
  </w:style>
  <w:style w:type="character" w:customStyle="1" w:styleId="FootnoteTextChar">
    <w:name w:val="Footnote Text Char"/>
    <w:basedOn w:val="DefaultParagraphFont"/>
    <w:link w:val="FootnoteText"/>
    <w:semiHidden/>
    <w:rsid w:val="00B26FCD"/>
    <w:rPr>
      <w:szCs w:val="24"/>
      <w:lang w:eastAsia="ja-JP"/>
    </w:rPr>
  </w:style>
  <w:style w:type="character" w:styleId="FootnoteReference">
    <w:name w:val="footnote reference"/>
    <w:basedOn w:val="DefaultParagraphFont"/>
    <w:semiHidden/>
    <w:unhideWhenUsed/>
    <w:rsid w:val="00B26F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EC638ECBDB194C6A937310DF88763A81"/>
        <w:category>
          <w:name w:val="General"/>
          <w:gallery w:val="placeholder"/>
        </w:category>
        <w:types>
          <w:type w:val="bbPlcHdr"/>
        </w:types>
        <w:behaviors>
          <w:behavior w:val="content"/>
        </w:behaviors>
        <w:guid w:val="{15795601-A708-4D35-8295-012E5F090B05}"/>
      </w:docPartPr>
      <w:docPartBody>
        <w:p w:rsidR="00F37CC7" w:rsidRDefault="00CE7789" w:rsidP="00CE7789">
          <w:pPr>
            <w:pStyle w:val="EC638ECBDB194C6A937310DF88763A8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236"/>
    <w:rsid w:val="0001247F"/>
    <w:rsid w:val="00027390"/>
    <w:rsid w:val="00061157"/>
    <w:rsid w:val="00064785"/>
    <w:rsid w:val="00077567"/>
    <w:rsid w:val="000937FE"/>
    <w:rsid w:val="000A559A"/>
    <w:rsid w:val="000D24D4"/>
    <w:rsid w:val="001C35A9"/>
    <w:rsid w:val="001F47C5"/>
    <w:rsid w:val="00237556"/>
    <w:rsid w:val="00242B7F"/>
    <w:rsid w:val="00246673"/>
    <w:rsid w:val="0028081B"/>
    <w:rsid w:val="00305A91"/>
    <w:rsid w:val="0039303B"/>
    <w:rsid w:val="0039798F"/>
    <w:rsid w:val="004144A3"/>
    <w:rsid w:val="004160E7"/>
    <w:rsid w:val="00425259"/>
    <w:rsid w:val="004416C6"/>
    <w:rsid w:val="004F5AB2"/>
    <w:rsid w:val="005074B9"/>
    <w:rsid w:val="00547829"/>
    <w:rsid w:val="005E40DD"/>
    <w:rsid w:val="005E5524"/>
    <w:rsid w:val="00622A23"/>
    <w:rsid w:val="00635580"/>
    <w:rsid w:val="007219C1"/>
    <w:rsid w:val="0074261C"/>
    <w:rsid w:val="00753462"/>
    <w:rsid w:val="00772325"/>
    <w:rsid w:val="007A2FE0"/>
    <w:rsid w:val="007B1C75"/>
    <w:rsid w:val="007C6D1D"/>
    <w:rsid w:val="0081204D"/>
    <w:rsid w:val="008D3A9A"/>
    <w:rsid w:val="0090074D"/>
    <w:rsid w:val="009B3BF0"/>
    <w:rsid w:val="009D5E5E"/>
    <w:rsid w:val="009F1BB4"/>
    <w:rsid w:val="00AB6ED4"/>
    <w:rsid w:val="00B14210"/>
    <w:rsid w:val="00B23DC0"/>
    <w:rsid w:val="00B96656"/>
    <w:rsid w:val="00BE29C1"/>
    <w:rsid w:val="00C2401D"/>
    <w:rsid w:val="00C53A68"/>
    <w:rsid w:val="00CA5BB4"/>
    <w:rsid w:val="00CB4BD1"/>
    <w:rsid w:val="00CE2DA9"/>
    <w:rsid w:val="00CE44BE"/>
    <w:rsid w:val="00CE7789"/>
    <w:rsid w:val="00D107CD"/>
    <w:rsid w:val="00D4356B"/>
    <w:rsid w:val="00D7162F"/>
    <w:rsid w:val="00DA39C0"/>
    <w:rsid w:val="00DF0C27"/>
    <w:rsid w:val="00E31315"/>
    <w:rsid w:val="00E44A86"/>
    <w:rsid w:val="00E522EB"/>
    <w:rsid w:val="00E60827"/>
    <w:rsid w:val="00E73FF6"/>
    <w:rsid w:val="00EF6E0C"/>
    <w:rsid w:val="00F3445D"/>
    <w:rsid w:val="00F37CC7"/>
    <w:rsid w:val="00F55028"/>
    <w:rsid w:val="00F77BEF"/>
    <w:rsid w:val="00F93CD2"/>
    <w:rsid w:val="00F95392"/>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E7789"/>
    <w:rPr>
      <w:color w:val="808080"/>
    </w:rPr>
  </w:style>
  <w:style w:type="paragraph" w:customStyle="1" w:styleId="CDB60824EC144AB3B75C05A5823BEE2D">
    <w:name w:val="CDB60824EC144AB3B75C05A5823BEE2D"/>
    <w:rsid w:val="005E40DD"/>
  </w:style>
  <w:style w:type="paragraph" w:customStyle="1" w:styleId="EC638ECBDB194C6A937310DF88763A81">
    <w:name w:val="EC638ECBDB194C6A937310DF88763A81"/>
    <w:rsid w:val="00CE7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375C0-5BB9-414A-A723-4B82E10E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3348</Words>
  <Characters>19088</Characters>
  <Application>Microsoft Office Word</Application>
  <DocSecurity>0</DocSecurity>
  <Lines>159</Lines>
  <Paragraphs>44</Paragraphs>
  <ScaleCrop>false</ScaleCrop>
  <Company/>
  <LinksUpToDate>false</LinksUpToDate>
  <CharactersWithSpaces>22392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Armindas Varkala</cp:lastModifiedBy>
  <cp:revision>3</cp:revision>
  <dcterms:created xsi:type="dcterms:W3CDTF">2024-12-18T19:52:00Z</dcterms:created>
  <dcterms:modified xsi:type="dcterms:W3CDTF">2025-01-04T04:26:00Z</dcterms:modified>
</cp:coreProperties>
</file>