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7B7D6D" w:rsidRDefault="005F7602" w:rsidP="0023457E">
      <w:pPr>
        <w:spacing w:line="276" w:lineRule="auto"/>
        <w:ind w:left="5529"/>
        <w:rPr>
          <w:lang w:val="en-US"/>
        </w:rPr>
      </w:pPr>
    </w:p>
    <w:p w14:paraId="12FA4B9E" w14:textId="77777777" w:rsidR="001B3C5B" w:rsidRPr="00E33EFF" w:rsidRDefault="001B3C5B" w:rsidP="0023457E">
      <w:pPr>
        <w:spacing w:line="276" w:lineRule="auto"/>
        <w:ind w:left="6096"/>
      </w:pPr>
      <w:r w:rsidRPr="00E33EFF">
        <w:t>Forma patvirtinta</w:t>
      </w:r>
    </w:p>
    <w:p w14:paraId="7206970B" w14:textId="70E9BD2E" w:rsidR="004C263A" w:rsidRPr="00E33EFF" w:rsidRDefault="001B3C5B" w:rsidP="0023457E">
      <w:pPr>
        <w:spacing w:line="276" w:lineRule="auto"/>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23457E">
      <w:pPr>
        <w:spacing w:line="276" w:lineRule="auto"/>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23457E">
      <w:pPr>
        <w:spacing w:line="276" w:lineRule="auto"/>
      </w:pPr>
    </w:p>
    <w:p w14:paraId="77AFB67E" w14:textId="16397257" w:rsidR="00613501" w:rsidRPr="00E33EFF" w:rsidRDefault="002F0E4F" w:rsidP="0023457E">
      <w:pPr>
        <w:spacing w:line="276" w:lineRule="auto"/>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23457E">
      <w:pPr>
        <w:spacing w:line="276" w:lineRule="auto"/>
        <w:jc w:val="center"/>
        <w:rPr>
          <w:b/>
        </w:rPr>
      </w:pPr>
    </w:p>
    <w:p w14:paraId="369C6DC9" w14:textId="77777777" w:rsidR="00795A05" w:rsidRPr="0073329D" w:rsidRDefault="00795A05" w:rsidP="0023457E">
      <w:pPr>
        <w:spacing w:line="276" w:lineRule="auto"/>
        <w:jc w:val="center"/>
        <w:rPr>
          <w:b/>
        </w:rPr>
      </w:pPr>
      <w:r>
        <w:rPr>
          <w:b/>
        </w:rPr>
        <w:t>Spinraza</w:t>
      </w:r>
      <w:r w:rsidRPr="0073329D">
        <w:rPr>
          <w:b/>
        </w:rPr>
        <w:t xml:space="preserve"> </w:t>
      </w:r>
      <w:r>
        <w:rPr>
          <w:b/>
        </w:rPr>
        <w:t>12 mg</w:t>
      </w:r>
      <w:r w:rsidRPr="0073329D">
        <w:rPr>
          <w:b/>
        </w:rPr>
        <w:t xml:space="preserve"> </w:t>
      </w:r>
      <w:r>
        <w:rPr>
          <w:b/>
        </w:rPr>
        <w:t>injekcinis tirpalas</w:t>
      </w:r>
    </w:p>
    <w:p w14:paraId="2A2C8606" w14:textId="77777777" w:rsidR="00795A05" w:rsidRPr="0073329D" w:rsidRDefault="00795A05" w:rsidP="0023457E">
      <w:pPr>
        <w:spacing w:line="276" w:lineRule="auto"/>
        <w:jc w:val="center"/>
      </w:pPr>
    </w:p>
    <w:p w14:paraId="091E4B08" w14:textId="77777777" w:rsidR="00795A05" w:rsidRPr="0073329D" w:rsidRDefault="00795A05" w:rsidP="0023457E">
      <w:pPr>
        <w:spacing w:line="276" w:lineRule="auto"/>
        <w:jc w:val="center"/>
      </w:pPr>
      <w:r w:rsidRPr="0073329D">
        <w:t>(</w:t>
      </w:r>
      <w:r w:rsidRPr="00E20160">
        <w:rPr>
          <w:b/>
        </w:rPr>
        <w:t>Nusinerseno natrio druska</w:t>
      </w:r>
      <w:r w:rsidRPr="0073329D">
        <w:t>)</w:t>
      </w:r>
    </w:p>
    <w:p w14:paraId="6A3123E2" w14:textId="77777777" w:rsidR="00795A05" w:rsidRPr="0073329D" w:rsidRDefault="00795A05" w:rsidP="0023457E">
      <w:pPr>
        <w:spacing w:line="276" w:lineRule="auto"/>
        <w:jc w:val="center"/>
      </w:pPr>
    </w:p>
    <w:p w14:paraId="7A3A74DB" w14:textId="37B239C4" w:rsidR="00795A05" w:rsidRPr="0073329D" w:rsidRDefault="00795A05" w:rsidP="0023457E">
      <w:pPr>
        <w:spacing w:line="276" w:lineRule="auto"/>
        <w:jc w:val="center"/>
        <w:rPr>
          <w:b/>
        </w:rPr>
      </w:pPr>
      <w:r>
        <w:rPr>
          <w:b/>
        </w:rPr>
        <w:t xml:space="preserve">STV </w:t>
      </w:r>
      <w:r w:rsidR="00876C37">
        <w:rPr>
          <w:b/>
        </w:rPr>
        <w:t>-</w:t>
      </w:r>
      <w:r>
        <w:rPr>
          <w:b/>
        </w:rPr>
        <w:t>201</w:t>
      </w:r>
    </w:p>
    <w:p w14:paraId="453197C8" w14:textId="77777777" w:rsidR="00D4708D" w:rsidRPr="00E33EFF" w:rsidRDefault="00D4708D" w:rsidP="0023457E">
      <w:pPr>
        <w:spacing w:line="276" w:lineRule="auto"/>
        <w:jc w:val="center"/>
        <w:rPr>
          <w:b/>
        </w:rPr>
      </w:pPr>
    </w:p>
    <w:p w14:paraId="78C89D1C" w14:textId="0DEFFAA5" w:rsidR="00D4485B" w:rsidRPr="00E33EFF" w:rsidRDefault="00B13D65" w:rsidP="0023457E">
      <w:pPr>
        <w:pStyle w:val="Sraopastraipa"/>
        <w:numPr>
          <w:ilvl w:val="0"/>
          <w:numId w:val="12"/>
        </w:numPr>
        <w:tabs>
          <w:tab w:val="left" w:pos="567"/>
        </w:tabs>
        <w:spacing w:line="276" w:lineRule="auto"/>
        <w:ind w:left="567" w:hanging="567"/>
        <w:rPr>
          <w:b/>
          <w:bCs/>
          <w:caps/>
        </w:rPr>
      </w:pPr>
      <w:r w:rsidRPr="00E33EFF">
        <w:rPr>
          <w:b/>
          <w:bCs/>
          <w:caps/>
        </w:rPr>
        <w:t>Bendroji dalis</w:t>
      </w:r>
    </w:p>
    <w:p w14:paraId="04A7C7A7" w14:textId="77777777" w:rsidR="00B13D65" w:rsidRPr="00E33EFF" w:rsidRDefault="00B13D65" w:rsidP="0023457E">
      <w:pPr>
        <w:pStyle w:val="Sraopastraipa"/>
        <w:tabs>
          <w:tab w:val="left" w:pos="284"/>
        </w:tabs>
        <w:spacing w:line="276" w:lineRule="auto"/>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795A05" w:rsidRPr="00E33EFF" w14:paraId="18A83EC2" w14:textId="77777777" w:rsidTr="00BE7489">
        <w:trPr>
          <w:trHeight w:val="538"/>
        </w:trPr>
        <w:tc>
          <w:tcPr>
            <w:tcW w:w="632" w:type="dxa"/>
          </w:tcPr>
          <w:p w14:paraId="0646FBEA" w14:textId="77777777" w:rsidR="00795A05" w:rsidRPr="00E33EFF" w:rsidRDefault="00795A05" w:rsidP="0023457E">
            <w:pPr>
              <w:spacing w:line="276" w:lineRule="auto"/>
              <w:rPr>
                <w:rFonts w:eastAsia="Arial"/>
              </w:rPr>
            </w:pPr>
            <w:r w:rsidRPr="00E33EFF">
              <w:rPr>
                <w:rFonts w:eastAsia="Arial"/>
              </w:rPr>
              <w:t>1.1</w:t>
            </w:r>
          </w:p>
        </w:tc>
        <w:tc>
          <w:tcPr>
            <w:tcW w:w="3694" w:type="dxa"/>
          </w:tcPr>
          <w:p w14:paraId="6C3AE864" w14:textId="77777777" w:rsidR="00795A05" w:rsidRPr="00E33EFF" w:rsidRDefault="00795A05" w:rsidP="0023457E">
            <w:pPr>
              <w:spacing w:line="276" w:lineRule="auto"/>
              <w:rPr>
                <w:rFonts w:eastAsia="Arial"/>
              </w:rPr>
            </w:pPr>
            <w:r w:rsidRPr="00E33EFF">
              <w:rPr>
                <w:rFonts w:eastAsia="Arial"/>
              </w:rPr>
              <w:t>Pareiškėjas</w:t>
            </w:r>
          </w:p>
          <w:p w14:paraId="2AF240DC" w14:textId="77777777" w:rsidR="00795A05" w:rsidRPr="00E33EFF" w:rsidRDefault="00795A05" w:rsidP="0023457E">
            <w:pPr>
              <w:spacing w:line="276" w:lineRule="auto"/>
              <w:rPr>
                <w:rFonts w:eastAsia="Arial"/>
              </w:rPr>
            </w:pPr>
          </w:p>
        </w:tc>
        <w:tc>
          <w:tcPr>
            <w:tcW w:w="5167" w:type="dxa"/>
          </w:tcPr>
          <w:p w14:paraId="2AAF0D91" w14:textId="6129474D" w:rsidR="00795A05" w:rsidRPr="00795A05" w:rsidRDefault="00795A05" w:rsidP="0023457E">
            <w:pPr>
              <w:spacing w:line="276" w:lineRule="auto"/>
              <w:rPr>
                <w:rFonts w:eastAsia="Arial"/>
              </w:rPr>
            </w:pPr>
            <w:bookmarkStart w:id="0" w:name="_Hlk189576776"/>
            <w:r w:rsidRPr="00795A05">
              <w:t>Biogen Lithuania, UAB</w:t>
            </w:r>
            <w:bookmarkEnd w:id="0"/>
          </w:p>
        </w:tc>
      </w:tr>
      <w:tr w:rsidR="00795A05" w:rsidRPr="00E33EFF" w14:paraId="31998B0D" w14:textId="77777777" w:rsidTr="00BE7489">
        <w:trPr>
          <w:trHeight w:val="538"/>
        </w:trPr>
        <w:tc>
          <w:tcPr>
            <w:tcW w:w="632" w:type="dxa"/>
          </w:tcPr>
          <w:p w14:paraId="2005EC67" w14:textId="662300D0" w:rsidR="00795A05" w:rsidRPr="00E33EFF" w:rsidRDefault="00795A05" w:rsidP="0023457E">
            <w:pPr>
              <w:spacing w:line="276" w:lineRule="auto"/>
              <w:rPr>
                <w:rFonts w:eastAsia="Arial"/>
              </w:rPr>
            </w:pPr>
            <w:r w:rsidRPr="00E33EFF">
              <w:rPr>
                <w:rFonts w:eastAsia="Arial"/>
              </w:rPr>
              <w:t>1.2</w:t>
            </w:r>
          </w:p>
        </w:tc>
        <w:tc>
          <w:tcPr>
            <w:tcW w:w="3694" w:type="dxa"/>
          </w:tcPr>
          <w:p w14:paraId="1E4AE3B1" w14:textId="77777777" w:rsidR="00795A05" w:rsidRPr="00E33EFF" w:rsidRDefault="00795A05" w:rsidP="0023457E">
            <w:pPr>
              <w:spacing w:line="276" w:lineRule="auto"/>
              <w:rPr>
                <w:bCs/>
                <w:color w:val="000000"/>
                <w:lang w:eastAsia="lt-LT"/>
              </w:rPr>
            </w:pPr>
            <w:r w:rsidRPr="00E33EFF">
              <w:rPr>
                <w:bCs/>
                <w:color w:val="000000"/>
                <w:lang w:eastAsia="lt-LT"/>
              </w:rPr>
              <w:t xml:space="preserve">Registracijos data </w:t>
            </w:r>
          </w:p>
          <w:p w14:paraId="3A0DC096" w14:textId="77777777" w:rsidR="00795A05" w:rsidRPr="00E33EFF" w:rsidRDefault="00795A05" w:rsidP="0023457E">
            <w:pPr>
              <w:spacing w:line="276" w:lineRule="auto"/>
              <w:rPr>
                <w:bCs/>
                <w:color w:val="000000"/>
                <w:lang w:eastAsia="lt-LT"/>
              </w:rPr>
            </w:pPr>
          </w:p>
        </w:tc>
        <w:tc>
          <w:tcPr>
            <w:tcW w:w="5167" w:type="dxa"/>
          </w:tcPr>
          <w:p w14:paraId="3CA218AD" w14:textId="52B517DF" w:rsidR="00795A05" w:rsidRPr="00795A05" w:rsidRDefault="00795A05" w:rsidP="0023457E">
            <w:pPr>
              <w:spacing w:line="276" w:lineRule="auto"/>
              <w:rPr>
                <w:rStyle w:val="Style2"/>
                <w:sz w:val="24"/>
              </w:rPr>
            </w:pPr>
            <w:r w:rsidRPr="00795A05">
              <w:rPr>
                <w:rStyle w:val="Style2"/>
                <w:sz w:val="24"/>
              </w:rPr>
              <w:t>2017 gegužės 30 d.</w:t>
            </w:r>
          </w:p>
        </w:tc>
      </w:tr>
      <w:tr w:rsidR="00B13D65" w:rsidRPr="00E33EFF" w14:paraId="15968AE1" w14:textId="77777777" w:rsidTr="00BE7489">
        <w:trPr>
          <w:trHeight w:val="1500"/>
        </w:trPr>
        <w:tc>
          <w:tcPr>
            <w:tcW w:w="632" w:type="dxa"/>
          </w:tcPr>
          <w:p w14:paraId="6A784245" w14:textId="1E461489" w:rsidR="00B13D65" w:rsidRPr="00E33EFF" w:rsidRDefault="002E0702" w:rsidP="0023457E">
            <w:pPr>
              <w:spacing w:line="276" w:lineRule="auto"/>
              <w:rPr>
                <w:rFonts w:eastAsia="Arial"/>
              </w:rPr>
            </w:pPr>
            <w:r w:rsidRPr="00E33EFF">
              <w:rPr>
                <w:rFonts w:eastAsia="Arial"/>
              </w:rPr>
              <w:t>1.3</w:t>
            </w:r>
          </w:p>
        </w:tc>
        <w:tc>
          <w:tcPr>
            <w:tcW w:w="3694" w:type="dxa"/>
          </w:tcPr>
          <w:p w14:paraId="22933506" w14:textId="77777777" w:rsidR="00B13D65" w:rsidRPr="00E33EFF" w:rsidRDefault="00B13D65" w:rsidP="0023457E">
            <w:pPr>
              <w:spacing w:line="276" w:lineRule="auto"/>
            </w:pPr>
            <w:r w:rsidRPr="00E33EFF">
              <w:t xml:space="preserve">Paraiškos tipas </w:t>
            </w:r>
          </w:p>
          <w:p w14:paraId="0465E680" w14:textId="7F0A0714" w:rsidR="00B13D65" w:rsidRPr="00E33EFF" w:rsidRDefault="00B13D65" w:rsidP="0023457E">
            <w:pPr>
              <w:spacing w:line="276" w:lineRule="auto"/>
            </w:pPr>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23457E">
            <w:pPr>
              <w:spacing w:line="276" w:lineRule="auto"/>
              <w:rPr>
                <w:bCs/>
                <w:color w:val="000000"/>
                <w:lang w:eastAsia="lt-LT"/>
              </w:rPr>
            </w:pPr>
          </w:p>
        </w:tc>
        <w:tc>
          <w:tcPr>
            <w:tcW w:w="5167" w:type="dxa"/>
          </w:tcPr>
          <w:p w14:paraId="208F40EC" w14:textId="2F4B2090" w:rsidR="00B13D65" w:rsidRPr="00795A05" w:rsidRDefault="00000000" w:rsidP="0023457E">
            <w:pPr>
              <w:spacing w:line="276" w:lineRule="auto"/>
            </w:pPr>
            <w:sdt>
              <w:sdtPr>
                <w:rPr>
                  <w:rStyle w:val="Style2"/>
                  <w:sz w:val="24"/>
                </w:rPr>
                <w:id w:val="526292078"/>
                <w15:color w:val="FFCC00"/>
                <w14:checkbox>
                  <w14:checked w14:val="1"/>
                  <w14:checkedState w14:val="2612" w14:font="MS Gothic"/>
                  <w14:uncheckedState w14:val="2610" w14:font="MS Gothic"/>
                </w14:checkbox>
              </w:sdtPr>
              <w:sdtContent>
                <w:r w:rsidR="00795A05" w:rsidRPr="00795A05">
                  <w:rPr>
                    <w:rStyle w:val="Style2"/>
                    <w:rFonts w:ascii="MS Gothic" w:eastAsia="MS Gothic" w:hAnsi="MS Gothic" w:hint="eastAsia"/>
                    <w:sz w:val="24"/>
                  </w:rPr>
                  <w:t>☒</w:t>
                </w:r>
              </w:sdtContent>
            </w:sdt>
            <w:r w:rsidR="00B13D65" w:rsidRPr="00795A05">
              <w:t xml:space="preserve">8.3 str. (pilna byla, pagrįsta savais tyrimais) </w:t>
            </w:r>
          </w:p>
          <w:p w14:paraId="32BA564E" w14:textId="3FDA3E01" w:rsidR="00B13D65" w:rsidRPr="00795A05" w:rsidRDefault="00000000" w:rsidP="0023457E">
            <w:pPr>
              <w:spacing w:line="276" w:lineRule="auto"/>
            </w:pPr>
            <w:sdt>
              <w:sdtPr>
                <w:rPr>
                  <w:rStyle w:val="Style2"/>
                  <w:sz w:val="24"/>
                </w:rPr>
                <w:id w:val="-1497953736"/>
                <w15:color w:val="FFCC00"/>
                <w14:checkbox>
                  <w14:checked w14:val="0"/>
                  <w14:checkedState w14:val="2612" w14:font="MS Gothic"/>
                  <w14:uncheckedState w14:val="2610" w14:font="MS Gothic"/>
                </w14:checkbox>
              </w:sdtPr>
              <w:sdtContent>
                <w:r w:rsidR="00CC7832" w:rsidRPr="00795A05">
                  <w:rPr>
                    <w:rStyle w:val="Style2"/>
                    <w:rFonts w:ascii="Segoe UI Symbol" w:eastAsia="MS Gothic" w:hAnsi="Segoe UI Symbol" w:cs="Segoe UI Symbol"/>
                    <w:sz w:val="24"/>
                  </w:rPr>
                  <w:t>☐</w:t>
                </w:r>
              </w:sdtContent>
            </w:sdt>
            <w:r w:rsidR="00B13D65" w:rsidRPr="00795A05">
              <w:t xml:space="preserve">10 a str. (pripažintas medicininis vartojimas) </w:t>
            </w:r>
          </w:p>
          <w:p w14:paraId="318DCD7F" w14:textId="32333E53" w:rsidR="00B13D65" w:rsidRPr="00795A05" w:rsidRDefault="00000000" w:rsidP="0023457E">
            <w:pPr>
              <w:spacing w:line="276" w:lineRule="auto"/>
            </w:pPr>
            <w:sdt>
              <w:sdtPr>
                <w:rPr>
                  <w:rStyle w:val="Style2"/>
                  <w:sz w:val="24"/>
                </w:rPr>
                <w:id w:val="204142496"/>
                <w15:color w:val="FFCC00"/>
                <w14:checkbox>
                  <w14:checked w14:val="0"/>
                  <w14:checkedState w14:val="2612" w14:font="MS Gothic"/>
                  <w14:uncheckedState w14:val="2610" w14:font="MS Gothic"/>
                </w14:checkbox>
              </w:sdtPr>
              <w:sdtContent>
                <w:r w:rsidR="00CC7832" w:rsidRPr="00795A05">
                  <w:rPr>
                    <w:rStyle w:val="Style2"/>
                    <w:rFonts w:ascii="Segoe UI Symbol" w:eastAsia="MS Gothic" w:hAnsi="Segoe UI Symbol" w:cs="Segoe UI Symbol"/>
                    <w:sz w:val="24"/>
                  </w:rPr>
                  <w:t>☐</w:t>
                </w:r>
              </w:sdtContent>
            </w:sdt>
            <w:r w:rsidR="00B13D65" w:rsidRPr="00795A05">
              <w:t>10.1 str. (generinis)</w:t>
            </w:r>
          </w:p>
          <w:p w14:paraId="3B0A4F72" w14:textId="3F5FB073" w:rsidR="00B13D65" w:rsidRPr="00E33EFF" w:rsidRDefault="00000000" w:rsidP="0023457E">
            <w:pPr>
              <w:spacing w:line="276" w:lineRule="auto"/>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795A05">
                  <w:rPr>
                    <w:rStyle w:val="Style2"/>
                    <w:rFonts w:ascii="Segoe UI Symbol" w:eastAsia="MS Gothic" w:hAnsi="Segoe UI Symbol" w:cs="Segoe UI Symbol"/>
                    <w:sz w:val="24"/>
                  </w:rPr>
                  <w:t>☐</w:t>
                </w:r>
              </w:sdtContent>
            </w:sdt>
            <w:r w:rsidR="00B13D65" w:rsidRPr="00795A05">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23457E">
            <w:pPr>
              <w:spacing w:line="276" w:lineRule="auto"/>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23457E">
            <w:pPr>
              <w:spacing w:line="276" w:lineRule="auto"/>
              <w:rPr>
                <w:bCs/>
                <w:color w:val="000000"/>
                <w:lang w:eastAsia="lt-LT"/>
              </w:rPr>
            </w:pPr>
            <w:r w:rsidRPr="00E33EFF">
              <w:rPr>
                <w:bCs/>
                <w:color w:val="000000"/>
                <w:lang w:eastAsia="lt-LT"/>
              </w:rPr>
              <w:t xml:space="preserve">Ar vaistinis preparatas įrašytas į Bendrijos retųjų vaistinių preparatų registrą? </w:t>
            </w:r>
          </w:p>
          <w:p w14:paraId="33726F9C" w14:textId="77777777" w:rsidR="00B13D65" w:rsidRPr="00E33EFF" w:rsidRDefault="00B13D65" w:rsidP="0023457E">
            <w:pPr>
              <w:spacing w:line="276" w:lineRule="auto"/>
              <w:rPr>
                <w:bCs/>
                <w:i/>
                <w:color w:val="000000"/>
                <w:lang w:eastAsia="lt-LT"/>
              </w:rPr>
            </w:pPr>
          </w:p>
          <w:p w14:paraId="483071A3" w14:textId="77086A00" w:rsidR="00B13D65" w:rsidRPr="00E33EFF" w:rsidRDefault="00B13D65" w:rsidP="0023457E">
            <w:pPr>
              <w:spacing w:line="276" w:lineRule="auto"/>
              <w:rPr>
                <w:bCs/>
                <w:color w:val="000000"/>
                <w:lang w:eastAsia="lt-LT"/>
              </w:rPr>
            </w:pPr>
          </w:p>
        </w:tc>
        <w:tc>
          <w:tcPr>
            <w:tcW w:w="5167" w:type="dxa"/>
          </w:tcPr>
          <w:p w14:paraId="05845C60" w14:textId="25F920EC" w:rsidR="00B13D65" w:rsidRPr="00E33EFF" w:rsidRDefault="00000000" w:rsidP="0023457E">
            <w:pPr>
              <w:spacing w:line="276" w:lineRule="auto"/>
            </w:pPr>
            <w:sdt>
              <w:sdtPr>
                <w:rPr>
                  <w:rStyle w:val="Style2"/>
                  <w:sz w:val="24"/>
                </w:rPr>
                <w:id w:val="2024432173"/>
                <w15:color w:val="FFCC00"/>
                <w14:checkbox>
                  <w14:checked w14:val="1"/>
                  <w14:checkedState w14:val="2612" w14:font="MS Gothic"/>
                  <w14:uncheckedState w14:val="2610" w14:font="MS Gothic"/>
                </w14:checkbox>
              </w:sdtPr>
              <w:sdtContent>
                <w:r w:rsidR="00795A05">
                  <w:rPr>
                    <w:rStyle w:val="Style2"/>
                    <w:rFonts w:ascii="MS Gothic" w:eastAsia="MS Gothic" w:hAnsi="MS Gothic" w:hint="eastAsia"/>
                    <w:sz w:val="24"/>
                  </w:rPr>
                  <w:t>☒</w:t>
                </w:r>
              </w:sdtContent>
            </w:sdt>
            <w:r w:rsidR="00B13D65" w:rsidRPr="00E33EFF">
              <w:t xml:space="preserve"> Taip</w:t>
            </w:r>
          </w:p>
          <w:p w14:paraId="41D88067" w14:textId="30136B84" w:rsidR="00B13D65" w:rsidRPr="00E33EFF" w:rsidRDefault="00000000" w:rsidP="0023457E">
            <w:pPr>
              <w:spacing w:line="276" w:lineRule="auto"/>
            </w:pPr>
            <w:sdt>
              <w:sdtPr>
                <w:rPr>
                  <w:rStyle w:val="Style2"/>
                  <w:sz w:val="24"/>
                </w:rPr>
                <w:id w:val="-970507926"/>
                <w15:color w:val="FFCC00"/>
                <w14:checkbox>
                  <w14:checked w14:val="0"/>
                  <w14:checkedState w14:val="2612" w14:font="MS Gothic"/>
                  <w14:uncheckedState w14:val="2610" w14:font="MS Gothic"/>
                </w14:checkbox>
              </w:sdtPr>
              <w:sdtContent>
                <w:r w:rsidR="00CC7832" w:rsidRPr="00E33EFF">
                  <w:rPr>
                    <w:rStyle w:val="Style2"/>
                    <w:rFonts w:ascii="MS Gothic" w:eastAsia="MS Gothic" w:hAnsi="MS Gothic" w:hint="eastAsia"/>
                    <w:sz w:val="24"/>
                  </w:rPr>
                  <w:t>☐</w:t>
                </w:r>
              </w:sdtContent>
            </w:sdt>
            <w:r w:rsidR="00B13D65" w:rsidRPr="00E33EFF">
              <w:t xml:space="preserve"> Ne</w:t>
            </w:r>
          </w:p>
          <w:p w14:paraId="29C2CBBB" w14:textId="2CEF9607" w:rsidR="00B13D65" w:rsidRPr="00E33EFF" w:rsidRDefault="00000000" w:rsidP="0023457E">
            <w:pPr>
              <w:spacing w:line="276" w:lineRule="auto"/>
              <w:rPr>
                <w:rFonts w:eastAsia="Arial"/>
              </w:rPr>
            </w:pPr>
            <w:sdt>
              <w:sdtPr>
                <w:rPr>
                  <w:rFonts w:eastAsia="Arial"/>
                  <w:bCs/>
                </w:rPr>
                <w:alias w:val="Nurodykite konkrečią dieną"/>
                <w:tag w:val="Nurodykite pradžios datą"/>
                <w:id w:val="693498901"/>
                <w:placeholder>
                  <w:docPart w:val="CDB60824EC144AB3B75C05A5823BEE2D"/>
                </w:placeholder>
                <w15:color w:val="FFCC99"/>
                <w:date>
                  <w:dateFormat w:val="yyyy 'm.' MMMM d 'd.'"/>
                  <w:lid w:val="lt-LT"/>
                  <w:storeMappedDataAs w:val="dateTime"/>
                  <w:calendar w:val="gregorian"/>
                </w:date>
              </w:sdtPr>
              <w:sdtContent>
                <w:r w:rsidR="00795A05" w:rsidRPr="00795A05">
                  <w:rPr>
                    <w:rFonts w:eastAsia="Arial"/>
                    <w:bCs/>
                  </w:rPr>
                  <w:t>EU/3/12/976 - 2012 balandžio 2 d.</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23457E">
            <w:pPr>
              <w:spacing w:line="276" w:lineRule="auto"/>
              <w:rPr>
                <w:rFonts w:eastAsia="Arial"/>
              </w:rPr>
            </w:pPr>
            <w:r w:rsidRPr="00E33EFF">
              <w:rPr>
                <w:rFonts w:eastAsia="Arial"/>
              </w:rPr>
              <w:t>1.5</w:t>
            </w:r>
          </w:p>
        </w:tc>
        <w:tc>
          <w:tcPr>
            <w:tcW w:w="3694" w:type="dxa"/>
          </w:tcPr>
          <w:p w14:paraId="7822D63E" w14:textId="68C38334" w:rsidR="00D417D2" w:rsidRPr="00E33EFF" w:rsidRDefault="00D417D2" w:rsidP="0023457E">
            <w:pPr>
              <w:spacing w:line="276" w:lineRule="auto"/>
              <w:rPr>
                <w:bCs/>
                <w:color w:val="000000"/>
                <w:lang w:eastAsia="lt-LT"/>
              </w:rPr>
            </w:pPr>
            <w:r w:rsidRPr="00E33EFF">
              <w:t>STV paraiškos pobūdis</w:t>
            </w:r>
          </w:p>
        </w:tc>
        <w:tc>
          <w:tcPr>
            <w:tcW w:w="5167" w:type="dxa"/>
          </w:tcPr>
          <w:p w14:paraId="403461B9" w14:textId="3CBAD2AF" w:rsidR="00D417D2" w:rsidRPr="00E33EFF" w:rsidRDefault="00000000" w:rsidP="0023457E">
            <w:pPr>
              <w:spacing w:line="276" w:lineRule="auto"/>
            </w:pPr>
            <w:sdt>
              <w:sdtPr>
                <w:rPr>
                  <w:rStyle w:val="Style2"/>
                  <w:sz w:val="24"/>
                </w:rPr>
                <w:id w:val="-468433535"/>
                <w15:color w:val="FFCC00"/>
                <w14:checkbox>
                  <w14:checked w14:val="1"/>
                  <w14:checkedState w14:val="2612" w14:font="MS Gothic"/>
                  <w14:uncheckedState w14:val="2610" w14:font="MS Gothic"/>
                </w14:checkbox>
              </w:sdtPr>
              <w:sdtContent>
                <w:r w:rsidR="00795A05">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23457E">
            <w:pPr>
              <w:spacing w:line="276" w:lineRule="auto"/>
            </w:pPr>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23457E">
            <w:pPr>
              <w:spacing w:line="276" w:lineRule="auto"/>
              <w:rPr>
                <w:rFonts w:eastAsia="Arial"/>
              </w:rPr>
            </w:pPr>
            <w:r w:rsidRPr="00E33EFF">
              <w:rPr>
                <w:rFonts w:eastAsia="Arial"/>
              </w:rPr>
              <w:lastRenderedPageBreak/>
              <w:t>1.</w:t>
            </w:r>
            <w:r w:rsidR="00D417D2" w:rsidRPr="00E33EFF">
              <w:rPr>
                <w:rFonts w:eastAsia="Arial"/>
              </w:rPr>
              <w:t>6</w:t>
            </w:r>
          </w:p>
        </w:tc>
        <w:tc>
          <w:tcPr>
            <w:tcW w:w="3694" w:type="dxa"/>
          </w:tcPr>
          <w:p w14:paraId="4D49DBF5" w14:textId="77777777" w:rsidR="007656B2" w:rsidRPr="00E33EFF" w:rsidRDefault="00DE4484" w:rsidP="0023457E">
            <w:pPr>
              <w:spacing w:line="276" w:lineRule="auto"/>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3FB07EE5" w14:textId="77777777" w:rsidR="00AE1322" w:rsidRDefault="00AE1322" w:rsidP="0023457E">
            <w:pPr>
              <w:spacing w:line="276" w:lineRule="auto"/>
              <w:rPr>
                <w:bCs/>
                <w:color w:val="000000"/>
                <w:lang w:eastAsia="lt-LT"/>
              </w:rPr>
            </w:pPr>
          </w:p>
          <w:p w14:paraId="3A6B054C" w14:textId="77777777" w:rsidR="00AE1322" w:rsidRDefault="00AE1322" w:rsidP="0023457E">
            <w:pPr>
              <w:spacing w:line="276" w:lineRule="auto"/>
              <w:rPr>
                <w:bCs/>
                <w:color w:val="000000"/>
                <w:lang w:eastAsia="lt-LT"/>
              </w:rPr>
            </w:pPr>
          </w:p>
          <w:p w14:paraId="6B4FEEC1" w14:textId="378668B0" w:rsidR="00B13D65" w:rsidRPr="00E33EFF" w:rsidRDefault="007656B2" w:rsidP="0023457E">
            <w:pPr>
              <w:spacing w:line="276" w:lineRule="auto"/>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74875F04" w14:textId="75A15C0E" w:rsidR="00B13D65" w:rsidRPr="00E33EFF" w:rsidRDefault="00795A05" w:rsidP="0023457E">
            <w:pPr>
              <w:spacing w:after="120" w:line="276" w:lineRule="auto"/>
              <w:jc w:val="both"/>
            </w:pPr>
            <w:r w:rsidRPr="00E20160">
              <w:t>Spinraza skirtas 5q spinaline raumenų atrofija sergantiems pacientams gydyti.</w:t>
            </w:r>
          </w:p>
          <w:p w14:paraId="430E383A" w14:textId="4A5585F6" w:rsidR="00B13D65" w:rsidRDefault="00B13D65" w:rsidP="0023457E">
            <w:pPr>
              <w:spacing w:line="276" w:lineRule="auto"/>
            </w:pPr>
          </w:p>
          <w:p w14:paraId="4E011864" w14:textId="77777777" w:rsidR="00795A05" w:rsidRPr="00E33EFF" w:rsidRDefault="00795A05" w:rsidP="0023457E">
            <w:pPr>
              <w:spacing w:line="276" w:lineRule="auto"/>
            </w:pPr>
          </w:p>
          <w:p w14:paraId="13F7DFB0" w14:textId="32AE786F" w:rsidR="00B13D65" w:rsidRPr="00E33EFF" w:rsidRDefault="00795A05" w:rsidP="0023457E">
            <w:pPr>
              <w:spacing w:line="276" w:lineRule="auto"/>
            </w:pPr>
            <w:r w:rsidRPr="00E20160">
              <w:t>G12.0, G12.1</w:t>
            </w:r>
          </w:p>
        </w:tc>
      </w:tr>
      <w:tr w:rsidR="00B13D65" w:rsidRPr="00E33EFF" w14:paraId="2F79DC08" w14:textId="77777777" w:rsidTr="00BE7489">
        <w:trPr>
          <w:trHeight w:val="378"/>
        </w:trPr>
        <w:tc>
          <w:tcPr>
            <w:tcW w:w="632" w:type="dxa"/>
          </w:tcPr>
          <w:p w14:paraId="547885A2" w14:textId="08AA8055" w:rsidR="00B13D65" w:rsidRPr="00E33EFF" w:rsidRDefault="00B13D65" w:rsidP="0023457E">
            <w:pPr>
              <w:spacing w:line="276" w:lineRule="auto"/>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23457E">
            <w:pPr>
              <w:spacing w:line="276" w:lineRule="auto"/>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931327" w:rsidR="00B13D65" w:rsidRPr="00E33EFF" w:rsidRDefault="00795A05" w:rsidP="0023457E">
            <w:pPr>
              <w:spacing w:line="276" w:lineRule="auto"/>
            </w:pPr>
            <w:r>
              <w:t>Neteikiama</w:t>
            </w:r>
          </w:p>
        </w:tc>
      </w:tr>
      <w:tr w:rsidR="00B13D65" w:rsidRPr="00E33EFF" w14:paraId="3B125269" w14:textId="77777777" w:rsidTr="00BE7489">
        <w:trPr>
          <w:trHeight w:val="378"/>
        </w:trPr>
        <w:tc>
          <w:tcPr>
            <w:tcW w:w="632" w:type="dxa"/>
          </w:tcPr>
          <w:p w14:paraId="0058E11F" w14:textId="77777777" w:rsidR="00B13D65" w:rsidRPr="00E33EFF" w:rsidRDefault="00B13D65" w:rsidP="0023457E">
            <w:pPr>
              <w:spacing w:line="276" w:lineRule="auto"/>
              <w:rPr>
                <w:rFonts w:eastAsia="Arial"/>
              </w:rPr>
            </w:pPr>
            <w:r w:rsidRPr="00E33EFF">
              <w:rPr>
                <w:rFonts w:eastAsia="Arial"/>
              </w:rPr>
              <w:t>1.7</w:t>
            </w:r>
          </w:p>
        </w:tc>
        <w:tc>
          <w:tcPr>
            <w:tcW w:w="3694" w:type="dxa"/>
          </w:tcPr>
          <w:p w14:paraId="738E1926" w14:textId="77777777" w:rsidR="00B13D65" w:rsidRPr="00E33EFF" w:rsidRDefault="007656B2" w:rsidP="0023457E">
            <w:pPr>
              <w:spacing w:line="276" w:lineRule="auto"/>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7A8BD8B4" w:rsidR="009F4D66" w:rsidRPr="00E33EFF" w:rsidRDefault="009F4D66" w:rsidP="0023457E">
            <w:pPr>
              <w:spacing w:line="276" w:lineRule="auto"/>
              <w:rPr>
                <w:bCs/>
                <w:color w:val="000000"/>
                <w:lang w:eastAsia="lt-LT"/>
              </w:rPr>
            </w:pPr>
          </w:p>
          <w:p w14:paraId="62057D94" w14:textId="77777777" w:rsidR="00413F24" w:rsidRPr="00E33EFF" w:rsidRDefault="00413F24" w:rsidP="0023457E">
            <w:pPr>
              <w:spacing w:line="276" w:lineRule="auto"/>
              <w:rPr>
                <w:bCs/>
                <w:color w:val="000000"/>
                <w:lang w:eastAsia="lt-LT"/>
              </w:rPr>
            </w:pPr>
          </w:p>
          <w:p w14:paraId="6CC1022E" w14:textId="2B6BCEE1" w:rsidR="009F4D66" w:rsidRPr="00E33EFF" w:rsidRDefault="009F4D66" w:rsidP="0023457E">
            <w:pPr>
              <w:spacing w:line="276" w:lineRule="auto"/>
              <w:rPr>
                <w:bCs/>
                <w:color w:val="000000"/>
                <w:lang w:eastAsia="lt-LT"/>
              </w:rPr>
            </w:pPr>
          </w:p>
        </w:tc>
        <w:tc>
          <w:tcPr>
            <w:tcW w:w="5167" w:type="dxa"/>
          </w:tcPr>
          <w:p w14:paraId="1F113AC0" w14:textId="074D0BE0" w:rsidR="009F4D66" w:rsidRPr="00E33EFF" w:rsidRDefault="00000000" w:rsidP="0023457E">
            <w:pPr>
              <w:spacing w:line="276" w:lineRule="auto"/>
            </w:pPr>
            <w:sdt>
              <w:sdtPr>
                <w:rPr>
                  <w:rStyle w:val="Style2"/>
                  <w:sz w:val="24"/>
                </w:rPr>
                <w:id w:val="1480955706"/>
                <w15:color w:val="FFCC00"/>
                <w14:checkbox>
                  <w14:checked w14:val="1"/>
                  <w14:checkedState w14:val="2612" w14:font="MS Gothic"/>
                  <w14:uncheckedState w14:val="2610" w14:font="MS Gothic"/>
                </w14:checkbox>
              </w:sdtPr>
              <w:sdtContent>
                <w:r w:rsidR="00795A05">
                  <w:rPr>
                    <w:rStyle w:val="Style2"/>
                    <w:rFonts w:ascii="MS Gothic" w:eastAsia="MS Gothic" w:hAnsi="MS Gothic" w:hint="eastAsia"/>
                    <w:sz w:val="24"/>
                  </w:rPr>
                  <w:t>☒</w:t>
                </w:r>
              </w:sdtContent>
            </w:sdt>
            <w:r w:rsidR="009F4D66" w:rsidRPr="00E33EFF">
              <w:t xml:space="preserve"> Tinkamas</w:t>
            </w:r>
            <w:r w:rsidR="00795A05">
              <w:t xml:space="preserve"> - risdiplamas</w:t>
            </w:r>
          </w:p>
          <w:p w14:paraId="41B44044" w14:textId="199BD9DF" w:rsidR="00B13D65" w:rsidRPr="00E33EFF" w:rsidRDefault="00000000" w:rsidP="0023457E">
            <w:pPr>
              <w:spacing w:line="276" w:lineRule="auto"/>
            </w:pPr>
            <w:sdt>
              <w:sdtPr>
                <w:rPr>
                  <w:rStyle w:val="Style2"/>
                  <w:sz w:val="24"/>
                </w:rPr>
                <w:id w:val="-352420698"/>
                <w15:color w:val="FFCC00"/>
                <w14:checkbox>
                  <w14:checked w14:val="0"/>
                  <w14:checkedState w14:val="2612" w14:font="MS Gothic"/>
                  <w14:uncheckedState w14:val="2610" w14:font="MS Gothic"/>
                </w14:checkbox>
              </w:sdtPr>
              <w:sdtContent>
                <w:r w:rsidR="009F4D66" w:rsidRPr="00E33EFF">
                  <w:rPr>
                    <w:rStyle w:val="Style2"/>
                    <w:rFonts w:ascii="MS Gothic" w:eastAsia="MS Gothic" w:hAnsi="MS Gothic" w:hint="eastAsia"/>
                    <w:sz w:val="24"/>
                  </w:rPr>
                  <w:t>☐</w:t>
                </w:r>
              </w:sdtContent>
            </w:sdt>
            <w:r w:rsidR="009F4D66" w:rsidRPr="00E33EFF">
              <w:t xml:space="preserve"> Netinkama</w:t>
            </w:r>
          </w:p>
        </w:tc>
      </w:tr>
    </w:tbl>
    <w:p w14:paraId="108176F7" w14:textId="640C6F75" w:rsidR="00F70C9E" w:rsidRPr="00E33EFF" w:rsidRDefault="00F70C9E" w:rsidP="0023457E">
      <w:pPr>
        <w:pStyle w:val="Sraopastraipa"/>
        <w:tabs>
          <w:tab w:val="left" w:pos="426"/>
        </w:tabs>
        <w:spacing w:line="276" w:lineRule="auto"/>
        <w:ind w:left="0"/>
        <w:rPr>
          <w:b/>
          <w:bCs/>
          <w:caps/>
        </w:rPr>
      </w:pPr>
    </w:p>
    <w:p w14:paraId="2871CA7F" w14:textId="2370BDDB" w:rsidR="00F70C9E" w:rsidRPr="00E33EFF" w:rsidRDefault="00F70C9E" w:rsidP="0023457E">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23457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23457E">
            <w:pPr>
              <w:spacing w:line="276" w:lineRule="auto"/>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23457E">
            <w:pPr>
              <w:spacing w:line="276" w:lineRule="auto"/>
              <w:rPr>
                <w:rFonts w:eastAsia="Arial"/>
              </w:rPr>
            </w:pPr>
            <w:r w:rsidRPr="00E33EFF">
              <w:rPr>
                <w:rFonts w:eastAsia="Arial"/>
              </w:rPr>
              <w:t>STV vertinimas atliktas</w:t>
            </w:r>
          </w:p>
        </w:tc>
        <w:tc>
          <w:tcPr>
            <w:tcW w:w="2244" w:type="dxa"/>
          </w:tcPr>
          <w:p w14:paraId="16E2DDC1" w14:textId="77777777" w:rsidR="00F70C9E" w:rsidRPr="00E33EFF" w:rsidRDefault="00F70C9E" w:rsidP="0023457E">
            <w:pPr>
              <w:spacing w:line="276" w:lineRule="auto"/>
              <w:rPr>
                <w:rFonts w:eastAsia="Arial"/>
              </w:rPr>
            </w:pPr>
            <w:r w:rsidRPr="00E33EFF">
              <w:rPr>
                <w:rFonts w:eastAsia="Arial"/>
              </w:rPr>
              <w:t>Klinikinio vertinimo išvada</w:t>
            </w:r>
          </w:p>
        </w:tc>
        <w:tc>
          <w:tcPr>
            <w:tcW w:w="2543" w:type="dxa"/>
          </w:tcPr>
          <w:p w14:paraId="1861E3F2" w14:textId="74803B5B" w:rsidR="00F70C9E" w:rsidRPr="00E33EFF" w:rsidRDefault="00F70C9E" w:rsidP="0023457E">
            <w:pPr>
              <w:spacing w:line="276" w:lineRule="auto"/>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795A05" w:rsidRPr="00E33EFF" w14:paraId="129FA8F6" w14:textId="77777777" w:rsidTr="00BE7489">
        <w:trPr>
          <w:trHeight w:val="2267"/>
        </w:trPr>
        <w:tc>
          <w:tcPr>
            <w:tcW w:w="2855" w:type="dxa"/>
          </w:tcPr>
          <w:p w14:paraId="0A070137" w14:textId="77777777" w:rsidR="00795A05" w:rsidRPr="00E33EFF" w:rsidRDefault="00795A05" w:rsidP="0023457E">
            <w:pPr>
              <w:spacing w:line="276" w:lineRule="auto"/>
              <w:rPr>
                <w:bCs/>
              </w:rPr>
            </w:pPr>
            <w:r w:rsidRPr="00E33EFF">
              <w:rPr>
                <w:bCs/>
              </w:rPr>
              <w:t>Nacionalinis sveikatos ir klinikinės kompetencijos institutas, Didžioji Britanija</w:t>
            </w:r>
          </w:p>
          <w:p w14:paraId="49C6520D" w14:textId="77777777" w:rsidR="00795A05" w:rsidRPr="00E33EFF" w:rsidRDefault="00795A05" w:rsidP="0023457E">
            <w:pPr>
              <w:spacing w:line="276" w:lineRule="auto"/>
              <w:rPr>
                <w:rFonts w:eastAsia="Arial"/>
                <w:lang w:val="en-GB"/>
              </w:rPr>
            </w:pPr>
            <w:r w:rsidRPr="00E33EFF">
              <w:rPr>
                <w:rFonts w:eastAsia="Arial"/>
                <w:lang w:val="en-GB"/>
              </w:rPr>
              <w:t xml:space="preserve">(angl. </w:t>
            </w:r>
            <w:r w:rsidRPr="00E33EFF">
              <w:rPr>
                <w:rFonts w:eastAsia="Arial"/>
                <w:i/>
                <w:lang w:val="en-GB"/>
              </w:rPr>
              <w:t>National Institute for Health and Care  Excellence, NICE</w:t>
            </w:r>
            <w:r w:rsidRPr="00E33EFF">
              <w:rPr>
                <w:rFonts w:eastAsia="Arial"/>
                <w:lang w:val="en-GB"/>
              </w:rPr>
              <w:t>)</w:t>
            </w:r>
          </w:p>
        </w:tc>
        <w:tc>
          <w:tcPr>
            <w:tcW w:w="1851" w:type="dxa"/>
          </w:tcPr>
          <w:p w14:paraId="70CD0A5A" w14:textId="77777777" w:rsidR="00795A05" w:rsidRPr="008636AA" w:rsidRDefault="00000000" w:rsidP="0023457E">
            <w:pPr>
              <w:spacing w:line="276" w:lineRule="auto"/>
            </w:pPr>
            <w:sdt>
              <w:sdtPr>
                <w:rPr>
                  <w:rStyle w:val="Style2"/>
                </w:rPr>
                <w:id w:val="1558205022"/>
                <w15:color w:val="FFCC00"/>
                <w14:checkbox>
                  <w14:checked w14:val="0"/>
                  <w14:checkedState w14:val="2612" w14:font="MS Gothic"/>
                  <w14:uncheckedState w14:val="2610" w14:font="MS Gothic"/>
                </w14:checkbox>
              </w:sdtPr>
              <w:sdtContent>
                <w:r w:rsidR="00795A05">
                  <w:rPr>
                    <w:rStyle w:val="Style2"/>
                    <w:rFonts w:ascii="MS Gothic" w:eastAsia="MS Gothic" w:hAnsi="MS Gothic" w:hint="eastAsia"/>
                  </w:rPr>
                  <w:t>☐</w:t>
                </w:r>
              </w:sdtContent>
            </w:sdt>
            <w:r w:rsidR="00795A05" w:rsidRPr="008636AA">
              <w:t xml:space="preserve"> Taip</w:t>
            </w:r>
          </w:p>
          <w:p w14:paraId="0513256C" w14:textId="77777777" w:rsidR="00795A05" w:rsidRPr="008636AA" w:rsidRDefault="00000000" w:rsidP="0023457E">
            <w:pPr>
              <w:spacing w:line="276" w:lineRule="auto"/>
            </w:pPr>
            <w:sdt>
              <w:sdtPr>
                <w:rPr>
                  <w:rStyle w:val="Style2"/>
                </w:rPr>
                <w:id w:val="866029625"/>
                <w15:color w:val="FFCC00"/>
                <w14:checkbox>
                  <w14:checked w14:val="0"/>
                  <w14:checkedState w14:val="2612" w14:font="MS Gothic"/>
                  <w14:uncheckedState w14:val="2610" w14:font="MS Gothic"/>
                </w14:checkbox>
              </w:sdtPr>
              <w:sdtContent>
                <w:r w:rsidR="00795A05" w:rsidRPr="008636AA">
                  <w:rPr>
                    <w:rStyle w:val="Style2"/>
                    <w:rFonts w:ascii="Segoe UI Symbol" w:eastAsia="MS Gothic" w:hAnsi="Segoe UI Symbol" w:cs="Segoe UI Symbol"/>
                  </w:rPr>
                  <w:t>☐</w:t>
                </w:r>
              </w:sdtContent>
            </w:sdt>
            <w:r w:rsidR="00795A05" w:rsidRPr="008636AA">
              <w:t xml:space="preserve"> Ne</w:t>
            </w:r>
          </w:p>
          <w:p w14:paraId="7916359D" w14:textId="4A8F4420" w:rsidR="00795A05" w:rsidRPr="00E33EFF" w:rsidRDefault="00000000" w:rsidP="0023457E">
            <w:pPr>
              <w:spacing w:line="276" w:lineRule="auto"/>
              <w:rPr>
                <w:rFonts w:eastAsia="Arial"/>
              </w:rPr>
            </w:pPr>
            <w:sdt>
              <w:sdtPr>
                <w:alias w:val="Nurodykite konkrečią dieną"/>
                <w:tag w:val="Nurodykite pradžios datą"/>
                <w:id w:val="922837954"/>
                <w:placeholder>
                  <w:docPart w:val="49DE638CCF4FA845807DE217BC751ACC"/>
                </w:placeholder>
                <w15:color w:val="FFCC99"/>
                <w:date>
                  <w:dateFormat w:val="yyyy 'm.' MMMM d 'd.'"/>
                  <w:lid w:val="lt-LT"/>
                  <w:storeMappedDataAs w:val="dateTime"/>
                  <w:calendar w:val="gregorian"/>
                </w:date>
              </w:sdtPr>
              <w:sdtContent>
                <w:r w:rsidR="00795A05" w:rsidRPr="008636AA">
                  <w:t>2019 liepos 24 d.</w:t>
                </w:r>
              </w:sdtContent>
            </w:sdt>
          </w:p>
        </w:tc>
        <w:tc>
          <w:tcPr>
            <w:tcW w:w="2244" w:type="dxa"/>
          </w:tcPr>
          <w:p w14:paraId="6FD44518" w14:textId="77777777" w:rsidR="00795A05" w:rsidRPr="008636AA" w:rsidRDefault="00795A05" w:rsidP="0023457E">
            <w:pPr>
              <w:spacing w:line="276" w:lineRule="auto"/>
              <w:contextualSpacing/>
              <w:rPr>
                <w:rFonts w:eastAsia="Arial"/>
              </w:rPr>
            </w:pPr>
            <w:r w:rsidRPr="008636AA">
              <w:rPr>
                <w:rFonts w:eastAsia="Arial"/>
              </w:rPr>
              <w:t>Nusinersenas rekomenduojamas kaip gydymo galimybė 5q SRA sergantiems pacientams, kurie turi presimptomatinę, 1, 2 arba 3 tipo SRA.</w:t>
            </w:r>
          </w:p>
          <w:p w14:paraId="6413D0ED" w14:textId="77777777" w:rsidR="00795A05" w:rsidRPr="00E33EFF" w:rsidRDefault="00795A05" w:rsidP="0023457E">
            <w:pPr>
              <w:spacing w:line="276" w:lineRule="auto"/>
              <w:rPr>
                <w:rFonts w:eastAsia="Arial"/>
              </w:rPr>
            </w:pPr>
          </w:p>
        </w:tc>
        <w:tc>
          <w:tcPr>
            <w:tcW w:w="2543" w:type="dxa"/>
          </w:tcPr>
          <w:p w14:paraId="3D6B8CB3" w14:textId="77777777" w:rsidR="00795A05" w:rsidRPr="008636AA" w:rsidRDefault="00795A05" w:rsidP="0023457E">
            <w:pPr>
              <w:spacing w:line="276" w:lineRule="auto"/>
              <w:contextualSpacing/>
              <w:rPr>
                <w:rFonts w:eastAsia="Arial"/>
              </w:rPr>
            </w:pPr>
            <w:r w:rsidRPr="008636AA">
              <w:rPr>
                <w:rFonts w:eastAsia="Arial"/>
              </w:rPr>
              <w:t>Rekomenduojama kompensuoti nusinerseną tik įgyvendinus prieinamumo gerinimo schemos sąlygas.</w:t>
            </w:r>
          </w:p>
          <w:p w14:paraId="67430EE7" w14:textId="77777777" w:rsidR="00795A05" w:rsidRPr="00E33EFF" w:rsidRDefault="00795A05" w:rsidP="0023457E">
            <w:pPr>
              <w:spacing w:line="276" w:lineRule="auto"/>
              <w:rPr>
                <w:rFonts w:eastAsia="Arial"/>
              </w:rPr>
            </w:pPr>
          </w:p>
        </w:tc>
      </w:tr>
      <w:tr w:rsidR="00795A05" w:rsidRPr="00E33EFF" w14:paraId="1CC31474" w14:textId="77777777" w:rsidTr="00306935">
        <w:trPr>
          <w:trHeight w:val="1547"/>
        </w:trPr>
        <w:tc>
          <w:tcPr>
            <w:tcW w:w="2855" w:type="dxa"/>
          </w:tcPr>
          <w:p w14:paraId="12218E35" w14:textId="77777777" w:rsidR="00795A05" w:rsidRPr="00E33EFF" w:rsidRDefault="00795A05" w:rsidP="0023457E">
            <w:pPr>
              <w:spacing w:line="276" w:lineRule="auto"/>
              <w:rPr>
                <w:rFonts w:eastAsia="Arial"/>
                <w:lang w:val="en-GB"/>
              </w:rPr>
            </w:pPr>
            <w:r w:rsidRPr="00E33EFF">
              <w:rPr>
                <w:rFonts w:eastAsia="Arial"/>
                <w:lang w:val="en-GB"/>
              </w:rPr>
              <w:t>Kanados sveikatos technologijų agentūra</w:t>
            </w:r>
          </w:p>
          <w:p w14:paraId="2C593A82" w14:textId="77777777" w:rsidR="00795A05" w:rsidRPr="00E33EFF" w:rsidRDefault="00795A05" w:rsidP="0023457E">
            <w:pPr>
              <w:spacing w:line="276" w:lineRule="auto"/>
              <w:rPr>
                <w:rFonts w:eastAsia="Arial"/>
                <w:lang w:val="en-GB"/>
              </w:rPr>
            </w:pPr>
            <w:r w:rsidRPr="00E33EFF">
              <w:rPr>
                <w:rFonts w:eastAsia="Arial"/>
                <w:lang w:val="en-GB"/>
              </w:rPr>
              <w:t xml:space="preserve">(angl. </w:t>
            </w:r>
            <w:r w:rsidRPr="00E33EFF">
              <w:rPr>
                <w:rFonts w:eastAsia="Arial"/>
                <w:i/>
                <w:lang w:val="en-GB"/>
              </w:rPr>
              <w:t>Canadian health Technology Assessment agency, CADTH</w:t>
            </w:r>
            <w:r w:rsidRPr="00E33EFF">
              <w:rPr>
                <w:rFonts w:eastAsia="Arial"/>
                <w:lang w:val="en-GB"/>
              </w:rPr>
              <w:t>)</w:t>
            </w:r>
          </w:p>
        </w:tc>
        <w:tc>
          <w:tcPr>
            <w:tcW w:w="1851" w:type="dxa"/>
          </w:tcPr>
          <w:p w14:paraId="6FA1C1AE" w14:textId="77777777" w:rsidR="00795A05" w:rsidRPr="008636AA" w:rsidRDefault="00000000" w:rsidP="0023457E">
            <w:pPr>
              <w:spacing w:line="276" w:lineRule="auto"/>
            </w:pPr>
            <w:sdt>
              <w:sdtPr>
                <w:rPr>
                  <w:rStyle w:val="Style2"/>
                </w:rPr>
                <w:id w:val="-372539057"/>
                <w15:color w:val="FFCC00"/>
                <w14:checkbox>
                  <w14:checked w14:val="1"/>
                  <w14:checkedState w14:val="2612" w14:font="MS Gothic"/>
                  <w14:uncheckedState w14:val="2610" w14:font="MS Gothic"/>
                </w14:checkbox>
              </w:sdtPr>
              <w:sdtContent>
                <w:r w:rsidR="00795A05" w:rsidRPr="008636AA">
                  <w:rPr>
                    <w:rStyle w:val="Style2"/>
                    <w:rFonts w:ascii="Segoe UI Symbol" w:eastAsia="MS Gothic" w:hAnsi="Segoe UI Symbol" w:cs="Segoe UI Symbol"/>
                  </w:rPr>
                  <w:t>☒</w:t>
                </w:r>
              </w:sdtContent>
            </w:sdt>
            <w:r w:rsidR="00795A05" w:rsidRPr="008636AA">
              <w:t xml:space="preserve"> Taip</w:t>
            </w:r>
          </w:p>
          <w:p w14:paraId="2B902806" w14:textId="77777777" w:rsidR="00795A05" w:rsidRPr="008636AA" w:rsidRDefault="00000000" w:rsidP="0023457E">
            <w:pPr>
              <w:spacing w:line="276" w:lineRule="auto"/>
            </w:pPr>
            <w:sdt>
              <w:sdtPr>
                <w:rPr>
                  <w:rStyle w:val="Style2"/>
                </w:rPr>
                <w:id w:val="594442222"/>
                <w15:color w:val="FFCC00"/>
                <w14:checkbox>
                  <w14:checked w14:val="0"/>
                  <w14:checkedState w14:val="2612" w14:font="MS Gothic"/>
                  <w14:uncheckedState w14:val="2610" w14:font="MS Gothic"/>
                </w14:checkbox>
              </w:sdtPr>
              <w:sdtContent>
                <w:r w:rsidR="00795A05" w:rsidRPr="008636AA">
                  <w:rPr>
                    <w:rStyle w:val="Style2"/>
                    <w:rFonts w:ascii="Segoe UI Symbol" w:eastAsia="MS Gothic" w:hAnsi="Segoe UI Symbol" w:cs="Segoe UI Symbol"/>
                  </w:rPr>
                  <w:t>☐</w:t>
                </w:r>
              </w:sdtContent>
            </w:sdt>
            <w:r w:rsidR="00795A05" w:rsidRPr="008636AA">
              <w:t xml:space="preserve"> Ne</w:t>
            </w:r>
          </w:p>
          <w:p w14:paraId="0C0988CC" w14:textId="545C32BD" w:rsidR="00795A05" w:rsidRPr="00E33EFF" w:rsidRDefault="00000000" w:rsidP="0023457E">
            <w:pPr>
              <w:spacing w:line="276" w:lineRule="auto"/>
              <w:rPr>
                <w:rFonts w:eastAsia="Arial"/>
              </w:rPr>
            </w:pPr>
            <w:sdt>
              <w:sdtPr>
                <w:alias w:val="Nurodykite konkrečią dieną"/>
                <w:tag w:val="Nurodykite pradžios datą"/>
                <w:id w:val="1072468416"/>
                <w:placeholder>
                  <w:docPart w:val="103C9A00A465034F943C908F878E23BB"/>
                </w:placeholder>
                <w15:color w:val="FFCC99"/>
                <w:date>
                  <w:dateFormat w:val="yyyy 'm.' MMMM d 'd.'"/>
                  <w:lid w:val="lt-LT"/>
                  <w:storeMappedDataAs w:val="dateTime"/>
                  <w:calendar w:val="gregorian"/>
                </w:date>
              </w:sdtPr>
              <w:sdtContent>
                <w:r w:rsidR="00795A05" w:rsidRPr="008636AA">
                  <w:t>2019 balandžio 5 d.</w:t>
                </w:r>
              </w:sdtContent>
            </w:sdt>
          </w:p>
        </w:tc>
        <w:tc>
          <w:tcPr>
            <w:tcW w:w="4787" w:type="dxa"/>
            <w:gridSpan w:val="2"/>
          </w:tcPr>
          <w:p w14:paraId="5C8CB330" w14:textId="7DEEA83D" w:rsidR="00795A05" w:rsidRPr="00E33EFF" w:rsidRDefault="00795A05" w:rsidP="0023457E">
            <w:pPr>
              <w:spacing w:line="276" w:lineRule="auto"/>
              <w:rPr>
                <w:rFonts w:eastAsia="Arial"/>
              </w:rPr>
            </w:pPr>
            <w:r w:rsidRPr="008636AA">
              <w:rPr>
                <w:rFonts w:eastAsia="Arial"/>
              </w:rPr>
              <w:t>Rekomenduojama kompensuoti nusinerseną pacientams, kuriems genetiškai nustatyta 5q SRA diagnozė: presimptominiams SRA pacientams su 2 arba 3 SMN2 geno kopijoms; pacientams, kuriems simptomai pasireiškė iki 7 mėn. amžiaus; pacientams, kuriems simptomai pasireiškė tarp 7 mėn. ir 12 metų amžiaus, ir kurie neišmoko vaikščioti savarankiškai. Nerekomenduojama kompensuoti nusinerseno 2 ir 3 tipo SRA sergantiems pacientams, kuriems gydymas pradėtas vėliau nei 18 metų amžiuje.</w:t>
            </w:r>
          </w:p>
        </w:tc>
      </w:tr>
      <w:tr w:rsidR="00795A05" w:rsidRPr="00E33EFF" w14:paraId="21C94D47" w14:textId="77777777" w:rsidTr="00E60B27">
        <w:trPr>
          <w:trHeight w:val="2160"/>
        </w:trPr>
        <w:tc>
          <w:tcPr>
            <w:tcW w:w="2855" w:type="dxa"/>
          </w:tcPr>
          <w:p w14:paraId="02F45BB8" w14:textId="77777777" w:rsidR="00795A05" w:rsidRPr="00E33EFF" w:rsidRDefault="00795A05" w:rsidP="0023457E">
            <w:pPr>
              <w:spacing w:line="276" w:lineRule="auto"/>
              <w:rPr>
                <w:rFonts w:eastAsia="Arial"/>
              </w:rPr>
            </w:pPr>
            <w:r w:rsidRPr="00E33EFF">
              <w:rPr>
                <w:rFonts w:eastAsia="Arial"/>
              </w:rPr>
              <w:lastRenderedPageBreak/>
              <w:t>Nacionalinis farmakoekonomikos centras, Airija</w:t>
            </w:r>
          </w:p>
          <w:p w14:paraId="736F5072" w14:textId="77777777" w:rsidR="00795A05" w:rsidRPr="00E33EFF" w:rsidRDefault="00795A05" w:rsidP="0023457E">
            <w:pPr>
              <w:spacing w:line="276" w:lineRule="auto"/>
              <w:rPr>
                <w:rFonts w:eastAsia="Arial"/>
              </w:rPr>
            </w:pPr>
            <w:r w:rsidRPr="00E33EFF">
              <w:rPr>
                <w:rFonts w:eastAsia="Arial"/>
              </w:rPr>
              <w:t>(angl.</w:t>
            </w:r>
            <w:r w:rsidRPr="00E33EFF">
              <w:rPr>
                <w:rFonts w:eastAsia="Arial"/>
                <w:i/>
              </w:rPr>
              <w:t xml:space="preserve"> National Centre for Pharmacoeconomics, NCPE</w:t>
            </w:r>
            <w:r w:rsidRPr="00E33EFF">
              <w:rPr>
                <w:rFonts w:eastAsia="Arial"/>
              </w:rPr>
              <w:t>)</w:t>
            </w:r>
          </w:p>
        </w:tc>
        <w:tc>
          <w:tcPr>
            <w:tcW w:w="1851" w:type="dxa"/>
          </w:tcPr>
          <w:p w14:paraId="3EEC9BE4" w14:textId="77777777" w:rsidR="00795A05" w:rsidRPr="008636AA" w:rsidRDefault="00000000" w:rsidP="0023457E">
            <w:pPr>
              <w:spacing w:line="276" w:lineRule="auto"/>
            </w:pPr>
            <w:sdt>
              <w:sdtPr>
                <w:rPr>
                  <w:rStyle w:val="Style2"/>
                </w:rPr>
                <w:id w:val="-1888403732"/>
                <w15:color w:val="FFCC00"/>
                <w14:checkbox>
                  <w14:checked w14:val="0"/>
                  <w14:checkedState w14:val="2612" w14:font="MS Gothic"/>
                  <w14:uncheckedState w14:val="2610" w14:font="MS Gothic"/>
                </w14:checkbox>
              </w:sdtPr>
              <w:sdtContent>
                <w:r w:rsidR="00795A05" w:rsidRPr="008636AA">
                  <w:rPr>
                    <w:rStyle w:val="Style2"/>
                    <w:rFonts w:ascii="Segoe UI Symbol" w:eastAsia="MS Gothic" w:hAnsi="Segoe UI Symbol" w:cs="Segoe UI Symbol"/>
                  </w:rPr>
                  <w:t>☐</w:t>
                </w:r>
              </w:sdtContent>
            </w:sdt>
            <w:r w:rsidR="00795A05" w:rsidRPr="008636AA">
              <w:t xml:space="preserve"> Taip</w:t>
            </w:r>
          </w:p>
          <w:p w14:paraId="16256042" w14:textId="77777777" w:rsidR="00795A05" w:rsidRPr="008636AA" w:rsidRDefault="00000000" w:rsidP="0023457E">
            <w:pPr>
              <w:spacing w:line="276" w:lineRule="auto"/>
            </w:pPr>
            <w:sdt>
              <w:sdtPr>
                <w:rPr>
                  <w:rStyle w:val="Style2"/>
                </w:rPr>
                <w:id w:val="1092201793"/>
                <w15:color w:val="FFCC00"/>
                <w14:checkbox>
                  <w14:checked w14:val="1"/>
                  <w14:checkedState w14:val="2612" w14:font="MS Gothic"/>
                  <w14:uncheckedState w14:val="2610" w14:font="MS Gothic"/>
                </w14:checkbox>
              </w:sdtPr>
              <w:sdtContent>
                <w:r w:rsidR="00795A05" w:rsidRPr="008636AA">
                  <w:rPr>
                    <w:rStyle w:val="Style2"/>
                    <w:rFonts w:ascii="Segoe UI Symbol" w:eastAsia="MS Gothic" w:hAnsi="Segoe UI Symbol" w:cs="Segoe UI Symbol"/>
                  </w:rPr>
                  <w:t>☒</w:t>
                </w:r>
              </w:sdtContent>
            </w:sdt>
            <w:r w:rsidR="00795A05" w:rsidRPr="008636AA">
              <w:t xml:space="preserve"> Ne</w:t>
            </w:r>
          </w:p>
          <w:p w14:paraId="69AA1151" w14:textId="32EA8311" w:rsidR="00795A05" w:rsidRPr="00E33EFF" w:rsidRDefault="00000000" w:rsidP="0023457E">
            <w:pPr>
              <w:spacing w:line="276" w:lineRule="auto"/>
              <w:rPr>
                <w:rFonts w:eastAsia="Arial"/>
              </w:rPr>
            </w:pPr>
            <w:sdt>
              <w:sdtPr>
                <w:alias w:val="Nurodykite konkrečią dieną"/>
                <w:tag w:val="Nurodykite pradžios datą"/>
                <w:id w:val="-198323198"/>
                <w:placeholder>
                  <w:docPart w:val="7A33C67432C9A041B0B9FF9BEBA634FD"/>
                </w:placeholder>
                <w:showingPlcHdr/>
                <w15:color w:val="FFCC99"/>
                <w:date w:fullDate="2022-05-18T00:00:00Z">
                  <w:dateFormat w:val="yyyy 'm.' MMMM d 'd.'"/>
                  <w:lid w:val="lt-LT"/>
                  <w:storeMappedDataAs w:val="dateTime"/>
                  <w:calendar w:val="gregorian"/>
                </w:date>
              </w:sdtPr>
              <w:sdtContent>
                <w:r w:rsidR="00795A05" w:rsidRPr="008636AA">
                  <w:rPr>
                    <w:rStyle w:val="Vietosrezervavimoenklotekstas"/>
                  </w:rPr>
                  <w:t>Click here to enter a date.</w:t>
                </w:r>
              </w:sdtContent>
            </w:sdt>
          </w:p>
        </w:tc>
        <w:tc>
          <w:tcPr>
            <w:tcW w:w="4787" w:type="dxa"/>
            <w:gridSpan w:val="2"/>
          </w:tcPr>
          <w:p w14:paraId="4BBC2676" w14:textId="77777777" w:rsidR="00795A05" w:rsidRPr="008636AA" w:rsidRDefault="00795A05" w:rsidP="0023457E">
            <w:pPr>
              <w:spacing w:line="276" w:lineRule="auto"/>
              <w:contextualSpacing/>
              <w:rPr>
                <w:rFonts w:eastAsia="Arial"/>
              </w:rPr>
            </w:pPr>
            <w:r w:rsidRPr="008636AA">
              <w:rPr>
                <w:rFonts w:eastAsia="Arial"/>
              </w:rPr>
              <w:t xml:space="preserve">Pirminis vertinimas atliktas 2020 spalio 29 d., rekomenduojamas pilnas STV. </w:t>
            </w:r>
          </w:p>
          <w:p w14:paraId="60651AFD" w14:textId="77777777" w:rsidR="00795A05" w:rsidRPr="00E33EFF" w:rsidRDefault="00795A05" w:rsidP="0023457E">
            <w:pPr>
              <w:spacing w:line="276" w:lineRule="auto"/>
              <w:rPr>
                <w:rFonts w:eastAsia="Arial"/>
              </w:rPr>
            </w:pPr>
          </w:p>
        </w:tc>
      </w:tr>
    </w:tbl>
    <w:p w14:paraId="2EB7FD31" w14:textId="4D2A8479" w:rsidR="007A2B68" w:rsidRDefault="007A2B68" w:rsidP="0023457E">
      <w:pPr>
        <w:pStyle w:val="Sraopastraipa"/>
        <w:tabs>
          <w:tab w:val="left" w:pos="426"/>
        </w:tabs>
        <w:spacing w:line="276" w:lineRule="auto"/>
        <w:ind w:left="0"/>
        <w:rPr>
          <w:b/>
          <w:bCs/>
          <w:caps/>
        </w:rPr>
      </w:pPr>
    </w:p>
    <w:p w14:paraId="73290081" w14:textId="77777777" w:rsidR="007A2B68" w:rsidRDefault="007A2B68" w:rsidP="0023457E">
      <w:pPr>
        <w:spacing w:line="276" w:lineRule="auto"/>
        <w:rPr>
          <w:b/>
          <w:bCs/>
          <w:caps/>
        </w:rPr>
      </w:pPr>
      <w:r>
        <w:rPr>
          <w:b/>
          <w:bCs/>
          <w:caps/>
        </w:rPr>
        <w:br w:type="page"/>
      </w:r>
    </w:p>
    <w:p w14:paraId="5055E8A8" w14:textId="471A9757" w:rsidR="002E6F80" w:rsidRDefault="00CC7832" w:rsidP="0023457E">
      <w:pPr>
        <w:pStyle w:val="Sraopastraipa"/>
        <w:numPr>
          <w:ilvl w:val="0"/>
          <w:numId w:val="12"/>
        </w:numPr>
        <w:tabs>
          <w:tab w:val="left" w:pos="567"/>
        </w:tabs>
        <w:spacing w:line="276" w:lineRule="auto"/>
        <w:ind w:hanging="720"/>
        <w:rPr>
          <w:b/>
          <w:bCs/>
          <w:caps/>
        </w:rPr>
      </w:pPr>
      <w:r w:rsidRPr="00E33EFF">
        <w:rPr>
          <w:b/>
          <w:bCs/>
          <w:caps/>
        </w:rPr>
        <w:lastRenderedPageBreak/>
        <w:t>Klinikinio vertinimo a</w:t>
      </w:r>
      <w:r w:rsidR="00D4485B" w:rsidRPr="00E33EFF">
        <w:rPr>
          <w:b/>
          <w:bCs/>
          <w:caps/>
        </w:rPr>
        <w:t>pibendrinimas</w:t>
      </w:r>
    </w:p>
    <w:p w14:paraId="1AC283A5" w14:textId="77777777" w:rsidR="0023457E" w:rsidRPr="00E33EFF" w:rsidRDefault="0023457E" w:rsidP="0023457E">
      <w:pPr>
        <w:pStyle w:val="Sraopastraipa"/>
        <w:tabs>
          <w:tab w:val="left" w:pos="567"/>
        </w:tabs>
        <w:spacing w:line="276" w:lineRule="auto"/>
        <w:rPr>
          <w:b/>
          <w:bCs/>
          <w:caps/>
        </w:rPr>
      </w:pPr>
    </w:p>
    <w:p w14:paraId="5F429F52" w14:textId="4F0880BA" w:rsidR="00795A05" w:rsidRDefault="00795A05" w:rsidP="0023457E">
      <w:pPr>
        <w:pStyle w:val="VVKT"/>
        <w:spacing w:line="276" w:lineRule="auto"/>
      </w:pPr>
      <w:r w:rsidRPr="007E388F">
        <w:t xml:space="preserve">Spinalinė raumenų atrofija (SRA) yra autosominiu recesyviniu būdu </w:t>
      </w:r>
      <w:r>
        <w:t xml:space="preserve">paveldima, </w:t>
      </w:r>
      <w:r w:rsidRPr="007E388F">
        <w:t>progresuojanti nervų ir raumenų liga. SRA dažnis yra apie 1 iš 10 000 gyvų gimusių naujagimių. Visas SRA formas lemia mutacijos SMN1 (</w:t>
      </w:r>
      <w:bookmarkStart w:id="1" w:name="_Hlk189575679"/>
      <w:r w:rsidR="00876C37">
        <w:t xml:space="preserve">angl. </w:t>
      </w:r>
      <w:r w:rsidRPr="00876C37">
        <w:rPr>
          <w:i/>
          <w:iCs/>
        </w:rPr>
        <w:t>survival motor neuron 1</w:t>
      </w:r>
      <w:bookmarkEnd w:id="1"/>
      <w:r w:rsidRPr="007E388F">
        <w:t>) gene, 5 chromosomos q11-q13 srityje. Antrasis SMN2 genas, esantis greta SMN1, lemia nepakankamą SMN baltymo, vadinamo motorinio neurono išgyvenamumo baltymu, gamybą.</w:t>
      </w:r>
      <w:r>
        <w:t xml:space="preserve"> </w:t>
      </w:r>
      <w:r w:rsidRPr="00E75CB0">
        <w:t>SMN baltym</w:t>
      </w:r>
      <w:r>
        <w:t xml:space="preserve">as </w:t>
      </w:r>
      <w:r w:rsidRPr="00E75CB0">
        <w:t>yra reikalingas α motorinių neuronų, esančių nugaros smegenų priekiniuose raguose, išgyvenamumui.</w:t>
      </w:r>
      <w:r>
        <w:t xml:space="preserve"> </w:t>
      </w:r>
      <w:r w:rsidRPr="007E388F">
        <w:t xml:space="preserve">Nors SRA sukelia SMN1 geno mutacijos, įrodyta, kad ligos sunkumą lemia SMN2 genas: kuo daugiau SMN2 geno kopijų turi pacientas, tuo ligos forma bus lengvesnė. SRA sudėtingumas priklauso nuo amžiaus, kai prasideda liga, bei SMN2 geno kopijų skaičiaus. SRA sukelia fizinę negalią pažeisdama motorinius neuronus nugaros smegenyse. Šios ląstelės per periferinius nervus perduoda impulsą iš galvos smegenų į raumenis. Joms sunykus, žmogus praranda galimybę vaikščioti, valgyti, vėliau ir kvėpuoti. 1 tipo SRA pacientai niekada neišmoksta sėdėti be pagalbos. </w:t>
      </w:r>
      <w:r w:rsidRPr="00C12E76">
        <w:t>Sergančiųjų 5q spinaline raumenų atrofija gydymas Lietuvoje nėra reglamentuo</w:t>
      </w:r>
      <w:r w:rsidR="00C12E76" w:rsidRPr="00C12E76">
        <w:t>tas teisės aktais</w:t>
      </w:r>
      <w:r w:rsidRPr="00C12E76">
        <w:t>. Pac</w:t>
      </w:r>
      <w:r w:rsidRPr="00A073FE">
        <w:t>ientai gydomi kompensuojamu vaistiniu preparatu risdiplamu</w:t>
      </w:r>
      <w:r>
        <w:t xml:space="preserve">. </w:t>
      </w:r>
      <w:r w:rsidRPr="00C3649A">
        <w:t xml:space="preserve">Risdiplamas yra SMN2 pre-mRNA splaisingo modifikatorius, </w:t>
      </w:r>
      <w:r>
        <w:t>kuris veikia</w:t>
      </w:r>
      <w:r w:rsidRPr="00C3649A">
        <w:t xml:space="preserve"> didindamas ir išlaikydamas funkcionuojančio SMN baltymo kiekį.</w:t>
      </w:r>
      <w:r>
        <w:t xml:space="preserve"> </w:t>
      </w:r>
      <w:r w:rsidRPr="00A073FE">
        <w:t xml:space="preserve">Tarptautinės </w:t>
      </w:r>
      <w:r w:rsidRPr="00A073FE">
        <w:rPr>
          <w:i/>
          <w:iCs/>
        </w:rPr>
        <w:t>SMA care group</w:t>
      </w:r>
      <w:r>
        <w:t xml:space="preserve"> 2018 m.</w:t>
      </w:r>
      <w:r w:rsidRPr="00A073FE">
        <w:t xml:space="preserve"> rekomendacijos</w:t>
      </w:r>
      <w:r>
        <w:t xml:space="preserve">e </w:t>
      </w:r>
      <w:r w:rsidRPr="00A073FE">
        <w:t>pacientų gydymui rekomenduojam</w:t>
      </w:r>
      <w:r>
        <w:t xml:space="preserve">as </w:t>
      </w:r>
      <w:r w:rsidRPr="00A073FE">
        <w:t>nusinersenas.</w:t>
      </w:r>
    </w:p>
    <w:p w14:paraId="19E6FC96" w14:textId="77777777" w:rsidR="00795A05" w:rsidRDefault="00795A05" w:rsidP="0023457E">
      <w:pPr>
        <w:pStyle w:val="VVKT"/>
        <w:spacing w:line="276" w:lineRule="auto"/>
      </w:pPr>
      <w:r w:rsidRPr="007E388F">
        <w:t xml:space="preserve">Nusinersenas yra priešprasmis oligonukleotidas (PPO), kuris didina egzono 7 įtraukimą į motoneurono išgyvenamumo geno 2 (angl. </w:t>
      </w:r>
      <w:r w:rsidRPr="00BA194D">
        <w:rPr>
          <w:i/>
          <w:iCs/>
        </w:rPr>
        <w:t>survival motor neuron 2</w:t>
      </w:r>
      <w:r w:rsidRPr="007E388F">
        <w:t>, SMN2) informacinės ribonukleorūgšties (iRNR) transkriptus, jungdamasis prie introninio splaisingo slopinimo vietos (ISS-N1), aptinkamos SMN2 priešinformacinės ribonukleorūgšties (prieš iRNR) introne 7.</w:t>
      </w:r>
      <w:r>
        <w:t xml:space="preserve"> </w:t>
      </w:r>
      <w:r w:rsidRPr="007E388F">
        <w:t>Prisijungdamas PPO išstumia splaisingo faktorius, kurie paprastai slopina splaisingą. Šių faktorių išstūmimas sąlygoja egzono 7 išlaikymą SMN2 iRNR, todėl pasigaminus SMN2 iRNR, jis gali būti verčiamas į funkcionuojantį viso ilgio SMN baltymą.</w:t>
      </w:r>
      <w:r w:rsidRPr="0073329D">
        <w:t xml:space="preserve"> </w:t>
      </w:r>
    </w:p>
    <w:p w14:paraId="4D74BA44" w14:textId="77777777" w:rsidR="00795A05" w:rsidRDefault="00795A05" w:rsidP="0023457E">
      <w:pPr>
        <w:tabs>
          <w:tab w:val="left" w:pos="426"/>
        </w:tabs>
        <w:spacing w:line="276" w:lineRule="auto"/>
        <w:jc w:val="both"/>
        <w:rPr>
          <w:rFonts w:eastAsia="Arial"/>
          <w:bCs/>
        </w:rPr>
      </w:pPr>
    </w:p>
    <w:p w14:paraId="121AB040" w14:textId="77777777" w:rsidR="00795A05" w:rsidRPr="00754518" w:rsidRDefault="00795A05" w:rsidP="0023457E">
      <w:pPr>
        <w:tabs>
          <w:tab w:val="left" w:pos="426"/>
        </w:tabs>
        <w:spacing w:line="276" w:lineRule="auto"/>
        <w:jc w:val="both"/>
        <w:rPr>
          <w:rFonts w:eastAsia="Arial"/>
          <w:bCs/>
          <w:i/>
          <w:iCs/>
        </w:rPr>
      </w:pPr>
      <w:r>
        <w:rPr>
          <w:rFonts w:eastAsia="Arial"/>
          <w:bCs/>
          <w:i/>
          <w:iCs/>
        </w:rPr>
        <w:t>Tiesioginis palyginimas</w:t>
      </w:r>
    </w:p>
    <w:p w14:paraId="24E85028" w14:textId="582FFBA7" w:rsidR="00795A05" w:rsidRPr="00E83FE5" w:rsidRDefault="00795A05" w:rsidP="0023457E">
      <w:pPr>
        <w:pStyle w:val="VVKT"/>
        <w:spacing w:line="276" w:lineRule="auto"/>
      </w:pPr>
      <w:r>
        <w:t>Tiesioginiame palyginime pateikti tyrimai, lyginantys nusinerseno efektyvumą su placeb</w:t>
      </w:r>
      <w:r w:rsidR="00BA194D">
        <w:t>u</w:t>
      </w:r>
      <w:r>
        <w:t xml:space="preserve">, istorinėmis pacientų kohortomis arba atviri tyrimai. </w:t>
      </w:r>
      <w:r w:rsidRPr="0064415E">
        <w:t xml:space="preserve">ENDEAR yra III fazės, dvigubai </w:t>
      </w:r>
      <w:r w:rsidR="00C12E76">
        <w:t>koduotas</w:t>
      </w:r>
      <w:r w:rsidRPr="0064415E">
        <w:t>, atsitiktinių imčių placebo procedūra kontroliuojamas, daugiacentris klinikinis tyrimas.</w:t>
      </w:r>
      <w:r>
        <w:t xml:space="preserve"> </w:t>
      </w:r>
      <w:r w:rsidRPr="0064415E">
        <w:t>Pagrindinės pradinės charakteristikos buvo subalansuotos ir atitiko 1 tipo SRA  pacientų populiaciją.</w:t>
      </w:r>
      <w:r>
        <w:t xml:space="preserve"> </w:t>
      </w:r>
      <w:r w:rsidRPr="0064415E">
        <w:t>Išgyvenamumas be įvykių (IBĮ) ir bendras išgyvenamumas (BĮ) buvo statistiškai reikšmingai didesni nusinerseno grupėje. Naujų motorinių tikslų pasiekė statistiškai reikšmingai daugiau pacientų nusinerseno grupėje, vertinant pagal HINE-2 ir CHOP INTEND skales. Tyrimo rezultatai rodo aiškų nusinerseno pranašumą prieš placebo gydant 1 tipo SRA sergančius kūdikius, gydymą pradedant per vidutiniškai 161 dieną nuo gimimo.</w:t>
      </w:r>
      <w:r>
        <w:t xml:space="preserve"> Pateiktas tyrimas </w:t>
      </w:r>
      <w:r w:rsidRPr="0064415E">
        <w:t>CS3A atviras, vienos šakos, II fazės, daugiacentris klinikinis tyrimas, kuriame buvo vertinamas intratekalinio nusinerseno efektyvumas 1 ir 2 tipo SRA pacientams.</w:t>
      </w:r>
      <w:r>
        <w:t xml:space="preserve"> </w:t>
      </w:r>
      <w:r w:rsidRPr="0064415E">
        <w:t>Pagrindinės pradinės charakteristikos buvo subalansuotos ir atitiko 1 tipo SRA  pacientų populiaciją. Tyrimo rezultatai paremia ENDEAR rezultatus -  nusinerseno efektyvumą gydant 1 tipo SRA sergančius kūdikius, gydymą pradedant per vidutiniškai 162 dienas nuo gimimo.</w:t>
      </w:r>
      <w:r>
        <w:t xml:space="preserve"> Dalis ENDEAR tyrimo populiacijos buvo įtraukta į tęstinį tyrimą SHINE. </w:t>
      </w:r>
      <w:r w:rsidRPr="0064415E">
        <w:t>Tyrimo rezultatai rodo, kad geresni 1 tipo SRA gydymo rezultatai pasiekiami ankščiau pradėjus gydymą bei esant geresnei pradinei būklei. Taip pat tyrimo rezultatai pagrindžia išliekantį tęstinį nusinerseno efektyvumą ilgesniu gydymo laikotarpiu.</w:t>
      </w:r>
      <w:r>
        <w:t xml:space="preserve"> </w:t>
      </w:r>
      <w:r w:rsidRPr="0064415E">
        <w:t xml:space="preserve">CHERISH yra III fazės, atsitiktinių imčių, dvigubai </w:t>
      </w:r>
      <w:r w:rsidR="00C12E76">
        <w:t>koduotas</w:t>
      </w:r>
      <w:r w:rsidRPr="0064415E">
        <w:t>, placeb</w:t>
      </w:r>
      <w:r w:rsidR="00C12E76">
        <w:t>u</w:t>
      </w:r>
      <w:r w:rsidRPr="0064415E">
        <w:t xml:space="preserve"> (netikra procedūra) kontroliuojamas tyrimas, skirtas įvertin</w:t>
      </w:r>
      <w:r>
        <w:t>ti</w:t>
      </w:r>
      <w:r w:rsidRPr="0064415E">
        <w:t xml:space="preserve"> nusinerseno aktyvumą SRA pasireiškus vėlesniame amžiuje.</w:t>
      </w:r>
      <w:r>
        <w:t xml:space="preserve"> </w:t>
      </w:r>
      <w:r w:rsidRPr="004A6E67">
        <w:t xml:space="preserve">Pagrindinės pradinės charakteristikos buvo subalansuotos ir atitiko bendrą 2 ir </w:t>
      </w:r>
      <w:r w:rsidRPr="004A6E67">
        <w:lastRenderedPageBreak/>
        <w:t>3 tipo SRA  pacientų populiaciją. Pacientų neišskirstymas į atskiras grupes pagal SRA tipą apsunkina rezultatų interpretaciją, kadangi 2 ir 3 tipo SRA pacientų funkcinė būklė ir ligos prognozė skiriasi.  Pagrindinė vertinamoji baigtis buvo statistiškai reikšmingai pranašesnė nusinerseno naudai. Dvi iš trijų antrinių baigčių(RULM skalės įverčio pokytis ir HFSME pagerėjimas bent 3 taškais) buvo statistiškai reikšmingai pranašesnės nusinerseno naudai; motorikos tikslų pasiekimas pagal PSO tarp grupių nesiskyrė. Šie rezultatai parodo, kad nusinersenas yra efektyvus gydant 2 ir 3 tipo SRA pacientus, tačiau stebima aiški koreliacija tarp geresnio gydymo nusinersenu efekto ir jaunesnio pacientų amžiaus bei trumpesnės ligos trukmės.</w:t>
      </w:r>
      <w:r>
        <w:t xml:space="preserve"> </w:t>
      </w:r>
      <w:r w:rsidRPr="004A6E67">
        <w:t>NURTURE yra II fazės, atviras tyrimas, skirtas įvertinti nusinerseno aktyvumą genetiškai nustatytą SRA turintiems pacienta</w:t>
      </w:r>
      <w:r w:rsidR="006E2501">
        <w:t>m</w:t>
      </w:r>
      <w:r w:rsidRPr="004A6E67">
        <w:t>s, kuriems simptomai dar nepasireiškė.</w:t>
      </w:r>
      <w:r>
        <w:t xml:space="preserve"> </w:t>
      </w:r>
      <w:r w:rsidRPr="004A6E67">
        <w:t>Tyrimas įrodo nusinerseno efektyvumą presimptominiams pacientams, tikėtina susirgsiantiems 1 arba 2 tipo SRA.</w:t>
      </w:r>
      <w:r>
        <w:t xml:space="preserve"> Pateikta </w:t>
      </w:r>
      <w:r w:rsidRPr="004A6E67">
        <w:t>metaanalizė, skirta įvertinti gydymo nusinersenu rezultatų tendencijoms 2 ir 3 tipo SRA populiacijoje (tyrimai su išskirtinai 1 tipo SRA populiacija į analizę neįtraukti)</w:t>
      </w:r>
      <w:r>
        <w:t xml:space="preserve">. </w:t>
      </w:r>
      <w:r w:rsidRPr="004A6E67">
        <w:t>Metaanalizė atlikta su 2 ir 3 tipo SRA sergančiais vaikų amžiaus ir suaugusiais pacienta</w:t>
      </w:r>
      <w:r w:rsidR="006E2501">
        <w:t>i</w:t>
      </w:r>
      <w:r w:rsidRPr="004A6E67">
        <w:t>s rodo, kad nusinersenas yra efektyvus šiose populiacijose. Didesnio efektyvumo tendencija stebima 2 tipo SRA populiacijoje.</w:t>
      </w:r>
      <w:r>
        <w:t xml:space="preserve"> Pateikti tikro pasaulio duomenys. Naujagimių patikrų duomenys pagrindžia nusinerseno efektyvumą presimtominiams SRA pacientams. Vokietijos, Austrijos, Italijos, Jungtinės Karalystės, Jungtinių Amerikos Valstijų SRA registrų duomenys rodo, kad gydymas nusinersenu efektyvus SRA 1-3 tipo pacientams iki 36 m. efektyvus, geresni rezultatai stebimi jaunesniems pacientams. </w:t>
      </w:r>
      <w:r w:rsidRPr="004A6E67">
        <w:rPr>
          <w:i/>
        </w:rPr>
        <w:t>Coratti et al.</w:t>
      </w:r>
      <w:r w:rsidRPr="00506D37">
        <w:t xml:space="preserve"> 2021</w:t>
      </w:r>
      <w:r>
        <w:t xml:space="preserve"> atlikta meta-analizė įtraukiant 13 tyrimų su suaugusiais pacientais, sergančiais 2 arba 3 tipo SRA ir gydytais nusinersenu, ir 4 tyrimus su SRA sergančiais vaikais, 2 tyrimus, kuriuose tirti ir vaikai, ir suaugę, ir 12 tyrimų su negydytais nusinersenu. </w:t>
      </w:r>
      <w:r w:rsidRPr="004A6E67">
        <w:t>Tyrimas papildo nusinerseno efektyvumo įrodymus vyresnių vaikų, sergančių 2 ir 3 tipo SRA populiacijoje. Geresni pacientų pasiekimai stebėti jaunesnio amžiaus ir geresnės motorinės būklės pacientams.</w:t>
      </w:r>
      <w:r>
        <w:t xml:space="preserve"> Pateiktas </w:t>
      </w:r>
      <w:r w:rsidRPr="004A6E67">
        <w:rPr>
          <w:i/>
        </w:rPr>
        <w:t xml:space="preserve">Günther et al. </w:t>
      </w:r>
      <w:r w:rsidRPr="004A6E67">
        <w:t>2024 prospektyvinis stebėjimo tyrimas su suaugusiais (16-71 m. amžiaus) SRA sergančiais pacientais.</w:t>
      </w:r>
      <w:r>
        <w:t xml:space="preserve"> </w:t>
      </w:r>
      <w:r w:rsidRPr="004A6E67">
        <w:t>Didžiąją tyrimo populiacijos dalį sudarė 2 ir 3 tipo SRA pacientai, vidutinis tiriamųjų amžius tyrimo pradžioje – 36 metai. Tyrimas papildo nusinerseno efektyvumo įrodymus suaugusių SRA pacientų populiacijoje.</w:t>
      </w:r>
      <w:r>
        <w:t xml:space="preserve"> Pateiktas </w:t>
      </w:r>
      <w:r w:rsidRPr="004A6E67">
        <w:rPr>
          <w:i/>
        </w:rPr>
        <w:t xml:space="preserve">Lusakowska et al. </w:t>
      </w:r>
      <w:r w:rsidRPr="004A6E67">
        <w:t>2023 prospektyvinis tyrimas</w:t>
      </w:r>
      <w:r>
        <w:t>, d</w:t>
      </w:r>
      <w:r w:rsidRPr="004A6E67">
        <w:t>idžiąją tyrimo populiacijos dalį sudarė 3 tipo SRA pacientai, vidutinis tiriamųjų amžius tyrimo pradžioje – 32 metai. Tyrimas papildo nusinerseno efektyvumo įrodymus suaugusių SRA pacientų populiacijoje.</w:t>
      </w:r>
      <w:r>
        <w:t xml:space="preserve"> Pateiktas </w:t>
      </w:r>
      <w:r w:rsidRPr="004A6E67">
        <w:rPr>
          <w:i/>
        </w:rPr>
        <w:t>Maggi et al 2020</w:t>
      </w:r>
      <w:r w:rsidRPr="004A6E67">
        <w:t xml:space="preserve"> retrospektyvinis kohortinis tyrimas, į kurį įtraukti SRA sergantys pacientai, kuriems gydymas nusinersenu buvo pradėtas &gt;18 m. amžiaus.</w:t>
      </w:r>
      <w:r>
        <w:t xml:space="preserve"> </w:t>
      </w:r>
      <w:r w:rsidRPr="004A6E67">
        <w:t>Didžiąją tyrimo populiacijos dalį sudarė 3 tipo SRA pacientai, vidutinis tiriamųjų amžius tyrimo pradžioje – 34 metai. Tyrimas papildo nusinerseno efektyvumo įrodymus suaugusių SRA pacientų populiacijoje.</w:t>
      </w:r>
      <w:r>
        <w:t xml:space="preserve"> Pateikta </w:t>
      </w:r>
      <w:r w:rsidRPr="004A6E67">
        <w:rPr>
          <w:i/>
          <w:iCs/>
        </w:rPr>
        <w:t>Hagenacker et al 2020</w:t>
      </w:r>
      <w:r w:rsidRPr="004A6E67">
        <w:t xml:space="preserve"> prospektyvinė, daugiacentrė stebėjimo studija</w:t>
      </w:r>
      <w:r>
        <w:t>, d</w:t>
      </w:r>
      <w:r w:rsidRPr="004A6E67">
        <w:t>idžiąją tyrimo populiacijos dalį sudarė 3 tipo SRA pacientai, vidutinis tiriamųjų amžius tyrimo pradžioje – 36 metai. Tyrimas papildo nusinerseno efektyvumo įrodymus suaugusių SRA pacientų populiacijoje.</w:t>
      </w:r>
      <w:r w:rsidRPr="00E83FE5">
        <w:t xml:space="preserve"> </w:t>
      </w:r>
      <w:r w:rsidRPr="00C4621C">
        <w:t xml:space="preserve">Vaistinio preparato risdiplamo saugumas apžvelgtas ir pateiktas EVA mokslinėje diskusijoje </w:t>
      </w:r>
      <w:r>
        <w:t>(</w:t>
      </w:r>
      <w:r w:rsidRPr="004414BB">
        <w:t>EMA/289068/2017</w:t>
      </w:r>
      <w:r>
        <w:t xml:space="preserve">) </w:t>
      </w:r>
      <w:r w:rsidRPr="00C4621C">
        <w:t xml:space="preserve">bei apibendrintas </w:t>
      </w:r>
      <w:r>
        <w:t>vaistinio preparato charakteristikos santraukoje. Palyginamasis saugumas vertintas remiantis ENDEAR, CHERISH ir NURTURE tyrimų duomenimis. Nusinerseno palyginamasis saugumas yra patenkinamas presimptominėje, kūdikių amžiaus ir vėlesnės pradžios SRA (1-3 tipų), atsižvelgiant į ligos eigą ir klinikinę specifiką.</w:t>
      </w:r>
    </w:p>
    <w:p w14:paraId="7F57DE40" w14:textId="77777777" w:rsidR="00795A05" w:rsidRDefault="00795A05" w:rsidP="0023457E">
      <w:pPr>
        <w:tabs>
          <w:tab w:val="left" w:pos="426"/>
        </w:tabs>
        <w:spacing w:line="276" w:lineRule="auto"/>
        <w:jc w:val="both"/>
        <w:rPr>
          <w:rFonts w:eastAsia="Arial"/>
          <w:bCs/>
        </w:rPr>
      </w:pPr>
    </w:p>
    <w:p w14:paraId="68F647A4" w14:textId="77777777" w:rsidR="00795A05" w:rsidRPr="00B55AFA" w:rsidRDefault="00795A05" w:rsidP="0023457E">
      <w:pPr>
        <w:tabs>
          <w:tab w:val="left" w:pos="426"/>
        </w:tabs>
        <w:spacing w:line="276" w:lineRule="auto"/>
        <w:jc w:val="both"/>
        <w:rPr>
          <w:rFonts w:eastAsia="Arial"/>
          <w:bCs/>
          <w:i/>
          <w:iCs/>
        </w:rPr>
      </w:pPr>
      <w:r>
        <w:rPr>
          <w:rFonts w:eastAsia="Arial"/>
          <w:bCs/>
          <w:i/>
          <w:iCs/>
        </w:rPr>
        <w:t>Netiesioginis palyginimas</w:t>
      </w:r>
    </w:p>
    <w:p w14:paraId="4B274B4C" w14:textId="28D9FA6A" w:rsidR="00795A05" w:rsidRDefault="00795A05" w:rsidP="0023457E">
      <w:pPr>
        <w:pStyle w:val="VVKT"/>
        <w:spacing w:line="276" w:lineRule="auto"/>
      </w:pPr>
      <w:r>
        <w:t>Nesant tiesioginio palyginimo su tinkamu palyginamuoju gydymu risdiplamu, pateikti netiesioginės palyginamosios analizės (NPA) duomenys iš vaistinio preparato risdiplamo rekomendacijos dėl įrašymo į kompensuojamų vaistų sąrašą. N</w:t>
      </w:r>
      <w:r w:rsidRPr="00DB052A">
        <w:t xml:space="preserve">etiesioginio palyginimo </w:t>
      </w:r>
      <w:r>
        <w:t>tar</w:t>
      </w:r>
      <w:r w:rsidR="00BA194D">
        <w:t>p</w:t>
      </w:r>
      <w:r>
        <w:t xml:space="preserve"> </w:t>
      </w:r>
      <w:r>
        <w:lastRenderedPageBreak/>
        <w:t xml:space="preserve">risdiplamo ir nusinerseno </w:t>
      </w:r>
      <w:r w:rsidRPr="00DB052A">
        <w:t xml:space="preserve">NPA 1 tipo SRA rezultatai parodė, kad gydymas risdiplamu galimai prailgina  bendro išgyvenamumo ir išgyvenamumo be įvykių (RS=0,261, 95% pasikliautinas intervalas (PI): 0,030-0,546; RS=0,197, 95% PI: (0,065-0,0370), palyginus su nusinersenu. NPA 2 ir 3 tipo SRA. Lyginant risdiplamą su nusinersenu, RULM vidutinis pokytis nuo pradinio įverčio buvo -0,60 (95% PI (-2,24;1,22). Risdiplamu gydyti 2 ir 3 tipo SRA sergantys pacientai turėjo didesnę tikimybę RULM įverčiui padidėti 2 ir daugiau balų (galimybių santykis (GS) 2,66 (95% PI (0,76;12,74). Tačiau remiantis šiais rezultatais risdiplamas nėra pranašesnis už nusinerseną, gydant sergančius 2 ir 3 tipo SRA pacientus. </w:t>
      </w:r>
      <w:r>
        <w:t xml:space="preserve">Saugumo duomenys surinkti iš visų risdiplamo tyrimų (FIREFISH, SUNFISH, JEWELFISH) ir visų nusinerseno tyrimų (ENDEAR, CHERISH). </w:t>
      </w:r>
      <w:r w:rsidRPr="007901B0">
        <w:t>Atsižvelgiant į pateiktus NPA duomenis, tikėtina, kad risdiplamas ir nusinersenas yra panašaus arba iš esmės nesiskiriančio saugumo.</w:t>
      </w:r>
    </w:p>
    <w:p w14:paraId="3D8091F4" w14:textId="77777777" w:rsidR="00795A05" w:rsidRDefault="00795A05" w:rsidP="0023457E">
      <w:pPr>
        <w:spacing w:line="276" w:lineRule="auto"/>
        <w:rPr>
          <w:rFonts w:eastAsia="Arial"/>
          <w:bCs/>
        </w:rPr>
      </w:pPr>
    </w:p>
    <w:p w14:paraId="086C1456" w14:textId="77777777" w:rsidR="00795A05" w:rsidRDefault="00795A05" w:rsidP="0023457E">
      <w:pPr>
        <w:spacing w:line="276" w:lineRule="auto"/>
        <w:rPr>
          <w:rFonts w:eastAsia="Arial"/>
          <w:bCs/>
        </w:rPr>
      </w:pPr>
      <w:r w:rsidRPr="007901B0">
        <w:rPr>
          <w:rFonts w:eastAsia="Arial"/>
          <w:bCs/>
          <w:i/>
          <w:iCs/>
        </w:rPr>
        <w:t>Privalumai ir trūkumai</w:t>
      </w:r>
      <w:r w:rsidRPr="007901B0">
        <w:rPr>
          <w:rFonts w:eastAsia="Arial"/>
          <w:bCs/>
        </w:rPr>
        <w:t xml:space="preserve"> </w:t>
      </w:r>
    </w:p>
    <w:p w14:paraId="3554E0CA" w14:textId="73BC6CA3" w:rsidR="00795A05" w:rsidRPr="007901B0" w:rsidRDefault="00795A05" w:rsidP="0023457E">
      <w:pPr>
        <w:pStyle w:val="VVKT"/>
        <w:spacing w:line="276" w:lineRule="auto"/>
      </w:pPr>
      <w:r>
        <w:t xml:space="preserve">Įrašius nusinerseną į kompensuojamų </w:t>
      </w:r>
      <w:r w:rsidR="00982B65">
        <w:t>vaistų</w:t>
      </w:r>
      <w:r>
        <w:t xml:space="preserve"> sąrašą, akivaizdžių trūkumų pacientams ir sveikatos priežiūros specialistams nebūtų, tuo tarpu privalumu laikoma tai, kad padidėtų SRA gydymo galimybės. </w:t>
      </w:r>
    </w:p>
    <w:p w14:paraId="191F6BD1" w14:textId="77777777" w:rsidR="00982B65" w:rsidRDefault="00795A05" w:rsidP="00982B65">
      <w:pPr>
        <w:pStyle w:val="VVKT"/>
        <w:spacing w:line="276" w:lineRule="auto"/>
      </w:pPr>
      <w:r>
        <w:t xml:space="preserve">Apibendrinant paraiškoje pateiktus duomenis, gydymas nusinersenu yra efektyvesnis nei geriausias palaikomasis gydymas ar gydymas placebu. Remiantis pateiktais netiesioginio palyginimo duomenimis, nesant tiesioginio palyginimo duomenų, </w:t>
      </w:r>
      <w:r w:rsidR="00982B65">
        <w:t xml:space="preserve">daroma išvada, kad nusinerseno ir risdiplamo palyginamasis veiksmingumas nesiskiria. </w:t>
      </w:r>
    </w:p>
    <w:p w14:paraId="067DA07D" w14:textId="77777777" w:rsidR="00795A05" w:rsidRPr="0073329D" w:rsidRDefault="00795A05" w:rsidP="0023457E">
      <w:pPr>
        <w:spacing w:line="276" w:lineRule="auto"/>
        <w:rPr>
          <w:rFonts w:eastAsia="Arial"/>
          <w:i/>
        </w:rPr>
      </w:pPr>
    </w:p>
    <w:p w14:paraId="25F89291" w14:textId="5C45C8FC" w:rsidR="00D4485B" w:rsidRPr="00E33EFF" w:rsidRDefault="00D4485B" w:rsidP="0023457E">
      <w:pPr>
        <w:pStyle w:val="Sraopastraipa"/>
        <w:tabs>
          <w:tab w:val="left" w:pos="426"/>
        </w:tabs>
        <w:spacing w:line="276" w:lineRule="auto"/>
        <w:ind w:left="0"/>
        <w:rPr>
          <w:b/>
          <w:bCs/>
          <w:caps/>
        </w:rPr>
      </w:pPr>
    </w:p>
    <w:p w14:paraId="7DE09EB5" w14:textId="69E9DD74" w:rsidR="00E03C3F" w:rsidRPr="00E33EFF" w:rsidRDefault="00CC7832" w:rsidP="0023457E">
      <w:pPr>
        <w:pStyle w:val="Sraopastraipa"/>
        <w:numPr>
          <w:ilvl w:val="0"/>
          <w:numId w:val="12"/>
        </w:numPr>
        <w:tabs>
          <w:tab w:val="left" w:pos="567"/>
        </w:tabs>
        <w:spacing w:line="276" w:lineRule="auto"/>
        <w:ind w:hanging="720"/>
        <w:rPr>
          <w:b/>
          <w:bCs/>
          <w:caps/>
        </w:rPr>
      </w:pPr>
      <w:r w:rsidRPr="00E33EFF">
        <w:rPr>
          <w:b/>
          <w:bCs/>
          <w:caps/>
        </w:rPr>
        <w:t xml:space="preserve">ekonominio vertinimo </w:t>
      </w:r>
      <w:r w:rsidR="002F0E4F" w:rsidRPr="00E33EFF">
        <w:rPr>
          <w:b/>
          <w:bCs/>
          <w:caps/>
        </w:rPr>
        <w:t>apibendrinimas</w:t>
      </w:r>
    </w:p>
    <w:p w14:paraId="2A42DC6B" w14:textId="77777777" w:rsidR="00BA6A88" w:rsidRDefault="00BA6A88" w:rsidP="0023457E">
      <w:pPr>
        <w:shd w:val="clear" w:color="auto" w:fill="FFFFFF"/>
        <w:spacing w:line="276" w:lineRule="auto"/>
        <w:jc w:val="both"/>
        <w:rPr>
          <w:rFonts w:eastAsia="Arial"/>
        </w:rPr>
      </w:pPr>
    </w:p>
    <w:p w14:paraId="613A3FCA" w14:textId="77777777" w:rsidR="000B291F" w:rsidRDefault="00BA6A88" w:rsidP="000B291F">
      <w:pPr>
        <w:shd w:val="clear" w:color="auto" w:fill="FFFFFF"/>
        <w:spacing w:line="276" w:lineRule="auto"/>
        <w:ind w:firstLine="720"/>
        <w:jc w:val="both"/>
        <w:rPr>
          <w:rFonts w:eastAsia="Arial"/>
        </w:rPr>
      </w:pPr>
      <w:r w:rsidRPr="00BA6A88">
        <w:rPr>
          <w:rFonts w:eastAsia="Arial"/>
        </w:rPr>
        <w:t>Analizė atliekama taikant kaštų mažinimo perspektyvą, laikant, jog nusinerseno ir risdiplamo sukuriama nauda pacientų sveikatai yra iš esmės nesiskirianti, todėl analizėje lyginami tik gydymo kaštai. Atsižvelgiant į anksčiau Tarnybos atliktus vertinimus, nusinerseno vartojimo kaštai pagrindinio atvejo analizėje apskaičiuojami taikant DRG kodus: B67A, B67B, B67C.</w:t>
      </w:r>
    </w:p>
    <w:p w14:paraId="387EA47B" w14:textId="65551131" w:rsidR="00BA6A88" w:rsidRPr="00BA6A88" w:rsidRDefault="00BA6A88" w:rsidP="000B291F">
      <w:pPr>
        <w:shd w:val="clear" w:color="auto" w:fill="FFFFFF"/>
        <w:spacing w:line="276" w:lineRule="auto"/>
        <w:ind w:firstLine="720"/>
        <w:jc w:val="both"/>
        <w:rPr>
          <w:rFonts w:eastAsia="Arial"/>
        </w:rPr>
      </w:pPr>
      <w:r w:rsidRPr="00BA6A88">
        <w:rPr>
          <w:rFonts w:eastAsia="Arial"/>
        </w:rPr>
        <w:t xml:space="preserve">Gydymo nusinersenu kaštus padidina vartojimo kaštai, nes nusinersenas vartojamas </w:t>
      </w:r>
      <w:r w:rsidR="00CE6F47">
        <w:rPr>
          <w:rFonts w:eastAsia="Arial"/>
        </w:rPr>
        <w:t>leidžiant į povoratinklinę ertmę, atliekant juosmeninę punkciją</w:t>
      </w:r>
      <w:r w:rsidRPr="00BA6A88">
        <w:rPr>
          <w:rFonts w:eastAsia="Arial"/>
        </w:rPr>
        <w:t xml:space="preserve">. Įvertinus analizės rezultatą, nustatyta, jog gydymas nusinersenu yra brangesnis, nei gydymas risdiplamu. Reikalinga papildoma </w:t>
      </w:r>
      <w:r w:rsidR="0082416D">
        <w:rPr>
          <w:rFonts w:eastAsia="Arial"/>
        </w:rPr>
        <w:t>***</w:t>
      </w:r>
      <w:r w:rsidRPr="00BA6A88">
        <w:rPr>
          <w:rFonts w:eastAsia="Arial"/>
        </w:rPr>
        <w:t xml:space="preserve"> - </w:t>
      </w:r>
      <w:r w:rsidR="0082416D">
        <w:rPr>
          <w:rFonts w:eastAsia="Arial"/>
        </w:rPr>
        <w:t>***</w:t>
      </w:r>
      <w:r w:rsidRPr="00BA6A88">
        <w:rPr>
          <w:rFonts w:eastAsia="Arial"/>
        </w:rPr>
        <w:t xml:space="preserve"> proc. nuolaida, jog nusinerseno ir risdiplamo gydymo kaštai būtų panašūs.</w:t>
      </w:r>
    </w:p>
    <w:p w14:paraId="1A900598" w14:textId="4826E5DF" w:rsidR="00C62B36" w:rsidRPr="00E33EFF" w:rsidRDefault="00C62B36" w:rsidP="0023457E">
      <w:pPr>
        <w:tabs>
          <w:tab w:val="left" w:pos="426"/>
        </w:tabs>
        <w:spacing w:line="276" w:lineRule="auto"/>
        <w:rPr>
          <w:b/>
          <w:bCs/>
          <w:caps/>
        </w:rPr>
      </w:pPr>
    </w:p>
    <w:p w14:paraId="174D84D7" w14:textId="2A98EE7C" w:rsidR="0035172D" w:rsidRPr="00E33EFF" w:rsidRDefault="0035172D" w:rsidP="0023457E">
      <w:pPr>
        <w:tabs>
          <w:tab w:val="left" w:pos="426"/>
        </w:tabs>
        <w:spacing w:line="276" w:lineRule="auto"/>
        <w:rPr>
          <w:b/>
          <w:lang w:eastAsia="lt-LT"/>
        </w:rPr>
      </w:pPr>
      <w:r w:rsidRPr="00E33EFF">
        <w:rPr>
          <w:b/>
          <w:lang w:eastAsia="lt-LT"/>
        </w:rPr>
        <w:t>Ekonominės analizės rezultatas</w:t>
      </w: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98"/>
        <w:gridCol w:w="1507"/>
        <w:gridCol w:w="1337"/>
        <w:gridCol w:w="1337"/>
        <w:gridCol w:w="1337"/>
        <w:gridCol w:w="1296"/>
        <w:gridCol w:w="1296"/>
      </w:tblGrid>
      <w:tr w:rsidR="00BA6A88" w:rsidRPr="00072F5D" w14:paraId="2D05ED1E" w14:textId="77777777" w:rsidTr="00E5611D">
        <w:trPr>
          <w:trHeight w:val="364"/>
          <w:jc w:val="center"/>
        </w:trPr>
        <w:tc>
          <w:tcPr>
            <w:tcW w:w="9908" w:type="dxa"/>
            <w:gridSpan w:val="7"/>
            <w:vAlign w:val="center"/>
          </w:tcPr>
          <w:p w14:paraId="1FDE44E6" w14:textId="77777777" w:rsidR="00BA6A88" w:rsidRPr="00856762" w:rsidRDefault="00BA6A88" w:rsidP="0023457E">
            <w:pPr>
              <w:tabs>
                <w:tab w:val="left" w:pos="567"/>
              </w:tabs>
              <w:spacing w:line="276" w:lineRule="auto"/>
              <w:jc w:val="center"/>
              <w:rPr>
                <w:b/>
                <w:i/>
                <w:iCs/>
                <w:color w:val="00B050"/>
                <w:sz w:val="22"/>
                <w:szCs w:val="22"/>
                <w:lang w:eastAsia="lt-LT"/>
              </w:rPr>
            </w:pPr>
            <w:r w:rsidRPr="00856762">
              <w:rPr>
                <w:b/>
                <w:lang w:eastAsia="lt-LT"/>
              </w:rPr>
              <w:t>Kaštai</w:t>
            </w:r>
          </w:p>
        </w:tc>
      </w:tr>
      <w:tr w:rsidR="00BA6A88" w:rsidRPr="00072F5D" w14:paraId="25CEDC33" w14:textId="77777777" w:rsidTr="00E5611D">
        <w:trPr>
          <w:jc w:val="center"/>
        </w:trPr>
        <w:tc>
          <w:tcPr>
            <w:tcW w:w="1798" w:type="dxa"/>
          </w:tcPr>
          <w:p w14:paraId="57666F44" w14:textId="77777777" w:rsidR="00BA6A88" w:rsidRPr="00856762" w:rsidRDefault="00BA6A88" w:rsidP="0023457E">
            <w:pPr>
              <w:tabs>
                <w:tab w:val="left" w:pos="567"/>
              </w:tabs>
              <w:spacing w:line="276" w:lineRule="auto"/>
              <w:jc w:val="both"/>
              <w:rPr>
                <w:color w:val="00B050"/>
                <w:lang w:eastAsia="lt-LT"/>
              </w:rPr>
            </w:pPr>
          </w:p>
        </w:tc>
        <w:tc>
          <w:tcPr>
            <w:tcW w:w="1507" w:type="dxa"/>
          </w:tcPr>
          <w:p w14:paraId="0FC7559A" w14:textId="77777777" w:rsidR="00BA6A88" w:rsidRPr="00856762" w:rsidRDefault="00BA6A88" w:rsidP="0023457E">
            <w:pPr>
              <w:tabs>
                <w:tab w:val="left" w:pos="567"/>
              </w:tabs>
              <w:spacing w:line="276" w:lineRule="auto"/>
              <w:jc w:val="both"/>
              <w:rPr>
                <w:i/>
                <w:iCs/>
                <w:lang w:eastAsia="lt-LT"/>
              </w:rPr>
            </w:pPr>
            <w:r w:rsidRPr="00856762">
              <w:rPr>
                <w:i/>
                <w:iCs/>
                <w:lang w:eastAsia="lt-LT"/>
              </w:rPr>
              <w:t>1 metai</w:t>
            </w:r>
          </w:p>
        </w:tc>
        <w:tc>
          <w:tcPr>
            <w:tcW w:w="1337" w:type="dxa"/>
          </w:tcPr>
          <w:p w14:paraId="6D2BBCE0" w14:textId="77777777" w:rsidR="00BA6A88" w:rsidRPr="00856762" w:rsidRDefault="00BA6A88" w:rsidP="0023457E">
            <w:pPr>
              <w:tabs>
                <w:tab w:val="left" w:pos="567"/>
              </w:tabs>
              <w:spacing w:line="276" w:lineRule="auto"/>
              <w:jc w:val="both"/>
              <w:rPr>
                <w:i/>
                <w:iCs/>
                <w:lang w:eastAsia="lt-LT"/>
              </w:rPr>
            </w:pPr>
            <w:r w:rsidRPr="00856762">
              <w:rPr>
                <w:i/>
                <w:iCs/>
                <w:lang w:eastAsia="lt-LT"/>
              </w:rPr>
              <w:t>2 metai</w:t>
            </w:r>
          </w:p>
        </w:tc>
        <w:tc>
          <w:tcPr>
            <w:tcW w:w="1337" w:type="dxa"/>
          </w:tcPr>
          <w:p w14:paraId="41F9C59A" w14:textId="77777777" w:rsidR="00BA6A88" w:rsidRPr="00856762" w:rsidRDefault="00BA6A88" w:rsidP="0023457E">
            <w:pPr>
              <w:tabs>
                <w:tab w:val="left" w:pos="567"/>
              </w:tabs>
              <w:spacing w:line="276" w:lineRule="auto"/>
              <w:jc w:val="both"/>
              <w:rPr>
                <w:i/>
                <w:lang w:eastAsia="lt-LT"/>
              </w:rPr>
            </w:pPr>
            <w:r w:rsidRPr="00856762">
              <w:rPr>
                <w:i/>
                <w:lang w:eastAsia="lt-LT"/>
              </w:rPr>
              <w:t>3 metai</w:t>
            </w:r>
          </w:p>
        </w:tc>
        <w:tc>
          <w:tcPr>
            <w:tcW w:w="1337" w:type="dxa"/>
          </w:tcPr>
          <w:p w14:paraId="261E71E6" w14:textId="77777777" w:rsidR="00BA6A88" w:rsidRPr="00856762" w:rsidRDefault="00BA6A88" w:rsidP="0023457E">
            <w:pPr>
              <w:tabs>
                <w:tab w:val="left" w:pos="567"/>
              </w:tabs>
              <w:spacing w:line="276" w:lineRule="auto"/>
              <w:jc w:val="both"/>
              <w:rPr>
                <w:i/>
                <w:lang w:eastAsia="lt-LT"/>
              </w:rPr>
            </w:pPr>
            <w:r w:rsidRPr="00856762">
              <w:rPr>
                <w:i/>
                <w:lang w:eastAsia="lt-LT"/>
              </w:rPr>
              <w:t>4 metai</w:t>
            </w:r>
          </w:p>
        </w:tc>
        <w:tc>
          <w:tcPr>
            <w:tcW w:w="1296" w:type="dxa"/>
          </w:tcPr>
          <w:p w14:paraId="79044CEF" w14:textId="77777777" w:rsidR="00BA6A88" w:rsidRPr="00856762" w:rsidRDefault="00BA6A88" w:rsidP="0023457E">
            <w:pPr>
              <w:tabs>
                <w:tab w:val="left" w:pos="567"/>
              </w:tabs>
              <w:spacing w:line="276" w:lineRule="auto"/>
              <w:jc w:val="both"/>
              <w:rPr>
                <w:i/>
                <w:lang w:eastAsia="lt-LT"/>
              </w:rPr>
            </w:pPr>
            <w:r w:rsidRPr="00856762">
              <w:rPr>
                <w:i/>
                <w:lang w:eastAsia="lt-LT"/>
              </w:rPr>
              <w:t>5 metai</w:t>
            </w:r>
          </w:p>
          <w:p w14:paraId="3508587F" w14:textId="77777777" w:rsidR="00BA6A88" w:rsidRPr="00856762" w:rsidRDefault="00BA6A88" w:rsidP="0023457E">
            <w:pPr>
              <w:tabs>
                <w:tab w:val="left" w:pos="567"/>
              </w:tabs>
              <w:spacing w:line="276" w:lineRule="auto"/>
              <w:jc w:val="both"/>
              <w:rPr>
                <w:i/>
                <w:lang w:eastAsia="lt-LT"/>
              </w:rPr>
            </w:pPr>
          </w:p>
        </w:tc>
        <w:tc>
          <w:tcPr>
            <w:tcW w:w="1296" w:type="dxa"/>
          </w:tcPr>
          <w:p w14:paraId="1C37DABA" w14:textId="77777777" w:rsidR="00BA6A88" w:rsidRPr="00200F15" w:rsidRDefault="00BA6A88" w:rsidP="0023457E">
            <w:pPr>
              <w:tabs>
                <w:tab w:val="left" w:pos="567"/>
              </w:tabs>
              <w:spacing w:line="276" w:lineRule="auto"/>
              <w:jc w:val="both"/>
              <w:rPr>
                <w:i/>
                <w:lang w:eastAsia="lt-LT"/>
              </w:rPr>
            </w:pPr>
            <w:r>
              <w:rPr>
                <w:i/>
                <w:lang w:eastAsia="lt-LT"/>
              </w:rPr>
              <w:t>Viso</w:t>
            </w:r>
          </w:p>
        </w:tc>
      </w:tr>
      <w:tr w:rsidR="005C5F49" w:rsidRPr="00072F5D" w14:paraId="76EA9A63" w14:textId="77777777" w:rsidTr="00E5611D">
        <w:trPr>
          <w:jc w:val="center"/>
        </w:trPr>
        <w:tc>
          <w:tcPr>
            <w:tcW w:w="1798" w:type="dxa"/>
          </w:tcPr>
          <w:p w14:paraId="0BE26713" w14:textId="34B5AA49" w:rsidR="005C5F49" w:rsidRPr="00856762" w:rsidRDefault="005C5F49" w:rsidP="005C5F49">
            <w:pPr>
              <w:tabs>
                <w:tab w:val="left" w:pos="567"/>
              </w:tabs>
              <w:spacing w:line="276" w:lineRule="auto"/>
              <w:jc w:val="both"/>
              <w:rPr>
                <w:lang w:eastAsia="lt-LT"/>
              </w:rPr>
            </w:pPr>
            <w:r w:rsidRPr="00856762">
              <w:rPr>
                <w:lang w:eastAsia="lt-LT"/>
              </w:rPr>
              <w:t>Risdiplam</w:t>
            </w:r>
            <w:r>
              <w:rPr>
                <w:lang w:eastAsia="lt-LT"/>
              </w:rPr>
              <w:t>as</w:t>
            </w:r>
          </w:p>
        </w:tc>
        <w:tc>
          <w:tcPr>
            <w:tcW w:w="1507" w:type="dxa"/>
          </w:tcPr>
          <w:p w14:paraId="0798EF84" w14:textId="0D2F2EAA" w:rsidR="005C5F49" w:rsidRPr="00200F15" w:rsidRDefault="005C5F49" w:rsidP="005C5F49">
            <w:pPr>
              <w:tabs>
                <w:tab w:val="left" w:pos="567"/>
              </w:tabs>
              <w:spacing w:line="276" w:lineRule="auto"/>
              <w:jc w:val="both"/>
              <w:rPr>
                <w:i/>
                <w:iCs/>
                <w:lang w:eastAsia="lt-LT"/>
              </w:rPr>
            </w:pPr>
            <w:r w:rsidRPr="004D5EF3">
              <w:rPr>
                <w:sz w:val="22"/>
                <w:szCs w:val="22"/>
                <w:lang w:val="en-US"/>
              </w:rPr>
              <w:t>******</w:t>
            </w:r>
          </w:p>
        </w:tc>
        <w:tc>
          <w:tcPr>
            <w:tcW w:w="1337" w:type="dxa"/>
          </w:tcPr>
          <w:p w14:paraId="1129437E" w14:textId="21C05C33" w:rsidR="005C5F49" w:rsidRPr="002126B7" w:rsidRDefault="005C5F49" w:rsidP="005C5F49">
            <w:pPr>
              <w:tabs>
                <w:tab w:val="left" w:pos="567"/>
              </w:tabs>
              <w:spacing w:line="276" w:lineRule="auto"/>
              <w:jc w:val="both"/>
              <w:rPr>
                <w:i/>
                <w:iCs/>
                <w:lang w:eastAsia="lt-LT"/>
              </w:rPr>
            </w:pPr>
            <w:r w:rsidRPr="004D5EF3">
              <w:rPr>
                <w:sz w:val="22"/>
                <w:szCs w:val="22"/>
                <w:lang w:val="en-US"/>
              </w:rPr>
              <w:t>******</w:t>
            </w:r>
          </w:p>
        </w:tc>
        <w:tc>
          <w:tcPr>
            <w:tcW w:w="1337" w:type="dxa"/>
          </w:tcPr>
          <w:p w14:paraId="770EF683" w14:textId="1EA8E9B6" w:rsidR="005C5F49" w:rsidRPr="00856762" w:rsidRDefault="005C5F49" w:rsidP="005C5F49">
            <w:pPr>
              <w:tabs>
                <w:tab w:val="left" w:pos="567"/>
              </w:tabs>
              <w:spacing w:line="276" w:lineRule="auto"/>
              <w:jc w:val="both"/>
              <w:rPr>
                <w:i/>
                <w:lang w:eastAsia="lt-LT"/>
              </w:rPr>
            </w:pPr>
            <w:r w:rsidRPr="004D5EF3">
              <w:rPr>
                <w:sz w:val="22"/>
                <w:szCs w:val="22"/>
                <w:lang w:val="en-US"/>
              </w:rPr>
              <w:t>******</w:t>
            </w:r>
          </w:p>
        </w:tc>
        <w:tc>
          <w:tcPr>
            <w:tcW w:w="1337" w:type="dxa"/>
          </w:tcPr>
          <w:p w14:paraId="1413F335" w14:textId="05937B46" w:rsidR="005C5F49" w:rsidRPr="00856762" w:rsidRDefault="005C5F49" w:rsidP="005C5F49">
            <w:pPr>
              <w:tabs>
                <w:tab w:val="left" w:pos="567"/>
              </w:tabs>
              <w:spacing w:line="276" w:lineRule="auto"/>
              <w:jc w:val="both"/>
              <w:rPr>
                <w:i/>
                <w:lang w:eastAsia="lt-LT"/>
              </w:rPr>
            </w:pPr>
            <w:r w:rsidRPr="004D5EF3">
              <w:rPr>
                <w:sz w:val="22"/>
                <w:szCs w:val="22"/>
                <w:lang w:val="en-US"/>
              </w:rPr>
              <w:t>******</w:t>
            </w:r>
          </w:p>
        </w:tc>
        <w:tc>
          <w:tcPr>
            <w:tcW w:w="1296" w:type="dxa"/>
          </w:tcPr>
          <w:p w14:paraId="5C65F638" w14:textId="6B39DA3E" w:rsidR="005C5F49" w:rsidRPr="00856762" w:rsidRDefault="005C5F49" w:rsidP="005C5F49">
            <w:pPr>
              <w:tabs>
                <w:tab w:val="left" w:pos="567"/>
              </w:tabs>
              <w:spacing w:line="276" w:lineRule="auto"/>
              <w:jc w:val="both"/>
              <w:rPr>
                <w:i/>
                <w:lang w:eastAsia="lt-LT"/>
              </w:rPr>
            </w:pPr>
            <w:r w:rsidRPr="004D5EF3">
              <w:rPr>
                <w:sz w:val="22"/>
                <w:szCs w:val="22"/>
                <w:lang w:val="en-US"/>
              </w:rPr>
              <w:t>******</w:t>
            </w:r>
          </w:p>
        </w:tc>
        <w:tc>
          <w:tcPr>
            <w:tcW w:w="1296" w:type="dxa"/>
          </w:tcPr>
          <w:p w14:paraId="4EA3A480" w14:textId="4DF7B92E" w:rsidR="005C5F49" w:rsidRPr="002126B7" w:rsidRDefault="005C5F49" w:rsidP="005C5F49">
            <w:pPr>
              <w:tabs>
                <w:tab w:val="left" w:pos="567"/>
              </w:tabs>
              <w:spacing w:line="276" w:lineRule="auto"/>
              <w:jc w:val="both"/>
              <w:rPr>
                <w:i/>
                <w:lang w:eastAsia="lt-LT"/>
              </w:rPr>
            </w:pPr>
            <w:r w:rsidRPr="004D5EF3">
              <w:rPr>
                <w:sz w:val="22"/>
                <w:szCs w:val="22"/>
                <w:lang w:val="en-US"/>
              </w:rPr>
              <w:t>******</w:t>
            </w:r>
          </w:p>
        </w:tc>
      </w:tr>
      <w:tr w:rsidR="00BA6A88" w:rsidRPr="00072F5D" w14:paraId="1550288C" w14:textId="77777777" w:rsidTr="00E5611D">
        <w:trPr>
          <w:jc w:val="center"/>
        </w:trPr>
        <w:tc>
          <w:tcPr>
            <w:tcW w:w="1798" w:type="dxa"/>
          </w:tcPr>
          <w:p w14:paraId="2131CAA4" w14:textId="4F83D240" w:rsidR="00BA6A88" w:rsidRPr="00856762" w:rsidRDefault="00BA6A88" w:rsidP="0023457E">
            <w:pPr>
              <w:tabs>
                <w:tab w:val="left" w:pos="567"/>
              </w:tabs>
              <w:spacing w:line="276" w:lineRule="auto"/>
              <w:jc w:val="both"/>
              <w:rPr>
                <w:lang w:eastAsia="lt-LT"/>
              </w:rPr>
            </w:pPr>
            <w:r w:rsidRPr="00856762">
              <w:rPr>
                <w:lang w:eastAsia="lt-LT"/>
              </w:rPr>
              <w:t>Nusinersen</w:t>
            </w:r>
            <w:r w:rsidR="00DD53BE">
              <w:rPr>
                <w:lang w:eastAsia="lt-LT"/>
              </w:rPr>
              <w:t>as</w:t>
            </w:r>
          </w:p>
        </w:tc>
        <w:tc>
          <w:tcPr>
            <w:tcW w:w="1507" w:type="dxa"/>
          </w:tcPr>
          <w:p w14:paraId="0E37C707" w14:textId="6AEA9B04" w:rsidR="00BA6A88" w:rsidRPr="0046473D" w:rsidRDefault="004B04C9" w:rsidP="0023457E">
            <w:pPr>
              <w:tabs>
                <w:tab w:val="left" w:pos="567"/>
              </w:tabs>
              <w:spacing w:line="276" w:lineRule="auto"/>
              <w:jc w:val="both"/>
              <w:rPr>
                <w:i/>
                <w:iCs/>
                <w:sz w:val="22"/>
                <w:szCs w:val="22"/>
                <w:lang w:val="en-US" w:eastAsia="lt-LT"/>
              </w:rPr>
            </w:pPr>
            <w:r w:rsidRPr="0046473D">
              <w:rPr>
                <w:i/>
                <w:iCs/>
                <w:sz w:val="22"/>
                <w:szCs w:val="22"/>
                <w:lang w:val="en-US" w:eastAsia="lt-LT"/>
              </w:rPr>
              <w:t>******</w:t>
            </w:r>
          </w:p>
        </w:tc>
        <w:tc>
          <w:tcPr>
            <w:tcW w:w="1337" w:type="dxa"/>
          </w:tcPr>
          <w:p w14:paraId="0CDB1C08" w14:textId="17C96AEC" w:rsidR="00BA6A88" w:rsidRPr="0046473D" w:rsidRDefault="004B04C9" w:rsidP="0023457E">
            <w:pPr>
              <w:tabs>
                <w:tab w:val="left" w:pos="567"/>
              </w:tabs>
              <w:spacing w:line="276" w:lineRule="auto"/>
              <w:jc w:val="both"/>
              <w:rPr>
                <w:i/>
                <w:iCs/>
                <w:sz w:val="22"/>
                <w:szCs w:val="22"/>
                <w:lang w:eastAsia="lt-LT"/>
              </w:rPr>
            </w:pPr>
            <w:r w:rsidRPr="0046473D">
              <w:rPr>
                <w:i/>
                <w:iCs/>
                <w:sz w:val="22"/>
                <w:szCs w:val="22"/>
                <w:lang w:eastAsia="lt-LT"/>
              </w:rPr>
              <w:t>******</w:t>
            </w:r>
          </w:p>
        </w:tc>
        <w:tc>
          <w:tcPr>
            <w:tcW w:w="1337" w:type="dxa"/>
          </w:tcPr>
          <w:p w14:paraId="4CCF1321" w14:textId="3C9BEBE5" w:rsidR="00BA6A88" w:rsidRPr="0046473D" w:rsidRDefault="0046473D" w:rsidP="0023457E">
            <w:pPr>
              <w:tabs>
                <w:tab w:val="left" w:pos="567"/>
              </w:tabs>
              <w:spacing w:line="276" w:lineRule="auto"/>
              <w:jc w:val="both"/>
              <w:rPr>
                <w:i/>
                <w:iCs/>
                <w:sz w:val="22"/>
                <w:szCs w:val="22"/>
                <w:lang w:eastAsia="lt-LT"/>
              </w:rPr>
            </w:pPr>
            <w:r w:rsidRPr="0046473D">
              <w:rPr>
                <w:i/>
                <w:iCs/>
                <w:sz w:val="22"/>
                <w:szCs w:val="22"/>
                <w:lang w:eastAsia="lt-LT"/>
              </w:rPr>
              <w:t>******</w:t>
            </w:r>
          </w:p>
        </w:tc>
        <w:tc>
          <w:tcPr>
            <w:tcW w:w="1337" w:type="dxa"/>
          </w:tcPr>
          <w:p w14:paraId="3F1DC9FB" w14:textId="3074BEAE" w:rsidR="00BA6A88" w:rsidRPr="0046473D" w:rsidRDefault="0046473D" w:rsidP="0023457E">
            <w:pPr>
              <w:tabs>
                <w:tab w:val="left" w:pos="567"/>
              </w:tabs>
              <w:spacing w:line="276" w:lineRule="auto"/>
              <w:jc w:val="both"/>
              <w:rPr>
                <w:i/>
                <w:iCs/>
                <w:sz w:val="22"/>
                <w:szCs w:val="22"/>
                <w:lang w:eastAsia="lt-LT"/>
              </w:rPr>
            </w:pPr>
            <w:r w:rsidRPr="0046473D">
              <w:rPr>
                <w:i/>
                <w:iCs/>
                <w:sz w:val="22"/>
                <w:szCs w:val="22"/>
                <w:lang w:eastAsia="lt-LT"/>
              </w:rPr>
              <w:t>******</w:t>
            </w:r>
          </w:p>
        </w:tc>
        <w:tc>
          <w:tcPr>
            <w:tcW w:w="1296" w:type="dxa"/>
          </w:tcPr>
          <w:p w14:paraId="74DA78B9" w14:textId="19D71B78" w:rsidR="00BA6A88" w:rsidRPr="0046473D" w:rsidRDefault="0046473D" w:rsidP="0023457E">
            <w:pPr>
              <w:tabs>
                <w:tab w:val="left" w:pos="567"/>
              </w:tabs>
              <w:spacing w:line="276" w:lineRule="auto"/>
              <w:jc w:val="both"/>
              <w:rPr>
                <w:i/>
                <w:iCs/>
                <w:sz w:val="22"/>
                <w:szCs w:val="22"/>
                <w:lang w:eastAsia="lt-LT"/>
              </w:rPr>
            </w:pPr>
            <w:r w:rsidRPr="0046473D">
              <w:rPr>
                <w:i/>
                <w:iCs/>
                <w:sz w:val="22"/>
                <w:szCs w:val="22"/>
                <w:lang w:eastAsia="lt-LT"/>
              </w:rPr>
              <w:t>******</w:t>
            </w:r>
          </w:p>
        </w:tc>
        <w:tc>
          <w:tcPr>
            <w:tcW w:w="1296" w:type="dxa"/>
          </w:tcPr>
          <w:p w14:paraId="7C56498A" w14:textId="02FC8861" w:rsidR="00BA6A88" w:rsidRPr="0046473D" w:rsidRDefault="0046473D" w:rsidP="0023457E">
            <w:pPr>
              <w:tabs>
                <w:tab w:val="left" w:pos="567"/>
              </w:tabs>
              <w:spacing w:line="276" w:lineRule="auto"/>
              <w:jc w:val="both"/>
              <w:rPr>
                <w:i/>
                <w:iCs/>
                <w:sz w:val="22"/>
                <w:szCs w:val="22"/>
                <w:lang w:eastAsia="lt-LT"/>
              </w:rPr>
            </w:pPr>
            <w:r w:rsidRPr="0046473D">
              <w:rPr>
                <w:i/>
                <w:iCs/>
                <w:sz w:val="22"/>
                <w:szCs w:val="22"/>
                <w:lang w:eastAsia="lt-LT"/>
              </w:rPr>
              <w:t>******</w:t>
            </w:r>
          </w:p>
        </w:tc>
      </w:tr>
      <w:tr w:rsidR="005C5F49" w:rsidRPr="00072F5D" w14:paraId="5A80078B" w14:textId="77777777" w:rsidTr="00E5611D">
        <w:trPr>
          <w:jc w:val="center"/>
        </w:trPr>
        <w:tc>
          <w:tcPr>
            <w:tcW w:w="1798" w:type="dxa"/>
          </w:tcPr>
          <w:p w14:paraId="3F304E9D" w14:textId="77777777" w:rsidR="005C5F49" w:rsidRPr="00856762" w:rsidRDefault="005C5F49" w:rsidP="005C5F49">
            <w:pPr>
              <w:tabs>
                <w:tab w:val="left" w:pos="567"/>
              </w:tabs>
              <w:spacing w:line="276" w:lineRule="auto"/>
              <w:jc w:val="right"/>
              <w:rPr>
                <w:lang w:eastAsia="lt-LT"/>
              </w:rPr>
            </w:pPr>
            <w:r w:rsidRPr="00856762">
              <w:rPr>
                <w:lang w:eastAsia="lt-LT"/>
              </w:rPr>
              <w:t>Skirtumas</w:t>
            </w:r>
          </w:p>
        </w:tc>
        <w:tc>
          <w:tcPr>
            <w:tcW w:w="1507" w:type="dxa"/>
          </w:tcPr>
          <w:p w14:paraId="3B44A903" w14:textId="01D1807C" w:rsidR="005C5F49" w:rsidRPr="002126B7" w:rsidRDefault="005C5F49" w:rsidP="005C5F49">
            <w:pPr>
              <w:tabs>
                <w:tab w:val="left" w:pos="567"/>
              </w:tabs>
              <w:spacing w:line="276" w:lineRule="auto"/>
              <w:jc w:val="both"/>
              <w:rPr>
                <w:i/>
                <w:iCs/>
                <w:lang w:eastAsia="lt-LT"/>
              </w:rPr>
            </w:pPr>
            <w:r w:rsidRPr="00E53F0E">
              <w:rPr>
                <w:sz w:val="22"/>
                <w:szCs w:val="22"/>
                <w:lang w:val="en-US"/>
              </w:rPr>
              <w:t>******</w:t>
            </w:r>
          </w:p>
        </w:tc>
        <w:tc>
          <w:tcPr>
            <w:tcW w:w="1337" w:type="dxa"/>
          </w:tcPr>
          <w:p w14:paraId="5414B8F9" w14:textId="30516F34" w:rsidR="005C5F49" w:rsidRPr="00856762" w:rsidRDefault="005C5F49" w:rsidP="005C5F49">
            <w:pPr>
              <w:tabs>
                <w:tab w:val="left" w:pos="567"/>
              </w:tabs>
              <w:spacing w:line="276" w:lineRule="auto"/>
              <w:jc w:val="both"/>
              <w:rPr>
                <w:i/>
                <w:iCs/>
                <w:lang w:eastAsia="lt-LT"/>
              </w:rPr>
            </w:pPr>
            <w:r w:rsidRPr="00E53F0E">
              <w:rPr>
                <w:sz w:val="22"/>
                <w:szCs w:val="22"/>
                <w:lang w:val="en-US"/>
              </w:rPr>
              <w:t>******</w:t>
            </w:r>
          </w:p>
        </w:tc>
        <w:tc>
          <w:tcPr>
            <w:tcW w:w="1337" w:type="dxa"/>
          </w:tcPr>
          <w:p w14:paraId="3A08FCFA" w14:textId="6128BB03" w:rsidR="005C5F49" w:rsidRPr="00856762" w:rsidRDefault="005C5F49" w:rsidP="005C5F49">
            <w:pPr>
              <w:tabs>
                <w:tab w:val="left" w:pos="567"/>
              </w:tabs>
              <w:spacing w:line="276" w:lineRule="auto"/>
              <w:jc w:val="both"/>
              <w:rPr>
                <w:b/>
                <w:i/>
                <w:lang w:eastAsia="lt-LT"/>
              </w:rPr>
            </w:pPr>
            <w:r w:rsidRPr="00E53F0E">
              <w:rPr>
                <w:sz w:val="22"/>
                <w:szCs w:val="22"/>
                <w:lang w:val="en-US"/>
              </w:rPr>
              <w:t>******</w:t>
            </w:r>
          </w:p>
        </w:tc>
        <w:tc>
          <w:tcPr>
            <w:tcW w:w="1337" w:type="dxa"/>
          </w:tcPr>
          <w:p w14:paraId="05DDD878" w14:textId="482BCD13" w:rsidR="005C5F49" w:rsidRPr="00856762" w:rsidRDefault="005C5F49" w:rsidP="005C5F49">
            <w:pPr>
              <w:tabs>
                <w:tab w:val="left" w:pos="567"/>
              </w:tabs>
              <w:spacing w:line="276" w:lineRule="auto"/>
              <w:jc w:val="both"/>
              <w:rPr>
                <w:i/>
                <w:lang w:eastAsia="lt-LT"/>
              </w:rPr>
            </w:pPr>
            <w:r w:rsidRPr="00E53F0E">
              <w:rPr>
                <w:sz w:val="22"/>
                <w:szCs w:val="22"/>
                <w:lang w:val="en-US"/>
              </w:rPr>
              <w:t>******</w:t>
            </w:r>
          </w:p>
        </w:tc>
        <w:tc>
          <w:tcPr>
            <w:tcW w:w="1296" w:type="dxa"/>
          </w:tcPr>
          <w:p w14:paraId="2AC6184F" w14:textId="35BB8414" w:rsidR="005C5F49" w:rsidRPr="002126B7" w:rsidRDefault="005C5F49" w:rsidP="005C5F49">
            <w:pPr>
              <w:tabs>
                <w:tab w:val="left" w:pos="567"/>
              </w:tabs>
              <w:spacing w:line="276" w:lineRule="auto"/>
              <w:jc w:val="both"/>
              <w:rPr>
                <w:i/>
                <w:lang w:eastAsia="lt-LT"/>
              </w:rPr>
            </w:pPr>
            <w:r w:rsidRPr="00E53F0E">
              <w:rPr>
                <w:sz w:val="22"/>
                <w:szCs w:val="22"/>
                <w:lang w:val="en-US"/>
              </w:rPr>
              <w:t>******</w:t>
            </w:r>
          </w:p>
        </w:tc>
        <w:tc>
          <w:tcPr>
            <w:tcW w:w="1296" w:type="dxa"/>
          </w:tcPr>
          <w:p w14:paraId="0C9F68B1" w14:textId="66279CF2" w:rsidR="005C5F49" w:rsidRPr="002126B7" w:rsidRDefault="005C5F49" w:rsidP="005C5F49">
            <w:pPr>
              <w:tabs>
                <w:tab w:val="left" w:pos="567"/>
              </w:tabs>
              <w:spacing w:line="276" w:lineRule="auto"/>
              <w:jc w:val="both"/>
              <w:rPr>
                <w:i/>
                <w:lang w:eastAsia="lt-LT"/>
              </w:rPr>
            </w:pPr>
            <w:r w:rsidRPr="00E53F0E">
              <w:rPr>
                <w:sz w:val="22"/>
                <w:szCs w:val="22"/>
                <w:lang w:val="en-US"/>
              </w:rPr>
              <w:t>******</w:t>
            </w:r>
          </w:p>
        </w:tc>
      </w:tr>
    </w:tbl>
    <w:p w14:paraId="4801D227" w14:textId="77777777" w:rsidR="009E44AE" w:rsidRPr="00E33EFF" w:rsidRDefault="009E44AE" w:rsidP="0023457E">
      <w:pPr>
        <w:tabs>
          <w:tab w:val="left" w:pos="426"/>
        </w:tabs>
        <w:spacing w:line="276" w:lineRule="auto"/>
        <w:rPr>
          <w:b/>
          <w:lang w:eastAsia="lt-LT"/>
        </w:rPr>
      </w:pPr>
    </w:p>
    <w:p w14:paraId="33875138" w14:textId="77777777" w:rsidR="0035172D" w:rsidRPr="00E33EFF" w:rsidRDefault="0035172D" w:rsidP="0023457E">
      <w:pPr>
        <w:tabs>
          <w:tab w:val="left" w:pos="426"/>
        </w:tabs>
        <w:spacing w:line="276" w:lineRule="auto"/>
        <w:rPr>
          <w:b/>
          <w:bCs/>
          <w:caps/>
        </w:rPr>
      </w:pPr>
    </w:p>
    <w:p w14:paraId="4FC424F9" w14:textId="4E767245" w:rsidR="00C62B36" w:rsidRPr="00E33EFF" w:rsidRDefault="00C62B36" w:rsidP="0023457E">
      <w:pPr>
        <w:pStyle w:val="Sraopastraipa"/>
        <w:numPr>
          <w:ilvl w:val="0"/>
          <w:numId w:val="12"/>
        </w:numPr>
        <w:tabs>
          <w:tab w:val="left" w:pos="567"/>
        </w:tabs>
        <w:spacing w:line="276" w:lineRule="auto"/>
        <w:ind w:hanging="720"/>
        <w:rPr>
          <w:b/>
          <w:bCs/>
          <w:caps/>
        </w:rPr>
      </w:pPr>
      <w:r w:rsidRPr="00E33EFF">
        <w:rPr>
          <w:b/>
          <w:bCs/>
          <w:caps/>
        </w:rPr>
        <w:t xml:space="preserve">Pacientų organizacijų pateikti duomenys </w:t>
      </w:r>
    </w:p>
    <w:p w14:paraId="79BCFF40" w14:textId="1992DF4A" w:rsidR="00937907" w:rsidRPr="00E33EFF" w:rsidRDefault="00000000" w:rsidP="0023457E">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F8F1335" w:rsidR="00937907" w:rsidRPr="00E33EFF" w:rsidRDefault="00000000" w:rsidP="0023457E">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200747">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23457E">
      <w:pPr>
        <w:spacing w:after="120" w:line="276" w:lineRule="auto"/>
        <w:jc w:val="both"/>
      </w:pPr>
    </w:p>
    <w:p w14:paraId="3D3277FA" w14:textId="3CEEB2D2" w:rsidR="00C62B36" w:rsidRPr="00E33EFF" w:rsidRDefault="00C62B36" w:rsidP="0023457E">
      <w:pPr>
        <w:pStyle w:val="Sraopastraipa"/>
        <w:numPr>
          <w:ilvl w:val="0"/>
          <w:numId w:val="12"/>
        </w:numPr>
        <w:tabs>
          <w:tab w:val="left" w:pos="567"/>
        </w:tabs>
        <w:spacing w:line="276" w:lineRule="auto"/>
        <w:ind w:hanging="720"/>
        <w:rPr>
          <w:b/>
          <w:bCs/>
          <w:caps/>
        </w:rPr>
      </w:pPr>
      <w:r w:rsidRPr="00E33EFF">
        <w:rPr>
          <w:b/>
          <w:bCs/>
          <w:caps/>
        </w:rPr>
        <w:t>Gydytojų organizacijų pateikti duomenys</w:t>
      </w:r>
    </w:p>
    <w:p w14:paraId="389A346C" w14:textId="17184B64" w:rsidR="00937907" w:rsidRPr="00E33EFF" w:rsidRDefault="00000000" w:rsidP="0023457E">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21AE27CD" w:rsidR="00662983" w:rsidRPr="00E33EFF" w:rsidRDefault="00000000" w:rsidP="0023457E">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200747">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23457E">
      <w:pPr>
        <w:spacing w:after="120" w:line="276" w:lineRule="auto"/>
        <w:jc w:val="both"/>
      </w:pPr>
    </w:p>
    <w:p w14:paraId="78F23ECB" w14:textId="23A3A002" w:rsidR="002F0E4F" w:rsidRPr="00E33EFF" w:rsidRDefault="002F0E4F" w:rsidP="0023457E">
      <w:pPr>
        <w:pStyle w:val="Sraopastraipa"/>
        <w:numPr>
          <w:ilvl w:val="0"/>
          <w:numId w:val="12"/>
        </w:numPr>
        <w:tabs>
          <w:tab w:val="left" w:pos="567"/>
        </w:tabs>
        <w:spacing w:line="276" w:lineRule="auto"/>
        <w:ind w:hanging="720"/>
        <w:rPr>
          <w:b/>
          <w:bCs/>
          <w:caps/>
        </w:rPr>
      </w:pPr>
      <w:r w:rsidRPr="00E33EFF">
        <w:rPr>
          <w:b/>
          <w:bCs/>
          <w:caps/>
        </w:rPr>
        <w:t xml:space="preserve">Išvada </w:t>
      </w:r>
    </w:p>
    <w:p w14:paraId="30069D85" w14:textId="77777777" w:rsidR="0061611B" w:rsidRPr="00BF3927" w:rsidRDefault="0061611B" w:rsidP="0023457E">
      <w:pPr>
        <w:spacing w:line="276" w:lineRule="auto"/>
        <w:ind w:left="360"/>
        <w:rPr>
          <w:i/>
          <w:color w:val="000000" w:themeColor="text1"/>
          <w:szCs w:val="22"/>
        </w:rPr>
      </w:pPr>
    </w:p>
    <w:tbl>
      <w:tblPr>
        <w:tblStyle w:val="Lentelstinklelis"/>
        <w:tblW w:w="0" w:type="auto"/>
        <w:tblInd w:w="-5" w:type="dxa"/>
        <w:tblLook w:val="04A0" w:firstRow="1" w:lastRow="0" w:firstColumn="1" w:lastColumn="0" w:noHBand="0" w:noVBand="1"/>
      </w:tblPr>
      <w:tblGrid>
        <w:gridCol w:w="4815"/>
        <w:gridCol w:w="4814"/>
      </w:tblGrid>
      <w:tr w:rsidR="00BA6A88" w:rsidRPr="001A132A" w14:paraId="088B6AEF" w14:textId="77777777" w:rsidTr="00E5611D">
        <w:trPr>
          <w:trHeight w:val="510"/>
        </w:trPr>
        <w:tc>
          <w:tcPr>
            <w:tcW w:w="9629" w:type="dxa"/>
            <w:gridSpan w:val="2"/>
            <w:vAlign w:val="center"/>
          </w:tcPr>
          <w:p w14:paraId="780C3CF5"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3"/>
                <w:szCs w:val="23"/>
              </w:rPr>
            </w:pPr>
            <w:r w:rsidRPr="001A132A">
              <w:rPr>
                <w:rStyle w:val="Style2"/>
                <w:rFonts w:eastAsia="MS Gothic"/>
                <w:b/>
                <w:bCs/>
                <w:sz w:val="23"/>
                <w:szCs w:val="23"/>
              </w:rPr>
              <w:t>Palyginamasis veiksmingumas</w:t>
            </w:r>
          </w:p>
        </w:tc>
      </w:tr>
      <w:tr w:rsidR="00BA6A88" w:rsidRPr="001A132A" w14:paraId="1CBE9111" w14:textId="77777777" w:rsidTr="00E5611D">
        <w:tc>
          <w:tcPr>
            <w:tcW w:w="4815" w:type="dxa"/>
          </w:tcPr>
          <w:p w14:paraId="679203E6"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rStyle w:val="Style2"/>
                <w:sz w:val="23"/>
                <w:szCs w:val="23"/>
              </w:rPr>
              <w:t xml:space="preserve"> 29</w:t>
            </w:r>
            <w:r w:rsidR="00BA6A88" w:rsidRPr="001A132A">
              <w:rPr>
                <w:sz w:val="23"/>
                <w:szCs w:val="23"/>
              </w:rPr>
              <w:t>.1.1 yra didesnis, lyginant su įprasta klinikine praktika</w:t>
            </w:r>
          </w:p>
          <w:p w14:paraId="67AC8DC8"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61C81BD4"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Content>
                <w:r w:rsidR="00BA6A88">
                  <w:rPr>
                    <w:rStyle w:val="Style2"/>
                    <w:rFonts w:ascii="MS Gothic" w:eastAsia="MS Gothic" w:hAnsi="MS Gothic" w:hint="eastAsia"/>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.1.2 iš esmės nesiskiria, lyginant su įprasta klinikine praktika</w:t>
            </w:r>
          </w:p>
        </w:tc>
        <w:tc>
          <w:tcPr>
            <w:tcW w:w="4814" w:type="dxa"/>
          </w:tcPr>
          <w:p w14:paraId="54E07C9D"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 xml:space="preserve">.1.3 yra neįrodytas kaip didesnis  ar iš esmės nesiskiriantis, lyginant su įprasta klinikine praktika  </w:t>
            </w:r>
          </w:p>
          <w:p w14:paraId="431982C1"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44B9F949"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.1.4 yra mažesnis, lyginant su įprasta klinikine praktika</w:t>
            </w:r>
          </w:p>
          <w:p w14:paraId="2D9D30D3"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0266D730" w14:textId="2FD9CD9C"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.1.5 pateikti duomenys apie palyginamąjį veiksmingumą yra netinkami vertinti</w:t>
            </w:r>
          </w:p>
          <w:p w14:paraId="3E59F952"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r>
    </w:tbl>
    <w:tbl>
      <w:tblPr>
        <w:tblStyle w:val="Keymessagesbox1"/>
        <w:tblW w:w="0" w:type="auto"/>
        <w:tblInd w:w="-5" w:type="dxa"/>
        <w:tblLook w:val="04A0" w:firstRow="1" w:lastRow="0" w:firstColumn="1" w:lastColumn="0" w:noHBand="0" w:noVBand="1"/>
      </w:tblPr>
      <w:tblGrid>
        <w:gridCol w:w="4820"/>
        <w:gridCol w:w="4814"/>
      </w:tblGrid>
      <w:tr w:rsidR="00BA6A88" w:rsidRPr="001A132A" w14:paraId="000B8E34" w14:textId="77777777" w:rsidTr="00E5611D">
        <w:trPr>
          <w:trHeight w:val="510"/>
        </w:trPr>
        <w:tc>
          <w:tcPr>
            <w:tcW w:w="9634" w:type="dxa"/>
            <w:gridSpan w:val="2"/>
            <w:vAlign w:val="center"/>
          </w:tcPr>
          <w:p w14:paraId="52DCEA0B"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3"/>
                <w:szCs w:val="23"/>
              </w:rPr>
            </w:pPr>
            <w:r w:rsidRPr="001A132A">
              <w:rPr>
                <w:rStyle w:val="Style2"/>
                <w:rFonts w:eastAsia="MS Gothic"/>
                <w:b/>
                <w:bCs/>
                <w:sz w:val="23"/>
                <w:szCs w:val="23"/>
              </w:rPr>
              <w:t>Kaštų naudingumas</w:t>
            </w:r>
          </w:p>
        </w:tc>
      </w:tr>
      <w:tr w:rsidR="00BA6A88" w:rsidRPr="001A132A" w14:paraId="629A7D04" w14:textId="77777777" w:rsidTr="00E5611D">
        <w:tc>
          <w:tcPr>
            <w:tcW w:w="4820" w:type="dxa"/>
          </w:tcPr>
          <w:p w14:paraId="565B0B13"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29.2.1 atitinka referencinę naudingumo vertę taikant arba netaikant</w:t>
            </w:r>
            <w:r w:rsidR="00BA6A88" w:rsidRPr="001A132A">
              <w:rPr>
                <w:b/>
                <w:bCs/>
                <w:sz w:val="23"/>
                <w:szCs w:val="23"/>
              </w:rPr>
              <w:t> </w:t>
            </w:r>
            <w:r w:rsidR="00BA6A88" w:rsidRPr="001A132A">
              <w:rPr>
                <w:sz w:val="23"/>
                <w:szCs w:val="23"/>
              </w:rPr>
              <w:t>PGS</w:t>
            </w:r>
          </w:p>
          <w:p w14:paraId="7DC4BBDB"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7F67B3DF"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29.2.2 gydymo juo kaštai yra mažesni ar tokie patys esant iš esmės nesiskiriančiam palyginamajam efektyvumui, taikant arba netaikant  PGS</w:t>
            </w:r>
          </w:p>
        </w:tc>
        <w:tc>
          <w:tcPr>
            <w:tcW w:w="4814" w:type="dxa"/>
          </w:tcPr>
          <w:p w14:paraId="486C60D5"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29.2.3 neatitinka referencinės naudingumo vertės taikant arba netaikant PGS</w:t>
            </w:r>
          </w:p>
          <w:p w14:paraId="00CB97BC"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1D88BE4C"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3"/>
                <w:szCs w:val="23"/>
              </w:rPr>
            </w:pPr>
            <w:sdt>
              <w:sdtPr>
                <w:rPr>
                  <w:rStyle w:val="Style2"/>
                  <w:sz w:val="23"/>
                  <w:szCs w:val="23"/>
                </w:rPr>
                <w:id w:val="1118650590"/>
                <w15:color w:val="FFCC00"/>
                <w14:checkbox>
                  <w14:checked w14:val="1"/>
                  <w14:checkedState w14:val="2612" w14:font="MS Gothic"/>
                  <w14:uncheckedState w14:val="2610" w14:font="MS Gothic"/>
                </w14:checkbox>
              </w:sdtPr>
              <w:sdtContent>
                <w:r w:rsidR="00BA6A88">
                  <w:rPr>
                    <w:rStyle w:val="Style2"/>
                    <w:rFonts w:ascii="MS Gothic" w:eastAsia="MS Gothic" w:hAnsi="MS Gothic" w:hint="eastAsia"/>
                    <w:sz w:val="23"/>
                    <w:szCs w:val="23"/>
                  </w:rPr>
                  <w:t>☒</w:t>
                </w:r>
              </w:sdtContent>
            </w:sdt>
            <w:r w:rsidR="00BA6A88" w:rsidRPr="001A132A">
              <w:rPr>
                <w:sz w:val="23"/>
                <w:szCs w:val="23"/>
              </w:rPr>
              <w:t xml:space="preserve"> 29.2.4 gydymo juo kaštai yra didesni esant iš esmės nesiskiriančiam palyginamajam veiksmingumui, taikant arba netaikant PGS</w:t>
            </w:r>
          </w:p>
          <w:p w14:paraId="21F92987"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6EBADCB2" w14:textId="77777777" w:rsidR="00BA6A88" w:rsidRPr="001A132A" w:rsidRDefault="00000000"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29.2.5 pateikti duomenys apie kaštų naudingumą yra netinkami vertinti</w:t>
            </w:r>
          </w:p>
          <w:p w14:paraId="11B18726" w14:textId="77777777" w:rsidR="00BA6A88" w:rsidRPr="001A132A" w:rsidRDefault="00BA6A88" w:rsidP="00234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r>
    </w:tbl>
    <w:p w14:paraId="1B85C083" w14:textId="77777777" w:rsidR="009E44AE" w:rsidRPr="00E33EFF" w:rsidRDefault="009E44AE" w:rsidP="0023457E">
      <w:pPr>
        <w:spacing w:line="276" w:lineRule="auto"/>
      </w:pPr>
    </w:p>
    <w:p w14:paraId="3B2D1F25" w14:textId="3A80E19F" w:rsidR="000001B0" w:rsidRPr="00E33EFF" w:rsidRDefault="000001B0" w:rsidP="0023457E">
      <w:pPr>
        <w:pStyle w:val="Sraopastraipa"/>
        <w:numPr>
          <w:ilvl w:val="0"/>
          <w:numId w:val="12"/>
        </w:numPr>
        <w:spacing w:line="276" w:lineRule="auto"/>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23457E">
      <w:pPr>
        <w:pStyle w:val="Sraopastraipa"/>
        <w:spacing w:line="276" w:lineRule="auto"/>
        <w:ind w:left="426"/>
      </w:pPr>
    </w:p>
    <w:p w14:paraId="2FF2C863" w14:textId="6BA1A663" w:rsidR="00BA6A88" w:rsidRDefault="00BA6A88" w:rsidP="0023457E">
      <w:pPr>
        <w:widowControl w:val="0"/>
        <w:tabs>
          <w:tab w:val="left" w:pos="1418"/>
        </w:tabs>
        <w:suppressAutoHyphens/>
        <w:spacing w:line="276" w:lineRule="auto"/>
        <w:jc w:val="both"/>
        <w:textAlignment w:val="center"/>
      </w:pPr>
      <w:r w:rsidRPr="00E33EFF">
        <w:t xml:space="preserve">Vadovaujantis Lietuvos Respublikos sveikatos apsaugos ministro </w:t>
      </w:r>
      <w:r>
        <w:t xml:space="preserve">įsakymu </w:t>
      </w:r>
      <w:r w:rsidRPr="00E33EFF">
        <w:t>„Dėl vaistinių preparatų ir medicinos pagalbos priemonių įrašymo į kompensavimo sąrašus ir jų keitimo tvarkos aprašo patvirtinimo“</w:t>
      </w:r>
      <w:r>
        <w:t xml:space="preserve"> </w:t>
      </w:r>
      <w:r w:rsidRPr="00E33EFF">
        <w:t>2002 m. balandžio 5 d. įsakym</w:t>
      </w:r>
      <w:r>
        <w:t>o</w:t>
      </w:r>
      <w:r w:rsidRPr="00E33EFF">
        <w:t xml:space="preserve"> Nr. 159</w:t>
      </w:r>
      <w:r>
        <w:t xml:space="preserve"> </w:t>
      </w:r>
    </w:p>
    <w:p w14:paraId="0FFE55EF" w14:textId="77777777" w:rsidR="00BA6A88" w:rsidRDefault="00BA6A88" w:rsidP="0023457E">
      <w:pPr>
        <w:widowControl w:val="0"/>
        <w:tabs>
          <w:tab w:val="left" w:pos="1418"/>
        </w:tabs>
        <w:suppressAutoHyphens/>
        <w:spacing w:line="276" w:lineRule="auto"/>
        <w:jc w:val="both"/>
        <w:textAlignment w:val="center"/>
      </w:pP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papunkčiu rekomenduojama</w:t>
      </w:r>
      <w:r w:rsidRPr="00471EC6">
        <w:rPr>
          <w:color w:val="000000"/>
          <w:lang w:eastAsia="lt-LT"/>
        </w:rPr>
        <w:t xml:space="preserve"> kompensuoti vaistinį preparatą pagal paraiškoje nurodytą indikaciją (arba jos dalį) su arba be skyrimo sąlygų, jei, pateikus naują ar atnaujintą PGS</w:t>
      </w:r>
      <w:r>
        <w:rPr>
          <w:color w:val="000000"/>
          <w:lang w:eastAsia="lt-LT"/>
        </w:rPr>
        <w:t>,</w:t>
      </w:r>
      <w:r w:rsidRPr="00471EC6">
        <w:rPr>
          <w:color w:val="000000"/>
          <w:lang w:eastAsia="lt-LT"/>
        </w:rPr>
        <w:t xml:space="preserve"> kaštai tampa tokie patys ar mažesni esant iš esmės nesiskiriančiam palyginamajam veiksmingumui</w:t>
      </w:r>
      <w:r>
        <w:rPr>
          <w:color w:val="000000"/>
          <w:lang w:eastAsia="lt-LT"/>
        </w:rPr>
        <w:t xml:space="preserve">, </w:t>
      </w:r>
      <w:r w:rsidRPr="00471EC6">
        <w:rPr>
          <w:color w:val="000000"/>
          <w:lang w:eastAsia="lt-LT"/>
        </w:rPr>
        <w:t>kai vertinimo išvados atitinka Aprašo 29.1.2 ir 29.2.4 papunkčiuose numatytas</w:t>
      </w:r>
      <w:r w:rsidRPr="00471EC6">
        <w:rPr>
          <w:b/>
          <w:bCs/>
          <w:color w:val="000000"/>
          <w:lang w:eastAsia="lt-LT"/>
        </w:rPr>
        <w:t> </w:t>
      </w:r>
      <w:r>
        <w:rPr>
          <w:color w:val="000000"/>
          <w:lang w:eastAsia="lt-LT"/>
        </w:rPr>
        <w:t>sąlygas.</w:t>
      </w:r>
    </w:p>
    <w:p w14:paraId="06BC01EE" w14:textId="44333E0B" w:rsidR="000723FF" w:rsidRPr="00E33EFF" w:rsidRDefault="000723FF" w:rsidP="0023457E">
      <w:pPr>
        <w:spacing w:line="276" w:lineRule="auto"/>
      </w:pPr>
    </w:p>
    <w:p w14:paraId="18B4292E" w14:textId="69B5E3DD" w:rsidR="000723FF" w:rsidRPr="00E33EFF" w:rsidRDefault="00CC09D4" w:rsidP="0023457E">
      <w:pPr>
        <w:tabs>
          <w:tab w:val="left" w:pos="567"/>
        </w:tabs>
        <w:spacing w:line="276" w:lineRule="auto"/>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23457E">
      <w:pPr>
        <w:tabs>
          <w:tab w:val="left" w:pos="426"/>
        </w:tabs>
        <w:spacing w:line="276" w:lineRule="auto"/>
        <w:jc w:val="both"/>
        <w:rPr>
          <w:b/>
          <w:color w:val="000000"/>
          <w:lang w:eastAsia="lt-LT"/>
        </w:rPr>
      </w:pPr>
    </w:p>
    <w:p w14:paraId="2A591DCC" w14:textId="77777777" w:rsidR="00795A05" w:rsidRPr="0073329D" w:rsidRDefault="00795A05" w:rsidP="0023457E">
      <w:pPr>
        <w:pStyle w:val="Betarp"/>
        <w:spacing w:line="276" w:lineRule="auto"/>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37D8E105" w14:textId="77777777" w:rsidR="00795A05" w:rsidRPr="0073329D" w:rsidRDefault="00000000" w:rsidP="0023457E">
      <w:pPr>
        <w:pStyle w:val="Betarp"/>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795A05">
            <w:rPr>
              <w:rStyle w:val="Style2"/>
              <w:rFonts w:ascii="MS Gothic" w:eastAsia="MS Gothic" w:hAnsi="MS Gothic" w:hint="eastAsia"/>
              <w:sz w:val="24"/>
              <w:szCs w:val="24"/>
            </w:rPr>
            <w:t>☒</w:t>
          </w:r>
        </w:sdtContent>
      </w:sdt>
      <w:r w:rsidR="00795A05" w:rsidRPr="0073329D">
        <w:rPr>
          <w:rFonts w:ascii="Times New Roman" w:hAnsi="Times New Roman"/>
          <w:sz w:val="24"/>
          <w:szCs w:val="24"/>
        </w:rPr>
        <w:t xml:space="preserve"> Siūloma kompensuoti Pareiškėjo teikiamą indikaciją be pakeitimų.</w:t>
      </w:r>
    </w:p>
    <w:p w14:paraId="163D425A" w14:textId="77777777" w:rsidR="00795A05" w:rsidRPr="00880EF5" w:rsidRDefault="00795A05" w:rsidP="0023457E">
      <w:pPr>
        <w:spacing w:after="120" w:line="276" w:lineRule="auto"/>
        <w:jc w:val="both"/>
        <w:rPr>
          <w:i/>
          <w:iCs/>
        </w:rPr>
      </w:pPr>
      <w:r w:rsidRPr="0073329D">
        <w:t xml:space="preserve"> </w:t>
      </w:r>
      <w:r w:rsidRPr="00880EF5">
        <w:rPr>
          <w:i/>
          <w:iCs/>
        </w:rPr>
        <w:t>Spinraza skirtas 5q spinaline raumenų atrofija sergantiems pacientams gydyti.</w:t>
      </w:r>
    </w:p>
    <w:p w14:paraId="7FC245EE" w14:textId="77777777" w:rsidR="00795A05" w:rsidRPr="0073329D" w:rsidRDefault="00795A05" w:rsidP="0023457E">
      <w:pPr>
        <w:pStyle w:val="Betarp"/>
        <w:spacing w:line="276" w:lineRule="auto"/>
        <w:rPr>
          <w:rFonts w:ascii="Times New Roman" w:hAnsi="Times New Roman"/>
          <w:sz w:val="24"/>
          <w:szCs w:val="24"/>
        </w:rPr>
      </w:pPr>
    </w:p>
    <w:p w14:paraId="5B01A8DB" w14:textId="77777777" w:rsidR="00795A05" w:rsidRPr="0073329D" w:rsidRDefault="00795A05" w:rsidP="0023457E">
      <w:pPr>
        <w:pStyle w:val="Betarp"/>
        <w:spacing w:line="276" w:lineRule="auto"/>
        <w:rPr>
          <w:rFonts w:ascii="Times New Roman" w:hAnsi="Times New Roman"/>
          <w:b/>
          <w:sz w:val="24"/>
          <w:szCs w:val="24"/>
        </w:rPr>
      </w:pPr>
      <w:r w:rsidRPr="0073329D">
        <w:rPr>
          <w:rFonts w:ascii="Times New Roman" w:hAnsi="Times New Roman"/>
          <w:b/>
          <w:sz w:val="24"/>
          <w:szCs w:val="24"/>
        </w:rPr>
        <w:t>Skyrimo sąlygos</w:t>
      </w:r>
    </w:p>
    <w:p w14:paraId="611E1306" w14:textId="77777777" w:rsidR="00795A05" w:rsidRPr="0073329D" w:rsidRDefault="00000000" w:rsidP="0023457E">
      <w:pPr>
        <w:pStyle w:val="Betarp"/>
        <w:spacing w:line="276" w:lineRule="auto"/>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795A05">
            <w:rPr>
              <w:rStyle w:val="Style2"/>
              <w:rFonts w:ascii="MS Gothic" w:eastAsia="MS Gothic" w:hAnsi="MS Gothic" w:hint="eastAsia"/>
              <w:sz w:val="24"/>
              <w:szCs w:val="24"/>
            </w:rPr>
            <w:t>☒</w:t>
          </w:r>
        </w:sdtContent>
      </w:sdt>
      <w:r w:rsidR="00795A05" w:rsidRPr="0073329D">
        <w:rPr>
          <w:rFonts w:ascii="Times New Roman" w:hAnsi="Times New Roman"/>
          <w:sz w:val="24"/>
          <w:szCs w:val="24"/>
        </w:rPr>
        <w:t xml:space="preserve"> Pareiškėjo siūlomos skyrimo sąlygos nepriimtinos. </w:t>
      </w:r>
    </w:p>
    <w:p w14:paraId="59CCC0DE" w14:textId="55B63D08" w:rsidR="00795A05" w:rsidRDefault="00795A05" w:rsidP="0023457E">
      <w:pPr>
        <w:pStyle w:val="Betarp"/>
        <w:spacing w:line="276" w:lineRule="auto"/>
        <w:rPr>
          <w:rFonts w:ascii="Times New Roman" w:hAnsi="Times New Roman"/>
          <w:i/>
          <w:iCs/>
          <w:sz w:val="24"/>
          <w:szCs w:val="24"/>
        </w:rPr>
      </w:pPr>
      <w:r w:rsidRPr="00880EF5">
        <w:rPr>
          <w:rFonts w:ascii="Times New Roman" w:hAnsi="Times New Roman"/>
          <w:i/>
          <w:iCs/>
          <w:sz w:val="24"/>
          <w:szCs w:val="24"/>
        </w:rPr>
        <w:t xml:space="preserve">Skiriamas pacientams, kuriems kartu netaikomas gydymas </w:t>
      </w:r>
      <w:r>
        <w:rPr>
          <w:rFonts w:ascii="Times New Roman" w:hAnsi="Times New Roman"/>
          <w:i/>
          <w:iCs/>
          <w:sz w:val="24"/>
          <w:szCs w:val="24"/>
        </w:rPr>
        <w:t>risdiplamu</w:t>
      </w:r>
      <w:r w:rsidRPr="00880EF5">
        <w:rPr>
          <w:rFonts w:ascii="Times New Roman" w:hAnsi="Times New Roman"/>
          <w:i/>
          <w:iCs/>
          <w:sz w:val="24"/>
          <w:szCs w:val="24"/>
        </w:rPr>
        <w:t xml:space="preserve"> arba onasemnogenu abeparvoveku ir nėra </w:t>
      </w:r>
      <w:r>
        <w:rPr>
          <w:rFonts w:ascii="Times New Roman" w:hAnsi="Times New Roman"/>
          <w:i/>
          <w:iCs/>
          <w:sz w:val="24"/>
          <w:szCs w:val="24"/>
        </w:rPr>
        <w:t>hipoksemijos</w:t>
      </w:r>
      <w:r w:rsidRPr="00880EF5">
        <w:rPr>
          <w:rFonts w:ascii="Times New Roman" w:hAnsi="Times New Roman"/>
          <w:i/>
          <w:iCs/>
          <w:sz w:val="24"/>
          <w:szCs w:val="24"/>
        </w:rPr>
        <w:t xml:space="preserve">. Gydymas tęsiamas iki nepriimtino toksinio poveikio atsiradimo ar ligos progresavimo taikant gydymą </w:t>
      </w:r>
      <w:r>
        <w:rPr>
          <w:rFonts w:ascii="Times New Roman" w:hAnsi="Times New Roman"/>
          <w:i/>
          <w:iCs/>
          <w:sz w:val="24"/>
          <w:szCs w:val="24"/>
        </w:rPr>
        <w:t>nusinersenu</w:t>
      </w:r>
      <w:r w:rsidRPr="00880EF5">
        <w:rPr>
          <w:rFonts w:ascii="Times New Roman" w:hAnsi="Times New Roman"/>
          <w:i/>
          <w:iCs/>
          <w:sz w:val="24"/>
          <w:szCs w:val="24"/>
        </w:rPr>
        <w:t>. Gydymą skiria Retų ligų gydymo centro gydytojai specialistai, turintys spinaline raumenų atrofija sergančių pacientų gydymo patirties</w:t>
      </w:r>
      <w:r w:rsidR="00CE6F47">
        <w:rPr>
          <w:rFonts w:ascii="Times New Roman" w:hAnsi="Times New Roman"/>
          <w:i/>
          <w:iCs/>
          <w:sz w:val="24"/>
          <w:szCs w:val="24"/>
        </w:rPr>
        <w:t>.</w:t>
      </w:r>
    </w:p>
    <w:p w14:paraId="7CDFF220" w14:textId="58191D98" w:rsidR="000723FF" w:rsidRPr="000723FF" w:rsidRDefault="000723FF" w:rsidP="0023457E">
      <w:pPr>
        <w:spacing w:line="276" w:lineRule="auto"/>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2568" w14:textId="77777777" w:rsidR="00564AF2" w:rsidRDefault="00564AF2">
      <w:r>
        <w:separator/>
      </w:r>
    </w:p>
  </w:endnote>
  <w:endnote w:type="continuationSeparator" w:id="0">
    <w:p w14:paraId="302F4DEA" w14:textId="77777777" w:rsidR="00564AF2" w:rsidRDefault="0056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8958" w14:textId="77777777" w:rsidR="00564AF2" w:rsidRDefault="00564AF2">
      <w:r>
        <w:separator/>
      </w:r>
    </w:p>
  </w:footnote>
  <w:footnote w:type="continuationSeparator" w:id="0">
    <w:p w14:paraId="1949294F" w14:textId="77777777" w:rsidR="00564AF2" w:rsidRDefault="0056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70FE16EE"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5F49">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5612379">
    <w:abstractNumId w:val="6"/>
  </w:num>
  <w:num w:numId="2" w16cid:durableId="1190217768">
    <w:abstractNumId w:val="1"/>
  </w:num>
  <w:num w:numId="3" w16cid:durableId="1459377178">
    <w:abstractNumId w:val="8"/>
  </w:num>
  <w:num w:numId="4" w16cid:durableId="1679575708">
    <w:abstractNumId w:val="7"/>
  </w:num>
  <w:num w:numId="5" w16cid:durableId="924462050">
    <w:abstractNumId w:val="5"/>
  </w:num>
  <w:num w:numId="6" w16cid:durableId="446004014">
    <w:abstractNumId w:val="4"/>
  </w:num>
  <w:num w:numId="7" w16cid:durableId="648944735">
    <w:abstractNumId w:val="3"/>
  </w:num>
  <w:num w:numId="8" w16cid:durableId="223297992">
    <w:abstractNumId w:val="11"/>
  </w:num>
  <w:num w:numId="9" w16cid:durableId="950434503">
    <w:abstractNumId w:val="0"/>
  </w:num>
  <w:num w:numId="10" w16cid:durableId="1193689264">
    <w:abstractNumId w:val="9"/>
  </w:num>
  <w:num w:numId="11" w16cid:durableId="1375232757">
    <w:abstractNumId w:val="10"/>
  </w:num>
  <w:num w:numId="12" w16cid:durableId="70320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01E9"/>
    <w:rsid w:val="0008190F"/>
    <w:rsid w:val="00081D9C"/>
    <w:rsid w:val="00082907"/>
    <w:rsid w:val="0008378D"/>
    <w:rsid w:val="000908A5"/>
    <w:rsid w:val="00092805"/>
    <w:rsid w:val="000B1706"/>
    <w:rsid w:val="000B291F"/>
    <w:rsid w:val="000C454C"/>
    <w:rsid w:val="000D5038"/>
    <w:rsid w:val="000E29D4"/>
    <w:rsid w:val="000F3540"/>
    <w:rsid w:val="00100491"/>
    <w:rsid w:val="00103EE5"/>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0747"/>
    <w:rsid w:val="0020381E"/>
    <w:rsid w:val="00213471"/>
    <w:rsid w:val="00215906"/>
    <w:rsid w:val="0023457E"/>
    <w:rsid w:val="00241CD8"/>
    <w:rsid w:val="00244B09"/>
    <w:rsid w:val="002519CB"/>
    <w:rsid w:val="0025697F"/>
    <w:rsid w:val="00260258"/>
    <w:rsid w:val="0026588E"/>
    <w:rsid w:val="00265F5A"/>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2F2487"/>
    <w:rsid w:val="00317B0E"/>
    <w:rsid w:val="003415E8"/>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3F76F5"/>
    <w:rsid w:val="00402175"/>
    <w:rsid w:val="00404E8A"/>
    <w:rsid w:val="0040622F"/>
    <w:rsid w:val="00413F24"/>
    <w:rsid w:val="00422853"/>
    <w:rsid w:val="00423160"/>
    <w:rsid w:val="00453862"/>
    <w:rsid w:val="0045469B"/>
    <w:rsid w:val="00461338"/>
    <w:rsid w:val="0046473D"/>
    <w:rsid w:val="004677DB"/>
    <w:rsid w:val="00476256"/>
    <w:rsid w:val="0048630F"/>
    <w:rsid w:val="004947A1"/>
    <w:rsid w:val="0049482A"/>
    <w:rsid w:val="004979D3"/>
    <w:rsid w:val="004A00E7"/>
    <w:rsid w:val="004A3A61"/>
    <w:rsid w:val="004B04C9"/>
    <w:rsid w:val="004B59BA"/>
    <w:rsid w:val="004B5A03"/>
    <w:rsid w:val="004C263A"/>
    <w:rsid w:val="004D00D1"/>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4AF2"/>
    <w:rsid w:val="00566DBB"/>
    <w:rsid w:val="005767DB"/>
    <w:rsid w:val="005815E6"/>
    <w:rsid w:val="0058712F"/>
    <w:rsid w:val="005976CE"/>
    <w:rsid w:val="005A23D4"/>
    <w:rsid w:val="005A2D1E"/>
    <w:rsid w:val="005B3756"/>
    <w:rsid w:val="005C493F"/>
    <w:rsid w:val="005C5F49"/>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973B2"/>
    <w:rsid w:val="006A38B6"/>
    <w:rsid w:val="006B1987"/>
    <w:rsid w:val="006B5B71"/>
    <w:rsid w:val="006B6CB0"/>
    <w:rsid w:val="006C0296"/>
    <w:rsid w:val="006C2B64"/>
    <w:rsid w:val="006D4C85"/>
    <w:rsid w:val="006D66AC"/>
    <w:rsid w:val="006E2501"/>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A05"/>
    <w:rsid w:val="00795DC5"/>
    <w:rsid w:val="00797153"/>
    <w:rsid w:val="007A21F7"/>
    <w:rsid w:val="007A2B68"/>
    <w:rsid w:val="007B0DDA"/>
    <w:rsid w:val="007B7D6D"/>
    <w:rsid w:val="007D3347"/>
    <w:rsid w:val="007E5466"/>
    <w:rsid w:val="007F1949"/>
    <w:rsid w:val="007F2592"/>
    <w:rsid w:val="00800A08"/>
    <w:rsid w:val="00817A84"/>
    <w:rsid w:val="008225A4"/>
    <w:rsid w:val="0082416D"/>
    <w:rsid w:val="00824B92"/>
    <w:rsid w:val="00826D5E"/>
    <w:rsid w:val="00832013"/>
    <w:rsid w:val="00832DB7"/>
    <w:rsid w:val="00834732"/>
    <w:rsid w:val="0085200C"/>
    <w:rsid w:val="00857C52"/>
    <w:rsid w:val="00860D5F"/>
    <w:rsid w:val="00876C37"/>
    <w:rsid w:val="00880A44"/>
    <w:rsid w:val="0088345E"/>
    <w:rsid w:val="0088656F"/>
    <w:rsid w:val="00891EF6"/>
    <w:rsid w:val="008A0303"/>
    <w:rsid w:val="008A5FDD"/>
    <w:rsid w:val="008C3947"/>
    <w:rsid w:val="008E473B"/>
    <w:rsid w:val="008E51A6"/>
    <w:rsid w:val="008E7329"/>
    <w:rsid w:val="008F2ED5"/>
    <w:rsid w:val="00917C8B"/>
    <w:rsid w:val="0092297E"/>
    <w:rsid w:val="00923651"/>
    <w:rsid w:val="00927B56"/>
    <w:rsid w:val="009341BF"/>
    <w:rsid w:val="00937907"/>
    <w:rsid w:val="00941739"/>
    <w:rsid w:val="00947E1C"/>
    <w:rsid w:val="00951573"/>
    <w:rsid w:val="00963003"/>
    <w:rsid w:val="00966EEF"/>
    <w:rsid w:val="00971B28"/>
    <w:rsid w:val="00982B65"/>
    <w:rsid w:val="00983471"/>
    <w:rsid w:val="009909AB"/>
    <w:rsid w:val="009B37DB"/>
    <w:rsid w:val="009C7A8C"/>
    <w:rsid w:val="009D23F9"/>
    <w:rsid w:val="009D4FA8"/>
    <w:rsid w:val="009E44AE"/>
    <w:rsid w:val="009E6CD6"/>
    <w:rsid w:val="009F4D66"/>
    <w:rsid w:val="00A00C3C"/>
    <w:rsid w:val="00A01091"/>
    <w:rsid w:val="00A042B9"/>
    <w:rsid w:val="00A056A5"/>
    <w:rsid w:val="00A06DBB"/>
    <w:rsid w:val="00A22ADF"/>
    <w:rsid w:val="00A26F76"/>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1F6"/>
    <w:rsid w:val="00B36E15"/>
    <w:rsid w:val="00B37245"/>
    <w:rsid w:val="00B4017A"/>
    <w:rsid w:val="00B4468D"/>
    <w:rsid w:val="00B71C72"/>
    <w:rsid w:val="00B81E92"/>
    <w:rsid w:val="00B908D7"/>
    <w:rsid w:val="00B915AB"/>
    <w:rsid w:val="00B935E8"/>
    <w:rsid w:val="00B93B30"/>
    <w:rsid w:val="00B94CB5"/>
    <w:rsid w:val="00BA0DD9"/>
    <w:rsid w:val="00BA194D"/>
    <w:rsid w:val="00BA5DBC"/>
    <w:rsid w:val="00BA6A88"/>
    <w:rsid w:val="00BB6312"/>
    <w:rsid w:val="00BC4D06"/>
    <w:rsid w:val="00BD585E"/>
    <w:rsid w:val="00BD6919"/>
    <w:rsid w:val="00BE1EA7"/>
    <w:rsid w:val="00BE7489"/>
    <w:rsid w:val="00BF2E0D"/>
    <w:rsid w:val="00BF3927"/>
    <w:rsid w:val="00BF3F8B"/>
    <w:rsid w:val="00BF76DA"/>
    <w:rsid w:val="00C07C7B"/>
    <w:rsid w:val="00C12E76"/>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E6F47"/>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D53BE"/>
    <w:rsid w:val="00DE4484"/>
    <w:rsid w:val="00DF41B7"/>
    <w:rsid w:val="00DF4A4A"/>
    <w:rsid w:val="00DF52D1"/>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6505F"/>
    <w:rsid w:val="00E745A1"/>
    <w:rsid w:val="00E81529"/>
    <w:rsid w:val="00E83A13"/>
    <w:rsid w:val="00EB6FC5"/>
    <w:rsid w:val="00EC2356"/>
    <w:rsid w:val="00EC2582"/>
    <w:rsid w:val="00EC337C"/>
    <w:rsid w:val="00ED0CFF"/>
    <w:rsid w:val="00ED2E57"/>
    <w:rsid w:val="00ED31D2"/>
    <w:rsid w:val="00EE0EAC"/>
    <w:rsid w:val="00EE3322"/>
    <w:rsid w:val="00EE33CB"/>
    <w:rsid w:val="00F0061A"/>
    <w:rsid w:val="00F01F15"/>
    <w:rsid w:val="00F02834"/>
    <w:rsid w:val="00F04EEB"/>
    <w:rsid w:val="00F05467"/>
    <w:rsid w:val="00F055D2"/>
    <w:rsid w:val="00F057D9"/>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Dossier table,Section 3- footnotes,Legemiddelverket 3,Summary Table,ASD Table,Key messages box"/>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table" w:customStyle="1" w:styleId="Keymessagesbox1">
    <w:name w:val="Key messages box1"/>
    <w:basedOn w:val="prastojilentel"/>
    <w:next w:val="Lentelstinklelis"/>
    <w:rsid w:val="00BA6A88"/>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KT">
    <w:name w:val="VVKT"/>
    <w:basedOn w:val="prastasis"/>
    <w:qFormat/>
    <w:rsid w:val="00795A05"/>
    <w:pPr>
      <w:tabs>
        <w:tab w:val="left" w:pos="426"/>
      </w:tabs>
      <w:ind w:firstLine="720"/>
      <w:jc w:val="both"/>
    </w:pPr>
    <w:rPr>
      <w:rFonts w:eastAsia="Arial"/>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49DE638CCF4FA845807DE217BC751ACC"/>
        <w:category>
          <w:name w:val="General"/>
          <w:gallery w:val="placeholder"/>
        </w:category>
        <w:types>
          <w:type w:val="bbPlcHdr"/>
        </w:types>
        <w:behaviors>
          <w:behavior w:val="content"/>
        </w:behaviors>
        <w:guid w:val="{4730F653-A504-3C49-8250-4AD3BFA8F53F}"/>
      </w:docPartPr>
      <w:docPartBody>
        <w:p w:rsidR="00537048" w:rsidRDefault="002156D5" w:rsidP="002156D5">
          <w:pPr>
            <w:pStyle w:val="49DE638CCF4FA845807DE217BC751ACC"/>
          </w:pPr>
          <w:r>
            <w:rPr>
              <w:rStyle w:val="Vietosrezervavimoenklotekstas"/>
            </w:rPr>
            <w:t>Click here to enter a date.</w:t>
          </w:r>
        </w:p>
      </w:docPartBody>
    </w:docPart>
    <w:docPart>
      <w:docPartPr>
        <w:name w:val="103C9A00A465034F943C908F878E23BB"/>
        <w:category>
          <w:name w:val="General"/>
          <w:gallery w:val="placeholder"/>
        </w:category>
        <w:types>
          <w:type w:val="bbPlcHdr"/>
        </w:types>
        <w:behaviors>
          <w:behavior w:val="content"/>
        </w:behaviors>
        <w:guid w:val="{6B711235-21FE-6F44-B386-4F0C7C74C728}"/>
      </w:docPartPr>
      <w:docPartBody>
        <w:p w:rsidR="00537048" w:rsidRDefault="002156D5" w:rsidP="002156D5">
          <w:pPr>
            <w:pStyle w:val="103C9A00A465034F943C908F878E23BB"/>
          </w:pPr>
          <w:r>
            <w:rPr>
              <w:rStyle w:val="Vietosrezervavimoenklotekstas"/>
            </w:rPr>
            <w:t>Click here to enter a date.</w:t>
          </w:r>
        </w:p>
      </w:docPartBody>
    </w:docPart>
    <w:docPart>
      <w:docPartPr>
        <w:name w:val="7A33C67432C9A041B0B9FF9BEBA634FD"/>
        <w:category>
          <w:name w:val="General"/>
          <w:gallery w:val="placeholder"/>
        </w:category>
        <w:types>
          <w:type w:val="bbPlcHdr"/>
        </w:types>
        <w:behaviors>
          <w:behavior w:val="content"/>
        </w:behaviors>
        <w:guid w:val="{02D3A106-C6FB-8845-B47B-84BA4D425F32}"/>
      </w:docPartPr>
      <w:docPartBody>
        <w:p w:rsidR="00537048" w:rsidRDefault="002156D5" w:rsidP="002156D5">
          <w:pPr>
            <w:pStyle w:val="7A33C67432C9A041B0B9FF9BEBA634FD"/>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B1706"/>
    <w:rsid w:val="000D24D4"/>
    <w:rsid w:val="00103EE5"/>
    <w:rsid w:val="00112715"/>
    <w:rsid w:val="001C35A9"/>
    <w:rsid w:val="002156D5"/>
    <w:rsid w:val="00237556"/>
    <w:rsid w:val="0039303B"/>
    <w:rsid w:val="004144A3"/>
    <w:rsid w:val="004160E7"/>
    <w:rsid w:val="004321C0"/>
    <w:rsid w:val="004416C6"/>
    <w:rsid w:val="004F5AB2"/>
    <w:rsid w:val="00503A22"/>
    <w:rsid w:val="005074B9"/>
    <w:rsid w:val="00537048"/>
    <w:rsid w:val="005E40DD"/>
    <w:rsid w:val="00716DFB"/>
    <w:rsid w:val="007219C1"/>
    <w:rsid w:val="00753462"/>
    <w:rsid w:val="00772325"/>
    <w:rsid w:val="007A2FE0"/>
    <w:rsid w:val="007C6D1D"/>
    <w:rsid w:val="0090074D"/>
    <w:rsid w:val="009B3BF0"/>
    <w:rsid w:val="009B775B"/>
    <w:rsid w:val="009D5E5E"/>
    <w:rsid w:val="009F1BB4"/>
    <w:rsid w:val="00A056A5"/>
    <w:rsid w:val="00AB6ED4"/>
    <w:rsid w:val="00B14210"/>
    <w:rsid w:val="00B23DC0"/>
    <w:rsid w:val="00B52707"/>
    <w:rsid w:val="00B96656"/>
    <w:rsid w:val="00BE29C1"/>
    <w:rsid w:val="00C2401D"/>
    <w:rsid w:val="00C53A68"/>
    <w:rsid w:val="00CA5BB4"/>
    <w:rsid w:val="00CB4BD1"/>
    <w:rsid w:val="00CE2DA9"/>
    <w:rsid w:val="00CE44BE"/>
    <w:rsid w:val="00D4356B"/>
    <w:rsid w:val="00D66E21"/>
    <w:rsid w:val="00D7162F"/>
    <w:rsid w:val="00DF52D1"/>
    <w:rsid w:val="00E44A86"/>
    <w:rsid w:val="00E522EB"/>
    <w:rsid w:val="00E60827"/>
    <w:rsid w:val="00E73FF6"/>
    <w:rsid w:val="00EF6E0C"/>
    <w:rsid w:val="00F55028"/>
    <w:rsid w:val="00F77BEF"/>
    <w:rsid w:val="00F852C2"/>
    <w:rsid w:val="00F951BE"/>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156D5"/>
    <w:rPr>
      <w:color w:val="808080"/>
    </w:rPr>
  </w:style>
  <w:style w:type="paragraph" w:customStyle="1" w:styleId="CDB60824EC144AB3B75C05A5823BEE2D">
    <w:name w:val="CDB60824EC144AB3B75C05A5823BEE2D"/>
    <w:rsid w:val="005E40DD"/>
  </w:style>
  <w:style w:type="paragraph" w:customStyle="1" w:styleId="49DE638CCF4FA845807DE217BC751ACC">
    <w:name w:val="49DE638CCF4FA845807DE217BC751ACC"/>
    <w:rsid w:val="002156D5"/>
    <w:pPr>
      <w:spacing w:after="0" w:line="240" w:lineRule="auto"/>
    </w:pPr>
    <w:rPr>
      <w:sz w:val="24"/>
      <w:szCs w:val="24"/>
      <w:lang w:eastAsia="en-GB"/>
    </w:rPr>
  </w:style>
  <w:style w:type="paragraph" w:customStyle="1" w:styleId="103C9A00A465034F943C908F878E23BB">
    <w:name w:val="103C9A00A465034F943C908F878E23BB"/>
    <w:rsid w:val="002156D5"/>
    <w:pPr>
      <w:spacing w:after="0" w:line="240" w:lineRule="auto"/>
    </w:pPr>
    <w:rPr>
      <w:sz w:val="24"/>
      <w:szCs w:val="24"/>
      <w:lang w:eastAsia="en-GB"/>
    </w:rPr>
  </w:style>
  <w:style w:type="paragraph" w:customStyle="1" w:styleId="7A33C67432C9A041B0B9FF9BEBA634FD">
    <w:name w:val="7A33C67432C9A041B0B9FF9BEBA634FD"/>
    <w:rsid w:val="002156D5"/>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9425-C1B4-4157-A62C-DB85F4EED216}">
  <ds:schemaRefs>
    <ds:schemaRef ds:uri="http://schemas.openxmlformats.org/officeDocument/2006/bibliography"/>
  </ds:schemaRefs>
</ds:datastoreItem>
</file>

<file path=docMetadata/LabelInfo.xml><?xml version="1.0" encoding="utf-8"?>
<clbl:labelList xmlns:clbl="http://schemas.microsoft.com/office/2020/mipLabelMetadata">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10368</Words>
  <Characters>5910</Characters>
  <Application>Microsoft Office Word</Application>
  <DocSecurity>0</DocSecurity>
  <Lines>49</Lines>
  <Paragraphs>32</Paragraphs>
  <ScaleCrop>false</ScaleCrop>
  <Company/>
  <LinksUpToDate>false</LinksUpToDate>
  <CharactersWithSpaces>16246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2025-02-10T13:31:00Z</dcterms:created>
  <dcterms:modified xsi:type="dcterms:W3CDTF">2025-02-11T06:53:00Z</dcterms:modified>
</cp:coreProperties>
</file>