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2D81" w14:textId="77777777" w:rsidR="00D40B99" w:rsidRDefault="00D40B99" w:rsidP="00D40B99">
      <w:pPr>
        <w:ind w:left="5529"/>
      </w:pPr>
    </w:p>
    <w:p w14:paraId="676E94E3" w14:textId="77777777" w:rsidR="00D40B99" w:rsidRDefault="00D40B99" w:rsidP="00D40B99">
      <w:pPr>
        <w:ind w:left="6096"/>
      </w:pPr>
      <w:r>
        <w:t>Forma patvirtinta</w:t>
      </w:r>
    </w:p>
    <w:p w14:paraId="1852BF4E" w14:textId="77777777" w:rsidR="00D40B99" w:rsidRDefault="00D40B99" w:rsidP="00D40B99">
      <w:pPr>
        <w:ind w:left="6096"/>
      </w:pPr>
      <w:r>
        <w:t>Valstybinės vaistų kontrolės tarnybos prie Lietuvos Respublikos sveikatos apsaugos ministerijos viršininko 2021 m. lapkričio 12 d. įsakymu Nr. (1.72E)1A-1418</w:t>
      </w:r>
    </w:p>
    <w:p w14:paraId="3981C9F6" w14:textId="77777777" w:rsidR="00D40B99" w:rsidRDefault="00D40B99" w:rsidP="00D40B99">
      <w:pPr>
        <w:ind w:left="6096"/>
      </w:pPr>
      <w:r>
        <w:t>(Valstybinės vaistų kontrolės tarnybos prie Lietuvos Respublikos sveikatos apsaugos ministerijos viršininko 2022 m.                         d. įsakymo Nr.                    redakcija)</w:t>
      </w:r>
    </w:p>
    <w:p w14:paraId="432DA5CE" w14:textId="77777777" w:rsidR="00D40B99" w:rsidRPr="000A2492" w:rsidRDefault="00D40B99" w:rsidP="00D40B99"/>
    <w:p w14:paraId="493E9598" w14:textId="77777777" w:rsidR="00D40B99" w:rsidRDefault="00D40B99" w:rsidP="00D40B99">
      <w:pPr>
        <w:jc w:val="center"/>
        <w:rPr>
          <w:b/>
          <w:bCs/>
          <w:caps/>
        </w:rPr>
      </w:pPr>
      <w:r>
        <w:rPr>
          <w:b/>
        </w:rPr>
        <w:t xml:space="preserve">REKOMENDACIJA DĖL VAISTINIO PREPARATO </w:t>
      </w:r>
      <w:r w:rsidRPr="002F0E4F">
        <w:rPr>
          <w:b/>
          <w:bCs/>
          <w:caps/>
        </w:rPr>
        <w:t>Lietuvos Respublikos Sveikatos apsaugos ministerijos vaistinių preparatų ir medicinos pagalbos priemonių kompensavimo komisijai</w:t>
      </w:r>
    </w:p>
    <w:p w14:paraId="00FDC62F" w14:textId="77777777" w:rsidR="00D40B99" w:rsidRDefault="00D40B99" w:rsidP="00D40B99">
      <w:pPr>
        <w:jc w:val="center"/>
        <w:rPr>
          <w:b/>
        </w:rPr>
      </w:pPr>
    </w:p>
    <w:p w14:paraId="07740AFC" w14:textId="77777777" w:rsidR="00D40B99" w:rsidRPr="0073329D" w:rsidRDefault="00D40B99" w:rsidP="00D40B99">
      <w:pPr>
        <w:jc w:val="center"/>
      </w:pPr>
      <w:r>
        <w:rPr>
          <w:b/>
        </w:rPr>
        <w:t>Rinvoq</w:t>
      </w:r>
      <w:r w:rsidRPr="003062C2">
        <w:rPr>
          <w:b/>
        </w:rPr>
        <w:t xml:space="preserve"> </w:t>
      </w:r>
      <w:r>
        <w:rPr>
          <w:b/>
        </w:rPr>
        <w:t>15 ir 30 mg</w:t>
      </w:r>
      <w:r w:rsidRPr="003062C2">
        <w:rPr>
          <w:b/>
        </w:rPr>
        <w:t xml:space="preserve"> </w:t>
      </w:r>
      <w:r w:rsidRPr="00D11B6C">
        <w:rPr>
          <w:b/>
          <w:color w:val="000000"/>
        </w:rPr>
        <w:t>pailginto atpalaidavimo tabletės</w:t>
      </w:r>
    </w:p>
    <w:p w14:paraId="09D6210B" w14:textId="77777777" w:rsidR="00D40B99" w:rsidRPr="0073329D" w:rsidRDefault="00D40B99" w:rsidP="00D40B99">
      <w:pPr>
        <w:jc w:val="center"/>
      </w:pPr>
      <w:r w:rsidRPr="0073329D">
        <w:t>(</w:t>
      </w:r>
      <w:r>
        <w:rPr>
          <w:b/>
        </w:rPr>
        <w:t>Upadacitinibas</w:t>
      </w:r>
      <w:r w:rsidRPr="0073329D">
        <w:t>)</w:t>
      </w:r>
    </w:p>
    <w:p w14:paraId="76BE5F03" w14:textId="77777777" w:rsidR="00D40B99" w:rsidRPr="0073329D" w:rsidRDefault="00D40B99" w:rsidP="00D40B99">
      <w:pPr>
        <w:jc w:val="center"/>
      </w:pPr>
    </w:p>
    <w:p w14:paraId="004FE2E4" w14:textId="77777777" w:rsidR="00D40B99" w:rsidRPr="0073329D" w:rsidRDefault="00D40B99" w:rsidP="00D40B99">
      <w:pPr>
        <w:jc w:val="center"/>
        <w:rPr>
          <w:b/>
        </w:rPr>
      </w:pPr>
      <w:r>
        <w:rPr>
          <w:b/>
        </w:rPr>
        <w:t>STV 184</w:t>
      </w:r>
    </w:p>
    <w:p w14:paraId="052FEF0D" w14:textId="77777777" w:rsidR="00D40B99" w:rsidRPr="004C263A" w:rsidRDefault="00D40B99" w:rsidP="00D40B99">
      <w:pPr>
        <w:jc w:val="center"/>
        <w:rPr>
          <w:b/>
        </w:rPr>
      </w:pPr>
    </w:p>
    <w:p w14:paraId="1AF28005" w14:textId="77777777" w:rsidR="00D40B99" w:rsidRDefault="00D40B99" w:rsidP="00D40B99">
      <w:pPr>
        <w:pStyle w:val="Sraopastraipa"/>
        <w:numPr>
          <w:ilvl w:val="0"/>
          <w:numId w:val="1"/>
        </w:numPr>
        <w:tabs>
          <w:tab w:val="left" w:pos="284"/>
        </w:tabs>
        <w:rPr>
          <w:b/>
          <w:bCs/>
          <w:caps/>
        </w:rPr>
      </w:pPr>
      <w:r>
        <w:rPr>
          <w:b/>
          <w:bCs/>
          <w:caps/>
        </w:rPr>
        <w:t>.Bendroji dalis</w:t>
      </w:r>
    </w:p>
    <w:p w14:paraId="6425FF6E" w14:textId="77777777" w:rsidR="00D40B99" w:rsidRDefault="00D40B99" w:rsidP="00D40B99">
      <w:pPr>
        <w:pStyle w:val="Sraopastraipa"/>
        <w:tabs>
          <w:tab w:val="left" w:pos="284"/>
        </w:tabs>
        <w:ind w:left="0"/>
        <w:rPr>
          <w:b/>
          <w:bCs/>
          <w:caps/>
        </w:rPr>
      </w:pPr>
    </w:p>
    <w:tbl>
      <w:tblPr>
        <w:tblStyle w:val="Lentelstinklelis"/>
        <w:tblW w:w="9039" w:type="dxa"/>
        <w:tblLook w:val="04A0" w:firstRow="1" w:lastRow="0" w:firstColumn="1" w:lastColumn="0" w:noHBand="0" w:noVBand="1"/>
      </w:tblPr>
      <w:tblGrid>
        <w:gridCol w:w="632"/>
        <w:gridCol w:w="3694"/>
        <w:gridCol w:w="4713"/>
      </w:tblGrid>
      <w:tr w:rsidR="00D40B99" w:rsidRPr="00905F3F" w14:paraId="2BD99C48" w14:textId="77777777" w:rsidTr="00621006">
        <w:trPr>
          <w:trHeight w:val="538"/>
        </w:trPr>
        <w:tc>
          <w:tcPr>
            <w:tcW w:w="632" w:type="dxa"/>
          </w:tcPr>
          <w:p w14:paraId="20C500F8" w14:textId="77777777" w:rsidR="00D40B99" w:rsidRPr="00905F3F" w:rsidRDefault="00D40B99" w:rsidP="00621006">
            <w:pPr>
              <w:tabs>
                <w:tab w:val="left" w:pos="284"/>
              </w:tabs>
              <w:spacing w:line="280" w:lineRule="atLeast"/>
              <w:rPr>
                <w:rFonts w:eastAsia="Arial"/>
                <w:b/>
                <w:sz w:val="22"/>
                <w:szCs w:val="22"/>
              </w:rPr>
            </w:pPr>
            <w:r w:rsidRPr="00905F3F">
              <w:rPr>
                <w:rFonts w:eastAsia="Arial"/>
                <w:b/>
                <w:sz w:val="22"/>
                <w:szCs w:val="22"/>
              </w:rPr>
              <w:t>1.1</w:t>
            </w:r>
          </w:p>
        </w:tc>
        <w:tc>
          <w:tcPr>
            <w:tcW w:w="3694" w:type="dxa"/>
          </w:tcPr>
          <w:p w14:paraId="40C2F40C" w14:textId="77777777" w:rsidR="00D40B99" w:rsidRPr="00905F3F" w:rsidRDefault="00D40B99" w:rsidP="00621006">
            <w:pPr>
              <w:tabs>
                <w:tab w:val="left" w:pos="284"/>
              </w:tabs>
              <w:spacing w:line="280" w:lineRule="atLeast"/>
              <w:rPr>
                <w:rFonts w:eastAsia="Arial"/>
                <w:b/>
                <w:sz w:val="22"/>
                <w:szCs w:val="22"/>
              </w:rPr>
            </w:pPr>
            <w:r w:rsidRPr="00905F3F">
              <w:rPr>
                <w:rFonts w:eastAsia="Arial"/>
                <w:b/>
                <w:sz w:val="22"/>
                <w:szCs w:val="22"/>
              </w:rPr>
              <w:t>Pareiškėjas</w:t>
            </w:r>
          </w:p>
          <w:p w14:paraId="121954EB" w14:textId="77777777" w:rsidR="00D40B99" w:rsidRPr="00905F3F" w:rsidRDefault="00D40B99" w:rsidP="00621006">
            <w:pPr>
              <w:tabs>
                <w:tab w:val="left" w:pos="284"/>
              </w:tabs>
              <w:spacing w:line="280" w:lineRule="atLeast"/>
              <w:rPr>
                <w:rFonts w:eastAsia="Arial"/>
                <w:b/>
                <w:sz w:val="22"/>
                <w:szCs w:val="22"/>
              </w:rPr>
            </w:pPr>
          </w:p>
        </w:tc>
        <w:tc>
          <w:tcPr>
            <w:tcW w:w="4713" w:type="dxa"/>
          </w:tcPr>
          <w:p w14:paraId="70DB65B4" w14:textId="7DC38CEA" w:rsidR="00D40B99" w:rsidRPr="00905F3F" w:rsidRDefault="00D40B99" w:rsidP="00621006">
            <w:pPr>
              <w:tabs>
                <w:tab w:val="left" w:pos="284"/>
              </w:tabs>
              <w:spacing w:line="280" w:lineRule="atLeast"/>
              <w:rPr>
                <w:rFonts w:eastAsia="Arial"/>
                <w:b/>
                <w:sz w:val="22"/>
                <w:szCs w:val="22"/>
              </w:rPr>
            </w:pPr>
            <w:r w:rsidRPr="00905F3F">
              <w:rPr>
                <w:sz w:val="22"/>
                <w:szCs w:val="22"/>
              </w:rPr>
              <w:t>AbbVie, UAB</w:t>
            </w:r>
          </w:p>
        </w:tc>
      </w:tr>
      <w:tr w:rsidR="00D40B99" w:rsidRPr="00905F3F" w14:paraId="562D7876" w14:textId="77777777" w:rsidTr="00621006">
        <w:trPr>
          <w:trHeight w:val="538"/>
        </w:trPr>
        <w:tc>
          <w:tcPr>
            <w:tcW w:w="632" w:type="dxa"/>
          </w:tcPr>
          <w:p w14:paraId="564D5397" w14:textId="77777777" w:rsidR="00D40B99" w:rsidRPr="00905F3F" w:rsidRDefault="00D40B99" w:rsidP="00621006">
            <w:pPr>
              <w:tabs>
                <w:tab w:val="left" w:pos="284"/>
              </w:tabs>
              <w:spacing w:line="280" w:lineRule="atLeast"/>
              <w:rPr>
                <w:rFonts w:eastAsia="Arial"/>
                <w:b/>
                <w:sz w:val="22"/>
                <w:szCs w:val="22"/>
              </w:rPr>
            </w:pPr>
            <w:r w:rsidRPr="00905F3F">
              <w:rPr>
                <w:rFonts w:eastAsia="Arial"/>
                <w:b/>
                <w:sz w:val="22"/>
                <w:szCs w:val="22"/>
              </w:rPr>
              <w:t>1.2</w:t>
            </w:r>
          </w:p>
        </w:tc>
        <w:tc>
          <w:tcPr>
            <w:tcW w:w="3694" w:type="dxa"/>
          </w:tcPr>
          <w:p w14:paraId="6F8CB519" w14:textId="77777777" w:rsidR="00D40B99" w:rsidRPr="00905F3F" w:rsidRDefault="00D40B99" w:rsidP="00621006">
            <w:pPr>
              <w:tabs>
                <w:tab w:val="left" w:pos="284"/>
              </w:tabs>
              <w:spacing w:line="280" w:lineRule="atLeast"/>
              <w:rPr>
                <w:b/>
                <w:bCs/>
                <w:color w:val="000000"/>
                <w:sz w:val="22"/>
                <w:szCs w:val="22"/>
              </w:rPr>
            </w:pPr>
            <w:r w:rsidRPr="00905F3F">
              <w:rPr>
                <w:b/>
                <w:bCs/>
                <w:color w:val="000000"/>
                <w:sz w:val="22"/>
                <w:szCs w:val="22"/>
              </w:rPr>
              <w:t xml:space="preserve">Registracijos data </w:t>
            </w:r>
          </w:p>
          <w:p w14:paraId="040C79D8" w14:textId="77777777" w:rsidR="00D40B99" w:rsidRPr="00905F3F" w:rsidRDefault="00D40B99" w:rsidP="00621006">
            <w:pPr>
              <w:tabs>
                <w:tab w:val="left" w:pos="284"/>
              </w:tabs>
              <w:spacing w:line="280" w:lineRule="atLeast"/>
              <w:rPr>
                <w:bCs/>
                <w:color w:val="000000"/>
                <w:sz w:val="22"/>
                <w:szCs w:val="22"/>
              </w:rPr>
            </w:pPr>
          </w:p>
        </w:tc>
        <w:tc>
          <w:tcPr>
            <w:tcW w:w="4713" w:type="dxa"/>
          </w:tcPr>
          <w:p w14:paraId="6DAB0D63" w14:textId="6FD4B7DD" w:rsidR="00D40B99" w:rsidRPr="00905F3F" w:rsidRDefault="00000000" w:rsidP="00621006">
            <w:pPr>
              <w:pStyle w:val="Sraopastraipa"/>
              <w:spacing w:after="120"/>
              <w:ind w:left="0"/>
              <w:contextualSpacing w:val="0"/>
              <w:jc w:val="both"/>
              <w:rPr>
                <w:rStyle w:val="Style2"/>
                <w:sz w:val="22"/>
                <w:szCs w:val="22"/>
              </w:rPr>
            </w:pPr>
            <w:sdt>
              <w:sdtPr>
                <w:rPr>
                  <w:color w:val="333333"/>
                  <w:sz w:val="22"/>
                  <w:szCs w:val="22"/>
                  <w:shd w:val="clear" w:color="auto" w:fill="FFFFFF"/>
                  <w:lang w:val="en-US"/>
                </w:rPr>
                <w:alias w:val="Nurodykite konkrečią dieną"/>
                <w:tag w:val="Nurodykite pradžios datą"/>
                <w:id w:val="423238108"/>
                <w:placeholder>
                  <w:docPart w:val="B251EAB4E0D06D4B8A76912AA2CC3A86"/>
                </w:placeholder>
                <w15:color w:val="FFCC99"/>
                <w:date w:fullDate="2019-12-16T00:00:00Z">
                  <w:dateFormat w:val="yyyy 'm.' MMMM d 'd.'"/>
                  <w:lid w:val="lt-LT"/>
                  <w:storeMappedDataAs w:val="dateTime"/>
                  <w:calendar w:val="gregorian"/>
                </w:date>
              </w:sdtPr>
              <w:sdtContent>
                <w:r w:rsidR="00D40B99" w:rsidRPr="00905F3F">
                  <w:rPr>
                    <w:color w:val="333333"/>
                    <w:sz w:val="22"/>
                    <w:szCs w:val="22"/>
                    <w:shd w:val="clear" w:color="auto" w:fill="FFFFFF"/>
                  </w:rPr>
                  <w:t>2019 m. gruodžio 16 d.</w:t>
                </w:r>
              </w:sdtContent>
            </w:sdt>
          </w:p>
        </w:tc>
      </w:tr>
      <w:tr w:rsidR="00D40B99" w:rsidRPr="00905F3F" w14:paraId="7B9D10D2" w14:textId="77777777" w:rsidTr="00621006">
        <w:trPr>
          <w:trHeight w:val="1500"/>
        </w:trPr>
        <w:tc>
          <w:tcPr>
            <w:tcW w:w="632" w:type="dxa"/>
          </w:tcPr>
          <w:p w14:paraId="29733D7B" w14:textId="77777777" w:rsidR="00D40B99" w:rsidRPr="00905F3F" w:rsidRDefault="00D40B99" w:rsidP="00621006">
            <w:pPr>
              <w:tabs>
                <w:tab w:val="left" w:pos="284"/>
              </w:tabs>
              <w:spacing w:line="280" w:lineRule="atLeast"/>
              <w:rPr>
                <w:rFonts w:eastAsia="Arial"/>
                <w:b/>
                <w:sz w:val="22"/>
                <w:szCs w:val="22"/>
              </w:rPr>
            </w:pPr>
            <w:r w:rsidRPr="00905F3F">
              <w:rPr>
                <w:rFonts w:eastAsia="Arial"/>
                <w:b/>
                <w:sz w:val="22"/>
                <w:szCs w:val="22"/>
              </w:rPr>
              <w:t>1.3</w:t>
            </w:r>
          </w:p>
        </w:tc>
        <w:tc>
          <w:tcPr>
            <w:tcW w:w="3694" w:type="dxa"/>
          </w:tcPr>
          <w:p w14:paraId="450A5FC4" w14:textId="77777777" w:rsidR="00D40B99" w:rsidRPr="00905F3F" w:rsidRDefault="00D40B99" w:rsidP="00621006">
            <w:pPr>
              <w:pStyle w:val="Betarp"/>
              <w:rPr>
                <w:rFonts w:ascii="Times New Roman" w:hAnsi="Times New Roman"/>
                <w:b/>
              </w:rPr>
            </w:pPr>
            <w:r w:rsidRPr="00905F3F">
              <w:rPr>
                <w:rFonts w:ascii="Times New Roman" w:hAnsi="Times New Roman"/>
                <w:b/>
              </w:rPr>
              <w:t xml:space="preserve">Paraiškos tipas </w:t>
            </w:r>
          </w:p>
          <w:p w14:paraId="3A08B201" w14:textId="77777777" w:rsidR="00D40B99" w:rsidRPr="00905F3F" w:rsidRDefault="00D40B99" w:rsidP="00621006">
            <w:pPr>
              <w:rPr>
                <w:b/>
                <w:sz w:val="22"/>
                <w:szCs w:val="22"/>
              </w:rPr>
            </w:pPr>
            <w:r w:rsidRPr="00905F3F">
              <w:rPr>
                <w:b/>
                <w:sz w:val="22"/>
                <w:szCs w:val="22"/>
              </w:rPr>
              <w:t xml:space="preserve">(pagal </w:t>
            </w:r>
            <w:r w:rsidRPr="00905F3F">
              <w:rPr>
                <w:b/>
                <w:color w:val="333333"/>
                <w:sz w:val="22"/>
                <w:szCs w:val="22"/>
                <w:shd w:val="clear" w:color="auto" w:fill="FFFFFF"/>
              </w:rPr>
              <w:t>vaistinio preparato registracijos tipą, įtvirtintą</w:t>
            </w:r>
            <w:r w:rsidRPr="00905F3F">
              <w:rPr>
                <w:b/>
                <w:sz w:val="22"/>
                <w:szCs w:val="22"/>
              </w:rPr>
              <w:t xml:space="preserve"> Direktyvos 2001/83/EB straipsiuose)</w:t>
            </w:r>
          </w:p>
          <w:p w14:paraId="7AA194FF" w14:textId="77777777" w:rsidR="00D40B99" w:rsidRPr="00905F3F" w:rsidRDefault="00D40B99" w:rsidP="00621006">
            <w:pPr>
              <w:tabs>
                <w:tab w:val="left" w:pos="284"/>
              </w:tabs>
              <w:spacing w:line="280" w:lineRule="atLeast"/>
              <w:rPr>
                <w:b/>
                <w:bCs/>
                <w:color w:val="000000"/>
                <w:sz w:val="22"/>
                <w:szCs w:val="22"/>
              </w:rPr>
            </w:pPr>
          </w:p>
        </w:tc>
        <w:tc>
          <w:tcPr>
            <w:tcW w:w="4713" w:type="dxa"/>
          </w:tcPr>
          <w:p w14:paraId="23DDE32A" w14:textId="77777777" w:rsidR="00D40B99" w:rsidRPr="00905F3F" w:rsidRDefault="00000000" w:rsidP="00621006">
            <w:pPr>
              <w:pStyle w:val="Sraopastraipa"/>
              <w:spacing w:after="120"/>
              <w:ind w:left="0"/>
              <w:contextualSpacing w:val="0"/>
              <w:jc w:val="both"/>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D40B99" w:rsidRPr="00905F3F">
                  <w:rPr>
                    <w:rStyle w:val="Style2"/>
                    <w:rFonts w:ascii="Segoe UI Symbol" w:eastAsia="MS Gothic" w:hAnsi="Segoe UI Symbol" w:cs="Segoe UI Symbol"/>
                    <w:sz w:val="22"/>
                    <w:szCs w:val="22"/>
                  </w:rPr>
                  <w:t>☒</w:t>
                </w:r>
              </w:sdtContent>
            </w:sdt>
            <w:r w:rsidR="00D40B99" w:rsidRPr="00905F3F">
              <w:rPr>
                <w:sz w:val="22"/>
                <w:szCs w:val="22"/>
              </w:rPr>
              <w:t xml:space="preserve">8.3 str. (pilna byla, pagrįsta savais tyrimais) </w:t>
            </w:r>
          </w:p>
          <w:p w14:paraId="126084B9" w14:textId="77777777" w:rsidR="00D40B99" w:rsidRPr="00905F3F" w:rsidRDefault="00000000" w:rsidP="00621006">
            <w:pPr>
              <w:pStyle w:val="Sraopastraipa"/>
              <w:spacing w:after="120"/>
              <w:ind w:left="0"/>
              <w:contextualSpacing w:val="0"/>
              <w:jc w:val="both"/>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D40B99" w:rsidRPr="00905F3F">
                  <w:rPr>
                    <w:rStyle w:val="Style2"/>
                    <w:rFonts w:ascii="Segoe UI Symbol" w:eastAsia="MS Gothic" w:hAnsi="Segoe UI Symbol" w:cs="Segoe UI Symbol"/>
                    <w:sz w:val="22"/>
                    <w:szCs w:val="22"/>
                  </w:rPr>
                  <w:t>☐</w:t>
                </w:r>
              </w:sdtContent>
            </w:sdt>
            <w:r w:rsidR="00D40B99" w:rsidRPr="00905F3F">
              <w:rPr>
                <w:sz w:val="22"/>
                <w:szCs w:val="22"/>
              </w:rPr>
              <w:t xml:space="preserve">10 a str. (pripažintas medicininis vartojimas) </w:t>
            </w:r>
          </w:p>
          <w:p w14:paraId="1BD0651B" w14:textId="77777777" w:rsidR="00D40B99" w:rsidRPr="00905F3F" w:rsidRDefault="00000000" w:rsidP="00621006">
            <w:pPr>
              <w:pStyle w:val="Sraopastraipa"/>
              <w:spacing w:after="120"/>
              <w:ind w:left="0"/>
              <w:contextualSpacing w:val="0"/>
              <w:jc w:val="both"/>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D40B99" w:rsidRPr="00905F3F">
                  <w:rPr>
                    <w:rStyle w:val="Style2"/>
                    <w:rFonts w:ascii="Segoe UI Symbol" w:eastAsia="MS Gothic" w:hAnsi="Segoe UI Symbol" w:cs="Segoe UI Symbol"/>
                    <w:sz w:val="22"/>
                    <w:szCs w:val="22"/>
                  </w:rPr>
                  <w:t>☐</w:t>
                </w:r>
              </w:sdtContent>
            </w:sdt>
            <w:r w:rsidR="00D40B99" w:rsidRPr="00905F3F">
              <w:rPr>
                <w:sz w:val="22"/>
                <w:szCs w:val="22"/>
              </w:rPr>
              <w:t>10.1 str. (generinis)</w:t>
            </w:r>
          </w:p>
          <w:p w14:paraId="24C3839E" w14:textId="77777777" w:rsidR="00D40B99" w:rsidRPr="00905F3F" w:rsidRDefault="00000000" w:rsidP="00621006">
            <w:pPr>
              <w:pStyle w:val="Sraopastraipa"/>
              <w:spacing w:after="120"/>
              <w:ind w:left="0"/>
              <w:contextualSpacing w:val="0"/>
              <w:jc w:val="both"/>
              <w:rPr>
                <w:rStyle w:val="Style2"/>
                <w:sz w:val="22"/>
                <w:szCs w:val="22"/>
              </w:rPr>
            </w:pPr>
            <w:sdt>
              <w:sdtPr>
                <w:rPr>
                  <w:rStyle w:val="Style2"/>
                  <w:sz w:val="22"/>
                  <w:szCs w:val="22"/>
                </w:rPr>
                <w:id w:val="820305101"/>
                <w15:color w:val="FFCC00"/>
                <w14:checkbox>
                  <w14:checked w14:val="0"/>
                  <w14:checkedState w14:val="2612" w14:font="MS Gothic"/>
                  <w14:uncheckedState w14:val="2610" w14:font="MS Gothic"/>
                </w14:checkbox>
              </w:sdtPr>
              <w:sdtContent>
                <w:r w:rsidR="00D40B99" w:rsidRPr="00905F3F">
                  <w:rPr>
                    <w:rStyle w:val="Style2"/>
                    <w:rFonts w:ascii="Segoe UI Symbol" w:eastAsia="MS Gothic" w:hAnsi="Segoe UI Symbol" w:cs="Segoe UI Symbol"/>
                    <w:sz w:val="22"/>
                    <w:szCs w:val="22"/>
                  </w:rPr>
                  <w:t>☐</w:t>
                </w:r>
              </w:sdtContent>
            </w:sdt>
            <w:r w:rsidR="00D40B99" w:rsidRPr="00905F3F">
              <w:rPr>
                <w:sz w:val="22"/>
                <w:szCs w:val="22"/>
              </w:rPr>
              <w:t>10.3 str. (hibridinis)</w:t>
            </w:r>
          </w:p>
        </w:tc>
      </w:tr>
      <w:tr w:rsidR="00D40B99" w:rsidRPr="00905F3F" w14:paraId="2F8EE7CC" w14:textId="77777777" w:rsidTr="00621006">
        <w:trPr>
          <w:trHeight w:val="1442"/>
        </w:trPr>
        <w:tc>
          <w:tcPr>
            <w:tcW w:w="632" w:type="dxa"/>
          </w:tcPr>
          <w:p w14:paraId="539B52FB" w14:textId="77777777" w:rsidR="00D40B99" w:rsidRPr="00905F3F" w:rsidRDefault="00D40B99" w:rsidP="00621006">
            <w:pPr>
              <w:tabs>
                <w:tab w:val="left" w:pos="284"/>
              </w:tabs>
              <w:spacing w:line="280" w:lineRule="atLeast"/>
              <w:rPr>
                <w:rFonts w:eastAsia="Arial"/>
                <w:b/>
                <w:sz w:val="22"/>
                <w:szCs w:val="22"/>
              </w:rPr>
            </w:pPr>
            <w:r w:rsidRPr="00905F3F">
              <w:rPr>
                <w:rFonts w:eastAsia="Arial"/>
                <w:b/>
                <w:sz w:val="22"/>
                <w:szCs w:val="22"/>
              </w:rPr>
              <w:t>1.4</w:t>
            </w:r>
          </w:p>
        </w:tc>
        <w:tc>
          <w:tcPr>
            <w:tcW w:w="3694" w:type="dxa"/>
          </w:tcPr>
          <w:p w14:paraId="08CB496B" w14:textId="77777777" w:rsidR="00D40B99" w:rsidRPr="00905F3F" w:rsidRDefault="00D40B99" w:rsidP="00621006">
            <w:pPr>
              <w:tabs>
                <w:tab w:val="left" w:pos="284"/>
              </w:tabs>
              <w:spacing w:line="280" w:lineRule="atLeast"/>
              <w:rPr>
                <w:b/>
                <w:bCs/>
                <w:color w:val="000000"/>
                <w:sz w:val="22"/>
                <w:szCs w:val="22"/>
              </w:rPr>
            </w:pPr>
            <w:r w:rsidRPr="00905F3F">
              <w:rPr>
                <w:b/>
                <w:bCs/>
                <w:color w:val="000000"/>
                <w:sz w:val="22"/>
                <w:szCs w:val="22"/>
              </w:rPr>
              <w:t xml:space="preserve">Ar vaistinis preparatas įrašytas į Bendrijos retųjų vaistinių preparatų registrą? </w:t>
            </w:r>
          </w:p>
          <w:p w14:paraId="79CC465D" w14:textId="77777777" w:rsidR="00D40B99" w:rsidRPr="00905F3F" w:rsidRDefault="00D40B99" w:rsidP="00621006">
            <w:pPr>
              <w:tabs>
                <w:tab w:val="left" w:pos="284"/>
              </w:tabs>
              <w:spacing w:line="280" w:lineRule="atLeast"/>
              <w:rPr>
                <w:b/>
                <w:bCs/>
                <w:color w:val="000000"/>
                <w:sz w:val="22"/>
                <w:szCs w:val="22"/>
              </w:rPr>
            </w:pPr>
          </w:p>
        </w:tc>
        <w:tc>
          <w:tcPr>
            <w:tcW w:w="4713" w:type="dxa"/>
          </w:tcPr>
          <w:p w14:paraId="2CB45C57" w14:textId="77777777" w:rsidR="00D40B99" w:rsidRPr="00905F3F" w:rsidRDefault="00000000" w:rsidP="00621006">
            <w:pPr>
              <w:pStyle w:val="Sraopastraipa"/>
              <w:spacing w:after="120"/>
              <w:ind w:left="0"/>
              <w:contextualSpacing w:val="0"/>
              <w:jc w:val="both"/>
              <w:rPr>
                <w:sz w:val="22"/>
                <w:szCs w:val="22"/>
              </w:rPr>
            </w:pPr>
            <w:sdt>
              <w:sdtPr>
                <w:rPr>
                  <w:rStyle w:val="Style2"/>
                  <w:sz w:val="22"/>
                  <w:szCs w:val="22"/>
                </w:rPr>
                <w:id w:val="2024432173"/>
                <w15:color w:val="FFCC00"/>
                <w14:checkbox>
                  <w14:checked w14:val="0"/>
                  <w14:checkedState w14:val="2612" w14:font="MS Gothic"/>
                  <w14:uncheckedState w14:val="2610" w14:font="MS Gothic"/>
                </w14:checkbox>
              </w:sdtPr>
              <w:sdtContent>
                <w:r w:rsidR="00D40B99" w:rsidRPr="00905F3F">
                  <w:rPr>
                    <w:rStyle w:val="Style2"/>
                    <w:rFonts w:ascii="Segoe UI Symbol" w:eastAsia="MS Gothic" w:hAnsi="Segoe UI Symbol" w:cs="Segoe UI Symbol"/>
                    <w:sz w:val="22"/>
                    <w:szCs w:val="22"/>
                  </w:rPr>
                  <w:t>☐</w:t>
                </w:r>
              </w:sdtContent>
            </w:sdt>
            <w:r w:rsidR="00D40B99" w:rsidRPr="00905F3F">
              <w:rPr>
                <w:sz w:val="22"/>
                <w:szCs w:val="22"/>
              </w:rPr>
              <w:t xml:space="preserve"> Taip</w:t>
            </w:r>
          </w:p>
          <w:p w14:paraId="1E474781" w14:textId="77777777" w:rsidR="00D40B99" w:rsidRPr="00905F3F" w:rsidRDefault="00000000" w:rsidP="00621006">
            <w:pPr>
              <w:pStyle w:val="Sraopastraipa"/>
              <w:spacing w:after="120"/>
              <w:ind w:left="0"/>
              <w:contextualSpacing w:val="0"/>
              <w:jc w:val="both"/>
              <w:rPr>
                <w:sz w:val="22"/>
                <w:szCs w:val="22"/>
              </w:rPr>
            </w:pPr>
            <w:sdt>
              <w:sdtPr>
                <w:rPr>
                  <w:rStyle w:val="Style2"/>
                  <w:sz w:val="22"/>
                  <w:szCs w:val="22"/>
                </w:rPr>
                <w:id w:val="-970507926"/>
                <w15:color w:val="FFCC00"/>
                <w14:checkbox>
                  <w14:checked w14:val="1"/>
                  <w14:checkedState w14:val="2612" w14:font="MS Gothic"/>
                  <w14:uncheckedState w14:val="2610" w14:font="MS Gothic"/>
                </w14:checkbox>
              </w:sdtPr>
              <w:sdtContent>
                <w:r w:rsidR="00D40B99" w:rsidRPr="00905F3F">
                  <w:rPr>
                    <w:rStyle w:val="Style2"/>
                    <w:rFonts w:ascii="Segoe UI Symbol" w:eastAsia="MS Gothic" w:hAnsi="Segoe UI Symbol" w:cs="Segoe UI Symbol"/>
                    <w:sz w:val="22"/>
                    <w:szCs w:val="22"/>
                  </w:rPr>
                  <w:t>☒</w:t>
                </w:r>
              </w:sdtContent>
            </w:sdt>
            <w:r w:rsidR="00D40B99" w:rsidRPr="00905F3F">
              <w:rPr>
                <w:sz w:val="22"/>
                <w:szCs w:val="22"/>
              </w:rPr>
              <w:t xml:space="preserve"> Ne</w:t>
            </w:r>
          </w:p>
        </w:tc>
      </w:tr>
      <w:tr w:rsidR="00D40B99" w:rsidRPr="00905F3F" w14:paraId="3DD045E9" w14:textId="77777777" w:rsidTr="00621006">
        <w:trPr>
          <w:trHeight w:val="1922"/>
        </w:trPr>
        <w:tc>
          <w:tcPr>
            <w:tcW w:w="632" w:type="dxa"/>
          </w:tcPr>
          <w:p w14:paraId="185F3EF9" w14:textId="77777777" w:rsidR="00D40B99" w:rsidRPr="00905F3F" w:rsidRDefault="00D40B99" w:rsidP="00621006">
            <w:pPr>
              <w:tabs>
                <w:tab w:val="left" w:pos="284"/>
              </w:tabs>
              <w:spacing w:line="280" w:lineRule="atLeast"/>
              <w:rPr>
                <w:rFonts w:eastAsia="Arial"/>
                <w:b/>
                <w:sz w:val="22"/>
                <w:szCs w:val="22"/>
              </w:rPr>
            </w:pPr>
            <w:r w:rsidRPr="00905F3F">
              <w:rPr>
                <w:rFonts w:eastAsia="Arial"/>
                <w:b/>
                <w:sz w:val="22"/>
                <w:szCs w:val="22"/>
              </w:rPr>
              <w:t>1.5</w:t>
            </w:r>
          </w:p>
        </w:tc>
        <w:tc>
          <w:tcPr>
            <w:tcW w:w="3694" w:type="dxa"/>
          </w:tcPr>
          <w:p w14:paraId="18FFA356" w14:textId="77777777" w:rsidR="00D40B99" w:rsidRPr="00905F3F" w:rsidRDefault="00D40B99" w:rsidP="00621006">
            <w:pPr>
              <w:tabs>
                <w:tab w:val="left" w:pos="284"/>
              </w:tabs>
              <w:spacing w:line="280" w:lineRule="atLeast"/>
              <w:rPr>
                <w:b/>
                <w:bCs/>
                <w:color w:val="000000"/>
                <w:sz w:val="22"/>
                <w:szCs w:val="22"/>
              </w:rPr>
            </w:pPr>
            <w:r w:rsidRPr="00905F3F">
              <w:rPr>
                <w:b/>
                <w:bCs/>
                <w:color w:val="000000"/>
                <w:sz w:val="22"/>
                <w:szCs w:val="22"/>
              </w:rPr>
              <w:t xml:space="preserve">Teikiama (-os) kompensuoti registruota (-os) vaistinio preparato indikacija (-os), </w:t>
            </w:r>
          </w:p>
          <w:p w14:paraId="2229DBA8" w14:textId="77777777" w:rsidR="00D40B99" w:rsidRPr="00905F3F" w:rsidRDefault="00D40B99" w:rsidP="00621006">
            <w:pPr>
              <w:tabs>
                <w:tab w:val="left" w:pos="284"/>
              </w:tabs>
              <w:spacing w:line="280" w:lineRule="atLeast"/>
              <w:rPr>
                <w:b/>
                <w:bCs/>
                <w:color w:val="000000"/>
                <w:sz w:val="22"/>
                <w:szCs w:val="22"/>
              </w:rPr>
            </w:pPr>
            <w:r w:rsidRPr="00905F3F">
              <w:rPr>
                <w:b/>
                <w:bCs/>
                <w:color w:val="000000"/>
                <w:sz w:val="22"/>
                <w:szCs w:val="22"/>
              </w:rPr>
              <w:t>TLK kodas</w:t>
            </w:r>
          </w:p>
        </w:tc>
        <w:tc>
          <w:tcPr>
            <w:tcW w:w="4713" w:type="dxa"/>
          </w:tcPr>
          <w:p w14:paraId="39F94FED" w14:textId="77777777" w:rsidR="00D40B99" w:rsidRPr="00905F3F" w:rsidRDefault="00D40B99" w:rsidP="00D40B99">
            <w:pPr>
              <w:pStyle w:val="Sraopastraipa"/>
              <w:spacing w:after="120"/>
              <w:ind w:left="0"/>
              <w:contextualSpacing w:val="0"/>
              <w:jc w:val="both"/>
              <w:rPr>
                <w:sz w:val="22"/>
                <w:szCs w:val="22"/>
                <w:lang w:val="fr-FR"/>
              </w:rPr>
            </w:pPr>
            <w:r w:rsidRPr="00905F3F">
              <w:rPr>
                <w:sz w:val="22"/>
                <w:szCs w:val="22"/>
                <w:lang w:val="fr-FR"/>
              </w:rPr>
              <w:t>RINVOQ skirtas aktyvaus neradiografinio ašinio spondiloartrito gydymui suaugusiems, kuriems yra objektyvių uždegimo požymių, nustatytų remiantis padidėjusiu C reaktyviojo baltymo (CRB) kiekiu ir (arba) magnetinio rezonanso tomografijos (MRT) tyrimu, ir kuriems atsakas į gydymą nesteroidiniais vaistais nuo uždegimo (NVNU) buvo nepakankamas.</w:t>
            </w:r>
          </w:p>
          <w:p w14:paraId="38F8DA02" w14:textId="2C7C14D6" w:rsidR="00D40B99" w:rsidRPr="00905F3F" w:rsidRDefault="00D40B99" w:rsidP="00D40B99">
            <w:pPr>
              <w:pStyle w:val="Sraopastraipa"/>
              <w:spacing w:after="120"/>
              <w:ind w:left="0"/>
              <w:contextualSpacing w:val="0"/>
              <w:jc w:val="both"/>
              <w:rPr>
                <w:sz w:val="22"/>
                <w:szCs w:val="22"/>
              </w:rPr>
            </w:pPr>
            <w:r w:rsidRPr="00905F3F">
              <w:rPr>
                <w:sz w:val="22"/>
                <w:szCs w:val="22"/>
              </w:rPr>
              <w:t>M46.8</w:t>
            </w:r>
          </w:p>
        </w:tc>
      </w:tr>
      <w:tr w:rsidR="00D40B99" w:rsidRPr="00905F3F" w14:paraId="6B3D7932" w14:textId="77777777" w:rsidTr="00621006">
        <w:trPr>
          <w:trHeight w:val="378"/>
        </w:trPr>
        <w:tc>
          <w:tcPr>
            <w:tcW w:w="632" w:type="dxa"/>
          </w:tcPr>
          <w:p w14:paraId="7A16C48C" w14:textId="77777777" w:rsidR="00D40B99" w:rsidRPr="00905F3F" w:rsidRDefault="00D40B99" w:rsidP="00621006">
            <w:pPr>
              <w:tabs>
                <w:tab w:val="left" w:pos="284"/>
              </w:tabs>
              <w:spacing w:line="280" w:lineRule="atLeast"/>
              <w:rPr>
                <w:rFonts w:eastAsia="Arial"/>
                <w:b/>
                <w:sz w:val="22"/>
                <w:szCs w:val="22"/>
              </w:rPr>
            </w:pPr>
            <w:r w:rsidRPr="00905F3F">
              <w:rPr>
                <w:rFonts w:eastAsia="Arial"/>
                <w:b/>
                <w:sz w:val="22"/>
                <w:szCs w:val="22"/>
              </w:rPr>
              <w:t>1.6</w:t>
            </w:r>
          </w:p>
        </w:tc>
        <w:tc>
          <w:tcPr>
            <w:tcW w:w="3694" w:type="dxa"/>
          </w:tcPr>
          <w:p w14:paraId="567F24F2" w14:textId="77777777" w:rsidR="00D40B99" w:rsidRPr="00905F3F" w:rsidRDefault="00D40B99" w:rsidP="00621006">
            <w:pPr>
              <w:tabs>
                <w:tab w:val="left" w:pos="284"/>
              </w:tabs>
              <w:spacing w:line="280" w:lineRule="atLeast"/>
              <w:rPr>
                <w:bCs/>
                <w:color w:val="000000"/>
                <w:sz w:val="22"/>
                <w:szCs w:val="22"/>
                <w:u w:val="single"/>
              </w:rPr>
            </w:pPr>
            <w:r w:rsidRPr="00905F3F">
              <w:rPr>
                <w:b/>
                <w:bCs/>
                <w:color w:val="000000"/>
                <w:sz w:val="22"/>
                <w:szCs w:val="22"/>
              </w:rPr>
              <w:t xml:space="preserve">Teikiamos skyrimo sąlygos </w:t>
            </w:r>
          </w:p>
        </w:tc>
        <w:tc>
          <w:tcPr>
            <w:tcW w:w="4713" w:type="dxa"/>
          </w:tcPr>
          <w:p w14:paraId="66B93BF1" w14:textId="4B1A71D3" w:rsidR="00D40B99" w:rsidRPr="00905F3F" w:rsidRDefault="00D40B99" w:rsidP="00621006">
            <w:pPr>
              <w:pStyle w:val="Sraopastraipa"/>
              <w:spacing w:after="120"/>
              <w:ind w:left="0"/>
              <w:contextualSpacing w:val="0"/>
              <w:jc w:val="both"/>
              <w:rPr>
                <w:sz w:val="22"/>
                <w:szCs w:val="22"/>
              </w:rPr>
            </w:pPr>
            <w:r w:rsidRPr="00905F3F">
              <w:rPr>
                <w:sz w:val="22"/>
                <w:szCs w:val="22"/>
                <w:shd w:val="clear" w:color="auto" w:fill="FFFFFF"/>
              </w:rPr>
              <w:t xml:space="preserve">RINVOQ skiriamas aktyvaus neradiografinio ašinio spondiloartrito gydymui suaugusiems, kuriems yra objektyvių uždegimo požymių, nustatytų remiantis padidėjusiu C reaktyviojo </w:t>
            </w:r>
            <w:r w:rsidRPr="00905F3F">
              <w:rPr>
                <w:sz w:val="22"/>
                <w:szCs w:val="22"/>
                <w:shd w:val="clear" w:color="auto" w:fill="FFFFFF"/>
              </w:rPr>
              <w:lastRenderedPageBreak/>
              <w:t>baltymo (CRB) kiekiu ir (arba) magnetinio rezonanso tomografijos (MRT) tyrimu, ir kuriems atsakas į gydymą vienu ar daugiau biologinių ligą modifikuojančių vaistinių preparatų (bLMV) gydymas buvo nepakankamas (t.y. antros ar vėlesnės eilės gydymui).</w:t>
            </w:r>
          </w:p>
        </w:tc>
      </w:tr>
      <w:tr w:rsidR="00D40B99" w:rsidRPr="00905F3F" w14:paraId="2E20B5D9" w14:textId="77777777" w:rsidTr="00621006">
        <w:trPr>
          <w:trHeight w:val="378"/>
        </w:trPr>
        <w:tc>
          <w:tcPr>
            <w:tcW w:w="632" w:type="dxa"/>
          </w:tcPr>
          <w:p w14:paraId="305F5B8A" w14:textId="77777777" w:rsidR="00D40B99" w:rsidRPr="00905F3F" w:rsidRDefault="00D40B99" w:rsidP="00621006">
            <w:pPr>
              <w:tabs>
                <w:tab w:val="left" w:pos="284"/>
              </w:tabs>
              <w:spacing w:line="280" w:lineRule="atLeast"/>
              <w:rPr>
                <w:rFonts w:eastAsia="Arial"/>
                <w:b/>
                <w:sz w:val="22"/>
                <w:szCs w:val="22"/>
              </w:rPr>
            </w:pPr>
            <w:r w:rsidRPr="00905F3F">
              <w:rPr>
                <w:rFonts w:eastAsia="Arial"/>
                <w:b/>
                <w:sz w:val="22"/>
                <w:szCs w:val="22"/>
              </w:rPr>
              <w:lastRenderedPageBreak/>
              <w:t>1.7</w:t>
            </w:r>
          </w:p>
        </w:tc>
        <w:tc>
          <w:tcPr>
            <w:tcW w:w="3694" w:type="dxa"/>
          </w:tcPr>
          <w:p w14:paraId="55479805" w14:textId="77777777" w:rsidR="00D40B99" w:rsidRPr="00905F3F" w:rsidRDefault="00D40B99" w:rsidP="00621006">
            <w:pPr>
              <w:tabs>
                <w:tab w:val="left" w:pos="284"/>
              </w:tabs>
              <w:spacing w:line="280" w:lineRule="atLeast"/>
              <w:rPr>
                <w:b/>
                <w:bCs/>
                <w:color w:val="000000"/>
                <w:sz w:val="22"/>
                <w:szCs w:val="22"/>
              </w:rPr>
            </w:pPr>
            <w:r w:rsidRPr="00905F3F">
              <w:rPr>
                <w:b/>
                <w:bCs/>
                <w:color w:val="000000"/>
                <w:sz w:val="22"/>
                <w:szCs w:val="22"/>
              </w:rPr>
              <w:t xml:space="preserve">Palyginamasis gydymas </w:t>
            </w:r>
          </w:p>
        </w:tc>
        <w:tc>
          <w:tcPr>
            <w:tcW w:w="4713" w:type="dxa"/>
          </w:tcPr>
          <w:p w14:paraId="369FDE52" w14:textId="65903D16" w:rsidR="00D40B99" w:rsidRPr="00905F3F" w:rsidRDefault="00D40B99" w:rsidP="00621006">
            <w:pPr>
              <w:spacing w:after="120"/>
              <w:jc w:val="both"/>
              <w:rPr>
                <w:sz w:val="22"/>
                <w:szCs w:val="22"/>
              </w:rPr>
            </w:pPr>
            <w:r w:rsidRPr="00905F3F">
              <w:rPr>
                <w:sz w:val="22"/>
                <w:szCs w:val="22"/>
              </w:rPr>
              <w:t>Placebas</w:t>
            </w:r>
            <w:r w:rsidR="008E3358" w:rsidRPr="00905F3F">
              <w:rPr>
                <w:sz w:val="22"/>
                <w:szCs w:val="22"/>
              </w:rPr>
              <w:t xml:space="preserve"> </w:t>
            </w:r>
          </w:p>
        </w:tc>
      </w:tr>
    </w:tbl>
    <w:p w14:paraId="37ED194E" w14:textId="77777777" w:rsidR="00D40B99" w:rsidRDefault="00D40B99" w:rsidP="00D40B99">
      <w:pPr>
        <w:pStyle w:val="Sraopastraipa"/>
        <w:tabs>
          <w:tab w:val="left" w:pos="426"/>
        </w:tabs>
        <w:ind w:left="0"/>
        <w:rPr>
          <w:b/>
          <w:bCs/>
          <w:caps/>
        </w:rPr>
      </w:pPr>
    </w:p>
    <w:p w14:paraId="1DF08627" w14:textId="77777777" w:rsidR="00D40B99" w:rsidRPr="00177C8C" w:rsidRDefault="00D40B99" w:rsidP="00D40B99">
      <w:pPr>
        <w:spacing w:line="276" w:lineRule="auto"/>
        <w:jc w:val="both"/>
        <w:rPr>
          <w:rFonts w:eastAsia="Arial"/>
          <w:b/>
        </w:rPr>
      </w:pPr>
      <w:r w:rsidRPr="00177C8C">
        <w:rPr>
          <w:rFonts w:eastAsia="Arial"/>
          <w:b/>
        </w:rPr>
        <w:t>1.</w:t>
      </w:r>
      <w:r>
        <w:rPr>
          <w:rFonts w:eastAsia="Arial"/>
          <w:b/>
        </w:rPr>
        <w:t>8</w:t>
      </w:r>
      <w:r w:rsidRPr="00177C8C">
        <w:rPr>
          <w:rFonts w:eastAsia="Arial"/>
          <w:b/>
        </w:rPr>
        <w:t xml:space="preserve"> Kitų </w:t>
      </w:r>
      <w:r>
        <w:rPr>
          <w:rFonts w:eastAsia="Arial"/>
          <w:b/>
        </w:rPr>
        <w:t>valstybių atsakingų institucijų atlikto Sveikatos technologijų vertinimo (toliau – STV)</w:t>
      </w:r>
      <w:r w:rsidRPr="00177C8C">
        <w:rPr>
          <w:rFonts w:eastAsia="Arial"/>
          <w:b/>
        </w:rPr>
        <w:t xml:space="preserve"> išvados</w:t>
      </w:r>
    </w:p>
    <w:p w14:paraId="2F573E37" w14:textId="77777777" w:rsidR="00D40B99" w:rsidRDefault="00D40B99" w:rsidP="00D40B99">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D40B99" w:rsidRPr="0073329D" w14:paraId="0E105B5B" w14:textId="77777777" w:rsidTr="00621006">
        <w:trPr>
          <w:trHeight w:val="924"/>
        </w:trPr>
        <w:tc>
          <w:tcPr>
            <w:tcW w:w="2927" w:type="dxa"/>
          </w:tcPr>
          <w:p w14:paraId="73535BF9" w14:textId="77777777" w:rsidR="00D40B99" w:rsidRPr="0073329D" w:rsidRDefault="00D40B99" w:rsidP="00621006">
            <w:pPr>
              <w:spacing w:line="276" w:lineRule="auto"/>
              <w:rPr>
                <w:rFonts w:eastAsia="Arial"/>
                <w:szCs w:val="24"/>
              </w:rPr>
            </w:pPr>
            <w:r w:rsidRPr="0073329D">
              <w:rPr>
                <w:rFonts w:eastAsia="Arial"/>
                <w:szCs w:val="24"/>
              </w:rPr>
              <w:t>STV agentūros pavadinimas, šalis</w:t>
            </w:r>
          </w:p>
        </w:tc>
        <w:tc>
          <w:tcPr>
            <w:tcW w:w="1915" w:type="dxa"/>
          </w:tcPr>
          <w:p w14:paraId="5FFC655A" w14:textId="77777777" w:rsidR="00D40B99" w:rsidRPr="0073329D" w:rsidRDefault="00D40B99" w:rsidP="00621006">
            <w:pPr>
              <w:spacing w:line="276" w:lineRule="auto"/>
              <w:rPr>
                <w:rFonts w:eastAsia="Arial"/>
                <w:szCs w:val="24"/>
              </w:rPr>
            </w:pPr>
            <w:r w:rsidRPr="0073329D">
              <w:rPr>
                <w:rFonts w:eastAsia="Arial"/>
                <w:szCs w:val="24"/>
              </w:rPr>
              <w:t>STV vertinimas atliktas</w:t>
            </w:r>
          </w:p>
        </w:tc>
        <w:tc>
          <w:tcPr>
            <w:tcW w:w="2351" w:type="dxa"/>
          </w:tcPr>
          <w:p w14:paraId="70C91E4F" w14:textId="77777777" w:rsidR="00D40B99" w:rsidRPr="0073329D" w:rsidRDefault="00D40B99" w:rsidP="00621006">
            <w:pPr>
              <w:spacing w:line="276" w:lineRule="auto"/>
              <w:rPr>
                <w:rFonts w:eastAsia="Arial"/>
                <w:szCs w:val="24"/>
              </w:rPr>
            </w:pPr>
            <w:r w:rsidRPr="0073329D">
              <w:rPr>
                <w:rFonts w:eastAsia="Arial"/>
                <w:szCs w:val="24"/>
              </w:rPr>
              <w:t>Klinikinio vertinimo išvada</w:t>
            </w:r>
          </w:p>
        </w:tc>
        <w:tc>
          <w:tcPr>
            <w:tcW w:w="2725" w:type="dxa"/>
          </w:tcPr>
          <w:p w14:paraId="6E9CBD20" w14:textId="77777777" w:rsidR="00D40B99" w:rsidRPr="0073329D" w:rsidRDefault="00D40B99" w:rsidP="00621006">
            <w:pPr>
              <w:spacing w:line="276" w:lineRule="auto"/>
              <w:rPr>
                <w:rFonts w:eastAsia="Arial"/>
                <w:szCs w:val="24"/>
              </w:rPr>
            </w:pPr>
            <w:r w:rsidRPr="0073329D">
              <w:rPr>
                <w:rFonts w:eastAsia="Arial"/>
                <w:szCs w:val="24"/>
              </w:rPr>
              <w:t>Farmakoekonominio vertinimo išvada</w:t>
            </w:r>
          </w:p>
        </w:tc>
      </w:tr>
      <w:tr w:rsidR="00D40B99" w:rsidRPr="0073329D" w14:paraId="2212945A" w14:textId="77777777" w:rsidTr="00621006">
        <w:trPr>
          <w:trHeight w:val="1765"/>
        </w:trPr>
        <w:tc>
          <w:tcPr>
            <w:tcW w:w="2927" w:type="dxa"/>
          </w:tcPr>
          <w:p w14:paraId="248D66BC" w14:textId="77777777" w:rsidR="00D40B99" w:rsidRPr="0073329D" w:rsidRDefault="00D40B99" w:rsidP="00621006">
            <w:pPr>
              <w:autoSpaceDE w:val="0"/>
              <w:autoSpaceDN w:val="0"/>
              <w:adjustRightInd w:val="0"/>
              <w:rPr>
                <w:bCs/>
                <w:szCs w:val="24"/>
              </w:rPr>
            </w:pPr>
            <w:r w:rsidRPr="0073329D">
              <w:rPr>
                <w:bCs/>
                <w:szCs w:val="24"/>
              </w:rPr>
              <w:t>Nacionalinis sveikatos ir klinikinės kompetencijos institutas, Didžioji Britanija</w:t>
            </w:r>
          </w:p>
          <w:p w14:paraId="5FAB085F" w14:textId="77777777" w:rsidR="00D40B99" w:rsidRPr="0073329D" w:rsidRDefault="00D40B99" w:rsidP="00621006">
            <w:pPr>
              <w:spacing w:line="276" w:lineRule="auto"/>
              <w:rPr>
                <w:rFonts w:eastAsia="Arial"/>
                <w:szCs w:val="24"/>
              </w:rPr>
            </w:pPr>
            <w:r w:rsidRPr="0073329D">
              <w:rPr>
                <w:rFonts w:eastAsia="Arial"/>
                <w:szCs w:val="24"/>
              </w:rPr>
              <w:t xml:space="preserve">(angl. </w:t>
            </w:r>
            <w:r w:rsidRPr="0073329D">
              <w:rPr>
                <w:rFonts w:eastAsia="Arial"/>
                <w:i/>
                <w:szCs w:val="24"/>
              </w:rPr>
              <w:t>National Institute for Health and Care Excellence, NICE</w:t>
            </w:r>
            <w:r w:rsidRPr="0073329D">
              <w:rPr>
                <w:rFonts w:eastAsia="Arial"/>
                <w:szCs w:val="24"/>
              </w:rPr>
              <w:t>)</w:t>
            </w:r>
          </w:p>
        </w:tc>
        <w:tc>
          <w:tcPr>
            <w:tcW w:w="1915" w:type="dxa"/>
          </w:tcPr>
          <w:p w14:paraId="3F6D08B1" w14:textId="77777777" w:rsidR="00D40B99" w:rsidRPr="0073329D" w:rsidRDefault="00000000" w:rsidP="00621006">
            <w:sdt>
              <w:sdtPr>
                <w:rPr>
                  <w:rStyle w:val="Style2"/>
                </w:rPr>
                <w:id w:val="1558205022"/>
                <w15:color w:val="FFCC00"/>
                <w14:checkbox>
                  <w14:checked w14:val="1"/>
                  <w14:checkedState w14:val="2612" w14:font="MS Gothic"/>
                  <w14:uncheckedState w14:val="2610" w14:font="MS Gothic"/>
                </w14:checkbox>
              </w:sdtPr>
              <w:sdtContent>
                <w:r w:rsidR="00D40B99">
                  <w:rPr>
                    <w:rStyle w:val="Style2"/>
                    <w:rFonts w:ascii="MS Gothic" w:eastAsia="MS Gothic" w:hAnsi="MS Gothic" w:hint="eastAsia"/>
                    <w:szCs w:val="24"/>
                  </w:rPr>
                  <w:t>☒</w:t>
                </w:r>
              </w:sdtContent>
            </w:sdt>
            <w:r w:rsidR="00D40B99" w:rsidRPr="0073329D">
              <w:t xml:space="preserve"> Taip</w:t>
            </w:r>
          </w:p>
          <w:p w14:paraId="54F34285" w14:textId="77777777" w:rsidR="00D40B99" w:rsidRPr="0073329D" w:rsidRDefault="00000000" w:rsidP="00621006">
            <w:sdt>
              <w:sdtPr>
                <w:rPr>
                  <w:rStyle w:val="Style2"/>
                </w:rPr>
                <w:id w:val="866029625"/>
                <w15:color w:val="FFCC00"/>
                <w14:checkbox>
                  <w14:checked w14:val="0"/>
                  <w14:checkedState w14:val="2612" w14:font="MS Gothic"/>
                  <w14:uncheckedState w14:val="2610" w14:font="MS Gothic"/>
                </w14:checkbox>
              </w:sdtPr>
              <w:sdtContent>
                <w:r w:rsidR="00D40B99" w:rsidRPr="0073329D">
                  <w:rPr>
                    <w:rStyle w:val="Style2"/>
                    <w:rFonts w:ascii="MS Gothic" w:eastAsia="MS Gothic" w:hAnsi="MS Gothic" w:hint="eastAsia"/>
                    <w:szCs w:val="24"/>
                  </w:rPr>
                  <w:t>☐</w:t>
                </w:r>
              </w:sdtContent>
            </w:sdt>
            <w:r w:rsidR="00D40B99" w:rsidRPr="0073329D">
              <w:t xml:space="preserve"> Ne</w:t>
            </w:r>
          </w:p>
          <w:p w14:paraId="134BC874" w14:textId="77777777" w:rsidR="00D40B99" w:rsidRPr="0073329D" w:rsidRDefault="00000000" w:rsidP="00621006">
            <w:pPr>
              <w:rPr>
                <w:rFonts w:eastAsia="Arial"/>
              </w:rPr>
            </w:pPr>
            <w:sdt>
              <w:sdtPr>
                <w:alias w:val="Nurodykite konkrečią dieną"/>
                <w:tag w:val="Nurodykite pradžios datą"/>
                <w:id w:val="922837954"/>
                <w:placeholder>
                  <w:docPart w:val="758306EAF8802F4E8BC2D139A02A1AED"/>
                </w:placeholder>
                <w15:color w:val="FFCC99"/>
                <w:date>
                  <w:dateFormat w:val="yyyy 'm.' MMMM d 'd.'"/>
                  <w:lid w:val="lt-LT"/>
                  <w:storeMappedDataAs w:val="dateTime"/>
                  <w:calendar w:val="gregorian"/>
                </w:date>
              </w:sdtPr>
              <w:sdtContent>
                <w:r w:rsidR="00D40B99">
                  <w:t>2023 vasario 01 d.</w:t>
                </w:r>
              </w:sdtContent>
            </w:sdt>
          </w:p>
        </w:tc>
        <w:tc>
          <w:tcPr>
            <w:tcW w:w="5076" w:type="dxa"/>
            <w:gridSpan w:val="2"/>
          </w:tcPr>
          <w:p w14:paraId="5D55BF57" w14:textId="77777777" w:rsidR="00D40B99" w:rsidRPr="00BE145F" w:rsidRDefault="00D40B99" w:rsidP="00621006">
            <w:pPr>
              <w:spacing w:line="276" w:lineRule="auto"/>
              <w:rPr>
                <w:rFonts w:eastAsia="Arial"/>
                <w:szCs w:val="24"/>
              </w:rPr>
            </w:pPr>
            <w:r w:rsidRPr="00BE145F">
              <w:rPr>
                <w:rFonts w:eastAsia="Arial"/>
                <w:szCs w:val="24"/>
              </w:rPr>
              <w:t>Upadacitinibas rekomenduojamas kaip alternatyva gydant aktyvų neradiografinį ašinį spondiloartritą su objektyviais uždegimo požymiais (rodomas padidėjusiu C reaktyvaus baltymo kiekiu arba MRT), kuris nėra pakankamai gerai kontroliuojamas nesteroidiniais vaistais nuo uždegimo (NVNU). Tai rekomenduojama tik tada, jei:</w:t>
            </w:r>
          </w:p>
          <w:p w14:paraId="3D9A4519" w14:textId="77777777" w:rsidR="00D40B99" w:rsidRPr="00BE145F" w:rsidRDefault="00D40B99" w:rsidP="00D40B99">
            <w:pPr>
              <w:pStyle w:val="Sraopastraipa"/>
              <w:numPr>
                <w:ilvl w:val="0"/>
                <w:numId w:val="2"/>
              </w:numPr>
              <w:spacing w:line="276" w:lineRule="auto"/>
              <w:rPr>
                <w:rFonts w:eastAsia="Arial"/>
                <w:szCs w:val="24"/>
              </w:rPr>
            </w:pPr>
            <w:r w:rsidRPr="00BE145F">
              <w:rPr>
                <w:rFonts w:eastAsia="Arial"/>
                <w:szCs w:val="24"/>
              </w:rPr>
              <w:t>naviko nekrozės faktoriaus (TNF) alfa inhibitoriai netinka arba nepakankamai gerai kontroliuoja būklę ir</w:t>
            </w:r>
          </w:p>
          <w:p w14:paraId="62599769" w14:textId="77777777" w:rsidR="00D40B99" w:rsidRPr="00BE145F" w:rsidRDefault="00D40B99" w:rsidP="00D40B99">
            <w:pPr>
              <w:pStyle w:val="Sraopastraipa"/>
              <w:numPr>
                <w:ilvl w:val="0"/>
                <w:numId w:val="2"/>
              </w:numPr>
              <w:spacing w:line="276" w:lineRule="auto"/>
              <w:rPr>
                <w:rFonts w:eastAsia="Arial"/>
                <w:szCs w:val="24"/>
              </w:rPr>
            </w:pPr>
            <w:r w:rsidRPr="00BE145F">
              <w:rPr>
                <w:rFonts w:eastAsia="Arial"/>
                <w:szCs w:val="24"/>
              </w:rPr>
              <w:t>įmonė teikia upadacitinibą pagal komercinį susitarimą.</w:t>
            </w:r>
          </w:p>
        </w:tc>
      </w:tr>
      <w:tr w:rsidR="00D40B99" w:rsidRPr="0073329D" w14:paraId="252873C3" w14:textId="77777777" w:rsidTr="00621006">
        <w:trPr>
          <w:trHeight w:val="1547"/>
        </w:trPr>
        <w:tc>
          <w:tcPr>
            <w:tcW w:w="2927" w:type="dxa"/>
          </w:tcPr>
          <w:p w14:paraId="3DD2082D" w14:textId="77777777" w:rsidR="00D40B99" w:rsidRPr="0073329D" w:rsidRDefault="00D40B99" w:rsidP="00621006">
            <w:pPr>
              <w:spacing w:line="276" w:lineRule="auto"/>
              <w:rPr>
                <w:rFonts w:eastAsia="Arial"/>
                <w:szCs w:val="24"/>
              </w:rPr>
            </w:pPr>
            <w:r w:rsidRPr="0073329D">
              <w:rPr>
                <w:rFonts w:eastAsia="Arial"/>
                <w:szCs w:val="24"/>
              </w:rPr>
              <w:t>Kanados sveikatos technologijų agentūra</w:t>
            </w:r>
          </w:p>
          <w:p w14:paraId="3D908B20" w14:textId="77777777" w:rsidR="00D40B99" w:rsidRPr="0073329D" w:rsidRDefault="00D40B99" w:rsidP="00621006">
            <w:pPr>
              <w:spacing w:line="276" w:lineRule="auto"/>
              <w:rPr>
                <w:rFonts w:eastAsia="Arial"/>
                <w:szCs w:val="24"/>
              </w:rPr>
            </w:pPr>
            <w:r w:rsidRPr="0073329D">
              <w:rPr>
                <w:rFonts w:eastAsia="Arial"/>
                <w:szCs w:val="24"/>
              </w:rPr>
              <w:t xml:space="preserve">(angl. </w:t>
            </w:r>
            <w:r w:rsidRPr="0073329D">
              <w:rPr>
                <w:rFonts w:eastAsia="Arial"/>
                <w:i/>
                <w:szCs w:val="24"/>
              </w:rPr>
              <w:t>Canadian health Technology Assessment agency, CADTH</w:t>
            </w:r>
            <w:r w:rsidRPr="0073329D">
              <w:rPr>
                <w:rFonts w:eastAsia="Arial"/>
                <w:szCs w:val="24"/>
              </w:rPr>
              <w:t>)</w:t>
            </w:r>
          </w:p>
        </w:tc>
        <w:tc>
          <w:tcPr>
            <w:tcW w:w="1915" w:type="dxa"/>
          </w:tcPr>
          <w:p w14:paraId="6D36303A" w14:textId="77777777" w:rsidR="00D40B99" w:rsidRPr="0073329D" w:rsidRDefault="00000000" w:rsidP="00621006">
            <w:sdt>
              <w:sdtPr>
                <w:rPr>
                  <w:rStyle w:val="Style2"/>
                </w:rPr>
                <w:id w:val="-372539057"/>
                <w15:color w:val="FFCC00"/>
                <w14:checkbox>
                  <w14:checked w14:val="0"/>
                  <w14:checkedState w14:val="2612" w14:font="MS Gothic"/>
                  <w14:uncheckedState w14:val="2610" w14:font="MS Gothic"/>
                </w14:checkbox>
              </w:sdtPr>
              <w:sdtContent>
                <w:r w:rsidR="00D40B99" w:rsidRPr="0073329D">
                  <w:rPr>
                    <w:rStyle w:val="Style2"/>
                    <w:rFonts w:ascii="Segoe UI Symbol" w:eastAsia="MS Gothic" w:hAnsi="Segoe UI Symbol" w:cs="Segoe UI Symbol"/>
                    <w:szCs w:val="24"/>
                  </w:rPr>
                  <w:t>☐</w:t>
                </w:r>
              </w:sdtContent>
            </w:sdt>
            <w:r w:rsidR="00D40B99" w:rsidRPr="0073329D">
              <w:t xml:space="preserve"> Taip</w:t>
            </w:r>
          </w:p>
          <w:p w14:paraId="52E50699" w14:textId="77777777" w:rsidR="00D40B99" w:rsidRPr="0073329D" w:rsidRDefault="00000000" w:rsidP="00621006">
            <w:sdt>
              <w:sdtPr>
                <w:rPr>
                  <w:rStyle w:val="Style2"/>
                </w:rPr>
                <w:id w:val="594442222"/>
                <w15:color w:val="FFCC00"/>
                <w14:checkbox>
                  <w14:checked w14:val="1"/>
                  <w14:checkedState w14:val="2612" w14:font="MS Gothic"/>
                  <w14:uncheckedState w14:val="2610" w14:font="MS Gothic"/>
                </w14:checkbox>
              </w:sdtPr>
              <w:sdtContent>
                <w:r w:rsidR="00D40B99">
                  <w:rPr>
                    <w:rStyle w:val="Style2"/>
                    <w:rFonts w:ascii="MS Gothic" w:eastAsia="MS Gothic" w:hAnsi="MS Gothic" w:hint="eastAsia"/>
                    <w:szCs w:val="24"/>
                  </w:rPr>
                  <w:t>☒</w:t>
                </w:r>
              </w:sdtContent>
            </w:sdt>
            <w:r w:rsidR="00D40B99" w:rsidRPr="0073329D">
              <w:t xml:space="preserve"> Ne</w:t>
            </w:r>
          </w:p>
          <w:p w14:paraId="373AFA38" w14:textId="77777777" w:rsidR="00D40B99" w:rsidRPr="0073329D" w:rsidRDefault="00000000" w:rsidP="00621006">
            <w:pPr>
              <w:spacing w:line="276" w:lineRule="auto"/>
              <w:rPr>
                <w:rFonts w:eastAsia="Arial"/>
                <w:szCs w:val="24"/>
              </w:rPr>
            </w:pPr>
            <w:sdt>
              <w:sdtPr>
                <w:alias w:val="Nurodykite konkrečią dieną"/>
                <w:tag w:val="Nurodykite pradžios datą"/>
                <w:id w:val="1072468416"/>
                <w:placeholder>
                  <w:docPart w:val="1749B2D8DA2BA14999C28DD8C075FE18"/>
                </w:placeholder>
                <w:showingPlcHdr/>
                <w15:color w:val="FFCC99"/>
                <w:date w:fullDate="2022-05-18T00:00:00Z">
                  <w:dateFormat w:val="yyyy 'm.' MMMM d 'd.'"/>
                  <w:lid w:val="lt-LT"/>
                  <w:storeMappedDataAs w:val="dateTime"/>
                  <w:calendar w:val="gregorian"/>
                </w:date>
              </w:sdtPr>
              <w:sdtContent>
                <w:r w:rsidR="00D40B99" w:rsidRPr="0073329D">
                  <w:rPr>
                    <w:rStyle w:val="Vietosrezervavimoenklotekstas"/>
                    <w:szCs w:val="24"/>
                  </w:rPr>
                  <w:t>Click here to enter a date.</w:t>
                </w:r>
              </w:sdtContent>
            </w:sdt>
          </w:p>
        </w:tc>
        <w:tc>
          <w:tcPr>
            <w:tcW w:w="2351" w:type="dxa"/>
          </w:tcPr>
          <w:p w14:paraId="6C9DF9A1" w14:textId="77777777" w:rsidR="00D40B99" w:rsidRPr="0073329D" w:rsidRDefault="00D40B99" w:rsidP="00621006">
            <w:pPr>
              <w:spacing w:line="276" w:lineRule="auto"/>
              <w:rPr>
                <w:rFonts w:eastAsia="Arial"/>
                <w:szCs w:val="24"/>
              </w:rPr>
            </w:pPr>
          </w:p>
        </w:tc>
        <w:tc>
          <w:tcPr>
            <w:tcW w:w="2725" w:type="dxa"/>
          </w:tcPr>
          <w:p w14:paraId="037E73AD" w14:textId="77777777" w:rsidR="00D40B99" w:rsidRPr="0073329D" w:rsidRDefault="00D40B99" w:rsidP="00621006">
            <w:pPr>
              <w:spacing w:line="276" w:lineRule="auto"/>
              <w:rPr>
                <w:rFonts w:eastAsia="Arial"/>
                <w:szCs w:val="24"/>
              </w:rPr>
            </w:pPr>
          </w:p>
        </w:tc>
      </w:tr>
      <w:tr w:rsidR="00D40B99" w:rsidRPr="0073329D" w14:paraId="28B9CA11" w14:textId="77777777" w:rsidTr="00621006">
        <w:trPr>
          <w:trHeight w:val="1927"/>
        </w:trPr>
        <w:tc>
          <w:tcPr>
            <w:tcW w:w="2927" w:type="dxa"/>
          </w:tcPr>
          <w:p w14:paraId="1BEDD75C" w14:textId="77777777" w:rsidR="00D40B99" w:rsidRPr="0073329D" w:rsidRDefault="00D40B99" w:rsidP="00621006">
            <w:pPr>
              <w:spacing w:line="276" w:lineRule="auto"/>
              <w:rPr>
                <w:rFonts w:eastAsia="Arial"/>
                <w:szCs w:val="24"/>
              </w:rPr>
            </w:pPr>
            <w:r w:rsidRPr="0073329D">
              <w:rPr>
                <w:rFonts w:eastAsia="Arial"/>
                <w:szCs w:val="24"/>
              </w:rPr>
              <w:t>Nacionalinis farmakoekonomikos centras, Airija</w:t>
            </w:r>
          </w:p>
          <w:p w14:paraId="0E6B9DE5" w14:textId="77777777" w:rsidR="00D40B99" w:rsidRPr="0073329D" w:rsidRDefault="00D40B99" w:rsidP="00621006">
            <w:pPr>
              <w:spacing w:line="276" w:lineRule="auto"/>
              <w:rPr>
                <w:rFonts w:eastAsia="Arial"/>
                <w:szCs w:val="24"/>
              </w:rPr>
            </w:pPr>
            <w:r w:rsidRPr="0073329D">
              <w:rPr>
                <w:rFonts w:eastAsia="Arial"/>
                <w:szCs w:val="24"/>
              </w:rPr>
              <w:t>(angl.</w:t>
            </w:r>
            <w:r w:rsidRPr="0073329D">
              <w:rPr>
                <w:rFonts w:eastAsia="Arial"/>
                <w:i/>
                <w:szCs w:val="24"/>
              </w:rPr>
              <w:t xml:space="preserve"> National Centre for Pharmacoeconomics, NCPE</w:t>
            </w:r>
            <w:r w:rsidRPr="0073329D">
              <w:rPr>
                <w:rFonts w:eastAsia="Arial"/>
                <w:szCs w:val="24"/>
              </w:rPr>
              <w:t>)</w:t>
            </w:r>
          </w:p>
        </w:tc>
        <w:tc>
          <w:tcPr>
            <w:tcW w:w="1915" w:type="dxa"/>
          </w:tcPr>
          <w:p w14:paraId="519519E1" w14:textId="77777777" w:rsidR="00D40B99" w:rsidRPr="0073329D" w:rsidRDefault="00000000" w:rsidP="00621006">
            <w:sdt>
              <w:sdtPr>
                <w:rPr>
                  <w:rStyle w:val="Style2"/>
                </w:rPr>
                <w:id w:val="-1888403732"/>
                <w15:color w:val="FFCC00"/>
                <w14:checkbox>
                  <w14:checked w14:val="0"/>
                  <w14:checkedState w14:val="2612" w14:font="MS Gothic"/>
                  <w14:uncheckedState w14:val="2610" w14:font="MS Gothic"/>
                </w14:checkbox>
              </w:sdtPr>
              <w:sdtContent>
                <w:r w:rsidR="00D40B99" w:rsidRPr="0073329D">
                  <w:rPr>
                    <w:rStyle w:val="Style2"/>
                    <w:rFonts w:ascii="Segoe UI Symbol" w:eastAsia="MS Gothic" w:hAnsi="Segoe UI Symbol" w:cs="Segoe UI Symbol"/>
                    <w:szCs w:val="24"/>
                  </w:rPr>
                  <w:t>☐</w:t>
                </w:r>
              </w:sdtContent>
            </w:sdt>
            <w:r w:rsidR="00D40B99" w:rsidRPr="0073329D">
              <w:t xml:space="preserve"> Taip</w:t>
            </w:r>
          </w:p>
          <w:p w14:paraId="600EB5B6" w14:textId="77777777" w:rsidR="00D40B99" w:rsidRPr="0073329D" w:rsidRDefault="00000000" w:rsidP="00621006">
            <w:sdt>
              <w:sdtPr>
                <w:rPr>
                  <w:rStyle w:val="Style2"/>
                </w:rPr>
                <w:id w:val="1092201793"/>
                <w15:color w:val="FFCC00"/>
                <w14:checkbox>
                  <w14:checked w14:val="1"/>
                  <w14:checkedState w14:val="2612" w14:font="MS Gothic"/>
                  <w14:uncheckedState w14:val="2610" w14:font="MS Gothic"/>
                </w14:checkbox>
              </w:sdtPr>
              <w:sdtContent>
                <w:r w:rsidR="00D40B99">
                  <w:rPr>
                    <w:rStyle w:val="Style2"/>
                    <w:rFonts w:ascii="MS Gothic" w:eastAsia="MS Gothic" w:hAnsi="MS Gothic" w:hint="eastAsia"/>
                    <w:szCs w:val="24"/>
                  </w:rPr>
                  <w:t>☒</w:t>
                </w:r>
              </w:sdtContent>
            </w:sdt>
            <w:r w:rsidR="00D40B99" w:rsidRPr="0073329D">
              <w:t xml:space="preserve"> Ne</w:t>
            </w:r>
          </w:p>
          <w:p w14:paraId="2F5DF351" w14:textId="77777777" w:rsidR="00D40B99" w:rsidRPr="0073329D" w:rsidRDefault="00000000" w:rsidP="00621006">
            <w:pPr>
              <w:spacing w:line="276" w:lineRule="auto"/>
              <w:rPr>
                <w:rFonts w:eastAsia="Arial"/>
                <w:szCs w:val="24"/>
              </w:rPr>
            </w:pPr>
            <w:sdt>
              <w:sdtPr>
                <w:alias w:val="Nurodykite konkrečią dieną"/>
                <w:tag w:val="Nurodykite pradžios datą"/>
                <w:id w:val="-198323198"/>
                <w:placeholder>
                  <w:docPart w:val="13A86EF60032D94A97134F7881CBD479"/>
                </w:placeholder>
                <w:showingPlcHdr/>
                <w15:color w:val="FFCC99"/>
                <w:date w:fullDate="2022-05-18T00:00:00Z">
                  <w:dateFormat w:val="yyyy 'm.' MMMM d 'd.'"/>
                  <w:lid w:val="lt-LT"/>
                  <w:storeMappedDataAs w:val="dateTime"/>
                  <w:calendar w:val="gregorian"/>
                </w:date>
              </w:sdtPr>
              <w:sdtContent>
                <w:r w:rsidR="00D40B99" w:rsidRPr="0073329D">
                  <w:rPr>
                    <w:rStyle w:val="Vietosrezervavimoenklotekstas"/>
                    <w:szCs w:val="24"/>
                  </w:rPr>
                  <w:t>Click here to enter a date.</w:t>
                </w:r>
              </w:sdtContent>
            </w:sdt>
          </w:p>
        </w:tc>
        <w:tc>
          <w:tcPr>
            <w:tcW w:w="2351" w:type="dxa"/>
          </w:tcPr>
          <w:p w14:paraId="424C28FE" w14:textId="77777777" w:rsidR="00D40B99" w:rsidRPr="0073329D" w:rsidRDefault="00D40B99" w:rsidP="00621006">
            <w:pPr>
              <w:spacing w:line="276" w:lineRule="auto"/>
              <w:rPr>
                <w:rFonts w:eastAsia="Arial"/>
                <w:szCs w:val="24"/>
              </w:rPr>
            </w:pPr>
          </w:p>
        </w:tc>
        <w:tc>
          <w:tcPr>
            <w:tcW w:w="2725" w:type="dxa"/>
          </w:tcPr>
          <w:p w14:paraId="7ECD6572" w14:textId="77777777" w:rsidR="00D40B99" w:rsidRPr="0073329D" w:rsidRDefault="00D40B99" w:rsidP="00621006">
            <w:pPr>
              <w:spacing w:line="276" w:lineRule="auto"/>
              <w:rPr>
                <w:rFonts w:eastAsia="Arial"/>
                <w:szCs w:val="24"/>
              </w:rPr>
            </w:pPr>
          </w:p>
        </w:tc>
      </w:tr>
    </w:tbl>
    <w:p w14:paraId="13DC8A44" w14:textId="77777777" w:rsidR="00D40B99" w:rsidRDefault="00D40B99" w:rsidP="00D40B99">
      <w:pPr>
        <w:pStyle w:val="Sraopastraipa"/>
        <w:tabs>
          <w:tab w:val="left" w:pos="426"/>
        </w:tabs>
        <w:ind w:left="0"/>
        <w:rPr>
          <w:b/>
          <w:bCs/>
          <w:caps/>
        </w:rPr>
      </w:pPr>
    </w:p>
    <w:p w14:paraId="0EB0FCAB" w14:textId="77777777" w:rsidR="00D40B99" w:rsidRPr="00937907" w:rsidRDefault="00D40B99" w:rsidP="00D40B99">
      <w:pPr>
        <w:pStyle w:val="Sraopastraipa"/>
        <w:numPr>
          <w:ilvl w:val="0"/>
          <w:numId w:val="1"/>
        </w:numPr>
        <w:tabs>
          <w:tab w:val="left" w:pos="284"/>
        </w:tabs>
        <w:rPr>
          <w:b/>
          <w:bCs/>
          <w:caps/>
        </w:rPr>
      </w:pPr>
      <w:r w:rsidRPr="00937907">
        <w:rPr>
          <w:b/>
          <w:bCs/>
          <w:caps/>
        </w:rPr>
        <w:t>Klinikinio vertinimo apibendrinimas</w:t>
      </w:r>
    </w:p>
    <w:p w14:paraId="36D9D4CF" w14:textId="77777777" w:rsidR="00D40B99" w:rsidRDefault="00D40B99" w:rsidP="00D40B99">
      <w:pPr>
        <w:spacing w:line="276" w:lineRule="auto"/>
        <w:rPr>
          <w:rFonts w:eastAsia="Arial"/>
          <w:i/>
        </w:rPr>
      </w:pPr>
    </w:p>
    <w:p w14:paraId="63EAB934" w14:textId="03AD5C7B" w:rsidR="00D40B99" w:rsidRPr="007770D3" w:rsidRDefault="00D40B99" w:rsidP="00D40B99">
      <w:pPr>
        <w:tabs>
          <w:tab w:val="left" w:pos="1134"/>
        </w:tabs>
        <w:spacing w:line="276" w:lineRule="auto"/>
        <w:ind w:firstLine="709"/>
        <w:jc w:val="both"/>
      </w:pPr>
      <w:r w:rsidRPr="007770D3">
        <w:t xml:space="preserve">Ankilozinis spondilitas – </w:t>
      </w:r>
      <w:r w:rsidR="007770D3" w:rsidRPr="007770D3">
        <w:t>lėtinė</w:t>
      </w:r>
      <w:r w:rsidRPr="007770D3">
        <w:t xml:space="preserve">̇ uždegiminė liga, pažeidžianti sakroilinius </w:t>
      </w:r>
      <w:r w:rsidR="007770D3" w:rsidRPr="007770D3">
        <w:t>sąnarius</w:t>
      </w:r>
      <w:r w:rsidRPr="007770D3">
        <w:t xml:space="preserve">, </w:t>
      </w:r>
      <w:r w:rsidR="007770D3" w:rsidRPr="007770D3">
        <w:t>stuburą</w:t>
      </w:r>
      <w:r w:rsidRPr="007770D3">
        <w:t xml:space="preserve">̨, kai kuriais atvejais periferinius </w:t>
      </w:r>
      <w:r w:rsidR="007770D3" w:rsidRPr="007770D3">
        <w:t>sąnarius</w:t>
      </w:r>
      <w:r w:rsidRPr="007770D3">
        <w:t xml:space="preserve"> ir ekstraartikulinius organus. Pagal </w:t>
      </w:r>
      <w:r w:rsidR="007770D3" w:rsidRPr="007770D3">
        <w:t>vyraujančius</w:t>
      </w:r>
      <w:r w:rsidRPr="007770D3">
        <w:t xml:space="preserve"> klinikinius simptomus AS skirstomas į ašinį spondiloartritą (toliau – aSpA) ir periferinį spondiloartritą (toliau – pSpA). Pagal radiologiniais tyrimais nustatomus pakitimus skiriamas AS ir nr-aSpA.</w:t>
      </w:r>
    </w:p>
    <w:p w14:paraId="3ECFF7B4" w14:textId="77777777" w:rsidR="00D40B99" w:rsidRPr="007770D3" w:rsidRDefault="00D40B99" w:rsidP="00D40B99">
      <w:pPr>
        <w:tabs>
          <w:tab w:val="left" w:pos="1134"/>
        </w:tabs>
        <w:spacing w:line="276" w:lineRule="auto"/>
        <w:ind w:firstLine="709"/>
        <w:jc w:val="both"/>
      </w:pPr>
      <w:r w:rsidRPr="007770D3">
        <w:t xml:space="preserve">Ašinis spondiloartritas (AxSpA) yra lėtinė, progresuojanti uždegiminė būklė, daugiausia pažeidžianti stuburą ir kryžkaulio klubinius sąnarius (SIJ). Be vyraujančio lėtinio nugaros skausmo simptomo, AxSpA pacientai dažnai kenčia nuo periferinių (artrito, entezito ir daktilito) ir (arba) ekstrasąnarinių apraiškų (uveito, psoriazės ir uždegiminės žarnyno ligos). Šie pacientai, dažnai </w:t>
      </w:r>
      <w:r w:rsidRPr="007770D3">
        <w:lastRenderedPageBreak/>
        <w:t>turintys žmogaus leukocitų antigeno (HLA)-B27 geną, jaučia didelį skausmą, sustingimą ir funkcijos ribotumą, dėl kurio patiriamos didelės sveikatos priežiūros išlaidos ir padidėja mirtingumas.</w:t>
      </w:r>
    </w:p>
    <w:p w14:paraId="4B5E78E0" w14:textId="77777777" w:rsidR="00D40B99" w:rsidRPr="007770D3" w:rsidRDefault="00D40B99" w:rsidP="00D40B99">
      <w:pPr>
        <w:tabs>
          <w:tab w:val="left" w:pos="1134"/>
        </w:tabs>
        <w:spacing w:line="276" w:lineRule="auto"/>
        <w:ind w:firstLine="709"/>
        <w:jc w:val="both"/>
      </w:pPr>
      <w:r w:rsidRPr="007770D3">
        <w:t xml:space="preserve">Yra du AxSpA potipiai: ankilozuojantis spondilitas (AS) ir neradiografinis AxSpA (nr-AxSpA), o pagrindinis skirtumas tarp šių dviejų yra tam tikrų struktūrinių SIJ pokyčių (t.y. sakroilito) buvimas arba nebuvimas, kaip nustatomi įprastine radiografija.  </w:t>
      </w:r>
    </w:p>
    <w:p w14:paraId="025003F8" w14:textId="15B74C41" w:rsidR="00D40B99" w:rsidRPr="007770D3" w:rsidRDefault="00D40B99" w:rsidP="00D40B99">
      <w:pPr>
        <w:tabs>
          <w:tab w:val="left" w:pos="1134"/>
        </w:tabs>
        <w:spacing w:line="276" w:lineRule="auto"/>
        <w:ind w:firstLine="709"/>
        <w:jc w:val="both"/>
        <w:rPr>
          <w:rFonts w:eastAsia="MS Mincho"/>
          <w:color w:val="000000"/>
        </w:rPr>
      </w:pPr>
      <w:r w:rsidRPr="007770D3">
        <w:t xml:space="preserve">Remiantis </w:t>
      </w:r>
      <w:r w:rsidR="00B27EA9" w:rsidRPr="007770D3">
        <w:t>Lietuvos Respublikos sveikato</w:t>
      </w:r>
      <w:r w:rsidR="007770D3">
        <w:t>s</w:t>
      </w:r>
      <w:r w:rsidR="00B27EA9" w:rsidRPr="007770D3">
        <w:t xml:space="preserve"> apsaugos ministro įsakymu „Dėl a</w:t>
      </w:r>
      <w:r w:rsidR="00B27EA9" w:rsidRPr="007770D3">
        <w:rPr>
          <w:color w:val="000000"/>
        </w:rPr>
        <w:t>nkilozinio spondilito ir kitos patikslintos uždegiminės spondilopatijos (neradiografinio ašinio spondiloartrito) gydymo vaistais, kurių įsigijimo išlaidos apmokamos Privalomojo sveikatos draudimo fondo biudžeto lėšomis, tvarkos aprašo patvirtinimo“</w:t>
      </w:r>
      <w:r w:rsidR="00B27EA9" w:rsidRPr="007770D3">
        <w:t xml:space="preserve"> 2018 m. vasario 15 d. V-180 (toliau – Aprašas), </w:t>
      </w:r>
      <w:r w:rsidRPr="007770D3">
        <w:t>nr-AxSpa gydymui, kai atsakas į gydymą NVNU pirmoje eilėje skiriami TNF</w:t>
      </w:r>
      <w:r w:rsidRPr="007770D3">
        <w:rPr>
          <w:rFonts w:eastAsia="MS Mincho"/>
          <w:color w:val="000000"/>
        </w:rPr>
        <w:t>α blokatoriai (adalimumabas arba etanerceptas, pagal mažiausią gydymo kainą). Antros eilės gydymui po skirto TNFα blokatoriaus, kai jis nėra neveiksmingas arba jo skirti negalima, skiriamas kitas TNFα blokatorius (atitinkamai etanerceptas arba adalimumabas).</w:t>
      </w:r>
    </w:p>
    <w:p w14:paraId="52B4E55C" w14:textId="77777777" w:rsidR="00D40B99" w:rsidRPr="007770D3" w:rsidRDefault="00D40B99" w:rsidP="00D40B99">
      <w:pPr>
        <w:tabs>
          <w:tab w:val="left" w:pos="1134"/>
        </w:tabs>
        <w:spacing w:line="276" w:lineRule="auto"/>
        <w:ind w:firstLine="709"/>
        <w:jc w:val="both"/>
        <w:rPr>
          <w:rFonts w:eastAsia="MS Mincho"/>
          <w:color w:val="000000"/>
        </w:rPr>
      </w:pPr>
      <w:r w:rsidRPr="007770D3">
        <w:rPr>
          <w:rFonts w:eastAsia="Arial"/>
          <w:iCs/>
        </w:rPr>
        <w:t>Pateiktas tiesioginis palyginamasis tyrimas SELECT-AXIS 2 yra daugiacentris, atsitiktinių imčių, dvigubai koduotas, lygiagrečių grupių, placebu kontroliuojamas III fazės tyrimas, kurio metu vertintas upadacitinibo veiksmingumas ir saugumas pacientams, sergantiems aktyviu axSpA. Tyrimą sudarė du nepriklausomi tyrimai: į 1 tyrimą įtraukti pacientai, sergantys bDMARD-IR AS; 2 tyrime dalyvavo pacientai, sergantys nr-axSpA. Paraiškoje pateikti rezultatai iš 2-o tyrimo, kuriame dalyvavo nr-axSpA sergantys pacientai.</w:t>
      </w:r>
      <w:r w:rsidRPr="007770D3">
        <w:rPr>
          <w:rFonts w:eastAsia="MS Mincho"/>
          <w:color w:val="000000"/>
        </w:rPr>
        <w:t xml:space="preserve"> Šiame tyrime </w:t>
      </w:r>
      <w:r w:rsidRPr="007770D3">
        <w:rPr>
          <w:bCs/>
        </w:rPr>
        <w:t xml:space="preserve">upadacitinibas buvo palygintas su placebu pacientams, kuriems nustatytas </w:t>
      </w:r>
      <w:r w:rsidRPr="007770D3">
        <w:rPr>
          <w:lang w:eastAsia="lt-LT"/>
        </w:rPr>
        <w:t xml:space="preserve">aktyvus neradiografinis ašinis spondiloartritas ir kuriems atsakas į gydymą </w:t>
      </w:r>
      <w:r w:rsidRPr="007770D3">
        <w:rPr>
          <w:i/>
          <w:u w:val="single"/>
          <w:lang w:eastAsia="lt-LT"/>
        </w:rPr>
        <w:t>vienu</w:t>
      </w:r>
      <w:r w:rsidRPr="007770D3">
        <w:rPr>
          <w:lang w:eastAsia="lt-LT"/>
        </w:rPr>
        <w:t xml:space="preserve"> biologiniu ligą modifikuojančiu vaistu buvo nepakankamas (</w:t>
      </w:r>
      <w:r w:rsidRPr="007770D3">
        <w:rPr>
          <w:rFonts w:eastAsia="MS Mincho"/>
          <w:color w:val="000000"/>
        </w:rPr>
        <w:t>2 TNF α blokatorių vartojimas prieš skiriant gydymą upadacitinibu nebuvo leidžiamas)</w:t>
      </w:r>
      <w:r w:rsidRPr="007770D3">
        <w:rPr>
          <w:lang w:eastAsia="lt-LT"/>
        </w:rPr>
        <w:t xml:space="preserve">. </w:t>
      </w:r>
      <w:r w:rsidRPr="007770D3">
        <w:rPr>
          <w:bCs/>
          <w:color w:val="000000"/>
          <w:lang w:eastAsia="lt-LT"/>
        </w:rPr>
        <w:t xml:space="preserve">Atsižvelgiant į tai, jog Lietuvoje nurodytai indikacijai yra galimas antros eilės gydymas (kitas </w:t>
      </w:r>
      <w:r w:rsidRPr="007770D3">
        <w:rPr>
          <w:rFonts w:eastAsia="MS Mincho"/>
          <w:color w:val="000000"/>
        </w:rPr>
        <w:t>TNFα blokatorius), šis tyrimas laikomas neaktualiu Lietuvos klinikinei praktikai (netinkama populiacija ir netinkamas palyginamasis gydymas).</w:t>
      </w:r>
    </w:p>
    <w:p w14:paraId="00CFD0F8" w14:textId="77777777" w:rsidR="00D40B99" w:rsidRPr="007770D3" w:rsidRDefault="00D40B99" w:rsidP="00D40B99">
      <w:pPr>
        <w:tabs>
          <w:tab w:val="left" w:pos="1134"/>
        </w:tabs>
        <w:spacing w:line="276" w:lineRule="auto"/>
        <w:ind w:firstLine="709"/>
        <w:jc w:val="both"/>
        <w:rPr>
          <w:rFonts w:eastAsia="MS Mincho"/>
          <w:color w:val="000000"/>
        </w:rPr>
      </w:pPr>
      <w:r w:rsidRPr="007770D3">
        <w:rPr>
          <w:rFonts w:eastAsia="MS Mincho"/>
          <w:color w:val="000000"/>
        </w:rPr>
        <w:t xml:space="preserve">Pareiškėjas taip pat pateikė ir netiesioginio palyginimo tyrimą (tinklinę metaanalizę), kuriame vieni iš palyginamųjų gydymų buvo etanerceptas ir adalimumabas. Tačiau netiesioginiame palyginime vertintas tas pats upadacitinibo tiesioginio palyginimo tyrimas SELECT-AXIS 2, kuris nėra tinkamas, nes jame </w:t>
      </w:r>
      <w:r w:rsidRPr="007770D3">
        <w:rPr>
          <w:bCs/>
        </w:rPr>
        <w:t xml:space="preserve">upadacitinibas buvo palygintas su placebu pacientams, kuriems nustatytas </w:t>
      </w:r>
      <w:r w:rsidRPr="007770D3">
        <w:rPr>
          <w:lang w:eastAsia="lt-LT"/>
        </w:rPr>
        <w:t xml:space="preserve">aktyvus neradiografinis ašinis spondiloartritas ir kuriems atsakas į gydymą </w:t>
      </w:r>
      <w:r w:rsidRPr="007770D3">
        <w:rPr>
          <w:i/>
          <w:u w:val="single"/>
          <w:lang w:eastAsia="lt-LT"/>
        </w:rPr>
        <w:t>vienu</w:t>
      </w:r>
      <w:r w:rsidRPr="007770D3">
        <w:rPr>
          <w:lang w:eastAsia="lt-LT"/>
        </w:rPr>
        <w:t xml:space="preserve"> biologiniu ligą modifikuojančiu vaistu buvo nepakankamas (t.y. netinkama tiriamųjų populiacija).</w:t>
      </w:r>
    </w:p>
    <w:p w14:paraId="3F907CB5" w14:textId="77777777" w:rsidR="00D40B99" w:rsidRPr="007770D3" w:rsidRDefault="00D40B99" w:rsidP="00D40B99">
      <w:pPr>
        <w:tabs>
          <w:tab w:val="left" w:pos="1134"/>
        </w:tabs>
        <w:spacing w:line="276" w:lineRule="auto"/>
        <w:ind w:firstLine="709"/>
        <w:jc w:val="both"/>
        <w:rPr>
          <w:rFonts w:eastAsia="MS Mincho"/>
          <w:color w:val="000000"/>
        </w:rPr>
      </w:pPr>
      <w:r w:rsidRPr="007770D3">
        <w:rPr>
          <w:rFonts w:eastAsia="MS Mincho"/>
          <w:color w:val="000000"/>
        </w:rPr>
        <w:t>Be to, šiame netiesioginio palyginimo tyrime vertintas etanercepto tyrimas (EMBARK NCT01258738) neatitinka norimos kompensuoti populiacijos, nes jame tirti pacientai, kuriems negautas atsakas į gydymą NVNU, tačiau jie nebuvo gydyti jokiu biologiniu ligą modifikuojančiu vaistu. Adalimumabo veiksmingumo duomenys netiesioginio palyginimo tyrime vertinti pagal du tiesioginius palyginamuosius tyrimus, iš kurių vienas (ABILITY-1 NCT00939003) taip pat neatitinka vertinamos populiacijos, nes jame tirti pacientai, kuriems negautas atsakas į gydymą NVNU, tačiau jie nebuvo gydyti jokiu biologiniu ligą modifikuojančiu vaistu. O kitas vertintas tyrimas (Haibel 2008 NCT00235105) tik iš dalies atitinką vertinamą populiaciją, nes jame tirta pacientų populiacija buvo maišyta – dalis buvo prieš tai gavę gydymą 1 TNF α blokatoriumi, o dalis nebuvo gavusi tokio gydymo (gavo tik gydymą NVNU).</w:t>
      </w:r>
    </w:p>
    <w:p w14:paraId="54004915" w14:textId="5066519C" w:rsidR="004A6A32" w:rsidRPr="007770D3" w:rsidRDefault="00D40B99" w:rsidP="00D40B99">
      <w:pPr>
        <w:tabs>
          <w:tab w:val="left" w:pos="1134"/>
        </w:tabs>
        <w:spacing w:line="276" w:lineRule="auto"/>
        <w:ind w:firstLine="709"/>
        <w:jc w:val="both"/>
        <w:rPr>
          <w:rFonts w:eastAsia="MS Mincho"/>
          <w:color w:val="000000"/>
        </w:rPr>
      </w:pPr>
      <w:r w:rsidRPr="007770D3">
        <w:rPr>
          <w:rFonts w:eastAsia="MS Mincho"/>
          <w:color w:val="000000"/>
        </w:rPr>
        <w:t>Pareiškėjui buvo pat</w:t>
      </w:r>
      <w:r w:rsidR="00B27EA9" w:rsidRPr="007770D3">
        <w:rPr>
          <w:rFonts w:eastAsia="MS Mincho"/>
          <w:color w:val="000000"/>
        </w:rPr>
        <w:t>eikti</w:t>
      </w:r>
      <w:r w:rsidRPr="007770D3">
        <w:rPr>
          <w:rFonts w:eastAsia="MS Mincho"/>
          <w:color w:val="000000"/>
        </w:rPr>
        <w:t xml:space="preserve"> esmini</w:t>
      </w:r>
      <w:r w:rsidR="00B27EA9" w:rsidRPr="007770D3">
        <w:rPr>
          <w:rFonts w:eastAsia="MS Mincho"/>
          <w:color w:val="000000"/>
        </w:rPr>
        <w:t xml:space="preserve">ai </w:t>
      </w:r>
      <w:r w:rsidRPr="007770D3">
        <w:rPr>
          <w:rFonts w:eastAsia="MS Mincho"/>
          <w:color w:val="000000"/>
        </w:rPr>
        <w:t>prieštaravim</w:t>
      </w:r>
      <w:r w:rsidR="00B27EA9" w:rsidRPr="007770D3">
        <w:rPr>
          <w:rFonts w:eastAsia="MS Mincho"/>
          <w:color w:val="000000"/>
        </w:rPr>
        <w:t xml:space="preserve">ai dėl </w:t>
      </w:r>
      <w:r w:rsidRPr="007770D3">
        <w:rPr>
          <w:rFonts w:eastAsia="MS Mincho"/>
          <w:color w:val="000000"/>
        </w:rPr>
        <w:t>netinkam</w:t>
      </w:r>
      <w:r w:rsidR="00B27EA9" w:rsidRPr="007770D3">
        <w:rPr>
          <w:rFonts w:eastAsia="MS Mincho"/>
          <w:color w:val="000000"/>
        </w:rPr>
        <w:t>o</w:t>
      </w:r>
      <w:r w:rsidRPr="007770D3">
        <w:rPr>
          <w:rFonts w:eastAsia="MS Mincho"/>
          <w:color w:val="000000"/>
        </w:rPr>
        <w:t xml:space="preserve"> palyginam</w:t>
      </w:r>
      <w:r w:rsidR="00B27EA9" w:rsidRPr="007770D3">
        <w:rPr>
          <w:rFonts w:eastAsia="MS Mincho"/>
          <w:color w:val="000000"/>
        </w:rPr>
        <w:t>ojo</w:t>
      </w:r>
      <w:r w:rsidRPr="007770D3">
        <w:rPr>
          <w:rFonts w:eastAsia="MS Mincho"/>
          <w:color w:val="000000"/>
        </w:rPr>
        <w:t xml:space="preserve"> gydym</w:t>
      </w:r>
      <w:r w:rsidR="00B27EA9" w:rsidRPr="007770D3">
        <w:rPr>
          <w:rFonts w:eastAsia="MS Mincho"/>
          <w:color w:val="000000"/>
        </w:rPr>
        <w:t>o</w:t>
      </w:r>
      <w:r w:rsidR="0068785E" w:rsidRPr="007770D3">
        <w:rPr>
          <w:rFonts w:eastAsia="MS Mincho"/>
          <w:color w:val="000000"/>
        </w:rPr>
        <w:t xml:space="preserve"> tiesioginio palyginimo tyrime ir netinkamos pacientų populiacijos esant tinkamam palyginamajam gydymui netiesioginio palyginimo tyrime</w:t>
      </w:r>
      <w:r w:rsidRPr="007770D3">
        <w:rPr>
          <w:rFonts w:eastAsia="MS Mincho"/>
          <w:color w:val="000000"/>
        </w:rPr>
        <w:t>.</w:t>
      </w:r>
      <w:r w:rsidR="00B27EA9" w:rsidRPr="007770D3">
        <w:rPr>
          <w:rFonts w:eastAsia="MS Mincho"/>
          <w:color w:val="000000"/>
        </w:rPr>
        <w:t xml:space="preserve"> Atsakant į esminį prieštaravimą p</w:t>
      </w:r>
      <w:r w:rsidRPr="007770D3">
        <w:rPr>
          <w:rFonts w:eastAsia="MS Mincho"/>
          <w:color w:val="000000"/>
        </w:rPr>
        <w:t>areiškėjas sutiko pa</w:t>
      </w:r>
      <w:r w:rsidR="00B27EA9" w:rsidRPr="007770D3">
        <w:rPr>
          <w:rFonts w:eastAsia="MS Mincho"/>
          <w:color w:val="000000"/>
        </w:rPr>
        <w:t>koreguot</w:t>
      </w:r>
      <w:r w:rsidR="00B21D63" w:rsidRPr="007770D3">
        <w:rPr>
          <w:rFonts w:eastAsia="MS Mincho"/>
          <w:color w:val="000000"/>
        </w:rPr>
        <w:t>i</w:t>
      </w:r>
      <w:r w:rsidRPr="007770D3">
        <w:rPr>
          <w:rFonts w:eastAsia="MS Mincho"/>
          <w:color w:val="000000"/>
        </w:rPr>
        <w:t xml:space="preserve"> skyrimo sąlyg</w:t>
      </w:r>
      <w:r w:rsidR="00B21D63" w:rsidRPr="007770D3">
        <w:rPr>
          <w:rFonts w:eastAsia="MS Mincho"/>
          <w:color w:val="000000"/>
        </w:rPr>
        <w:t>as</w:t>
      </w:r>
      <w:r w:rsidRPr="007770D3">
        <w:rPr>
          <w:rFonts w:eastAsia="MS Mincho"/>
          <w:color w:val="000000"/>
        </w:rPr>
        <w:t xml:space="preserve"> </w:t>
      </w:r>
      <w:r w:rsidR="0068785E" w:rsidRPr="007770D3">
        <w:rPr>
          <w:rFonts w:eastAsia="MS Mincho"/>
          <w:color w:val="000000"/>
        </w:rPr>
        <w:t>apribojant pacientų populiaciją (</w:t>
      </w:r>
      <w:r w:rsidR="0068785E" w:rsidRPr="007770D3">
        <w:rPr>
          <w:rFonts w:eastAsia="MS Mincho"/>
          <w:color w:val="000000"/>
          <w:szCs w:val="20"/>
        </w:rPr>
        <w:t xml:space="preserve">antros ar vėlesnės eilės gydymui po </w:t>
      </w:r>
      <w:r w:rsidR="0068785E" w:rsidRPr="007770D3">
        <w:rPr>
          <w:rFonts w:eastAsia="MS Mincho"/>
          <w:i/>
          <w:iCs/>
          <w:color w:val="000000"/>
          <w:szCs w:val="20"/>
        </w:rPr>
        <w:t>TNFa</w:t>
      </w:r>
      <w:r w:rsidR="0068785E" w:rsidRPr="007770D3">
        <w:rPr>
          <w:rFonts w:eastAsia="MS Mincho"/>
          <w:color w:val="000000"/>
        </w:rPr>
        <w:t xml:space="preserve"> blokatorių), bet nepateikė </w:t>
      </w:r>
      <w:r w:rsidR="0068785E" w:rsidRPr="007770D3">
        <w:rPr>
          <w:rFonts w:eastAsia="MS Mincho"/>
          <w:b/>
          <w:bCs/>
          <w:color w:val="000000"/>
        </w:rPr>
        <w:t>naujų</w:t>
      </w:r>
      <w:r w:rsidR="0068785E" w:rsidRPr="007770D3">
        <w:rPr>
          <w:rFonts w:eastAsia="MS Mincho"/>
          <w:color w:val="000000"/>
        </w:rPr>
        <w:t xml:space="preserve"> tie</w:t>
      </w:r>
      <w:r w:rsidR="007C1DC4" w:rsidRPr="007770D3">
        <w:rPr>
          <w:rFonts w:eastAsia="MS Mincho"/>
          <w:color w:val="000000"/>
        </w:rPr>
        <w:t>s</w:t>
      </w:r>
      <w:r w:rsidR="0068785E" w:rsidRPr="007770D3">
        <w:rPr>
          <w:rFonts w:eastAsia="MS Mincho"/>
          <w:color w:val="000000"/>
        </w:rPr>
        <w:t xml:space="preserve">ioginio palyginimo ar netiesioginio palyginimo klinikinių </w:t>
      </w:r>
      <w:r w:rsidR="0068785E" w:rsidRPr="007770D3">
        <w:rPr>
          <w:rFonts w:eastAsia="MS Mincho"/>
          <w:color w:val="000000"/>
        </w:rPr>
        <w:lastRenderedPageBreak/>
        <w:t xml:space="preserve">duomenų </w:t>
      </w:r>
      <w:r w:rsidR="004A6A32" w:rsidRPr="007770D3">
        <w:rPr>
          <w:rFonts w:eastAsia="MS Mincho"/>
          <w:color w:val="000000"/>
        </w:rPr>
        <w:t xml:space="preserve">su palyginamaisiais vaistiniais preparatais adalimumabu ir (ar) etanerceptu, kuriais remiantis būtų įrodytas </w:t>
      </w:r>
      <w:r w:rsidR="0068785E" w:rsidRPr="007770D3">
        <w:rPr>
          <w:rFonts w:eastAsia="MS Mincho"/>
          <w:color w:val="000000"/>
        </w:rPr>
        <w:t>pranašum</w:t>
      </w:r>
      <w:r w:rsidR="004A6A32" w:rsidRPr="007770D3">
        <w:rPr>
          <w:rFonts w:eastAsia="MS Mincho"/>
          <w:color w:val="000000"/>
        </w:rPr>
        <w:t>as</w:t>
      </w:r>
      <w:r w:rsidR="0068785E" w:rsidRPr="007770D3">
        <w:rPr>
          <w:rFonts w:eastAsia="MS Mincho"/>
          <w:color w:val="000000"/>
        </w:rPr>
        <w:t xml:space="preserve"> prieš </w:t>
      </w:r>
      <w:r w:rsidR="004A6A32" w:rsidRPr="007770D3">
        <w:rPr>
          <w:rFonts w:eastAsia="MS Mincho"/>
          <w:color w:val="000000"/>
        </w:rPr>
        <w:t>TNF</w:t>
      </w:r>
      <w:r w:rsidR="004A6A32" w:rsidRPr="007770D3">
        <w:rPr>
          <w:rFonts w:eastAsia="MS Mincho"/>
          <w:i/>
          <w:iCs/>
          <w:color w:val="000000"/>
          <w:szCs w:val="20"/>
        </w:rPr>
        <w:t>a</w:t>
      </w:r>
      <w:r w:rsidR="0068785E" w:rsidRPr="007770D3">
        <w:rPr>
          <w:rFonts w:eastAsia="MS Mincho"/>
          <w:color w:val="000000"/>
        </w:rPr>
        <w:t xml:space="preserve"> </w:t>
      </w:r>
      <w:r w:rsidR="004A6A32" w:rsidRPr="007770D3">
        <w:rPr>
          <w:rFonts w:eastAsia="MS Mincho"/>
          <w:color w:val="000000"/>
        </w:rPr>
        <w:t>inhibitorius</w:t>
      </w:r>
      <w:r w:rsidR="0068785E" w:rsidRPr="007770D3">
        <w:rPr>
          <w:rFonts w:eastAsia="MS Mincho"/>
          <w:color w:val="000000"/>
        </w:rPr>
        <w:t xml:space="preserve"> suaugusiems pacientams </w:t>
      </w:r>
      <w:r w:rsidR="004A6A32" w:rsidRPr="007770D3">
        <w:rPr>
          <w:rFonts w:eastAsia="MS Mincho"/>
          <w:color w:val="000000"/>
        </w:rPr>
        <w:t xml:space="preserve">sergantiems </w:t>
      </w:r>
      <w:r w:rsidR="004A6A32" w:rsidRPr="007770D3">
        <w:rPr>
          <w:rFonts w:eastAsia="MS Mincho"/>
          <w:color w:val="000000"/>
          <w:szCs w:val="20"/>
        </w:rPr>
        <w:t xml:space="preserve">neradiografiniu ašiniu spondiloartritu, kuriems </w:t>
      </w:r>
      <w:r w:rsidR="004A6A32" w:rsidRPr="007770D3">
        <w:rPr>
          <w:rFonts w:eastAsia="MS Mincho"/>
          <w:color w:val="000000"/>
        </w:rPr>
        <w:t>atsakas į gydymą vienu ar daugiau biologinių ligą modifikuojančių vaistinių preparatų (bLMV) buvo nepakankamas</w:t>
      </w:r>
      <w:r w:rsidR="007770D3" w:rsidRPr="007770D3">
        <w:rPr>
          <w:rFonts w:eastAsia="MS Mincho"/>
          <w:color w:val="000000"/>
        </w:rPr>
        <w:t>.</w:t>
      </w:r>
    </w:p>
    <w:p w14:paraId="17A528FB" w14:textId="27FCFDAD" w:rsidR="0050483E" w:rsidRPr="007770D3" w:rsidRDefault="004A6A32" w:rsidP="004A6A32">
      <w:pPr>
        <w:tabs>
          <w:tab w:val="left" w:pos="1134"/>
        </w:tabs>
        <w:spacing w:line="276" w:lineRule="auto"/>
        <w:ind w:firstLine="709"/>
        <w:jc w:val="both"/>
        <w:rPr>
          <w:rFonts w:eastAsia="MS Mincho"/>
          <w:color w:val="000000"/>
        </w:rPr>
      </w:pPr>
      <w:r w:rsidRPr="007770D3">
        <w:rPr>
          <w:rFonts w:eastAsia="MS Mincho"/>
          <w:color w:val="000000"/>
        </w:rPr>
        <w:t>Atsižvelgiant į tai, kad pareiškėjas</w:t>
      </w:r>
      <w:r w:rsidR="0050483E" w:rsidRPr="007770D3">
        <w:rPr>
          <w:rFonts w:eastAsia="MS Mincho"/>
          <w:color w:val="000000"/>
        </w:rPr>
        <w:t xml:space="preserve"> </w:t>
      </w:r>
      <w:r w:rsidR="004F589E" w:rsidRPr="007770D3">
        <w:rPr>
          <w:rFonts w:eastAsia="MS Mincho"/>
          <w:color w:val="000000"/>
        </w:rPr>
        <w:t xml:space="preserve">nepateikė </w:t>
      </w:r>
      <w:r w:rsidR="0050483E" w:rsidRPr="007770D3">
        <w:rPr>
          <w:rFonts w:eastAsia="MS Mincho"/>
          <w:color w:val="000000"/>
        </w:rPr>
        <w:t xml:space="preserve">naujų klinikinių duomenų ir </w:t>
      </w:r>
      <w:r w:rsidRPr="007770D3">
        <w:rPr>
          <w:rFonts w:eastAsia="MS Mincho"/>
          <w:color w:val="000000"/>
        </w:rPr>
        <w:t xml:space="preserve">nurodė klinikinį vertinimą atlikti su paraiškoje </w:t>
      </w:r>
      <w:r w:rsidR="0050483E" w:rsidRPr="007770D3">
        <w:rPr>
          <w:rFonts w:eastAsia="MS Mincho"/>
          <w:color w:val="000000"/>
        </w:rPr>
        <w:t xml:space="preserve">jau </w:t>
      </w:r>
      <w:r w:rsidRPr="007770D3">
        <w:rPr>
          <w:rFonts w:eastAsia="MS Mincho"/>
          <w:color w:val="000000"/>
        </w:rPr>
        <w:t xml:space="preserve">pateiktais klinikiniais duomenimis, </w:t>
      </w:r>
      <w:r w:rsidR="0050483E" w:rsidRPr="007770D3">
        <w:rPr>
          <w:rFonts w:eastAsia="MS Mincho"/>
          <w:color w:val="000000"/>
        </w:rPr>
        <w:t>esminis prieštaravimas dėl netinkamos pacientų populiacijos laikomas neišspręstu</w:t>
      </w:r>
      <w:r w:rsidRPr="007770D3">
        <w:rPr>
          <w:rFonts w:eastAsia="MS Mincho"/>
          <w:color w:val="000000"/>
        </w:rPr>
        <w:t xml:space="preserve"> </w:t>
      </w:r>
      <w:r w:rsidR="0050483E" w:rsidRPr="007770D3">
        <w:rPr>
          <w:rFonts w:eastAsia="MS Mincho"/>
          <w:color w:val="000000"/>
        </w:rPr>
        <w:t>daroma išvada, kad paraiškoje pateikti duomenys apie palyginamąjį veiksmingumą yra netinkamai vertinti.</w:t>
      </w:r>
    </w:p>
    <w:p w14:paraId="3CCF1C67" w14:textId="77777777" w:rsidR="00537F0A" w:rsidRPr="007770D3" w:rsidRDefault="00537F0A" w:rsidP="00D40B99">
      <w:pPr>
        <w:tabs>
          <w:tab w:val="left" w:pos="1134"/>
        </w:tabs>
        <w:spacing w:line="276" w:lineRule="auto"/>
        <w:ind w:firstLine="709"/>
        <w:jc w:val="both"/>
        <w:rPr>
          <w:rFonts w:eastAsia="MS Mincho"/>
          <w:color w:val="000000"/>
        </w:rPr>
      </w:pPr>
    </w:p>
    <w:p w14:paraId="554435FE" w14:textId="77777777" w:rsidR="00D40B99" w:rsidRPr="007770D3" w:rsidRDefault="00D40B99" w:rsidP="00D40B99">
      <w:pPr>
        <w:pStyle w:val="Sraopastraipa"/>
        <w:numPr>
          <w:ilvl w:val="0"/>
          <w:numId w:val="1"/>
        </w:numPr>
        <w:tabs>
          <w:tab w:val="left" w:pos="426"/>
        </w:tabs>
        <w:rPr>
          <w:b/>
          <w:bCs/>
          <w:caps/>
        </w:rPr>
      </w:pPr>
      <w:r w:rsidRPr="007770D3">
        <w:rPr>
          <w:b/>
          <w:bCs/>
          <w:caps/>
        </w:rPr>
        <w:t>Farmakoekonominio vertinimo apibendrinimas</w:t>
      </w:r>
    </w:p>
    <w:p w14:paraId="26DF26D6" w14:textId="54E5937F" w:rsidR="00905F3F" w:rsidRPr="007770D3" w:rsidRDefault="00905F3F" w:rsidP="00905F3F">
      <w:pPr>
        <w:rPr>
          <w:rFonts w:eastAsia="Arial"/>
          <w:b/>
        </w:rPr>
      </w:pPr>
    </w:p>
    <w:p w14:paraId="30FED631" w14:textId="7C47E5EF" w:rsidR="004F589E" w:rsidRDefault="00905F3F" w:rsidP="004F589E">
      <w:pPr>
        <w:spacing w:line="276" w:lineRule="auto"/>
        <w:ind w:firstLine="720"/>
        <w:jc w:val="both"/>
        <w:rPr>
          <w:lang w:eastAsia="ru-RU"/>
        </w:rPr>
      </w:pPr>
      <w:r w:rsidRPr="007770D3">
        <w:rPr>
          <w:rFonts w:eastAsia="MS Mincho"/>
          <w:color w:val="000000"/>
        </w:rPr>
        <w:t>Atsižvelgiant į tai, kad nustatytas esminis prieštaravimas dėl klinikinės paraiškos dalies (netinkama populiacija, netinkamas palyginamasis</w:t>
      </w:r>
      <w:r w:rsidR="004F589E">
        <w:rPr>
          <w:rFonts w:eastAsia="MS Mincho"/>
          <w:color w:val="000000"/>
        </w:rPr>
        <w:t xml:space="preserve"> gydymas</w:t>
      </w:r>
      <w:r w:rsidRPr="007770D3">
        <w:rPr>
          <w:rFonts w:eastAsia="MS Mincho"/>
          <w:color w:val="000000"/>
        </w:rPr>
        <w:t>) ir po Pareiškėjo pateiktų atsakymų laikoma, kad upadacitinibas (Rinvoq) negali būti kompensuojamas aktyvaus neradiografinio ašinio spondiloartrito gydymui suaugusiems, kuriems yra objektyvių uždegimo požymių, nustatytų remiantis padidėjusiu C reaktyviojo baltymo (CRB) kiekiu ir (arba) magnetinio rezonanso tomografijos (MRT) tyrimu, ir kuriems atsakas į gydymą nesteroidiniais vaistais nuo uždegimo (NVNU) buvo nepakankamas dėl esminių paraiškos trūkumų (detalizuojamų klinikinėje dalyje), vadovaujantis Lietuvos Respublikos sveikatos apsaugos ministro 2002 m. balandžio 5 d. įsakymu Nr. 159 „Dėl vaistinių preparatų ir medicinos pagalbos priemonių įrašymo į kompensavimo sąrašus ir jų keitimo tvarkos aprašo patvirtinimo“ (toliau – Tvarkos aprašas) </w:t>
      </w:r>
      <w:r w:rsidRPr="007770D3">
        <w:rPr>
          <w:lang w:eastAsia="ru-RU"/>
        </w:rPr>
        <w:t>17</w:t>
      </w:r>
      <w:r w:rsidR="004F589E">
        <w:rPr>
          <w:vertAlign w:val="superscript"/>
          <w:lang w:eastAsia="ru-RU"/>
        </w:rPr>
        <w:t>2</w:t>
      </w:r>
      <w:r w:rsidRPr="007770D3">
        <w:rPr>
          <w:rFonts w:eastAsia="MS Mincho"/>
          <w:color w:val="000000"/>
        </w:rPr>
        <w:t xml:space="preserve"> punktu </w:t>
      </w:r>
      <w:r w:rsidR="00F956D8">
        <w:rPr>
          <w:rFonts w:eastAsia="MS Mincho"/>
          <w:color w:val="000000"/>
        </w:rPr>
        <w:t>j</w:t>
      </w:r>
      <w:r w:rsidRPr="007770D3">
        <w:rPr>
          <w:rFonts w:eastAsia="MS Mincho"/>
          <w:color w:val="000000"/>
        </w:rPr>
        <w:t xml:space="preserve">ei atlikus išsamų klinikinį vertinimą nustatoma, kad Paraiškoje pateiktas palyginamasis gydymas yra netinkamas arba klinikinės dalies vertinimo išvada atitinka Aprašo </w:t>
      </w:r>
      <w:bookmarkStart w:id="0" w:name="_Hlk190368474"/>
      <w:r w:rsidR="004F589E" w:rsidRPr="004F589E">
        <w:rPr>
          <w:rFonts w:eastAsia="MS Mincho"/>
          <w:color w:val="000000"/>
        </w:rPr>
        <w:t>29.1.5</w:t>
      </w:r>
      <w:bookmarkEnd w:id="0"/>
      <w:r w:rsidRPr="007770D3">
        <w:rPr>
          <w:rFonts w:eastAsia="MS Mincho"/>
          <w:color w:val="000000"/>
        </w:rPr>
        <w:t>papunktį, tai laikoma esminiu Paraiškos trūkumu ir ekonominis vertinimas neatliekamas, Pareiškėjui neatnaujinus farmakoekonominės analizės dėl aukščiau nurodytų trūkumų, ekonominis vertinimas n</w:t>
      </w:r>
      <w:r w:rsidR="004F589E">
        <w:rPr>
          <w:rFonts w:eastAsia="MS Mincho"/>
          <w:color w:val="000000"/>
        </w:rPr>
        <w:t>e</w:t>
      </w:r>
      <w:r w:rsidRPr="007770D3">
        <w:rPr>
          <w:rFonts w:eastAsia="MS Mincho"/>
          <w:color w:val="000000"/>
        </w:rPr>
        <w:t>atliekamas.</w:t>
      </w:r>
      <w:r w:rsidRPr="007770D3">
        <w:rPr>
          <w:lang w:eastAsia="ru-RU"/>
        </w:rPr>
        <w:t xml:space="preserve"> </w:t>
      </w:r>
    </w:p>
    <w:p w14:paraId="59E1A5E0" w14:textId="30F4E2BA" w:rsidR="00905F3F" w:rsidRPr="007770D3" w:rsidRDefault="004F589E" w:rsidP="004F589E">
      <w:pPr>
        <w:spacing w:line="276" w:lineRule="auto"/>
        <w:ind w:firstLine="720"/>
        <w:jc w:val="both"/>
        <w:rPr>
          <w:lang w:eastAsia="ru-RU"/>
        </w:rPr>
      </w:pPr>
      <w:bookmarkStart w:id="1" w:name="_Hlk190368498"/>
      <w:r>
        <w:rPr>
          <w:lang w:eastAsia="ru-RU"/>
        </w:rPr>
        <w:t xml:space="preserve">Apibendrinant, įvertinus paraiškoje </w:t>
      </w:r>
      <w:r w:rsidR="00FD5551">
        <w:rPr>
          <w:lang w:eastAsia="ru-RU"/>
        </w:rPr>
        <w:t>p</w:t>
      </w:r>
      <w:r>
        <w:rPr>
          <w:lang w:eastAsia="ru-RU"/>
        </w:rPr>
        <w:t>ateiktus</w:t>
      </w:r>
      <w:r w:rsidR="00FD5551">
        <w:rPr>
          <w:lang w:eastAsia="ru-RU"/>
        </w:rPr>
        <w:t xml:space="preserve"> duomenis</w:t>
      </w:r>
      <w:r>
        <w:rPr>
          <w:lang w:eastAsia="ru-RU"/>
        </w:rPr>
        <w:t xml:space="preserve">, </w:t>
      </w:r>
      <w:bookmarkEnd w:id="1"/>
      <w:r>
        <w:rPr>
          <w:lang w:eastAsia="ru-RU"/>
        </w:rPr>
        <w:t>l</w:t>
      </w:r>
      <w:r w:rsidR="00905F3F" w:rsidRPr="007770D3">
        <w:rPr>
          <w:lang w:eastAsia="ru-RU"/>
        </w:rPr>
        <w:t>aikoma, jog duomenys apie kaštų naudingumą yra netinkami vertinti.</w:t>
      </w:r>
    </w:p>
    <w:p w14:paraId="6A450D68" w14:textId="77777777" w:rsidR="00905F3F" w:rsidRPr="007770D3" w:rsidRDefault="00905F3F" w:rsidP="00537F0A">
      <w:pPr>
        <w:tabs>
          <w:tab w:val="left" w:pos="426"/>
        </w:tabs>
        <w:ind w:left="360"/>
        <w:rPr>
          <w:b/>
          <w:bCs/>
          <w:caps/>
          <w:highlight w:val="yellow"/>
        </w:rPr>
      </w:pPr>
    </w:p>
    <w:p w14:paraId="13655579" w14:textId="77777777" w:rsidR="00D40B99" w:rsidRPr="007770D3" w:rsidRDefault="00D40B99" w:rsidP="00D40B99">
      <w:pPr>
        <w:pStyle w:val="Sraopastraipa"/>
        <w:numPr>
          <w:ilvl w:val="0"/>
          <w:numId w:val="1"/>
        </w:numPr>
        <w:tabs>
          <w:tab w:val="left" w:pos="284"/>
        </w:tabs>
        <w:rPr>
          <w:b/>
          <w:bCs/>
          <w:caps/>
        </w:rPr>
      </w:pPr>
      <w:r w:rsidRPr="007770D3">
        <w:rPr>
          <w:b/>
          <w:bCs/>
          <w:caps/>
        </w:rPr>
        <w:t xml:space="preserve">Pacientų organizacijų pateikti duomenys </w:t>
      </w:r>
    </w:p>
    <w:p w14:paraId="318CC412" w14:textId="77777777" w:rsidR="00D40B99" w:rsidRPr="007770D3" w:rsidRDefault="00000000" w:rsidP="00D40B99">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D40B99" w:rsidRPr="007770D3">
            <w:rPr>
              <w:rStyle w:val="Style2"/>
              <w:rFonts w:ascii="MS Gothic" w:eastAsia="MS Gothic" w:hAnsi="MS Gothic"/>
            </w:rPr>
            <w:t>☐</w:t>
          </w:r>
        </w:sdtContent>
      </w:sdt>
      <w:r w:rsidR="00D40B99" w:rsidRPr="007770D3">
        <w:t xml:space="preserve"> Pacientų organizacijos pozicija pateikta. Žr. priedą.</w:t>
      </w:r>
    </w:p>
    <w:p w14:paraId="004ABA77" w14:textId="77777777" w:rsidR="00D40B99" w:rsidRPr="007770D3" w:rsidRDefault="00000000" w:rsidP="00D40B99">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D40B99" w:rsidRPr="007770D3">
            <w:rPr>
              <w:rStyle w:val="Style2"/>
              <w:rFonts w:ascii="MS Gothic" w:eastAsia="MS Gothic" w:hAnsi="MS Gothic"/>
            </w:rPr>
            <w:t>☒</w:t>
          </w:r>
        </w:sdtContent>
      </w:sdt>
      <w:r w:rsidR="00D40B99" w:rsidRPr="007770D3">
        <w:t xml:space="preserve"> Pacientų organizacijos pozicija nepateikta.</w:t>
      </w:r>
    </w:p>
    <w:p w14:paraId="4DE00520" w14:textId="77777777" w:rsidR="00D40B99" w:rsidRPr="007770D3" w:rsidRDefault="00D40B99" w:rsidP="00D40B99">
      <w:pPr>
        <w:pStyle w:val="Sraopastraipa"/>
        <w:numPr>
          <w:ilvl w:val="0"/>
          <w:numId w:val="1"/>
        </w:numPr>
        <w:tabs>
          <w:tab w:val="left" w:pos="426"/>
        </w:tabs>
        <w:rPr>
          <w:b/>
          <w:bCs/>
          <w:caps/>
        </w:rPr>
      </w:pPr>
      <w:r w:rsidRPr="007770D3">
        <w:rPr>
          <w:b/>
          <w:bCs/>
          <w:caps/>
        </w:rPr>
        <w:t>Gydytojų organizacijų pateikti duomenys</w:t>
      </w:r>
    </w:p>
    <w:p w14:paraId="263188AD" w14:textId="3F99DE11" w:rsidR="00D40B99" w:rsidRPr="007770D3" w:rsidRDefault="00000000" w:rsidP="00D40B99">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Content>
          <w:r w:rsidR="00D40B99" w:rsidRPr="007770D3">
            <w:rPr>
              <w:rStyle w:val="Style2"/>
              <w:rFonts w:ascii="MS Gothic" w:eastAsia="MS Gothic" w:hAnsi="MS Gothic"/>
            </w:rPr>
            <w:t>☒</w:t>
          </w:r>
        </w:sdtContent>
      </w:sdt>
      <w:r w:rsidR="00D40B99" w:rsidRPr="007770D3">
        <w:t xml:space="preserve"> Gydytojų specialistų organizacijos pozicija pateikta. Žr. priedą.</w:t>
      </w:r>
    </w:p>
    <w:p w14:paraId="555513DD" w14:textId="428B8EE6" w:rsidR="00D40B99" w:rsidRPr="007770D3" w:rsidRDefault="00000000" w:rsidP="00D40B99">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Content>
          <w:r w:rsidR="00D40B99" w:rsidRPr="007770D3">
            <w:rPr>
              <w:rStyle w:val="Style2"/>
              <w:rFonts w:ascii="MS Gothic" w:eastAsia="MS Gothic" w:hAnsi="MS Gothic"/>
            </w:rPr>
            <w:t>☐</w:t>
          </w:r>
        </w:sdtContent>
      </w:sdt>
      <w:r w:rsidR="00D40B99" w:rsidRPr="007770D3">
        <w:t xml:space="preserve"> Gydytojų specialistų organizacijos pozicija nepateikta.</w:t>
      </w:r>
    </w:p>
    <w:p w14:paraId="17D75150" w14:textId="77777777" w:rsidR="00556316" w:rsidRPr="007770D3" w:rsidRDefault="00D40B99" w:rsidP="00D40B99">
      <w:pPr>
        <w:pStyle w:val="Sraopastraipa"/>
        <w:numPr>
          <w:ilvl w:val="0"/>
          <w:numId w:val="1"/>
        </w:numPr>
        <w:tabs>
          <w:tab w:val="left" w:pos="426"/>
        </w:tabs>
        <w:rPr>
          <w:b/>
          <w:bCs/>
          <w:caps/>
        </w:rPr>
      </w:pPr>
      <w:r w:rsidRPr="007770D3">
        <w:rPr>
          <w:b/>
          <w:bCs/>
          <w:caps/>
        </w:rPr>
        <w:t>Išvada</w:t>
      </w:r>
    </w:p>
    <w:p w14:paraId="3BE7D5E9" w14:textId="4F9BAEB5" w:rsidR="00D40B99" w:rsidRPr="007770D3" w:rsidRDefault="00D40B99" w:rsidP="00556316">
      <w:pPr>
        <w:tabs>
          <w:tab w:val="left" w:pos="426"/>
        </w:tabs>
        <w:ind w:left="360"/>
        <w:rPr>
          <w:b/>
          <w:bCs/>
          <w:caps/>
          <w:sz w:val="22"/>
          <w:szCs w:val="22"/>
        </w:rPr>
      </w:pPr>
    </w:p>
    <w:tbl>
      <w:tblPr>
        <w:tblStyle w:val="Lentelstinklelis"/>
        <w:tblW w:w="0" w:type="auto"/>
        <w:tblLook w:val="04A0" w:firstRow="1" w:lastRow="0" w:firstColumn="1" w:lastColumn="0" w:noHBand="0" w:noVBand="1"/>
      </w:tblPr>
      <w:tblGrid>
        <w:gridCol w:w="4815"/>
        <w:gridCol w:w="4814"/>
      </w:tblGrid>
      <w:tr w:rsidR="00556316" w:rsidRPr="007770D3" w14:paraId="76CF2ED0" w14:textId="77777777" w:rsidTr="003F798D">
        <w:trPr>
          <w:trHeight w:val="510"/>
        </w:trPr>
        <w:tc>
          <w:tcPr>
            <w:tcW w:w="9629" w:type="dxa"/>
            <w:gridSpan w:val="2"/>
            <w:vAlign w:val="center"/>
          </w:tcPr>
          <w:p w14:paraId="129B9C7D" w14:textId="77777777" w:rsidR="00556316" w:rsidRPr="007770D3" w:rsidRDefault="00556316"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bookmarkStart w:id="2" w:name="_Hlk185374656"/>
            <w:r w:rsidRPr="007770D3">
              <w:rPr>
                <w:rStyle w:val="Style2"/>
                <w:rFonts w:eastAsia="MS Gothic"/>
                <w:b/>
                <w:bCs/>
                <w:sz w:val="24"/>
                <w:szCs w:val="24"/>
              </w:rPr>
              <w:t>Palyginamasis veiksmingumas</w:t>
            </w:r>
          </w:p>
        </w:tc>
      </w:tr>
      <w:tr w:rsidR="00556316" w:rsidRPr="007770D3" w14:paraId="253D4694" w14:textId="77777777" w:rsidTr="003F798D">
        <w:tc>
          <w:tcPr>
            <w:tcW w:w="4815" w:type="dxa"/>
          </w:tcPr>
          <w:p w14:paraId="0543E5BD" w14:textId="799363F6" w:rsidR="00556316" w:rsidRPr="007770D3" w:rsidRDefault="00000000"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456176208"/>
                <w15:color w:val="FFCC00"/>
                <w14:checkbox>
                  <w14:checked w14:val="0"/>
                  <w14:checkedState w14:val="2612" w14:font="MS Gothic"/>
                  <w14:uncheckedState w14:val="2610" w14:font="MS Gothic"/>
                </w14:checkbox>
              </w:sdtPr>
              <w:sdtContent>
                <w:r w:rsidR="002A2729" w:rsidRPr="007770D3">
                  <w:rPr>
                    <w:rStyle w:val="Style2"/>
                    <w:rFonts w:ascii="MS Gothic" w:eastAsia="MS Gothic" w:hAnsi="MS Gothic"/>
                    <w:sz w:val="24"/>
                  </w:rPr>
                  <w:t>☐</w:t>
                </w:r>
              </w:sdtContent>
            </w:sdt>
            <w:r w:rsidR="0005207B" w:rsidRPr="007770D3">
              <w:rPr>
                <w:rStyle w:val="Style2"/>
                <w:sz w:val="24"/>
                <w:szCs w:val="24"/>
              </w:rPr>
              <w:t xml:space="preserve"> </w:t>
            </w:r>
            <w:r w:rsidR="00556316" w:rsidRPr="007770D3">
              <w:rPr>
                <w:rStyle w:val="Style2"/>
                <w:sz w:val="24"/>
                <w:szCs w:val="24"/>
              </w:rPr>
              <w:t>29</w:t>
            </w:r>
            <w:r w:rsidR="00556316" w:rsidRPr="007770D3">
              <w:rPr>
                <w:sz w:val="24"/>
                <w:szCs w:val="24"/>
              </w:rPr>
              <w:t>.1.1 yra didesnis, lyginant su įprasta klinikine praktika</w:t>
            </w:r>
          </w:p>
          <w:p w14:paraId="18D14706" w14:textId="77777777" w:rsidR="00556316" w:rsidRPr="007770D3" w:rsidRDefault="00556316"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F9E6FF9" w14:textId="77777777" w:rsidR="00556316" w:rsidRPr="007770D3" w:rsidRDefault="00000000"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szCs w:val="24"/>
              </w:rPr>
            </w:pPr>
            <w:sdt>
              <w:sdtPr>
                <w:rPr>
                  <w:rStyle w:val="Style2"/>
                  <w:sz w:val="24"/>
                </w:rPr>
                <w:id w:val="-1667782359"/>
                <w15:color w:val="FFCC00"/>
                <w14:checkbox>
                  <w14:checked w14:val="0"/>
                  <w14:checkedState w14:val="2612" w14:font="MS Gothic"/>
                  <w14:uncheckedState w14:val="2610" w14:font="MS Gothic"/>
                </w14:checkbox>
              </w:sdtPr>
              <w:sdtContent>
                <w:r w:rsidR="00556316" w:rsidRPr="007770D3">
                  <w:rPr>
                    <w:rStyle w:val="Style2"/>
                    <w:rFonts w:ascii="Segoe UI Symbol" w:eastAsia="MS Gothic" w:hAnsi="Segoe UI Symbol" w:cs="Segoe UI Symbol"/>
                    <w:sz w:val="24"/>
                    <w:szCs w:val="24"/>
                  </w:rPr>
                  <w:t>☐</w:t>
                </w:r>
              </w:sdtContent>
            </w:sdt>
            <w:r w:rsidR="00556316" w:rsidRPr="007770D3">
              <w:rPr>
                <w:sz w:val="24"/>
                <w:szCs w:val="24"/>
              </w:rPr>
              <w:t xml:space="preserve"> </w:t>
            </w:r>
            <w:r w:rsidR="00556316" w:rsidRPr="007770D3">
              <w:rPr>
                <w:rStyle w:val="Style2"/>
                <w:sz w:val="24"/>
                <w:szCs w:val="24"/>
              </w:rPr>
              <w:t>29</w:t>
            </w:r>
            <w:r w:rsidR="00556316" w:rsidRPr="007770D3">
              <w:rPr>
                <w:sz w:val="24"/>
                <w:szCs w:val="24"/>
              </w:rPr>
              <w:t>.1.2 iš esmės nesiskiria, lyginant su įprasta klinikine praktika</w:t>
            </w:r>
          </w:p>
        </w:tc>
        <w:tc>
          <w:tcPr>
            <w:tcW w:w="4814" w:type="dxa"/>
          </w:tcPr>
          <w:p w14:paraId="6C3A5F2C" w14:textId="77777777" w:rsidR="00556316" w:rsidRPr="007770D3" w:rsidRDefault="00000000"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411544343"/>
                <w15:color w:val="FFCC00"/>
                <w14:checkbox>
                  <w14:checked w14:val="0"/>
                  <w14:checkedState w14:val="2612" w14:font="MS Gothic"/>
                  <w14:uncheckedState w14:val="2610" w14:font="MS Gothic"/>
                </w14:checkbox>
              </w:sdtPr>
              <w:sdtContent>
                <w:r w:rsidR="00556316" w:rsidRPr="007770D3">
                  <w:rPr>
                    <w:rStyle w:val="Style2"/>
                    <w:rFonts w:ascii="Segoe UI Symbol" w:eastAsia="MS Gothic" w:hAnsi="Segoe UI Symbol" w:cs="Segoe UI Symbol"/>
                    <w:sz w:val="24"/>
                    <w:szCs w:val="24"/>
                  </w:rPr>
                  <w:t>☐</w:t>
                </w:r>
              </w:sdtContent>
            </w:sdt>
            <w:r w:rsidR="00556316" w:rsidRPr="007770D3">
              <w:rPr>
                <w:sz w:val="24"/>
                <w:szCs w:val="24"/>
              </w:rPr>
              <w:t xml:space="preserve"> </w:t>
            </w:r>
            <w:r w:rsidR="00556316" w:rsidRPr="007770D3">
              <w:rPr>
                <w:rStyle w:val="Style2"/>
                <w:sz w:val="24"/>
                <w:szCs w:val="24"/>
              </w:rPr>
              <w:t>29</w:t>
            </w:r>
            <w:r w:rsidR="00556316" w:rsidRPr="007770D3">
              <w:rPr>
                <w:sz w:val="24"/>
                <w:szCs w:val="24"/>
              </w:rPr>
              <w:t xml:space="preserve">.1.3 yra neįrodytas kaip didesnis  ar iš esmės nesiskiriantis, lyginant su įprasta klinikine praktika  </w:t>
            </w:r>
          </w:p>
          <w:p w14:paraId="16621246" w14:textId="77777777" w:rsidR="00556316" w:rsidRPr="007770D3" w:rsidRDefault="00556316"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B63C180" w14:textId="77777777" w:rsidR="00556316" w:rsidRPr="007770D3" w:rsidRDefault="00000000"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878546250"/>
                <w15:color w:val="FFCC00"/>
                <w14:checkbox>
                  <w14:checked w14:val="0"/>
                  <w14:checkedState w14:val="2612" w14:font="MS Gothic"/>
                  <w14:uncheckedState w14:val="2610" w14:font="MS Gothic"/>
                </w14:checkbox>
              </w:sdtPr>
              <w:sdtContent>
                <w:r w:rsidR="00556316" w:rsidRPr="007770D3">
                  <w:rPr>
                    <w:rStyle w:val="Style2"/>
                    <w:rFonts w:ascii="Segoe UI Symbol" w:eastAsia="MS Gothic" w:hAnsi="Segoe UI Symbol" w:cs="Segoe UI Symbol"/>
                    <w:sz w:val="24"/>
                    <w:szCs w:val="24"/>
                  </w:rPr>
                  <w:t>☐</w:t>
                </w:r>
              </w:sdtContent>
            </w:sdt>
            <w:r w:rsidR="00556316" w:rsidRPr="007770D3">
              <w:rPr>
                <w:sz w:val="24"/>
                <w:szCs w:val="24"/>
              </w:rPr>
              <w:t xml:space="preserve"> </w:t>
            </w:r>
            <w:r w:rsidR="00556316" w:rsidRPr="007770D3">
              <w:rPr>
                <w:rStyle w:val="Style2"/>
                <w:sz w:val="24"/>
                <w:szCs w:val="24"/>
              </w:rPr>
              <w:t>29</w:t>
            </w:r>
            <w:r w:rsidR="00556316" w:rsidRPr="007770D3">
              <w:rPr>
                <w:sz w:val="24"/>
                <w:szCs w:val="24"/>
              </w:rPr>
              <w:t>.1.4 yra mažesnis, lyginant su įprasta klinikine praktika</w:t>
            </w:r>
          </w:p>
          <w:p w14:paraId="4D031C92" w14:textId="77777777" w:rsidR="00556316" w:rsidRPr="007770D3" w:rsidRDefault="00556316"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B6BFB69" w14:textId="3EFB94C5" w:rsidR="00556316" w:rsidRPr="007770D3" w:rsidRDefault="00000000"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24470515"/>
                <w15:color w:val="FFCC00"/>
                <w14:checkbox>
                  <w14:checked w14:val="1"/>
                  <w14:checkedState w14:val="2612" w14:font="MS Gothic"/>
                  <w14:uncheckedState w14:val="2610" w14:font="MS Gothic"/>
                </w14:checkbox>
              </w:sdtPr>
              <w:sdtContent>
                <w:r w:rsidR="00556316" w:rsidRPr="007770D3">
                  <w:rPr>
                    <w:rStyle w:val="Style2"/>
                    <w:rFonts w:ascii="Segoe UI Symbol" w:eastAsia="MS Gothic" w:hAnsi="Segoe UI Symbol" w:cs="Segoe UI Symbol"/>
                    <w:sz w:val="24"/>
                    <w:szCs w:val="24"/>
                  </w:rPr>
                  <w:t>☒</w:t>
                </w:r>
              </w:sdtContent>
            </w:sdt>
            <w:r w:rsidR="00556316" w:rsidRPr="007770D3">
              <w:rPr>
                <w:sz w:val="24"/>
                <w:szCs w:val="24"/>
              </w:rPr>
              <w:t xml:space="preserve"> </w:t>
            </w:r>
            <w:r w:rsidR="00556316" w:rsidRPr="007770D3">
              <w:rPr>
                <w:rStyle w:val="Style2"/>
                <w:sz w:val="24"/>
                <w:szCs w:val="24"/>
              </w:rPr>
              <w:t>29</w:t>
            </w:r>
            <w:r w:rsidR="00556316" w:rsidRPr="007770D3">
              <w:rPr>
                <w:sz w:val="24"/>
                <w:szCs w:val="24"/>
              </w:rPr>
              <w:t>.1.5 pateikti duomenys apie palyginamąjį veiksmingumą yra netinkami vertinti</w:t>
            </w:r>
          </w:p>
          <w:p w14:paraId="4898B3FA" w14:textId="77777777" w:rsidR="00556316" w:rsidRPr="007770D3" w:rsidRDefault="00556316"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556316" w:rsidRPr="007770D3" w14:paraId="5A16D67E" w14:textId="77777777" w:rsidTr="003F798D">
        <w:trPr>
          <w:trHeight w:val="510"/>
        </w:trPr>
        <w:tc>
          <w:tcPr>
            <w:tcW w:w="9629" w:type="dxa"/>
            <w:gridSpan w:val="2"/>
            <w:vAlign w:val="center"/>
          </w:tcPr>
          <w:p w14:paraId="3AC95D8E" w14:textId="77777777" w:rsidR="00556316" w:rsidRPr="007770D3" w:rsidRDefault="00556316"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bookmarkStart w:id="3" w:name="_Hlk185374787"/>
            <w:r w:rsidRPr="007770D3">
              <w:rPr>
                <w:rStyle w:val="Style2"/>
                <w:rFonts w:eastAsia="MS Gothic"/>
                <w:b/>
                <w:bCs/>
                <w:sz w:val="24"/>
                <w:szCs w:val="24"/>
              </w:rPr>
              <w:lastRenderedPageBreak/>
              <w:t>Kaštų naudingumas</w:t>
            </w:r>
          </w:p>
        </w:tc>
      </w:tr>
      <w:tr w:rsidR="00556316" w:rsidRPr="007770D3" w14:paraId="6715ED37" w14:textId="77777777" w:rsidTr="003F798D">
        <w:tc>
          <w:tcPr>
            <w:tcW w:w="4815" w:type="dxa"/>
          </w:tcPr>
          <w:p w14:paraId="392F8BAC" w14:textId="3A7DE0AE" w:rsidR="00556316" w:rsidRPr="007770D3" w:rsidRDefault="00000000"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496923759"/>
                <w15:color w:val="FFCC00"/>
                <w14:checkbox>
                  <w14:checked w14:val="0"/>
                  <w14:checkedState w14:val="2612" w14:font="MS Gothic"/>
                  <w14:uncheckedState w14:val="2610" w14:font="MS Gothic"/>
                </w14:checkbox>
              </w:sdtPr>
              <w:sdtContent>
                <w:r w:rsidR="00556316" w:rsidRPr="007770D3">
                  <w:rPr>
                    <w:rStyle w:val="Style2"/>
                    <w:rFonts w:ascii="Segoe UI Symbol" w:eastAsia="MS Gothic" w:hAnsi="Segoe UI Symbol" w:cs="Segoe UI Symbol"/>
                    <w:sz w:val="24"/>
                    <w:szCs w:val="24"/>
                  </w:rPr>
                  <w:t>☐</w:t>
                </w:r>
              </w:sdtContent>
            </w:sdt>
            <w:r w:rsidR="00556316" w:rsidRPr="007770D3">
              <w:rPr>
                <w:sz w:val="24"/>
                <w:szCs w:val="24"/>
              </w:rPr>
              <w:t xml:space="preserve"> 29.2.1 atitinka referencinę naudingumo vertę</w:t>
            </w:r>
          </w:p>
          <w:p w14:paraId="700E0E89" w14:textId="77777777" w:rsidR="00556316" w:rsidRPr="007770D3" w:rsidRDefault="00556316"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650A1CB" w14:textId="77777777" w:rsidR="00556316" w:rsidRPr="007770D3" w:rsidRDefault="00000000"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sdt>
              <w:sdtPr>
                <w:rPr>
                  <w:rStyle w:val="Style2"/>
                  <w:sz w:val="24"/>
                </w:rPr>
                <w:id w:val="2088960322"/>
                <w15:color w:val="FFCC00"/>
                <w14:checkbox>
                  <w14:checked w14:val="0"/>
                  <w14:checkedState w14:val="2612" w14:font="MS Gothic"/>
                  <w14:uncheckedState w14:val="2610" w14:font="MS Gothic"/>
                </w14:checkbox>
              </w:sdtPr>
              <w:sdtContent>
                <w:r w:rsidR="00556316" w:rsidRPr="007770D3">
                  <w:rPr>
                    <w:rStyle w:val="Style2"/>
                    <w:rFonts w:ascii="Segoe UI Symbol" w:eastAsia="MS Gothic" w:hAnsi="Segoe UI Symbol" w:cs="Segoe UI Symbol"/>
                    <w:sz w:val="24"/>
                    <w:szCs w:val="24"/>
                  </w:rPr>
                  <w:t>☐</w:t>
                </w:r>
              </w:sdtContent>
            </w:sdt>
            <w:r w:rsidR="00556316" w:rsidRPr="007770D3">
              <w:rPr>
                <w:sz w:val="24"/>
                <w:szCs w:val="24"/>
              </w:rPr>
              <w:t xml:space="preserve"> 29.2.2 gydymo juo kaštai yra mažesni ar tokie patys esant iš esmės nesiskiriančiam palyginamajam efektyvumui, taikant arba netaikant  PGS</w:t>
            </w:r>
          </w:p>
        </w:tc>
        <w:tc>
          <w:tcPr>
            <w:tcW w:w="4814" w:type="dxa"/>
          </w:tcPr>
          <w:p w14:paraId="3E5BC4AF" w14:textId="77777777" w:rsidR="00556316" w:rsidRPr="007770D3" w:rsidRDefault="00000000"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795510984"/>
                <w15:color w:val="FFCC00"/>
                <w14:checkbox>
                  <w14:checked w14:val="0"/>
                  <w14:checkedState w14:val="2612" w14:font="MS Gothic"/>
                  <w14:uncheckedState w14:val="2610" w14:font="MS Gothic"/>
                </w14:checkbox>
              </w:sdtPr>
              <w:sdtContent>
                <w:r w:rsidR="00556316" w:rsidRPr="007770D3">
                  <w:rPr>
                    <w:rStyle w:val="Style2"/>
                    <w:rFonts w:ascii="Segoe UI Symbol" w:eastAsia="MS Gothic" w:hAnsi="Segoe UI Symbol" w:cs="Segoe UI Symbol"/>
                    <w:sz w:val="24"/>
                    <w:szCs w:val="24"/>
                  </w:rPr>
                  <w:t>☐</w:t>
                </w:r>
              </w:sdtContent>
            </w:sdt>
            <w:r w:rsidR="00556316" w:rsidRPr="007770D3">
              <w:rPr>
                <w:sz w:val="24"/>
                <w:szCs w:val="24"/>
              </w:rPr>
              <w:t xml:space="preserve"> 29.2.3 neatitinka referencinės naudingumo vertės taikant arba netaikant PGS</w:t>
            </w:r>
          </w:p>
          <w:p w14:paraId="6195428B" w14:textId="77777777" w:rsidR="00556316" w:rsidRPr="007770D3" w:rsidRDefault="00556316"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3626A796" w14:textId="77777777" w:rsidR="00556316" w:rsidRPr="007770D3" w:rsidRDefault="00000000"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sdt>
              <w:sdtPr>
                <w:rPr>
                  <w:rStyle w:val="Style2"/>
                  <w:sz w:val="24"/>
                </w:rPr>
                <w:id w:val="-1878845311"/>
                <w15:color w:val="FFCC00"/>
                <w14:checkbox>
                  <w14:checked w14:val="0"/>
                  <w14:checkedState w14:val="2612" w14:font="MS Gothic"/>
                  <w14:uncheckedState w14:val="2610" w14:font="MS Gothic"/>
                </w14:checkbox>
              </w:sdtPr>
              <w:sdtContent>
                <w:r w:rsidR="00556316" w:rsidRPr="007770D3">
                  <w:rPr>
                    <w:rStyle w:val="Style2"/>
                    <w:rFonts w:ascii="Segoe UI Symbol" w:eastAsia="MS Gothic" w:hAnsi="Segoe UI Symbol" w:cs="Segoe UI Symbol"/>
                    <w:sz w:val="24"/>
                    <w:szCs w:val="24"/>
                  </w:rPr>
                  <w:t>☐</w:t>
                </w:r>
              </w:sdtContent>
            </w:sdt>
            <w:r w:rsidR="00556316" w:rsidRPr="007770D3">
              <w:rPr>
                <w:sz w:val="24"/>
                <w:szCs w:val="24"/>
              </w:rPr>
              <w:t xml:space="preserve"> 29.2.4 gydymo juo kaštai yra didesni esant iš esmės nesiskiriančiam palyginamajam veiksmingumui, taikant arba netaikant PGS</w:t>
            </w:r>
          </w:p>
          <w:p w14:paraId="03F7FE36" w14:textId="77777777" w:rsidR="00556316" w:rsidRPr="007770D3" w:rsidRDefault="00556316"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BE0137D" w14:textId="62A48E01" w:rsidR="00556316" w:rsidRPr="007770D3" w:rsidRDefault="00000000"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sdt>
              <w:sdtPr>
                <w:rPr>
                  <w:rStyle w:val="Style2"/>
                  <w:sz w:val="24"/>
                </w:rPr>
                <w:id w:val="1678998586"/>
                <w15:color w:val="FFCC00"/>
                <w14:checkbox>
                  <w14:checked w14:val="1"/>
                  <w14:checkedState w14:val="2612" w14:font="MS Gothic"/>
                  <w14:uncheckedState w14:val="2610" w14:font="MS Gothic"/>
                </w14:checkbox>
              </w:sdtPr>
              <w:sdtContent>
                <w:r w:rsidR="00556316" w:rsidRPr="007770D3">
                  <w:rPr>
                    <w:rStyle w:val="Style2"/>
                    <w:rFonts w:ascii="Segoe UI Symbol" w:eastAsia="MS Gothic" w:hAnsi="Segoe UI Symbol" w:cs="Segoe UI Symbol"/>
                    <w:sz w:val="24"/>
                    <w:szCs w:val="24"/>
                  </w:rPr>
                  <w:t>☒</w:t>
                </w:r>
              </w:sdtContent>
            </w:sdt>
            <w:r w:rsidR="00556316" w:rsidRPr="007770D3">
              <w:rPr>
                <w:sz w:val="24"/>
                <w:szCs w:val="24"/>
              </w:rPr>
              <w:t xml:space="preserve"> 29.2.5 pateikti duomenys apie kaštų naudingumą yra netinkami vertinti</w:t>
            </w:r>
          </w:p>
          <w:p w14:paraId="3E589341" w14:textId="77777777" w:rsidR="00556316" w:rsidRPr="007770D3" w:rsidRDefault="00556316" w:rsidP="003F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bookmarkEnd w:id="2"/>
      <w:bookmarkEnd w:id="3"/>
    </w:tbl>
    <w:p w14:paraId="77B94B24" w14:textId="77777777" w:rsidR="00D40B99" w:rsidRPr="007770D3" w:rsidRDefault="00D40B99" w:rsidP="00D40B99">
      <w:pPr>
        <w:pStyle w:val="Sraopastraipa"/>
        <w:shd w:val="clear" w:color="auto" w:fill="FFFFFF"/>
        <w:tabs>
          <w:tab w:val="left" w:pos="284"/>
        </w:tabs>
        <w:spacing w:line="276" w:lineRule="auto"/>
        <w:rPr>
          <w:rFonts w:eastAsia="Arial"/>
          <w:b/>
          <w:highlight w:val="yellow"/>
        </w:rPr>
      </w:pPr>
    </w:p>
    <w:p w14:paraId="1A84A089" w14:textId="77777777" w:rsidR="00D40B99" w:rsidRPr="007770D3" w:rsidRDefault="00D40B99" w:rsidP="00D40B99">
      <w:pPr>
        <w:pStyle w:val="Sraopastraipa"/>
        <w:numPr>
          <w:ilvl w:val="0"/>
          <w:numId w:val="1"/>
        </w:numPr>
        <w:shd w:val="clear" w:color="auto" w:fill="FFFFFF"/>
        <w:tabs>
          <w:tab w:val="left" w:pos="284"/>
        </w:tabs>
        <w:spacing w:line="276" w:lineRule="auto"/>
        <w:rPr>
          <w:rFonts w:eastAsia="Arial"/>
          <w:b/>
        </w:rPr>
      </w:pPr>
      <w:bookmarkStart w:id="4" w:name="_Hlk189751635"/>
      <w:r w:rsidRPr="007770D3">
        <w:rPr>
          <w:rFonts w:eastAsia="Arial"/>
          <w:b/>
        </w:rPr>
        <w:t>REKOMENDACIJA</w:t>
      </w:r>
    </w:p>
    <w:p w14:paraId="36BDB09C" w14:textId="77777777" w:rsidR="00556316" w:rsidRPr="007770D3" w:rsidRDefault="00556316" w:rsidP="00556316">
      <w:pPr>
        <w:spacing w:line="276" w:lineRule="auto"/>
        <w:ind w:left="360" w:firstLine="360"/>
        <w:jc w:val="both"/>
      </w:pPr>
    </w:p>
    <w:p w14:paraId="512924B8" w14:textId="6913168A" w:rsidR="00556316" w:rsidRPr="007770D3" w:rsidRDefault="00556316" w:rsidP="00556316">
      <w:pPr>
        <w:spacing w:line="276" w:lineRule="auto"/>
        <w:ind w:left="360" w:firstLine="360"/>
        <w:jc w:val="both"/>
      </w:pPr>
      <w:r w:rsidRPr="007770D3">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r w:rsidRPr="007770D3">
        <w:rPr>
          <w:color w:val="000000"/>
          <w:lang w:eastAsia="lt-LT"/>
        </w:rPr>
        <w:t>30</w:t>
      </w:r>
      <w:r w:rsidRPr="007770D3">
        <w:rPr>
          <w:color w:val="000000"/>
          <w:vertAlign w:val="superscript"/>
          <w:lang w:eastAsia="lt-LT"/>
        </w:rPr>
        <w:t>1</w:t>
      </w:r>
      <w:r w:rsidRPr="007770D3">
        <w:rPr>
          <w:color w:val="000000"/>
          <w:lang w:eastAsia="lt-LT"/>
        </w:rPr>
        <w:t xml:space="preserve">.1. rekomenduojama </w:t>
      </w:r>
      <w:r w:rsidRPr="007770D3">
        <w:rPr>
          <w:i/>
          <w:iCs/>
          <w:color w:val="000000"/>
          <w:lang w:eastAsia="lt-LT"/>
        </w:rPr>
        <w:t>nekompensuot</w:t>
      </w:r>
      <w:r w:rsidRPr="00290F49">
        <w:rPr>
          <w:i/>
          <w:color w:val="000000"/>
          <w:lang w:eastAsia="lt-LT"/>
        </w:rPr>
        <w:t>i</w:t>
      </w:r>
      <w:r w:rsidRPr="007770D3">
        <w:rPr>
          <w:color w:val="000000"/>
          <w:lang w:eastAsia="lt-LT"/>
        </w:rPr>
        <w:t xml:space="preserve"> vaistinio preparato pagal paraiškoje nurodytą indikaciją (arba jos dalį) su arba be skyrimo sąlygų, </w:t>
      </w:r>
      <w:r w:rsidRPr="007770D3">
        <w:rPr>
          <w:color w:val="000000"/>
        </w:rPr>
        <w:t>taikant ar netaikant PGS</w:t>
      </w:r>
      <w:r w:rsidRPr="007770D3">
        <w:rPr>
          <w:color w:val="000000"/>
          <w:lang w:eastAsia="lt-LT"/>
        </w:rPr>
        <w:t xml:space="preserve">, kai vertinimo išvados atitinka Aprašo </w:t>
      </w:r>
      <w:r w:rsidRPr="007770D3">
        <w:rPr>
          <w:color w:val="000000"/>
        </w:rPr>
        <w:t xml:space="preserve">29.1.5 ir </w:t>
      </w:r>
      <w:r w:rsidRPr="007770D3">
        <w:rPr>
          <w:color w:val="000000"/>
          <w:lang w:eastAsia="lt-LT"/>
        </w:rPr>
        <w:t>29.2.5 papunkčiuose numatytas sąlygas.</w:t>
      </w:r>
    </w:p>
    <w:bookmarkEnd w:id="4"/>
    <w:p w14:paraId="18F81130" w14:textId="77777777" w:rsidR="009C2CAD" w:rsidRPr="007770D3" w:rsidRDefault="009C2CAD" w:rsidP="00FD5551"/>
    <w:sectPr w:rsidR="009C2CAD" w:rsidRPr="007770D3" w:rsidSect="005D30E1">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12D8" w14:textId="77777777" w:rsidR="00DC4E71" w:rsidRDefault="00DC4E71">
      <w:r>
        <w:separator/>
      </w:r>
    </w:p>
  </w:endnote>
  <w:endnote w:type="continuationSeparator" w:id="0">
    <w:p w14:paraId="5559000F" w14:textId="77777777" w:rsidR="00DC4E71" w:rsidRDefault="00DC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508F" w14:textId="77777777" w:rsidR="009C2CAD" w:rsidRDefault="009C2CAD">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33AE5" w14:textId="77777777" w:rsidR="00DC4E71" w:rsidRDefault="00DC4E71">
      <w:r>
        <w:separator/>
      </w:r>
    </w:p>
  </w:footnote>
  <w:footnote w:type="continuationSeparator" w:id="0">
    <w:p w14:paraId="6E871290" w14:textId="77777777" w:rsidR="00DC4E71" w:rsidRDefault="00DC4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70C3" w14:textId="77777777" w:rsidR="009C2CAD" w:rsidRDefault="00D40B9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99A53B" w14:textId="77777777" w:rsidR="009C2CAD" w:rsidRDefault="009C2C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4E77" w14:textId="7935C5EE" w:rsidR="009C2CAD" w:rsidRDefault="00D40B9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0F49">
      <w:rPr>
        <w:rStyle w:val="Puslapionumeris"/>
        <w:noProof/>
      </w:rPr>
      <w:t>4</w:t>
    </w:r>
    <w:r>
      <w:rPr>
        <w:rStyle w:val="Puslapionumeris"/>
      </w:rPr>
      <w:fldChar w:fldCharType="end"/>
    </w:r>
  </w:p>
  <w:p w14:paraId="7388D94F" w14:textId="77777777" w:rsidR="009C2CAD" w:rsidRDefault="009C2CA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4FCC" w14:textId="77777777" w:rsidR="009C2CAD" w:rsidRDefault="009C2CAD"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FA7373"/>
    <w:multiLevelType w:val="hybridMultilevel"/>
    <w:tmpl w:val="9A2A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136303">
    <w:abstractNumId w:val="0"/>
  </w:num>
  <w:num w:numId="2" w16cid:durableId="845827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B99"/>
    <w:rsid w:val="00025E44"/>
    <w:rsid w:val="0005207B"/>
    <w:rsid w:val="00080DB9"/>
    <w:rsid w:val="000D345D"/>
    <w:rsid w:val="00106927"/>
    <w:rsid w:val="001137F1"/>
    <w:rsid w:val="00187436"/>
    <w:rsid w:val="00197042"/>
    <w:rsid w:val="001A465F"/>
    <w:rsid w:val="001D516F"/>
    <w:rsid w:val="00221E4A"/>
    <w:rsid w:val="00290F49"/>
    <w:rsid w:val="002A0C91"/>
    <w:rsid w:val="002A2729"/>
    <w:rsid w:val="002A4216"/>
    <w:rsid w:val="002C0709"/>
    <w:rsid w:val="002D7DB7"/>
    <w:rsid w:val="002F0ACD"/>
    <w:rsid w:val="0030743D"/>
    <w:rsid w:val="00312BC5"/>
    <w:rsid w:val="003607DF"/>
    <w:rsid w:val="0038441A"/>
    <w:rsid w:val="004039B0"/>
    <w:rsid w:val="004A479F"/>
    <w:rsid w:val="004A6A32"/>
    <w:rsid w:val="004B58F4"/>
    <w:rsid w:val="004C47BC"/>
    <w:rsid w:val="004D1F5A"/>
    <w:rsid w:val="004E2B3F"/>
    <w:rsid w:val="004F589E"/>
    <w:rsid w:val="0050483E"/>
    <w:rsid w:val="00537F0A"/>
    <w:rsid w:val="00556316"/>
    <w:rsid w:val="00563FAC"/>
    <w:rsid w:val="00595C48"/>
    <w:rsid w:val="00613362"/>
    <w:rsid w:val="00622897"/>
    <w:rsid w:val="0068785E"/>
    <w:rsid w:val="006C6423"/>
    <w:rsid w:val="006F64F1"/>
    <w:rsid w:val="006F7769"/>
    <w:rsid w:val="006F7D17"/>
    <w:rsid w:val="007770D3"/>
    <w:rsid w:val="007C1DC4"/>
    <w:rsid w:val="007D62AA"/>
    <w:rsid w:val="007F376F"/>
    <w:rsid w:val="00892F58"/>
    <w:rsid w:val="008E3358"/>
    <w:rsid w:val="00905F3F"/>
    <w:rsid w:val="0091634E"/>
    <w:rsid w:val="009467EF"/>
    <w:rsid w:val="00954853"/>
    <w:rsid w:val="009C2CAD"/>
    <w:rsid w:val="009E0F8D"/>
    <w:rsid w:val="009F06B7"/>
    <w:rsid w:val="00A72C58"/>
    <w:rsid w:val="00A87EE3"/>
    <w:rsid w:val="00A94D2C"/>
    <w:rsid w:val="00AC102E"/>
    <w:rsid w:val="00AF15D3"/>
    <w:rsid w:val="00B21D63"/>
    <w:rsid w:val="00B27EA9"/>
    <w:rsid w:val="00B977AC"/>
    <w:rsid w:val="00BC2998"/>
    <w:rsid w:val="00BE36DB"/>
    <w:rsid w:val="00CA79A4"/>
    <w:rsid w:val="00CF7088"/>
    <w:rsid w:val="00D030A5"/>
    <w:rsid w:val="00D40B99"/>
    <w:rsid w:val="00D46E0B"/>
    <w:rsid w:val="00DA197E"/>
    <w:rsid w:val="00DC4E71"/>
    <w:rsid w:val="00DF2DB6"/>
    <w:rsid w:val="00E75EED"/>
    <w:rsid w:val="00EC0FC7"/>
    <w:rsid w:val="00EF5063"/>
    <w:rsid w:val="00F75A0F"/>
    <w:rsid w:val="00F956D8"/>
    <w:rsid w:val="00FB70E2"/>
    <w:rsid w:val="00FD5551"/>
    <w:rsid w:val="00FF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5AA2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0B99"/>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40B99"/>
    <w:pPr>
      <w:tabs>
        <w:tab w:val="center" w:pos="4986"/>
        <w:tab w:val="right" w:pos="9972"/>
      </w:tabs>
    </w:pPr>
  </w:style>
  <w:style w:type="character" w:customStyle="1" w:styleId="AntratsDiagrama">
    <w:name w:val="Antraštės Diagrama"/>
    <w:basedOn w:val="Numatytasispastraiposriftas"/>
    <w:link w:val="Antrats"/>
    <w:rsid w:val="00D40B99"/>
    <w:rPr>
      <w:rFonts w:ascii="Times New Roman" w:eastAsia="Times New Roman" w:hAnsi="Times New Roman" w:cs="Times New Roman"/>
      <w:lang w:val="lt-LT"/>
    </w:rPr>
  </w:style>
  <w:style w:type="paragraph" w:styleId="Porat">
    <w:name w:val="footer"/>
    <w:basedOn w:val="prastasis"/>
    <w:link w:val="PoratDiagrama"/>
    <w:uiPriority w:val="99"/>
    <w:rsid w:val="00D40B99"/>
    <w:pPr>
      <w:tabs>
        <w:tab w:val="center" w:pos="4986"/>
        <w:tab w:val="right" w:pos="9972"/>
      </w:tabs>
    </w:pPr>
  </w:style>
  <w:style w:type="character" w:customStyle="1" w:styleId="PoratDiagrama">
    <w:name w:val="Poraštė Diagrama"/>
    <w:basedOn w:val="Numatytasispastraiposriftas"/>
    <w:link w:val="Porat"/>
    <w:uiPriority w:val="99"/>
    <w:rsid w:val="00D40B99"/>
    <w:rPr>
      <w:rFonts w:ascii="Times New Roman" w:eastAsia="Times New Roman" w:hAnsi="Times New Roman" w:cs="Times New Roman"/>
      <w:lang w:val="lt-LT"/>
    </w:rPr>
  </w:style>
  <w:style w:type="character" w:styleId="Puslapionumeris">
    <w:name w:val="page number"/>
    <w:basedOn w:val="Numatytasispastraiposriftas"/>
    <w:rsid w:val="00D40B99"/>
  </w:style>
  <w:style w:type="table" w:styleId="Lentelstinklelis">
    <w:name w:val="Table Grid"/>
    <w:aliases w:val="Summary box,Dossier Table"/>
    <w:basedOn w:val="prastojilentel"/>
    <w:rsid w:val="00D40B9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List,Bullet1,Use Case List Paragraph,List Paragraph1,Body Bullet,Table Number Paragraph,Colorful List - Accent 11,List Paragraph 1,Ref,B1,Figure_name,bu1,bu1 + Before:  0 pt,After:  6 pt,Bullet for no #'s,Paragraph,lp1"/>
    <w:basedOn w:val="prastasis"/>
    <w:link w:val="SraopastraipaDiagrama"/>
    <w:uiPriority w:val="34"/>
    <w:qFormat/>
    <w:rsid w:val="00D40B99"/>
    <w:pPr>
      <w:ind w:left="720"/>
      <w:contextualSpacing/>
    </w:pPr>
  </w:style>
  <w:style w:type="character" w:customStyle="1" w:styleId="Style2">
    <w:name w:val="Style2"/>
    <w:basedOn w:val="Numatytasispastraiposriftas"/>
    <w:uiPriority w:val="1"/>
    <w:rsid w:val="00D40B99"/>
    <w:rPr>
      <w:sz w:val="32"/>
    </w:rPr>
  </w:style>
  <w:style w:type="character" w:styleId="Vietosrezervavimoenklotekstas">
    <w:name w:val="Placeholder Text"/>
    <w:basedOn w:val="Numatytasispastraiposriftas"/>
    <w:uiPriority w:val="99"/>
    <w:rsid w:val="00D40B99"/>
    <w:rPr>
      <w:color w:val="808080"/>
    </w:rPr>
  </w:style>
  <w:style w:type="paragraph" w:styleId="Betarp">
    <w:name w:val="No Spacing"/>
    <w:uiPriority w:val="1"/>
    <w:qFormat/>
    <w:rsid w:val="00D40B99"/>
    <w:rPr>
      <w:rFonts w:ascii="Calibri" w:eastAsia="Calibri" w:hAnsi="Calibri" w:cs="Times New Roman"/>
      <w:sz w:val="22"/>
      <w:szCs w:val="22"/>
      <w:lang w:val="lt-LT"/>
    </w:rPr>
  </w:style>
  <w:style w:type="character" w:customStyle="1" w:styleId="SraopastraipaDiagrama">
    <w:name w:val="Sąrašo pastraipa Diagrama"/>
    <w:aliases w:val="Bullet List Diagrama,Bullet1 Diagrama,Use Case List Paragraph Diagrama,List Paragraph1 Diagrama,Body Bullet Diagrama,Table Number Paragraph Diagrama,Colorful List - Accent 11 Diagrama,List Paragraph 1 Diagrama,Ref Diagrama"/>
    <w:basedOn w:val="Numatytasispastraiposriftas"/>
    <w:link w:val="Sraopastraipa"/>
    <w:uiPriority w:val="34"/>
    <w:qFormat/>
    <w:rsid w:val="00D40B99"/>
    <w:rPr>
      <w:rFonts w:ascii="Times New Roman" w:eastAsia="Times New Roman" w:hAnsi="Times New Roman" w:cs="Times New Roman"/>
      <w:lang w:val="lt-LT"/>
    </w:rPr>
  </w:style>
  <w:style w:type="paragraph" w:styleId="Pagrindinistekstas">
    <w:name w:val="Body Text"/>
    <w:basedOn w:val="prastasis"/>
    <w:link w:val="PagrindinistekstasDiagrama"/>
    <w:uiPriority w:val="1"/>
    <w:unhideWhenUsed/>
    <w:qFormat/>
    <w:rsid w:val="00D40B99"/>
    <w:pPr>
      <w:spacing w:after="120"/>
    </w:pPr>
    <w:rPr>
      <w:szCs w:val="20"/>
    </w:rPr>
  </w:style>
  <w:style w:type="character" w:customStyle="1" w:styleId="PagrindinistekstasDiagrama">
    <w:name w:val="Pagrindinis tekstas Diagrama"/>
    <w:basedOn w:val="Numatytasispastraiposriftas"/>
    <w:link w:val="Pagrindinistekstas"/>
    <w:uiPriority w:val="1"/>
    <w:rsid w:val="00D40B99"/>
    <w:rPr>
      <w:rFonts w:ascii="Times New Roman" w:eastAsia="Times New Roman" w:hAnsi="Times New Roman" w:cs="Times New Roman"/>
      <w:szCs w:val="20"/>
      <w:lang w:val="lt-LT"/>
    </w:rPr>
  </w:style>
  <w:style w:type="paragraph" w:customStyle="1" w:styleId="0TEXT">
    <w:name w:val="0: TEXT"/>
    <w:basedOn w:val="prastasis"/>
    <w:link w:val="0TEXTChar"/>
    <w:qFormat/>
    <w:rsid w:val="00D40B99"/>
    <w:pPr>
      <w:spacing w:before="240"/>
      <w:ind w:firstLine="567"/>
      <w:jc w:val="both"/>
    </w:pPr>
    <w:rPr>
      <w:rFonts w:eastAsiaTheme="minorHAnsi"/>
      <w:bCs/>
      <w:color w:val="000000"/>
      <w:lang w:val="en-GB"/>
    </w:rPr>
  </w:style>
  <w:style w:type="character" w:customStyle="1" w:styleId="0TEXTChar">
    <w:name w:val="0: TEXT Char"/>
    <w:basedOn w:val="Numatytasispastraiposriftas"/>
    <w:link w:val="0TEXT"/>
    <w:rsid w:val="00D40B99"/>
    <w:rPr>
      <w:rFonts w:ascii="Times New Roman" w:hAnsi="Times New Roman" w:cs="Times New Roman"/>
      <w:bCs/>
      <w:color w:val="000000"/>
    </w:rPr>
  </w:style>
  <w:style w:type="paragraph" w:styleId="Pataisymai">
    <w:name w:val="Revision"/>
    <w:hidden/>
    <w:uiPriority w:val="99"/>
    <w:semiHidden/>
    <w:rsid w:val="0068785E"/>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905F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5F3F"/>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2A2729"/>
    <w:rPr>
      <w:sz w:val="16"/>
      <w:szCs w:val="16"/>
    </w:rPr>
  </w:style>
  <w:style w:type="paragraph" w:styleId="Komentarotekstas">
    <w:name w:val="annotation text"/>
    <w:basedOn w:val="prastasis"/>
    <w:link w:val="KomentarotekstasDiagrama"/>
    <w:uiPriority w:val="99"/>
    <w:unhideWhenUsed/>
    <w:rsid w:val="002A2729"/>
    <w:rPr>
      <w:sz w:val="20"/>
      <w:szCs w:val="20"/>
    </w:rPr>
  </w:style>
  <w:style w:type="character" w:customStyle="1" w:styleId="KomentarotekstasDiagrama">
    <w:name w:val="Komentaro tekstas Diagrama"/>
    <w:basedOn w:val="Numatytasispastraiposriftas"/>
    <w:link w:val="Komentarotekstas"/>
    <w:uiPriority w:val="99"/>
    <w:rsid w:val="002A2729"/>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A2729"/>
    <w:rPr>
      <w:b/>
      <w:bCs/>
    </w:rPr>
  </w:style>
  <w:style w:type="character" w:customStyle="1" w:styleId="KomentarotemaDiagrama">
    <w:name w:val="Komentaro tema Diagrama"/>
    <w:basedOn w:val="KomentarotekstasDiagrama"/>
    <w:link w:val="Komentarotema"/>
    <w:uiPriority w:val="99"/>
    <w:semiHidden/>
    <w:rsid w:val="002A2729"/>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51EAB4E0D06D4B8A76912AA2CC3A86"/>
        <w:category>
          <w:name w:val="General"/>
          <w:gallery w:val="placeholder"/>
        </w:category>
        <w:types>
          <w:type w:val="bbPlcHdr"/>
        </w:types>
        <w:behaviors>
          <w:behavior w:val="content"/>
        </w:behaviors>
        <w:guid w:val="{7668FC87-1A95-014F-B4C8-F4AE9AD995F1}"/>
      </w:docPartPr>
      <w:docPartBody>
        <w:p w:rsidR="002D3F42" w:rsidRDefault="001A0447" w:rsidP="001A0447">
          <w:pPr>
            <w:pStyle w:val="B251EAB4E0D06D4B8A76912AA2CC3A86"/>
          </w:pPr>
          <w:r>
            <w:rPr>
              <w:rStyle w:val="Vietosrezervavimoenklotekstas"/>
            </w:rPr>
            <w:t>Click here to enter a date.</w:t>
          </w:r>
        </w:p>
      </w:docPartBody>
    </w:docPart>
    <w:docPart>
      <w:docPartPr>
        <w:name w:val="758306EAF8802F4E8BC2D139A02A1AED"/>
        <w:category>
          <w:name w:val="General"/>
          <w:gallery w:val="placeholder"/>
        </w:category>
        <w:types>
          <w:type w:val="bbPlcHdr"/>
        </w:types>
        <w:behaviors>
          <w:behavior w:val="content"/>
        </w:behaviors>
        <w:guid w:val="{A2FD44B9-63F4-2F4F-8CBB-C40CD3917D8E}"/>
      </w:docPartPr>
      <w:docPartBody>
        <w:p w:rsidR="002D3F42" w:rsidRDefault="001A0447" w:rsidP="001A0447">
          <w:pPr>
            <w:pStyle w:val="758306EAF8802F4E8BC2D139A02A1AED"/>
          </w:pPr>
          <w:r>
            <w:rPr>
              <w:rStyle w:val="Vietosrezervavimoenklotekstas"/>
            </w:rPr>
            <w:t>Click here to enter a date.</w:t>
          </w:r>
        </w:p>
      </w:docPartBody>
    </w:docPart>
    <w:docPart>
      <w:docPartPr>
        <w:name w:val="1749B2D8DA2BA14999C28DD8C075FE18"/>
        <w:category>
          <w:name w:val="General"/>
          <w:gallery w:val="placeholder"/>
        </w:category>
        <w:types>
          <w:type w:val="bbPlcHdr"/>
        </w:types>
        <w:behaviors>
          <w:behavior w:val="content"/>
        </w:behaviors>
        <w:guid w:val="{7B1356CC-7330-1442-BD93-CE89298C66EE}"/>
      </w:docPartPr>
      <w:docPartBody>
        <w:p w:rsidR="002D3F42" w:rsidRDefault="001A0447" w:rsidP="001A0447">
          <w:pPr>
            <w:pStyle w:val="1749B2D8DA2BA14999C28DD8C075FE18"/>
          </w:pPr>
          <w:r>
            <w:rPr>
              <w:rStyle w:val="Vietosrezervavimoenklotekstas"/>
            </w:rPr>
            <w:t>Click here to enter a date.</w:t>
          </w:r>
        </w:p>
      </w:docPartBody>
    </w:docPart>
    <w:docPart>
      <w:docPartPr>
        <w:name w:val="13A86EF60032D94A97134F7881CBD479"/>
        <w:category>
          <w:name w:val="General"/>
          <w:gallery w:val="placeholder"/>
        </w:category>
        <w:types>
          <w:type w:val="bbPlcHdr"/>
        </w:types>
        <w:behaviors>
          <w:behavior w:val="content"/>
        </w:behaviors>
        <w:guid w:val="{EE1FAD46-B767-6545-82DC-412E0730252F}"/>
      </w:docPartPr>
      <w:docPartBody>
        <w:p w:rsidR="002D3F42" w:rsidRDefault="001A0447" w:rsidP="001A0447">
          <w:pPr>
            <w:pStyle w:val="13A86EF60032D94A97134F7881CBD479"/>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447"/>
    <w:rsid w:val="00106927"/>
    <w:rsid w:val="00134633"/>
    <w:rsid w:val="001A0447"/>
    <w:rsid w:val="00221E4A"/>
    <w:rsid w:val="00230CE4"/>
    <w:rsid w:val="00291053"/>
    <w:rsid w:val="002D3F42"/>
    <w:rsid w:val="002D7DB7"/>
    <w:rsid w:val="003C4E1A"/>
    <w:rsid w:val="007A237C"/>
    <w:rsid w:val="008026E7"/>
    <w:rsid w:val="00E66BBE"/>
    <w:rsid w:val="00F75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1A0447"/>
    <w:rPr>
      <w:color w:val="808080"/>
    </w:rPr>
  </w:style>
  <w:style w:type="paragraph" w:customStyle="1" w:styleId="B251EAB4E0D06D4B8A76912AA2CC3A86">
    <w:name w:val="B251EAB4E0D06D4B8A76912AA2CC3A86"/>
    <w:rsid w:val="001A0447"/>
  </w:style>
  <w:style w:type="paragraph" w:customStyle="1" w:styleId="758306EAF8802F4E8BC2D139A02A1AED">
    <w:name w:val="758306EAF8802F4E8BC2D139A02A1AED"/>
    <w:rsid w:val="001A0447"/>
  </w:style>
  <w:style w:type="paragraph" w:customStyle="1" w:styleId="1749B2D8DA2BA14999C28DD8C075FE18">
    <w:name w:val="1749B2D8DA2BA14999C28DD8C075FE18"/>
    <w:rsid w:val="001A0447"/>
  </w:style>
  <w:style w:type="paragraph" w:customStyle="1" w:styleId="13A86EF60032D94A97134F7881CBD479">
    <w:name w:val="13A86EF60032D94A97134F7881CBD479"/>
    <w:rsid w:val="001A0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7764</Words>
  <Characters>4426</Characters>
  <Application>Microsoft Office Word</Application>
  <DocSecurity>0</DocSecurity>
  <Lines>36</Lines>
  <Paragraphs>24</Paragraphs>
  <ScaleCrop>false</ScaleCrop>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2025-02-14T07:29:00Z</dcterms:created>
  <dcterms:modified xsi:type="dcterms:W3CDTF">2025-02-14T07:29:00Z</dcterms:modified>
</cp:coreProperties>
</file>