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2ACC9819" w14:textId="77777777" w:rsidR="00135175" w:rsidRPr="00D05364" w:rsidRDefault="00135175" w:rsidP="00135175">
      <w:pPr>
        <w:jc w:val="center"/>
        <w:rPr>
          <w:b/>
        </w:rPr>
      </w:pPr>
      <w:r>
        <w:rPr>
          <w:b/>
        </w:rPr>
        <w:t>Opdivo</w:t>
      </w:r>
      <w:r w:rsidRPr="00D05364">
        <w:rPr>
          <w:b/>
        </w:rPr>
        <w:t xml:space="preserve"> </w:t>
      </w:r>
      <w:r>
        <w:rPr>
          <w:b/>
          <w:lang w:val="en-US"/>
        </w:rPr>
        <w:t xml:space="preserve">40 mg/100 mg/ 240 mg </w:t>
      </w:r>
      <w:r>
        <w:rPr>
          <w:b/>
        </w:rPr>
        <w:t>koncentratas infuziniam tirpalui</w:t>
      </w:r>
    </w:p>
    <w:p w14:paraId="05F3C9CF" w14:textId="77777777" w:rsidR="00135175" w:rsidRPr="00D05364" w:rsidRDefault="00135175" w:rsidP="00135175">
      <w:pPr>
        <w:jc w:val="center"/>
      </w:pPr>
    </w:p>
    <w:p w14:paraId="7491ABB0" w14:textId="77777777" w:rsidR="00135175" w:rsidRPr="00D05364" w:rsidRDefault="00135175" w:rsidP="00135175">
      <w:pPr>
        <w:jc w:val="center"/>
      </w:pPr>
      <w:r w:rsidRPr="00D05364">
        <w:t>(</w:t>
      </w:r>
      <w:r>
        <w:rPr>
          <w:b/>
        </w:rPr>
        <w:t>Nivolumabas</w:t>
      </w:r>
      <w:r w:rsidRPr="00D05364">
        <w:t>)</w:t>
      </w:r>
    </w:p>
    <w:p w14:paraId="13748690" w14:textId="77777777" w:rsidR="00135175" w:rsidRPr="00D05364" w:rsidRDefault="00135175" w:rsidP="00135175">
      <w:pPr>
        <w:jc w:val="center"/>
      </w:pPr>
    </w:p>
    <w:p w14:paraId="785AECF2" w14:textId="77777777" w:rsidR="00135175" w:rsidRPr="00D05364" w:rsidRDefault="00135175" w:rsidP="00135175">
      <w:pPr>
        <w:jc w:val="center"/>
        <w:rPr>
          <w:b/>
        </w:rPr>
      </w:pPr>
      <w:r>
        <w:rPr>
          <w:b/>
        </w:rPr>
        <w:t>STV-186</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135175" w:rsidRPr="00E33EFF" w14:paraId="18A83EC2" w14:textId="77777777" w:rsidTr="00BE7489">
        <w:trPr>
          <w:trHeight w:val="538"/>
        </w:trPr>
        <w:tc>
          <w:tcPr>
            <w:tcW w:w="632" w:type="dxa"/>
          </w:tcPr>
          <w:p w14:paraId="0646FBEA" w14:textId="77777777" w:rsidR="00135175" w:rsidRPr="00E33EFF" w:rsidRDefault="00135175" w:rsidP="00135175">
            <w:pPr>
              <w:rPr>
                <w:rFonts w:eastAsia="Arial"/>
              </w:rPr>
            </w:pPr>
            <w:r w:rsidRPr="00E33EFF">
              <w:rPr>
                <w:rFonts w:eastAsia="Arial"/>
              </w:rPr>
              <w:t>1.1</w:t>
            </w:r>
          </w:p>
        </w:tc>
        <w:tc>
          <w:tcPr>
            <w:tcW w:w="3694" w:type="dxa"/>
          </w:tcPr>
          <w:p w14:paraId="6C3AE864" w14:textId="77777777" w:rsidR="00135175" w:rsidRPr="00E33EFF" w:rsidRDefault="00135175" w:rsidP="00135175">
            <w:pPr>
              <w:rPr>
                <w:rFonts w:eastAsia="Arial"/>
              </w:rPr>
            </w:pPr>
            <w:r w:rsidRPr="00E33EFF">
              <w:rPr>
                <w:rFonts w:eastAsia="Arial"/>
              </w:rPr>
              <w:t>Pareiškėjas</w:t>
            </w:r>
          </w:p>
          <w:p w14:paraId="2AF240DC" w14:textId="77777777" w:rsidR="00135175" w:rsidRPr="00E33EFF" w:rsidRDefault="00135175" w:rsidP="00135175">
            <w:pPr>
              <w:rPr>
                <w:rFonts w:eastAsia="Arial"/>
              </w:rPr>
            </w:pPr>
          </w:p>
        </w:tc>
        <w:tc>
          <w:tcPr>
            <w:tcW w:w="5167" w:type="dxa"/>
          </w:tcPr>
          <w:p w14:paraId="2AAF0D91" w14:textId="53736BD3" w:rsidR="00135175" w:rsidRPr="00E33EFF" w:rsidRDefault="00135175" w:rsidP="00135175">
            <w:pPr>
              <w:rPr>
                <w:rFonts w:eastAsia="Arial"/>
              </w:rPr>
            </w:pPr>
            <w:r w:rsidRPr="00CD6650">
              <w:t>Swixx Biopharma, UAB</w:t>
            </w:r>
          </w:p>
        </w:tc>
      </w:tr>
      <w:tr w:rsidR="00135175" w:rsidRPr="00E33EFF" w14:paraId="31998B0D" w14:textId="77777777" w:rsidTr="00BE7489">
        <w:trPr>
          <w:trHeight w:val="538"/>
        </w:trPr>
        <w:tc>
          <w:tcPr>
            <w:tcW w:w="632" w:type="dxa"/>
          </w:tcPr>
          <w:p w14:paraId="2005EC67" w14:textId="662300D0" w:rsidR="00135175" w:rsidRPr="00E33EFF" w:rsidRDefault="00135175" w:rsidP="00135175">
            <w:pPr>
              <w:rPr>
                <w:rFonts w:eastAsia="Arial"/>
              </w:rPr>
            </w:pPr>
            <w:r w:rsidRPr="00E33EFF">
              <w:rPr>
                <w:rFonts w:eastAsia="Arial"/>
              </w:rPr>
              <w:t>1.2</w:t>
            </w:r>
          </w:p>
        </w:tc>
        <w:tc>
          <w:tcPr>
            <w:tcW w:w="3694" w:type="dxa"/>
          </w:tcPr>
          <w:p w14:paraId="1E4AE3B1" w14:textId="77777777" w:rsidR="00135175" w:rsidRPr="00135175" w:rsidRDefault="00135175" w:rsidP="00135175">
            <w:pPr>
              <w:rPr>
                <w:bCs/>
                <w:color w:val="000000"/>
                <w:lang w:eastAsia="lt-LT"/>
              </w:rPr>
            </w:pPr>
            <w:r w:rsidRPr="00135175">
              <w:rPr>
                <w:bCs/>
                <w:color w:val="000000"/>
                <w:lang w:eastAsia="lt-LT"/>
              </w:rPr>
              <w:t xml:space="preserve">Registracijos data </w:t>
            </w:r>
          </w:p>
          <w:p w14:paraId="3A0DC096" w14:textId="77777777" w:rsidR="00135175" w:rsidRPr="00135175" w:rsidRDefault="00135175" w:rsidP="00135175">
            <w:pPr>
              <w:rPr>
                <w:bCs/>
                <w:color w:val="000000"/>
                <w:lang w:eastAsia="lt-LT"/>
              </w:rPr>
            </w:pPr>
          </w:p>
        </w:tc>
        <w:tc>
          <w:tcPr>
            <w:tcW w:w="5167" w:type="dxa"/>
          </w:tcPr>
          <w:p w14:paraId="3CA218AD" w14:textId="23E937A1" w:rsidR="00135175" w:rsidRPr="00135175" w:rsidRDefault="00135175" w:rsidP="00135175">
            <w:pPr>
              <w:rPr>
                <w:rStyle w:val="Style2"/>
                <w:sz w:val="24"/>
              </w:rPr>
            </w:pPr>
            <w:r w:rsidRPr="00135175">
              <w:rPr>
                <w:rStyle w:val="Style2"/>
                <w:sz w:val="24"/>
              </w:rPr>
              <w:t>2015-06-19</w:t>
            </w:r>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3A91C950"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135175">
        <w:trPr>
          <w:trHeight w:val="935"/>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05C29CC5"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29C2CBBB" w14:textId="1F7284F7" w:rsidR="00B13D65" w:rsidRPr="00135175"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sz w:val="24"/>
                  </w:rPr>
                  <w:t>☒</w:t>
                </w:r>
              </w:sdtContent>
            </w:sdt>
            <w:r w:rsidR="00B13D65" w:rsidRPr="00E33EFF">
              <w:t xml:space="preserve"> Ne</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74C06622"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135175">
        <w:trPr>
          <w:trHeight w:val="699"/>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1AA618CD" w14:textId="77777777" w:rsidR="00B13D65" w:rsidRDefault="00135175" w:rsidP="00135175">
            <w:pPr>
              <w:pStyle w:val="ListParagraph"/>
              <w:spacing w:after="120"/>
              <w:ind w:left="0"/>
              <w:contextualSpacing w:val="0"/>
              <w:jc w:val="both"/>
            </w:pPr>
            <w:r w:rsidRPr="00CD6650">
              <w:t>OPDIVO derinys su sudėtine chemoterapija fluoropirimidino ir platinos preparato pagrindu yra</w:t>
            </w:r>
            <w:r>
              <w:t xml:space="preserve"> </w:t>
            </w:r>
            <w:r w:rsidRPr="00CD6650">
              <w:t xml:space="preserve">skirtas suaugusių pacientų 2-ojo žmogaus epidermio augimo faktoriaus receptoriaus (angl. human epidermal growth factor receptor 2, HER2) neigiamos vietiškai išplitusios ar metastazavusios skrandžio, skrandžio ir stemplės jungties ar </w:t>
            </w:r>
            <w:r w:rsidRPr="00A40F02">
              <w:t>stemplės adenokarcinomos, turinčios</w:t>
            </w:r>
            <w:r w:rsidRPr="00CD6650">
              <w:t xml:space="preserve"> išreikštą PD-L1 ir kombinuotą teigiamą rodiklį (angl. combined positive score, CPS) ≥ 5, pirmaeiliam gydymui.</w:t>
            </w:r>
          </w:p>
          <w:p w14:paraId="5F6D1949" w14:textId="77777777" w:rsidR="00135175" w:rsidRDefault="00135175" w:rsidP="00135175">
            <w:pPr>
              <w:pStyle w:val="ListParagraph"/>
              <w:spacing w:after="120"/>
              <w:ind w:left="0"/>
              <w:contextualSpacing w:val="0"/>
              <w:jc w:val="both"/>
            </w:pPr>
          </w:p>
          <w:p w14:paraId="13F7DFB0" w14:textId="776FE919" w:rsidR="00135175" w:rsidRPr="00E33EFF" w:rsidRDefault="00135175" w:rsidP="00135175">
            <w:pPr>
              <w:pStyle w:val="ListParagraph"/>
              <w:spacing w:after="120"/>
              <w:ind w:left="0"/>
              <w:contextualSpacing w:val="0"/>
              <w:jc w:val="both"/>
            </w:pPr>
            <w:r>
              <w:lastRenderedPageBreak/>
              <w:t>TLK-10 AM C15, C16</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31ED940E" w:rsidR="00B13D65" w:rsidRPr="00E33EFF" w:rsidRDefault="00135175"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8BD8B4" w:rsidR="009F4D66" w:rsidRDefault="009F4D66" w:rsidP="00824B92">
            <w:pPr>
              <w:rPr>
                <w:bCs/>
                <w:color w:val="000000"/>
                <w:lang w:eastAsia="lt-LT"/>
              </w:rPr>
            </w:pPr>
          </w:p>
          <w:p w14:paraId="34B858F8" w14:textId="4D98EA28" w:rsidR="00135175" w:rsidRPr="00E33EFF" w:rsidRDefault="00135175" w:rsidP="00824B92">
            <w:pPr>
              <w:rPr>
                <w:bCs/>
                <w:color w:val="000000"/>
                <w:lang w:eastAsia="lt-LT"/>
              </w:rPr>
            </w:pPr>
            <w:r>
              <w:rPr>
                <w:bCs/>
                <w:color w:val="000000"/>
                <w:lang w:eastAsia="lt-LT"/>
              </w:rPr>
              <w:t xml:space="preserve">Tiesioginis palyginimas </w:t>
            </w:r>
          </w:p>
          <w:p w14:paraId="62057D94" w14:textId="77777777" w:rsidR="00413F24" w:rsidRPr="00E33EFF" w:rsidRDefault="00413F24" w:rsidP="00824B92">
            <w:pPr>
              <w:rPr>
                <w:bCs/>
                <w:color w:val="000000"/>
                <w:lang w:eastAsia="lt-LT"/>
              </w:rPr>
            </w:pPr>
          </w:p>
          <w:p w14:paraId="61AF34A4" w14:textId="77777777" w:rsidR="009F4D66" w:rsidRDefault="009F4D66" w:rsidP="00824B92">
            <w:pPr>
              <w:rPr>
                <w:bCs/>
                <w:color w:val="000000"/>
                <w:lang w:eastAsia="lt-LT"/>
              </w:rPr>
            </w:pPr>
          </w:p>
          <w:p w14:paraId="61553F52" w14:textId="77777777" w:rsidR="00135175" w:rsidRDefault="00135175" w:rsidP="00824B92">
            <w:pPr>
              <w:rPr>
                <w:bCs/>
                <w:color w:val="000000"/>
                <w:lang w:eastAsia="lt-LT"/>
              </w:rPr>
            </w:pPr>
          </w:p>
          <w:p w14:paraId="6CC1022E" w14:textId="591A1856" w:rsidR="00135175" w:rsidRPr="00E33EFF" w:rsidRDefault="00135175" w:rsidP="00824B92">
            <w:pPr>
              <w:rPr>
                <w:bCs/>
                <w:color w:val="000000"/>
                <w:lang w:eastAsia="lt-LT"/>
              </w:rPr>
            </w:pPr>
            <w:r>
              <w:rPr>
                <w:bCs/>
                <w:color w:val="000000"/>
                <w:lang w:eastAsia="lt-LT"/>
              </w:rPr>
              <w:t>Netiesioginis palyginimas</w:t>
            </w:r>
          </w:p>
        </w:tc>
        <w:tc>
          <w:tcPr>
            <w:tcW w:w="5167" w:type="dxa"/>
          </w:tcPr>
          <w:p w14:paraId="4ED4CC2B" w14:textId="304D6F29" w:rsidR="00135175" w:rsidRDefault="00135175" w:rsidP="00824B92"/>
          <w:p w14:paraId="03181E5A" w14:textId="77777777" w:rsidR="00135175" w:rsidRDefault="00135175" w:rsidP="00824B92"/>
          <w:p w14:paraId="673E4AE6" w14:textId="77777777" w:rsidR="00135175" w:rsidRDefault="00135175" w:rsidP="00824B92"/>
          <w:p w14:paraId="1F113AC0" w14:textId="01B64535" w:rsidR="009F4D66" w:rsidRPr="00E33EFF"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sz w:val="24"/>
                  </w:rPr>
                  <w:t>☒</w:t>
                </w:r>
              </w:sdtContent>
            </w:sdt>
            <w:r w:rsidR="00135175" w:rsidRPr="00E33EFF">
              <w:t xml:space="preserve"> </w:t>
            </w:r>
            <w:r w:rsidR="009F4D66" w:rsidRPr="00E33EFF">
              <w:t>Tinkamas</w:t>
            </w:r>
          </w:p>
          <w:p w14:paraId="7C8E8E28" w14:textId="77777777" w:rsidR="00B13D65"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E33EFF">
                  <w:rPr>
                    <w:rStyle w:val="Style2"/>
                    <w:rFonts w:ascii="MS Gothic" w:eastAsia="MS Gothic" w:hAnsi="MS Gothic" w:hint="eastAsia"/>
                    <w:sz w:val="24"/>
                  </w:rPr>
                  <w:t>☐</w:t>
                </w:r>
              </w:sdtContent>
            </w:sdt>
            <w:r w:rsidR="009F4D66" w:rsidRPr="00E33EFF">
              <w:t xml:space="preserve"> Netinkama</w:t>
            </w:r>
          </w:p>
          <w:p w14:paraId="41586D18" w14:textId="77777777" w:rsidR="00135175" w:rsidRDefault="00135175" w:rsidP="00824B92"/>
          <w:p w14:paraId="04742E51" w14:textId="6595A4D8" w:rsidR="00135175" w:rsidRPr="00E33EFF" w:rsidRDefault="00000000" w:rsidP="00135175">
            <w:sdt>
              <w:sdtPr>
                <w:rPr>
                  <w:rStyle w:val="Style2"/>
                  <w:sz w:val="24"/>
                </w:rPr>
                <w:id w:val="-349571329"/>
                <w15:color w:val="FFCC00"/>
                <w14:checkbox>
                  <w14:checked w14:val="0"/>
                  <w14:checkedState w14:val="2612" w14:font="MS Gothic"/>
                  <w14:uncheckedState w14:val="2610" w14:font="MS Gothic"/>
                </w14:checkbox>
              </w:sdtPr>
              <w:sdtContent>
                <w:r w:rsidR="00135175">
                  <w:rPr>
                    <w:rStyle w:val="Style2"/>
                    <w:rFonts w:ascii="MS Gothic" w:eastAsia="MS Gothic" w:hAnsi="MS Gothic" w:hint="eastAsia"/>
                    <w:sz w:val="24"/>
                  </w:rPr>
                  <w:t>☐</w:t>
                </w:r>
              </w:sdtContent>
            </w:sdt>
            <w:r w:rsidR="00135175" w:rsidRPr="00E33EFF">
              <w:t xml:space="preserve"> Tinkamas</w:t>
            </w:r>
          </w:p>
          <w:p w14:paraId="78217CDD" w14:textId="4BC08957" w:rsidR="00135175" w:rsidRDefault="00000000" w:rsidP="00135175">
            <w:sdt>
              <w:sdtPr>
                <w:rPr>
                  <w:rStyle w:val="Style2"/>
                  <w:sz w:val="24"/>
                </w:rPr>
                <w:id w:val="292110826"/>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sz w:val="24"/>
                  </w:rPr>
                  <w:t>☒</w:t>
                </w:r>
              </w:sdtContent>
            </w:sdt>
            <w:r w:rsidR="00135175" w:rsidRPr="00E33EFF">
              <w:t xml:space="preserve"> Netinkama</w:t>
            </w:r>
          </w:p>
          <w:p w14:paraId="41B44044" w14:textId="199BD9DF" w:rsidR="00135175" w:rsidRPr="00E33EFF" w:rsidRDefault="00135175" w:rsidP="00824B92"/>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135175" w:rsidRPr="00D05364" w14:paraId="2F8F1E7E" w14:textId="77777777" w:rsidTr="00DD3688">
        <w:trPr>
          <w:trHeight w:val="924"/>
        </w:trPr>
        <w:tc>
          <w:tcPr>
            <w:tcW w:w="2927" w:type="dxa"/>
          </w:tcPr>
          <w:p w14:paraId="10B30A3B" w14:textId="77777777" w:rsidR="00135175" w:rsidRPr="00D05364" w:rsidRDefault="00135175" w:rsidP="00DD3688">
            <w:pPr>
              <w:spacing w:line="276" w:lineRule="auto"/>
              <w:rPr>
                <w:rFonts w:eastAsia="Arial"/>
              </w:rPr>
            </w:pPr>
            <w:r w:rsidRPr="00D05364">
              <w:rPr>
                <w:rFonts w:eastAsia="Arial"/>
              </w:rPr>
              <w:t>STV agentūros pavadinimas, šalis</w:t>
            </w:r>
          </w:p>
        </w:tc>
        <w:tc>
          <w:tcPr>
            <w:tcW w:w="1915" w:type="dxa"/>
          </w:tcPr>
          <w:p w14:paraId="3F9C30BB" w14:textId="77777777" w:rsidR="00135175" w:rsidRPr="00D05364" w:rsidRDefault="00135175" w:rsidP="00DD3688">
            <w:pPr>
              <w:spacing w:line="276" w:lineRule="auto"/>
              <w:rPr>
                <w:rFonts w:eastAsia="Arial"/>
              </w:rPr>
            </w:pPr>
            <w:r w:rsidRPr="00D05364">
              <w:rPr>
                <w:rFonts w:eastAsia="Arial"/>
              </w:rPr>
              <w:t>STV vertinimas atliktas</w:t>
            </w:r>
          </w:p>
        </w:tc>
        <w:tc>
          <w:tcPr>
            <w:tcW w:w="2351" w:type="dxa"/>
          </w:tcPr>
          <w:p w14:paraId="660651B8" w14:textId="77777777" w:rsidR="00135175" w:rsidRPr="00D05364" w:rsidRDefault="00135175" w:rsidP="00DD3688">
            <w:pPr>
              <w:spacing w:line="276" w:lineRule="auto"/>
              <w:rPr>
                <w:rFonts w:eastAsia="Arial"/>
              </w:rPr>
            </w:pPr>
            <w:r w:rsidRPr="00D05364">
              <w:rPr>
                <w:rFonts w:eastAsia="Arial"/>
              </w:rPr>
              <w:t>Klinikinio vertinimo išvada</w:t>
            </w:r>
          </w:p>
        </w:tc>
        <w:tc>
          <w:tcPr>
            <w:tcW w:w="2725" w:type="dxa"/>
          </w:tcPr>
          <w:p w14:paraId="1B79ED3E" w14:textId="77777777" w:rsidR="00135175" w:rsidRPr="00D05364" w:rsidRDefault="00135175" w:rsidP="00DD3688">
            <w:pPr>
              <w:spacing w:line="276" w:lineRule="auto"/>
              <w:rPr>
                <w:rFonts w:eastAsia="Arial"/>
              </w:rPr>
            </w:pPr>
            <w:r w:rsidRPr="00D05364">
              <w:rPr>
                <w:rFonts w:eastAsia="Arial"/>
              </w:rPr>
              <w:t>Farmakoekonominio vertinimo išvada</w:t>
            </w:r>
          </w:p>
        </w:tc>
      </w:tr>
      <w:tr w:rsidR="00135175" w:rsidRPr="00D05364" w14:paraId="3AE59CB8" w14:textId="77777777" w:rsidTr="00DD3688">
        <w:trPr>
          <w:trHeight w:val="1765"/>
        </w:trPr>
        <w:tc>
          <w:tcPr>
            <w:tcW w:w="2927" w:type="dxa"/>
          </w:tcPr>
          <w:p w14:paraId="20919FBE" w14:textId="77777777" w:rsidR="00135175" w:rsidRPr="00D05364" w:rsidRDefault="00135175" w:rsidP="00DD3688">
            <w:pPr>
              <w:autoSpaceDE w:val="0"/>
              <w:autoSpaceDN w:val="0"/>
              <w:adjustRightInd w:val="0"/>
              <w:rPr>
                <w:bCs/>
              </w:rPr>
            </w:pPr>
            <w:r w:rsidRPr="00D05364">
              <w:rPr>
                <w:bCs/>
              </w:rPr>
              <w:t>Nacionalinis sveikatos ir klinikinės kompetencijos institutas, Didžioji Britanija</w:t>
            </w:r>
          </w:p>
          <w:p w14:paraId="0DA9F8F2" w14:textId="77777777" w:rsidR="00135175" w:rsidRPr="00D05364" w:rsidRDefault="00135175" w:rsidP="00DD3688">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4CC002E0" w14:textId="77777777" w:rsidR="00135175" w:rsidRPr="00D05364" w:rsidRDefault="00000000" w:rsidP="00DD3688">
            <w:sdt>
              <w:sdtPr>
                <w:rPr>
                  <w:rStyle w:val="Style2"/>
                </w:rPr>
                <w:id w:val="1558205022"/>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rPr>
                  <w:t>☒</w:t>
                </w:r>
              </w:sdtContent>
            </w:sdt>
            <w:r w:rsidR="00135175" w:rsidRPr="00D05364">
              <w:t xml:space="preserve"> Taip</w:t>
            </w:r>
          </w:p>
          <w:p w14:paraId="7D3B3698" w14:textId="77777777" w:rsidR="00135175" w:rsidRPr="00D05364" w:rsidRDefault="00000000" w:rsidP="00DD3688">
            <w:sdt>
              <w:sdtPr>
                <w:rPr>
                  <w:rStyle w:val="Style2"/>
                </w:rPr>
                <w:id w:val="866029625"/>
                <w15:color w:val="FFCC00"/>
                <w14:checkbox>
                  <w14:checked w14:val="0"/>
                  <w14:checkedState w14:val="2612" w14:font="MS Gothic"/>
                  <w14:uncheckedState w14:val="2610" w14:font="MS Gothic"/>
                </w14:checkbox>
              </w:sdtPr>
              <w:sdtContent>
                <w:r w:rsidR="00135175" w:rsidRPr="00D05364">
                  <w:rPr>
                    <w:rStyle w:val="Style2"/>
                    <w:rFonts w:ascii="MS Gothic" w:eastAsia="MS Gothic" w:hAnsi="MS Gothic" w:hint="eastAsia"/>
                  </w:rPr>
                  <w:t>☐</w:t>
                </w:r>
              </w:sdtContent>
            </w:sdt>
            <w:r w:rsidR="00135175" w:rsidRPr="00D05364">
              <w:t xml:space="preserve"> Ne</w:t>
            </w:r>
          </w:p>
          <w:p w14:paraId="63AA62A6" w14:textId="77777777" w:rsidR="00135175" w:rsidRPr="00D05364" w:rsidRDefault="00000000" w:rsidP="00DD3688">
            <w:pPr>
              <w:rPr>
                <w:rFonts w:eastAsia="Arial"/>
              </w:rPr>
            </w:pPr>
            <w:sdt>
              <w:sdtPr>
                <w:alias w:val="Nurodykite konkrečią dieną"/>
                <w:tag w:val="Nurodykite pradžios datą"/>
                <w:id w:val="922837954"/>
                <w:placeholder>
                  <w:docPart w:val="4283F7FEE2873B4BA3EDA2F2E02FEF69"/>
                </w:placeholder>
                <w15:color w:val="FFCC99"/>
                <w:date w:fullDate="2023-01-11T00:00:00Z">
                  <w:dateFormat w:val="yyyy 'm.' MMMM d 'd.'"/>
                  <w:lid w:val="lt-LT"/>
                  <w:storeMappedDataAs w:val="dateTime"/>
                  <w:calendar w:val="gregorian"/>
                </w:date>
              </w:sdtPr>
              <w:sdtContent>
                <w:r w:rsidR="00135175">
                  <w:rPr>
                    <w:lang w:val="en-US"/>
                  </w:rPr>
                  <w:t>2023 01 11</w:t>
                </w:r>
              </w:sdtContent>
            </w:sdt>
          </w:p>
        </w:tc>
        <w:tc>
          <w:tcPr>
            <w:tcW w:w="5076" w:type="dxa"/>
            <w:gridSpan w:val="2"/>
          </w:tcPr>
          <w:p w14:paraId="1A9756B2" w14:textId="77777777" w:rsidR="00135175" w:rsidRPr="00D05364" w:rsidRDefault="00135175" w:rsidP="00DD3688">
            <w:pPr>
              <w:spacing w:line="276" w:lineRule="auto"/>
              <w:jc w:val="both"/>
              <w:rPr>
                <w:rFonts w:eastAsia="Arial"/>
              </w:rPr>
            </w:pPr>
            <w:r w:rsidRPr="00C0784A">
              <w:rPr>
                <w:rFonts w:eastAsia="Arial"/>
              </w:rPr>
              <w:t>Nivolumabas kartu su chemoterapija</w:t>
            </w:r>
            <w:r>
              <w:rPr>
                <w:rFonts w:eastAsia="Arial"/>
              </w:rPr>
              <w:t xml:space="preserve"> </w:t>
            </w:r>
            <w:r w:rsidRPr="00C0784A">
              <w:rPr>
                <w:rFonts w:eastAsia="Arial"/>
              </w:rPr>
              <w:t>platin</w:t>
            </w:r>
            <w:r>
              <w:rPr>
                <w:rFonts w:eastAsia="Arial"/>
              </w:rPr>
              <w:t>os</w:t>
            </w:r>
            <w:r w:rsidRPr="00C0784A">
              <w:rPr>
                <w:rFonts w:eastAsia="Arial"/>
              </w:rPr>
              <w:t xml:space="preserve"> ir fluoropirimidin</w:t>
            </w:r>
            <w:r>
              <w:rPr>
                <w:rFonts w:eastAsia="Arial"/>
              </w:rPr>
              <w:t>o pagrindu</w:t>
            </w:r>
            <w:r w:rsidRPr="00C0784A">
              <w:rPr>
                <w:rFonts w:eastAsia="Arial"/>
              </w:rPr>
              <w:t xml:space="preserve"> rekomenduojamas, kaip gydymo galimybė suaugusiems žmonėms, kuriems nustatytas HER2‑neigiama, paženg</w:t>
            </w:r>
            <w:r>
              <w:rPr>
                <w:rFonts w:eastAsia="Arial"/>
              </w:rPr>
              <w:t>usi</w:t>
            </w:r>
            <w:r w:rsidRPr="00C0784A">
              <w:rPr>
                <w:rFonts w:eastAsia="Arial"/>
              </w:rPr>
              <w:t xml:space="preserve"> arba metastazav</w:t>
            </w:r>
            <w:r>
              <w:rPr>
                <w:rFonts w:eastAsia="Arial"/>
              </w:rPr>
              <w:t>usi</w:t>
            </w:r>
            <w:r w:rsidRPr="00C0784A">
              <w:rPr>
                <w:rFonts w:eastAsia="Arial"/>
              </w:rPr>
              <w:t xml:space="preserve"> skrandžio, gastroezofaginės jungties ar stemplės adenokarcinom</w:t>
            </w:r>
            <w:r>
              <w:rPr>
                <w:rFonts w:eastAsia="Arial"/>
              </w:rPr>
              <w:t>a</w:t>
            </w:r>
            <w:r w:rsidRPr="00C0784A">
              <w:rPr>
                <w:rFonts w:eastAsia="Arial"/>
              </w:rPr>
              <w:t>, kai jų navikai išreiškia PD‑L1 su bendru teigiamu balu (CPS) 5 ar daugiau. Nivolumabas yra rekomenduojamas tik tuo atveju, jei bendrovė jį tiekia pagal komercinę sutartį.</w:t>
            </w:r>
          </w:p>
        </w:tc>
      </w:tr>
      <w:tr w:rsidR="00135175" w:rsidRPr="00D05364" w14:paraId="4E696CD2" w14:textId="77777777" w:rsidTr="00DD3688">
        <w:trPr>
          <w:trHeight w:val="1547"/>
        </w:trPr>
        <w:tc>
          <w:tcPr>
            <w:tcW w:w="2927" w:type="dxa"/>
          </w:tcPr>
          <w:p w14:paraId="15B9FF36" w14:textId="77777777" w:rsidR="00135175" w:rsidRPr="00D05364" w:rsidRDefault="00135175" w:rsidP="00DD3688">
            <w:pPr>
              <w:spacing w:line="276" w:lineRule="auto"/>
              <w:rPr>
                <w:rFonts w:eastAsia="Arial"/>
              </w:rPr>
            </w:pPr>
            <w:r w:rsidRPr="00D05364">
              <w:rPr>
                <w:rFonts w:eastAsia="Arial"/>
              </w:rPr>
              <w:t>Kanados sveikatos technologijų agentūra</w:t>
            </w:r>
          </w:p>
          <w:p w14:paraId="1B806F38" w14:textId="77777777" w:rsidR="00135175" w:rsidRPr="00D05364" w:rsidRDefault="00135175" w:rsidP="00DD3688">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29377E74" w14:textId="77777777" w:rsidR="00135175" w:rsidRPr="00D05364" w:rsidRDefault="00000000" w:rsidP="00DD3688">
            <w:sdt>
              <w:sdtPr>
                <w:rPr>
                  <w:rStyle w:val="Style2"/>
                </w:rPr>
                <w:id w:val="-372539057"/>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rPr>
                  <w:t>☒</w:t>
                </w:r>
              </w:sdtContent>
            </w:sdt>
            <w:r w:rsidR="00135175" w:rsidRPr="00D05364">
              <w:t xml:space="preserve"> Taip</w:t>
            </w:r>
          </w:p>
          <w:p w14:paraId="50FAEA14" w14:textId="77777777" w:rsidR="00135175" w:rsidRPr="00D05364" w:rsidRDefault="00000000" w:rsidP="00DD3688">
            <w:sdt>
              <w:sdtPr>
                <w:rPr>
                  <w:rStyle w:val="Style2"/>
                </w:rPr>
                <w:id w:val="594442222"/>
                <w15:color w:val="FFCC00"/>
                <w14:checkbox>
                  <w14:checked w14:val="0"/>
                  <w14:checkedState w14:val="2612" w14:font="MS Gothic"/>
                  <w14:uncheckedState w14:val="2610" w14:font="MS Gothic"/>
                </w14:checkbox>
              </w:sdtPr>
              <w:sdtContent>
                <w:r w:rsidR="00135175" w:rsidRPr="00D05364">
                  <w:rPr>
                    <w:rStyle w:val="Style2"/>
                    <w:rFonts w:ascii="Segoe UI Symbol" w:eastAsia="MS Gothic" w:hAnsi="Segoe UI Symbol" w:cs="Segoe UI Symbol"/>
                  </w:rPr>
                  <w:t>☐</w:t>
                </w:r>
              </w:sdtContent>
            </w:sdt>
            <w:r w:rsidR="00135175" w:rsidRPr="00D05364">
              <w:t xml:space="preserve"> Ne</w:t>
            </w:r>
          </w:p>
          <w:p w14:paraId="44F2D51C" w14:textId="77777777" w:rsidR="00135175" w:rsidRPr="00D05364" w:rsidRDefault="00135175" w:rsidP="00DD3688">
            <w:pPr>
              <w:spacing w:line="276" w:lineRule="auto"/>
              <w:rPr>
                <w:rFonts w:eastAsia="Arial"/>
              </w:rPr>
            </w:pPr>
            <w:r>
              <w:rPr>
                <w:rFonts w:eastAsia="Arial"/>
              </w:rPr>
              <w:t>2022 04</w:t>
            </w:r>
          </w:p>
        </w:tc>
        <w:tc>
          <w:tcPr>
            <w:tcW w:w="5076" w:type="dxa"/>
            <w:gridSpan w:val="2"/>
          </w:tcPr>
          <w:p w14:paraId="32E676D4" w14:textId="77777777" w:rsidR="00135175" w:rsidRPr="00D05364" w:rsidRDefault="00135175" w:rsidP="00DD3688">
            <w:pPr>
              <w:spacing w:line="276" w:lineRule="auto"/>
              <w:rPr>
                <w:rFonts w:eastAsia="Arial"/>
              </w:rPr>
            </w:pPr>
            <w:r>
              <w:rPr>
                <w:rFonts w:eastAsia="Arial"/>
              </w:rPr>
              <w:t>N</w:t>
            </w:r>
            <w:r w:rsidRPr="00C0784A">
              <w:rPr>
                <w:rFonts w:eastAsia="Arial"/>
              </w:rPr>
              <w:t>ivolumabas kartu su</w:t>
            </w:r>
            <w:r>
              <w:rPr>
                <w:rFonts w:eastAsia="Arial"/>
              </w:rPr>
              <w:t xml:space="preserve"> chemoterapija</w:t>
            </w:r>
            <w:r w:rsidRPr="00C0784A">
              <w:rPr>
                <w:rFonts w:eastAsia="Arial"/>
              </w:rPr>
              <w:t xml:space="preserve"> fluoropirimidin</w:t>
            </w:r>
            <w:r>
              <w:rPr>
                <w:rFonts w:eastAsia="Arial"/>
              </w:rPr>
              <w:t xml:space="preserve">o </w:t>
            </w:r>
            <w:r w:rsidRPr="00C0784A">
              <w:rPr>
                <w:rFonts w:eastAsia="Arial"/>
              </w:rPr>
              <w:t>ir platin</w:t>
            </w:r>
            <w:r>
              <w:rPr>
                <w:rFonts w:eastAsia="Arial"/>
              </w:rPr>
              <w:t>os</w:t>
            </w:r>
            <w:r w:rsidRPr="00C0784A">
              <w:rPr>
                <w:rFonts w:eastAsia="Arial"/>
              </w:rPr>
              <w:t xml:space="preserve"> </w:t>
            </w:r>
            <w:r>
              <w:rPr>
                <w:rFonts w:eastAsia="Arial"/>
              </w:rPr>
              <w:t>pagrindu</w:t>
            </w:r>
            <w:r w:rsidRPr="00C0784A">
              <w:rPr>
                <w:rFonts w:eastAsia="Arial"/>
              </w:rPr>
              <w:t xml:space="preserve"> būtų kompensuojamas kaip pirmos eilės gydymas suaugusiems pacientams, sergantiems HER2 neigiamu pažengusiu arba metastazavusiu skrandžio, gastroezofaginės jungties arba stemplės adenokarcinoma</w:t>
            </w:r>
            <w:r>
              <w:rPr>
                <w:rFonts w:eastAsia="Arial"/>
              </w:rPr>
              <w:t xml:space="preserve"> su sąlygomis ir kainos sumažinimu. </w:t>
            </w:r>
          </w:p>
        </w:tc>
      </w:tr>
      <w:tr w:rsidR="00135175" w:rsidRPr="00D05364" w14:paraId="4F35F96B" w14:textId="77777777" w:rsidTr="00DD3688">
        <w:trPr>
          <w:trHeight w:val="1927"/>
        </w:trPr>
        <w:tc>
          <w:tcPr>
            <w:tcW w:w="2927" w:type="dxa"/>
          </w:tcPr>
          <w:p w14:paraId="3D808AE8" w14:textId="77777777" w:rsidR="00135175" w:rsidRPr="00D05364" w:rsidRDefault="00135175" w:rsidP="00DD3688">
            <w:pPr>
              <w:spacing w:line="276" w:lineRule="auto"/>
              <w:rPr>
                <w:rFonts w:eastAsia="Arial"/>
              </w:rPr>
            </w:pPr>
            <w:r w:rsidRPr="00D05364">
              <w:rPr>
                <w:rFonts w:eastAsia="Arial"/>
              </w:rPr>
              <w:t>Nacionalinis farmakoekonomikos centras, Airija</w:t>
            </w:r>
          </w:p>
          <w:p w14:paraId="075DBF3A" w14:textId="77777777" w:rsidR="00135175" w:rsidRPr="00D05364" w:rsidRDefault="00135175" w:rsidP="00DD3688">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327DB87D" w14:textId="77777777" w:rsidR="00135175" w:rsidRPr="00D05364" w:rsidRDefault="00000000" w:rsidP="00DD3688">
            <w:sdt>
              <w:sdtPr>
                <w:rPr>
                  <w:rStyle w:val="Style2"/>
                </w:rPr>
                <w:id w:val="-1888403732"/>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rPr>
                  <w:t>☒</w:t>
                </w:r>
              </w:sdtContent>
            </w:sdt>
            <w:r w:rsidR="00135175" w:rsidRPr="00D05364">
              <w:t xml:space="preserve"> Taip</w:t>
            </w:r>
          </w:p>
          <w:p w14:paraId="1C1B5187" w14:textId="77777777" w:rsidR="00135175" w:rsidRPr="00D05364" w:rsidRDefault="00000000" w:rsidP="00DD3688">
            <w:sdt>
              <w:sdtPr>
                <w:rPr>
                  <w:rStyle w:val="Style2"/>
                </w:rPr>
                <w:id w:val="1092201793"/>
                <w15:color w:val="FFCC00"/>
                <w14:checkbox>
                  <w14:checked w14:val="0"/>
                  <w14:checkedState w14:val="2612" w14:font="MS Gothic"/>
                  <w14:uncheckedState w14:val="2610" w14:font="MS Gothic"/>
                </w14:checkbox>
              </w:sdtPr>
              <w:sdtContent>
                <w:r w:rsidR="00135175" w:rsidRPr="00D05364">
                  <w:rPr>
                    <w:rStyle w:val="Style2"/>
                    <w:rFonts w:ascii="Segoe UI Symbol" w:eastAsia="MS Gothic" w:hAnsi="Segoe UI Symbol" w:cs="Segoe UI Symbol"/>
                  </w:rPr>
                  <w:t>☐</w:t>
                </w:r>
              </w:sdtContent>
            </w:sdt>
            <w:r w:rsidR="00135175" w:rsidRPr="00D05364">
              <w:t xml:space="preserve"> Ne</w:t>
            </w:r>
          </w:p>
          <w:p w14:paraId="5F1371C5" w14:textId="77777777" w:rsidR="00135175" w:rsidRPr="00D05364" w:rsidRDefault="00135175" w:rsidP="00DD3688">
            <w:pPr>
              <w:spacing w:line="276" w:lineRule="auto"/>
              <w:rPr>
                <w:rFonts w:eastAsia="Arial"/>
              </w:rPr>
            </w:pPr>
            <w:r>
              <w:rPr>
                <w:rFonts w:eastAsia="Arial"/>
                <w:lang w:val="en-US"/>
              </w:rPr>
              <w:t>2023-07-11</w:t>
            </w:r>
          </w:p>
        </w:tc>
        <w:tc>
          <w:tcPr>
            <w:tcW w:w="2351" w:type="dxa"/>
          </w:tcPr>
          <w:p w14:paraId="08008895" w14:textId="77777777" w:rsidR="00135175" w:rsidRPr="00D05364" w:rsidRDefault="00135175" w:rsidP="00DD3688">
            <w:pPr>
              <w:spacing w:line="276" w:lineRule="auto"/>
              <w:rPr>
                <w:rFonts w:eastAsia="Arial"/>
              </w:rPr>
            </w:pPr>
            <w:r w:rsidRPr="00C0784A">
              <w:rPr>
                <w:rFonts w:eastAsia="Arial"/>
              </w:rPr>
              <w:t>Nivolumabas skirtas naudoti su chemoterapija fluoropirimidino ir platinos pagrindu kaip pirmos eilės gydymas suaugusiems pacientams, sergantiems HER2 neigiamu pažengusiu arba metastazavusiu skrandžio, gastroezofaginės jungties arba stemplės adenokarcinoma, kurių navikai išreiškia PD-L1 su bendru teigiamu balu (CPS) ≥5.</w:t>
            </w:r>
          </w:p>
        </w:tc>
        <w:tc>
          <w:tcPr>
            <w:tcW w:w="2725" w:type="dxa"/>
          </w:tcPr>
          <w:p w14:paraId="178472D4" w14:textId="77777777" w:rsidR="00135175" w:rsidRPr="003F387B" w:rsidRDefault="00135175" w:rsidP="00DD3688">
            <w:pPr>
              <w:spacing w:line="276" w:lineRule="auto"/>
              <w:rPr>
                <w:rFonts w:eastAsia="Arial"/>
              </w:rPr>
            </w:pPr>
            <w:r>
              <w:rPr>
                <w:rFonts w:eastAsia="Arial"/>
              </w:rPr>
              <w:t xml:space="preserve">Kompensuojamas minimizavus kaštus. </w:t>
            </w:r>
          </w:p>
        </w:tc>
      </w:tr>
    </w:tbl>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61039A30" w14:textId="77777777" w:rsidR="00861400" w:rsidRDefault="00861400" w:rsidP="00135175">
      <w:pPr>
        <w:tabs>
          <w:tab w:val="left" w:pos="426"/>
        </w:tabs>
        <w:spacing w:line="276" w:lineRule="auto"/>
        <w:jc w:val="both"/>
        <w:rPr>
          <w:rFonts w:eastAsia="Arial"/>
          <w:color w:val="000000" w:themeColor="text1"/>
        </w:rPr>
      </w:pPr>
      <w:r>
        <w:rPr>
          <w:rFonts w:eastAsia="Arial"/>
          <w:color w:val="000000" w:themeColor="text1"/>
        </w:rPr>
        <w:tab/>
      </w:r>
    </w:p>
    <w:p w14:paraId="51B82146" w14:textId="3E81C6E9" w:rsidR="00135175" w:rsidRDefault="00861400" w:rsidP="00135175">
      <w:pPr>
        <w:tabs>
          <w:tab w:val="left" w:pos="426"/>
        </w:tabs>
        <w:spacing w:line="276" w:lineRule="auto"/>
        <w:jc w:val="both"/>
        <w:rPr>
          <w:rFonts w:eastAsia="Arial"/>
          <w:color w:val="000000" w:themeColor="text1"/>
        </w:rPr>
      </w:pPr>
      <w:r>
        <w:rPr>
          <w:rFonts w:eastAsia="Arial"/>
          <w:color w:val="000000" w:themeColor="text1"/>
        </w:rPr>
        <w:tab/>
      </w:r>
      <w:r w:rsidR="00135175">
        <w:rPr>
          <w:rFonts w:eastAsia="Arial"/>
          <w:color w:val="000000" w:themeColor="text1"/>
        </w:rPr>
        <w:t xml:space="preserve">Skrandžio, stemplės bei </w:t>
      </w:r>
      <w:bookmarkStart w:id="0" w:name="_Hlk192333999"/>
      <w:r w:rsidR="00BC0B0A">
        <w:rPr>
          <w:rFonts w:eastAsia="Arial"/>
          <w:color w:val="000000" w:themeColor="text1"/>
        </w:rPr>
        <w:t xml:space="preserve">gastroezofaginės jungties </w:t>
      </w:r>
      <w:bookmarkEnd w:id="0"/>
      <w:r w:rsidR="00BC0B0A">
        <w:rPr>
          <w:rFonts w:eastAsia="Arial"/>
          <w:color w:val="000000" w:themeColor="text1"/>
        </w:rPr>
        <w:t>(</w:t>
      </w:r>
      <w:r w:rsidR="00135175">
        <w:rPr>
          <w:rFonts w:eastAsia="Arial"/>
          <w:color w:val="000000" w:themeColor="text1"/>
        </w:rPr>
        <w:t>GEJ</w:t>
      </w:r>
      <w:r w:rsidR="00BC0B0A">
        <w:rPr>
          <w:rFonts w:eastAsia="Arial"/>
          <w:color w:val="000000" w:themeColor="text1"/>
        </w:rPr>
        <w:t>)</w:t>
      </w:r>
      <w:r w:rsidR="00135175">
        <w:rPr>
          <w:rFonts w:eastAsia="Arial"/>
          <w:color w:val="000000" w:themeColor="text1"/>
        </w:rPr>
        <w:t xml:space="preserve"> vėžio simptomai yra nespecifiniai – disfagija, nevirškinimo jausmas, pykinimas, svorio mažėjimas, ankstyvas sotumo jausmas, geležies stokos anemija. </w:t>
      </w:r>
      <w:r w:rsidR="00135175" w:rsidRPr="00AF6E5C">
        <w:rPr>
          <w:rFonts w:eastAsia="Arial"/>
          <w:color w:val="000000" w:themeColor="text1"/>
        </w:rPr>
        <w:t>Skrandžio vėžys yra agresyvi</w:t>
      </w:r>
      <w:r w:rsidR="00135175">
        <w:rPr>
          <w:rFonts w:eastAsia="Arial"/>
          <w:color w:val="000000" w:themeColor="text1"/>
        </w:rPr>
        <w:t xml:space="preserve">os eigos - </w:t>
      </w:r>
      <w:r w:rsidR="00135175" w:rsidRPr="00AF6E5C">
        <w:rPr>
          <w:rFonts w:eastAsia="Arial"/>
          <w:color w:val="000000" w:themeColor="text1"/>
        </w:rPr>
        <w:t xml:space="preserve"> </w:t>
      </w:r>
      <w:r w:rsidR="00135175">
        <w:rPr>
          <w:rFonts w:eastAsia="Arial"/>
          <w:color w:val="000000" w:themeColor="text1"/>
        </w:rPr>
        <w:t>i</w:t>
      </w:r>
      <w:r w:rsidR="00135175" w:rsidRPr="00AF6E5C">
        <w:rPr>
          <w:rFonts w:eastAsia="Arial"/>
          <w:color w:val="000000" w:themeColor="text1"/>
        </w:rPr>
        <w:t>šgyvenamumas priklau</w:t>
      </w:r>
      <w:r w:rsidR="00135175">
        <w:rPr>
          <w:rFonts w:eastAsia="Arial"/>
          <w:color w:val="000000" w:themeColor="text1"/>
        </w:rPr>
        <w:t>so</w:t>
      </w:r>
      <w:r w:rsidR="00135175" w:rsidRPr="00AF6E5C">
        <w:rPr>
          <w:rFonts w:eastAsia="Arial"/>
          <w:color w:val="000000" w:themeColor="text1"/>
        </w:rPr>
        <w:t xml:space="preserve"> nuo ligos stadijos</w:t>
      </w:r>
      <w:r w:rsidR="00135175">
        <w:rPr>
          <w:rFonts w:eastAsia="Arial"/>
          <w:color w:val="000000" w:themeColor="text1"/>
        </w:rPr>
        <w:t>.</w:t>
      </w:r>
      <w:r w:rsidR="00135175" w:rsidRPr="00AF6E5C">
        <w:rPr>
          <w:rFonts w:eastAsia="Arial"/>
          <w:color w:val="000000" w:themeColor="text1"/>
        </w:rPr>
        <w:t xml:space="preserve"> </w:t>
      </w:r>
      <w:r w:rsidR="00135175">
        <w:rPr>
          <w:rFonts w:eastAsia="Arial"/>
          <w:color w:val="000000" w:themeColor="text1"/>
        </w:rPr>
        <w:t>E</w:t>
      </w:r>
      <w:r w:rsidR="00135175" w:rsidRPr="00AF6E5C">
        <w:rPr>
          <w:rFonts w:eastAsia="Arial"/>
          <w:color w:val="000000" w:themeColor="text1"/>
        </w:rPr>
        <w:t>sant II stadijos susirgimui siek</w:t>
      </w:r>
      <w:r w:rsidR="00135175">
        <w:rPr>
          <w:rFonts w:eastAsia="Arial"/>
          <w:color w:val="000000" w:themeColor="text1"/>
        </w:rPr>
        <w:t>ia</w:t>
      </w:r>
      <w:r w:rsidR="00135175" w:rsidRPr="00AF6E5C">
        <w:rPr>
          <w:rFonts w:eastAsia="Arial"/>
          <w:color w:val="000000" w:themeColor="text1"/>
        </w:rPr>
        <w:t xml:space="preserve"> apie 2 metus, </w:t>
      </w:r>
      <w:r w:rsidR="00135175">
        <w:rPr>
          <w:rFonts w:eastAsia="Arial"/>
          <w:color w:val="000000" w:themeColor="text1"/>
        </w:rPr>
        <w:t>o e</w:t>
      </w:r>
      <w:r w:rsidR="00135175" w:rsidRPr="00AF6E5C">
        <w:rPr>
          <w:rFonts w:eastAsia="Arial"/>
          <w:color w:val="000000" w:themeColor="text1"/>
        </w:rPr>
        <w:t xml:space="preserve">sant III-IV </w:t>
      </w:r>
      <w:r w:rsidR="00135175">
        <w:rPr>
          <w:rFonts w:eastAsia="Arial"/>
          <w:color w:val="000000" w:themeColor="text1"/>
        </w:rPr>
        <w:t xml:space="preserve">– iki </w:t>
      </w:r>
      <w:r w:rsidR="00135175" w:rsidRPr="00AF6E5C">
        <w:rPr>
          <w:rFonts w:eastAsia="Arial"/>
          <w:color w:val="000000" w:themeColor="text1"/>
        </w:rPr>
        <w:t xml:space="preserve">metų. </w:t>
      </w:r>
      <w:r w:rsidR="00135175">
        <w:rPr>
          <w:rFonts w:eastAsia="Arial"/>
          <w:color w:val="000000" w:themeColor="text1"/>
        </w:rPr>
        <w:t xml:space="preserve">Dėl nespecifinių simptomų ligos diagnostika yra vėlyva ir iki </w:t>
      </w:r>
      <w:r w:rsidR="00135175" w:rsidRPr="003547C8">
        <w:rPr>
          <w:rFonts w:eastAsia="Arial"/>
          <w:color w:val="000000" w:themeColor="text1"/>
        </w:rPr>
        <w:t>60 proc. skrand</w:t>
      </w:r>
      <w:r w:rsidR="00135175">
        <w:rPr>
          <w:rFonts w:eastAsia="Arial"/>
          <w:color w:val="000000" w:themeColor="text1"/>
        </w:rPr>
        <w:t xml:space="preserve">žio vėžiu sergančių pacientų ligos diagnozavimo metu jau negalimas radikalus gydymas. Apytikriai 90 proc. skrandžio vėžio atvejų yra adenokarcinomos. Stemplės vėžio atveju, dažniausias tipas yra plokščiųjų ląstelių, iki penktadalio – adenokarcinomos. GEJ navikų tipų pasiskirstymas nėra tiksliai aprašytas.  </w:t>
      </w:r>
    </w:p>
    <w:p w14:paraId="1FE15FF6" w14:textId="77777777" w:rsidR="00135175" w:rsidRPr="00181BAA" w:rsidRDefault="00135175" w:rsidP="00135175">
      <w:pPr>
        <w:tabs>
          <w:tab w:val="left" w:pos="426"/>
        </w:tabs>
        <w:spacing w:line="276" w:lineRule="auto"/>
        <w:jc w:val="both"/>
        <w:rPr>
          <w:rFonts w:eastAsia="Arial"/>
          <w:color w:val="000000" w:themeColor="text1"/>
        </w:rPr>
      </w:pPr>
      <w:r>
        <w:rPr>
          <w:rFonts w:eastAsia="Arial"/>
          <w:color w:val="000000" w:themeColor="text1"/>
        </w:rPr>
        <w:tab/>
      </w:r>
      <w:r>
        <w:t>Remiantis Lietuvos Respublikos Sveikatos apsaugos ministerijos parengtomis metodinėmis skrandžio piktybinio naviko (</w:t>
      </w:r>
      <w:r w:rsidRPr="004629F5">
        <w:t>202</w:t>
      </w:r>
      <w:r>
        <w:t>1 m.) bei stemplės vėžio (</w:t>
      </w:r>
      <w:r w:rsidRPr="004629F5">
        <w:t>2</w:t>
      </w:r>
      <w:r>
        <w:t>014 m.) diagnostikos ir gydymo  rekomendacijomis, siūlomos įvairios išplitusio skrandžio ir stemplės piktybinio naviko chemoterapijos schemos.</w:t>
      </w:r>
    </w:p>
    <w:p w14:paraId="242B1891" w14:textId="77777777" w:rsidR="00135175" w:rsidRDefault="00135175" w:rsidP="00135175">
      <w:pPr>
        <w:tabs>
          <w:tab w:val="left" w:pos="426"/>
        </w:tabs>
        <w:spacing w:line="276" w:lineRule="auto"/>
        <w:jc w:val="both"/>
      </w:pPr>
      <w:r>
        <w:tab/>
      </w:r>
      <w:r w:rsidRPr="00E37E4B">
        <w:t xml:space="preserve">VVKT, įvertinusi Paraiškos III skyriuje pateiktą informaciją, </w:t>
      </w:r>
      <w:r>
        <w:t xml:space="preserve">dėl </w:t>
      </w:r>
      <w:r w:rsidRPr="00E37E4B">
        <w:t xml:space="preserve">faktinės situacijos Lietuvos Respublikos klinikinėje praktikoje </w:t>
      </w:r>
      <w:r>
        <w:t xml:space="preserve">kreipėsi į gydytoją ekspertą, kurio pateikta informacija, </w:t>
      </w:r>
      <w:r>
        <w:rPr>
          <w:rFonts w:asciiTheme="majorBidi" w:hAnsiTheme="majorBidi" w:cstheme="majorBidi"/>
        </w:rPr>
        <w:t xml:space="preserve">Lietuvoje </w:t>
      </w:r>
      <w:r>
        <w:rPr>
          <w:rFonts w:asciiTheme="majorBidi" w:hAnsiTheme="majorBidi" w:cstheme="majorBidi"/>
          <w:lang w:eastAsia="lt-LT"/>
        </w:rPr>
        <w:t>g</w:t>
      </w:r>
      <w:r w:rsidRPr="00FE4B39">
        <w:rPr>
          <w:rFonts w:asciiTheme="majorBidi" w:hAnsiTheme="majorBidi" w:cstheme="majorBidi"/>
          <w:lang w:eastAsia="lt-LT"/>
        </w:rPr>
        <w:t>ydant pacient</w:t>
      </w:r>
      <w:r>
        <w:rPr>
          <w:rFonts w:asciiTheme="majorBidi" w:hAnsiTheme="majorBidi" w:cstheme="majorBidi"/>
          <w:lang w:eastAsia="lt-LT"/>
        </w:rPr>
        <w:t>us</w:t>
      </w:r>
      <w:r w:rsidRPr="00FE4B39">
        <w:rPr>
          <w:rFonts w:asciiTheme="majorBidi" w:hAnsiTheme="majorBidi" w:cstheme="majorBidi"/>
          <w:lang w:eastAsia="lt-LT"/>
        </w:rPr>
        <w:t xml:space="preserve"> serganči</w:t>
      </w:r>
      <w:r>
        <w:rPr>
          <w:rFonts w:asciiTheme="majorBidi" w:hAnsiTheme="majorBidi" w:cstheme="majorBidi"/>
          <w:lang w:eastAsia="lt-LT"/>
        </w:rPr>
        <w:t>us</w:t>
      </w:r>
      <w:r w:rsidRPr="00FE4B39">
        <w:rPr>
          <w:rFonts w:asciiTheme="majorBidi" w:hAnsiTheme="majorBidi" w:cstheme="majorBidi"/>
          <w:lang w:eastAsia="lt-LT"/>
        </w:rPr>
        <w:t xml:space="preserve"> </w:t>
      </w:r>
      <w:r>
        <w:t>s</w:t>
      </w:r>
      <w:r w:rsidRPr="006B3532">
        <w:t>templės, GEJ ir skrandžio vėži</w:t>
      </w:r>
      <w:r>
        <w:t>u</w:t>
      </w:r>
      <w:r w:rsidRPr="00FE4B39">
        <w:rPr>
          <w:rFonts w:asciiTheme="majorBidi" w:hAnsiTheme="majorBidi" w:cstheme="majorBidi"/>
          <w:lang w:eastAsia="lt-LT"/>
        </w:rPr>
        <w:t xml:space="preserve"> </w:t>
      </w:r>
      <w:r>
        <w:t xml:space="preserve">dažniausiai skiriamas </w:t>
      </w:r>
      <w:r w:rsidRPr="00DD6A50">
        <w:rPr>
          <w:b/>
          <w:bCs/>
        </w:rPr>
        <w:t>oksliplatinos ir kapecitabino derinys (stemplės adenokarcinoma 50 proc., skrandžio adenokarcinoma bei GEJ adenokarcinoma – po 70 proc.)</w:t>
      </w:r>
      <w:r>
        <w:t xml:space="preserve">. </w:t>
      </w:r>
    </w:p>
    <w:p w14:paraId="245A2EFF" w14:textId="77777777" w:rsidR="00135175" w:rsidRPr="007B3116" w:rsidRDefault="00135175" w:rsidP="00135175">
      <w:pPr>
        <w:tabs>
          <w:tab w:val="left" w:pos="426"/>
        </w:tabs>
        <w:spacing w:line="276" w:lineRule="auto"/>
        <w:jc w:val="both"/>
      </w:pPr>
      <w:r>
        <w:rPr>
          <w:b/>
          <w:bCs/>
        </w:rPr>
        <w:tab/>
      </w:r>
      <w:r w:rsidRPr="00F84B55">
        <w:t xml:space="preserve">2022 m. ESMO (angl. </w:t>
      </w:r>
      <w:r w:rsidRPr="00F84B55">
        <w:rPr>
          <w:i/>
          <w:iCs/>
        </w:rPr>
        <w:t xml:space="preserve">European Society of Medical </w:t>
      </w:r>
      <w:r w:rsidRPr="00F84B55">
        <w:t xml:space="preserve">Oncology) skrandžio </w:t>
      </w:r>
      <w:r>
        <w:t xml:space="preserve">bei stemplės </w:t>
      </w:r>
      <w:r w:rsidRPr="00F84B55">
        <w:t>vėžio diagnostikos ir gydymo</w:t>
      </w:r>
      <w:r>
        <w:t xml:space="preserve"> </w:t>
      </w:r>
      <w:r w:rsidRPr="00F84B55">
        <w:t xml:space="preserve"> gairėse</w:t>
      </w:r>
      <w:r>
        <w:t xml:space="preserve"> bei </w:t>
      </w:r>
      <w:r w:rsidRPr="00F84B55">
        <w:t xml:space="preserve">Jungtinių Amerikos valstijų Nacionalinėmis vispusiško vėžio tinklo 2023 m. (angl. </w:t>
      </w:r>
      <w:r w:rsidRPr="00F84B55">
        <w:rPr>
          <w:i/>
          <w:iCs/>
        </w:rPr>
        <w:t>National Comprehensive Cancer Network</w:t>
      </w:r>
      <w:r w:rsidRPr="00F84B55">
        <w:t>) stemplės vėžio diagnostikos ir gydymo bei skrandžio vėžio diagnostikos ir gydymo gairė</w:t>
      </w:r>
      <w:r>
        <w:t>se</w:t>
      </w:r>
      <w:r w:rsidRPr="00F84B55">
        <w:t xml:space="preserve"> nurodoma, jog </w:t>
      </w:r>
      <w:r>
        <w:t>e</w:t>
      </w:r>
      <w:r w:rsidRPr="00F84B55">
        <w:t xml:space="preserve">sant nerezekuotinam ar metastazavusiam skrandžio vėžiui, kuris ekspresuoja PD-L1 (angl. </w:t>
      </w:r>
      <w:r w:rsidRPr="00F84B55">
        <w:rPr>
          <w:i/>
          <w:iCs/>
        </w:rPr>
        <w:t>Programmed death-ligand 1</w:t>
      </w:r>
      <w:r w:rsidRPr="00F84B55">
        <w:t>) pirmos eilės gydymui rekomenduojamas nivolumabo, platinos ir fluoropirimidino derinys (IA rekomendacija)</w:t>
      </w:r>
      <w:r>
        <w:t xml:space="preserve">. </w:t>
      </w:r>
    </w:p>
    <w:p w14:paraId="32C9A895" w14:textId="77777777" w:rsidR="00135175" w:rsidRDefault="00135175" w:rsidP="00135175">
      <w:pPr>
        <w:tabs>
          <w:tab w:val="left" w:pos="426"/>
        </w:tabs>
        <w:spacing w:line="276" w:lineRule="auto"/>
        <w:jc w:val="both"/>
      </w:pPr>
      <w:r>
        <w:rPr>
          <w:rFonts w:eastAsia="Arial"/>
          <w:bCs/>
        </w:rPr>
        <w:tab/>
      </w:r>
      <w:r w:rsidRPr="006B3532">
        <w:rPr>
          <w:rFonts w:eastAsia="Arial"/>
          <w:bCs/>
        </w:rPr>
        <w:t xml:space="preserve">Įvertinus tiesioginio palyginimo klinikinius duomenis bei remiantis Lietuvos Respublikos sveikatos apsaugos ministro 2002 m. balandžio 5 d. įsakymo Nr. V-159 „Dėl vaistinių preparatų ir medicinos pagalbos priemonių įrašymo į kompensavimo sąrašus ir jų keitimo tvarkos aprašo patvirtinimo“ rengimo taisyklių 116.1 punktu, tinkamas palyginamasis gydymas skrandžio, stremplės ir GEJ navikams yra </w:t>
      </w:r>
      <w:r w:rsidRPr="006B3532">
        <w:t xml:space="preserve">oksaliplatinos ir kapecitabino derinys. </w:t>
      </w:r>
    </w:p>
    <w:p w14:paraId="7D551B97" w14:textId="77777777" w:rsidR="00135175" w:rsidRDefault="00135175" w:rsidP="00135175">
      <w:pPr>
        <w:tabs>
          <w:tab w:val="left" w:pos="426"/>
        </w:tabs>
        <w:spacing w:line="276" w:lineRule="auto"/>
        <w:jc w:val="both"/>
      </w:pPr>
    </w:p>
    <w:p w14:paraId="45106A4A" w14:textId="77777777" w:rsidR="00135175" w:rsidRDefault="00135175" w:rsidP="00135175">
      <w:pPr>
        <w:tabs>
          <w:tab w:val="left" w:pos="426"/>
        </w:tabs>
        <w:spacing w:line="276" w:lineRule="auto"/>
        <w:jc w:val="both"/>
        <w:rPr>
          <w:i/>
          <w:iCs/>
        </w:rPr>
      </w:pPr>
      <w:r>
        <w:tab/>
      </w:r>
      <w:r>
        <w:rPr>
          <w:i/>
          <w:iCs/>
        </w:rPr>
        <w:t>Tiesioginis palyginimas</w:t>
      </w:r>
    </w:p>
    <w:p w14:paraId="6D7AC211" w14:textId="36D3EF18" w:rsidR="00135175" w:rsidRPr="00181BAA" w:rsidRDefault="00135175" w:rsidP="00135175">
      <w:pPr>
        <w:tabs>
          <w:tab w:val="left" w:pos="426"/>
        </w:tabs>
        <w:spacing w:line="276" w:lineRule="auto"/>
        <w:jc w:val="both"/>
      </w:pPr>
      <w:r>
        <w:rPr>
          <w:i/>
          <w:iCs/>
        </w:rPr>
        <w:tab/>
      </w:r>
      <w:r w:rsidR="00BC0B0A">
        <w:t>Palyginamasis</w:t>
      </w:r>
      <w:r w:rsidR="00BC0B0A" w:rsidRPr="00181BAA">
        <w:t xml:space="preserve"> </w:t>
      </w:r>
      <w:r w:rsidR="00672FDC">
        <w:t xml:space="preserve">veiksmingumas </w:t>
      </w:r>
      <w:r w:rsidRPr="00181BAA">
        <w:t>grindžiamas klinikinio tyrimo</w:t>
      </w:r>
      <w:r>
        <w:t xml:space="preserve"> </w:t>
      </w:r>
      <w:r w:rsidRPr="00181BAA">
        <w:rPr>
          <w:iCs/>
        </w:rPr>
        <w:t>CheckMate 649</w:t>
      </w:r>
      <w:r>
        <w:rPr>
          <w:i/>
        </w:rPr>
        <w:t xml:space="preserve"> </w:t>
      </w:r>
      <w:r w:rsidRPr="00181BAA">
        <w:t xml:space="preserve"> duomenimis.</w:t>
      </w:r>
      <w:r>
        <w:t xml:space="preserve"> </w:t>
      </w:r>
      <w:r w:rsidRPr="00181BAA">
        <w:rPr>
          <w:rFonts w:eastAsia="Arial"/>
          <w:bCs/>
        </w:rPr>
        <w:t>Jame įrodyta, jog 18 metų ir vyresniems geros funkcinės būklės (ECOG 0 arba 1) pacientams, kuriems nustatyta anksčiau negydyta vietiškai išplitusi nerezekuotina ar metastazavusi</w:t>
      </w:r>
      <w:r w:rsidR="00DD4764">
        <w:rPr>
          <w:rFonts w:eastAsia="Arial"/>
          <w:bCs/>
        </w:rPr>
        <w:t>, HER</w:t>
      </w:r>
      <w:r w:rsidR="00347315">
        <w:rPr>
          <w:rFonts w:eastAsia="Arial"/>
          <w:bCs/>
        </w:rPr>
        <w:t>-</w:t>
      </w:r>
      <w:r w:rsidR="00DD4764">
        <w:rPr>
          <w:rFonts w:eastAsia="Arial"/>
          <w:bCs/>
        </w:rPr>
        <w:t xml:space="preserve">2 neigiama bei turinti išreikštą PD-L1 raišką ir kombinuotą teigiamą rodiklį </w:t>
      </w:r>
      <w:r w:rsidR="00DD4764" w:rsidRPr="00CD6650">
        <w:t>≥ 5</w:t>
      </w:r>
      <w:r w:rsidR="00DD4764">
        <w:t xml:space="preserve"> </w:t>
      </w:r>
      <w:r w:rsidRPr="00F53C73">
        <w:rPr>
          <w:rFonts w:eastAsia="Arial"/>
          <w:bCs/>
        </w:rPr>
        <w:t>skrandžio, skrandžio ir stemplės jungties arba stemplės adenokarcinom</w:t>
      </w:r>
      <w:r>
        <w:rPr>
          <w:rFonts w:eastAsia="Arial"/>
          <w:bCs/>
        </w:rPr>
        <w:t>a,</w:t>
      </w:r>
      <w:r w:rsidRPr="00181BAA">
        <w:rPr>
          <w:rFonts w:eastAsia="Arial"/>
          <w:bCs/>
        </w:rPr>
        <w:t xml:space="preserve"> gydym</w:t>
      </w:r>
      <w:r>
        <w:rPr>
          <w:rFonts w:eastAsia="Arial"/>
          <w:bCs/>
        </w:rPr>
        <w:t>ą</w:t>
      </w:r>
      <w:r w:rsidRPr="00181BAA">
        <w:rPr>
          <w:rFonts w:eastAsia="Arial"/>
          <w:bCs/>
        </w:rPr>
        <w:t xml:space="preserve"> </w:t>
      </w:r>
      <w:r>
        <w:rPr>
          <w:rFonts w:eastAsia="Arial"/>
          <w:bCs/>
        </w:rPr>
        <w:t xml:space="preserve">chemoterapijos pagrindu FOLFOX arba XELOX </w:t>
      </w:r>
      <w:r w:rsidRPr="00181BAA">
        <w:rPr>
          <w:rFonts w:eastAsia="Arial"/>
          <w:bCs/>
        </w:rPr>
        <w:t xml:space="preserve">(tinkamas palyginamasis gydymas Lietuvoje) </w:t>
      </w:r>
      <w:r>
        <w:rPr>
          <w:rFonts w:eastAsia="Arial"/>
          <w:bCs/>
        </w:rPr>
        <w:t>papildžius nivolumabu,</w:t>
      </w:r>
      <w:r w:rsidRPr="005E46F8">
        <w:rPr>
          <w:rFonts w:eastAsia="Arial"/>
          <w:bCs/>
        </w:rPr>
        <w:t xml:space="preserve"> </w:t>
      </w:r>
      <w:r w:rsidRPr="00181BAA">
        <w:rPr>
          <w:rFonts w:eastAsia="Arial"/>
          <w:bCs/>
        </w:rPr>
        <w:t>mirties nuo bet kokios priežasties</w:t>
      </w:r>
      <w:r>
        <w:rPr>
          <w:rFonts w:eastAsia="Arial"/>
          <w:bCs/>
        </w:rPr>
        <w:t xml:space="preserve"> rizika sumažėja 29</w:t>
      </w:r>
      <w:r w:rsidRPr="005E46F8">
        <w:rPr>
          <w:rFonts w:eastAsia="Arial"/>
          <w:bCs/>
        </w:rPr>
        <w:t xml:space="preserve"> </w:t>
      </w:r>
      <w:r>
        <w:rPr>
          <w:rFonts w:eastAsia="Arial"/>
          <w:bCs/>
        </w:rPr>
        <w:t>proc.</w:t>
      </w:r>
      <w:r w:rsidRPr="00181BAA">
        <w:rPr>
          <w:rFonts w:eastAsia="Arial"/>
          <w:bCs/>
        </w:rPr>
        <w:t xml:space="preserve"> </w:t>
      </w:r>
      <w:r>
        <w:rPr>
          <w:rFonts w:eastAsia="Arial"/>
          <w:bCs/>
        </w:rPr>
        <w:t>(</w:t>
      </w:r>
      <w:r w:rsidRPr="005E46F8">
        <w:rPr>
          <w:rFonts w:eastAsia="Arial"/>
          <w:bCs/>
        </w:rPr>
        <w:t>RS 0,71</w:t>
      </w:r>
      <w:r>
        <w:rPr>
          <w:rFonts w:eastAsia="Arial"/>
          <w:bCs/>
        </w:rPr>
        <w:t xml:space="preserve">, </w:t>
      </w:r>
      <w:r w:rsidRPr="005E46F8">
        <w:rPr>
          <w:rFonts w:eastAsia="Arial"/>
          <w:bCs/>
        </w:rPr>
        <w:t>98,4 proc., PI 0,59–0,86, P&lt;0,0001</w:t>
      </w:r>
      <w:r>
        <w:rPr>
          <w:rFonts w:eastAsia="Arial"/>
          <w:bCs/>
        </w:rPr>
        <w:t xml:space="preserve">) </w:t>
      </w:r>
      <w:r w:rsidRPr="00181BAA">
        <w:rPr>
          <w:rFonts w:eastAsia="Arial"/>
          <w:bCs/>
        </w:rPr>
        <w:t>(pirminė vertinamoji baigtis), lyginant su placebo grupe. Panašios tendencijos išliko ir galutinėje analizėje.</w:t>
      </w:r>
    </w:p>
    <w:p w14:paraId="19740448" w14:textId="3B87830D" w:rsidR="00135175" w:rsidRPr="005E46F8" w:rsidRDefault="00135175" w:rsidP="00135175">
      <w:pPr>
        <w:tabs>
          <w:tab w:val="left" w:pos="426"/>
        </w:tabs>
        <w:spacing w:line="276" w:lineRule="auto"/>
        <w:jc w:val="both"/>
      </w:pPr>
      <w:r w:rsidRPr="00181BAA">
        <w:rPr>
          <w:rFonts w:eastAsia="Arial"/>
          <w:bCs/>
        </w:rPr>
        <w:tab/>
      </w:r>
      <w:r w:rsidRPr="00181BAA">
        <w:rPr>
          <w:rFonts w:eastAsia="Arial"/>
          <w:bCs/>
        </w:rPr>
        <w:tab/>
        <w:t xml:space="preserve">Vertinant pacientų išgyvenamumą be ligos progresavimo (IBLP), gydymo papildymas </w:t>
      </w:r>
      <w:r w:rsidR="00DD4764">
        <w:rPr>
          <w:rFonts w:eastAsia="Arial"/>
          <w:bCs/>
        </w:rPr>
        <w:t>nivolu</w:t>
      </w:r>
      <w:r w:rsidR="00202EB5">
        <w:rPr>
          <w:rFonts w:eastAsia="Arial"/>
          <w:bCs/>
        </w:rPr>
        <w:t>mabu</w:t>
      </w:r>
      <w:r w:rsidRPr="00181BAA">
        <w:rPr>
          <w:rFonts w:eastAsia="Arial"/>
          <w:bCs/>
        </w:rPr>
        <w:t xml:space="preserve"> </w:t>
      </w:r>
      <w:r>
        <w:rPr>
          <w:rFonts w:eastAsia="Arial"/>
          <w:bCs/>
        </w:rPr>
        <w:t>pacientų, kurių kombinuotas teigiamas rodiklis</w:t>
      </w:r>
      <w:r w:rsidRPr="00181BAA">
        <w:rPr>
          <w:rFonts w:eastAsia="Arial"/>
          <w:bCs/>
        </w:rPr>
        <w:t xml:space="preserve"> </w:t>
      </w:r>
      <w:r w:rsidRPr="00CD6650">
        <w:t>≥ 5</w:t>
      </w:r>
      <w:r>
        <w:t>, populiacijoje</w:t>
      </w:r>
      <w:r w:rsidRPr="005E46F8">
        <w:rPr>
          <w:color w:val="000000"/>
        </w:rPr>
        <w:t xml:space="preserve"> </w:t>
      </w:r>
      <w:r>
        <w:rPr>
          <w:color w:val="000000"/>
        </w:rPr>
        <w:t>lėmė</w:t>
      </w:r>
      <w:r w:rsidRPr="00A1437F">
        <w:rPr>
          <w:color w:val="000000"/>
        </w:rPr>
        <w:t xml:space="preserve"> 32</w:t>
      </w:r>
      <w:r>
        <w:rPr>
          <w:color w:val="000000"/>
        </w:rPr>
        <w:t xml:space="preserve"> proc.</w:t>
      </w:r>
      <w:r w:rsidRPr="00A1437F">
        <w:rPr>
          <w:color w:val="000000"/>
        </w:rPr>
        <w:t xml:space="preserve"> </w:t>
      </w:r>
      <w:r>
        <w:rPr>
          <w:color w:val="000000"/>
        </w:rPr>
        <w:t xml:space="preserve">ligos </w:t>
      </w:r>
      <w:r w:rsidRPr="00A1437F">
        <w:rPr>
          <w:color w:val="000000"/>
        </w:rPr>
        <w:t>progresavimo rizikos sumažėjimą</w:t>
      </w:r>
      <w:r>
        <w:rPr>
          <w:color w:val="000000"/>
        </w:rPr>
        <w:t xml:space="preserve"> </w:t>
      </w:r>
      <w:r w:rsidRPr="00A1437F">
        <w:rPr>
          <w:color w:val="000000"/>
        </w:rPr>
        <w:t>(</w:t>
      </w:r>
      <w:r>
        <w:rPr>
          <w:color w:val="000000"/>
        </w:rPr>
        <w:t>RS</w:t>
      </w:r>
      <w:r w:rsidRPr="00A1437F">
        <w:rPr>
          <w:color w:val="000000"/>
        </w:rPr>
        <w:t xml:space="preserve"> </w:t>
      </w:r>
      <w:r w:rsidR="00DD4764">
        <w:rPr>
          <w:color w:val="000000"/>
        </w:rPr>
        <w:t>mabu</w:t>
      </w:r>
      <w:r w:rsidRPr="00A1437F">
        <w:rPr>
          <w:color w:val="000000"/>
        </w:rPr>
        <w:t>0</w:t>
      </w:r>
      <w:r>
        <w:rPr>
          <w:color w:val="000000"/>
        </w:rPr>
        <w:t>,</w:t>
      </w:r>
      <w:r w:rsidRPr="00A1437F">
        <w:rPr>
          <w:color w:val="000000"/>
        </w:rPr>
        <w:t>68</w:t>
      </w:r>
      <w:r>
        <w:rPr>
          <w:color w:val="000000"/>
        </w:rPr>
        <w:t xml:space="preserve">, </w:t>
      </w:r>
      <w:r w:rsidRPr="00A1437F">
        <w:rPr>
          <w:color w:val="000000"/>
        </w:rPr>
        <w:t>98</w:t>
      </w:r>
      <w:r>
        <w:rPr>
          <w:color w:val="000000"/>
        </w:rPr>
        <w:t xml:space="preserve"> proc.</w:t>
      </w:r>
      <w:r w:rsidRPr="00A1437F">
        <w:rPr>
          <w:color w:val="000000"/>
        </w:rPr>
        <w:t xml:space="preserve"> PI</w:t>
      </w:r>
      <w:r>
        <w:rPr>
          <w:color w:val="000000"/>
        </w:rPr>
        <w:t xml:space="preserve"> </w:t>
      </w:r>
      <w:r w:rsidRPr="00A1437F">
        <w:rPr>
          <w:color w:val="000000"/>
        </w:rPr>
        <w:t>0</w:t>
      </w:r>
      <w:r>
        <w:rPr>
          <w:color w:val="000000"/>
        </w:rPr>
        <w:t>,</w:t>
      </w:r>
      <w:r w:rsidRPr="00A1437F">
        <w:rPr>
          <w:color w:val="000000"/>
        </w:rPr>
        <w:t>56–0</w:t>
      </w:r>
      <w:r>
        <w:rPr>
          <w:color w:val="000000"/>
        </w:rPr>
        <w:t>,</w:t>
      </w:r>
      <w:r w:rsidRPr="00A1437F">
        <w:rPr>
          <w:color w:val="000000"/>
        </w:rPr>
        <w:t>81</w:t>
      </w:r>
      <w:r>
        <w:rPr>
          <w:color w:val="000000"/>
        </w:rPr>
        <w:t>,</w:t>
      </w:r>
      <w:r w:rsidRPr="00A1437F">
        <w:rPr>
          <w:color w:val="000000"/>
        </w:rPr>
        <w:t xml:space="preserve"> P&lt;0</w:t>
      </w:r>
      <w:r>
        <w:rPr>
          <w:color w:val="000000"/>
        </w:rPr>
        <w:t>,</w:t>
      </w:r>
      <w:r w:rsidRPr="00A1437F">
        <w:rPr>
          <w:color w:val="000000"/>
        </w:rPr>
        <w:t>0001)</w:t>
      </w:r>
      <w:r>
        <w:rPr>
          <w:color w:val="000000"/>
        </w:rPr>
        <w:t xml:space="preserve"> </w:t>
      </w:r>
      <w:r w:rsidRPr="00181BAA">
        <w:rPr>
          <w:rFonts w:eastAsia="Arial"/>
          <w:bCs/>
        </w:rPr>
        <w:t>(</w:t>
      </w:r>
      <w:r>
        <w:rPr>
          <w:rFonts w:eastAsia="Arial"/>
          <w:bCs/>
        </w:rPr>
        <w:t>kita pirminė</w:t>
      </w:r>
      <w:r w:rsidRPr="00181BAA">
        <w:rPr>
          <w:rFonts w:eastAsia="Arial"/>
          <w:bCs/>
        </w:rPr>
        <w:t xml:space="preserve"> vertinamoji baigtis)</w:t>
      </w:r>
      <w:r>
        <w:rPr>
          <w:color w:val="000000"/>
        </w:rPr>
        <w:t xml:space="preserve">. </w:t>
      </w:r>
      <w:r w:rsidRPr="00A1437F">
        <w:rPr>
          <w:color w:val="000000"/>
        </w:rPr>
        <w:t>Viduti</w:t>
      </w:r>
      <w:r>
        <w:rPr>
          <w:color w:val="000000"/>
        </w:rPr>
        <w:t xml:space="preserve">nė IBLP trukmė buvo </w:t>
      </w:r>
      <w:r w:rsidRPr="00A1437F">
        <w:rPr>
          <w:color w:val="000000"/>
        </w:rPr>
        <w:t>1,7 mėn</w:t>
      </w:r>
      <w:r>
        <w:rPr>
          <w:color w:val="000000"/>
        </w:rPr>
        <w:t>.</w:t>
      </w:r>
      <w:r w:rsidRPr="00A1437F">
        <w:rPr>
          <w:color w:val="000000"/>
        </w:rPr>
        <w:t xml:space="preserve"> </w:t>
      </w:r>
      <w:r>
        <w:rPr>
          <w:color w:val="000000"/>
        </w:rPr>
        <w:t xml:space="preserve">ilgesnė </w:t>
      </w:r>
      <w:r w:rsidRPr="00A1437F">
        <w:rPr>
          <w:color w:val="000000"/>
        </w:rPr>
        <w:t>nivolumabo ir chemoterapijos grupėje, palyginti su vien tik chemoterapija (</w:t>
      </w:r>
      <w:r>
        <w:rPr>
          <w:color w:val="000000"/>
        </w:rPr>
        <w:t xml:space="preserve">atitinkamai </w:t>
      </w:r>
      <w:r w:rsidRPr="00A1437F">
        <w:rPr>
          <w:color w:val="000000"/>
        </w:rPr>
        <w:t>7</w:t>
      </w:r>
      <w:r>
        <w:rPr>
          <w:color w:val="000000"/>
        </w:rPr>
        <w:t>,</w:t>
      </w:r>
      <w:r w:rsidRPr="00A1437F">
        <w:rPr>
          <w:color w:val="000000"/>
        </w:rPr>
        <w:t xml:space="preserve">7 </w:t>
      </w:r>
      <w:r>
        <w:rPr>
          <w:color w:val="000000"/>
        </w:rPr>
        <w:t>ir</w:t>
      </w:r>
      <w:r w:rsidRPr="00A1437F">
        <w:rPr>
          <w:color w:val="000000"/>
        </w:rPr>
        <w:t xml:space="preserve"> 6</w:t>
      </w:r>
      <w:r>
        <w:rPr>
          <w:color w:val="000000"/>
        </w:rPr>
        <w:t>,</w:t>
      </w:r>
      <w:r w:rsidRPr="00A1437F">
        <w:rPr>
          <w:color w:val="000000"/>
        </w:rPr>
        <w:t>0 mėn</w:t>
      </w:r>
      <w:r>
        <w:rPr>
          <w:color w:val="000000"/>
        </w:rPr>
        <w:t>)</w:t>
      </w:r>
      <w:r w:rsidRPr="00181BAA">
        <w:rPr>
          <w:rFonts w:eastAsia="Arial"/>
          <w:bCs/>
        </w:rPr>
        <w:t>.</w:t>
      </w:r>
    </w:p>
    <w:p w14:paraId="12D50C9C" w14:textId="77777777" w:rsidR="00135175" w:rsidRPr="005E46F8" w:rsidRDefault="00135175" w:rsidP="00135175">
      <w:pPr>
        <w:tabs>
          <w:tab w:val="left" w:pos="426"/>
        </w:tabs>
        <w:spacing w:line="276" w:lineRule="auto"/>
        <w:jc w:val="both"/>
        <w:rPr>
          <w:rFonts w:eastAsia="Arial"/>
          <w:bCs/>
        </w:rPr>
      </w:pPr>
      <w:r w:rsidRPr="00181BAA">
        <w:rPr>
          <w:rFonts w:eastAsia="Arial"/>
          <w:bCs/>
        </w:rPr>
        <w:tab/>
      </w:r>
      <w:r w:rsidRPr="00181BAA">
        <w:rPr>
          <w:rFonts w:eastAsia="Arial"/>
          <w:bCs/>
        </w:rPr>
        <w:tab/>
        <w:t xml:space="preserve">Vertinant </w:t>
      </w:r>
      <w:r w:rsidRPr="005E46F8">
        <w:rPr>
          <w:rFonts w:eastAsia="Arial"/>
          <w:bCs/>
        </w:rPr>
        <w:t xml:space="preserve">BI pacientų, kurių </w:t>
      </w:r>
      <w:r>
        <w:rPr>
          <w:rFonts w:eastAsia="Arial"/>
          <w:bCs/>
        </w:rPr>
        <w:t xml:space="preserve">kombinuotas teigiamas rodiklis </w:t>
      </w:r>
      <w:r w:rsidRPr="005E46F8">
        <w:rPr>
          <w:rFonts w:eastAsia="Arial"/>
          <w:bCs/>
        </w:rPr>
        <w:t xml:space="preserve">≥ 1 populiacijoje </w:t>
      </w:r>
      <w:r>
        <w:rPr>
          <w:rFonts w:eastAsia="Arial"/>
          <w:bCs/>
        </w:rPr>
        <w:t xml:space="preserve">(antrinė vertinamoji baigtis), </w:t>
      </w:r>
      <w:r w:rsidRPr="00181BAA">
        <w:rPr>
          <w:rFonts w:eastAsia="Arial"/>
          <w:bCs/>
        </w:rPr>
        <w:t>mirties nuo bet kokios priežasties</w:t>
      </w:r>
      <w:r>
        <w:rPr>
          <w:rFonts w:eastAsia="Arial"/>
          <w:bCs/>
        </w:rPr>
        <w:t xml:space="preserve"> rizika sumažėja </w:t>
      </w:r>
      <w:r w:rsidRPr="005E46F8">
        <w:rPr>
          <w:rFonts w:eastAsia="Arial"/>
          <w:bCs/>
        </w:rPr>
        <w:t xml:space="preserve">23 </w:t>
      </w:r>
      <w:r>
        <w:rPr>
          <w:rFonts w:eastAsia="Arial"/>
          <w:bCs/>
        </w:rPr>
        <w:t>proc. (</w:t>
      </w:r>
      <w:r>
        <w:t xml:space="preserve">RS 0,77, </w:t>
      </w:r>
      <w:r w:rsidRPr="00061D91">
        <w:t>99</w:t>
      </w:r>
      <w:r>
        <w:t>,</w:t>
      </w:r>
      <w:r w:rsidRPr="00061D91">
        <w:t>3</w:t>
      </w:r>
      <w:r>
        <w:t xml:space="preserve"> proc.</w:t>
      </w:r>
      <w:r w:rsidRPr="00061D91">
        <w:t xml:space="preserve"> PI 0</w:t>
      </w:r>
      <w:r>
        <w:t>,</w:t>
      </w:r>
      <w:r w:rsidRPr="00061D91">
        <w:t>6</w:t>
      </w:r>
      <w:r>
        <w:t>4</w:t>
      </w:r>
      <w:r w:rsidRPr="00061D91">
        <w:t>, 0</w:t>
      </w:r>
      <w:r>
        <w:t>,</w:t>
      </w:r>
      <w:r w:rsidRPr="00061D91">
        <w:t>9</w:t>
      </w:r>
      <w:r>
        <w:t>2, p&lt;0,0001</w:t>
      </w:r>
      <w:r>
        <w:rPr>
          <w:rFonts w:eastAsia="Arial"/>
          <w:bCs/>
        </w:rPr>
        <w:t>), o ligos progresavimo rizika (IBLP) – 26 proc. (</w:t>
      </w:r>
      <w:r>
        <w:t xml:space="preserve">RS </w:t>
      </w:r>
      <w:r w:rsidRPr="00061D91">
        <w:t>0</w:t>
      </w:r>
      <w:r>
        <w:t>,74</w:t>
      </w:r>
      <w:r w:rsidRPr="00061D91">
        <w:t>; 9</w:t>
      </w:r>
      <w:r>
        <w:t>5 proc.</w:t>
      </w:r>
      <w:r w:rsidRPr="00061D91">
        <w:t xml:space="preserve"> PI: 0</w:t>
      </w:r>
      <w:r>
        <w:t>,</w:t>
      </w:r>
      <w:r w:rsidRPr="00061D91">
        <w:t>6</w:t>
      </w:r>
      <w:r>
        <w:t>5</w:t>
      </w:r>
      <w:r w:rsidRPr="00061D91">
        <w:t>, 0</w:t>
      </w:r>
      <w:r>
        <w:t>,85</w:t>
      </w:r>
      <w:r>
        <w:rPr>
          <w:rFonts w:eastAsia="Arial"/>
          <w:bCs/>
        </w:rPr>
        <w:t xml:space="preserve">) (antrinė vertinamoji baigtis). Visoje pacientų populiacijoje rizika </w:t>
      </w:r>
      <w:r w:rsidRPr="00181BAA">
        <w:rPr>
          <w:rFonts w:eastAsia="Arial"/>
          <w:bCs/>
        </w:rPr>
        <w:t>mirties nuo bet kokios priežasties</w:t>
      </w:r>
      <w:r>
        <w:rPr>
          <w:rFonts w:eastAsia="Arial"/>
          <w:bCs/>
        </w:rPr>
        <w:t xml:space="preserve"> sumažėjo </w:t>
      </w:r>
      <w:r>
        <w:rPr>
          <w:rFonts w:eastAsia="Arial"/>
          <w:bCs/>
          <w:lang w:val="en-US"/>
        </w:rPr>
        <w:t>20 proc. (</w:t>
      </w:r>
      <w:r>
        <w:t xml:space="preserve">RS </w:t>
      </w:r>
      <w:r w:rsidRPr="00061D91">
        <w:t>0</w:t>
      </w:r>
      <w:r>
        <w:t>,</w:t>
      </w:r>
      <w:r w:rsidRPr="00061D91">
        <w:t>80; 99</w:t>
      </w:r>
      <w:r>
        <w:t>,</w:t>
      </w:r>
      <w:r w:rsidRPr="00061D91">
        <w:t>3</w:t>
      </w:r>
      <w:r>
        <w:t xml:space="preserve"> proc.</w:t>
      </w:r>
      <w:r w:rsidRPr="00061D91">
        <w:t xml:space="preserve"> PI 0</w:t>
      </w:r>
      <w:r>
        <w:t>,</w:t>
      </w:r>
      <w:r w:rsidRPr="00061D91">
        <w:t>68, 0</w:t>
      </w:r>
      <w:r>
        <w:t>,</w:t>
      </w:r>
      <w:r w:rsidRPr="00061D91">
        <w:t>94</w:t>
      </w:r>
      <w:r>
        <w:t>, p=0,0002</w:t>
      </w:r>
      <w:r w:rsidRPr="00061D91">
        <w:t>)</w:t>
      </w:r>
      <w:r>
        <w:t xml:space="preserve"> (</w:t>
      </w:r>
      <w:r>
        <w:rPr>
          <w:rFonts w:eastAsia="Arial"/>
          <w:bCs/>
        </w:rPr>
        <w:t>antrinė vertinamoji baigtis</w:t>
      </w:r>
      <w:r>
        <w:t xml:space="preserve">), o </w:t>
      </w:r>
      <w:r>
        <w:rPr>
          <w:rFonts w:eastAsia="Arial"/>
          <w:bCs/>
        </w:rPr>
        <w:t>ligos progresavimo rizika (IBLP) – 33 proc. (</w:t>
      </w:r>
      <w:r>
        <w:t xml:space="preserve">RS </w:t>
      </w:r>
      <w:r w:rsidRPr="00061D91">
        <w:t>0</w:t>
      </w:r>
      <w:r>
        <w:t>,77</w:t>
      </w:r>
      <w:r w:rsidRPr="00061D91">
        <w:t>; 9</w:t>
      </w:r>
      <w:r>
        <w:t>5 proc.</w:t>
      </w:r>
      <w:r w:rsidRPr="00061D91">
        <w:t xml:space="preserve"> PI</w:t>
      </w:r>
      <w:r>
        <w:t xml:space="preserve"> </w:t>
      </w:r>
      <w:r w:rsidRPr="00061D91">
        <w:t>0</w:t>
      </w:r>
      <w:r>
        <w:t>,</w:t>
      </w:r>
      <w:r w:rsidRPr="00061D91">
        <w:t>6</w:t>
      </w:r>
      <w:r>
        <w:t>8</w:t>
      </w:r>
      <w:r w:rsidRPr="00061D91">
        <w:t>, 0</w:t>
      </w:r>
      <w:r>
        <w:t>,87)</w:t>
      </w:r>
      <w:r w:rsidRPr="00181BAA">
        <w:rPr>
          <w:rFonts w:eastAsia="Arial"/>
          <w:bCs/>
        </w:rPr>
        <w:t xml:space="preserve">, lyginant su </w:t>
      </w:r>
      <w:r>
        <w:rPr>
          <w:rFonts w:eastAsia="Arial"/>
          <w:bCs/>
        </w:rPr>
        <w:t xml:space="preserve">chemoterapijos </w:t>
      </w:r>
      <w:r w:rsidRPr="00181BAA">
        <w:rPr>
          <w:rFonts w:eastAsia="Arial"/>
          <w:bCs/>
        </w:rPr>
        <w:t>grupe.</w:t>
      </w:r>
    </w:p>
    <w:p w14:paraId="125176F8" w14:textId="77777777" w:rsidR="00135175" w:rsidRPr="0070376D" w:rsidRDefault="00135175" w:rsidP="00135175">
      <w:pPr>
        <w:tabs>
          <w:tab w:val="left" w:pos="426"/>
        </w:tabs>
        <w:spacing w:line="276" w:lineRule="auto"/>
        <w:jc w:val="both"/>
        <w:rPr>
          <w:rFonts w:eastAsia="Arial"/>
          <w:bCs/>
        </w:rPr>
      </w:pPr>
      <w:r>
        <w:rPr>
          <w:rFonts w:eastAsia="Arial"/>
          <w:bCs/>
        </w:rPr>
        <w:tab/>
      </w:r>
      <w:r>
        <w:rPr>
          <w:rFonts w:eastAsia="Arial"/>
          <w:bCs/>
        </w:rPr>
        <w:tab/>
      </w:r>
      <w:r w:rsidRPr="00181BAA">
        <w:rPr>
          <w:rFonts w:eastAsia="Arial"/>
          <w:bCs/>
        </w:rPr>
        <w:t xml:space="preserve">Pacientų praneštos baigtys buvo įvertintos pacientams užpildant </w:t>
      </w:r>
      <w:r w:rsidRPr="0070376D">
        <w:rPr>
          <w:rFonts w:eastAsia="Arial"/>
          <w:bCs/>
        </w:rPr>
        <w:t>FACT-Ga</w:t>
      </w:r>
      <w:r>
        <w:rPr>
          <w:rFonts w:eastAsia="Arial"/>
          <w:bCs/>
        </w:rPr>
        <w:t>,</w:t>
      </w:r>
      <w:r w:rsidRPr="0070376D">
        <w:t xml:space="preserve"> </w:t>
      </w:r>
      <w:r w:rsidRPr="0070376D">
        <w:rPr>
          <w:rFonts w:eastAsia="Arial"/>
          <w:bCs/>
        </w:rPr>
        <w:t>EQ-5D-3L</w:t>
      </w:r>
      <w:r>
        <w:rPr>
          <w:rFonts w:eastAsia="Arial"/>
          <w:bCs/>
        </w:rPr>
        <w:t xml:space="preserve"> klausimynus</w:t>
      </w:r>
      <w:r w:rsidRPr="0070376D">
        <w:rPr>
          <w:rFonts w:eastAsia="Arial"/>
          <w:bCs/>
        </w:rPr>
        <w:t xml:space="preserve"> </w:t>
      </w:r>
      <w:r w:rsidRPr="00181BAA">
        <w:rPr>
          <w:rFonts w:eastAsia="Arial"/>
          <w:bCs/>
        </w:rPr>
        <w:t xml:space="preserve">ir </w:t>
      </w:r>
      <w:r w:rsidRPr="0070376D">
        <w:rPr>
          <w:rFonts w:eastAsia="Arial"/>
          <w:bCs/>
        </w:rPr>
        <w:t>EQ vizualin</w:t>
      </w:r>
      <w:r>
        <w:rPr>
          <w:rFonts w:eastAsia="Arial"/>
          <w:bCs/>
        </w:rPr>
        <w:t>ę</w:t>
      </w:r>
      <w:r w:rsidRPr="0070376D">
        <w:rPr>
          <w:rFonts w:eastAsia="Arial"/>
          <w:bCs/>
        </w:rPr>
        <w:t xml:space="preserve"> analogin</w:t>
      </w:r>
      <w:r>
        <w:rPr>
          <w:rFonts w:eastAsia="Arial"/>
          <w:bCs/>
        </w:rPr>
        <w:t>ę</w:t>
      </w:r>
      <w:r w:rsidRPr="0070376D">
        <w:rPr>
          <w:rFonts w:eastAsia="Arial"/>
          <w:bCs/>
        </w:rPr>
        <w:t xml:space="preserve"> skal</w:t>
      </w:r>
      <w:r>
        <w:rPr>
          <w:rFonts w:eastAsia="Arial"/>
          <w:bCs/>
        </w:rPr>
        <w:t>ę</w:t>
      </w:r>
      <w:r w:rsidRPr="00181BAA">
        <w:rPr>
          <w:rFonts w:eastAsia="Arial"/>
          <w:bCs/>
        </w:rPr>
        <w:t xml:space="preserve">. </w:t>
      </w:r>
      <w:r>
        <w:rPr>
          <w:color w:val="000000"/>
        </w:rPr>
        <w:t xml:space="preserve">Nivolumabo ir chemoterapijos derinio grupės tiriamieji turėjo mažesnę simptomų pablogėjimo riziką palyginti su chemoterapijos grupės tiriamaisiais. Pagal </w:t>
      </w:r>
      <w:r w:rsidRPr="0070376D">
        <w:rPr>
          <w:rFonts w:eastAsia="Arial"/>
          <w:bCs/>
        </w:rPr>
        <w:t>EQ-5D-3L</w:t>
      </w:r>
      <w:r>
        <w:rPr>
          <w:rFonts w:eastAsia="Arial"/>
          <w:bCs/>
        </w:rPr>
        <w:t xml:space="preserve"> klausimyną, daugelyje vertinimo taškų nenustatytas reikšmingas simptomų vertinimo skirtumas, tačiau stebėta nivolumabo su chemoterapija derinio pranašumo tendencija visose laiko taškuose. </w:t>
      </w:r>
    </w:p>
    <w:p w14:paraId="5A4DC7B5" w14:textId="77777777" w:rsidR="00135175" w:rsidRPr="00181BAA" w:rsidRDefault="00135175" w:rsidP="00135175">
      <w:pPr>
        <w:tabs>
          <w:tab w:val="left" w:pos="426"/>
        </w:tabs>
        <w:spacing w:line="276" w:lineRule="auto"/>
        <w:jc w:val="both"/>
        <w:rPr>
          <w:rFonts w:eastAsia="Arial"/>
          <w:bCs/>
        </w:rPr>
      </w:pPr>
    </w:p>
    <w:p w14:paraId="74F34CC2" w14:textId="77777777" w:rsidR="00135175" w:rsidRPr="0070376D" w:rsidRDefault="00135175" w:rsidP="00135175">
      <w:pPr>
        <w:tabs>
          <w:tab w:val="left" w:pos="426"/>
        </w:tabs>
        <w:spacing w:line="276" w:lineRule="auto"/>
        <w:jc w:val="both"/>
        <w:rPr>
          <w:rFonts w:eastAsia="Arial"/>
          <w:bCs/>
          <w:i/>
          <w:iCs/>
        </w:rPr>
      </w:pPr>
      <w:r>
        <w:rPr>
          <w:rFonts w:eastAsia="Arial"/>
          <w:bCs/>
          <w:i/>
          <w:iCs/>
        </w:rPr>
        <w:tab/>
      </w:r>
      <w:r w:rsidRPr="0070376D">
        <w:rPr>
          <w:rFonts w:eastAsia="Arial"/>
          <w:bCs/>
          <w:i/>
          <w:iCs/>
        </w:rPr>
        <w:t>Netiesioginis palyginimas</w:t>
      </w:r>
    </w:p>
    <w:p w14:paraId="5BDCB660" w14:textId="1EBA128D" w:rsidR="00135175" w:rsidRPr="00926451" w:rsidRDefault="00135175" w:rsidP="00135175">
      <w:pPr>
        <w:tabs>
          <w:tab w:val="left" w:pos="426"/>
        </w:tabs>
        <w:spacing w:line="276" w:lineRule="auto"/>
        <w:jc w:val="both"/>
        <w:rPr>
          <w:bCs/>
          <w:iCs/>
          <w:color w:val="000000" w:themeColor="text1"/>
          <w:lang w:eastAsia="lt-LT"/>
        </w:rPr>
      </w:pPr>
      <w:r>
        <w:rPr>
          <w:rFonts w:eastAsia="Arial"/>
          <w:bCs/>
        </w:rPr>
        <w:tab/>
      </w:r>
      <w:r w:rsidR="003061B7">
        <w:rPr>
          <w:rFonts w:eastAsia="Arial"/>
          <w:bCs/>
        </w:rPr>
        <w:t>P</w:t>
      </w:r>
      <w:r w:rsidRPr="00181BAA">
        <w:rPr>
          <w:rFonts w:eastAsia="Arial"/>
          <w:bCs/>
        </w:rPr>
        <w:t>araiškoje pateikt</w:t>
      </w:r>
      <w:r w:rsidR="003061B7">
        <w:rPr>
          <w:rFonts w:eastAsia="Arial"/>
          <w:bCs/>
        </w:rPr>
        <w:t>oje</w:t>
      </w:r>
      <w:r w:rsidRPr="00181BAA">
        <w:rPr>
          <w:rFonts w:eastAsia="Arial"/>
          <w:bCs/>
        </w:rPr>
        <w:t xml:space="preserve"> netiesioginio palyginimo analiz</w:t>
      </w:r>
      <w:r w:rsidR="003061B7">
        <w:rPr>
          <w:rFonts w:eastAsia="Arial"/>
          <w:bCs/>
        </w:rPr>
        <w:t>ėje buvo</w:t>
      </w:r>
      <w:r w:rsidRPr="00181BAA">
        <w:rPr>
          <w:rFonts w:eastAsia="Arial"/>
          <w:bCs/>
        </w:rPr>
        <w:t xml:space="preserve"> įtraukt</w:t>
      </w:r>
      <w:r w:rsidR="003061B7">
        <w:rPr>
          <w:rFonts w:eastAsia="Arial"/>
          <w:bCs/>
        </w:rPr>
        <w:t>i</w:t>
      </w:r>
      <w:r>
        <w:rPr>
          <w:rFonts w:eastAsia="Arial"/>
          <w:bCs/>
        </w:rPr>
        <w:t xml:space="preserve"> </w:t>
      </w:r>
      <w:r w:rsidRPr="00181BAA">
        <w:rPr>
          <w:rFonts w:eastAsia="Arial"/>
          <w:bCs/>
        </w:rPr>
        <w:t xml:space="preserve"> klinikini</w:t>
      </w:r>
      <w:r w:rsidR="003061B7">
        <w:rPr>
          <w:rFonts w:eastAsia="Arial"/>
          <w:bCs/>
        </w:rPr>
        <w:t>ai</w:t>
      </w:r>
      <w:r>
        <w:rPr>
          <w:rFonts w:eastAsia="Arial"/>
          <w:bCs/>
        </w:rPr>
        <w:t xml:space="preserve"> </w:t>
      </w:r>
      <w:r w:rsidRPr="00181BAA">
        <w:rPr>
          <w:rFonts w:eastAsia="Arial"/>
          <w:bCs/>
        </w:rPr>
        <w:t>tyrima</w:t>
      </w:r>
      <w:r w:rsidR="00890BA8">
        <w:rPr>
          <w:rFonts w:eastAsia="Arial"/>
          <w:bCs/>
        </w:rPr>
        <w:t>i</w:t>
      </w:r>
      <w:r w:rsidR="003061B7">
        <w:rPr>
          <w:rFonts w:eastAsia="Arial"/>
          <w:bCs/>
        </w:rPr>
        <w:t xml:space="preserve"> (viso </w:t>
      </w:r>
      <w:r w:rsidR="003061B7" w:rsidRPr="0070376D">
        <w:rPr>
          <w:rFonts w:eastAsia="Arial"/>
          <w:bCs/>
        </w:rPr>
        <w:t>31</w:t>
      </w:r>
      <w:r w:rsidR="003061B7">
        <w:rPr>
          <w:rFonts w:eastAsia="Arial"/>
          <w:bCs/>
        </w:rPr>
        <w:t>)</w:t>
      </w:r>
      <w:r>
        <w:rPr>
          <w:rFonts w:eastAsia="Arial"/>
          <w:bCs/>
        </w:rPr>
        <w:t>,</w:t>
      </w:r>
      <w:r w:rsidRPr="00181BAA">
        <w:rPr>
          <w:rFonts w:eastAsia="Arial"/>
          <w:bCs/>
        </w:rPr>
        <w:t xml:space="preserve"> kuriuos</w:t>
      </w:r>
      <w:r>
        <w:rPr>
          <w:rFonts w:eastAsia="Arial"/>
          <w:bCs/>
        </w:rPr>
        <w:t>e</w:t>
      </w:r>
      <w:r w:rsidRPr="00181BAA">
        <w:rPr>
          <w:rFonts w:eastAsia="Arial"/>
          <w:bCs/>
        </w:rPr>
        <w:t xml:space="preserve"> buvo</w:t>
      </w:r>
      <w:r>
        <w:rPr>
          <w:rFonts w:eastAsia="Arial"/>
          <w:bCs/>
        </w:rPr>
        <w:t xml:space="preserve"> </w:t>
      </w:r>
      <w:r>
        <w:rPr>
          <w:bCs/>
          <w:iCs/>
          <w:color w:val="000000" w:themeColor="text1"/>
          <w:lang w:eastAsia="lt-LT"/>
        </w:rPr>
        <w:t xml:space="preserve">vertinta daugiau nei </w:t>
      </w:r>
      <w:r w:rsidRPr="009C5847">
        <w:rPr>
          <w:bCs/>
          <w:iCs/>
          <w:color w:val="000000" w:themeColor="text1"/>
          <w:lang w:eastAsia="lt-LT"/>
        </w:rPr>
        <w:t>50 skirti</w:t>
      </w:r>
      <w:r>
        <w:rPr>
          <w:bCs/>
          <w:iCs/>
          <w:color w:val="000000" w:themeColor="text1"/>
          <w:lang w:eastAsia="lt-LT"/>
        </w:rPr>
        <w:t>ngų vaistinių preparatų veiksmingumas (priskiriant juos vaistinių preparatų grupėms – fluorpirimidinai, platinos preparatai, taksanai, antraciklinai, topoizomerazės inhibitoriai, taikinių terapija (nivolumabas)).</w:t>
      </w:r>
      <w:r w:rsidRPr="0070376D">
        <w:rPr>
          <w:bCs/>
          <w:iCs/>
          <w:color w:val="000000" w:themeColor="text1"/>
          <w:lang w:eastAsia="lt-LT"/>
        </w:rPr>
        <w:t xml:space="preserve"> </w:t>
      </w:r>
      <w:r>
        <w:rPr>
          <w:bCs/>
          <w:iCs/>
          <w:color w:val="000000" w:themeColor="text1"/>
          <w:lang w:eastAsia="lt-LT"/>
        </w:rPr>
        <w:t xml:space="preserve">Pagrindinės vertinamosios baigtys buvo bendras išgyvenamumas ir išgyvenamumas be ligos progresavimo, šios baigtys įvertintos atitinkamai </w:t>
      </w:r>
      <w:r>
        <w:rPr>
          <w:bCs/>
          <w:iCs/>
          <w:color w:val="000000" w:themeColor="text1"/>
          <w:lang w:val="en-US" w:eastAsia="lt-LT"/>
        </w:rPr>
        <w:t xml:space="preserve">28 ir 23 tyrimuose. </w:t>
      </w:r>
      <w:r>
        <w:rPr>
          <w:rFonts w:eastAsia="Arial"/>
          <w:bCs/>
        </w:rPr>
        <w:t xml:space="preserve">Į tyrimus įtraukti pilnamečiai pacientai, didžiojoje daugumoje – sergantys vietiškai išplitusia arba metastazavusia skrandžio arba stemplės ir skrandžio jungties adenokarcinoma. Stemplės karcinoma sergantys pacientai įtraukti tik dviejuose (CheckMate 649 ir Tebbiutt </w:t>
      </w:r>
      <w:r w:rsidRPr="002E27BC">
        <w:rPr>
          <w:rFonts w:eastAsia="Arial"/>
          <w:bCs/>
        </w:rPr>
        <w:t>20</w:t>
      </w:r>
      <w:r>
        <w:rPr>
          <w:rFonts w:eastAsia="Arial"/>
          <w:bCs/>
        </w:rPr>
        <w:t>10 m.). Į netiesioginę tinklinę metaanalizę įtrauktuose tyrimuose pacientai nebuvo gydyti paliatyvi</w:t>
      </w:r>
      <w:r w:rsidR="003061B7">
        <w:rPr>
          <w:rFonts w:eastAsia="Arial"/>
          <w:bCs/>
        </w:rPr>
        <w:t>ajameta</w:t>
      </w:r>
      <w:r>
        <w:rPr>
          <w:rFonts w:eastAsia="Arial"/>
          <w:bCs/>
        </w:rPr>
        <w:t xml:space="preserve"> chemoterapija bei turėjo būti geros funkcinės būklės (ECOG </w:t>
      </w:r>
      <w:r>
        <w:rPr>
          <w:rFonts w:eastAsia="Arial"/>
          <w:bCs/>
        </w:rPr>
        <w:sym w:font="Symbol" w:char="F0A3"/>
      </w:r>
      <w:r w:rsidRPr="001A15DB">
        <w:rPr>
          <w:rFonts w:eastAsia="Arial"/>
          <w:bCs/>
        </w:rPr>
        <w:t>2</w:t>
      </w:r>
      <w:r>
        <w:rPr>
          <w:rFonts w:eastAsia="Arial"/>
          <w:bCs/>
        </w:rPr>
        <w:t xml:space="preserve">, kai kuriuose – 0 arba 1, arba Karnofsky balas </w:t>
      </w:r>
      <w:r>
        <w:rPr>
          <w:rFonts w:eastAsia="Arial"/>
          <w:bCs/>
        </w:rPr>
        <w:sym w:font="Symbol" w:char="F0B3"/>
      </w:r>
      <w:r>
        <w:rPr>
          <w:rFonts w:eastAsia="Arial"/>
          <w:bCs/>
        </w:rPr>
        <w:t xml:space="preserve"> 70 proc.). Daugelyje tyrimų nebuvo nustatyta HER</w:t>
      </w:r>
      <w:r w:rsidRPr="00EC1D1D">
        <w:rPr>
          <w:rFonts w:eastAsia="Arial"/>
          <w:bCs/>
        </w:rPr>
        <w:t>2 bei PDL rai</w:t>
      </w:r>
      <w:r>
        <w:rPr>
          <w:rFonts w:eastAsia="Arial"/>
          <w:bCs/>
        </w:rPr>
        <w:t>ška. Yamada ir kolegų (</w:t>
      </w:r>
      <w:r w:rsidRPr="00EC1D1D">
        <w:rPr>
          <w:rFonts w:eastAsia="Arial"/>
          <w:bCs/>
        </w:rPr>
        <w:t xml:space="preserve">2019 m.) </w:t>
      </w:r>
      <w:r>
        <w:rPr>
          <w:rFonts w:eastAsia="Arial"/>
          <w:bCs/>
        </w:rPr>
        <w:t>įtraukti pacientai kurių HER</w:t>
      </w:r>
      <w:r w:rsidRPr="00EC1D1D">
        <w:rPr>
          <w:rFonts w:eastAsia="Arial"/>
          <w:bCs/>
        </w:rPr>
        <w:t>2 rai</w:t>
      </w:r>
      <w:r>
        <w:rPr>
          <w:rFonts w:eastAsia="Arial"/>
          <w:bCs/>
        </w:rPr>
        <w:t>ška buvo neigiama arba nežinoma. Dėl minėtų į netiesioginio palyginimo tinklinę metaanalizę įtrauktų tyrimų populiacijų trūkumų</w:t>
      </w:r>
      <w:r w:rsidR="00DD4764">
        <w:rPr>
          <w:rFonts w:eastAsia="Arial"/>
          <w:bCs/>
        </w:rPr>
        <w:t xml:space="preserve">, </w:t>
      </w:r>
      <w:r w:rsidRPr="00926451">
        <w:rPr>
          <w:rFonts w:eastAsia="Arial"/>
          <w:bCs/>
        </w:rPr>
        <w:t>analizės rezultatų patikimum</w:t>
      </w:r>
      <w:r>
        <w:rPr>
          <w:rFonts w:eastAsia="Arial"/>
          <w:bCs/>
        </w:rPr>
        <w:t xml:space="preserve">as </w:t>
      </w:r>
      <w:r w:rsidRPr="00926451">
        <w:rPr>
          <w:rFonts w:eastAsia="Arial"/>
          <w:bCs/>
        </w:rPr>
        <w:t>pacientų populiacijoje pagal Pareiškėjo teikiamą skyrimo indikacij</w:t>
      </w:r>
      <w:r w:rsidR="00861400">
        <w:rPr>
          <w:rFonts w:eastAsia="Arial"/>
          <w:bCs/>
        </w:rPr>
        <w:t>ą</w:t>
      </w:r>
      <w:r w:rsidR="00DD4764">
        <w:rPr>
          <w:rFonts w:eastAsia="Arial"/>
          <w:bCs/>
        </w:rPr>
        <w:t>,</w:t>
      </w:r>
      <w:r>
        <w:rPr>
          <w:rFonts w:eastAsia="Arial"/>
          <w:bCs/>
        </w:rPr>
        <w:t xml:space="preserve"> laikomas ribotu.</w:t>
      </w:r>
    </w:p>
    <w:p w14:paraId="1FB89875" w14:textId="3EC04EED" w:rsidR="00202EB5" w:rsidRDefault="00135175" w:rsidP="00135175">
      <w:pPr>
        <w:tabs>
          <w:tab w:val="left" w:pos="426"/>
        </w:tabs>
        <w:spacing w:line="276" w:lineRule="auto"/>
        <w:jc w:val="both"/>
        <w:rPr>
          <w:iCs/>
        </w:rPr>
      </w:pPr>
      <w:r>
        <w:rPr>
          <w:rFonts w:eastAsia="Arial"/>
          <w:bCs/>
        </w:rPr>
        <w:tab/>
      </w:r>
      <w:r w:rsidRPr="00181BAA">
        <w:rPr>
          <w:rFonts w:eastAsia="Arial"/>
          <w:bCs/>
        </w:rPr>
        <w:t xml:space="preserve">Kadangi </w:t>
      </w:r>
      <w:r>
        <w:rPr>
          <w:rFonts w:eastAsia="Arial"/>
          <w:bCs/>
        </w:rPr>
        <w:t xml:space="preserve">CheckMate 649 (tiesioginio palyginimo dalyje pateiktas klinikinis tyrimas) </w:t>
      </w:r>
      <w:r w:rsidRPr="00181BAA">
        <w:rPr>
          <w:rFonts w:eastAsia="Arial"/>
          <w:bCs/>
        </w:rPr>
        <w:t xml:space="preserve">tyrimo duomenys pagrindžia gydymo </w:t>
      </w:r>
      <w:r>
        <w:rPr>
          <w:rFonts w:eastAsia="Arial"/>
          <w:bCs/>
        </w:rPr>
        <w:t>oksaliplatina ir kapecitabinu</w:t>
      </w:r>
      <w:r w:rsidRPr="00181BAA">
        <w:rPr>
          <w:rFonts w:eastAsia="Arial"/>
          <w:bCs/>
        </w:rPr>
        <w:t xml:space="preserve"> (vyraujantis gydymas Lietuvoje) papildymą </w:t>
      </w:r>
      <w:r>
        <w:rPr>
          <w:rFonts w:eastAsia="Arial"/>
          <w:bCs/>
        </w:rPr>
        <w:t>nivolumabu</w:t>
      </w:r>
      <w:r w:rsidRPr="00181BAA">
        <w:rPr>
          <w:rFonts w:eastAsia="Arial"/>
          <w:bCs/>
        </w:rPr>
        <w:t xml:space="preserve"> pacient</w:t>
      </w:r>
      <w:r>
        <w:rPr>
          <w:rFonts w:eastAsia="Arial"/>
          <w:bCs/>
        </w:rPr>
        <w:t>ams</w:t>
      </w:r>
      <w:r w:rsidRPr="00181BAA">
        <w:rPr>
          <w:rFonts w:eastAsia="Arial"/>
          <w:bCs/>
        </w:rPr>
        <w:t xml:space="preserve">, kuriems nustatyta </w:t>
      </w:r>
      <w:r>
        <w:rPr>
          <w:rFonts w:eastAsia="Arial"/>
          <w:bCs/>
        </w:rPr>
        <w:t>HER</w:t>
      </w:r>
      <w:r w:rsidRPr="00926451">
        <w:rPr>
          <w:rFonts w:eastAsia="Arial"/>
          <w:bCs/>
        </w:rPr>
        <w:t>2</w:t>
      </w:r>
      <w:r>
        <w:rPr>
          <w:rFonts w:eastAsia="Arial"/>
          <w:bCs/>
        </w:rPr>
        <w:t xml:space="preserve"> neigiama </w:t>
      </w:r>
      <w:r w:rsidRPr="00926451">
        <w:rPr>
          <w:rFonts w:eastAsia="Arial"/>
          <w:bCs/>
        </w:rPr>
        <w:t>vietiškai išplitusi ar metastazavusi</w:t>
      </w:r>
      <w:r>
        <w:rPr>
          <w:rFonts w:eastAsia="Arial"/>
          <w:bCs/>
        </w:rPr>
        <w:t xml:space="preserve"> </w:t>
      </w:r>
      <w:r w:rsidRPr="00926451">
        <w:rPr>
          <w:rFonts w:eastAsia="Arial"/>
          <w:bCs/>
        </w:rPr>
        <w:t>skrandžio, skrandžio ir stemplės jungties ar stemplės adenokarcinom</w:t>
      </w:r>
      <w:r>
        <w:rPr>
          <w:rFonts w:eastAsia="Arial"/>
          <w:bCs/>
        </w:rPr>
        <w:t>a</w:t>
      </w:r>
      <w:r w:rsidRPr="00926451">
        <w:rPr>
          <w:rFonts w:eastAsia="Arial"/>
          <w:bCs/>
        </w:rPr>
        <w:t>, turin</w:t>
      </w:r>
      <w:r>
        <w:rPr>
          <w:rFonts w:eastAsia="Arial"/>
          <w:bCs/>
        </w:rPr>
        <w:t>ti</w:t>
      </w:r>
      <w:r w:rsidRPr="00926451">
        <w:rPr>
          <w:rFonts w:eastAsia="Arial"/>
          <w:bCs/>
        </w:rPr>
        <w:t xml:space="preserve"> išreikštą PD-L1 ir kombinuotą teigiamą rodiklį ≥ 5</w:t>
      </w:r>
      <w:r w:rsidRPr="00181BAA">
        <w:rPr>
          <w:rFonts w:eastAsia="Arial"/>
          <w:bCs/>
        </w:rPr>
        <w:t>, įvertinus į netiesioginio palyginimo analizę įtraukt</w:t>
      </w:r>
      <w:r>
        <w:rPr>
          <w:rFonts w:eastAsia="Arial"/>
          <w:bCs/>
        </w:rPr>
        <w:t>ų</w:t>
      </w:r>
      <w:r w:rsidRPr="00181BAA">
        <w:rPr>
          <w:rFonts w:eastAsia="Arial"/>
          <w:bCs/>
        </w:rPr>
        <w:t xml:space="preserve"> klinikini</w:t>
      </w:r>
      <w:r>
        <w:rPr>
          <w:rFonts w:eastAsia="Arial"/>
          <w:bCs/>
        </w:rPr>
        <w:t>ų</w:t>
      </w:r>
      <w:r w:rsidRPr="00181BAA">
        <w:rPr>
          <w:rFonts w:eastAsia="Arial"/>
          <w:bCs/>
        </w:rPr>
        <w:t xml:space="preserve"> tyrim</w:t>
      </w:r>
      <w:r>
        <w:rPr>
          <w:rFonts w:eastAsia="Arial"/>
          <w:bCs/>
        </w:rPr>
        <w:t>ų</w:t>
      </w:r>
      <w:r w:rsidRPr="00181BAA">
        <w:rPr>
          <w:rFonts w:eastAsia="Arial"/>
          <w:bCs/>
        </w:rPr>
        <w:t xml:space="preserve"> </w:t>
      </w:r>
      <w:r>
        <w:rPr>
          <w:rFonts w:eastAsia="Arial"/>
          <w:bCs/>
        </w:rPr>
        <w:t xml:space="preserve">trūkumus, </w:t>
      </w:r>
      <w:r w:rsidRPr="00181BAA">
        <w:rPr>
          <w:rFonts w:eastAsia="Arial"/>
          <w:bCs/>
        </w:rPr>
        <w:t xml:space="preserve">nustatyta, kad netiesioginio palyginimo analizės duomenys </w:t>
      </w:r>
      <w:r>
        <w:rPr>
          <w:rFonts w:eastAsia="Arial"/>
          <w:bCs/>
        </w:rPr>
        <w:t xml:space="preserve">laikomi </w:t>
      </w:r>
      <w:r w:rsidRPr="00926451">
        <w:rPr>
          <w:iCs/>
        </w:rPr>
        <w:t>papildančiais tiesioginio palyginimo dalyje pateikto klinikinio tyrimo CheckMate 649 rezultatus</w:t>
      </w:r>
      <w:r w:rsidR="00DD4764">
        <w:rPr>
          <w:iCs/>
        </w:rPr>
        <w:t xml:space="preserve">, tačiau </w:t>
      </w:r>
      <w:r w:rsidRPr="00926451">
        <w:rPr>
          <w:iCs/>
        </w:rPr>
        <w:t xml:space="preserve">teikiant išvadas apie vaistinio preparato </w:t>
      </w:r>
      <w:r w:rsidR="00202EB5">
        <w:rPr>
          <w:iCs/>
        </w:rPr>
        <w:t>veiksmingumą</w:t>
      </w:r>
      <w:r w:rsidRPr="00926451">
        <w:rPr>
          <w:iCs/>
        </w:rPr>
        <w:t>, remiamasi tiesioginio palyginimo tyrimo rezultatais.</w:t>
      </w:r>
    </w:p>
    <w:p w14:paraId="6A0080A5" w14:textId="042B6A62" w:rsidR="00135175" w:rsidRPr="007E037F" w:rsidRDefault="00202EB5" w:rsidP="007E037F">
      <w:pPr>
        <w:tabs>
          <w:tab w:val="left" w:pos="426"/>
        </w:tabs>
        <w:spacing w:line="276" w:lineRule="auto"/>
        <w:jc w:val="both"/>
        <w:rPr>
          <w:rFonts w:eastAsia="Arial"/>
          <w:bCs/>
        </w:rPr>
      </w:pPr>
      <w:r>
        <w:rPr>
          <w:iCs/>
        </w:rPr>
        <w:tab/>
        <w:t xml:space="preserve">Apibendrinus </w:t>
      </w:r>
      <w:r w:rsidR="003061B7">
        <w:rPr>
          <w:iCs/>
        </w:rPr>
        <w:t xml:space="preserve">palyginamojo </w:t>
      </w:r>
      <w:r>
        <w:rPr>
          <w:iCs/>
        </w:rPr>
        <w:t xml:space="preserve">veiksmingumo vertinimui aktualius duomenis, pateiktus tiesioginio palyginimo </w:t>
      </w:r>
      <w:r w:rsidR="003061B7">
        <w:rPr>
          <w:iCs/>
        </w:rPr>
        <w:t xml:space="preserve">tyrime </w:t>
      </w:r>
      <w:r>
        <w:rPr>
          <w:rFonts w:eastAsia="Arial"/>
          <w:bCs/>
        </w:rPr>
        <w:t>CheckMate 649</w:t>
      </w:r>
      <w:r w:rsidR="003061B7">
        <w:rPr>
          <w:rFonts w:eastAsia="Arial"/>
          <w:bCs/>
        </w:rPr>
        <w:t xml:space="preserve"> nustatyta</w:t>
      </w:r>
      <w:r>
        <w:rPr>
          <w:rFonts w:eastAsia="Arial"/>
          <w:bCs/>
        </w:rPr>
        <w:t>, jog</w:t>
      </w:r>
      <w:r w:rsidR="007E037F">
        <w:rPr>
          <w:rFonts w:eastAsia="Arial"/>
          <w:bCs/>
        </w:rPr>
        <w:t xml:space="preserve"> gydant HER2 neigiamą</w:t>
      </w:r>
      <w:r w:rsidR="007E037F" w:rsidRPr="007E037F">
        <w:rPr>
          <w:rFonts w:eastAsia="Arial"/>
          <w:bCs/>
        </w:rPr>
        <w:t xml:space="preserve"> vietiškai išplit</w:t>
      </w:r>
      <w:r w:rsidR="007E037F">
        <w:rPr>
          <w:rFonts w:eastAsia="Arial"/>
          <w:bCs/>
        </w:rPr>
        <w:t>usią ar metastazavusią</w:t>
      </w:r>
      <w:r w:rsidR="007E037F" w:rsidRPr="007E037F">
        <w:rPr>
          <w:rFonts w:eastAsia="Arial"/>
          <w:bCs/>
        </w:rPr>
        <w:t xml:space="preserve"> skrandžio, skrandžio ir stemplės jung</w:t>
      </w:r>
      <w:r w:rsidR="007E037F">
        <w:rPr>
          <w:rFonts w:eastAsia="Arial"/>
          <w:bCs/>
        </w:rPr>
        <w:t>ties ar stemplės adenokarcinomą, turinčią</w:t>
      </w:r>
      <w:r w:rsidR="007E037F" w:rsidRPr="007E037F">
        <w:rPr>
          <w:rFonts w:eastAsia="Arial"/>
          <w:bCs/>
        </w:rPr>
        <w:t xml:space="preserve"> išreikštą PD-L1</w:t>
      </w:r>
      <w:r w:rsidR="007E037F">
        <w:rPr>
          <w:rFonts w:eastAsia="Arial"/>
          <w:bCs/>
        </w:rPr>
        <w:t xml:space="preserve"> ir kombinuotą teigiamą rodiklį</w:t>
      </w:r>
      <w:r w:rsidR="007E037F" w:rsidRPr="007E037F">
        <w:rPr>
          <w:rFonts w:eastAsia="Arial"/>
          <w:bCs/>
        </w:rPr>
        <w:t xml:space="preserve"> ≥ 5</w:t>
      </w:r>
      <w:r w:rsidR="007E037F">
        <w:rPr>
          <w:rFonts w:eastAsia="Arial"/>
          <w:bCs/>
        </w:rPr>
        <w:t>, nivolumabo ir chemoterapijos</w:t>
      </w:r>
      <w:r w:rsidR="007E037F" w:rsidRPr="007E037F">
        <w:rPr>
          <w:rFonts w:eastAsia="Arial"/>
          <w:bCs/>
        </w:rPr>
        <w:t xml:space="preserve"> fluoro</w:t>
      </w:r>
      <w:r w:rsidR="007E037F">
        <w:rPr>
          <w:rFonts w:eastAsia="Arial"/>
          <w:bCs/>
        </w:rPr>
        <w:t>pirimidinu bei platinos preparatais derinio</w:t>
      </w:r>
      <w:r w:rsidR="007E037F" w:rsidRPr="007E037F">
        <w:rPr>
          <w:rFonts w:eastAsia="Arial"/>
          <w:bCs/>
        </w:rPr>
        <w:t xml:space="preserve"> </w:t>
      </w:r>
      <w:r w:rsidR="007E037F">
        <w:rPr>
          <w:rFonts w:eastAsia="Arial"/>
          <w:bCs/>
        </w:rPr>
        <w:t xml:space="preserve">palyginamasis veiksmingumas yra didesnis lyginant su įprasta Lietuvos klinikine praktika (t.y. </w:t>
      </w:r>
      <w:r w:rsidR="007E037F" w:rsidRPr="007E037F">
        <w:rPr>
          <w:rFonts w:eastAsia="Arial"/>
          <w:bCs/>
        </w:rPr>
        <w:t>chemoterapija fluoro</w:t>
      </w:r>
      <w:r w:rsidR="007E037F">
        <w:rPr>
          <w:rFonts w:eastAsia="Arial"/>
          <w:bCs/>
        </w:rPr>
        <w:t>pirimidu ir platinos preparatu).</w:t>
      </w:r>
      <w:r w:rsidR="007E037F" w:rsidRPr="007E037F">
        <w:rPr>
          <w:rFonts w:eastAsia="Arial"/>
          <w:bCs/>
        </w:rPr>
        <w:t xml:space="preserve"> </w:t>
      </w:r>
    </w:p>
    <w:p w14:paraId="25F89291" w14:textId="5C45C8FC" w:rsidR="00D4485B" w:rsidRPr="00E33EFF" w:rsidRDefault="00D4485B"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2A42DC6B" w14:textId="77777777" w:rsidR="00BA6A88" w:rsidRDefault="00BA6A88" w:rsidP="00BA6A88">
      <w:pPr>
        <w:shd w:val="clear" w:color="auto" w:fill="FFFFFF"/>
        <w:spacing w:line="276" w:lineRule="auto"/>
        <w:jc w:val="both"/>
        <w:rPr>
          <w:rFonts w:eastAsia="Arial"/>
        </w:rPr>
      </w:pPr>
    </w:p>
    <w:p w14:paraId="0D3BEB8D" w14:textId="77777777" w:rsidR="00BE3577" w:rsidRPr="00BC168F" w:rsidRDefault="00BE3577" w:rsidP="00BE3577">
      <w:pPr>
        <w:pStyle w:val="ListParagraph"/>
        <w:spacing w:line="276" w:lineRule="auto"/>
        <w:ind w:left="0" w:firstLine="540"/>
        <w:contextualSpacing w:val="0"/>
        <w:jc w:val="both"/>
      </w:pPr>
      <w:r w:rsidRPr="00BC168F">
        <w:rPr>
          <w:lang w:eastAsia="lt-LT"/>
        </w:rPr>
        <w:t>Į ekonominę analizę įtraukti pacientai atitinka kompensacijai teikiamas terapines indikacijas:</w:t>
      </w:r>
      <w:r w:rsidRPr="00BC168F">
        <w:t xml:space="preserve"> Opdivo derinys su sudėtine chemoterapija fluoropirimidino ir platinos preparato pagrindu yra skirtas suaugusių pacientų 2-ojo žmogaus epidermio augimo faktoriaus receptoriaus (angl. human epidermal growth factor receptor 2, HER2) neigiamos vietiškai išplitusios ar metastazavusios skrandžio, skrandžio ir stemplės jungties ar stemplės adenokarcinomos, turinčios išreikštą PD-L1 ir kombinuotą teigiamą rodiklį (angl. combined positive score, CPS) ≥ 5, pirmaeiliam gydymui.</w:t>
      </w:r>
    </w:p>
    <w:p w14:paraId="4EC84754" w14:textId="77777777" w:rsidR="00BE3577" w:rsidRDefault="00BE3577" w:rsidP="00BE3577">
      <w:pPr>
        <w:pStyle w:val="ListParagraph"/>
        <w:spacing w:line="276" w:lineRule="auto"/>
        <w:ind w:left="0" w:firstLine="540"/>
        <w:contextualSpacing w:val="0"/>
        <w:jc w:val="both"/>
      </w:pPr>
      <w:r w:rsidRPr="00BC168F">
        <w:rPr>
          <w:rFonts w:eastAsia="Arial"/>
          <w:bCs/>
        </w:rPr>
        <w:t xml:space="preserve">Vadovaujantis kompensuojamųjų vaistų Tvarkos aprašo 116.1 punktu, tinkamas palyginamasis gydymas skrandžio, stremplės ir GEJ navikams yra </w:t>
      </w:r>
      <w:r w:rsidRPr="00BC168F">
        <w:t>oksaliplatinos ir kapecitabino derinys (XELOX) ir oksaliplatinos, folino rūgšties ir 5-FU derinys (FOLFOX). Modelyje nivolumabas su XELOX arba FOLFOX laikomas viena intervencija, nes CM-649 klinikinio tyrimo pacientų pogrupiuose, gaunančiuose XELOX ir FOLFOX gydymo režimus, nebuvo nustatyta reikšmingo gydymo efektyvumo skirtumo.</w:t>
      </w:r>
    </w:p>
    <w:p w14:paraId="746549D0" w14:textId="77777777" w:rsidR="00BE3577" w:rsidRPr="003716ED" w:rsidRDefault="00BE3577" w:rsidP="00BE3577">
      <w:pPr>
        <w:pStyle w:val="ListParagraph"/>
        <w:spacing w:line="276" w:lineRule="auto"/>
        <w:ind w:left="0" w:firstLine="540"/>
        <w:contextualSpacing w:val="0"/>
        <w:jc w:val="both"/>
      </w:pPr>
      <w:r w:rsidRPr="00BC168F">
        <w:rPr>
          <w:bCs/>
          <w:lang w:eastAsia="lt-LT"/>
        </w:rPr>
        <w:t xml:space="preserve">Pareiškėjo taikomas </w:t>
      </w:r>
      <w:r w:rsidRPr="00BC168F">
        <w:t xml:space="preserve">padalintos kohortos išgyvenamumo trijų sveikatos būklių (liga be progresavimo, progresuojanti liga ir mirtis) modelis yra plačiai taikomas sveikatos technologijų vertinimo praktikoje onkologinių ligų KNA modeliavimui ir yra tinkamas ir priimtinas. </w:t>
      </w:r>
    </w:p>
    <w:p w14:paraId="6CCDAAC5" w14:textId="77777777" w:rsidR="00BE3577" w:rsidRDefault="00BE3577" w:rsidP="00BE3577">
      <w:pPr>
        <w:spacing w:line="276" w:lineRule="auto"/>
        <w:jc w:val="both"/>
      </w:pPr>
      <w:r w:rsidRPr="00BC168F">
        <w:t>KNA taikoma 25 m. laiko perspektyva. Laikoma, kad tai yra pakankamas laikotarpis sveikatai sukuriamos naudos ir kaštų efektyvumui įvertinti (atsižvelgiant į vietiškai išplitusios ar metastazavusios skrandžio, skrandžio ir stemplės jungties ar stemplės adenokarcinomos pacientų išgyvenamumą laikoma, kad apims viso gyvenimo laiko perspektyvą).</w:t>
      </w:r>
    </w:p>
    <w:p w14:paraId="291D2B4C" w14:textId="77777777" w:rsidR="00BE3577" w:rsidRDefault="00BE3577" w:rsidP="00BE3577">
      <w:pPr>
        <w:spacing w:line="276" w:lineRule="auto"/>
        <w:ind w:firstLine="540"/>
        <w:jc w:val="both"/>
      </w:pPr>
      <w:r w:rsidRPr="00BC168F">
        <w:rPr>
          <w:bCs/>
          <w:lang w:eastAsia="lt-LT"/>
        </w:rPr>
        <w:t xml:space="preserve">Laikoma, kad </w:t>
      </w:r>
      <w:r w:rsidRPr="00BC168F">
        <w:rPr>
          <w:lang w:eastAsia="lt-LT"/>
        </w:rPr>
        <w:t xml:space="preserve">Pareiškėjo taikomos prielaidos, vertinant efektyvumo skirtumus tarp siūlomo ir palyginamojo gydymo ilgajame laikotarpyje yra pagrįstos. Tarnyba sutinka su IBLP duomenų ekstrapoliacijai taikomu modeliavimu, tačiau vertina, kad </w:t>
      </w:r>
      <w:r w:rsidRPr="00BC168F">
        <w:t>laiko iki gydymo nutraukimo kreivės tiksliausiai atspindi gydymo trukmės duomenis KNA, atsižvelgiant, kad vaistai gali būti skiriami ir ligai progresavus, o vidutinis dozių skaičius neatsižvelgia į laiko dimensiją, t.y. neatskleidžia gydymo intensyvumo skirtingais laiko momentais, neatsižvelgia į dozių mažinimus ar pertraukimus ir kt. modeliuojamo laiko perspektyvoje. BI duomenų ekstrapoliacijai Tarnyba taiko bendrą (angl. single model with treatment coefficient) abiejų gydymo grupių modeliavimą, vertinant, kad vien biologinis skirtumas (skirtingas veikimo mechanizmas) nėra pakankamas veiksnys ignoruoti statistiškai patvirtintą modelio tinkamumą.</w:t>
      </w:r>
    </w:p>
    <w:p w14:paraId="5F12D375" w14:textId="61F3F63B" w:rsidR="00BE3577" w:rsidRDefault="00BE3577" w:rsidP="00BE3577">
      <w:pPr>
        <w:spacing w:line="276" w:lineRule="auto"/>
        <w:ind w:firstLine="540"/>
        <w:jc w:val="both"/>
      </w:pPr>
      <w:r w:rsidRPr="00BC168F">
        <w:t xml:space="preserve">Modelyje taikoma prielaida, kad gydymas nivolumabu bus tęsiamas maksimaliai iki  </w:t>
      </w:r>
      <w:r w:rsidR="003B5E91">
        <w:t>***</w:t>
      </w:r>
      <w:r w:rsidRPr="00BC168F">
        <w:t xml:space="preserve"> mėn. (</w:t>
      </w:r>
      <w:r w:rsidR="003B5E91">
        <w:rPr>
          <w:iCs/>
          <w:lang w:eastAsia="lt-LT"/>
        </w:rPr>
        <w:t>***</w:t>
      </w:r>
      <w:r w:rsidRPr="00BC168F">
        <w:rPr>
          <w:iCs/>
          <w:lang w:eastAsia="lt-LT"/>
        </w:rPr>
        <w:t xml:space="preserve"> modelio ciklai, </w:t>
      </w:r>
      <w:r w:rsidRPr="00BC168F">
        <w:t xml:space="preserve">atsižvelgiant, kad klinikiniame tyrime CM-649 pacientams gydymo grupėje nivolumabas + chemoterapija taip pat buvo skiriama iki </w:t>
      </w:r>
      <w:r w:rsidR="003B5E91">
        <w:t>***</w:t>
      </w:r>
      <w:r w:rsidRPr="00BC168F">
        <w:t xml:space="preserve"> mėn.). Tarnyba atkreipia dėmesį, kad Pareiškėjas modelyje neįtraukia gydymo efekto nutraukimo prielaidos. Tarnyba vertina, kad nėra tikėtina, kad gydymo efektas išliks pastovus visoje gyvenimo laiko perspektyvoje (</w:t>
      </w:r>
      <w:r w:rsidR="003B5E91">
        <w:t>***</w:t>
      </w:r>
      <w:r w:rsidRPr="00BC168F">
        <w:t xml:space="preserve"> m.), atsižvelgiant, kad gydymas nivolumabu yra nutraukiamas (nivolumabas skiriamas ne daugiau nei </w:t>
      </w:r>
      <w:r w:rsidR="003B5E91">
        <w:t>***</w:t>
      </w:r>
      <w:r w:rsidRPr="00BC168F">
        <w:t xml:space="preserve"> mėn.). Gydymo efekto nutraukimo prielaidos įtaka ICER lieka neaiški.</w:t>
      </w:r>
    </w:p>
    <w:p w14:paraId="704708F7" w14:textId="77777777" w:rsidR="00BE3577" w:rsidRDefault="00BE3577" w:rsidP="00BE3577">
      <w:pPr>
        <w:spacing w:line="276" w:lineRule="auto"/>
        <w:ind w:firstLine="540"/>
        <w:jc w:val="both"/>
      </w:pPr>
      <w:r w:rsidRPr="00BC168F">
        <w:t xml:space="preserve">Sveikatai sukuriama nauda buvo vertinama pagal su sveikata susijusią gyvenimo kokybę (angl. </w:t>
      </w:r>
      <w:r w:rsidRPr="00BC168F">
        <w:rPr>
          <w:iCs/>
        </w:rPr>
        <w:t xml:space="preserve">Health realated quality of life, </w:t>
      </w:r>
      <w:r w:rsidRPr="00BC168F">
        <w:t>HRQoL), kuri buvo įvertinta klinikiniame tyrime CM-649, naudojant EuroQoL EQ-5D-3L klausimyną</w:t>
      </w:r>
      <w:r w:rsidRPr="00BC168F">
        <w:rPr>
          <w:color w:val="000000"/>
          <w:lang w:eastAsia="lt-LT"/>
        </w:rPr>
        <w:t xml:space="preserve">. </w:t>
      </w:r>
      <w:r w:rsidRPr="00BC168F">
        <w:t xml:space="preserve">Pareiškėjo duomenimis, buvo atliktos dviejų tipų analizės siekiant gauti gyvenimo kokybės įverčius iš CM-649 tyrimo: aprašomoji analizė ir tiesinių mišrių modelių (angl. </w:t>
      </w:r>
      <w:r w:rsidRPr="00BC168F">
        <w:rPr>
          <w:i/>
        </w:rPr>
        <w:t>linear mixed model, LMM)</w:t>
      </w:r>
      <w:r w:rsidRPr="00BC168F">
        <w:t>. Tarnyba įprastinėje atvejo analizėje taiko LMM metodą gyvenimo kokybės įverčių nustatymui, kadangi LMM metodas yra dažniau naudojamas (standartinis) sveikatos technologijų vertinimo (HTA) praktikoje taikomų gyvenimo kokybės įverčių nustatymui, dėl geresnio atitikimo duomenų struktūrai (pakartotiniai matavimai), griežtesnio statistinio pagrindimo (statistinė galia didesnė), gebėjimo geriau valdyti trūkstamus duomenis. Atsižvelgiant, kad statistiškai reikšmingų skirtumų priklausomai nuo taikomo gydymo nenustatyta, sveikatos būklėse abiems gydymo grupėms taikomi tie patys įverčiai.</w:t>
      </w:r>
      <w:r w:rsidRPr="00BC168F">
        <w:rPr>
          <w:lang w:eastAsia="lt-LT"/>
        </w:rPr>
        <w:t xml:space="preserve"> </w:t>
      </w:r>
    </w:p>
    <w:p w14:paraId="702FE749" w14:textId="77777777" w:rsidR="00BE3577" w:rsidRDefault="00BE3577" w:rsidP="00BE3577">
      <w:pPr>
        <w:spacing w:line="276" w:lineRule="auto"/>
        <w:ind w:firstLine="540"/>
        <w:jc w:val="both"/>
      </w:pPr>
      <w:r w:rsidRPr="00BC168F">
        <w:rPr>
          <w:color w:val="000000"/>
          <w:lang w:eastAsia="lt-LT"/>
        </w:rPr>
        <w:t xml:space="preserve">Pareiškėjas gyvenimo kokybės įverčius konvertuoja taikant Kanados populiacijos įverčių reikšmes, Tarnyba nepritaria ir atkreipia dėmesį, kad neturint Lietuvos duomenų įprastai yra taikomos Jungtinės Karalystės populiacijos naudingumo reikšmių rinkiniai, be to Pareiškėjas nepateikė alternatyvių gyvenimo kokybės įverčių pacientams sergantiems </w:t>
      </w:r>
      <w:r w:rsidRPr="00BC168F">
        <w:t xml:space="preserve">vietiškai išplitusios ar metastazavusios skrandžio, skrandžio ir stemplės jungties ar stemplės adenokarcinoma, </w:t>
      </w:r>
      <w:r w:rsidRPr="00BC168F">
        <w:rPr>
          <w:color w:val="000000"/>
          <w:lang w:eastAsia="lt-LT"/>
        </w:rPr>
        <w:t xml:space="preserve">todėl Tarnyba negali įvertinti KNA taikomų gyvenimo kokybės įverčių tinkamumo. </w:t>
      </w:r>
    </w:p>
    <w:p w14:paraId="78C8C996" w14:textId="77777777" w:rsidR="00BE3577" w:rsidRDefault="00BE3577" w:rsidP="00BE3577">
      <w:pPr>
        <w:spacing w:line="276" w:lineRule="auto"/>
        <w:ind w:firstLine="540"/>
        <w:jc w:val="both"/>
      </w:pPr>
      <w:r w:rsidRPr="00BC168F">
        <w:t xml:space="preserve">Analizė atlikta iš PSDF biudžeto perspektyvos, įtraukti tiesiogiai su sveikatos sistema susiję kaštai. </w:t>
      </w:r>
      <w:r w:rsidRPr="00BC168F">
        <w:rPr>
          <w:iCs/>
          <w:lang w:eastAsia="lt-LT"/>
        </w:rPr>
        <w:t>Pareiškėjas KNA įtraukia vaistinių preparatų įsigijimo, skyrimo ir stebėsenos, nepageidaujamo poveikio ir gyvenimo pabaigos kaštus.</w:t>
      </w:r>
      <w:r w:rsidRPr="00741DFE">
        <w:t xml:space="preserve"> Tarnyba vertina, kad kaštai ekonominėje analizėje apskaičiuoti ir įtraukti tinkamai. Tarnybai kilo klausimų dėl KNA taikomų išteklių dažnio pagrindimo.</w:t>
      </w:r>
    </w:p>
    <w:p w14:paraId="253FC4C2" w14:textId="2D1F61F7" w:rsidR="005A420C" w:rsidRDefault="00BE3577" w:rsidP="005A420C">
      <w:pPr>
        <w:spacing w:line="276" w:lineRule="auto"/>
        <w:ind w:firstLine="540"/>
        <w:jc w:val="both"/>
        <w:rPr>
          <w:lang w:eastAsia="lt-LT"/>
        </w:rPr>
      </w:pPr>
      <w:r w:rsidRPr="005A420C">
        <w:rPr>
          <w:rFonts w:eastAsia="Arial"/>
        </w:rPr>
        <w:t xml:space="preserve">Galutiniais ekonominės analizės rezultatais, Opdivo lyginant su įprastiniu gydymu sveikatai sukuriama papildoma nauda (inkrementiniai QALYS – </w:t>
      </w:r>
      <w:r w:rsidR="003B5E91">
        <w:rPr>
          <w:rFonts w:eastAsia="Arial"/>
        </w:rPr>
        <w:t>***</w:t>
      </w:r>
      <w:r w:rsidRPr="005A420C">
        <w:rPr>
          <w:rFonts w:eastAsia="Arial"/>
        </w:rPr>
        <w:t xml:space="preserve">), </w:t>
      </w:r>
      <w:r w:rsidRPr="005A420C">
        <w:t xml:space="preserve">o gydymo Opdivo kaštai yra </w:t>
      </w:r>
      <w:r w:rsidR="003B5E91">
        <w:rPr>
          <w:lang w:eastAsia="lt-LT"/>
        </w:rPr>
        <w:t xml:space="preserve">**** </w:t>
      </w:r>
      <w:r w:rsidRPr="005A420C">
        <w:t>didesni nei standartinio šiuo metu Lietuvoje taikomo gydymo.</w:t>
      </w:r>
      <w:r w:rsidRPr="005A420C">
        <w:rPr>
          <w:lang w:eastAsia="lt-LT"/>
        </w:rPr>
        <w:t xml:space="preserve"> Apskaičiuotas ICER –</w:t>
      </w:r>
      <w:r w:rsidR="003B5E91">
        <w:rPr>
          <w:lang w:eastAsia="lt-LT"/>
        </w:rPr>
        <w:t>****</w:t>
      </w:r>
      <w:r w:rsidRPr="005A420C">
        <w:rPr>
          <w:color w:val="000000"/>
        </w:rPr>
        <w:t>Eur./QALY</w:t>
      </w:r>
      <w:r w:rsidRPr="005A420C">
        <w:rPr>
          <w:color w:val="000000"/>
          <w:lang w:eastAsia="lt-LT"/>
        </w:rPr>
        <w:t xml:space="preserve"> (lentelė 15.1.1) </w:t>
      </w:r>
      <w:r w:rsidRPr="005A420C">
        <w:rPr>
          <w:lang w:eastAsia="lt-LT"/>
        </w:rPr>
        <w:t xml:space="preserve">ir atitinka sunkiai ligos naštai taikomą referencinę kaštų naudingumo vertę </w:t>
      </w:r>
      <w:r w:rsidR="003B5E91">
        <w:rPr>
          <w:lang w:eastAsia="lt-LT"/>
        </w:rPr>
        <w:t xml:space="preserve"> ******</w:t>
      </w:r>
      <w:r w:rsidRPr="005A420C">
        <w:rPr>
          <w:lang w:eastAsia="lt-LT"/>
        </w:rPr>
        <w:t>Eur.).</w:t>
      </w:r>
    </w:p>
    <w:p w14:paraId="047162F7" w14:textId="7188E3A9" w:rsidR="003133DA" w:rsidRDefault="003133DA" w:rsidP="005A420C">
      <w:pPr>
        <w:spacing w:line="276" w:lineRule="auto"/>
        <w:ind w:firstLine="540"/>
        <w:jc w:val="both"/>
        <w:rPr>
          <w:lang w:eastAsia="lt-LT"/>
        </w:rPr>
      </w:pPr>
    </w:p>
    <w:p w14:paraId="4CA9E5BA" w14:textId="77777777" w:rsidR="003133DA" w:rsidRDefault="003133DA" w:rsidP="003133DA">
      <w:pPr>
        <w:tabs>
          <w:tab w:val="left" w:pos="426"/>
        </w:tabs>
        <w:rPr>
          <w:b/>
          <w:lang w:eastAsia="lt-LT"/>
        </w:rPr>
      </w:pPr>
      <w:r>
        <w:rPr>
          <w:b/>
          <w:lang w:eastAsia="lt-LT"/>
        </w:rPr>
        <w:t>3.1 Ekonominės analizės rezultatas</w:t>
      </w:r>
    </w:p>
    <w:p w14:paraId="2CDEEAEF" w14:textId="77777777" w:rsidR="003133DA" w:rsidRDefault="003133DA" w:rsidP="003133DA">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133DA" w14:paraId="192E038D" w14:textId="77777777" w:rsidTr="003133DA">
        <w:trPr>
          <w:trHeight w:val="344"/>
          <w:jc w:val="center"/>
        </w:trPr>
        <w:tc>
          <w:tcPr>
            <w:tcW w:w="9439" w:type="dxa"/>
            <w:gridSpan w:val="2"/>
            <w:tcBorders>
              <w:top w:val="single" w:sz="12" w:space="0" w:color="auto"/>
              <w:left w:val="single" w:sz="4" w:space="0" w:color="auto"/>
              <w:bottom w:val="single" w:sz="4" w:space="0" w:color="auto"/>
              <w:right w:val="single" w:sz="4" w:space="0" w:color="auto"/>
            </w:tcBorders>
            <w:vAlign w:val="center"/>
            <w:hideMark/>
          </w:tcPr>
          <w:p w14:paraId="7EE7AEE8" w14:textId="77777777" w:rsidR="003133DA" w:rsidRDefault="003133DA">
            <w:pPr>
              <w:tabs>
                <w:tab w:val="left" w:pos="567"/>
              </w:tabs>
              <w:jc w:val="center"/>
              <w:rPr>
                <w:b/>
                <w:bCs/>
                <w:sz w:val="26"/>
                <w:szCs w:val="26"/>
                <w:lang w:eastAsia="lt-LT"/>
              </w:rPr>
            </w:pPr>
            <w:r>
              <w:rPr>
                <w:b/>
                <w:bCs/>
                <w:sz w:val="26"/>
                <w:szCs w:val="26"/>
                <w:lang w:eastAsia="lt-LT"/>
              </w:rPr>
              <w:t>Rezultatai</w:t>
            </w:r>
          </w:p>
        </w:tc>
      </w:tr>
      <w:tr w:rsidR="003133DA" w14:paraId="1309E88F" w14:textId="77777777" w:rsidTr="003133DA">
        <w:trPr>
          <w:trHeight w:val="267"/>
          <w:jc w:val="center"/>
        </w:trPr>
        <w:tc>
          <w:tcPr>
            <w:tcW w:w="6200" w:type="dxa"/>
            <w:tcBorders>
              <w:top w:val="single" w:sz="4" w:space="0" w:color="auto"/>
              <w:left w:val="single" w:sz="4" w:space="0" w:color="auto"/>
              <w:bottom w:val="single" w:sz="4" w:space="0" w:color="auto"/>
              <w:right w:val="single" w:sz="4" w:space="0" w:color="auto"/>
            </w:tcBorders>
            <w:hideMark/>
          </w:tcPr>
          <w:p w14:paraId="154B0913" w14:textId="77777777" w:rsidR="003133DA" w:rsidRDefault="003133DA">
            <w:pPr>
              <w:tabs>
                <w:tab w:val="left" w:pos="567"/>
              </w:tabs>
              <w:jc w:val="right"/>
              <w:rPr>
                <w:iCs/>
                <w:lang w:eastAsia="lt-LT"/>
              </w:rPr>
            </w:pPr>
            <w:r>
              <w:rPr>
                <w:iCs/>
                <w:lang w:eastAsia="lt-LT"/>
              </w:rPr>
              <w:t>Kaštų skirtumas</w:t>
            </w:r>
          </w:p>
        </w:tc>
        <w:tc>
          <w:tcPr>
            <w:tcW w:w="3239" w:type="dxa"/>
            <w:tcBorders>
              <w:top w:val="single" w:sz="4" w:space="0" w:color="auto"/>
              <w:left w:val="single" w:sz="4" w:space="0" w:color="auto"/>
              <w:bottom w:val="single" w:sz="4" w:space="0" w:color="auto"/>
              <w:right w:val="single" w:sz="4" w:space="0" w:color="auto"/>
            </w:tcBorders>
            <w:hideMark/>
          </w:tcPr>
          <w:p w14:paraId="7AA7D100" w14:textId="6F3881D5" w:rsidR="003133DA" w:rsidRDefault="003B5E91">
            <w:pPr>
              <w:tabs>
                <w:tab w:val="left" w:pos="567"/>
              </w:tabs>
              <w:jc w:val="both"/>
              <w:rPr>
                <w:iCs/>
                <w:lang w:eastAsia="lt-LT"/>
              </w:rPr>
            </w:pPr>
            <w:r>
              <w:t>***</w:t>
            </w:r>
          </w:p>
        </w:tc>
      </w:tr>
      <w:tr w:rsidR="003133DA" w14:paraId="0A567AF0" w14:textId="77777777" w:rsidTr="003133DA">
        <w:trPr>
          <w:trHeight w:val="267"/>
          <w:jc w:val="center"/>
        </w:trPr>
        <w:tc>
          <w:tcPr>
            <w:tcW w:w="6200" w:type="dxa"/>
            <w:tcBorders>
              <w:top w:val="single" w:sz="4" w:space="0" w:color="auto"/>
              <w:left w:val="single" w:sz="4" w:space="0" w:color="auto"/>
              <w:bottom w:val="single" w:sz="4" w:space="0" w:color="auto"/>
              <w:right w:val="single" w:sz="4" w:space="0" w:color="auto"/>
            </w:tcBorders>
            <w:hideMark/>
          </w:tcPr>
          <w:p w14:paraId="7E2B7DA7" w14:textId="77777777" w:rsidR="003133DA" w:rsidRDefault="003133DA">
            <w:pPr>
              <w:tabs>
                <w:tab w:val="left" w:pos="567"/>
              </w:tabs>
              <w:jc w:val="right"/>
              <w:rPr>
                <w:iCs/>
                <w:lang w:eastAsia="lt-LT"/>
              </w:rPr>
            </w:pPr>
            <w:r>
              <w:rPr>
                <w:iCs/>
                <w:lang w:eastAsia="lt-LT"/>
              </w:rPr>
              <w:t>Papildomi gyvenimo metai (LY)</w:t>
            </w:r>
          </w:p>
        </w:tc>
        <w:tc>
          <w:tcPr>
            <w:tcW w:w="3239" w:type="dxa"/>
            <w:tcBorders>
              <w:top w:val="single" w:sz="4" w:space="0" w:color="auto"/>
              <w:left w:val="single" w:sz="4" w:space="0" w:color="auto"/>
              <w:bottom w:val="single" w:sz="4" w:space="0" w:color="auto"/>
              <w:right w:val="single" w:sz="4" w:space="0" w:color="auto"/>
            </w:tcBorders>
            <w:hideMark/>
          </w:tcPr>
          <w:p w14:paraId="65806959" w14:textId="3FF649DA" w:rsidR="003133DA" w:rsidRDefault="003B5E91">
            <w:pPr>
              <w:jc w:val="both"/>
            </w:pPr>
            <w:r>
              <w:t>***</w:t>
            </w:r>
          </w:p>
        </w:tc>
      </w:tr>
      <w:tr w:rsidR="003B5E91" w14:paraId="3DE92BA7" w14:textId="77777777" w:rsidTr="003133DA">
        <w:trPr>
          <w:trHeight w:val="267"/>
          <w:jc w:val="center"/>
        </w:trPr>
        <w:tc>
          <w:tcPr>
            <w:tcW w:w="6200" w:type="dxa"/>
            <w:tcBorders>
              <w:top w:val="single" w:sz="4" w:space="0" w:color="auto"/>
              <w:left w:val="single" w:sz="4" w:space="0" w:color="auto"/>
              <w:bottom w:val="single" w:sz="4" w:space="0" w:color="auto"/>
              <w:right w:val="single" w:sz="4" w:space="0" w:color="auto"/>
            </w:tcBorders>
            <w:hideMark/>
          </w:tcPr>
          <w:p w14:paraId="32B7097A" w14:textId="77777777" w:rsidR="003B5E91" w:rsidRDefault="003B5E91" w:rsidP="003B5E91">
            <w:pPr>
              <w:tabs>
                <w:tab w:val="left" w:pos="567"/>
              </w:tabs>
              <w:jc w:val="right"/>
              <w:rPr>
                <w:iCs/>
                <w:lang w:eastAsia="lt-LT"/>
              </w:rPr>
            </w:pPr>
            <w:r>
              <w:rPr>
                <w:iCs/>
                <w:lang w:eastAsia="lt-LT"/>
              </w:rPr>
              <w:t>Papildomi kokybiški gyvenimo metai (QALY)</w:t>
            </w:r>
          </w:p>
        </w:tc>
        <w:tc>
          <w:tcPr>
            <w:tcW w:w="3239" w:type="dxa"/>
            <w:tcBorders>
              <w:top w:val="single" w:sz="4" w:space="0" w:color="auto"/>
              <w:left w:val="single" w:sz="4" w:space="0" w:color="auto"/>
              <w:bottom w:val="single" w:sz="4" w:space="0" w:color="auto"/>
              <w:right w:val="single" w:sz="4" w:space="0" w:color="auto"/>
            </w:tcBorders>
            <w:hideMark/>
          </w:tcPr>
          <w:p w14:paraId="32F36151" w14:textId="4B46EB05" w:rsidR="003B5E91" w:rsidRDefault="003B5E91" w:rsidP="003B5E91">
            <w:pPr>
              <w:jc w:val="both"/>
            </w:pPr>
            <w:r w:rsidRPr="006240FE">
              <w:t>***</w:t>
            </w:r>
          </w:p>
        </w:tc>
      </w:tr>
      <w:tr w:rsidR="003B5E91" w14:paraId="742B6763" w14:textId="77777777" w:rsidTr="003133DA">
        <w:trPr>
          <w:trHeight w:val="267"/>
          <w:jc w:val="center"/>
        </w:trPr>
        <w:tc>
          <w:tcPr>
            <w:tcW w:w="6200" w:type="dxa"/>
            <w:tcBorders>
              <w:top w:val="single" w:sz="4" w:space="0" w:color="auto"/>
              <w:left w:val="single" w:sz="4" w:space="0" w:color="auto"/>
              <w:bottom w:val="single" w:sz="4" w:space="0" w:color="auto"/>
              <w:right w:val="single" w:sz="4" w:space="0" w:color="auto"/>
            </w:tcBorders>
            <w:hideMark/>
          </w:tcPr>
          <w:p w14:paraId="353C8D98" w14:textId="77777777" w:rsidR="003B5E91" w:rsidRDefault="003B5E91" w:rsidP="003B5E91">
            <w:pPr>
              <w:tabs>
                <w:tab w:val="left" w:pos="567"/>
              </w:tabs>
              <w:jc w:val="right"/>
              <w:rPr>
                <w:iCs/>
                <w:lang w:eastAsia="lt-LT"/>
              </w:rPr>
            </w:pPr>
            <w:r>
              <w:rPr>
                <w:iCs/>
                <w:lang w:eastAsia="lt-LT"/>
              </w:rPr>
              <w:t>ICER už LY</w:t>
            </w:r>
          </w:p>
        </w:tc>
        <w:tc>
          <w:tcPr>
            <w:tcW w:w="3239" w:type="dxa"/>
            <w:tcBorders>
              <w:top w:val="single" w:sz="4" w:space="0" w:color="auto"/>
              <w:left w:val="single" w:sz="4" w:space="0" w:color="auto"/>
              <w:bottom w:val="single" w:sz="4" w:space="0" w:color="auto"/>
              <w:right w:val="single" w:sz="4" w:space="0" w:color="auto"/>
            </w:tcBorders>
            <w:hideMark/>
          </w:tcPr>
          <w:p w14:paraId="6F10D795" w14:textId="41DFB556" w:rsidR="003B5E91" w:rsidRDefault="003B5E91" w:rsidP="003B5E91">
            <w:pPr>
              <w:tabs>
                <w:tab w:val="left" w:pos="567"/>
              </w:tabs>
              <w:jc w:val="both"/>
              <w:rPr>
                <w:iCs/>
                <w:lang w:eastAsia="lt-LT"/>
              </w:rPr>
            </w:pPr>
            <w:r w:rsidRPr="006240FE">
              <w:t>***</w:t>
            </w:r>
          </w:p>
        </w:tc>
      </w:tr>
      <w:tr w:rsidR="003B5E91" w14:paraId="59BFE487" w14:textId="77777777" w:rsidTr="003133DA">
        <w:trPr>
          <w:trHeight w:val="267"/>
          <w:jc w:val="center"/>
        </w:trPr>
        <w:tc>
          <w:tcPr>
            <w:tcW w:w="6200" w:type="dxa"/>
            <w:tcBorders>
              <w:top w:val="single" w:sz="4" w:space="0" w:color="auto"/>
              <w:left w:val="single" w:sz="4" w:space="0" w:color="auto"/>
              <w:bottom w:val="single" w:sz="4" w:space="0" w:color="auto"/>
              <w:right w:val="single" w:sz="4" w:space="0" w:color="auto"/>
            </w:tcBorders>
            <w:hideMark/>
          </w:tcPr>
          <w:p w14:paraId="402A2F56" w14:textId="77777777" w:rsidR="003B5E91" w:rsidRDefault="003B5E91" w:rsidP="003B5E91">
            <w:pPr>
              <w:tabs>
                <w:tab w:val="left" w:pos="567"/>
              </w:tabs>
              <w:jc w:val="right"/>
              <w:rPr>
                <w:b/>
                <w:iCs/>
                <w:lang w:eastAsia="lt-LT"/>
              </w:rPr>
            </w:pPr>
            <w:r>
              <w:rPr>
                <w:b/>
                <w:iCs/>
                <w:lang w:eastAsia="lt-LT"/>
              </w:rPr>
              <w:t>ICER už QALY</w:t>
            </w:r>
          </w:p>
        </w:tc>
        <w:tc>
          <w:tcPr>
            <w:tcW w:w="3239" w:type="dxa"/>
            <w:tcBorders>
              <w:top w:val="single" w:sz="4" w:space="0" w:color="auto"/>
              <w:left w:val="single" w:sz="4" w:space="0" w:color="auto"/>
              <w:bottom w:val="single" w:sz="4" w:space="0" w:color="auto"/>
              <w:right w:val="single" w:sz="4" w:space="0" w:color="auto"/>
            </w:tcBorders>
            <w:hideMark/>
          </w:tcPr>
          <w:p w14:paraId="2D66BF26" w14:textId="33502B32" w:rsidR="003B5E91" w:rsidRDefault="003B5E91" w:rsidP="003B5E91">
            <w:pPr>
              <w:tabs>
                <w:tab w:val="left" w:pos="567"/>
              </w:tabs>
              <w:jc w:val="both"/>
              <w:rPr>
                <w:b/>
                <w:iCs/>
                <w:lang w:eastAsia="lt-LT"/>
              </w:rPr>
            </w:pPr>
            <w:r w:rsidRPr="006240FE">
              <w:t>***</w:t>
            </w:r>
          </w:p>
        </w:tc>
      </w:tr>
      <w:tr w:rsidR="003B5E91" w14:paraId="3A1E8173" w14:textId="77777777" w:rsidTr="003133DA">
        <w:trPr>
          <w:trHeight w:val="267"/>
          <w:jc w:val="center"/>
        </w:trPr>
        <w:tc>
          <w:tcPr>
            <w:tcW w:w="6200" w:type="dxa"/>
            <w:tcBorders>
              <w:top w:val="single" w:sz="4" w:space="0" w:color="auto"/>
              <w:left w:val="single" w:sz="4" w:space="0" w:color="auto"/>
              <w:bottom w:val="single" w:sz="4" w:space="0" w:color="auto"/>
              <w:right w:val="single" w:sz="4" w:space="0" w:color="auto"/>
            </w:tcBorders>
            <w:hideMark/>
          </w:tcPr>
          <w:p w14:paraId="31AEF313" w14:textId="77777777" w:rsidR="003B5E91" w:rsidRDefault="003B5E91" w:rsidP="003B5E91">
            <w:pPr>
              <w:tabs>
                <w:tab w:val="left" w:pos="567"/>
              </w:tabs>
              <w:jc w:val="right"/>
              <w:rPr>
                <w:iCs/>
                <w:lang w:eastAsia="lt-LT"/>
              </w:rPr>
            </w:pPr>
            <w:r>
              <w:rPr>
                <w:iCs/>
                <w:lang w:eastAsia="lt-LT"/>
              </w:rPr>
              <w:t>Referentinė kaštų naudingumo vertė</w:t>
            </w:r>
          </w:p>
        </w:tc>
        <w:tc>
          <w:tcPr>
            <w:tcW w:w="3239" w:type="dxa"/>
            <w:tcBorders>
              <w:top w:val="single" w:sz="4" w:space="0" w:color="auto"/>
              <w:left w:val="single" w:sz="4" w:space="0" w:color="auto"/>
              <w:bottom w:val="single" w:sz="4" w:space="0" w:color="auto"/>
              <w:right w:val="single" w:sz="4" w:space="0" w:color="auto"/>
            </w:tcBorders>
            <w:hideMark/>
          </w:tcPr>
          <w:p w14:paraId="1FAFE630" w14:textId="04E6F667" w:rsidR="003B5E91" w:rsidRDefault="003B5E91" w:rsidP="003B5E91">
            <w:pPr>
              <w:tabs>
                <w:tab w:val="left" w:pos="567"/>
              </w:tabs>
              <w:jc w:val="both"/>
              <w:rPr>
                <w:iCs/>
                <w:lang w:eastAsia="lt-LT"/>
              </w:rPr>
            </w:pPr>
            <w:r w:rsidRPr="006240FE">
              <w:t>***</w:t>
            </w:r>
          </w:p>
        </w:tc>
      </w:tr>
    </w:tbl>
    <w:p w14:paraId="3F58F397" w14:textId="77777777" w:rsidR="003133DA" w:rsidRDefault="003133DA" w:rsidP="003133DA">
      <w:pPr>
        <w:tabs>
          <w:tab w:val="left" w:pos="567"/>
        </w:tabs>
        <w:jc w:val="both"/>
        <w:rPr>
          <w:iCs/>
          <w:sz w:val="20"/>
          <w:lang w:eastAsia="lt-LT"/>
        </w:rPr>
      </w:pPr>
      <w:r>
        <w:rPr>
          <w:iCs/>
          <w:sz w:val="20"/>
          <w:lang w:eastAsia="lt-LT"/>
        </w:rPr>
        <w:t>ICER – (</w:t>
      </w:r>
      <w:r>
        <w:rPr>
          <w:i/>
          <w:sz w:val="20"/>
          <w:lang w:eastAsia="lt-LT"/>
        </w:rPr>
        <w:t>angl. incremental cost-effectiveness ratio</w:t>
      </w:r>
      <w:r>
        <w:rPr>
          <w:iCs/>
          <w:sz w:val="20"/>
          <w:lang w:eastAsia="lt-LT"/>
        </w:rPr>
        <w:t>) inkrementinis kaštų naudingumo koeficientas; LY – (</w:t>
      </w:r>
      <w:r>
        <w:rPr>
          <w:i/>
          <w:sz w:val="20"/>
          <w:lang w:eastAsia="lt-LT"/>
        </w:rPr>
        <w:t>angl. life years</w:t>
      </w:r>
      <w:r>
        <w:rPr>
          <w:iCs/>
          <w:sz w:val="20"/>
          <w:lang w:eastAsia="lt-LT"/>
        </w:rPr>
        <w:t>) gyvenimo metai; QALY- (</w:t>
      </w:r>
      <w:r>
        <w:rPr>
          <w:i/>
          <w:sz w:val="20"/>
          <w:lang w:eastAsia="lt-LT"/>
        </w:rPr>
        <w:t xml:space="preserve">angl. quality adjusted life years) </w:t>
      </w:r>
      <w:r>
        <w:rPr>
          <w:iCs/>
          <w:sz w:val="20"/>
          <w:lang w:eastAsia="lt-LT"/>
        </w:rPr>
        <w:t>kokybiški gyvenimo metai.</w:t>
      </w:r>
    </w:p>
    <w:p w14:paraId="2B92D16B" w14:textId="57532E8D" w:rsidR="003133DA" w:rsidRDefault="003133DA" w:rsidP="003133DA">
      <w:pPr>
        <w:spacing w:line="276" w:lineRule="auto"/>
        <w:jc w:val="both"/>
      </w:pPr>
    </w:p>
    <w:p w14:paraId="4801D227" w14:textId="0165DBA0" w:rsidR="009E44AE" w:rsidRPr="00E33EFF" w:rsidRDefault="004C224C" w:rsidP="004C224C">
      <w:pPr>
        <w:tabs>
          <w:tab w:val="left" w:pos="426"/>
        </w:tabs>
        <w:spacing w:line="276" w:lineRule="auto"/>
        <w:jc w:val="both"/>
        <w:rPr>
          <w:b/>
          <w:lang w:eastAsia="lt-LT"/>
        </w:rPr>
      </w:pPr>
      <w:r>
        <w:tab/>
      </w:r>
      <w:r w:rsidR="003061B7">
        <w:t xml:space="preserve">Vertinant paraišką </w:t>
      </w:r>
      <w:r w:rsidRPr="005A420C">
        <w:t xml:space="preserve">kilo klausimų, kurie galimai turi reikšmingos įtakos galutiniam ekonominės analizės rezultatui (labiausiai dėl gydymo efekto nutraukimo prielaidos bei taikomų gyvenimo kokybės įverčių pagrindimo). Minėtų prielaidų įtakos reikšmę rodo ankstesnių vertinimų praktika bei jautrumo analizės rezultatai (didžiausią įtaką ekonominės analizės galutiniam rezultatui turi gyvenimo kokybės įverčiai). Visgi, atsižvelgiant, kad apskaičiuotas galutinės ekonominės analizės rezultatas yra </w:t>
      </w:r>
      <w:r w:rsidR="003B5E91">
        <w:t>*****</w:t>
      </w:r>
      <w:r w:rsidRPr="005A420C">
        <w:t>/QALY, o sunkiai ligos naštai taikoma referencinė kaštų naudingumo vertė –</w:t>
      </w:r>
      <w:r w:rsidR="003B5E91">
        <w:t>*****</w:t>
      </w:r>
      <w:r w:rsidRPr="005A420C">
        <w:t>, t.y.</w:t>
      </w:r>
      <w:r w:rsidRPr="005A420C">
        <w:rPr>
          <w:lang w:val="en-US"/>
        </w:rPr>
        <w:t xml:space="preserve"> </w:t>
      </w:r>
      <w:r w:rsidR="003B5E91">
        <w:rPr>
          <w:color w:val="000000"/>
        </w:rPr>
        <w:t>*****</w:t>
      </w:r>
      <w:r w:rsidRPr="005A420C">
        <w:rPr>
          <w:color w:val="000000"/>
          <w:lang w:eastAsia="lt-LT"/>
        </w:rPr>
        <w:t xml:space="preserve"> mažiau nei slenkstinė vertė (</w:t>
      </w:r>
      <w:r w:rsidRPr="005A420C">
        <w:t>siekiant atitikti referencinę kaštų naudingumo vertę galimas ICER pokytis iki</w:t>
      </w:r>
      <w:r w:rsidR="003B5E91">
        <w:t xml:space="preserve"> ***</w:t>
      </w:r>
      <w:r w:rsidRPr="005A420C">
        <w:t>proc.), Tarnyba</w:t>
      </w:r>
      <w:r>
        <w:t xml:space="preserve"> vertina, kad yra tikėtina, jog nustatyti neapibrėžtumai </w:t>
      </w:r>
      <w:r w:rsidRPr="005A420C">
        <w:t xml:space="preserve"> </w:t>
      </w:r>
      <w:r>
        <w:t xml:space="preserve">neturės įtakos galutiniam ekonominės analizės rezultatui didesnės nei </w:t>
      </w:r>
      <w:r w:rsidR="003B5E91">
        <w:t>***</w:t>
      </w:r>
      <w:r>
        <w:t xml:space="preserve"> proc. Atitinkamai, s</w:t>
      </w:r>
      <w:r w:rsidRPr="005A420C">
        <w:t>iek</w:t>
      </w:r>
      <w:r>
        <w:t xml:space="preserve">iant </w:t>
      </w:r>
      <w:r w:rsidRPr="005A420C">
        <w:t>sumažinti paraiškos vertinimo ir sprendimo priėmimo dėl vaisto kompensavimo laik</w:t>
      </w:r>
      <w:r>
        <w:t>ą, klausimai Pareiškėjui neteikti ir Opdivo yra laikomas ekonomiškai efektyvus (vaisto teikiama nauda pateisina jo kainą).</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37C8B97"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61EA4D71"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tbl>
      <w:tblPr>
        <w:tblStyle w:val="TableGrid"/>
        <w:tblW w:w="0" w:type="auto"/>
        <w:tblInd w:w="-5" w:type="dxa"/>
        <w:tblLook w:val="04A0" w:firstRow="1" w:lastRow="0" w:firstColumn="1" w:lastColumn="0" w:noHBand="0" w:noVBand="1"/>
      </w:tblPr>
      <w:tblGrid>
        <w:gridCol w:w="4815"/>
        <w:gridCol w:w="4814"/>
      </w:tblGrid>
      <w:tr w:rsidR="00BA6A88" w:rsidRPr="001A132A" w14:paraId="088B6AEF" w14:textId="77777777" w:rsidTr="00E5611D">
        <w:trPr>
          <w:trHeight w:val="510"/>
        </w:trPr>
        <w:tc>
          <w:tcPr>
            <w:tcW w:w="9629" w:type="dxa"/>
            <w:gridSpan w:val="2"/>
            <w:vAlign w:val="center"/>
          </w:tcPr>
          <w:p w14:paraId="780C3CF5"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t>Palyginamasis veiksmingumas</w:t>
            </w:r>
          </w:p>
        </w:tc>
      </w:tr>
      <w:tr w:rsidR="00BA6A88" w:rsidRPr="001A132A" w14:paraId="1CBE9111" w14:textId="77777777" w:rsidTr="00E5611D">
        <w:tc>
          <w:tcPr>
            <w:tcW w:w="4815" w:type="dxa"/>
          </w:tcPr>
          <w:p w14:paraId="679203E6" w14:textId="00D0EF04"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DD6247">
                  <w:rPr>
                    <w:rStyle w:val="Style2"/>
                    <w:rFonts w:ascii="MS Gothic" w:eastAsia="MS Gothic" w:hAnsi="MS Gothic" w:hint="eastAsia"/>
                    <w:sz w:val="23"/>
                    <w:szCs w:val="23"/>
                  </w:rPr>
                  <w:t>☒</w:t>
                </w:r>
              </w:sdtContent>
            </w:sdt>
            <w:r w:rsidR="00BA6A88" w:rsidRPr="001A132A">
              <w:rPr>
                <w:rStyle w:val="Style2"/>
                <w:sz w:val="23"/>
                <w:szCs w:val="23"/>
              </w:rPr>
              <w:t xml:space="preserve"> 29</w:t>
            </w:r>
            <w:r w:rsidR="00BA6A88" w:rsidRPr="001A132A">
              <w:rPr>
                <w:sz w:val="23"/>
                <w:szCs w:val="23"/>
              </w:rPr>
              <w:t>.1.1 yra didesnis, lyginant su įprasta klinikine praktika</w:t>
            </w:r>
          </w:p>
          <w:p w14:paraId="67AC8DC8"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1C81BD4" w14:textId="43824A5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347315">
                  <w:rPr>
                    <w:rStyle w:val="Style2"/>
                    <w:rFonts w:ascii="MS Gothic" w:eastAsia="MS Gothic" w:hAnsi="MS Gothic" w:hint="eastAsia"/>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.1.2 iš esmės nesiskiria, lyginant su įprasta klinikine praktika</w:t>
            </w:r>
          </w:p>
        </w:tc>
        <w:tc>
          <w:tcPr>
            <w:tcW w:w="4814" w:type="dxa"/>
          </w:tcPr>
          <w:p w14:paraId="54E07C9D"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 xml:space="preserve">.1.3 yra neįrodytas kaip didesnis  ar iš esmės nesiskiriantis, lyginant su įprasta klinikine praktika  </w:t>
            </w:r>
          </w:p>
          <w:p w14:paraId="431982C1"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4B9F949"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.1.4 yra mažesnis, lyginant su įprasta klinikine praktika</w:t>
            </w:r>
          </w:p>
          <w:p w14:paraId="2D9D30D3"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266D730"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.1.5 pateikti duomenys apie palyginamąjį veiksmingumą yra netinkami vertinti</w:t>
            </w:r>
          </w:p>
          <w:p w14:paraId="3E59F952"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tbl>
      <w:tblPr>
        <w:tblStyle w:val="Keymessagesbox1"/>
        <w:tblW w:w="0" w:type="auto"/>
        <w:tblInd w:w="-5" w:type="dxa"/>
        <w:tblLook w:val="04A0" w:firstRow="1" w:lastRow="0" w:firstColumn="1" w:lastColumn="0" w:noHBand="0" w:noVBand="1"/>
      </w:tblPr>
      <w:tblGrid>
        <w:gridCol w:w="4820"/>
        <w:gridCol w:w="4814"/>
      </w:tblGrid>
      <w:tr w:rsidR="00BA6A88" w:rsidRPr="001A132A" w14:paraId="000B8E34" w14:textId="77777777" w:rsidTr="00E5611D">
        <w:trPr>
          <w:trHeight w:val="510"/>
        </w:trPr>
        <w:tc>
          <w:tcPr>
            <w:tcW w:w="9634" w:type="dxa"/>
            <w:gridSpan w:val="2"/>
            <w:vAlign w:val="center"/>
          </w:tcPr>
          <w:p w14:paraId="52DCEA0B"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t>Kaštų naudingumas</w:t>
            </w:r>
          </w:p>
        </w:tc>
      </w:tr>
      <w:tr w:rsidR="00BA6A88" w:rsidRPr="001A132A" w14:paraId="629A7D04" w14:textId="77777777" w:rsidTr="00E5611D">
        <w:tc>
          <w:tcPr>
            <w:tcW w:w="4820" w:type="dxa"/>
          </w:tcPr>
          <w:p w14:paraId="565B0B13" w14:textId="0E3A5E73"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3"/>
                    <w:szCs w:val="23"/>
                  </w:rPr>
                  <w:t>☒</w:t>
                </w:r>
              </w:sdtContent>
            </w:sdt>
            <w:r w:rsidR="00BA6A88" w:rsidRPr="001A132A">
              <w:rPr>
                <w:sz w:val="23"/>
                <w:szCs w:val="23"/>
              </w:rPr>
              <w:t xml:space="preserve"> 29.2.1 atitinka referencinę naudingumo vertę taikant arba netaikant</w:t>
            </w:r>
            <w:r w:rsidR="00BA6A88" w:rsidRPr="001A132A">
              <w:rPr>
                <w:b/>
                <w:bCs/>
                <w:sz w:val="23"/>
                <w:szCs w:val="23"/>
              </w:rPr>
              <w:t> </w:t>
            </w:r>
            <w:r w:rsidR="00BA6A88" w:rsidRPr="001A132A">
              <w:rPr>
                <w:sz w:val="23"/>
                <w:szCs w:val="23"/>
              </w:rPr>
              <w:t>PGS</w:t>
            </w:r>
          </w:p>
          <w:p w14:paraId="7DC4BBDB"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7F67B3DF"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29.2.2 gydymo juo kaštai yra mažesni ar tokie patys esant iš esmės nesiskiriančiam palyginamajam efektyvumui, taikant arba netaikant  PGS</w:t>
            </w:r>
          </w:p>
        </w:tc>
        <w:tc>
          <w:tcPr>
            <w:tcW w:w="4814" w:type="dxa"/>
          </w:tcPr>
          <w:p w14:paraId="486C60D5"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29.2.3 neatitinka referencinės naudingumo vertės taikant arba netaikant PGS</w:t>
            </w:r>
          </w:p>
          <w:p w14:paraId="00CB97BC"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D88BE4C" w14:textId="795E94B9"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Content>
                <w:r w:rsidR="00BE3577">
                  <w:rPr>
                    <w:rStyle w:val="Style2"/>
                    <w:rFonts w:ascii="MS Gothic" w:eastAsia="MS Gothic" w:hAnsi="MS Gothic" w:hint="eastAsia"/>
                    <w:sz w:val="23"/>
                    <w:szCs w:val="23"/>
                  </w:rPr>
                  <w:t>☐</w:t>
                </w:r>
              </w:sdtContent>
            </w:sdt>
            <w:r w:rsidR="00BA6A88" w:rsidRPr="001A132A">
              <w:rPr>
                <w:sz w:val="23"/>
                <w:szCs w:val="23"/>
              </w:rPr>
              <w:t xml:space="preserve"> 29.2.4 gydymo juo kaštai yra didesni esant iš esmės nesiskiriančiam palyginamajam veiksmingumui, taikant arba netaikant PGS</w:t>
            </w:r>
          </w:p>
          <w:p w14:paraId="21F92987"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EBADCB2"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29.2.5 pateikti duomenys apie kaštų naudingumą yra netinkami vertinti</w:t>
            </w:r>
          </w:p>
          <w:p w14:paraId="11B18726"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495BCBF8" w14:textId="77777777" w:rsidR="00BE3577" w:rsidRPr="004E552F" w:rsidRDefault="00BE3577" w:rsidP="00BE3577">
      <w:pPr>
        <w:spacing w:line="276" w:lineRule="auto"/>
        <w:ind w:firstLine="567"/>
        <w:jc w:val="both"/>
        <w:rPr>
          <w:color w:val="000000"/>
        </w:rPr>
      </w:pPr>
      <w:bookmarkStart w:id="1" w:name="_Hlk192341381"/>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Pr>
          <w:color w:val="000000"/>
        </w:rPr>
        <w:t>30</w:t>
      </w:r>
      <w:r>
        <w:rPr>
          <w:color w:val="000000"/>
          <w:vertAlign w:val="superscript"/>
        </w:rPr>
        <w:t>1</w:t>
      </w:r>
      <w:r>
        <w:rPr>
          <w:color w:val="000000"/>
        </w:rPr>
        <w:t xml:space="preserve">.1. </w:t>
      </w:r>
      <w:r>
        <w:rPr>
          <w:color w:val="000000"/>
          <w:lang w:eastAsia="lt-LT"/>
        </w:rPr>
        <w:t>rekomenduojama</w:t>
      </w:r>
      <w:r w:rsidRPr="00471EC6">
        <w:rPr>
          <w:color w:val="000000"/>
          <w:lang w:eastAsia="lt-LT"/>
        </w:rPr>
        <w:t xml:space="preserve"> kompensuoti vaistinį preparatą pagal paraiškoje nurodytą indikaciją (arba jos dalį) su arba be skyrimo sąlygų, </w:t>
      </w:r>
      <w:r>
        <w:rPr>
          <w:color w:val="000000"/>
        </w:rPr>
        <w:t>taikant ar netaikant PGS, kai vertinimo išvados atitinka Aprašo 29.1.1 ir 29.2.1 papunkčiuose numatytas sąlygas.</w:t>
      </w:r>
    </w:p>
    <w:bookmarkEnd w:id="1"/>
    <w:p w14:paraId="06BC01EE" w14:textId="44333E0B" w:rsidR="000723FF" w:rsidRPr="00E33EFF" w:rsidRDefault="000723FF" w:rsidP="00381024"/>
    <w:p w14:paraId="18B4292E" w14:textId="74A6B04D"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6AE4477C"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rPr>
            <w:t>☒</w:t>
          </w:r>
        </w:sdtContent>
      </w:sdt>
      <w:r w:rsidR="000723FF" w:rsidRPr="00E33EFF">
        <w:t xml:space="preserve"> Siūloma kompensuoti Pareiškėjo teikiamą indikaciją be pakeitimų.</w:t>
      </w:r>
    </w:p>
    <w:p w14:paraId="6619C236" w14:textId="77777777" w:rsidR="00BE3577" w:rsidRDefault="00BE3577" w:rsidP="00BE3577">
      <w:pPr>
        <w:pStyle w:val="ListParagraph"/>
        <w:spacing w:after="120"/>
        <w:ind w:left="0"/>
        <w:contextualSpacing w:val="0"/>
        <w:jc w:val="both"/>
      </w:pPr>
    </w:p>
    <w:p w14:paraId="0F46D6B8" w14:textId="2BA7F975" w:rsidR="00BE3577" w:rsidRDefault="00BE3577" w:rsidP="00BE3577">
      <w:pPr>
        <w:pStyle w:val="ListParagraph"/>
        <w:spacing w:after="120" w:line="276" w:lineRule="auto"/>
        <w:ind w:left="0"/>
        <w:contextualSpacing w:val="0"/>
        <w:jc w:val="both"/>
      </w:pPr>
      <w:r w:rsidRPr="00CD6650">
        <w:t>OPDIVO derinys su sudėtine chemoterapija fluoropirimidino ir platinos preparato pagrindu yra</w:t>
      </w:r>
      <w:r>
        <w:t xml:space="preserve"> </w:t>
      </w:r>
      <w:r w:rsidRPr="00CD6650">
        <w:t xml:space="preserve">skirtas suaugusių pacientų 2-ojo žmogaus epidermio augimo faktoriaus receptoriaus (angl. human epidermal growth factor receptor 2, HER2) neigiamos vietiškai išplitusios ar metastazavusios skrandžio, skrandžio ir stemplės jungties ar </w:t>
      </w:r>
      <w:r w:rsidRPr="00A40F02">
        <w:t>stemplės adenokarcinomos, turinčios</w:t>
      </w:r>
      <w:r w:rsidRPr="00CD6650">
        <w:t xml:space="preserve"> išreikštą PD-L1 ir kombinuotą teigiamą rodiklį (angl. combined positive score, CPS) ≥ 5, pirmaeiliam gydymui.</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7CDFF220" w14:textId="58191D98" w:rsidR="000723FF" w:rsidRDefault="000723FF" w:rsidP="00824B92"/>
    <w:p w14:paraId="77F80378" w14:textId="27A5BA58" w:rsidR="00BE3577" w:rsidRPr="000723FF" w:rsidRDefault="00BE3577" w:rsidP="00202EB5">
      <w:pPr>
        <w:pStyle w:val="NoSpacing"/>
        <w:spacing w:line="276" w:lineRule="auto"/>
        <w:ind w:firstLine="720"/>
        <w:jc w:val="both"/>
        <w:rPr>
          <w:b/>
        </w:rPr>
      </w:pPr>
      <w:r w:rsidRPr="00324586">
        <w:rPr>
          <w:rFonts w:ascii="Times New Roman" w:hAnsi="Times New Roman"/>
          <w:sz w:val="24"/>
          <w:szCs w:val="24"/>
        </w:rPr>
        <w:t>Skiriamas derin</w:t>
      </w:r>
      <w:r w:rsidR="00483703">
        <w:rPr>
          <w:rFonts w:ascii="Times New Roman" w:hAnsi="Times New Roman"/>
          <w:sz w:val="24"/>
          <w:szCs w:val="24"/>
        </w:rPr>
        <w:t xml:space="preserve">yje </w:t>
      </w:r>
      <w:r w:rsidRPr="00324586">
        <w:rPr>
          <w:rFonts w:ascii="Times New Roman" w:hAnsi="Times New Roman"/>
          <w:sz w:val="24"/>
          <w:szCs w:val="24"/>
        </w:rPr>
        <w:t xml:space="preserve"> su </w:t>
      </w:r>
      <w:r w:rsidR="00483703">
        <w:rPr>
          <w:rFonts w:ascii="Times New Roman" w:hAnsi="Times New Roman"/>
          <w:sz w:val="24"/>
          <w:szCs w:val="24"/>
        </w:rPr>
        <w:t xml:space="preserve">sudėtine </w:t>
      </w:r>
      <w:r w:rsidRPr="00324586">
        <w:rPr>
          <w:rFonts w:ascii="Times New Roman" w:hAnsi="Times New Roman"/>
          <w:sz w:val="24"/>
          <w:szCs w:val="24"/>
        </w:rPr>
        <w:t>chemoterapija</w:t>
      </w:r>
      <w:r w:rsidR="00483703">
        <w:rPr>
          <w:rFonts w:ascii="Times New Roman" w:hAnsi="Times New Roman"/>
          <w:sz w:val="24"/>
          <w:szCs w:val="24"/>
        </w:rPr>
        <w:t xml:space="preserve"> </w:t>
      </w:r>
      <w:r w:rsidR="00347315">
        <w:rPr>
          <w:rFonts w:ascii="Times New Roman" w:hAnsi="Times New Roman"/>
          <w:sz w:val="24"/>
          <w:szCs w:val="24"/>
        </w:rPr>
        <w:t>fluoropirimidinų</w:t>
      </w:r>
      <w:r w:rsidR="00483703">
        <w:rPr>
          <w:rFonts w:ascii="Times New Roman" w:hAnsi="Times New Roman"/>
          <w:sz w:val="24"/>
          <w:szCs w:val="24"/>
        </w:rPr>
        <w:t xml:space="preserve"> ir platinos vaistini</w:t>
      </w:r>
      <w:r w:rsidR="00D349DB">
        <w:rPr>
          <w:rFonts w:ascii="Times New Roman" w:hAnsi="Times New Roman"/>
          <w:sz w:val="24"/>
          <w:szCs w:val="24"/>
        </w:rPr>
        <w:t>ų</w:t>
      </w:r>
      <w:r w:rsidR="00483703">
        <w:rPr>
          <w:rFonts w:ascii="Times New Roman" w:hAnsi="Times New Roman"/>
          <w:sz w:val="24"/>
          <w:szCs w:val="24"/>
        </w:rPr>
        <w:t xml:space="preserve"> preparat</w:t>
      </w:r>
      <w:r w:rsidR="00C70688">
        <w:rPr>
          <w:rFonts w:ascii="Times New Roman" w:hAnsi="Times New Roman"/>
          <w:sz w:val="24"/>
          <w:szCs w:val="24"/>
        </w:rPr>
        <w:t>ų</w:t>
      </w:r>
      <w:r w:rsidR="00D349DB">
        <w:rPr>
          <w:rFonts w:ascii="Times New Roman" w:hAnsi="Times New Roman"/>
          <w:sz w:val="24"/>
          <w:szCs w:val="24"/>
        </w:rPr>
        <w:t xml:space="preserve"> pagrindu</w:t>
      </w:r>
      <w:r w:rsidR="00347315">
        <w:rPr>
          <w:rFonts w:ascii="Times New Roman" w:hAnsi="Times New Roman"/>
          <w:sz w:val="24"/>
          <w:szCs w:val="24"/>
        </w:rPr>
        <w:t>,</w:t>
      </w:r>
      <w:r w:rsidRPr="00324586">
        <w:rPr>
          <w:rFonts w:ascii="Times New Roman" w:hAnsi="Times New Roman"/>
          <w:sz w:val="24"/>
          <w:szCs w:val="24"/>
        </w:rPr>
        <w:t xml:space="preserve"> vietiškai išplitusios ar metastazavusios skrandžio, skrandžio ir stemplės jungties ar stemplės HER-2 neigiamos adenokarcinomos pirmaeiliam gydymui geros funkcinės būklės (ECOG 0 ar 1) suaugusiesiems, kurių navikai ekspresuoja PD-L1 ir CPS rodmuo yra ≥ </w:t>
      </w:r>
      <w:r>
        <w:rPr>
          <w:rFonts w:ascii="Times New Roman" w:hAnsi="Times New Roman"/>
          <w:sz w:val="24"/>
          <w:szCs w:val="24"/>
        </w:rPr>
        <w:t>5</w:t>
      </w:r>
      <w:r w:rsidRPr="00324586">
        <w:rPr>
          <w:rFonts w:ascii="Times New Roman" w:hAnsi="Times New Roman"/>
          <w:sz w:val="24"/>
          <w:szCs w:val="24"/>
        </w:rPr>
        <w:t xml:space="preserve">. </w:t>
      </w:r>
      <w:r w:rsidR="00C31C5B" w:rsidRPr="00D349DB">
        <w:rPr>
          <w:rFonts w:ascii="Times New Roman" w:hAnsi="Times New Roman"/>
          <w:bCs/>
          <w:sz w:val="24"/>
          <w:szCs w:val="24"/>
          <w:lang w:eastAsia="lt-LT"/>
        </w:rPr>
        <w:t>Gydymo trukmė ne ilgesnė kaip 2</w:t>
      </w:r>
      <w:r w:rsidR="00C31C5B">
        <w:rPr>
          <w:rFonts w:ascii="Times New Roman" w:hAnsi="Times New Roman"/>
          <w:bCs/>
          <w:sz w:val="24"/>
          <w:szCs w:val="24"/>
          <w:lang w:eastAsia="lt-LT"/>
        </w:rPr>
        <w:t>4</w:t>
      </w:r>
      <w:r w:rsidR="00C31C5B" w:rsidRPr="00D349DB">
        <w:rPr>
          <w:rFonts w:ascii="Times New Roman" w:hAnsi="Times New Roman"/>
          <w:bCs/>
          <w:sz w:val="24"/>
          <w:szCs w:val="24"/>
          <w:lang w:eastAsia="lt-LT"/>
        </w:rPr>
        <w:t xml:space="preserve"> m</w:t>
      </w:r>
      <w:r w:rsidR="00C31C5B">
        <w:rPr>
          <w:rFonts w:ascii="Times New Roman" w:hAnsi="Times New Roman"/>
          <w:bCs/>
          <w:sz w:val="24"/>
          <w:szCs w:val="24"/>
          <w:lang w:eastAsia="lt-LT"/>
        </w:rPr>
        <w:t>ėnesiai</w:t>
      </w:r>
      <w:r w:rsidR="00C31C5B" w:rsidRPr="00D349DB">
        <w:rPr>
          <w:rFonts w:ascii="Times New Roman" w:hAnsi="Times New Roman"/>
          <w:bCs/>
          <w:sz w:val="24"/>
          <w:szCs w:val="24"/>
          <w:lang w:eastAsia="lt-LT"/>
        </w:rPr>
        <w:t>.</w:t>
      </w:r>
      <w:r w:rsidR="00C31C5B">
        <w:rPr>
          <w:bCs/>
          <w:sz w:val="24"/>
          <w:szCs w:val="24"/>
          <w:lang w:eastAsia="lt-LT"/>
        </w:rPr>
        <w:t xml:space="preserve"> </w:t>
      </w:r>
      <w:r w:rsidR="00202EB5" w:rsidRPr="00324586">
        <w:rPr>
          <w:rFonts w:ascii="Times New Roman" w:hAnsi="Times New Roman"/>
          <w:sz w:val="24"/>
          <w:szCs w:val="24"/>
        </w:rPr>
        <w:t xml:space="preserve">Gydymas tęsiamas iki nepriimtino toksinio poveikio atsiradimo, ligos progresavimo arba </w:t>
      </w:r>
      <w:r w:rsidR="00483703">
        <w:rPr>
          <w:rFonts w:ascii="Times New Roman" w:hAnsi="Times New Roman"/>
          <w:sz w:val="24"/>
          <w:szCs w:val="24"/>
        </w:rPr>
        <w:t>planuoto gydymo užbaigimo</w:t>
      </w:r>
      <w:r w:rsidR="00C31C5B">
        <w:rPr>
          <w:rFonts w:ascii="Times New Roman" w:hAnsi="Times New Roman"/>
          <w:sz w:val="24"/>
          <w:szCs w:val="24"/>
        </w:rPr>
        <w:t>.</w:t>
      </w:r>
    </w:p>
    <w:sectPr w:rsidR="00BE3577"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1CBE" w14:textId="77777777" w:rsidR="0085424C" w:rsidRDefault="0085424C">
      <w:r>
        <w:separator/>
      </w:r>
    </w:p>
  </w:endnote>
  <w:endnote w:type="continuationSeparator" w:id="0">
    <w:p w14:paraId="02CEE3A0" w14:textId="77777777" w:rsidR="0085424C" w:rsidRDefault="0085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01BF" w14:textId="77777777" w:rsidR="0085424C" w:rsidRDefault="0085424C">
      <w:r>
        <w:separator/>
      </w:r>
    </w:p>
  </w:footnote>
  <w:footnote w:type="continuationSeparator" w:id="0">
    <w:p w14:paraId="557EE9AA" w14:textId="77777777" w:rsidR="0085424C" w:rsidRDefault="0085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2C0311EE"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037F">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7973531">
    <w:abstractNumId w:val="6"/>
  </w:num>
  <w:num w:numId="2" w16cid:durableId="1349602710">
    <w:abstractNumId w:val="1"/>
  </w:num>
  <w:num w:numId="3" w16cid:durableId="978921764">
    <w:abstractNumId w:val="8"/>
  </w:num>
  <w:num w:numId="4" w16cid:durableId="1082920746">
    <w:abstractNumId w:val="7"/>
  </w:num>
  <w:num w:numId="5" w16cid:durableId="1881749017">
    <w:abstractNumId w:val="5"/>
  </w:num>
  <w:num w:numId="6" w16cid:durableId="2085177044">
    <w:abstractNumId w:val="4"/>
  </w:num>
  <w:num w:numId="7" w16cid:durableId="1796367175">
    <w:abstractNumId w:val="3"/>
  </w:num>
  <w:num w:numId="8" w16cid:durableId="1549220046">
    <w:abstractNumId w:val="11"/>
  </w:num>
  <w:num w:numId="9" w16cid:durableId="300429107">
    <w:abstractNumId w:val="0"/>
  </w:num>
  <w:num w:numId="10" w16cid:durableId="1418553618">
    <w:abstractNumId w:val="9"/>
  </w:num>
  <w:num w:numId="11" w16cid:durableId="44184969">
    <w:abstractNumId w:val="10"/>
  </w:num>
  <w:num w:numId="12" w16cid:durableId="125111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03A3"/>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372F"/>
    <w:rsid w:val="00124A9E"/>
    <w:rsid w:val="00130703"/>
    <w:rsid w:val="0013153F"/>
    <w:rsid w:val="00135175"/>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1F4559"/>
    <w:rsid w:val="00202EB5"/>
    <w:rsid w:val="0020381E"/>
    <w:rsid w:val="00213471"/>
    <w:rsid w:val="00215906"/>
    <w:rsid w:val="00241CD8"/>
    <w:rsid w:val="00244B09"/>
    <w:rsid w:val="00251116"/>
    <w:rsid w:val="002519CB"/>
    <w:rsid w:val="0025697F"/>
    <w:rsid w:val="00260258"/>
    <w:rsid w:val="0026588E"/>
    <w:rsid w:val="00272428"/>
    <w:rsid w:val="00272948"/>
    <w:rsid w:val="002850A2"/>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61B7"/>
    <w:rsid w:val="00310545"/>
    <w:rsid w:val="003133DA"/>
    <w:rsid w:val="00317B0E"/>
    <w:rsid w:val="003466E8"/>
    <w:rsid w:val="00347315"/>
    <w:rsid w:val="00347FAA"/>
    <w:rsid w:val="0035172D"/>
    <w:rsid w:val="0036187D"/>
    <w:rsid w:val="00367EDB"/>
    <w:rsid w:val="003715F1"/>
    <w:rsid w:val="00381024"/>
    <w:rsid w:val="00386307"/>
    <w:rsid w:val="003874DE"/>
    <w:rsid w:val="00393E9F"/>
    <w:rsid w:val="0039696E"/>
    <w:rsid w:val="003B211A"/>
    <w:rsid w:val="003B5E91"/>
    <w:rsid w:val="003B5F6E"/>
    <w:rsid w:val="003C141F"/>
    <w:rsid w:val="003C6B0E"/>
    <w:rsid w:val="003C7257"/>
    <w:rsid w:val="003C7E35"/>
    <w:rsid w:val="003D1E99"/>
    <w:rsid w:val="003D6208"/>
    <w:rsid w:val="003D7315"/>
    <w:rsid w:val="004049CC"/>
    <w:rsid w:val="00404E8A"/>
    <w:rsid w:val="0040622F"/>
    <w:rsid w:val="00413F24"/>
    <w:rsid w:val="00422853"/>
    <w:rsid w:val="00423160"/>
    <w:rsid w:val="00450728"/>
    <w:rsid w:val="00453862"/>
    <w:rsid w:val="0045469B"/>
    <w:rsid w:val="00461338"/>
    <w:rsid w:val="004677DB"/>
    <w:rsid w:val="00476256"/>
    <w:rsid w:val="00483703"/>
    <w:rsid w:val="0048630F"/>
    <w:rsid w:val="004947A1"/>
    <w:rsid w:val="0049482A"/>
    <w:rsid w:val="004979D3"/>
    <w:rsid w:val="004A00E7"/>
    <w:rsid w:val="004A3A61"/>
    <w:rsid w:val="004B59BA"/>
    <w:rsid w:val="004B5A03"/>
    <w:rsid w:val="004C224C"/>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3359"/>
    <w:rsid w:val="00556E63"/>
    <w:rsid w:val="005601A4"/>
    <w:rsid w:val="00566DBB"/>
    <w:rsid w:val="005767DB"/>
    <w:rsid w:val="005815E6"/>
    <w:rsid w:val="0058712F"/>
    <w:rsid w:val="005976CE"/>
    <w:rsid w:val="005A23D4"/>
    <w:rsid w:val="005A2D1E"/>
    <w:rsid w:val="005A420C"/>
    <w:rsid w:val="005B3756"/>
    <w:rsid w:val="005B5E7A"/>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72FDC"/>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037F"/>
    <w:rsid w:val="007E5466"/>
    <w:rsid w:val="007F1949"/>
    <w:rsid w:val="007F2592"/>
    <w:rsid w:val="00800A08"/>
    <w:rsid w:val="00817A84"/>
    <w:rsid w:val="008225A4"/>
    <w:rsid w:val="00824B92"/>
    <w:rsid w:val="00826D5E"/>
    <w:rsid w:val="00832013"/>
    <w:rsid w:val="00832DB7"/>
    <w:rsid w:val="00834732"/>
    <w:rsid w:val="0085200C"/>
    <w:rsid w:val="0085424C"/>
    <w:rsid w:val="00857C52"/>
    <w:rsid w:val="00860D5F"/>
    <w:rsid w:val="00861400"/>
    <w:rsid w:val="00880A44"/>
    <w:rsid w:val="0088345E"/>
    <w:rsid w:val="0088656F"/>
    <w:rsid w:val="00890BA8"/>
    <w:rsid w:val="00891EF6"/>
    <w:rsid w:val="008A0303"/>
    <w:rsid w:val="008A5FDD"/>
    <w:rsid w:val="008C3947"/>
    <w:rsid w:val="008E473B"/>
    <w:rsid w:val="008E51A6"/>
    <w:rsid w:val="008E7329"/>
    <w:rsid w:val="008F2ED5"/>
    <w:rsid w:val="00910ED7"/>
    <w:rsid w:val="0092297E"/>
    <w:rsid w:val="00923651"/>
    <w:rsid w:val="00927B56"/>
    <w:rsid w:val="009341BF"/>
    <w:rsid w:val="00937907"/>
    <w:rsid w:val="00941739"/>
    <w:rsid w:val="00951573"/>
    <w:rsid w:val="00952107"/>
    <w:rsid w:val="00963003"/>
    <w:rsid w:val="00966EEF"/>
    <w:rsid w:val="00971B28"/>
    <w:rsid w:val="00983471"/>
    <w:rsid w:val="009909AB"/>
    <w:rsid w:val="009B37DB"/>
    <w:rsid w:val="009C7324"/>
    <w:rsid w:val="009C7A8C"/>
    <w:rsid w:val="009D23F9"/>
    <w:rsid w:val="009D4FA8"/>
    <w:rsid w:val="009E44AE"/>
    <w:rsid w:val="009E6CD6"/>
    <w:rsid w:val="009F4D66"/>
    <w:rsid w:val="00A00C3C"/>
    <w:rsid w:val="00A01091"/>
    <w:rsid w:val="00A042B9"/>
    <w:rsid w:val="00A06DBB"/>
    <w:rsid w:val="00A22ADF"/>
    <w:rsid w:val="00A31E86"/>
    <w:rsid w:val="00A40564"/>
    <w:rsid w:val="00A54D87"/>
    <w:rsid w:val="00A5553C"/>
    <w:rsid w:val="00A61928"/>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279"/>
    <w:rsid w:val="00B13D65"/>
    <w:rsid w:val="00B21805"/>
    <w:rsid w:val="00B3072E"/>
    <w:rsid w:val="00B36E15"/>
    <w:rsid w:val="00B37245"/>
    <w:rsid w:val="00B4017A"/>
    <w:rsid w:val="00B42D9F"/>
    <w:rsid w:val="00B4468D"/>
    <w:rsid w:val="00B71C72"/>
    <w:rsid w:val="00B81E92"/>
    <w:rsid w:val="00B908D7"/>
    <w:rsid w:val="00B915AB"/>
    <w:rsid w:val="00B935E8"/>
    <w:rsid w:val="00B93B30"/>
    <w:rsid w:val="00B94CB5"/>
    <w:rsid w:val="00BA0DD9"/>
    <w:rsid w:val="00BA5DBC"/>
    <w:rsid w:val="00BA6A88"/>
    <w:rsid w:val="00BB3B54"/>
    <w:rsid w:val="00BB3BF2"/>
    <w:rsid w:val="00BB6312"/>
    <w:rsid w:val="00BC0B0A"/>
    <w:rsid w:val="00BC4D06"/>
    <w:rsid w:val="00BD585E"/>
    <w:rsid w:val="00BD6919"/>
    <w:rsid w:val="00BE1EA7"/>
    <w:rsid w:val="00BE3577"/>
    <w:rsid w:val="00BE7489"/>
    <w:rsid w:val="00BF2E0D"/>
    <w:rsid w:val="00BF3927"/>
    <w:rsid w:val="00BF3F8B"/>
    <w:rsid w:val="00BF76DA"/>
    <w:rsid w:val="00C0306A"/>
    <w:rsid w:val="00C07C7B"/>
    <w:rsid w:val="00C16245"/>
    <w:rsid w:val="00C22DC5"/>
    <w:rsid w:val="00C24479"/>
    <w:rsid w:val="00C273F2"/>
    <w:rsid w:val="00C308C3"/>
    <w:rsid w:val="00C31C5B"/>
    <w:rsid w:val="00C37B53"/>
    <w:rsid w:val="00C517D2"/>
    <w:rsid w:val="00C5772E"/>
    <w:rsid w:val="00C62B36"/>
    <w:rsid w:val="00C7012C"/>
    <w:rsid w:val="00C70688"/>
    <w:rsid w:val="00C712EA"/>
    <w:rsid w:val="00CA217D"/>
    <w:rsid w:val="00CC09D4"/>
    <w:rsid w:val="00CC668D"/>
    <w:rsid w:val="00CC7832"/>
    <w:rsid w:val="00CF0C1C"/>
    <w:rsid w:val="00CF27FD"/>
    <w:rsid w:val="00CF5F12"/>
    <w:rsid w:val="00D00D8F"/>
    <w:rsid w:val="00D21F3A"/>
    <w:rsid w:val="00D23808"/>
    <w:rsid w:val="00D3016A"/>
    <w:rsid w:val="00D349DB"/>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49DB"/>
    <w:rsid w:val="00DB1F64"/>
    <w:rsid w:val="00DC2F53"/>
    <w:rsid w:val="00DC5BAC"/>
    <w:rsid w:val="00DC6816"/>
    <w:rsid w:val="00DC76C2"/>
    <w:rsid w:val="00DD1CF2"/>
    <w:rsid w:val="00DD4764"/>
    <w:rsid w:val="00DD6247"/>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23EA"/>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7798"/>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B7D17"/>
    <w:rsid w:val="00FC1408"/>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ection 3- footnotes,Legemiddelverket 3,Summary Table,ASD Table,Key messages box,YHEC table,Tabellengitternetz 9pt,Table Grid nm"/>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table" w:customStyle="1" w:styleId="Keymessagesbox1">
    <w:name w:val="Key messages box1"/>
    <w:basedOn w:val="TableNormal"/>
    <w:next w:val="TableGrid"/>
    <w:rsid w:val="00BA6A8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qFormat/>
    <w:locked/>
    <w:rsid w:val="001351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7181">
      <w:bodyDiv w:val="1"/>
      <w:marLeft w:val="0"/>
      <w:marRight w:val="0"/>
      <w:marTop w:val="0"/>
      <w:marBottom w:val="0"/>
      <w:divBdr>
        <w:top w:val="none" w:sz="0" w:space="0" w:color="auto"/>
        <w:left w:val="none" w:sz="0" w:space="0" w:color="auto"/>
        <w:bottom w:val="none" w:sz="0" w:space="0" w:color="auto"/>
        <w:right w:val="none" w:sz="0" w:space="0" w:color="auto"/>
      </w:divBdr>
    </w:div>
    <w:div w:id="38379958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3F7FEE2873B4BA3EDA2F2E02FEF69"/>
        <w:category>
          <w:name w:val="General"/>
          <w:gallery w:val="placeholder"/>
        </w:category>
        <w:types>
          <w:type w:val="bbPlcHdr"/>
        </w:types>
        <w:behaviors>
          <w:behavior w:val="content"/>
        </w:behaviors>
        <w:guid w:val="{65BE5C7B-BCD9-A547-B0CF-27AA83BBEA62}"/>
      </w:docPartPr>
      <w:docPartBody>
        <w:p w:rsidR="00336BA1" w:rsidRDefault="006F1352" w:rsidP="006F1352">
          <w:pPr>
            <w:pStyle w:val="4283F7FEE2873B4BA3EDA2F2E02FEF6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6FE9"/>
    <w:rsid w:val="000503A3"/>
    <w:rsid w:val="00061157"/>
    <w:rsid w:val="000937FE"/>
    <w:rsid w:val="000A559A"/>
    <w:rsid w:val="000D24D4"/>
    <w:rsid w:val="0012372F"/>
    <w:rsid w:val="001C35A9"/>
    <w:rsid w:val="001F4559"/>
    <w:rsid w:val="00237556"/>
    <w:rsid w:val="002850A2"/>
    <w:rsid w:val="00336BA1"/>
    <w:rsid w:val="0039303B"/>
    <w:rsid w:val="00393DCF"/>
    <w:rsid w:val="004144A3"/>
    <w:rsid w:val="004160E7"/>
    <w:rsid w:val="004416C6"/>
    <w:rsid w:val="00450728"/>
    <w:rsid w:val="004D33EE"/>
    <w:rsid w:val="004F5AB2"/>
    <w:rsid w:val="005074B9"/>
    <w:rsid w:val="00553359"/>
    <w:rsid w:val="005627DC"/>
    <w:rsid w:val="005B5E7A"/>
    <w:rsid w:val="005E40DD"/>
    <w:rsid w:val="006F1352"/>
    <w:rsid w:val="007219C1"/>
    <w:rsid w:val="00753462"/>
    <w:rsid w:val="00772325"/>
    <w:rsid w:val="007A2FE0"/>
    <w:rsid w:val="007C6D1D"/>
    <w:rsid w:val="0090074D"/>
    <w:rsid w:val="009B3BF0"/>
    <w:rsid w:val="009D5E5E"/>
    <w:rsid w:val="009F1BB4"/>
    <w:rsid w:val="00A6763E"/>
    <w:rsid w:val="00AB6ED4"/>
    <w:rsid w:val="00B14210"/>
    <w:rsid w:val="00B23DC0"/>
    <w:rsid w:val="00B96656"/>
    <w:rsid w:val="00BB3BF2"/>
    <w:rsid w:val="00BC4B41"/>
    <w:rsid w:val="00BE29C1"/>
    <w:rsid w:val="00C2401D"/>
    <w:rsid w:val="00C332DD"/>
    <w:rsid w:val="00C53A68"/>
    <w:rsid w:val="00CA5BB4"/>
    <w:rsid w:val="00CA7279"/>
    <w:rsid w:val="00CB4BD1"/>
    <w:rsid w:val="00CE2DA9"/>
    <w:rsid w:val="00CE44BE"/>
    <w:rsid w:val="00CF7D5F"/>
    <w:rsid w:val="00D4356B"/>
    <w:rsid w:val="00D7162F"/>
    <w:rsid w:val="00D85637"/>
    <w:rsid w:val="00D949DB"/>
    <w:rsid w:val="00E44A86"/>
    <w:rsid w:val="00E522EB"/>
    <w:rsid w:val="00E60827"/>
    <w:rsid w:val="00E73FF6"/>
    <w:rsid w:val="00EC6310"/>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1352"/>
    <w:rPr>
      <w:color w:val="808080"/>
    </w:rPr>
  </w:style>
  <w:style w:type="paragraph" w:customStyle="1" w:styleId="4283F7FEE2873B4BA3EDA2F2E02FEF69">
    <w:name w:val="4283F7FEE2873B4BA3EDA2F2E02FEF69"/>
    <w:rsid w:val="006F1352"/>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6C6E-92DF-4B1F-8792-BB09A0EF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3191</Words>
  <Characters>18194</Characters>
  <Application>Microsoft Office Word</Application>
  <DocSecurity>0</DocSecurity>
  <Lines>151</Lines>
  <Paragraphs>42</Paragraphs>
  <ScaleCrop>false</ScaleCrop>
  <Company/>
  <LinksUpToDate>false</LinksUpToDate>
  <CharactersWithSpaces>21343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2025-03-12T07:24:00Z</dcterms:created>
  <dcterms:modified xsi:type="dcterms:W3CDTF">2025-03-19T17:58:00Z</dcterms:modified>
</cp:coreProperties>
</file>