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FFFDA" w14:textId="77777777" w:rsidR="00700D6D" w:rsidRDefault="00700D6D" w:rsidP="00700D6D">
      <w:pPr>
        <w:ind w:left="5529"/>
      </w:pPr>
    </w:p>
    <w:p w14:paraId="37F725DD" w14:textId="77777777" w:rsidR="00700D6D" w:rsidRPr="00E33EFF" w:rsidRDefault="00700D6D" w:rsidP="00700D6D">
      <w:pPr>
        <w:ind w:left="6096"/>
      </w:pPr>
      <w:r w:rsidRPr="00E33EFF">
        <w:t>Forma patvirtinta</w:t>
      </w:r>
    </w:p>
    <w:p w14:paraId="1F7456B2" w14:textId="77777777" w:rsidR="00700D6D" w:rsidRPr="00E33EFF" w:rsidRDefault="00700D6D" w:rsidP="00700D6D">
      <w:pPr>
        <w:ind w:left="6096"/>
      </w:pPr>
      <w:r w:rsidRPr="00E33EFF">
        <w:t>Valstybinės vaistų kontrolės tarnybos prie Lietuvos Respublikos sveikatos apsaugos ministerijos viršininko 2021 m. lapkričio 12 d. įsakymu Nr. (1.72E)1A-1418</w:t>
      </w:r>
    </w:p>
    <w:p w14:paraId="4D2EA21C" w14:textId="77777777" w:rsidR="00700D6D" w:rsidRPr="00E33EFF" w:rsidRDefault="00700D6D" w:rsidP="00700D6D">
      <w:pPr>
        <w:ind w:left="6096"/>
      </w:pPr>
      <w:r w:rsidRPr="00E33EFF">
        <w:t>(Valstybinės vaistų kontrolės tarnybos prie Lietuvos Respublikos sveikatos apsaugos ministerijos viršininko 2022 m.                         d. įsakymo Nr.                    redakcija)</w:t>
      </w:r>
    </w:p>
    <w:p w14:paraId="110DF5E6" w14:textId="77777777" w:rsidR="00700D6D" w:rsidRPr="00E33EFF" w:rsidRDefault="00700D6D" w:rsidP="00700D6D"/>
    <w:p w14:paraId="5F9F3758" w14:textId="77777777" w:rsidR="00700D6D" w:rsidRPr="00E33EFF" w:rsidRDefault="00700D6D" w:rsidP="00700D6D">
      <w:pPr>
        <w:jc w:val="center"/>
        <w:rPr>
          <w:b/>
          <w:bCs/>
          <w:caps/>
        </w:rPr>
      </w:pPr>
      <w:r w:rsidRPr="00E33EFF">
        <w:rPr>
          <w:b/>
        </w:rPr>
        <w:t xml:space="preserve">REKOMENDACIJA DĖL VAISTINIO PREPARATO </w:t>
      </w:r>
      <w:r w:rsidRPr="00E33EFF">
        <w:rPr>
          <w:b/>
          <w:bCs/>
          <w:caps/>
        </w:rPr>
        <w:t>Lietuvos Respublikos Sveikatos apsaugos ministerijos vaistinių preparatų ir medicinos pagalbos priemonių kompensavimo komisijai</w:t>
      </w:r>
    </w:p>
    <w:p w14:paraId="7A1B0D0C" w14:textId="77777777" w:rsidR="00700D6D" w:rsidRDefault="00700D6D" w:rsidP="00700D6D">
      <w:pPr>
        <w:rPr>
          <w:b/>
        </w:rPr>
      </w:pPr>
    </w:p>
    <w:p w14:paraId="17B8BEF2" w14:textId="0AA3004A" w:rsidR="004F3F16" w:rsidRDefault="004F3F16" w:rsidP="004F3F16">
      <w:pPr>
        <w:jc w:val="center"/>
        <w:rPr>
          <w:b/>
          <w:bCs/>
        </w:rPr>
      </w:pPr>
      <w:bookmarkStart w:id="0" w:name="_Hlk175083986"/>
      <w:r w:rsidRPr="0068694D">
        <w:rPr>
          <w:rFonts w:eastAsia="Arial"/>
          <w:b/>
          <w:bCs/>
          <w:color w:val="000000"/>
        </w:rPr>
        <w:t xml:space="preserve">Imbruvica </w:t>
      </w:r>
      <w:r w:rsidRPr="0068694D">
        <w:rPr>
          <w:b/>
          <w:bCs/>
        </w:rPr>
        <w:t>140/420/560 mg plėvele dengt</w:t>
      </w:r>
      <w:r w:rsidR="00D00D7E">
        <w:rPr>
          <w:b/>
          <w:bCs/>
        </w:rPr>
        <w:t>os</w:t>
      </w:r>
      <w:r w:rsidRPr="0068694D">
        <w:rPr>
          <w:b/>
          <w:bCs/>
        </w:rPr>
        <w:t xml:space="preserve"> tabletė</w:t>
      </w:r>
      <w:r w:rsidR="00D00D7E">
        <w:rPr>
          <w:b/>
          <w:bCs/>
        </w:rPr>
        <w:t>s</w:t>
      </w:r>
    </w:p>
    <w:p w14:paraId="3B364E34" w14:textId="77777777" w:rsidR="004F3F16" w:rsidRPr="0068694D" w:rsidRDefault="004F3F16" w:rsidP="004F3F16">
      <w:pPr>
        <w:jc w:val="center"/>
        <w:rPr>
          <w:b/>
          <w:bCs/>
        </w:rPr>
      </w:pPr>
    </w:p>
    <w:p w14:paraId="2582052F" w14:textId="77777777" w:rsidR="004F3F16" w:rsidRDefault="004F3F16" w:rsidP="004F3F16">
      <w:pPr>
        <w:jc w:val="center"/>
        <w:rPr>
          <w:b/>
        </w:rPr>
      </w:pPr>
      <w:r w:rsidRPr="003A62EE">
        <w:rPr>
          <w:b/>
        </w:rPr>
        <w:t xml:space="preserve">Ibrutinibas </w:t>
      </w:r>
    </w:p>
    <w:p w14:paraId="3268554A" w14:textId="77777777" w:rsidR="004F3F16" w:rsidRPr="003A62EE" w:rsidRDefault="004F3F16" w:rsidP="004F3F16">
      <w:pPr>
        <w:jc w:val="center"/>
        <w:rPr>
          <w:b/>
        </w:rPr>
      </w:pPr>
    </w:p>
    <w:p w14:paraId="080DA98E" w14:textId="77777777" w:rsidR="004F3F16" w:rsidRPr="003A62EE" w:rsidRDefault="004F3F16" w:rsidP="004F3F16">
      <w:pPr>
        <w:jc w:val="center"/>
        <w:rPr>
          <w:b/>
        </w:rPr>
      </w:pPr>
      <w:r w:rsidRPr="003A62EE">
        <w:rPr>
          <w:b/>
        </w:rPr>
        <w:t>STV-168</w:t>
      </w:r>
    </w:p>
    <w:bookmarkEnd w:id="0"/>
    <w:p w14:paraId="1DD0963E" w14:textId="77777777" w:rsidR="00700D6D" w:rsidRPr="00E33EFF" w:rsidRDefault="00700D6D" w:rsidP="00700D6D">
      <w:pPr>
        <w:jc w:val="center"/>
        <w:rPr>
          <w:b/>
        </w:rPr>
      </w:pPr>
    </w:p>
    <w:p w14:paraId="662091BA" w14:textId="77777777" w:rsidR="00700D6D" w:rsidRPr="00E33EFF" w:rsidRDefault="00700D6D" w:rsidP="00700D6D">
      <w:pPr>
        <w:pStyle w:val="Sraopastraipa"/>
        <w:numPr>
          <w:ilvl w:val="0"/>
          <w:numId w:val="12"/>
        </w:numPr>
        <w:tabs>
          <w:tab w:val="left" w:pos="567"/>
        </w:tabs>
        <w:ind w:left="567" w:hanging="567"/>
        <w:rPr>
          <w:b/>
          <w:bCs/>
          <w:caps/>
        </w:rPr>
      </w:pPr>
      <w:r w:rsidRPr="00E33EFF">
        <w:rPr>
          <w:b/>
          <w:bCs/>
          <w:caps/>
        </w:rPr>
        <w:t>Bendroji dalis</w:t>
      </w:r>
    </w:p>
    <w:p w14:paraId="0A83782C" w14:textId="77777777" w:rsidR="00700D6D" w:rsidRPr="00E33EFF" w:rsidRDefault="00700D6D" w:rsidP="00700D6D">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4F3F16" w:rsidRPr="006067D9" w14:paraId="3FCDA4D2" w14:textId="77777777" w:rsidTr="05914237">
        <w:trPr>
          <w:trHeight w:val="538"/>
        </w:trPr>
        <w:tc>
          <w:tcPr>
            <w:tcW w:w="632" w:type="dxa"/>
          </w:tcPr>
          <w:p w14:paraId="70A5DD2A" w14:textId="77777777" w:rsidR="004F3F16" w:rsidRPr="006067D9" w:rsidRDefault="004F3F16" w:rsidP="004F3F16">
            <w:pPr>
              <w:rPr>
                <w:rFonts w:eastAsia="Arial"/>
              </w:rPr>
            </w:pPr>
            <w:r w:rsidRPr="006067D9">
              <w:rPr>
                <w:rFonts w:eastAsia="Arial"/>
              </w:rPr>
              <w:t>1.1</w:t>
            </w:r>
          </w:p>
        </w:tc>
        <w:tc>
          <w:tcPr>
            <w:tcW w:w="3694" w:type="dxa"/>
          </w:tcPr>
          <w:p w14:paraId="26228268" w14:textId="77777777" w:rsidR="004F3F16" w:rsidRPr="006067D9" w:rsidRDefault="004F3F16" w:rsidP="004F3F16">
            <w:pPr>
              <w:rPr>
                <w:rFonts w:eastAsia="Arial"/>
              </w:rPr>
            </w:pPr>
            <w:r w:rsidRPr="006067D9">
              <w:rPr>
                <w:rFonts w:eastAsia="Arial"/>
              </w:rPr>
              <w:t>Pareiškėjas</w:t>
            </w:r>
          </w:p>
          <w:p w14:paraId="14F183DC" w14:textId="77777777" w:rsidR="004F3F16" w:rsidRPr="006067D9" w:rsidRDefault="004F3F16" w:rsidP="004F3F16">
            <w:pPr>
              <w:rPr>
                <w:rFonts w:eastAsia="Arial"/>
              </w:rPr>
            </w:pPr>
          </w:p>
        </w:tc>
        <w:tc>
          <w:tcPr>
            <w:tcW w:w="5167" w:type="dxa"/>
          </w:tcPr>
          <w:p w14:paraId="105C4B9E" w14:textId="0B3E1916" w:rsidR="004F3F16" w:rsidRPr="004F3F16" w:rsidRDefault="004F3F16" w:rsidP="004F3F16">
            <w:pPr>
              <w:rPr>
                <w:rFonts w:eastAsia="Arial"/>
              </w:rPr>
            </w:pPr>
            <w:r w:rsidRPr="004F3F16">
              <w:t>UAB „Johnson &amp; Johnson“</w:t>
            </w:r>
          </w:p>
        </w:tc>
      </w:tr>
      <w:tr w:rsidR="004F3F16" w:rsidRPr="006067D9" w14:paraId="24BEB735" w14:textId="77777777" w:rsidTr="05914237">
        <w:trPr>
          <w:trHeight w:val="538"/>
        </w:trPr>
        <w:tc>
          <w:tcPr>
            <w:tcW w:w="632" w:type="dxa"/>
          </w:tcPr>
          <w:p w14:paraId="4F38DD83" w14:textId="77777777" w:rsidR="004F3F16" w:rsidRPr="006067D9" w:rsidRDefault="004F3F16" w:rsidP="004F3F16">
            <w:pPr>
              <w:rPr>
                <w:rFonts w:eastAsia="Arial"/>
              </w:rPr>
            </w:pPr>
            <w:r w:rsidRPr="006067D9">
              <w:rPr>
                <w:rFonts w:eastAsia="Arial"/>
              </w:rPr>
              <w:t>1.2</w:t>
            </w:r>
          </w:p>
        </w:tc>
        <w:tc>
          <w:tcPr>
            <w:tcW w:w="3694" w:type="dxa"/>
          </w:tcPr>
          <w:p w14:paraId="5396C088" w14:textId="77777777" w:rsidR="004F3F16" w:rsidRPr="006067D9" w:rsidRDefault="004F3F16" w:rsidP="004F3F16">
            <w:pPr>
              <w:rPr>
                <w:bCs/>
                <w:color w:val="000000"/>
                <w:lang w:eastAsia="lt-LT"/>
              </w:rPr>
            </w:pPr>
            <w:r w:rsidRPr="006067D9">
              <w:rPr>
                <w:bCs/>
                <w:color w:val="000000"/>
                <w:lang w:eastAsia="lt-LT"/>
              </w:rPr>
              <w:t xml:space="preserve">Registracijos data </w:t>
            </w:r>
          </w:p>
          <w:p w14:paraId="5965085B" w14:textId="77777777" w:rsidR="004F3F16" w:rsidRPr="006067D9" w:rsidRDefault="004F3F16" w:rsidP="004F3F16">
            <w:pPr>
              <w:rPr>
                <w:bCs/>
                <w:color w:val="000000"/>
                <w:lang w:eastAsia="lt-LT"/>
              </w:rPr>
            </w:pPr>
          </w:p>
        </w:tc>
        <w:tc>
          <w:tcPr>
            <w:tcW w:w="5167" w:type="dxa"/>
          </w:tcPr>
          <w:p w14:paraId="13FE7AEE" w14:textId="234CADC7" w:rsidR="004F3F16" w:rsidRPr="004F3F16" w:rsidRDefault="00000000" w:rsidP="004F3F16">
            <w:pPr>
              <w:rPr>
                <w:rStyle w:val="Style2"/>
                <w:sz w:val="24"/>
              </w:rPr>
            </w:pPr>
            <w:sdt>
              <w:sdtPr>
                <w:rPr>
                  <w:sz w:val="32"/>
                </w:rPr>
                <w:alias w:val="Nurodykite konkrečią dieną"/>
                <w:tag w:val="Nurodykite pradžios datą"/>
                <w:id w:val="423238108"/>
                <w:placeholder>
                  <w:docPart w:val="2FD2F344FB99431D8821350069EE978D"/>
                </w:placeholder>
                <w15:color w:val="FFCC99"/>
                <w:date>
                  <w:dateFormat w:val="yyyy 'm.' MMMM d 'd.'"/>
                  <w:lid w:val="lt-LT"/>
                  <w:storeMappedDataAs w:val="dateTime"/>
                  <w:calendar w:val="gregorian"/>
                </w:date>
              </w:sdtPr>
              <w:sdtEndPr>
                <w:rPr>
                  <w:sz w:val="24"/>
                </w:rPr>
              </w:sdtEndPr>
              <w:sdtContent>
                <w:r w:rsidR="004F3F16" w:rsidRPr="004F3F16">
                  <w:t>2014 m. spalio 21 d.</w:t>
                </w:r>
              </w:sdtContent>
            </w:sdt>
          </w:p>
        </w:tc>
      </w:tr>
      <w:tr w:rsidR="00700D6D" w:rsidRPr="006067D9" w14:paraId="640CFCD3" w14:textId="77777777" w:rsidTr="05914237">
        <w:trPr>
          <w:trHeight w:val="96"/>
        </w:trPr>
        <w:tc>
          <w:tcPr>
            <w:tcW w:w="632" w:type="dxa"/>
          </w:tcPr>
          <w:p w14:paraId="43872F51" w14:textId="77777777" w:rsidR="00700D6D" w:rsidRPr="006067D9" w:rsidRDefault="00700D6D" w:rsidP="007135C7">
            <w:pPr>
              <w:rPr>
                <w:rFonts w:eastAsia="Arial"/>
              </w:rPr>
            </w:pPr>
            <w:r w:rsidRPr="006067D9">
              <w:rPr>
                <w:rFonts w:eastAsia="Arial"/>
              </w:rPr>
              <w:t>1.3</w:t>
            </w:r>
          </w:p>
        </w:tc>
        <w:tc>
          <w:tcPr>
            <w:tcW w:w="3694" w:type="dxa"/>
          </w:tcPr>
          <w:p w14:paraId="342EFFB5" w14:textId="77777777" w:rsidR="00700D6D" w:rsidRPr="006067D9" w:rsidRDefault="00700D6D" w:rsidP="007135C7">
            <w:r w:rsidRPr="006067D9">
              <w:t xml:space="preserve">Paraiškos tipas </w:t>
            </w:r>
          </w:p>
          <w:p w14:paraId="0A148EF6" w14:textId="77777777" w:rsidR="00700D6D" w:rsidRPr="006067D9" w:rsidRDefault="00700D6D" w:rsidP="007135C7">
            <w:r w:rsidRPr="05914237">
              <w:t xml:space="preserve">(pagal </w:t>
            </w:r>
            <w:r w:rsidRPr="05914237">
              <w:rPr>
                <w:color w:val="333333"/>
                <w:shd w:val="clear" w:color="auto" w:fill="FFFFFF"/>
              </w:rPr>
              <w:t>vaistinio preparato registracijos tipą, įtvirtintą</w:t>
            </w:r>
            <w:r w:rsidRPr="05914237">
              <w:t xml:space="preserve"> Direktyvos 2001/83/EB straipsiuose)</w:t>
            </w:r>
          </w:p>
        </w:tc>
        <w:tc>
          <w:tcPr>
            <w:tcW w:w="5167" w:type="dxa"/>
          </w:tcPr>
          <w:p w14:paraId="51BD1C6D" w14:textId="3C0B9B35" w:rsidR="00700D6D" w:rsidRPr="004F3F16" w:rsidRDefault="00000000" w:rsidP="007135C7">
            <w:sdt>
              <w:sdtPr>
                <w:rPr>
                  <w:rStyle w:val="Style2"/>
                  <w:sz w:val="24"/>
                </w:rPr>
                <w:id w:val="526292078"/>
                <w15:color w:val="FFCC00"/>
                <w14:checkbox>
                  <w14:checked w14:val="1"/>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8.3 str. (pilna byla, pagrįsta savais tyrimais) </w:t>
            </w:r>
          </w:p>
          <w:p w14:paraId="5EF8701E" w14:textId="3C20927B" w:rsidR="00700D6D" w:rsidRPr="004F3F16" w:rsidRDefault="00000000" w:rsidP="007135C7">
            <w:sdt>
              <w:sdtPr>
                <w:rPr>
                  <w:rStyle w:val="Style2"/>
                  <w:sz w:val="24"/>
                </w:rPr>
                <w:id w:val="-1497953736"/>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10 a str. (pripažintas medicininis vartojimas) </w:t>
            </w:r>
          </w:p>
          <w:p w14:paraId="7BF205A9" w14:textId="5AA1EBA2" w:rsidR="00700D6D" w:rsidRPr="004F3F16" w:rsidRDefault="00000000" w:rsidP="007135C7">
            <w:sdt>
              <w:sdtPr>
                <w:rPr>
                  <w:rStyle w:val="Style2"/>
                  <w:sz w:val="24"/>
                </w:rPr>
                <w:id w:val="204142496"/>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10.1 str. (generinis)</w:t>
            </w:r>
          </w:p>
          <w:p w14:paraId="0ED031A3" w14:textId="326FB76B" w:rsidR="00700D6D" w:rsidRPr="004F3F16" w:rsidRDefault="00000000" w:rsidP="007135C7">
            <w:pPr>
              <w:rPr>
                <w:rStyle w:val="Style2"/>
                <w:sz w:val="24"/>
              </w:rPr>
            </w:pPr>
            <w:sdt>
              <w:sdtPr>
                <w:rPr>
                  <w:rStyle w:val="Style2"/>
                  <w:sz w:val="24"/>
                </w:rPr>
                <w:id w:val="820305101"/>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10.3 str. (hibridinis)</w:t>
            </w:r>
          </w:p>
        </w:tc>
      </w:tr>
      <w:tr w:rsidR="00700D6D" w:rsidRPr="006067D9" w14:paraId="198AADBC" w14:textId="77777777" w:rsidTr="05914237">
        <w:trPr>
          <w:trHeight w:val="96"/>
        </w:trPr>
        <w:tc>
          <w:tcPr>
            <w:tcW w:w="632" w:type="dxa"/>
          </w:tcPr>
          <w:p w14:paraId="614C16D9" w14:textId="77777777" w:rsidR="00700D6D" w:rsidRPr="006067D9" w:rsidRDefault="00700D6D" w:rsidP="007135C7">
            <w:pPr>
              <w:rPr>
                <w:rFonts w:eastAsia="Arial"/>
              </w:rPr>
            </w:pPr>
            <w:r w:rsidRPr="006067D9">
              <w:rPr>
                <w:rFonts w:eastAsia="Arial"/>
              </w:rPr>
              <w:t>1.4</w:t>
            </w:r>
          </w:p>
        </w:tc>
        <w:tc>
          <w:tcPr>
            <w:tcW w:w="3694" w:type="dxa"/>
          </w:tcPr>
          <w:p w14:paraId="3F1567C3" w14:textId="77777777" w:rsidR="00700D6D" w:rsidRPr="006067D9" w:rsidRDefault="00700D6D" w:rsidP="007135C7">
            <w:pPr>
              <w:rPr>
                <w:bCs/>
                <w:color w:val="000000"/>
                <w:lang w:eastAsia="lt-LT"/>
              </w:rPr>
            </w:pPr>
            <w:r w:rsidRPr="006067D9">
              <w:rPr>
                <w:bCs/>
                <w:color w:val="000000"/>
                <w:lang w:eastAsia="lt-LT"/>
              </w:rPr>
              <w:t xml:space="preserve">Ar vaistinis preparatas įrašytas į Bendrijos retųjų vaistinių preparatų registrą? </w:t>
            </w:r>
          </w:p>
        </w:tc>
        <w:tc>
          <w:tcPr>
            <w:tcW w:w="5167" w:type="dxa"/>
          </w:tcPr>
          <w:p w14:paraId="333A7104" w14:textId="0BAC277D" w:rsidR="00700D6D" w:rsidRPr="004F3F16" w:rsidRDefault="00000000" w:rsidP="007135C7">
            <w:sdt>
              <w:sdtPr>
                <w:rPr>
                  <w:rStyle w:val="Style2"/>
                  <w:sz w:val="24"/>
                </w:rPr>
                <w:id w:val="2024432173"/>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 Taip</w:t>
            </w:r>
          </w:p>
          <w:p w14:paraId="640E83BD" w14:textId="52C51A89" w:rsidR="00700D6D" w:rsidRPr="004F3F16" w:rsidRDefault="00000000" w:rsidP="007135C7">
            <w:sdt>
              <w:sdtPr>
                <w:rPr>
                  <w:rStyle w:val="Style2"/>
                  <w:sz w:val="24"/>
                </w:rPr>
                <w:id w:val="-970507926"/>
                <w15:color w:val="FFCC00"/>
                <w14:checkbox>
                  <w14:checked w14:val="1"/>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 Ne</w:t>
            </w:r>
          </w:p>
          <w:p w14:paraId="1BE0C8F9" w14:textId="77777777" w:rsidR="00700D6D" w:rsidRPr="004F3F16" w:rsidRDefault="00000000" w:rsidP="05914237">
            <w:pPr>
              <w:rPr>
                <w:rFonts w:eastAsia="Arial"/>
              </w:rPr>
            </w:pPr>
            <w:sdt>
              <w:sdtPr>
                <w:alias w:val="Nurodykite konkrečią dieną"/>
                <w:tag w:val="Nurodykite pradžios datą"/>
                <w:id w:val="693498901"/>
                <w:placeholder>
                  <w:docPart w:val="F3B1ADE96A8F4BA5A9179EEE75D5871A"/>
                </w:placeholder>
                <w:showingPlcHdr/>
                <w15:color w:val="FFCC99"/>
                <w:date w:fullDate="2022-05-18T00:00:00Z">
                  <w:dateFormat w:val="yyyy 'm.' MMMM d 'd.'"/>
                  <w:lid w:val="lt-LT"/>
                  <w:storeMappedDataAs w:val="dateTime"/>
                  <w:calendar w:val="gregorian"/>
                </w:date>
              </w:sdtPr>
              <w:sdtContent>
                <w:r w:rsidR="00700D6D" w:rsidRPr="004F3F16">
                  <w:rPr>
                    <w:rStyle w:val="Vietosrezervavimoenklotekstas"/>
                  </w:rPr>
                  <w:t>Click here to enter a date.</w:t>
                </w:r>
              </w:sdtContent>
            </w:sdt>
          </w:p>
        </w:tc>
      </w:tr>
      <w:tr w:rsidR="00700D6D" w:rsidRPr="006067D9" w14:paraId="1C4F54EA" w14:textId="77777777" w:rsidTr="05914237">
        <w:trPr>
          <w:trHeight w:val="476"/>
        </w:trPr>
        <w:tc>
          <w:tcPr>
            <w:tcW w:w="632" w:type="dxa"/>
          </w:tcPr>
          <w:p w14:paraId="7837BE64" w14:textId="77777777" w:rsidR="00700D6D" w:rsidRPr="006067D9" w:rsidRDefault="00700D6D" w:rsidP="007135C7">
            <w:pPr>
              <w:rPr>
                <w:rFonts w:eastAsia="Arial"/>
              </w:rPr>
            </w:pPr>
            <w:r w:rsidRPr="006067D9">
              <w:rPr>
                <w:rFonts w:eastAsia="Arial"/>
              </w:rPr>
              <w:t>1.5</w:t>
            </w:r>
          </w:p>
        </w:tc>
        <w:tc>
          <w:tcPr>
            <w:tcW w:w="3694" w:type="dxa"/>
          </w:tcPr>
          <w:p w14:paraId="0D8FEBE8" w14:textId="77777777" w:rsidR="00700D6D" w:rsidRPr="006067D9" w:rsidRDefault="00700D6D" w:rsidP="007135C7">
            <w:pPr>
              <w:rPr>
                <w:bCs/>
                <w:color w:val="000000"/>
                <w:lang w:eastAsia="lt-LT"/>
              </w:rPr>
            </w:pPr>
            <w:r w:rsidRPr="006067D9">
              <w:t>STV paraiškos pobūdis</w:t>
            </w:r>
          </w:p>
        </w:tc>
        <w:tc>
          <w:tcPr>
            <w:tcW w:w="5167" w:type="dxa"/>
          </w:tcPr>
          <w:p w14:paraId="6559D435" w14:textId="57DE2327" w:rsidR="00700D6D" w:rsidRPr="004F3F16" w:rsidRDefault="00000000" w:rsidP="007135C7">
            <w:sdt>
              <w:sdtPr>
                <w:rPr>
                  <w:rStyle w:val="Style2"/>
                  <w:sz w:val="24"/>
                </w:rPr>
                <w:id w:val="-468433535"/>
                <w15:color w:val="FFCC00"/>
                <w14:checkbox>
                  <w14:checked w14:val="1"/>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 Pilna paraiška</w:t>
            </w:r>
          </w:p>
          <w:p w14:paraId="422EE68C" w14:textId="6C3198F7" w:rsidR="00700D6D" w:rsidRPr="004F3F16" w:rsidRDefault="00000000" w:rsidP="007135C7">
            <w:sdt>
              <w:sdtPr>
                <w:rPr>
                  <w:rStyle w:val="Style2"/>
                  <w:sz w:val="24"/>
                </w:rPr>
                <w:id w:val="-1489014904"/>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hint="eastAsia"/>
                    <w:sz w:val="24"/>
                  </w:rPr>
                  <w:t>☐</w:t>
                </w:r>
              </w:sdtContent>
            </w:sdt>
            <w:r w:rsidR="00700D6D" w:rsidRPr="004F3F16">
              <w:t xml:space="preserve"> Supaprastinta paraiška</w:t>
            </w:r>
          </w:p>
        </w:tc>
      </w:tr>
      <w:tr w:rsidR="004F3F16" w:rsidRPr="006067D9" w14:paraId="3D24393D" w14:textId="77777777" w:rsidTr="05914237">
        <w:trPr>
          <w:trHeight w:val="681"/>
        </w:trPr>
        <w:tc>
          <w:tcPr>
            <w:tcW w:w="632" w:type="dxa"/>
          </w:tcPr>
          <w:p w14:paraId="2A79567F" w14:textId="77777777" w:rsidR="004F3F16" w:rsidRPr="006067D9" w:rsidRDefault="004F3F16" w:rsidP="004F3F16">
            <w:pPr>
              <w:rPr>
                <w:rFonts w:eastAsia="Arial"/>
              </w:rPr>
            </w:pPr>
            <w:r w:rsidRPr="006067D9">
              <w:rPr>
                <w:rFonts w:eastAsia="Arial"/>
              </w:rPr>
              <w:t>1.6</w:t>
            </w:r>
          </w:p>
        </w:tc>
        <w:tc>
          <w:tcPr>
            <w:tcW w:w="3694" w:type="dxa"/>
          </w:tcPr>
          <w:p w14:paraId="0BF8168A" w14:textId="77777777" w:rsidR="004F3F16" w:rsidRPr="006067D9" w:rsidRDefault="004F3F16" w:rsidP="004F3F16">
            <w:pPr>
              <w:rPr>
                <w:color w:val="000000"/>
                <w:lang w:eastAsia="lt-LT"/>
              </w:rPr>
            </w:pPr>
            <w:r w:rsidRPr="05914237">
              <w:rPr>
                <w:color w:val="000000" w:themeColor="text1"/>
                <w:lang w:eastAsia="lt-LT"/>
              </w:rPr>
              <w:t>Pareiškėjo teikiama (-os) kompensuoti vaistinio preparato indikacija (-os)</w:t>
            </w:r>
          </w:p>
          <w:p w14:paraId="47855BC9" w14:textId="77777777" w:rsidR="004F3F16" w:rsidRPr="006067D9" w:rsidRDefault="004F3F16" w:rsidP="004F3F16">
            <w:pPr>
              <w:rPr>
                <w:bCs/>
                <w:color w:val="000000"/>
                <w:lang w:eastAsia="lt-LT"/>
              </w:rPr>
            </w:pPr>
          </w:p>
          <w:p w14:paraId="621F1BF0" w14:textId="77777777" w:rsidR="004F3F16" w:rsidRPr="006067D9" w:rsidRDefault="004F3F16" w:rsidP="004F3F16">
            <w:pPr>
              <w:rPr>
                <w:bCs/>
                <w:color w:val="000000"/>
                <w:lang w:eastAsia="lt-LT"/>
              </w:rPr>
            </w:pPr>
            <w:r w:rsidRPr="006067D9">
              <w:rPr>
                <w:bCs/>
                <w:color w:val="000000"/>
                <w:lang w:eastAsia="lt-LT"/>
              </w:rPr>
              <w:t>Kodas pagal TLK-10 AM</w:t>
            </w:r>
          </w:p>
        </w:tc>
        <w:tc>
          <w:tcPr>
            <w:tcW w:w="5167" w:type="dxa"/>
          </w:tcPr>
          <w:p w14:paraId="47EEDF45" w14:textId="77777777" w:rsidR="004F3F16" w:rsidRPr="004F3F16" w:rsidRDefault="004F3F16" w:rsidP="004F3F16">
            <w:pPr>
              <w:spacing w:after="120"/>
              <w:jc w:val="both"/>
            </w:pPr>
            <w:bookmarkStart w:id="1" w:name="_Hlk182063812"/>
            <w:r w:rsidRPr="004F3F16">
              <w:rPr>
                <w:rFonts w:eastAsia="Arial"/>
              </w:rPr>
              <w:t>IMBRUVICA derinant su venetoklaksu yra skirtas lėtine limfocitine leukemija (LLL) sergančių suaugusių pacientų, kurie anksčiau nebuvo gydyti, gydymui</w:t>
            </w:r>
            <w:r w:rsidRPr="004F3F16">
              <w:t>.</w:t>
            </w:r>
          </w:p>
          <w:p w14:paraId="63D9FF4E" w14:textId="31F84823" w:rsidR="004F3F16" w:rsidRPr="004F3F16" w:rsidRDefault="004F3F16" w:rsidP="004F3F16">
            <w:r w:rsidRPr="004F3F16">
              <w:t>TLK kodas C91.1.</w:t>
            </w:r>
            <w:bookmarkEnd w:id="1"/>
          </w:p>
        </w:tc>
      </w:tr>
      <w:tr w:rsidR="004F3F16" w:rsidRPr="006067D9" w14:paraId="3851BDEC" w14:textId="77777777" w:rsidTr="05914237">
        <w:trPr>
          <w:trHeight w:val="378"/>
        </w:trPr>
        <w:tc>
          <w:tcPr>
            <w:tcW w:w="632" w:type="dxa"/>
          </w:tcPr>
          <w:p w14:paraId="31B4B433" w14:textId="77777777" w:rsidR="004F3F16" w:rsidRPr="006067D9" w:rsidRDefault="004F3F16" w:rsidP="004F3F16">
            <w:pPr>
              <w:rPr>
                <w:rFonts w:eastAsia="Arial"/>
              </w:rPr>
            </w:pPr>
            <w:r w:rsidRPr="006067D9">
              <w:rPr>
                <w:rFonts w:eastAsia="Arial"/>
              </w:rPr>
              <w:t>1.6</w:t>
            </w:r>
          </w:p>
        </w:tc>
        <w:tc>
          <w:tcPr>
            <w:tcW w:w="3694" w:type="dxa"/>
          </w:tcPr>
          <w:p w14:paraId="7C71D699" w14:textId="77777777" w:rsidR="004F3F16" w:rsidRPr="006067D9" w:rsidRDefault="004F3F16" w:rsidP="004F3F16">
            <w:pPr>
              <w:rPr>
                <w:bCs/>
                <w:color w:val="000000"/>
                <w:u w:val="single"/>
                <w:lang w:eastAsia="lt-LT"/>
              </w:rPr>
            </w:pPr>
            <w:r w:rsidRPr="006067D9">
              <w:rPr>
                <w:bCs/>
                <w:color w:val="000000"/>
                <w:lang w:eastAsia="lt-LT"/>
              </w:rPr>
              <w:t xml:space="preserve">Pareiškėjo teikiamos skyrimo sąlygos </w:t>
            </w:r>
          </w:p>
        </w:tc>
        <w:tc>
          <w:tcPr>
            <w:tcW w:w="5167" w:type="dxa"/>
          </w:tcPr>
          <w:p w14:paraId="3642B620" w14:textId="60634482" w:rsidR="004F3F16" w:rsidRPr="004F3F16" w:rsidRDefault="004F3F16" w:rsidP="004F3F16">
            <w:r w:rsidRPr="004F3F16">
              <w:t>Nėra.</w:t>
            </w:r>
          </w:p>
        </w:tc>
      </w:tr>
      <w:tr w:rsidR="00700D6D" w:rsidRPr="006067D9" w14:paraId="30EBF719" w14:textId="77777777" w:rsidTr="05914237">
        <w:trPr>
          <w:trHeight w:val="96"/>
        </w:trPr>
        <w:tc>
          <w:tcPr>
            <w:tcW w:w="632" w:type="dxa"/>
          </w:tcPr>
          <w:p w14:paraId="32EFC779" w14:textId="77777777" w:rsidR="00700D6D" w:rsidRPr="006067D9" w:rsidRDefault="00700D6D" w:rsidP="007135C7">
            <w:pPr>
              <w:rPr>
                <w:rFonts w:eastAsia="Arial"/>
              </w:rPr>
            </w:pPr>
            <w:r w:rsidRPr="006067D9">
              <w:rPr>
                <w:rFonts w:eastAsia="Arial"/>
              </w:rPr>
              <w:t>1.7</w:t>
            </w:r>
          </w:p>
        </w:tc>
        <w:tc>
          <w:tcPr>
            <w:tcW w:w="3694" w:type="dxa"/>
          </w:tcPr>
          <w:p w14:paraId="33C44466" w14:textId="77777777" w:rsidR="00700D6D" w:rsidRPr="006067D9" w:rsidRDefault="00700D6D" w:rsidP="007135C7">
            <w:pPr>
              <w:rPr>
                <w:bCs/>
                <w:color w:val="000000"/>
                <w:lang w:eastAsia="lt-LT"/>
              </w:rPr>
            </w:pPr>
            <w:r w:rsidRPr="006067D9">
              <w:rPr>
                <w:bCs/>
                <w:color w:val="000000"/>
                <w:lang w:eastAsia="lt-LT"/>
              </w:rPr>
              <w:t>Pareiškėjo teikiamas palyginamasis gydymas</w:t>
            </w:r>
            <w:r>
              <w:rPr>
                <w:bCs/>
                <w:color w:val="000000"/>
                <w:lang w:eastAsia="lt-LT"/>
              </w:rPr>
              <w:t>.</w:t>
            </w:r>
          </w:p>
        </w:tc>
        <w:tc>
          <w:tcPr>
            <w:tcW w:w="5167" w:type="dxa"/>
          </w:tcPr>
          <w:p w14:paraId="0B80D5EC" w14:textId="77777777" w:rsidR="00700D6D" w:rsidRPr="004F3F16" w:rsidRDefault="00000000" w:rsidP="007135C7">
            <w:sdt>
              <w:sdtPr>
                <w:rPr>
                  <w:rStyle w:val="Style2"/>
                  <w:sz w:val="24"/>
                </w:rPr>
                <w:id w:val="1480955706"/>
                <w15:color w:val="FFCC00"/>
                <w14:checkbox>
                  <w14:checked w14:val="1"/>
                  <w14:checkedState w14:val="2612" w14:font="MS Gothic"/>
                  <w14:uncheckedState w14:val="2610" w14:font="MS Gothic"/>
                </w14:checkbox>
              </w:sdtPr>
              <w:sdtContent>
                <w:r w:rsidR="00700D6D" w:rsidRPr="004F3F16">
                  <w:rPr>
                    <w:rStyle w:val="Style2"/>
                    <w:rFonts w:ascii="MS Gothic" w:eastAsia="MS Gothic" w:hAnsi="MS Gothic" w:hint="eastAsia"/>
                    <w:sz w:val="24"/>
                  </w:rPr>
                  <w:t>☒</w:t>
                </w:r>
              </w:sdtContent>
            </w:sdt>
            <w:r w:rsidR="00700D6D" w:rsidRPr="004F3F16">
              <w:t xml:space="preserve"> Tinkamas</w:t>
            </w:r>
          </w:p>
          <w:p w14:paraId="689B828B" w14:textId="77777777" w:rsidR="00700D6D" w:rsidRPr="004F3F16" w:rsidRDefault="00000000" w:rsidP="007135C7">
            <w:sdt>
              <w:sdtPr>
                <w:rPr>
                  <w:rStyle w:val="Style2"/>
                  <w:sz w:val="24"/>
                </w:rPr>
                <w:id w:val="-352420698"/>
                <w15:color w:val="FFCC00"/>
                <w14:checkbox>
                  <w14:checked w14:val="0"/>
                  <w14:checkedState w14:val="2612" w14:font="MS Gothic"/>
                  <w14:uncheckedState w14:val="2610" w14:font="MS Gothic"/>
                </w14:checkbox>
              </w:sdtPr>
              <w:sdtContent>
                <w:r w:rsidR="00700D6D" w:rsidRPr="004F3F16">
                  <w:rPr>
                    <w:rStyle w:val="Style2"/>
                    <w:rFonts w:ascii="MS Gothic" w:eastAsia="MS Gothic" w:hAnsi="MS Gothic" w:hint="eastAsia"/>
                    <w:sz w:val="24"/>
                  </w:rPr>
                  <w:t>☐</w:t>
                </w:r>
              </w:sdtContent>
            </w:sdt>
            <w:r w:rsidR="00700D6D" w:rsidRPr="004F3F16">
              <w:t xml:space="preserve"> Netinkama</w:t>
            </w:r>
          </w:p>
        </w:tc>
      </w:tr>
    </w:tbl>
    <w:p w14:paraId="6773436F" w14:textId="77777777" w:rsidR="00700D6D" w:rsidRDefault="00700D6D" w:rsidP="00700D6D">
      <w:pPr>
        <w:pStyle w:val="Sraopastraipa"/>
        <w:tabs>
          <w:tab w:val="left" w:pos="426"/>
        </w:tabs>
        <w:ind w:left="0"/>
        <w:rPr>
          <w:b/>
          <w:bCs/>
          <w:caps/>
        </w:rPr>
      </w:pPr>
    </w:p>
    <w:p w14:paraId="0D6002BA" w14:textId="77777777" w:rsidR="008E2427" w:rsidRPr="00E33EFF" w:rsidRDefault="008E2427" w:rsidP="00700D6D">
      <w:pPr>
        <w:pStyle w:val="Sraopastraipa"/>
        <w:tabs>
          <w:tab w:val="left" w:pos="426"/>
        </w:tabs>
        <w:ind w:left="0"/>
        <w:rPr>
          <w:b/>
          <w:bCs/>
          <w:caps/>
        </w:rPr>
      </w:pPr>
    </w:p>
    <w:p w14:paraId="4BEEF2DC" w14:textId="77777777" w:rsidR="00700D6D" w:rsidRPr="00E33EFF" w:rsidRDefault="00700D6D" w:rsidP="00700D6D">
      <w:pPr>
        <w:spacing w:line="276" w:lineRule="auto"/>
        <w:jc w:val="both"/>
        <w:rPr>
          <w:rFonts w:eastAsia="Arial"/>
          <w:b/>
        </w:rPr>
      </w:pPr>
      <w:r w:rsidRPr="00E33EFF">
        <w:rPr>
          <w:rFonts w:eastAsia="Arial"/>
          <w:b/>
        </w:rPr>
        <w:lastRenderedPageBreak/>
        <w:t>1.8 Kitų valstybių atsakingų institucijų atlikto Sveikatos technologijų vertinimo (toliau – STV) išvados</w:t>
      </w:r>
    </w:p>
    <w:p w14:paraId="28E7AD3A" w14:textId="77777777" w:rsidR="00700D6D" w:rsidRPr="00E33EFF" w:rsidRDefault="00700D6D" w:rsidP="00700D6D">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700D6D" w:rsidRPr="00414E1A" w14:paraId="2DD348AF" w14:textId="77777777" w:rsidTr="05914237">
        <w:trPr>
          <w:trHeight w:val="924"/>
        </w:trPr>
        <w:tc>
          <w:tcPr>
            <w:tcW w:w="2927" w:type="dxa"/>
            <w:tcBorders>
              <w:top w:val="single" w:sz="4" w:space="0" w:color="auto"/>
              <w:left w:val="single" w:sz="4" w:space="0" w:color="auto"/>
              <w:bottom w:val="single" w:sz="4" w:space="0" w:color="auto"/>
              <w:right w:val="single" w:sz="4" w:space="0" w:color="auto"/>
            </w:tcBorders>
            <w:hideMark/>
          </w:tcPr>
          <w:p w14:paraId="5AED5299" w14:textId="77777777" w:rsidR="00700D6D" w:rsidRPr="00414E1A" w:rsidRDefault="00700D6D" w:rsidP="007135C7">
            <w:pPr>
              <w:spacing w:line="276" w:lineRule="auto"/>
              <w:rPr>
                <w:rFonts w:eastAsia="Arial"/>
                <w:sz w:val="22"/>
                <w:szCs w:val="22"/>
              </w:rPr>
            </w:pPr>
            <w:r w:rsidRPr="00414E1A">
              <w:rPr>
                <w:rFonts w:eastAsia="Arial"/>
                <w:sz w:val="22"/>
                <w:szCs w:val="22"/>
              </w:rPr>
              <w:t>STV agentūros pavadinimas, šalis</w:t>
            </w:r>
          </w:p>
        </w:tc>
        <w:tc>
          <w:tcPr>
            <w:tcW w:w="1915" w:type="dxa"/>
            <w:tcBorders>
              <w:top w:val="single" w:sz="4" w:space="0" w:color="auto"/>
              <w:left w:val="single" w:sz="4" w:space="0" w:color="auto"/>
              <w:bottom w:val="single" w:sz="4" w:space="0" w:color="auto"/>
              <w:right w:val="single" w:sz="4" w:space="0" w:color="auto"/>
            </w:tcBorders>
            <w:hideMark/>
          </w:tcPr>
          <w:p w14:paraId="5D86B130" w14:textId="77777777" w:rsidR="00700D6D" w:rsidRPr="00414E1A" w:rsidRDefault="00700D6D" w:rsidP="007135C7">
            <w:pPr>
              <w:spacing w:line="276" w:lineRule="auto"/>
              <w:rPr>
                <w:rFonts w:eastAsia="Arial"/>
                <w:sz w:val="22"/>
                <w:szCs w:val="22"/>
              </w:rPr>
            </w:pPr>
            <w:r w:rsidRPr="00414E1A">
              <w:rPr>
                <w:rFonts w:eastAsia="Arial"/>
                <w:sz w:val="22"/>
                <w:szCs w:val="22"/>
              </w:rPr>
              <w:t>STV vertinimas atliktas</w:t>
            </w:r>
          </w:p>
        </w:tc>
        <w:tc>
          <w:tcPr>
            <w:tcW w:w="2351" w:type="dxa"/>
            <w:tcBorders>
              <w:top w:val="single" w:sz="4" w:space="0" w:color="auto"/>
              <w:left w:val="single" w:sz="4" w:space="0" w:color="auto"/>
              <w:bottom w:val="single" w:sz="4" w:space="0" w:color="auto"/>
              <w:right w:val="single" w:sz="4" w:space="0" w:color="auto"/>
            </w:tcBorders>
            <w:hideMark/>
          </w:tcPr>
          <w:p w14:paraId="13487713" w14:textId="77777777" w:rsidR="00700D6D" w:rsidRPr="00414E1A" w:rsidRDefault="00700D6D" w:rsidP="007135C7">
            <w:pPr>
              <w:spacing w:line="276" w:lineRule="auto"/>
              <w:rPr>
                <w:rFonts w:eastAsia="Arial"/>
                <w:sz w:val="22"/>
                <w:szCs w:val="22"/>
              </w:rPr>
            </w:pPr>
            <w:r w:rsidRPr="00414E1A">
              <w:rPr>
                <w:rFonts w:eastAsia="Arial"/>
                <w:sz w:val="22"/>
                <w:szCs w:val="22"/>
              </w:rPr>
              <w:t>Klinikinio vertinimo išvada</w:t>
            </w:r>
          </w:p>
        </w:tc>
        <w:tc>
          <w:tcPr>
            <w:tcW w:w="2725" w:type="dxa"/>
            <w:tcBorders>
              <w:top w:val="single" w:sz="4" w:space="0" w:color="auto"/>
              <w:left w:val="single" w:sz="4" w:space="0" w:color="auto"/>
              <w:bottom w:val="single" w:sz="4" w:space="0" w:color="auto"/>
              <w:right w:val="single" w:sz="4" w:space="0" w:color="auto"/>
            </w:tcBorders>
            <w:hideMark/>
          </w:tcPr>
          <w:p w14:paraId="5E0CD84F" w14:textId="77777777" w:rsidR="00700D6D" w:rsidRPr="00414E1A" w:rsidRDefault="00700D6D" w:rsidP="05914237">
            <w:pPr>
              <w:spacing w:line="276" w:lineRule="auto"/>
              <w:rPr>
                <w:rFonts w:eastAsia="Arial"/>
                <w:sz w:val="22"/>
                <w:szCs w:val="22"/>
              </w:rPr>
            </w:pPr>
            <w:r w:rsidRPr="05914237">
              <w:rPr>
                <w:rFonts w:eastAsia="Arial"/>
                <w:sz w:val="22"/>
                <w:szCs w:val="22"/>
              </w:rPr>
              <w:t>Farmakoekonominio vertinimo išvada</w:t>
            </w:r>
          </w:p>
        </w:tc>
      </w:tr>
      <w:tr w:rsidR="004F3F16" w:rsidRPr="00414E1A" w14:paraId="2D7ABABC" w14:textId="77777777" w:rsidTr="05914237">
        <w:trPr>
          <w:trHeight w:val="1765"/>
        </w:trPr>
        <w:tc>
          <w:tcPr>
            <w:tcW w:w="2927" w:type="dxa"/>
            <w:tcBorders>
              <w:top w:val="single" w:sz="4" w:space="0" w:color="auto"/>
              <w:left w:val="single" w:sz="4" w:space="0" w:color="auto"/>
              <w:bottom w:val="single" w:sz="4" w:space="0" w:color="auto"/>
              <w:right w:val="single" w:sz="4" w:space="0" w:color="auto"/>
            </w:tcBorders>
            <w:hideMark/>
          </w:tcPr>
          <w:p w14:paraId="1D983054" w14:textId="77777777" w:rsidR="004F3F16" w:rsidRPr="004F3F16" w:rsidRDefault="004F3F16" w:rsidP="004F3F16">
            <w:pPr>
              <w:autoSpaceDE w:val="0"/>
              <w:autoSpaceDN w:val="0"/>
              <w:adjustRightInd w:val="0"/>
              <w:rPr>
                <w:bCs/>
              </w:rPr>
            </w:pPr>
            <w:r w:rsidRPr="004F3F16">
              <w:rPr>
                <w:bCs/>
              </w:rPr>
              <w:t>Nacionalinis sveikatos ir klinikinės kompetencijos institutas, Didžioji Britanija</w:t>
            </w:r>
          </w:p>
          <w:p w14:paraId="7282B651" w14:textId="77777777" w:rsidR="004F3F16" w:rsidRPr="004F3F16" w:rsidRDefault="004F3F16" w:rsidP="004F3F16">
            <w:pPr>
              <w:spacing w:line="276" w:lineRule="auto"/>
              <w:rPr>
                <w:rFonts w:eastAsia="Arial"/>
              </w:rPr>
            </w:pPr>
            <w:r w:rsidRPr="004F3F16">
              <w:rPr>
                <w:rFonts w:eastAsia="Arial"/>
              </w:rPr>
              <w:t xml:space="preserve">(angl. </w:t>
            </w:r>
            <w:r w:rsidRPr="004F3F16">
              <w:rPr>
                <w:rFonts w:eastAsia="Arial"/>
                <w:i/>
                <w:iCs/>
              </w:rPr>
              <w:t>National Institute for Health and Care Excellence, NICE</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2B157416" w14:textId="77777777" w:rsidR="004F3F16" w:rsidRPr="004F3F16" w:rsidRDefault="00000000" w:rsidP="004F3F16">
            <w:sdt>
              <w:sdtPr>
                <w:rPr>
                  <w:rStyle w:val="Style2"/>
                  <w:sz w:val="24"/>
                </w:rPr>
                <w:id w:val="1558205022"/>
                <w15:color w:val="FFCC00"/>
                <w14:checkbox>
                  <w14:checked w14:val="1"/>
                  <w14:checkedState w14:val="2612" w14:font="MS Gothic"/>
                  <w14:uncheckedState w14:val="2610" w14:font="MS Gothic"/>
                </w14:checkbox>
              </w:sdtPr>
              <w:sdtContent>
                <w:r w:rsidR="004F3F16" w:rsidRPr="004F3F16">
                  <w:rPr>
                    <w:rStyle w:val="Style2"/>
                    <w:rFonts w:ascii="MS Gothic" w:eastAsia="MS Gothic" w:hAnsi="MS Gothic"/>
                    <w:sz w:val="24"/>
                  </w:rPr>
                  <w:t>☒</w:t>
                </w:r>
              </w:sdtContent>
            </w:sdt>
            <w:r w:rsidR="004F3F16" w:rsidRPr="004F3F16">
              <w:t xml:space="preserve"> Taip</w:t>
            </w:r>
          </w:p>
          <w:p w14:paraId="7113330D" w14:textId="77777777" w:rsidR="004F3F16" w:rsidRPr="004F3F16" w:rsidRDefault="00000000" w:rsidP="004F3F16">
            <w:sdt>
              <w:sdtPr>
                <w:rPr>
                  <w:rStyle w:val="Style2"/>
                  <w:sz w:val="24"/>
                </w:rPr>
                <w:id w:val="866029625"/>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sz w:val="24"/>
                  </w:rPr>
                  <w:t>☐</w:t>
                </w:r>
              </w:sdtContent>
            </w:sdt>
            <w:r w:rsidR="004F3F16" w:rsidRPr="004F3F16">
              <w:t xml:space="preserve"> Ne</w:t>
            </w:r>
          </w:p>
          <w:p w14:paraId="46CAD37F" w14:textId="089A695F" w:rsidR="004F3F16" w:rsidRPr="004F3F16" w:rsidRDefault="00000000" w:rsidP="004F3F16">
            <w:pPr>
              <w:rPr>
                <w:rFonts w:eastAsia="Arial"/>
              </w:rPr>
            </w:pPr>
            <w:sdt>
              <w:sdtPr>
                <w:alias w:val="Nurodykite konkrečią dieną"/>
                <w:tag w:val="Nurodykite pradžios datą"/>
                <w:id w:val="922837954"/>
                <w:placeholder>
                  <w:docPart w:val="FDD12E7BCBCE4E61A027C722F8846C62"/>
                </w:placeholder>
                <w15:color w:val="FFCC99"/>
                <w:date>
                  <w:dateFormat w:val="yyyy 'm.' MMMM d 'd.'"/>
                  <w:lid w:val="lt-LT"/>
                  <w:storeMappedDataAs w:val="dateTime"/>
                  <w:calendar w:val="gregorian"/>
                </w:date>
              </w:sdtPr>
              <w:sdtContent>
                <w:r w:rsidR="004F3F16" w:rsidRPr="004F3F16">
                  <w:t>2023 m. gegužės 31 d.</w:t>
                </w:r>
              </w:sdtContent>
            </w:sdt>
          </w:p>
        </w:tc>
        <w:tc>
          <w:tcPr>
            <w:tcW w:w="5076" w:type="dxa"/>
            <w:gridSpan w:val="2"/>
            <w:tcBorders>
              <w:top w:val="single" w:sz="4" w:space="0" w:color="auto"/>
              <w:left w:val="single" w:sz="4" w:space="0" w:color="auto"/>
              <w:bottom w:val="single" w:sz="4" w:space="0" w:color="auto"/>
              <w:right w:val="single" w:sz="4" w:space="0" w:color="auto"/>
            </w:tcBorders>
            <w:hideMark/>
          </w:tcPr>
          <w:p w14:paraId="1253A201" w14:textId="159C5BFF" w:rsidR="004F3F16" w:rsidRPr="004F3F16" w:rsidRDefault="004F3F16" w:rsidP="004F3F16">
            <w:pPr>
              <w:spacing w:after="120"/>
              <w:jc w:val="both"/>
            </w:pPr>
            <w:r w:rsidRPr="004F3F16">
              <w:t xml:space="preserve">Ibrutinibas rekomenduojamas kompensuoti derinyje su venetoklaksu </w:t>
            </w:r>
            <w:r w:rsidRPr="004F3F16">
              <w:rPr>
                <w:rFonts w:eastAsia="Arial"/>
              </w:rPr>
              <w:t>lėtine limfocitine leukemija sergančių suaugusių pacientų, kurie anksčiau nebuvo gydyti, gydymui, tik jei bendrovė jį teikia pagal komercinį susitarimą.</w:t>
            </w:r>
          </w:p>
        </w:tc>
      </w:tr>
      <w:tr w:rsidR="004F3F16" w:rsidRPr="00414E1A" w14:paraId="46A26C0B" w14:textId="77777777" w:rsidTr="05914237">
        <w:trPr>
          <w:trHeight w:val="1547"/>
        </w:trPr>
        <w:tc>
          <w:tcPr>
            <w:tcW w:w="2927" w:type="dxa"/>
            <w:tcBorders>
              <w:top w:val="single" w:sz="4" w:space="0" w:color="auto"/>
              <w:left w:val="single" w:sz="4" w:space="0" w:color="auto"/>
              <w:bottom w:val="single" w:sz="4" w:space="0" w:color="auto"/>
              <w:right w:val="single" w:sz="4" w:space="0" w:color="auto"/>
            </w:tcBorders>
            <w:hideMark/>
          </w:tcPr>
          <w:p w14:paraId="585A84E1" w14:textId="77777777" w:rsidR="004F3F16" w:rsidRPr="004F3F16" w:rsidRDefault="004F3F16" w:rsidP="004F3F16">
            <w:pPr>
              <w:spacing w:line="276" w:lineRule="auto"/>
              <w:rPr>
                <w:rFonts w:eastAsia="Arial"/>
              </w:rPr>
            </w:pPr>
            <w:r w:rsidRPr="004F3F16">
              <w:rPr>
                <w:rFonts w:eastAsia="Arial"/>
              </w:rPr>
              <w:t>Kanados sveikatos technologijų agentūra</w:t>
            </w:r>
          </w:p>
          <w:p w14:paraId="23A889A0" w14:textId="77777777" w:rsidR="004F3F16" w:rsidRPr="004F3F16" w:rsidRDefault="004F3F16" w:rsidP="004F3F16">
            <w:pPr>
              <w:spacing w:line="276" w:lineRule="auto"/>
              <w:rPr>
                <w:rFonts w:eastAsia="Arial"/>
              </w:rPr>
            </w:pPr>
            <w:r w:rsidRPr="004F3F16">
              <w:rPr>
                <w:rFonts w:eastAsia="Arial"/>
              </w:rPr>
              <w:t xml:space="preserve">(angl. </w:t>
            </w:r>
            <w:r w:rsidRPr="004F3F16">
              <w:rPr>
                <w:rFonts w:eastAsia="Arial"/>
                <w:i/>
                <w:iCs/>
              </w:rPr>
              <w:t>Canadian health Technology Assessment agency, CADTH</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65267880" w14:textId="77777777" w:rsidR="004F3F16" w:rsidRPr="004F3F16" w:rsidRDefault="00000000" w:rsidP="004F3F16">
            <w:sdt>
              <w:sdtPr>
                <w:rPr>
                  <w:rStyle w:val="Style2"/>
                  <w:sz w:val="24"/>
                </w:rPr>
                <w:id w:val="-372539057"/>
                <w15:color w:val="FFCC00"/>
                <w14:checkbox>
                  <w14:checked w14:val="1"/>
                  <w14:checkedState w14:val="2612" w14:font="MS Gothic"/>
                  <w14:uncheckedState w14:val="2610" w14:font="MS Gothic"/>
                </w14:checkbox>
              </w:sdtPr>
              <w:sdtContent>
                <w:r w:rsidR="004F3F16" w:rsidRPr="004F3F16">
                  <w:rPr>
                    <w:rStyle w:val="Style2"/>
                    <w:rFonts w:ascii="MS Gothic" w:eastAsia="MS Gothic" w:hAnsi="MS Gothic"/>
                    <w:sz w:val="24"/>
                  </w:rPr>
                  <w:t>☒</w:t>
                </w:r>
              </w:sdtContent>
            </w:sdt>
            <w:r w:rsidR="004F3F16" w:rsidRPr="004F3F16">
              <w:t xml:space="preserve"> Taip</w:t>
            </w:r>
          </w:p>
          <w:p w14:paraId="0FE9A5D0" w14:textId="77777777" w:rsidR="004F3F16" w:rsidRPr="004F3F16" w:rsidRDefault="00000000" w:rsidP="004F3F16">
            <w:sdt>
              <w:sdtPr>
                <w:rPr>
                  <w:rStyle w:val="Style2"/>
                  <w:sz w:val="24"/>
                </w:rPr>
                <w:id w:val="594442222"/>
                <w15:color w:val="FFCC00"/>
                <w14:checkbox>
                  <w14:checked w14:val="0"/>
                  <w14:checkedState w14:val="2612" w14:font="MS Gothic"/>
                  <w14:uncheckedState w14:val="2610" w14:font="MS Gothic"/>
                </w14:checkbox>
              </w:sdtPr>
              <w:sdtContent>
                <w:r w:rsidR="004F3F16" w:rsidRPr="004F3F16">
                  <w:rPr>
                    <w:rStyle w:val="Style2"/>
                    <w:rFonts w:ascii="MS Gothic" w:eastAsia="MS Gothic" w:hAnsi="MS Gothic"/>
                    <w:sz w:val="24"/>
                  </w:rPr>
                  <w:t>☐</w:t>
                </w:r>
              </w:sdtContent>
            </w:sdt>
            <w:r w:rsidR="004F3F16" w:rsidRPr="004F3F16">
              <w:t xml:space="preserve"> Ne</w:t>
            </w:r>
          </w:p>
          <w:p w14:paraId="6BE86270" w14:textId="118AD1D7" w:rsidR="004F3F16" w:rsidRPr="004F3F16" w:rsidRDefault="00000000" w:rsidP="004F3F16">
            <w:pPr>
              <w:spacing w:line="276" w:lineRule="auto"/>
              <w:rPr>
                <w:rFonts w:eastAsia="Arial"/>
              </w:rPr>
            </w:pPr>
            <w:sdt>
              <w:sdtPr>
                <w:alias w:val="Nurodykite konkrečią dieną"/>
                <w:tag w:val="Nurodykite pradžios datą"/>
                <w:id w:val="1072468416"/>
                <w:placeholder>
                  <w:docPart w:val="269D026705A249D5BB21237AAF6EC50E"/>
                </w:placeholder>
                <w15:color w:val="FFCC99"/>
                <w:date>
                  <w:dateFormat w:val="yyyy 'm.' MMMM d 'd.'"/>
                  <w:lid w:val="lt-LT"/>
                  <w:storeMappedDataAs w:val="dateTime"/>
                  <w:calendar w:val="gregorian"/>
                </w:date>
              </w:sdtPr>
              <w:sdtContent>
                <w:r w:rsidR="004F3F16" w:rsidRPr="004F3F16">
                  <w:t>2023 m. lapkričio 22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4D155674" w14:textId="38F504F8" w:rsidR="004F3F16" w:rsidRPr="004F3F16" w:rsidRDefault="004F3F16" w:rsidP="004F3F16">
            <w:pPr>
              <w:spacing w:line="276" w:lineRule="auto"/>
              <w:jc w:val="both"/>
              <w:rPr>
                <w:rFonts w:eastAsia="Arial"/>
              </w:rPr>
            </w:pPr>
            <w:r w:rsidRPr="004F3F16">
              <w:rPr>
                <w:rFonts w:eastAsia="Arial"/>
              </w:rPr>
              <w:t>Imbruvica kartu su venetoklaksu yra skiriami suaugusių pacientų, sergančių anksčiau negydyta lėtine limfocitine leukemija (LLL), įskaitant pacientus, turinčius 17p deleciją, gydymui.</w:t>
            </w:r>
          </w:p>
        </w:tc>
      </w:tr>
      <w:tr w:rsidR="004F3F16" w:rsidRPr="00414E1A" w14:paraId="7005004C" w14:textId="77777777" w:rsidTr="05914237">
        <w:trPr>
          <w:trHeight w:val="1927"/>
        </w:trPr>
        <w:tc>
          <w:tcPr>
            <w:tcW w:w="2927" w:type="dxa"/>
            <w:tcBorders>
              <w:top w:val="single" w:sz="4" w:space="0" w:color="auto"/>
              <w:left w:val="single" w:sz="4" w:space="0" w:color="auto"/>
              <w:bottom w:val="single" w:sz="4" w:space="0" w:color="auto"/>
              <w:right w:val="single" w:sz="4" w:space="0" w:color="auto"/>
            </w:tcBorders>
            <w:hideMark/>
          </w:tcPr>
          <w:p w14:paraId="6017BBE9" w14:textId="77777777" w:rsidR="004F3F16" w:rsidRPr="004F3F16" w:rsidRDefault="004F3F16" w:rsidP="004F3F16">
            <w:pPr>
              <w:spacing w:line="276" w:lineRule="auto"/>
              <w:rPr>
                <w:rFonts w:eastAsia="Arial"/>
              </w:rPr>
            </w:pPr>
            <w:r w:rsidRPr="004F3F16">
              <w:rPr>
                <w:rFonts w:eastAsia="Arial"/>
              </w:rPr>
              <w:t>Nacionalinis farmakoekonomikos centras, Airija</w:t>
            </w:r>
          </w:p>
          <w:p w14:paraId="0990B24A" w14:textId="77777777" w:rsidR="004F3F16" w:rsidRPr="004F3F16" w:rsidRDefault="004F3F16" w:rsidP="004F3F16">
            <w:pPr>
              <w:spacing w:line="276" w:lineRule="auto"/>
              <w:rPr>
                <w:rFonts w:eastAsia="Arial"/>
              </w:rPr>
            </w:pPr>
            <w:r w:rsidRPr="004F3F16">
              <w:rPr>
                <w:rFonts w:eastAsia="Arial"/>
              </w:rPr>
              <w:t>(angl.</w:t>
            </w:r>
            <w:r w:rsidRPr="004F3F16">
              <w:rPr>
                <w:rFonts w:eastAsia="Arial"/>
                <w:i/>
                <w:iCs/>
              </w:rPr>
              <w:t xml:space="preserve"> National Centre for Pharmacoeconomics, NCPE</w:t>
            </w:r>
            <w:r w:rsidRPr="004F3F16">
              <w:rPr>
                <w:rFonts w:eastAsia="Arial"/>
              </w:rPr>
              <w:t>)</w:t>
            </w:r>
          </w:p>
        </w:tc>
        <w:tc>
          <w:tcPr>
            <w:tcW w:w="1915" w:type="dxa"/>
            <w:tcBorders>
              <w:top w:val="single" w:sz="4" w:space="0" w:color="auto"/>
              <w:left w:val="single" w:sz="4" w:space="0" w:color="auto"/>
              <w:bottom w:val="single" w:sz="4" w:space="0" w:color="auto"/>
              <w:right w:val="single" w:sz="4" w:space="0" w:color="auto"/>
            </w:tcBorders>
            <w:hideMark/>
          </w:tcPr>
          <w:p w14:paraId="00B4A26A" w14:textId="77777777" w:rsidR="004F3F16" w:rsidRPr="004F3F16" w:rsidRDefault="00000000" w:rsidP="004F3F16">
            <w:sdt>
              <w:sdtPr>
                <w:rPr>
                  <w:rStyle w:val="Style2"/>
                  <w:sz w:val="24"/>
                </w:rPr>
                <w:id w:val="-1888403732"/>
                <w15:color w:val="FFCC00"/>
                <w14:checkbox>
                  <w14:checked w14:val="1"/>
                  <w14:checkedState w14:val="2612" w14:font="MS Gothic"/>
                  <w14:uncheckedState w14:val="2610" w14:font="MS Gothic"/>
                </w14:checkbox>
              </w:sdtPr>
              <w:sdtContent>
                <w:r w:rsidR="004F3F16" w:rsidRPr="004F3F16">
                  <w:rPr>
                    <w:rStyle w:val="Style2"/>
                    <w:rFonts w:ascii="Segoe UI Symbol" w:eastAsia="MS Gothic" w:hAnsi="Segoe UI Symbol" w:cs="Segoe UI Symbol"/>
                    <w:sz w:val="24"/>
                  </w:rPr>
                  <w:t>☒</w:t>
                </w:r>
              </w:sdtContent>
            </w:sdt>
            <w:r w:rsidR="004F3F16" w:rsidRPr="004F3F16">
              <w:t xml:space="preserve"> Taip</w:t>
            </w:r>
          </w:p>
          <w:p w14:paraId="2CC772AF" w14:textId="77777777" w:rsidR="004F3F16" w:rsidRPr="004F3F16" w:rsidRDefault="00000000" w:rsidP="004F3F16">
            <w:sdt>
              <w:sdtPr>
                <w:rPr>
                  <w:rStyle w:val="Style2"/>
                  <w:sz w:val="24"/>
                </w:rPr>
                <w:id w:val="1092201793"/>
                <w15:color w:val="FFCC00"/>
                <w14:checkbox>
                  <w14:checked w14:val="0"/>
                  <w14:checkedState w14:val="2612" w14:font="MS Gothic"/>
                  <w14:uncheckedState w14:val="2610" w14:font="MS Gothic"/>
                </w14:checkbox>
              </w:sdtPr>
              <w:sdtContent>
                <w:r w:rsidR="004F3F16" w:rsidRPr="004F3F16">
                  <w:rPr>
                    <w:rStyle w:val="Style2"/>
                    <w:rFonts w:ascii="Segoe UI Symbol" w:eastAsia="MS Gothic" w:hAnsi="Segoe UI Symbol" w:cs="Segoe UI Symbol"/>
                    <w:sz w:val="24"/>
                  </w:rPr>
                  <w:t>☐</w:t>
                </w:r>
              </w:sdtContent>
            </w:sdt>
            <w:r w:rsidR="004F3F16" w:rsidRPr="004F3F16">
              <w:t xml:space="preserve"> Ne</w:t>
            </w:r>
          </w:p>
          <w:p w14:paraId="1CA899C8" w14:textId="7A876390" w:rsidR="004F3F16" w:rsidRPr="004F3F16" w:rsidRDefault="00000000" w:rsidP="004F3F16">
            <w:pPr>
              <w:spacing w:line="276" w:lineRule="auto"/>
              <w:rPr>
                <w:rFonts w:eastAsia="Arial"/>
              </w:rPr>
            </w:pPr>
            <w:sdt>
              <w:sdtPr>
                <w:alias w:val="Nurodykite konkrečią dieną"/>
                <w:tag w:val="Nurodykite pradžios datą"/>
                <w:id w:val="-198323198"/>
                <w:placeholder>
                  <w:docPart w:val="664108F4A71E433E99F8FE726CD46B38"/>
                </w:placeholder>
                <w15:color w:val="FFCC99"/>
                <w:date>
                  <w:dateFormat w:val="yyyy 'm.' MMMM d 'd.'"/>
                  <w:lid w:val="lt-LT"/>
                  <w:storeMappedDataAs w:val="dateTime"/>
                  <w:calendar w:val="gregorian"/>
                </w:date>
              </w:sdtPr>
              <w:sdtContent>
                <w:r w:rsidR="004F3F16" w:rsidRPr="004F3F16">
                  <w:t>2023 m. vasario 9 d.</w:t>
                </w:r>
              </w:sdtContent>
            </w:sdt>
          </w:p>
        </w:tc>
        <w:tc>
          <w:tcPr>
            <w:tcW w:w="5076" w:type="dxa"/>
            <w:gridSpan w:val="2"/>
            <w:tcBorders>
              <w:top w:val="single" w:sz="4" w:space="0" w:color="auto"/>
              <w:left w:val="single" w:sz="4" w:space="0" w:color="auto"/>
              <w:bottom w:val="single" w:sz="4" w:space="0" w:color="auto"/>
              <w:right w:val="single" w:sz="4" w:space="0" w:color="auto"/>
            </w:tcBorders>
          </w:tcPr>
          <w:p w14:paraId="40CC87B2" w14:textId="77777777" w:rsidR="004F3F16" w:rsidRPr="004F3F16" w:rsidRDefault="004F3F16" w:rsidP="004F3F16">
            <w:pPr>
              <w:spacing w:line="276" w:lineRule="auto"/>
              <w:jc w:val="both"/>
              <w:rPr>
                <w:rFonts w:eastAsia="Arial"/>
              </w:rPr>
            </w:pPr>
            <w:r w:rsidRPr="004F3F16">
              <w:rPr>
                <w:rFonts w:eastAsia="Arial"/>
              </w:rPr>
              <w:t>NCPE rekomenduoja, kad Imbruvica nebūtų kompensuojamas, nebent jo sąnaudų efektyvumas būtų pagerintas, palyginti su esamais gydymo būdais.</w:t>
            </w:r>
          </w:p>
          <w:p w14:paraId="0B204508" w14:textId="77777777" w:rsidR="004F3F16" w:rsidRPr="004F3F16" w:rsidRDefault="004F3F16" w:rsidP="004F3F16">
            <w:pPr>
              <w:spacing w:line="276" w:lineRule="auto"/>
              <w:rPr>
                <w:rFonts w:eastAsia="Arial"/>
              </w:rPr>
            </w:pPr>
          </w:p>
        </w:tc>
      </w:tr>
    </w:tbl>
    <w:p w14:paraId="0AE94CE3" w14:textId="77777777" w:rsidR="00700D6D" w:rsidRDefault="00700D6D" w:rsidP="00700D6D">
      <w:pPr>
        <w:rPr>
          <w:b/>
          <w:bCs/>
          <w:caps/>
        </w:rPr>
      </w:pPr>
    </w:p>
    <w:p w14:paraId="33375BE2" w14:textId="77777777" w:rsidR="00700D6D" w:rsidRPr="00E33EFF" w:rsidRDefault="00700D6D" w:rsidP="00700D6D">
      <w:pPr>
        <w:pStyle w:val="Sraopastraipa"/>
        <w:numPr>
          <w:ilvl w:val="0"/>
          <w:numId w:val="12"/>
        </w:numPr>
        <w:tabs>
          <w:tab w:val="left" w:pos="567"/>
        </w:tabs>
        <w:ind w:hanging="720"/>
        <w:rPr>
          <w:b/>
          <w:bCs/>
          <w:caps/>
        </w:rPr>
      </w:pPr>
      <w:r w:rsidRPr="00E33EFF">
        <w:rPr>
          <w:b/>
          <w:bCs/>
          <w:caps/>
        </w:rPr>
        <w:t>Klinikinio vertinimo apibendrinimas</w:t>
      </w:r>
    </w:p>
    <w:p w14:paraId="6DCCC883" w14:textId="77777777" w:rsidR="00700D6D" w:rsidRDefault="00700D6D" w:rsidP="00700D6D">
      <w:pPr>
        <w:pStyle w:val="Sraopastraipa"/>
        <w:tabs>
          <w:tab w:val="left" w:pos="426"/>
        </w:tabs>
        <w:ind w:left="0"/>
        <w:rPr>
          <w:b/>
          <w:bCs/>
          <w:caps/>
        </w:rPr>
      </w:pPr>
    </w:p>
    <w:p w14:paraId="678D851A" w14:textId="73112210" w:rsidR="004F3F16" w:rsidRPr="003A62EE" w:rsidRDefault="004F3F16" w:rsidP="004F3F16">
      <w:pPr>
        <w:spacing w:line="360" w:lineRule="auto"/>
        <w:ind w:firstLine="720"/>
        <w:jc w:val="both"/>
        <w:rPr>
          <w:rFonts w:eastAsia="Arial"/>
          <w:iCs/>
        </w:rPr>
      </w:pPr>
      <w:bookmarkStart w:id="2" w:name="_Hlk192365309"/>
      <w:r w:rsidRPr="003A62EE">
        <w:rPr>
          <w:rFonts w:eastAsia="Arial"/>
          <w:iCs/>
        </w:rPr>
        <w:t>Lėtin</w:t>
      </w:r>
      <w:r w:rsidR="00D00D7E">
        <w:rPr>
          <w:rFonts w:eastAsia="Arial"/>
          <w:iCs/>
        </w:rPr>
        <w:t>ė</w:t>
      </w:r>
      <w:r w:rsidRPr="003A62EE">
        <w:rPr>
          <w:rFonts w:eastAsia="Arial"/>
          <w:iCs/>
        </w:rPr>
        <w:t xml:space="preserve"> limfocitin</w:t>
      </w:r>
      <w:r w:rsidR="00D00D7E">
        <w:rPr>
          <w:rFonts w:eastAsia="Arial"/>
          <w:iCs/>
        </w:rPr>
        <w:t>ė</w:t>
      </w:r>
      <w:r w:rsidRPr="003A62EE">
        <w:rPr>
          <w:rFonts w:eastAsia="Arial"/>
          <w:iCs/>
        </w:rPr>
        <w:t xml:space="preserve"> leukemija</w:t>
      </w:r>
      <w:r w:rsidR="00D00D7E">
        <w:rPr>
          <w:rFonts w:eastAsia="Arial"/>
          <w:iCs/>
        </w:rPr>
        <w:t xml:space="preserve"> (LLL)</w:t>
      </w:r>
      <w:r w:rsidRPr="003A62EE">
        <w:rPr>
          <w:rFonts w:eastAsia="Arial"/>
          <w:iCs/>
        </w:rPr>
        <w:t xml:space="preserve"> – limfoproliferacinis B-ląstelių piktybinis susirgimas, pasižymintis progresuojančiu monokloninių B limfocitų išplitimu kraujyje, kaulų čiulpuose, limfmazgiuose, arba kituose limfoidiniuose audiniuose. Sergamumas LLL svyruoja nuo 1 iki 5 atvejų 100,000 gyventojų ES ir JAV, todėl liga vertinama kaip reta. LLL dažniausiai diagnozuojama tarp 65 ir 70 metų; jaunesnių kaip 55 metų pacientų dalis yra apie 10%. LLL neproporcingai paplitusi tarp vyresnio amžiaus gyventojų – vyresnių nei 65 metų amžiaus gyventojų dalis kai kuriuose šalyse siekia 70%. Dėl gretutinių susirgimų vyresnio amžiaus pacientai ribotai toleruoja chemoterapiją; gretutiniai susirgimai nustatomi apie pusei šių pacientų.</w:t>
      </w:r>
    </w:p>
    <w:p w14:paraId="50F7D4E0" w14:textId="77777777" w:rsidR="00877019" w:rsidRDefault="00877019" w:rsidP="004F3F16">
      <w:pPr>
        <w:spacing w:line="360" w:lineRule="auto"/>
        <w:ind w:firstLine="720"/>
        <w:jc w:val="both"/>
        <w:rPr>
          <w:rFonts w:eastAsia="Arial"/>
          <w:iCs/>
        </w:rPr>
      </w:pPr>
      <w:r>
        <w:rPr>
          <w:rFonts w:eastAsia="Arial"/>
          <w:iCs/>
        </w:rPr>
        <w:t>(Konfidenciali informacija).</w:t>
      </w:r>
    </w:p>
    <w:p w14:paraId="7436CB43" w14:textId="3EE421F7" w:rsidR="004F3F16" w:rsidRPr="003A62EE" w:rsidRDefault="004F3F16" w:rsidP="004F3F16">
      <w:pPr>
        <w:spacing w:line="360" w:lineRule="auto"/>
        <w:ind w:firstLine="720"/>
        <w:jc w:val="both"/>
        <w:rPr>
          <w:rFonts w:eastAsia="Arial"/>
          <w:iCs/>
        </w:rPr>
      </w:pPr>
      <w:r w:rsidRPr="003A62EE">
        <w:rPr>
          <w:rFonts w:eastAsia="Arial"/>
          <w:iCs/>
        </w:rPr>
        <w:t>Pirmos eilės LLL gydymas priklauso nuo daugelio veiksnių – įskaitant paciento amžių, gretutinius susirgimus ir citogenetines anomalijas. Iki šiol, pirmos eilės LLL gydymas tradiciškai priklausė nuo kompromiso tarp efektyvumo ir toksiškumo. Priklausomai nuo rizikos grupės ir paskirto pirmos eilės LLL gydymo išeitys skiriasi.</w:t>
      </w:r>
    </w:p>
    <w:p w14:paraId="7520BC47" w14:textId="387B5F08" w:rsidR="004F3F16" w:rsidRDefault="004F3F16" w:rsidP="004F3F16">
      <w:pPr>
        <w:spacing w:line="360" w:lineRule="auto"/>
        <w:ind w:firstLine="720"/>
        <w:jc w:val="both"/>
        <w:rPr>
          <w:rFonts w:eastAsia="Arial"/>
          <w:iCs/>
        </w:rPr>
      </w:pPr>
      <w:r w:rsidRPr="003A62EE">
        <w:rPr>
          <w:rFonts w:eastAsia="Arial"/>
          <w:iCs/>
        </w:rPr>
        <w:t xml:space="preserve">Lietuvos Respublikoje nėra galiojančio teisinio LLL gydymo reglamentavimo. Lietuvoje LLL diagnozuojama ir gydoma vadovaujantis 2021 m. Europos medicinos onkologų draugijos (angl. European Society of Medical Oncology; ESMO) ir 2024 m. </w:t>
      </w:r>
      <w:r w:rsidRPr="003A62EE">
        <w:rPr>
          <w:rFonts w:eastAsia="Arial"/>
        </w:rPr>
        <w:t xml:space="preserve">Nacionalinio išplėstinio vėžio tinklo </w:t>
      </w:r>
      <w:r w:rsidRPr="003A62EE">
        <w:rPr>
          <w:rFonts w:eastAsia="Arial"/>
        </w:rPr>
        <w:lastRenderedPageBreak/>
        <w:t>(</w:t>
      </w:r>
      <w:r w:rsidRPr="003A62EE">
        <w:rPr>
          <w:rFonts w:eastAsia="Arial"/>
          <w:i/>
          <w:iCs/>
        </w:rPr>
        <w:t xml:space="preserve">angl. National Comprehensive Cancer Network, NCCN) </w:t>
      </w:r>
      <w:r w:rsidRPr="003A62EE">
        <w:rPr>
          <w:rFonts w:eastAsia="Arial"/>
          <w:iCs/>
        </w:rPr>
        <w:t xml:space="preserve">rekomendacijomis. 2021 m. ESMO rekomendacijose nėra informacijos apie </w:t>
      </w:r>
      <w:bookmarkStart w:id="3" w:name="_Hlk192364606"/>
      <w:r w:rsidR="00D00D7E" w:rsidRPr="003A62EE">
        <w:rPr>
          <w:rFonts w:eastAsia="Arial"/>
          <w:iCs/>
        </w:rPr>
        <w:t>gydymą ibrutinib</w:t>
      </w:r>
      <w:r w:rsidR="00D00D7E">
        <w:rPr>
          <w:rFonts w:eastAsia="Arial"/>
          <w:iCs/>
        </w:rPr>
        <w:t>o</w:t>
      </w:r>
      <w:r w:rsidR="00D00D7E" w:rsidRPr="003A62EE">
        <w:rPr>
          <w:rFonts w:eastAsia="Arial"/>
          <w:iCs/>
        </w:rPr>
        <w:t xml:space="preserve"> </w:t>
      </w:r>
      <w:r w:rsidR="00D00D7E">
        <w:rPr>
          <w:rFonts w:eastAsia="Arial"/>
          <w:iCs/>
        </w:rPr>
        <w:t xml:space="preserve">ir </w:t>
      </w:r>
      <w:r w:rsidR="00D00D7E" w:rsidRPr="003A62EE">
        <w:rPr>
          <w:rFonts w:eastAsia="Arial"/>
          <w:iCs/>
        </w:rPr>
        <w:t>venetoklaks</w:t>
      </w:r>
      <w:r w:rsidR="00D00D7E">
        <w:rPr>
          <w:rFonts w:eastAsia="Arial"/>
          <w:iCs/>
        </w:rPr>
        <w:t>o deriniu</w:t>
      </w:r>
      <w:r w:rsidR="00D00D7E" w:rsidRPr="003A62EE">
        <w:rPr>
          <w:rFonts w:eastAsia="Arial"/>
          <w:iCs/>
        </w:rPr>
        <w:t xml:space="preserve"> </w:t>
      </w:r>
      <w:r w:rsidR="00D00D7E">
        <w:rPr>
          <w:rFonts w:eastAsia="Arial"/>
          <w:iCs/>
        </w:rPr>
        <w:t>(</w:t>
      </w:r>
      <w:r w:rsidRPr="003A62EE">
        <w:rPr>
          <w:rFonts w:eastAsia="Arial"/>
          <w:iCs/>
        </w:rPr>
        <w:t>I+V</w:t>
      </w:r>
      <w:r w:rsidR="00D00D7E">
        <w:rPr>
          <w:rFonts w:eastAsia="Arial"/>
          <w:iCs/>
        </w:rPr>
        <w:t>)</w:t>
      </w:r>
      <w:bookmarkEnd w:id="3"/>
      <w:r w:rsidRPr="003A62EE">
        <w:rPr>
          <w:rFonts w:eastAsia="Arial"/>
          <w:iCs/>
        </w:rPr>
        <w:t>, nes klinikinis tyrimas buvo atliktas jau po gairių pristatymo, todėl šio dokumento laikymas pagrindiniu informacijos šaltiniu negalimas, nes atsižvelgiant į hematologinių susirgimų gydymo progresą per pastaruosius metus</w:t>
      </w:r>
      <w:r w:rsidR="008E2427">
        <w:rPr>
          <w:rFonts w:eastAsia="Arial"/>
          <w:iCs/>
        </w:rPr>
        <w:t xml:space="preserve">, </w:t>
      </w:r>
      <w:r w:rsidR="008E2427" w:rsidRPr="003A62EE">
        <w:rPr>
          <w:rFonts w:eastAsia="Arial"/>
          <w:iCs/>
        </w:rPr>
        <w:t>tikėtina, kad yra atsiradę naujų efektyvių šios ligos gydymo būdu</w:t>
      </w:r>
      <w:r>
        <w:rPr>
          <w:rFonts w:eastAsia="Arial"/>
          <w:iCs/>
        </w:rPr>
        <w:t xml:space="preserve">. </w:t>
      </w:r>
      <w:r w:rsidRPr="003A62EE">
        <w:rPr>
          <w:rFonts w:eastAsia="Arial"/>
          <w:iCs/>
        </w:rPr>
        <w:t xml:space="preserve">Pagal nurodytą schemą, pacientai yra skirstomi į dvi kategorijas: </w:t>
      </w:r>
      <w:r w:rsidRPr="003A62EE">
        <w:rPr>
          <w:rFonts w:eastAsia="Arial"/>
          <w:i/>
        </w:rPr>
        <w:t>fit</w:t>
      </w:r>
      <w:r w:rsidRPr="003A62EE">
        <w:rPr>
          <w:rFonts w:eastAsia="Arial"/>
          <w:iCs/>
        </w:rPr>
        <w:t xml:space="preserve"> ir </w:t>
      </w:r>
      <w:r w:rsidRPr="003A62EE">
        <w:rPr>
          <w:rFonts w:eastAsia="Arial"/>
          <w:i/>
        </w:rPr>
        <w:t>unfit</w:t>
      </w:r>
      <w:r w:rsidRPr="003A62EE">
        <w:rPr>
          <w:rFonts w:eastAsia="Arial"/>
          <w:iCs/>
        </w:rPr>
        <w:t xml:space="preserve"> pacient</w:t>
      </w:r>
      <w:r w:rsidR="00D00D7E">
        <w:rPr>
          <w:rFonts w:eastAsia="Arial"/>
          <w:iCs/>
        </w:rPr>
        <w:t>us</w:t>
      </w:r>
      <w:r w:rsidRPr="003A62EE">
        <w:rPr>
          <w:rFonts w:eastAsia="Arial"/>
          <w:iCs/>
        </w:rPr>
        <w:t xml:space="preserve">. </w:t>
      </w:r>
      <w:r w:rsidRPr="003A62EE">
        <w:rPr>
          <w:rFonts w:eastAsia="Arial"/>
          <w:i/>
        </w:rPr>
        <w:t>Fit</w:t>
      </w:r>
      <w:r w:rsidRPr="003A62EE">
        <w:rPr>
          <w:rFonts w:eastAsia="Arial"/>
          <w:iCs/>
        </w:rPr>
        <w:t xml:space="preserve"> pacientais yra laikomi tie, kurie neturi gretutinių ligų, kurių buvimas galėtų lemti blogesnį atsaką į gydymą, taip pat jauni (&lt;65 m.) pacientai. Šiems pacientams gairės rekomenduoja gydymą ibrutinibo monoterapija, chemoimunoterapija (</w:t>
      </w:r>
      <w:r w:rsidRPr="003A62EE">
        <w:rPr>
          <w:rFonts w:eastAsia="Arial"/>
        </w:rPr>
        <w:t>bendamustinas derinant su rituksimabu</w:t>
      </w:r>
      <w:r w:rsidRPr="003A62EE">
        <w:rPr>
          <w:rFonts w:eastAsia="Arial"/>
          <w:iCs/>
        </w:rPr>
        <w:t>) ir chemoterapijos schemą f</w:t>
      </w:r>
      <w:r w:rsidRPr="003A62EE">
        <w:rPr>
          <w:rFonts w:eastAsia="Arial"/>
        </w:rPr>
        <w:t xml:space="preserve">ludarabiną derinant su ciklofosfamidu ir rituksimabu. Pacientams, kurie yra priskiriami </w:t>
      </w:r>
      <w:r w:rsidRPr="003A62EE">
        <w:rPr>
          <w:rFonts w:eastAsia="Arial"/>
          <w:i/>
          <w:iCs/>
        </w:rPr>
        <w:t>unfit</w:t>
      </w:r>
      <w:r w:rsidRPr="003A62EE">
        <w:rPr>
          <w:rFonts w:eastAsia="Arial"/>
        </w:rPr>
        <w:t xml:space="preserve"> pacientų populiacijai, t.y. vyresnio amžiaus, turintys gretutinių ligų pacientai, yra skiriamas nuosaikesnis ir mažiau nepageidaujamų reiškinių </w:t>
      </w:r>
      <w:r w:rsidR="00D00D7E">
        <w:rPr>
          <w:rFonts w:eastAsia="Arial"/>
        </w:rPr>
        <w:t>sukeliantis</w:t>
      </w:r>
      <w:r w:rsidR="00D00D7E" w:rsidRPr="003A62EE">
        <w:rPr>
          <w:rFonts w:eastAsia="Arial"/>
        </w:rPr>
        <w:t xml:space="preserve"> </w:t>
      </w:r>
      <w:r w:rsidRPr="003A62EE">
        <w:rPr>
          <w:rFonts w:eastAsia="Arial"/>
        </w:rPr>
        <w:t xml:space="preserve">gydymas: akalabrutinibo ar ibrutinibo monoterapija, venetoklaksas derinant su obinutuzumabu ar </w:t>
      </w:r>
      <w:r w:rsidRPr="003A62EE">
        <w:rPr>
          <w:rFonts w:eastAsia="Arial"/>
          <w:iCs/>
        </w:rPr>
        <w:t>chemoimunoterapija (</w:t>
      </w:r>
      <w:r w:rsidRPr="003A62EE">
        <w:rPr>
          <w:rFonts w:eastAsia="Arial"/>
        </w:rPr>
        <w:t>obinutuzumabas derinant su chlorambucilu</w:t>
      </w:r>
      <w:r w:rsidRPr="003A62EE">
        <w:rPr>
          <w:rFonts w:eastAsia="Arial"/>
          <w:iCs/>
        </w:rPr>
        <w:t>).</w:t>
      </w:r>
      <w:r>
        <w:rPr>
          <w:rFonts w:eastAsia="Arial"/>
          <w:iCs/>
        </w:rPr>
        <w:t xml:space="preserve"> </w:t>
      </w:r>
      <w:r w:rsidRPr="003A62EE">
        <w:rPr>
          <w:rFonts w:eastAsia="Arial"/>
          <w:iCs/>
        </w:rPr>
        <w:t xml:space="preserve">2024 m. paskelbtos </w:t>
      </w:r>
      <w:r w:rsidRPr="003A62EE">
        <w:rPr>
          <w:rFonts w:eastAsia="Arial"/>
        </w:rPr>
        <w:t>Nacionalinio išplėstinio vėžio tinklo (</w:t>
      </w:r>
      <w:r w:rsidRPr="003A62EE">
        <w:rPr>
          <w:rFonts w:eastAsia="Arial"/>
          <w:i/>
          <w:iCs/>
        </w:rPr>
        <w:t>angl. National Comprehensive Cancer Network, NCCN)</w:t>
      </w:r>
      <w:r w:rsidRPr="003A62EE">
        <w:rPr>
          <w:rFonts w:eastAsia="Arial"/>
          <w:iCs/>
        </w:rPr>
        <w:t xml:space="preserve"> gairės nurodo, kad </w:t>
      </w:r>
      <w:bookmarkStart w:id="4" w:name="_Hlk192364700"/>
      <w:r w:rsidR="00D00D7E">
        <w:rPr>
          <w:rFonts w:eastAsia="Arial"/>
          <w:iCs/>
        </w:rPr>
        <w:t>i</w:t>
      </w:r>
      <w:r w:rsidRPr="003A62EE">
        <w:rPr>
          <w:rFonts w:eastAsia="Arial"/>
          <w:iCs/>
        </w:rPr>
        <w:t xml:space="preserve">brutinibo ir </w:t>
      </w:r>
      <w:r w:rsidR="00D00D7E">
        <w:rPr>
          <w:rFonts w:eastAsia="Arial"/>
          <w:iCs/>
        </w:rPr>
        <w:t>v</w:t>
      </w:r>
      <w:r w:rsidRPr="003A62EE">
        <w:rPr>
          <w:rFonts w:eastAsia="Arial"/>
          <w:iCs/>
        </w:rPr>
        <w:t xml:space="preserve">enetoklakso </w:t>
      </w:r>
      <w:bookmarkEnd w:id="4"/>
      <w:r w:rsidRPr="003A62EE">
        <w:rPr>
          <w:rFonts w:eastAsia="Arial"/>
          <w:iCs/>
        </w:rPr>
        <w:t>derinys gali būti skiriama kaip alternatyva.</w:t>
      </w:r>
    </w:p>
    <w:p w14:paraId="03E3E236" w14:textId="0E8FDFB5" w:rsidR="004F3F16" w:rsidRPr="003A62EE" w:rsidRDefault="00425576" w:rsidP="008E2427">
      <w:pPr>
        <w:spacing w:line="360" w:lineRule="auto"/>
        <w:ind w:firstLine="720"/>
        <w:jc w:val="both"/>
        <w:rPr>
          <w:rFonts w:eastAsia="Arial"/>
          <w:iCs/>
        </w:rPr>
      </w:pPr>
      <w:bookmarkStart w:id="5" w:name="_Hlk192364787"/>
      <w:r>
        <w:rPr>
          <w:rFonts w:eastAsia="Arial"/>
          <w:iCs/>
        </w:rPr>
        <w:t>N</w:t>
      </w:r>
      <w:r w:rsidRPr="003A62EE">
        <w:rPr>
          <w:rFonts w:eastAsia="Arial"/>
          <w:iCs/>
        </w:rPr>
        <w:t xml:space="preserve">esant </w:t>
      </w:r>
      <w:r>
        <w:rPr>
          <w:rFonts w:eastAsia="Arial"/>
          <w:iCs/>
        </w:rPr>
        <w:t>LLL</w:t>
      </w:r>
      <w:r w:rsidRPr="003A62EE">
        <w:rPr>
          <w:rFonts w:eastAsia="Arial"/>
          <w:iCs/>
        </w:rPr>
        <w:t xml:space="preserve"> gydymo tvarkos aprašo, </w:t>
      </w:r>
      <w:r>
        <w:rPr>
          <w:rFonts w:eastAsia="Arial"/>
          <w:iCs/>
        </w:rPr>
        <w:t>L</w:t>
      </w:r>
      <w:r w:rsidRPr="003A62EE">
        <w:rPr>
          <w:rFonts w:eastAsia="Arial"/>
          <w:iCs/>
        </w:rPr>
        <w:t>ietuvo</w:t>
      </w:r>
      <w:r>
        <w:rPr>
          <w:rFonts w:eastAsia="Arial"/>
          <w:iCs/>
        </w:rPr>
        <w:t xml:space="preserve">s klinikinę praktiką atspindi </w:t>
      </w:r>
      <w:r w:rsidRPr="003A62EE">
        <w:rPr>
          <w:rFonts w:eastAsia="Arial"/>
          <w:iCs/>
        </w:rPr>
        <w:t xml:space="preserve">vaistiniai preparatai, įrašyti į  2000 m. sausio 28 d. </w:t>
      </w:r>
      <w:r>
        <w:rPr>
          <w:rFonts w:eastAsia="Arial"/>
          <w:iCs/>
        </w:rPr>
        <w:t>L</w:t>
      </w:r>
      <w:r w:rsidRPr="003A62EE">
        <w:rPr>
          <w:rFonts w:eastAsia="Arial"/>
          <w:iCs/>
        </w:rPr>
        <w:t xml:space="preserve">ietuvos </w:t>
      </w:r>
      <w:r>
        <w:rPr>
          <w:rFonts w:eastAsia="Arial"/>
          <w:iCs/>
        </w:rPr>
        <w:t>R</w:t>
      </w:r>
      <w:r w:rsidRPr="003A62EE">
        <w:rPr>
          <w:rFonts w:eastAsia="Arial"/>
          <w:iCs/>
        </w:rPr>
        <w:t>espublikos sveikatos apsaugos ministro įsakym</w:t>
      </w:r>
      <w:r>
        <w:rPr>
          <w:rFonts w:eastAsia="Arial"/>
          <w:iCs/>
        </w:rPr>
        <w:t>u</w:t>
      </w:r>
      <w:r w:rsidRPr="003A62EE">
        <w:rPr>
          <w:rFonts w:eastAsia="Arial"/>
          <w:iCs/>
        </w:rPr>
        <w:t xml:space="preserve"> </w:t>
      </w:r>
      <w:r>
        <w:rPr>
          <w:rFonts w:eastAsia="Arial"/>
          <w:iCs/>
        </w:rPr>
        <w:t>N</w:t>
      </w:r>
      <w:r w:rsidRPr="003A62EE">
        <w:rPr>
          <w:rFonts w:eastAsia="Arial"/>
          <w:iCs/>
        </w:rPr>
        <w:t>r. 49 „</w:t>
      </w:r>
      <w:r>
        <w:rPr>
          <w:rFonts w:eastAsia="Arial"/>
          <w:iCs/>
        </w:rPr>
        <w:t>D</w:t>
      </w:r>
      <w:r w:rsidRPr="003A62EE">
        <w:rPr>
          <w:rFonts w:eastAsia="Arial"/>
          <w:iCs/>
        </w:rPr>
        <w:t>ėl kompensuojamųjų vaistų sąrašų patvirtinimo“</w:t>
      </w:r>
      <w:r>
        <w:rPr>
          <w:rFonts w:eastAsia="Arial"/>
          <w:iCs/>
        </w:rPr>
        <w:t xml:space="preserve"> patvirtintą L</w:t>
      </w:r>
      <w:r w:rsidRPr="00425576">
        <w:rPr>
          <w:szCs w:val="20"/>
        </w:rPr>
        <w:t>igų ir kompensuojamųjų vaistų joms gydyti sąraš</w:t>
      </w:r>
      <w:r>
        <w:rPr>
          <w:szCs w:val="20"/>
        </w:rPr>
        <w:t>ą</w:t>
      </w:r>
      <w:r w:rsidRPr="00425576">
        <w:rPr>
          <w:szCs w:val="20"/>
        </w:rPr>
        <w:t xml:space="preserve"> (</w:t>
      </w:r>
      <w:r>
        <w:rPr>
          <w:szCs w:val="20"/>
        </w:rPr>
        <w:t xml:space="preserve">A </w:t>
      </w:r>
      <w:r w:rsidRPr="00425576">
        <w:rPr>
          <w:szCs w:val="20"/>
        </w:rPr>
        <w:t>sąrašas)</w:t>
      </w:r>
      <w:r>
        <w:rPr>
          <w:szCs w:val="20"/>
        </w:rPr>
        <w:t xml:space="preserve"> </w:t>
      </w:r>
      <w:r w:rsidR="004F3F16" w:rsidRPr="003A62EE">
        <w:rPr>
          <w:rFonts w:eastAsia="Arial"/>
          <w:iCs/>
        </w:rPr>
        <w:t xml:space="preserve"> ir 2014 m. rugsėjo 14 d. Lietuvos Respublikos sveikatos apsaugos ministro įsakym</w:t>
      </w:r>
      <w:r w:rsidR="00091951">
        <w:rPr>
          <w:rFonts w:eastAsia="Arial"/>
          <w:iCs/>
        </w:rPr>
        <w:t>u</w:t>
      </w:r>
      <w:r w:rsidR="004F3F16" w:rsidRPr="003A62EE">
        <w:rPr>
          <w:rFonts w:eastAsia="Arial"/>
          <w:iCs/>
        </w:rPr>
        <w:t xml:space="preserve"> Nr. V-910 „Dėl Centralizuotai apmokamų vaistinių preparatų ir medicinos pagalbos priemonių sąrašo patvirtinimo“</w:t>
      </w:r>
      <w:r>
        <w:rPr>
          <w:rFonts w:eastAsia="Arial"/>
          <w:iCs/>
        </w:rPr>
        <w:t xml:space="preserve"> </w:t>
      </w:r>
      <w:r w:rsidRPr="00425576">
        <w:rPr>
          <w:rFonts w:eastAsia="Arial"/>
          <w:iCs/>
        </w:rPr>
        <w:t>patvirtintą C</w:t>
      </w:r>
      <w:r w:rsidRPr="008E2427">
        <w:rPr>
          <w:color w:val="000000"/>
          <w:lang w:eastAsia="lt-LT"/>
        </w:rPr>
        <w:t>entralizuotai apmokamų vaistinių preparatų ir medicinos pagalbos priemonių sąrašą</w:t>
      </w:r>
      <w:r w:rsidR="00091951">
        <w:rPr>
          <w:color w:val="000000"/>
          <w:lang w:eastAsia="lt-LT"/>
        </w:rPr>
        <w:t>.</w:t>
      </w:r>
      <w:r w:rsidR="004F3F16" w:rsidRPr="003A62EE">
        <w:rPr>
          <w:rFonts w:eastAsia="Arial"/>
          <w:iCs/>
        </w:rPr>
        <w:t xml:space="preserve"> Ši</w:t>
      </w:r>
      <w:r w:rsidR="008E2427">
        <w:rPr>
          <w:rFonts w:eastAsia="Arial"/>
          <w:iCs/>
        </w:rPr>
        <w:t>uose</w:t>
      </w:r>
      <w:r w:rsidR="004F3F16" w:rsidRPr="003A62EE">
        <w:rPr>
          <w:rFonts w:eastAsia="Arial"/>
          <w:iCs/>
        </w:rPr>
        <w:t xml:space="preserve"> sąraš</w:t>
      </w:r>
      <w:r w:rsidR="008E2427">
        <w:rPr>
          <w:rFonts w:eastAsia="Arial"/>
          <w:iCs/>
        </w:rPr>
        <w:t>uose</w:t>
      </w:r>
      <w:r w:rsidR="004F3F16" w:rsidRPr="003A62EE">
        <w:rPr>
          <w:rFonts w:eastAsia="Arial"/>
          <w:iCs/>
        </w:rPr>
        <w:t xml:space="preserve"> esančius </w:t>
      </w:r>
      <w:r>
        <w:rPr>
          <w:rFonts w:eastAsia="Arial"/>
          <w:iCs/>
        </w:rPr>
        <w:t xml:space="preserve">vaistinius </w:t>
      </w:r>
      <w:r w:rsidR="004F3F16" w:rsidRPr="003A62EE">
        <w:rPr>
          <w:rFonts w:eastAsia="Arial"/>
          <w:iCs/>
        </w:rPr>
        <w:t>preparatus</w:t>
      </w:r>
      <w:r>
        <w:rPr>
          <w:rFonts w:eastAsia="Arial"/>
          <w:iCs/>
        </w:rPr>
        <w:t>, skirtus LLL gydymui</w:t>
      </w:r>
      <w:r w:rsidR="004F3F16" w:rsidRPr="003A62EE">
        <w:rPr>
          <w:rFonts w:eastAsia="Arial"/>
          <w:iCs/>
        </w:rPr>
        <w:t xml:space="preserve"> Tarnyba laiko tinkamu palyginamuoju gydymu. </w:t>
      </w:r>
      <w:r w:rsidR="001768B9">
        <w:rPr>
          <w:rFonts w:eastAsia="Arial"/>
          <w:iCs/>
        </w:rPr>
        <w:t>R</w:t>
      </w:r>
      <w:r w:rsidR="001768B9" w:rsidRPr="003A62EE">
        <w:rPr>
          <w:rFonts w:eastAsia="Arial"/>
          <w:iCs/>
        </w:rPr>
        <w:t>emiantis</w:t>
      </w:r>
      <w:r w:rsidR="001768B9">
        <w:rPr>
          <w:rFonts w:eastAsia="Arial"/>
          <w:iCs/>
        </w:rPr>
        <w:t xml:space="preserve"> L</w:t>
      </w:r>
      <w:r w:rsidR="001768B9" w:rsidRPr="00425576">
        <w:rPr>
          <w:szCs w:val="20"/>
        </w:rPr>
        <w:t>igų ir kompensuojamųjų vaistų joms gydyti sąraš</w:t>
      </w:r>
      <w:r w:rsidR="001768B9">
        <w:rPr>
          <w:szCs w:val="20"/>
        </w:rPr>
        <w:t>u</w:t>
      </w:r>
      <w:r w:rsidR="001768B9" w:rsidRPr="00425576">
        <w:rPr>
          <w:szCs w:val="20"/>
        </w:rPr>
        <w:t xml:space="preserve"> (</w:t>
      </w:r>
      <w:r w:rsidR="001768B9">
        <w:rPr>
          <w:szCs w:val="20"/>
        </w:rPr>
        <w:t xml:space="preserve">A </w:t>
      </w:r>
      <w:r w:rsidR="001768B9" w:rsidRPr="00425576">
        <w:rPr>
          <w:szCs w:val="20"/>
        </w:rPr>
        <w:t>sąrašas)</w:t>
      </w:r>
      <w:r w:rsidR="001768B9">
        <w:rPr>
          <w:szCs w:val="20"/>
        </w:rPr>
        <w:t xml:space="preserve"> </w:t>
      </w:r>
      <w:r w:rsidR="004F3F16" w:rsidRPr="003A62EE">
        <w:rPr>
          <w:rFonts w:eastAsia="Arial"/>
          <w:iCs/>
        </w:rPr>
        <w:t>bei centralizuotai apmokamų vaist</w:t>
      </w:r>
      <w:r w:rsidR="001768B9">
        <w:rPr>
          <w:rFonts w:eastAsia="Arial"/>
          <w:iCs/>
        </w:rPr>
        <w:t xml:space="preserve">inių preparatų </w:t>
      </w:r>
      <w:r w:rsidR="004F3F16" w:rsidRPr="003A62EE">
        <w:rPr>
          <w:rFonts w:eastAsia="Arial"/>
          <w:iCs/>
        </w:rPr>
        <w:t>sąraš</w:t>
      </w:r>
      <w:r w:rsidR="001768B9">
        <w:rPr>
          <w:rFonts w:eastAsia="Arial"/>
          <w:iCs/>
        </w:rPr>
        <w:t>u</w:t>
      </w:r>
      <w:r w:rsidR="004F3F16" w:rsidRPr="003A62EE">
        <w:rPr>
          <w:rFonts w:eastAsia="Arial"/>
          <w:iCs/>
        </w:rPr>
        <w:t>, tinkamu palyginamuoju gydymu</w:t>
      </w:r>
      <w:r w:rsidR="00091951">
        <w:rPr>
          <w:rFonts w:eastAsia="Arial"/>
          <w:iCs/>
        </w:rPr>
        <w:t xml:space="preserve"> </w:t>
      </w:r>
      <w:r w:rsidR="001768B9">
        <w:rPr>
          <w:rFonts w:eastAsia="Arial"/>
          <w:iCs/>
        </w:rPr>
        <w:t>laikomi šie vaistiniai preparatai.</w:t>
      </w:r>
    </w:p>
    <w:bookmarkEnd w:id="5"/>
    <w:p w14:paraId="5869F32E" w14:textId="37ACED38" w:rsidR="004F3F16" w:rsidRPr="0068694D" w:rsidRDefault="004F3F16" w:rsidP="004F3F16">
      <w:pPr>
        <w:pStyle w:val="Sraopastraipa"/>
        <w:numPr>
          <w:ilvl w:val="0"/>
          <w:numId w:val="17"/>
        </w:numPr>
        <w:tabs>
          <w:tab w:val="left" w:pos="426"/>
        </w:tabs>
        <w:spacing w:line="360" w:lineRule="auto"/>
        <w:jc w:val="both"/>
        <w:rPr>
          <w:rFonts w:eastAsia="Arial"/>
          <w:iCs/>
        </w:rPr>
      </w:pPr>
      <w:r w:rsidRPr="003A62EE">
        <w:rPr>
          <w:rFonts w:eastAsia="Arial"/>
          <w:iCs/>
        </w:rPr>
        <w:t>Pacientams</w:t>
      </w:r>
      <w:r w:rsidRPr="0068694D">
        <w:rPr>
          <w:rFonts w:eastAsia="Arial"/>
          <w:iCs/>
        </w:rPr>
        <w:t>, kuriems yra netinkamas gydymas chemoterapija (</w:t>
      </w:r>
      <w:r w:rsidRPr="0068694D">
        <w:rPr>
          <w:rFonts w:eastAsia="Arial"/>
          <w:i/>
        </w:rPr>
        <w:t>unfit</w:t>
      </w:r>
      <w:r w:rsidRPr="0068694D">
        <w:rPr>
          <w:rFonts w:eastAsia="Arial"/>
          <w:iCs/>
        </w:rPr>
        <w:t xml:space="preserve"> pac</w:t>
      </w:r>
      <w:r w:rsidR="001768B9">
        <w:rPr>
          <w:rFonts w:eastAsia="Arial"/>
          <w:iCs/>
        </w:rPr>
        <w:t>i</w:t>
      </w:r>
      <w:r w:rsidRPr="0068694D">
        <w:rPr>
          <w:rFonts w:eastAsia="Arial"/>
          <w:iCs/>
        </w:rPr>
        <w:t xml:space="preserve">entų populiacija): </w:t>
      </w:r>
    </w:p>
    <w:p w14:paraId="73A30313" w14:textId="77777777" w:rsidR="004F3F16" w:rsidRPr="0068694D" w:rsidRDefault="004F3F16" w:rsidP="004F3F16">
      <w:pPr>
        <w:pStyle w:val="Sraopastraipa"/>
        <w:numPr>
          <w:ilvl w:val="1"/>
          <w:numId w:val="17"/>
        </w:numPr>
        <w:tabs>
          <w:tab w:val="left" w:pos="426"/>
        </w:tabs>
        <w:spacing w:line="360" w:lineRule="auto"/>
        <w:jc w:val="both"/>
        <w:rPr>
          <w:rFonts w:eastAsia="Arial"/>
        </w:rPr>
      </w:pPr>
      <w:r w:rsidRPr="0068694D">
        <w:rPr>
          <w:rFonts w:eastAsia="Arial"/>
        </w:rPr>
        <w:t>Ibrutinibo monoterapija;</w:t>
      </w:r>
    </w:p>
    <w:p w14:paraId="4FB9E829" w14:textId="77777777" w:rsidR="004F3F16" w:rsidRPr="0068694D" w:rsidRDefault="004F3F16" w:rsidP="004F3F16">
      <w:pPr>
        <w:numPr>
          <w:ilvl w:val="1"/>
          <w:numId w:val="17"/>
        </w:numPr>
        <w:spacing w:line="360" w:lineRule="auto"/>
        <w:jc w:val="both"/>
        <w:rPr>
          <w:rFonts w:eastAsia="Arial"/>
        </w:rPr>
      </w:pPr>
      <w:r w:rsidRPr="0068694D">
        <w:rPr>
          <w:rFonts w:eastAsia="Arial"/>
        </w:rPr>
        <w:t>Obinutuzumabas derinant su chlorambucilu (O+Chl);</w:t>
      </w:r>
    </w:p>
    <w:p w14:paraId="2A0C5B44" w14:textId="77777777" w:rsidR="004F3F16" w:rsidRPr="0068694D" w:rsidRDefault="004F3F16" w:rsidP="004F3F16">
      <w:pPr>
        <w:pStyle w:val="Sraopastraipa"/>
        <w:numPr>
          <w:ilvl w:val="1"/>
          <w:numId w:val="17"/>
        </w:numPr>
        <w:tabs>
          <w:tab w:val="left" w:pos="426"/>
        </w:tabs>
        <w:spacing w:line="360" w:lineRule="auto"/>
        <w:jc w:val="both"/>
        <w:rPr>
          <w:rFonts w:eastAsia="Arial"/>
        </w:rPr>
      </w:pPr>
      <w:r w:rsidRPr="0068694D">
        <w:rPr>
          <w:rFonts w:eastAsia="Arial"/>
        </w:rPr>
        <w:t>Akalabrutinibo monoterapija.</w:t>
      </w:r>
    </w:p>
    <w:p w14:paraId="37160889" w14:textId="77777777" w:rsidR="004F3F16" w:rsidRPr="0068694D" w:rsidRDefault="004F3F16" w:rsidP="004F3F16">
      <w:pPr>
        <w:pStyle w:val="Sraopastraipa"/>
        <w:numPr>
          <w:ilvl w:val="0"/>
          <w:numId w:val="17"/>
        </w:numPr>
        <w:tabs>
          <w:tab w:val="left" w:pos="426"/>
        </w:tabs>
        <w:spacing w:line="360" w:lineRule="auto"/>
        <w:jc w:val="both"/>
        <w:rPr>
          <w:rFonts w:eastAsia="Arial"/>
        </w:rPr>
      </w:pPr>
      <w:r w:rsidRPr="0068694D">
        <w:rPr>
          <w:rFonts w:eastAsia="Arial"/>
          <w:iCs/>
        </w:rPr>
        <w:t>Pacientams, kuriems yra tinkamas gydymas chemoterapija (</w:t>
      </w:r>
      <w:r w:rsidRPr="0068694D">
        <w:rPr>
          <w:rFonts w:eastAsia="Arial"/>
          <w:i/>
        </w:rPr>
        <w:t>fit</w:t>
      </w:r>
      <w:r w:rsidRPr="0068694D">
        <w:rPr>
          <w:rFonts w:eastAsia="Arial"/>
          <w:iCs/>
        </w:rPr>
        <w:t xml:space="preserve"> pacientų populiacija):</w:t>
      </w:r>
    </w:p>
    <w:p w14:paraId="63523886" w14:textId="77777777" w:rsidR="004F3F16" w:rsidRPr="0068694D" w:rsidRDefault="004F3F16" w:rsidP="004F3F16">
      <w:pPr>
        <w:pStyle w:val="Sraopastraipa"/>
        <w:numPr>
          <w:ilvl w:val="1"/>
          <w:numId w:val="17"/>
        </w:numPr>
        <w:tabs>
          <w:tab w:val="left" w:pos="426"/>
        </w:tabs>
        <w:spacing w:line="360" w:lineRule="auto"/>
        <w:jc w:val="both"/>
        <w:rPr>
          <w:rFonts w:eastAsia="Arial"/>
        </w:rPr>
      </w:pPr>
      <w:r w:rsidRPr="0068694D">
        <w:rPr>
          <w:rFonts w:eastAsia="Arial"/>
        </w:rPr>
        <w:t>Ibrutinibo monoterapija;</w:t>
      </w:r>
    </w:p>
    <w:p w14:paraId="644F54D4" w14:textId="77777777" w:rsidR="004F3F16" w:rsidRPr="0068694D" w:rsidRDefault="004F3F16" w:rsidP="004F3F16">
      <w:pPr>
        <w:pStyle w:val="Sraopastraipa"/>
        <w:numPr>
          <w:ilvl w:val="1"/>
          <w:numId w:val="17"/>
        </w:numPr>
        <w:tabs>
          <w:tab w:val="left" w:pos="426"/>
        </w:tabs>
        <w:spacing w:line="360" w:lineRule="auto"/>
        <w:jc w:val="both"/>
        <w:rPr>
          <w:rFonts w:eastAsia="Arial"/>
        </w:rPr>
      </w:pPr>
      <w:r w:rsidRPr="0068694D">
        <w:rPr>
          <w:rFonts w:eastAsia="Arial"/>
        </w:rPr>
        <w:t>Fludarabinas derinant su ciklofosfamidu ir rituksimabu (FCR);</w:t>
      </w:r>
    </w:p>
    <w:p w14:paraId="52763549" w14:textId="2CE7C467" w:rsidR="004F3F16" w:rsidRPr="003A62EE" w:rsidRDefault="004F3F16" w:rsidP="004F3F16">
      <w:pPr>
        <w:tabs>
          <w:tab w:val="left" w:pos="426"/>
        </w:tabs>
        <w:spacing w:line="360" w:lineRule="auto"/>
        <w:jc w:val="both"/>
        <w:rPr>
          <w:rFonts w:eastAsia="Arial"/>
        </w:rPr>
      </w:pPr>
      <w:r w:rsidRPr="003A62EE">
        <w:rPr>
          <w:bCs/>
          <w:lang w:eastAsia="lt-LT"/>
        </w:rPr>
        <w:tab/>
      </w:r>
      <w:r w:rsidRPr="003A62EE">
        <w:rPr>
          <w:bCs/>
          <w:lang w:eastAsia="lt-LT"/>
        </w:rPr>
        <w:tab/>
        <w:t xml:space="preserve">Pagal </w:t>
      </w:r>
      <w:r w:rsidR="003168EB" w:rsidRPr="00536373">
        <w:rPr>
          <w:bCs/>
          <w:lang w:eastAsia="lt-LT"/>
        </w:rPr>
        <w:t>Lietuvos Respublikos sveikatos apsaugos ministro  įsakymu „Dė</w:t>
      </w:r>
      <w:r w:rsidR="003168EB" w:rsidRPr="00536373">
        <w:rPr>
          <w:bCs/>
        </w:rPr>
        <w:t xml:space="preserve">l vaistinių preparatų ir medicinos pagalbos priemonių įrašymo į kompensavimo sąrašus ir jų keitimo tvarkos aprašo </w:t>
      </w:r>
      <w:r w:rsidR="003168EB" w:rsidRPr="00536373">
        <w:rPr>
          <w:bCs/>
        </w:rPr>
        <w:lastRenderedPageBreak/>
        <w:t xml:space="preserve">patvirtinimo“ </w:t>
      </w:r>
      <w:r w:rsidR="003168EB" w:rsidRPr="006B0AB8">
        <w:rPr>
          <w:bCs/>
          <w:lang w:eastAsia="lt-LT"/>
        </w:rPr>
        <w:t xml:space="preserve">2002 m. balandžio 5 d., </w:t>
      </w:r>
      <w:r w:rsidR="003168EB" w:rsidRPr="006B0AB8">
        <w:rPr>
          <w:bCs/>
        </w:rPr>
        <w:t xml:space="preserve"> </w:t>
      </w:r>
      <w:r w:rsidR="003168EB" w:rsidRPr="006B0AB8">
        <w:rPr>
          <w:bCs/>
          <w:lang w:eastAsia="lt-LT"/>
        </w:rPr>
        <w:t xml:space="preserve">Nr. V-159 patvirtintų </w:t>
      </w:r>
      <w:r w:rsidR="003168EB" w:rsidRPr="00536373">
        <w:rPr>
          <w:bCs/>
          <w:lang w:eastAsia="lt-LT"/>
        </w:rPr>
        <w:t>P</w:t>
      </w:r>
      <w:r w:rsidR="003168EB" w:rsidRPr="006B0AB8">
        <w:rPr>
          <w:bCs/>
        </w:rPr>
        <w:t>araiškos įrašyti vaistinį preparatą į kompensavimo sąrašus rengimo taisykl</w:t>
      </w:r>
      <w:r w:rsidR="003168EB" w:rsidRPr="00536373">
        <w:rPr>
          <w:bCs/>
        </w:rPr>
        <w:t>ių</w:t>
      </w:r>
      <w:r w:rsidR="003168EB" w:rsidRPr="006B0AB8">
        <w:rPr>
          <w:bCs/>
          <w:lang w:eastAsia="lt-LT"/>
        </w:rPr>
        <w:t xml:space="preserve"> </w:t>
      </w:r>
      <w:r w:rsidR="003168EB" w:rsidRPr="00536373">
        <w:rPr>
          <w:bCs/>
        </w:rPr>
        <w:t>116-119</w:t>
      </w:r>
      <w:r w:rsidR="003168EB" w:rsidRPr="006B0AB8">
        <w:rPr>
          <w:bCs/>
        </w:rPr>
        <w:t xml:space="preserve"> </w:t>
      </w:r>
      <w:r w:rsidR="00091951">
        <w:rPr>
          <w:bCs/>
        </w:rPr>
        <w:t>punktus</w:t>
      </w:r>
      <w:r w:rsidRPr="003A62EE">
        <w:rPr>
          <w:bCs/>
        </w:rPr>
        <w:t xml:space="preserve"> tinkami palyginamieji gydymai – </w:t>
      </w:r>
      <w:r w:rsidRPr="003A62EE">
        <w:rPr>
          <w:rFonts w:eastAsia="Arial"/>
        </w:rPr>
        <w:t>ibrutinibas, obinutuzumabas derinant su chlorambucilu, akalabrutinibas, fludarabinas derinant su ciklofosfamidu ir rituksimabu</w:t>
      </w:r>
      <w:r w:rsidRPr="003A62EE">
        <w:rPr>
          <w:bCs/>
        </w:rPr>
        <w:t xml:space="preserve">. </w:t>
      </w:r>
    </w:p>
    <w:p w14:paraId="1BE71D6B" w14:textId="77777777" w:rsidR="004F3F16" w:rsidRPr="00091951" w:rsidRDefault="004F3F16" w:rsidP="004F3F16">
      <w:pPr>
        <w:spacing w:line="360" w:lineRule="auto"/>
        <w:rPr>
          <w:rFonts w:eastAsia="Arial"/>
          <w:iCs/>
          <w:highlight w:val="yellow"/>
        </w:rPr>
      </w:pPr>
    </w:p>
    <w:p w14:paraId="0C605AEE" w14:textId="77777777" w:rsidR="004F3F16" w:rsidRPr="00D15161" w:rsidRDefault="004F3F16" w:rsidP="004F3F16">
      <w:pPr>
        <w:rPr>
          <w:rFonts w:eastAsia="Arial"/>
          <w:i/>
          <w:iCs/>
        </w:rPr>
      </w:pPr>
      <w:r w:rsidRPr="00D15161">
        <w:rPr>
          <w:rFonts w:eastAsia="Arial"/>
          <w:i/>
          <w:iCs/>
        </w:rPr>
        <w:t>Tiesioginis palyginimas</w:t>
      </w:r>
    </w:p>
    <w:p w14:paraId="678D13C2" w14:textId="77777777" w:rsidR="004F3F16" w:rsidRPr="003A62EE" w:rsidRDefault="004F3F16" w:rsidP="004F3F16">
      <w:pPr>
        <w:tabs>
          <w:tab w:val="left" w:pos="492"/>
        </w:tabs>
        <w:spacing w:line="280" w:lineRule="atLeast"/>
        <w:outlineLvl w:val="1"/>
        <w:rPr>
          <w:rFonts w:eastAsia="Arial"/>
          <w:b/>
          <w:highlight w:val="yellow"/>
        </w:rPr>
      </w:pPr>
    </w:p>
    <w:p w14:paraId="2A3BD544" w14:textId="77777777" w:rsidR="004F3F16" w:rsidRDefault="004F3F16" w:rsidP="004F3F16">
      <w:pPr>
        <w:tabs>
          <w:tab w:val="left" w:pos="492"/>
        </w:tabs>
        <w:spacing w:line="360" w:lineRule="auto"/>
        <w:jc w:val="both"/>
        <w:outlineLvl w:val="1"/>
      </w:pPr>
      <w:r w:rsidRPr="003A62EE">
        <w:tab/>
      </w:r>
      <w:r w:rsidRPr="003A62EE">
        <w:tab/>
        <w:t>Atsitiktinių imčių atvirajame III fazės tyrime GLOW fiksuotos trukmės gydymo Imbruvica kartu su venetoklaksu (I+V) saugumas ir veiksmingumas LLL sergantiems ir anksčiau negydytiems pacientams buvo lyginamas su gydymu chlorambuciliu ir obinutuzumabu (O+Chl).</w:t>
      </w:r>
    </w:p>
    <w:p w14:paraId="547158BC" w14:textId="7EB3EB54" w:rsidR="004F3F16" w:rsidRPr="00D145F9" w:rsidRDefault="004F3F16" w:rsidP="004F3F16">
      <w:pPr>
        <w:tabs>
          <w:tab w:val="left" w:pos="492"/>
        </w:tabs>
        <w:spacing w:line="360" w:lineRule="auto"/>
        <w:jc w:val="both"/>
        <w:outlineLvl w:val="1"/>
      </w:pPr>
      <w:r>
        <w:tab/>
      </w:r>
      <w:r>
        <w:tab/>
      </w:r>
      <w:r w:rsidRPr="00D145F9">
        <w:rPr>
          <w:iCs/>
        </w:rPr>
        <w:t>Tyrimo pacientų populiacija atitinka egzistuojančią Lietuvos pacientų populiaciją, kuriai gydymas gali būti skiriamas pagal numatomas Imbruvica skyrimo indikacijas ir siūlomas skyrimo sąlygas</w:t>
      </w:r>
      <w:r>
        <w:rPr>
          <w:iCs/>
        </w:rPr>
        <w:t>.</w:t>
      </w:r>
      <w:r w:rsidRPr="003A62EE">
        <w:t xml:space="preserve"> </w:t>
      </w:r>
      <w:r w:rsidRPr="003A62EE">
        <w:rPr>
          <w:rFonts w:eastAsia="Arial"/>
          <w:color w:val="000000" w:themeColor="text1"/>
        </w:rPr>
        <w:t xml:space="preserve">GLOW </w:t>
      </w:r>
      <w:r w:rsidRPr="003A62EE">
        <w:rPr>
          <w:rFonts w:eastAsia="Arial"/>
          <w:iCs/>
          <w:color w:val="000000" w:themeColor="text1"/>
        </w:rPr>
        <w:t>klinikiniame tyrime viso dalyvavo 211 pacient</w:t>
      </w:r>
      <w:r w:rsidR="00091951">
        <w:rPr>
          <w:rFonts w:eastAsia="Arial"/>
          <w:iCs/>
          <w:color w:val="000000" w:themeColor="text1"/>
        </w:rPr>
        <w:t>ų</w:t>
      </w:r>
      <w:r w:rsidRPr="003A62EE">
        <w:rPr>
          <w:rFonts w:eastAsia="Arial"/>
          <w:iCs/>
          <w:color w:val="000000" w:themeColor="text1"/>
        </w:rPr>
        <w:t>, kurie atsitiktinės atrankos būdu (santykiu 1:1) buvo suskirstyti į dvi grupes: I+V (106 pacientai) ir O+Chl (105 pacientai). Pacientų bendrosios charakteristikos buvo pasiskirsčiusios tolygiai tarp grupių, tačiau nebuvo pateiktos p įrodymų reikšmės, todėl tikslus interpretavimas negalimas. Tyrime dalyvavusių pacientų demografiniai bei ligos rodikliai atspindi realią pacientų populiaciją, kuriai šis vaistai yra skiriamas Lietuvoje</w:t>
      </w:r>
      <w:r>
        <w:rPr>
          <w:rFonts w:eastAsia="Arial"/>
          <w:iCs/>
          <w:color w:val="000000" w:themeColor="text1"/>
        </w:rPr>
        <w:t>.</w:t>
      </w:r>
      <w:r>
        <w:t xml:space="preserve"> </w:t>
      </w:r>
      <w:r w:rsidRPr="003A62EE">
        <w:t>Pacientai buvo stratifikuojami pagal 11q delecijos buvimą ar nebuvimą bei sunkiosios imunoglobulino grandinės kintamo</w:t>
      </w:r>
      <w:r w:rsidR="00091951">
        <w:t>sios</w:t>
      </w:r>
      <w:r w:rsidRPr="003A62EE">
        <w:t xml:space="preserve"> sriti</w:t>
      </w:r>
      <w:r w:rsidR="00091951">
        <w:t>e</w:t>
      </w:r>
      <w:r w:rsidRPr="003A62EE">
        <w:t>s (angl. immunoglobulin heavy chain variable region; IGHV)</w:t>
      </w:r>
      <w:r w:rsidR="00091951">
        <w:t xml:space="preserve"> m</w:t>
      </w:r>
      <w:r w:rsidR="00091951" w:rsidRPr="003A62EE">
        <w:t>uta</w:t>
      </w:r>
      <w:r w:rsidR="00091951">
        <w:t>cijos buvimą ar nebuvimą.</w:t>
      </w:r>
    </w:p>
    <w:p w14:paraId="1B6605A2" w14:textId="77777777" w:rsidR="004F3F16" w:rsidRPr="003A62EE" w:rsidRDefault="004F3F16" w:rsidP="004F3F16">
      <w:pPr>
        <w:tabs>
          <w:tab w:val="left" w:pos="426"/>
        </w:tabs>
        <w:spacing w:line="360" w:lineRule="auto"/>
        <w:jc w:val="both"/>
      </w:pPr>
      <w:r w:rsidRPr="003A62EE">
        <w:tab/>
      </w:r>
      <w:r w:rsidRPr="003A62EE">
        <w:tab/>
        <w:t xml:space="preserve">GLOW tyrimo </w:t>
      </w:r>
      <w:r w:rsidRPr="003A62EE">
        <w:rPr>
          <w:b/>
          <w:bCs/>
        </w:rPr>
        <w:t xml:space="preserve">pirminė vertinimo baigtis </w:t>
      </w:r>
      <w:r w:rsidRPr="003A62EE">
        <w:t>buvo nepriklausomo priežiūros komiteto vertintas išgyvenamumas be ligos progresavimo (IBLP), apibrėžtas kaip laikas nuo randomizacijos iki nustatyto ligos progreso ar mirties dėl bet kokios priežasties atvejo.</w:t>
      </w:r>
    </w:p>
    <w:p w14:paraId="33F2C975" w14:textId="5757F15F" w:rsidR="004F3F16" w:rsidRPr="003A62EE" w:rsidRDefault="00333DE2" w:rsidP="004F3F16">
      <w:pPr>
        <w:tabs>
          <w:tab w:val="left" w:pos="426"/>
        </w:tabs>
        <w:spacing w:line="360" w:lineRule="auto"/>
        <w:jc w:val="both"/>
      </w:pPr>
      <w:r>
        <w:tab/>
      </w:r>
      <w:r>
        <w:tab/>
      </w:r>
      <w:r w:rsidR="004F3F16" w:rsidRPr="003A62EE">
        <w:t>Svarbiausios antrinės vertinamosios baigt</w:t>
      </w:r>
      <w:r w:rsidR="00091951">
        <w:t>y</w:t>
      </w:r>
      <w:r w:rsidR="004F3F16" w:rsidRPr="003A62EE">
        <w:t>s buvo:</w:t>
      </w:r>
    </w:p>
    <w:p w14:paraId="04274A6D" w14:textId="77777777" w:rsidR="004F3F16" w:rsidRPr="003A62EE" w:rsidRDefault="004F3F16" w:rsidP="004F3F16">
      <w:pPr>
        <w:pStyle w:val="Sraopastraipa"/>
        <w:numPr>
          <w:ilvl w:val="0"/>
          <w:numId w:val="18"/>
        </w:numPr>
        <w:tabs>
          <w:tab w:val="left" w:pos="426"/>
        </w:tabs>
        <w:spacing w:line="360" w:lineRule="auto"/>
        <w:jc w:val="both"/>
      </w:pPr>
      <w:r w:rsidRPr="003A62EE">
        <w:t>Bendras išgyvenamumas (BI) – laikas nuo randomizacijos datos iki mirties dėl bet kokios priežasties.</w:t>
      </w:r>
    </w:p>
    <w:p w14:paraId="725EDE8F" w14:textId="77777777" w:rsidR="004F3F16" w:rsidRPr="003A62EE" w:rsidRDefault="004F3F16" w:rsidP="004F3F16">
      <w:pPr>
        <w:pStyle w:val="Sraopastraipa"/>
        <w:numPr>
          <w:ilvl w:val="0"/>
          <w:numId w:val="18"/>
        </w:numPr>
        <w:tabs>
          <w:tab w:val="left" w:pos="426"/>
        </w:tabs>
        <w:spacing w:line="360" w:lineRule="auto"/>
        <w:jc w:val="both"/>
      </w:pPr>
      <w:r w:rsidRPr="003A62EE">
        <w:t>Minimalios likutinės ligos (MLL) neigiamų rezultatų dažnis – (&lt;1 LLL ląstelė iš 10 000 leukocitų) pagal naujos kartos sekoskaitą (NKS) kaulų čiulpuose.</w:t>
      </w:r>
    </w:p>
    <w:p w14:paraId="3C8CFF2C" w14:textId="77777777" w:rsidR="004F3F16" w:rsidRPr="00D145F9" w:rsidRDefault="004F3F16" w:rsidP="004F3F16">
      <w:pPr>
        <w:pStyle w:val="Sraopastraipa"/>
        <w:numPr>
          <w:ilvl w:val="0"/>
          <w:numId w:val="18"/>
        </w:numPr>
        <w:tabs>
          <w:tab w:val="left" w:pos="426"/>
        </w:tabs>
        <w:spacing w:line="360" w:lineRule="auto"/>
        <w:jc w:val="both"/>
        <w:rPr>
          <w:rFonts w:eastAsia="Arial"/>
        </w:rPr>
      </w:pPr>
      <w:r w:rsidRPr="00D145F9">
        <w:t>Visiško atsako dažnis (VA).</w:t>
      </w:r>
    </w:p>
    <w:p w14:paraId="379238FB" w14:textId="77777777" w:rsidR="004F3F16" w:rsidRPr="003A62EE" w:rsidRDefault="004F3F16" w:rsidP="004F3F16">
      <w:pPr>
        <w:tabs>
          <w:tab w:val="left" w:pos="426"/>
        </w:tabs>
        <w:spacing w:line="360" w:lineRule="auto"/>
        <w:jc w:val="both"/>
      </w:pPr>
      <w:r w:rsidRPr="003A62EE">
        <w:rPr>
          <w:rFonts w:eastAsia="Arial"/>
          <w:color w:val="000000" w:themeColor="text1"/>
        </w:rPr>
        <w:tab/>
      </w:r>
      <w:r w:rsidRPr="003A62EE">
        <w:rPr>
          <w:rFonts w:eastAsia="Arial"/>
          <w:color w:val="000000" w:themeColor="text1"/>
        </w:rPr>
        <w:tab/>
      </w:r>
      <w:r w:rsidRPr="003A62EE">
        <w:rPr>
          <w:rFonts w:eastAsia="Arial"/>
        </w:rPr>
        <w:t xml:space="preserve">Tyrimo </w:t>
      </w:r>
      <w:r w:rsidRPr="003A62EE">
        <w:rPr>
          <w:rFonts w:eastAsia="Arial"/>
          <w:u w:val="single"/>
        </w:rPr>
        <w:t>pagrindinė</w:t>
      </w:r>
      <w:r w:rsidRPr="003A62EE">
        <w:rPr>
          <w:rFonts w:eastAsia="Arial"/>
        </w:rPr>
        <w:t xml:space="preserve"> (pirminė) veiksmingumo vertinamoji </w:t>
      </w:r>
      <w:r w:rsidRPr="003A62EE">
        <w:rPr>
          <w:rFonts w:eastAsia="Arial"/>
          <w:u w:val="single"/>
        </w:rPr>
        <w:t>baigtis</w:t>
      </w:r>
      <w:r w:rsidRPr="003A62EE">
        <w:rPr>
          <w:rFonts w:eastAsia="Arial"/>
        </w:rPr>
        <w:t xml:space="preserve"> buvo </w:t>
      </w:r>
      <w:r w:rsidRPr="003A62EE">
        <w:t xml:space="preserve">IBLP – laikas nuo atsitiktinės atrankos iki nustatyto ligos progreso ar mirties dėl bet kokios priežasties atvejo (nustatyto nepriklausomo priežiūros komiteto), atsižvelgiant į tai, kas įvyksta anksčiau. </w:t>
      </w:r>
    </w:p>
    <w:p w14:paraId="7FA0C979" w14:textId="77777777" w:rsidR="004F3F16" w:rsidRPr="003A62EE" w:rsidRDefault="004F3F16" w:rsidP="004F3F16">
      <w:pPr>
        <w:tabs>
          <w:tab w:val="left" w:pos="426"/>
        </w:tabs>
        <w:spacing w:line="360" w:lineRule="auto"/>
        <w:jc w:val="both"/>
        <w:rPr>
          <w:highlight w:val="yellow"/>
        </w:rPr>
      </w:pPr>
      <w:r w:rsidRPr="003A62EE">
        <w:tab/>
      </w:r>
      <w:r w:rsidRPr="003A62EE">
        <w:tab/>
        <w:t xml:space="preserve">Šioje pirminės analizės ataskaitoje, buvo nustatyti 89 IBLP įvykiai. Vidutinė tyrime dalyvavusių subjektų stebėjimo trukmė buvo 27,7 mėnesio (95 proc. PI: 27,60–27,89 mėn.). Pirminė analizė parodė statistiškai reikšmingą IBLP pagerėjimą, kurį nepriklausomos įvertino tiems pacientams, kurie gavo fiksuoto laikotarpio gydymą I+V, lyginant su O+Chl (santykinė rizika = </w:t>
      </w:r>
      <w:r w:rsidRPr="003A62EE">
        <w:lastRenderedPageBreak/>
        <w:t>0,216; 95% PI: 0,131–0,357; p &lt; 0,0001). Tai reiškia, kad pacientams, gydytiems I+V, ligos progresavimo arba mirties rizika buvo 78% mažesnė, palyginti su tais, kurie buvo gydyti O+Chl. Mediana IBLP I+V grupėje nebuvo pasiekta, o O+Chl grupėje ji buvo 21,0 mėnesio.</w:t>
      </w:r>
    </w:p>
    <w:p w14:paraId="565E346C" w14:textId="2193749C" w:rsidR="004F3F16" w:rsidRPr="003A62EE" w:rsidRDefault="004F3F16" w:rsidP="004F3F16">
      <w:pPr>
        <w:tabs>
          <w:tab w:val="left" w:pos="426"/>
        </w:tabs>
        <w:spacing w:line="360" w:lineRule="auto"/>
        <w:jc w:val="both"/>
      </w:pPr>
      <w:r w:rsidRPr="003A62EE">
        <w:tab/>
      </w:r>
      <w:r w:rsidRPr="003A62EE">
        <w:tab/>
        <w:t>IBLP buvo pagerėjęs pacientams, gydytiems I+V deriniu, lyginant su O+Chl, visuose iš anksto nustatytuose pogrupiuose, išskyrus rasę ir ligos diagnozę pradiniame etape. Šie pogrupiai apėmė amžių, lytį, ligos stadiją atrankos metu, pradinį ECOG būklės vertinimą, bendrą CIRS balą, didelės masės ligos būklę, IGHV mutacijos statusą, c</w:t>
      </w:r>
      <w:r>
        <w:t>RS</w:t>
      </w:r>
      <w:r w:rsidRPr="003A62EE">
        <w:t>omosomos 11q delecijos statusą, pradinį LDH lygį, citopeniją pradiniame etape ir serumo β2-mikroglobulino lygį pradiniame etape</w:t>
      </w:r>
      <w:r w:rsidR="00091951">
        <w:t>.</w:t>
      </w:r>
    </w:p>
    <w:p w14:paraId="770DEAAC" w14:textId="77777777" w:rsidR="004F3F16" w:rsidRDefault="004F3F16" w:rsidP="004F3F16">
      <w:pPr>
        <w:tabs>
          <w:tab w:val="left" w:pos="426"/>
        </w:tabs>
        <w:spacing w:line="360" w:lineRule="auto"/>
        <w:jc w:val="both"/>
        <w:rPr>
          <w:b/>
          <w:bCs/>
        </w:rPr>
      </w:pPr>
    </w:p>
    <w:p w14:paraId="6BF0C7B6" w14:textId="2A9EC478" w:rsidR="004F3F16" w:rsidRPr="003A62EE" w:rsidRDefault="004F3F16" w:rsidP="004F3F16">
      <w:pPr>
        <w:tabs>
          <w:tab w:val="left" w:pos="426"/>
        </w:tabs>
        <w:spacing w:line="360" w:lineRule="auto"/>
        <w:jc w:val="both"/>
        <w:rPr>
          <w:b/>
          <w:bCs/>
        </w:rPr>
      </w:pPr>
      <w:r w:rsidRPr="003A62EE">
        <w:rPr>
          <w:b/>
          <w:bCs/>
        </w:rPr>
        <w:t>Antrinės vertinamosios baigtys</w:t>
      </w:r>
    </w:p>
    <w:p w14:paraId="0F2A7B72" w14:textId="77777777" w:rsidR="004F3F16" w:rsidRPr="00D145F9" w:rsidRDefault="004F3F16" w:rsidP="004F3F16">
      <w:pPr>
        <w:pStyle w:val="Sraopastraipa"/>
        <w:numPr>
          <w:ilvl w:val="0"/>
          <w:numId w:val="19"/>
        </w:numPr>
        <w:tabs>
          <w:tab w:val="left" w:pos="426"/>
        </w:tabs>
        <w:spacing w:line="360" w:lineRule="auto"/>
        <w:jc w:val="both"/>
      </w:pPr>
      <w:r w:rsidRPr="00D145F9">
        <w:t xml:space="preserve">Minimalios likutinės ligos (MLL) neigiamų rezultatų dažnis - pirminės analizės metu geriausias MLL rodiklis kaulų čiulpuose buvo reikšmingai didesnis pacientams, gydytiems I+V deriniu, palyginti su pacientais, gydytais O+Chl (55,7% prieš 21,0%; p=0,001). Praėjus 3 mėnesiams po gydymo pabaigos, 51,9 % pacientų, gavusių I+V, pasiekė MLL kaulų čiulpuose, palyginti su 17,1% pacientų, gavusių O+Chl. </w:t>
      </w:r>
    </w:p>
    <w:p w14:paraId="6BCE6E4C" w14:textId="0921361B" w:rsidR="004F3F16" w:rsidRDefault="004F3F16" w:rsidP="004F3F16">
      <w:pPr>
        <w:pStyle w:val="Sraopastraipa"/>
        <w:numPr>
          <w:ilvl w:val="0"/>
          <w:numId w:val="19"/>
        </w:numPr>
        <w:tabs>
          <w:tab w:val="left" w:pos="426"/>
        </w:tabs>
        <w:spacing w:line="360" w:lineRule="auto"/>
        <w:jc w:val="both"/>
      </w:pPr>
      <w:r w:rsidRPr="00D145F9">
        <w:t xml:space="preserve">Visiško atsako (VA) dažnis - pacientai, gydyti I+V deriniu, pasiekė reikšmingai didesnį VA rodiklį, įskaitant VA su nevisišku kaulų čiulpų atsistatymu, lyginant su pacientais, gydytais O+Chl, kaip nustatyta nepriklausomos priežiūros komiteto (41 [38,7%] prieš 12 [11,4%]; p=0,001). </w:t>
      </w:r>
    </w:p>
    <w:p w14:paraId="696A480D" w14:textId="77777777" w:rsidR="004F3F16" w:rsidRPr="00D145F9" w:rsidRDefault="004F3F16" w:rsidP="004F3F16">
      <w:pPr>
        <w:pStyle w:val="Sraopastraipa"/>
        <w:numPr>
          <w:ilvl w:val="0"/>
          <w:numId w:val="19"/>
        </w:numPr>
        <w:tabs>
          <w:tab w:val="left" w:pos="426"/>
        </w:tabs>
        <w:spacing w:line="360" w:lineRule="auto"/>
        <w:jc w:val="both"/>
      </w:pPr>
      <w:r w:rsidRPr="00D145F9">
        <w:t>Bendras išgyvenamumas (BI) – laikas nuo randomizacijos datos iki mirties dėl bet kokios priežasties.</w:t>
      </w:r>
      <w:r>
        <w:t xml:space="preserve"> </w:t>
      </w:r>
      <w:r w:rsidRPr="00D145F9">
        <w:t xml:space="preserve">Pirminės analizės metu I+V grupėje buvo užregistruota 11 mirčių, o O-Chl grupėje – 12 mirčių, o BI skirtumo tarp grupių nepastebėta (RS 1,048; 95% PI, 0,454–2,419). </w:t>
      </w:r>
    </w:p>
    <w:p w14:paraId="2D5B1109" w14:textId="77777777" w:rsidR="004F3F16" w:rsidRPr="003A62EE" w:rsidRDefault="004F3F16" w:rsidP="004F3F16">
      <w:pPr>
        <w:tabs>
          <w:tab w:val="left" w:pos="426"/>
        </w:tabs>
        <w:spacing w:line="360" w:lineRule="auto"/>
        <w:jc w:val="center"/>
        <w:rPr>
          <w:highlight w:val="yellow"/>
        </w:rPr>
      </w:pPr>
    </w:p>
    <w:p w14:paraId="19A958D8" w14:textId="77777777" w:rsidR="004F3F16" w:rsidRPr="003A62EE" w:rsidRDefault="004F3F16" w:rsidP="004F3F16">
      <w:pPr>
        <w:spacing w:line="360" w:lineRule="auto"/>
        <w:ind w:firstLine="630"/>
        <w:jc w:val="both"/>
        <w:rPr>
          <w:b/>
          <w:bCs/>
        </w:rPr>
      </w:pPr>
      <w:r w:rsidRPr="003A62EE">
        <w:rPr>
          <w:b/>
          <w:bCs/>
        </w:rPr>
        <w:t>Pacientų praneštų baigčių analizė</w:t>
      </w:r>
    </w:p>
    <w:p w14:paraId="10C21064" w14:textId="77777777" w:rsidR="004F3F16" w:rsidRPr="003A62EE" w:rsidRDefault="004F3F16" w:rsidP="004F3F16">
      <w:pPr>
        <w:spacing w:line="360" w:lineRule="auto"/>
        <w:ind w:firstLine="630"/>
        <w:jc w:val="both"/>
      </w:pPr>
      <w:r w:rsidRPr="003A62EE">
        <w:t>Pirminės analizės duomenų nutraukimo metu laiko mediana iki kliniškai reikšmingo (≥3 taškų padidėjimo pagal 52 taškų skalę) FACIT-nuovargio balo pagerėjimo buvo 5,59 mėnesio pacientams, gydytiems I+V, palyginti su 3,75 mėnesio pacientams, gydytiems O+Chl, tačiau šis rezultatas nebuvo statistiškai reikšmingas (rizikos santykis = 1,369; 95% PI: 0,959–1,954; p = 0,0776).</w:t>
      </w:r>
    </w:p>
    <w:p w14:paraId="7FFB8F76" w14:textId="77777777" w:rsidR="004F3F16" w:rsidRPr="003A62EE" w:rsidRDefault="004F3F16" w:rsidP="004F3F16">
      <w:pPr>
        <w:spacing w:before="20"/>
        <w:jc w:val="both"/>
        <w:rPr>
          <w:rFonts w:eastAsia="Arial"/>
          <w:sz w:val="20"/>
        </w:rPr>
      </w:pPr>
    </w:p>
    <w:p w14:paraId="70BB987A" w14:textId="77777777" w:rsidR="004F3F16" w:rsidRPr="00D15161" w:rsidRDefault="004F3F16" w:rsidP="004F3F16">
      <w:pPr>
        <w:rPr>
          <w:rFonts w:eastAsia="Arial"/>
          <w:i/>
          <w:iCs/>
        </w:rPr>
      </w:pPr>
      <w:r>
        <w:rPr>
          <w:rFonts w:eastAsia="Arial"/>
          <w:i/>
          <w:iCs/>
        </w:rPr>
        <w:t>Net</w:t>
      </w:r>
      <w:r w:rsidRPr="00D15161">
        <w:rPr>
          <w:rFonts w:eastAsia="Arial"/>
          <w:i/>
          <w:iCs/>
        </w:rPr>
        <w:t>iesioginis palyginimas</w:t>
      </w:r>
    </w:p>
    <w:p w14:paraId="67D56ED6" w14:textId="77777777" w:rsidR="004F3F16" w:rsidRDefault="004F3F16" w:rsidP="004F3F16">
      <w:pPr>
        <w:spacing w:line="360" w:lineRule="auto"/>
        <w:jc w:val="both"/>
        <w:rPr>
          <w:rFonts w:eastAsia="Arial"/>
          <w:b/>
          <w:i/>
          <w:iCs/>
        </w:rPr>
      </w:pPr>
    </w:p>
    <w:p w14:paraId="020A04F4" w14:textId="77777777" w:rsidR="004F3F16" w:rsidRPr="00816A41" w:rsidRDefault="004F3F16" w:rsidP="004F3F16">
      <w:pPr>
        <w:spacing w:line="360" w:lineRule="auto"/>
        <w:jc w:val="both"/>
        <w:rPr>
          <w:rFonts w:eastAsia="Arial"/>
          <w:b/>
        </w:rPr>
      </w:pPr>
      <w:r w:rsidRPr="00816A41">
        <w:rPr>
          <w:rFonts w:eastAsia="Arial"/>
          <w:b/>
          <w:i/>
          <w:iCs/>
        </w:rPr>
        <w:t>Unfit</w:t>
      </w:r>
      <w:r w:rsidRPr="00816A41">
        <w:rPr>
          <w:rFonts w:eastAsia="Arial"/>
          <w:b/>
        </w:rPr>
        <w:t xml:space="preserve"> pacientų populiacija</w:t>
      </w:r>
    </w:p>
    <w:p w14:paraId="556CA5C2" w14:textId="24E4E706" w:rsidR="004F3F16" w:rsidRPr="003A62EE" w:rsidRDefault="004F3F16" w:rsidP="004F3F16">
      <w:pPr>
        <w:spacing w:line="360" w:lineRule="auto"/>
        <w:jc w:val="both"/>
        <w:rPr>
          <w:rFonts w:eastAsia="Arial"/>
          <w:bCs/>
        </w:rPr>
      </w:pPr>
      <w:r w:rsidRPr="003A62EE">
        <w:rPr>
          <w:rFonts w:eastAsia="Arial"/>
          <w:bCs/>
        </w:rPr>
        <w:tab/>
        <w:t xml:space="preserve">Prieš priimant sprendimą dėl gydymo, pacientas yra priskiriamas kategorijai – </w:t>
      </w:r>
      <w:r w:rsidRPr="00816A41">
        <w:rPr>
          <w:rFonts w:eastAsia="Arial"/>
          <w:bCs/>
          <w:i/>
          <w:iCs/>
        </w:rPr>
        <w:t>fit</w:t>
      </w:r>
      <w:r w:rsidRPr="003A62EE">
        <w:rPr>
          <w:rFonts w:eastAsia="Arial"/>
          <w:bCs/>
        </w:rPr>
        <w:t xml:space="preserve"> arba </w:t>
      </w:r>
      <w:r w:rsidRPr="00816A41">
        <w:rPr>
          <w:rFonts w:eastAsia="Arial"/>
          <w:bCs/>
          <w:i/>
          <w:iCs/>
        </w:rPr>
        <w:t>unift</w:t>
      </w:r>
      <w:r w:rsidRPr="003A62EE">
        <w:rPr>
          <w:rFonts w:eastAsia="Arial"/>
          <w:bCs/>
        </w:rPr>
        <w:t xml:space="preserve">, pagal tai ar jis galės </w:t>
      </w:r>
      <w:r>
        <w:rPr>
          <w:rFonts w:eastAsia="Arial"/>
          <w:bCs/>
        </w:rPr>
        <w:t>toleruoti</w:t>
      </w:r>
      <w:r w:rsidRPr="003A62EE">
        <w:rPr>
          <w:rFonts w:eastAsia="Arial"/>
          <w:bCs/>
        </w:rPr>
        <w:t xml:space="preserve"> chemoterapinį gydymą. Pagal Paraiškoje pateikt</w:t>
      </w:r>
      <w:r w:rsidR="00A00BC0">
        <w:rPr>
          <w:rFonts w:eastAsia="Arial"/>
          <w:bCs/>
        </w:rPr>
        <w:t>as</w:t>
      </w:r>
      <w:r w:rsidRPr="003A62EE">
        <w:rPr>
          <w:rFonts w:eastAsia="Arial"/>
          <w:bCs/>
        </w:rPr>
        <w:t xml:space="preserve"> Patariamosios Tarybos išvadas, pacientams, kurie yra </w:t>
      </w:r>
      <w:r>
        <w:rPr>
          <w:rFonts w:eastAsia="Arial"/>
          <w:bCs/>
        </w:rPr>
        <w:t xml:space="preserve">priskiriami </w:t>
      </w:r>
      <w:r w:rsidRPr="00816A41">
        <w:rPr>
          <w:rFonts w:eastAsia="Arial"/>
          <w:bCs/>
          <w:i/>
          <w:iCs/>
        </w:rPr>
        <w:t>unfit</w:t>
      </w:r>
      <w:r>
        <w:rPr>
          <w:rFonts w:eastAsia="Arial"/>
          <w:bCs/>
        </w:rPr>
        <w:t xml:space="preserve"> pacientų pogrupiui</w:t>
      </w:r>
      <w:r w:rsidRPr="003A62EE">
        <w:rPr>
          <w:rFonts w:eastAsia="Arial"/>
          <w:bCs/>
        </w:rPr>
        <w:t>, t.y.</w:t>
      </w:r>
      <w:r>
        <w:rPr>
          <w:rFonts w:eastAsia="Arial"/>
          <w:bCs/>
        </w:rPr>
        <w:t xml:space="preserve"> jiems</w:t>
      </w:r>
      <w:r w:rsidRPr="003A62EE">
        <w:rPr>
          <w:rFonts w:eastAsia="Arial"/>
          <w:bCs/>
        </w:rPr>
        <w:t xml:space="preserve"> netinkamas gydymas chemoterapija, gali būti skiriama: ibrutinibo monoterapija, obinutuzumabas derinant su </w:t>
      </w:r>
      <w:r w:rsidRPr="003A62EE">
        <w:rPr>
          <w:rFonts w:eastAsia="Arial"/>
          <w:bCs/>
        </w:rPr>
        <w:lastRenderedPageBreak/>
        <w:t xml:space="preserve">chlorambucilu bei akalabrutinibo monoterapija. I+V derinio pranašumas prieš obinutuzumabo ir chlorambucilo derinį buvo įrodytas GLOW klinikiniame tyrime, todėl netiesioginis palyginimas </w:t>
      </w:r>
      <w:r w:rsidRPr="00A00BC0">
        <w:rPr>
          <w:rFonts w:eastAsia="Arial"/>
          <w:bCs/>
          <w:i/>
          <w:iCs/>
        </w:rPr>
        <w:t xml:space="preserve">unfit </w:t>
      </w:r>
      <w:r w:rsidRPr="003A62EE">
        <w:rPr>
          <w:rFonts w:eastAsia="Arial"/>
          <w:bCs/>
        </w:rPr>
        <w:t>pacientų populiacijoje pateiktas prieš ibrutinibo ir akalabrutinibo monoterapiją.</w:t>
      </w:r>
    </w:p>
    <w:p w14:paraId="441FE842" w14:textId="77777777" w:rsidR="004F3F16" w:rsidRPr="003A62EE" w:rsidRDefault="004F3F16" w:rsidP="004F3F16">
      <w:pPr>
        <w:spacing w:line="360" w:lineRule="auto"/>
        <w:jc w:val="both"/>
        <w:rPr>
          <w:rFonts w:eastAsia="Arial"/>
          <w:b/>
        </w:rPr>
      </w:pPr>
    </w:p>
    <w:p w14:paraId="171E0239" w14:textId="77777777" w:rsidR="004F3F16" w:rsidRPr="003A62EE" w:rsidRDefault="004F3F16" w:rsidP="004F3F16">
      <w:pPr>
        <w:spacing w:line="360" w:lineRule="auto"/>
        <w:jc w:val="both"/>
        <w:rPr>
          <w:rFonts w:eastAsia="Arial"/>
          <w:b/>
        </w:rPr>
      </w:pPr>
      <w:r w:rsidRPr="003A62EE">
        <w:rPr>
          <w:rFonts w:eastAsia="Arial"/>
          <w:b/>
        </w:rPr>
        <w:t>Netiesioginis palyginimas su ibrutinibo monoterapija</w:t>
      </w:r>
    </w:p>
    <w:p w14:paraId="7547FACD" w14:textId="77777777" w:rsidR="004F3F16" w:rsidRDefault="004F3F16" w:rsidP="00333DE2">
      <w:pPr>
        <w:spacing w:line="360" w:lineRule="auto"/>
        <w:ind w:firstLine="720"/>
        <w:jc w:val="both"/>
        <w:rPr>
          <w:rFonts w:eastAsia="Arial"/>
          <w:bCs/>
        </w:rPr>
      </w:pPr>
      <w:r w:rsidRPr="00D145F9">
        <w:rPr>
          <w:rFonts w:eastAsia="Arial"/>
          <w:bCs/>
        </w:rPr>
        <w:t>Analizės rezultatai rodo, kad esant dabartiniam stebėjimui nebuvo nustatyta skirtumų tarp I+V ir ibrutinibo rezultatų IBLP ir BI pacientams, kurie anksčiau nebuvo gydyti ir netiko fludarabino gydymui. Nepaisant maždaug 3 kartus trumpesnio gydymo trukmės, I+V pasiekė dažnesnį visiško atsako dažnį, palyginti su ibrutinibo monoterapija.</w:t>
      </w:r>
    </w:p>
    <w:p w14:paraId="656D9038" w14:textId="77777777" w:rsidR="004F3F16" w:rsidRDefault="004F3F16" w:rsidP="004F3F16">
      <w:pPr>
        <w:spacing w:line="360" w:lineRule="auto"/>
        <w:jc w:val="both"/>
        <w:rPr>
          <w:rFonts w:eastAsia="Arial"/>
          <w:bCs/>
        </w:rPr>
      </w:pPr>
    </w:p>
    <w:p w14:paraId="37429706" w14:textId="77777777" w:rsidR="004F3F16" w:rsidRPr="003A62EE" w:rsidRDefault="004F3F16" w:rsidP="004F3F16">
      <w:pPr>
        <w:spacing w:line="360" w:lineRule="auto"/>
        <w:jc w:val="both"/>
        <w:rPr>
          <w:rFonts w:eastAsia="Arial"/>
          <w:b/>
        </w:rPr>
      </w:pPr>
      <w:r w:rsidRPr="003A62EE">
        <w:rPr>
          <w:rFonts w:eastAsia="Arial"/>
          <w:b/>
        </w:rPr>
        <w:t>Netiesioginis palyginimas su akalabrutinibo monoterapija</w:t>
      </w:r>
    </w:p>
    <w:p w14:paraId="10A8A37D" w14:textId="77777777" w:rsidR="004F3F16" w:rsidRDefault="004F3F16" w:rsidP="00333DE2">
      <w:pPr>
        <w:spacing w:line="360" w:lineRule="auto"/>
        <w:ind w:firstLine="720"/>
        <w:jc w:val="both"/>
        <w:rPr>
          <w:bCs/>
          <w:lang w:eastAsia="lt-LT"/>
        </w:rPr>
      </w:pPr>
      <w:r>
        <w:rPr>
          <w:bCs/>
          <w:lang w:eastAsia="lt-LT"/>
        </w:rPr>
        <w:t>Pateikti</w:t>
      </w:r>
      <w:r w:rsidRPr="002F3EF7">
        <w:rPr>
          <w:bCs/>
          <w:lang w:eastAsia="lt-LT"/>
        </w:rPr>
        <w:t xml:space="preserve"> duomenys rodo, kad nors ankstyvais gydymo mėnesiais </w:t>
      </w:r>
      <w:r>
        <w:rPr>
          <w:bCs/>
          <w:lang w:eastAsia="lt-LT"/>
        </w:rPr>
        <w:t>ak</w:t>
      </w:r>
      <w:r w:rsidRPr="002F3EF7">
        <w:rPr>
          <w:bCs/>
          <w:lang w:eastAsia="lt-LT"/>
        </w:rPr>
        <w:t>alabrutinibas turėjo tam tikrą pranašumą,</w:t>
      </w:r>
      <w:r>
        <w:rPr>
          <w:bCs/>
          <w:lang w:eastAsia="lt-LT"/>
        </w:rPr>
        <w:t xml:space="preserve"> tačiau</w:t>
      </w:r>
      <w:r w:rsidRPr="002F3EF7">
        <w:rPr>
          <w:bCs/>
          <w:lang w:eastAsia="lt-LT"/>
        </w:rPr>
        <w:t xml:space="preserve"> ilgalaikėje perspektyvoje I+V grupė turėjo pranašumų, ypač </w:t>
      </w:r>
      <w:r>
        <w:rPr>
          <w:bCs/>
          <w:lang w:eastAsia="lt-LT"/>
        </w:rPr>
        <w:t>BI</w:t>
      </w:r>
      <w:r w:rsidRPr="002F3EF7">
        <w:rPr>
          <w:bCs/>
          <w:lang w:eastAsia="lt-LT"/>
        </w:rPr>
        <w:t xml:space="preserve"> rodikliuose, kurie buvo statistiškai reikšmingi po 15,5 mėnesio</w:t>
      </w:r>
      <w:r>
        <w:rPr>
          <w:bCs/>
          <w:lang w:eastAsia="lt-LT"/>
        </w:rPr>
        <w:t>.</w:t>
      </w:r>
    </w:p>
    <w:p w14:paraId="3094B1E0" w14:textId="77777777" w:rsidR="004F3F16" w:rsidRDefault="004F3F16" w:rsidP="004F3F16">
      <w:pPr>
        <w:tabs>
          <w:tab w:val="left" w:pos="426"/>
        </w:tabs>
        <w:spacing w:line="360" w:lineRule="auto"/>
        <w:jc w:val="both"/>
        <w:rPr>
          <w:rFonts w:eastAsia="Arial"/>
          <w:bCs/>
        </w:rPr>
      </w:pPr>
    </w:p>
    <w:p w14:paraId="5378B272" w14:textId="77777777" w:rsidR="004F3F16" w:rsidRPr="00816A41" w:rsidRDefault="004F3F16" w:rsidP="004F3F16">
      <w:pPr>
        <w:spacing w:line="360" w:lineRule="auto"/>
        <w:jc w:val="both"/>
        <w:rPr>
          <w:rFonts w:eastAsia="Arial"/>
          <w:b/>
        </w:rPr>
      </w:pPr>
      <w:r>
        <w:rPr>
          <w:rFonts w:eastAsia="Arial"/>
          <w:b/>
          <w:i/>
          <w:iCs/>
        </w:rPr>
        <w:t>F</w:t>
      </w:r>
      <w:r w:rsidRPr="00816A41">
        <w:rPr>
          <w:rFonts w:eastAsia="Arial"/>
          <w:b/>
          <w:i/>
          <w:iCs/>
        </w:rPr>
        <w:t>it</w:t>
      </w:r>
      <w:r w:rsidRPr="00816A41">
        <w:rPr>
          <w:rFonts w:eastAsia="Arial"/>
          <w:b/>
        </w:rPr>
        <w:t xml:space="preserve"> pacientų populiacija</w:t>
      </w:r>
    </w:p>
    <w:p w14:paraId="5862919C" w14:textId="77777777" w:rsidR="004F3F16" w:rsidRDefault="004F3F16" w:rsidP="004F3F16">
      <w:pPr>
        <w:tabs>
          <w:tab w:val="left" w:pos="426"/>
        </w:tabs>
        <w:spacing w:line="360" w:lineRule="auto"/>
        <w:jc w:val="both"/>
        <w:rPr>
          <w:rFonts w:eastAsia="Arial"/>
          <w:bCs/>
        </w:rPr>
      </w:pPr>
      <w:r>
        <w:rPr>
          <w:rFonts w:eastAsia="Arial"/>
          <w:bCs/>
        </w:rPr>
        <w:tab/>
      </w:r>
      <w:r>
        <w:rPr>
          <w:rFonts w:eastAsia="Arial"/>
          <w:bCs/>
        </w:rPr>
        <w:tab/>
      </w:r>
      <w:r w:rsidRPr="003A62EE">
        <w:rPr>
          <w:rFonts w:eastAsia="Arial"/>
          <w:bCs/>
        </w:rPr>
        <w:t xml:space="preserve">Pagal Paraiškoje pateiktą Patariamosios Tarybos išvadas, pacientams, kurie yra </w:t>
      </w:r>
      <w:r>
        <w:rPr>
          <w:rFonts w:eastAsia="Arial"/>
          <w:bCs/>
        </w:rPr>
        <w:t xml:space="preserve">priskiriami </w:t>
      </w:r>
      <w:r w:rsidRPr="00816A41">
        <w:rPr>
          <w:rFonts w:eastAsia="Arial"/>
          <w:bCs/>
          <w:i/>
          <w:iCs/>
        </w:rPr>
        <w:t>fit</w:t>
      </w:r>
      <w:r>
        <w:rPr>
          <w:rFonts w:eastAsia="Arial"/>
          <w:bCs/>
        </w:rPr>
        <w:t xml:space="preserve"> pacientų pogrupiui</w:t>
      </w:r>
      <w:r w:rsidRPr="003A62EE">
        <w:rPr>
          <w:rFonts w:eastAsia="Arial"/>
          <w:bCs/>
        </w:rPr>
        <w:t>, t.y.</w:t>
      </w:r>
      <w:r>
        <w:rPr>
          <w:rFonts w:eastAsia="Arial"/>
          <w:bCs/>
        </w:rPr>
        <w:t xml:space="preserve"> jiems</w:t>
      </w:r>
      <w:r w:rsidRPr="003A62EE">
        <w:rPr>
          <w:rFonts w:eastAsia="Arial"/>
          <w:bCs/>
        </w:rPr>
        <w:t xml:space="preserve"> </w:t>
      </w:r>
      <w:r>
        <w:rPr>
          <w:rFonts w:eastAsia="Arial"/>
          <w:bCs/>
        </w:rPr>
        <w:t>gali būti taikomas</w:t>
      </w:r>
      <w:r w:rsidRPr="003A62EE">
        <w:rPr>
          <w:rFonts w:eastAsia="Arial"/>
          <w:bCs/>
        </w:rPr>
        <w:t xml:space="preserve"> gydymas chemoterapija, gali būti skiriama: ibrutinibo monoterapija, </w:t>
      </w:r>
      <w:r>
        <w:rPr>
          <w:rFonts w:eastAsia="Arial"/>
          <w:bCs/>
        </w:rPr>
        <w:t>f</w:t>
      </w:r>
      <w:r w:rsidRPr="003A62EE">
        <w:rPr>
          <w:rFonts w:eastAsia="Arial"/>
        </w:rPr>
        <w:t xml:space="preserve">ludarabinas derinant su ciklofosfamidu ir rituksimabu </w:t>
      </w:r>
      <w:r>
        <w:rPr>
          <w:rFonts w:eastAsia="Arial"/>
        </w:rPr>
        <w:t xml:space="preserve">(FCR) </w:t>
      </w:r>
      <w:r w:rsidRPr="003A62EE">
        <w:rPr>
          <w:rFonts w:eastAsia="Arial"/>
          <w:bCs/>
        </w:rPr>
        <w:t xml:space="preserve">bei </w:t>
      </w:r>
      <w:r>
        <w:rPr>
          <w:rFonts w:eastAsia="Arial"/>
          <w:bCs/>
        </w:rPr>
        <w:t>b</w:t>
      </w:r>
      <w:r w:rsidRPr="00303A38">
        <w:rPr>
          <w:rFonts w:eastAsia="Arial"/>
          <w:bCs/>
        </w:rPr>
        <w:t>endamustinas derinant su rituksimabu (BR).</w:t>
      </w:r>
      <w:r>
        <w:rPr>
          <w:rFonts w:eastAsia="Arial"/>
          <w:bCs/>
        </w:rPr>
        <w:t xml:space="preserve"> N</w:t>
      </w:r>
      <w:r w:rsidRPr="003A62EE">
        <w:rPr>
          <w:rFonts w:eastAsia="Arial"/>
          <w:bCs/>
        </w:rPr>
        <w:t xml:space="preserve">etiesioginis palyginimas </w:t>
      </w:r>
      <w:r w:rsidRPr="00303A38">
        <w:rPr>
          <w:rFonts w:eastAsia="Arial"/>
          <w:bCs/>
          <w:i/>
          <w:iCs/>
        </w:rPr>
        <w:t>fit</w:t>
      </w:r>
      <w:r w:rsidRPr="003A62EE">
        <w:rPr>
          <w:rFonts w:eastAsia="Arial"/>
          <w:bCs/>
        </w:rPr>
        <w:t xml:space="preserve"> pacientų populiacijoje pateiktas prieš </w:t>
      </w:r>
      <w:r>
        <w:rPr>
          <w:rFonts w:eastAsia="Arial"/>
          <w:bCs/>
        </w:rPr>
        <w:t>anksčiau nurodytus gydymo variantus</w:t>
      </w:r>
      <w:r w:rsidRPr="003A62EE">
        <w:rPr>
          <w:rFonts w:eastAsia="Arial"/>
          <w:bCs/>
        </w:rPr>
        <w:t>.</w:t>
      </w:r>
    </w:p>
    <w:p w14:paraId="5878F17A" w14:textId="77777777" w:rsidR="004F3F16" w:rsidRDefault="004F3F16" w:rsidP="004F3F16">
      <w:pPr>
        <w:tabs>
          <w:tab w:val="left" w:pos="426"/>
        </w:tabs>
        <w:spacing w:line="360" w:lineRule="auto"/>
        <w:jc w:val="both"/>
        <w:rPr>
          <w:rFonts w:eastAsia="Arial"/>
          <w:bCs/>
        </w:rPr>
      </w:pPr>
    </w:p>
    <w:p w14:paraId="32D4AD10" w14:textId="77777777" w:rsidR="004F3F16" w:rsidRPr="003A62EE" w:rsidRDefault="004F3F16" w:rsidP="004F3F16">
      <w:pPr>
        <w:spacing w:line="360" w:lineRule="auto"/>
        <w:jc w:val="both"/>
        <w:rPr>
          <w:rFonts w:eastAsia="Arial"/>
          <w:b/>
        </w:rPr>
      </w:pPr>
      <w:r w:rsidRPr="003A62EE">
        <w:rPr>
          <w:rFonts w:eastAsia="Arial"/>
          <w:b/>
        </w:rPr>
        <w:t xml:space="preserve">Netiesioginis palyginimas su </w:t>
      </w:r>
      <w:r>
        <w:rPr>
          <w:rFonts w:eastAsia="Arial"/>
          <w:b/>
        </w:rPr>
        <w:t>i</w:t>
      </w:r>
      <w:r w:rsidRPr="00303A38">
        <w:rPr>
          <w:rFonts w:eastAsia="Arial"/>
          <w:b/>
        </w:rPr>
        <w:t xml:space="preserve">brutinibo </w:t>
      </w:r>
      <w:r w:rsidRPr="003A62EE">
        <w:rPr>
          <w:rFonts w:eastAsia="Arial"/>
          <w:b/>
        </w:rPr>
        <w:t>monoterapija</w:t>
      </w:r>
    </w:p>
    <w:p w14:paraId="24000D31" w14:textId="77777777" w:rsidR="004F3F16" w:rsidRDefault="004F3F16" w:rsidP="004F3F16">
      <w:pPr>
        <w:tabs>
          <w:tab w:val="left" w:pos="426"/>
        </w:tabs>
        <w:spacing w:line="360" w:lineRule="auto"/>
        <w:jc w:val="both"/>
        <w:rPr>
          <w:rFonts w:eastAsia="Arial"/>
          <w:bCs/>
        </w:rPr>
      </w:pPr>
      <w:r>
        <w:rPr>
          <w:rFonts w:eastAsia="Arial"/>
          <w:bCs/>
        </w:rPr>
        <w:tab/>
      </w:r>
      <w:r>
        <w:rPr>
          <w:rFonts w:eastAsia="Arial"/>
          <w:bCs/>
        </w:rPr>
        <w:tab/>
      </w:r>
      <w:r w:rsidRPr="00571783">
        <w:rPr>
          <w:rFonts w:eastAsia="Arial"/>
          <w:bCs/>
        </w:rPr>
        <w:t xml:space="preserve">Atsižvelgiant į lyginamuosius tyrimus, nagrinėjančius I+V ir ibrutinibo veiksmingumą </w:t>
      </w:r>
      <w:r w:rsidRPr="00571783">
        <w:rPr>
          <w:rFonts w:eastAsia="Arial"/>
          <w:bCs/>
          <w:i/>
          <w:iCs/>
        </w:rPr>
        <w:t>Unfit</w:t>
      </w:r>
      <w:r w:rsidRPr="00571783">
        <w:rPr>
          <w:rFonts w:eastAsia="Arial"/>
          <w:bCs/>
        </w:rPr>
        <w:t xml:space="preserve"> populiacijose, bei I+V ir a</w:t>
      </w:r>
      <w:r>
        <w:rPr>
          <w:rFonts w:eastAsia="Arial"/>
          <w:bCs/>
        </w:rPr>
        <w:t>k</w:t>
      </w:r>
      <w:r w:rsidRPr="00571783">
        <w:rPr>
          <w:rFonts w:eastAsia="Arial"/>
          <w:bCs/>
        </w:rPr>
        <w:t>alabrutinibo veiksmingumo panašumą, galima daryti pagrįstą prielaidą, kad I+V ir ibrutinibo veiksmingumas yra lygiavertis.</w:t>
      </w:r>
    </w:p>
    <w:p w14:paraId="3106C421" w14:textId="77777777" w:rsidR="004F3F16" w:rsidRDefault="004F3F16" w:rsidP="004F3F16">
      <w:pPr>
        <w:tabs>
          <w:tab w:val="left" w:pos="426"/>
        </w:tabs>
        <w:spacing w:line="360" w:lineRule="auto"/>
        <w:jc w:val="both"/>
        <w:rPr>
          <w:rFonts w:eastAsia="Arial"/>
          <w:bCs/>
        </w:rPr>
      </w:pPr>
    </w:p>
    <w:p w14:paraId="6B9EE9B9" w14:textId="77777777" w:rsidR="004F3F16" w:rsidRPr="00303A38" w:rsidRDefault="004F3F16" w:rsidP="004F3F16">
      <w:pPr>
        <w:spacing w:line="360" w:lineRule="auto"/>
        <w:jc w:val="both"/>
        <w:rPr>
          <w:rFonts w:eastAsia="Arial"/>
          <w:b/>
        </w:rPr>
      </w:pPr>
      <w:r w:rsidRPr="00303A38">
        <w:rPr>
          <w:rFonts w:eastAsia="Arial"/>
          <w:b/>
        </w:rPr>
        <w:t>Netiesioginis palyginimas su fludarabinu derinant su ciklofosfamidu ir rituksimabu (FCR)</w:t>
      </w:r>
    </w:p>
    <w:p w14:paraId="4A793FD7" w14:textId="77777777" w:rsidR="004F3F16" w:rsidRDefault="004F3F16" w:rsidP="004F3F16">
      <w:pPr>
        <w:spacing w:line="360" w:lineRule="auto"/>
        <w:ind w:firstLine="720"/>
        <w:jc w:val="both"/>
        <w:rPr>
          <w:rFonts w:eastAsia="Arial"/>
        </w:rPr>
      </w:pPr>
      <w:r w:rsidRPr="008F5812">
        <w:rPr>
          <w:rFonts w:eastAsia="Arial"/>
        </w:rPr>
        <w:t>Analizės rezultatai rodo, kad I+V derinys statistiškai reikšmingai pagerina IBLP ir BI, palyginti su FCR (fludarabinas, ciklofosfamidas, rituksimabas) gydymo schema pacientams, kurie anksčiau nebuvo gydyti ir buvo tinkami gydymui fludarabinu. Šios analizės rezultatai buvo nuoseklūs pagrindinėje analizėje ir jautrumo analizėse, taip pat naudojant įvairius svėrimo metodus. Tačiau kai kurios svėrimo metodikos ir jautrumo analizės buvo atliktos naudojant mažas imtis, todėl jų rezultatai turi būti interpretuojami atsargiai.</w:t>
      </w:r>
    </w:p>
    <w:p w14:paraId="0860FF5E" w14:textId="6561B91F" w:rsidR="001768B9" w:rsidRPr="00A00BC0" w:rsidRDefault="001768B9" w:rsidP="008E2427">
      <w:pPr>
        <w:spacing w:line="360" w:lineRule="auto"/>
        <w:ind w:firstLine="720"/>
        <w:jc w:val="both"/>
        <w:rPr>
          <w:rFonts w:eastAsia="Arial"/>
          <w:iCs/>
        </w:rPr>
      </w:pPr>
      <w:r w:rsidRPr="007D7A21">
        <w:rPr>
          <w:rFonts w:eastAsia="Arial"/>
          <w:iCs/>
        </w:rPr>
        <w:lastRenderedPageBreak/>
        <w:t xml:space="preserve">Remiantis šiais duomenimis, </w:t>
      </w:r>
      <w:r>
        <w:rPr>
          <w:rFonts w:eastAsia="Arial"/>
          <w:iCs/>
        </w:rPr>
        <w:t xml:space="preserve">ibrutinibo </w:t>
      </w:r>
      <w:r w:rsidRPr="007D7A21">
        <w:rPr>
          <w:rFonts w:eastAsia="Arial"/>
          <w:iCs/>
        </w:rPr>
        <w:t xml:space="preserve">palyginamasis </w:t>
      </w:r>
      <w:r>
        <w:rPr>
          <w:rFonts w:eastAsia="Arial"/>
          <w:iCs/>
        </w:rPr>
        <w:t>veiksmingumas</w:t>
      </w:r>
      <w:r w:rsidRPr="007D7A21">
        <w:rPr>
          <w:rFonts w:eastAsia="Arial"/>
          <w:iCs/>
        </w:rPr>
        <w:t xml:space="preserve"> yra įvertintas, kaip </w:t>
      </w:r>
      <w:r>
        <w:rPr>
          <w:rFonts w:eastAsia="Arial"/>
          <w:iCs/>
        </w:rPr>
        <w:t>didesnis</w:t>
      </w:r>
      <w:r w:rsidRPr="007D7A21">
        <w:rPr>
          <w:rFonts w:eastAsia="Arial"/>
          <w:iCs/>
        </w:rPr>
        <w:t xml:space="preserve">, </w:t>
      </w:r>
      <w:r w:rsidRPr="00A00BC0">
        <w:rPr>
          <w:rFonts w:eastAsia="Arial"/>
          <w:iCs/>
        </w:rPr>
        <w:t>lyginant su įprasta klinikine praktika.</w:t>
      </w:r>
    </w:p>
    <w:bookmarkEnd w:id="2"/>
    <w:p w14:paraId="40BEE034" w14:textId="77777777" w:rsidR="00A4169F" w:rsidRPr="00A00BC0" w:rsidRDefault="00A4169F" w:rsidP="00A00BC0">
      <w:pPr>
        <w:spacing w:line="360" w:lineRule="auto"/>
        <w:jc w:val="both"/>
        <w:rPr>
          <w:rFonts w:eastAsia="Arial"/>
          <w:iCs/>
          <w:highlight w:val="yellow"/>
        </w:rPr>
      </w:pPr>
    </w:p>
    <w:p w14:paraId="7DE09EB5" w14:textId="69E9DD74" w:rsidR="00E03C3F" w:rsidRPr="00A00BC0" w:rsidRDefault="00CC7832" w:rsidP="00CC09D4">
      <w:pPr>
        <w:pStyle w:val="Sraopastraipa"/>
        <w:numPr>
          <w:ilvl w:val="0"/>
          <w:numId w:val="12"/>
        </w:numPr>
        <w:tabs>
          <w:tab w:val="left" w:pos="567"/>
        </w:tabs>
        <w:ind w:hanging="720"/>
        <w:rPr>
          <w:b/>
          <w:bCs/>
          <w:caps/>
        </w:rPr>
      </w:pPr>
      <w:r w:rsidRPr="00A00BC0">
        <w:rPr>
          <w:b/>
          <w:bCs/>
          <w:caps/>
        </w:rPr>
        <w:t xml:space="preserve">ekonominio vertinimo </w:t>
      </w:r>
      <w:r w:rsidR="002F0E4F" w:rsidRPr="00A00BC0">
        <w:rPr>
          <w:b/>
          <w:bCs/>
          <w:caps/>
        </w:rPr>
        <w:t>apibendrinimas</w:t>
      </w:r>
    </w:p>
    <w:p w14:paraId="2FC05D7E" w14:textId="536C4777" w:rsidR="002E6F80" w:rsidRPr="00A00BC0" w:rsidRDefault="002E6F80" w:rsidP="002E6F80">
      <w:pPr>
        <w:tabs>
          <w:tab w:val="left" w:pos="284"/>
        </w:tabs>
        <w:rPr>
          <w:i/>
          <w:sz w:val="22"/>
          <w:szCs w:val="22"/>
        </w:rPr>
      </w:pPr>
    </w:p>
    <w:p w14:paraId="4E314144" w14:textId="5ED0A6D5" w:rsidR="00A01831" w:rsidRDefault="00A01831" w:rsidP="008E2427">
      <w:pPr>
        <w:shd w:val="clear" w:color="auto" w:fill="FFFFFF"/>
        <w:spacing w:line="360" w:lineRule="auto"/>
        <w:jc w:val="both"/>
        <w:rPr>
          <w:iCs/>
          <w:lang w:eastAsia="lt-LT"/>
        </w:rPr>
      </w:pPr>
      <w:r w:rsidRPr="00A00BC0">
        <w:rPr>
          <w:iCs/>
          <w:lang w:eastAsia="lt-LT"/>
        </w:rPr>
        <w:t xml:space="preserve">Vertinimui pateikta </w:t>
      </w:r>
      <w:r>
        <w:rPr>
          <w:iCs/>
          <w:lang w:eastAsia="lt-LT"/>
        </w:rPr>
        <w:t xml:space="preserve">kaštų naudingumo analizė, kurioje nagrinėjami </w:t>
      </w:r>
      <w:r w:rsidR="00A00BC0" w:rsidRPr="00A00BC0">
        <w:rPr>
          <w:i/>
          <w:lang w:eastAsia="lt-LT"/>
        </w:rPr>
        <w:t>fit</w:t>
      </w:r>
      <w:r>
        <w:rPr>
          <w:iCs/>
          <w:lang w:eastAsia="lt-LT"/>
        </w:rPr>
        <w:t xml:space="preserve"> ir </w:t>
      </w:r>
      <w:r w:rsidR="00A00BC0" w:rsidRPr="00A00BC0">
        <w:rPr>
          <w:i/>
          <w:lang w:eastAsia="lt-LT"/>
        </w:rPr>
        <w:t>unfit</w:t>
      </w:r>
      <w:r>
        <w:rPr>
          <w:iCs/>
          <w:lang w:eastAsia="lt-LT"/>
        </w:rPr>
        <w:t xml:space="preserve"> pacientai, serga</w:t>
      </w:r>
      <w:r w:rsidR="00A00BC0">
        <w:rPr>
          <w:iCs/>
          <w:lang w:eastAsia="lt-LT"/>
        </w:rPr>
        <w:t>n</w:t>
      </w:r>
      <w:r>
        <w:rPr>
          <w:iCs/>
          <w:lang w:eastAsia="lt-LT"/>
        </w:rPr>
        <w:t xml:space="preserve">tys lėtine limfocitine leukemija. Analizėje nagrinėjami skirtingi </w:t>
      </w:r>
      <w:r w:rsidR="006B0CEF">
        <w:rPr>
          <w:iCs/>
          <w:lang w:eastAsia="lt-LT"/>
        </w:rPr>
        <w:t>palyginamieji</w:t>
      </w:r>
      <w:r>
        <w:rPr>
          <w:iCs/>
          <w:lang w:eastAsia="lt-LT"/>
        </w:rPr>
        <w:t xml:space="preserve"> gydymai pagal pacientų populiacijas, </w:t>
      </w:r>
      <w:r w:rsidR="00A00BC0" w:rsidRPr="00A00BC0">
        <w:rPr>
          <w:i/>
          <w:lang w:eastAsia="lt-LT"/>
        </w:rPr>
        <w:t>fit</w:t>
      </w:r>
      <w:r>
        <w:rPr>
          <w:iCs/>
          <w:lang w:eastAsia="lt-LT"/>
        </w:rPr>
        <w:t xml:space="preserve"> pacientų populiacijoje palyginamasis gydymas buvo FCR chemoterapijos schema, o </w:t>
      </w:r>
      <w:r w:rsidR="00A00BC0" w:rsidRPr="00A00BC0">
        <w:rPr>
          <w:i/>
          <w:lang w:eastAsia="lt-LT"/>
        </w:rPr>
        <w:t>unfit</w:t>
      </w:r>
      <w:r>
        <w:rPr>
          <w:iCs/>
          <w:lang w:eastAsia="lt-LT"/>
        </w:rPr>
        <w:t xml:space="preserve"> pacientai gydomi ibrutinibo ar akalabrutinibo monoterapija.</w:t>
      </w:r>
    </w:p>
    <w:p w14:paraId="52A1A48B" w14:textId="77777777" w:rsidR="00A01831" w:rsidRDefault="00A01831" w:rsidP="008E2427">
      <w:pPr>
        <w:shd w:val="clear" w:color="auto" w:fill="FFFFFF"/>
        <w:spacing w:line="360" w:lineRule="auto"/>
        <w:jc w:val="both"/>
        <w:rPr>
          <w:iCs/>
          <w:lang w:eastAsia="lt-LT"/>
        </w:rPr>
      </w:pPr>
      <w:r>
        <w:rPr>
          <w:iCs/>
          <w:lang w:eastAsia="lt-LT"/>
        </w:rPr>
        <w:t>Remiantis klinikinio vertinimo išvada, pateikta po detalaus vertinimo, analizėje nagrinėjama FIT pacientų populiacija.</w:t>
      </w:r>
    </w:p>
    <w:p w14:paraId="1E325658" w14:textId="77777777" w:rsidR="00A01831" w:rsidRDefault="00A01831" w:rsidP="008E2427">
      <w:pPr>
        <w:shd w:val="clear" w:color="auto" w:fill="FFFFFF"/>
        <w:spacing w:line="360" w:lineRule="auto"/>
        <w:jc w:val="both"/>
        <w:rPr>
          <w:iCs/>
          <w:lang w:eastAsia="lt-LT"/>
        </w:rPr>
      </w:pPr>
      <w:r>
        <w:rPr>
          <w:iCs/>
          <w:lang w:eastAsia="lt-LT"/>
        </w:rPr>
        <w:t>Analizėje pateikti du modeliavimo metodo pasirinkimai: pusiau Markovo modelis ar padalintos kohortos išgyvenamumo modelis. Pareiškėjas renkasi pagrindinio atvejo analizei taikyti pusiau Markovo būklių perėjimo modelį. Laikoma, jog analizėje taikomos prielaidos vaistų efektyvumo palyginimui viso gyvenimo laiko perspektyvoje, yra pagrįstos. Analizė atliekama iš PSDF biudžeto perspektyvos, tai atitinka teisės aktų reikalavimus.</w:t>
      </w:r>
    </w:p>
    <w:p w14:paraId="0C272C63" w14:textId="78839FA8" w:rsidR="00A01831" w:rsidRDefault="00A01831" w:rsidP="008E2427">
      <w:pPr>
        <w:shd w:val="clear" w:color="auto" w:fill="FFFFFF"/>
        <w:spacing w:line="360" w:lineRule="auto"/>
        <w:jc w:val="both"/>
        <w:rPr>
          <w:iCs/>
          <w:lang w:eastAsia="lt-LT"/>
        </w:rPr>
      </w:pPr>
      <w:r>
        <w:rPr>
          <w:iCs/>
          <w:lang w:eastAsia="lt-LT"/>
        </w:rPr>
        <w:t>Tarnybai kilo dvejonių dėl gyvenimo kokybės įverčių dekremento taikymo IV vaistams</w:t>
      </w:r>
      <w:r w:rsidR="006B0CEF">
        <w:rPr>
          <w:iCs/>
          <w:lang w:eastAsia="lt-LT"/>
        </w:rPr>
        <w:t>.</w:t>
      </w:r>
      <w:r>
        <w:rPr>
          <w:iCs/>
          <w:lang w:eastAsia="lt-LT"/>
        </w:rPr>
        <w:t xml:space="preserve"> Pareiškėjas šią prielaidą grindė NICE atliktu vertinimu, tačiau Tarnybos manymu, kitų tarnybų atlikti vertinimai ir taikytos prielaidos neįpareigoja šių prielaidų taikyti ir dabartinėje analizėje. Siekiant konservatyvumo, Tarnyba pagrindinio atvejo analizėje netaiko gyvenimo kokybės įverčių dekremento IV vaistams.</w:t>
      </w:r>
    </w:p>
    <w:p w14:paraId="55DE9134" w14:textId="77777777" w:rsidR="00A01831" w:rsidRDefault="00A01831" w:rsidP="008E2427">
      <w:pPr>
        <w:shd w:val="clear" w:color="auto" w:fill="FFFFFF"/>
        <w:spacing w:line="360" w:lineRule="auto"/>
        <w:jc w:val="both"/>
        <w:rPr>
          <w:iCs/>
          <w:lang w:eastAsia="lt-LT"/>
        </w:rPr>
      </w:pPr>
      <w:r>
        <w:rPr>
          <w:iCs/>
          <w:lang w:eastAsia="lt-LT"/>
        </w:rPr>
        <w:t>Taip pat, siekiant konservatyvumo, pagrindinio atvejo analizėje taikomas 100 proc. RDI (</w:t>
      </w:r>
      <w:r w:rsidRPr="009D347F">
        <w:rPr>
          <w:i/>
          <w:iCs/>
          <w:lang w:eastAsia="lt-LT"/>
        </w:rPr>
        <w:t>angl. Relative dose intensity</w:t>
      </w:r>
      <w:r>
        <w:rPr>
          <w:iCs/>
          <w:lang w:eastAsia="lt-LT"/>
        </w:rPr>
        <w:t>) prielaida.</w:t>
      </w:r>
    </w:p>
    <w:p w14:paraId="56755D6B" w14:textId="77777777" w:rsidR="00A01831" w:rsidRDefault="00A01831" w:rsidP="008E2427">
      <w:pPr>
        <w:shd w:val="clear" w:color="auto" w:fill="FFFFFF"/>
        <w:spacing w:line="360" w:lineRule="auto"/>
        <w:jc w:val="both"/>
        <w:rPr>
          <w:iCs/>
          <w:lang w:eastAsia="lt-LT"/>
        </w:rPr>
      </w:pPr>
      <w:r>
        <w:rPr>
          <w:iCs/>
          <w:lang w:eastAsia="lt-LT"/>
        </w:rPr>
        <w:t>Tanybos žiniomis, į analizę yra įtrauktų vaistinių preparatų, kurie su VLK yra sudarę konfidencialias sutartis dėl kainos, todėl Tarnybos atliktoje analizėje yra pritaikytos kainos pagal konfidencialų susitarimą su VLK.</w:t>
      </w:r>
    </w:p>
    <w:p w14:paraId="6F8DB06E" w14:textId="0B28C222" w:rsidR="00A01831" w:rsidRDefault="00A01831" w:rsidP="008E2427">
      <w:pPr>
        <w:shd w:val="clear" w:color="auto" w:fill="FFFFFF"/>
        <w:spacing w:line="360" w:lineRule="auto"/>
        <w:jc w:val="both"/>
        <w:rPr>
          <w:iCs/>
          <w:lang w:eastAsia="lt-LT"/>
        </w:rPr>
      </w:pPr>
      <w:r>
        <w:rPr>
          <w:iCs/>
          <w:lang w:eastAsia="lt-LT"/>
        </w:rPr>
        <w:t>Atlikus analizės rezultato apskaičiavimą, nustatyta, jog ibrutinibo ir venetoklakso derinys yra kašta</w:t>
      </w:r>
      <w:r w:rsidR="002B3992">
        <w:rPr>
          <w:iCs/>
          <w:lang w:eastAsia="lt-LT"/>
        </w:rPr>
        <w:t>ms naudingas Fit pacientų populiacijai, kai ligos našta įvertinta kaip lengva (referencinė kaštų naudingumo vertė – 1 BVP).</w:t>
      </w:r>
    </w:p>
    <w:p w14:paraId="3C884660" w14:textId="3A40AA26" w:rsidR="002B3992" w:rsidRDefault="002B3992" w:rsidP="00A01831">
      <w:pPr>
        <w:shd w:val="clear" w:color="auto" w:fill="FFFFFF"/>
        <w:spacing w:line="276" w:lineRule="auto"/>
        <w:jc w:val="both"/>
        <w:rPr>
          <w:iCs/>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30"/>
        <w:gridCol w:w="2298"/>
        <w:gridCol w:w="1792"/>
        <w:gridCol w:w="3188"/>
      </w:tblGrid>
      <w:tr w:rsidR="002B3992" w:rsidRPr="00D05364" w14:paraId="782A45FF" w14:textId="77777777" w:rsidTr="006E3893">
        <w:trPr>
          <w:trHeight w:val="364"/>
          <w:jc w:val="center"/>
        </w:trPr>
        <w:tc>
          <w:tcPr>
            <w:tcW w:w="9908" w:type="dxa"/>
            <w:gridSpan w:val="4"/>
            <w:tcBorders>
              <w:top w:val="single" w:sz="12" w:space="0" w:color="auto"/>
              <w:bottom w:val="single" w:sz="4" w:space="0" w:color="auto"/>
            </w:tcBorders>
            <w:vAlign w:val="center"/>
          </w:tcPr>
          <w:p w14:paraId="128AF6C9" w14:textId="77777777" w:rsidR="002B3992" w:rsidRPr="00D05364" w:rsidRDefault="002B3992" w:rsidP="006E3893">
            <w:pPr>
              <w:tabs>
                <w:tab w:val="left" w:pos="567"/>
              </w:tabs>
              <w:jc w:val="center"/>
              <w:rPr>
                <w:b/>
                <w:i/>
                <w:iCs/>
                <w:color w:val="00B050"/>
                <w:sz w:val="22"/>
                <w:szCs w:val="22"/>
                <w:lang w:eastAsia="lt-LT"/>
              </w:rPr>
            </w:pPr>
            <w:r w:rsidRPr="00D05364">
              <w:rPr>
                <w:b/>
                <w:lang w:eastAsia="lt-LT"/>
              </w:rPr>
              <w:t>Kaštai</w:t>
            </w:r>
          </w:p>
        </w:tc>
      </w:tr>
      <w:tr w:rsidR="002B3992" w:rsidRPr="00D05364" w14:paraId="7B4B70ED" w14:textId="77777777" w:rsidTr="006E3893">
        <w:trPr>
          <w:jc w:val="center"/>
        </w:trPr>
        <w:tc>
          <w:tcPr>
            <w:tcW w:w="2630" w:type="dxa"/>
            <w:tcBorders>
              <w:top w:val="single" w:sz="4" w:space="0" w:color="auto"/>
              <w:bottom w:val="single" w:sz="4" w:space="0" w:color="auto"/>
            </w:tcBorders>
          </w:tcPr>
          <w:p w14:paraId="08CC44B2" w14:textId="77777777" w:rsidR="002B3992" w:rsidRPr="00D05364" w:rsidRDefault="002B3992" w:rsidP="006E3893">
            <w:pPr>
              <w:tabs>
                <w:tab w:val="left" w:pos="567"/>
              </w:tabs>
              <w:jc w:val="both"/>
              <w:rPr>
                <w:color w:val="00B050"/>
                <w:lang w:eastAsia="lt-LT"/>
              </w:rPr>
            </w:pPr>
          </w:p>
        </w:tc>
        <w:tc>
          <w:tcPr>
            <w:tcW w:w="2298" w:type="dxa"/>
            <w:tcBorders>
              <w:top w:val="single" w:sz="4" w:space="0" w:color="auto"/>
              <w:bottom w:val="single" w:sz="4" w:space="0" w:color="auto"/>
            </w:tcBorders>
          </w:tcPr>
          <w:p w14:paraId="1F741A49" w14:textId="77777777" w:rsidR="002B3992" w:rsidRPr="00D05364" w:rsidRDefault="002B3992" w:rsidP="006E3893">
            <w:pPr>
              <w:tabs>
                <w:tab w:val="left" w:pos="567"/>
              </w:tabs>
              <w:jc w:val="both"/>
              <w:rPr>
                <w:i/>
                <w:iCs/>
                <w:lang w:eastAsia="lt-LT"/>
              </w:rPr>
            </w:pPr>
            <w:r>
              <w:rPr>
                <w:i/>
                <w:iCs/>
                <w:lang w:eastAsia="lt-LT"/>
              </w:rPr>
              <w:t>Ibrutinib+Venetoclax</w:t>
            </w:r>
          </w:p>
        </w:tc>
        <w:tc>
          <w:tcPr>
            <w:tcW w:w="1792" w:type="dxa"/>
            <w:tcBorders>
              <w:top w:val="single" w:sz="4" w:space="0" w:color="auto"/>
              <w:bottom w:val="single" w:sz="4" w:space="0" w:color="auto"/>
            </w:tcBorders>
          </w:tcPr>
          <w:p w14:paraId="44213025" w14:textId="77777777" w:rsidR="002B3992" w:rsidRPr="00D05364" w:rsidRDefault="002B3992" w:rsidP="006E3893">
            <w:pPr>
              <w:tabs>
                <w:tab w:val="left" w:pos="567"/>
              </w:tabs>
              <w:jc w:val="both"/>
              <w:rPr>
                <w:i/>
                <w:iCs/>
                <w:lang w:eastAsia="lt-LT"/>
              </w:rPr>
            </w:pPr>
            <w:r>
              <w:rPr>
                <w:i/>
                <w:iCs/>
                <w:lang w:eastAsia="lt-LT"/>
              </w:rPr>
              <w:t>FCR</w:t>
            </w:r>
          </w:p>
        </w:tc>
        <w:tc>
          <w:tcPr>
            <w:tcW w:w="3188" w:type="dxa"/>
            <w:tcBorders>
              <w:top w:val="single" w:sz="4" w:space="0" w:color="auto"/>
              <w:bottom w:val="single" w:sz="4" w:space="0" w:color="auto"/>
            </w:tcBorders>
          </w:tcPr>
          <w:p w14:paraId="4840DC2C" w14:textId="77777777" w:rsidR="002B3992" w:rsidRPr="00D05364" w:rsidRDefault="002B3992" w:rsidP="006E3893">
            <w:pPr>
              <w:tabs>
                <w:tab w:val="left" w:pos="567"/>
              </w:tabs>
              <w:jc w:val="both"/>
              <w:rPr>
                <w:i/>
                <w:lang w:eastAsia="lt-LT"/>
              </w:rPr>
            </w:pPr>
            <w:r w:rsidRPr="00D05364">
              <w:rPr>
                <w:i/>
                <w:lang w:eastAsia="lt-LT"/>
              </w:rPr>
              <w:t>Skirtumas</w:t>
            </w:r>
          </w:p>
        </w:tc>
      </w:tr>
      <w:tr w:rsidR="002B3992" w:rsidRPr="00D05364" w14:paraId="549BBAB0" w14:textId="77777777" w:rsidTr="006E3893">
        <w:trPr>
          <w:jc w:val="center"/>
        </w:trPr>
        <w:tc>
          <w:tcPr>
            <w:tcW w:w="2630" w:type="dxa"/>
            <w:tcBorders>
              <w:top w:val="single" w:sz="4" w:space="0" w:color="auto"/>
              <w:bottom w:val="single" w:sz="4" w:space="0" w:color="auto"/>
            </w:tcBorders>
          </w:tcPr>
          <w:p w14:paraId="18383859" w14:textId="77777777" w:rsidR="002B3992" w:rsidRPr="00D05364" w:rsidRDefault="002B3992" w:rsidP="006E3893">
            <w:pPr>
              <w:tabs>
                <w:tab w:val="left" w:pos="567"/>
              </w:tabs>
              <w:jc w:val="both"/>
              <w:rPr>
                <w:iCs/>
                <w:color w:val="00B050"/>
                <w:lang w:eastAsia="lt-LT"/>
              </w:rPr>
            </w:pPr>
            <w:r w:rsidRPr="00D05364">
              <w:rPr>
                <w:iCs/>
                <w:color w:val="000000"/>
                <w:lang w:eastAsia="lt-LT"/>
              </w:rPr>
              <w:t>Gydymo kaštai</w:t>
            </w:r>
          </w:p>
        </w:tc>
        <w:tc>
          <w:tcPr>
            <w:tcW w:w="2298" w:type="dxa"/>
            <w:tcBorders>
              <w:top w:val="single" w:sz="4" w:space="0" w:color="auto"/>
              <w:bottom w:val="single" w:sz="4" w:space="0" w:color="auto"/>
            </w:tcBorders>
          </w:tcPr>
          <w:p w14:paraId="3FD678BC" w14:textId="63541181" w:rsidR="002B3992" w:rsidRPr="00D05364"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21E2AC4D" w14:textId="2B30649F" w:rsidR="002B3992" w:rsidRPr="00D05364"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0FF8BDF3" w14:textId="7A9101AC" w:rsidR="002B3992" w:rsidRPr="00D05364" w:rsidRDefault="006B0CEF" w:rsidP="006E3893">
            <w:pPr>
              <w:tabs>
                <w:tab w:val="left" w:pos="567"/>
              </w:tabs>
              <w:jc w:val="both"/>
              <w:rPr>
                <w:lang w:eastAsia="lt-LT"/>
              </w:rPr>
            </w:pPr>
            <w:r w:rsidRPr="004E0F0A">
              <w:rPr>
                <w:iCs/>
                <w:lang w:eastAsia="lt-LT"/>
              </w:rPr>
              <w:t>****</w:t>
            </w:r>
          </w:p>
        </w:tc>
      </w:tr>
      <w:tr w:rsidR="002B3992" w:rsidRPr="00D05364" w14:paraId="27697DB1" w14:textId="77777777" w:rsidTr="006E3893">
        <w:trPr>
          <w:jc w:val="center"/>
        </w:trPr>
        <w:tc>
          <w:tcPr>
            <w:tcW w:w="2630" w:type="dxa"/>
            <w:tcBorders>
              <w:top w:val="single" w:sz="4" w:space="0" w:color="auto"/>
              <w:bottom w:val="single" w:sz="4" w:space="0" w:color="auto"/>
            </w:tcBorders>
          </w:tcPr>
          <w:p w14:paraId="7555E09B" w14:textId="77777777" w:rsidR="002B3992" w:rsidRPr="00D05364" w:rsidRDefault="002B3992" w:rsidP="006E3893">
            <w:pPr>
              <w:tabs>
                <w:tab w:val="left" w:pos="567"/>
              </w:tabs>
              <w:rPr>
                <w:iCs/>
                <w:color w:val="000000"/>
                <w:lang w:eastAsia="lt-LT"/>
              </w:rPr>
            </w:pPr>
            <w:r w:rsidRPr="00D05364">
              <w:rPr>
                <w:iCs/>
                <w:color w:val="000000"/>
                <w:lang w:eastAsia="lt-LT"/>
              </w:rPr>
              <w:t>Vaistinių preparatų įsigijimo kaštai</w:t>
            </w:r>
          </w:p>
        </w:tc>
        <w:tc>
          <w:tcPr>
            <w:tcW w:w="2298" w:type="dxa"/>
            <w:tcBorders>
              <w:top w:val="single" w:sz="4" w:space="0" w:color="auto"/>
              <w:bottom w:val="single" w:sz="4" w:space="0" w:color="auto"/>
            </w:tcBorders>
          </w:tcPr>
          <w:p w14:paraId="7A967F02" w14:textId="27FA227D" w:rsidR="002B3992" w:rsidRPr="00D05364"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7A9374B9" w14:textId="4209EAC1" w:rsidR="002B3992" w:rsidRPr="00D05364"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05F1C6EF" w14:textId="117FC3AF" w:rsidR="002B3992" w:rsidRPr="00D05364" w:rsidRDefault="006B0CEF" w:rsidP="006E3893">
            <w:pPr>
              <w:tabs>
                <w:tab w:val="left" w:pos="567"/>
              </w:tabs>
              <w:jc w:val="both"/>
              <w:rPr>
                <w:lang w:eastAsia="lt-LT"/>
              </w:rPr>
            </w:pPr>
            <w:r w:rsidRPr="004E0F0A">
              <w:rPr>
                <w:iCs/>
                <w:lang w:eastAsia="lt-LT"/>
              </w:rPr>
              <w:t>****</w:t>
            </w:r>
          </w:p>
        </w:tc>
      </w:tr>
      <w:tr w:rsidR="002B3992" w:rsidRPr="00D05364" w14:paraId="03F90C13" w14:textId="77777777" w:rsidTr="006E3893">
        <w:trPr>
          <w:jc w:val="center"/>
        </w:trPr>
        <w:tc>
          <w:tcPr>
            <w:tcW w:w="2630" w:type="dxa"/>
            <w:tcBorders>
              <w:top w:val="single" w:sz="4" w:space="0" w:color="auto"/>
              <w:bottom w:val="single" w:sz="4" w:space="0" w:color="auto"/>
            </w:tcBorders>
          </w:tcPr>
          <w:p w14:paraId="1507B1FD" w14:textId="77777777" w:rsidR="002B3992" w:rsidRPr="00D05364" w:rsidRDefault="002B3992" w:rsidP="006E3893">
            <w:pPr>
              <w:tabs>
                <w:tab w:val="left" w:pos="567"/>
              </w:tabs>
              <w:jc w:val="both"/>
              <w:rPr>
                <w:iCs/>
                <w:color w:val="00B050"/>
                <w:lang w:eastAsia="lt-LT"/>
              </w:rPr>
            </w:pPr>
            <w:r w:rsidRPr="00D05364">
              <w:rPr>
                <w:iCs/>
                <w:color w:val="000000"/>
                <w:lang w:eastAsia="lt-LT"/>
              </w:rPr>
              <w:t>Nepageidaujamų reiškinių valdymo kaštai</w:t>
            </w:r>
          </w:p>
        </w:tc>
        <w:tc>
          <w:tcPr>
            <w:tcW w:w="2298" w:type="dxa"/>
            <w:tcBorders>
              <w:top w:val="single" w:sz="4" w:space="0" w:color="auto"/>
              <w:bottom w:val="single" w:sz="4" w:space="0" w:color="auto"/>
            </w:tcBorders>
          </w:tcPr>
          <w:p w14:paraId="634403B6" w14:textId="6D82D4AE" w:rsidR="002B3992" w:rsidRPr="00D05364"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434F3DED" w14:textId="4F261BAF" w:rsidR="002B3992" w:rsidRPr="00D05364"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52077AA6" w14:textId="0400E7D0" w:rsidR="002B3992" w:rsidRPr="00D05364" w:rsidRDefault="006B0CEF" w:rsidP="006E3893">
            <w:pPr>
              <w:tabs>
                <w:tab w:val="left" w:pos="567"/>
              </w:tabs>
              <w:jc w:val="both"/>
              <w:rPr>
                <w:i/>
                <w:iCs/>
                <w:lang w:eastAsia="lt-LT"/>
              </w:rPr>
            </w:pPr>
            <w:r w:rsidRPr="004E0F0A">
              <w:rPr>
                <w:iCs/>
                <w:lang w:eastAsia="lt-LT"/>
              </w:rPr>
              <w:t>****</w:t>
            </w:r>
          </w:p>
        </w:tc>
      </w:tr>
      <w:tr w:rsidR="002B3992" w:rsidRPr="00D05364" w14:paraId="4D971C5A" w14:textId="77777777" w:rsidTr="006E3893">
        <w:trPr>
          <w:jc w:val="center"/>
        </w:trPr>
        <w:tc>
          <w:tcPr>
            <w:tcW w:w="2630" w:type="dxa"/>
            <w:tcBorders>
              <w:top w:val="single" w:sz="4" w:space="0" w:color="auto"/>
              <w:bottom w:val="single" w:sz="4" w:space="0" w:color="auto"/>
            </w:tcBorders>
          </w:tcPr>
          <w:p w14:paraId="0450D93F" w14:textId="77777777" w:rsidR="002B3992" w:rsidRPr="00D05364" w:rsidRDefault="002B3992" w:rsidP="006E3893">
            <w:pPr>
              <w:tabs>
                <w:tab w:val="left" w:pos="567"/>
              </w:tabs>
              <w:rPr>
                <w:iCs/>
                <w:color w:val="000000"/>
                <w:lang w:eastAsia="lt-LT"/>
              </w:rPr>
            </w:pPr>
            <w:r w:rsidRPr="00D05364">
              <w:rPr>
                <w:iCs/>
                <w:color w:val="000000"/>
                <w:lang w:eastAsia="lt-LT"/>
              </w:rPr>
              <w:lastRenderedPageBreak/>
              <w:t>Vaistų administravimo ir stebėsenos kaštai</w:t>
            </w:r>
          </w:p>
        </w:tc>
        <w:tc>
          <w:tcPr>
            <w:tcW w:w="2298" w:type="dxa"/>
            <w:tcBorders>
              <w:top w:val="single" w:sz="4" w:space="0" w:color="auto"/>
              <w:bottom w:val="single" w:sz="4" w:space="0" w:color="auto"/>
            </w:tcBorders>
          </w:tcPr>
          <w:p w14:paraId="2CAAFD09" w14:textId="31C9C4DF" w:rsidR="002B3992" w:rsidRPr="00D05364"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36BA101F" w14:textId="24925C3B" w:rsidR="002B3992" w:rsidRPr="00D05364"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1B09448A" w14:textId="1DE90646" w:rsidR="002B3992" w:rsidRPr="00D05364" w:rsidRDefault="006B0CEF" w:rsidP="006E3893">
            <w:pPr>
              <w:tabs>
                <w:tab w:val="left" w:pos="567"/>
              </w:tabs>
              <w:jc w:val="both"/>
              <w:rPr>
                <w:i/>
                <w:iCs/>
                <w:lang w:eastAsia="lt-LT"/>
              </w:rPr>
            </w:pPr>
            <w:r w:rsidRPr="004E0F0A">
              <w:rPr>
                <w:iCs/>
                <w:lang w:eastAsia="lt-LT"/>
              </w:rPr>
              <w:t>****</w:t>
            </w:r>
          </w:p>
        </w:tc>
      </w:tr>
      <w:tr w:rsidR="002B3992" w:rsidRPr="00D05364" w14:paraId="66150C01" w14:textId="77777777" w:rsidTr="006E3893">
        <w:trPr>
          <w:jc w:val="center"/>
        </w:trPr>
        <w:tc>
          <w:tcPr>
            <w:tcW w:w="2630" w:type="dxa"/>
            <w:tcBorders>
              <w:top w:val="single" w:sz="4" w:space="0" w:color="auto"/>
              <w:bottom w:val="single" w:sz="4" w:space="0" w:color="auto"/>
            </w:tcBorders>
          </w:tcPr>
          <w:p w14:paraId="392787B5" w14:textId="77777777" w:rsidR="002B3992" w:rsidRPr="00D05364" w:rsidRDefault="002B3992" w:rsidP="006E3893">
            <w:pPr>
              <w:tabs>
                <w:tab w:val="left" w:pos="567"/>
              </w:tabs>
              <w:rPr>
                <w:iCs/>
                <w:color w:val="000000"/>
                <w:lang w:eastAsia="lt-LT"/>
              </w:rPr>
            </w:pPr>
            <w:r>
              <w:rPr>
                <w:iCs/>
                <w:color w:val="000000"/>
                <w:lang w:eastAsia="lt-LT"/>
              </w:rPr>
              <w:t>Ligos progresavimas</w:t>
            </w:r>
          </w:p>
        </w:tc>
        <w:tc>
          <w:tcPr>
            <w:tcW w:w="2298" w:type="dxa"/>
            <w:tcBorders>
              <w:top w:val="single" w:sz="4" w:space="0" w:color="auto"/>
              <w:bottom w:val="single" w:sz="4" w:space="0" w:color="auto"/>
            </w:tcBorders>
          </w:tcPr>
          <w:p w14:paraId="3C8DEA85" w14:textId="0FA25FCF" w:rsidR="002B3992"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2B6AB9E6" w14:textId="63423A66" w:rsidR="002B3992"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386A6E45" w14:textId="7EC74FB7" w:rsidR="002B3992" w:rsidRPr="00D05364" w:rsidRDefault="006B0CEF" w:rsidP="006E3893">
            <w:pPr>
              <w:tabs>
                <w:tab w:val="left" w:pos="567"/>
              </w:tabs>
              <w:jc w:val="both"/>
              <w:rPr>
                <w:i/>
                <w:iCs/>
                <w:lang w:eastAsia="lt-LT"/>
              </w:rPr>
            </w:pPr>
            <w:r w:rsidRPr="004E0F0A">
              <w:rPr>
                <w:iCs/>
                <w:lang w:eastAsia="lt-LT"/>
              </w:rPr>
              <w:t>****</w:t>
            </w:r>
          </w:p>
        </w:tc>
      </w:tr>
      <w:tr w:rsidR="002B3992" w:rsidRPr="00D05364" w14:paraId="39CB8660" w14:textId="77777777" w:rsidTr="006E3893">
        <w:trPr>
          <w:jc w:val="center"/>
        </w:trPr>
        <w:tc>
          <w:tcPr>
            <w:tcW w:w="2630" w:type="dxa"/>
            <w:tcBorders>
              <w:top w:val="single" w:sz="4" w:space="0" w:color="auto"/>
              <w:bottom w:val="single" w:sz="4" w:space="0" w:color="auto"/>
            </w:tcBorders>
          </w:tcPr>
          <w:p w14:paraId="507A7261" w14:textId="77777777" w:rsidR="002B3992" w:rsidRPr="00D05364" w:rsidRDefault="002B3992" w:rsidP="006E3893">
            <w:pPr>
              <w:tabs>
                <w:tab w:val="left" w:pos="567"/>
              </w:tabs>
              <w:rPr>
                <w:iCs/>
                <w:color w:val="000000"/>
                <w:lang w:eastAsia="lt-LT"/>
              </w:rPr>
            </w:pPr>
            <w:r>
              <w:rPr>
                <w:iCs/>
                <w:color w:val="000000"/>
                <w:lang w:eastAsia="lt-LT"/>
              </w:rPr>
              <w:t>Terminaliniai kaštai</w:t>
            </w:r>
          </w:p>
        </w:tc>
        <w:tc>
          <w:tcPr>
            <w:tcW w:w="2298" w:type="dxa"/>
            <w:tcBorders>
              <w:top w:val="single" w:sz="4" w:space="0" w:color="auto"/>
              <w:bottom w:val="single" w:sz="4" w:space="0" w:color="auto"/>
            </w:tcBorders>
          </w:tcPr>
          <w:p w14:paraId="0482E249" w14:textId="3F4A1891" w:rsidR="002B3992"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4" w:space="0" w:color="auto"/>
            </w:tcBorders>
          </w:tcPr>
          <w:p w14:paraId="2C2FC557" w14:textId="189D3A89" w:rsidR="002B3992"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4" w:space="0" w:color="auto"/>
            </w:tcBorders>
          </w:tcPr>
          <w:p w14:paraId="3FB264A3" w14:textId="62DB54A9" w:rsidR="002B3992" w:rsidRPr="00D05364" w:rsidRDefault="006B0CEF" w:rsidP="006E3893">
            <w:pPr>
              <w:tabs>
                <w:tab w:val="left" w:pos="567"/>
              </w:tabs>
              <w:jc w:val="both"/>
              <w:rPr>
                <w:i/>
                <w:iCs/>
                <w:lang w:eastAsia="lt-LT"/>
              </w:rPr>
            </w:pPr>
            <w:r w:rsidRPr="004E0F0A">
              <w:rPr>
                <w:iCs/>
                <w:lang w:eastAsia="lt-LT"/>
              </w:rPr>
              <w:t>****</w:t>
            </w:r>
          </w:p>
        </w:tc>
      </w:tr>
      <w:tr w:rsidR="002B3992" w:rsidRPr="00D05364" w14:paraId="47FCA6DD" w14:textId="77777777" w:rsidTr="006E3893">
        <w:trPr>
          <w:jc w:val="center"/>
        </w:trPr>
        <w:tc>
          <w:tcPr>
            <w:tcW w:w="2630" w:type="dxa"/>
            <w:tcBorders>
              <w:top w:val="single" w:sz="4" w:space="0" w:color="auto"/>
              <w:bottom w:val="single" w:sz="12" w:space="0" w:color="auto"/>
            </w:tcBorders>
          </w:tcPr>
          <w:p w14:paraId="4FEEDD73" w14:textId="77777777" w:rsidR="002B3992" w:rsidRPr="00D05364" w:rsidRDefault="002B3992" w:rsidP="006E3893">
            <w:pPr>
              <w:tabs>
                <w:tab w:val="left" w:pos="567"/>
              </w:tabs>
              <w:jc w:val="right"/>
              <w:rPr>
                <w:iCs/>
                <w:lang w:eastAsia="lt-LT"/>
              </w:rPr>
            </w:pPr>
            <w:r>
              <w:rPr>
                <w:iCs/>
                <w:lang w:eastAsia="lt-LT"/>
              </w:rPr>
              <w:t>Viso:</w:t>
            </w:r>
          </w:p>
        </w:tc>
        <w:tc>
          <w:tcPr>
            <w:tcW w:w="2298" w:type="dxa"/>
            <w:tcBorders>
              <w:top w:val="single" w:sz="4" w:space="0" w:color="auto"/>
              <w:bottom w:val="single" w:sz="12" w:space="0" w:color="auto"/>
            </w:tcBorders>
          </w:tcPr>
          <w:p w14:paraId="19B2770C" w14:textId="134BCEC2" w:rsidR="002B3992" w:rsidRPr="00D05364" w:rsidRDefault="006B0CEF" w:rsidP="006E3893">
            <w:pPr>
              <w:tabs>
                <w:tab w:val="left" w:pos="567"/>
              </w:tabs>
              <w:jc w:val="both"/>
              <w:rPr>
                <w:i/>
                <w:iCs/>
                <w:lang w:eastAsia="lt-LT"/>
              </w:rPr>
            </w:pPr>
            <w:r w:rsidRPr="004E0F0A">
              <w:rPr>
                <w:iCs/>
                <w:lang w:eastAsia="lt-LT"/>
              </w:rPr>
              <w:t>****</w:t>
            </w:r>
          </w:p>
        </w:tc>
        <w:tc>
          <w:tcPr>
            <w:tcW w:w="1792" w:type="dxa"/>
            <w:tcBorders>
              <w:top w:val="single" w:sz="4" w:space="0" w:color="auto"/>
              <w:bottom w:val="single" w:sz="12" w:space="0" w:color="auto"/>
            </w:tcBorders>
          </w:tcPr>
          <w:p w14:paraId="6E8DBAE8" w14:textId="5E47A983" w:rsidR="002B3992" w:rsidRPr="00D05364" w:rsidRDefault="006B0CEF" w:rsidP="006E3893">
            <w:pPr>
              <w:tabs>
                <w:tab w:val="left" w:pos="567"/>
              </w:tabs>
              <w:jc w:val="both"/>
              <w:rPr>
                <w:i/>
                <w:iCs/>
                <w:lang w:eastAsia="lt-LT"/>
              </w:rPr>
            </w:pPr>
            <w:r w:rsidRPr="004E0F0A">
              <w:rPr>
                <w:iCs/>
                <w:lang w:eastAsia="lt-LT"/>
              </w:rPr>
              <w:t>****</w:t>
            </w:r>
          </w:p>
        </w:tc>
        <w:tc>
          <w:tcPr>
            <w:tcW w:w="3188" w:type="dxa"/>
            <w:tcBorders>
              <w:top w:val="single" w:sz="4" w:space="0" w:color="auto"/>
              <w:bottom w:val="single" w:sz="12" w:space="0" w:color="auto"/>
            </w:tcBorders>
          </w:tcPr>
          <w:p w14:paraId="4E485549" w14:textId="7E3EF9E7" w:rsidR="002B3992" w:rsidRPr="00D05364" w:rsidRDefault="006B0CEF" w:rsidP="006E3893">
            <w:pPr>
              <w:tabs>
                <w:tab w:val="left" w:pos="567"/>
              </w:tabs>
              <w:jc w:val="both"/>
              <w:rPr>
                <w:i/>
                <w:iCs/>
                <w:lang w:eastAsia="lt-LT"/>
              </w:rPr>
            </w:pPr>
            <w:r w:rsidRPr="004E0F0A">
              <w:rPr>
                <w:iCs/>
                <w:lang w:eastAsia="lt-LT"/>
              </w:rPr>
              <w:t>****</w:t>
            </w:r>
          </w:p>
        </w:tc>
      </w:tr>
      <w:tr w:rsidR="002B3992" w:rsidRPr="00D05364" w14:paraId="32DD32AB" w14:textId="77777777" w:rsidTr="006E3893">
        <w:trPr>
          <w:jc w:val="center"/>
        </w:trPr>
        <w:tc>
          <w:tcPr>
            <w:tcW w:w="9908" w:type="dxa"/>
            <w:gridSpan w:val="4"/>
            <w:tcBorders>
              <w:top w:val="single" w:sz="12" w:space="0" w:color="auto"/>
              <w:bottom w:val="single" w:sz="4" w:space="0" w:color="auto"/>
            </w:tcBorders>
          </w:tcPr>
          <w:p w14:paraId="429A41DA" w14:textId="77777777" w:rsidR="002B3992" w:rsidRPr="00D05364" w:rsidRDefault="002B3992" w:rsidP="006E3893">
            <w:pPr>
              <w:tabs>
                <w:tab w:val="left" w:pos="567"/>
              </w:tabs>
              <w:jc w:val="center"/>
              <w:rPr>
                <w:iCs/>
                <w:lang w:eastAsia="lt-LT"/>
              </w:rPr>
            </w:pPr>
            <w:r w:rsidRPr="00D05364">
              <w:rPr>
                <w:lang w:eastAsia="lt-LT"/>
              </w:rPr>
              <w:t>Papildomi gyvenimo metai (LY)</w:t>
            </w:r>
          </w:p>
        </w:tc>
      </w:tr>
      <w:tr w:rsidR="002B3992" w:rsidRPr="00D05364" w14:paraId="7CAC5AD4" w14:textId="77777777" w:rsidTr="006E3893">
        <w:trPr>
          <w:jc w:val="center"/>
        </w:trPr>
        <w:tc>
          <w:tcPr>
            <w:tcW w:w="2630" w:type="dxa"/>
            <w:tcBorders>
              <w:top w:val="single" w:sz="4" w:space="0" w:color="auto"/>
              <w:bottom w:val="single" w:sz="4" w:space="0" w:color="auto"/>
            </w:tcBorders>
          </w:tcPr>
          <w:p w14:paraId="6AEDA83B" w14:textId="77777777" w:rsidR="002B3992" w:rsidRPr="00A51AB5" w:rsidRDefault="002B3992" w:rsidP="006E3893">
            <w:pPr>
              <w:tabs>
                <w:tab w:val="left" w:pos="567"/>
              </w:tabs>
              <w:jc w:val="both"/>
            </w:pPr>
            <w:r>
              <w:rPr>
                <w:i/>
                <w:iCs/>
                <w:lang w:eastAsia="lt-LT"/>
              </w:rPr>
              <w:t>Ibrutinib+Venetoclax</w:t>
            </w:r>
          </w:p>
        </w:tc>
        <w:tc>
          <w:tcPr>
            <w:tcW w:w="4090" w:type="dxa"/>
            <w:gridSpan w:val="2"/>
            <w:tcBorders>
              <w:top w:val="single" w:sz="4" w:space="0" w:color="auto"/>
              <w:bottom w:val="single" w:sz="4" w:space="0" w:color="auto"/>
            </w:tcBorders>
          </w:tcPr>
          <w:p w14:paraId="3A5BBEAB" w14:textId="77777777" w:rsidR="002B3992" w:rsidRPr="00D05364" w:rsidRDefault="002B3992" w:rsidP="006E3893">
            <w:pPr>
              <w:tabs>
                <w:tab w:val="left" w:pos="567"/>
              </w:tabs>
              <w:jc w:val="both"/>
              <w:rPr>
                <w:i/>
                <w:iCs/>
                <w:lang w:eastAsia="lt-LT"/>
              </w:rPr>
            </w:pPr>
            <w:r>
              <w:rPr>
                <w:i/>
                <w:iCs/>
                <w:lang w:eastAsia="lt-LT"/>
              </w:rPr>
              <w:t>11,726</w:t>
            </w:r>
          </w:p>
        </w:tc>
        <w:tc>
          <w:tcPr>
            <w:tcW w:w="3188" w:type="dxa"/>
            <w:vMerge w:val="restart"/>
            <w:tcBorders>
              <w:top w:val="single" w:sz="4" w:space="0" w:color="auto"/>
            </w:tcBorders>
          </w:tcPr>
          <w:p w14:paraId="6CAE7ADD" w14:textId="77777777" w:rsidR="002B3992" w:rsidRPr="00D05364" w:rsidRDefault="002B3992" w:rsidP="006E3893">
            <w:pPr>
              <w:tabs>
                <w:tab w:val="left" w:pos="567"/>
              </w:tabs>
              <w:jc w:val="both"/>
              <w:rPr>
                <w:lang w:eastAsia="lt-LT"/>
              </w:rPr>
            </w:pPr>
            <w:r w:rsidRPr="00D05364">
              <w:rPr>
                <w:lang w:eastAsia="lt-LT"/>
              </w:rPr>
              <w:t>Skirtumas:</w:t>
            </w:r>
            <w:r>
              <w:rPr>
                <w:lang w:eastAsia="lt-LT"/>
              </w:rPr>
              <w:t xml:space="preserve"> 1,517</w:t>
            </w:r>
          </w:p>
        </w:tc>
      </w:tr>
      <w:tr w:rsidR="002B3992" w:rsidRPr="00D05364" w14:paraId="49CD3847" w14:textId="77777777" w:rsidTr="006E3893">
        <w:trPr>
          <w:jc w:val="center"/>
        </w:trPr>
        <w:tc>
          <w:tcPr>
            <w:tcW w:w="2630" w:type="dxa"/>
            <w:tcBorders>
              <w:top w:val="single" w:sz="4" w:space="0" w:color="auto"/>
              <w:bottom w:val="single" w:sz="12" w:space="0" w:color="auto"/>
            </w:tcBorders>
          </w:tcPr>
          <w:p w14:paraId="7B25829B" w14:textId="77777777" w:rsidR="002B3992" w:rsidRPr="00262852" w:rsidRDefault="002B3992" w:rsidP="006E3893">
            <w:pPr>
              <w:tabs>
                <w:tab w:val="left" w:pos="567"/>
              </w:tabs>
              <w:jc w:val="both"/>
              <w:rPr>
                <w:i/>
                <w:lang w:eastAsia="lt-LT"/>
              </w:rPr>
            </w:pPr>
            <w:r w:rsidRPr="00262852">
              <w:rPr>
                <w:i/>
                <w:iCs/>
                <w:lang w:eastAsia="lt-LT"/>
              </w:rPr>
              <w:t>FCR</w:t>
            </w:r>
          </w:p>
        </w:tc>
        <w:tc>
          <w:tcPr>
            <w:tcW w:w="4090" w:type="dxa"/>
            <w:gridSpan w:val="2"/>
            <w:tcBorders>
              <w:top w:val="single" w:sz="4" w:space="0" w:color="auto"/>
              <w:bottom w:val="single" w:sz="12" w:space="0" w:color="auto"/>
            </w:tcBorders>
          </w:tcPr>
          <w:p w14:paraId="69105D6E" w14:textId="77777777" w:rsidR="002B3992" w:rsidRPr="00D05364" w:rsidRDefault="002B3992" w:rsidP="006E3893">
            <w:pPr>
              <w:tabs>
                <w:tab w:val="left" w:pos="567"/>
              </w:tabs>
              <w:jc w:val="both"/>
              <w:rPr>
                <w:i/>
                <w:iCs/>
                <w:lang w:eastAsia="lt-LT"/>
              </w:rPr>
            </w:pPr>
            <w:r>
              <w:rPr>
                <w:i/>
                <w:iCs/>
                <w:lang w:eastAsia="lt-LT"/>
              </w:rPr>
              <w:t>10,209</w:t>
            </w:r>
          </w:p>
        </w:tc>
        <w:tc>
          <w:tcPr>
            <w:tcW w:w="3188" w:type="dxa"/>
            <w:vMerge/>
            <w:tcBorders>
              <w:bottom w:val="single" w:sz="12" w:space="0" w:color="auto"/>
            </w:tcBorders>
          </w:tcPr>
          <w:p w14:paraId="33DD3F2C" w14:textId="77777777" w:rsidR="002B3992" w:rsidRPr="00D05364" w:rsidRDefault="002B3992" w:rsidP="006E3893">
            <w:pPr>
              <w:tabs>
                <w:tab w:val="left" w:pos="567"/>
              </w:tabs>
              <w:jc w:val="both"/>
              <w:rPr>
                <w:i/>
                <w:iCs/>
                <w:lang w:eastAsia="lt-LT"/>
              </w:rPr>
            </w:pPr>
          </w:p>
        </w:tc>
      </w:tr>
      <w:tr w:rsidR="002B3992" w:rsidRPr="00D05364" w14:paraId="294D5533" w14:textId="77777777" w:rsidTr="006E3893">
        <w:trPr>
          <w:jc w:val="center"/>
        </w:trPr>
        <w:tc>
          <w:tcPr>
            <w:tcW w:w="9908" w:type="dxa"/>
            <w:gridSpan w:val="4"/>
            <w:tcBorders>
              <w:top w:val="single" w:sz="12" w:space="0" w:color="auto"/>
              <w:bottom w:val="single" w:sz="4" w:space="0" w:color="auto"/>
            </w:tcBorders>
          </w:tcPr>
          <w:p w14:paraId="60F4C598" w14:textId="77777777" w:rsidR="002B3992" w:rsidRPr="00D05364" w:rsidRDefault="002B3992" w:rsidP="006E3893">
            <w:pPr>
              <w:tabs>
                <w:tab w:val="left" w:pos="567"/>
              </w:tabs>
              <w:jc w:val="center"/>
              <w:rPr>
                <w:iCs/>
                <w:lang w:eastAsia="lt-LT"/>
              </w:rPr>
            </w:pPr>
            <w:r w:rsidRPr="00D05364">
              <w:rPr>
                <w:lang w:eastAsia="lt-LT"/>
              </w:rPr>
              <w:t>Kokybiški gyvenimo metai (QALY)</w:t>
            </w:r>
          </w:p>
        </w:tc>
      </w:tr>
      <w:tr w:rsidR="002B3992" w:rsidRPr="00D05364" w14:paraId="3D88C614" w14:textId="77777777" w:rsidTr="006E3893">
        <w:trPr>
          <w:jc w:val="center"/>
        </w:trPr>
        <w:tc>
          <w:tcPr>
            <w:tcW w:w="2630" w:type="dxa"/>
            <w:tcBorders>
              <w:top w:val="single" w:sz="4" w:space="0" w:color="auto"/>
              <w:bottom w:val="single" w:sz="4" w:space="0" w:color="auto"/>
            </w:tcBorders>
          </w:tcPr>
          <w:p w14:paraId="16CA5E78" w14:textId="77777777" w:rsidR="002B3992" w:rsidRPr="00D05364" w:rsidRDefault="002B3992" w:rsidP="006E3893">
            <w:pPr>
              <w:tabs>
                <w:tab w:val="left" w:pos="567"/>
              </w:tabs>
              <w:jc w:val="both"/>
              <w:rPr>
                <w:iCs/>
                <w:lang w:eastAsia="lt-LT"/>
              </w:rPr>
            </w:pPr>
            <w:r>
              <w:rPr>
                <w:i/>
                <w:iCs/>
                <w:lang w:eastAsia="lt-LT"/>
              </w:rPr>
              <w:t>Ibrutinib+Venetoclax</w:t>
            </w:r>
          </w:p>
        </w:tc>
        <w:tc>
          <w:tcPr>
            <w:tcW w:w="4090" w:type="dxa"/>
            <w:gridSpan w:val="2"/>
            <w:tcBorders>
              <w:top w:val="single" w:sz="4" w:space="0" w:color="auto"/>
              <w:bottom w:val="single" w:sz="4" w:space="0" w:color="auto"/>
            </w:tcBorders>
          </w:tcPr>
          <w:p w14:paraId="6C96EC5F" w14:textId="77777777" w:rsidR="002B3992" w:rsidRPr="00D05364" w:rsidRDefault="002B3992" w:rsidP="006E3893">
            <w:pPr>
              <w:tabs>
                <w:tab w:val="left" w:pos="567"/>
              </w:tabs>
              <w:jc w:val="both"/>
              <w:rPr>
                <w:i/>
                <w:iCs/>
                <w:lang w:eastAsia="lt-LT"/>
              </w:rPr>
            </w:pPr>
            <w:r>
              <w:rPr>
                <w:i/>
                <w:iCs/>
                <w:lang w:eastAsia="lt-LT"/>
              </w:rPr>
              <w:t>9,205</w:t>
            </w:r>
          </w:p>
        </w:tc>
        <w:tc>
          <w:tcPr>
            <w:tcW w:w="3188" w:type="dxa"/>
            <w:vMerge w:val="restart"/>
            <w:tcBorders>
              <w:top w:val="single" w:sz="4" w:space="0" w:color="auto"/>
            </w:tcBorders>
          </w:tcPr>
          <w:p w14:paraId="74F6DCFD" w14:textId="77777777" w:rsidR="002B3992" w:rsidRPr="00D05364" w:rsidRDefault="002B3992" w:rsidP="006E3893">
            <w:pPr>
              <w:tabs>
                <w:tab w:val="left" w:pos="567"/>
              </w:tabs>
              <w:jc w:val="both"/>
              <w:rPr>
                <w:lang w:eastAsia="lt-LT"/>
              </w:rPr>
            </w:pPr>
            <w:r w:rsidRPr="00D05364">
              <w:rPr>
                <w:lang w:eastAsia="lt-LT"/>
              </w:rPr>
              <w:t xml:space="preserve">Skirtumas: </w:t>
            </w:r>
            <w:r>
              <w:rPr>
                <w:lang w:eastAsia="lt-LT"/>
              </w:rPr>
              <w:t>1,728</w:t>
            </w:r>
          </w:p>
        </w:tc>
      </w:tr>
      <w:tr w:rsidR="002B3992" w:rsidRPr="00D05364" w14:paraId="6E290E9C" w14:textId="77777777" w:rsidTr="006E3893">
        <w:trPr>
          <w:jc w:val="center"/>
        </w:trPr>
        <w:tc>
          <w:tcPr>
            <w:tcW w:w="2630" w:type="dxa"/>
            <w:tcBorders>
              <w:top w:val="single" w:sz="4" w:space="0" w:color="auto"/>
              <w:bottom w:val="single" w:sz="12" w:space="0" w:color="auto"/>
            </w:tcBorders>
          </w:tcPr>
          <w:p w14:paraId="4323C3F5" w14:textId="77777777" w:rsidR="002B3992" w:rsidRPr="00262852" w:rsidRDefault="002B3992" w:rsidP="006E3893">
            <w:pPr>
              <w:tabs>
                <w:tab w:val="left" w:pos="567"/>
              </w:tabs>
              <w:jc w:val="both"/>
              <w:rPr>
                <w:i/>
                <w:iCs/>
                <w:lang w:eastAsia="lt-LT"/>
              </w:rPr>
            </w:pPr>
            <w:r w:rsidRPr="00262852">
              <w:rPr>
                <w:i/>
                <w:iCs/>
                <w:lang w:eastAsia="lt-LT"/>
              </w:rPr>
              <w:t>FCR</w:t>
            </w:r>
          </w:p>
        </w:tc>
        <w:tc>
          <w:tcPr>
            <w:tcW w:w="4090" w:type="dxa"/>
            <w:gridSpan w:val="2"/>
            <w:tcBorders>
              <w:top w:val="single" w:sz="4" w:space="0" w:color="auto"/>
              <w:bottom w:val="single" w:sz="12" w:space="0" w:color="auto"/>
            </w:tcBorders>
          </w:tcPr>
          <w:p w14:paraId="4E216DE9" w14:textId="77777777" w:rsidR="002B3992" w:rsidRPr="00D05364" w:rsidRDefault="002B3992" w:rsidP="006E3893">
            <w:pPr>
              <w:tabs>
                <w:tab w:val="left" w:pos="567"/>
              </w:tabs>
              <w:jc w:val="both"/>
              <w:rPr>
                <w:i/>
                <w:iCs/>
                <w:lang w:eastAsia="lt-LT"/>
              </w:rPr>
            </w:pPr>
            <w:r>
              <w:rPr>
                <w:i/>
                <w:iCs/>
                <w:lang w:eastAsia="lt-LT"/>
              </w:rPr>
              <w:t>7,477</w:t>
            </w:r>
          </w:p>
        </w:tc>
        <w:tc>
          <w:tcPr>
            <w:tcW w:w="3188" w:type="dxa"/>
            <w:vMerge/>
            <w:tcBorders>
              <w:bottom w:val="single" w:sz="12" w:space="0" w:color="auto"/>
            </w:tcBorders>
          </w:tcPr>
          <w:p w14:paraId="738270AA" w14:textId="77777777" w:rsidR="002B3992" w:rsidRPr="00D05364" w:rsidRDefault="002B3992" w:rsidP="006E3893">
            <w:pPr>
              <w:tabs>
                <w:tab w:val="left" w:pos="567"/>
              </w:tabs>
              <w:jc w:val="both"/>
              <w:rPr>
                <w:i/>
                <w:iCs/>
                <w:lang w:eastAsia="lt-LT"/>
              </w:rPr>
            </w:pPr>
          </w:p>
        </w:tc>
      </w:tr>
      <w:tr w:rsidR="002B3992" w:rsidRPr="00D05364" w14:paraId="1A4BE2C0" w14:textId="77777777" w:rsidTr="006E3893">
        <w:trPr>
          <w:trHeight w:val="347"/>
          <w:jc w:val="center"/>
        </w:trPr>
        <w:tc>
          <w:tcPr>
            <w:tcW w:w="9908" w:type="dxa"/>
            <w:gridSpan w:val="4"/>
            <w:tcBorders>
              <w:top w:val="single" w:sz="12" w:space="0" w:color="auto"/>
            </w:tcBorders>
            <w:vAlign w:val="center"/>
          </w:tcPr>
          <w:p w14:paraId="38226365" w14:textId="77777777" w:rsidR="002B3992" w:rsidRPr="00D05364" w:rsidRDefault="002B3992" w:rsidP="006E3893">
            <w:pPr>
              <w:tabs>
                <w:tab w:val="left" w:pos="567"/>
              </w:tabs>
              <w:jc w:val="center"/>
              <w:rPr>
                <w:b/>
                <w:bCs/>
                <w:sz w:val="26"/>
                <w:szCs w:val="26"/>
                <w:lang w:eastAsia="lt-LT"/>
              </w:rPr>
            </w:pPr>
            <w:r w:rsidRPr="00D05364">
              <w:rPr>
                <w:b/>
                <w:bCs/>
                <w:sz w:val="26"/>
                <w:szCs w:val="26"/>
                <w:lang w:eastAsia="lt-LT"/>
              </w:rPr>
              <w:t>Rezultatai</w:t>
            </w:r>
          </w:p>
        </w:tc>
      </w:tr>
      <w:tr w:rsidR="002B3992" w:rsidRPr="00D05364" w14:paraId="663D0FE9" w14:textId="77777777" w:rsidTr="006E3893">
        <w:trPr>
          <w:jc w:val="center"/>
        </w:trPr>
        <w:tc>
          <w:tcPr>
            <w:tcW w:w="6720" w:type="dxa"/>
            <w:gridSpan w:val="3"/>
          </w:tcPr>
          <w:p w14:paraId="6C46970B" w14:textId="77777777" w:rsidR="002B3992" w:rsidRPr="00D05364" w:rsidRDefault="002B3992" w:rsidP="006E3893">
            <w:pPr>
              <w:tabs>
                <w:tab w:val="left" w:pos="567"/>
              </w:tabs>
              <w:jc w:val="right"/>
              <w:rPr>
                <w:iCs/>
                <w:lang w:eastAsia="lt-LT"/>
              </w:rPr>
            </w:pPr>
            <w:r w:rsidRPr="00D05364">
              <w:rPr>
                <w:iCs/>
                <w:lang w:eastAsia="lt-LT"/>
              </w:rPr>
              <w:t>ICER už LY</w:t>
            </w:r>
          </w:p>
        </w:tc>
        <w:tc>
          <w:tcPr>
            <w:tcW w:w="3188" w:type="dxa"/>
          </w:tcPr>
          <w:p w14:paraId="6B1D8325" w14:textId="4FECEF66" w:rsidR="002B3992" w:rsidRPr="00D05364" w:rsidRDefault="00B21E9B" w:rsidP="006E3893">
            <w:pPr>
              <w:tabs>
                <w:tab w:val="left" w:pos="567"/>
              </w:tabs>
              <w:jc w:val="both"/>
              <w:rPr>
                <w:i/>
                <w:iCs/>
                <w:lang w:eastAsia="lt-LT"/>
              </w:rPr>
            </w:pPr>
            <w:r>
              <w:rPr>
                <w:i/>
                <w:iCs/>
                <w:lang w:eastAsia="lt-LT"/>
              </w:rPr>
              <w:t>***</w:t>
            </w:r>
            <w:r w:rsidR="002B3992">
              <w:rPr>
                <w:i/>
                <w:iCs/>
                <w:lang w:eastAsia="lt-LT"/>
              </w:rPr>
              <w:t xml:space="preserve"> eur/LY</w:t>
            </w:r>
          </w:p>
        </w:tc>
      </w:tr>
      <w:tr w:rsidR="002B3992" w:rsidRPr="00D05364" w14:paraId="182EE806" w14:textId="77777777" w:rsidTr="006E3893">
        <w:trPr>
          <w:jc w:val="center"/>
        </w:trPr>
        <w:tc>
          <w:tcPr>
            <w:tcW w:w="6720" w:type="dxa"/>
            <w:gridSpan w:val="3"/>
          </w:tcPr>
          <w:p w14:paraId="4F984605" w14:textId="77777777" w:rsidR="002B3992" w:rsidRPr="00D05364" w:rsidRDefault="002B3992" w:rsidP="006E3893">
            <w:pPr>
              <w:tabs>
                <w:tab w:val="left" w:pos="567"/>
              </w:tabs>
              <w:jc w:val="right"/>
              <w:rPr>
                <w:iCs/>
                <w:lang w:eastAsia="lt-LT"/>
              </w:rPr>
            </w:pPr>
            <w:r w:rsidRPr="00D05364">
              <w:rPr>
                <w:iCs/>
                <w:lang w:eastAsia="lt-LT"/>
              </w:rPr>
              <w:t>ICER už QALY</w:t>
            </w:r>
          </w:p>
        </w:tc>
        <w:tc>
          <w:tcPr>
            <w:tcW w:w="3188" w:type="dxa"/>
          </w:tcPr>
          <w:p w14:paraId="1FC308A2" w14:textId="5A2569CA" w:rsidR="002B3992" w:rsidRPr="00D05364" w:rsidRDefault="00B21E9B" w:rsidP="006E3893">
            <w:pPr>
              <w:tabs>
                <w:tab w:val="left" w:pos="567"/>
              </w:tabs>
              <w:jc w:val="both"/>
              <w:rPr>
                <w:i/>
                <w:iCs/>
                <w:lang w:eastAsia="lt-LT"/>
              </w:rPr>
            </w:pPr>
            <w:r>
              <w:rPr>
                <w:i/>
                <w:iCs/>
                <w:lang w:eastAsia="lt-LT"/>
              </w:rPr>
              <w:t>***</w:t>
            </w:r>
            <w:r w:rsidR="002B3992">
              <w:rPr>
                <w:i/>
                <w:iCs/>
                <w:lang w:eastAsia="lt-LT"/>
              </w:rPr>
              <w:t xml:space="preserve"> eur/QALY</w:t>
            </w:r>
          </w:p>
        </w:tc>
      </w:tr>
      <w:tr w:rsidR="002B3992" w:rsidRPr="00D05364" w14:paraId="65CD16A6" w14:textId="77777777" w:rsidTr="006E3893">
        <w:trPr>
          <w:jc w:val="center"/>
        </w:trPr>
        <w:tc>
          <w:tcPr>
            <w:tcW w:w="6720" w:type="dxa"/>
            <w:gridSpan w:val="3"/>
          </w:tcPr>
          <w:p w14:paraId="5A87F85B" w14:textId="77777777" w:rsidR="002B3992" w:rsidRPr="00D05364" w:rsidRDefault="002B3992" w:rsidP="006E3893">
            <w:pPr>
              <w:tabs>
                <w:tab w:val="left" w:pos="567"/>
              </w:tabs>
              <w:jc w:val="right"/>
              <w:rPr>
                <w:iCs/>
                <w:lang w:eastAsia="lt-LT"/>
              </w:rPr>
            </w:pPr>
            <w:r w:rsidRPr="00D05364">
              <w:rPr>
                <w:iCs/>
                <w:lang w:eastAsia="lt-LT"/>
              </w:rPr>
              <w:t>Referencinė kaštų naudingumo vertė</w:t>
            </w:r>
          </w:p>
        </w:tc>
        <w:tc>
          <w:tcPr>
            <w:tcW w:w="3188" w:type="dxa"/>
          </w:tcPr>
          <w:p w14:paraId="2D4FB485" w14:textId="41D00FE2" w:rsidR="002B3992" w:rsidRPr="00D05364" w:rsidRDefault="00B21E9B" w:rsidP="006E3893">
            <w:pPr>
              <w:tabs>
                <w:tab w:val="left" w:pos="567"/>
              </w:tabs>
              <w:jc w:val="both"/>
              <w:rPr>
                <w:i/>
                <w:iCs/>
                <w:lang w:eastAsia="lt-LT"/>
              </w:rPr>
            </w:pPr>
            <w:r>
              <w:rPr>
                <w:i/>
                <w:iCs/>
                <w:lang w:eastAsia="lt-LT"/>
              </w:rPr>
              <w:t>***</w:t>
            </w:r>
            <w:r w:rsidR="002B3992">
              <w:rPr>
                <w:i/>
                <w:iCs/>
                <w:lang w:eastAsia="lt-LT"/>
              </w:rPr>
              <w:t xml:space="preserve"> eur/QALY</w:t>
            </w:r>
          </w:p>
        </w:tc>
      </w:tr>
    </w:tbl>
    <w:p w14:paraId="5DCC53A3" w14:textId="342DF99D" w:rsidR="002B3992" w:rsidRDefault="002B3992" w:rsidP="00A01831">
      <w:pPr>
        <w:shd w:val="clear" w:color="auto" w:fill="FFFFFF"/>
        <w:spacing w:line="276" w:lineRule="auto"/>
        <w:jc w:val="both"/>
        <w:rPr>
          <w:iCs/>
          <w:lang w:eastAsia="lt-LT"/>
        </w:rPr>
      </w:pPr>
    </w:p>
    <w:p w14:paraId="36D6AD20" w14:textId="77777777" w:rsidR="002B3992" w:rsidRDefault="002B3992" w:rsidP="004A1641">
      <w:pPr>
        <w:shd w:val="clear" w:color="auto" w:fill="FFFFFF"/>
        <w:spacing w:line="360" w:lineRule="auto"/>
        <w:jc w:val="both"/>
        <w:rPr>
          <w:iCs/>
          <w:lang w:eastAsia="lt-LT"/>
        </w:rPr>
      </w:pPr>
      <w:r>
        <w:rPr>
          <w:iCs/>
          <w:lang w:eastAsia="lt-LT"/>
        </w:rPr>
        <w:t>Po detalaus vertinimo, Pareiškėjas papildomai pateikė kaštų mažinimo analizę unfit pacientų populiacijoje, kurioje ibrutinibo ir venetoklakso derinys lyginamas su ibrutinibo bei akalabrutinibo monoterapija. Tarnyba papildomai pateikia ir kaštų mažinimo analizės rezultatą. Įvertinta, jog gydant ibrutinibo ir venetoklakso deriniu (dėl skirtingos gydymo trukmės) yra taupomi kaštai, palyginus su ibrutinibo ar akalabrutinibo monoterapijų kaštais.</w:t>
      </w:r>
    </w:p>
    <w:p w14:paraId="62CDC6D0" w14:textId="1D9DE81A" w:rsidR="002B3992" w:rsidRDefault="002B3992" w:rsidP="00A01831">
      <w:pPr>
        <w:shd w:val="clear" w:color="auto" w:fill="FFFFFF"/>
        <w:spacing w:line="276" w:lineRule="auto"/>
        <w:jc w:val="both"/>
        <w:rPr>
          <w:iCs/>
          <w:lang w:eastAsia="lt-LT"/>
        </w:rPr>
      </w:pPr>
    </w:p>
    <w:tbl>
      <w:tblPr>
        <w:tblStyle w:val="Lentelstinklelis"/>
        <w:tblW w:w="0" w:type="auto"/>
        <w:tblLook w:val="04A0" w:firstRow="1" w:lastRow="0" w:firstColumn="1" w:lastColumn="0" w:noHBand="0" w:noVBand="1"/>
      </w:tblPr>
      <w:tblGrid>
        <w:gridCol w:w="2372"/>
        <w:gridCol w:w="1310"/>
        <w:gridCol w:w="944"/>
        <w:gridCol w:w="945"/>
        <w:gridCol w:w="979"/>
        <w:gridCol w:w="944"/>
        <w:gridCol w:w="1058"/>
        <w:gridCol w:w="1077"/>
      </w:tblGrid>
      <w:tr w:rsidR="002B3992" w14:paraId="14A13C18" w14:textId="77777777" w:rsidTr="009E63EC">
        <w:tc>
          <w:tcPr>
            <w:tcW w:w="2372" w:type="dxa"/>
            <w:vMerge w:val="restart"/>
          </w:tcPr>
          <w:p w14:paraId="4A50E3D1" w14:textId="31D884FA" w:rsidR="002B3992" w:rsidRPr="002B3992" w:rsidRDefault="002B3992" w:rsidP="002B3992">
            <w:pPr>
              <w:spacing w:line="276" w:lineRule="auto"/>
              <w:jc w:val="both"/>
              <w:rPr>
                <w:b/>
                <w:iCs/>
                <w:lang w:eastAsia="lt-LT"/>
              </w:rPr>
            </w:pPr>
            <w:r w:rsidRPr="002B3992">
              <w:rPr>
                <w:b/>
                <w:iCs/>
                <w:lang w:eastAsia="lt-LT"/>
              </w:rPr>
              <w:t>Vaistas</w:t>
            </w:r>
          </w:p>
        </w:tc>
        <w:tc>
          <w:tcPr>
            <w:tcW w:w="1310" w:type="dxa"/>
            <w:vMerge w:val="restart"/>
          </w:tcPr>
          <w:p w14:paraId="1C40B6FF" w14:textId="380A91A7" w:rsidR="002B3992" w:rsidRPr="002B3992" w:rsidRDefault="002B3992" w:rsidP="002B3992">
            <w:pPr>
              <w:spacing w:line="276" w:lineRule="auto"/>
              <w:jc w:val="both"/>
              <w:rPr>
                <w:b/>
                <w:iCs/>
                <w:lang w:eastAsia="lt-LT"/>
              </w:rPr>
            </w:pPr>
            <w:r w:rsidRPr="002B3992">
              <w:rPr>
                <w:b/>
                <w:iCs/>
                <w:lang w:eastAsia="lt-LT"/>
              </w:rPr>
              <w:t>Pacientų proporcija</w:t>
            </w:r>
          </w:p>
        </w:tc>
        <w:tc>
          <w:tcPr>
            <w:tcW w:w="5947" w:type="dxa"/>
            <w:gridSpan w:val="6"/>
          </w:tcPr>
          <w:p w14:paraId="0565274C" w14:textId="06EF21C5" w:rsidR="002B3992" w:rsidRPr="002B3992" w:rsidRDefault="002B3992" w:rsidP="002B3992">
            <w:pPr>
              <w:spacing w:line="276" w:lineRule="auto"/>
              <w:jc w:val="center"/>
              <w:rPr>
                <w:b/>
                <w:iCs/>
                <w:lang w:eastAsia="lt-LT"/>
              </w:rPr>
            </w:pPr>
            <w:r w:rsidRPr="002B3992">
              <w:rPr>
                <w:b/>
                <w:iCs/>
                <w:lang w:eastAsia="lt-LT"/>
              </w:rPr>
              <w:t>EUR</w:t>
            </w:r>
          </w:p>
        </w:tc>
      </w:tr>
      <w:tr w:rsidR="002B3992" w14:paraId="172AC5DC" w14:textId="77777777" w:rsidTr="009E63EC">
        <w:tc>
          <w:tcPr>
            <w:tcW w:w="2372" w:type="dxa"/>
            <w:vMerge/>
          </w:tcPr>
          <w:p w14:paraId="3C3DC09D" w14:textId="3681EFC7" w:rsidR="002B3992" w:rsidRPr="002B3992" w:rsidRDefault="002B3992" w:rsidP="002B3992">
            <w:pPr>
              <w:spacing w:line="276" w:lineRule="auto"/>
              <w:jc w:val="both"/>
              <w:rPr>
                <w:b/>
                <w:iCs/>
                <w:lang w:eastAsia="lt-LT"/>
              </w:rPr>
            </w:pPr>
          </w:p>
        </w:tc>
        <w:tc>
          <w:tcPr>
            <w:tcW w:w="1310" w:type="dxa"/>
            <w:vMerge/>
          </w:tcPr>
          <w:p w14:paraId="28130AB2" w14:textId="03DC5DE3" w:rsidR="002B3992" w:rsidRPr="002B3992" w:rsidRDefault="002B3992" w:rsidP="002B3992">
            <w:pPr>
              <w:spacing w:line="276" w:lineRule="auto"/>
              <w:jc w:val="both"/>
              <w:rPr>
                <w:b/>
                <w:iCs/>
                <w:lang w:eastAsia="lt-LT"/>
              </w:rPr>
            </w:pPr>
          </w:p>
        </w:tc>
        <w:tc>
          <w:tcPr>
            <w:tcW w:w="944" w:type="dxa"/>
          </w:tcPr>
          <w:p w14:paraId="7D8E2953" w14:textId="5EA91C15" w:rsidR="002B3992" w:rsidRPr="009E63EC" w:rsidRDefault="002B3992" w:rsidP="002B3992">
            <w:pPr>
              <w:spacing w:line="276" w:lineRule="auto"/>
              <w:jc w:val="both"/>
              <w:rPr>
                <w:b/>
                <w:iCs/>
                <w:sz w:val="22"/>
                <w:lang w:eastAsia="lt-LT"/>
              </w:rPr>
            </w:pPr>
            <w:r w:rsidRPr="009E63EC">
              <w:rPr>
                <w:b/>
                <w:iCs/>
                <w:sz w:val="22"/>
                <w:lang w:eastAsia="lt-LT"/>
              </w:rPr>
              <w:t>1 metai</w:t>
            </w:r>
          </w:p>
        </w:tc>
        <w:tc>
          <w:tcPr>
            <w:tcW w:w="945" w:type="dxa"/>
          </w:tcPr>
          <w:p w14:paraId="51D44D1D" w14:textId="18A74C4A" w:rsidR="002B3992" w:rsidRPr="009E63EC" w:rsidRDefault="002B3992" w:rsidP="002B3992">
            <w:pPr>
              <w:spacing w:line="276" w:lineRule="auto"/>
              <w:jc w:val="both"/>
              <w:rPr>
                <w:b/>
                <w:iCs/>
                <w:sz w:val="22"/>
                <w:lang w:eastAsia="lt-LT"/>
              </w:rPr>
            </w:pPr>
            <w:r w:rsidRPr="009E63EC">
              <w:rPr>
                <w:b/>
                <w:iCs/>
                <w:sz w:val="22"/>
                <w:lang w:eastAsia="lt-LT"/>
              </w:rPr>
              <w:t>2 metai</w:t>
            </w:r>
          </w:p>
        </w:tc>
        <w:tc>
          <w:tcPr>
            <w:tcW w:w="979" w:type="dxa"/>
          </w:tcPr>
          <w:p w14:paraId="589F2408" w14:textId="6526739E" w:rsidR="002B3992" w:rsidRPr="009E63EC" w:rsidRDefault="002B3992" w:rsidP="002B3992">
            <w:pPr>
              <w:spacing w:line="276" w:lineRule="auto"/>
              <w:jc w:val="both"/>
              <w:rPr>
                <w:b/>
                <w:iCs/>
                <w:sz w:val="22"/>
                <w:lang w:eastAsia="lt-LT"/>
              </w:rPr>
            </w:pPr>
            <w:r w:rsidRPr="009E63EC">
              <w:rPr>
                <w:b/>
                <w:iCs/>
                <w:sz w:val="22"/>
                <w:lang w:eastAsia="lt-LT"/>
              </w:rPr>
              <w:t>3 metai</w:t>
            </w:r>
          </w:p>
        </w:tc>
        <w:tc>
          <w:tcPr>
            <w:tcW w:w="944" w:type="dxa"/>
          </w:tcPr>
          <w:p w14:paraId="6C362038" w14:textId="0F2E7235" w:rsidR="002B3992" w:rsidRPr="009E63EC" w:rsidRDefault="002B3992" w:rsidP="002B3992">
            <w:pPr>
              <w:spacing w:line="276" w:lineRule="auto"/>
              <w:jc w:val="both"/>
              <w:rPr>
                <w:b/>
                <w:iCs/>
                <w:sz w:val="22"/>
                <w:lang w:eastAsia="lt-LT"/>
              </w:rPr>
            </w:pPr>
            <w:r w:rsidRPr="009E63EC">
              <w:rPr>
                <w:b/>
                <w:iCs/>
                <w:sz w:val="22"/>
                <w:lang w:eastAsia="lt-LT"/>
              </w:rPr>
              <w:t>4 metai</w:t>
            </w:r>
          </w:p>
        </w:tc>
        <w:tc>
          <w:tcPr>
            <w:tcW w:w="1058" w:type="dxa"/>
          </w:tcPr>
          <w:p w14:paraId="737EF1F6" w14:textId="03E00DC2" w:rsidR="002B3992" w:rsidRPr="009E63EC" w:rsidRDefault="002B3992" w:rsidP="002B3992">
            <w:pPr>
              <w:spacing w:line="276" w:lineRule="auto"/>
              <w:jc w:val="both"/>
              <w:rPr>
                <w:b/>
                <w:iCs/>
                <w:sz w:val="22"/>
                <w:lang w:eastAsia="lt-LT"/>
              </w:rPr>
            </w:pPr>
            <w:r w:rsidRPr="009E63EC">
              <w:rPr>
                <w:b/>
                <w:iCs/>
                <w:sz w:val="22"/>
                <w:lang w:eastAsia="lt-LT"/>
              </w:rPr>
              <w:t>5 metai</w:t>
            </w:r>
          </w:p>
        </w:tc>
        <w:tc>
          <w:tcPr>
            <w:tcW w:w="1077" w:type="dxa"/>
          </w:tcPr>
          <w:p w14:paraId="681560AD" w14:textId="7C5817CA" w:rsidR="002B3992" w:rsidRPr="009E63EC" w:rsidRDefault="002B3992" w:rsidP="002B3992">
            <w:pPr>
              <w:spacing w:line="276" w:lineRule="auto"/>
              <w:jc w:val="both"/>
              <w:rPr>
                <w:b/>
                <w:iCs/>
                <w:sz w:val="22"/>
                <w:lang w:eastAsia="lt-LT"/>
              </w:rPr>
            </w:pPr>
            <w:r w:rsidRPr="009E63EC">
              <w:rPr>
                <w:b/>
                <w:iCs/>
                <w:sz w:val="22"/>
                <w:lang w:eastAsia="lt-LT"/>
              </w:rPr>
              <w:t xml:space="preserve">Viso </w:t>
            </w:r>
          </w:p>
        </w:tc>
      </w:tr>
      <w:tr w:rsidR="002B3992" w14:paraId="0C7DA130" w14:textId="77777777" w:rsidTr="009E63EC">
        <w:tc>
          <w:tcPr>
            <w:tcW w:w="2372" w:type="dxa"/>
          </w:tcPr>
          <w:p w14:paraId="21B68BED" w14:textId="41501F83" w:rsidR="002B3992" w:rsidRPr="002B3992" w:rsidRDefault="002B3992" w:rsidP="006B0CEF">
            <w:pPr>
              <w:spacing w:line="276" w:lineRule="auto"/>
              <w:rPr>
                <w:b/>
                <w:iCs/>
                <w:lang w:eastAsia="lt-LT"/>
              </w:rPr>
            </w:pPr>
            <w:r w:rsidRPr="002B3992">
              <w:rPr>
                <w:b/>
                <w:iCs/>
                <w:lang w:eastAsia="lt-LT"/>
              </w:rPr>
              <w:t>Ibrutinibas</w:t>
            </w:r>
            <w:r w:rsidR="006B0CEF">
              <w:rPr>
                <w:b/>
                <w:iCs/>
                <w:lang w:eastAsia="lt-LT"/>
              </w:rPr>
              <w:t xml:space="preserve"> </w:t>
            </w:r>
            <w:r w:rsidRPr="002B3992">
              <w:rPr>
                <w:b/>
                <w:iCs/>
                <w:lang w:eastAsia="lt-LT"/>
              </w:rPr>
              <w:t>+ venetoklaksas</w:t>
            </w:r>
          </w:p>
        </w:tc>
        <w:tc>
          <w:tcPr>
            <w:tcW w:w="1310" w:type="dxa"/>
          </w:tcPr>
          <w:p w14:paraId="7322CBB3" w14:textId="7E71E24A" w:rsidR="002B3992" w:rsidRDefault="006B0CEF" w:rsidP="00A01831">
            <w:pPr>
              <w:spacing w:line="276" w:lineRule="auto"/>
              <w:jc w:val="both"/>
              <w:rPr>
                <w:iCs/>
                <w:lang w:eastAsia="lt-LT"/>
              </w:rPr>
            </w:pPr>
            <w:r w:rsidRPr="004E0F0A">
              <w:rPr>
                <w:iCs/>
                <w:lang w:eastAsia="lt-LT"/>
              </w:rPr>
              <w:t>****</w:t>
            </w:r>
          </w:p>
        </w:tc>
        <w:tc>
          <w:tcPr>
            <w:tcW w:w="944" w:type="dxa"/>
          </w:tcPr>
          <w:p w14:paraId="18ED929B" w14:textId="1C09BE8E" w:rsidR="002B3992" w:rsidRDefault="006B0CEF" w:rsidP="00A01831">
            <w:pPr>
              <w:spacing w:line="276" w:lineRule="auto"/>
              <w:jc w:val="both"/>
              <w:rPr>
                <w:iCs/>
                <w:lang w:eastAsia="lt-LT"/>
              </w:rPr>
            </w:pPr>
            <w:r w:rsidRPr="004E0F0A">
              <w:rPr>
                <w:iCs/>
                <w:lang w:eastAsia="lt-LT"/>
              </w:rPr>
              <w:t>****</w:t>
            </w:r>
          </w:p>
        </w:tc>
        <w:tc>
          <w:tcPr>
            <w:tcW w:w="945" w:type="dxa"/>
          </w:tcPr>
          <w:p w14:paraId="6D1E1275" w14:textId="3CDFFDB1" w:rsidR="002B3992" w:rsidRDefault="006B0CEF" w:rsidP="00A01831">
            <w:pPr>
              <w:spacing w:line="276" w:lineRule="auto"/>
              <w:jc w:val="both"/>
              <w:rPr>
                <w:iCs/>
                <w:lang w:eastAsia="lt-LT"/>
              </w:rPr>
            </w:pPr>
            <w:r w:rsidRPr="004E0F0A">
              <w:rPr>
                <w:iCs/>
                <w:lang w:eastAsia="lt-LT"/>
              </w:rPr>
              <w:t>****</w:t>
            </w:r>
          </w:p>
        </w:tc>
        <w:tc>
          <w:tcPr>
            <w:tcW w:w="979" w:type="dxa"/>
          </w:tcPr>
          <w:p w14:paraId="35B6FDA7" w14:textId="78143A4D" w:rsidR="002B3992" w:rsidRDefault="006B0CEF" w:rsidP="00A01831">
            <w:pPr>
              <w:spacing w:line="276" w:lineRule="auto"/>
              <w:jc w:val="both"/>
              <w:rPr>
                <w:iCs/>
                <w:lang w:eastAsia="lt-LT"/>
              </w:rPr>
            </w:pPr>
            <w:r w:rsidRPr="004E0F0A">
              <w:rPr>
                <w:iCs/>
                <w:lang w:eastAsia="lt-LT"/>
              </w:rPr>
              <w:t>****</w:t>
            </w:r>
          </w:p>
        </w:tc>
        <w:tc>
          <w:tcPr>
            <w:tcW w:w="944" w:type="dxa"/>
          </w:tcPr>
          <w:p w14:paraId="482DBFEA" w14:textId="3B0D955B" w:rsidR="002B3992" w:rsidRDefault="006B0CEF" w:rsidP="00A01831">
            <w:pPr>
              <w:spacing w:line="276" w:lineRule="auto"/>
              <w:jc w:val="both"/>
              <w:rPr>
                <w:iCs/>
                <w:lang w:eastAsia="lt-LT"/>
              </w:rPr>
            </w:pPr>
            <w:r w:rsidRPr="004E0F0A">
              <w:rPr>
                <w:iCs/>
                <w:lang w:eastAsia="lt-LT"/>
              </w:rPr>
              <w:t>****</w:t>
            </w:r>
          </w:p>
        </w:tc>
        <w:tc>
          <w:tcPr>
            <w:tcW w:w="1058" w:type="dxa"/>
          </w:tcPr>
          <w:p w14:paraId="1E286274" w14:textId="1327A7CB" w:rsidR="002B3992" w:rsidRDefault="006B0CEF" w:rsidP="00A01831">
            <w:pPr>
              <w:spacing w:line="276" w:lineRule="auto"/>
              <w:jc w:val="both"/>
              <w:rPr>
                <w:iCs/>
                <w:lang w:eastAsia="lt-LT"/>
              </w:rPr>
            </w:pPr>
            <w:r w:rsidRPr="004E0F0A">
              <w:rPr>
                <w:iCs/>
                <w:lang w:eastAsia="lt-LT"/>
              </w:rPr>
              <w:t>****</w:t>
            </w:r>
          </w:p>
        </w:tc>
        <w:tc>
          <w:tcPr>
            <w:tcW w:w="1077" w:type="dxa"/>
          </w:tcPr>
          <w:p w14:paraId="0E55CBF1" w14:textId="0579B84D" w:rsidR="002B3992" w:rsidRDefault="006B0CEF" w:rsidP="00A01831">
            <w:pPr>
              <w:spacing w:line="276" w:lineRule="auto"/>
              <w:jc w:val="both"/>
              <w:rPr>
                <w:iCs/>
                <w:lang w:eastAsia="lt-LT"/>
              </w:rPr>
            </w:pPr>
            <w:r w:rsidRPr="004E0F0A">
              <w:rPr>
                <w:iCs/>
                <w:lang w:eastAsia="lt-LT"/>
              </w:rPr>
              <w:t>****</w:t>
            </w:r>
          </w:p>
        </w:tc>
      </w:tr>
      <w:tr w:rsidR="002B3992" w14:paraId="3069092B" w14:textId="77777777" w:rsidTr="009E63EC">
        <w:tc>
          <w:tcPr>
            <w:tcW w:w="2372" w:type="dxa"/>
          </w:tcPr>
          <w:p w14:paraId="4A9D7099" w14:textId="3BF061CB" w:rsidR="002B3992" w:rsidRPr="002B3992" w:rsidRDefault="002B3992" w:rsidP="002B3992">
            <w:pPr>
              <w:spacing w:line="276" w:lineRule="auto"/>
              <w:jc w:val="both"/>
              <w:rPr>
                <w:b/>
                <w:iCs/>
                <w:lang w:eastAsia="lt-LT"/>
              </w:rPr>
            </w:pPr>
            <w:r w:rsidRPr="002B3992">
              <w:rPr>
                <w:b/>
                <w:iCs/>
                <w:lang w:eastAsia="lt-LT"/>
              </w:rPr>
              <w:t>Ibrutinibo monoterapija</w:t>
            </w:r>
          </w:p>
        </w:tc>
        <w:tc>
          <w:tcPr>
            <w:tcW w:w="1310" w:type="dxa"/>
          </w:tcPr>
          <w:p w14:paraId="14F58656" w14:textId="72032CE3" w:rsidR="002B3992" w:rsidRDefault="006B0CEF" w:rsidP="002B3992">
            <w:pPr>
              <w:spacing w:line="276" w:lineRule="auto"/>
              <w:jc w:val="both"/>
              <w:rPr>
                <w:iCs/>
                <w:lang w:eastAsia="lt-LT"/>
              </w:rPr>
            </w:pPr>
            <w:r w:rsidRPr="004E0F0A">
              <w:rPr>
                <w:iCs/>
                <w:lang w:eastAsia="lt-LT"/>
              </w:rPr>
              <w:t>****</w:t>
            </w:r>
          </w:p>
        </w:tc>
        <w:tc>
          <w:tcPr>
            <w:tcW w:w="944" w:type="dxa"/>
          </w:tcPr>
          <w:p w14:paraId="2A2F422C" w14:textId="735CC127" w:rsidR="002B3992" w:rsidRDefault="006B0CEF" w:rsidP="002B3992">
            <w:pPr>
              <w:spacing w:line="276" w:lineRule="auto"/>
              <w:jc w:val="both"/>
              <w:rPr>
                <w:iCs/>
                <w:lang w:eastAsia="lt-LT"/>
              </w:rPr>
            </w:pPr>
            <w:r w:rsidRPr="004E0F0A">
              <w:rPr>
                <w:iCs/>
                <w:lang w:eastAsia="lt-LT"/>
              </w:rPr>
              <w:t>****</w:t>
            </w:r>
          </w:p>
        </w:tc>
        <w:tc>
          <w:tcPr>
            <w:tcW w:w="945" w:type="dxa"/>
          </w:tcPr>
          <w:p w14:paraId="720A5CE9" w14:textId="486AEE07" w:rsidR="002B3992" w:rsidRDefault="006B0CEF" w:rsidP="002B3992">
            <w:pPr>
              <w:spacing w:line="276" w:lineRule="auto"/>
              <w:jc w:val="both"/>
              <w:rPr>
                <w:iCs/>
                <w:lang w:eastAsia="lt-LT"/>
              </w:rPr>
            </w:pPr>
            <w:r w:rsidRPr="004E0F0A">
              <w:rPr>
                <w:iCs/>
                <w:lang w:eastAsia="lt-LT"/>
              </w:rPr>
              <w:t>****</w:t>
            </w:r>
          </w:p>
        </w:tc>
        <w:tc>
          <w:tcPr>
            <w:tcW w:w="979" w:type="dxa"/>
          </w:tcPr>
          <w:p w14:paraId="129B4910" w14:textId="493A5BEF" w:rsidR="002B3992" w:rsidRDefault="006B0CEF" w:rsidP="002B3992">
            <w:pPr>
              <w:spacing w:line="276" w:lineRule="auto"/>
              <w:jc w:val="both"/>
              <w:rPr>
                <w:iCs/>
                <w:lang w:eastAsia="lt-LT"/>
              </w:rPr>
            </w:pPr>
            <w:r w:rsidRPr="004E0F0A">
              <w:rPr>
                <w:iCs/>
                <w:lang w:eastAsia="lt-LT"/>
              </w:rPr>
              <w:t>****</w:t>
            </w:r>
          </w:p>
        </w:tc>
        <w:tc>
          <w:tcPr>
            <w:tcW w:w="944" w:type="dxa"/>
          </w:tcPr>
          <w:p w14:paraId="6A4EAC5F" w14:textId="5EE5AE0C" w:rsidR="002B3992" w:rsidRDefault="006B0CEF" w:rsidP="002B3992">
            <w:pPr>
              <w:spacing w:line="276" w:lineRule="auto"/>
              <w:jc w:val="both"/>
              <w:rPr>
                <w:iCs/>
                <w:lang w:eastAsia="lt-LT"/>
              </w:rPr>
            </w:pPr>
            <w:r w:rsidRPr="004E0F0A">
              <w:rPr>
                <w:iCs/>
                <w:lang w:eastAsia="lt-LT"/>
              </w:rPr>
              <w:t>****</w:t>
            </w:r>
          </w:p>
        </w:tc>
        <w:tc>
          <w:tcPr>
            <w:tcW w:w="1058" w:type="dxa"/>
          </w:tcPr>
          <w:p w14:paraId="6737B63D" w14:textId="2C52F47A" w:rsidR="002B3992" w:rsidRDefault="006B0CEF" w:rsidP="002B3992">
            <w:pPr>
              <w:spacing w:line="276" w:lineRule="auto"/>
              <w:jc w:val="both"/>
              <w:rPr>
                <w:iCs/>
                <w:lang w:eastAsia="lt-LT"/>
              </w:rPr>
            </w:pPr>
            <w:r w:rsidRPr="004E0F0A">
              <w:rPr>
                <w:iCs/>
                <w:lang w:eastAsia="lt-LT"/>
              </w:rPr>
              <w:t>****</w:t>
            </w:r>
          </w:p>
        </w:tc>
        <w:tc>
          <w:tcPr>
            <w:tcW w:w="1077" w:type="dxa"/>
          </w:tcPr>
          <w:p w14:paraId="5F573A6B" w14:textId="29A01C7E" w:rsidR="002B3992" w:rsidRDefault="006B0CEF" w:rsidP="002B3992">
            <w:pPr>
              <w:spacing w:line="276" w:lineRule="auto"/>
              <w:jc w:val="both"/>
              <w:rPr>
                <w:iCs/>
                <w:lang w:eastAsia="lt-LT"/>
              </w:rPr>
            </w:pPr>
            <w:r w:rsidRPr="004E0F0A">
              <w:rPr>
                <w:iCs/>
                <w:lang w:eastAsia="lt-LT"/>
              </w:rPr>
              <w:t>****</w:t>
            </w:r>
          </w:p>
        </w:tc>
      </w:tr>
      <w:tr w:rsidR="001F373E" w14:paraId="77667BB7" w14:textId="77777777" w:rsidTr="009E63EC">
        <w:tc>
          <w:tcPr>
            <w:tcW w:w="2372" w:type="dxa"/>
          </w:tcPr>
          <w:p w14:paraId="4891787C" w14:textId="395BE14F" w:rsidR="001F373E" w:rsidRPr="002B3992" w:rsidRDefault="001F373E" w:rsidP="001F373E">
            <w:pPr>
              <w:spacing w:line="276" w:lineRule="auto"/>
              <w:jc w:val="both"/>
              <w:rPr>
                <w:b/>
                <w:iCs/>
                <w:lang w:eastAsia="lt-LT"/>
              </w:rPr>
            </w:pPr>
            <w:r w:rsidRPr="002B3992">
              <w:rPr>
                <w:b/>
                <w:iCs/>
                <w:lang w:eastAsia="lt-LT"/>
              </w:rPr>
              <w:t>Akalabrutinibo monoterapija</w:t>
            </w:r>
          </w:p>
        </w:tc>
        <w:tc>
          <w:tcPr>
            <w:tcW w:w="1310" w:type="dxa"/>
          </w:tcPr>
          <w:p w14:paraId="0FC7F9ED" w14:textId="7EDDF1FA" w:rsidR="001F373E" w:rsidRDefault="006B0CEF" w:rsidP="001F373E">
            <w:pPr>
              <w:spacing w:line="276" w:lineRule="auto"/>
              <w:jc w:val="both"/>
              <w:rPr>
                <w:iCs/>
                <w:lang w:eastAsia="lt-LT"/>
              </w:rPr>
            </w:pPr>
            <w:r w:rsidRPr="004E0F0A">
              <w:rPr>
                <w:iCs/>
                <w:lang w:eastAsia="lt-LT"/>
              </w:rPr>
              <w:t>****</w:t>
            </w:r>
          </w:p>
        </w:tc>
        <w:tc>
          <w:tcPr>
            <w:tcW w:w="944" w:type="dxa"/>
          </w:tcPr>
          <w:p w14:paraId="05CBBA84" w14:textId="5B95007A" w:rsidR="001F373E" w:rsidRDefault="001F373E" w:rsidP="001F373E">
            <w:pPr>
              <w:spacing w:line="276" w:lineRule="auto"/>
              <w:jc w:val="both"/>
              <w:rPr>
                <w:iCs/>
                <w:lang w:eastAsia="lt-LT"/>
              </w:rPr>
            </w:pPr>
            <w:r w:rsidRPr="004E0F0A">
              <w:rPr>
                <w:iCs/>
                <w:lang w:eastAsia="lt-LT"/>
              </w:rPr>
              <w:t>****</w:t>
            </w:r>
          </w:p>
        </w:tc>
        <w:tc>
          <w:tcPr>
            <w:tcW w:w="945" w:type="dxa"/>
          </w:tcPr>
          <w:p w14:paraId="73BEFD04" w14:textId="5719E987" w:rsidR="001F373E" w:rsidRDefault="001F373E" w:rsidP="001F373E">
            <w:pPr>
              <w:spacing w:line="276" w:lineRule="auto"/>
              <w:jc w:val="both"/>
              <w:rPr>
                <w:iCs/>
                <w:lang w:eastAsia="lt-LT"/>
              </w:rPr>
            </w:pPr>
            <w:r w:rsidRPr="004E0F0A">
              <w:rPr>
                <w:iCs/>
                <w:lang w:eastAsia="lt-LT"/>
              </w:rPr>
              <w:t>****</w:t>
            </w:r>
          </w:p>
        </w:tc>
        <w:tc>
          <w:tcPr>
            <w:tcW w:w="979" w:type="dxa"/>
          </w:tcPr>
          <w:p w14:paraId="00FD82F6" w14:textId="2FC2A5E5" w:rsidR="001F373E" w:rsidRDefault="001F373E" w:rsidP="001F373E">
            <w:pPr>
              <w:spacing w:line="276" w:lineRule="auto"/>
              <w:jc w:val="both"/>
              <w:rPr>
                <w:iCs/>
                <w:lang w:eastAsia="lt-LT"/>
              </w:rPr>
            </w:pPr>
            <w:r w:rsidRPr="004E0F0A">
              <w:rPr>
                <w:iCs/>
                <w:lang w:eastAsia="lt-LT"/>
              </w:rPr>
              <w:t>****</w:t>
            </w:r>
          </w:p>
        </w:tc>
        <w:tc>
          <w:tcPr>
            <w:tcW w:w="944" w:type="dxa"/>
          </w:tcPr>
          <w:p w14:paraId="1895B843" w14:textId="47898F37" w:rsidR="001F373E" w:rsidRDefault="001F373E" w:rsidP="001F373E">
            <w:pPr>
              <w:spacing w:line="276" w:lineRule="auto"/>
              <w:jc w:val="both"/>
              <w:rPr>
                <w:iCs/>
                <w:lang w:eastAsia="lt-LT"/>
              </w:rPr>
            </w:pPr>
            <w:r w:rsidRPr="004E0F0A">
              <w:rPr>
                <w:iCs/>
                <w:lang w:eastAsia="lt-LT"/>
              </w:rPr>
              <w:t>****</w:t>
            </w:r>
          </w:p>
        </w:tc>
        <w:tc>
          <w:tcPr>
            <w:tcW w:w="1058" w:type="dxa"/>
          </w:tcPr>
          <w:p w14:paraId="42CAB237" w14:textId="0E2BCAEC" w:rsidR="001F373E" w:rsidRDefault="001F373E" w:rsidP="001F373E">
            <w:pPr>
              <w:spacing w:line="276" w:lineRule="auto"/>
              <w:jc w:val="both"/>
              <w:rPr>
                <w:iCs/>
                <w:lang w:eastAsia="lt-LT"/>
              </w:rPr>
            </w:pPr>
            <w:r w:rsidRPr="004E0F0A">
              <w:rPr>
                <w:iCs/>
                <w:lang w:eastAsia="lt-LT"/>
              </w:rPr>
              <w:t>****</w:t>
            </w:r>
          </w:p>
        </w:tc>
        <w:tc>
          <w:tcPr>
            <w:tcW w:w="1077" w:type="dxa"/>
          </w:tcPr>
          <w:p w14:paraId="7523BF15" w14:textId="5B181ACF" w:rsidR="001F373E" w:rsidRDefault="001F373E" w:rsidP="001F373E">
            <w:pPr>
              <w:spacing w:line="276" w:lineRule="auto"/>
              <w:jc w:val="both"/>
              <w:rPr>
                <w:iCs/>
                <w:lang w:eastAsia="lt-LT"/>
              </w:rPr>
            </w:pPr>
            <w:r w:rsidRPr="004E0F0A">
              <w:rPr>
                <w:iCs/>
                <w:lang w:eastAsia="lt-LT"/>
              </w:rPr>
              <w:t>****</w:t>
            </w:r>
          </w:p>
        </w:tc>
      </w:tr>
      <w:tr w:rsidR="001F373E" w14:paraId="12238269" w14:textId="77777777" w:rsidTr="009E63EC">
        <w:tc>
          <w:tcPr>
            <w:tcW w:w="3682" w:type="dxa"/>
            <w:gridSpan w:val="2"/>
          </w:tcPr>
          <w:p w14:paraId="2623DA53" w14:textId="27949C6A" w:rsidR="001F373E" w:rsidRPr="009E63EC" w:rsidRDefault="001F373E" w:rsidP="006B0CEF">
            <w:pPr>
              <w:spacing w:line="276" w:lineRule="auto"/>
              <w:rPr>
                <w:b/>
                <w:iCs/>
                <w:lang w:eastAsia="lt-LT"/>
              </w:rPr>
            </w:pPr>
            <w:r w:rsidRPr="009E63EC">
              <w:rPr>
                <w:b/>
                <w:iCs/>
                <w:sz w:val="22"/>
                <w:lang w:eastAsia="lt-LT"/>
              </w:rPr>
              <w:t>Svertinė palyginamųjų gydymų kaina</w:t>
            </w:r>
          </w:p>
        </w:tc>
        <w:tc>
          <w:tcPr>
            <w:tcW w:w="944" w:type="dxa"/>
            <w:shd w:val="clear" w:color="auto" w:fill="FFFFFF" w:themeFill="background1"/>
          </w:tcPr>
          <w:p w14:paraId="487B5C26" w14:textId="0AC3F971" w:rsidR="001F373E" w:rsidRDefault="001F373E" w:rsidP="001F373E">
            <w:pPr>
              <w:spacing w:line="276" w:lineRule="auto"/>
              <w:jc w:val="both"/>
              <w:rPr>
                <w:iCs/>
                <w:lang w:eastAsia="lt-LT"/>
              </w:rPr>
            </w:pPr>
            <w:r w:rsidRPr="009154EC">
              <w:rPr>
                <w:iCs/>
                <w:lang w:eastAsia="lt-LT"/>
              </w:rPr>
              <w:t>****</w:t>
            </w:r>
          </w:p>
        </w:tc>
        <w:tc>
          <w:tcPr>
            <w:tcW w:w="945" w:type="dxa"/>
          </w:tcPr>
          <w:p w14:paraId="3F8AE7E9" w14:textId="7E96431D" w:rsidR="001F373E" w:rsidRDefault="001F373E" w:rsidP="001F373E">
            <w:pPr>
              <w:spacing w:line="276" w:lineRule="auto"/>
              <w:jc w:val="both"/>
              <w:rPr>
                <w:iCs/>
                <w:lang w:eastAsia="lt-LT"/>
              </w:rPr>
            </w:pPr>
            <w:r w:rsidRPr="004E0F0A">
              <w:rPr>
                <w:iCs/>
                <w:lang w:eastAsia="lt-LT"/>
              </w:rPr>
              <w:t>****</w:t>
            </w:r>
          </w:p>
        </w:tc>
        <w:tc>
          <w:tcPr>
            <w:tcW w:w="979" w:type="dxa"/>
          </w:tcPr>
          <w:p w14:paraId="4EEFA1C5" w14:textId="3B093EF4" w:rsidR="001F373E" w:rsidRDefault="001F373E" w:rsidP="001F373E">
            <w:pPr>
              <w:spacing w:line="276" w:lineRule="auto"/>
              <w:jc w:val="both"/>
              <w:rPr>
                <w:iCs/>
                <w:lang w:eastAsia="lt-LT"/>
              </w:rPr>
            </w:pPr>
            <w:r w:rsidRPr="004E0F0A">
              <w:rPr>
                <w:iCs/>
                <w:lang w:eastAsia="lt-LT"/>
              </w:rPr>
              <w:t>****</w:t>
            </w:r>
          </w:p>
        </w:tc>
        <w:tc>
          <w:tcPr>
            <w:tcW w:w="944" w:type="dxa"/>
          </w:tcPr>
          <w:p w14:paraId="5A1DF162" w14:textId="4609E0B0" w:rsidR="001F373E" w:rsidRDefault="001F373E" w:rsidP="001F373E">
            <w:pPr>
              <w:spacing w:line="276" w:lineRule="auto"/>
              <w:jc w:val="both"/>
              <w:rPr>
                <w:iCs/>
                <w:lang w:eastAsia="lt-LT"/>
              </w:rPr>
            </w:pPr>
            <w:r w:rsidRPr="004E0F0A">
              <w:rPr>
                <w:iCs/>
                <w:lang w:eastAsia="lt-LT"/>
              </w:rPr>
              <w:t>****</w:t>
            </w:r>
          </w:p>
        </w:tc>
        <w:tc>
          <w:tcPr>
            <w:tcW w:w="1058" w:type="dxa"/>
          </w:tcPr>
          <w:p w14:paraId="49C22F3E" w14:textId="7DF0AAAA" w:rsidR="001F373E" w:rsidRDefault="001F373E" w:rsidP="001F373E">
            <w:pPr>
              <w:spacing w:line="276" w:lineRule="auto"/>
              <w:jc w:val="both"/>
              <w:rPr>
                <w:iCs/>
                <w:lang w:eastAsia="lt-LT"/>
              </w:rPr>
            </w:pPr>
            <w:r w:rsidRPr="004E0F0A">
              <w:rPr>
                <w:iCs/>
                <w:lang w:eastAsia="lt-LT"/>
              </w:rPr>
              <w:t>****</w:t>
            </w:r>
          </w:p>
        </w:tc>
        <w:tc>
          <w:tcPr>
            <w:tcW w:w="1077" w:type="dxa"/>
          </w:tcPr>
          <w:p w14:paraId="399B33EB" w14:textId="46AEE625" w:rsidR="001F373E" w:rsidRDefault="001F373E" w:rsidP="001F373E">
            <w:pPr>
              <w:spacing w:line="276" w:lineRule="auto"/>
              <w:jc w:val="both"/>
              <w:rPr>
                <w:iCs/>
                <w:lang w:eastAsia="lt-LT"/>
              </w:rPr>
            </w:pPr>
            <w:r w:rsidRPr="004E0F0A">
              <w:rPr>
                <w:iCs/>
                <w:lang w:eastAsia="lt-LT"/>
              </w:rPr>
              <w:t>****</w:t>
            </w:r>
          </w:p>
        </w:tc>
      </w:tr>
      <w:tr w:rsidR="001F373E" w14:paraId="24FECA74" w14:textId="77777777" w:rsidTr="009E63EC">
        <w:tc>
          <w:tcPr>
            <w:tcW w:w="3682" w:type="dxa"/>
            <w:gridSpan w:val="2"/>
          </w:tcPr>
          <w:p w14:paraId="7BF1D7C6" w14:textId="5EEB5351" w:rsidR="001F373E" w:rsidRPr="009E63EC" w:rsidRDefault="001F373E" w:rsidP="006B0CEF">
            <w:pPr>
              <w:spacing w:line="276" w:lineRule="auto"/>
              <w:rPr>
                <w:b/>
                <w:iCs/>
                <w:lang w:eastAsia="lt-LT"/>
              </w:rPr>
            </w:pPr>
            <w:r w:rsidRPr="009E63EC">
              <w:rPr>
                <w:b/>
                <w:iCs/>
                <w:lang w:eastAsia="lt-LT"/>
              </w:rPr>
              <w:t>Skirtumas (palyginus su Ibru+Ven)</w:t>
            </w:r>
          </w:p>
        </w:tc>
        <w:tc>
          <w:tcPr>
            <w:tcW w:w="944" w:type="dxa"/>
            <w:shd w:val="clear" w:color="auto" w:fill="FBD4B4" w:themeFill="accent6" w:themeFillTint="66"/>
          </w:tcPr>
          <w:p w14:paraId="07EFC8A2" w14:textId="466D7327" w:rsidR="001F373E" w:rsidRDefault="001F373E" w:rsidP="001F373E">
            <w:pPr>
              <w:spacing w:line="276" w:lineRule="auto"/>
              <w:jc w:val="both"/>
              <w:rPr>
                <w:iCs/>
                <w:lang w:eastAsia="lt-LT"/>
              </w:rPr>
            </w:pPr>
            <w:r w:rsidRPr="009154EC">
              <w:rPr>
                <w:iCs/>
                <w:lang w:eastAsia="lt-LT"/>
              </w:rPr>
              <w:t>****</w:t>
            </w:r>
          </w:p>
        </w:tc>
        <w:tc>
          <w:tcPr>
            <w:tcW w:w="945" w:type="dxa"/>
            <w:shd w:val="clear" w:color="auto" w:fill="EAF1DD" w:themeFill="accent3" w:themeFillTint="33"/>
          </w:tcPr>
          <w:p w14:paraId="14F0B284" w14:textId="52EF434E" w:rsidR="001F373E" w:rsidRDefault="001F373E" w:rsidP="001F373E">
            <w:pPr>
              <w:spacing w:line="276" w:lineRule="auto"/>
              <w:jc w:val="both"/>
              <w:rPr>
                <w:iCs/>
                <w:lang w:eastAsia="lt-LT"/>
              </w:rPr>
            </w:pPr>
            <w:r w:rsidRPr="004E0F0A">
              <w:rPr>
                <w:iCs/>
                <w:lang w:eastAsia="lt-LT"/>
              </w:rPr>
              <w:t>****</w:t>
            </w:r>
          </w:p>
        </w:tc>
        <w:tc>
          <w:tcPr>
            <w:tcW w:w="979" w:type="dxa"/>
            <w:shd w:val="clear" w:color="auto" w:fill="EAF1DD" w:themeFill="accent3" w:themeFillTint="33"/>
          </w:tcPr>
          <w:p w14:paraId="70FD2640" w14:textId="41B98624" w:rsidR="001F373E" w:rsidRDefault="001F373E" w:rsidP="001F373E">
            <w:pPr>
              <w:spacing w:line="276" w:lineRule="auto"/>
              <w:jc w:val="both"/>
              <w:rPr>
                <w:iCs/>
                <w:lang w:eastAsia="lt-LT"/>
              </w:rPr>
            </w:pPr>
            <w:r w:rsidRPr="004E0F0A">
              <w:rPr>
                <w:iCs/>
                <w:lang w:eastAsia="lt-LT"/>
              </w:rPr>
              <w:t>****</w:t>
            </w:r>
          </w:p>
        </w:tc>
        <w:tc>
          <w:tcPr>
            <w:tcW w:w="944" w:type="dxa"/>
            <w:shd w:val="clear" w:color="auto" w:fill="EAF1DD" w:themeFill="accent3" w:themeFillTint="33"/>
          </w:tcPr>
          <w:p w14:paraId="3AB15D36" w14:textId="32B67C54" w:rsidR="001F373E" w:rsidRDefault="001F373E" w:rsidP="001F373E">
            <w:pPr>
              <w:spacing w:line="276" w:lineRule="auto"/>
              <w:jc w:val="both"/>
              <w:rPr>
                <w:iCs/>
                <w:lang w:eastAsia="lt-LT"/>
              </w:rPr>
            </w:pPr>
            <w:r w:rsidRPr="004E0F0A">
              <w:rPr>
                <w:iCs/>
                <w:lang w:eastAsia="lt-LT"/>
              </w:rPr>
              <w:t>****</w:t>
            </w:r>
          </w:p>
        </w:tc>
        <w:tc>
          <w:tcPr>
            <w:tcW w:w="1058" w:type="dxa"/>
            <w:shd w:val="clear" w:color="auto" w:fill="EAF1DD" w:themeFill="accent3" w:themeFillTint="33"/>
          </w:tcPr>
          <w:p w14:paraId="4151B31D" w14:textId="131ABABC" w:rsidR="001F373E" w:rsidRDefault="001F373E" w:rsidP="001F373E">
            <w:pPr>
              <w:spacing w:line="276" w:lineRule="auto"/>
              <w:jc w:val="both"/>
              <w:rPr>
                <w:iCs/>
                <w:lang w:eastAsia="lt-LT"/>
              </w:rPr>
            </w:pPr>
            <w:r w:rsidRPr="004E0F0A">
              <w:rPr>
                <w:iCs/>
                <w:lang w:eastAsia="lt-LT"/>
              </w:rPr>
              <w:t>****</w:t>
            </w:r>
          </w:p>
        </w:tc>
        <w:tc>
          <w:tcPr>
            <w:tcW w:w="1077" w:type="dxa"/>
            <w:shd w:val="clear" w:color="auto" w:fill="EAF1DD" w:themeFill="accent3" w:themeFillTint="33"/>
          </w:tcPr>
          <w:p w14:paraId="765138D9" w14:textId="65B6B963" w:rsidR="001F373E" w:rsidRPr="002B3992" w:rsidRDefault="001F373E" w:rsidP="001F373E">
            <w:pPr>
              <w:spacing w:line="276" w:lineRule="auto"/>
              <w:jc w:val="both"/>
              <w:rPr>
                <w:iCs/>
                <w:lang w:eastAsia="lt-LT"/>
              </w:rPr>
            </w:pPr>
            <w:r w:rsidRPr="004E0F0A">
              <w:rPr>
                <w:iCs/>
                <w:lang w:eastAsia="lt-LT"/>
              </w:rPr>
              <w:t>****</w:t>
            </w:r>
          </w:p>
        </w:tc>
      </w:tr>
    </w:tbl>
    <w:p w14:paraId="4DDDF60D" w14:textId="44668D57" w:rsidR="002B3992" w:rsidRDefault="002B3992" w:rsidP="00A01831">
      <w:pPr>
        <w:shd w:val="clear" w:color="auto" w:fill="FFFFFF"/>
        <w:spacing w:line="276" w:lineRule="auto"/>
        <w:jc w:val="both"/>
        <w:rPr>
          <w:iCs/>
          <w:lang w:eastAsia="lt-LT"/>
        </w:rPr>
      </w:pPr>
    </w:p>
    <w:p w14:paraId="31AB959E" w14:textId="77777777" w:rsidR="004F3F16" w:rsidRPr="004F3F16" w:rsidRDefault="004F3F16" w:rsidP="004F3F16">
      <w:pPr>
        <w:pStyle w:val="Sraopastraipa"/>
        <w:rPr>
          <w:b/>
          <w:bCs/>
          <w:caps/>
        </w:rPr>
      </w:pPr>
    </w:p>
    <w:p w14:paraId="4FC424F9" w14:textId="7E4630B5" w:rsidR="00C62B36" w:rsidRPr="00E33EFF" w:rsidRDefault="00C62B36" w:rsidP="00CC09D4">
      <w:pPr>
        <w:pStyle w:val="Sraopastraipa"/>
        <w:numPr>
          <w:ilvl w:val="0"/>
          <w:numId w:val="12"/>
        </w:numPr>
        <w:tabs>
          <w:tab w:val="left" w:pos="567"/>
        </w:tabs>
        <w:ind w:hanging="720"/>
        <w:rPr>
          <w:b/>
          <w:bCs/>
          <w:caps/>
        </w:rPr>
      </w:pPr>
      <w:r w:rsidRPr="00E33EFF">
        <w:rPr>
          <w:b/>
          <w:bCs/>
          <w:caps/>
        </w:rPr>
        <w:t xml:space="preserve">Pacientų organizacijų pateikti duomenys </w:t>
      </w:r>
    </w:p>
    <w:p w14:paraId="79BCFF40" w14:textId="1992DF4A" w:rsidR="00937907" w:rsidRPr="004A1641" w:rsidRDefault="00000000" w:rsidP="00937907">
      <w:pPr>
        <w:spacing w:after="120"/>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4A1641">
            <w:rPr>
              <w:rStyle w:val="Style2"/>
              <w:rFonts w:ascii="MS Gothic" w:eastAsia="MS Gothic" w:hAnsi="MS Gothic" w:hint="eastAsia"/>
              <w:sz w:val="24"/>
            </w:rPr>
            <w:t>☐</w:t>
          </w:r>
        </w:sdtContent>
      </w:sdt>
      <w:r w:rsidR="00937907" w:rsidRPr="004A1641">
        <w:t xml:space="preserve"> Pacientų organizacijos pozicija pateikta. Žr. priedą.</w:t>
      </w:r>
    </w:p>
    <w:p w14:paraId="62992180" w14:textId="51A32DDA" w:rsidR="00937907" w:rsidRPr="004A1641" w:rsidRDefault="00000000" w:rsidP="00937907">
      <w:pPr>
        <w:spacing w:after="120"/>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4A1641" w:rsidRPr="004A1641">
            <w:rPr>
              <w:rStyle w:val="Style2"/>
              <w:rFonts w:ascii="MS Gothic" w:eastAsia="MS Gothic" w:hAnsi="MS Gothic" w:hint="eastAsia"/>
              <w:sz w:val="24"/>
            </w:rPr>
            <w:t>☒</w:t>
          </w:r>
        </w:sdtContent>
      </w:sdt>
      <w:r w:rsidR="00937907" w:rsidRPr="004A1641">
        <w:t xml:space="preserve"> Pacientų organizacijos pozicija </w:t>
      </w:r>
      <w:r w:rsidR="00880A44" w:rsidRPr="004A1641">
        <w:t>ne</w:t>
      </w:r>
      <w:r w:rsidR="00937907" w:rsidRPr="004A1641">
        <w:t>pateikta.</w:t>
      </w:r>
    </w:p>
    <w:p w14:paraId="03E73D82" w14:textId="77777777" w:rsidR="00D417D2" w:rsidRPr="004A1641" w:rsidRDefault="00D417D2" w:rsidP="00937907">
      <w:pPr>
        <w:spacing w:after="120"/>
        <w:jc w:val="both"/>
      </w:pPr>
    </w:p>
    <w:p w14:paraId="3D3277FA" w14:textId="3CEEB2D2" w:rsidR="00C62B36" w:rsidRPr="004A1641" w:rsidRDefault="00C62B36" w:rsidP="00CC09D4">
      <w:pPr>
        <w:pStyle w:val="Sraopastraipa"/>
        <w:numPr>
          <w:ilvl w:val="0"/>
          <w:numId w:val="12"/>
        </w:numPr>
        <w:tabs>
          <w:tab w:val="left" w:pos="567"/>
        </w:tabs>
        <w:ind w:hanging="720"/>
        <w:rPr>
          <w:b/>
          <w:bCs/>
          <w:caps/>
        </w:rPr>
      </w:pPr>
      <w:r w:rsidRPr="004A1641">
        <w:rPr>
          <w:b/>
          <w:bCs/>
          <w:caps/>
        </w:rPr>
        <w:t>Gydytojų organizacijų pateikti duomenys</w:t>
      </w:r>
    </w:p>
    <w:p w14:paraId="389A346C" w14:textId="5BE4507A" w:rsidR="00937907" w:rsidRPr="004A1641" w:rsidRDefault="00000000" w:rsidP="00662983">
      <w:pPr>
        <w:spacing w:after="120"/>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4F3F16" w:rsidRPr="004A1641">
            <w:rPr>
              <w:rStyle w:val="Style2"/>
              <w:rFonts w:ascii="MS Gothic" w:eastAsia="MS Gothic" w:hAnsi="MS Gothic" w:hint="eastAsia"/>
              <w:sz w:val="24"/>
            </w:rPr>
            <w:t>☐</w:t>
          </w:r>
        </w:sdtContent>
      </w:sdt>
      <w:r w:rsidR="00662983" w:rsidRPr="004A1641">
        <w:t xml:space="preserve"> </w:t>
      </w:r>
      <w:r w:rsidR="00937907" w:rsidRPr="004A1641">
        <w:t xml:space="preserve">Gydytojų specialistų organizacijos pozicija pateikta. </w:t>
      </w:r>
      <w:r w:rsidR="00662983" w:rsidRPr="004A1641">
        <w:t>Žr. priedą</w:t>
      </w:r>
      <w:r w:rsidR="00937907" w:rsidRPr="004A1641">
        <w:t>.</w:t>
      </w:r>
    </w:p>
    <w:p w14:paraId="5D8CC48C" w14:textId="7D3657A4" w:rsidR="00662983" w:rsidRPr="00E33EFF" w:rsidRDefault="00000000" w:rsidP="00662983">
      <w:pPr>
        <w:spacing w:after="120"/>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4A1641" w:rsidRPr="004A1641">
            <w:rPr>
              <w:rStyle w:val="Style2"/>
              <w:rFonts w:ascii="MS Gothic" w:eastAsia="MS Gothic" w:hAnsi="MS Gothic" w:hint="eastAsia"/>
              <w:sz w:val="24"/>
            </w:rPr>
            <w:t>☒</w:t>
          </w:r>
        </w:sdtContent>
      </w:sdt>
      <w:r w:rsidR="00662983" w:rsidRPr="004A1641">
        <w:t xml:space="preserve"> </w:t>
      </w:r>
      <w:r w:rsidR="00937907" w:rsidRPr="004A1641">
        <w:t xml:space="preserve">Gydytojų specialistų organizacijos pozicija </w:t>
      </w:r>
      <w:r w:rsidR="00880A44" w:rsidRPr="004A1641">
        <w:t>ne</w:t>
      </w:r>
      <w:r w:rsidR="00937907" w:rsidRPr="004A1641">
        <w:t>pateikta.</w:t>
      </w:r>
    </w:p>
    <w:p w14:paraId="3701D46A" w14:textId="77777777" w:rsidR="00A042B9" w:rsidRPr="00E33EFF" w:rsidRDefault="00A042B9" w:rsidP="00662983">
      <w:pPr>
        <w:spacing w:after="120"/>
        <w:jc w:val="both"/>
      </w:pPr>
    </w:p>
    <w:p w14:paraId="78F23ECB" w14:textId="23A3A002" w:rsidR="002F0E4F" w:rsidRPr="00E33EFF" w:rsidRDefault="002F0E4F" w:rsidP="00CC09D4">
      <w:pPr>
        <w:pStyle w:val="Sraopastraipa"/>
        <w:numPr>
          <w:ilvl w:val="0"/>
          <w:numId w:val="12"/>
        </w:numPr>
        <w:tabs>
          <w:tab w:val="left" w:pos="567"/>
        </w:tabs>
        <w:ind w:hanging="720"/>
        <w:rPr>
          <w:b/>
          <w:bCs/>
          <w:caps/>
        </w:rPr>
      </w:pPr>
      <w:r w:rsidRPr="00E33EFF">
        <w:rPr>
          <w:b/>
          <w:bCs/>
          <w:caps/>
        </w:rPr>
        <w:lastRenderedPageBreak/>
        <w:t xml:space="preserve">Išvada </w:t>
      </w:r>
    </w:p>
    <w:p w14:paraId="08D5B3B6" w14:textId="46459B04" w:rsidR="0061611B" w:rsidRPr="00E33EFF" w:rsidRDefault="0061611B" w:rsidP="0061611B">
      <w:pPr>
        <w:rPr>
          <w:i/>
          <w:color w:val="00B050"/>
          <w:szCs w:val="22"/>
        </w:rPr>
      </w:pPr>
    </w:p>
    <w:tbl>
      <w:tblPr>
        <w:tblStyle w:val="Lentelstinklelis"/>
        <w:tblW w:w="0" w:type="auto"/>
        <w:tblLook w:val="04A0" w:firstRow="1" w:lastRow="0" w:firstColumn="1" w:lastColumn="0" w:noHBand="0" w:noVBand="1"/>
      </w:tblPr>
      <w:tblGrid>
        <w:gridCol w:w="4815"/>
        <w:gridCol w:w="4814"/>
      </w:tblGrid>
      <w:tr w:rsidR="005A4797" w:rsidRPr="00E33EFF" w14:paraId="143A7356" w14:textId="77777777" w:rsidTr="00C16245">
        <w:trPr>
          <w:trHeight w:val="510"/>
        </w:trPr>
        <w:tc>
          <w:tcPr>
            <w:tcW w:w="9629" w:type="dxa"/>
            <w:gridSpan w:val="2"/>
            <w:vAlign w:val="center"/>
          </w:tcPr>
          <w:p w14:paraId="0AF5D6B4" w14:textId="401E10EE" w:rsidR="005A4797" w:rsidRPr="004F3F16" w:rsidRDefault="005A4797"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highlight w:val="yellow"/>
              </w:rPr>
            </w:pPr>
            <w:bookmarkStart w:id="6" w:name="_Hlk192365351"/>
            <w:r w:rsidRPr="001A132A">
              <w:rPr>
                <w:rStyle w:val="Style2"/>
                <w:rFonts w:eastAsia="MS Gothic"/>
                <w:b/>
                <w:bCs/>
                <w:sz w:val="23"/>
                <w:szCs w:val="23"/>
              </w:rPr>
              <w:t>Palyginamasis veiksmingumas</w:t>
            </w:r>
          </w:p>
        </w:tc>
      </w:tr>
      <w:tr w:rsidR="005A4797" w:rsidRPr="00E33EFF" w14:paraId="28A0C814" w14:textId="77777777" w:rsidTr="0061611B">
        <w:tc>
          <w:tcPr>
            <w:tcW w:w="4815" w:type="dxa"/>
          </w:tcPr>
          <w:p w14:paraId="4B9570D6" w14:textId="058640C5" w:rsidR="005A4797" w:rsidRPr="001A132A" w:rsidRDefault="00000000"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397324644"/>
                <w15:color w:val="FFCC00"/>
                <w14:checkbox>
                  <w14:checked w14:val="1"/>
                  <w14:checkedState w14:val="2612" w14:font="MS Gothic"/>
                  <w14:uncheckedState w14:val="2610" w14:font="MS Gothic"/>
                </w14:checkbox>
              </w:sdtPr>
              <w:sdtContent>
                <w:r w:rsidR="005A4797">
                  <w:rPr>
                    <w:rStyle w:val="Style2"/>
                    <w:rFonts w:ascii="MS Gothic" w:eastAsia="MS Gothic" w:hAnsi="MS Gothic" w:hint="eastAsia"/>
                    <w:sz w:val="23"/>
                    <w:szCs w:val="23"/>
                  </w:rPr>
                  <w:t>☒</w:t>
                </w:r>
              </w:sdtContent>
            </w:sdt>
            <w:r w:rsidR="005A4797" w:rsidRPr="001A132A">
              <w:rPr>
                <w:rStyle w:val="Style2"/>
                <w:sz w:val="23"/>
                <w:szCs w:val="23"/>
              </w:rPr>
              <w:t xml:space="preserve"> 29</w:t>
            </w:r>
            <w:r w:rsidR="005A4797" w:rsidRPr="001A132A">
              <w:rPr>
                <w:sz w:val="23"/>
                <w:szCs w:val="23"/>
              </w:rPr>
              <w:t>.1.1 yra didesnis, lyginant su įprasta klinikine praktika</w:t>
            </w:r>
          </w:p>
          <w:p w14:paraId="3F1696DC" w14:textId="77777777" w:rsidR="005A4797" w:rsidRPr="001A132A" w:rsidRDefault="005A4797"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174F18D4" w14:textId="60A65CF2" w:rsidR="005A4797" w:rsidRPr="004F3F16" w:rsidRDefault="00000000"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highlight w:val="yellow"/>
              </w:rPr>
            </w:pPr>
            <w:sdt>
              <w:sdtPr>
                <w:rPr>
                  <w:rStyle w:val="Style2"/>
                  <w:sz w:val="23"/>
                  <w:szCs w:val="23"/>
                </w:rPr>
                <w:id w:val="418297090"/>
                <w15:color w:val="FFCC00"/>
                <w14:checkbox>
                  <w14:checked w14:val="0"/>
                  <w14:checkedState w14:val="2612" w14:font="MS Gothic"/>
                  <w14:uncheckedState w14:val="2610" w14:font="MS Gothic"/>
                </w14:checkbox>
              </w:sdtPr>
              <w:sdtContent>
                <w:r w:rsidR="005A4797">
                  <w:rPr>
                    <w:rStyle w:val="Style2"/>
                    <w:rFonts w:ascii="MS Gothic" w:eastAsia="MS Gothic" w:hAnsi="MS Gothic" w:hint="eastAsia"/>
                    <w:sz w:val="23"/>
                    <w:szCs w:val="23"/>
                  </w:rPr>
                  <w:t>☐</w:t>
                </w:r>
              </w:sdtContent>
            </w:sdt>
            <w:r w:rsidR="005A4797" w:rsidRPr="001A132A">
              <w:rPr>
                <w:sz w:val="23"/>
                <w:szCs w:val="23"/>
              </w:rPr>
              <w:t xml:space="preserve"> </w:t>
            </w:r>
            <w:r w:rsidR="005A4797" w:rsidRPr="001A132A">
              <w:rPr>
                <w:rStyle w:val="Style2"/>
                <w:sz w:val="23"/>
                <w:szCs w:val="23"/>
              </w:rPr>
              <w:t>29</w:t>
            </w:r>
            <w:r w:rsidR="005A4797" w:rsidRPr="001A132A">
              <w:rPr>
                <w:sz w:val="23"/>
                <w:szCs w:val="23"/>
              </w:rPr>
              <w:t>.1.2 iš esmės nesiskiria, lyginant su įprasta klinikine praktika</w:t>
            </w:r>
          </w:p>
        </w:tc>
        <w:tc>
          <w:tcPr>
            <w:tcW w:w="4814" w:type="dxa"/>
          </w:tcPr>
          <w:p w14:paraId="6948A6C0" w14:textId="77777777" w:rsidR="005A4797" w:rsidRPr="001A132A" w:rsidRDefault="00000000"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724755596"/>
                <w15:color w:val="FFCC00"/>
                <w14:checkbox>
                  <w14:checked w14:val="0"/>
                  <w14:checkedState w14:val="2612" w14:font="MS Gothic"/>
                  <w14:uncheckedState w14:val="2610" w14:font="MS Gothic"/>
                </w14:checkbox>
              </w:sdtPr>
              <w:sdtContent>
                <w:r w:rsidR="005A4797" w:rsidRPr="001A132A">
                  <w:rPr>
                    <w:rStyle w:val="Style2"/>
                    <w:rFonts w:ascii="Segoe UI Symbol" w:eastAsia="MS Gothic" w:hAnsi="Segoe UI Symbol" w:cs="Segoe UI Symbol"/>
                    <w:sz w:val="23"/>
                    <w:szCs w:val="23"/>
                  </w:rPr>
                  <w:t>☐</w:t>
                </w:r>
              </w:sdtContent>
            </w:sdt>
            <w:r w:rsidR="005A4797" w:rsidRPr="001A132A">
              <w:rPr>
                <w:sz w:val="23"/>
                <w:szCs w:val="23"/>
              </w:rPr>
              <w:t xml:space="preserve"> </w:t>
            </w:r>
            <w:r w:rsidR="005A4797" w:rsidRPr="001A132A">
              <w:rPr>
                <w:rStyle w:val="Style2"/>
                <w:sz w:val="23"/>
                <w:szCs w:val="23"/>
              </w:rPr>
              <w:t>29</w:t>
            </w:r>
            <w:r w:rsidR="005A4797" w:rsidRPr="001A132A">
              <w:rPr>
                <w:sz w:val="23"/>
                <w:szCs w:val="23"/>
              </w:rPr>
              <w:t xml:space="preserve">.1.3 yra neįrodytas kaip didesnis  ar iš esmės nesiskiriantis, lyginant su įprasta klinikine praktika  </w:t>
            </w:r>
          </w:p>
          <w:p w14:paraId="2331F0BD" w14:textId="77777777" w:rsidR="005A4797" w:rsidRPr="001A132A" w:rsidRDefault="005A4797"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4DED4618" w14:textId="77777777" w:rsidR="005A4797" w:rsidRPr="001A132A" w:rsidRDefault="00000000"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62168479"/>
                <w15:color w:val="FFCC00"/>
                <w14:checkbox>
                  <w14:checked w14:val="0"/>
                  <w14:checkedState w14:val="2612" w14:font="MS Gothic"/>
                  <w14:uncheckedState w14:val="2610" w14:font="MS Gothic"/>
                </w14:checkbox>
              </w:sdtPr>
              <w:sdtContent>
                <w:r w:rsidR="005A4797" w:rsidRPr="001A132A">
                  <w:rPr>
                    <w:rStyle w:val="Style2"/>
                    <w:rFonts w:ascii="Segoe UI Symbol" w:eastAsia="MS Gothic" w:hAnsi="Segoe UI Symbol" w:cs="Segoe UI Symbol"/>
                    <w:sz w:val="23"/>
                    <w:szCs w:val="23"/>
                  </w:rPr>
                  <w:t>☐</w:t>
                </w:r>
              </w:sdtContent>
            </w:sdt>
            <w:r w:rsidR="005A4797" w:rsidRPr="001A132A">
              <w:rPr>
                <w:sz w:val="23"/>
                <w:szCs w:val="23"/>
              </w:rPr>
              <w:t xml:space="preserve"> </w:t>
            </w:r>
            <w:r w:rsidR="005A4797" w:rsidRPr="001A132A">
              <w:rPr>
                <w:rStyle w:val="Style2"/>
                <w:sz w:val="23"/>
                <w:szCs w:val="23"/>
              </w:rPr>
              <w:t>29</w:t>
            </w:r>
            <w:r w:rsidR="005A4797" w:rsidRPr="001A132A">
              <w:rPr>
                <w:sz w:val="23"/>
                <w:szCs w:val="23"/>
              </w:rPr>
              <w:t>.1.4 yra mažesnis, lyginant su įprasta klinikine praktika</w:t>
            </w:r>
          </w:p>
          <w:p w14:paraId="22A6F2D8" w14:textId="77777777" w:rsidR="005A4797" w:rsidRPr="001A132A" w:rsidRDefault="005A4797"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79BF0010" w14:textId="77777777" w:rsidR="005A4797" w:rsidRPr="001A132A" w:rsidRDefault="00000000"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1857960180"/>
                <w15:color w:val="FFCC00"/>
                <w14:checkbox>
                  <w14:checked w14:val="0"/>
                  <w14:checkedState w14:val="2612" w14:font="MS Gothic"/>
                  <w14:uncheckedState w14:val="2610" w14:font="MS Gothic"/>
                </w14:checkbox>
              </w:sdtPr>
              <w:sdtContent>
                <w:r w:rsidR="005A4797" w:rsidRPr="001A132A">
                  <w:rPr>
                    <w:rStyle w:val="Style2"/>
                    <w:rFonts w:ascii="Segoe UI Symbol" w:eastAsia="MS Gothic" w:hAnsi="Segoe UI Symbol" w:cs="Segoe UI Symbol"/>
                    <w:sz w:val="23"/>
                    <w:szCs w:val="23"/>
                  </w:rPr>
                  <w:t>☐</w:t>
                </w:r>
              </w:sdtContent>
            </w:sdt>
            <w:r w:rsidR="005A4797" w:rsidRPr="001A132A">
              <w:rPr>
                <w:sz w:val="23"/>
                <w:szCs w:val="23"/>
              </w:rPr>
              <w:t xml:space="preserve">  </w:t>
            </w:r>
            <w:r w:rsidR="005A4797" w:rsidRPr="001A132A">
              <w:rPr>
                <w:rStyle w:val="Style2"/>
                <w:sz w:val="23"/>
                <w:szCs w:val="23"/>
              </w:rPr>
              <w:t>29</w:t>
            </w:r>
            <w:r w:rsidR="005A4797" w:rsidRPr="001A132A">
              <w:rPr>
                <w:sz w:val="23"/>
                <w:szCs w:val="23"/>
              </w:rPr>
              <w:t>.1.5 pateikti duomenys apie palyginamąjį veiksmingumą yra netinkami vertinti</w:t>
            </w:r>
          </w:p>
          <w:p w14:paraId="5DDAA961" w14:textId="77777777" w:rsidR="005A4797" w:rsidRPr="004F3F16" w:rsidRDefault="005A4797" w:rsidP="005A47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highlight w:val="yellow"/>
              </w:rPr>
            </w:pPr>
          </w:p>
        </w:tc>
      </w:tr>
    </w:tbl>
    <w:tbl>
      <w:tblPr>
        <w:tblStyle w:val="Keymessagesbox1"/>
        <w:tblW w:w="0" w:type="auto"/>
        <w:tblInd w:w="-5" w:type="dxa"/>
        <w:tblLook w:val="04A0" w:firstRow="1" w:lastRow="0" w:firstColumn="1" w:lastColumn="0" w:noHBand="0" w:noVBand="1"/>
      </w:tblPr>
      <w:tblGrid>
        <w:gridCol w:w="4820"/>
        <w:gridCol w:w="4814"/>
      </w:tblGrid>
      <w:tr w:rsidR="00A01831" w:rsidRPr="009300B3" w14:paraId="7D635A88" w14:textId="77777777" w:rsidTr="001C4F52">
        <w:trPr>
          <w:trHeight w:val="510"/>
        </w:trPr>
        <w:tc>
          <w:tcPr>
            <w:tcW w:w="9634" w:type="dxa"/>
            <w:gridSpan w:val="2"/>
            <w:vAlign w:val="center"/>
          </w:tcPr>
          <w:bookmarkEnd w:id="6"/>
          <w:p w14:paraId="00093C85" w14:textId="77777777" w:rsidR="00A01831" w:rsidRPr="009300B3" w:rsidRDefault="00A01831" w:rsidP="008E24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3"/>
                <w:szCs w:val="23"/>
              </w:rPr>
            </w:pPr>
            <w:r w:rsidRPr="009300B3">
              <w:rPr>
                <w:rStyle w:val="Style2"/>
                <w:rFonts w:eastAsia="MS Gothic"/>
                <w:b/>
                <w:bCs/>
                <w:sz w:val="23"/>
                <w:szCs w:val="23"/>
              </w:rPr>
              <w:t>Kaštų naudingumas</w:t>
            </w:r>
          </w:p>
        </w:tc>
      </w:tr>
      <w:tr w:rsidR="00A01831" w:rsidRPr="009300B3" w14:paraId="0906EE87" w14:textId="77777777" w:rsidTr="001C4F52">
        <w:tc>
          <w:tcPr>
            <w:tcW w:w="4820" w:type="dxa"/>
          </w:tcPr>
          <w:p w14:paraId="679517A7" w14:textId="77777777" w:rsidR="00A01831" w:rsidRPr="009300B3" w:rsidRDefault="00000000"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A01831">
                  <w:rPr>
                    <w:rStyle w:val="Style2"/>
                    <w:rFonts w:ascii="MS Gothic" w:eastAsia="MS Gothic" w:hAnsi="MS Gothic" w:hint="eastAsia"/>
                    <w:sz w:val="23"/>
                    <w:szCs w:val="23"/>
                  </w:rPr>
                  <w:t>☒</w:t>
                </w:r>
              </w:sdtContent>
            </w:sdt>
            <w:r w:rsidR="00A01831" w:rsidRPr="009300B3">
              <w:rPr>
                <w:sz w:val="23"/>
                <w:szCs w:val="23"/>
              </w:rPr>
              <w:t xml:space="preserve"> 29.2.1 atitinka referencinę naudingumo vertę taikant arba netaikant</w:t>
            </w:r>
            <w:r w:rsidR="00A01831" w:rsidRPr="009300B3">
              <w:rPr>
                <w:b/>
                <w:bCs/>
                <w:sz w:val="23"/>
                <w:szCs w:val="23"/>
              </w:rPr>
              <w:t> </w:t>
            </w:r>
            <w:r w:rsidR="00A01831" w:rsidRPr="009300B3">
              <w:rPr>
                <w:sz w:val="23"/>
                <w:szCs w:val="23"/>
              </w:rPr>
              <w:t>PGS</w:t>
            </w:r>
          </w:p>
          <w:p w14:paraId="5DB96012" w14:textId="77777777" w:rsidR="00A01831" w:rsidRPr="009300B3" w:rsidRDefault="00A01831"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2BA77CCA" w14:textId="77777777" w:rsidR="00A01831" w:rsidRPr="009300B3" w:rsidRDefault="00000000"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A01831" w:rsidRPr="009300B3">
                  <w:rPr>
                    <w:rStyle w:val="Style2"/>
                    <w:rFonts w:ascii="Segoe UI Symbol" w:eastAsia="MS Gothic" w:hAnsi="Segoe UI Symbol" w:cs="Segoe UI Symbol"/>
                    <w:sz w:val="23"/>
                    <w:szCs w:val="23"/>
                  </w:rPr>
                  <w:t>☐</w:t>
                </w:r>
              </w:sdtContent>
            </w:sdt>
            <w:r w:rsidR="00A01831" w:rsidRPr="009300B3">
              <w:rPr>
                <w:sz w:val="23"/>
                <w:szCs w:val="23"/>
              </w:rPr>
              <w:t xml:space="preserve"> 29.2.2 gydymo juo kaštai yra mažesni ar tokie patys esant iš esmės nesiskiriančiam palyginamajam efektyvumui, taikant arba netaikant PGS</w:t>
            </w:r>
          </w:p>
        </w:tc>
        <w:tc>
          <w:tcPr>
            <w:tcW w:w="4814" w:type="dxa"/>
          </w:tcPr>
          <w:p w14:paraId="536B1A96" w14:textId="77777777" w:rsidR="00A01831" w:rsidRPr="009300B3" w:rsidRDefault="00000000"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A01831" w:rsidRPr="009300B3">
                  <w:rPr>
                    <w:rStyle w:val="Style2"/>
                    <w:rFonts w:ascii="Segoe UI Symbol" w:eastAsia="MS Gothic" w:hAnsi="Segoe UI Symbol" w:cs="Segoe UI Symbol"/>
                    <w:sz w:val="23"/>
                    <w:szCs w:val="23"/>
                  </w:rPr>
                  <w:t>☐</w:t>
                </w:r>
              </w:sdtContent>
            </w:sdt>
            <w:r w:rsidR="00A01831" w:rsidRPr="009300B3">
              <w:rPr>
                <w:sz w:val="23"/>
                <w:szCs w:val="23"/>
              </w:rPr>
              <w:t xml:space="preserve"> 29.2.3 neatitinka referencinės naudingumo vertės taikant arba netaikant PGS</w:t>
            </w:r>
          </w:p>
          <w:p w14:paraId="4EE7D817" w14:textId="77777777" w:rsidR="00A01831" w:rsidRPr="009300B3" w:rsidRDefault="00A01831"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2F59BDE7" w14:textId="77777777" w:rsidR="00A01831" w:rsidRPr="009300B3" w:rsidRDefault="00000000"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Content>
                <w:r w:rsidR="00A01831" w:rsidRPr="009300B3">
                  <w:rPr>
                    <w:rStyle w:val="Style2"/>
                    <w:rFonts w:ascii="Segoe UI Symbol" w:eastAsia="MS Gothic" w:hAnsi="Segoe UI Symbol" w:cs="Segoe UI Symbol"/>
                    <w:sz w:val="23"/>
                    <w:szCs w:val="23"/>
                  </w:rPr>
                  <w:t>☐</w:t>
                </w:r>
              </w:sdtContent>
            </w:sdt>
            <w:r w:rsidR="00A01831" w:rsidRPr="009300B3">
              <w:rPr>
                <w:sz w:val="23"/>
                <w:szCs w:val="23"/>
              </w:rPr>
              <w:t xml:space="preserve"> 29.2.4 gydymo juo kaštai yra didesni esant iš esmės nesiskiriančiam palyginamajam veiksmingumui, taikant arba netaikant PGS</w:t>
            </w:r>
          </w:p>
          <w:p w14:paraId="20D70EB4" w14:textId="77777777" w:rsidR="00A01831" w:rsidRPr="009300B3" w:rsidRDefault="00A01831"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755BC350" w14:textId="77777777" w:rsidR="00A01831" w:rsidRPr="009300B3" w:rsidRDefault="00000000"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A01831" w:rsidRPr="009300B3">
                  <w:rPr>
                    <w:rStyle w:val="Style2"/>
                    <w:rFonts w:ascii="Segoe UI Symbol" w:eastAsia="MS Gothic" w:hAnsi="Segoe UI Symbol" w:cs="Segoe UI Symbol"/>
                    <w:sz w:val="23"/>
                    <w:szCs w:val="23"/>
                  </w:rPr>
                  <w:t>☐</w:t>
                </w:r>
              </w:sdtContent>
            </w:sdt>
            <w:r w:rsidR="00A01831" w:rsidRPr="009300B3">
              <w:rPr>
                <w:sz w:val="23"/>
                <w:szCs w:val="23"/>
              </w:rPr>
              <w:t xml:space="preserve"> 29.2.5 pateikti duomenys apie kaštų naudingumą yra netinkami vertinti</w:t>
            </w:r>
          </w:p>
          <w:p w14:paraId="5C60CF8B" w14:textId="77777777" w:rsidR="00A01831" w:rsidRPr="009300B3" w:rsidRDefault="00A01831" w:rsidP="001C4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29A90384" w14:textId="058199B8" w:rsidR="004A3A61" w:rsidRPr="00E33EFF" w:rsidRDefault="004A3A61" w:rsidP="00381024"/>
    <w:p w14:paraId="1B85C083" w14:textId="77777777" w:rsidR="009E44AE" w:rsidRPr="00E33EFF" w:rsidRDefault="009E44AE" w:rsidP="00381024"/>
    <w:p w14:paraId="3B2D1F25" w14:textId="3A80E19F" w:rsidR="000001B0" w:rsidRPr="00E33EFF" w:rsidRDefault="000001B0" w:rsidP="00CC09D4">
      <w:pPr>
        <w:pStyle w:val="Sraopastraipa"/>
        <w:numPr>
          <w:ilvl w:val="0"/>
          <w:numId w:val="12"/>
        </w:numPr>
        <w:ind w:left="567" w:hanging="567"/>
      </w:pPr>
      <w:r w:rsidRPr="00E33EFF">
        <w:rPr>
          <w:b/>
        </w:rPr>
        <w:t>REKOME</w:t>
      </w:r>
      <w:r w:rsidR="00D83182" w:rsidRPr="00E33EFF">
        <w:rPr>
          <w:b/>
        </w:rPr>
        <w:t>N</w:t>
      </w:r>
      <w:r w:rsidRPr="00E33EFF">
        <w:rPr>
          <w:b/>
        </w:rPr>
        <w:t>DACIJA</w:t>
      </w:r>
    </w:p>
    <w:p w14:paraId="7D5C6700" w14:textId="77777777" w:rsidR="00D5470B" w:rsidRPr="00E33EFF" w:rsidRDefault="00D5470B" w:rsidP="00C712EA">
      <w:pPr>
        <w:pStyle w:val="Sraopastraipa"/>
        <w:ind w:left="426"/>
      </w:pPr>
    </w:p>
    <w:p w14:paraId="254DE6A8" w14:textId="1C25B4C2" w:rsidR="005A4797" w:rsidRPr="004E552F" w:rsidRDefault="005A4797" w:rsidP="004A1641">
      <w:pPr>
        <w:spacing w:line="360" w:lineRule="auto"/>
        <w:ind w:firstLine="567"/>
        <w:jc w:val="both"/>
        <w:rPr>
          <w:color w:val="000000"/>
        </w:rPr>
      </w:pPr>
      <w:bookmarkStart w:id="7" w:name="_Hlk192365377"/>
      <w:r w:rsidRPr="002A024D">
        <w:t>Vadovaujantis Vaistinių preparatų ir medicinos pagalbos priemonių įrašymo į kompensavimo sąrašus ir jų keitimo tvarkos aprašo, patvirtinto Lietuvos Respublikos sveikatos apsaugos ministro 2002 m. balandžio 5 d. įsakym</w:t>
      </w:r>
      <w:r>
        <w:t>o</w:t>
      </w:r>
      <w:r w:rsidRPr="002A024D">
        <w:t xml:space="preserve"> Nr. V-159 „Dėl vaistinių preparatų ir medicinos pagalbos priemonių įrašymo į kompensavimo sąrašus ir jų keitimo tvarkos aprašo patvirtinimo“, punktu</w:t>
      </w:r>
      <w:r>
        <w:t xml:space="preserve"> </w:t>
      </w:r>
      <w:r>
        <w:rPr>
          <w:color w:val="000000"/>
        </w:rPr>
        <w:t>30</w:t>
      </w:r>
      <w:r>
        <w:rPr>
          <w:color w:val="000000"/>
          <w:vertAlign w:val="superscript"/>
        </w:rPr>
        <w:t>1</w:t>
      </w:r>
      <w:r>
        <w:rPr>
          <w:color w:val="000000"/>
        </w:rPr>
        <w:t xml:space="preserve">.1. </w:t>
      </w:r>
      <w:r>
        <w:rPr>
          <w:color w:val="000000"/>
          <w:lang w:eastAsia="lt-LT"/>
        </w:rPr>
        <w:t>rekomenduojama</w:t>
      </w:r>
      <w:r w:rsidRPr="00471EC6">
        <w:rPr>
          <w:color w:val="000000"/>
          <w:lang w:eastAsia="lt-LT"/>
        </w:rPr>
        <w:t xml:space="preserve"> kompensuoti vaistinį preparatą pagal paraiškoje nurodytą indikaciją (arba jos dalį) su arba be skyrimo sąlygų, </w:t>
      </w:r>
      <w:r>
        <w:rPr>
          <w:color w:val="000000"/>
        </w:rPr>
        <w:t>taikant ar netaikant PGS, kai vertinimo išvados atitinka Aprašo 29.1.1 ir 29.2.1 papunkčiuose numatytas sąlygas.</w:t>
      </w:r>
    </w:p>
    <w:bookmarkEnd w:id="7"/>
    <w:p w14:paraId="06BC01EE" w14:textId="44333E0B" w:rsidR="000723FF" w:rsidRPr="00E33EFF" w:rsidRDefault="000723FF" w:rsidP="004A1641">
      <w:pPr>
        <w:spacing w:line="360" w:lineRule="auto"/>
      </w:pPr>
    </w:p>
    <w:p w14:paraId="16F2B302" w14:textId="6522EC40" w:rsidR="00700D6D" w:rsidRPr="00700D6D" w:rsidRDefault="00CC09D4" w:rsidP="004A1641">
      <w:pPr>
        <w:tabs>
          <w:tab w:val="left" w:pos="567"/>
        </w:tabs>
        <w:spacing w:line="360" w:lineRule="auto"/>
        <w:jc w:val="both"/>
        <w:rPr>
          <w:b/>
          <w:color w:val="000000"/>
          <w:lang w:eastAsia="lt-LT"/>
        </w:rPr>
      </w:pPr>
      <w:r w:rsidRPr="00700D6D">
        <w:rPr>
          <w:b/>
          <w:color w:val="000000"/>
          <w:lang w:eastAsia="lt-LT"/>
        </w:rPr>
        <w:t>8.</w:t>
      </w:r>
      <w:r w:rsidRPr="00700D6D">
        <w:rPr>
          <w:b/>
          <w:color w:val="000000"/>
          <w:lang w:eastAsia="lt-LT"/>
        </w:rPr>
        <w:tab/>
      </w:r>
      <w:r w:rsidR="00700D6D" w:rsidRPr="00700D6D">
        <w:rPr>
          <w:b/>
          <w:color w:val="000000"/>
          <w:lang w:eastAsia="lt-LT"/>
        </w:rPr>
        <w:t xml:space="preserve">SIŪLOMOS KOMPENSUOTI TERAPINĖS INDIKACIJOS IR SKYRIMO SĄLYGOS </w:t>
      </w:r>
    </w:p>
    <w:p w14:paraId="77CA00E8" w14:textId="77777777" w:rsidR="00700D6D" w:rsidRPr="00E33EFF" w:rsidRDefault="00700D6D" w:rsidP="004A1641">
      <w:pPr>
        <w:tabs>
          <w:tab w:val="left" w:pos="426"/>
        </w:tabs>
        <w:spacing w:line="360" w:lineRule="auto"/>
        <w:jc w:val="both"/>
        <w:rPr>
          <w:b/>
          <w:color w:val="000000"/>
          <w:lang w:eastAsia="lt-LT"/>
        </w:rPr>
      </w:pPr>
    </w:p>
    <w:p w14:paraId="7EE657B0" w14:textId="77777777" w:rsidR="004F3F16" w:rsidRPr="004A1641" w:rsidRDefault="004F3F16" w:rsidP="004A1641">
      <w:pPr>
        <w:pStyle w:val="Betarp"/>
        <w:spacing w:line="360" w:lineRule="auto"/>
        <w:rPr>
          <w:rFonts w:ascii="Times New Roman" w:hAnsi="Times New Roman"/>
          <w:b/>
          <w:sz w:val="24"/>
          <w:szCs w:val="24"/>
          <w:lang w:eastAsia="lt-LT"/>
        </w:rPr>
      </w:pPr>
      <w:r w:rsidRPr="004A1641">
        <w:rPr>
          <w:rFonts w:ascii="Times New Roman" w:hAnsi="Times New Roman"/>
          <w:b/>
          <w:sz w:val="24"/>
          <w:szCs w:val="24"/>
          <w:lang w:eastAsia="lt-LT"/>
        </w:rPr>
        <w:t>Terapinės indikacijos</w:t>
      </w:r>
    </w:p>
    <w:p w14:paraId="65BEF54B" w14:textId="2C8911C3" w:rsidR="004F3F16" w:rsidRPr="004A1641" w:rsidRDefault="00000000" w:rsidP="004A1641">
      <w:pPr>
        <w:pStyle w:val="Betarp"/>
        <w:spacing w:line="360"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B641F1" w:rsidRPr="004A1641">
            <w:rPr>
              <w:rStyle w:val="Style2"/>
              <w:rFonts w:ascii="MS Gothic" w:eastAsia="MS Gothic" w:hAnsi="MS Gothic"/>
              <w:sz w:val="24"/>
              <w:szCs w:val="24"/>
            </w:rPr>
            <w:t>☒</w:t>
          </w:r>
        </w:sdtContent>
      </w:sdt>
      <w:r w:rsidR="004F3F16" w:rsidRPr="004A1641">
        <w:rPr>
          <w:rFonts w:ascii="Times New Roman" w:hAnsi="Times New Roman"/>
          <w:sz w:val="24"/>
          <w:szCs w:val="24"/>
        </w:rPr>
        <w:t xml:space="preserve"> Siūloma kompensuoti Pareiškėjo teikiamą indikaciją be pakeitimų.</w:t>
      </w:r>
    </w:p>
    <w:p w14:paraId="76103918" w14:textId="77777777" w:rsidR="00B641F1" w:rsidRPr="00AE0C66" w:rsidRDefault="00B641F1" w:rsidP="004A1641">
      <w:pPr>
        <w:spacing w:after="120" w:line="360" w:lineRule="auto"/>
        <w:jc w:val="both"/>
      </w:pPr>
      <w:bookmarkStart w:id="8" w:name="_Hlk192365415"/>
      <w:r w:rsidRPr="00AE0C66">
        <w:rPr>
          <w:rFonts w:eastAsia="Arial"/>
        </w:rPr>
        <w:t>IMBRUVICA derinant su venetoklaksu yra skirtas lėtine limfocitine leukemija (LLL) sergančių suaugusių pacientų, kurie anksčiau nebuvo gydyti, gydymui</w:t>
      </w:r>
      <w:r w:rsidRPr="00AE0C66">
        <w:t>.</w:t>
      </w:r>
    </w:p>
    <w:bookmarkEnd w:id="8"/>
    <w:p w14:paraId="329BEC8A" w14:textId="77777777" w:rsidR="004F3F16" w:rsidRPr="004A1641" w:rsidRDefault="004F3F16" w:rsidP="004A1641">
      <w:pPr>
        <w:pStyle w:val="Betarp"/>
        <w:spacing w:line="360" w:lineRule="auto"/>
        <w:rPr>
          <w:rFonts w:ascii="Times New Roman" w:hAnsi="Times New Roman"/>
          <w:sz w:val="24"/>
          <w:szCs w:val="24"/>
        </w:rPr>
      </w:pPr>
    </w:p>
    <w:p w14:paraId="22CE3D61" w14:textId="77777777" w:rsidR="004F3F16" w:rsidRPr="004A1641" w:rsidRDefault="004F3F16" w:rsidP="004A1641">
      <w:pPr>
        <w:pStyle w:val="Betarp"/>
        <w:spacing w:line="360" w:lineRule="auto"/>
        <w:rPr>
          <w:rFonts w:ascii="Times New Roman" w:hAnsi="Times New Roman"/>
          <w:b/>
          <w:sz w:val="24"/>
          <w:szCs w:val="24"/>
        </w:rPr>
      </w:pPr>
      <w:r w:rsidRPr="004A1641">
        <w:rPr>
          <w:rFonts w:ascii="Times New Roman" w:hAnsi="Times New Roman"/>
          <w:b/>
          <w:sz w:val="24"/>
          <w:szCs w:val="24"/>
        </w:rPr>
        <w:lastRenderedPageBreak/>
        <w:t>Skyrimo sąlygos</w:t>
      </w:r>
    </w:p>
    <w:p w14:paraId="5B494195" w14:textId="77777777" w:rsidR="000C2EEA" w:rsidRPr="000B0947" w:rsidRDefault="000C2EEA" w:rsidP="000C2EEA">
      <w:pPr>
        <w:spacing w:after="120" w:line="360" w:lineRule="auto"/>
        <w:jc w:val="both"/>
        <w:rPr>
          <w:bCs/>
          <w:lang w:eastAsia="lt-LT"/>
        </w:rPr>
      </w:pPr>
      <w:bookmarkStart w:id="9" w:name="_Hlk192365490"/>
      <w:r w:rsidRPr="00AE0C66">
        <w:rPr>
          <w:rFonts w:eastAsia="Arial"/>
        </w:rPr>
        <w:t>Skiriamas derinyje su venetoklaksu lėtine limfocitine leukemija sergantiems suaugusiems pacientams, kurie anksčiau nebuvo gydyti.</w:t>
      </w:r>
      <w:r w:rsidRPr="000B0947">
        <w:rPr>
          <w:bCs/>
          <w:lang w:eastAsia="lt-LT"/>
        </w:rPr>
        <w:t xml:space="preserve"> </w:t>
      </w:r>
      <w:r w:rsidRPr="00170B8D">
        <w:rPr>
          <w:bCs/>
          <w:lang w:eastAsia="lt-LT"/>
        </w:rPr>
        <w:t xml:space="preserve">Gydymo trukmė ne ilgesnė kaip </w:t>
      </w:r>
      <w:r>
        <w:rPr>
          <w:bCs/>
          <w:lang w:eastAsia="lt-LT"/>
        </w:rPr>
        <w:t xml:space="preserve">15 mėnesių (3 ciklus skiriamas vien </w:t>
      </w:r>
      <w:r w:rsidRPr="003A62EE">
        <w:t>ibrutinib</w:t>
      </w:r>
      <w:r>
        <w:t xml:space="preserve">as, po to 12 ciklų - </w:t>
      </w:r>
      <w:r w:rsidRPr="003A62EE">
        <w:t>ibrutinib</w:t>
      </w:r>
      <w:r>
        <w:t xml:space="preserve">as ir </w:t>
      </w:r>
      <w:r w:rsidRPr="00AE0C66">
        <w:rPr>
          <w:rFonts w:eastAsia="Arial"/>
        </w:rPr>
        <w:t>venetoklaks</w:t>
      </w:r>
      <w:r>
        <w:rPr>
          <w:rFonts w:eastAsia="Arial"/>
        </w:rPr>
        <w:t>as</w:t>
      </w:r>
      <w:r>
        <w:rPr>
          <w:bCs/>
          <w:lang w:eastAsia="lt-LT"/>
        </w:rPr>
        <w:t>)</w:t>
      </w:r>
      <w:r w:rsidRPr="00170B8D">
        <w:rPr>
          <w:bCs/>
          <w:lang w:eastAsia="lt-LT"/>
        </w:rPr>
        <w:t>. Gydymas tęsiamas iki nepriimtino toksinio poveikio atsiradimo, ligos progresavimo arba planuoto gydymo užbaigimo.</w:t>
      </w:r>
    </w:p>
    <w:bookmarkEnd w:id="9"/>
    <w:p w14:paraId="6120A422" w14:textId="77777777" w:rsidR="00B641F1" w:rsidRPr="004A1641" w:rsidRDefault="00B641F1" w:rsidP="004A1641">
      <w:pPr>
        <w:pStyle w:val="Betarp"/>
        <w:spacing w:line="360" w:lineRule="auto"/>
        <w:rPr>
          <w:rFonts w:ascii="Times New Roman" w:hAnsi="Times New Roman"/>
          <w:sz w:val="24"/>
          <w:szCs w:val="24"/>
        </w:rPr>
      </w:pPr>
    </w:p>
    <w:p w14:paraId="5DA63A9A" w14:textId="77777777" w:rsidR="00700D6D" w:rsidRDefault="00700D6D" w:rsidP="004A1641">
      <w:pPr>
        <w:tabs>
          <w:tab w:val="left" w:pos="567"/>
        </w:tabs>
        <w:spacing w:line="360" w:lineRule="auto"/>
        <w:ind w:left="567" w:hanging="567"/>
        <w:jc w:val="both"/>
        <w:rPr>
          <w:b/>
          <w:color w:val="000000"/>
          <w:lang w:eastAsia="lt-LT"/>
        </w:rPr>
      </w:pPr>
    </w:p>
    <w:p w14:paraId="6A498F16" w14:textId="77777777" w:rsidR="00B641F1" w:rsidRDefault="00B641F1" w:rsidP="004A1641">
      <w:pPr>
        <w:tabs>
          <w:tab w:val="left" w:pos="567"/>
        </w:tabs>
        <w:spacing w:line="360" w:lineRule="auto"/>
        <w:ind w:left="567" w:hanging="567"/>
        <w:jc w:val="both"/>
        <w:rPr>
          <w:b/>
          <w:color w:val="000000"/>
          <w:lang w:eastAsia="lt-LT"/>
        </w:rPr>
      </w:pPr>
    </w:p>
    <w:p w14:paraId="7CDFF220" w14:textId="58191D98" w:rsidR="000723FF" w:rsidRPr="000723FF" w:rsidRDefault="000723FF" w:rsidP="004A1641">
      <w:pPr>
        <w:spacing w:line="360" w:lineRule="auto"/>
        <w:rPr>
          <w:b/>
        </w:rPr>
      </w:pPr>
    </w:p>
    <w:sectPr w:rsidR="000723FF" w:rsidRPr="000723FF"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9347E" w14:textId="77777777" w:rsidR="00600633" w:rsidRDefault="00600633">
      <w:r>
        <w:separator/>
      </w:r>
    </w:p>
  </w:endnote>
  <w:endnote w:type="continuationSeparator" w:id="0">
    <w:p w14:paraId="58802F4F" w14:textId="77777777" w:rsidR="00600633" w:rsidRDefault="0060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FE2FB" w14:textId="77777777" w:rsidR="00600633" w:rsidRDefault="00600633">
      <w:r>
        <w:separator/>
      </w:r>
    </w:p>
  </w:footnote>
  <w:footnote w:type="continuationSeparator" w:id="0">
    <w:p w14:paraId="26820CFD" w14:textId="77777777" w:rsidR="00600633" w:rsidRDefault="0060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6D667B74"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F373E">
      <w:rPr>
        <w:rStyle w:val="Puslapionumeris"/>
        <w:noProof/>
      </w:rPr>
      <w:t>9</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1B65D8A"/>
    <w:multiLevelType w:val="hybridMultilevel"/>
    <w:tmpl w:val="05E2ED96"/>
    <w:lvl w:ilvl="0" w:tplc="1402011C">
      <w:start w:val="19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33D92"/>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963937"/>
    <w:multiLevelType w:val="hybridMultilevel"/>
    <w:tmpl w:val="6980AC6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759C83DA">
      <w:numFmt w:val="bullet"/>
      <w:lvlText w:val="-"/>
      <w:lvlJc w:val="left"/>
      <w:pPr>
        <w:ind w:left="2700" w:hanging="360"/>
      </w:pPr>
      <w:rPr>
        <w:rFonts w:ascii="Times New Roman" w:eastAsia="Times New Roman"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7" w15:restartNumberingAfterBreak="0">
    <w:nsid w:val="22DB624D"/>
    <w:multiLevelType w:val="hybridMultilevel"/>
    <w:tmpl w:val="44C476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4EE43EB"/>
    <w:multiLevelType w:val="hybridMultilevel"/>
    <w:tmpl w:val="AC7202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3A267ABC"/>
    <w:multiLevelType w:val="hybridMultilevel"/>
    <w:tmpl w:val="86DC0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12"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3C77FA"/>
    <w:multiLevelType w:val="hybridMultilevel"/>
    <w:tmpl w:val="4FFAA8BC"/>
    <w:lvl w:ilvl="0" w:tplc="FFFFFFFF">
      <w:start w:val="1"/>
      <w:numFmt w:val="decimal"/>
      <w:lvlText w:val="%1."/>
      <w:lvlJc w:val="left"/>
      <w:pPr>
        <w:ind w:left="785" w:hanging="360"/>
      </w:pPr>
      <w:rPr>
        <w:rFonts w:hint="default"/>
      </w:rPr>
    </w:lvl>
    <w:lvl w:ilvl="1" w:tplc="FFFFFFFF" w:tentative="1">
      <w:start w:val="1"/>
      <w:numFmt w:val="lowerLetter"/>
      <w:lvlText w:val="%2."/>
      <w:lvlJc w:val="left"/>
      <w:pPr>
        <w:ind w:left="1505" w:hanging="360"/>
      </w:pPr>
    </w:lvl>
    <w:lvl w:ilvl="2" w:tplc="FFFFFFFF" w:tentative="1">
      <w:start w:val="1"/>
      <w:numFmt w:val="lowerRoman"/>
      <w:lvlText w:val="%3."/>
      <w:lvlJc w:val="right"/>
      <w:pPr>
        <w:ind w:left="2225" w:hanging="180"/>
      </w:pPr>
    </w:lvl>
    <w:lvl w:ilvl="3" w:tplc="FFFFFFFF" w:tentative="1">
      <w:start w:val="1"/>
      <w:numFmt w:val="decimal"/>
      <w:lvlText w:val="%4."/>
      <w:lvlJc w:val="left"/>
      <w:pPr>
        <w:ind w:left="2945" w:hanging="360"/>
      </w:pPr>
    </w:lvl>
    <w:lvl w:ilvl="4" w:tplc="FFFFFFFF" w:tentative="1">
      <w:start w:val="1"/>
      <w:numFmt w:val="lowerLetter"/>
      <w:lvlText w:val="%5."/>
      <w:lvlJc w:val="left"/>
      <w:pPr>
        <w:ind w:left="3665" w:hanging="360"/>
      </w:pPr>
    </w:lvl>
    <w:lvl w:ilvl="5" w:tplc="FFFFFFFF" w:tentative="1">
      <w:start w:val="1"/>
      <w:numFmt w:val="lowerRoman"/>
      <w:lvlText w:val="%6."/>
      <w:lvlJc w:val="right"/>
      <w:pPr>
        <w:ind w:left="4385" w:hanging="180"/>
      </w:pPr>
    </w:lvl>
    <w:lvl w:ilvl="6" w:tplc="FFFFFFFF" w:tentative="1">
      <w:start w:val="1"/>
      <w:numFmt w:val="decimal"/>
      <w:lvlText w:val="%7."/>
      <w:lvlJc w:val="left"/>
      <w:pPr>
        <w:ind w:left="5105" w:hanging="360"/>
      </w:pPr>
    </w:lvl>
    <w:lvl w:ilvl="7" w:tplc="FFFFFFFF" w:tentative="1">
      <w:start w:val="1"/>
      <w:numFmt w:val="lowerLetter"/>
      <w:lvlText w:val="%8."/>
      <w:lvlJc w:val="left"/>
      <w:pPr>
        <w:ind w:left="5825" w:hanging="360"/>
      </w:pPr>
    </w:lvl>
    <w:lvl w:ilvl="8" w:tplc="FFFFFFFF" w:tentative="1">
      <w:start w:val="1"/>
      <w:numFmt w:val="lowerRoman"/>
      <w:lvlText w:val="%9."/>
      <w:lvlJc w:val="right"/>
      <w:pPr>
        <w:ind w:left="6545" w:hanging="180"/>
      </w:pPr>
    </w:lvl>
  </w:abstractNum>
  <w:abstractNum w:abstractNumId="14"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6"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2FF1936"/>
    <w:multiLevelType w:val="hybridMultilevel"/>
    <w:tmpl w:val="BACE24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528419456">
    <w:abstractNumId w:val="12"/>
  </w:num>
  <w:num w:numId="2" w16cid:durableId="851338147">
    <w:abstractNumId w:val="2"/>
  </w:num>
  <w:num w:numId="3" w16cid:durableId="1836651027">
    <w:abstractNumId w:val="15"/>
  </w:num>
  <w:num w:numId="4" w16cid:durableId="914128453">
    <w:abstractNumId w:val="14"/>
  </w:num>
  <w:num w:numId="5" w16cid:durableId="1059942483">
    <w:abstractNumId w:val="11"/>
  </w:num>
  <w:num w:numId="6" w16cid:durableId="684982383">
    <w:abstractNumId w:val="9"/>
  </w:num>
  <w:num w:numId="7" w16cid:durableId="501969052">
    <w:abstractNumId w:val="6"/>
  </w:num>
  <w:num w:numId="8" w16cid:durableId="1422990324">
    <w:abstractNumId w:val="19"/>
  </w:num>
  <w:num w:numId="9" w16cid:durableId="849682709">
    <w:abstractNumId w:val="0"/>
  </w:num>
  <w:num w:numId="10" w16cid:durableId="1701204177">
    <w:abstractNumId w:val="16"/>
  </w:num>
  <w:num w:numId="11" w16cid:durableId="1535541218">
    <w:abstractNumId w:val="18"/>
  </w:num>
  <w:num w:numId="12" w16cid:durableId="378362113">
    <w:abstractNumId w:val="4"/>
  </w:num>
  <w:num w:numId="13" w16cid:durableId="7753214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3670492">
    <w:abstractNumId w:val="10"/>
  </w:num>
  <w:num w:numId="15" w16cid:durableId="1954557333">
    <w:abstractNumId w:val="13"/>
  </w:num>
  <w:num w:numId="16" w16cid:durableId="990405752">
    <w:abstractNumId w:val="3"/>
  </w:num>
  <w:num w:numId="17" w16cid:durableId="972253522">
    <w:abstractNumId w:val="5"/>
  </w:num>
  <w:num w:numId="18" w16cid:durableId="43649245">
    <w:abstractNumId w:val="8"/>
  </w:num>
  <w:num w:numId="19" w16cid:durableId="1438527722">
    <w:abstractNumId w:val="7"/>
  </w:num>
  <w:num w:numId="20" w16cid:durableId="1742558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686C"/>
    <w:rsid w:val="00026F03"/>
    <w:rsid w:val="00031D0E"/>
    <w:rsid w:val="000337E6"/>
    <w:rsid w:val="0003402E"/>
    <w:rsid w:val="00034EAE"/>
    <w:rsid w:val="00042924"/>
    <w:rsid w:val="00053975"/>
    <w:rsid w:val="00057A2B"/>
    <w:rsid w:val="000606BE"/>
    <w:rsid w:val="000650C4"/>
    <w:rsid w:val="000723FF"/>
    <w:rsid w:val="0007358F"/>
    <w:rsid w:val="000736B8"/>
    <w:rsid w:val="0008190F"/>
    <w:rsid w:val="00081D9C"/>
    <w:rsid w:val="00082907"/>
    <w:rsid w:val="0008378D"/>
    <w:rsid w:val="000908A5"/>
    <w:rsid w:val="00091951"/>
    <w:rsid w:val="00092805"/>
    <w:rsid w:val="000B0947"/>
    <w:rsid w:val="000C2EEA"/>
    <w:rsid w:val="000C454C"/>
    <w:rsid w:val="000D5038"/>
    <w:rsid w:val="000E29D4"/>
    <w:rsid w:val="000F3540"/>
    <w:rsid w:val="00100491"/>
    <w:rsid w:val="00104E2E"/>
    <w:rsid w:val="00107287"/>
    <w:rsid w:val="00117406"/>
    <w:rsid w:val="00121EF0"/>
    <w:rsid w:val="0012372F"/>
    <w:rsid w:val="00124A9E"/>
    <w:rsid w:val="00130703"/>
    <w:rsid w:val="0013153F"/>
    <w:rsid w:val="001408B8"/>
    <w:rsid w:val="001517E2"/>
    <w:rsid w:val="001521D9"/>
    <w:rsid w:val="001554E2"/>
    <w:rsid w:val="00164146"/>
    <w:rsid w:val="0017369C"/>
    <w:rsid w:val="00175D57"/>
    <w:rsid w:val="001768B9"/>
    <w:rsid w:val="0018051B"/>
    <w:rsid w:val="00180C39"/>
    <w:rsid w:val="00180D96"/>
    <w:rsid w:val="00183F69"/>
    <w:rsid w:val="00184BD3"/>
    <w:rsid w:val="001921F3"/>
    <w:rsid w:val="001B3C5B"/>
    <w:rsid w:val="001D746F"/>
    <w:rsid w:val="001E4BBB"/>
    <w:rsid w:val="001E6304"/>
    <w:rsid w:val="001F373E"/>
    <w:rsid w:val="0020381E"/>
    <w:rsid w:val="002111A9"/>
    <w:rsid w:val="00213471"/>
    <w:rsid w:val="00213C4A"/>
    <w:rsid w:val="00215906"/>
    <w:rsid w:val="00241CD8"/>
    <w:rsid w:val="00244B09"/>
    <w:rsid w:val="002519CB"/>
    <w:rsid w:val="0025697F"/>
    <w:rsid w:val="00260258"/>
    <w:rsid w:val="0026588E"/>
    <w:rsid w:val="00272428"/>
    <w:rsid w:val="00272948"/>
    <w:rsid w:val="00292392"/>
    <w:rsid w:val="002946C7"/>
    <w:rsid w:val="002B3992"/>
    <w:rsid w:val="002B3CC1"/>
    <w:rsid w:val="002C09E0"/>
    <w:rsid w:val="002C1BB1"/>
    <w:rsid w:val="002C2786"/>
    <w:rsid w:val="002C3A10"/>
    <w:rsid w:val="002C4A90"/>
    <w:rsid w:val="002C4ED5"/>
    <w:rsid w:val="002C5017"/>
    <w:rsid w:val="002D02EF"/>
    <w:rsid w:val="002E0702"/>
    <w:rsid w:val="002E57AD"/>
    <w:rsid w:val="002E6F80"/>
    <w:rsid w:val="002F0E4F"/>
    <w:rsid w:val="002F1053"/>
    <w:rsid w:val="002F30F3"/>
    <w:rsid w:val="003168EB"/>
    <w:rsid w:val="00317B0E"/>
    <w:rsid w:val="00333DE2"/>
    <w:rsid w:val="00341875"/>
    <w:rsid w:val="00341B1F"/>
    <w:rsid w:val="00347FAA"/>
    <w:rsid w:val="0035172D"/>
    <w:rsid w:val="0036187D"/>
    <w:rsid w:val="00367EDB"/>
    <w:rsid w:val="00376F85"/>
    <w:rsid w:val="00381024"/>
    <w:rsid w:val="00386307"/>
    <w:rsid w:val="003874DE"/>
    <w:rsid w:val="00393DC4"/>
    <w:rsid w:val="00393E9F"/>
    <w:rsid w:val="0039696E"/>
    <w:rsid w:val="003B211A"/>
    <w:rsid w:val="003C141F"/>
    <w:rsid w:val="003C6B0E"/>
    <w:rsid w:val="003C7257"/>
    <w:rsid w:val="003C7E35"/>
    <w:rsid w:val="003D042C"/>
    <w:rsid w:val="003D045A"/>
    <w:rsid w:val="003D1E99"/>
    <w:rsid w:val="003D6208"/>
    <w:rsid w:val="00404E8A"/>
    <w:rsid w:val="0040622F"/>
    <w:rsid w:val="00412FE2"/>
    <w:rsid w:val="00413F24"/>
    <w:rsid w:val="00422853"/>
    <w:rsid w:val="00423160"/>
    <w:rsid w:val="00425576"/>
    <w:rsid w:val="00453862"/>
    <w:rsid w:val="0045469B"/>
    <w:rsid w:val="00460A65"/>
    <w:rsid w:val="00461338"/>
    <w:rsid w:val="004677DB"/>
    <w:rsid w:val="00476256"/>
    <w:rsid w:val="00476F65"/>
    <w:rsid w:val="0048630F"/>
    <w:rsid w:val="004947A1"/>
    <w:rsid w:val="0049482A"/>
    <w:rsid w:val="004979D3"/>
    <w:rsid w:val="004A00E7"/>
    <w:rsid w:val="004A1641"/>
    <w:rsid w:val="004A3A61"/>
    <w:rsid w:val="004B59BA"/>
    <w:rsid w:val="004B5A03"/>
    <w:rsid w:val="004C189F"/>
    <w:rsid w:val="004C263A"/>
    <w:rsid w:val="004D48A6"/>
    <w:rsid w:val="004D7B8F"/>
    <w:rsid w:val="004E6458"/>
    <w:rsid w:val="004E6E7D"/>
    <w:rsid w:val="004F1AAC"/>
    <w:rsid w:val="004F1AE2"/>
    <w:rsid w:val="004F34F0"/>
    <w:rsid w:val="004F3B2B"/>
    <w:rsid w:val="004F3F16"/>
    <w:rsid w:val="004F404F"/>
    <w:rsid w:val="004F6050"/>
    <w:rsid w:val="004F72B1"/>
    <w:rsid w:val="005005EF"/>
    <w:rsid w:val="005123C2"/>
    <w:rsid w:val="0052144B"/>
    <w:rsid w:val="00524066"/>
    <w:rsid w:val="00534E11"/>
    <w:rsid w:val="005378D8"/>
    <w:rsid w:val="005400D9"/>
    <w:rsid w:val="005476A4"/>
    <w:rsid w:val="0055019B"/>
    <w:rsid w:val="00556E63"/>
    <w:rsid w:val="005601A4"/>
    <w:rsid w:val="00566DBB"/>
    <w:rsid w:val="005767DB"/>
    <w:rsid w:val="0058135F"/>
    <w:rsid w:val="005815E6"/>
    <w:rsid w:val="0058712F"/>
    <w:rsid w:val="005976CE"/>
    <w:rsid w:val="005A23D4"/>
    <w:rsid w:val="005A2D1E"/>
    <w:rsid w:val="005A4797"/>
    <w:rsid w:val="005B3756"/>
    <w:rsid w:val="005C493F"/>
    <w:rsid w:val="005C6BF7"/>
    <w:rsid w:val="005C71BF"/>
    <w:rsid w:val="005D002C"/>
    <w:rsid w:val="005D30E1"/>
    <w:rsid w:val="005D6555"/>
    <w:rsid w:val="005D7BDF"/>
    <w:rsid w:val="005E14C4"/>
    <w:rsid w:val="005E4870"/>
    <w:rsid w:val="005E73D8"/>
    <w:rsid w:val="005F71D9"/>
    <w:rsid w:val="005F7602"/>
    <w:rsid w:val="00600633"/>
    <w:rsid w:val="006062BE"/>
    <w:rsid w:val="00613143"/>
    <w:rsid w:val="00613501"/>
    <w:rsid w:val="0061611B"/>
    <w:rsid w:val="006166A8"/>
    <w:rsid w:val="006174A1"/>
    <w:rsid w:val="00621D6C"/>
    <w:rsid w:val="00633B49"/>
    <w:rsid w:val="0064297F"/>
    <w:rsid w:val="00645102"/>
    <w:rsid w:val="006467D5"/>
    <w:rsid w:val="00646CF3"/>
    <w:rsid w:val="00653D11"/>
    <w:rsid w:val="00662983"/>
    <w:rsid w:val="006834D3"/>
    <w:rsid w:val="00692625"/>
    <w:rsid w:val="00695CD3"/>
    <w:rsid w:val="006A38B6"/>
    <w:rsid w:val="006B0CEF"/>
    <w:rsid w:val="006B1987"/>
    <w:rsid w:val="006B5B71"/>
    <w:rsid w:val="006B6CB0"/>
    <w:rsid w:val="006C0296"/>
    <w:rsid w:val="006C2B64"/>
    <w:rsid w:val="006D4C85"/>
    <w:rsid w:val="006D66AC"/>
    <w:rsid w:val="006E33F6"/>
    <w:rsid w:val="006F1251"/>
    <w:rsid w:val="006F1C23"/>
    <w:rsid w:val="00700D6D"/>
    <w:rsid w:val="00702C18"/>
    <w:rsid w:val="00703166"/>
    <w:rsid w:val="007127F3"/>
    <w:rsid w:val="007202BA"/>
    <w:rsid w:val="00726A34"/>
    <w:rsid w:val="007301CF"/>
    <w:rsid w:val="007316FB"/>
    <w:rsid w:val="007374D0"/>
    <w:rsid w:val="00737E2D"/>
    <w:rsid w:val="007424D5"/>
    <w:rsid w:val="00750A88"/>
    <w:rsid w:val="007523DD"/>
    <w:rsid w:val="00757B7E"/>
    <w:rsid w:val="007656B2"/>
    <w:rsid w:val="0077016F"/>
    <w:rsid w:val="007713AD"/>
    <w:rsid w:val="00795DC5"/>
    <w:rsid w:val="00797153"/>
    <w:rsid w:val="007A21F7"/>
    <w:rsid w:val="007A2B68"/>
    <w:rsid w:val="007B0322"/>
    <w:rsid w:val="007B0DDA"/>
    <w:rsid w:val="007D3347"/>
    <w:rsid w:val="007E48DC"/>
    <w:rsid w:val="007E5466"/>
    <w:rsid w:val="007E6804"/>
    <w:rsid w:val="007F1949"/>
    <w:rsid w:val="007F2592"/>
    <w:rsid w:val="00800A08"/>
    <w:rsid w:val="00817A84"/>
    <w:rsid w:val="008225A4"/>
    <w:rsid w:val="00824B92"/>
    <w:rsid w:val="00826D5E"/>
    <w:rsid w:val="00832013"/>
    <w:rsid w:val="00832DB7"/>
    <w:rsid w:val="00834732"/>
    <w:rsid w:val="00844A3E"/>
    <w:rsid w:val="0085200C"/>
    <w:rsid w:val="00857C52"/>
    <w:rsid w:val="00860D5F"/>
    <w:rsid w:val="00877019"/>
    <w:rsid w:val="00880A44"/>
    <w:rsid w:val="0088345E"/>
    <w:rsid w:val="0088656F"/>
    <w:rsid w:val="00891EF6"/>
    <w:rsid w:val="008945A3"/>
    <w:rsid w:val="008A0303"/>
    <w:rsid w:val="008A5FDD"/>
    <w:rsid w:val="008B6E97"/>
    <w:rsid w:val="008C3947"/>
    <w:rsid w:val="008E2427"/>
    <w:rsid w:val="008E473B"/>
    <w:rsid w:val="008E51A6"/>
    <w:rsid w:val="008E7329"/>
    <w:rsid w:val="008F0DCD"/>
    <w:rsid w:val="008F2ED5"/>
    <w:rsid w:val="00907349"/>
    <w:rsid w:val="0092297E"/>
    <w:rsid w:val="00923651"/>
    <w:rsid w:val="00927B56"/>
    <w:rsid w:val="009341BF"/>
    <w:rsid w:val="00937907"/>
    <w:rsid w:val="00941739"/>
    <w:rsid w:val="00951573"/>
    <w:rsid w:val="00963003"/>
    <w:rsid w:val="00966EEF"/>
    <w:rsid w:val="0096701A"/>
    <w:rsid w:val="00971B28"/>
    <w:rsid w:val="00983471"/>
    <w:rsid w:val="009909AB"/>
    <w:rsid w:val="00991EDC"/>
    <w:rsid w:val="009B37DB"/>
    <w:rsid w:val="009C7A8C"/>
    <w:rsid w:val="009D0195"/>
    <w:rsid w:val="009D23F9"/>
    <w:rsid w:val="009D4FA8"/>
    <w:rsid w:val="009E44AE"/>
    <w:rsid w:val="009E63EC"/>
    <w:rsid w:val="009E6CD6"/>
    <w:rsid w:val="009F4D66"/>
    <w:rsid w:val="00A00BC0"/>
    <w:rsid w:val="00A00C3C"/>
    <w:rsid w:val="00A01091"/>
    <w:rsid w:val="00A01831"/>
    <w:rsid w:val="00A042B9"/>
    <w:rsid w:val="00A06DBB"/>
    <w:rsid w:val="00A22ADF"/>
    <w:rsid w:val="00A31E86"/>
    <w:rsid w:val="00A4169F"/>
    <w:rsid w:val="00A538BB"/>
    <w:rsid w:val="00A54D87"/>
    <w:rsid w:val="00A5553C"/>
    <w:rsid w:val="00A701C9"/>
    <w:rsid w:val="00A81785"/>
    <w:rsid w:val="00A84803"/>
    <w:rsid w:val="00A84C51"/>
    <w:rsid w:val="00A86F2B"/>
    <w:rsid w:val="00A91366"/>
    <w:rsid w:val="00A93AA6"/>
    <w:rsid w:val="00AA4E48"/>
    <w:rsid w:val="00AA6202"/>
    <w:rsid w:val="00AA7B57"/>
    <w:rsid w:val="00AC26FC"/>
    <w:rsid w:val="00AC4A99"/>
    <w:rsid w:val="00AC64D2"/>
    <w:rsid w:val="00AD02E7"/>
    <w:rsid w:val="00AE0C66"/>
    <w:rsid w:val="00AE0FE8"/>
    <w:rsid w:val="00AE1322"/>
    <w:rsid w:val="00AF60D5"/>
    <w:rsid w:val="00B00959"/>
    <w:rsid w:val="00B04415"/>
    <w:rsid w:val="00B06509"/>
    <w:rsid w:val="00B11D60"/>
    <w:rsid w:val="00B12C9C"/>
    <w:rsid w:val="00B13D65"/>
    <w:rsid w:val="00B21805"/>
    <w:rsid w:val="00B21E9B"/>
    <w:rsid w:val="00B3072E"/>
    <w:rsid w:val="00B32C02"/>
    <w:rsid w:val="00B36287"/>
    <w:rsid w:val="00B36E15"/>
    <w:rsid w:val="00B37245"/>
    <w:rsid w:val="00B4017A"/>
    <w:rsid w:val="00B4468D"/>
    <w:rsid w:val="00B635E2"/>
    <w:rsid w:val="00B641F1"/>
    <w:rsid w:val="00B71C72"/>
    <w:rsid w:val="00B81E92"/>
    <w:rsid w:val="00B908D7"/>
    <w:rsid w:val="00B915AB"/>
    <w:rsid w:val="00B935E8"/>
    <w:rsid w:val="00B93B30"/>
    <w:rsid w:val="00B94CB5"/>
    <w:rsid w:val="00BA0DD9"/>
    <w:rsid w:val="00BA5DBC"/>
    <w:rsid w:val="00BB6312"/>
    <w:rsid w:val="00BC4D06"/>
    <w:rsid w:val="00BD585E"/>
    <w:rsid w:val="00BD6919"/>
    <w:rsid w:val="00BE1EA7"/>
    <w:rsid w:val="00BE7489"/>
    <w:rsid w:val="00BF2E0D"/>
    <w:rsid w:val="00BF3927"/>
    <w:rsid w:val="00BF3F8B"/>
    <w:rsid w:val="00BF76DA"/>
    <w:rsid w:val="00C07C7B"/>
    <w:rsid w:val="00C16245"/>
    <w:rsid w:val="00C22DC5"/>
    <w:rsid w:val="00C24479"/>
    <w:rsid w:val="00C273F2"/>
    <w:rsid w:val="00C37B53"/>
    <w:rsid w:val="00C517D2"/>
    <w:rsid w:val="00C5772E"/>
    <w:rsid w:val="00C62B36"/>
    <w:rsid w:val="00C7012C"/>
    <w:rsid w:val="00C712EA"/>
    <w:rsid w:val="00C71A60"/>
    <w:rsid w:val="00CA217D"/>
    <w:rsid w:val="00CC09D4"/>
    <w:rsid w:val="00CC668D"/>
    <w:rsid w:val="00CC7832"/>
    <w:rsid w:val="00CF0C1C"/>
    <w:rsid w:val="00CF27FD"/>
    <w:rsid w:val="00CF5F12"/>
    <w:rsid w:val="00D00D7E"/>
    <w:rsid w:val="00D00D8F"/>
    <w:rsid w:val="00D04C1E"/>
    <w:rsid w:val="00D0547A"/>
    <w:rsid w:val="00D21F3A"/>
    <w:rsid w:val="00D23808"/>
    <w:rsid w:val="00D3016A"/>
    <w:rsid w:val="00D417D2"/>
    <w:rsid w:val="00D42960"/>
    <w:rsid w:val="00D43BD7"/>
    <w:rsid w:val="00D4485B"/>
    <w:rsid w:val="00D4708D"/>
    <w:rsid w:val="00D4744C"/>
    <w:rsid w:val="00D521DE"/>
    <w:rsid w:val="00D5470B"/>
    <w:rsid w:val="00D63068"/>
    <w:rsid w:val="00D6498C"/>
    <w:rsid w:val="00D72DDB"/>
    <w:rsid w:val="00D76A70"/>
    <w:rsid w:val="00D83182"/>
    <w:rsid w:val="00D8521E"/>
    <w:rsid w:val="00D9291C"/>
    <w:rsid w:val="00D93A97"/>
    <w:rsid w:val="00DB1F64"/>
    <w:rsid w:val="00DC2F53"/>
    <w:rsid w:val="00DC5BAC"/>
    <w:rsid w:val="00DC6816"/>
    <w:rsid w:val="00DC76C2"/>
    <w:rsid w:val="00DD1CF2"/>
    <w:rsid w:val="00DE4484"/>
    <w:rsid w:val="00DF41B7"/>
    <w:rsid w:val="00DF4A4A"/>
    <w:rsid w:val="00DF583C"/>
    <w:rsid w:val="00E03C3F"/>
    <w:rsid w:val="00E06FD7"/>
    <w:rsid w:val="00E07417"/>
    <w:rsid w:val="00E24D45"/>
    <w:rsid w:val="00E33DB8"/>
    <w:rsid w:val="00E33EFF"/>
    <w:rsid w:val="00E34387"/>
    <w:rsid w:val="00E348BA"/>
    <w:rsid w:val="00E369FE"/>
    <w:rsid w:val="00E37C6F"/>
    <w:rsid w:val="00E475F8"/>
    <w:rsid w:val="00E5102E"/>
    <w:rsid w:val="00E5721C"/>
    <w:rsid w:val="00E619C6"/>
    <w:rsid w:val="00E745A1"/>
    <w:rsid w:val="00E81529"/>
    <w:rsid w:val="00E83A13"/>
    <w:rsid w:val="00EB6FC5"/>
    <w:rsid w:val="00EC2356"/>
    <w:rsid w:val="00EC2582"/>
    <w:rsid w:val="00EC337C"/>
    <w:rsid w:val="00ED0CFF"/>
    <w:rsid w:val="00ED31D2"/>
    <w:rsid w:val="00EE0EAC"/>
    <w:rsid w:val="00EE3322"/>
    <w:rsid w:val="00EE33CB"/>
    <w:rsid w:val="00F0061A"/>
    <w:rsid w:val="00F02834"/>
    <w:rsid w:val="00F04EEB"/>
    <w:rsid w:val="00F05467"/>
    <w:rsid w:val="00F055D2"/>
    <w:rsid w:val="00F07CD7"/>
    <w:rsid w:val="00F127E9"/>
    <w:rsid w:val="00F14B5D"/>
    <w:rsid w:val="00F259FC"/>
    <w:rsid w:val="00F36972"/>
    <w:rsid w:val="00F42426"/>
    <w:rsid w:val="00F456BC"/>
    <w:rsid w:val="00F4598C"/>
    <w:rsid w:val="00F50666"/>
    <w:rsid w:val="00F70C9E"/>
    <w:rsid w:val="00F74A74"/>
    <w:rsid w:val="00F7572C"/>
    <w:rsid w:val="00F8382C"/>
    <w:rsid w:val="00F855D7"/>
    <w:rsid w:val="00F92035"/>
    <w:rsid w:val="00F92748"/>
    <w:rsid w:val="00FA4169"/>
    <w:rsid w:val="00FB0D41"/>
    <w:rsid w:val="00FB2030"/>
    <w:rsid w:val="00FD0E46"/>
    <w:rsid w:val="00FD1CF2"/>
    <w:rsid w:val="00FD3EDF"/>
    <w:rsid w:val="00FD711E"/>
    <w:rsid w:val="00FD793C"/>
    <w:rsid w:val="00FE0FD5"/>
    <w:rsid w:val="00FE20E6"/>
    <w:rsid w:val="00FE3E3B"/>
    <w:rsid w:val="00FF4032"/>
    <w:rsid w:val="00FF6469"/>
    <w:rsid w:val="00FF7E4A"/>
    <w:rsid w:val="0591423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YHEC table,Lash Style Table,Dossier table,Section 3- footnotes,Legemiddelverket 3,Summary Table,ASD Table,Key messages box"/>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Bullet 1,1. Bullet Blank,Bulleted - 2,List Paragraph CCT minutes,Section 5,Bullet List 2,Colorful List - Accent 1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Bullet 1 Diagrama,1. Bullet Blank Diagrama"/>
    <w:link w:val="Sraopastraipa"/>
    <w:uiPriority w:val="34"/>
    <w:qFormat/>
    <w:locked/>
    <w:rsid w:val="00700D6D"/>
    <w:rPr>
      <w:sz w:val="24"/>
      <w:szCs w:val="24"/>
      <w:lang w:eastAsia="en-US"/>
    </w:rPr>
  </w:style>
  <w:style w:type="table" w:customStyle="1" w:styleId="Keymessagesbox1">
    <w:name w:val="Key messages box1"/>
    <w:basedOn w:val="prastojilentel"/>
    <w:next w:val="Lentelstinklelis"/>
    <w:rsid w:val="00A01831"/>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B1ADE96A8F4BA5A9179EEE75D5871A"/>
        <w:category>
          <w:name w:val="General"/>
          <w:gallery w:val="placeholder"/>
        </w:category>
        <w:types>
          <w:type w:val="bbPlcHdr"/>
        </w:types>
        <w:behaviors>
          <w:behavior w:val="content"/>
        </w:behaviors>
        <w:guid w:val="{8939578C-E555-4CF4-A14E-B475F7EB734B}"/>
      </w:docPartPr>
      <w:docPartBody>
        <w:p w:rsidR="00E24F42" w:rsidRDefault="007E48DC" w:rsidP="007E48DC">
          <w:pPr>
            <w:pStyle w:val="F3B1ADE96A8F4BA5A9179EEE75D5871A"/>
          </w:pPr>
          <w:r>
            <w:rPr>
              <w:rStyle w:val="Vietosrezervavimoenklotekstas"/>
            </w:rPr>
            <w:t>Click here to enter a date.</w:t>
          </w:r>
        </w:p>
      </w:docPartBody>
    </w:docPart>
    <w:docPart>
      <w:docPartPr>
        <w:name w:val="2FD2F344FB99431D8821350069EE978D"/>
        <w:category>
          <w:name w:val="General"/>
          <w:gallery w:val="placeholder"/>
        </w:category>
        <w:types>
          <w:type w:val="bbPlcHdr"/>
        </w:types>
        <w:behaviors>
          <w:behavior w:val="content"/>
        </w:behaviors>
        <w:guid w:val="{EDA2988F-6B93-4B3F-9267-E9BE563A0130}"/>
      </w:docPartPr>
      <w:docPartBody>
        <w:p w:rsidR="009B7D4C" w:rsidRDefault="00C81F01" w:rsidP="00C81F01">
          <w:pPr>
            <w:pStyle w:val="2FD2F344FB99431D8821350069EE978D"/>
          </w:pPr>
          <w:r>
            <w:rPr>
              <w:rStyle w:val="Vietosrezervavimoenklotekstas"/>
            </w:rPr>
            <w:t>Click here to enter a date.</w:t>
          </w:r>
        </w:p>
      </w:docPartBody>
    </w:docPart>
    <w:docPart>
      <w:docPartPr>
        <w:name w:val="FDD12E7BCBCE4E61A027C722F8846C62"/>
        <w:category>
          <w:name w:val="General"/>
          <w:gallery w:val="placeholder"/>
        </w:category>
        <w:types>
          <w:type w:val="bbPlcHdr"/>
        </w:types>
        <w:behaviors>
          <w:behavior w:val="content"/>
        </w:behaviors>
        <w:guid w:val="{611893BC-53F4-4057-8E54-0C8B44CDC7F2}"/>
      </w:docPartPr>
      <w:docPartBody>
        <w:p w:rsidR="009B7D4C" w:rsidRDefault="00C81F01" w:rsidP="00C81F01">
          <w:pPr>
            <w:pStyle w:val="FDD12E7BCBCE4E61A027C722F8846C62"/>
          </w:pPr>
          <w:r>
            <w:rPr>
              <w:rStyle w:val="Vietosrezervavimoenklotekstas"/>
            </w:rPr>
            <w:t>Click here to enter a date.</w:t>
          </w:r>
        </w:p>
      </w:docPartBody>
    </w:docPart>
    <w:docPart>
      <w:docPartPr>
        <w:name w:val="269D026705A249D5BB21237AAF6EC50E"/>
        <w:category>
          <w:name w:val="General"/>
          <w:gallery w:val="placeholder"/>
        </w:category>
        <w:types>
          <w:type w:val="bbPlcHdr"/>
        </w:types>
        <w:behaviors>
          <w:behavior w:val="content"/>
        </w:behaviors>
        <w:guid w:val="{BAA6CBC7-5C33-4781-8E22-C6A18494B0CF}"/>
      </w:docPartPr>
      <w:docPartBody>
        <w:p w:rsidR="009B7D4C" w:rsidRDefault="00C81F01" w:rsidP="00C81F01">
          <w:pPr>
            <w:pStyle w:val="269D026705A249D5BB21237AAF6EC50E"/>
          </w:pPr>
          <w:r>
            <w:rPr>
              <w:rStyle w:val="Vietosrezervavimoenklotekstas"/>
            </w:rPr>
            <w:t>Click here to enter a date.</w:t>
          </w:r>
        </w:p>
      </w:docPartBody>
    </w:docPart>
    <w:docPart>
      <w:docPartPr>
        <w:name w:val="664108F4A71E433E99F8FE726CD46B38"/>
        <w:category>
          <w:name w:val="General"/>
          <w:gallery w:val="placeholder"/>
        </w:category>
        <w:types>
          <w:type w:val="bbPlcHdr"/>
        </w:types>
        <w:behaviors>
          <w:behavior w:val="content"/>
        </w:behaviors>
        <w:guid w:val="{873C9C5A-7F62-4CD1-A750-39B6B52A40AE}"/>
      </w:docPartPr>
      <w:docPartBody>
        <w:p w:rsidR="009B7D4C" w:rsidRDefault="00C81F01" w:rsidP="00C81F01">
          <w:pPr>
            <w:pStyle w:val="664108F4A71E433E99F8FE726CD46B38"/>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26F03"/>
    <w:rsid w:val="00061157"/>
    <w:rsid w:val="000650C4"/>
    <w:rsid w:val="000937FE"/>
    <w:rsid w:val="000A559A"/>
    <w:rsid w:val="000D24D4"/>
    <w:rsid w:val="0012372F"/>
    <w:rsid w:val="001C35A9"/>
    <w:rsid w:val="001E03DC"/>
    <w:rsid w:val="00213C4A"/>
    <w:rsid w:val="00237556"/>
    <w:rsid w:val="002C5017"/>
    <w:rsid w:val="0039303B"/>
    <w:rsid w:val="003C230A"/>
    <w:rsid w:val="003D045A"/>
    <w:rsid w:val="004144A3"/>
    <w:rsid w:val="004160E7"/>
    <w:rsid w:val="004416C6"/>
    <w:rsid w:val="00460A65"/>
    <w:rsid w:val="00476F65"/>
    <w:rsid w:val="004C189F"/>
    <w:rsid w:val="004F5AB2"/>
    <w:rsid w:val="005074B9"/>
    <w:rsid w:val="00523F57"/>
    <w:rsid w:val="005A355F"/>
    <w:rsid w:val="005E14C4"/>
    <w:rsid w:val="005E40DD"/>
    <w:rsid w:val="007219C1"/>
    <w:rsid w:val="00753462"/>
    <w:rsid w:val="00772325"/>
    <w:rsid w:val="007A2FE0"/>
    <w:rsid w:val="007C6D1D"/>
    <w:rsid w:val="007E48DC"/>
    <w:rsid w:val="0090074D"/>
    <w:rsid w:val="0091487D"/>
    <w:rsid w:val="0096701A"/>
    <w:rsid w:val="009B3BF0"/>
    <w:rsid w:val="009B7D4C"/>
    <w:rsid w:val="009D5E5E"/>
    <w:rsid w:val="009F1BB4"/>
    <w:rsid w:val="00AB6ED4"/>
    <w:rsid w:val="00AC381F"/>
    <w:rsid w:val="00B12C9C"/>
    <w:rsid w:val="00B14210"/>
    <w:rsid w:val="00B23DC0"/>
    <w:rsid w:val="00B32C02"/>
    <w:rsid w:val="00B3308D"/>
    <w:rsid w:val="00B96656"/>
    <w:rsid w:val="00BE29C1"/>
    <w:rsid w:val="00C042EE"/>
    <w:rsid w:val="00C2401D"/>
    <w:rsid w:val="00C53A68"/>
    <w:rsid w:val="00C81F01"/>
    <w:rsid w:val="00CA5BB4"/>
    <w:rsid w:val="00CB34EB"/>
    <w:rsid w:val="00CB4BD1"/>
    <w:rsid w:val="00CE2DA9"/>
    <w:rsid w:val="00CE44BE"/>
    <w:rsid w:val="00D0547A"/>
    <w:rsid w:val="00D4356B"/>
    <w:rsid w:val="00D529C1"/>
    <w:rsid w:val="00D7162F"/>
    <w:rsid w:val="00DB5608"/>
    <w:rsid w:val="00E24F42"/>
    <w:rsid w:val="00E27AB4"/>
    <w:rsid w:val="00E44A86"/>
    <w:rsid w:val="00E522EB"/>
    <w:rsid w:val="00E60827"/>
    <w:rsid w:val="00E6197E"/>
    <w:rsid w:val="00E73FF6"/>
    <w:rsid w:val="00EF6E0C"/>
    <w:rsid w:val="00F4598C"/>
    <w:rsid w:val="00F55028"/>
    <w:rsid w:val="00F77BEF"/>
    <w:rsid w:val="00F82096"/>
    <w:rsid w:val="00FC755C"/>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81F01"/>
    <w:rPr>
      <w:color w:val="808080"/>
    </w:rPr>
  </w:style>
  <w:style w:type="paragraph" w:customStyle="1" w:styleId="F3B1ADE96A8F4BA5A9179EEE75D5871A">
    <w:name w:val="F3B1ADE96A8F4BA5A9179EEE75D5871A"/>
    <w:rsid w:val="007E48DC"/>
  </w:style>
  <w:style w:type="paragraph" w:customStyle="1" w:styleId="2FD2F344FB99431D8821350069EE978D">
    <w:name w:val="2FD2F344FB99431D8821350069EE978D"/>
    <w:rsid w:val="00C81F01"/>
    <w:pPr>
      <w:spacing w:line="278" w:lineRule="auto"/>
    </w:pPr>
    <w:rPr>
      <w:kern w:val="2"/>
      <w:sz w:val="24"/>
      <w:szCs w:val="24"/>
      <w:lang w:val="en-US" w:eastAsia="en-US"/>
      <w14:ligatures w14:val="standardContextual"/>
    </w:rPr>
  </w:style>
  <w:style w:type="paragraph" w:customStyle="1" w:styleId="FDD12E7BCBCE4E61A027C722F8846C62">
    <w:name w:val="FDD12E7BCBCE4E61A027C722F8846C62"/>
    <w:rsid w:val="00C81F01"/>
    <w:pPr>
      <w:spacing w:line="278" w:lineRule="auto"/>
    </w:pPr>
    <w:rPr>
      <w:kern w:val="2"/>
      <w:sz w:val="24"/>
      <w:szCs w:val="24"/>
      <w:lang w:val="en-US" w:eastAsia="en-US"/>
      <w14:ligatures w14:val="standardContextual"/>
    </w:rPr>
  </w:style>
  <w:style w:type="paragraph" w:customStyle="1" w:styleId="269D026705A249D5BB21237AAF6EC50E">
    <w:name w:val="269D026705A249D5BB21237AAF6EC50E"/>
    <w:rsid w:val="00C81F01"/>
    <w:pPr>
      <w:spacing w:line="278" w:lineRule="auto"/>
    </w:pPr>
    <w:rPr>
      <w:kern w:val="2"/>
      <w:sz w:val="24"/>
      <w:szCs w:val="24"/>
      <w:lang w:val="en-US" w:eastAsia="en-US"/>
      <w14:ligatures w14:val="standardContextual"/>
    </w:rPr>
  </w:style>
  <w:style w:type="paragraph" w:customStyle="1" w:styleId="664108F4A71E433E99F8FE726CD46B38">
    <w:name w:val="664108F4A71E433E99F8FE726CD46B38"/>
    <w:rsid w:val="00C81F01"/>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95FC5-DF0E-4D15-9AFC-21B35FA27DA7}">
  <ds:schemaRefs>
    <ds:schemaRef ds:uri="http://schemas.openxmlformats.org/officeDocument/2006/bibliography"/>
  </ds:schemaRefs>
</ds:datastoreItem>
</file>

<file path=docMetadata/LabelInfo.xml><?xml version="1.0" encoding="utf-8"?>
<clbl:labelList xmlns:clbl="http://schemas.microsoft.com/office/2020/mipLabelMetadata">
  <clbl:label id="{3ca48ea3-8c75-4d36-b64f-70604b11fd22}"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13310</Words>
  <Characters>7588</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2025-03-16T11:14:00Z</dcterms:created>
  <dcterms:modified xsi:type="dcterms:W3CDTF">2025-03-20T06:30:00Z</dcterms:modified>
</cp:coreProperties>
</file>