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FFFDA" w14:textId="77777777" w:rsidR="00700D6D" w:rsidRDefault="00700D6D" w:rsidP="00700D6D">
      <w:pPr>
        <w:ind w:left="5529"/>
      </w:pPr>
    </w:p>
    <w:p w14:paraId="1CA4C692" w14:textId="77777777" w:rsidR="005614EF" w:rsidRDefault="005614EF" w:rsidP="005614EF">
      <w:pPr>
        <w:ind w:left="5529"/>
      </w:pPr>
    </w:p>
    <w:p w14:paraId="78628F8D" w14:textId="77777777" w:rsidR="005614EF" w:rsidRPr="00E33EFF" w:rsidRDefault="005614EF" w:rsidP="005614EF">
      <w:pPr>
        <w:ind w:left="6096"/>
      </w:pPr>
      <w:r w:rsidRPr="00E33EFF">
        <w:t>Forma patvirtinta</w:t>
      </w:r>
    </w:p>
    <w:p w14:paraId="7829FD1F" w14:textId="77777777" w:rsidR="005614EF" w:rsidRPr="00E33EFF" w:rsidRDefault="005614EF" w:rsidP="005614EF">
      <w:pPr>
        <w:ind w:left="6096"/>
      </w:pPr>
      <w:r w:rsidRPr="00E33EFF">
        <w:t>Valstybinės vaistų kontrolės tarnybos prie Lietuvos Respublikos sveikatos apsaugos ministerijos viršininko 2021 m. lapkričio 12 d. įsakymu Nr. (1.72E)1A-1418</w:t>
      </w:r>
    </w:p>
    <w:p w14:paraId="7DE0737D" w14:textId="77777777" w:rsidR="005614EF" w:rsidRPr="00E33EFF" w:rsidRDefault="005614EF" w:rsidP="005614EF">
      <w:pPr>
        <w:ind w:left="6096"/>
      </w:pPr>
      <w:r w:rsidRPr="00E33EFF">
        <w:t>(Valstybinės vaistų kontrolės tarnybos prie Lietuvos Respublikos sveikatos apsaugos ministerijos viršininko 2022 m.                         d. įsakymo Nr.                    redakcija)</w:t>
      </w:r>
    </w:p>
    <w:p w14:paraId="26BB6B89" w14:textId="77777777" w:rsidR="005614EF" w:rsidRPr="00E33EFF" w:rsidRDefault="005614EF" w:rsidP="005614EF"/>
    <w:p w14:paraId="7F193A9C" w14:textId="77777777" w:rsidR="005614EF" w:rsidRPr="00E33EFF" w:rsidRDefault="005614EF" w:rsidP="005614EF">
      <w:pPr>
        <w:jc w:val="center"/>
        <w:rPr>
          <w:b/>
          <w:bCs/>
          <w:caps/>
        </w:rPr>
      </w:pPr>
      <w:r w:rsidRPr="00E33EFF">
        <w:rPr>
          <w:b/>
        </w:rPr>
        <w:t xml:space="preserve">REKOMENDACIJA DĖL VAISTINIO PREPARATO </w:t>
      </w:r>
      <w:r w:rsidRPr="00E33EFF">
        <w:rPr>
          <w:b/>
          <w:bCs/>
          <w:caps/>
        </w:rPr>
        <w:t>Lietuvos Respublikos Sveikatos apsaugos ministerijos vaistinių preparatų ir medicinos pagalbos priemonių kompensavimo komisijai</w:t>
      </w:r>
    </w:p>
    <w:p w14:paraId="05EA7CB2" w14:textId="77777777" w:rsidR="005614EF" w:rsidRDefault="005614EF" w:rsidP="005614EF">
      <w:pPr>
        <w:rPr>
          <w:b/>
        </w:rPr>
      </w:pPr>
    </w:p>
    <w:p w14:paraId="0FBE5C42" w14:textId="77777777" w:rsidR="005614EF" w:rsidRDefault="005614EF" w:rsidP="005614EF">
      <w:pPr>
        <w:jc w:val="center"/>
        <w:rPr>
          <w:rFonts w:eastAsia="Arial"/>
          <w:b/>
          <w:bCs/>
          <w:color w:val="000000"/>
        </w:rPr>
      </w:pPr>
      <w:bookmarkStart w:id="0" w:name="_Hlk175083986"/>
      <w:r w:rsidRPr="003D0859">
        <w:rPr>
          <w:rFonts w:eastAsia="Arial"/>
          <w:b/>
          <w:bCs/>
          <w:color w:val="000000"/>
        </w:rPr>
        <w:t>Tibsovo 250 mg plėvele dengtos tabletės</w:t>
      </w:r>
    </w:p>
    <w:p w14:paraId="14E60E2C" w14:textId="77777777" w:rsidR="005614EF" w:rsidRPr="003D0859" w:rsidRDefault="005614EF" w:rsidP="005614EF">
      <w:pPr>
        <w:jc w:val="center"/>
        <w:rPr>
          <w:rFonts w:eastAsia="Arial"/>
          <w:b/>
          <w:bCs/>
          <w:color w:val="000000"/>
        </w:rPr>
      </w:pPr>
    </w:p>
    <w:p w14:paraId="58BA5851" w14:textId="77777777" w:rsidR="005614EF" w:rsidRDefault="005614EF" w:rsidP="005614EF">
      <w:pPr>
        <w:jc w:val="center"/>
        <w:rPr>
          <w:b/>
        </w:rPr>
      </w:pPr>
      <w:r w:rsidRPr="003D0859">
        <w:rPr>
          <w:b/>
        </w:rPr>
        <w:t>Ivosidenibas</w:t>
      </w:r>
    </w:p>
    <w:p w14:paraId="7FDB0D50" w14:textId="77777777" w:rsidR="005614EF" w:rsidRPr="003D0859" w:rsidRDefault="005614EF" w:rsidP="005614EF">
      <w:pPr>
        <w:jc w:val="center"/>
        <w:rPr>
          <w:b/>
        </w:rPr>
      </w:pPr>
    </w:p>
    <w:p w14:paraId="119AB9DD" w14:textId="77777777" w:rsidR="005614EF" w:rsidRPr="003D0859" w:rsidRDefault="005614EF" w:rsidP="005614EF">
      <w:pPr>
        <w:jc w:val="center"/>
        <w:rPr>
          <w:b/>
        </w:rPr>
      </w:pPr>
      <w:r w:rsidRPr="003D0859">
        <w:rPr>
          <w:b/>
        </w:rPr>
        <w:t>STV-158</w:t>
      </w:r>
    </w:p>
    <w:bookmarkEnd w:id="0"/>
    <w:p w14:paraId="77D91A3D" w14:textId="77777777" w:rsidR="005614EF" w:rsidRPr="00E33EFF" w:rsidRDefault="005614EF" w:rsidP="005614EF">
      <w:pPr>
        <w:jc w:val="center"/>
        <w:rPr>
          <w:b/>
        </w:rPr>
      </w:pPr>
    </w:p>
    <w:p w14:paraId="5ED096E3" w14:textId="77777777" w:rsidR="005614EF" w:rsidRPr="00E33EFF" w:rsidRDefault="005614EF" w:rsidP="005614EF">
      <w:pPr>
        <w:pStyle w:val="ListParagraph"/>
        <w:numPr>
          <w:ilvl w:val="0"/>
          <w:numId w:val="12"/>
        </w:numPr>
        <w:tabs>
          <w:tab w:val="left" w:pos="567"/>
        </w:tabs>
        <w:ind w:left="567" w:hanging="567"/>
        <w:rPr>
          <w:b/>
          <w:bCs/>
          <w:caps/>
        </w:rPr>
      </w:pPr>
      <w:r w:rsidRPr="00E33EFF">
        <w:rPr>
          <w:b/>
          <w:bCs/>
          <w:caps/>
        </w:rPr>
        <w:t>Bendroji dalis</w:t>
      </w:r>
    </w:p>
    <w:p w14:paraId="03395EB5" w14:textId="77777777" w:rsidR="005614EF" w:rsidRPr="00E33EFF" w:rsidRDefault="005614EF" w:rsidP="005614EF">
      <w:pPr>
        <w:pStyle w:val="ListParagraph"/>
        <w:tabs>
          <w:tab w:val="left" w:pos="284"/>
        </w:tabs>
        <w:ind w:left="0"/>
        <w:rPr>
          <w:b/>
          <w:bCs/>
          <w:caps/>
        </w:rPr>
      </w:pPr>
    </w:p>
    <w:tbl>
      <w:tblPr>
        <w:tblStyle w:val="TableGrid"/>
        <w:tblW w:w="9493" w:type="dxa"/>
        <w:tblLook w:val="04A0" w:firstRow="1" w:lastRow="0" w:firstColumn="1" w:lastColumn="0" w:noHBand="0" w:noVBand="1"/>
      </w:tblPr>
      <w:tblGrid>
        <w:gridCol w:w="632"/>
        <w:gridCol w:w="3694"/>
        <w:gridCol w:w="5167"/>
      </w:tblGrid>
      <w:tr w:rsidR="005614EF" w:rsidRPr="006067D9" w14:paraId="4F7D0AA8" w14:textId="77777777" w:rsidTr="00D06E00">
        <w:trPr>
          <w:trHeight w:val="538"/>
        </w:trPr>
        <w:tc>
          <w:tcPr>
            <w:tcW w:w="632" w:type="dxa"/>
          </w:tcPr>
          <w:p w14:paraId="4AF2E9DE" w14:textId="77777777" w:rsidR="005614EF" w:rsidRPr="006067D9" w:rsidRDefault="005614EF" w:rsidP="00D06E00">
            <w:pPr>
              <w:rPr>
                <w:rFonts w:eastAsia="Arial"/>
              </w:rPr>
            </w:pPr>
            <w:r w:rsidRPr="006067D9">
              <w:rPr>
                <w:rFonts w:eastAsia="Arial"/>
              </w:rPr>
              <w:t>1.1</w:t>
            </w:r>
          </w:p>
        </w:tc>
        <w:tc>
          <w:tcPr>
            <w:tcW w:w="3694" w:type="dxa"/>
          </w:tcPr>
          <w:p w14:paraId="6402D89E" w14:textId="77777777" w:rsidR="005614EF" w:rsidRPr="006067D9" w:rsidRDefault="005614EF" w:rsidP="00D06E00">
            <w:pPr>
              <w:rPr>
                <w:rFonts w:eastAsia="Arial"/>
              </w:rPr>
            </w:pPr>
            <w:r w:rsidRPr="006067D9">
              <w:rPr>
                <w:rFonts w:eastAsia="Arial"/>
              </w:rPr>
              <w:t>Pareiškėjas</w:t>
            </w:r>
          </w:p>
          <w:p w14:paraId="5C3D169D" w14:textId="77777777" w:rsidR="005614EF" w:rsidRPr="006067D9" w:rsidRDefault="005614EF" w:rsidP="00D06E00">
            <w:pPr>
              <w:rPr>
                <w:rFonts w:eastAsia="Arial"/>
              </w:rPr>
            </w:pPr>
          </w:p>
        </w:tc>
        <w:tc>
          <w:tcPr>
            <w:tcW w:w="5167" w:type="dxa"/>
          </w:tcPr>
          <w:p w14:paraId="2E99707C" w14:textId="77777777" w:rsidR="005614EF" w:rsidRPr="004F3F16" w:rsidRDefault="005614EF" w:rsidP="00D06E00">
            <w:pPr>
              <w:rPr>
                <w:rFonts w:eastAsia="Arial"/>
              </w:rPr>
            </w:pPr>
            <w:r w:rsidRPr="003D0859">
              <w:t>UAB „Servier Pharma“</w:t>
            </w:r>
          </w:p>
        </w:tc>
      </w:tr>
      <w:tr w:rsidR="005614EF" w:rsidRPr="006067D9" w14:paraId="1C4FB06C" w14:textId="77777777" w:rsidTr="00D06E00">
        <w:trPr>
          <w:trHeight w:val="538"/>
        </w:trPr>
        <w:tc>
          <w:tcPr>
            <w:tcW w:w="632" w:type="dxa"/>
          </w:tcPr>
          <w:p w14:paraId="0B0E9F0F" w14:textId="77777777" w:rsidR="005614EF" w:rsidRPr="006067D9" w:rsidRDefault="005614EF" w:rsidP="00D06E00">
            <w:pPr>
              <w:rPr>
                <w:rFonts w:eastAsia="Arial"/>
              </w:rPr>
            </w:pPr>
            <w:r w:rsidRPr="006067D9">
              <w:rPr>
                <w:rFonts w:eastAsia="Arial"/>
              </w:rPr>
              <w:t>1.2</w:t>
            </w:r>
          </w:p>
        </w:tc>
        <w:tc>
          <w:tcPr>
            <w:tcW w:w="3694" w:type="dxa"/>
          </w:tcPr>
          <w:p w14:paraId="4AF8B5A0" w14:textId="77777777" w:rsidR="005614EF" w:rsidRPr="006067D9" w:rsidRDefault="005614EF" w:rsidP="00D06E00">
            <w:pPr>
              <w:rPr>
                <w:bCs/>
                <w:color w:val="000000"/>
                <w:lang w:eastAsia="lt-LT"/>
              </w:rPr>
            </w:pPr>
            <w:r w:rsidRPr="006067D9">
              <w:rPr>
                <w:bCs/>
                <w:color w:val="000000"/>
                <w:lang w:eastAsia="lt-LT"/>
              </w:rPr>
              <w:t xml:space="preserve">Registracijos data </w:t>
            </w:r>
          </w:p>
          <w:p w14:paraId="425C9749" w14:textId="77777777" w:rsidR="005614EF" w:rsidRPr="006067D9" w:rsidRDefault="005614EF" w:rsidP="00D06E00">
            <w:pPr>
              <w:rPr>
                <w:bCs/>
                <w:color w:val="000000"/>
                <w:lang w:eastAsia="lt-LT"/>
              </w:rPr>
            </w:pPr>
          </w:p>
        </w:tc>
        <w:tc>
          <w:tcPr>
            <w:tcW w:w="5167" w:type="dxa"/>
          </w:tcPr>
          <w:p w14:paraId="7524B564" w14:textId="77777777" w:rsidR="005614EF" w:rsidRPr="004F3F16" w:rsidRDefault="00BC7B2E" w:rsidP="00D06E00">
            <w:pPr>
              <w:rPr>
                <w:rStyle w:val="Style2"/>
                <w:sz w:val="24"/>
              </w:rPr>
            </w:pPr>
            <w:sdt>
              <w:sdtPr>
                <w:rPr>
                  <w:sz w:val="32"/>
                </w:rPr>
                <w:alias w:val="Nurodykite konkrečią dieną"/>
                <w:tag w:val="Nurodykite pradžios datą"/>
                <w:id w:val="423238108"/>
                <w:placeholder>
                  <w:docPart w:val="B950ABEBE75D4CCDB67A844FA6EA1492"/>
                </w:placeholder>
                <w15:color w:val="FFCC99"/>
                <w:date>
                  <w:dateFormat w:val="yyyy 'm.' MMMM d 'd.'"/>
                  <w:lid w:val="lt-LT"/>
                  <w:storeMappedDataAs w:val="dateTime"/>
                  <w:calendar w:val="gregorian"/>
                </w:date>
              </w:sdtPr>
              <w:sdtEndPr/>
              <w:sdtContent>
                <w:r w:rsidR="005614EF" w:rsidRPr="003D0859">
                  <w:t>2023 m. gegužės 4 d.</w:t>
                </w:r>
              </w:sdtContent>
            </w:sdt>
          </w:p>
        </w:tc>
      </w:tr>
      <w:tr w:rsidR="005614EF" w:rsidRPr="006067D9" w14:paraId="272BEA2C" w14:textId="77777777" w:rsidTr="00D06E00">
        <w:trPr>
          <w:trHeight w:val="96"/>
        </w:trPr>
        <w:tc>
          <w:tcPr>
            <w:tcW w:w="632" w:type="dxa"/>
          </w:tcPr>
          <w:p w14:paraId="382FD2B6" w14:textId="77777777" w:rsidR="005614EF" w:rsidRPr="006067D9" w:rsidRDefault="005614EF" w:rsidP="00D06E00">
            <w:pPr>
              <w:rPr>
                <w:rFonts w:eastAsia="Arial"/>
              </w:rPr>
            </w:pPr>
            <w:r w:rsidRPr="006067D9">
              <w:rPr>
                <w:rFonts w:eastAsia="Arial"/>
              </w:rPr>
              <w:t>1.3</w:t>
            </w:r>
          </w:p>
        </w:tc>
        <w:tc>
          <w:tcPr>
            <w:tcW w:w="3694" w:type="dxa"/>
          </w:tcPr>
          <w:p w14:paraId="1DB361CB" w14:textId="77777777" w:rsidR="005614EF" w:rsidRPr="006067D9" w:rsidRDefault="005614EF" w:rsidP="00D06E00">
            <w:r w:rsidRPr="006067D9">
              <w:t xml:space="preserve">Paraiškos tipas </w:t>
            </w:r>
          </w:p>
          <w:p w14:paraId="05BB5BC7" w14:textId="7A64DAD3" w:rsidR="005614EF" w:rsidRPr="006067D9" w:rsidRDefault="005614EF" w:rsidP="00D06E00">
            <w:r w:rsidRPr="05914237">
              <w:t xml:space="preserve">(pagal </w:t>
            </w:r>
            <w:r w:rsidRPr="05914237">
              <w:rPr>
                <w:color w:val="333333"/>
                <w:shd w:val="clear" w:color="auto" w:fill="FFFFFF"/>
              </w:rPr>
              <w:t>vaistinio preparato registracijos tipą, įtvirtintą</w:t>
            </w:r>
            <w:r w:rsidRPr="05914237">
              <w:t xml:space="preserve"> Direktyvos 2001/83/EB straips</w:t>
            </w:r>
            <w:r w:rsidR="00BC7321">
              <w:t>n</w:t>
            </w:r>
            <w:r w:rsidRPr="05914237">
              <w:t>iuose)</w:t>
            </w:r>
          </w:p>
        </w:tc>
        <w:tc>
          <w:tcPr>
            <w:tcW w:w="5167" w:type="dxa"/>
          </w:tcPr>
          <w:p w14:paraId="7FBC8927" w14:textId="77777777" w:rsidR="005614EF" w:rsidRPr="004F3F16" w:rsidRDefault="00BC7B2E" w:rsidP="00D06E00">
            <w:sdt>
              <w:sdtPr>
                <w:rPr>
                  <w:rStyle w:val="Style2"/>
                  <w:sz w:val="24"/>
                </w:rPr>
                <w:id w:val="526292078"/>
                <w15:color w:val="FFCC00"/>
                <w14:checkbox>
                  <w14:checked w14:val="1"/>
                  <w14:checkedState w14:val="2612" w14:font="MS Gothic"/>
                  <w14:uncheckedState w14:val="2610" w14:font="MS Gothic"/>
                </w14:checkbox>
              </w:sdtPr>
              <w:sdtEndPr>
                <w:rPr>
                  <w:rStyle w:val="Style2"/>
                </w:rPr>
              </w:sdtEndPr>
              <w:sdtContent>
                <w:r w:rsidR="005614EF" w:rsidRPr="004F3F16">
                  <w:rPr>
                    <w:rStyle w:val="Style2"/>
                    <w:rFonts w:ascii="MS Gothic" w:eastAsia="MS Gothic" w:hAnsi="MS Gothic" w:hint="eastAsia"/>
                    <w:sz w:val="24"/>
                  </w:rPr>
                  <w:t>☒</w:t>
                </w:r>
              </w:sdtContent>
            </w:sdt>
            <w:r w:rsidR="005614EF" w:rsidRPr="004F3F16">
              <w:t xml:space="preserve">8.3 str. (pilna byla, pagrįsta savais tyrimais) </w:t>
            </w:r>
          </w:p>
          <w:p w14:paraId="7EE68F48" w14:textId="77777777" w:rsidR="005614EF" w:rsidRPr="004F3F16" w:rsidRDefault="00BC7B2E" w:rsidP="00D06E00">
            <w:sdt>
              <w:sdtPr>
                <w:rPr>
                  <w:rStyle w:val="Style2"/>
                  <w:sz w:val="24"/>
                </w:rPr>
                <w:id w:val="-1497953736"/>
                <w15:color w:val="FFCC00"/>
                <w14:checkbox>
                  <w14:checked w14:val="0"/>
                  <w14:checkedState w14:val="2612" w14:font="MS Gothic"/>
                  <w14:uncheckedState w14:val="2610" w14:font="MS Gothic"/>
                </w14:checkbox>
              </w:sdtPr>
              <w:sdtEndPr>
                <w:rPr>
                  <w:rStyle w:val="Style2"/>
                </w:rPr>
              </w:sdtEndPr>
              <w:sdtContent>
                <w:r w:rsidR="005614EF" w:rsidRPr="004F3F16">
                  <w:rPr>
                    <w:rStyle w:val="Style2"/>
                    <w:rFonts w:ascii="MS Gothic" w:eastAsia="MS Gothic" w:hAnsi="MS Gothic" w:hint="eastAsia"/>
                    <w:sz w:val="24"/>
                  </w:rPr>
                  <w:t>☐</w:t>
                </w:r>
              </w:sdtContent>
            </w:sdt>
            <w:r w:rsidR="005614EF" w:rsidRPr="004F3F16">
              <w:t xml:space="preserve">10 a str. (pripažintas medicininis vartojimas) </w:t>
            </w:r>
          </w:p>
          <w:p w14:paraId="6E13AF92" w14:textId="77777777" w:rsidR="005614EF" w:rsidRPr="004F3F16" w:rsidRDefault="00BC7B2E" w:rsidP="00D06E00">
            <w:sdt>
              <w:sdtPr>
                <w:rPr>
                  <w:rStyle w:val="Style2"/>
                  <w:sz w:val="24"/>
                </w:rPr>
                <w:id w:val="204142496"/>
                <w15:color w:val="FFCC00"/>
                <w14:checkbox>
                  <w14:checked w14:val="0"/>
                  <w14:checkedState w14:val="2612" w14:font="MS Gothic"/>
                  <w14:uncheckedState w14:val="2610" w14:font="MS Gothic"/>
                </w14:checkbox>
              </w:sdtPr>
              <w:sdtEndPr>
                <w:rPr>
                  <w:rStyle w:val="Style2"/>
                </w:rPr>
              </w:sdtEndPr>
              <w:sdtContent>
                <w:r w:rsidR="005614EF" w:rsidRPr="004F3F16">
                  <w:rPr>
                    <w:rStyle w:val="Style2"/>
                    <w:rFonts w:ascii="MS Gothic" w:eastAsia="MS Gothic" w:hAnsi="MS Gothic" w:hint="eastAsia"/>
                    <w:sz w:val="24"/>
                  </w:rPr>
                  <w:t>☐</w:t>
                </w:r>
              </w:sdtContent>
            </w:sdt>
            <w:r w:rsidR="005614EF" w:rsidRPr="004F3F16">
              <w:t>10.1 str. (generinis)</w:t>
            </w:r>
          </w:p>
          <w:p w14:paraId="04435BF8" w14:textId="77777777" w:rsidR="005614EF" w:rsidRPr="004F3F16" w:rsidRDefault="00BC7B2E" w:rsidP="00D06E00">
            <w:pPr>
              <w:rPr>
                <w:rStyle w:val="Style2"/>
                <w:sz w:val="24"/>
              </w:rPr>
            </w:pPr>
            <w:sdt>
              <w:sdtPr>
                <w:rPr>
                  <w:rStyle w:val="Style2"/>
                  <w:sz w:val="24"/>
                </w:rPr>
                <w:id w:val="820305101"/>
                <w15:color w:val="FFCC00"/>
                <w14:checkbox>
                  <w14:checked w14:val="0"/>
                  <w14:checkedState w14:val="2612" w14:font="MS Gothic"/>
                  <w14:uncheckedState w14:val="2610" w14:font="MS Gothic"/>
                </w14:checkbox>
              </w:sdtPr>
              <w:sdtEndPr>
                <w:rPr>
                  <w:rStyle w:val="Style2"/>
                </w:rPr>
              </w:sdtEndPr>
              <w:sdtContent>
                <w:r w:rsidR="005614EF" w:rsidRPr="004F3F16">
                  <w:rPr>
                    <w:rStyle w:val="Style2"/>
                    <w:rFonts w:ascii="MS Gothic" w:eastAsia="MS Gothic" w:hAnsi="MS Gothic" w:hint="eastAsia"/>
                    <w:sz w:val="24"/>
                  </w:rPr>
                  <w:t>☐</w:t>
                </w:r>
              </w:sdtContent>
            </w:sdt>
            <w:r w:rsidR="005614EF" w:rsidRPr="004F3F16">
              <w:t>10.3 str. (hibridinis)</w:t>
            </w:r>
          </w:p>
        </w:tc>
      </w:tr>
      <w:tr w:rsidR="005614EF" w:rsidRPr="006067D9" w14:paraId="0C95BDB7" w14:textId="77777777" w:rsidTr="00D06E00">
        <w:trPr>
          <w:trHeight w:val="96"/>
        </w:trPr>
        <w:tc>
          <w:tcPr>
            <w:tcW w:w="632" w:type="dxa"/>
          </w:tcPr>
          <w:p w14:paraId="5AC372D9" w14:textId="77777777" w:rsidR="005614EF" w:rsidRPr="006067D9" w:rsidRDefault="005614EF" w:rsidP="00D06E00">
            <w:pPr>
              <w:rPr>
                <w:rFonts w:eastAsia="Arial"/>
              </w:rPr>
            </w:pPr>
            <w:r w:rsidRPr="006067D9">
              <w:rPr>
                <w:rFonts w:eastAsia="Arial"/>
              </w:rPr>
              <w:t>1.4</w:t>
            </w:r>
          </w:p>
        </w:tc>
        <w:tc>
          <w:tcPr>
            <w:tcW w:w="3694" w:type="dxa"/>
          </w:tcPr>
          <w:p w14:paraId="1719D902" w14:textId="77777777" w:rsidR="005614EF" w:rsidRPr="006067D9" w:rsidRDefault="005614EF" w:rsidP="00D06E00">
            <w:pPr>
              <w:rPr>
                <w:bCs/>
                <w:color w:val="000000"/>
                <w:lang w:eastAsia="lt-LT"/>
              </w:rPr>
            </w:pPr>
            <w:r w:rsidRPr="006067D9">
              <w:rPr>
                <w:bCs/>
                <w:color w:val="000000"/>
                <w:lang w:eastAsia="lt-LT"/>
              </w:rPr>
              <w:t xml:space="preserve">Ar vaistinis preparatas įrašytas į Bendrijos retųjų vaistinių preparatų registrą? </w:t>
            </w:r>
          </w:p>
        </w:tc>
        <w:tc>
          <w:tcPr>
            <w:tcW w:w="5167" w:type="dxa"/>
          </w:tcPr>
          <w:p w14:paraId="55A6E3F6" w14:textId="77777777" w:rsidR="005614EF" w:rsidRPr="004F3F16" w:rsidRDefault="00BC7B2E" w:rsidP="00D06E00">
            <w:sdt>
              <w:sdtPr>
                <w:rPr>
                  <w:rStyle w:val="Style2"/>
                  <w:sz w:val="24"/>
                </w:rPr>
                <w:id w:val="2024432173"/>
                <w15:color w:val="FFCC00"/>
                <w14:checkbox>
                  <w14:checked w14:val="1"/>
                  <w14:checkedState w14:val="2612" w14:font="MS Gothic"/>
                  <w14:uncheckedState w14:val="2610" w14:font="MS Gothic"/>
                </w14:checkbox>
              </w:sdtPr>
              <w:sdtEndPr>
                <w:rPr>
                  <w:rStyle w:val="Style2"/>
                </w:rPr>
              </w:sdtEndPr>
              <w:sdtContent>
                <w:r w:rsidR="005614EF">
                  <w:rPr>
                    <w:rStyle w:val="Style2"/>
                    <w:rFonts w:ascii="MS Gothic" w:eastAsia="MS Gothic" w:hAnsi="MS Gothic" w:hint="eastAsia"/>
                    <w:sz w:val="24"/>
                  </w:rPr>
                  <w:t>☒</w:t>
                </w:r>
              </w:sdtContent>
            </w:sdt>
            <w:r w:rsidR="005614EF" w:rsidRPr="004F3F16">
              <w:t xml:space="preserve"> Taip</w:t>
            </w:r>
          </w:p>
          <w:p w14:paraId="7E844415" w14:textId="77777777" w:rsidR="005614EF" w:rsidRPr="004F3F16" w:rsidRDefault="00BC7B2E" w:rsidP="00D06E00">
            <w:sdt>
              <w:sdtPr>
                <w:rPr>
                  <w:rStyle w:val="Style2"/>
                  <w:sz w:val="24"/>
                </w:rPr>
                <w:id w:val="-970507926"/>
                <w15:color w:val="FFCC00"/>
                <w14:checkbox>
                  <w14:checked w14:val="0"/>
                  <w14:checkedState w14:val="2612" w14:font="MS Gothic"/>
                  <w14:uncheckedState w14:val="2610" w14:font="MS Gothic"/>
                </w14:checkbox>
              </w:sdtPr>
              <w:sdtEndPr>
                <w:rPr>
                  <w:rStyle w:val="Style2"/>
                </w:rPr>
              </w:sdtEndPr>
              <w:sdtContent>
                <w:r w:rsidR="005614EF">
                  <w:rPr>
                    <w:rStyle w:val="Style2"/>
                    <w:rFonts w:ascii="MS Gothic" w:eastAsia="MS Gothic" w:hAnsi="MS Gothic" w:hint="eastAsia"/>
                    <w:sz w:val="24"/>
                  </w:rPr>
                  <w:t>☐</w:t>
                </w:r>
              </w:sdtContent>
            </w:sdt>
            <w:r w:rsidR="005614EF" w:rsidRPr="004F3F16">
              <w:t xml:space="preserve"> Ne</w:t>
            </w:r>
          </w:p>
          <w:p w14:paraId="3334D32A" w14:textId="77777777" w:rsidR="005614EF" w:rsidRPr="004F3F16" w:rsidRDefault="00BC7B2E" w:rsidP="00D06E00">
            <w:pPr>
              <w:rPr>
                <w:rFonts w:eastAsia="Arial"/>
              </w:rPr>
            </w:pPr>
            <w:sdt>
              <w:sdtPr>
                <w:alias w:val="Nurodykite konkrečią dieną"/>
                <w:tag w:val="Nurodykite pradžios datą"/>
                <w:id w:val="693498901"/>
                <w:placeholder>
                  <w:docPart w:val="E4ACCADE12E14D1A860F367BEA5E0A59"/>
                </w:placeholder>
                <w15:color w:val="FFCC99"/>
                <w:date>
                  <w:dateFormat w:val="yyyy 'm.' MMMM d 'd.'"/>
                  <w:lid w:val="lt-LT"/>
                  <w:storeMappedDataAs w:val="dateTime"/>
                  <w:calendar w:val="gregorian"/>
                </w:date>
              </w:sdtPr>
              <w:sdtEndPr/>
              <w:sdtContent>
                <w:r w:rsidR="005614EF">
                  <w:t>2023 m. gegužės 08 d.</w:t>
                </w:r>
              </w:sdtContent>
            </w:sdt>
          </w:p>
        </w:tc>
      </w:tr>
      <w:tr w:rsidR="005614EF" w:rsidRPr="006067D9" w14:paraId="4B38161D" w14:textId="77777777" w:rsidTr="00D06E00">
        <w:trPr>
          <w:trHeight w:val="476"/>
        </w:trPr>
        <w:tc>
          <w:tcPr>
            <w:tcW w:w="632" w:type="dxa"/>
          </w:tcPr>
          <w:p w14:paraId="679BC595" w14:textId="77777777" w:rsidR="005614EF" w:rsidRPr="006067D9" w:rsidRDefault="005614EF" w:rsidP="00D06E00">
            <w:pPr>
              <w:rPr>
                <w:rFonts w:eastAsia="Arial"/>
              </w:rPr>
            </w:pPr>
            <w:r w:rsidRPr="006067D9">
              <w:rPr>
                <w:rFonts w:eastAsia="Arial"/>
              </w:rPr>
              <w:t>1.5</w:t>
            </w:r>
          </w:p>
        </w:tc>
        <w:tc>
          <w:tcPr>
            <w:tcW w:w="3694" w:type="dxa"/>
          </w:tcPr>
          <w:p w14:paraId="5DF7D67E" w14:textId="77777777" w:rsidR="005614EF" w:rsidRPr="006067D9" w:rsidRDefault="005614EF" w:rsidP="00D06E00">
            <w:pPr>
              <w:rPr>
                <w:bCs/>
                <w:color w:val="000000"/>
                <w:lang w:eastAsia="lt-LT"/>
              </w:rPr>
            </w:pPr>
            <w:r w:rsidRPr="006067D9">
              <w:t>STV paraiškos pobūdis</w:t>
            </w:r>
          </w:p>
        </w:tc>
        <w:tc>
          <w:tcPr>
            <w:tcW w:w="5167" w:type="dxa"/>
          </w:tcPr>
          <w:p w14:paraId="07EC9929" w14:textId="77777777" w:rsidR="005614EF" w:rsidRPr="004F3F16" w:rsidRDefault="00BC7B2E" w:rsidP="00D06E00">
            <w:sdt>
              <w:sdtPr>
                <w:rPr>
                  <w:rStyle w:val="Style2"/>
                  <w:sz w:val="24"/>
                </w:rPr>
                <w:id w:val="-468433535"/>
                <w15:color w:val="FFCC00"/>
                <w14:checkbox>
                  <w14:checked w14:val="1"/>
                  <w14:checkedState w14:val="2612" w14:font="MS Gothic"/>
                  <w14:uncheckedState w14:val="2610" w14:font="MS Gothic"/>
                </w14:checkbox>
              </w:sdtPr>
              <w:sdtEndPr>
                <w:rPr>
                  <w:rStyle w:val="Style2"/>
                </w:rPr>
              </w:sdtEndPr>
              <w:sdtContent>
                <w:r w:rsidR="005614EF" w:rsidRPr="004F3F16">
                  <w:rPr>
                    <w:rStyle w:val="Style2"/>
                    <w:rFonts w:ascii="MS Gothic" w:eastAsia="MS Gothic" w:hAnsi="MS Gothic" w:hint="eastAsia"/>
                    <w:sz w:val="24"/>
                  </w:rPr>
                  <w:t>☒</w:t>
                </w:r>
              </w:sdtContent>
            </w:sdt>
            <w:r w:rsidR="005614EF" w:rsidRPr="004F3F16">
              <w:t xml:space="preserve"> Pilna paraiška</w:t>
            </w:r>
          </w:p>
          <w:p w14:paraId="1ABC7743" w14:textId="77777777" w:rsidR="005614EF" w:rsidRPr="004F3F16" w:rsidRDefault="00BC7B2E" w:rsidP="00D06E00">
            <w:sdt>
              <w:sdtPr>
                <w:rPr>
                  <w:rStyle w:val="Style2"/>
                  <w:sz w:val="24"/>
                </w:rPr>
                <w:id w:val="-1489014904"/>
                <w15:color w:val="FFCC00"/>
                <w14:checkbox>
                  <w14:checked w14:val="0"/>
                  <w14:checkedState w14:val="2612" w14:font="MS Gothic"/>
                  <w14:uncheckedState w14:val="2610" w14:font="MS Gothic"/>
                </w14:checkbox>
              </w:sdtPr>
              <w:sdtEndPr>
                <w:rPr>
                  <w:rStyle w:val="Style2"/>
                </w:rPr>
              </w:sdtEndPr>
              <w:sdtContent>
                <w:r w:rsidR="005614EF" w:rsidRPr="004F3F16">
                  <w:rPr>
                    <w:rStyle w:val="Style2"/>
                    <w:rFonts w:ascii="MS Gothic" w:eastAsia="MS Gothic" w:hAnsi="MS Gothic" w:hint="eastAsia"/>
                    <w:sz w:val="24"/>
                  </w:rPr>
                  <w:t>☐</w:t>
                </w:r>
              </w:sdtContent>
            </w:sdt>
            <w:r w:rsidR="005614EF" w:rsidRPr="004F3F16">
              <w:t xml:space="preserve"> Supaprastinta paraiška</w:t>
            </w:r>
          </w:p>
        </w:tc>
      </w:tr>
      <w:tr w:rsidR="005614EF" w:rsidRPr="006067D9" w14:paraId="2E4E0644" w14:textId="77777777" w:rsidTr="00D06E00">
        <w:trPr>
          <w:trHeight w:val="681"/>
        </w:trPr>
        <w:tc>
          <w:tcPr>
            <w:tcW w:w="632" w:type="dxa"/>
          </w:tcPr>
          <w:p w14:paraId="41B52908" w14:textId="77777777" w:rsidR="005614EF" w:rsidRPr="006067D9" w:rsidRDefault="005614EF" w:rsidP="00D06E00">
            <w:pPr>
              <w:rPr>
                <w:rFonts w:eastAsia="Arial"/>
              </w:rPr>
            </w:pPr>
            <w:r w:rsidRPr="006067D9">
              <w:rPr>
                <w:rFonts w:eastAsia="Arial"/>
              </w:rPr>
              <w:t>1.6</w:t>
            </w:r>
          </w:p>
        </w:tc>
        <w:tc>
          <w:tcPr>
            <w:tcW w:w="3694" w:type="dxa"/>
          </w:tcPr>
          <w:p w14:paraId="5DF3F138" w14:textId="77777777" w:rsidR="005614EF" w:rsidRPr="006067D9" w:rsidRDefault="005614EF" w:rsidP="00D06E00">
            <w:pPr>
              <w:rPr>
                <w:color w:val="000000"/>
                <w:lang w:eastAsia="lt-LT"/>
              </w:rPr>
            </w:pPr>
            <w:r w:rsidRPr="05914237">
              <w:rPr>
                <w:color w:val="000000" w:themeColor="text1"/>
                <w:lang w:eastAsia="lt-LT"/>
              </w:rPr>
              <w:t>Pareiškėjo teikiama (-os) kompensuoti vaistinio preparato indikacija (-os)</w:t>
            </w:r>
          </w:p>
          <w:p w14:paraId="7279DEF6" w14:textId="77777777" w:rsidR="005614EF" w:rsidRPr="006067D9" w:rsidRDefault="005614EF" w:rsidP="00D06E00">
            <w:pPr>
              <w:rPr>
                <w:bCs/>
                <w:color w:val="000000"/>
                <w:lang w:eastAsia="lt-LT"/>
              </w:rPr>
            </w:pPr>
          </w:p>
          <w:p w14:paraId="486B799B" w14:textId="77777777" w:rsidR="005614EF" w:rsidRPr="006067D9" w:rsidRDefault="005614EF" w:rsidP="00D06E00">
            <w:pPr>
              <w:rPr>
                <w:bCs/>
                <w:color w:val="000000"/>
                <w:lang w:eastAsia="lt-LT"/>
              </w:rPr>
            </w:pPr>
            <w:r w:rsidRPr="006067D9">
              <w:rPr>
                <w:bCs/>
                <w:color w:val="000000"/>
                <w:lang w:eastAsia="lt-LT"/>
              </w:rPr>
              <w:t>Kodas pagal TLK-10 AM</w:t>
            </w:r>
          </w:p>
        </w:tc>
        <w:tc>
          <w:tcPr>
            <w:tcW w:w="5167" w:type="dxa"/>
          </w:tcPr>
          <w:p w14:paraId="5E24FB0F" w14:textId="77777777" w:rsidR="005614EF" w:rsidRPr="00935459" w:rsidRDefault="005614EF" w:rsidP="00D06E00">
            <w:pPr>
              <w:spacing w:after="120"/>
              <w:jc w:val="both"/>
            </w:pPr>
            <w:bookmarkStart w:id="1" w:name="_Hlk182063812"/>
            <w:r w:rsidRPr="00935459">
              <w:rPr>
                <w:rFonts w:eastAsia="Arial"/>
              </w:rPr>
              <w:t>Tibsovo kartu su azacitidinu skirtas suaugusiųjų pacientų, kuriems yra naujai diagnozuota ūminė mieloidinė leukemija (ŪML) su izocitrato dehidrogenazės-1 (IDH1) R132 mutacija ir kuriems netinka įprastinė indukcinė chemoterapija, gydymui</w:t>
            </w:r>
            <w:r w:rsidRPr="00935459">
              <w:t>.</w:t>
            </w:r>
          </w:p>
          <w:p w14:paraId="4BC060CA" w14:textId="77777777" w:rsidR="005614EF" w:rsidRPr="004F3F16" w:rsidRDefault="005614EF" w:rsidP="00D06E00">
            <w:r w:rsidRPr="004F3F16">
              <w:t>TLK kodas C</w:t>
            </w:r>
            <w:r>
              <w:t>92</w:t>
            </w:r>
            <w:r w:rsidRPr="004F3F16">
              <w:t>.</w:t>
            </w:r>
            <w:r>
              <w:t>0</w:t>
            </w:r>
            <w:bookmarkEnd w:id="1"/>
          </w:p>
        </w:tc>
      </w:tr>
      <w:tr w:rsidR="005614EF" w:rsidRPr="006067D9" w14:paraId="1A60C6ED" w14:textId="77777777" w:rsidTr="00D06E00">
        <w:trPr>
          <w:trHeight w:val="378"/>
        </w:trPr>
        <w:tc>
          <w:tcPr>
            <w:tcW w:w="632" w:type="dxa"/>
          </w:tcPr>
          <w:p w14:paraId="0253333A" w14:textId="77777777" w:rsidR="005614EF" w:rsidRPr="006067D9" w:rsidRDefault="005614EF" w:rsidP="00D06E00">
            <w:pPr>
              <w:rPr>
                <w:rFonts w:eastAsia="Arial"/>
              </w:rPr>
            </w:pPr>
            <w:r w:rsidRPr="006067D9">
              <w:rPr>
                <w:rFonts w:eastAsia="Arial"/>
              </w:rPr>
              <w:t>1.6</w:t>
            </w:r>
          </w:p>
        </w:tc>
        <w:tc>
          <w:tcPr>
            <w:tcW w:w="3694" w:type="dxa"/>
          </w:tcPr>
          <w:p w14:paraId="4CE0E75A" w14:textId="77777777" w:rsidR="005614EF" w:rsidRPr="006067D9" w:rsidRDefault="005614EF" w:rsidP="00D06E00">
            <w:pPr>
              <w:rPr>
                <w:bCs/>
                <w:color w:val="000000"/>
                <w:u w:val="single"/>
                <w:lang w:eastAsia="lt-LT"/>
              </w:rPr>
            </w:pPr>
            <w:r w:rsidRPr="006067D9">
              <w:rPr>
                <w:bCs/>
                <w:color w:val="000000"/>
                <w:lang w:eastAsia="lt-LT"/>
              </w:rPr>
              <w:t xml:space="preserve">Pareiškėjo teikiamos skyrimo sąlygos </w:t>
            </w:r>
          </w:p>
        </w:tc>
        <w:tc>
          <w:tcPr>
            <w:tcW w:w="5167" w:type="dxa"/>
          </w:tcPr>
          <w:p w14:paraId="6B1832C6" w14:textId="77777777" w:rsidR="005614EF" w:rsidRPr="004F3F16" w:rsidRDefault="005614EF" w:rsidP="00D06E00">
            <w:r w:rsidRPr="004F3F16">
              <w:t>Nėra.</w:t>
            </w:r>
          </w:p>
        </w:tc>
      </w:tr>
      <w:tr w:rsidR="005614EF" w:rsidRPr="006067D9" w14:paraId="2A481C7A" w14:textId="77777777" w:rsidTr="00D06E00">
        <w:trPr>
          <w:trHeight w:val="96"/>
        </w:trPr>
        <w:tc>
          <w:tcPr>
            <w:tcW w:w="632" w:type="dxa"/>
          </w:tcPr>
          <w:p w14:paraId="0DBC2248" w14:textId="77777777" w:rsidR="005614EF" w:rsidRPr="006067D9" w:rsidRDefault="005614EF" w:rsidP="00D06E00">
            <w:pPr>
              <w:rPr>
                <w:rFonts w:eastAsia="Arial"/>
              </w:rPr>
            </w:pPr>
            <w:r w:rsidRPr="006067D9">
              <w:rPr>
                <w:rFonts w:eastAsia="Arial"/>
              </w:rPr>
              <w:t>1.7</w:t>
            </w:r>
          </w:p>
        </w:tc>
        <w:tc>
          <w:tcPr>
            <w:tcW w:w="3694" w:type="dxa"/>
          </w:tcPr>
          <w:p w14:paraId="057BCFC5" w14:textId="77777777" w:rsidR="005614EF" w:rsidRPr="006067D9" w:rsidRDefault="005614EF" w:rsidP="00D06E00">
            <w:pPr>
              <w:rPr>
                <w:bCs/>
                <w:color w:val="000000"/>
                <w:lang w:eastAsia="lt-LT"/>
              </w:rPr>
            </w:pPr>
            <w:r w:rsidRPr="006067D9">
              <w:rPr>
                <w:bCs/>
                <w:color w:val="000000"/>
                <w:lang w:eastAsia="lt-LT"/>
              </w:rPr>
              <w:t>Pareiškėjo teikiamas palyginamasis gydymas</w:t>
            </w:r>
            <w:r>
              <w:rPr>
                <w:bCs/>
                <w:color w:val="000000"/>
                <w:lang w:eastAsia="lt-LT"/>
              </w:rPr>
              <w:t>.</w:t>
            </w:r>
          </w:p>
        </w:tc>
        <w:tc>
          <w:tcPr>
            <w:tcW w:w="5167" w:type="dxa"/>
          </w:tcPr>
          <w:p w14:paraId="79DE6119" w14:textId="77777777" w:rsidR="005614EF" w:rsidRPr="004F3F16" w:rsidRDefault="00BC7B2E" w:rsidP="00D06E00">
            <w:sdt>
              <w:sdtPr>
                <w:rPr>
                  <w:rStyle w:val="Style2"/>
                  <w:sz w:val="24"/>
                </w:rPr>
                <w:id w:val="1480955706"/>
                <w15:color w:val="FFCC00"/>
                <w14:checkbox>
                  <w14:checked w14:val="1"/>
                  <w14:checkedState w14:val="2612" w14:font="MS Gothic"/>
                  <w14:uncheckedState w14:val="2610" w14:font="MS Gothic"/>
                </w14:checkbox>
              </w:sdtPr>
              <w:sdtEndPr>
                <w:rPr>
                  <w:rStyle w:val="Style2"/>
                </w:rPr>
              </w:sdtEndPr>
              <w:sdtContent>
                <w:r w:rsidR="005614EF">
                  <w:rPr>
                    <w:rStyle w:val="Style2"/>
                    <w:rFonts w:ascii="MS Gothic" w:eastAsia="MS Gothic" w:hAnsi="MS Gothic" w:hint="eastAsia"/>
                    <w:sz w:val="24"/>
                  </w:rPr>
                  <w:t>☒</w:t>
                </w:r>
              </w:sdtContent>
            </w:sdt>
            <w:r w:rsidR="005614EF" w:rsidRPr="004F3F16">
              <w:t xml:space="preserve"> Tinkamas</w:t>
            </w:r>
          </w:p>
          <w:p w14:paraId="6340068C" w14:textId="77777777" w:rsidR="005614EF" w:rsidRPr="004F3F16" w:rsidRDefault="00BC7B2E" w:rsidP="00D06E00">
            <w:sdt>
              <w:sdtPr>
                <w:rPr>
                  <w:rStyle w:val="Style2"/>
                  <w:sz w:val="24"/>
                </w:rPr>
                <w:id w:val="-352420698"/>
                <w15:color w:val="FFCC00"/>
                <w14:checkbox>
                  <w14:checked w14:val="0"/>
                  <w14:checkedState w14:val="2612" w14:font="MS Gothic"/>
                  <w14:uncheckedState w14:val="2610" w14:font="MS Gothic"/>
                </w14:checkbox>
              </w:sdtPr>
              <w:sdtEndPr>
                <w:rPr>
                  <w:rStyle w:val="Style2"/>
                </w:rPr>
              </w:sdtEndPr>
              <w:sdtContent>
                <w:r w:rsidR="005614EF" w:rsidRPr="004F3F16">
                  <w:rPr>
                    <w:rStyle w:val="Style2"/>
                    <w:rFonts w:ascii="MS Gothic" w:eastAsia="MS Gothic" w:hAnsi="MS Gothic" w:hint="eastAsia"/>
                    <w:sz w:val="24"/>
                  </w:rPr>
                  <w:t>☐</w:t>
                </w:r>
              </w:sdtContent>
            </w:sdt>
            <w:r w:rsidR="005614EF" w:rsidRPr="004F3F16">
              <w:t xml:space="preserve"> Netinkama</w:t>
            </w:r>
          </w:p>
        </w:tc>
      </w:tr>
    </w:tbl>
    <w:p w14:paraId="2B793236" w14:textId="77777777" w:rsidR="005614EF" w:rsidRPr="00E33EFF" w:rsidRDefault="005614EF" w:rsidP="005614EF">
      <w:pPr>
        <w:pStyle w:val="ListParagraph"/>
        <w:tabs>
          <w:tab w:val="left" w:pos="426"/>
        </w:tabs>
        <w:ind w:left="0"/>
        <w:rPr>
          <w:b/>
          <w:bCs/>
          <w:caps/>
        </w:rPr>
      </w:pPr>
    </w:p>
    <w:p w14:paraId="63881CCE" w14:textId="77777777" w:rsidR="005614EF" w:rsidRPr="00E33EFF" w:rsidRDefault="005614EF" w:rsidP="005614EF">
      <w:pPr>
        <w:spacing w:line="276" w:lineRule="auto"/>
        <w:jc w:val="both"/>
        <w:rPr>
          <w:rFonts w:eastAsia="Arial"/>
          <w:b/>
        </w:rPr>
      </w:pPr>
      <w:r w:rsidRPr="00E33EFF">
        <w:rPr>
          <w:rFonts w:eastAsia="Arial"/>
          <w:b/>
        </w:rPr>
        <w:t>1.8 Kitų valstybių atsakingų institucijų atlikto Sveikatos technologijų vertinimo (toliau – STV) išvados</w:t>
      </w:r>
    </w:p>
    <w:p w14:paraId="77C5E6D8" w14:textId="77777777" w:rsidR="005614EF" w:rsidRPr="00E33EFF" w:rsidRDefault="005614EF" w:rsidP="005614EF">
      <w:pPr>
        <w:spacing w:line="276" w:lineRule="auto"/>
        <w:rPr>
          <w:rFonts w:eastAsia="Arial"/>
        </w:rPr>
      </w:pPr>
    </w:p>
    <w:tbl>
      <w:tblPr>
        <w:tblStyle w:val="TableGrid"/>
        <w:tblW w:w="9918" w:type="dxa"/>
        <w:tblLook w:val="04A0" w:firstRow="1" w:lastRow="0" w:firstColumn="1" w:lastColumn="0" w:noHBand="0" w:noVBand="1"/>
      </w:tblPr>
      <w:tblGrid>
        <w:gridCol w:w="2927"/>
        <w:gridCol w:w="1915"/>
        <w:gridCol w:w="2351"/>
        <w:gridCol w:w="2725"/>
      </w:tblGrid>
      <w:tr w:rsidR="005614EF" w:rsidRPr="00414E1A" w14:paraId="1340E36B" w14:textId="77777777" w:rsidTr="00D06E00">
        <w:trPr>
          <w:trHeight w:val="924"/>
        </w:trPr>
        <w:tc>
          <w:tcPr>
            <w:tcW w:w="2927" w:type="dxa"/>
            <w:tcBorders>
              <w:top w:val="single" w:sz="4" w:space="0" w:color="auto"/>
              <w:left w:val="single" w:sz="4" w:space="0" w:color="auto"/>
              <w:bottom w:val="single" w:sz="4" w:space="0" w:color="auto"/>
              <w:right w:val="single" w:sz="4" w:space="0" w:color="auto"/>
            </w:tcBorders>
            <w:hideMark/>
          </w:tcPr>
          <w:p w14:paraId="7E35EEC4" w14:textId="77777777" w:rsidR="005614EF" w:rsidRPr="00414E1A" w:rsidRDefault="005614EF" w:rsidP="00D06E00">
            <w:pPr>
              <w:spacing w:line="276" w:lineRule="auto"/>
              <w:rPr>
                <w:rFonts w:eastAsia="Arial"/>
                <w:sz w:val="22"/>
                <w:szCs w:val="22"/>
              </w:rPr>
            </w:pPr>
            <w:r w:rsidRPr="00414E1A">
              <w:rPr>
                <w:rFonts w:eastAsia="Arial"/>
                <w:sz w:val="22"/>
                <w:szCs w:val="22"/>
              </w:rPr>
              <w:t>STV agentūros pavadinimas, šalis</w:t>
            </w:r>
          </w:p>
        </w:tc>
        <w:tc>
          <w:tcPr>
            <w:tcW w:w="1915" w:type="dxa"/>
            <w:tcBorders>
              <w:top w:val="single" w:sz="4" w:space="0" w:color="auto"/>
              <w:left w:val="single" w:sz="4" w:space="0" w:color="auto"/>
              <w:bottom w:val="single" w:sz="4" w:space="0" w:color="auto"/>
              <w:right w:val="single" w:sz="4" w:space="0" w:color="auto"/>
            </w:tcBorders>
            <w:hideMark/>
          </w:tcPr>
          <w:p w14:paraId="7615D09B" w14:textId="77777777" w:rsidR="005614EF" w:rsidRPr="00414E1A" w:rsidRDefault="005614EF" w:rsidP="00D06E00">
            <w:pPr>
              <w:spacing w:line="276" w:lineRule="auto"/>
              <w:rPr>
                <w:rFonts w:eastAsia="Arial"/>
                <w:sz w:val="22"/>
                <w:szCs w:val="22"/>
              </w:rPr>
            </w:pPr>
            <w:r w:rsidRPr="00414E1A">
              <w:rPr>
                <w:rFonts w:eastAsia="Arial"/>
                <w:sz w:val="22"/>
                <w:szCs w:val="22"/>
              </w:rPr>
              <w:t>STV vertinimas atliktas</w:t>
            </w:r>
          </w:p>
        </w:tc>
        <w:tc>
          <w:tcPr>
            <w:tcW w:w="2351" w:type="dxa"/>
            <w:tcBorders>
              <w:top w:val="single" w:sz="4" w:space="0" w:color="auto"/>
              <w:left w:val="single" w:sz="4" w:space="0" w:color="auto"/>
              <w:bottom w:val="single" w:sz="4" w:space="0" w:color="auto"/>
              <w:right w:val="single" w:sz="4" w:space="0" w:color="auto"/>
            </w:tcBorders>
            <w:hideMark/>
          </w:tcPr>
          <w:p w14:paraId="3DF0D0CE" w14:textId="77777777" w:rsidR="005614EF" w:rsidRPr="00414E1A" w:rsidRDefault="005614EF" w:rsidP="00D06E00">
            <w:pPr>
              <w:spacing w:line="276" w:lineRule="auto"/>
              <w:rPr>
                <w:rFonts w:eastAsia="Arial"/>
                <w:sz w:val="22"/>
                <w:szCs w:val="22"/>
              </w:rPr>
            </w:pPr>
            <w:r w:rsidRPr="00414E1A">
              <w:rPr>
                <w:rFonts w:eastAsia="Arial"/>
                <w:sz w:val="22"/>
                <w:szCs w:val="22"/>
              </w:rPr>
              <w:t>Klinikinio vertinimo išvada</w:t>
            </w:r>
          </w:p>
        </w:tc>
        <w:tc>
          <w:tcPr>
            <w:tcW w:w="2725" w:type="dxa"/>
            <w:tcBorders>
              <w:top w:val="single" w:sz="4" w:space="0" w:color="auto"/>
              <w:left w:val="single" w:sz="4" w:space="0" w:color="auto"/>
              <w:bottom w:val="single" w:sz="4" w:space="0" w:color="auto"/>
              <w:right w:val="single" w:sz="4" w:space="0" w:color="auto"/>
            </w:tcBorders>
            <w:hideMark/>
          </w:tcPr>
          <w:p w14:paraId="5A874A79" w14:textId="77777777" w:rsidR="005614EF" w:rsidRPr="00414E1A" w:rsidRDefault="005614EF" w:rsidP="00D06E00">
            <w:pPr>
              <w:spacing w:line="276" w:lineRule="auto"/>
              <w:rPr>
                <w:rFonts w:eastAsia="Arial"/>
                <w:sz w:val="22"/>
                <w:szCs w:val="22"/>
              </w:rPr>
            </w:pPr>
            <w:r w:rsidRPr="05914237">
              <w:rPr>
                <w:rFonts w:eastAsia="Arial"/>
                <w:sz w:val="22"/>
                <w:szCs w:val="22"/>
              </w:rPr>
              <w:t>Farmakoekonominio vertinimo išvada</w:t>
            </w:r>
          </w:p>
        </w:tc>
      </w:tr>
      <w:tr w:rsidR="005614EF" w:rsidRPr="00414E1A" w14:paraId="024BFC61" w14:textId="77777777" w:rsidTr="00D06E00">
        <w:trPr>
          <w:trHeight w:val="1765"/>
        </w:trPr>
        <w:tc>
          <w:tcPr>
            <w:tcW w:w="2927" w:type="dxa"/>
            <w:tcBorders>
              <w:top w:val="single" w:sz="4" w:space="0" w:color="auto"/>
              <w:left w:val="single" w:sz="4" w:space="0" w:color="auto"/>
              <w:bottom w:val="single" w:sz="4" w:space="0" w:color="auto"/>
              <w:right w:val="single" w:sz="4" w:space="0" w:color="auto"/>
            </w:tcBorders>
            <w:hideMark/>
          </w:tcPr>
          <w:p w14:paraId="3B614315" w14:textId="77777777" w:rsidR="005614EF" w:rsidRPr="004F3F16" w:rsidRDefault="005614EF" w:rsidP="00D06E00">
            <w:pPr>
              <w:autoSpaceDE w:val="0"/>
              <w:autoSpaceDN w:val="0"/>
              <w:adjustRightInd w:val="0"/>
              <w:rPr>
                <w:bCs/>
              </w:rPr>
            </w:pPr>
            <w:r w:rsidRPr="004F3F16">
              <w:rPr>
                <w:bCs/>
              </w:rPr>
              <w:t>Nacionalinis sveikatos ir klinikinės kompetencijos institutas, Didžioji Britanija</w:t>
            </w:r>
          </w:p>
          <w:p w14:paraId="1D5753D9" w14:textId="77777777" w:rsidR="005614EF" w:rsidRPr="004F3F16" w:rsidRDefault="005614EF" w:rsidP="00D06E00">
            <w:pPr>
              <w:spacing w:line="276" w:lineRule="auto"/>
              <w:rPr>
                <w:rFonts w:eastAsia="Arial"/>
              </w:rPr>
            </w:pPr>
            <w:r w:rsidRPr="004F3F16">
              <w:rPr>
                <w:rFonts w:eastAsia="Arial"/>
              </w:rPr>
              <w:t xml:space="preserve">(angl. </w:t>
            </w:r>
            <w:r w:rsidRPr="004F3F16">
              <w:rPr>
                <w:rFonts w:eastAsia="Arial"/>
                <w:i/>
                <w:iCs/>
              </w:rPr>
              <w:t>National Institute for Health and Care Excellence, NICE</w:t>
            </w:r>
            <w:r w:rsidRPr="004F3F16">
              <w:rPr>
                <w:rFonts w:eastAsia="Arial"/>
              </w:rPr>
              <w:t>)</w:t>
            </w:r>
          </w:p>
        </w:tc>
        <w:tc>
          <w:tcPr>
            <w:tcW w:w="1915" w:type="dxa"/>
            <w:tcBorders>
              <w:top w:val="single" w:sz="4" w:space="0" w:color="auto"/>
              <w:left w:val="single" w:sz="4" w:space="0" w:color="auto"/>
              <w:bottom w:val="single" w:sz="4" w:space="0" w:color="auto"/>
              <w:right w:val="single" w:sz="4" w:space="0" w:color="auto"/>
            </w:tcBorders>
            <w:hideMark/>
          </w:tcPr>
          <w:p w14:paraId="3A386FCB" w14:textId="77777777" w:rsidR="005614EF" w:rsidRPr="00255F87" w:rsidRDefault="00BC7B2E" w:rsidP="00D06E00">
            <w:sdt>
              <w:sdtPr>
                <w:rPr>
                  <w:rStyle w:val="Style2"/>
                  <w:sz w:val="24"/>
                </w:rPr>
                <w:id w:val="1558205022"/>
                <w15:color w:val="FFCC00"/>
                <w14:checkbox>
                  <w14:checked w14:val="1"/>
                  <w14:checkedState w14:val="2612" w14:font="MS Gothic"/>
                  <w14:uncheckedState w14:val="2610" w14:font="MS Gothic"/>
                </w14:checkbox>
              </w:sdtPr>
              <w:sdtEndPr>
                <w:rPr>
                  <w:rStyle w:val="Style2"/>
                </w:rPr>
              </w:sdtEndPr>
              <w:sdtContent>
                <w:r w:rsidR="005614EF" w:rsidRPr="00255F87">
                  <w:rPr>
                    <w:rStyle w:val="Style2"/>
                    <w:rFonts w:ascii="MS Gothic" w:eastAsia="MS Gothic" w:hAnsi="MS Gothic"/>
                    <w:sz w:val="24"/>
                  </w:rPr>
                  <w:t>☒</w:t>
                </w:r>
              </w:sdtContent>
            </w:sdt>
            <w:r w:rsidR="005614EF" w:rsidRPr="00255F87">
              <w:t xml:space="preserve"> Taip</w:t>
            </w:r>
          </w:p>
          <w:p w14:paraId="22258EEC" w14:textId="77777777" w:rsidR="005614EF" w:rsidRPr="00255F87" w:rsidRDefault="00BC7B2E" w:rsidP="00D06E00">
            <w:sdt>
              <w:sdtPr>
                <w:rPr>
                  <w:rStyle w:val="Style2"/>
                  <w:sz w:val="24"/>
                </w:rPr>
                <w:id w:val="866029625"/>
                <w15:color w:val="FFCC00"/>
                <w14:checkbox>
                  <w14:checked w14:val="0"/>
                  <w14:checkedState w14:val="2612" w14:font="MS Gothic"/>
                  <w14:uncheckedState w14:val="2610" w14:font="MS Gothic"/>
                </w14:checkbox>
              </w:sdtPr>
              <w:sdtEndPr>
                <w:rPr>
                  <w:rStyle w:val="Style2"/>
                </w:rPr>
              </w:sdtEndPr>
              <w:sdtContent>
                <w:r w:rsidR="005614EF" w:rsidRPr="00255F87">
                  <w:rPr>
                    <w:rStyle w:val="Style2"/>
                    <w:rFonts w:ascii="MS Gothic" w:eastAsia="MS Gothic" w:hAnsi="MS Gothic"/>
                    <w:sz w:val="24"/>
                  </w:rPr>
                  <w:t>☐</w:t>
                </w:r>
              </w:sdtContent>
            </w:sdt>
            <w:r w:rsidR="005614EF" w:rsidRPr="00255F87">
              <w:t xml:space="preserve"> Ne</w:t>
            </w:r>
          </w:p>
          <w:p w14:paraId="15E8B4DA" w14:textId="77777777" w:rsidR="005614EF" w:rsidRPr="00255F87" w:rsidRDefault="00BC7B2E" w:rsidP="00D06E00">
            <w:pPr>
              <w:rPr>
                <w:rFonts w:eastAsia="Arial"/>
              </w:rPr>
            </w:pPr>
            <w:sdt>
              <w:sdtPr>
                <w:alias w:val="Nurodykite konkrečią dieną"/>
                <w:tag w:val="Nurodykite pradžios datą"/>
                <w:id w:val="922837954"/>
                <w:placeholder>
                  <w:docPart w:val="E59784658E2B4D23A41290B23E6CC0A4"/>
                </w:placeholder>
                <w15:color w:val="FFCC99"/>
                <w:date>
                  <w:dateFormat w:val="yyyy 'm.' MMMM d 'd.'"/>
                  <w:lid w:val="lt-LT"/>
                  <w:storeMappedDataAs w:val="dateTime"/>
                  <w:calendar w:val="gregorian"/>
                </w:date>
              </w:sdtPr>
              <w:sdtEndPr/>
              <w:sdtContent>
                <w:r w:rsidR="005614EF" w:rsidRPr="00255F87">
                  <w:t>2024 m. birželio 5 d.</w:t>
                </w:r>
              </w:sdtContent>
            </w:sdt>
          </w:p>
        </w:tc>
        <w:tc>
          <w:tcPr>
            <w:tcW w:w="5076" w:type="dxa"/>
            <w:gridSpan w:val="2"/>
            <w:tcBorders>
              <w:top w:val="single" w:sz="4" w:space="0" w:color="auto"/>
              <w:left w:val="single" w:sz="4" w:space="0" w:color="auto"/>
              <w:bottom w:val="single" w:sz="4" w:space="0" w:color="auto"/>
              <w:right w:val="single" w:sz="4" w:space="0" w:color="auto"/>
            </w:tcBorders>
            <w:hideMark/>
          </w:tcPr>
          <w:p w14:paraId="1B6EBCC1" w14:textId="77777777" w:rsidR="005614EF" w:rsidRPr="00255F87" w:rsidRDefault="005614EF" w:rsidP="00D06E00">
            <w:pPr>
              <w:spacing w:after="120"/>
              <w:jc w:val="both"/>
            </w:pPr>
            <w:r w:rsidRPr="00255F87">
              <w:t xml:space="preserve">Ivosidenibas kartu su azacitidinu, laikantis rinkodaros leidimo, </w:t>
            </w:r>
            <w:r w:rsidRPr="00255F87">
              <w:rPr>
                <w:b/>
                <w:bCs/>
              </w:rPr>
              <w:t>rekomenduojamas</w:t>
            </w:r>
            <w:r w:rsidRPr="00255F87">
              <w:t xml:space="preserve"> kaip gydymo pasirinkimas suaugusiems, sergantiems negydyta ŪML, esant IDH1 R132 mutacijai, kurie negali gauti standartinės intensyvios chemoterapijos. Ši rekomendacija taikoma tik tada, jei vaistas tiekiamas pagal komercinį susitarimą.</w:t>
            </w:r>
          </w:p>
        </w:tc>
      </w:tr>
      <w:tr w:rsidR="005614EF" w:rsidRPr="00414E1A" w14:paraId="12F7AEDA" w14:textId="77777777" w:rsidTr="00D06E00">
        <w:trPr>
          <w:trHeight w:val="1547"/>
        </w:trPr>
        <w:tc>
          <w:tcPr>
            <w:tcW w:w="2927" w:type="dxa"/>
            <w:tcBorders>
              <w:top w:val="single" w:sz="4" w:space="0" w:color="auto"/>
              <w:left w:val="single" w:sz="4" w:space="0" w:color="auto"/>
              <w:bottom w:val="single" w:sz="4" w:space="0" w:color="auto"/>
              <w:right w:val="single" w:sz="4" w:space="0" w:color="auto"/>
            </w:tcBorders>
            <w:hideMark/>
          </w:tcPr>
          <w:p w14:paraId="381DB48F" w14:textId="77777777" w:rsidR="005614EF" w:rsidRPr="004F3F16" w:rsidRDefault="005614EF" w:rsidP="00D06E00">
            <w:pPr>
              <w:spacing w:line="276" w:lineRule="auto"/>
              <w:rPr>
                <w:rFonts w:eastAsia="Arial"/>
              </w:rPr>
            </w:pPr>
            <w:r w:rsidRPr="004F3F16">
              <w:rPr>
                <w:rFonts w:eastAsia="Arial"/>
              </w:rPr>
              <w:t>Kanados sveikatos technologijų agentūra</w:t>
            </w:r>
          </w:p>
          <w:p w14:paraId="66A4A8F1" w14:textId="77777777" w:rsidR="005614EF" w:rsidRPr="004F3F16" w:rsidRDefault="005614EF" w:rsidP="00D06E00">
            <w:pPr>
              <w:spacing w:line="276" w:lineRule="auto"/>
              <w:rPr>
                <w:rFonts w:eastAsia="Arial"/>
              </w:rPr>
            </w:pPr>
            <w:r w:rsidRPr="004F3F16">
              <w:rPr>
                <w:rFonts w:eastAsia="Arial"/>
              </w:rPr>
              <w:t xml:space="preserve">(angl. </w:t>
            </w:r>
            <w:r w:rsidRPr="004F3F16">
              <w:rPr>
                <w:rFonts w:eastAsia="Arial"/>
                <w:i/>
                <w:iCs/>
              </w:rPr>
              <w:t>Canadian health Technology Assessment agency, CADTH</w:t>
            </w:r>
            <w:r w:rsidRPr="004F3F16">
              <w:rPr>
                <w:rFonts w:eastAsia="Arial"/>
              </w:rPr>
              <w:t>)</w:t>
            </w:r>
          </w:p>
        </w:tc>
        <w:tc>
          <w:tcPr>
            <w:tcW w:w="1915" w:type="dxa"/>
            <w:tcBorders>
              <w:top w:val="single" w:sz="4" w:space="0" w:color="auto"/>
              <w:left w:val="single" w:sz="4" w:space="0" w:color="auto"/>
              <w:bottom w:val="single" w:sz="4" w:space="0" w:color="auto"/>
              <w:right w:val="single" w:sz="4" w:space="0" w:color="auto"/>
            </w:tcBorders>
            <w:hideMark/>
          </w:tcPr>
          <w:p w14:paraId="55F211F9" w14:textId="77777777" w:rsidR="005614EF" w:rsidRPr="00255F87" w:rsidRDefault="00BC7B2E" w:rsidP="00D06E00">
            <w:sdt>
              <w:sdtPr>
                <w:rPr>
                  <w:rStyle w:val="Style2"/>
                  <w:sz w:val="24"/>
                </w:rPr>
                <w:id w:val="-372539057"/>
                <w15:color w:val="FFCC00"/>
                <w14:checkbox>
                  <w14:checked w14:val="1"/>
                  <w14:checkedState w14:val="2612" w14:font="MS Gothic"/>
                  <w14:uncheckedState w14:val="2610" w14:font="MS Gothic"/>
                </w14:checkbox>
              </w:sdtPr>
              <w:sdtEndPr>
                <w:rPr>
                  <w:rStyle w:val="Style2"/>
                </w:rPr>
              </w:sdtEndPr>
              <w:sdtContent>
                <w:r w:rsidR="005614EF" w:rsidRPr="00255F87">
                  <w:rPr>
                    <w:rStyle w:val="Style2"/>
                    <w:rFonts w:ascii="MS Gothic" w:eastAsia="MS Gothic" w:hAnsi="MS Gothic"/>
                    <w:sz w:val="24"/>
                  </w:rPr>
                  <w:t>☒</w:t>
                </w:r>
              </w:sdtContent>
            </w:sdt>
            <w:r w:rsidR="005614EF" w:rsidRPr="00255F87">
              <w:t xml:space="preserve"> Taip</w:t>
            </w:r>
          </w:p>
          <w:p w14:paraId="42A850ED" w14:textId="77777777" w:rsidR="005614EF" w:rsidRPr="00255F87" w:rsidRDefault="00BC7B2E" w:rsidP="00D06E00">
            <w:sdt>
              <w:sdtPr>
                <w:rPr>
                  <w:rStyle w:val="Style2"/>
                  <w:sz w:val="24"/>
                </w:rPr>
                <w:id w:val="594442222"/>
                <w15:color w:val="FFCC00"/>
                <w14:checkbox>
                  <w14:checked w14:val="0"/>
                  <w14:checkedState w14:val="2612" w14:font="MS Gothic"/>
                  <w14:uncheckedState w14:val="2610" w14:font="MS Gothic"/>
                </w14:checkbox>
              </w:sdtPr>
              <w:sdtEndPr>
                <w:rPr>
                  <w:rStyle w:val="Style2"/>
                </w:rPr>
              </w:sdtEndPr>
              <w:sdtContent>
                <w:r w:rsidR="005614EF" w:rsidRPr="00255F87">
                  <w:rPr>
                    <w:rStyle w:val="Style2"/>
                    <w:rFonts w:ascii="MS Gothic" w:eastAsia="MS Gothic" w:hAnsi="MS Gothic"/>
                    <w:sz w:val="24"/>
                  </w:rPr>
                  <w:t>☐</w:t>
                </w:r>
              </w:sdtContent>
            </w:sdt>
            <w:r w:rsidR="005614EF" w:rsidRPr="00255F87">
              <w:t xml:space="preserve"> Ne</w:t>
            </w:r>
          </w:p>
          <w:p w14:paraId="4E357B46" w14:textId="77777777" w:rsidR="005614EF" w:rsidRPr="00255F87" w:rsidRDefault="00BC7B2E" w:rsidP="00D06E00">
            <w:pPr>
              <w:spacing w:line="276" w:lineRule="auto"/>
              <w:rPr>
                <w:rFonts w:eastAsia="Arial"/>
              </w:rPr>
            </w:pPr>
            <w:sdt>
              <w:sdtPr>
                <w:alias w:val="Nurodykite konkrečią dieną"/>
                <w:tag w:val="Nurodykite pradžios datą"/>
                <w:id w:val="1072468416"/>
                <w:placeholder>
                  <w:docPart w:val="DFA08DE21F184453BF252ACC1D35202F"/>
                </w:placeholder>
                <w15:color w:val="FFCC99"/>
                <w:date>
                  <w:dateFormat w:val="yyyy 'm.' MMMM d 'd.'"/>
                  <w:lid w:val="lt-LT"/>
                  <w:storeMappedDataAs w:val="dateTime"/>
                  <w:calendar w:val="gregorian"/>
                </w:date>
              </w:sdtPr>
              <w:sdtEndPr/>
              <w:sdtContent>
                <w:r w:rsidR="005614EF" w:rsidRPr="00255F87">
                  <w:t>2024 m. spalio 23 d.</w:t>
                </w:r>
              </w:sdtContent>
            </w:sdt>
          </w:p>
        </w:tc>
        <w:tc>
          <w:tcPr>
            <w:tcW w:w="5076" w:type="dxa"/>
            <w:gridSpan w:val="2"/>
            <w:tcBorders>
              <w:top w:val="single" w:sz="4" w:space="0" w:color="auto"/>
              <w:left w:val="single" w:sz="4" w:space="0" w:color="auto"/>
              <w:bottom w:val="single" w:sz="4" w:space="0" w:color="auto"/>
              <w:right w:val="single" w:sz="4" w:space="0" w:color="auto"/>
            </w:tcBorders>
          </w:tcPr>
          <w:p w14:paraId="74C70AD6" w14:textId="77777777" w:rsidR="005614EF" w:rsidRPr="00255F87" w:rsidRDefault="005614EF" w:rsidP="00D06E00">
            <w:pPr>
              <w:spacing w:line="276" w:lineRule="auto"/>
              <w:jc w:val="both"/>
              <w:rPr>
                <w:rFonts w:eastAsia="Arial"/>
              </w:rPr>
            </w:pPr>
            <w:r w:rsidRPr="00255F87">
              <w:rPr>
                <w:rFonts w:eastAsia="Arial"/>
              </w:rPr>
              <w:t>Tibsovo kartu su azacitidinu skirtas suaugusiųjų pacientų, kuriems yra naujai diagnozuota ūminė mieloidinė leukemija (ŪML) su izocitrato dehidrogenazės-1 (IDH1) R132 mutacija ir kuriems netinka įprastinė indukcinė chemoterapija, gydymui.</w:t>
            </w:r>
          </w:p>
        </w:tc>
      </w:tr>
      <w:tr w:rsidR="005614EF" w:rsidRPr="00414E1A" w14:paraId="0B2BC24B" w14:textId="77777777" w:rsidTr="00D06E00">
        <w:trPr>
          <w:trHeight w:val="1927"/>
        </w:trPr>
        <w:tc>
          <w:tcPr>
            <w:tcW w:w="2927" w:type="dxa"/>
            <w:tcBorders>
              <w:top w:val="single" w:sz="4" w:space="0" w:color="auto"/>
              <w:left w:val="single" w:sz="4" w:space="0" w:color="auto"/>
              <w:bottom w:val="single" w:sz="4" w:space="0" w:color="auto"/>
              <w:right w:val="single" w:sz="4" w:space="0" w:color="auto"/>
            </w:tcBorders>
            <w:hideMark/>
          </w:tcPr>
          <w:p w14:paraId="42FBA575" w14:textId="77777777" w:rsidR="005614EF" w:rsidRPr="004F3F16" w:rsidRDefault="005614EF" w:rsidP="00D06E00">
            <w:pPr>
              <w:spacing w:line="276" w:lineRule="auto"/>
              <w:rPr>
                <w:rFonts w:eastAsia="Arial"/>
              </w:rPr>
            </w:pPr>
            <w:r w:rsidRPr="004F3F16">
              <w:rPr>
                <w:rFonts w:eastAsia="Arial"/>
              </w:rPr>
              <w:t>Nacionalinis farmakoekonomikos centras, Airija</w:t>
            </w:r>
          </w:p>
          <w:p w14:paraId="4B073F30" w14:textId="77777777" w:rsidR="005614EF" w:rsidRPr="004F3F16" w:rsidRDefault="005614EF" w:rsidP="00D06E00">
            <w:pPr>
              <w:spacing w:line="276" w:lineRule="auto"/>
              <w:rPr>
                <w:rFonts w:eastAsia="Arial"/>
              </w:rPr>
            </w:pPr>
            <w:r w:rsidRPr="004F3F16">
              <w:rPr>
                <w:rFonts w:eastAsia="Arial"/>
              </w:rPr>
              <w:t>(angl.</w:t>
            </w:r>
            <w:r w:rsidRPr="004F3F16">
              <w:rPr>
                <w:rFonts w:eastAsia="Arial"/>
                <w:i/>
                <w:iCs/>
              </w:rPr>
              <w:t xml:space="preserve"> National Centre for Pharmacoeconomics, NCPE</w:t>
            </w:r>
            <w:r w:rsidRPr="004F3F16">
              <w:rPr>
                <w:rFonts w:eastAsia="Arial"/>
              </w:rPr>
              <w:t>)</w:t>
            </w:r>
          </w:p>
        </w:tc>
        <w:tc>
          <w:tcPr>
            <w:tcW w:w="1915" w:type="dxa"/>
            <w:tcBorders>
              <w:top w:val="single" w:sz="4" w:space="0" w:color="auto"/>
              <w:left w:val="single" w:sz="4" w:space="0" w:color="auto"/>
              <w:bottom w:val="single" w:sz="4" w:space="0" w:color="auto"/>
              <w:right w:val="single" w:sz="4" w:space="0" w:color="auto"/>
            </w:tcBorders>
            <w:hideMark/>
          </w:tcPr>
          <w:p w14:paraId="700FEB6D" w14:textId="77777777" w:rsidR="005614EF" w:rsidRPr="00255F87" w:rsidRDefault="00BC7B2E" w:rsidP="00D06E00">
            <w:sdt>
              <w:sdtPr>
                <w:rPr>
                  <w:rStyle w:val="Style2"/>
                  <w:sz w:val="24"/>
                </w:rPr>
                <w:id w:val="-1888403732"/>
                <w15:color w:val="FFCC00"/>
                <w14:checkbox>
                  <w14:checked w14:val="1"/>
                  <w14:checkedState w14:val="2612" w14:font="MS Gothic"/>
                  <w14:uncheckedState w14:val="2610" w14:font="MS Gothic"/>
                </w14:checkbox>
              </w:sdtPr>
              <w:sdtEndPr>
                <w:rPr>
                  <w:rStyle w:val="Style2"/>
                </w:rPr>
              </w:sdtEndPr>
              <w:sdtContent>
                <w:r w:rsidR="005614EF" w:rsidRPr="00255F87">
                  <w:rPr>
                    <w:rStyle w:val="Style2"/>
                    <w:rFonts w:ascii="Segoe UI Symbol" w:eastAsia="MS Gothic" w:hAnsi="Segoe UI Symbol" w:cs="Segoe UI Symbol"/>
                    <w:sz w:val="24"/>
                  </w:rPr>
                  <w:t>☒</w:t>
                </w:r>
              </w:sdtContent>
            </w:sdt>
            <w:r w:rsidR="005614EF" w:rsidRPr="00255F87">
              <w:t xml:space="preserve"> Taip</w:t>
            </w:r>
          </w:p>
          <w:p w14:paraId="2DC7B061" w14:textId="77777777" w:rsidR="005614EF" w:rsidRPr="00255F87" w:rsidRDefault="00BC7B2E" w:rsidP="00D06E00">
            <w:sdt>
              <w:sdtPr>
                <w:rPr>
                  <w:rStyle w:val="Style2"/>
                  <w:sz w:val="24"/>
                </w:rPr>
                <w:id w:val="1092201793"/>
                <w15:color w:val="FFCC00"/>
                <w14:checkbox>
                  <w14:checked w14:val="0"/>
                  <w14:checkedState w14:val="2612" w14:font="MS Gothic"/>
                  <w14:uncheckedState w14:val="2610" w14:font="MS Gothic"/>
                </w14:checkbox>
              </w:sdtPr>
              <w:sdtEndPr>
                <w:rPr>
                  <w:rStyle w:val="Style2"/>
                </w:rPr>
              </w:sdtEndPr>
              <w:sdtContent>
                <w:r w:rsidR="005614EF" w:rsidRPr="00255F87">
                  <w:rPr>
                    <w:rStyle w:val="Style2"/>
                    <w:rFonts w:ascii="Segoe UI Symbol" w:eastAsia="MS Gothic" w:hAnsi="Segoe UI Symbol" w:cs="Segoe UI Symbol"/>
                    <w:sz w:val="24"/>
                  </w:rPr>
                  <w:t>☐</w:t>
                </w:r>
              </w:sdtContent>
            </w:sdt>
            <w:r w:rsidR="005614EF" w:rsidRPr="00255F87">
              <w:t xml:space="preserve"> Ne</w:t>
            </w:r>
          </w:p>
          <w:p w14:paraId="60C655C6" w14:textId="77777777" w:rsidR="005614EF" w:rsidRPr="00255F87" w:rsidRDefault="00BC7B2E" w:rsidP="00D06E00">
            <w:pPr>
              <w:spacing w:line="276" w:lineRule="auto"/>
              <w:rPr>
                <w:rFonts w:eastAsia="Arial"/>
              </w:rPr>
            </w:pPr>
            <w:sdt>
              <w:sdtPr>
                <w:alias w:val="Nurodykite konkrečią dieną"/>
                <w:tag w:val="Nurodykite pradžios datą"/>
                <w:id w:val="-198323198"/>
                <w:placeholder>
                  <w:docPart w:val="5E83F9081C1C49FF97B0677032F0B1D7"/>
                </w:placeholder>
                <w15:color w:val="FFCC99"/>
                <w:date>
                  <w:dateFormat w:val="yyyy 'm.' MMMM d 'd.'"/>
                  <w:lid w:val="lt-LT"/>
                  <w:storeMappedDataAs w:val="dateTime"/>
                  <w:calendar w:val="gregorian"/>
                </w:date>
              </w:sdtPr>
              <w:sdtEndPr/>
              <w:sdtContent>
                <w:r w:rsidR="005614EF" w:rsidRPr="00255F87">
                  <w:t>2024 m. rugpjūčio 21 d.</w:t>
                </w:r>
              </w:sdtContent>
            </w:sdt>
          </w:p>
        </w:tc>
        <w:tc>
          <w:tcPr>
            <w:tcW w:w="5076" w:type="dxa"/>
            <w:gridSpan w:val="2"/>
            <w:tcBorders>
              <w:top w:val="single" w:sz="4" w:space="0" w:color="auto"/>
              <w:left w:val="single" w:sz="4" w:space="0" w:color="auto"/>
              <w:bottom w:val="single" w:sz="4" w:space="0" w:color="auto"/>
              <w:right w:val="single" w:sz="4" w:space="0" w:color="auto"/>
            </w:tcBorders>
          </w:tcPr>
          <w:p w14:paraId="33D57348" w14:textId="77777777" w:rsidR="005614EF" w:rsidRPr="00255F87" w:rsidRDefault="005614EF" w:rsidP="00D06E00">
            <w:pPr>
              <w:spacing w:line="276" w:lineRule="auto"/>
              <w:jc w:val="both"/>
              <w:rPr>
                <w:rFonts w:eastAsia="Arial"/>
              </w:rPr>
            </w:pPr>
            <w:r w:rsidRPr="00255F87">
              <w:rPr>
                <w:rFonts w:eastAsia="Arial"/>
              </w:rPr>
              <w:t>Rekomenduojama atlikti pilną sveikatos technologijų vertinimą, kad būtų įvertintas ivosidenibo klinikinis veiksmingumas ir kaštų efektyvumas, lyginant su dabartiniu gydymo standartu.</w:t>
            </w:r>
          </w:p>
          <w:p w14:paraId="1EB46FA5" w14:textId="77777777" w:rsidR="005614EF" w:rsidRPr="00255F87" w:rsidRDefault="005614EF" w:rsidP="00D06E00">
            <w:pPr>
              <w:spacing w:line="276" w:lineRule="auto"/>
              <w:rPr>
                <w:rFonts w:eastAsia="Arial"/>
              </w:rPr>
            </w:pPr>
          </w:p>
        </w:tc>
      </w:tr>
    </w:tbl>
    <w:p w14:paraId="28C97750" w14:textId="77777777" w:rsidR="005614EF" w:rsidRDefault="005614EF" w:rsidP="005614EF">
      <w:pPr>
        <w:rPr>
          <w:b/>
          <w:bCs/>
          <w:caps/>
        </w:rPr>
      </w:pPr>
    </w:p>
    <w:p w14:paraId="56FC3B05" w14:textId="77777777" w:rsidR="005273C4" w:rsidRDefault="005273C4" w:rsidP="005614EF">
      <w:pPr>
        <w:rPr>
          <w:b/>
          <w:bCs/>
          <w:caps/>
        </w:rPr>
      </w:pPr>
    </w:p>
    <w:p w14:paraId="53F2F727" w14:textId="77777777" w:rsidR="005614EF" w:rsidRPr="00E33EFF" w:rsidRDefault="005614EF" w:rsidP="005614EF">
      <w:pPr>
        <w:pStyle w:val="ListParagraph"/>
        <w:numPr>
          <w:ilvl w:val="0"/>
          <w:numId w:val="12"/>
        </w:numPr>
        <w:tabs>
          <w:tab w:val="left" w:pos="567"/>
        </w:tabs>
        <w:ind w:hanging="720"/>
        <w:rPr>
          <w:b/>
          <w:bCs/>
          <w:caps/>
        </w:rPr>
      </w:pPr>
      <w:r w:rsidRPr="00E33EFF">
        <w:rPr>
          <w:b/>
          <w:bCs/>
          <w:caps/>
        </w:rPr>
        <w:t>Klinikinio vertinimo apibendrinimas</w:t>
      </w:r>
    </w:p>
    <w:p w14:paraId="2B006AC3" w14:textId="77777777" w:rsidR="005614EF" w:rsidRDefault="005614EF" w:rsidP="005614EF">
      <w:pPr>
        <w:pStyle w:val="ListParagraph"/>
        <w:tabs>
          <w:tab w:val="left" w:pos="426"/>
        </w:tabs>
        <w:ind w:left="0"/>
        <w:rPr>
          <w:b/>
          <w:bCs/>
          <w:caps/>
        </w:rPr>
      </w:pPr>
    </w:p>
    <w:p w14:paraId="4A0C7B47" w14:textId="77777777" w:rsidR="005614EF" w:rsidRPr="006673C1" w:rsidRDefault="005614EF" w:rsidP="005614EF">
      <w:pPr>
        <w:spacing w:line="360" w:lineRule="auto"/>
        <w:ind w:firstLine="720"/>
        <w:jc w:val="both"/>
        <w:rPr>
          <w:rFonts w:eastAsia="Arial"/>
          <w:iCs/>
        </w:rPr>
      </w:pPr>
      <w:r w:rsidRPr="006673C1">
        <w:rPr>
          <w:rFonts w:eastAsia="Arial"/>
          <w:iCs/>
        </w:rPr>
        <w:t>Ūminė mielogeninė leukemija (ŪML) yra heterogeninė piktybinė hematologinė liga (TLK-10-AM kodas C92.0), kuriai būdingi specifiniai genetiniai pakitimai kamieninėse mieloidinės kilmės kaulų čiulpų ląstelėse. Hematopoetinės sistemos anomaliai diferencijuotos arba kartais mažai diferencijuotos ląstelės infiltruoja kaulų čiulpus, kraują ir kitus organus. Mieloidinės ląstelės ir jų pirmtakai įgyja savybę nekontroliuojamai daugintis ir išstumia normalią kraujodarą, todėl ligoniui greitai progresuoja anemija, mažėjant trombocitų skaičiui kraujyje labai padidėja kraujavimo rizika, dėl leukocitų trūkumo didėja rizika susirgti infekcijomis.</w:t>
      </w:r>
    </w:p>
    <w:p w14:paraId="5BE234B9" w14:textId="6A91002B" w:rsidR="005614EF" w:rsidRPr="006673C1" w:rsidRDefault="005614EF" w:rsidP="005614EF">
      <w:pPr>
        <w:spacing w:line="360" w:lineRule="auto"/>
        <w:ind w:firstLine="720"/>
        <w:jc w:val="both"/>
        <w:rPr>
          <w:rFonts w:eastAsia="Arial"/>
          <w:iCs/>
        </w:rPr>
      </w:pPr>
      <w:r w:rsidRPr="006673C1">
        <w:rPr>
          <w:rFonts w:eastAsia="Arial"/>
          <w:iCs/>
        </w:rPr>
        <w:t xml:space="preserve">Pradinis ŪML </w:t>
      </w:r>
      <w:r w:rsidR="00EE27F7">
        <w:rPr>
          <w:rFonts w:eastAsia="Arial"/>
          <w:iCs/>
        </w:rPr>
        <w:t>gydymo</w:t>
      </w:r>
      <w:r w:rsidR="00EE27F7" w:rsidRPr="006673C1">
        <w:rPr>
          <w:rFonts w:eastAsia="Arial"/>
          <w:iCs/>
        </w:rPr>
        <w:t xml:space="preserve"> </w:t>
      </w:r>
      <w:r w:rsidRPr="006673C1">
        <w:rPr>
          <w:rFonts w:eastAsia="Arial"/>
          <w:iCs/>
        </w:rPr>
        <w:t>tikslas yra ligos kontrolė ir ligos remisij</w:t>
      </w:r>
      <w:r w:rsidR="00EE27F7">
        <w:rPr>
          <w:rFonts w:eastAsia="Arial"/>
          <w:iCs/>
        </w:rPr>
        <w:t>os sukėlimas</w:t>
      </w:r>
      <w:r w:rsidRPr="006673C1">
        <w:rPr>
          <w:rFonts w:eastAsia="Arial"/>
          <w:iCs/>
        </w:rPr>
        <w:t xml:space="preserve">. Gydymas paprastai susideda iš 2 fazių: intensyvi indukcinė chemoterapija ir konsolidacinė chemoterapija. Pacientams su lydinčiomis ligomis, taip pat vyresniems pacientams, dažnai negali būti skiriamas intensyvus gydymas. </w:t>
      </w:r>
      <w:r w:rsidR="00EE27F7">
        <w:rPr>
          <w:rFonts w:eastAsia="Arial"/>
          <w:iCs/>
        </w:rPr>
        <w:t>Gydymo</w:t>
      </w:r>
      <w:r w:rsidR="00EE27F7" w:rsidRPr="006673C1">
        <w:rPr>
          <w:rFonts w:eastAsia="Arial"/>
          <w:iCs/>
        </w:rPr>
        <w:t xml:space="preserve"> </w:t>
      </w:r>
      <w:r w:rsidRPr="006673C1">
        <w:rPr>
          <w:rFonts w:eastAsia="Arial"/>
          <w:iCs/>
        </w:rPr>
        <w:t xml:space="preserve">efektyvumą riboja ir nepalankūs genetiniai faktoriai. </w:t>
      </w:r>
    </w:p>
    <w:p w14:paraId="100D868F" w14:textId="28F7A007" w:rsidR="005614EF" w:rsidRPr="006673C1" w:rsidRDefault="005614EF" w:rsidP="005614EF">
      <w:pPr>
        <w:spacing w:line="360" w:lineRule="auto"/>
        <w:ind w:firstLine="645"/>
        <w:jc w:val="both"/>
        <w:rPr>
          <w:rFonts w:eastAsia="Arial"/>
          <w:iCs/>
        </w:rPr>
      </w:pPr>
      <w:r w:rsidRPr="006673C1">
        <w:t>Suaugusi</w:t>
      </w:r>
      <w:r w:rsidR="00EE27F7">
        <w:t>esiems</w:t>
      </w:r>
      <w:r w:rsidRPr="006673C1">
        <w:t xml:space="preserve"> ŪML sudaro iki 40% visų leukemijų (C91-C95). Lietuvos vėžio registro duomenimis, 2016 metais Lietuvoje buvo diagnozuota 491 leukemijos (C91-C95) atvejis, o 2017 m. </w:t>
      </w:r>
      <w:r w:rsidRPr="006673C1">
        <w:lastRenderedPageBreak/>
        <w:t>– 489 atvejai. Tai reiškia, kad kiekvienais metais Lietuvoje diagnozuojama apie 196 nauji ŪML sergantys asmenys, iš kurių apie 50%, arba 98 pacientai, netinkami intensyvia</w:t>
      </w:r>
      <w:r w:rsidR="00EE27F7">
        <w:t>m gydymui</w:t>
      </w:r>
      <w:r w:rsidRPr="006673C1">
        <w:t xml:space="preserve">. Tarp jų yra apie 10% pacientų su </w:t>
      </w:r>
      <w:r w:rsidRPr="006673C1">
        <w:rPr>
          <w:color w:val="000000"/>
        </w:rPr>
        <w:t>IDH1 geno mutacija ir iki 10 pacientų galėtų būti gydomi</w:t>
      </w:r>
      <w:r w:rsidRPr="006673C1">
        <w:t xml:space="preserve"> ivosidenibu derinyje su azacitidinu.</w:t>
      </w:r>
    </w:p>
    <w:p w14:paraId="71EFDE42" w14:textId="3EC2F85F" w:rsidR="005614EF" w:rsidRPr="00534941" w:rsidRDefault="005614EF" w:rsidP="005614EF">
      <w:pPr>
        <w:spacing w:line="360" w:lineRule="auto"/>
        <w:ind w:firstLine="720"/>
        <w:jc w:val="both"/>
        <w:rPr>
          <w:szCs w:val="20"/>
        </w:rPr>
      </w:pPr>
      <w:r w:rsidRPr="006673C1">
        <w:rPr>
          <w:rFonts w:eastAsia="Arial"/>
          <w:iCs/>
        </w:rPr>
        <w:t xml:space="preserve">Lietuvos Respublikoje nėra galiojančio teisinio ŪML gydymo reglamentavimo. Lietuvoje ŪML diagnozuojama ir gydoma vadovaujantis 2020 m. Europos medicinos onkologų draugijos (angl. European Society of Medical Oncology; ESMO) ir 2024 m. </w:t>
      </w:r>
      <w:r w:rsidRPr="006673C1">
        <w:rPr>
          <w:rFonts w:eastAsia="Arial"/>
        </w:rPr>
        <w:t>Nacionalinio išplėstinio vėžio tinklo (</w:t>
      </w:r>
      <w:r w:rsidRPr="006673C1">
        <w:rPr>
          <w:rFonts w:eastAsia="Arial"/>
          <w:i/>
          <w:iCs/>
        </w:rPr>
        <w:t xml:space="preserve">angl. National Comprehensive Cancer Network, NCCN) </w:t>
      </w:r>
      <w:r w:rsidRPr="006673C1">
        <w:rPr>
          <w:rFonts w:eastAsia="Arial"/>
          <w:iCs/>
        </w:rPr>
        <w:t xml:space="preserve">rekomendacijomis. 2020 m. ESMO rekomendacijose nėra informacijos apie </w:t>
      </w:r>
      <w:r w:rsidR="00EE27F7">
        <w:rPr>
          <w:rFonts w:eastAsia="Arial"/>
          <w:iCs/>
        </w:rPr>
        <w:t>ivosidenibo</w:t>
      </w:r>
      <w:r w:rsidRPr="006673C1">
        <w:rPr>
          <w:rFonts w:eastAsia="Arial"/>
          <w:iCs/>
        </w:rPr>
        <w:t xml:space="preserve"> ir azacitidino derinio gydymą, nes klinikinis tyrimas buvo atliktas jau po gairių pristatymo, todėl šio dokumento laikymas pagrindiniu informacijos šaltiniu negalimas, nes</w:t>
      </w:r>
      <w:r>
        <w:rPr>
          <w:rFonts w:eastAsia="Arial"/>
          <w:iCs/>
        </w:rPr>
        <w:t>,</w:t>
      </w:r>
      <w:r w:rsidRPr="006673C1">
        <w:rPr>
          <w:rFonts w:eastAsia="Arial"/>
          <w:iCs/>
        </w:rPr>
        <w:t xml:space="preserve"> atsižvelgiant į hematologinių susirgimų gydymo progresą per pastaruosius metus, yra atsiradę naujų efektyvių šios ligos gydymo būdu</w:t>
      </w:r>
      <w:r w:rsidRPr="006673C1">
        <w:t>.</w:t>
      </w:r>
      <w:r>
        <w:t xml:space="preserve"> </w:t>
      </w:r>
      <w:r w:rsidRPr="003D0859">
        <w:rPr>
          <w:rFonts w:eastAsia="Arial"/>
          <w:iCs/>
        </w:rPr>
        <w:t xml:space="preserve">2024 m. paskelbtos </w:t>
      </w:r>
      <w:r w:rsidRPr="005273C4">
        <w:rPr>
          <w:rFonts w:eastAsia="Arial"/>
          <w:i/>
        </w:rPr>
        <w:t xml:space="preserve">NCCN </w:t>
      </w:r>
      <w:r w:rsidRPr="003D0859">
        <w:rPr>
          <w:rFonts w:eastAsia="Arial"/>
          <w:iCs/>
        </w:rPr>
        <w:t>gairės nurodo, kad</w:t>
      </w:r>
      <w:r>
        <w:rPr>
          <w:rFonts w:eastAsia="Arial"/>
          <w:iCs/>
        </w:rPr>
        <w:t xml:space="preserve"> i</w:t>
      </w:r>
      <w:r w:rsidRPr="003D0859">
        <w:rPr>
          <w:rFonts w:eastAsia="Arial"/>
          <w:iCs/>
        </w:rPr>
        <w:t xml:space="preserve">vosidenibo ir </w:t>
      </w:r>
      <w:r>
        <w:rPr>
          <w:rFonts w:eastAsia="Arial"/>
          <w:iCs/>
        </w:rPr>
        <w:t>a</w:t>
      </w:r>
      <w:r w:rsidRPr="003D0859">
        <w:rPr>
          <w:rFonts w:eastAsia="Arial"/>
          <w:iCs/>
        </w:rPr>
        <w:t xml:space="preserve">zacitidino bei </w:t>
      </w:r>
      <w:r>
        <w:rPr>
          <w:rFonts w:eastAsia="Arial"/>
          <w:iCs/>
        </w:rPr>
        <w:t>v</w:t>
      </w:r>
      <w:r w:rsidRPr="003D0859">
        <w:rPr>
          <w:rFonts w:eastAsia="Arial"/>
          <w:iCs/>
        </w:rPr>
        <w:t xml:space="preserve">enetoklakso ir </w:t>
      </w:r>
      <w:r>
        <w:rPr>
          <w:rFonts w:eastAsia="Arial"/>
          <w:iCs/>
        </w:rPr>
        <w:t>a</w:t>
      </w:r>
      <w:r w:rsidRPr="003D0859">
        <w:rPr>
          <w:rFonts w:eastAsia="Arial"/>
          <w:iCs/>
        </w:rPr>
        <w:t xml:space="preserve">zacitidino deriniai yra pirmojo pasirinkimo </w:t>
      </w:r>
      <w:r w:rsidR="00EE27F7">
        <w:rPr>
          <w:rFonts w:eastAsia="Arial"/>
          <w:iCs/>
        </w:rPr>
        <w:t xml:space="preserve">vaistiniai </w:t>
      </w:r>
      <w:r w:rsidRPr="003D0859">
        <w:rPr>
          <w:rFonts w:eastAsia="Arial"/>
          <w:iCs/>
        </w:rPr>
        <w:t>preparatai  pacientams sergantiems ŪML su IDH1 mutacija</w:t>
      </w:r>
      <w:r>
        <w:rPr>
          <w:rFonts w:eastAsia="Arial"/>
          <w:iCs/>
        </w:rPr>
        <w:t>.</w:t>
      </w:r>
    </w:p>
    <w:p w14:paraId="1A2E80AA" w14:textId="7A38010C" w:rsidR="005614EF" w:rsidRPr="003D0859" w:rsidRDefault="005614EF" w:rsidP="005614EF">
      <w:pPr>
        <w:tabs>
          <w:tab w:val="left" w:pos="426"/>
        </w:tabs>
        <w:spacing w:line="360" w:lineRule="auto"/>
        <w:jc w:val="both"/>
        <w:rPr>
          <w:rFonts w:eastAsia="Arial"/>
        </w:rPr>
      </w:pPr>
      <w:r w:rsidRPr="003D0859">
        <w:rPr>
          <w:rFonts w:eastAsia="Arial"/>
        </w:rPr>
        <w:tab/>
      </w:r>
      <w:r w:rsidRPr="003D0859">
        <w:rPr>
          <w:rFonts w:eastAsia="Arial"/>
        </w:rPr>
        <w:tab/>
        <w:t xml:space="preserve">Remiantis </w:t>
      </w:r>
      <w:r w:rsidRPr="003D0859">
        <w:rPr>
          <w:rFonts w:eastAsia="Arial"/>
          <w:iCs/>
        </w:rPr>
        <w:t>2000 m. sausio 28 d. Lietuvos Respublikos sveikatos apsaugos ministro įsakymu Nr. 49 „Dėl kompensuojamųjų vaistų sąrašų patvirtinimo“</w:t>
      </w:r>
      <w:r w:rsidRPr="003D0859">
        <w:rPr>
          <w:rFonts w:eastAsia="Arial"/>
        </w:rPr>
        <w:t xml:space="preserve"> </w:t>
      </w:r>
      <w:r w:rsidR="00EE27F7">
        <w:rPr>
          <w:rFonts w:eastAsia="Arial"/>
          <w:iCs/>
        </w:rPr>
        <w:t>patvirtinto L</w:t>
      </w:r>
      <w:r w:rsidR="00EE27F7" w:rsidRPr="00425576">
        <w:rPr>
          <w:szCs w:val="20"/>
        </w:rPr>
        <w:t>igų ir kompensuojamųjų vaistų joms gydyti sąraš</w:t>
      </w:r>
      <w:r w:rsidR="00EE27F7">
        <w:rPr>
          <w:szCs w:val="20"/>
        </w:rPr>
        <w:t>o</w:t>
      </w:r>
      <w:r w:rsidR="00EE27F7" w:rsidRPr="00425576">
        <w:rPr>
          <w:szCs w:val="20"/>
        </w:rPr>
        <w:t xml:space="preserve"> (</w:t>
      </w:r>
      <w:r w:rsidR="00EE27F7">
        <w:rPr>
          <w:szCs w:val="20"/>
        </w:rPr>
        <w:t xml:space="preserve">A </w:t>
      </w:r>
      <w:r w:rsidR="00EE27F7" w:rsidRPr="00425576">
        <w:rPr>
          <w:szCs w:val="20"/>
        </w:rPr>
        <w:t>sąrašas)</w:t>
      </w:r>
      <w:r w:rsidR="00EE27F7">
        <w:rPr>
          <w:szCs w:val="20"/>
        </w:rPr>
        <w:t xml:space="preserve">  informacija, </w:t>
      </w:r>
      <w:r w:rsidRPr="003D0859">
        <w:rPr>
          <w:rFonts w:eastAsia="Arial"/>
          <w:iCs/>
        </w:rPr>
        <w:t xml:space="preserve">decitabinas, </w:t>
      </w:r>
      <w:r w:rsidRPr="003D0859">
        <w:rPr>
          <w:iCs/>
        </w:rPr>
        <w:t>azacitidinas ir venetoklaksas</w:t>
      </w:r>
      <w:r w:rsidRPr="003D0859">
        <w:rPr>
          <w:rFonts w:eastAsia="Arial"/>
        </w:rPr>
        <w:t xml:space="preserve"> yra kompensuojami Ū</w:t>
      </w:r>
      <w:r w:rsidRPr="003D0859">
        <w:t>ML</w:t>
      </w:r>
      <w:r w:rsidRPr="003D0859">
        <w:rPr>
          <w:rFonts w:eastAsia="Arial"/>
        </w:rPr>
        <w:t xml:space="preserve"> gydyti (TLK-10 AM kodai: C92.0). Pagal pateiktas 2020 m. ESMO ir 2024 m. NCCN rekomendacijas, prioritetiniu gydymu yra laikom</w:t>
      </w:r>
      <w:r>
        <w:rPr>
          <w:rFonts w:eastAsia="Arial"/>
        </w:rPr>
        <w:t>i</w:t>
      </w:r>
      <w:r w:rsidRPr="003D0859">
        <w:rPr>
          <w:rFonts w:eastAsia="Arial"/>
        </w:rPr>
        <w:t xml:space="preserve"> </w:t>
      </w:r>
      <w:r w:rsidRPr="003D0859">
        <w:rPr>
          <w:bCs/>
        </w:rPr>
        <w:t xml:space="preserve">azacitidino </w:t>
      </w:r>
      <w:r>
        <w:rPr>
          <w:bCs/>
        </w:rPr>
        <w:t xml:space="preserve">derinys </w:t>
      </w:r>
      <w:r w:rsidRPr="003D0859">
        <w:rPr>
          <w:rFonts w:eastAsia="Arial"/>
        </w:rPr>
        <w:t xml:space="preserve">su </w:t>
      </w:r>
      <w:r w:rsidRPr="003D0859">
        <w:rPr>
          <w:bCs/>
        </w:rPr>
        <w:t>venetoklaksu bei azacitidino derinys su ivosidenibu.</w:t>
      </w:r>
    </w:p>
    <w:p w14:paraId="050AC8D0" w14:textId="3D74A0D3" w:rsidR="005614EF" w:rsidRPr="003D0859" w:rsidRDefault="005614EF" w:rsidP="005614EF">
      <w:pPr>
        <w:tabs>
          <w:tab w:val="left" w:pos="426"/>
        </w:tabs>
        <w:spacing w:line="360" w:lineRule="auto"/>
        <w:jc w:val="both"/>
        <w:rPr>
          <w:rFonts w:eastAsia="Arial"/>
        </w:rPr>
      </w:pPr>
      <w:r w:rsidRPr="003D0859">
        <w:rPr>
          <w:bCs/>
          <w:lang w:eastAsia="lt-LT"/>
        </w:rPr>
        <w:tab/>
      </w:r>
      <w:r w:rsidRPr="003D0859">
        <w:rPr>
          <w:bCs/>
          <w:lang w:eastAsia="lt-LT"/>
        </w:rPr>
        <w:tab/>
      </w:r>
      <w:r w:rsidR="00EE27F7" w:rsidRPr="00536373">
        <w:rPr>
          <w:bCs/>
          <w:lang w:eastAsia="lt-LT"/>
        </w:rPr>
        <w:t xml:space="preserve">Vadovaujantis </w:t>
      </w:r>
      <w:r w:rsidRPr="00536373">
        <w:rPr>
          <w:bCs/>
          <w:lang w:eastAsia="lt-LT"/>
        </w:rPr>
        <w:t>Lietuvos Respublikos sveikatos apsaugos ministro  įsakym</w:t>
      </w:r>
      <w:r w:rsidR="00EE27F7" w:rsidRPr="00536373">
        <w:rPr>
          <w:bCs/>
          <w:lang w:eastAsia="lt-LT"/>
        </w:rPr>
        <w:t>u</w:t>
      </w:r>
      <w:r w:rsidRPr="00536373">
        <w:rPr>
          <w:bCs/>
          <w:lang w:eastAsia="lt-LT"/>
        </w:rPr>
        <w:t xml:space="preserve"> „Dė</w:t>
      </w:r>
      <w:r w:rsidRPr="00536373">
        <w:rPr>
          <w:bCs/>
        </w:rPr>
        <w:t xml:space="preserve">l vaistinių preparatų ir medicinos pagalbos priemonių įrašymo į kompensavimo sąrašus ir jų keitimo tvarkos aprašo patvirtinimo“ </w:t>
      </w:r>
      <w:r w:rsidR="00537A61" w:rsidRPr="005273C4">
        <w:rPr>
          <w:bCs/>
          <w:lang w:eastAsia="lt-LT"/>
        </w:rPr>
        <w:t xml:space="preserve">2002 m. balandžio 5 d., </w:t>
      </w:r>
      <w:r w:rsidR="00537A61" w:rsidRPr="005273C4">
        <w:rPr>
          <w:bCs/>
        </w:rPr>
        <w:t xml:space="preserve"> </w:t>
      </w:r>
      <w:r w:rsidR="00537A61" w:rsidRPr="005273C4">
        <w:rPr>
          <w:bCs/>
          <w:lang w:eastAsia="lt-LT"/>
        </w:rPr>
        <w:t xml:space="preserve">Nr. V-159 patvirtintų </w:t>
      </w:r>
      <w:r w:rsidR="00537A61" w:rsidRPr="00536373">
        <w:rPr>
          <w:bCs/>
          <w:lang w:eastAsia="lt-LT"/>
        </w:rPr>
        <w:t>P</w:t>
      </w:r>
      <w:r w:rsidR="00537A61" w:rsidRPr="005273C4">
        <w:rPr>
          <w:bCs/>
        </w:rPr>
        <w:t>araiškos įrašyti vaistinį preparatą į kompensavimo sąrašus rengimo taisykl</w:t>
      </w:r>
      <w:r w:rsidR="00537A61" w:rsidRPr="00536373">
        <w:rPr>
          <w:bCs/>
        </w:rPr>
        <w:t>ių</w:t>
      </w:r>
      <w:r w:rsidR="00537A61" w:rsidRPr="005273C4">
        <w:rPr>
          <w:bCs/>
          <w:lang w:eastAsia="lt-LT"/>
        </w:rPr>
        <w:t xml:space="preserve"> </w:t>
      </w:r>
      <w:r w:rsidRPr="00536373">
        <w:rPr>
          <w:bCs/>
        </w:rPr>
        <w:t>116-119</w:t>
      </w:r>
      <w:r w:rsidR="00537A61" w:rsidRPr="005273C4">
        <w:rPr>
          <w:bCs/>
        </w:rPr>
        <w:t xml:space="preserve"> punktais</w:t>
      </w:r>
      <w:r w:rsidRPr="00536373">
        <w:rPr>
          <w:bCs/>
        </w:rPr>
        <w:t xml:space="preserve"> tinkamas palyginamasis gydymas – azacitidino derinys su venetoklaksu.</w:t>
      </w:r>
      <w:r w:rsidRPr="003D0859">
        <w:rPr>
          <w:bCs/>
        </w:rPr>
        <w:t xml:space="preserve"> </w:t>
      </w:r>
    </w:p>
    <w:p w14:paraId="09C678E1" w14:textId="77777777" w:rsidR="005614EF" w:rsidRDefault="005614EF" w:rsidP="005614EF">
      <w:pPr>
        <w:tabs>
          <w:tab w:val="left" w:pos="284"/>
        </w:tabs>
        <w:spacing w:line="360" w:lineRule="auto"/>
        <w:rPr>
          <w:b/>
          <w:bCs/>
          <w:caps/>
          <w:highlight w:val="yellow"/>
        </w:rPr>
      </w:pPr>
    </w:p>
    <w:p w14:paraId="1E1814C0" w14:textId="77777777" w:rsidR="005614EF" w:rsidRPr="00F91153" w:rsidRDefault="005614EF" w:rsidP="005614EF">
      <w:pPr>
        <w:tabs>
          <w:tab w:val="left" w:pos="426"/>
        </w:tabs>
        <w:spacing w:line="360" w:lineRule="auto"/>
        <w:jc w:val="both"/>
        <w:rPr>
          <w:i/>
          <w:iCs/>
          <w:color w:val="000000"/>
          <w:lang w:eastAsia="lt-LT"/>
        </w:rPr>
      </w:pPr>
      <w:r w:rsidRPr="00F91153">
        <w:rPr>
          <w:i/>
          <w:iCs/>
          <w:color w:val="000000"/>
          <w:lang w:eastAsia="lt-LT"/>
        </w:rPr>
        <w:t>Tiesioginis palyginimas</w:t>
      </w:r>
    </w:p>
    <w:p w14:paraId="1CE0C864" w14:textId="4F4A45A0" w:rsidR="005614EF" w:rsidRPr="00F91153" w:rsidRDefault="005614EF" w:rsidP="005614EF">
      <w:pPr>
        <w:tabs>
          <w:tab w:val="left" w:pos="492"/>
        </w:tabs>
        <w:spacing w:line="360" w:lineRule="auto"/>
        <w:jc w:val="both"/>
        <w:outlineLvl w:val="1"/>
      </w:pPr>
      <w:r w:rsidRPr="00F91153">
        <w:tab/>
      </w:r>
      <w:r w:rsidRPr="00F91153">
        <w:tab/>
      </w:r>
      <w:r w:rsidR="00EE27F7">
        <w:rPr>
          <w:rFonts w:eastAsia="Arial"/>
          <w:iCs/>
        </w:rPr>
        <w:t xml:space="preserve">Ivosidenibo </w:t>
      </w:r>
      <w:r w:rsidRPr="00F91153">
        <w:t xml:space="preserve"> veiksmingumas ir saugumas buvo įvertinti atlikus atsitiktinių imčių, daugiacentrį, dvigubai </w:t>
      </w:r>
      <w:r w:rsidR="00EE27F7">
        <w:t>koduotą</w:t>
      </w:r>
      <w:r w:rsidRPr="00F91153">
        <w:t>, placebu kontroliuotą klinikinį tyrimą (AGILE), kuriame dalyvavo anksčiau negydyta ŪML su IDH1 mutacija sergantys 146 suaugę pacientai, kuriems intensyvi indukcinė chemoterapija buvo netinkama pagal bent vieną iš šių kriterijų: 75 metų ar vyresni, funkcinė būklė pagal Rytų jungtinės onkologijos grupės (angl. Eastern Cooperative Oncology Group, ECOG) įvertinimą 2, sunki širdies ar plaučių liga, kepenų funkcijos sutrikimas, kai bilirubino koncentracija &gt; 1,5 karto viršija viršutinę normos ribą (VNR), kreatinino klirensas &lt; 45 ml/min. arba kitos gretutinės ligos.</w:t>
      </w:r>
    </w:p>
    <w:p w14:paraId="76747878" w14:textId="77777777" w:rsidR="005614EF" w:rsidRPr="00F91153" w:rsidRDefault="005614EF" w:rsidP="005614EF">
      <w:pPr>
        <w:tabs>
          <w:tab w:val="left" w:pos="426"/>
        </w:tabs>
        <w:spacing w:line="360" w:lineRule="auto"/>
        <w:jc w:val="both"/>
        <w:rPr>
          <w:rFonts w:eastAsia="Arial"/>
        </w:rPr>
      </w:pPr>
      <w:r w:rsidRPr="00F91153">
        <w:rPr>
          <w:rFonts w:eastAsia="Arial"/>
        </w:rPr>
        <w:lastRenderedPageBreak/>
        <w:tab/>
      </w:r>
      <w:r w:rsidRPr="00F91153">
        <w:rPr>
          <w:rFonts w:eastAsia="Arial"/>
        </w:rPr>
        <w:tab/>
        <w:t xml:space="preserve">Tyrimo pacientų populiacija atitinka Lietuvos pacientų populiaciją, kuriai gydymas gali būti skiriamas pagal numatomas Tibsovo skyrimo indikacijas ir siūlomas skyrimo sąlygas. </w:t>
      </w:r>
      <w:r w:rsidRPr="00F91153">
        <w:t>Iš viso 146 pacientai atsitiktine tvarka santykiu 1:1 buvo suskirstyti į grupes, 72 pacientai atsitiktiniu būdu buvo atrinkti į Azacitidino+</w:t>
      </w:r>
      <w:r w:rsidRPr="008B4F9E">
        <w:t xml:space="preserve"> Ivosidenib</w:t>
      </w:r>
      <w:r>
        <w:t xml:space="preserve">o </w:t>
      </w:r>
      <w:r w:rsidRPr="00F91153">
        <w:t>(A+I) grupę ir 74 pacientai – į Azacitidino+Placebo (A+P) grupę. Visiems tiriamiesiems buvo atlikta genų mutacijos analizė, siekiant centralizuotai patvirtinti IDH1 mutaciją iš kaulų čiulpų ir (arba) periferinio kraujo mėginio naudojant Abbott RealTime™ IDH1 testą. Pacientai buvo stratifikuojami pagal  ŪML statusą (de novo ŪML, antrinė ŪML), geografinį regioną.</w:t>
      </w:r>
      <w:r w:rsidRPr="00F91153">
        <w:rPr>
          <w:rFonts w:eastAsia="Arial"/>
        </w:rPr>
        <w:t xml:space="preserve"> </w:t>
      </w:r>
      <w:r w:rsidRPr="00F91153">
        <w:t>Tyrimo dizainas atitinka III fazės klinikinių tyrimų reikalavimą, yra tinkamas išsikeltoms hipotezėms pagrįsti. Statistiniai metodai buvo taikomi tinkamai, tyrime vertintos pirminės ir antrinės baigtys atitinka klinikinėje praktikoje reikšmingus gydymo efektyvumo vertinimo kriterijus ir atspindi gydymo tikslus. Pagrindinė vertinamoji baigtis, išgyvenamumas be reiškinių, laikoma tinkama pirmine baigtimi.</w:t>
      </w:r>
    </w:p>
    <w:p w14:paraId="6D3E931F" w14:textId="77777777" w:rsidR="005614EF" w:rsidRPr="00F91153" w:rsidRDefault="005614EF" w:rsidP="005614EF">
      <w:pPr>
        <w:tabs>
          <w:tab w:val="left" w:pos="426"/>
        </w:tabs>
        <w:spacing w:line="360" w:lineRule="auto"/>
        <w:jc w:val="both"/>
        <w:rPr>
          <w:rFonts w:eastAsia="Arial"/>
        </w:rPr>
      </w:pPr>
      <w:r w:rsidRPr="00F91153">
        <w:tab/>
      </w:r>
      <w:r w:rsidRPr="00F91153">
        <w:tab/>
        <w:t xml:space="preserve">Pradinės pacientų charakteristikos abiejose grupėse buvo panašios. </w:t>
      </w:r>
      <w:r w:rsidRPr="00F91153">
        <w:rPr>
          <w:rFonts w:eastAsia="Arial"/>
          <w:iCs/>
          <w:color w:val="000000" w:themeColor="text1"/>
        </w:rPr>
        <w:t>Tyrime dalyvavusių pacientų tik nedidelė dalis yra baltaodžiai, t.y. Lietuvai tinkama populiacija, todėl nėra aišku ar šis rodiklis neturi įtakos gautiems rezultatams ir jų pritaikomumui Lietuvos pacientų populiacijoje, kiti  tyrime dalyvavusių pacientų demografiniai bei ligos rodikliai atspindi realią pacientų populiaciją, kuriai šis vaistai yra skiriamas Lietuvoje.</w:t>
      </w:r>
      <w:r w:rsidRPr="00F91153">
        <w:rPr>
          <w:rFonts w:eastAsia="Arial"/>
        </w:rPr>
        <w:t xml:space="preserve"> </w:t>
      </w:r>
    </w:p>
    <w:p w14:paraId="149EEC19" w14:textId="0108BF31" w:rsidR="005614EF" w:rsidRPr="00F91153" w:rsidRDefault="005614EF" w:rsidP="005614EF">
      <w:pPr>
        <w:tabs>
          <w:tab w:val="left" w:pos="426"/>
        </w:tabs>
        <w:spacing w:line="360" w:lineRule="auto"/>
        <w:jc w:val="both"/>
      </w:pPr>
      <w:r w:rsidRPr="00F91153">
        <w:rPr>
          <w:rFonts w:eastAsia="Arial"/>
        </w:rPr>
        <w:tab/>
      </w:r>
      <w:r w:rsidRPr="00F91153">
        <w:rPr>
          <w:rFonts w:eastAsia="Arial"/>
        </w:rPr>
        <w:tab/>
        <w:t xml:space="preserve">Tyrimo </w:t>
      </w:r>
      <w:r w:rsidRPr="00F91153">
        <w:rPr>
          <w:rFonts w:eastAsia="Arial"/>
          <w:u w:val="single"/>
        </w:rPr>
        <w:t>pagrindinė</w:t>
      </w:r>
      <w:r w:rsidRPr="00F91153">
        <w:rPr>
          <w:rFonts w:eastAsia="Arial"/>
        </w:rPr>
        <w:t xml:space="preserve"> (pirminė) veiksmingumo vertinamoji </w:t>
      </w:r>
      <w:r w:rsidRPr="00F91153">
        <w:rPr>
          <w:rFonts w:eastAsia="Arial"/>
          <w:u w:val="single"/>
        </w:rPr>
        <w:t>baigtis</w:t>
      </w:r>
      <w:r w:rsidRPr="00F91153">
        <w:rPr>
          <w:rFonts w:eastAsia="Arial"/>
        </w:rPr>
        <w:t xml:space="preserve"> buvo </w:t>
      </w:r>
      <w:r w:rsidR="0063516C" w:rsidRPr="003D0859">
        <w:t>išgyvenamumas be reiškinių (angl. event-free survival; IBR)</w:t>
      </w:r>
      <w:r w:rsidRPr="00F91153">
        <w:t>. Vidutinė tyrime dalyvavusių subjektų stebėjimo trukmė buvo 12,4 mėn. (95 proc. pasikliautinis intervalas [PI] &lt;0,1–28,8 mėn.). Pirminė analizė parodė statistiškai reikšmingą IBR pagerėjimą tiems pacientams, kurie priklausė A+I grupei, lyginant su A+P (rizikos santykis (RS) 0,33; 95% PI: 0,16–0,69; p=0,0011). Tai reiškia, kad pacientams, gydytiems A+I, patirti ligos atkrytį, gydymo nes</w:t>
      </w:r>
      <w:r w:rsidR="0063516C">
        <w:t>ė</w:t>
      </w:r>
      <w:r w:rsidRPr="00F91153">
        <w:t>kmę arba mirties rizika buvo 67 proc. mažesnė, palyginti su tais, kurie buvo gydyti A+I. Mediana IBR A+I grupėje buvo 0,03 mėn. (95 proc. PI 0,03-11,01 mėn.), o A+P grupėje ji buvo 0,03 mėn (95 proc. NE-NE). Medianos rezultatai tokie, nes daugiau nei 50 proc. pacientų kiekvienoje grupėje nepasiekė remisijos.</w:t>
      </w:r>
    </w:p>
    <w:p w14:paraId="2FD43AD9" w14:textId="77777777" w:rsidR="005614EF" w:rsidRPr="00F91153" w:rsidRDefault="005614EF" w:rsidP="005614EF">
      <w:pPr>
        <w:tabs>
          <w:tab w:val="left" w:pos="426"/>
        </w:tabs>
        <w:spacing w:line="360" w:lineRule="auto"/>
        <w:jc w:val="both"/>
      </w:pPr>
      <w:r w:rsidRPr="00F91153">
        <w:tab/>
      </w:r>
      <w:r w:rsidRPr="00F91153">
        <w:tab/>
        <w:t>IBR pogrupių analizė parodė, kad IBR nebuvo statistiškai reikšmingai pagerėjęs tarp visų iš anksto suplanuotų pogrupių. A+I pranašumą prieš A+P įrodė vyresnio amžiaus pacientams (≥75 m. pacientai), pacientai, kurių ECOG PS skalės įvertis buvo 0 ar 1, vyrai, pacientai, kurie savo rasės nepranešė, pacientai, kurie turėjo palankų citogenetinį statusą (6 paveikslas). Svarbu paminėti, kad baltaodžių grupėje nebuvo pasiektas statistiškai reikšmingas IBR baigties pagerėjimas (RS 0,72; 95 proc. PI 0,16-3,2).</w:t>
      </w:r>
    </w:p>
    <w:p w14:paraId="7BE26069" w14:textId="77777777" w:rsidR="005614EF" w:rsidRPr="00F91153" w:rsidRDefault="005614EF" w:rsidP="005614EF">
      <w:pPr>
        <w:tabs>
          <w:tab w:val="left" w:pos="426"/>
        </w:tabs>
        <w:spacing w:line="360" w:lineRule="auto"/>
        <w:jc w:val="both"/>
        <w:rPr>
          <w:rFonts w:eastAsia="Arial"/>
        </w:rPr>
      </w:pPr>
    </w:p>
    <w:p w14:paraId="36998439" w14:textId="77777777" w:rsidR="005614EF" w:rsidRPr="00F91153" w:rsidRDefault="005614EF" w:rsidP="005614EF">
      <w:pPr>
        <w:tabs>
          <w:tab w:val="left" w:pos="426"/>
        </w:tabs>
        <w:spacing w:line="360" w:lineRule="auto"/>
        <w:jc w:val="both"/>
        <w:rPr>
          <w:b/>
          <w:bCs/>
        </w:rPr>
      </w:pPr>
      <w:r w:rsidRPr="00F91153">
        <w:rPr>
          <w:b/>
          <w:bCs/>
        </w:rPr>
        <w:t>Antrinės vertinamosios baigty</w:t>
      </w:r>
      <w:r>
        <w:rPr>
          <w:b/>
          <w:bCs/>
        </w:rPr>
        <w:t>s</w:t>
      </w:r>
    </w:p>
    <w:p w14:paraId="3A723DB9" w14:textId="77777777" w:rsidR="005614EF" w:rsidRPr="00534941" w:rsidRDefault="005614EF" w:rsidP="005614EF">
      <w:pPr>
        <w:pStyle w:val="ListParagraph"/>
        <w:numPr>
          <w:ilvl w:val="0"/>
          <w:numId w:val="27"/>
        </w:numPr>
        <w:tabs>
          <w:tab w:val="left" w:pos="426"/>
        </w:tabs>
        <w:spacing w:line="360" w:lineRule="auto"/>
        <w:jc w:val="both"/>
      </w:pPr>
      <w:r w:rsidRPr="00534941">
        <w:lastRenderedPageBreak/>
        <w:t>Bendrasis išgyvenamumas (BI) – laikotarpis nuo atsitiktinės atrankos datos iki mirties datos dėl bet kokios priežasties.</w:t>
      </w:r>
    </w:p>
    <w:p w14:paraId="4BB6B2D4" w14:textId="77777777" w:rsidR="005614EF" w:rsidRDefault="005614EF" w:rsidP="005614EF">
      <w:pPr>
        <w:tabs>
          <w:tab w:val="left" w:pos="426"/>
        </w:tabs>
        <w:spacing w:line="360" w:lineRule="auto"/>
        <w:jc w:val="both"/>
      </w:pPr>
      <w:r w:rsidRPr="00F91153">
        <w:tab/>
      </w:r>
      <w:r w:rsidRPr="00F91153">
        <w:tab/>
        <w:t>Po maždaug 15 mėn. stebėjimo medianos abejoms gydymo grupėms, buvo pastebėtas reikšmingas BI pagerėjimas A+I grupėje, palyginti su A+I grupe (RS 0,44; 95 proc. PI, 0,27–0,73; p = 0,001). A+I grupėje BI mediana buvo 24,0 mėn. (95 % PI, 11,3–34,1 mėn.), o A+P grupėje – 7,9 mėn. (95 % PI, 4,1–11,3 mėn.). Gydymo efekto buvo pastebėtas po 3, 6, 9, 12, 18 ir 24 mėnesių.</w:t>
      </w:r>
    </w:p>
    <w:p w14:paraId="3AF759F0" w14:textId="77777777" w:rsidR="005614EF" w:rsidRPr="00F91153" w:rsidRDefault="005614EF" w:rsidP="005614EF">
      <w:pPr>
        <w:tabs>
          <w:tab w:val="left" w:pos="426"/>
        </w:tabs>
        <w:spacing w:line="360" w:lineRule="auto"/>
        <w:jc w:val="both"/>
      </w:pPr>
    </w:p>
    <w:p w14:paraId="3E422DBF" w14:textId="77777777" w:rsidR="005614EF" w:rsidRPr="00F91153" w:rsidRDefault="005614EF" w:rsidP="005614EF">
      <w:pPr>
        <w:pStyle w:val="ListParagraph"/>
        <w:numPr>
          <w:ilvl w:val="0"/>
          <w:numId w:val="27"/>
        </w:numPr>
        <w:tabs>
          <w:tab w:val="left" w:pos="426"/>
        </w:tabs>
        <w:spacing w:line="360" w:lineRule="auto"/>
        <w:jc w:val="both"/>
      </w:pPr>
      <w:r w:rsidRPr="00F91153">
        <w:t>Visiška remisija (VR) – kaulų čiulpų blastai &lt;5 %, nėra Auerio lazdelių, nėra ekstramedulinės ligos, absoliutus neutrofilų skaičius ≥1,0 × 10⁹/L [1000/µL], trombocitų skaičius ≥100 × 10⁹/L [100,000/µL] ir nepriklausomumas nuo raudonųjų kraujo kūnelių transfuzijų.</w:t>
      </w:r>
    </w:p>
    <w:p w14:paraId="0BE1BEE6" w14:textId="77777777" w:rsidR="005614EF" w:rsidRPr="00F91153" w:rsidRDefault="005614EF" w:rsidP="005614EF">
      <w:pPr>
        <w:tabs>
          <w:tab w:val="left" w:pos="426"/>
        </w:tabs>
        <w:spacing w:line="360" w:lineRule="auto"/>
        <w:jc w:val="both"/>
      </w:pPr>
      <w:r w:rsidRPr="00F91153">
        <w:tab/>
      </w:r>
      <w:r w:rsidRPr="00F91153">
        <w:tab/>
        <w:t xml:space="preserve">VR dažnis A+I grupėje buvo reikšmingai didesnis nei A+P grupėje (47,2 proc. [95 proc. PI, 35,3–59,3] prieš 14,9 proc. [95 % PI, 7,7–25,0]; šansų santykis (ŠS) 4,76 [95 % PI, 2,15–10,50];  p reikšmė &lt;0,001). A+I grupėje pasiekti VR laiko -mediana buvo 4,3 mėnesio, palyginti su 3,8 mėnesio A+P grupėje. </w:t>
      </w:r>
    </w:p>
    <w:p w14:paraId="6E652E1B" w14:textId="77777777" w:rsidR="005614EF" w:rsidRDefault="005614EF" w:rsidP="005614EF">
      <w:pPr>
        <w:tabs>
          <w:tab w:val="left" w:pos="426"/>
        </w:tabs>
        <w:spacing w:line="360" w:lineRule="auto"/>
        <w:jc w:val="both"/>
      </w:pPr>
      <w:r w:rsidRPr="00F91153">
        <w:tab/>
      </w:r>
      <w:r w:rsidRPr="00F91153">
        <w:tab/>
        <w:t>A+I grupėje VR trukmės mediana nebuvo pasiekta, o A+P grupėje ji buvo 11,2 mėn. (95 proc. PI 3,2 - NE). Tarp pacientų, pasiekusių VR, tikimybė, kad pacientas išliks VR būklėje 12 mėnesių, buvo 88 % A+I grupėje ir 36 % A+P grupėje.</w:t>
      </w:r>
    </w:p>
    <w:p w14:paraId="3AA6B69F" w14:textId="77777777" w:rsidR="005614EF" w:rsidRPr="00F91153" w:rsidRDefault="005614EF" w:rsidP="005614EF">
      <w:pPr>
        <w:tabs>
          <w:tab w:val="left" w:pos="426"/>
        </w:tabs>
        <w:spacing w:line="360" w:lineRule="auto"/>
        <w:jc w:val="both"/>
      </w:pPr>
    </w:p>
    <w:p w14:paraId="28B8D27F" w14:textId="77777777" w:rsidR="005614EF" w:rsidRPr="00F91153" w:rsidRDefault="005614EF" w:rsidP="005614EF">
      <w:pPr>
        <w:pStyle w:val="ListParagraph"/>
        <w:numPr>
          <w:ilvl w:val="0"/>
          <w:numId w:val="27"/>
        </w:numPr>
        <w:tabs>
          <w:tab w:val="left" w:pos="426"/>
        </w:tabs>
        <w:spacing w:line="360" w:lineRule="auto"/>
        <w:jc w:val="both"/>
      </w:pPr>
      <w:r w:rsidRPr="00F91153">
        <w:t>Visiška remisija arba visiška remisija su daliniu hematologiniu atsistatymu (VR+VRh) – apibrėžiama kaip VR su daliniu periferinio kraujo rodiklių atsistatymu, kai absoliutus neutrofilų skaičius yra &gt;0,5 × 10⁹/L [500/µL] ir trombocitų skaičius &gt;50 × 10⁹/L [50,000/µL]; VRh nustato tyrimo rėmėjas.</w:t>
      </w:r>
    </w:p>
    <w:p w14:paraId="557018B8" w14:textId="77777777" w:rsidR="005614EF" w:rsidRPr="00F91153" w:rsidRDefault="005614EF" w:rsidP="005614EF">
      <w:pPr>
        <w:tabs>
          <w:tab w:val="left" w:pos="426"/>
        </w:tabs>
        <w:spacing w:line="360" w:lineRule="auto"/>
        <w:jc w:val="both"/>
      </w:pPr>
      <w:r w:rsidRPr="00F91153">
        <w:tab/>
      </w:r>
      <w:r w:rsidRPr="00F91153">
        <w:tab/>
        <w:t>VR+VRh dažnis A+I grupėje buvo reikšmingai didesnis nei A+P grupėje (52,8 proc. [95 % PI, 40,7–64,7] prieš 17,6 proc. [95 % PI, 9,7–28,2]; ŠS 5,01 [95 % PI, 2,32–10,81]; p reikšmė &lt;0,001).</w:t>
      </w:r>
    </w:p>
    <w:p w14:paraId="487128BB" w14:textId="77777777" w:rsidR="005614EF" w:rsidRPr="00F91153" w:rsidRDefault="005614EF" w:rsidP="005614EF">
      <w:pPr>
        <w:spacing w:line="360" w:lineRule="auto"/>
        <w:ind w:firstLine="630"/>
        <w:jc w:val="both"/>
        <w:rPr>
          <w:b/>
          <w:bCs/>
        </w:rPr>
      </w:pPr>
    </w:p>
    <w:p w14:paraId="38345843" w14:textId="77777777" w:rsidR="005614EF" w:rsidRPr="00F91153" w:rsidRDefault="005614EF" w:rsidP="005614EF">
      <w:pPr>
        <w:spacing w:line="360" w:lineRule="auto"/>
        <w:ind w:firstLine="630"/>
        <w:jc w:val="both"/>
        <w:rPr>
          <w:b/>
          <w:bCs/>
        </w:rPr>
      </w:pPr>
      <w:r w:rsidRPr="00F91153">
        <w:rPr>
          <w:b/>
          <w:bCs/>
        </w:rPr>
        <w:t>Pacientų praneštų baigčių analizė</w:t>
      </w:r>
    </w:p>
    <w:p w14:paraId="4B2AE35F" w14:textId="77777777" w:rsidR="005614EF" w:rsidRPr="00F91153" w:rsidRDefault="005614EF" w:rsidP="005614EF">
      <w:pPr>
        <w:spacing w:before="20" w:line="360" w:lineRule="auto"/>
        <w:ind w:firstLine="630"/>
        <w:jc w:val="both"/>
      </w:pPr>
      <w:r w:rsidRPr="00F91153">
        <w:t>Visose EORTC QLQ-C30 poskalėse HRQoL rezultatai buvo palankesni A+I grupei, nes nė viename vizite nebuvo statistiškai reikšmingų ar kliniškai reikšmingų pokyčių (t. y., skirtumas tarp grupių, viršijantis 10 taškų), palankių A+P grupei.</w:t>
      </w:r>
    </w:p>
    <w:p w14:paraId="476195F8" w14:textId="77777777" w:rsidR="005614EF" w:rsidRPr="00F91153" w:rsidRDefault="005614EF" w:rsidP="005614EF">
      <w:pPr>
        <w:spacing w:before="20" w:line="360" w:lineRule="auto"/>
        <w:ind w:firstLine="630"/>
        <w:jc w:val="both"/>
        <w:rPr>
          <w:rFonts w:eastAsia="Arial"/>
          <w:szCs w:val="32"/>
        </w:rPr>
      </w:pPr>
      <w:r w:rsidRPr="00F91153">
        <w:rPr>
          <w:rFonts w:eastAsia="Arial"/>
          <w:szCs w:val="32"/>
        </w:rPr>
        <w:t>Po pradinio panašaus gyvenimo kokybės indekso sumažėjimo nuo bazinio lygio iki 3-ojo ciklo 1-osios dienos abiejose grupėse, likusių pacientų A+I grupėje gyvenimo kokybės indekso reikšmė nuo 5-ojo ciklo 1-osios dienos buvo panaši į pradinę arba rodė pagerėjimą daugelyje EORTC QLQ-C30 skalės verčių iki 19-ojo ciklo 1-osios dienos. Klinikai reikšmingais laikyti pokyčiai, kai EQ-5D-5L VAS balų skirtumas nuo pradinio lygio siekė bent 7 taškus, o JAV indeksų vertės skirtumas nuo pradinio lygio buvo bent 0,06 taško.</w:t>
      </w:r>
    </w:p>
    <w:p w14:paraId="05C31880" w14:textId="77777777" w:rsidR="005614EF" w:rsidRDefault="005614EF" w:rsidP="005614EF">
      <w:pPr>
        <w:spacing w:before="20" w:line="360" w:lineRule="auto"/>
        <w:ind w:firstLine="630"/>
        <w:jc w:val="both"/>
        <w:rPr>
          <w:rFonts w:eastAsia="Arial"/>
          <w:szCs w:val="32"/>
        </w:rPr>
      </w:pPr>
      <w:r w:rsidRPr="00F91153">
        <w:rPr>
          <w:rFonts w:eastAsia="Arial"/>
          <w:szCs w:val="32"/>
        </w:rPr>
        <w:lastRenderedPageBreak/>
        <w:t>A+I klinikinę naudą parodė pagerėjimai daugelyje HRQoL sričių, įskaitant pasaulinės sveikatos būklės ir funkcinių poskalės EORTC QLQ-C30 vertinimuose. Kliniškai reikšmingi pagerėjimai taip pat buvo pastebėti nuovargio simptomų poskalėje daugelyje vizitų. Be to, pagerėjimai apetito ir viduriavimo poskalėse, gyvenimo kokybės indekso rezultatai A+I naudai taip pat buvo palankesni visose likusiose simptomų poskalėse. A+I HRQoL pagerėjimai taip pat buvo pastebėti pagal EQ-5D-5L indekso vertes.</w:t>
      </w:r>
    </w:p>
    <w:p w14:paraId="288F8BF7" w14:textId="77777777" w:rsidR="005614EF" w:rsidRDefault="005614EF" w:rsidP="005614EF">
      <w:pPr>
        <w:spacing w:before="20" w:line="360" w:lineRule="auto"/>
        <w:ind w:firstLine="630"/>
        <w:jc w:val="both"/>
        <w:rPr>
          <w:rFonts w:eastAsia="Arial"/>
          <w:szCs w:val="32"/>
        </w:rPr>
      </w:pPr>
    </w:p>
    <w:p w14:paraId="25F955AE" w14:textId="77777777" w:rsidR="005614EF" w:rsidRPr="008B4F9E" w:rsidRDefault="005614EF" w:rsidP="005614EF">
      <w:pPr>
        <w:spacing w:before="20" w:line="360" w:lineRule="auto"/>
        <w:jc w:val="both"/>
        <w:rPr>
          <w:rFonts w:eastAsia="Arial"/>
          <w:i/>
          <w:iCs/>
          <w:szCs w:val="32"/>
        </w:rPr>
      </w:pPr>
      <w:r w:rsidRPr="008B4F9E">
        <w:rPr>
          <w:rFonts w:eastAsia="Arial"/>
          <w:i/>
          <w:iCs/>
          <w:szCs w:val="32"/>
        </w:rPr>
        <w:t>Netiesioginis palyginimas</w:t>
      </w:r>
    </w:p>
    <w:p w14:paraId="6958AA9B" w14:textId="77777777" w:rsidR="005614EF" w:rsidRPr="00507543" w:rsidRDefault="005614EF" w:rsidP="005614EF">
      <w:pPr>
        <w:spacing w:line="360" w:lineRule="auto"/>
        <w:ind w:right="10" w:firstLine="720"/>
        <w:jc w:val="both"/>
        <w:outlineLvl w:val="0"/>
        <w:rPr>
          <w:bCs/>
        </w:rPr>
      </w:pPr>
      <w:r w:rsidRPr="00507543">
        <w:rPr>
          <w:bCs/>
        </w:rPr>
        <w:t xml:space="preserve">Ivosidenibo + azacitidino efektyvumo palyginimui su kitomis terapijomis </w:t>
      </w:r>
      <w:r>
        <w:rPr>
          <w:bCs/>
        </w:rPr>
        <w:t>pirmos eilės</w:t>
      </w:r>
      <w:r w:rsidRPr="00507543">
        <w:rPr>
          <w:bCs/>
        </w:rPr>
        <w:t xml:space="preserve"> </w:t>
      </w:r>
      <w:r>
        <w:rPr>
          <w:bCs/>
        </w:rPr>
        <w:t>Ū</w:t>
      </w:r>
      <w:r w:rsidRPr="00507543">
        <w:rPr>
          <w:bCs/>
        </w:rPr>
        <w:t xml:space="preserve">ML </w:t>
      </w:r>
      <w:r>
        <w:rPr>
          <w:bCs/>
        </w:rPr>
        <w:t xml:space="preserve">sergantiems </w:t>
      </w:r>
      <w:r w:rsidRPr="00507543">
        <w:rPr>
          <w:bCs/>
        </w:rPr>
        <w:t xml:space="preserve">pacientams, </w:t>
      </w:r>
      <w:r>
        <w:rPr>
          <w:bCs/>
        </w:rPr>
        <w:t>kuriems netinkamas gydymas</w:t>
      </w:r>
      <w:r w:rsidRPr="00507543">
        <w:rPr>
          <w:bCs/>
        </w:rPr>
        <w:t xml:space="preserve"> intensyvi</w:t>
      </w:r>
      <w:r>
        <w:rPr>
          <w:bCs/>
        </w:rPr>
        <w:t>a</w:t>
      </w:r>
      <w:r w:rsidRPr="00507543">
        <w:rPr>
          <w:bCs/>
        </w:rPr>
        <w:t xml:space="preserve"> chemoterapija, buvo atlikta netiesioginė analizė, nes trūksta tiesioginių lyginamųjų tyrimų (išskyrus AGILE tyrimą su placebu)</w:t>
      </w:r>
      <w:r w:rsidRPr="007C2DA8">
        <w:rPr>
          <w:bCs/>
        </w:rPr>
        <w:t xml:space="preserve">. </w:t>
      </w:r>
      <w:r w:rsidRPr="00507543">
        <w:rPr>
          <w:bCs/>
        </w:rPr>
        <w:t>Taikytos metodikos – tinklo meta-analizė (</w:t>
      </w:r>
      <w:r w:rsidRPr="007C2DA8">
        <w:rPr>
          <w:bCs/>
        </w:rPr>
        <w:t xml:space="preserve">angl. </w:t>
      </w:r>
      <w:r w:rsidRPr="007C2DA8">
        <w:rPr>
          <w:color w:val="000000"/>
        </w:rPr>
        <w:t>network meta-analysis</w:t>
      </w:r>
      <w:r w:rsidRPr="007C2DA8">
        <w:rPr>
          <w:bCs/>
        </w:rPr>
        <w:t xml:space="preserve">; </w:t>
      </w:r>
      <w:r w:rsidRPr="00507543">
        <w:rPr>
          <w:bCs/>
        </w:rPr>
        <w:t>NMA) ir pritaikytas netiesioginis palyginimas (</w:t>
      </w:r>
      <w:r w:rsidRPr="007C2DA8">
        <w:rPr>
          <w:bCs/>
        </w:rPr>
        <w:t xml:space="preserve">angl. </w:t>
      </w:r>
      <w:r w:rsidRPr="007C2DA8">
        <w:rPr>
          <w:color w:val="000000"/>
        </w:rPr>
        <w:t>matching-adjusted indirect comparison</w:t>
      </w:r>
      <w:r w:rsidRPr="007C2DA8">
        <w:rPr>
          <w:bCs/>
        </w:rPr>
        <w:t xml:space="preserve">; </w:t>
      </w:r>
      <w:r w:rsidRPr="00507543">
        <w:rPr>
          <w:bCs/>
        </w:rPr>
        <w:t>MAIC) su venetoklaksu + azacitidinu.</w:t>
      </w:r>
      <w:r>
        <w:rPr>
          <w:bCs/>
        </w:rPr>
        <w:t xml:space="preserve"> </w:t>
      </w:r>
      <w:r w:rsidRPr="00507543">
        <w:rPr>
          <w:bCs/>
        </w:rPr>
        <w:t>Tyrimai rodo, kad be AGILE nė vienas identifikuotas tyrimas neapėmė tik IDH1 mutaciją turinčių pacientų, išskyrus venetoklakso + azacitidino tyrimus (VIALE-</w:t>
      </w:r>
      <w:r w:rsidRPr="007C2DA8">
        <w:rPr>
          <w:bCs/>
        </w:rPr>
        <w:t>A tyrimas</w:t>
      </w:r>
      <w:r w:rsidRPr="00507543">
        <w:rPr>
          <w:bCs/>
        </w:rPr>
        <w:t>).</w:t>
      </w:r>
    </w:p>
    <w:p w14:paraId="0995F792" w14:textId="77777777" w:rsidR="005614EF" w:rsidRDefault="005614EF" w:rsidP="005614EF">
      <w:pPr>
        <w:spacing w:line="360" w:lineRule="auto"/>
        <w:ind w:firstLine="720"/>
        <w:jc w:val="both"/>
        <w:rPr>
          <w:b/>
          <w:bCs/>
        </w:rPr>
      </w:pPr>
    </w:p>
    <w:p w14:paraId="594747CC" w14:textId="77777777" w:rsidR="005614EF" w:rsidRPr="005273C4" w:rsidRDefault="005614EF" w:rsidP="005614EF">
      <w:pPr>
        <w:spacing w:line="360" w:lineRule="auto"/>
        <w:ind w:firstLine="720"/>
        <w:jc w:val="both"/>
        <w:rPr>
          <w:i/>
          <w:iCs/>
        </w:rPr>
      </w:pPr>
      <w:r w:rsidRPr="005273C4">
        <w:rPr>
          <w:i/>
          <w:iCs/>
        </w:rPr>
        <w:t>Tikslinė populiacija</w:t>
      </w:r>
    </w:p>
    <w:p w14:paraId="1E9A39F3" w14:textId="77777777" w:rsidR="005614EF" w:rsidRPr="007C2DA8" w:rsidRDefault="005614EF" w:rsidP="005614EF">
      <w:pPr>
        <w:spacing w:line="360" w:lineRule="auto"/>
        <w:ind w:firstLine="720"/>
        <w:jc w:val="both"/>
      </w:pPr>
      <w:r w:rsidRPr="007C2DA8">
        <w:t>Tikslinė populiacija</w:t>
      </w:r>
      <w:r>
        <w:t>: Netiesioginio palyginimo</w:t>
      </w:r>
      <w:r w:rsidRPr="007C2DA8">
        <w:t xml:space="preserve"> analizėje naudota AGILE tyrimo populiacija –tik ką diagnozuota </w:t>
      </w:r>
      <w:r>
        <w:t xml:space="preserve">ŪML </w:t>
      </w:r>
      <w:r w:rsidRPr="007C2DA8">
        <w:t>sergantys pacientai, netinkami intensyviai chemoterapijai. Dėl duomenų stokos analizė neapsiribojo tik IDH1 mutaciją turinčiais pacientais.</w:t>
      </w:r>
    </w:p>
    <w:p w14:paraId="1DADD4C7" w14:textId="77777777" w:rsidR="005614EF" w:rsidRDefault="005614EF" w:rsidP="005614EF">
      <w:pPr>
        <w:spacing w:line="360" w:lineRule="auto"/>
        <w:ind w:right="10"/>
        <w:outlineLvl w:val="0"/>
        <w:rPr>
          <w:b/>
        </w:rPr>
      </w:pPr>
    </w:p>
    <w:p w14:paraId="30C8A44B" w14:textId="77777777" w:rsidR="005614EF" w:rsidRDefault="005614EF" w:rsidP="005614EF">
      <w:pPr>
        <w:spacing w:line="360" w:lineRule="auto"/>
        <w:ind w:right="10" w:firstLine="720"/>
        <w:outlineLvl w:val="0"/>
        <w:rPr>
          <w:b/>
        </w:rPr>
      </w:pPr>
      <w:r>
        <w:rPr>
          <w:b/>
        </w:rPr>
        <w:t>Tinklinės meta-analizės rezultatai.</w:t>
      </w:r>
    </w:p>
    <w:p w14:paraId="1C53AE76" w14:textId="77777777" w:rsidR="005614EF" w:rsidRPr="00DB17DF" w:rsidRDefault="005614EF" w:rsidP="005614EF">
      <w:pPr>
        <w:spacing w:line="360" w:lineRule="auto"/>
        <w:ind w:right="10"/>
        <w:outlineLvl w:val="0"/>
      </w:pPr>
      <w:r w:rsidRPr="00DB17DF">
        <w:t>Ivosidenibo + azacitidino efektyvumo rezultatai</w:t>
      </w:r>
      <w:r>
        <w:t>:</w:t>
      </w:r>
    </w:p>
    <w:p w14:paraId="515896D8" w14:textId="77777777" w:rsidR="005614EF" w:rsidRPr="00DB17DF" w:rsidRDefault="005614EF" w:rsidP="005614EF">
      <w:pPr>
        <w:spacing w:line="360" w:lineRule="auto"/>
        <w:ind w:right="10"/>
        <w:outlineLvl w:val="0"/>
      </w:pPr>
      <w:r w:rsidRPr="00DB17DF">
        <w:t>Bendras išgyvenamumas (</w:t>
      </w:r>
      <w:r>
        <w:t>BI</w:t>
      </w:r>
      <w:r w:rsidRPr="00DB17DF">
        <w:t>):</w:t>
      </w:r>
    </w:p>
    <w:p w14:paraId="4E9FBC3A" w14:textId="77777777" w:rsidR="005614EF" w:rsidRPr="00DB17DF" w:rsidRDefault="005614EF" w:rsidP="005614EF">
      <w:pPr>
        <w:numPr>
          <w:ilvl w:val="0"/>
          <w:numId w:val="20"/>
        </w:numPr>
        <w:spacing w:line="360" w:lineRule="auto"/>
        <w:ind w:right="10"/>
        <w:outlineLvl w:val="0"/>
      </w:pPr>
      <w:r w:rsidRPr="00DB17DF">
        <w:t xml:space="preserve">Lyginant su azacitidinu: </w:t>
      </w:r>
      <w:r>
        <w:t>RS</w:t>
      </w:r>
      <w:r w:rsidRPr="00DB17DF">
        <w:t xml:space="preserve"> 0.43–0.44 (95% </w:t>
      </w:r>
      <w:r>
        <w:t>PI</w:t>
      </w:r>
      <w:r w:rsidRPr="00DB17DF">
        <w:t xml:space="preserve"> 0.27–0.72).</w:t>
      </w:r>
    </w:p>
    <w:p w14:paraId="6104DC27" w14:textId="77777777" w:rsidR="005614EF" w:rsidRPr="00DB17DF" w:rsidRDefault="005614EF" w:rsidP="005614EF">
      <w:pPr>
        <w:numPr>
          <w:ilvl w:val="0"/>
          <w:numId w:val="20"/>
        </w:numPr>
        <w:spacing w:line="360" w:lineRule="auto"/>
        <w:ind w:right="10"/>
        <w:outlineLvl w:val="0"/>
      </w:pPr>
      <w:r w:rsidRPr="00DB17DF">
        <w:t xml:space="preserve">Lyginant su venetoklaksu + azacitidinu: </w:t>
      </w:r>
      <w:r w:rsidRPr="00DB17DF">
        <w:rPr>
          <w:b/>
          <w:bCs/>
        </w:rPr>
        <w:t xml:space="preserve">RS 0.67–0.74 (95% </w:t>
      </w:r>
      <w:r>
        <w:rPr>
          <w:b/>
          <w:bCs/>
        </w:rPr>
        <w:t>P</w:t>
      </w:r>
      <w:r w:rsidRPr="00DB17DF">
        <w:rPr>
          <w:b/>
          <w:bCs/>
        </w:rPr>
        <w:t>I 0.38–1.18).</w:t>
      </w:r>
    </w:p>
    <w:p w14:paraId="127EB144" w14:textId="77777777" w:rsidR="005614EF" w:rsidRPr="007C2DA8" w:rsidRDefault="005614EF" w:rsidP="005614EF">
      <w:pPr>
        <w:spacing w:line="360" w:lineRule="auto"/>
        <w:jc w:val="both"/>
      </w:pPr>
      <w:r>
        <w:t>I</w:t>
      </w:r>
      <w:r w:rsidRPr="007C2DA8">
        <w:t xml:space="preserve">šgyvenamumas </w:t>
      </w:r>
      <w:r>
        <w:t xml:space="preserve">be įvykių </w:t>
      </w:r>
      <w:r w:rsidRPr="007C2DA8">
        <w:t>(</w:t>
      </w:r>
      <w:r w:rsidRPr="00D16030">
        <w:t>IBĮ</w:t>
      </w:r>
      <w:r w:rsidRPr="007C2DA8">
        <w:t>)</w:t>
      </w:r>
      <w:r w:rsidRPr="00D16030">
        <w:t>:</w:t>
      </w:r>
    </w:p>
    <w:p w14:paraId="2163432A" w14:textId="77777777" w:rsidR="005614EF" w:rsidRPr="00DB17DF" w:rsidRDefault="005614EF" w:rsidP="005614EF">
      <w:pPr>
        <w:numPr>
          <w:ilvl w:val="0"/>
          <w:numId w:val="21"/>
        </w:numPr>
        <w:spacing w:line="360" w:lineRule="auto"/>
        <w:ind w:right="10"/>
        <w:outlineLvl w:val="0"/>
      </w:pPr>
      <w:r w:rsidRPr="00DB17DF">
        <w:t>Geresni rezultatai nei azacitidino grupėje</w:t>
      </w:r>
      <w:r w:rsidRPr="00D16030">
        <w:t>:</w:t>
      </w:r>
      <w:r w:rsidRPr="00DB17DF">
        <w:t xml:space="preserve"> </w:t>
      </w:r>
      <w:r w:rsidRPr="00D16030">
        <w:t>RS</w:t>
      </w:r>
      <w:r w:rsidRPr="00DB17DF">
        <w:t xml:space="preserve"> 0.39</w:t>
      </w:r>
      <w:r w:rsidRPr="00D16030">
        <w:t xml:space="preserve"> (</w:t>
      </w:r>
      <w:r w:rsidRPr="00DB17DF">
        <w:t xml:space="preserve">95% </w:t>
      </w:r>
      <w:r w:rsidRPr="00D16030">
        <w:t>P</w:t>
      </w:r>
      <w:r w:rsidRPr="00DB17DF">
        <w:t>I 0.20–0.57).</w:t>
      </w:r>
    </w:p>
    <w:p w14:paraId="78146457" w14:textId="77777777" w:rsidR="005614EF" w:rsidRPr="00DB17DF" w:rsidRDefault="005614EF" w:rsidP="005614EF">
      <w:pPr>
        <w:numPr>
          <w:ilvl w:val="0"/>
          <w:numId w:val="21"/>
        </w:numPr>
        <w:spacing w:line="360" w:lineRule="auto"/>
        <w:ind w:right="10"/>
        <w:outlineLvl w:val="0"/>
        <w:rPr>
          <w:b/>
          <w:bCs/>
        </w:rPr>
      </w:pPr>
      <w:r w:rsidRPr="00DB17DF">
        <w:t xml:space="preserve">Palyginti su venetoklaksu + azacitidinu: </w:t>
      </w:r>
      <w:r w:rsidRPr="00D16030">
        <w:rPr>
          <w:b/>
          <w:bCs/>
        </w:rPr>
        <w:t>RS</w:t>
      </w:r>
      <w:r w:rsidRPr="00DB17DF">
        <w:rPr>
          <w:b/>
          <w:bCs/>
        </w:rPr>
        <w:t xml:space="preserve"> 0.62 (95% </w:t>
      </w:r>
      <w:r w:rsidRPr="00D16030">
        <w:rPr>
          <w:b/>
          <w:bCs/>
        </w:rPr>
        <w:t>P</w:t>
      </w:r>
      <w:r w:rsidRPr="00DB17DF">
        <w:rPr>
          <w:b/>
          <w:bCs/>
        </w:rPr>
        <w:t>I 0.36–1.07).</w:t>
      </w:r>
    </w:p>
    <w:p w14:paraId="415A65C0" w14:textId="77777777" w:rsidR="005614EF" w:rsidRPr="00DB17DF" w:rsidRDefault="005614EF" w:rsidP="005614EF">
      <w:pPr>
        <w:spacing w:line="360" w:lineRule="auto"/>
        <w:ind w:right="10"/>
        <w:outlineLvl w:val="0"/>
      </w:pPr>
      <w:r w:rsidRPr="00DB17DF">
        <w:t>Pilna remisija su neišsamia hematologine atsistatymu (CR + CRi):</w:t>
      </w:r>
    </w:p>
    <w:p w14:paraId="43FE523D" w14:textId="77777777" w:rsidR="005614EF" w:rsidRPr="00DB17DF" w:rsidRDefault="005614EF" w:rsidP="005614EF">
      <w:pPr>
        <w:numPr>
          <w:ilvl w:val="0"/>
          <w:numId w:val="22"/>
        </w:numPr>
        <w:spacing w:line="360" w:lineRule="auto"/>
        <w:ind w:right="10"/>
        <w:outlineLvl w:val="0"/>
      </w:pPr>
      <w:r w:rsidRPr="00DB17DF">
        <w:t xml:space="preserve">Lyginant su azacitidinu: </w:t>
      </w:r>
      <w:r w:rsidRPr="00D16030">
        <w:t>ŠS</w:t>
      </w:r>
      <w:r w:rsidRPr="00DB17DF">
        <w:t xml:space="preserve"> 6.28 (95% </w:t>
      </w:r>
      <w:r w:rsidRPr="00D16030">
        <w:t>P</w:t>
      </w:r>
      <w:r w:rsidRPr="00DB17DF">
        <w:t>I 2.94–14.21).</w:t>
      </w:r>
    </w:p>
    <w:p w14:paraId="0EA5BFAF" w14:textId="77777777" w:rsidR="005614EF" w:rsidRPr="00DB17DF" w:rsidRDefault="005614EF" w:rsidP="005614EF">
      <w:pPr>
        <w:numPr>
          <w:ilvl w:val="0"/>
          <w:numId w:val="22"/>
        </w:numPr>
        <w:spacing w:line="360" w:lineRule="auto"/>
        <w:ind w:right="10"/>
        <w:outlineLvl w:val="0"/>
        <w:rPr>
          <w:b/>
          <w:bCs/>
        </w:rPr>
      </w:pPr>
      <w:r w:rsidRPr="00DB17DF">
        <w:t xml:space="preserve">Su venetoklaksu + azacitidinu: </w:t>
      </w:r>
      <w:r w:rsidRPr="00D16030">
        <w:rPr>
          <w:b/>
          <w:bCs/>
        </w:rPr>
        <w:t>ŠS</w:t>
      </w:r>
      <w:r w:rsidRPr="00DB17DF">
        <w:rPr>
          <w:b/>
          <w:bCs/>
        </w:rPr>
        <w:t xml:space="preserve"> 1.24 (95% </w:t>
      </w:r>
      <w:r w:rsidRPr="00D16030">
        <w:rPr>
          <w:b/>
          <w:bCs/>
        </w:rPr>
        <w:t>P</w:t>
      </w:r>
      <w:r w:rsidRPr="00DB17DF">
        <w:rPr>
          <w:b/>
          <w:bCs/>
        </w:rPr>
        <w:t>I 0.51–3.10).</w:t>
      </w:r>
    </w:p>
    <w:p w14:paraId="07B76808" w14:textId="77777777" w:rsidR="005614EF" w:rsidRPr="00DB17DF" w:rsidRDefault="005614EF" w:rsidP="005614EF">
      <w:pPr>
        <w:spacing w:line="360" w:lineRule="auto"/>
        <w:ind w:right="10"/>
        <w:outlineLvl w:val="0"/>
      </w:pPr>
      <w:r w:rsidRPr="00DB17DF">
        <w:t>Pilna remisija su daliniu hematologiniu atsistatymu (CR + CRh):</w:t>
      </w:r>
    </w:p>
    <w:p w14:paraId="221EAB03" w14:textId="77777777" w:rsidR="005614EF" w:rsidRPr="00DB17DF" w:rsidRDefault="005614EF" w:rsidP="005614EF">
      <w:pPr>
        <w:numPr>
          <w:ilvl w:val="0"/>
          <w:numId w:val="23"/>
        </w:numPr>
        <w:spacing w:line="360" w:lineRule="auto"/>
        <w:ind w:right="10"/>
        <w:outlineLvl w:val="0"/>
      </w:pPr>
      <w:r w:rsidRPr="00DB17DF">
        <w:t xml:space="preserve">Geresni rezultatai nei azacitidino grupėje </w:t>
      </w:r>
      <w:r w:rsidRPr="00D16030">
        <w:t>ŠS</w:t>
      </w:r>
      <w:r w:rsidRPr="00DB17DF">
        <w:t xml:space="preserve"> 5.40 </w:t>
      </w:r>
      <w:r w:rsidRPr="00D16030">
        <w:t>(</w:t>
      </w:r>
      <w:r w:rsidRPr="00DB17DF">
        <w:t xml:space="preserve">95% </w:t>
      </w:r>
      <w:r w:rsidRPr="00D16030">
        <w:t>P</w:t>
      </w:r>
      <w:r w:rsidRPr="00DB17DF">
        <w:t>I 2.57–11.99).</w:t>
      </w:r>
    </w:p>
    <w:p w14:paraId="0D935D19" w14:textId="77777777" w:rsidR="005614EF" w:rsidRPr="00DB17DF" w:rsidRDefault="005614EF" w:rsidP="005614EF">
      <w:pPr>
        <w:numPr>
          <w:ilvl w:val="0"/>
          <w:numId w:val="23"/>
        </w:numPr>
        <w:spacing w:line="360" w:lineRule="auto"/>
        <w:ind w:right="10"/>
        <w:outlineLvl w:val="0"/>
        <w:rPr>
          <w:b/>
          <w:bCs/>
        </w:rPr>
      </w:pPr>
      <w:r w:rsidRPr="00DB17DF">
        <w:t xml:space="preserve">Prastesni rezultatai nei venetoklakso + azacitidino grupėje </w:t>
      </w:r>
      <w:r w:rsidRPr="00D16030">
        <w:rPr>
          <w:b/>
          <w:bCs/>
        </w:rPr>
        <w:t>ŠS</w:t>
      </w:r>
      <w:r w:rsidRPr="00DB17DF">
        <w:rPr>
          <w:b/>
          <w:bCs/>
        </w:rPr>
        <w:t xml:space="preserve"> 0.86 </w:t>
      </w:r>
      <w:r w:rsidRPr="00D16030">
        <w:rPr>
          <w:b/>
          <w:bCs/>
        </w:rPr>
        <w:t>(</w:t>
      </w:r>
      <w:r w:rsidRPr="00DB17DF">
        <w:rPr>
          <w:b/>
          <w:bCs/>
        </w:rPr>
        <w:t xml:space="preserve">95% </w:t>
      </w:r>
      <w:r w:rsidRPr="00D16030">
        <w:rPr>
          <w:b/>
          <w:bCs/>
        </w:rPr>
        <w:t>P</w:t>
      </w:r>
      <w:r w:rsidRPr="00DB17DF">
        <w:rPr>
          <w:b/>
          <w:bCs/>
        </w:rPr>
        <w:t>I 0.36–2.14).</w:t>
      </w:r>
    </w:p>
    <w:p w14:paraId="696734BD" w14:textId="77777777" w:rsidR="005614EF" w:rsidRPr="00D16030" w:rsidRDefault="005614EF" w:rsidP="005614EF">
      <w:pPr>
        <w:spacing w:line="360" w:lineRule="auto"/>
        <w:ind w:right="10" w:firstLine="720"/>
        <w:jc w:val="both"/>
        <w:outlineLvl w:val="0"/>
      </w:pPr>
    </w:p>
    <w:p w14:paraId="375F1A64" w14:textId="77777777" w:rsidR="005614EF" w:rsidRPr="00DB17DF" w:rsidRDefault="005614EF" w:rsidP="005614EF">
      <w:pPr>
        <w:spacing w:line="360" w:lineRule="auto"/>
        <w:ind w:right="10" w:firstLine="720"/>
        <w:jc w:val="both"/>
        <w:outlineLvl w:val="0"/>
      </w:pPr>
      <w:r w:rsidRPr="00DB17DF">
        <w:t xml:space="preserve">Bendri duomenys rodo, kad ivosidenibas + azacitidinas reikšmingai pagerina </w:t>
      </w:r>
      <w:r w:rsidRPr="00D16030">
        <w:t>BI</w:t>
      </w:r>
      <w:r w:rsidRPr="00DB17DF">
        <w:t xml:space="preserve">, palyginti su kitomis terapijomis (HR ≤ 0.8). Servier atlikta papildoma analizė patvirtino statistiškai reikšmingą </w:t>
      </w:r>
      <w:r w:rsidRPr="00D16030">
        <w:t>BI</w:t>
      </w:r>
      <w:r w:rsidRPr="00DB17DF">
        <w:t xml:space="preserve"> naudą prieš venetoklaksą + azacitidiną (</w:t>
      </w:r>
      <w:r w:rsidRPr="00D16030">
        <w:rPr>
          <w:b/>
          <w:bCs/>
        </w:rPr>
        <w:t>RS</w:t>
      </w:r>
      <w:r w:rsidRPr="00DB17DF">
        <w:rPr>
          <w:b/>
          <w:bCs/>
        </w:rPr>
        <w:t xml:space="preserve"> 0.6665; 95% CI 0.4702–0.9447</w:t>
      </w:r>
      <w:r w:rsidRPr="00DB17DF">
        <w:t>; p=0.0226).</w:t>
      </w:r>
    </w:p>
    <w:p w14:paraId="56843F1A" w14:textId="77777777" w:rsidR="005614EF" w:rsidRPr="00D16030" w:rsidRDefault="005614EF" w:rsidP="005614EF">
      <w:pPr>
        <w:spacing w:line="360" w:lineRule="auto"/>
        <w:ind w:right="10"/>
        <w:outlineLvl w:val="0"/>
        <w:rPr>
          <w:b/>
          <w:bCs/>
        </w:rPr>
      </w:pPr>
      <w:r w:rsidRPr="00D16030">
        <w:rPr>
          <w:b/>
          <w:bCs/>
        </w:rPr>
        <w:t>MAIC analizė.</w:t>
      </w:r>
    </w:p>
    <w:p w14:paraId="2A759AF1" w14:textId="77777777" w:rsidR="005614EF" w:rsidRPr="00D16030" w:rsidRDefault="005614EF" w:rsidP="005614EF">
      <w:pPr>
        <w:spacing w:line="360" w:lineRule="auto"/>
        <w:ind w:right="10" w:firstLine="720"/>
        <w:jc w:val="both"/>
        <w:outlineLvl w:val="0"/>
      </w:pPr>
      <w:r w:rsidRPr="00D16030">
        <w:t>Buvo pateikti du MAIC analizės tipai - "įtvirtintas" ir "neįtvirtintas" netiesioginis palyginimas</w:t>
      </w:r>
      <w:r>
        <w:t xml:space="preserve">. </w:t>
      </w:r>
      <w:r w:rsidRPr="00D16030">
        <w:rPr>
          <w:bCs/>
        </w:rPr>
        <w:t>MAIC analizė gali būti:</w:t>
      </w:r>
    </w:p>
    <w:p w14:paraId="7CC5E8DD" w14:textId="77777777" w:rsidR="005614EF" w:rsidRPr="00D16030" w:rsidRDefault="005614EF" w:rsidP="005614EF">
      <w:pPr>
        <w:numPr>
          <w:ilvl w:val="0"/>
          <w:numId w:val="24"/>
        </w:numPr>
        <w:spacing w:line="360" w:lineRule="auto"/>
        <w:ind w:right="10"/>
        <w:jc w:val="both"/>
        <w:outlineLvl w:val="0"/>
        <w:rPr>
          <w:bCs/>
        </w:rPr>
      </w:pPr>
      <w:r w:rsidRPr="00D16030">
        <w:rPr>
          <w:b/>
          <w:bCs/>
        </w:rPr>
        <w:t>Įtvirtinta (</w:t>
      </w:r>
      <w:r>
        <w:rPr>
          <w:b/>
          <w:bCs/>
        </w:rPr>
        <w:t xml:space="preserve">angl. </w:t>
      </w:r>
      <w:r w:rsidRPr="00D16030">
        <w:rPr>
          <w:b/>
          <w:bCs/>
        </w:rPr>
        <w:t>anchored):</w:t>
      </w:r>
      <w:r w:rsidRPr="00D16030">
        <w:rPr>
          <w:bCs/>
        </w:rPr>
        <w:t xml:space="preserve"> naudojama, kai yra bendras gydymo palyginimo pagrindas (bendras kontrolinis gydymas). Šis metodas yra pirmenybinis, nes išlaiko atsitiktinių imčių tyrimų patikimumą.</w:t>
      </w:r>
    </w:p>
    <w:p w14:paraId="4F8353E8" w14:textId="77777777" w:rsidR="005614EF" w:rsidRPr="00D16030" w:rsidRDefault="005614EF" w:rsidP="005614EF">
      <w:pPr>
        <w:numPr>
          <w:ilvl w:val="0"/>
          <w:numId w:val="24"/>
        </w:numPr>
        <w:spacing w:line="360" w:lineRule="auto"/>
        <w:ind w:right="10"/>
        <w:jc w:val="both"/>
        <w:outlineLvl w:val="0"/>
        <w:rPr>
          <w:bCs/>
        </w:rPr>
      </w:pPr>
      <w:r w:rsidRPr="00D16030">
        <w:rPr>
          <w:b/>
          <w:bCs/>
        </w:rPr>
        <w:t>Neįtvirtinta (angl. unanchored):</w:t>
      </w:r>
      <w:r w:rsidRPr="00D16030">
        <w:rPr>
          <w:bCs/>
        </w:rPr>
        <w:t xml:space="preserve"> taikoma, kai tyrimų tinklas yra atskirtas arba apima vienos grupės tyrimus be bendro kontrolinio gydymo. Tokiu atveju galima atlikti tik neįtvirtintą netiesioginį palyginimą.</w:t>
      </w:r>
    </w:p>
    <w:p w14:paraId="7C36BB3A" w14:textId="77777777" w:rsidR="005614EF" w:rsidRPr="00D16030" w:rsidRDefault="005614EF" w:rsidP="005614EF">
      <w:pPr>
        <w:spacing w:line="360" w:lineRule="auto"/>
        <w:ind w:right="10"/>
        <w:jc w:val="both"/>
        <w:outlineLvl w:val="0"/>
        <w:rPr>
          <w:bCs/>
        </w:rPr>
      </w:pPr>
    </w:p>
    <w:p w14:paraId="5AB99901" w14:textId="77777777" w:rsidR="005614EF" w:rsidRPr="00D16030" w:rsidRDefault="005614EF" w:rsidP="005614EF">
      <w:pPr>
        <w:spacing w:line="360" w:lineRule="auto"/>
        <w:ind w:right="10" w:firstLine="720"/>
        <w:jc w:val="both"/>
        <w:outlineLvl w:val="0"/>
        <w:rPr>
          <w:bCs/>
        </w:rPr>
      </w:pPr>
      <w:r w:rsidRPr="00D16030">
        <w:rPr>
          <w:b/>
        </w:rPr>
        <w:t>Neįtvir</w:t>
      </w:r>
      <w:r>
        <w:rPr>
          <w:b/>
        </w:rPr>
        <w:t>ti</w:t>
      </w:r>
      <w:r w:rsidRPr="00D16030">
        <w:rPr>
          <w:b/>
        </w:rPr>
        <w:t>ntos MAIC analizės rezultatai</w:t>
      </w:r>
      <w:r w:rsidRPr="00D16030">
        <w:rPr>
          <w:b/>
          <w:bCs/>
        </w:rPr>
        <w:t xml:space="preserve"> IDH1 populiacijoje su naujais AGILE ir VIALE-A duomenimis.</w:t>
      </w:r>
    </w:p>
    <w:p w14:paraId="1D2F9BCC" w14:textId="77777777" w:rsidR="005614EF" w:rsidRPr="00D16030" w:rsidRDefault="005614EF" w:rsidP="005614EF">
      <w:pPr>
        <w:spacing w:line="360" w:lineRule="auto"/>
        <w:ind w:right="10" w:firstLine="720"/>
        <w:jc w:val="both"/>
        <w:outlineLvl w:val="0"/>
      </w:pPr>
      <w:r w:rsidRPr="00D16030">
        <w:t>Pagrindiniai rezultatai:</w:t>
      </w:r>
    </w:p>
    <w:p w14:paraId="4678B22F" w14:textId="77777777" w:rsidR="005614EF" w:rsidRPr="00D16030" w:rsidRDefault="005614EF" w:rsidP="005614EF">
      <w:pPr>
        <w:numPr>
          <w:ilvl w:val="0"/>
          <w:numId w:val="25"/>
        </w:numPr>
        <w:spacing w:line="360" w:lineRule="auto"/>
        <w:ind w:right="10"/>
        <w:jc w:val="both"/>
        <w:outlineLvl w:val="0"/>
        <w:rPr>
          <w:bCs/>
        </w:rPr>
      </w:pPr>
      <w:r w:rsidRPr="00D16030">
        <w:rPr>
          <w:bCs/>
        </w:rPr>
        <w:t>VIALE-A KM kreivė rodė mažesnį bendrą išgyvenamumą nei AGILE tyrime, kas reiškia trumpesn</w:t>
      </w:r>
      <w:r w:rsidRPr="008B4F9E">
        <w:rPr>
          <w:bCs/>
        </w:rPr>
        <w:t>ę BI medianą</w:t>
      </w:r>
      <w:r w:rsidRPr="00D16030">
        <w:rPr>
          <w:bCs/>
        </w:rPr>
        <w:t xml:space="preserve"> venetoklakso + azacitidino grupėje, lyginant su ivosidenibo + azacitidino grupe – tiek prieš, tiek po populiacijos pritaikymo.</w:t>
      </w:r>
    </w:p>
    <w:p w14:paraId="1F587D15" w14:textId="77777777" w:rsidR="005614EF" w:rsidRPr="00D16030" w:rsidRDefault="005614EF" w:rsidP="005614EF">
      <w:pPr>
        <w:numPr>
          <w:ilvl w:val="0"/>
          <w:numId w:val="25"/>
        </w:numPr>
        <w:spacing w:line="360" w:lineRule="auto"/>
        <w:ind w:right="10"/>
        <w:jc w:val="both"/>
        <w:outlineLvl w:val="0"/>
        <w:rPr>
          <w:bCs/>
        </w:rPr>
      </w:pPr>
      <w:r w:rsidRPr="00D16030">
        <w:rPr>
          <w:bCs/>
        </w:rPr>
        <w:t>R</w:t>
      </w:r>
      <w:r w:rsidRPr="008B4F9E">
        <w:rPr>
          <w:bCs/>
        </w:rPr>
        <w:t>S</w:t>
      </w:r>
      <w:r w:rsidRPr="00D16030">
        <w:rPr>
          <w:bCs/>
        </w:rPr>
        <w:t xml:space="preserve"> (rizikos santykis) pagrindinėje analizėje: 0.55 (95% PI: 0.33–0.93), kas rodo statistiškai reikšmingą </w:t>
      </w:r>
      <w:r w:rsidRPr="008B4F9E">
        <w:rPr>
          <w:bCs/>
        </w:rPr>
        <w:t>BI</w:t>
      </w:r>
      <w:r w:rsidRPr="00D16030">
        <w:rPr>
          <w:bCs/>
        </w:rPr>
        <w:t xml:space="preserve"> pagerėjimą ivosidenibo + azacitidino naudai.</w:t>
      </w:r>
      <w:r>
        <w:rPr>
          <w:bCs/>
        </w:rPr>
        <w:t xml:space="preserve"> </w:t>
      </w:r>
      <w:r w:rsidRPr="00D16030">
        <w:t>Išvada:</w:t>
      </w:r>
      <w:r w:rsidRPr="008B4F9E">
        <w:t xml:space="preserve"> </w:t>
      </w:r>
      <w:r w:rsidRPr="00D16030">
        <w:t>Ivosidenibas + azacitidinas reikšmingai pagerino bendrą išgyvenamumą, palyginti su</w:t>
      </w:r>
      <w:r w:rsidRPr="00D16030">
        <w:rPr>
          <w:bCs/>
        </w:rPr>
        <w:t xml:space="preserve"> venetoklaksu + azacitidinu, o R</w:t>
      </w:r>
      <w:r w:rsidRPr="008B4F9E">
        <w:rPr>
          <w:bCs/>
        </w:rPr>
        <w:t>S</w:t>
      </w:r>
      <w:r w:rsidRPr="00D16030">
        <w:rPr>
          <w:bCs/>
        </w:rPr>
        <w:t xml:space="preserve"> &lt;1 su pasikliautinaisiais intervalais, kurie neperžengė 1, patvirtino šį statistiškai reikšmingą efektą</w:t>
      </w:r>
      <w:r w:rsidRPr="008B4F9E">
        <w:rPr>
          <w:bCs/>
        </w:rPr>
        <w:t>.</w:t>
      </w:r>
    </w:p>
    <w:p w14:paraId="20C35776" w14:textId="77777777" w:rsidR="005614EF" w:rsidRPr="004165D4" w:rsidRDefault="005614EF" w:rsidP="005614EF">
      <w:pPr>
        <w:spacing w:line="360" w:lineRule="auto"/>
        <w:ind w:right="10"/>
        <w:jc w:val="both"/>
        <w:outlineLvl w:val="0"/>
        <w:rPr>
          <w:bCs/>
        </w:rPr>
      </w:pPr>
    </w:p>
    <w:p w14:paraId="00FF12A0" w14:textId="77777777" w:rsidR="005614EF" w:rsidRDefault="005614EF" w:rsidP="005614EF">
      <w:pPr>
        <w:spacing w:line="360" w:lineRule="auto"/>
        <w:ind w:right="10"/>
        <w:jc w:val="both"/>
        <w:outlineLvl w:val="0"/>
        <w:rPr>
          <w:b/>
          <w:bCs/>
        </w:rPr>
      </w:pPr>
      <w:r w:rsidRPr="004165D4">
        <w:rPr>
          <w:b/>
          <w:bCs/>
        </w:rPr>
        <w:t>Įtvirtinta MAIC analizė ITT populiacijoje su naujais AGILE ir VIALE-A duomenimis</w:t>
      </w:r>
    </w:p>
    <w:p w14:paraId="547A45E9" w14:textId="77777777" w:rsidR="005614EF" w:rsidRPr="004165D4" w:rsidRDefault="005614EF" w:rsidP="005614EF">
      <w:pPr>
        <w:spacing w:line="360" w:lineRule="auto"/>
        <w:ind w:right="10"/>
        <w:jc w:val="both"/>
        <w:outlineLvl w:val="0"/>
        <w:rPr>
          <w:bCs/>
        </w:rPr>
      </w:pPr>
      <w:r w:rsidRPr="004165D4">
        <w:rPr>
          <w:b/>
          <w:bCs/>
        </w:rPr>
        <w:t>Pagrindiniai rezultatai:</w:t>
      </w:r>
    </w:p>
    <w:p w14:paraId="71D8E7EA" w14:textId="77777777" w:rsidR="005614EF" w:rsidRPr="004165D4" w:rsidRDefault="005614EF" w:rsidP="005614EF">
      <w:pPr>
        <w:numPr>
          <w:ilvl w:val="0"/>
          <w:numId w:val="26"/>
        </w:numPr>
        <w:spacing w:line="360" w:lineRule="auto"/>
        <w:ind w:right="10"/>
        <w:jc w:val="both"/>
        <w:outlineLvl w:val="0"/>
      </w:pPr>
      <w:r w:rsidRPr="004165D4">
        <w:t xml:space="preserve">Kaplan-Meier (KM) </w:t>
      </w:r>
      <w:r w:rsidRPr="008B4F9E">
        <w:t xml:space="preserve">BI medianos </w:t>
      </w:r>
      <w:r w:rsidRPr="004165D4">
        <w:t>įverčiai AGILE ir VIALE-A tyrimuose buvo panašūs tiek pagrindinėje, tiek scenarijų analizėse – tiek prieš, tiek po populiacijos suderinimo.</w:t>
      </w:r>
    </w:p>
    <w:p w14:paraId="2945F35F" w14:textId="77777777" w:rsidR="005614EF" w:rsidRPr="008B4F9E" w:rsidRDefault="005614EF" w:rsidP="005614EF">
      <w:pPr>
        <w:numPr>
          <w:ilvl w:val="0"/>
          <w:numId w:val="26"/>
        </w:numPr>
        <w:spacing w:line="360" w:lineRule="auto"/>
        <w:ind w:right="10"/>
        <w:jc w:val="both"/>
        <w:outlineLvl w:val="0"/>
        <w:rPr>
          <w:bCs/>
        </w:rPr>
      </w:pPr>
      <w:r w:rsidRPr="008B4F9E">
        <w:t>RS</w:t>
      </w:r>
      <w:r w:rsidRPr="004165D4">
        <w:t xml:space="preserve"> pagrindinėje analizėje: 0.66 (95% PI: 0.37–1.20).</w:t>
      </w:r>
      <w:r w:rsidRPr="008B4F9E">
        <w:t xml:space="preserve"> </w:t>
      </w:r>
      <w:r w:rsidRPr="004165D4">
        <w:t>Išvada:</w:t>
      </w:r>
      <w:r w:rsidRPr="008B4F9E">
        <w:t xml:space="preserve"> </w:t>
      </w:r>
      <w:r w:rsidRPr="004165D4">
        <w:t>Visose</w:t>
      </w:r>
      <w:r w:rsidRPr="004165D4">
        <w:rPr>
          <w:bCs/>
        </w:rPr>
        <w:t xml:space="preserve"> scenarijų analizėse ivosidenibas + azacitidinas pagerino bendrą išgyvenamumą, palyginti su venetoklaksu + azacitidinu</w:t>
      </w:r>
      <w:r w:rsidRPr="008B4F9E">
        <w:rPr>
          <w:bCs/>
        </w:rPr>
        <w:t>, tačiau skirtumas nebuvo statistiškai reikšmingas.</w:t>
      </w:r>
    </w:p>
    <w:p w14:paraId="7B96449F" w14:textId="77777777" w:rsidR="005614EF" w:rsidRDefault="005614EF" w:rsidP="005614EF">
      <w:pPr>
        <w:spacing w:line="360" w:lineRule="auto"/>
        <w:jc w:val="both"/>
        <w:rPr>
          <w:bCs/>
        </w:rPr>
      </w:pPr>
    </w:p>
    <w:p w14:paraId="4ED3820B" w14:textId="77777777" w:rsidR="005614EF" w:rsidRPr="00EB4D96" w:rsidRDefault="005614EF" w:rsidP="005614EF">
      <w:pPr>
        <w:tabs>
          <w:tab w:val="left" w:pos="567"/>
        </w:tabs>
        <w:spacing w:line="360" w:lineRule="auto"/>
        <w:jc w:val="both"/>
        <w:rPr>
          <w:bCs/>
        </w:rPr>
      </w:pPr>
      <w:r>
        <w:rPr>
          <w:bCs/>
        </w:rPr>
        <w:lastRenderedPageBreak/>
        <w:tab/>
      </w:r>
      <w:r w:rsidRPr="00EB4D96">
        <w:rPr>
          <w:bCs/>
        </w:rPr>
        <w:t>Remiantis tuo, kad yra pateikti įrodymai, kurie leistų vertinti, kad ivosidenibo ir azacitidino derinys yra pranašesnis už venetoklakso ir azatidino derinį, taip pat atsižvelgiant į pacientų populiaciją, kuriai pagal indikaciją, yra skirtas šis preparatas, Tarnyba vertina, kad pakanka klinikinių įrodymų palyginamąjį efektyvumną laikyti didesniu nei įprasta klinikine praktika, o klinikinį veiksmingumą - kaip pagrindžiantį papildomos naudos pacientų sveikatai sukūrimą, lyginant su įprasta klinikine praktika.</w:t>
      </w:r>
    </w:p>
    <w:p w14:paraId="45A7CDA0" w14:textId="77777777" w:rsidR="00255F87" w:rsidRDefault="00255F87" w:rsidP="00255F87">
      <w:pPr>
        <w:pStyle w:val="ListParagraph"/>
        <w:tabs>
          <w:tab w:val="left" w:pos="567"/>
        </w:tabs>
        <w:rPr>
          <w:b/>
          <w:bCs/>
          <w:caps/>
        </w:rPr>
      </w:pPr>
    </w:p>
    <w:p w14:paraId="7DE09EB5" w14:textId="186A6B6C" w:rsidR="00E03C3F" w:rsidRPr="00E33EFF" w:rsidRDefault="00CC7832" w:rsidP="00CC09D4">
      <w:pPr>
        <w:pStyle w:val="ListParagraph"/>
        <w:numPr>
          <w:ilvl w:val="0"/>
          <w:numId w:val="12"/>
        </w:numPr>
        <w:tabs>
          <w:tab w:val="left" w:pos="567"/>
        </w:tabs>
        <w:ind w:hanging="720"/>
        <w:rPr>
          <w:b/>
          <w:bCs/>
          <w:caps/>
        </w:rPr>
      </w:pPr>
      <w:r w:rsidRPr="00E33EFF">
        <w:rPr>
          <w:b/>
          <w:bCs/>
          <w:caps/>
        </w:rPr>
        <w:t xml:space="preserve">ekonominio vertinimo </w:t>
      </w:r>
      <w:r w:rsidR="002F0E4F" w:rsidRPr="00E33EFF">
        <w:rPr>
          <w:b/>
          <w:bCs/>
          <w:caps/>
        </w:rPr>
        <w:t>apibendrinimas</w:t>
      </w:r>
    </w:p>
    <w:p w14:paraId="2FC05D7E" w14:textId="536C4777" w:rsidR="002E6F80" w:rsidRDefault="002E6F80" w:rsidP="002E6F80">
      <w:pPr>
        <w:tabs>
          <w:tab w:val="left" w:pos="284"/>
        </w:tabs>
        <w:rPr>
          <w:i/>
          <w:color w:val="00B050"/>
          <w:sz w:val="22"/>
          <w:szCs w:val="22"/>
        </w:rPr>
      </w:pPr>
    </w:p>
    <w:p w14:paraId="27F1DE8D" w14:textId="0807EDB9" w:rsidR="005614EF" w:rsidRPr="007E7DD7" w:rsidRDefault="005614EF" w:rsidP="005273C4">
      <w:pPr>
        <w:shd w:val="clear" w:color="auto" w:fill="FFFFFF"/>
        <w:spacing w:line="360" w:lineRule="auto"/>
        <w:ind w:firstLine="720"/>
        <w:jc w:val="both"/>
        <w:rPr>
          <w:iCs/>
          <w:lang w:eastAsia="lt-LT"/>
        </w:rPr>
      </w:pPr>
      <w:r>
        <w:rPr>
          <w:iCs/>
          <w:lang w:eastAsia="lt-LT"/>
        </w:rPr>
        <w:t xml:space="preserve">Vertinimui pateikta kaštų naudingumo analizė, kurioje lyginamas IVO+AZA kaštų naudingumas su AZA arba VEN+AZA. Analizėje nagrinėjama pacientų populiacija atitinka kompensuoti teikiamą indikaciją. Analizėje taikomas padalintos kohortos išgyvenamumo modelis. Palyginimas su AZA remiasi tiesioginio palyginimo duomenimis iš AGILE klinikinio tyrimo, tuo metu IVO+AZA palyginimas su VEN+AZA atliktas remiantis netiesioginio palyginimo duomenimis. Šių netiesioginio palyginimo duomenų taikymas analizėje Tarnybai kelia dvejonių, nes taikomų vertinamųjų baigčių rizikos santykinių pasikliautinieji intervalai kerta 1, tai reiškia, jog rizikos santykiui kintant pasikliautinojo intervalo ribose, gali būti įvertinama, jog IVO+AZA bei VEN+AZA sugeneruojama nauda sveikatai yra panaši. Šį teiginį įrodo ir Pareiškėjo pateiktos jautrumo analizės, kuriose keičiant rizikos santykius ICER yra neišmatuojamas. Tarnybos vertinimo pateiktas analizės rezultatas yra neapibrėžtas ir net tuo atveju, kai pagrindinio atvejo analizėje yra pasiekiamas IVO+AZA kaštų naudingumas, išlieka klaidingo teigiamo sprendimo priėmimo rizika. Siūlome vaistinį preparatą kompensuoti tik tuo atveju, kai vaistinio preparato kaina bus sumažinta ne mažiau kaip </w:t>
      </w:r>
      <w:r w:rsidR="00BC7B2E" w:rsidRPr="000C2AB8">
        <w:rPr>
          <w:i/>
          <w:iCs/>
          <w:lang w:eastAsia="lt-LT"/>
        </w:rPr>
        <w:t>******</w:t>
      </w:r>
      <w:r>
        <w:rPr>
          <w:iCs/>
          <w:lang w:eastAsia="lt-LT"/>
        </w:rPr>
        <w:t>proc.</w:t>
      </w:r>
    </w:p>
    <w:p w14:paraId="65C780F8" w14:textId="2644A738" w:rsidR="004F3F16" w:rsidRDefault="004F3F16" w:rsidP="004F3F16">
      <w:pPr>
        <w:pStyle w:val="ListParagraph"/>
        <w:tabs>
          <w:tab w:val="left" w:pos="567"/>
        </w:tabs>
        <w:rPr>
          <w:b/>
          <w:bCs/>
          <w:caps/>
        </w:rPr>
      </w:pPr>
    </w:p>
    <w:tbl>
      <w:tblPr>
        <w:tblW w:w="99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697"/>
        <w:gridCol w:w="1613"/>
        <w:gridCol w:w="2019"/>
        <w:gridCol w:w="3579"/>
      </w:tblGrid>
      <w:tr w:rsidR="005614EF" w:rsidRPr="00D05364" w14:paraId="7597C51F" w14:textId="77777777" w:rsidTr="00D06E00">
        <w:trPr>
          <w:trHeight w:val="364"/>
          <w:jc w:val="center"/>
        </w:trPr>
        <w:tc>
          <w:tcPr>
            <w:tcW w:w="9908" w:type="dxa"/>
            <w:gridSpan w:val="4"/>
            <w:tcBorders>
              <w:top w:val="single" w:sz="12" w:space="0" w:color="auto"/>
              <w:bottom w:val="single" w:sz="4" w:space="0" w:color="auto"/>
            </w:tcBorders>
            <w:vAlign w:val="center"/>
          </w:tcPr>
          <w:p w14:paraId="7C376E84" w14:textId="77777777" w:rsidR="005614EF" w:rsidRPr="00D05364" w:rsidRDefault="005614EF" w:rsidP="00D06E00">
            <w:pPr>
              <w:tabs>
                <w:tab w:val="left" w:pos="567"/>
              </w:tabs>
              <w:jc w:val="both"/>
              <w:rPr>
                <w:b/>
                <w:i/>
                <w:iCs/>
                <w:color w:val="00B050"/>
                <w:sz w:val="22"/>
                <w:szCs w:val="22"/>
                <w:lang w:eastAsia="lt-LT"/>
              </w:rPr>
            </w:pPr>
            <w:r w:rsidRPr="00D05364">
              <w:rPr>
                <w:b/>
                <w:lang w:eastAsia="lt-LT"/>
              </w:rPr>
              <w:t>Kaštai</w:t>
            </w:r>
          </w:p>
        </w:tc>
      </w:tr>
      <w:tr w:rsidR="005614EF" w:rsidRPr="00D05364" w14:paraId="621EFE9C" w14:textId="77777777" w:rsidTr="00D06E00">
        <w:trPr>
          <w:jc w:val="center"/>
        </w:trPr>
        <w:tc>
          <w:tcPr>
            <w:tcW w:w="2697" w:type="dxa"/>
            <w:tcBorders>
              <w:top w:val="single" w:sz="4" w:space="0" w:color="auto"/>
              <w:bottom w:val="single" w:sz="4" w:space="0" w:color="auto"/>
            </w:tcBorders>
          </w:tcPr>
          <w:p w14:paraId="5A722A2D" w14:textId="77777777" w:rsidR="005614EF" w:rsidRPr="00D05364" w:rsidRDefault="005614EF" w:rsidP="00D06E00">
            <w:pPr>
              <w:tabs>
                <w:tab w:val="left" w:pos="567"/>
              </w:tabs>
              <w:jc w:val="both"/>
              <w:rPr>
                <w:color w:val="00B050"/>
                <w:lang w:eastAsia="lt-LT"/>
              </w:rPr>
            </w:pPr>
          </w:p>
        </w:tc>
        <w:tc>
          <w:tcPr>
            <w:tcW w:w="1613" w:type="dxa"/>
            <w:tcBorders>
              <w:top w:val="single" w:sz="4" w:space="0" w:color="auto"/>
              <w:bottom w:val="single" w:sz="4" w:space="0" w:color="auto"/>
            </w:tcBorders>
          </w:tcPr>
          <w:p w14:paraId="68C8DA2F" w14:textId="77777777" w:rsidR="005614EF" w:rsidRPr="00D05364" w:rsidRDefault="005614EF" w:rsidP="00D06E00">
            <w:pPr>
              <w:tabs>
                <w:tab w:val="left" w:pos="567"/>
              </w:tabs>
              <w:jc w:val="both"/>
              <w:rPr>
                <w:i/>
                <w:iCs/>
                <w:lang w:eastAsia="lt-LT"/>
              </w:rPr>
            </w:pPr>
            <w:r>
              <w:rPr>
                <w:i/>
                <w:iCs/>
                <w:lang w:eastAsia="lt-LT"/>
              </w:rPr>
              <w:t>IVO+AZA</w:t>
            </w:r>
          </w:p>
        </w:tc>
        <w:tc>
          <w:tcPr>
            <w:tcW w:w="2019" w:type="dxa"/>
            <w:tcBorders>
              <w:top w:val="single" w:sz="4" w:space="0" w:color="auto"/>
              <w:bottom w:val="single" w:sz="4" w:space="0" w:color="auto"/>
            </w:tcBorders>
          </w:tcPr>
          <w:p w14:paraId="7C67351B" w14:textId="77777777" w:rsidR="005614EF" w:rsidRPr="00D05364" w:rsidRDefault="005614EF" w:rsidP="00D06E00">
            <w:pPr>
              <w:tabs>
                <w:tab w:val="left" w:pos="567"/>
              </w:tabs>
              <w:jc w:val="both"/>
              <w:rPr>
                <w:i/>
                <w:iCs/>
                <w:lang w:eastAsia="lt-LT"/>
              </w:rPr>
            </w:pPr>
            <w:r>
              <w:rPr>
                <w:i/>
                <w:iCs/>
                <w:lang w:eastAsia="lt-LT"/>
              </w:rPr>
              <w:t>VEN+AZA</w:t>
            </w:r>
          </w:p>
        </w:tc>
        <w:tc>
          <w:tcPr>
            <w:tcW w:w="3579" w:type="dxa"/>
            <w:tcBorders>
              <w:top w:val="single" w:sz="4" w:space="0" w:color="auto"/>
              <w:bottom w:val="single" w:sz="4" w:space="0" w:color="auto"/>
            </w:tcBorders>
          </w:tcPr>
          <w:p w14:paraId="1E6D4C90" w14:textId="77777777" w:rsidR="005614EF" w:rsidRPr="00D05364" w:rsidRDefault="005614EF" w:rsidP="00D06E00">
            <w:pPr>
              <w:tabs>
                <w:tab w:val="left" w:pos="567"/>
              </w:tabs>
              <w:jc w:val="both"/>
              <w:rPr>
                <w:i/>
                <w:lang w:eastAsia="lt-LT"/>
              </w:rPr>
            </w:pPr>
            <w:r w:rsidRPr="00D05364">
              <w:rPr>
                <w:i/>
                <w:lang w:eastAsia="lt-LT"/>
              </w:rPr>
              <w:t>Skirtumas</w:t>
            </w:r>
          </w:p>
        </w:tc>
      </w:tr>
      <w:tr w:rsidR="00BC7B2E" w:rsidRPr="00D05364" w14:paraId="3F8ABF85" w14:textId="77777777" w:rsidTr="00D06E00">
        <w:trPr>
          <w:jc w:val="center"/>
        </w:trPr>
        <w:tc>
          <w:tcPr>
            <w:tcW w:w="2697" w:type="dxa"/>
            <w:tcBorders>
              <w:top w:val="single" w:sz="4" w:space="0" w:color="auto"/>
              <w:bottom w:val="single" w:sz="4" w:space="0" w:color="auto"/>
            </w:tcBorders>
          </w:tcPr>
          <w:p w14:paraId="5A1A9FC1" w14:textId="77777777" w:rsidR="00BC7B2E" w:rsidRPr="00D05364" w:rsidRDefault="00BC7B2E" w:rsidP="00BC7B2E">
            <w:pPr>
              <w:tabs>
                <w:tab w:val="left" w:pos="567"/>
              </w:tabs>
              <w:jc w:val="both"/>
              <w:rPr>
                <w:iCs/>
                <w:color w:val="00B050"/>
                <w:lang w:eastAsia="lt-LT"/>
              </w:rPr>
            </w:pPr>
            <w:r w:rsidRPr="00D05364">
              <w:rPr>
                <w:iCs/>
                <w:color w:val="000000"/>
                <w:lang w:eastAsia="lt-LT"/>
              </w:rPr>
              <w:t>Gydymo kaštai</w:t>
            </w:r>
          </w:p>
        </w:tc>
        <w:tc>
          <w:tcPr>
            <w:tcW w:w="1613" w:type="dxa"/>
            <w:tcBorders>
              <w:top w:val="single" w:sz="4" w:space="0" w:color="auto"/>
              <w:bottom w:val="single" w:sz="4" w:space="0" w:color="auto"/>
            </w:tcBorders>
          </w:tcPr>
          <w:p w14:paraId="4A6F9D55" w14:textId="74314A75" w:rsidR="00BC7B2E" w:rsidRPr="00D05364" w:rsidRDefault="00BC7B2E" w:rsidP="00BC7B2E">
            <w:pPr>
              <w:tabs>
                <w:tab w:val="left" w:pos="567"/>
              </w:tabs>
              <w:jc w:val="both"/>
              <w:rPr>
                <w:i/>
                <w:iCs/>
                <w:lang w:eastAsia="lt-LT"/>
              </w:rPr>
            </w:pPr>
            <w:r w:rsidRPr="001C75DD">
              <w:rPr>
                <w:i/>
                <w:iCs/>
                <w:lang w:eastAsia="lt-LT"/>
              </w:rPr>
              <w:t>******</w:t>
            </w:r>
          </w:p>
        </w:tc>
        <w:tc>
          <w:tcPr>
            <w:tcW w:w="2019" w:type="dxa"/>
            <w:tcBorders>
              <w:top w:val="single" w:sz="4" w:space="0" w:color="auto"/>
              <w:bottom w:val="single" w:sz="4" w:space="0" w:color="auto"/>
            </w:tcBorders>
          </w:tcPr>
          <w:p w14:paraId="36F3A723" w14:textId="44583BB6" w:rsidR="00BC7B2E" w:rsidRPr="00D05364" w:rsidRDefault="00BC7B2E" w:rsidP="00BC7B2E">
            <w:pPr>
              <w:tabs>
                <w:tab w:val="left" w:pos="567"/>
              </w:tabs>
              <w:jc w:val="both"/>
              <w:rPr>
                <w:i/>
                <w:iCs/>
                <w:lang w:eastAsia="lt-LT"/>
              </w:rPr>
            </w:pPr>
            <w:r w:rsidRPr="001C75DD">
              <w:rPr>
                <w:i/>
                <w:iCs/>
                <w:lang w:eastAsia="lt-LT"/>
              </w:rPr>
              <w:t>******</w:t>
            </w:r>
          </w:p>
        </w:tc>
        <w:tc>
          <w:tcPr>
            <w:tcW w:w="3579" w:type="dxa"/>
            <w:tcBorders>
              <w:top w:val="single" w:sz="4" w:space="0" w:color="auto"/>
              <w:bottom w:val="single" w:sz="4" w:space="0" w:color="auto"/>
            </w:tcBorders>
          </w:tcPr>
          <w:p w14:paraId="3C5FBAB6" w14:textId="596A44D6" w:rsidR="00BC7B2E" w:rsidRPr="00D05364" w:rsidRDefault="00BC7B2E" w:rsidP="00BC7B2E">
            <w:pPr>
              <w:tabs>
                <w:tab w:val="left" w:pos="567"/>
              </w:tabs>
              <w:jc w:val="both"/>
              <w:rPr>
                <w:lang w:eastAsia="lt-LT"/>
              </w:rPr>
            </w:pPr>
            <w:r w:rsidRPr="001C75DD">
              <w:rPr>
                <w:i/>
                <w:iCs/>
                <w:lang w:eastAsia="lt-LT"/>
              </w:rPr>
              <w:t>******</w:t>
            </w:r>
          </w:p>
        </w:tc>
      </w:tr>
      <w:tr w:rsidR="00BC7B2E" w:rsidRPr="00D05364" w14:paraId="6545EEE3" w14:textId="77777777" w:rsidTr="00D06E00">
        <w:trPr>
          <w:jc w:val="center"/>
        </w:trPr>
        <w:tc>
          <w:tcPr>
            <w:tcW w:w="2697" w:type="dxa"/>
            <w:tcBorders>
              <w:top w:val="single" w:sz="4" w:space="0" w:color="auto"/>
              <w:bottom w:val="single" w:sz="4" w:space="0" w:color="auto"/>
            </w:tcBorders>
          </w:tcPr>
          <w:p w14:paraId="48E21E44" w14:textId="77777777" w:rsidR="00BC7B2E" w:rsidRPr="00D05364" w:rsidRDefault="00BC7B2E" w:rsidP="00BC7B2E">
            <w:pPr>
              <w:tabs>
                <w:tab w:val="left" w:pos="567"/>
              </w:tabs>
              <w:jc w:val="both"/>
              <w:rPr>
                <w:iCs/>
                <w:color w:val="000000"/>
                <w:lang w:eastAsia="lt-LT"/>
              </w:rPr>
            </w:pPr>
            <w:r w:rsidRPr="00D05364">
              <w:rPr>
                <w:iCs/>
                <w:color w:val="000000"/>
                <w:lang w:eastAsia="lt-LT"/>
              </w:rPr>
              <w:t>Vaistinių preparatų įsigijimo kaštai</w:t>
            </w:r>
          </w:p>
        </w:tc>
        <w:tc>
          <w:tcPr>
            <w:tcW w:w="1613" w:type="dxa"/>
            <w:tcBorders>
              <w:top w:val="single" w:sz="4" w:space="0" w:color="auto"/>
              <w:bottom w:val="single" w:sz="4" w:space="0" w:color="auto"/>
            </w:tcBorders>
          </w:tcPr>
          <w:p w14:paraId="25B00573" w14:textId="4FBF0AC7" w:rsidR="00BC7B2E" w:rsidRPr="00D05364" w:rsidRDefault="00BC7B2E" w:rsidP="00BC7B2E">
            <w:pPr>
              <w:tabs>
                <w:tab w:val="left" w:pos="567"/>
              </w:tabs>
              <w:jc w:val="both"/>
              <w:rPr>
                <w:i/>
                <w:iCs/>
                <w:lang w:eastAsia="lt-LT"/>
              </w:rPr>
            </w:pPr>
            <w:r w:rsidRPr="001C75DD">
              <w:rPr>
                <w:i/>
                <w:iCs/>
                <w:lang w:eastAsia="lt-LT"/>
              </w:rPr>
              <w:t>******</w:t>
            </w:r>
          </w:p>
        </w:tc>
        <w:tc>
          <w:tcPr>
            <w:tcW w:w="2019" w:type="dxa"/>
            <w:tcBorders>
              <w:top w:val="single" w:sz="4" w:space="0" w:color="auto"/>
              <w:bottom w:val="single" w:sz="4" w:space="0" w:color="auto"/>
            </w:tcBorders>
          </w:tcPr>
          <w:p w14:paraId="6CCDD215" w14:textId="3E8A864E" w:rsidR="00BC7B2E" w:rsidRPr="00D05364" w:rsidRDefault="00BC7B2E" w:rsidP="00BC7B2E">
            <w:pPr>
              <w:tabs>
                <w:tab w:val="left" w:pos="567"/>
              </w:tabs>
              <w:jc w:val="both"/>
              <w:rPr>
                <w:i/>
                <w:iCs/>
                <w:lang w:eastAsia="lt-LT"/>
              </w:rPr>
            </w:pPr>
            <w:r w:rsidRPr="001C75DD">
              <w:rPr>
                <w:i/>
                <w:iCs/>
                <w:lang w:eastAsia="lt-LT"/>
              </w:rPr>
              <w:t>******</w:t>
            </w:r>
          </w:p>
        </w:tc>
        <w:tc>
          <w:tcPr>
            <w:tcW w:w="3579" w:type="dxa"/>
            <w:tcBorders>
              <w:top w:val="single" w:sz="4" w:space="0" w:color="auto"/>
              <w:bottom w:val="single" w:sz="4" w:space="0" w:color="auto"/>
            </w:tcBorders>
          </w:tcPr>
          <w:p w14:paraId="2F017082" w14:textId="0D9A5F08" w:rsidR="00BC7B2E" w:rsidRPr="00D05364" w:rsidRDefault="00BC7B2E" w:rsidP="00BC7B2E">
            <w:pPr>
              <w:tabs>
                <w:tab w:val="left" w:pos="567"/>
              </w:tabs>
              <w:jc w:val="both"/>
              <w:rPr>
                <w:lang w:eastAsia="lt-LT"/>
              </w:rPr>
            </w:pPr>
            <w:r w:rsidRPr="001C75DD">
              <w:rPr>
                <w:i/>
                <w:iCs/>
                <w:lang w:eastAsia="lt-LT"/>
              </w:rPr>
              <w:t>******</w:t>
            </w:r>
          </w:p>
        </w:tc>
      </w:tr>
      <w:tr w:rsidR="00BC7B2E" w:rsidRPr="00D05364" w14:paraId="1737C570" w14:textId="77777777" w:rsidTr="00D06E00">
        <w:trPr>
          <w:jc w:val="center"/>
        </w:trPr>
        <w:tc>
          <w:tcPr>
            <w:tcW w:w="2697" w:type="dxa"/>
            <w:tcBorders>
              <w:top w:val="single" w:sz="4" w:space="0" w:color="auto"/>
              <w:bottom w:val="single" w:sz="4" w:space="0" w:color="auto"/>
            </w:tcBorders>
          </w:tcPr>
          <w:p w14:paraId="46EA5521" w14:textId="77777777" w:rsidR="00BC7B2E" w:rsidRPr="00D05364" w:rsidRDefault="00BC7B2E" w:rsidP="00BC7B2E">
            <w:pPr>
              <w:tabs>
                <w:tab w:val="left" w:pos="567"/>
              </w:tabs>
              <w:jc w:val="both"/>
              <w:rPr>
                <w:iCs/>
                <w:color w:val="00B050"/>
                <w:lang w:eastAsia="lt-LT"/>
              </w:rPr>
            </w:pPr>
            <w:r>
              <w:rPr>
                <w:iCs/>
                <w:color w:val="000000"/>
                <w:lang w:eastAsia="lt-LT"/>
              </w:rPr>
              <w:t>Kartu vartojami vaistai</w:t>
            </w:r>
          </w:p>
        </w:tc>
        <w:tc>
          <w:tcPr>
            <w:tcW w:w="1613" w:type="dxa"/>
            <w:tcBorders>
              <w:top w:val="single" w:sz="4" w:space="0" w:color="auto"/>
              <w:bottom w:val="single" w:sz="4" w:space="0" w:color="auto"/>
            </w:tcBorders>
          </w:tcPr>
          <w:p w14:paraId="26D0A496" w14:textId="6F63BE87" w:rsidR="00BC7B2E" w:rsidRPr="00D05364" w:rsidRDefault="00BC7B2E" w:rsidP="00BC7B2E">
            <w:pPr>
              <w:tabs>
                <w:tab w:val="left" w:pos="567"/>
              </w:tabs>
              <w:jc w:val="both"/>
              <w:rPr>
                <w:i/>
                <w:iCs/>
                <w:lang w:eastAsia="lt-LT"/>
              </w:rPr>
            </w:pPr>
            <w:r w:rsidRPr="001C75DD">
              <w:rPr>
                <w:i/>
                <w:iCs/>
                <w:lang w:eastAsia="lt-LT"/>
              </w:rPr>
              <w:t>******</w:t>
            </w:r>
          </w:p>
        </w:tc>
        <w:tc>
          <w:tcPr>
            <w:tcW w:w="2019" w:type="dxa"/>
            <w:tcBorders>
              <w:top w:val="single" w:sz="4" w:space="0" w:color="auto"/>
              <w:bottom w:val="single" w:sz="4" w:space="0" w:color="auto"/>
            </w:tcBorders>
          </w:tcPr>
          <w:p w14:paraId="2D46E0EA" w14:textId="730AF26B" w:rsidR="00BC7B2E" w:rsidRPr="00D05364" w:rsidRDefault="00BC7B2E" w:rsidP="00BC7B2E">
            <w:pPr>
              <w:tabs>
                <w:tab w:val="left" w:pos="567"/>
              </w:tabs>
              <w:jc w:val="both"/>
              <w:rPr>
                <w:i/>
                <w:iCs/>
                <w:lang w:eastAsia="lt-LT"/>
              </w:rPr>
            </w:pPr>
            <w:r w:rsidRPr="001C75DD">
              <w:rPr>
                <w:i/>
                <w:iCs/>
                <w:lang w:eastAsia="lt-LT"/>
              </w:rPr>
              <w:t>******</w:t>
            </w:r>
          </w:p>
        </w:tc>
        <w:tc>
          <w:tcPr>
            <w:tcW w:w="3579" w:type="dxa"/>
            <w:tcBorders>
              <w:top w:val="single" w:sz="4" w:space="0" w:color="auto"/>
              <w:bottom w:val="single" w:sz="4" w:space="0" w:color="auto"/>
            </w:tcBorders>
          </w:tcPr>
          <w:p w14:paraId="132F435B" w14:textId="084FF302" w:rsidR="00BC7B2E" w:rsidRPr="00D05364" w:rsidRDefault="00BC7B2E" w:rsidP="00BC7B2E">
            <w:pPr>
              <w:tabs>
                <w:tab w:val="left" w:pos="567"/>
              </w:tabs>
              <w:jc w:val="both"/>
              <w:rPr>
                <w:i/>
                <w:iCs/>
                <w:lang w:eastAsia="lt-LT"/>
              </w:rPr>
            </w:pPr>
            <w:r w:rsidRPr="001C75DD">
              <w:rPr>
                <w:i/>
                <w:iCs/>
                <w:lang w:eastAsia="lt-LT"/>
              </w:rPr>
              <w:t>******</w:t>
            </w:r>
          </w:p>
        </w:tc>
      </w:tr>
      <w:tr w:rsidR="00BC7B2E" w:rsidRPr="00D05364" w14:paraId="32E397FE" w14:textId="77777777" w:rsidTr="00D06E00">
        <w:trPr>
          <w:jc w:val="center"/>
        </w:trPr>
        <w:tc>
          <w:tcPr>
            <w:tcW w:w="2697" w:type="dxa"/>
            <w:tcBorders>
              <w:top w:val="single" w:sz="4" w:space="0" w:color="auto"/>
              <w:bottom w:val="single" w:sz="4" w:space="0" w:color="auto"/>
            </w:tcBorders>
          </w:tcPr>
          <w:p w14:paraId="519E2930" w14:textId="77777777" w:rsidR="00BC7B2E" w:rsidRPr="00D05364" w:rsidRDefault="00BC7B2E" w:rsidP="00BC7B2E">
            <w:pPr>
              <w:tabs>
                <w:tab w:val="left" w:pos="567"/>
              </w:tabs>
              <w:jc w:val="both"/>
              <w:rPr>
                <w:iCs/>
                <w:color w:val="000000"/>
                <w:lang w:eastAsia="lt-LT"/>
              </w:rPr>
            </w:pPr>
            <w:r w:rsidRPr="00D05364">
              <w:rPr>
                <w:iCs/>
                <w:color w:val="000000"/>
                <w:lang w:eastAsia="lt-LT"/>
              </w:rPr>
              <w:t>Nepageidaujamų reiškinių valdymo kaštai</w:t>
            </w:r>
          </w:p>
        </w:tc>
        <w:tc>
          <w:tcPr>
            <w:tcW w:w="1613" w:type="dxa"/>
            <w:tcBorders>
              <w:top w:val="single" w:sz="4" w:space="0" w:color="auto"/>
              <w:bottom w:val="single" w:sz="4" w:space="0" w:color="auto"/>
            </w:tcBorders>
          </w:tcPr>
          <w:p w14:paraId="3B9EE590" w14:textId="3AB856BA" w:rsidR="00BC7B2E" w:rsidRPr="00D05364" w:rsidRDefault="00BC7B2E" w:rsidP="00BC7B2E">
            <w:pPr>
              <w:tabs>
                <w:tab w:val="left" w:pos="567"/>
              </w:tabs>
              <w:jc w:val="both"/>
              <w:rPr>
                <w:i/>
                <w:iCs/>
                <w:lang w:eastAsia="lt-LT"/>
              </w:rPr>
            </w:pPr>
            <w:r w:rsidRPr="001C75DD">
              <w:rPr>
                <w:i/>
                <w:iCs/>
                <w:lang w:eastAsia="lt-LT"/>
              </w:rPr>
              <w:t>******</w:t>
            </w:r>
          </w:p>
        </w:tc>
        <w:tc>
          <w:tcPr>
            <w:tcW w:w="2019" w:type="dxa"/>
            <w:tcBorders>
              <w:top w:val="single" w:sz="4" w:space="0" w:color="auto"/>
              <w:bottom w:val="single" w:sz="4" w:space="0" w:color="auto"/>
            </w:tcBorders>
          </w:tcPr>
          <w:p w14:paraId="59D997F5" w14:textId="3A7BCE57" w:rsidR="00BC7B2E" w:rsidRPr="00D05364" w:rsidRDefault="00BC7B2E" w:rsidP="00BC7B2E">
            <w:pPr>
              <w:tabs>
                <w:tab w:val="left" w:pos="567"/>
              </w:tabs>
              <w:jc w:val="both"/>
              <w:rPr>
                <w:i/>
                <w:iCs/>
                <w:lang w:eastAsia="lt-LT"/>
              </w:rPr>
            </w:pPr>
            <w:r w:rsidRPr="001C75DD">
              <w:rPr>
                <w:i/>
                <w:iCs/>
                <w:lang w:eastAsia="lt-LT"/>
              </w:rPr>
              <w:t>******</w:t>
            </w:r>
          </w:p>
        </w:tc>
        <w:tc>
          <w:tcPr>
            <w:tcW w:w="3579" w:type="dxa"/>
            <w:tcBorders>
              <w:top w:val="single" w:sz="4" w:space="0" w:color="auto"/>
              <w:bottom w:val="single" w:sz="4" w:space="0" w:color="auto"/>
            </w:tcBorders>
          </w:tcPr>
          <w:p w14:paraId="0BA77942" w14:textId="36E36899" w:rsidR="00BC7B2E" w:rsidRPr="00D05364" w:rsidRDefault="00BC7B2E" w:rsidP="00BC7B2E">
            <w:pPr>
              <w:tabs>
                <w:tab w:val="left" w:pos="567"/>
              </w:tabs>
              <w:jc w:val="both"/>
              <w:rPr>
                <w:i/>
                <w:iCs/>
                <w:lang w:eastAsia="lt-LT"/>
              </w:rPr>
            </w:pPr>
            <w:r w:rsidRPr="001C75DD">
              <w:rPr>
                <w:i/>
                <w:iCs/>
                <w:lang w:eastAsia="lt-LT"/>
              </w:rPr>
              <w:t>******</w:t>
            </w:r>
          </w:p>
        </w:tc>
      </w:tr>
      <w:tr w:rsidR="00BC7B2E" w:rsidRPr="00D05364" w14:paraId="0D866BFE" w14:textId="77777777" w:rsidTr="00D06E00">
        <w:trPr>
          <w:jc w:val="center"/>
        </w:trPr>
        <w:tc>
          <w:tcPr>
            <w:tcW w:w="2697" w:type="dxa"/>
            <w:tcBorders>
              <w:top w:val="single" w:sz="4" w:space="0" w:color="auto"/>
              <w:bottom w:val="single" w:sz="4" w:space="0" w:color="auto"/>
            </w:tcBorders>
          </w:tcPr>
          <w:p w14:paraId="604ABBE5" w14:textId="77777777" w:rsidR="00BC7B2E" w:rsidRPr="00D05364" w:rsidRDefault="00BC7B2E" w:rsidP="00BC7B2E">
            <w:pPr>
              <w:tabs>
                <w:tab w:val="left" w:pos="567"/>
              </w:tabs>
              <w:jc w:val="both"/>
              <w:rPr>
                <w:iCs/>
                <w:color w:val="000000"/>
                <w:lang w:eastAsia="lt-LT"/>
              </w:rPr>
            </w:pPr>
            <w:r>
              <w:rPr>
                <w:iCs/>
                <w:color w:val="000000"/>
                <w:lang w:eastAsia="lt-LT"/>
              </w:rPr>
              <w:t>Vaistinių preparatų vartojimo kaštai</w:t>
            </w:r>
          </w:p>
        </w:tc>
        <w:tc>
          <w:tcPr>
            <w:tcW w:w="1613" w:type="dxa"/>
            <w:tcBorders>
              <w:top w:val="single" w:sz="4" w:space="0" w:color="auto"/>
              <w:bottom w:val="single" w:sz="4" w:space="0" w:color="auto"/>
            </w:tcBorders>
          </w:tcPr>
          <w:p w14:paraId="2E172B1E" w14:textId="6032AD57" w:rsidR="00BC7B2E" w:rsidRPr="00D05364" w:rsidRDefault="00BC7B2E" w:rsidP="00BC7B2E">
            <w:pPr>
              <w:tabs>
                <w:tab w:val="left" w:pos="567"/>
              </w:tabs>
              <w:jc w:val="both"/>
              <w:rPr>
                <w:i/>
                <w:iCs/>
                <w:lang w:eastAsia="lt-LT"/>
              </w:rPr>
            </w:pPr>
            <w:r w:rsidRPr="001C75DD">
              <w:rPr>
                <w:i/>
                <w:iCs/>
                <w:lang w:eastAsia="lt-LT"/>
              </w:rPr>
              <w:t>******</w:t>
            </w:r>
          </w:p>
        </w:tc>
        <w:tc>
          <w:tcPr>
            <w:tcW w:w="2019" w:type="dxa"/>
            <w:tcBorders>
              <w:top w:val="single" w:sz="4" w:space="0" w:color="auto"/>
              <w:bottom w:val="single" w:sz="4" w:space="0" w:color="auto"/>
            </w:tcBorders>
          </w:tcPr>
          <w:p w14:paraId="49DDD917" w14:textId="513FA80A" w:rsidR="00BC7B2E" w:rsidRPr="00D05364" w:rsidRDefault="00BC7B2E" w:rsidP="00BC7B2E">
            <w:pPr>
              <w:tabs>
                <w:tab w:val="left" w:pos="567"/>
              </w:tabs>
              <w:jc w:val="both"/>
              <w:rPr>
                <w:i/>
                <w:iCs/>
                <w:lang w:eastAsia="lt-LT"/>
              </w:rPr>
            </w:pPr>
            <w:r w:rsidRPr="001C75DD">
              <w:rPr>
                <w:i/>
                <w:iCs/>
                <w:lang w:eastAsia="lt-LT"/>
              </w:rPr>
              <w:t>******</w:t>
            </w:r>
          </w:p>
        </w:tc>
        <w:tc>
          <w:tcPr>
            <w:tcW w:w="3579" w:type="dxa"/>
            <w:tcBorders>
              <w:top w:val="single" w:sz="4" w:space="0" w:color="auto"/>
              <w:bottom w:val="single" w:sz="4" w:space="0" w:color="auto"/>
            </w:tcBorders>
          </w:tcPr>
          <w:p w14:paraId="5EDE343A" w14:textId="5A207DBC" w:rsidR="00BC7B2E" w:rsidRPr="00D05364" w:rsidRDefault="00BC7B2E" w:rsidP="00BC7B2E">
            <w:pPr>
              <w:tabs>
                <w:tab w:val="left" w:pos="567"/>
              </w:tabs>
              <w:jc w:val="both"/>
              <w:rPr>
                <w:i/>
                <w:iCs/>
                <w:lang w:eastAsia="lt-LT"/>
              </w:rPr>
            </w:pPr>
            <w:r w:rsidRPr="001C75DD">
              <w:rPr>
                <w:i/>
                <w:iCs/>
                <w:lang w:eastAsia="lt-LT"/>
              </w:rPr>
              <w:t>******</w:t>
            </w:r>
          </w:p>
        </w:tc>
      </w:tr>
      <w:tr w:rsidR="00BC7B2E" w:rsidRPr="00D05364" w14:paraId="7C9A614A" w14:textId="77777777" w:rsidTr="00D06E00">
        <w:trPr>
          <w:jc w:val="center"/>
        </w:trPr>
        <w:tc>
          <w:tcPr>
            <w:tcW w:w="2697" w:type="dxa"/>
            <w:tcBorders>
              <w:top w:val="single" w:sz="4" w:space="0" w:color="auto"/>
              <w:bottom w:val="single" w:sz="4" w:space="0" w:color="auto"/>
            </w:tcBorders>
          </w:tcPr>
          <w:p w14:paraId="78E9975B" w14:textId="77777777" w:rsidR="00BC7B2E" w:rsidRDefault="00BC7B2E" w:rsidP="00BC7B2E">
            <w:pPr>
              <w:tabs>
                <w:tab w:val="left" w:pos="567"/>
              </w:tabs>
              <w:jc w:val="both"/>
              <w:rPr>
                <w:iCs/>
                <w:color w:val="000000"/>
                <w:lang w:eastAsia="lt-LT"/>
              </w:rPr>
            </w:pPr>
            <w:r>
              <w:rPr>
                <w:iCs/>
                <w:color w:val="000000"/>
                <w:lang w:eastAsia="lt-LT"/>
              </w:rPr>
              <w:t>Sekančių eilių kaštai</w:t>
            </w:r>
          </w:p>
        </w:tc>
        <w:tc>
          <w:tcPr>
            <w:tcW w:w="1613" w:type="dxa"/>
            <w:tcBorders>
              <w:top w:val="single" w:sz="4" w:space="0" w:color="auto"/>
              <w:bottom w:val="single" w:sz="4" w:space="0" w:color="auto"/>
            </w:tcBorders>
          </w:tcPr>
          <w:p w14:paraId="34608515" w14:textId="5407218E" w:rsidR="00BC7B2E" w:rsidRPr="00D05364" w:rsidRDefault="00BC7B2E" w:rsidP="00BC7B2E">
            <w:pPr>
              <w:tabs>
                <w:tab w:val="left" w:pos="567"/>
              </w:tabs>
              <w:jc w:val="both"/>
              <w:rPr>
                <w:i/>
                <w:iCs/>
                <w:lang w:eastAsia="lt-LT"/>
              </w:rPr>
            </w:pPr>
            <w:r w:rsidRPr="001C75DD">
              <w:rPr>
                <w:i/>
                <w:iCs/>
                <w:lang w:eastAsia="lt-LT"/>
              </w:rPr>
              <w:t>******</w:t>
            </w:r>
          </w:p>
        </w:tc>
        <w:tc>
          <w:tcPr>
            <w:tcW w:w="2019" w:type="dxa"/>
            <w:tcBorders>
              <w:top w:val="single" w:sz="4" w:space="0" w:color="auto"/>
              <w:bottom w:val="single" w:sz="4" w:space="0" w:color="auto"/>
            </w:tcBorders>
          </w:tcPr>
          <w:p w14:paraId="75DE3664" w14:textId="347F7A42" w:rsidR="00BC7B2E" w:rsidRPr="00D05364" w:rsidRDefault="00BC7B2E" w:rsidP="00BC7B2E">
            <w:pPr>
              <w:tabs>
                <w:tab w:val="left" w:pos="567"/>
              </w:tabs>
              <w:jc w:val="both"/>
              <w:rPr>
                <w:i/>
                <w:iCs/>
                <w:lang w:eastAsia="lt-LT"/>
              </w:rPr>
            </w:pPr>
            <w:r w:rsidRPr="001C75DD">
              <w:rPr>
                <w:i/>
                <w:iCs/>
                <w:lang w:eastAsia="lt-LT"/>
              </w:rPr>
              <w:t>******</w:t>
            </w:r>
          </w:p>
        </w:tc>
        <w:tc>
          <w:tcPr>
            <w:tcW w:w="3579" w:type="dxa"/>
            <w:tcBorders>
              <w:top w:val="single" w:sz="4" w:space="0" w:color="auto"/>
              <w:bottom w:val="single" w:sz="4" w:space="0" w:color="auto"/>
            </w:tcBorders>
          </w:tcPr>
          <w:p w14:paraId="68D98A45" w14:textId="1388994D" w:rsidR="00BC7B2E" w:rsidRPr="00D05364" w:rsidRDefault="00BC7B2E" w:rsidP="00BC7B2E">
            <w:pPr>
              <w:tabs>
                <w:tab w:val="left" w:pos="567"/>
              </w:tabs>
              <w:jc w:val="both"/>
              <w:rPr>
                <w:i/>
                <w:iCs/>
                <w:lang w:eastAsia="lt-LT"/>
              </w:rPr>
            </w:pPr>
            <w:r w:rsidRPr="001C75DD">
              <w:rPr>
                <w:i/>
                <w:iCs/>
                <w:lang w:eastAsia="lt-LT"/>
              </w:rPr>
              <w:t>******</w:t>
            </w:r>
          </w:p>
        </w:tc>
      </w:tr>
      <w:tr w:rsidR="00BC7B2E" w:rsidRPr="00D05364" w14:paraId="2217E43B" w14:textId="77777777" w:rsidTr="00D06E00">
        <w:trPr>
          <w:jc w:val="center"/>
        </w:trPr>
        <w:tc>
          <w:tcPr>
            <w:tcW w:w="2697" w:type="dxa"/>
            <w:tcBorders>
              <w:top w:val="single" w:sz="4" w:space="0" w:color="auto"/>
              <w:bottom w:val="single" w:sz="12" w:space="0" w:color="auto"/>
            </w:tcBorders>
          </w:tcPr>
          <w:p w14:paraId="4993471F" w14:textId="77777777" w:rsidR="00BC7B2E" w:rsidRPr="00D05364" w:rsidRDefault="00BC7B2E" w:rsidP="00BC7B2E">
            <w:pPr>
              <w:tabs>
                <w:tab w:val="left" w:pos="567"/>
              </w:tabs>
              <w:jc w:val="both"/>
              <w:rPr>
                <w:iCs/>
                <w:lang w:eastAsia="lt-LT"/>
              </w:rPr>
            </w:pPr>
            <w:r>
              <w:rPr>
                <w:iCs/>
                <w:lang w:eastAsia="lt-LT"/>
              </w:rPr>
              <w:t>Viso:</w:t>
            </w:r>
          </w:p>
        </w:tc>
        <w:tc>
          <w:tcPr>
            <w:tcW w:w="1613" w:type="dxa"/>
            <w:tcBorders>
              <w:top w:val="single" w:sz="4" w:space="0" w:color="auto"/>
              <w:bottom w:val="single" w:sz="12" w:space="0" w:color="auto"/>
            </w:tcBorders>
          </w:tcPr>
          <w:p w14:paraId="321C5830" w14:textId="627BF77C" w:rsidR="00BC7B2E" w:rsidRPr="00D05364" w:rsidRDefault="00BC7B2E" w:rsidP="00BC7B2E">
            <w:pPr>
              <w:tabs>
                <w:tab w:val="left" w:pos="567"/>
              </w:tabs>
              <w:jc w:val="both"/>
              <w:rPr>
                <w:i/>
                <w:iCs/>
                <w:lang w:eastAsia="lt-LT"/>
              </w:rPr>
            </w:pPr>
            <w:r w:rsidRPr="001C75DD">
              <w:rPr>
                <w:i/>
                <w:iCs/>
                <w:lang w:eastAsia="lt-LT"/>
              </w:rPr>
              <w:t>******</w:t>
            </w:r>
          </w:p>
        </w:tc>
        <w:tc>
          <w:tcPr>
            <w:tcW w:w="2019" w:type="dxa"/>
            <w:tcBorders>
              <w:top w:val="single" w:sz="4" w:space="0" w:color="auto"/>
              <w:bottom w:val="single" w:sz="12" w:space="0" w:color="auto"/>
            </w:tcBorders>
          </w:tcPr>
          <w:p w14:paraId="047000CF" w14:textId="2A38DE0B" w:rsidR="00BC7B2E" w:rsidRPr="00D05364" w:rsidRDefault="00BC7B2E" w:rsidP="00BC7B2E">
            <w:pPr>
              <w:tabs>
                <w:tab w:val="left" w:pos="567"/>
              </w:tabs>
              <w:jc w:val="both"/>
              <w:rPr>
                <w:i/>
                <w:iCs/>
                <w:lang w:eastAsia="lt-LT"/>
              </w:rPr>
            </w:pPr>
            <w:r w:rsidRPr="001C75DD">
              <w:rPr>
                <w:i/>
                <w:iCs/>
                <w:lang w:eastAsia="lt-LT"/>
              </w:rPr>
              <w:t>******</w:t>
            </w:r>
          </w:p>
        </w:tc>
        <w:tc>
          <w:tcPr>
            <w:tcW w:w="3579" w:type="dxa"/>
            <w:tcBorders>
              <w:top w:val="single" w:sz="4" w:space="0" w:color="auto"/>
              <w:bottom w:val="single" w:sz="12" w:space="0" w:color="auto"/>
            </w:tcBorders>
          </w:tcPr>
          <w:p w14:paraId="57DBB0BB" w14:textId="65B02F19" w:rsidR="00BC7B2E" w:rsidRPr="00D05364" w:rsidRDefault="00BC7B2E" w:rsidP="00BC7B2E">
            <w:pPr>
              <w:tabs>
                <w:tab w:val="left" w:pos="567"/>
              </w:tabs>
              <w:jc w:val="both"/>
              <w:rPr>
                <w:i/>
                <w:iCs/>
                <w:lang w:eastAsia="lt-LT"/>
              </w:rPr>
            </w:pPr>
            <w:r w:rsidRPr="001C75DD">
              <w:rPr>
                <w:i/>
                <w:iCs/>
                <w:lang w:eastAsia="lt-LT"/>
              </w:rPr>
              <w:t>******</w:t>
            </w:r>
          </w:p>
        </w:tc>
      </w:tr>
      <w:tr w:rsidR="005614EF" w:rsidRPr="00D05364" w14:paraId="2ABCC97D" w14:textId="77777777" w:rsidTr="00D06E00">
        <w:trPr>
          <w:trHeight w:val="234"/>
          <w:jc w:val="center"/>
        </w:trPr>
        <w:tc>
          <w:tcPr>
            <w:tcW w:w="9908" w:type="dxa"/>
            <w:gridSpan w:val="4"/>
            <w:tcBorders>
              <w:top w:val="single" w:sz="12" w:space="0" w:color="auto"/>
              <w:bottom w:val="single" w:sz="4" w:space="0" w:color="auto"/>
            </w:tcBorders>
          </w:tcPr>
          <w:p w14:paraId="099B6D4D" w14:textId="77777777" w:rsidR="005614EF" w:rsidRPr="00D05364" w:rsidRDefault="005614EF" w:rsidP="00D06E00">
            <w:pPr>
              <w:tabs>
                <w:tab w:val="left" w:pos="567"/>
              </w:tabs>
              <w:jc w:val="both"/>
              <w:rPr>
                <w:iCs/>
                <w:lang w:eastAsia="lt-LT"/>
              </w:rPr>
            </w:pPr>
            <w:r w:rsidRPr="00D05364">
              <w:rPr>
                <w:lang w:eastAsia="lt-LT"/>
              </w:rPr>
              <w:t>Papildomi gyvenimo metai (LY)</w:t>
            </w:r>
          </w:p>
        </w:tc>
      </w:tr>
      <w:tr w:rsidR="00BC7B2E" w:rsidRPr="00D05364" w14:paraId="53F61CBF" w14:textId="77777777" w:rsidTr="00D06E00">
        <w:trPr>
          <w:jc w:val="center"/>
        </w:trPr>
        <w:tc>
          <w:tcPr>
            <w:tcW w:w="2697" w:type="dxa"/>
            <w:tcBorders>
              <w:top w:val="single" w:sz="4" w:space="0" w:color="auto"/>
              <w:bottom w:val="single" w:sz="4" w:space="0" w:color="auto"/>
            </w:tcBorders>
          </w:tcPr>
          <w:p w14:paraId="278A81D3" w14:textId="77777777" w:rsidR="00BC7B2E" w:rsidRPr="00D05364" w:rsidRDefault="00BC7B2E" w:rsidP="00BC7B2E">
            <w:pPr>
              <w:tabs>
                <w:tab w:val="left" w:pos="567"/>
              </w:tabs>
              <w:jc w:val="both"/>
              <w:rPr>
                <w:lang w:eastAsia="lt-LT"/>
              </w:rPr>
            </w:pPr>
            <w:r>
              <w:rPr>
                <w:i/>
                <w:iCs/>
                <w:lang w:eastAsia="lt-LT"/>
              </w:rPr>
              <w:t>IVO+AZA</w:t>
            </w:r>
          </w:p>
        </w:tc>
        <w:tc>
          <w:tcPr>
            <w:tcW w:w="3632" w:type="dxa"/>
            <w:gridSpan w:val="2"/>
            <w:tcBorders>
              <w:top w:val="single" w:sz="4" w:space="0" w:color="auto"/>
              <w:bottom w:val="single" w:sz="4" w:space="0" w:color="auto"/>
            </w:tcBorders>
          </w:tcPr>
          <w:p w14:paraId="07A34516" w14:textId="25B7B030" w:rsidR="00BC7B2E" w:rsidRPr="00D05364" w:rsidRDefault="00BC7B2E" w:rsidP="00BC7B2E">
            <w:pPr>
              <w:tabs>
                <w:tab w:val="left" w:pos="567"/>
              </w:tabs>
              <w:jc w:val="both"/>
              <w:rPr>
                <w:i/>
                <w:iCs/>
                <w:lang w:eastAsia="lt-LT"/>
              </w:rPr>
            </w:pPr>
            <w:r w:rsidRPr="00F763D4">
              <w:rPr>
                <w:i/>
                <w:iCs/>
                <w:lang w:eastAsia="lt-LT"/>
              </w:rPr>
              <w:t>******</w:t>
            </w:r>
          </w:p>
        </w:tc>
        <w:tc>
          <w:tcPr>
            <w:tcW w:w="3579" w:type="dxa"/>
            <w:vMerge w:val="restart"/>
            <w:tcBorders>
              <w:top w:val="single" w:sz="4" w:space="0" w:color="auto"/>
            </w:tcBorders>
          </w:tcPr>
          <w:p w14:paraId="1D9E10C5" w14:textId="3DD1388D" w:rsidR="00BC7B2E" w:rsidRPr="00D05364" w:rsidRDefault="00BC7B2E" w:rsidP="00BC7B2E">
            <w:pPr>
              <w:tabs>
                <w:tab w:val="left" w:pos="567"/>
              </w:tabs>
              <w:jc w:val="both"/>
              <w:rPr>
                <w:lang w:eastAsia="lt-LT"/>
              </w:rPr>
            </w:pPr>
            <w:r w:rsidRPr="00D05364">
              <w:rPr>
                <w:lang w:eastAsia="lt-LT"/>
              </w:rPr>
              <w:t>Skirtumas:</w:t>
            </w:r>
            <w:r w:rsidRPr="000C2AB8">
              <w:rPr>
                <w:i/>
                <w:iCs/>
                <w:lang w:eastAsia="lt-LT"/>
              </w:rPr>
              <w:t xml:space="preserve"> </w:t>
            </w:r>
            <w:r w:rsidRPr="000C2AB8">
              <w:rPr>
                <w:i/>
                <w:iCs/>
                <w:lang w:eastAsia="lt-LT"/>
              </w:rPr>
              <w:t>******</w:t>
            </w:r>
          </w:p>
        </w:tc>
      </w:tr>
      <w:tr w:rsidR="00BC7B2E" w:rsidRPr="00D05364" w14:paraId="27F25FBA" w14:textId="77777777" w:rsidTr="00D06E00">
        <w:trPr>
          <w:jc w:val="center"/>
        </w:trPr>
        <w:tc>
          <w:tcPr>
            <w:tcW w:w="2697" w:type="dxa"/>
            <w:tcBorders>
              <w:top w:val="single" w:sz="4" w:space="0" w:color="auto"/>
              <w:bottom w:val="single" w:sz="12" w:space="0" w:color="auto"/>
            </w:tcBorders>
          </w:tcPr>
          <w:p w14:paraId="23B9BAA8" w14:textId="77777777" w:rsidR="00BC7B2E" w:rsidRPr="00D05364" w:rsidRDefault="00BC7B2E" w:rsidP="00BC7B2E">
            <w:pPr>
              <w:tabs>
                <w:tab w:val="left" w:pos="567"/>
              </w:tabs>
              <w:jc w:val="both"/>
              <w:rPr>
                <w:lang w:eastAsia="lt-LT"/>
              </w:rPr>
            </w:pPr>
            <w:r>
              <w:rPr>
                <w:i/>
                <w:iCs/>
                <w:lang w:eastAsia="lt-LT"/>
              </w:rPr>
              <w:t>VEN+AZA</w:t>
            </w:r>
          </w:p>
        </w:tc>
        <w:tc>
          <w:tcPr>
            <w:tcW w:w="3632" w:type="dxa"/>
            <w:gridSpan w:val="2"/>
            <w:tcBorders>
              <w:top w:val="single" w:sz="4" w:space="0" w:color="auto"/>
              <w:bottom w:val="single" w:sz="12" w:space="0" w:color="auto"/>
            </w:tcBorders>
          </w:tcPr>
          <w:p w14:paraId="273A8EC2" w14:textId="7164CFEA" w:rsidR="00BC7B2E" w:rsidRPr="00D05364" w:rsidRDefault="00BC7B2E" w:rsidP="00BC7B2E">
            <w:pPr>
              <w:tabs>
                <w:tab w:val="left" w:pos="567"/>
              </w:tabs>
              <w:jc w:val="both"/>
              <w:rPr>
                <w:i/>
                <w:iCs/>
                <w:lang w:eastAsia="lt-LT"/>
              </w:rPr>
            </w:pPr>
            <w:r w:rsidRPr="00F763D4">
              <w:rPr>
                <w:i/>
                <w:iCs/>
                <w:lang w:eastAsia="lt-LT"/>
              </w:rPr>
              <w:t>******</w:t>
            </w:r>
          </w:p>
        </w:tc>
        <w:tc>
          <w:tcPr>
            <w:tcW w:w="3579" w:type="dxa"/>
            <w:vMerge/>
            <w:tcBorders>
              <w:bottom w:val="single" w:sz="12" w:space="0" w:color="auto"/>
            </w:tcBorders>
          </w:tcPr>
          <w:p w14:paraId="0C836625" w14:textId="77777777" w:rsidR="00BC7B2E" w:rsidRPr="00D05364" w:rsidRDefault="00BC7B2E" w:rsidP="00BC7B2E">
            <w:pPr>
              <w:tabs>
                <w:tab w:val="left" w:pos="567"/>
              </w:tabs>
              <w:jc w:val="both"/>
              <w:rPr>
                <w:i/>
                <w:iCs/>
                <w:lang w:eastAsia="lt-LT"/>
              </w:rPr>
            </w:pPr>
          </w:p>
        </w:tc>
      </w:tr>
      <w:tr w:rsidR="005614EF" w:rsidRPr="00D05364" w14:paraId="2F3B42F1" w14:textId="77777777" w:rsidTr="00D06E00">
        <w:trPr>
          <w:jc w:val="center"/>
        </w:trPr>
        <w:tc>
          <w:tcPr>
            <w:tcW w:w="9908" w:type="dxa"/>
            <w:gridSpan w:val="4"/>
            <w:tcBorders>
              <w:top w:val="single" w:sz="12" w:space="0" w:color="auto"/>
              <w:bottom w:val="single" w:sz="4" w:space="0" w:color="auto"/>
            </w:tcBorders>
          </w:tcPr>
          <w:p w14:paraId="184F2496" w14:textId="77777777" w:rsidR="005614EF" w:rsidRPr="00D05364" w:rsidRDefault="005614EF" w:rsidP="00D06E00">
            <w:pPr>
              <w:tabs>
                <w:tab w:val="left" w:pos="567"/>
              </w:tabs>
              <w:jc w:val="both"/>
              <w:rPr>
                <w:iCs/>
                <w:lang w:eastAsia="lt-LT"/>
              </w:rPr>
            </w:pPr>
            <w:r w:rsidRPr="00D05364">
              <w:rPr>
                <w:lang w:eastAsia="lt-LT"/>
              </w:rPr>
              <w:t>Kokybiški gyvenimo metai (QALY)</w:t>
            </w:r>
          </w:p>
        </w:tc>
      </w:tr>
      <w:tr w:rsidR="005614EF" w:rsidRPr="00D05364" w14:paraId="586AE1F6" w14:textId="77777777" w:rsidTr="00D06E00">
        <w:trPr>
          <w:jc w:val="center"/>
        </w:trPr>
        <w:tc>
          <w:tcPr>
            <w:tcW w:w="2697" w:type="dxa"/>
            <w:tcBorders>
              <w:top w:val="single" w:sz="4" w:space="0" w:color="auto"/>
              <w:bottom w:val="single" w:sz="4" w:space="0" w:color="auto"/>
            </w:tcBorders>
          </w:tcPr>
          <w:p w14:paraId="0F83F716" w14:textId="77777777" w:rsidR="005614EF" w:rsidRPr="00D05364" w:rsidRDefault="005614EF" w:rsidP="00D06E00">
            <w:pPr>
              <w:tabs>
                <w:tab w:val="left" w:pos="567"/>
              </w:tabs>
              <w:jc w:val="both"/>
              <w:rPr>
                <w:iCs/>
                <w:lang w:eastAsia="lt-LT"/>
              </w:rPr>
            </w:pPr>
            <w:r>
              <w:rPr>
                <w:i/>
                <w:iCs/>
                <w:lang w:eastAsia="lt-LT"/>
              </w:rPr>
              <w:t>IVO+AZA</w:t>
            </w:r>
          </w:p>
        </w:tc>
        <w:tc>
          <w:tcPr>
            <w:tcW w:w="3632" w:type="dxa"/>
            <w:gridSpan w:val="2"/>
            <w:tcBorders>
              <w:top w:val="single" w:sz="4" w:space="0" w:color="auto"/>
              <w:bottom w:val="single" w:sz="4" w:space="0" w:color="auto"/>
            </w:tcBorders>
          </w:tcPr>
          <w:p w14:paraId="54AAD12C" w14:textId="3D825AEA" w:rsidR="005614EF" w:rsidRPr="00D05364" w:rsidRDefault="00BC7B2E" w:rsidP="00D06E00">
            <w:pPr>
              <w:tabs>
                <w:tab w:val="left" w:pos="567"/>
              </w:tabs>
              <w:jc w:val="both"/>
              <w:rPr>
                <w:i/>
                <w:iCs/>
                <w:lang w:eastAsia="lt-LT"/>
              </w:rPr>
            </w:pPr>
            <w:r w:rsidRPr="000C2AB8">
              <w:rPr>
                <w:i/>
                <w:iCs/>
                <w:lang w:eastAsia="lt-LT"/>
              </w:rPr>
              <w:t>******</w:t>
            </w:r>
          </w:p>
        </w:tc>
        <w:tc>
          <w:tcPr>
            <w:tcW w:w="3579" w:type="dxa"/>
            <w:vMerge w:val="restart"/>
            <w:tcBorders>
              <w:top w:val="single" w:sz="4" w:space="0" w:color="auto"/>
            </w:tcBorders>
          </w:tcPr>
          <w:p w14:paraId="38275815" w14:textId="49465E7C" w:rsidR="005614EF" w:rsidRPr="00D05364" w:rsidRDefault="005614EF" w:rsidP="00D06E00">
            <w:pPr>
              <w:tabs>
                <w:tab w:val="left" w:pos="567"/>
              </w:tabs>
              <w:jc w:val="both"/>
              <w:rPr>
                <w:lang w:eastAsia="lt-LT"/>
              </w:rPr>
            </w:pPr>
            <w:r w:rsidRPr="00D05364">
              <w:rPr>
                <w:lang w:eastAsia="lt-LT"/>
              </w:rPr>
              <w:t xml:space="preserve">Skirtumas: </w:t>
            </w:r>
            <w:r w:rsidR="00BC7B2E" w:rsidRPr="000C2AB8">
              <w:rPr>
                <w:i/>
                <w:iCs/>
                <w:lang w:eastAsia="lt-LT"/>
              </w:rPr>
              <w:t>******</w:t>
            </w:r>
          </w:p>
        </w:tc>
      </w:tr>
      <w:tr w:rsidR="005614EF" w:rsidRPr="00D05364" w14:paraId="55E82CC4" w14:textId="77777777" w:rsidTr="00D06E00">
        <w:trPr>
          <w:jc w:val="center"/>
        </w:trPr>
        <w:tc>
          <w:tcPr>
            <w:tcW w:w="2697" w:type="dxa"/>
            <w:tcBorders>
              <w:top w:val="single" w:sz="4" w:space="0" w:color="auto"/>
              <w:bottom w:val="single" w:sz="12" w:space="0" w:color="auto"/>
            </w:tcBorders>
          </w:tcPr>
          <w:p w14:paraId="176B8D63" w14:textId="77777777" w:rsidR="005614EF" w:rsidRPr="00D05364" w:rsidRDefault="005614EF" w:rsidP="00D06E00">
            <w:pPr>
              <w:tabs>
                <w:tab w:val="left" w:pos="567"/>
              </w:tabs>
              <w:jc w:val="both"/>
              <w:rPr>
                <w:iCs/>
                <w:lang w:eastAsia="lt-LT"/>
              </w:rPr>
            </w:pPr>
            <w:r>
              <w:rPr>
                <w:i/>
                <w:iCs/>
                <w:lang w:eastAsia="lt-LT"/>
              </w:rPr>
              <w:lastRenderedPageBreak/>
              <w:t>VEN+AZA</w:t>
            </w:r>
          </w:p>
        </w:tc>
        <w:tc>
          <w:tcPr>
            <w:tcW w:w="3632" w:type="dxa"/>
            <w:gridSpan w:val="2"/>
            <w:tcBorders>
              <w:top w:val="single" w:sz="4" w:space="0" w:color="auto"/>
              <w:bottom w:val="single" w:sz="12" w:space="0" w:color="auto"/>
            </w:tcBorders>
          </w:tcPr>
          <w:p w14:paraId="141BBB7A" w14:textId="43FF9AD1" w:rsidR="005614EF" w:rsidRPr="00D05364" w:rsidRDefault="00BC7B2E" w:rsidP="00D06E00">
            <w:pPr>
              <w:tabs>
                <w:tab w:val="left" w:pos="567"/>
              </w:tabs>
              <w:jc w:val="both"/>
              <w:rPr>
                <w:i/>
                <w:iCs/>
                <w:lang w:eastAsia="lt-LT"/>
              </w:rPr>
            </w:pPr>
            <w:r w:rsidRPr="000C2AB8">
              <w:rPr>
                <w:i/>
                <w:iCs/>
                <w:lang w:eastAsia="lt-LT"/>
              </w:rPr>
              <w:t>******</w:t>
            </w:r>
          </w:p>
        </w:tc>
        <w:tc>
          <w:tcPr>
            <w:tcW w:w="3579" w:type="dxa"/>
            <w:vMerge/>
            <w:tcBorders>
              <w:bottom w:val="single" w:sz="12" w:space="0" w:color="auto"/>
            </w:tcBorders>
          </w:tcPr>
          <w:p w14:paraId="06F3E6C1" w14:textId="77777777" w:rsidR="005614EF" w:rsidRPr="00D05364" w:rsidRDefault="005614EF" w:rsidP="00D06E00">
            <w:pPr>
              <w:tabs>
                <w:tab w:val="left" w:pos="567"/>
              </w:tabs>
              <w:jc w:val="both"/>
              <w:rPr>
                <w:i/>
                <w:iCs/>
                <w:lang w:eastAsia="lt-LT"/>
              </w:rPr>
            </w:pPr>
          </w:p>
        </w:tc>
      </w:tr>
      <w:tr w:rsidR="005614EF" w:rsidRPr="00D05364" w14:paraId="6C6B46A2" w14:textId="77777777" w:rsidTr="00D06E00">
        <w:trPr>
          <w:trHeight w:val="347"/>
          <w:jc w:val="center"/>
        </w:trPr>
        <w:tc>
          <w:tcPr>
            <w:tcW w:w="9908" w:type="dxa"/>
            <w:gridSpan w:val="4"/>
            <w:tcBorders>
              <w:top w:val="single" w:sz="12" w:space="0" w:color="auto"/>
            </w:tcBorders>
            <w:vAlign w:val="center"/>
          </w:tcPr>
          <w:p w14:paraId="470A2CF3" w14:textId="77777777" w:rsidR="005614EF" w:rsidRPr="00D05364" w:rsidRDefault="005614EF" w:rsidP="00D06E00">
            <w:pPr>
              <w:tabs>
                <w:tab w:val="left" w:pos="567"/>
              </w:tabs>
              <w:jc w:val="both"/>
              <w:rPr>
                <w:b/>
                <w:bCs/>
                <w:sz w:val="26"/>
                <w:szCs w:val="26"/>
                <w:lang w:eastAsia="lt-LT"/>
              </w:rPr>
            </w:pPr>
            <w:r w:rsidRPr="00D05364">
              <w:rPr>
                <w:b/>
                <w:bCs/>
                <w:sz w:val="26"/>
                <w:szCs w:val="26"/>
                <w:lang w:eastAsia="lt-LT"/>
              </w:rPr>
              <w:t>Rezultatai</w:t>
            </w:r>
          </w:p>
        </w:tc>
      </w:tr>
      <w:tr w:rsidR="005614EF" w:rsidRPr="00D05364" w14:paraId="1E090DB3" w14:textId="77777777" w:rsidTr="00D06E00">
        <w:trPr>
          <w:jc w:val="center"/>
        </w:trPr>
        <w:tc>
          <w:tcPr>
            <w:tcW w:w="6329" w:type="dxa"/>
            <w:gridSpan w:val="3"/>
          </w:tcPr>
          <w:p w14:paraId="6A81A551" w14:textId="77777777" w:rsidR="005614EF" w:rsidRPr="00D05364" w:rsidRDefault="005614EF" w:rsidP="00D06E00">
            <w:pPr>
              <w:tabs>
                <w:tab w:val="left" w:pos="567"/>
              </w:tabs>
              <w:jc w:val="both"/>
              <w:rPr>
                <w:iCs/>
                <w:lang w:eastAsia="lt-LT"/>
              </w:rPr>
            </w:pPr>
            <w:r w:rsidRPr="00D05364">
              <w:rPr>
                <w:iCs/>
                <w:lang w:eastAsia="lt-LT"/>
              </w:rPr>
              <w:t>ICER už LY</w:t>
            </w:r>
          </w:p>
        </w:tc>
        <w:tc>
          <w:tcPr>
            <w:tcW w:w="3579" w:type="dxa"/>
          </w:tcPr>
          <w:p w14:paraId="0AB006FF" w14:textId="799D4B40" w:rsidR="005614EF" w:rsidRPr="00D05364" w:rsidRDefault="005C6888" w:rsidP="00D06E00">
            <w:pPr>
              <w:tabs>
                <w:tab w:val="left" w:pos="567"/>
              </w:tabs>
              <w:jc w:val="both"/>
              <w:rPr>
                <w:i/>
                <w:iCs/>
                <w:lang w:eastAsia="lt-LT"/>
              </w:rPr>
            </w:pPr>
            <w:r>
              <w:rPr>
                <w:i/>
                <w:iCs/>
                <w:lang w:eastAsia="lt-LT"/>
              </w:rPr>
              <w:t xml:space="preserve">****** </w:t>
            </w:r>
            <w:r w:rsidR="005614EF">
              <w:rPr>
                <w:i/>
                <w:iCs/>
                <w:lang w:eastAsia="lt-LT"/>
              </w:rPr>
              <w:t>eur/LY</w:t>
            </w:r>
          </w:p>
        </w:tc>
      </w:tr>
      <w:tr w:rsidR="005614EF" w:rsidRPr="00D05364" w14:paraId="78A8CFFB" w14:textId="77777777" w:rsidTr="00D06E00">
        <w:trPr>
          <w:jc w:val="center"/>
        </w:trPr>
        <w:tc>
          <w:tcPr>
            <w:tcW w:w="6329" w:type="dxa"/>
            <w:gridSpan w:val="3"/>
          </w:tcPr>
          <w:p w14:paraId="5C5F542F" w14:textId="77777777" w:rsidR="005614EF" w:rsidRPr="00D05364" w:rsidRDefault="005614EF" w:rsidP="00D06E00">
            <w:pPr>
              <w:tabs>
                <w:tab w:val="left" w:pos="567"/>
              </w:tabs>
              <w:jc w:val="both"/>
              <w:rPr>
                <w:iCs/>
                <w:lang w:eastAsia="lt-LT"/>
              </w:rPr>
            </w:pPr>
            <w:r w:rsidRPr="00D05364">
              <w:rPr>
                <w:iCs/>
                <w:lang w:eastAsia="lt-LT"/>
              </w:rPr>
              <w:t>ICER už QALY</w:t>
            </w:r>
          </w:p>
        </w:tc>
        <w:tc>
          <w:tcPr>
            <w:tcW w:w="3579" w:type="dxa"/>
          </w:tcPr>
          <w:p w14:paraId="502D65D7" w14:textId="5E671EA7" w:rsidR="005614EF" w:rsidRPr="00D05364" w:rsidRDefault="005C6888" w:rsidP="00D06E00">
            <w:pPr>
              <w:tabs>
                <w:tab w:val="left" w:pos="567"/>
              </w:tabs>
              <w:jc w:val="both"/>
              <w:rPr>
                <w:i/>
                <w:iCs/>
                <w:lang w:eastAsia="lt-LT"/>
              </w:rPr>
            </w:pPr>
            <w:r>
              <w:rPr>
                <w:i/>
                <w:iCs/>
                <w:lang w:eastAsia="lt-LT"/>
              </w:rPr>
              <w:t xml:space="preserve">****** </w:t>
            </w:r>
            <w:r w:rsidR="005614EF">
              <w:rPr>
                <w:i/>
                <w:iCs/>
                <w:lang w:eastAsia="lt-LT"/>
              </w:rPr>
              <w:t>eur/QALY</w:t>
            </w:r>
          </w:p>
        </w:tc>
      </w:tr>
      <w:tr w:rsidR="005614EF" w:rsidRPr="00D05364" w14:paraId="4D1A9DAF" w14:textId="77777777" w:rsidTr="00D06E00">
        <w:trPr>
          <w:jc w:val="center"/>
        </w:trPr>
        <w:tc>
          <w:tcPr>
            <w:tcW w:w="6329" w:type="dxa"/>
            <w:gridSpan w:val="3"/>
          </w:tcPr>
          <w:p w14:paraId="7F3FB914" w14:textId="77777777" w:rsidR="005614EF" w:rsidRPr="00D05364" w:rsidRDefault="005614EF" w:rsidP="00D06E00">
            <w:pPr>
              <w:tabs>
                <w:tab w:val="left" w:pos="567"/>
              </w:tabs>
              <w:jc w:val="both"/>
              <w:rPr>
                <w:iCs/>
                <w:lang w:eastAsia="lt-LT"/>
              </w:rPr>
            </w:pPr>
            <w:r w:rsidRPr="00D05364">
              <w:rPr>
                <w:iCs/>
                <w:lang w:eastAsia="lt-LT"/>
              </w:rPr>
              <w:t>Referencinė kaštų naudingumo vertė</w:t>
            </w:r>
          </w:p>
        </w:tc>
        <w:tc>
          <w:tcPr>
            <w:tcW w:w="3579" w:type="dxa"/>
          </w:tcPr>
          <w:p w14:paraId="4AAC3FDB" w14:textId="736F637C" w:rsidR="005614EF" w:rsidRPr="00D05364" w:rsidRDefault="00BC7B2E" w:rsidP="00D06E00">
            <w:pPr>
              <w:tabs>
                <w:tab w:val="left" w:pos="567"/>
              </w:tabs>
              <w:jc w:val="both"/>
              <w:rPr>
                <w:i/>
                <w:iCs/>
                <w:lang w:eastAsia="lt-LT"/>
              </w:rPr>
            </w:pPr>
            <w:r w:rsidRPr="000C2AB8">
              <w:rPr>
                <w:i/>
                <w:iCs/>
                <w:lang w:eastAsia="lt-LT"/>
              </w:rPr>
              <w:t>******</w:t>
            </w:r>
            <w:r w:rsidR="005614EF">
              <w:rPr>
                <w:bCs/>
                <w:color w:val="000000"/>
                <w:lang w:eastAsia="lt-LT"/>
              </w:rPr>
              <w:t>eur/QALY</w:t>
            </w:r>
          </w:p>
        </w:tc>
      </w:tr>
    </w:tbl>
    <w:p w14:paraId="32CFD6D4" w14:textId="77777777" w:rsidR="009E4151" w:rsidRDefault="009E4151" w:rsidP="004F3F16">
      <w:pPr>
        <w:pStyle w:val="ListParagraph"/>
        <w:tabs>
          <w:tab w:val="left" w:pos="567"/>
        </w:tabs>
        <w:rPr>
          <w:b/>
          <w:bCs/>
          <w:caps/>
        </w:rPr>
      </w:pPr>
    </w:p>
    <w:p w14:paraId="31AB959E" w14:textId="77777777" w:rsidR="004F3F16" w:rsidRPr="004F3F16" w:rsidRDefault="004F3F16" w:rsidP="004F3F16">
      <w:pPr>
        <w:pStyle w:val="ListParagraph"/>
        <w:rPr>
          <w:b/>
          <w:bCs/>
          <w:caps/>
        </w:rPr>
      </w:pPr>
    </w:p>
    <w:p w14:paraId="4FC424F9" w14:textId="7E4630B5" w:rsidR="00C62B36" w:rsidRPr="00E33EFF" w:rsidRDefault="00C62B36" w:rsidP="00CC09D4">
      <w:pPr>
        <w:pStyle w:val="ListParagraph"/>
        <w:numPr>
          <w:ilvl w:val="0"/>
          <w:numId w:val="12"/>
        </w:numPr>
        <w:tabs>
          <w:tab w:val="left" w:pos="567"/>
        </w:tabs>
        <w:ind w:hanging="720"/>
        <w:rPr>
          <w:b/>
          <w:bCs/>
          <w:caps/>
        </w:rPr>
      </w:pPr>
      <w:r w:rsidRPr="00E33EFF">
        <w:rPr>
          <w:b/>
          <w:bCs/>
          <w:caps/>
        </w:rPr>
        <w:t xml:space="preserve">Pacientų organizacijų pateikti duomenys </w:t>
      </w:r>
    </w:p>
    <w:p w14:paraId="79BCFF40" w14:textId="1992DF4A" w:rsidR="00937907" w:rsidRPr="00E33EFF" w:rsidRDefault="00BC7B2E" w:rsidP="00937907">
      <w:pPr>
        <w:spacing w:after="120"/>
        <w:jc w:val="both"/>
      </w:pPr>
      <w:sdt>
        <w:sdtPr>
          <w:rPr>
            <w:rStyle w:val="Style2"/>
            <w:rFonts w:ascii="MS Gothic" w:eastAsia="MS Gothic" w:hAnsi="MS Gothic"/>
            <w:sz w:val="24"/>
          </w:rPr>
          <w:id w:val="1150014178"/>
          <w15:color w:val="FFCC00"/>
          <w14:checkbox>
            <w14:checked w14:val="0"/>
            <w14:checkedState w14:val="2612" w14:font="MS Gothic"/>
            <w14:uncheckedState w14:val="2610" w14:font="MS Gothic"/>
          </w14:checkbox>
        </w:sdtPr>
        <w:sdtEndPr>
          <w:rPr>
            <w:rStyle w:val="Style2"/>
          </w:rPr>
        </w:sdtEndPr>
        <w:sdtContent>
          <w:r w:rsidR="00937907" w:rsidRPr="00E33EFF">
            <w:rPr>
              <w:rStyle w:val="Style2"/>
              <w:rFonts w:ascii="MS Gothic" w:eastAsia="MS Gothic" w:hAnsi="MS Gothic" w:hint="eastAsia"/>
              <w:sz w:val="24"/>
            </w:rPr>
            <w:t>☐</w:t>
          </w:r>
        </w:sdtContent>
      </w:sdt>
      <w:r w:rsidR="00937907" w:rsidRPr="00E33EFF">
        <w:t xml:space="preserve"> Pacientų organizacijos pozicija pateikta. Žr. priedą.</w:t>
      </w:r>
    </w:p>
    <w:p w14:paraId="62992180" w14:textId="5DC67E57" w:rsidR="00937907" w:rsidRPr="00E33EFF" w:rsidRDefault="00BC7B2E" w:rsidP="00937907">
      <w:pPr>
        <w:spacing w:after="120"/>
        <w:jc w:val="both"/>
      </w:pPr>
      <w:sdt>
        <w:sdtPr>
          <w:rPr>
            <w:rStyle w:val="Style2"/>
            <w:rFonts w:ascii="MS Gothic" w:eastAsia="MS Gothic" w:hAnsi="MS Gothic"/>
            <w:sz w:val="24"/>
          </w:rPr>
          <w:id w:val="-1545513810"/>
          <w15:color w:val="FFCC00"/>
          <w14:checkbox>
            <w14:checked w14:val="1"/>
            <w14:checkedState w14:val="2612" w14:font="MS Gothic"/>
            <w14:uncheckedState w14:val="2610" w14:font="MS Gothic"/>
          </w14:checkbox>
        </w:sdtPr>
        <w:sdtEndPr>
          <w:rPr>
            <w:rStyle w:val="Style2"/>
          </w:rPr>
        </w:sdtEndPr>
        <w:sdtContent>
          <w:r w:rsidR="005614EF">
            <w:rPr>
              <w:rStyle w:val="Style2"/>
              <w:rFonts w:ascii="MS Gothic" w:eastAsia="MS Gothic" w:hAnsi="MS Gothic" w:hint="eastAsia"/>
              <w:sz w:val="24"/>
            </w:rPr>
            <w:t>☒</w:t>
          </w:r>
        </w:sdtContent>
      </w:sdt>
      <w:r w:rsidR="00937907" w:rsidRPr="00E33EFF">
        <w:t xml:space="preserve"> Pacientų organizacijos pozicija </w:t>
      </w:r>
      <w:r w:rsidR="00880A44" w:rsidRPr="00E33EFF">
        <w:t>ne</w:t>
      </w:r>
      <w:r w:rsidR="00937907" w:rsidRPr="00E33EFF">
        <w:t>pateikta.</w:t>
      </w:r>
    </w:p>
    <w:p w14:paraId="03E73D82" w14:textId="77777777" w:rsidR="00D417D2" w:rsidRPr="00E33EFF" w:rsidRDefault="00D417D2" w:rsidP="00937907">
      <w:pPr>
        <w:spacing w:after="120"/>
        <w:jc w:val="both"/>
      </w:pPr>
    </w:p>
    <w:p w14:paraId="3D3277FA" w14:textId="3CEEB2D2" w:rsidR="00C62B36" w:rsidRPr="00E33EFF" w:rsidRDefault="00C62B36" w:rsidP="00CC09D4">
      <w:pPr>
        <w:pStyle w:val="ListParagraph"/>
        <w:numPr>
          <w:ilvl w:val="0"/>
          <w:numId w:val="12"/>
        </w:numPr>
        <w:tabs>
          <w:tab w:val="left" w:pos="567"/>
        </w:tabs>
        <w:ind w:hanging="720"/>
        <w:rPr>
          <w:b/>
          <w:bCs/>
          <w:caps/>
        </w:rPr>
      </w:pPr>
      <w:r w:rsidRPr="00E33EFF">
        <w:rPr>
          <w:b/>
          <w:bCs/>
          <w:caps/>
        </w:rPr>
        <w:t>Gydytojų organizacijų pateikti duomenys</w:t>
      </w:r>
    </w:p>
    <w:p w14:paraId="389A346C" w14:textId="5BE4507A" w:rsidR="00937907" w:rsidRPr="00E33EFF" w:rsidRDefault="00BC7B2E" w:rsidP="00662983">
      <w:pPr>
        <w:spacing w:after="120"/>
        <w:jc w:val="both"/>
      </w:pPr>
      <w:sdt>
        <w:sdtPr>
          <w:rPr>
            <w:rStyle w:val="Style2"/>
            <w:rFonts w:ascii="MS Gothic" w:eastAsia="MS Gothic" w:hAnsi="MS Gothic"/>
            <w:sz w:val="24"/>
          </w:rPr>
          <w:id w:val="1613862788"/>
          <w15:color w:val="FFCC00"/>
          <w14:checkbox>
            <w14:checked w14:val="0"/>
            <w14:checkedState w14:val="2612" w14:font="MS Gothic"/>
            <w14:uncheckedState w14:val="2610" w14:font="MS Gothic"/>
          </w14:checkbox>
        </w:sdtPr>
        <w:sdtEndPr>
          <w:rPr>
            <w:rStyle w:val="Style2"/>
          </w:rPr>
        </w:sdtEndPr>
        <w:sdtContent>
          <w:r w:rsidR="004F3F16">
            <w:rPr>
              <w:rStyle w:val="Style2"/>
              <w:rFonts w:ascii="MS Gothic" w:eastAsia="MS Gothic" w:hAnsi="MS Gothic" w:hint="eastAsia"/>
              <w:sz w:val="24"/>
            </w:rPr>
            <w:t>☐</w:t>
          </w:r>
        </w:sdtContent>
      </w:sdt>
      <w:r w:rsidR="00662983" w:rsidRPr="00E33EFF">
        <w:t xml:space="preserve"> </w:t>
      </w:r>
      <w:r w:rsidR="00937907" w:rsidRPr="00E33EFF">
        <w:t xml:space="preserve">Gydytojų specialistų organizacijos pozicija pateikta. </w:t>
      </w:r>
      <w:r w:rsidR="00662983" w:rsidRPr="00E33EFF">
        <w:t>Žr. priedą</w:t>
      </w:r>
      <w:r w:rsidR="00937907" w:rsidRPr="00E33EFF">
        <w:t>.</w:t>
      </w:r>
    </w:p>
    <w:p w14:paraId="5D8CC48C" w14:textId="6134BBCD" w:rsidR="00662983" w:rsidRPr="00E33EFF" w:rsidRDefault="00BC7B2E" w:rsidP="00662983">
      <w:pPr>
        <w:spacing w:after="120"/>
        <w:jc w:val="both"/>
      </w:pPr>
      <w:sdt>
        <w:sdtPr>
          <w:rPr>
            <w:rStyle w:val="Style2"/>
            <w:rFonts w:ascii="MS Gothic" w:eastAsia="MS Gothic" w:hAnsi="MS Gothic"/>
            <w:sz w:val="24"/>
          </w:rPr>
          <w:id w:val="-41988141"/>
          <w15:color w:val="FFCC00"/>
          <w14:checkbox>
            <w14:checked w14:val="1"/>
            <w14:checkedState w14:val="2612" w14:font="MS Gothic"/>
            <w14:uncheckedState w14:val="2610" w14:font="MS Gothic"/>
          </w14:checkbox>
        </w:sdtPr>
        <w:sdtEndPr>
          <w:rPr>
            <w:rStyle w:val="Style2"/>
          </w:rPr>
        </w:sdtEndPr>
        <w:sdtContent>
          <w:r w:rsidR="005614EF">
            <w:rPr>
              <w:rStyle w:val="Style2"/>
              <w:rFonts w:ascii="MS Gothic" w:eastAsia="MS Gothic" w:hAnsi="MS Gothic" w:hint="eastAsia"/>
              <w:sz w:val="24"/>
            </w:rPr>
            <w:t>☒</w:t>
          </w:r>
        </w:sdtContent>
      </w:sdt>
      <w:r w:rsidR="00662983" w:rsidRPr="00E33EFF">
        <w:t xml:space="preserve"> </w:t>
      </w:r>
      <w:r w:rsidR="00937907" w:rsidRPr="00E33EFF">
        <w:t xml:space="preserve">Gydytojų specialistų organizacijos pozicija </w:t>
      </w:r>
      <w:r w:rsidR="00880A44" w:rsidRPr="00E33EFF">
        <w:t>ne</w:t>
      </w:r>
      <w:r w:rsidR="00937907" w:rsidRPr="00E33EFF">
        <w:t>pateikta.</w:t>
      </w:r>
    </w:p>
    <w:p w14:paraId="3701D46A" w14:textId="77777777" w:rsidR="00A042B9" w:rsidRPr="00E33EFF" w:rsidRDefault="00A042B9" w:rsidP="00662983">
      <w:pPr>
        <w:spacing w:after="120"/>
        <w:jc w:val="both"/>
      </w:pPr>
    </w:p>
    <w:p w14:paraId="78F23ECB" w14:textId="23A3A002" w:rsidR="002F0E4F" w:rsidRPr="00E33EFF" w:rsidRDefault="002F0E4F" w:rsidP="00CC09D4">
      <w:pPr>
        <w:pStyle w:val="ListParagraph"/>
        <w:numPr>
          <w:ilvl w:val="0"/>
          <w:numId w:val="12"/>
        </w:numPr>
        <w:tabs>
          <w:tab w:val="left" w:pos="567"/>
        </w:tabs>
        <w:ind w:hanging="720"/>
        <w:rPr>
          <w:b/>
          <w:bCs/>
          <w:caps/>
        </w:rPr>
      </w:pPr>
      <w:r w:rsidRPr="00E33EFF">
        <w:rPr>
          <w:b/>
          <w:bCs/>
          <w:caps/>
        </w:rPr>
        <w:t xml:space="preserve">Išvada </w:t>
      </w:r>
    </w:p>
    <w:p w14:paraId="08D5B3B6" w14:textId="3FF05F8C" w:rsidR="0061611B" w:rsidRDefault="0061611B" w:rsidP="0061611B">
      <w:pPr>
        <w:rPr>
          <w:i/>
          <w:color w:val="00B050"/>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814"/>
      </w:tblGrid>
      <w:tr w:rsidR="005614EF" w:rsidRPr="009300B3" w14:paraId="31FB6FCA" w14:textId="77777777" w:rsidTr="005273C4">
        <w:trPr>
          <w:trHeight w:val="510"/>
        </w:trPr>
        <w:tc>
          <w:tcPr>
            <w:tcW w:w="9634" w:type="dxa"/>
            <w:gridSpan w:val="2"/>
            <w:vAlign w:val="center"/>
          </w:tcPr>
          <w:p w14:paraId="220EEF34" w14:textId="77777777" w:rsidR="005614EF" w:rsidRPr="009300B3" w:rsidRDefault="005614EF" w:rsidP="00527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3"/>
                <w:szCs w:val="23"/>
              </w:rPr>
            </w:pPr>
            <w:bookmarkStart w:id="2" w:name="_Hlk185430554"/>
            <w:bookmarkStart w:id="3" w:name="_Hlk186227929"/>
            <w:r w:rsidRPr="009300B3">
              <w:rPr>
                <w:rStyle w:val="Style2"/>
                <w:rFonts w:eastAsia="MS Gothic"/>
                <w:b/>
                <w:bCs/>
                <w:sz w:val="23"/>
                <w:szCs w:val="23"/>
              </w:rPr>
              <w:t>Palyginamasis veiksmingumas</w:t>
            </w:r>
          </w:p>
        </w:tc>
      </w:tr>
      <w:tr w:rsidR="005614EF" w:rsidRPr="009300B3" w14:paraId="18330CE3" w14:textId="77777777" w:rsidTr="005273C4">
        <w:tc>
          <w:tcPr>
            <w:tcW w:w="4820" w:type="dxa"/>
          </w:tcPr>
          <w:p w14:paraId="15FC6051" w14:textId="77777777" w:rsidR="005614EF" w:rsidRPr="009300B3" w:rsidRDefault="00BC7B2E" w:rsidP="00D06E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1397324644"/>
                <w15:color w:val="FFCC00"/>
                <w14:checkbox>
                  <w14:checked w14:val="1"/>
                  <w14:checkedState w14:val="2612" w14:font="MS Gothic"/>
                  <w14:uncheckedState w14:val="2610" w14:font="MS Gothic"/>
                </w14:checkbox>
              </w:sdtPr>
              <w:sdtEndPr>
                <w:rPr>
                  <w:rStyle w:val="Style2"/>
                </w:rPr>
              </w:sdtEndPr>
              <w:sdtContent>
                <w:r w:rsidR="005614EF">
                  <w:rPr>
                    <w:rStyle w:val="Style2"/>
                    <w:rFonts w:ascii="MS Gothic" w:eastAsia="MS Gothic" w:hAnsi="MS Gothic" w:hint="eastAsia"/>
                    <w:sz w:val="23"/>
                    <w:szCs w:val="23"/>
                  </w:rPr>
                  <w:t>☒</w:t>
                </w:r>
              </w:sdtContent>
            </w:sdt>
            <w:r w:rsidR="005614EF" w:rsidRPr="009300B3">
              <w:rPr>
                <w:rStyle w:val="Style2"/>
                <w:sz w:val="23"/>
                <w:szCs w:val="23"/>
              </w:rPr>
              <w:t xml:space="preserve"> 29</w:t>
            </w:r>
            <w:r w:rsidR="005614EF" w:rsidRPr="009300B3">
              <w:rPr>
                <w:sz w:val="23"/>
                <w:szCs w:val="23"/>
              </w:rPr>
              <w:t>.1.1 yra didesnis, lyginant su įprasta klinikine praktika</w:t>
            </w:r>
          </w:p>
          <w:p w14:paraId="0E07C54B" w14:textId="77777777" w:rsidR="005614EF" w:rsidRPr="009300B3" w:rsidRDefault="005614EF" w:rsidP="00D06E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5B2874C2" w14:textId="77777777" w:rsidR="005614EF" w:rsidRPr="009300B3" w:rsidRDefault="00BC7B2E" w:rsidP="00D06E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3"/>
                <w:szCs w:val="23"/>
              </w:rPr>
            </w:pPr>
            <w:sdt>
              <w:sdtPr>
                <w:rPr>
                  <w:rStyle w:val="Style2"/>
                  <w:sz w:val="23"/>
                  <w:szCs w:val="23"/>
                </w:rPr>
                <w:id w:val="418297090"/>
                <w15:color w:val="FFCC00"/>
                <w14:checkbox>
                  <w14:checked w14:val="0"/>
                  <w14:checkedState w14:val="2612" w14:font="MS Gothic"/>
                  <w14:uncheckedState w14:val="2610" w14:font="MS Gothic"/>
                </w14:checkbox>
              </w:sdtPr>
              <w:sdtEndPr>
                <w:rPr>
                  <w:rStyle w:val="Style2"/>
                </w:rPr>
              </w:sdtEndPr>
              <w:sdtContent>
                <w:r w:rsidR="005614EF" w:rsidRPr="009300B3">
                  <w:rPr>
                    <w:rStyle w:val="Style2"/>
                    <w:rFonts w:ascii="Segoe UI Symbol" w:eastAsia="MS Gothic" w:hAnsi="Segoe UI Symbol" w:cs="Segoe UI Symbol"/>
                    <w:sz w:val="23"/>
                    <w:szCs w:val="23"/>
                  </w:rPr>
                  <w:t>☐</w:t>
                </w:r>
              </w:sdtContent>
            </w:sdt>
            <w:r w:rsidR="005614EF" w:rsidRPr="009300B3">
              <w:rPr>
                <w:sz w:val="23"/>
                <w:szCs w:val="23"/>
              </w:rPr>
              <w:t xml:space="preserve"> </w:t>
            </w:r>
            <w:r w:rsidR="005614EF" w:rsidRPr="009300B3">
              <w:rPr>
                <w:rStyle w:val="Style2"/>
                <w:sz w:val="23"/>
                <w:szCs w:val="23"/>
              </w:rPr>
              <w:t>29</w:t>
            </w:r>
            <w:r w:rsidR="005614EF" w:rsidRPr="009300B3">
              <w:rPr>
                <w:sz w:val="23"/>
                <w:szCs w:val="23"/>
              </w:rPr>
              <w:t>.1.2 iš esmės nesiskiria, lyginant su įprasta klinikine praktika</w:t>
            </w:r>
          </w:p>
        </w:tc>
        <w:tc>
          <w:tcPr>
            <w:tcW w:w="4814" w:type="dxa"/>
          </w:tcPr>
          <w:p w14:paraId="3A141E41" w14:textId="77777777" w:rsidR="005614EF" w:rsidRPr="009300B3" w:rsidRDefault="00BC7B2E" w:rsidP="00D06E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724755596"/>
                <w15:color w:val="FFCC00"/>
                <w14:checkbox>
                  <w14:checked w14:val="0"/>
                  <w14:checkedState w14:val="2612" w14:font="MS Gothic"/>
                  <w14:uncheckedState w14:val="2610" w14:font="MS Gothic"/>
                </w14:checkbox>
              </w:sdtPr>
              <w:sdtEndPr>
                <w:rPr>
                  <w:rStyle w:val="Style2"/>
                </w:rPr>
              </w:sdtEndPr>
              <w:sdtContent>
                <w:r w:rsidR="005614EF" w:rsidRPr="009300B3">
                  <w:rPr>
                    <w:rStyle w:val="Style2"/>
                    <w:rFonts w:ascii="Segoe UI Symbol" w:eastAsia="MS Gothic" w:hAnsi="Segoe UI Symbol" w:cs="Segoe UI Symbol"/>
                    <w:sz w:val="23"/>
                    <w:szCs w:val="23"/>
                  </w:rPr>
                  <w:t>☐</w:t>
                </w:r>
              </w:sdtContent>
            </w:sdt>
            <w:r w:rsidR="005614EF" w:rsidRPr="009300B3">
              <w:rPr>
                <w:sz w:val="23"/>
                <w:szCs w:val="23"/>
              </w:rPr>
              <w:t xml:space="preserve"> </w:t>
            </w:r>
            <w:r w:rsidR="005614EF" w:rsidRPr="009300B3">
              <w:rPr>
                <w:rStyle w:val="Style2"/>
                <w:sz w:val="23"/>
                <w:szCs w:val="23"/>
              </w:rPr>
              <w:t>29</w:t>
            </w:r>
            <w:r w:rsidR="005614EF" w:rsidRPr="009300B3">
              <w:rPr>
                <w:sz w:val="23"/>
                <w:szCs w:val="23"/>
              </w:rPr>
              <w:t xml:space="preserve">.1.3 yra neįrodytas kaip didesnis  ar iš esmės nesiskiriantis, lyginant su įprasta klinikine praktika  </w:t>
            </w:r>
          </w:p>
          <w:p w14:paraId="30D96D0B" w14:textId="77777777" w:rsidR="005614EF" w:rsidRPr="009300B3" w:rsidRDefault="005614EF" w:rsidP="00D06E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20391923" w14:textId="77777777" w:rsidR="005614EF" w:rsidRPr="009300B3" w:rsidRDefault="00BC7B2E" w:rsidP="00D06E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3"/>
                <w:szCs w:val="23"/>
              </w:rPr>
            </w:pPr>
            <w:sdt>
              <w:sdtPr>
                <w:rPr>
                  <w:rStyle w:val="Style2"/>
                  <w:sz w:val="23"/>
                  <w:szCs w:val="23"/>
                </w:rPr>
                <w:id w:val="1862168479"/>
                <w15:color w:val="FFCC00"/>
                <w14:checkbox>
                  <w14:checked w14:val="0"/>
                  <w14:checkedState w14:val="2612" w14:font="MS Gothic"/>
                  <w14:uncheckedState w14:val="2610" w14:font="MS Gothic"/>
                </w14:checkbox>
              </w:sdtPr>
              <w:sdtEndPr>
                <w:rPr>
                  <w:rStyle w:val="Style2"/>
                </w:rPr>
              </w:sdtEndPr>
              <w:sdtContent>
                <w:r w:rsidR="005614EF" w:rsidRPr="009300B3">
                  <w:rPr>
                    <w:rStyle w:val="Style2"/>
                    <w:rFonts w:ascii="Segoe UI Symbol" w:eastAsia="MS Gothic" w:hAnsi="Segoe UI Symbol" w:cs="Segoe UI Symbol"/>
                    <w:sz w:val="23"/>
                    <w:szCs w:val="23"/>
                  </w:rPr>
                  <w:t>☐</w:t>
                </w:r>
              </w:sdtContent>
            </w:sdt>
            <w:r w:rsidR="005614EF" w:rsidRPr="009300B3">
              <w:rPr>
                <w:sz w:val="23"/>
                <w:szCs w:val="23"/>
              </w:rPr>
              <w:t xml:space="preserve"> </w:t>
            </w:r>
            <w:r w:rsidR="005614EF" w:rsidRPr="009300B3">
              <w:rPr>
                <w:rStyle w:val="Style2"/>
                <w:sz w:val="23"/>
                <w:szCs w:val="23"/>
              </w:rPr>
              <w:t>29</w:t>
            </w:r>
            <w:r w:rsidR="005614EF" w:rsidRPr="009300B3">
              <w:rPr>
                <w:sz w:val="23"/>
                <w:szCs w:val="23"/>
              </w:rPr>
              <w:t>.1.4 yra mažesnis, lyginant su įprasta klinikine praktika</w:t>
            </w:r>
          </w:p>
          <w:p w14:paraId="49861AE5" w14:textId="77777777" w:rsidR="005614EF" w:rsidRPr="009300B3" w:rsidRDefault="005614EF" w:rsidP="00D06E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38C2B276" w14:textId="77777777" w:rsidR="005614EF" w:rsidRPr="009300B3" w:rsidRDefault="00BC7B2E" w:rsidP="00D06E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1857960180"/>
                <w15:color w:val="FFCC00"/>
                <w14:checkbox>
                  <w14:checked w14:val="0"/>
                  <w14:checkedState w14:val="2612" w14:font="MS Gothic"/>
                  <w14:uncheckedState w14:val="2610" w14:font="MS Gothic"/>
                </w14:checkbox>
              </w:sdtPr>
              <w:sdtEndPr>
                <w:rPr>
                  <w:rStyle w:val="Style2"/>
                </w:rPr>
              </w:sdtEndPr>
              <w:sdtContent>
                <w:r w:rsidR="005614EF" w:rsidRPr="009300B3">
                  <w:rPr>
                    <w:rStyle w:val="Style2"/>
                    <w:rFonts w:ascii="Segoe UI Symbol" w:eastAsia="MS Gothic" w:hAnsi="Segoe UI Symbol" w:cs="Segoe UI Symbol"/>
                    <w:sz w:val="23"/>
                    <w:szCs w:val="23"/>
                  </w:rPr>
                  <w:t>☐</w:t>
                </w:r>
              </w:sdtContent>
            </w:sdt>
            <w:r w:rsidR="005614EF" w:rsidRPr="009300B3">
              <w:rPr>
                <w:sz w:val="23"/>
                <w:szCs w:val="23"/>
              </w:rPr>
              <w:t xml:space="preserve"> </w:t>
            </w:r>
            <w:r w:rsidR="005614EF" w:rsidRPr="009300B3">
              <w:rPr>
                <w:rStyle w:val="Style2"/>
                <w:sz w:val="23"/>
                <w:szCs w:val="23"/>
              </w:rPr>
              <w:t>29</w:t>
            </w:r>
            <w:r w:rsidR="005614EF" w:rsidRPr="009300B3">
              <w:rPr>
                <w:sz w:val="23"/>
                <w:szCs w:val="23"/>
              </w:rPr>
              <w:t>.1.5 pateikti duomenys apie palyginamąjį veiksmingumą yra netinkami vertinti</w:t>
            </w:r>
          </w:p>
          <w:p w14:paraId="20452898" w14:textId="77777777" w:rsidR="005614EF" w:rsidRPr="009300B3" w:rsidRDefault="005614EF" w:rsidP="00D06E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3"/>
                <w:szCs w:val="23"/>
              </w:rPr>
            </w:pPr>
          </w:p>
        </w:tc>
      </w:tr>
      <w:bookmarkEnd w:id="2"/>
      <w:bookmarkEnd w:id="3"/>
      <w:tr w:rsidR="005614EF" w:rsidRPr="009300B3" w14:paraId="1C524EC8" w14:textId="77777777" w:rsidTr="005273C4">
        <w:trPr>
          <w:trHeight w:val="510"/>
        </w:trPr>
        <w:tc>
          <w:tcPr>
            <w:tcW w:w="9634" w:type="dxa"/>
            <w:gridSpan w:val="2"/>
            <w:vAlign w:val="center"/>
          </w:tcPr>
          <w:p w14:paraId="4DC1BBE6" w14:textId="77777777" w:rsidR="005614EF" w:rsidRPr="009300B3" w:rsidRDefault="005614EF" w:rsidP="00527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3"/>
                <w:szCs w:val="23"/>
              </w:rPr>
            </w:pPr>
            <w:r w:rsidRPr="009300B3">
              <w:rPr>
                <w:rStyle w:val="Style2"/>
                <w:rFonts w:eastAsia="MS Gothic"/>
                <w:b/>
                <w:bCs/>
                <w:sz w:val="23"/>
                <w:szCs w:val="23"/>
              </w:rPr>
              <w:t>Kaštų naudingumas</w:t>
            </w:r>
          </w:p>
        </w:tc>
      </w:tr>
      <w:tr w:rsidR="005614EF" w:rsidRPr="009300B3" w14:paraId="2B609759" w14:textId="77777777" w:rsidTr="005273C4">
        <w:tc>
          <w:tcPr>
            <w:tcW w:w="4820" w:type="dxa"/>
          </w:tcPr>
          <w:p w14:paraId="1CA51B89" w14:textId="77777777" w:rsidR="005614EF" w:rsidRPr="009300B3" w:rsidRDefault="00BC7B2E" w:rsidP="00D06E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301657889"/>
                <w15:color w:val="FFCC00"/>
                <w14:checkbox>
                  <w14:checked w14:val="0"/>
                  <w14:checkedState w14:val="2612" w14:font="MS Gothic"/>
                  <w14:uncheckedState w14:val="2610" w14:font="MS Gothic"/>
                </w14:checkbox>
              </w:sdtPr>
              <w:sdtEndPr>
                <w:rPr>
                  <w:rStyle w:val="Style2"/>
                </w:rPr>
              </w:sdtEndPr>
              <w:sdtContent>
                <w:r w:rsidR="005614EF" w:rsidRPr="009300B3">
                  <w:rPr>
                    <w:rStyle w:val="Style2"/>
                    <w:rFonts w:ascii="Segoe UI Symbol" w:eastAsia="MS Gothic" w:hAnsi="Segoe UI Symbol" w:cs="Segoe UI Symbol"/>
                    <w:sz w:val="23"/>
                    <w:szCs w:val="23"/>
                  </w:rPr>
                  <w:t>☐</w:t>
                </w:r>
              </w:sdtContent>
            </w:sdt>
            <w:r w:rsidR="005614EF" w:rsidRPr="009300B3">
              <w:rPr>
                <w:sz w:val="23"/>
                <w:szCs w:val="23"/>
              </w:rPr>
              <w:t xml:space="preserve"> 29.2.1 atitinka referencinę naudingumo vertę taikant arba netaikant</w:t>
            </w:r>
            <w:r w:rsidR="005614EF" w:rsidRPr="009300B3">
              <w:rPr>
                <w:b/>
                <w:bCs/>
                <w:sz w:val="23"/>
                <w:szCs w:val="23"/>
              </w:rPr>
              <w:t> </w:t>
            </w:r>
            <w:r w:rsidR="005614EF" w:rsidRPr="009300B3">
              <w:rPr>
                <w:sz w:val="23"/>
                <w:szCs w:val="23"/>
              </w:rPr>
              <w:t>PGS</w:t>
            </w:r>
          </w:p>
          <w:p w14:paraId="051E1830" w14:textId="77777777" w:rsidR="005614EF" w:rsidRPr="009300B3" w:rsidRDefault="005614EF" w:rsidP="00D06E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6E928C80" w14:textId="77777777" w:rsidR="005614EF" w:rsidRPr="009300B3" w:rsidRDefault="00BC7B2E" w:rsidP="00D06E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3"/>
                <w:szCs w:val="23"/>
              </w:rPr>
            </w:pPr>
            <w:sdt>
              <w:sdtPr>
                <w:rPr>
                  <w:rStyle w:val="Style2"/>
                  <w:sz w:val="23"/>
                  <w:szCs w:val="23"/>
                </w:rPr>
                <w:id w:val="865947106"/>
                <w15:color w:val="FFCC00"/>
                <w14:checkbox>
                  <w14:checked w14:val="0"/>
                  <w14:checkedState w14:val="2612" w14:font="MS Gothic"/>
                  <w14:uncheckedState w14:val="2610" w14:font="MS Gothic"/>
                </w14:checkbox>
              </w:sdtPr>
              <w:sdtEndPr>
                <w:rPr>
                  <w:rStyle w:val="Style2"/>
                </w:rPr>
              </w:sdtEndPr>
              <w:sdtContent>
                <w:r w:rsidR="005614EF" w:rsidRPr="009300B3">
                  <w:rPr>
                    <w:rStyle w:val="Style2"/>
                    <w:rFonts w:ascii="Segoe UI Symbol" w:eastAsia="MS Gothic" w:hAnsi="Segoe UI Symbol" w:cs="Segoe UI Symbol"/>
                    <w:sz w:val="23"/>
                    <w:szCs w:val="23"/>
                  </w:rPr>
                  <w:t>☐</w:t>
                </w:r>
              </w:sdtContent>
            </w:sdt>
            <w:r w:rsidR="005614EF" w:rsidRPr="009300B3">
              <w:rPr>
                <w:sz w:val="23"/>
                <w:szCs w:val="23"/>
              </w:rPr>
              <w:t xml:space="preserve"> 29.2.2 gydymo juo kaštai yra mažesni ar tokie patys esant iš esmės nesiskiriančiam palyginamajam efektyvumui, taikant arba netaikant PGS</w:t>
            </w:r>
          </w:p>
        </w:tc>
        <w:tc>
          <w:tcPr>
            <w:tcW w:w="4814" w:type="dxa"/>
          </w:tcPr>
          <w:p w14:paraId="07250B01" w14:textId="77777777" w:rsidR="005614EF" w:rsidRPr="009300B3" w:rsidRDefault="00BC7B2E" w:rsidP="00D06E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3"/>
                <w:szCs w:val="23"/>
              </w:rPr>
            </w:pPr>
            <w:sdt>
              <w:sdtPr>
                <w:rPr>
                  <w:rStyle w:val="Style2"/>
                  <w:sz w:val="23"/>
                  <w:szCs w:val="23"/>
                </w:rPr>
                <w:id w:val="791860283"/>
                <w15:color w:val="FFCC00"/>
                <w14:checkbox>
                  <w14:checked w14:val="1"/>
                  <w14:checkedState w14:val="2612" w14:font="MS Gothic"/>
                  <w14:uncheckedState w14:val="2610" w14:font="MS Gothic"/>
                </w14:checkbox>
              </w:sdtPr>
              <w:sdtEndPr>
                <w:rPr>
                  <w:rStyle w:val="Style2"/>
                </w:rPr>
              </w:sdtEndPr>
              <w:sdtContent>
                <w:r w:rsidR="005614EF">
                  <w:rPr>
                    <w:rStyle w:val="Style2"/>
                    <w:rFonts w:ascii="MS Gothic" w:eastAsia="MS Gothic" w:hAnsi="MS Gothic" w:hint="eastAsia"/>
                    <w:sz w:val="23"/>
                    <w:szCs w:val="23"/>
                  </w:rPr>
                  <w:t>☒</w:t>
                </w:r>
              </w:sdtContent>
            </w:sdt>
            <w:r w:rsidR="005614EF" w:rsidRPr="009300B3">
              <w:rPr>
                <w:sz w:val="23"/>
                <w:szCs w:val="23"/>
              </w:rPr>
              <w:t xml:space="preserve"> 29.2.3 neatitinka referencinės naudingumo vertės taikant arba netaikant PGS</w:t>
            </w:r>
          </w:p>
          <w:p w14:paraId="3323EC9F" w14:textId="77777777" w:rsidR="005614EF" w:rsidRPr="009300B3" w:rsidRDefault="005614EF" w:rsidP="00D06E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3"/>
                <w:szCs w:val="23"/>
              </w:rPr>
            </w:pPr>
          </w:p>
          <w:p w14:paraId="04395FA4" w14:textId="77777777" w:rsidR="005614EF" w:rsidRPr="009300B3" w:rsidRDefault="00BC7B2E" w:rsidP="00D06E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3"/>
                <w:szCs w:val="23"/>
              </w:rPr>
            </w:pPr>
            <w:sdt>
              <w:sdtPr>
                <w:rPr>
                  <w:rStyle w:val="Style2"/>
                  <w:sz w:val="23"/>
                  <w:szCs w:val="23"/>
                </w:rPr>
                <w:id w:val="1118650590"/>
                <w15:color w:val="FFCC00"/>
                <w14:checkbox>
                  <w14:checked w14:val="0"/>
                  <w14:checkedState w14:val="2612" w14:font="MS Gothic"/>
                  <w14:uncheckedState w14:val="2610" w14:font="MS Gothic"/>
                </w14:checkbox>
              </w:sdtPr>
              <w:sdtEndPr>
                <w:rPr>
                  <w:rStyle w:val="Style2"/>
                </w:rPr>
              </w:sdtEndPr>
              <w:sdtContent>
                <w:r w:rsidR="005614EF" w:rsidRPr="009300B3">
                  <w:rPr>
                    <w:rStyle w:val="Style2"/>
                    <w:rFonts w:ascii="Segoe UI Symbol" w:eastAsia="MS Gothic" w:hAnsi="Segoe UI Symbol" w:cs="Segoe UI Symbol"/>
                    <w:sz w:val="23"/>
                    <w:szCs w:val="23"/>
                  </w:rPr>
                  <w:t>☐</w:t>
                </w:r>
              </w:sdtContent>
            </w:sdt>
            <w:r w:rsidR="005614EF" w:rsidRPr="009300B3">
              <w:rPr>
                <w:sz w:val="23"/>
                <w:szCs w:val="23"/>
              </w:rPr>
              <w:t xml:space="preserve"> 29.2.4 gydymo juo kaštai yra didesni esant iš esmės nesiskiriančiam palyginamajam veiksmingumui, taikant arba netaikant PGS</w:t>
            </w:r>
          </w:p>
          <w:p w14:paraId="2816BBD2" w14:textId="77777777" w:rsidR="005614EF" w:rsidRPr="009300B3" w:rsidRDefault="005614EF" w:rsidP="00D06E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3"/>
                <w:szCs w:val="23"/>
              </w:rPr>
            </w:pPr>
          </w:p>
          <w:p w14:paraId="0B302555" w14:textId="77777777" w:rsidR="005614EF" w:rsidRPr="009300B3" w:rsidRDefault="00BC7B2E" w:rsidP="00D06E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3"/>
                <w:szCs w:val="23"/>
              </w:rPr>
            </w:pPr>
            <w:sdt>
              <w:sdtPr>
                <w:rPr>
                  <w:rStyle w:val="Style2"/>
                  <w:sz w:val="23"/>
                  <w:szCs w:val="23"/>
                </w:rPr>
                <w:id w:val="-943849855"/>
                <w15:color w:val="FFCC00"/>
                <w14:checkbox>
                  <w14:checked w14:val="0"/>
                  <w14:checkedState w14:val="2612" w14:font="MS Gothic"/>
                  <w14:uncheckedState w14:val="2610" w14:font="MS Gothic"/>
                </w14:checkbox>
              </w:sdtPr>
              <w:sdtEndPr>
                <w:rPr>
                  <w:rStyle w:val="Style2"/>
                </w:rPr>
              </w:sdtEndPr>
              <w:sdtContent>
                <w:r w:rsidR="005614EF" w:rsidRPr="009300B3">
                  <w:rPr>
                    <w:rStyle w:val="Style2"/>
                    <w:rFonts w:ascii="Segoe UI Symbol" w:eastAsia="MS Gothic" w:hAnsi="Segoe UI Symbol" w:cs="Segoe UI Symbol"/>
                    <w:sz w:val="23"/>
                    <w:szCs w:val="23"/>
                  </w:rPr>
                  <w:t>☐</w:t>
                </w:r>
              </w:sdtContent>
            </w:sdt>
            <w:r w:rsidR="005614EF" w:rsidRPr="009300B3">
              <w:rPr>
                <w:sz w:val="23"/>
                <w:szCs w:val="23"/>
              </w:rPr>
              <w:t xml:space="preserve"> 29.2.5 pateikti duomenys apie kaštų naudingumą yra netinkami vertinti</w:t>
            </w:r>
          </w:p>
          <w:p w14:paraId="5114F0A4" w14:textId="77777777" w:rsidR="005614EF" w:rsidRPr="009300B3" w:rsidRDefault="005614EF" w:rsidP="00D06E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3"/>
                <w:szCs w:val="23"/>
              </w:rPr>
            </w:pPr>
          </w:p>
        </w:tc>
      </w:tr>
    </w:tbl>
    <w:p w14:paraId="29A90384" w14:textId="058199B8" w:rsidR="004A3A61" w:rsidRPr="00E33EFF" w:rsidRDefault="004A3A61" w:rsidP="00381024"/>
    <w:p w14:paraId="3B2D1F25" w14:textId="3A80E19F" w:rsidR="000001B0" w:rsidRPr="00E33EFF" w:rsidRDefault="000001B0" w:rsidP="00CC09D4">
      <w:pPr>
        <w:pStyle w:val="ListParagraph"/>
        <w:numPr>
          <w:ilvl w:val="0"/>
          <w:numId w:val="12"/>
        </w:numPr>
        <w:ind w:left="567" w:hanging="567"/>
      </w:pPr>
      <w:r w:rsidRPr="00E33EFF">
        <w:rPr>
          <w:b/>
        </w:rPr>
        <w:t>REKOME</w:t>
      </w:r>
      <w:r w:rsidR="00D83182" w:rsidRPr="00E33EFF">
        <w:rPr>
          <w:b/>
        </w:rPr>
        <w:t>N</w:t>
      </w:r>
      <w:r w:rsidRPr="00E33EFF">
        <w:rPr>
          <w:b/>
        </w:rPr>
        <w:t>DACIJA</w:t>
      </w:r>
    </w:p>
    <w:p w14:paraId="7D5C6700" w14:textId="77777777" w:rsidR="00D5470B" w:rsidRPr="00E33EFF" w:rsidRDefault="00D5470B" w:rsidP="00C712EA">
      <w:pPr>
        <w:pStyle w:val="ListParagraph"/>
        <w:ind w:left="426"/>
      </w:pPr>
    </w:p>
    <w:p w14:paraId="0D5958D5" w14:textId="77777777" w:rsidR="005614EF" w:rsidRDefault="005614EF" w:rsidP="005273C4">
      <w:pPr>
        <w:spacing w:line="360" w:lineRule="auto"/>
        <w:jc w:val="both"/>
      </w:pPr>
      <w:r w:rsidRPr="00E33EFF">
        <w:t xml:space="preserve">Vadovaujantis Lietuvos Respublikos sveikatos apsaugos ministro </w:t>
      </w:r>
      <w:r>
        <w:t xml:space="preserve">įsakymu </w:t>
      </w:r>
      <w:r w:rsidRPr="00E33EFF">
        <w:t>„Dėl vaistinių preparatų ir medicinos pagalbos priemonių įrašymo į kompensavimo sąrašus ir jų keitimo tvarkos aprašo patvirtinimo“</w:t>
      </w:r>
      <w:r>
        <w:t xml:space="preserve"> </w:t>
      </w:r>
      <w:r w:rsidRPr="00E33EFF">
        <w:t>2002 m. balandžio 5 d. įsakym</w:t>
      </w:r>
      <w:r>
        <w:t>o</w:t>
      </w:r>
      <w:r w:rsidRPr="00E33EFF">
        <w:t xml:space="preserve"> Nr. 159</w:t>
      </w:r>
    </w:p>
    <w:p w14:paraId="37B191C3" w14:textId="77777777" w:rsidR="005614EF" w:rsidRPr="003D0859" w:rsidRDefault="005614EF" w:rsidP="005273C4">
      <w:pPr>
        <w:spacing w:line="360" w:lineRule="auto"/>
        <w:jc w:val="both"/>
        <w:rPr>
          <w:rFonts w:eastAsia="Arial"/>
          <w:b/>
          <w:szCs w:val="22"/>
          <w:highlight w:val="yellow"/>
        </w:rPr>
      </w:pPr>
      <w:r w:rsidRPr="00471EC6">
        <w:rPr>
          <w:color w:val="000000"/>
          <w:lang w:eastAsia="lt-LT"/>
        </w:rPr>
        <w:lastRenderedPageBreak/>
        <w:t>30</w:t>
      </w:r>
      <w:r w:rsidRPr="00471EC6">
        <w:rPr>
          <w:color w:val="000000"/>
          <w:vertAlign w:val="superscript"/>
          <w:lang w:eastAsia="lt-LT"/>
        </w:rPr>
        <w:t>1</w:t>
      </w:r>
      <w:r w:rsidRPr="00471EC6">
        <w:rPr>
          <w:color w:val="000000"/>
          <w:lang w:eastAsia="lt-LT"/>
        </w:rPr>
        <w:t>.2.</w:t>
      </w:r>
      <w:r>
        <w:rPr>
          <w:color w:val="000000"/>
          <w:lang w:eastAsia="lt-LT"/>
        </w:rPr>
        <w:t xml:space="preserve"> papunkčiu rekomenduojama</w:t>
      </w:r>
      <w:r w:rsidRPr="00471EC6">
        <w:rPr>
          <w:color w:val="000000"/>
          <w:lang w:eastAsia="lt-LT"/>
        </w:rPr>
        <w:t xml:space="preserve"> kompensuoti vaistinį preparatą pagal paraiškoje nurodytą indikaciją (arba jos dalį) su arba be skyrimo sąlygų, jei, pateikus naują ar atnaujintą PGS,</w:t>
      </w:r>
      <w:r>
        <w:rPr>
          <w:color w:val="000000"/>
          <w:lang w:eastAsia="lt-LT"/>
        </w:rPr>
        <w:t xml:space="preserve"> </w:t>
      </w:r>
      <w:r w:rsidRPr="00471EC6">
        <w:rPr>
          <w:color w:val="000000"/>
          <w:lang w:eastAsia="lt-LT"/>
        </w:rPr>
        <w:t>kaštų naudingumas atitinka referencinę naudingumo vertę</w:t>
      </w:r>
      <w:r>
        <w:rPr>
          <w:color w:val="000000"/>
          <w:lang w:eastAsia="lt-LT"/>
        </w:rPr>
        <w:t xml:space="preserve">, </w:t>
      </w:r>
      <w:r w:rsidRPr="00471EC6">
        <w:rPr>
          <w:color w:val="000000"/>
          <w:lang w:eastAsia="lt-LT"/>
        </w:rPr>
        <w:t>kai vertinimo išvados atitinka Aprašo 29.1.1 ir 29.2.3 papunkčiuose numatytas sąlygas</w:t>
      </w:r>
      <w:r>
        <w:rPr>
          <w:color w:val="000000"/>
          <w:lang w:eastAsia="lt-LT"/>
        </w:rPr>
        <w:t xml:space="preserve">. </w:t>
      </w:r>
    </w:p>
    <w:p w14:paraId="06BC01EE" w14:textId="44333E0B" w:rsidR="000723FF" w:rsidRPr="00E33EFF" w:rsidRDefault="000723FF" w:rsidP="00381024"/>
    <w:p w14:paraId="16F2B302" w14:textId="6522EC40" w:rsidR="00700D6D" w:rsidRPr="00700D6D" w:rsidRDefault="00CC09D4" w:rsidP="00700D6D">
      <w:pPr>
        <w:tabs>
          <w:tab w:val="left" w:pos="567"/>
        </w:tabs>
        <w:jc w:val="both"/>
        <w:rPr>
          <w:b/>
          <w:color w:val="000000"/>
          <w:lang w:eastAsia="lt-LT"/>
        </w:rPr>
      </w:pPr>
      <w:r w:rsidRPr="00700D6D">
        <w:rPr>
          <w:b/>
          <w:color w:val="000000"/>
          <w:lang w:eastAsia="lt-LT"/>
        </w:rPr>
        <w:t>8.</w:t>
      </w:r>
      <w:r w:rsidRPr="00700D6D">
        <w:rPr>
          <w:b/>
          <w:color w:val="000000"/>
          <w:lang w:eastAsia="lt-LT"/>
        </w:rPr>
        <w:tab/>
      </w:r>
      <w:r w:rsidR="00700D6D" w:rsidRPr="00700D6D">
        <w:rPr>
          <w:b/>
          <w:color w:val="000000"/>
          <w:lang w:eastAsia="lt-LT"/>
        </w:rPr>
        <w:t xml:space="preserve">SIŪLOMOS KOMPENSUOTI TERAPINĖS INDIKACIJOS IR SKYRIMO SĄLYGOS </w:t>
      </w:r>
    </w:p>
    <w:p w14:paraId="77CA00E8" w14:textId="77777777" w:rsidR="00700D6D" w:rsidRPr="00E33EFF" w:rsidRDefault="00700D6D" w:rsidP="00700D6D">
      <w:pPr>
        <w:tabs>
          <w:tab w:val="left" w:pos="426"/>
        </w:tabs>
        <w:jc w:val="both"/>
        <w:rPr>
          <w:b/>
          <w:color w:val="000000"/>
          <w:lang w:eastAsia="lt-LT"/>
        </w:rPr>
      </w:pPr>
    </w:p>
    <w:p w14:paraId="6A4ED72B" w14:textId="77777777" w:rsidR="005614EF" w:rsidRPr="00912F87" w:rsidRDefault="005614EF" w:rsidP="005614EF">
      <w:pPr>
        <w:pStyle w:val="NoSpacing"/>
        <w:spacing w:line="360" w:lineRule="auto"/>
        <w:rPr>
          <w:rFonts w:ascii="Times New Roman" w:hAnsi="Times New Roman"/>
          <w:b/>
          <w:sz w:val="24"/>
          <w:szCs w:val="24"/>
          <w:lang w:eastAsia="lt-LT"/>
        </w:rPr>
      </w:pPr>
      <w:r w:rsidRPr="00912F87">
        <w:rPr>
          <w:rFonts w:ascii="Times New Roman" w:hAnsi="Times New Roman"/>
          <w:b/>
          <w:sz w:val="24"/>
          <w:szCs w:val="24"/>
          <w:lang w:eastAsia="lt-LT"/>
        </w:rPr>
        <w:t>Terapinės indikacijos</w:t>
      </w:r>
    </w:p>
    <w:p w14:paraId="6DA18AA6" w14:textId="77777777" w:rsidR="005614EF" w:rsidRDefault="00BC7B2E" w:rsidP="005614EF">
      <w:pPr>
        <w:pStyle w:val="NoSpacing"/>
        <w:spacing w:line="360" w:lineRule="auto"/>
        <w:rPr>
          <w:rFonts w:ascii="Times New Roman" w:hAnsi="Times New Roman"/>
          <w:sz w:val="24"/>
          <w:szCs w:val="24"/>
        </w:rPr>
      </w:pPr>
      <w:sdt>
        <w:sdtPr>
          <w:rPr>
            <w:rStyle w:val="Style2"/>
            <w:rFonts w:ascii="Times New Roman" w:hAnsi="Times New Roman"/>
            <w:sz w:val="24"/>
            <w:szCs w:val="24"/>
          </w:rPr>
          <w:id w:val="1146316688"/>
          <w15:color w:val="FFCC00"/>
          <w14:checkbox>
            <w14:checked w14:val="1"/>
            <w14:checkedState w14:val="2612" w14:font="MS Gothic"/>
            <w14:uncheckedState w14:val="2610" w14:font="MS Gothic"/>
          </w14:checkbox>
        </w:sdtPr>
        <w:sdtEndPr>
          <w:rPr>
            <w:rStyle w:val="Style2"/>
          </w:rPr>
        </w:sdtEndPr>
        <w:sdtContent>
          <w:r w:rsidR="005614EF" w:rsidRPr="00912F87">
            <w:rPr>
              <w:rStyle w:val="Style2"/>
              <w:rFonts w:ascii="MS Gothic" w:eastAsia="MS Gothic" w:hAnsi="MS Gothic" w:hint="eastAsia"/>
              <w:sz w:val="24"/>
              <w:szCs w:val="24"/>
            </w:rPr>
            <w:t>☒</w:t>
          </w:r>
        </w:sdtContent>
      </w:sdt>
      <w:r w:rsidR="005614EF" w:rsidRPr="00912F87">
        <w:rPr>
          <w:rFonts w:ascii="Times New Roman" w:hAnsi="Times New Roman"/>
          <w:sz w:val="24"/>
          <w:szCs w:val="24"/>
        </w:rPr>
        <w:t xml:space="preserve"> Siūloma kompensuoti Pareiškėjo teikiamą indikaciją be pakeitimų.</w:t>
      </w:r>
    </w:p>
    <w:p w14:paraId="6950F013" w14:textId="77777777" w:rsidR="005614EF" w:rsidRPr="00321BAD" w:rsidRDefault="005614EF" w:rsidP="005614EF">
      <w:pPr>
        <w:pStyle w:val="NoSpacing"/>
        <w:spacing w:line="360" w:lineRule="auto"/>
        <w:jc w:val="both"/>
        <w:rPr>
          <w:rFonts w:ascii="Times New Roman" w:hAnsi="Times New Roman"/>
          <w:sz w:val="24"/>
          <w:szCs w:val="24"/>
        </w:rPr>
      </w:pPr>
      <w:r w:rsidRPr="00321BAD">
        <w:rPr>
          <w:rFonts w:ascii="Times New Roman" w:hAnsi="Times New Roman"/>
          <w:sz w:val="24"/>
          <w:szCs w:val="24"/>
        </w:rPr>
        <w:t>Tibsovo kartu su azacitidinu skirtas suaugusiųjų pacientų, kuriems yra naujai diagnozuota ūminė mieloidinė leukemija (ŪML) su izocitrato dehidrogenazės-1 (IDH1) R132 mutacija ir kuriems netinka įprastinė indukcinė chemoterapija, gydymui.</w:t>
      </w:r>
    </w:p>
    <w:p w14:paraId="6116E6C9" w14:textId="77777777" w:rsidR="005614EF" w:rsidRPr="00935459" w:rsidRDefault="00BC7B2E" w:rsidP="005614EF">
      <w:pPr>
        <w:pStyle w:val="NoSpacing"/>
        <w:spacing w:line="360" w:lineRule="auto"/>
        <w:rPr>
          <w:rFonts w:ascii="Times New Roman" w:hAnsi="Times New Roman"/>
          <w:sz w:val="24"/>
          <w:szCs w:val="24"/>
        </w:rPr>
      </w:pPr>
      <w:sdt>
        <w:sdtPr>
          <w:rPr>
            <w:rStyle w:val="Style2"/>
            <w:rFonts w:ascii="Times New Roman" w:hAnsi="Times New Roman"/>
            <w:sz w:val="24"/>
            <w:szCs w:val="24"/>
          </w:rPr>
          <w:id w:val="1467245146"/>
          <w15:color w:val="FFCC00"/>
          <w14:checkbox>
            <w14:checked w14:val="0"/>
            <w14:checkedState w14:val="2612" w14:font="MS Gothic"/>
            <w14:uncheckedState w14:val="2610" w14:font="MS Gothic"/>
          </w14:checkbox>
        </w:sdtPr>
        <w:sdtEndPr>
          <w:rPr>
            <w:rStyle w:val="Style2"/>
          </w:rPr>
        </w:sdtEndPr>
        <w:sdtContent>
          <w:r w:rsidR="005614EF">
            <w:rPr>
              <w:rStyle w:val="Style2"/>
              <w:rFonts w:ascii="MS Gothic" w:eastAsia="MS Gothic" w:hAnsi="MS Gothic" w:hint="eastAsia"/>
              <w:sz w:val="24"/>
              <w:szCs w:val="24"/>
            </w:rPr>
            <w:t>☐</w:t>
          </w:r>
        </w:sdtContent>
      </w:sdt>
      <w:r w:rsidR="005614EF" w:rsidRPr="00935459">
        <w:rPr>
          <w:rFonts w:ascii="Times New Roman" w:hAnsi="Times New Roman"/>
          <w:sz w:val="24"/>
          <w:szCs w:val="24"/>
        </w:rPr>
        <w:t xml:space="preserve"> Siūloma kompensuoti Pareiškėjo teikiamą indikaciją su pakeitimais.</w:t>
      </w:r>
    </w:p>
    <w:p w14:paraId="46A09DB6" w14:textId="77777777" w:rsidR="005614EF" w:rsidRPr="00935459" w:rsidRDefault="005614EF" w:rsidP="005614EF">
      <w:pPr>
        <w:pStyle w:val="NoSpacing"/>
        <w:spacing w:line="360" w:lineRule="auto"/>
        <w:rPr>
          <w:rFonts w:ascii="Times New Roman" w:hAnsi="Times New Roman"/>
          <w:sz w:val="24"/>
          <w:szCs w:val="24"/>
        </w:rPr>
      </w:pPr>
    </w:p>
    <w:p w14:paraId="1ACF3027" w14:textId="77777777" w:rsidR="005614EF" w:rsidRPr="00935459" w:rsidRDefault="005614EF" w:rsidP="005614EF">
      <w:pPr>
        <w:pStyle w:val="NoSpacing"/>
        <w:spacing w:line="360" w:lineRule="auto"/>
        <w:rPr>
          <w:rFonts w:ascii="Times New Roman" w:hAnsi="Times New Roman"/>
          <w:b/>
          <w:sz w:val="24"/>
          <w:szCs w:val="24"/>
        </w:rPr>
      </w:pPr>
      <w:r w:rsidRPr="00935459">
        <w:rPr>
          <w:rFonts w:ascii="Times New Roman" w:hAnsi="Times New Roman"/>
          <w:b/>
          <w:sz w:val="24"/>
          <w:szCs w:val="24"/>
        </w:rPr>
        <w:t>Skyrimo sąlygos</w:t>
      </w:r>
    </w:p>
    <w:p w14:paraId="23C26285" w14:textId="2BC62E59" w:rsidR="0063516C" w:rsidRPr="00AF00CE" w:rsidRDefault="0063516C" w:rsidP="005273C4">
      <w:pPr>
        <w:pStyle w:val="NoSpacing"/>
        <w:spacing w:line="360" w:lineRule="auto"/>
        <w:jc w:val="both"/>
        <w:rPr>
          <w:rFonts w:ascii="Times New Roman" w:hAnsi="Times New Roman"/>
          <w:sz w:val="24"/>
          <w:szCs w:val="24"/>
        </w:rPr>
      </w:pPr>
      <w:bookmarkStart w:id="4" w:name="_Hlk192599013"/>
      <w:r>
        <w:rPr>
          <w:rFonts w:ascii="Times New Roman" w:hAnsi="Times New Roman"/>
          <w:sz w:val="24"/>
          <w:szCs w:val="24"/>
        </w:rPr>
        <w:t>Skiriamas derinyje</w:t>
      </w:r>
      <w:r w:rsidRPr="00321BAD">
        <w:rPr>
          <w:rFonts w:ascii="Times New Roman" w:hAnsi="Times New Roman"/>
          <w:sz w:val="24"/>
          <w:szCs w:val="24"/>
        </w:rPr>
        <w:t xml:space="preserve"> su azacitidinu suaugusiųjų pacientų, </w:t>
      </w:r>
      <w:r>
        <w:rPr>
          <w:rFonts w:ascii="Times New Roman" w:hAnsi="Times New Roman"/>
          <w:sz w:val="24"/>
          <w:szCs w:val="24"/>
        </w:rPr>
        <w:t xml:space="preserve">sergančių </w:t>
      </w:r>
      <w:r w:rsidRPr="00321BAD">
        <w:rPr>
          <w:rFonts w:ascii="Times New Roman" w:hAnsi="Times New Roman"/>
          <w:sz w:val="24"/>
          <w:szCs w:val="24"/>
        </w:rPr>
        <w:t>naujai diagnozuota ūmin</w:t>
      </w:r>
      <w:r>
        <w:rPr>
          <w:rFonts w:ascii="Times New Roman" w:hAnsi="Times New Roman"/>
          <w:sz w:val="24"/>
          <w:szCs w:val="24"/>
        </w:rPr>
        <w:t>e</w:t>
      </w:r>
      <w:r w:rsidRPr="00321BAD">
        <w:rPr>
          <w:rFonts w:ascii="Times New Roman" w:hAnsi="Times New Roman"/>
          <w:sz w:val="24"/>
          <w:szCs w:val="24"/>
        </w:rPr>
        <w:t xml:space="preserve"> mieloidin</w:t>
      </w:r>
      <w:r>
        <w:rPr>
          <w:rFonts w:ascii="Times New Roman" w:hAnsi="Times New Roman"/>
          <w:sz w:val="24"/>
          <w:szCs w:val="24"/>
        </w:rPr>
        <w:t>e</w:t>
      </w:r>
      <w:r w:rsidRPr="00321BAD">
        <w:rPr>
          <w:rFonts w:ascii="Times New Roman" w:hAnsi="Times New Roman"/>
          <w:sz w:val="24"/>
          <w:szCs w:val="24"/>
        </w:rPr>
        <w:t xml:space="preserve"> leukemija (ŪML) su izocitrato dehidrogenazės-1 (IDH1) R132 mutacija</w:t>
      </w:r>
      <w:r>
        <w:rPr>
          <w:rFonts w:ascii="Times New Roman" w:hAnsi="Times New Roman"/>
          <w:sz w:val="24"/>
          <w:szCs w:val="24"/>
        </w:rPr>
        <w:t>,</w:t>
      </w:r>
      <w:r w:rsidRPr="00321BAD">
        <w:rPr>
          <w:rFonts w:ascii="Times New Roman" w:hAnsi="Times New Roman"/>
          <w:sz w:val="24"/>
          <w:szCs w:val="24"/>
        </w:rPr>
        <w:t xml:space="preserve"> kuriems netinka įprastinė indukcinė chemoterapija</w:t>
      </w:r>
      <w:r>
        <w:rPr>
          <w:rFonts w:ascii="Times New Roman" w:hAnsi="Times New Roman"/>
          <w:sz w:val="24"/>
          <w:szCs w:val="24"/>
        </w:rPr>
        <w:t>.</w:t>
      </w:r>
      <w:r w:rsidR="00AF00CE">
        <w:rPr>
          <w:rFonts w:ascii="Times New Roman" w:hAnsi="Times New Roman"/>
          <w:sz w:val="24"/>
          <w:szCs w:val="24"/>
        </w:rPr>
        <w:t xml:space="preserve"> </w:t>
      </w:r>
      <w:r w:rsidR="00AF00CE" w:rsidRPr="005273C4">
        <w:rPr>
          <w:rFonts w:ascii="Times New Roman" w:hAnsi="Times New Roman"/>
          <w:bCs/>
          <w:lang w:eastAsia="lt-LT"/>
        </w:rPr>
        <w:t>Gydymas tęsiamas iki nepriimtino toksinio poveikio atsiradimo, ligos progresavimo arba planuoto gydymo užbaigimo.</w:t>
      </w:r>
    </w:p>
    <w:bookmarkEnd w:id="4"/>
    <w:p w14:paraId="7CDFF220" w14:textId="58191D98" w:rsidR="000723FF" w:rsidRPr="00AF00CE" w:rsidRDefault="000723FF" w:rsidP="00824B92">
      <w:pPr>
        <w:rPr>
          <w:b/>
        </w:rPr>
      </w:pPr>
    </w:p>
    <w:sectPr w:rsidR="000723FF" w:rsidRPr="00AF00CE" w:rsidSect="005D30E1">
      <w:headerReference w:type="even" r:id="rId8"/>
      <w:headerReference w:type="default" r:id="rId9"/>
      <w:headerReference w:type="first" r:id="rId10"/>
      <w:footerReference w:type="first" r:id="rId11"/>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83F01" w14:textId="77777777" w:rsidR="0085648A" w:rsidRDefault="0085648A">
      <w:r>
        <w:separator/>
      </w:r>
    </w:p>
  </w:endnote>
  <w:endnote w:type="continuationSeparator" w:id="0">
    <w:p w14:paraId="3DB8C3C9" w14:textId="77777777" w:rsidR="0085648A" w:rsidRDefault="00856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D3368" w14:textId="77777777" w:rsidR="00347FAA" w:rsidRDefault="00347FAA">
    <w:pPr>
      <w:pStyle w:val="Footer"/>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F2A1D" w14:textId="77777777" w:rsidR="0085648A" w:rsidRDefault="0085648A">
      <w:r>
        <w:separator/>
      </w:r>
    </w:p>
  </w:footnote>
  <w:footnote w:type="continuationSeparator" w:id="0">
    <w:p w14:paraId="5947AE88" w14:textId="77777777" w:rsidR="0085648A" w:rsidRDefault="008564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86FB2" w14:textId="77777777" w:rsidR="00347FAA" w:rsidRDefault="00347FA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E81DB01" w14:textId="77777777" w:rsidR="00347FAA" w:rsidRDefault="00347F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BD5F9" w14:textId="19831A49" w:rsidR="00347FAA" w:rsidRDefault="00347FA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C6888">
      <w:rPr>
        <w:rStyle w:val="PageNumber"/>
        <w:noProof/>
      </w:rPr>
      <w:t>3</w:t>
    </w:r>
    <w:r>
      <w:rPr>
        <w:rStyle w:val="PageNumber"/>
      </w:rPr>
      <w:fldChar w:fldCharType="end"/>
    </w:r>
  </w:p>
  <w:p w14:paraId="13EC872E" w14:textId="77777777" w:rsidR="00347FAA" w:rsidRDefault="00347F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E1C8F" w14:textId="77777777" w:rsidR="00347FAA" w:rsidRDefault="00347FAA" w:rsidP="00FD793C">
    <w:pPr>
      <w:pStyle w:val="Header"/>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2093671"/>
    <w:multiLevelType w:val="multilevel"/>
    <w:tmpl w:val="81E23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B032ED4"/>
    <w:multiLevelType w:val="multilevel"/>
    <w:tmpl w:val="4D58B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633D92"/>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AD2E5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6963937"/>
    <w:multiLevelType w:val="hybridMultilevel"/>
    <w:tmpl w:val="6980AC60"/>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759C83DA">
      <w:numFmt w:val="bullet"/>
      <w:lvlText w:val="-"/>
      <w:lvlJc w:val="left"/>
      <w:pPr>
        <w:ind w:left="2700" w:hanging="360"/>
      </w:pPr>
      <w:rPr>
        <w:rFonts w:ascii="Times New Roman" w:eastAsia="Times New Roman" w:hAnsi="Times New Roman" w:cs="Times New Roman"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8" w15:restartNumberingAfterBreak="0">
    <w:nsid w:val="1C35500D"/>
    <w:multiLevelType w:val="multilevel"/>
    <w:tmpl w:val="8B329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DB624D"/>
    <w:multiLevelType w:val="hybridMultilevel"/>
    <w:tmpl w:val="44C476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A596035"/>
    <w:multiLevelType w:val="multilevel"/>
    <w:tmpl w:val="3894E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377C96"/>
    <w:multiLevelType w:val="multilevel"/>
    <w:tmpl w:val="9120E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EE43EB"/>
    <w:multiLevelType w:val="hybridMultilevel"/>
    <w:tmpl w:val="AC7202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3A267ABC"/>
    <w:multiLevelType w:val="hybridMultilevel"/>
    <w:tmpl w:val="86DC0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16"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3C77FA"/>
    <w:multiLevelType w:val="hybridMultilevel"/>
    <w:tmpl w:val="4FFAA8BC"/>
    <w:lvl w:ilvl="0" w:tplc="FFFFFFFF">
      <w:start w:val="1"/>
      <w:numFmt w:val="decimal"/>
      <w:lvlText w:val="%1."/>
      <w:lvlJc w:val="left"/>
      <w:pPr>
        <w:ind w:left="785" w:hanging="360"/>
      </w:pPr>
      <w:rPr>
        <w:rFonts w:hint="default"/>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18" w15:restartNumberingAfterBreak="0">
    <w:nsid w:val="45645689"/>
    <w:multiLevelType w:val="multilevel"/>
    <w:tmpl w:val="2E4EC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83C4085"/>
    <w:multiLevelType w:val="hybridMultilevel"/>
    <w:tmpl w:val="447471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22"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2FF1936"/>
    <w:multiLevelType w:val="hybridMultilevel"/>
    <w:tmpl w:val="BACE24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7CB27AD"/>
    <w:multiLevelType w:val="multilevel"/>
    <w:tmpl w:val="C1BA9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19531622">
    <w:abstractNumId w:val="16"/>
  </w:num>
  <w:num w:numId="2" w16cid:durableId="74474041">
    <w:abstractNumId w:val="2"/>
  </w:num>
  <w:num w:numId="3" w16cid:durableId="1745184345">
    <w:abstractNumId w:val="21"/>
  </w:num>
  <w:num w:numId="4" w16cid:durableId="1798068181">
    <w:abstractNumId w:val="19"/>
  </w:num>
  <w:num w:numId="5" w16cid:durableId="944650167">
    <w:abstractNumId w:val="15"/>
  </w:num>
  <w:num w:numId="6" w16cid:durableId="76289457">
    <w:abstractNumId w:val="13"/>
  </w:num>
  <w:num w:numId="7" w16cid:durableId="1804690331">
    <w:abstractNumId w:val="7"/>
  </w:num>
  <w:num w:numId="8" w16cid:durableId="1205169099">
    <w:abstractNumId w:val="26"/>
  </w:num>
  <w:num w:numId="9" w16cid:durableId="2091922385">
    <w:abstractNumId w:val="0"/>
  </w:num>
  <w:num w:numId="10" w16cid:durableId="1227718215">
    <w:abstractNumId w:val="22"/>
  </w:num>
  <w:num w:numId="11" w16cid:durableId="647321132">
    <w:abstractNumId w:val="25"/>
  </w:num>
  <w:num w:numId="12" w16cid:durableId="1404180175">
    <w:abstractNumId w:val="5"/>
  </w:num>
  <w:num w:numId="13" w16cid:durableId="9591876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57920368">
    <w:abstractNumId w:val="14"/>
  </w:num>
  <w:num w:numId="15" w16cid:durableId="784350067">
    <w:abstractNumId w:val="17"/>
  </w:num>
  <w:num w:numId="16" w16cid:durableId="1726684703">
    <w:abstractNumId w:val="4"/>
  </w:num>
  <w:num w:numId="17" w16cid:durableId="1407608781">
    <w:abstractNumId w:val="6"/>
  </w:num>
  <w:num w:numId="18" w16cid:durableId="1484203883">
    <w:abstractNumId w:val="12"/>
  </w:num>
  <w:num w:numId="19" w16cid:durableId="1654868917">
    <w:abstractNumId w:val="9"/>
  </w:num>
  <w:num w:numId="20" w16cid:durableId="152572951">
    <w:abstractNumId w:val="10"/>
  </w:num>
  <w:num w:numId="21" w16cid:durableId="1920363263">
    <w:abstractNumId w:val="3"/>
  </w:num>
  <w:num w:numId="22" w16cid:durableId="509368011">
    <w:abstractNumId w:val="24"/>
  </w:num>
  <w:num w:numId="23" w16cid:durableId="1398474337">
    <w:abstractNumId w:val="1"/>
  </w:num>
  <w:num w:numId="24" w16cid:durableId="548302541">
    <w:abstractNumId w:val="8"/>
  </w:num>
  <w:num w:numId="25" w16cid:durableId="1324158166">
    <w:abstractNumId w:val="11"/>
  </w:num>
  <w:num w:numId="26" w16cid:durableId="1051001216">
    <w:abstractNumId w:val="18"/>
  </w:num>
  <w:num w:numId="27" w16cid:durableId="89208090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7"/>
    <w:rsid w:val="000001B0"/>
    <w:rsid w:val="00003F5B"/>
    <w:rsid w:val="000114DD"/>
    <w:rsid w:val="000136F7"/>
    <w:rsid w:val="0002686C"/>
    <w:rsid w:val="00026F03"/>
    <w:rsid w:val="00031D0E"/>
    <w:rsid w:val="000337E6"/>
    <w:rsid w:val="0003402E"/>
    <w:rsid w:val="00034EAE"/>
    <w:rsid w:val="00042924"/>
    <w:rsid w:val="00053975"/>
    <w:rsid w:val="00057A2B"/>
    <w:rsid w:val="000606BE"/>
    <w:rsid w:val="000723FF"/>
    <w:rsid w:val="0007358F"/>
    <w:rsid w:val="000736B8"/>
    <w:rsid w:val="0008190F"/>
    <w:rsid w:val="00081D9C"/>
    <w:rsid w:val="00082907"/>
    <w:rsid w:val="0008378D"/>
    <w:rsid w:val="000908A5"/>
    <w:rsid w:val="00092805"/>
    <w:rsid w:val="000C454C"/>
    <w:rsid w:val="000D5038"/>
    <w:rsid w:val="000E29D4"/>
    <w:rsid w:val="000F3540"/>
    <w:rsid w:val="00100491"/>
    <w:rsid w:val="00104E2E"/>
    <w:rsid w:val="00107287"/>
    <w:rsid w:val="00117406"/>
    <w:rsid w:val="00121EF0"/>
    <w:rsid w:val="00124A9E"/>
    <w:rsid w:val="00130703"/>
    <w:rsid w:val="0013153F"/>
    <w:rsid w:val="001408B8"/>
    <w:rsid w:val="001517E2"/>
    <w:rsid w:val="001521D9"/>
    <w:rsid w:val="001554E2"/>
    <w:rsid w:val="00164146"/>
    <w:rsid w:val="0017369C"/>
    <w:rsid w:val="00175D57"/>
    <w:rsid w:val="0018051B"/>
    <w:rsid w:val="00180C39"/>
    <w:rsid w:val="00180D96"/>
    <w:rsid w:val="00184BD3"/>
    <w:rsid w:val="001921F3"/>
    <w:rsid w:val="001B3C5B"/>
    <w:rsid w:val="001D746F"/>
    <w:rsid w:val="001E4BBB"/>
    <w:rsid w:val="001E6304"/>
    <w:rsid w:val="0020381E"/>
    <w:rsid w:val="002111A9"/>
    <w:rsid w:val="00213471"/>
    <w:rsid w:val="00215906"/>
    <w:rsid w:val="00241CD8"/>
    <w:rsid w:val="00244B09"/>
    <w:rsid w:val="002519CB"/>
    <w:rsid w:val="00255F87"/>
    <w:rsid w:val="0025697F"/>
    <w:rsid w:val="00260258"/>
    <w:rsid w:val="0026588E"/>
    <w:rsid w:val="00272428"/>
    <w:rsid w:val="00272948"/>
    <w:rsid w:val="00292392"/>
    <w:rsid w:val="002946C7"/>
    <w:rsid w:val="002B3CC1"/>
    <w:rsid w:val="002C09E0"/>
    <w:rsid w:val="002C1BB1"/>
    <w:rsid w:val="002C2786"/>
    <w:rsid w:val="002C3A10"/>
    <w:rsid w:val="002C4A90"/>
    <w:rsid w:val="002C4ED5"/>
    <w:rsid w:val="002D02EF"/>
    <w:rsid w:val="002E0702"/>
    <w:rsid w:val="002E57AD"/>
    <w:rsid w:val="002E6F80"/>
    <w:rsid w:val="002F0E4F"/>
    <w:rsid w:val="002F1053"/>
    <w:rsid w:val="00317B0E"/>
    <w:rsid w:val="00341875"/>
    <w:rsid w:val="00347FAA"/>
    <w:rsid w:val="0035172D"/>
    <w:rsid w:val="0036187D"/>
    <w:rsid w:val="00367EDB"/>
    <w:rsid w:val="00376F85"/>
    <w:rsid w:val="00381024"/>
    <w:rsid w:val="00386307"/>
    <w:rsid w:val="003874DE"/>
    <w:rsid w:val="00393DC4"/>
    <w:rsid w:val="00393E9F"/>
    <w:rsid w:val="0039696E"/>
    <w:rsid w:val="0039778F"/>
    <w:rsid w:val="003B211A"/>
    <w:rsid w:val="003C141F"/>
    <w:rsid w:val="003C6B0E"/>
    <w:rsid w:val="003C7257"/>
    <w:rsid w:val="003C7E35"/>
    <w:rsid w:val="003D1E99"/>
    <w:rsid w:val="003D6208"/>
    <w:rsid w:val="00404E8A"/>
    <w:rsid w:val="0040622F"/>
    <w:rsid w:val="00412FE2"/>
    <w:rsid w:val="00413F24"/>
    <w:rsid w:val="00422853"/>
    <w:rsid w:val="00423160"/>
    <w:rsid w:val="00453862"/>
    <w:rsid w:val="0045469B"/>
    <w:rsid w:val="00461338"/>
    <w:rsid w:val="004677DB"/>
    <w:rsid w:val="00476256"/>
    <w:rsid w:val="00476F65"/>
    <w:rsid w:val="0048630F"/>
    <w:rsid w:val="004947A1"/>
    <w:rsid w:val="0049482A"/>
    <w:rsid w:val="004979D3"/>
    <w:rsid w:val="004A00E7"/>
    <w:rsid w:val="004A3A61"/>
    <w:rsid w:val="004B59BA"/>
    <w:rsid w:val="004B5A03"/>
    <w:rsid w:val="004C263A"/>
    <w:rsid w:val="004D48A6"/>
    <w:rsid w:val="004D7B8F"/>
    <w:rsid w:val="004E6458"/>
    <w:rsid w:val="004E6E7D"/>
    <w:rsid w:val="004F1AAC"/>
    <w:rsid w:val="004F1AE2"/>
    <w:rsid w:val="004F34F0"/>
    <w:rsid w:val="004F3B2B"/>
    <w:rsid w:val="004F3F16"/>
    <w:rsid w:val="004F6050"/>
    <w:rsid w:val="004F72B1"/>
    <w:rsid w:val="005005EF"/>
    <w:rsid w:val="005123C2"/>
    <w:rsid w:val="0052144B"/>
    <w:rsid w:val="00524066"/>
    <w:rsid w:val="005273C4"/>
    <w:rsid w:val="00534E11"/>
    <w:rsid w:val="00536373"/>
    <w:rsid w:val="005378D8"/>
    <w:rsid w:val="00537A61"/>
    <w:rsid w:val="005400D9"/>
    <w:rsid w:val="005476A4"/>
    <w:rsid w:val="0055019B"/>
    <w:rsid w:val="00556E63"/>
    <w:rsid w:val="005601A4"/>
    <w:rsid w:val="005614EF"/>
    <w:rsid w:val="00566DBB"/>
    <w:rsid w:val="005767DB"/>
    <w:rsid w:val="005815E6"/>
    <w:rsid w:val="0058712F"/>
    <w:rsid w:val="005976CE"/>
    <w:rsid w:val="005A23D4"/>
    <w:rsid w:val="005A2D1E"/>
    <w:rsid w:val="005A7C62"/>
    <w:rsid w:val="005B3756"/>
    <w:rsid w:val="005C493F"/>
    <w:rsid w:val="005C6888"/>
    <w:rsid w:val="005C6BF7"/>
    <w:rsid w:val="005C71BF"/>
    <w:rsid w:val="005D002C"/>
    <w:rsid w:val="005D30E1"/>
    <w:rsid w:val="005D6555"/>
    <w:rsid w:val="005D7BDF"/>
    <w:rsid w:val="005E4870"/>
    <w:rsid w:val="005E73D8"/>
    <w:rsid w:val="005F71D9"/>
    <w:rsid w:val="005F7602"/>
    <w:rsid w:val="006062BE"/>
    <w:rsid w:val="00613143"/>
    <w:rsid w:val="00613501"/>
    <w:rsid w:val="0061611B"/>
    <w:rsid w:val="006166A8"/>
    <w:rsid w:val="006174A1"/>
    <w:rsid w:val="00621D6C"/>
    <w:rsid w:val="00633B49"/>
    <w:rsid w:val="0063516C"/>
    <w:rsid w:val="0064297F"/>
    <w:rsid w:val="00645102"/>
    <w:rsid w:val="006467D5"/>
    <w:rsid w:val="00646CF3"/>
    <w:rsid w:val="00653D11"/>
    <w:rsid w:val="00662983"/>
    <w:rsid w:val="006834D3"/>
    <w:rsid w:val="00692625"/>
    <w:rsid w:val="00695CD3"/>
    <w:rsid w:val="006A38B6"/>
    <w:rsid w:val="006B1987"/>
    <w:rsid w:val="006B5B71"/>
    <w:rsid w:val="006B6CB0"/>
    <w:rsid w:val="006C0296"/>
    <w:rsid w:val="006C2B64"/>
    <w:rsid w:val="006D4C85"/>
    <w:rsid w:val="006D66AC"/>
    <w:rsid w:val="006E33F6"/>
    <w:rsid w:val="006F1251"/>
    <w:rsid w:val="006F1C23"/>
    <w:rsid w:val="00700D6D"/>
    <w:rsid w:val="00702C18"/>
    <w:rsid w:val="00703166"/>
    <w:rsid w:val="007127F3"/>
    <w:rsid w:val="00726A34"/>
    <w:rsid w:val="007301CF"/>
    <w:rsid w:val="007316FB"/>
    <w:rsid w:val="007374D0"/>
    <w:rsid w:val="00737E2D"/>
    <w:rsid w:val="007424D5"/>
    <w:rsid w:val="00750A88"/>
    <w:rsid w:val="007523DD"/>
    <w:rsid w:val="00757B7E"/>
    <w:rsid w:val="007656B2"/>
    <w:rsid w:val="0077016F"/>
    <w:rsid w:val="007713AD"/>
    <w:rsid w:val="00795DC5"/>
    <w:rsid w:val="00797153"/>
    <w:rsid w:val="007A21F7"/>
    <w:rsid w:val="007A2B68"/>
    <w:rsid w:val="007B0322"/>
    <w:rsid w:val="007B0DDA"/>
    <w:rsid w:val="007D05DF"/>
    <w:rsid w:val="007D3347"/>
    <w:rsid w:val="007E48DC"/>
    <w:rsid w:val="007E5466"/>
    <w:rsid w:val="007F1949"/>
    <w:rsid w:val="007F2592"/>
    <w:rsid w:val="00800A08"/>
    <w:rsid w:val="00817A84"/>
    <w:rsid w:val="008225A4"/>
    <w:rsid w:val="00824B92"/>
    <w:rsid w:val="00826D5E"/>
    <w:rsid w:val="00832013"/>
    <w:rsid w:val="00832DB7"/>
    <w:rsid w:val="00834732"/>
    <w:rsid w:val="00844A3E"/>
    <w:rsid w:val="0085200C"/>
    <w:rsid w:val="0085648A"/>
    <w:rsid w:val="00857C52"/>
    <w:rsid w:val="00860D5F"/>
    <w:rsid w:val="00880A44"/>
    <w:rsid w:val="0088345E"/>
    <w:rsid w:val="0088656F"/>
    <w:rsid w:val="00891EF6"/>
    <w:rsid w:val="008A0303"/>
    <w:rsid w:val="008A5FDD"/>
    <w:rsid w:val="008C3947"/>
    <w:rsid w:val="008D0BE3"/>
    <w:rsid w:val="008E473B"/>
    <w:rsid w:val="008E51A6"/>
    <w:rsid w:val="008E7329"/>
    <w:rsid w:val="008F0DCD"/>
    <w:rsid w:val="008F2ED5"/>
    <w:rsid w:val="00907349"/>
    <w:rsid w:val="0092297E"/>
    <w:rsid w:val="00923651"/>
    <w:rsid w:val="00927B56"/>
    <w:rsid w:val="009341BF"/>
    <w:rsid w:val="00937907"/>
    <w:rsid w:val="00941739"/>
    <w:rsid w:val="00951573"/>
    <w:rsid w:val="00963003"/>
    <w:rsid w:val="00966EEF"/>
    <w:rsid w:val="0096701A"/>
    <w:rsid w:val="00971B28"/>
    <w:rsid w:val="00983471"/>
    <w:rsid w:val="009909AB"/>
    <w:rsid w:val="00991EDC"/>
    <w:rsid w:val="009B37DB"/>
    <w:rsid w:val="009C7A8C"/>
    <w:rsid w:val="009D23F9"/>
    <w:rsid w:val="009D4FA8"/>
    <w:rsid w:val="009E4151"/>
    <w:rsid w:val="009E44AE"/>
    <w:rsid w:val="009E6CD6"/>
    <w:rsid w:val="009F4D66"/>
    <w:rsid w:val="00A00C3C"/>
    <w:rsid w:val="00A01091"/>
    <w:rsid w:val="00A042B9"/>
    <w:rsid w:val="00A06DBB"/>
    <w:rsid w:val="00A22ADF"/>
    <w:rsid w:val="00A31E86"/>
    <w:rsid w:val="00A538BB"/>
    <w:rsid w:val="00A54D87"/>
    <w:rsid w:val="00A5553C"/>
    <w:rsid w:val="00A64FE7"/>
    <w:rsid w:val="00A701C9"/>
    <w:rsid w:val="00A81785"/>
    <w:rsid w:val="00A84803"/>
    <w:rsid w:val="00A84C51"/>
    <w:rsid w:val="00A86F2B"/>
    <w:rsid w:val="00A91366"/>
    <w:rsid w:val="00A93AA6"/>
    <w:rsid w:val="00AA4E48"/>
    <w:rsid w:val="00AA6202"/>
    <w:rsid w:val="00AA7B57"/>
    <w:rsid w:val="00AC26FC"/>
    <w:rsid w:val="00AC4A99"/>
    <w:rsid w:val="00AC64D2"/>
    <w:rsid w:val="00AD02E7"/>
    <w:rsid w:val="00AE0FE8"/>
    <w:rsid w:val="00AE1322"/>
    <w:rsid w:val="00AF00CE"/>
    <w:rsid w:val="00AF60D5"/>
    <w:rsid w:val="00B00959"/>
    <w:rsid w:val="00B04415"/>
    <w:rsid w:val="00B06509"/>
    <w:rsid w:val="00B11D60"/>
    <w:rsid w:val="00B12C9C"/>
    <w:rsid w:val="00B13D65"/>
    <w:rsid w:val="00B21805"/>
    <w:rsid w:val="00B24FB9"/>
    <w:rsid w:val="00B3072E"/>
    <w:rsid w:val="00B36287"/>
    <w:rsid w:val="00B36E15"/>
    <w:rsid w:val="00B37245"/>
    <w:rsid w:val="00B4017A"/>
    <w:rsid w:val="00B4468D"/>
    <w:rsid w:val="00B635E2"/>
    <w:rsid w:val="00B71C72"/>
    <w:rsid w:val="00B76A04"/>
    <w:rsid w:val="00B81E92"/>
    <w:rsid w:val="00B908D7"/>
    <w:rsid w:val="00B915AB"/>
    <w:rsid w:val="00B935E8"/>
    <w:rsid w:val="00B93B30"/>
    <w:rsid w:val="00B94CB5"/>
    <w:rsid w:val="00BA0DD9"/>
    <w:rsid w:val="00BA5DBC"/>
    <w:rsid w:val="00BB6312"/>
    <w:rsid w:val="00BC4D06"/>
    <w:rsid w:val="00BC7321"/>
    <w:rsid w:val="00BC7B2E"/>
    <w:rsid w:val="00BD585E"/>
    <w:rsid w:val="00BD6919"/>
    <w:rsid w:val="00BE1EA7"/>
    <w:rsid w:val="00BE7489"/>
    <w:rsid w:val="00BF2E0D"/>
    <w:rsid w:val="00BF3927"/>
    <w:rsid w:val="00BF3F8B"/>
    <w:rsid w:val="00BF76DA"/>
    <w:rsid w:val="00C07C7B"/>
    <w:rsid w:val="00C16245"/>
    <w:rsid w:val="00C22DC5"/>
    <w:rsid w:val="00C24479"/>
    <w:rsid w:val="00C273F2"/>
    <w:rsid w:val="00C37B53"/>
    <w:rsid w:val="00C517D2"/>
    <w:rsid w:val="00C5772E"/>
    <w:rsid w:val="00C62B36"/>
    <w:rsid w:val="00C7012C"/>
    <w:rsid w:val="00C712EA"/>
    <w:rsid w:val="00CA023F"/>
    <w:rsid w:val="00CA217D"/>
    <w:rsid w:val="00CC09D4"/>
    <w:rsid w:val="00CC668D"/>
    <w:rsid w:val="00CC7832"/>
    <w:rsid w:val="00CE524A"/>
    <w:rsid w:val="00CF0C1C"/>
    <w:rsid w:val="00CF27FD"/>
    <w:rsid w:val="00CF5F12"/>
    <w:rsid w:val="00D00D8F"/>
    <w:rsid w:val="00D0547A"/>
    <w:rsid w:val="00D21F3A"/>
    <w:rsid w:val="00D23808"/>
    <w:rsid w:val="00D2621C"/>
    <w:rsid w:val="00D3016A"/>
    <w:rsid w:val="00D417D2"/>
    <w:rsid w:val="00D42960"/>
    <w:rsid w:val="00D43BA7"/>
    <w:rsid w:val="00D43BD7"/>
    <w:rsid w:val="00D4485B"/>
    <w:rsid w:val="00D4708D"/>
    <w:rsid w:val="00D4744C"/>
    <w:rsid w:val="00D521DE"/>
    <w:rsid w:val="00D5470B"/>
    <w:rsid w:val="00D63068"/>
    <w:rsid w:val="00D6498C"/>
    <w:rsid w:val="00D76A70"/>
    <w:rsid w:val="00D83182"/>
    <w:rsid w:val="00D8521E"/>
    <w:rsid w:val="00D9291C"/>
    <w:rsid w:val="00D93A97"/>
    <w:rsid w:val="00DB1F64"/>
    <w:rsid w:val="00DC2F53"/>
    <w:rsid w:val="00DC5BAC"/>
    <w:rsid w:val="00DC6816"/>
    <w:rsid w:val="00DC76C2"/>
    <w:rsid w:val="00DD1CF2"/>
    <w:rsid w:val="00DE4484"/>
    <w:rsid w:val="00DF41B7"/>
    <w:rsid w:val="00DF4A4A"/>
    <w:rsid w:val="00DF583C"/>
    <w:rsid w:val="00E03C3F"/>
    <w:rsid w:val="00E06FD7"/>
    <w:rsid w:val="00E07417"/>
    <w:rsid w:val="00E24D45"/>
    <w:rsid w:val="00E33DB8"/>
    <w:rsid w:val="00E33EFF"/>
    <w:rsid w:val="00E34387"/>
    <w:rsid w:val="00E348BA"/>
    <w:rsid w:val="00E369FE"/>
    <w:rsid w:val="00E37C6F"/>
    <w:rsid w:val="00E475F8"/>
    <w:rsid w:val="00E5102E"/>
    <w:rsid w:val="00E5721C"/>
    <w:rsid w:val="00E619C6"/>
    <w:rsid w:val="00E745A1"/>
    <w:rsid w:val="00E81529"/>
    <w:rsid w:val="00E83A13"/>
    <w:rsid w:val="00EB6FC5"/>
    <w:rsid w:val="00EC2356"/>
    <w:rsid w:val="00EC2582"/>
    <w:rsid w:val="00EC337C"/>
    <w:rsid w:val="00ED0CFF"/>
    <w:rsid w:val="00ED31D2"/>
    <w:rsid w:val="00EE0EAC"/>
    <w:rsid w:val="00EE27F7"/>
    <w:rsid w:val="00EE3322"/>
    <w:rsid w:val="00EE33CB"/>
    <w:rsid w:val="00F0061A"/>
    <w:rsid w:val="00F02834"/>
    <w:rsid w:val="00F04EEB"/>
    <w:rsid w:val="00F05467"/>
    <w:rsid w:val="00F055D2"/>
    <w:rsid w:val="00F07CD7"/>
    <w:rsid w:val="00F127E9"/>
    <w:rsid w:val="00F14B5D"/>
    <w:rsid w:val="00F259FC"/>
    <w:rsid w:val="00F36972"/>
    <w:rsid w:val="00F42426"/>
    <w:rsid w:val="00F456BC"/>
    <w:rsid w:val="00F4598C"/>
    <w:rsid w:val="00F50666"/>
    <w:rsid w:val="00F5196C"/>
    <w:rsid w:val="00F70C9E"/>
    <w:rsid w:val="00F74A74"/>
    <w:rsid w:val="00F7572C"/>
    <w:rsid w:val="00F8382C"/>
    <w:rsid w:val="00F855D7"/>
    <w:rsid w:val="00F92035"/>
    <w:rsid w:val="00F92748"/>
    <w:rsid w:val="00FA4169"/>
    <w:rsid w:val="00FB0D41"/>
    <w:rsid w:val="00FB2030"/>
    <w:rsid w:val="00FD0E46"/>
    <w:rsid w:val="00FD1CF2"/>
    <w:rsid w:val="00FD3EDF"/>
    <w:rsid w:val="00FD793C"/>
    <w:rsid w:val="00FE0FD5"/>
    <w:rsid w:val="00FE20E6"/>
    <w:rsid w:val="00FE3E3B"/>
    <w:rsid w:val="00FF4032"/>
    <w:rsid w:val="00FF6469"/>
    <w:rsid w:val="00FF7E4A"/>
    <w:rsid w:val="05914237"/>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1529"/>
    <w:rPr>
      <w:sz w:val="24"/>
      <w:szCs w:val="24"/>
      <w:lang w:eastAsia="en-US"/>
    </w:rPr>
  </w:style>
  <w:style w:type="paragraph" w:styleId="Heading1">
    <w:name w:val="heading 1"/>
    <w:basedOn w:val="Normal"/>
    <w:next w:val="Normal"/>
    <w:qFormat/>
    <w:rsid w:val="00A84C51"/>
    <w:pPr>
      <w:keepNext/>
      <w:jc w:val="center"/>
      <w:outlineLvl w:val="0"/>
    </w:pPr>
    <w:rPr>
      <w:b/>
      <w:bCs/>
      <w:caps/>
    </w:rPr>
  </w:style>
  <w:style w:type="paragraph" w:styleId="Heading2">
    <w:name w:val="heading 2"/>
    <w:basedOn w:val="Normal"/>
    <w:next w:val="Normal"/>
    <w:qFormat/>
    <w:rsid w:val="00A84C51"/>
    <w:pPr>
      <w:keepNext/>
      <w:jc w:val="center"/>
      <w:outlineLvl w:val="1"/>
    </w:pPr>
    <w:rPr>
      <w:b/>
      <w:bCs/>
      <w: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4C51"/>
    <w:pPr>
      <w:tabs>
        <w:tab w:val="center" w:pos="4986"/>
        <w:tab w:val="right" w:pos="9972"/>
      </w:tabs>
    </w:pPr>
  </w:style>
  <w:style w:type="paragraph" w:styleId="Footer">
    <w:name w:val="footer"/>
    <w:basedOn w:val="Normal"/>
    <w:link w:val="FooterChar"/>
    <w:rsid w:val="00A84C51"/>
    <w:pPr>
      <w:tabs>
        <w:tab w:val="center" w:pos="4986"/>
        <w:tab w:val="right" w:pos="9972"/>
      </w:tabs>
    </w:pPr>
  </w:style>
  <w:style w:type="character" w:styleId="PageNumber">
    <w:name w:val="page number"/>
    <w:basedOn w:val="DefaultParagraphFont"/>
    <w:rsid w:val="00A84C51"/>
  </w:style>
  <w:style w:type="character" w:styleId="Hyperlink">
    <w:name w:val="Hyperlink"/>
    <w:basedOn w:val="DefaultParagraphFont"/>
    <w:rsid w:val="00A84C51"/>
    <w:rPr>
      <w:color w:val="0000FF"/>
      <w:u w:val="single"/>
    </w:rPr>
  </w:style>
  <w:style w:type="paragraph" w:styleId="BalloonText">
    <w:name w:val="Balloon Text"/>
    <w:basedOn w:val="Normal"/>
    <w:semiHidden/>
    <w:rsid w:val="00EC2356"/>
    <w:rPr>
      <w:rFonts w:ascii="Tahoma" w:hAnsi="Tahoma" w:cs="Tahoma"/>
      <w:sz w:val="16"/>
      <w:szCs w:val="16"/>
    </w:rPr>
  </w:style>
  <w:style w:type="character" w:customStyle="1" w:styleId="FooterChar">
    <w:name w:val="Footer Char"/>
    <w:basedOn w:val="DefaultParagraphFont"/>
    <w:link w:val="Footer"/>
    <w:rsid w:val="00737E2D"/>
    <w:rPr>
      <w:sz w:val="24"/>
      <w:szCs w:val="24"/>
      <w:lang w:eastAsia="en-US"/>
    </w:rPr>
  </w:style>
  <w:style w:type="character" w:customStyle="1" w:styleId="Neapdorotaspaminjimas1">
    <w:name w:val="Neapdorotas paminėjimas1"/>
    <w:basedOn w:val="DefaultParagraphFont"/>
    <w:uiPriority w:val="99"/>
    <w:semiHidden/>
    <w:unhideWhenUsed/>
    <w:rsid w:val="00A31E86"/>
    <w:rPr>
      <w:color w:val="605E5C"/>
      <w:shd w:val="clear" w:color="auto" w:fill="E1DFDD"/>
    </w:rPr>
  </w:style>
  <w:style w:type="character" w:styleId="FollowedHyperlink">
    <w:name w:val="FollowedHyperlink"/>
    <w:basedOn w:val="DefaultParagraphFont"/>
    <w:semiHidden/>
    <w:unhideWhenUsed/>
    <w:rsid w:val="00A31E86"/>
    <w:rPr>
      <w:color w:val="800080" w:themeColor="followedHyperlink"/>
      <w:u w:val="single"/>
    </w:rPr>
  </w:style>
  <w:style w:type="table" w:styleId="TableGrid">
    <w:name w:val="Table Grid"/>
    <w:basedOn w:val="TableNormal"/>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C7012C"/>
    <w:rPr>
      <w:sz w:val="16"/>
      <w:szCs w:val="16"/>
    </w:rPr>
  </w:style>
  <w:style w:type="paragraph" w:styleId="CommentText">
    <w:name w:val="annotation text"/>
    <w:basedOn w:val="Normal"/>
    <w:link w:val="CommentTextChar"/>
    <w:unhideWhenUsed/>
    <w:rsid w:val="00C7012C"/>
    <w:rPr>
      <w:sz w:val="20"/>
      <w:szCs w:val="20"/>
    </w:rPr>
  </w:style>
  <w:style w:type="character" w:customStyle="1" w:styleId="CommentTextChar">
    <w:name w:val="Comment Text Char"/>
    <w:basedOn w:val="DefaultParagraphFont"/>
    <w:link w:val="CommentText"/>
    <w:rsid w:val="00C7012C"/>
    <w:rPr>
      <w:lang w:eastAsia="en-US"/>
    </w:rPr>
  </w:style>
  <w:style w:type="paragraph" w:styleId="CommentSubject">
    <w:name w:val="annotation subject"/>
    <w:basedOn w:val="CommentText"/>
    <w:next w:val="CommentText"/>
    <w:link w:val="CommentSubjectChar"/>
    <w:semiHidden/>
    <w:unhideWhenUsed/>
    <w:rsid w:val="00C7012C"/>
    <w:rPr>
      <w:b/>
      <w:bCs/>
    </w:rPr>
  </w:style>
  <w:style w:type="character" w:customStyle="1" w:styleId="CommentSubjectChar">
    <w:name w:val="Comment Subject Char"/>
    <w:basedOn w:val="CommentTextChar"/>
    <w:link w:val="CommentSubject"/>
    <w:semiHidden/>
    <w:rsid w:val="00C7012C"/>
    <w:rPr>
      <w:b/>
      <w:bCs/>
      <w:lang w:eastAsia="en-US"/>
    </w:rPr>
  </w:style>
  <w:style w:type="paragraph" w:styleId="ListParagraph">
    <w:name w:val="List Paragraph"/>
    <w:aliases w:val="Bullets Points,Table Header Row,Bullet Paragraph,Bullet Point,Dairy Paragraphe,Table Legend,Bullet List,Bullet1,Bullet 1,1. Bullet Blank,Bulleted - 2,List Paragraph CCT minutes,Section 5,Bullet List 2,Colorful List - Accent 11"/>
    <w:basedOn w:val="Normal"/>
    <w:link w:val="ListParagraphChar"/>
    <w:uiPriority w:val="34"/>
    <w:qFormat/>
    <w:rsid w:val="00104E2E"/>
    <w:pPr>
      <w:ind w:left="720"/>
      <w:contextualSpacing/>
    </w:pPr>
  </w:style>
  <w:style w:type="character" w:customStyle="1" w:styleId="Style2">
    <w:name w:val="Style2"/>
    <w:basedOn w:val="DefaultParagraphFont"/>
    <w:uiPriority w:val="1"/>
    <w:rsid w:val="00D6498C"/>
    <w:rPr>
      <w:sz w:val="32"/>
    </w:rPr>
  </w:style>
  <w:style w:type="character" w:styleId="PlaceholderText">
    <w:name w:val="Placeholder Text"/>
    <w:basedOn w:val="DefaultParagraphFont"/>
    <w:uiPriority w:val="99"/>
    <w:rsid w:val="00B13D65"/>
    <w:rPr>
      <w:color w:val="808080"/>
    </w:rPr>
  </w:style>
  <w:style w:type="paragraph" w:styleId="NoSpacing">
    <w:name w:val="No Spacing"/>
    <w:uiPriority w:val="1"/>
    <w:qFormat/>
    <w:rsid w:val="00B13D65"/>
    <w:rPr>
      <w:rFonts w:ascii="Calibri" w:eastAsia="Calibri" w:hAnsi="Calibri"/>
      <w:sz w:val="22"/>
      <w:szCs w:val="22"/>
      <w:lang w:eastAsia="en-US"/>
    </w:rPr>
  </w:style>
  <w:style w:type="table" w:customStyle="1" w:styleId="Lentelstinklelis1">
    <w:name w:val="Lentelės tinklelis1"/>
    <w:basedOn w:val="TableNormal"/>
    <w:next w:val="TableGrid"/>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76256"/>
    <w:rPr>
      <w:sz w:val="24"/>
      <w:szCs w:val="24"/>
      <w:lang w:eastAsia="en-US"/>
    </w:rPr>
  </w:style>
  <w:style w:type="character" w:customStyle="1" w:styleId="ListParagraphChar">
    <w:name w:val="List Paragraph Char"/>
    <w:aliases w:val="Bullets Points Char,Table Header Row Char,Bullet Paragraph Char,Bullet Point Char,Dairy Paragraphe Char,Table Legend Char,Bullet List Char,Bullet1 Char,Bullet 1 Char,1. Bullet Blank Char,Bulleted - 2 Char,Section 5 Char"/>
    <w:link w:val="ListParagraph"/>
    <w:uiPriority w:val="34"/>
    <w:qFormat/>
    <w:locked/>
    <w:rsid w:val="00700D6D"/>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50ABEBE75D4CCDB67A844FA6EA1492"/>
        <w:category>
          <w:name w:val="General"/>
          <w:gallery w:val="placeholder"/>
        </w:category>
        <w:types>
          <w:type w:val="bbPlcHdr"/>
        </w:types>
        <w:behaviors>
          <w:behavior w:val="content"/>
        </w:behaviors>
        <w:guid w:val="{37EC1896-10BB-4A40-BF77-FD58589129FB}"/>
      </w:docPartPr>
      <w:docPartBody>
        <w:p w:rsidR="00EF306E" w:rsidRDefault="00DF78E8" w:rsidP="00DF78E8">
          <w:pPr>
            <w:pStyle w:val="B950ABEBE75D4CCDB67A844FA6EA1492"/>
          </w:pPr>
          <w:r>
            <w:rPr>
              <w:rStyle w:val="PlaceholderText"/>
            </w:rPr>
            <w:t>Click here to enter a date.</w:t>
          </w:r>
        </w:p>
      </w:docPartBody>
    </w:docPart>
    <w:docPart>
      <w:docPartPr>
        <w:name w:val="E4ACCADE12E14D1A860F367BEA5E0A59"/>
        <w:category>
          <w:name w:val="General"/>
          <w:gallery w:val="placeholder"/>
        </w:category>
        <w:types>
          <w:type w:val="bbPlcHdr"/>
        </w:types>
        <w:behaviors>
          <w:behavior w:val="content"/>
        </w:behaviors>
        <w:guid w:val="{FF1795DE-2A52-4A45-B89E-4F4DA79A45D6}"/>
      </w:docPartPr>
      <w:docPartBody>
        <w:p w:rsidR="00EF306E" w:rsidRDefault="00DF78E8" w:rsidP="00DF78E8">
          <w:pPr>
            <w:pStyle w:val="E4ACCADE12E14D1A860F367BEA5E0A59"/>
          </w:pPr>
          <w:r>
            <w:rPr>
              <w:rStyle w:val="PlaceholderText"/>
            </w:rPr>
            <w:t>Click here to enter a date.</w:t>
          </w:r>
        </w:p>
      </w:docPartBody>
    </w:docPart>
    <w:docPart>
      <w:docPartPr>
        <w:name w:val="E59784658E2B4D23A41290B23E6CC0A4"/>
        <w:category>
          <w:name w:val="General"/>
          <w:gallery w:val="placeholder"/>
        </w:category>
        <w:types>
          <w:type w:val="bbPlcHdr"/>
        </w:types>
        <w:behaviors>
          <w:behavior w:val="content"/>
        </w:behaviors>
        <w:guid w:val="{FC1C7E75-C7A9-4E02-91C3-BECA46FA7FEB}"/>
      </w:docPartPr>
      <w:docPartBody>
        <w:p w:rsidR="00EF306E" w:rsidRDefault="00DF78E8" w:rsidP="00DF78E8">
          <w:pPr>
            <w:pStyle w:val="E59784658E2B4D23A41290B23E6CC0A4"/>
          </w:pPr>
          <w:r>
            <w:rPr>
              <w:rStyle w:val="PlaceholderText"/>
            </w:rPr>
            <w:t>Click here to enter a date.</w:t>
          </w:r>
        </w:p>
      </w:docPartBody>
    </w:docPart>
    <w:docPart>
      <w:docPartPr>
        <w:name w:val="DFA08DE21F184453BF252ACC1D35202F"/>
        <w:category>
          <w:name w:val="General"/>
          <w:gallery w:val="placeholder"/>
        </w:category>
        <w:types>
          <w:type w:val="bbPlcHdr"/>
        </w:types>
        <w:behaviors>
          <w:behavior w:val="content"/>
        </w:behaviors>
        <w:guid w:val="{9F0AA902-5F77-40BE-B799-EA6775CD91B6}"/>
      </w:docPartPr>
      <w:docPartBody>
        <w:p w:rsidR="00EF306E" w:rsidRDefault="00DF78E8" w:rsidP="00DF78E8">
          <w:pPr>
            <w:pStyle w:val="DFA08DE21F184453BF252ACC1D35202F"/>
          </w:pPr>
          <w:r>
            <w:rPr>
              <w:rStyle w:val="PlaceholderText"/>
            </w:rPr>
            <w:t>Click here to enter a date.</w:t>
          </w:r>
        </w:p>
      </w:docPartBody>
    </w:docPart>
    <w:docPart>
      <w:docPartPr>
        <w:name w:val="5E83F9081C1C49FF97B0677032F0B1D7"/>
        <w:category>
          <w:name w:val="General"/>
          <w:gallery w:val="placeholder"/>
        </w:category>
        <w:types>
          <w:type w:val="bbPlcHdr"/>
        </w:types>
        <w:behaviors>
          <w:behavior w:val="content"/>
        </w:behaviors>
        <w:guid w:val="{4B1E1831-0455-4FAD-8565-E6F546848AFE}"/>
      </w:docPartPr>
      <w:docPartBody>
        <w:p w:rsidR="00EF306E" w:rsidRDefault="00DF78E8" w:rsidP="00DF78E8">
          <w:pPr>
            <w:pStyle w:val="5E83F9081C1C49FF97B0677032F0B1D7"/>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DD"/>
    <w:rsid w:val="0001247F"/>
    <w:rsid w:val="00026F03"/>
    <w:rsid w:val="00061157"/>
    <w:rsid w:val="000937FE"/>
    <w:rsid w:val="000A3BDA"/>
    <w:rsid w:val="000A559A"/>
    <w:rsid w:val="000D24D4"/>
    <w:rsid w:val="001C35A9"/>
    <w:rsid w:val="00237556"/>
    <w:rsid w:val="0039303B"/>
    <w:rsid w:val="0039778F"/>
    <w:rsid w:val="004144A3"/>
    <w:rsid w:val="004160E7"/>
    <w:rsid w:val="004416C6"/>
    <w:rsid w:val="00476F65"/>
    <w:rsid w:val="004D17A6"/>
    <w:rsid w:val="004F5AB2"/>
    <w:rsid w:val="005074B9"/>
    <w:rsid w:val="005A355F"/>
    <w:rsid w:val="005A7C62"/>
    <w:rsid w:val="005E40DD"/>
    <w:rsid w:val="006E1938"/>
    <w:rsid w:val="007219C1"/>
    <w:rsid w:val="007324E5"/>
    <w:rsid w:val="00753462"/>
    <w:rsid w:val="00772325"/>
    <w:rsid w:val="007A2FE0"/>
    <w:rsid w:val="007C6D1D"/>
    <w:rsid w:val="007E48DC"/>
    <w:rsid w:val="0090074D"/>
    <w:rsid w:val="0091487D"/>
    <w:rsid w:val="0096701A"/>
    <w:rsid w:val="009B3BF0"/>
    <w:rsid w:val="009D5E5E"/>
    <w:rsid w:val="009F1BB4"/>
    <w:rsid w:val="00AB6ED4"/>
    <w:rsid w:val="00AC381F"/>
    <w:rsid w:val="00B12C9C"/>
    <w:rsid w:val="00B14210"/>
    <w:rsid w:val="00B23DC0"/>
    <w:rsid w:val="00B76A04"/>
    <w:rsid w:val="00B96656"/>
    <w:rsid w:val="00BE29C1"/>
    <w:rsid w:val="00C2401D"/>
    <w:rsid w:val="00C53A68"/>
    <w:rsid w:val="00C81F01"/>
    <w:rsid w:val="00C875E4"/>
    <w:rsid w:val="00CA5BB4"/>
    <w:rsid w:val="00CB34EB"/>
    <w:rsid w:val="00CB4BD1"/>
    <w:rsid w:val="00CE2DA9"/>
    <w:rsid w:val="00CE44BE"/>
    <w:rsid w:val="00D0547A"/>
    <w:rsid w:val="00D4356B"/>
    <w:rsid w:val="00D43BA7"/>
    <w:rsid w:val="00D7162F"/>
    <w:rsid w:val="00DB5608"/>
    <w:rsid w:val="00DF78E8"/>
    <w:rsid w:val="00E24F42"/>
    <w:rsid w:val="00E44A86"/>
    <w:rsid w:val="00E522EB"/>
    <w:rsid w:val="00E60827"/>
    <w:rsid w:val="00E67661"/>
    <w:rsid w:val="00E73FF6"/>
    <w:rsid w:val="00EF306E"/>
    <w:rsid w:val="00EF6E0C"/>
    <w:rsid w:val="00F4598C"/>
    <w:rsid w:val="00F549E2"/>
    <w:rsid w:val="00F55028"/>
    <w:rsid w:val="00F77BEF"/>
    <w:rsid w:val="00F82096"/>
    <w:rsid w:val="00FC755C"/>
    <w:rsid w:val="00FE0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F78E8"/>
    <w:rPr>
      <w:color w:val="808080"/>
    </w:rPr>
  </w:style>
  <w:style w:type="paragraph" w:customStyle="1" w:styleId="B950ABEBE75D4CCDB67A844FA6EA1492">
    <w:name w:val="B950ABEBE75D4CCDB67A844FA6EA1492"/>
    <w:rsid w:val="00DF78E8"/>
  </w:style>
  <w:style w:type="paragraph" w:customStyle="1" w:styleId="E4ACCADE12E14D1A860F367BEA5E0A59">
    <w:name w:val="E4ACCADE12E14D1A860F367BEA5E0A59"/>
    <w:rsid w:val="00DF78E8"/>
  </w:style>
  <w:style w:type="paragraph" w:customStyle="1" w:styleId="E59784658E2B4D23A41290B23E6CC0A4">
    <w:name w:val="E59784658E2B4D23A41290B23E6CC0A4"/>
    <w:rsid w:val="00DF78E8"/>
  </w:style>
  <w:style w:type="paragraph" w:customStyle="1" w:styleId="DFA08DE21F184453BF252ACC1D35202F">
    <w:name w:val="DFA08DE21F184453BF252ACC1D35202F"/>
    <w:rsid w:val="00DF78E8"/>
  </w:style>
  <w:style w:type="paragraph" w:customStyle="1" w:styleId="5E83F9081C1C49FF97B0677032F0B1D7">
    <w:name w:val="5E83F9081C1C49FF97B0677032F0B1D7"/>
    <w:rsid w:val="00DF78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AB1F1-D5CC-48D4-BC96-E9EE312CF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2836</Words>
  <Characters>19262</Characters>
  <Application>Microsoft Office Word</Application>
  <DocSecurity>0</DocSecurity>
  <Lines>160</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2025-03-18T19:43:00Z</dcterms:created>
  <dcterms:modified xsi:type="dcterms:W3CDTF">2025-03-18T19:43:00Z</dcterms:modified>
</cp:coreProperties>
</file>