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074AB6EA" w14:textId="77777777" w:rsidR="00AD4C1E" w:rsidRPr="00AD4C1E" w:rsidRDefault="00AD4C1E" w:rsidP="00AD4C1E">
      <w:pPr>
        <w:spacing w:line="276" w:lineRule="auto"/>
        <w:jc w:val="center"/>
        <w:rPr>
          <w:b/>
          <w:lang w:eastAsia="lt-LT"/>
        </w:rPr>
      </w:pPr>
      <w:r w:rsidRPr="00AD4C1E">
        <w:rPr>
          <w:b/>
          <w:lang w:eastAsia="lt-LT"/>
        </w:rPr>
        <w:t xml:space="preserve">Lynparza 100 mg ir 150 mg plėvele dengtos tabletės  </w:t>
      </w:r>
    </w:p>
    <w:p w14:paraId="5857EC86" w14:textId="77777777" w:rsidR="00AD4C1E" w:rsidRPr="00AD4C1E" w:rsidRDefault="00AD4C1E" w:rsidP="00AD4C1E">
      <w:pPr>
        <w:spacing w:line="276" w:lineRule="auto"/>
        <w:jc w:val="center"/>
        <w:rPr>
          <w:b/>
          <w:lang w:eastAsia="lt-LT"/>
        </w:rPr>
      </w:pPr>
      <w:r w:rsidRPr="00AD4C1E">
        <w:rPr>
          <w:b/>
          <w:lang w:eastAsia="lt-LT"/>
        </w:rPr>
        <w:t>(Olaparibas)</w:t>
      </w:r>
    </w:p>
    <w:p w14:paraId="4019C662" w14:textId="77777777" w:rsidR="00AD4C1E" w:rsidRPr="00AD4C1E" w:rsidRDefault="00AD4C1E" w:rsidP="00AD4C1E">
      <w:pPr>
        <w:spacing w:line="276" w:lineRule="auto"/>
        <w:jc w:val="center"/>
        <w:rPr>
          <w:b/>
          <w:lang w:eastAsia="lt-LT"/>
        </w:rPr>
      </w:pPr>
    </w:p>
    <w:p w14:paraId="1D98E530" w14:textId="37DC75DE" w:rsidR="00943E06" w:rsidRPr="00D05364" w:rsidRDefault="00AD4C1E" w:rsidP="00AD4C1E">
      <w:pPr>
        <w:spacing w:line="276" w:lineRule="auto"/>
        <w:jc w:val="center"/>
        <w:rPr>
          <w:b/>
        </w:rPr>
      </w:pPr>
      <w:r w:rsidRPr="00AD4C1E">
        <w:rPr>
          <w:b/>
          <w:lang w:eastAsia="lt-LT"/>
        </w:rPr>
        <w:t>Paraiškos numeris STV 173</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28F9F675" w:rsidR="00B13D65" w:rsidRPr="00E33EFF" w:rsidRDefault="008857B1" w:rsidP="00824B92">
            <w:pPr>
              <w:rPr>
                <w:rFonts w:eastAsia="Arial"/>
              </w:rPr>
            </w:pPr>
            <w:r w:rsidRPr="000C61B4">
              <w:t>Astra Zeneca UAB</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7BE77E1F" w:rsidR="00B13D65" w:rsidRPr="00E33EFF"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AA4538" w:rsidRPr="00AA4538">
                  <w:t>2014 m. gruodžio 16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AD3DD6" w:rsidRPr="00E33EFF" w14:paraId="274D1DAF" w14:textId="77777777" w:rsidTr="00BE7489">
        <w:trPr>
          <w:trHeight w:val="1922"/>
        </w:trPr>
        <w:tc>
          <w:tcPr>
            <w:tcW w:w="632" w:type="dxa"/>
          </w:tcPr>
          <w:p w14:paraId="17ABF217" w14:textId="14AC00D7" w:rsidR="00AD3DD6" w:rsidRPr="00E33EFF" w:rsidRDefault="00AD3DD6" w:rsidP="00AD3DD6">
            <w:pPr>
              <w:rPr>
                <w:rFonts w:eastAsia="Arial"/>
              </w:rPr>
            </w:pPr>
            <w:r w:rsidRPr="00E33EFF">
              <w:rPr>
                <w:rFonts w:eastAsia="Arial"/>
              </w:rPr>
              <w:t>1.6</w:t>
            </w:r>
          </w:p>
        </w:tc>
        <w:tc>
          <w:tcPr>
            <w:tcW w:w="3694" w:type="dxa"/>
          </w:tcPr>
          <w:p w14:paraId="4D49DBF5" w14:textId="77777777" w:rsidR="00AD3DD6" w:rsidRPr="00E33EFF" w:rsidRDefault="00AD3DD6" w:rsidP="00AD3DD6">
            <w:pPr>
              <w:rPr>
                <w:bCs/>
                <w:color w:val="000000"/>
                <w:lang w:eastAsia="lt-LT"/>
              </w:rPr>
            </w:pPr>
            <w:r w:rsidRPr="00E33EFF">
              <w:rPr>
                <w:bCs/>
                <w:color w:val="000000"/>
                <w:lang w:eastAsia="lt-LT"/>
              </w:rPr>
              <w:t>Pareiškėjo teikiama (-os) kompensuoti vaistinio preparato indikacija (-os)</w:t>
            </w:r>
          </w:p>
          <w:p w14:paraId="3FB07EE5" w14:textId="39AB446B" w:rsidR="00AD3DD6" w:rsidRDefault="00AD3DD6" w:rsidP="00AD3DD6">
            <w:pPr>
              <w:rPr>
                <w:bCs/>
                <w:color w:val="000000"/>
                <w:lang w:eastAsia="lt-LT"/>
              </w:rPr>
            </w:pPr>
          </w:p>
          <w:p w14:paraId="7A6C9F2C" w14:textId="6725AEFB" w:rsidR="00AD3DD6" w:rsidRDefault="00AD3DD6" w:rsidP="00AD3DD6">
            <w:pPr>
              <w:rPr>
                <w:bCs/>
                <w:color w:val="000000"/>
                <w:lang w:eastAsia="lt-LT"/>
              </w:rPr>
            </w:pPr>
          </w:p>
          <w:p w14:paraId="2BB6BD0F" w14:textId="16E59951" w:rsidR="00AD3DD6" w:rsidRDefault="00AD3DD6" w:rsidP="00AD3DD6">
            <w:pPr>
              <w:rPr>
                <w:bCs/>
                <w:color w:val="000000"/>
                <w:lang w:eastAsia="lt-LT"/>
              </w:rPr>
            </w:pPr>
          </w:p>
          <w:p w14:paraId="01377C9D" w14:textId="7EBC2898" w:rsidR="00AD3DD6" w:rsidRDefault="00AD3DD6" w:rsidP="00AD3DD6">
            <w:pPr>
              <w:rPr>
                <w:bCs/>
                <w:color w:val="000000"/>
                <w:lang w:eastAsia="lt-LT"/>
              </w:rPr>
            </w:pPr>
          </w:p>
          <w:p w14:paraId="136E50EC" w14:textId="09E9D927" w:rsidR="00AD3DD6" w:rsidRDefault="00AD3DD6" w:rsidP="00AD3DD6">
            <w:pPr>
              <w:rPr>
                <w:bCs/>
                <w:color w:val="000000"/>
                <w:lang w:eastAsia="lt-LT"/>
              </w:rPr>
            </w:pPr>
          </w:p>
          <w:p w14:paraId="6B3C527B" w14:textId="202D84A5" w:rsidR="00AD3DD6" w:rsidRDefault="00AD3DD6" w:rsidP="00AD3DD6">
            <w:pPr>
              <w:rPr>
                <w:bCs/>
                <w:color w:val="000000"/>
                <w:lang w:eastAsia="lt-LT"/>
              </w:rPr>
            </w:pPr>
          </w:p>
          <w:p w14:paraId="0D46828A" w14:textId="39583DB6" w:rsidR="00AD3DD6" w:rsidRDefault="00AD3DD6" w:rsidP="00AD3DD6">
            <w:pPr>
              <w:rPr>
                <w:bCs/>
                <w:color w:val="000000"/>
                <w:lang w:eastAsia="lt-LT"/>
              </w:rPr>
            </w:pPr>
          </w:p>
          <w:p w14:paraId="09443FF8" w14:textId="4D0006A9" w:rsidR="00AD3DD6" w:rsidRDefault="00AD3DD6" w:rsidP="00AD3DD6">
            <w:pPr>
              <w:rPr>
                <w:bCs/>
                <w:color w:val="000000"/>
                <w:lang w:eastAsia="lt-LT"/>
              </w:rPr>
            </w:pPr>
          </w:p>
          <w:p w14:paraId="150C5C6F" w14:textId="77777777" w:rsidR="00AD3DD6" w:rsidRDefault="00AD3DD6" w:rsidP="00AD3DD6">
            <w:pPr>
              <w:rPr>
                <w:bCs/>
                <w:color w:val="000000"/>
                <w:lang w:eastAsia="lt-LT"/>
              </w:rPr>
            </w:pPr>
          </w:p>
          <w:p w14:paraId="3A6B054C" w14:textId="77777777" w:rsidR="00AD3DD6" w:rsidRDefault="00AD3DD6" w:rsidP="00AD3DD6">
            <w:pPr>
              <w:rPr>
                <w:bCs/>
                <w:color w:val="000000"/>
                <w:lang w:eastAsia="lt-LT"/>
              </w:rPr>
            </w:pPr>
          </w:p>
          <w:p w14:paraId="6B4FEEC1" w14:textId="378668B0" w:rsidR="00AD3DD6" w:rsidRPr="00E33EFF" w:rsidRDefault="00AD3DD6" w:rsidP="00AD3DD6">
            <w:pPr>
              <w:rPr>
                <w:bCs/>
                <w:color w:val="000000"/>
                <w:lang w:eastAsia="lt-LT"/>
              </w:rPr>
            </w:pPr>
            <w:r w:rsidRPr="00E33EFF">
              <w:rPr>
                <w:bCs/>
                <w:color w:val="000000"/>
                <w:lang w:eastAsia="lt-LT"/>
              </w:rPr>
              <w:t>Kodas pagal TLK-10 AM</w:t>
            </w:r>
          </w:p>
        </w:tc>
        <w:tc>
          <w:tcPr>
            <w:tcW w:w="5167" w:type="dxa"/>
          </w:tcPr>
          <w:p w14:paraId="194F2B56" w14:textId="77777777" w:rsidR="00AD3DD6" w:rsidRDefault="00AD3DD6" w:rsidP="005B42DF">
            <w:pPr>
              <w:spacing w:after="120"/>
              <w:jc w:val="both"/>
            </w:pPr>
            <w:r w:rsidRPr="0048386C">
              <w:lastRenderedPageBreak/>
              <w:t xml:space="preserve">Lynparza derinyje su bevacizumabu skirtas palaikomajam gydymui suaugusiųjų pacienčių, sergančių pažengusiu (FIGO III ar IV stadijos) didelio piktybiškumo laipsnio epiteliniu kiaušidžių, kiaušintakių arba pirminiu pilvaplėvės vėžiu, kai yra pasireiškęs visiškas arba dalinis atsakas į baigtą pirmos eilės gydymą, kurį sudarė chemoterapija platinos pagrindu ir bevacizumabas, kai vėžys yra homologinės rekombinacijos deficitui (angl. </w:t>
            </w:r>
            <w:r w:rsidRPr="0048386C">
              <w:lastRenderedPageBreak/>
              <w:t>homologous recombination deficiency, HRD) teigiamos būklės, nulemtos BRCA1/2 mutacijos ir (arba) genomo nestabilumo.</w:t>
            </w:r>
          </w:p>
          <w:p w14:paraId="2934C7C6" w14:textId="68E0B531" w:rsidR="00CA1BD7" w:rsidRDefault="00CA1BD7" w:rsidP="005B42DF">
            <w:pPr>
              <w:spacing w:after="120"/>
              <w:jc w:val="both"/>
            </w:pPr>
            <w:r w:rsidRPr="0048386C">
              <w:rPr>
                <w:rFonts w:eastAsia="Arial"/>
              </w:rPr>
              <w:t>C56, C57.0 ir C48</w:t>
            </w:r>
          </w:p>
          <w:p w14:paraId="13F7DFB0" w14:textId="6666A48B" w:rsidR="00CA1BD7" w:rsidRPr="00E33EFF" w:rsidRDefault="00CA1BD7" w:rsidP="005B42DF">
            <w:pPr>
              <w:spacing w:after="120"/>
              <w:jc w:val="both"/>
            </w:pPr>
          </w:p>
        </w:tc>
      </w:tr>
      <w:tr w:rsidR="00AD3DD6" w:rsidRPr="00E33EFF" w14:paraId="2F79DC08" w14:textId="77777777" w:rsidTr="00BE7489">
        <w:trPr>
          <w:trHeight w:val="378"/>
        </w:trPr>
        <w:tc>
          <w:tcPr>
            <w:tcW w:w="632" w:type="dxa"/>
          </w:tcPr>
          <w:p w14:paraId="547885A2" w14:textId="08AA8055" w:rsidR="00AD3DD6" w:rsidRPr="00E33EFF" w:rsidRDefault="00AD3DD6" w:rsidP="00AD3DD6">
            <w:pPr>
              <w:rPr>
                <w:rFonts w:eastAsia="Arial"/>
              </w:rPr>
            </w:pPr>
            <w:r w:rsidRPr="00E33EFF">
              <w:rPr>
                <w:rFonts w:eastAsia="Arial"/>
              </w:rPr>
              <w:lastRenderedPageBreak/>
              <w:t>1.6</w:t>
            </w:r>
          </w:p>
        </w:tc>
        <w:tc>
          <w:tcPr>
            <w:tcW w:w="3694" w:type="dxa"/>
          </w:tcPr>
          <w:p w14:paraId="2EAB877F" w14:textId="39A36941" w:rsidR="00AD3DD6" w:rsidRPr="00E33EFF" w:rsidRDefault="00AD3DD6" w:rsidP="00AD3DD6">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4B155348" w:rsidR="00AD3DD6" w:rsidRPr="00E33EFF" w:rsidRDefault="00AD3DD6" w:rsidP="00AD3DD6">
            <w:r>
              <w:t>Neteikiamos</w:t>
            </w:r>
          </w:p>
        </w:tc>
      </w:tr>
      <w:tr w:rsidR="00AD3DD6" w:rsidRPr="00E33EFF" w14:paraId="3B125269" w14:textId="77777777" w:rsidTr="00BE7489">
        <w:trPr>
          <w:trHeight w:val="378"/>
        </w:trPr>
        <w:tc>
          <w:tcPr>
            <w:tcW w:w="632" w:type="dxa"/>
          </w:tcPr>
          <w:p w14:paraId="0058E11F" w14:textId="77777777" w:rsidR="00AD3DD6" w:rsidRPr="00E33EFF" w:rsidRDefault="00AD3DD6" w:rsidP="00AD3DD6">
            <w:pPr>
              <w:rPr>
                <w:rFonts w:eastAsia="Arial"/>
              </w:rPr>
            </w:pPr>
            <w:r w:rsidRPr="00E33EFF">
              <w:rPr>
                <w:rFonts w:eastAsia="Arial"/>
              </w:rPr>
              <w:t>1.7</w:t>
            </w:r>
          </w:p>
        </w:tc>
        <w:tc>
          <w:tcPr>
            <w:tcW w:w="3694" w:type="dxa"/>
          </w:tcPr>
          <w:p w14:paraId="738E1926" w14:textId="50A9DC79" w:rsidR="00AD3DD6" w:rsidRDefault="00AD3DD6" w:rsidP="00AD3DD6">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1F7BF92F" w14:textId="6E3AE3A9" w:rsidR="00AD3DD6" w:rsidRDefault="00AD3DD6" w:rsidP="00AD3DD6">
            <w:pPr>
              <w:rPr>
                <w:bCs/>
                <w:i/>
                <w:color w:val="000000"/>
                <w:lang w:eastAsia="lt-LT"/>
              </w:rPr>
            </w:pPr>
            <w:r w:rsidRPr="007C7519">
              <w:rPr>
                <w:bCs/>
                <w:i/>
                <w:color w:val="000000"/>
                <w:lang w:eastAsia="lt-LT"/>
              </w:rPr>
              <w:t>Tiesioginis</w:t>
            </w:r>
          </w:p>
          <w:p w14:paraId="643CC07B" w14:textId="2D7C9848" w:rsidR="00AD3DD6" w:rsidRDefault="00AD3DD6" w:rsidP="00AD3DD6">
            <w:pPr>
              <w:rPr>
                <w:bCs/>
                <w:i/>
                <w:color w:val="000000"/>
                <w:lang w:eastAsia="lt-LT"/>
              </w:rPr>
            </w:pPr>
          </w:p>
          <w:p w14:paraId="6CC1022E" w14:textId="2B6BCEE1" w:rsidR="00AD3DD6" w:rsidRPr="00E33EFF" w:rsidRDefault="00AD3DD6" w:rsidP="00AD3DD6">
            <w:pPr>
              <w:rPr>
                <w:bCs/>
                <w:color w:val="000000"/>
                <w:lang w:eastAsia="lt-LT"/>
              </w:rPr>
            </w:pPr>
          </w:p>
        </w:tc>
        <w:tc>
          <w:tcPr>
            <w:tcW w:w="5167" w:type="dxa"/>
          </w:tcPr>
          <w:p w14:paraId="3E389C70" w14:textId="22AFFC76" w:rsidR="00AD3DD6" w:rsidRDefault="00AD3DD6" w:rsidP="00AD3DD6">
            <w:pPr>
              <w:rPr>
                <w:rStyle w:val="Style2"/>
                <w:sz w:val="24"/>
              </w:rPr>
            </w:pPr>
          </w:p>
          <w:p w14:paraId="0AC43073" w14:textId="77777777" w:rsidR="00AD3DD6" w:rsidRPr="00E33EFF" w:rsidRDefault="00AD3DD6" w:rsidP="00AD3DD6"/>
          <w:p w14:paraId="2383573D" w14:textId="231606A5" w:rsidR="00AD3DD6" w:rsidRPr="00E33EFF" w:rsidRDefault="00000000" w:rsidP="00AD3DD6">
            <w:sdt>
              <w:sdtPr>
                <w:rPr>
                  <w:rStyle w:val="Style2"/>
                  <w:sz w:val="24"/>
                </w:rPr>
                <w:id w:val="-439376113"/>
                <w15:color w:val="FFCC00"/>
                <w14:checkbox>
                  <w14:checked w14:val="1"/>
                  <w14:checkedState w14:val="2612" w14:font="MS Gothic"/>
                  <w14:uncheckedState w14:val="2610" w14:font="MS Gothic"/>
                </w14:checkbox>
              </w:sdtPr>
              <w:sdtContent>
                <w:r w:rsidR="00AD3DD6">
                  <w:rPr>
                    <w:rStyle w:val="Style2"/>
                    <w:rFonts w:ascii="MS Gothic" w:eastAsia="MS Gothic" w:hAnsi="MS Gothic" w:hint="eastAsia"/>
                    <w:sz w:val="24"/>
                  </w:rPr>
                  <w:t>☒</w:t>
                </w:r>
              </w:sdtContent>
            </w:sdt>
            <w:r w:rsidR="00AD3DD6" w:rsidRPr="00E33EFF">
              <w:t xml:space="preserve"> Tinkamas</w:t>
            </w:r>
          </w:p>
          <w:p w14:paraId="5474EFC4" w14:textId="13E664CE" w:rsidR="00AD3DD6" w:rsidRDefault="00000000" w:rsidP="00AD3DD6">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AD3DD6">
                  <w:rPr>
                    <w:rStyle w:val="Style2"/>
                    <w:rFonts w:ascii="MS Gothic" w:eastAsia="MS Gothic" w:hAnsi="MS Gothic" w:hint="eastAsia"/>
                    <w:sz w:val="24"/>
                  </w:rPr>
                  <w:t>☐</w:t>
                </w:r>
              </w:sdtContent>
            </w:sdt>
            <w:r w:rsidR="00AD3DD6" w:rsidRPr="00E33EFF">
              <w:t xml:space="preserve"> Netinkama</w:t>
            </w:r>
            <w:r w:rsidR="00AD3DD6">
              <w:t>s</w:t>
            </w:r>
          </w:p>
          <w:p w14:paraId="41B44044" w14:textId="59EEB2A1" w:rsidR="00AD3DD6" w:rsidRPr="00E33EFF" w:rsidRDefault="00AD3DD6" w:rsidP="00AD3DD6"/>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743D5C3B" w14:textId="77777777" w:rsidR="00E26876" w:rsidRPr="0048386C" w:rsidRDefault="00E26876" w:rsidP="00E26876">
      <w:pPr>
        <w:spacing w:line="276" w:lineRule="auto"/>
        <w:rPr>
          <w:rFonts w:eastAsia="Arial"/>
        </w:rPr>
      </w:pPr>
    </w:p>
    <w:tbl>
      <w:tblPr>
        <w:tblStyle w:val="TableGrid"/>
        <w:tblW w:w="9918" w:type="dxa"/>
        <w:tblLook w:val="04A0" w:firstRow="1" w:lastRow="0" w:firstColumn="1" w:lastColumn="0" w:noHBand="0" w:noVBand="1"/>
      </w:tblPr>
      <w:tblGrid>
        <w:gridCol w:w="2806"/>
        <w:gridCol w:w="1784"/>
        <w:gridCol w:w="2635"/>
        <w:gridCol w:w="2693"/>
      </w:tblGrid>
      <w:tr w:rsidR="00E26876" w:rsidRPr="0048386C" w14:paraId="16363AD4" w14:textId="77777777" w:rsidTr="005C7466">
        <w:trPr>
          <w:trHeight w:val="924"/>
        </w:trPr>
        <w:tc>
          <w:tcPr>
            <w:tcW w:w="2806" w:type="dxa"/>
          </w:tcPr>
          <w:p w14:paraId="710837A5" w14:textId="77777777" w:rsidR="00E26876" w:rsidRPr="0048386C" w:rsidRDefault="00E26876" w:rsidP="005C7466">
            <w:pPr>
              <w:spacing w:line="276" w:lineRule="auto"/>
              <w:rPr>
                <w:rFonts w:eastAsia="Arial"/>
              </w:rPr>
            </w:pPr>
            <w:r w:rsidRPr="0048386C">
              <w:rPr>
                <w:rFonts w:eastAsia="Arial"/>
              </w:rPr>
              <w:t>STV agentūros pavadinimas, šalis</w:t>
            </w:r>
          </w:p>
        </w:tc>
        <w:tc>
          <w:tcPr>
            <w:tcW w:w="1784" w:type="dxa"/>
          </w:tcPr>
          <w:p w14:paraId="634BAAA7" w14:textId="77777777" w:rsidR="00E26876" w:rsidRPr="0048386C" w:rsidRDefault="00E26876" w:rsidP="005C7466">
            <w:pPr>
              <w:spacing w:line="276" w:lineRule="auto"/>
              <w:rPr>
                <w:rFonts w:eastAsia="Arial"/>
              </w:rPr>
            </w:pPr>
            <w:r w:rsidRPr="0048386C">
              <w:rPr>
                <w:rFonts w:eastAsia="Arial"/>
              </w:rPr>
              <w:t>STV vertinimas atliktas</w:t>
            </w:r>
          </w:p>
        </w:tc>
        <w:tc>
          <w:tcPr>
            <w:tcW w:w="2635" w:type="dxa"/>
          </w:tcPr>
          <w:p w14:paraId="68DEB04B" w14:textId="77777777" w:rsidR="00E26876" w:rsidRPr="0048386C" w:rsidRDefault="00E26876" w:rsidP="005C7466">
            <w:pPr>
              <w:spacing w:line="276" w:lineRule="auto"/>
              <w:rPr>
                <w:rFonts w:eastAsia="Arial"/>
              </w:rPr>
            </w:pPr>
            <w:r w:rsidRPr="0048386C">
              <w:rPr>
                <w:rFonts w:eastAsia="Arial"/>
              </w:rPr>
              <w:t>Klinikinio vertinimo išvada</w:t>
            </w:r>
          </w:p>
        </w:tc>
        <w:tc>
          <w:tcPr>
            <w:tcW w:w="2693" w:type="dxa"/>
          </w:tcPr>
          <w:p w14:paraId="421E0F1A" w14:textId="77777777" w:rsidR="00E26876" w:rsidRPr="0048386C" w:rsidRDefault="00E26876" w:rsidP="005C7466">
            <w:pPr>
              <w:spacing w:line="276" w:lineRule="auto"/>
              <w:rPr>
                <w:rFonts w:eastAsia="Arial"/>
              </w:rPr>
            </w:pPr>
            <w:r w:rsidRPr="0048386C">
              <w:rPr>
                <w:rFonts w:eastAsia="Arial"/>
              </w:rPr>
              <w:t>Farmakoekonominio vertinimo išvada</w:t>
            </w:r>
          </w:p>
        </w:tc>
      </w:tr>
      <w:tr w:rsidR="00E26876" w:rsidRPr="0048386C" w14:paraId="3DB4B96E" w14:textId="77777777" w:rsidTr="005C7466">
        <w:trPr>
          <w:trHeight w:val="1765"/>
        </w:trPr>
        <w:tc>
          <w:tcPr>
            <w:tcW w:w="2806" w:type="dxa"/>
          </w:tcPr>
          <w:p w14:paraId="397B9D73" w14:textId="77777777" w:rsidR="00E26876" w:rsidRPr="0048386C" w:rsidRDefault="00E26876" w:rsidP="005C7466">
            <w:pPr>
              <w:autoSpaceDE w:val="0"/>
              <w:autoSpaceDN w:val="0"/>
              <w:adjustRightInd w:val="0"/>
              <w:rPr>
                <w:bCs/>
              </w:rPr>
            </w:pPr>
            <w:r w:rsidRPr="0048386C">
              <w:rPr>
                <w:bCs/>
              </w:rPr>
              <w:t>Nacionalinis sveikatos ir klinikinės kompetencijos institutas, Didžioji Britanija</w:t>
            </w:r>
          </w:p>
          <w:p w14:paraId="565414BA" w14:textId="77777777" w:rsidR="00E26876" w:rsidRPr="0048386C" w:rsidRDefault="00E26876" w:rsidP="005C7466">
            <w:pPr>
              <w:spacing w:line="276" w:lineRule="auto"/>
              <w:rPr>
                <w:rFonts w:eastAsia="Arial"/>
              </w:rPr>
            </w:pPr>
            <w:r w:rsidRPr="0048386C">
              <w:rPr>
                <w:rFonts w:eastAsia="Arial"/>
              </w:rPr>
              <w:t xml:space="preserve">(angl. </w:t>
            </w:r>
            <w:r w:rsidRPr="0048386C">
              <w:rPr>
                <w:rFonts w:eastAsia="Arial"/>
                <w:i/>
              </w:rPr>
              <w:t>National Institute for Health and Care Excellence, NICE</w:t>
            </w:r>
            <w:r w:rsidRPr="0048386C">
              <w:rPr>
                <w:rFonts w:eastAsia="Arial"/>
              </w:rPr>
              <w:t>)</w:t>
            </w:r>
          </w:p>
        </w:tc>
        <w:tc>
          <w:tcPr>
            <w:tcW w:w="1784" w:type="dxa"/>
          </w:tcPr>
          <w:p w14:paraId="72ABF623" w14:textId="77777777" w:rsidR="00E26876" w:rsidRPr="0048386C" w:rsidRDefault="00000000" w:rsidP="005C7466">
            <w:sdt>
              <w:sdtPr>
                <w:rPr>
                  <w:rStyle w:val="Style2"/>
                </w:rPr>
                <w:id w:val="1558205022"/>
                <w15:color w:val="FFCC00"/>
                <w14:checkbox>
                  <w14:checked w14:val="1"/>
                  <w14:checkedState w14:val="2612" w14:font="MS Gothic"/>
                  <w14:uncheckedState w14:val="2610" w14:font="MS Gothic"/>
                </w14:checkbox>
              </w:sdtPr>
              <w:sdtContent>
                <w:r w:rsidR="00E26876">
                  <w:rPr>
                    <w:rStyle w:val="Style2"/>
                    <w:rFonts w:ascii="MS Gothic" w:eastAsia="MS Gothic" w:hAnsi="MS Gothic" w:hint="eastAsia"/>
                  </w:rPr>
                  <w:t>☒</w:t>
                </w:r>
              </w:sdtContent>
            </w:sdt>
            <w:r w:rsidR="00E26876" w:rsidRPr="0048386C">
              <w:t xml:space="preserve"> Taip</w:t>
            </w:r>
          </w:p>
          <w:p w14:paraId="4A0EA35C" w14:textId="77777777" w:rsidR="00E26876" w:rsidRPr="0048386C" w:rsidRDefault="00000000" w:rsidP="005C7466">
            <w:sdt>
              <w:sdtPr>
                <w:rPr>
                  <w:rStyle w:val="Style2"/>
                </w:rPr>
                <w:id w:val="866029625"/>
                <w15:color w:val="FFCC00"/>
                <w14:checkbox>
                  <w14:checked w14:val="0"/>
                  <w14:checkedState w14:val="2612" w14:font="MS Gothic"/>
                  <w14:uncheckedState w14:val="2610" w14:font="MS Gothic"/>
                </w14:checkbox>
              </w:sdtPr>
              <w:sdtContent>
                <w:r w:rsidR="00E26876" w:rsidRPr="0048386C">
                  <w:rPr>
                    <w:rStyle w:val="Style2"/>
                    <w:rFonts w:ascii="MS Gothic" w:eastAsia="MS Gothic" w:hAnsi="MS Gothic"/>
                  </w:rPr>
                  <w:t>☐</w:t>
                </w:r>
              </w:sdtContent>
            </w:sdt>
            <w:r w:rsidR="00E26876" w:rsidRPr="0048386C">
              <w:t xml:space="preserve"> Ne</w:t>
            </w:r>
          </w:p>
          <w:p w14:paraId="2E9DE9FF" w14:textId="77777777" w:rsidR="00E26876" w:rsidRPr="0048386C" w:rsidRDefault="00000000" w:rsidP="005C7466">
            <w:pPr>
              <w:rPr>
                <w:rFonts w:eastAsia="Arial"/>
              </w:rPr>
            </w:pPr>
            <w:sdt>
              <w:sdtPr>
                <w:alias w:val="Nurodykite konkrečią dieną"/>
                <w:tag w:val="Nurodykite pradžios datą"/>
                <w:id w:val="922837954"/>
                <w:placeholder>
                  <w:docPart w:val="AAFCD767213B4CF7A7D1D5EFBC0F9252"/>
                </w:placeholder>
                <w15:color w:val="FFCC99"/>
                <w:date w:fullDate="2024-01-17T00:00:00Z">
                  <w:dateFormat w:val="yyyy 'm.' MMMM d 'd.'"/>
                  <w:lid w:val="lt-LT"/>
                  <w:storeMappedDataAs w:val="dateTime"/>
                  <w:calendar w:val="gregorian"/>
                </w:date>
              </w:sdtPr>
              <w:sdtContent>
                <w:r w:rsidR="00E26876">
                  <w:t>2024 m. sausio 17 d.</w:t>
                </w:r>
              </w:sdtContent>
            </w:sdt>
          </w:p>
        </w:tc>
        <w:tc>
          <w:tcPr>
            <w:tcW w:w="2635" w:type="dxa"/>
          </w:tcPr>
          <w:p w14:paraId="7B26B2DA" w14:textId="5689B744" w:rsidR="00E26876" w:rsidRPr="00146B8B" w:rsidRDefault="00E26876" w:rsidP="005C7466">
            <w:pPr>
              <w:spacing w:line="276" w:lineRule="auto"/>
              <w:rPr>
                <w:rFonts w:eastAsia="Arial"/>
              </w:rPr>
            </w:pPr>
            <w:r w:rsidRPr="00146B8B">
              <w:rPr>
                <w:rFonts w:eastAsia="Arial"/>
              </w:rPr>
              <w:t>Olaparibas derinyje su bevacizumabu skiriamas palaikomajam gydymui suaugusiems pacientams, sergantiems didelio piktybiškumo laipsnio epiteliniu kiaušidžių, kiaušintakių arba pirminiu pilvaplėvės vėžiu, kai buvo nustatytas</w:t>
            </w:r>
          </w:p>
          <w:p w14:paraId="16A83F85" w14:textId="77777777" w:rsidR="00E26876" w:rsidRPr="00146B8B" w:rsidRDefault="00E26876" w:rsidP="005C7466">
            <w:pPr>
              <w:spacing w:line="276" w:lineRule="auto"/>
              <w:rPr>
                <w:rFonts w:eastAsia="Arial"/>
              </w:rPr>
            </w:pPr>
            <w:r w:rsidRPr="00146B8B">
              <w:rPr>
                <w:rFonts w:eastAsia="Arial"/>
              </w:rPr>
              <w:t>o</w:t>
            </w:r>
            <w:r w:rsidRPr="00146B8B">
              <w:rPr>
                <w:rFonts w:eastAsia="Arial"/>
              </w:rPr>
              <w:tab/>
              <w:t xml:space="preserve">pilnas arba dalinis atsakas </w:t>
            </w:r>
            <w:r>
              <w:rPr>
                <w:rFonts w:eastAsia="Arial"/>
              </w:rPr>
              <w:t>po</w:t>
            </w:r>
            <w:r w:rsidRPr="00146B8B">
              <w:rPr>
                <w:rFonts w:eastAsia="Arial"/>
              </w:rPr>
              <w:t xml:space="preserve"> pirmos eilės gydymą chemoterapija platinos pagrindu ir bevacizumabu,</w:t>
            </w:r>
          </w:p>
          <w:p w14:paraId="4F99A190" w14:textId="77777777" w:rsidR="00E26876" w:rsidRDefault="00E26876" w:rsidP="005C7466">
            <w:pPr>
              <w:spacing w:line="276" w:lineRule="auto"/>
              <w:rPr>
                <w:rFonts w:eastAsia="Arial"/>
              </w:rPr>
            </w:pPr>
            <w:r w:rsidRPr="00146B8B">
              <w:rPr>
                <w:rFonts w:eastAsia="Arial"/>
              </w:rPr>
              <w:t>o</w:t>
            </w:r>
            <w:r w:rsidRPr="00146B8B">
              <w:rPr>
                <w:rFonts w:eastAsia="Arial"/>
              </w:rPr>
              <w:tab/>
              <w:t>pažengęs vėžys</w:t>
            </w:r>
            <w:r>
              <w:rPr>
                <w:rFonts w:eastAsia="Arial"/>
              </w:rPr>
              <w:t>;</w:t>
            </w:r>
          </w:p>
          <w:p w14:paraId="53D7FFC2" w14:textId="77777777" w:rsidR="00E26876" w:rsidRPr="0048386C" w:rsidRDefault="00E26876" w:rsidP="005C7466">
            <w:pPr>
              <w:spacing w:line="276" w:lineRule="auto"/>
              <w:rPr>
                <w:rFonts w:eastAsia="Arial"/>
              </w:rPr>
            </w:pPr>
            <w:r w:rsidRPr="00146B8B">
              <w:rPr>
                <w:rFonts w:eastAsia="Arial"/>
              </w:rPr>
              <w:t>o</w:t>
            </w:r>
            <w:r w:rsidRPr="00146B8B">
              <w:rPr>
                <w:rFonts w:eastAsia="Arial"/>
              </w:rPr>
              <w:tab/>
              <w:t>teigiamas naviko homologinės rekombinacijos nepakankamumas, t.y. BRCA1/ BRCA2 ir/arba genomo nestabilumas.</w:t>
            </w:r>
          </w:p>
        </w:tc>
        <w:tc>
          <w:tcPr>
            <w:tcW w:w="2693" w:type="dxa"/>
          </w:tcPr>
          <w:p w14:paraId="207B8547" w14:textId="7F775E67" w:rsidR="00E26876" w:rsidRPr="0048386C" w:rsidRDefault="00E26876" w:rsidP="005C7466">
            <w:pPr>
              <w:spacing w:line="276" w:lineRule="auto"/>
              <w:rPr>
                <w:rFonts w:eastAsia="Arial"/>
              </w:rPr>
            </w:pPr>
            <w:r>
              <w:rPr>
                <w:rFonts w:eastAsia="Arial"/>
              </w:rPr>
              <w:t>Olaparibo kompensavimas rekomenduojamas tik tuo atveju, jei pareiškėjas pasirašys komercinį su</w:t>
            </w:r>
            <w:r w:rsidR="006840B0">
              <w:rPr>
                <w:rFonts w:eastAsia="Arial"/>
              </w:rPr>
              <w:t>sitarim</w:t>
            </w:r>
            <w:r w:rsidR="00D632D2">
              <w:rPr>
                <w:rFonts w:eastAsia="Arial"/>
              </w:rPr>
              <w:t>ą</w:t>
            </w:r>
            <w:r w:rsidR="006840B0">
              <w:rPr>
                <w:rFonts w:eastAsia="Arial"/>
              </w:rPr>
              <w:t>.</w:t>
            </w:r>
          </w:p>
        </w:tc>
      </w:tr>
      <w:tr w:rsidR="00E26876" w:rsidRPr="0048386C" w14:paraId="50B95F99" w14:textId="77777777" w:rsidTr="005C7466">
        <w:trPr>
          <w:trHeight w:val="1547"/>
        </w:trPr>
        <w:tc>
          <w:tcPr>
            <w:tcW w:w="2806" w:type="dxa"/>
          </w:tcPr>
          <w:p w14:paraId="593A731F" w14:textId="77777777" w:rsidR="00E26876" w:rsidRPr="0048386C" w:rsidRDefault="00E26876" w:rsidP="005C7466">
            <w:pPr>
              <w:spacing w:line="276" w:lineRule="auto"/>
              <w:rPr>
                <w:rFonts w:eastAsia="Arial"/>
              </w:rPr>
            </w:pPr>
            <w:r w:rsidRPr="0048386C">
              <w:rPr>
                <w:rFonts w:eastAsia="Arial"/>
              </w:rPr>
              <w:lastRenderedPageBreak/>
              <w:t>Kanados sveikatos technologijų agentūra</w:t>
            </w:r>
          </w:p>
          <w:p w14:paraId="325F5503" w14:textId="77777777" w:rsidR="00E26876" w:rsidRPr="0048386C" w:rsidRDefault="00E26876" w:rsidP="005C7466">
            <w:pPr>
              <w:spacing w:line="276" w:lineRule="auto"/>
              <w:rPr>
                <w:rFonts w:eastAsia="Arial"/>
              </w:rPr>
            </w:pPr>
            <w:r w:rsidRPr="0048386C">
              <w:rPr>
                <w:rFonts w:eastAsia="Arial"/>
              </w:rPr>
              <w:t xml:space="preserve">(angl. </w:t>
            </w:r>
            <w:r w:rsidRPr="0048386C">
              <w:rPr>
                <w:rFonts w:eastAsia="Arial"/>
                <w:i/>
              </w:rPr>
              <w:t>Canadian health Technology Assessment agency, CADTH</w:t>
            </w:r>
            <w:r w:rsidRPr="0048386C">
              <w:rPr>
                <w:rFonts w:eastAsia="Arial"/>
              </w:rPr>
              <w:t>)</w:t>
            </w:r>
          </w:p>
        </w:tc>
        <w:tc>
          <w:tcPr>
            <w:tcW w:w="1784" w:type="dxa"/>
          </w:tcPr>
          <w:p w14:paraId="0E4D2B62" w14:textId="77777777" w:rsidR="00E26876" w:rsidRPr="0048386C" w:rsidRDefault="00000000" w:rsidP="005C7466">
            <w:sdt>
              <w:sdtPr>
                <w:rPr>
                  <w:rStyle w:val="Style2"/>
                </w:rPr>
                <w:id w:val="-372539057"/>
                <w15:color w:val="FFCC00"/>
                <w14:checkbox>
                  <w14:checked w14:val="0"/>
                  <w14:checkedState w14:val="2612" w14:font="MS Gothic"/>
                  <w14:uncheckedState w14:val="2610" w14:font="MS Gothic"/>
                </w14:checkbox>
              </w:sdtPr>
              <w:sdtContent>
                <w:r w:rsidR="00E26876" w:rsidRPr="0048386C">
                  <w:rPr>
                    <w:rStyle w:val="Style2"/>
                    <w:rFonts w:ascii="Segoe UI Symbol" w:eastAsia="MS Gothic" w:hAnsi="Segoe UI Symbol" w:cs="Segoe UI Symbol"/>
                  </w:rPr>
                  <w:t>☐</w:t>
                </w:r>
              </w:sdtContent>
            </w:sdt>
            <w:r w:rsidR="00E26876" w:rsidRPr="0048386C">
              <w:t xml:space="preserve"> Taip</w:t>
            </w:r>
          </w:p>
          <w:p w14:paraId="41861988" w14:textId="77777777" w:rsidR="00E26876" w:rsidRPr="0048386C" w:rsidRDefault="00000000" w:rsidP="005C7466">
            <w:sdt>
              <w:sdtPr>
                <w:rPr>
                  <w:rStyle w:val="Style2"/>
                </w:rPr>
                <w:id w:val="594442222"/>
                <w15:color w:val="FFCC00"/>
                <w14:checkbox>
                  <w14:checked w14:val="1"/>
                  <w14:checkedState w14:val="2612" w14:font="MS Gothic"/>
                  <w14:uncheckedState w14:val="2610" w14:font="MS Gothic"/>
                </w14:checkbox>
              </w:sdtPr>
              <w:sdtContent>
                <w:r w:rsidR="00E26876">
                  <w:rPr>
                    <w:rStyle w:val="Style2"/>
                    <w:rFonts w:ascii="MS Gothic" w:eastAsia="MS Gothic" w:hAnsi="MS Gothic" w:hint="eastAsia"/>
                  </w:rPr>
                  <w:t>☒</w:t>
                </w:r>
              </w:sdtContent>
            </w:sdt>
            <w:r w:rsidR="00E26876" w:rsidRPr="0048386C">
              <w:t xml:space="preserve"> Ne</w:t>
            </w:r>
          </w:p>
          <w:p w14:paraId="508E4275" w14:textId="77777777" w:rsidR="00E26876" w:rsidRPr="0048386C" w:rsidRDefault="00000000" w:rsidP="005C7466">
            <w:pPr>
              <w:spacing w:line="276" w:lineRule="auto"/>
              <w:rPr>
                <w:rFonts w:eastAsia="Arial"/>
              </w:rPr>
            </w:pPr>
            <w:sdt>
              <w:sdtPr>
                <w:alias w:val="Nurodykite konkrečią dieną"/>
                <w:tag w:val="Nurodykite pradžios datą"/>
                <w:id w:val="1072468416"/>
                <w:placeholder>
                  <w:docPart w:val="3BB7BBA31507418BA7C3FB69A0A31613"/>
                </w:placeholder>
                <w:showingPlcHdr/>
                <w15:color w:val="FFCC99"/>
                <w:date w:fullDate="2022-05-18T00:00:00Z">
                  <w:dateFormat w:val="yyyy 'm.' MMMM d 'd.'"/>
                  <w:lid w:val="lt-LT"/>
                  <w:storeMappedDataAs w:val="dateTime"/>
                  <w:calendar w:val="gregorian"/>
                </w:date>
              </w:sdtPr>
              <w:sdtContent>
                <w:r w:rsidR="00E26876" w:rsidRPr="0048386C">
                  <w:rPr>
                    <w:rStyle w:val="PlaceholderText"/>
                  </w:rPr>
                  <w:t>Click here to enter a date.</w:t>
                </w:r>
              </w:sdtContent>
            </w:sdt>
          </w:p>
        </w:tc>
        <w:tc>
          <w:tcPr>
            <w:tcW w:w="2635" w:type="dxa"/>
          </w:tcPr>
          <w:p w14:paraId="7C986A5A" w14:textId="77777777" w:rsidR="00E26876" w:rsidRPr="0048386C" w:rsidRDefault="00E26876" w:rsidP="005C7466">
            <w:pPr>
              <w:spacing w:line="276" w:lineRule="auto"/>
              <w:rPr>
                <w:rFonts w:eastAsia="Arial"/>
              </w:rPr>
            </w:pPr>
          </w:p>
        </w:tc>
        <w:tc>
          <w:tcPr>
            <w:tcW w:w="2693" w:type="dxa"/>
          </w:tcPr>
          <w:p w14:paraId="7E34F574" w14:textId="77777777" w:rsidR="00E26876" w:rsidRPr="0048386C" w:rsidRDefault="00E26876" w:rsidP="005C7466">
            <w:pPr>
              <w:spacing w:line="276" w:lineRule="auto"/>
              <w:rPr>
                <w:rFonts w:eastAsia="Arial"/>
              </w:rPr>
            </w:pPr>
          </w:p>
        </w:tc>
      </w:tr>
      <w:tr w:rsidR="00E26876" w:rsidRPr="0048386C" w14:paraId="520DFC19" w14:textId="77777777" w:rsidTr="005C7466">
        <w:trPr>
          <w:trHeight w:val="1927"/>
        </w:trPr>
        <w:tc>
          <w:tcPr>
            <w:tcW w:w="2806" w:type="dxa"/>
          </w:tcPr>
          <w:p w14:paraId="72953F2E" w14:textId="77777777" w:rsidR="00E26876" w:rsidRPr="0048386C" w:rsidRDefault="00E26876" w:rsidP="005C7466">
            <w:pPr>
              <w:spacing w:line="276" w:lineRule="auto"/>
              <w:rPr>
                <w:rFonts w:eastAsia="Arial"/>
              </w:rPr>
            </w:pPr>
            <w:r w:rsidRPr="0048386C">
              <w:rPr>
                <w:rFonts w:eastAsia="Arial"/>
              </w:rPr>
              <w:t>Nacionalinis farmakoekonomikos centras, Airija</w:t>
            </w:r>
          </w:p>
          <w:p w14:paraId="62A5B64E" w14:textId="77777777" w:rsidR="00E26876" w:rsidRPr="0048386C" w:rsidRDefault="00E26876" w:rsidP="005C7466">
            <w:pPr>
              <w:spacing w:line="276" w:lineRule="auto"/>
              <w:rPr>
                <w:rFonts w:eastAsia="Arial"/>
              </w:rPr>
            </w:pPr>
            <w:r w:rsidRPr="0048386C">
              <w:rPr>
                <w:rFonts w:eastAsia="Arial"/>
              </w:rPr>
              <w:t>(angl.</w:t>
            </w:r>
            <w:r w:rsidRPr="0048386C">
              <w:rPr>
                <w:rFonts w:eastAsia="Arial"/>
                <w:i/>
              </w:rPr>
              <w:t xml:space="preserve"> National Centre for Pharmacoeconomics, NCPE</w:t>
            </w:r>
            <w:r w:rsidRPr="0048386C">
              <w:rPr>
                <w:rFonts w:eastAsia="Arial"/>
              </w:rPr>
              <w:t>)</w:t>
            </w:r>
          </w:p>
        </w:tc>
        <w:tc>
          <w:tcPr>
            <w:tcW w:w="1784" w:type="dxa"/>
          </w:tcPr>
          <w:p w14:paraId="0A4FAC13" w14:textId="77777777" w:rsidR="00E26876" w:rsidRPr="0048386C" w:rsidRDefault="00000000" w:rsidP="005C7466">
            <w:sdt>
              <w:sdtPr>
                <w:rPr>
                  <w:rStyle w:val="Style2"/>
                </w:rPr>
                <w:id w:val="-1888403732"/>
                <w15:color w:val="FFCC00"/>
                <w14:checkbox>
                  <w14:checked w14:val="1"/>
                  <w14:checkedState w14:val="2612" w14:font="MS Gothic"/>
                  <w14:uncheckedState w14:val="2610" w14:font="MS Gothic"/>
                </w14:checkbox>
              </w:sdtPr>
              <w:sdtContent>
                <w:r w:rsidR="00E26876">
                  <w:rPr>
                    <w:rStyle w:val="Style2"/>
                    <w:rFonts w:ascii="MS Gothic" w:eastAsia="MS Gothic" w:hAnsi="MS Gothic" w:hint="eastAsia"/>
                  </w:rPr>
                  <w:t>☒</w:t>
                </w:r>
              </w:sdtContent>
            </w:sdt>
            <w:r w:rsidR="00E26876" w:rsidRPr="0048386C">
              <w:t xml:space="preserve"> Taip</w:t>
            </w:r>
          </w:p>
          <w:p w14:paraId="2D89114C" w14:textId="77777777" w:rsidR="00E26876" w:rsidRPr="0048386C" w:rsidRDefault="00000000" w:rsidP="005C7466">
            <w:sdt>
              <w:sdtPr>
                <w:rPr>
                  <w:rStyle w:val="Style2"/>
                </w:rPr>
                <w:id w:val="1092201793"/>
                <w15:color w:val="FFCC00"/>
                <w14:checkbox>
                  <w14:checked w14:val="0"/>
                  <w14:checkedState w14:val="2612" w14:font="MS Gothic"/>
                  <w14:uncheckedState w14:val="2610" w14:font="MS Gothic"/>
                </w14:checkbox>
              </w:sdtPr>
              <w:sdtContent>
                <w:r w:rsidR="00E26876" w:rsidRPr="0048386C">
                  <w:rPr>
                    <w:rStyle w:val="Style2"/>
                    <w:rFonts w:ascii="Segoe UI Symbol" w:eastAsia="MS Gothic" w:hAnsi="Segoe UI Symbol" w:cs="Segoe UI Symbol"/>
                  </w:rPr>
                  <w:t>☐</w:t>
                </w:r>
              </w:sdtContent>
            </w:sdt>
            <w:r w:rsidR="00E26876" w:rsidRPr="0048386C">
              <w:t xml:space="preserve"> Ne</w:t>
            </w:r>
          </w:p>
          <w:p w14:paraId="7E695384" w14:textId="77777777" w:rsidR="00E26876" w:rsidRPr="0048386C" w:rsidRDefault="00000000" w:rsidP="005C7466">
            <w:pPr>
              <w:spacing w:line="276" w:lineRule="auto"/>
              <w:rPr>
                <w:rFonts w:eastAsia="Arial"/>
              </w:rPr>
            </w:pPr>
            <w:sdt>
              <w:sdtPr>
                <w:alias w:val="Nurodykite konkrečią dieną"/>
                <w:tag w:val="Nurodykite pradžios datą"/>
                <w:id w:val="-198323198"/>
                <w:placeholder>
                  <w:docPart w:val="781656AFB5654CC3A78F4994F98DD5B0"/>
                </w:placeholder>
                <w15:color w:val="FFCC99"/>
                <w:date w:fullDate="2023-09-01T00:00:00Z">
                  <w:dateFormat w:val="yyyy 'm.' MMMM d 'd.'"/>
                  <w:lid w:val="lt-LT"/>
                  <w:storeMappedDataAs w:val="dateTime"/>
                  <w:calendar w:val="gregorian"/>
                </w:date>
              </w:sdtPr>
              <w:sdtContent>
                <w:r w:rsidR="00E26876">
                  <w:t>2023 m. rugsėjo 1 d.</w:t>
                </w:r>
              </w:sdtContent>
            </w:sdt>
          </w:p>
        </w:tc>
        <w:tc>
          <w:tcPr>
            <w:tcW w:w="2635" w:type="dxa"/>
          </w:tcPr>
          <w:p w14:paraId="29B5F706" w14:textId="1C0673C0" w:rsidR="00E26876" w:rsidRPr="007049F9" w:rsidRDefault="00E26876" w:rsidP="005C7466">
            <w:pPr>
              <w:spacing w:line="276" w:lineRule="auto"/>
              <w:rPr>
                <w:rFonts w:eastAsia="Arial"/>
              </w:rPr>
            </w:pPr>
            <w:r>
              <w:rPr>
                <w:rFonts w:eastAsia="Arial"/>
              </w:rPr>
              <w:t>Rekomenduojama kompensuoti pagal terapinę indikaciją bei gydymo olaparibu trukmė apribojama iki 2 metų, o gydymo bevacizumabu trukmė rekomenduojama</w:t>
            </w:r>
          </w:p>
          <w:p w14:paraId="44D275A0" w14:textId="77777777" w:rsidR="00E26876" w:rsidRPr="0048386C" w:rsidRDefault="00E26876" w:rsidP="005C7466">
            <w:pPr>
              <w:spacing w:line="276" w:lineRule="auto"/>
              <w:rPr>
                <w:rFonts w:eastAsia="Arial"/>
              </w:rPr>
            </w:pPr>
            <w:r w:rsidRPr="007049F9">
              <w:rPr>
                <w:rFonts w:eastAsia="Arial"/>
              </w:rPr>
              <w:t>ne ilgiau kaip 15 mėnesių (įskaitant laikotarpius, kai derinama su chemoterapija ir taikomas kaip palaikomasis gydymas derinyje su olaparibu).</w:t>
            </w:r>
          </w:p>
        </w:tc>
        <w:tc>
          <w:tcPr>
            <w:tcW w:w="2693" w:type="dxa"/>
          </w:tcPr>
          <w:p w14:paraId="58F749CC" w14:textId="77777777" w:rsidR="00E26876" w:rsidRPr="007449B3" w:rsidRDefault="00E26876" w:rsidP="005C7466">
            <w:pPr>
              <w:spacing w:line="276" w:lineRule="auto"/>
              <w:rPr>
                <w:rFonts w:eastAsia="Arial"/>
              </w:rPr>
            </w:pPr>
            <w:r>
              <w:rPr>
                <w:rFonts w:eastAsia="Arial"/>
              </w:rPr>
              <w:t>R</w:t>
            </w:r>
            <w:r w:rsidRPr="007449B3">
              <w:rPr>
                <w:rFonts w:eastAsia="Arial"/>
              </w:rPr>
              <w:t>ekomenduoja kompensuoti olaparibą kartu su bevacizumabu, jei galima pagerinti ekonominį efektyvumą, palygi</w:t>
            </w:r>
            <w:r>
              <w:rPr>
                <w:rFonts w:eastAsia="Arial"/>
              </w:rPr>
              <w:t>nus</w:t>
            </w:r>
            <w:r w:rsidRPr="007449B3">
              <w:rPr>
                <w:rFonts w:eastAsia="Arial"/>
              </w:rPr>
              <w:t xml:space="preserve"> su esamais gydymo būdais.</w:t>
            </w:r>
          </w:p>
          <w:p w14:paraId="21D70CAD" w14:textId="77777777" w:rsidR="00E26876" w:rsidRPr="0048386C" w:rsidRDefault="00E26876" w:rsidP="005C7466">
            <w:pPr>
              <w:spacing w:line="276" w:lineRule="auto"/>
              <w:rPr>
                <w:rFonts w:eastAsia="Arial"/>
              </w:rPr>
            </w:pPr>
          </w:p>
        </w:tc>
      </w:tr>
    </w:tbl>
    <w:p w14:paraId="7D8D2E35" w14:textId="77777777" w:rsidR="00E26876" w:rsidRPr="0048386C" w:rsidRDefault="00E26876" w:rsidP="00E26876">
      <w:pPr>
        <w:spacing w:line="276" w:lineRule="auto"/>
        <w:rPr>
          <w:rFonts w:eastAsia="Arial"/>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5C45C8FC" w:rsidR="00D4485B" w:rsidRDefault="00D4485B" w:rsidP="00A93AA6">
      <w:pPr>
        <w:pStyle w:val="ListParagraph"/>
        <w:tabs>
          <w:tab w:val="left" w:pos="426"/>
        </w:tabs>
        <w:ind w:left="0"/>
        <w:rPr>
          <w:b/>
          <w:bCs/>
          <w:caps/>
        </w:rPr>
      </w:pPr>
    </w:p>
    <w:p w14:paraId="0B83C7A2" w14:textId="0C9A33D6" w:rsidR="00C923EA" w:rsidRDefault="006840B0" w:rsidP="00C923EA">
      <w:pPr>
        <w:tabs>
          <w:tab w:val="left" w:pos="426"/>
        </w:tabs>
        <w:spacing w:line="276" w:lineRule="auto"/>
        <w:jc w:val="both"/>
        <w:rPr>
          <w:rFonts w:eastAsia="Arial"/>
        </w:rPr>
      </w:pPr>
      <w:r>
        <w:rPr>
          <w:rFonts w:eastAsia="Arial"/>
        </w:rPr>
        <w:tab/>
      </w:r>
      <w:r w:rsidR="00C923EA" w:rsidRPr="0048386C">
        <w:rPr>
          <w:rFonts w:eastAsia="Arial"/>
        </w:rPr>
        <w:t xml:space="preserve">Kiaušidžių vėžys </w:t>
      </w:r>
      <w:r>
        <w:rPr>
          <w:rFonts w:eastAsia="Arial"/>
        </w:rPr>
        <w:t>apima</w:t>
      </w:r>
      <w:r w:rsidR="00C923EA" w:rsidRPr="0048386C">
        <w:rPr>
          <w:rFonts w:eastAsia="Arial"/>
        </w:rPr>
        <w:t xml:space="preserve"> kiaušidžių, kiaušintakių arba pirminį pilvaplėvės vėžį, pagal TLK-10-AM kiaušidės piktybinis navikas (C56), kiaušintakio piktybinis navikas (C57.0) ir pilvaplėvės piktybinis navikas (C48). Remiantis Higienos instituto duomenimis, tiksliai nustatyti tik kiaušidžių vėžio atvejai</w:t>
      </w:r>
      <w:r>
        <w:rPr>
          <w:rFonts w:eastAsia="Arial"/>
        </w:rPr>
        <w:t>.</w:t>
      </w:r>
      <w:r w:rsidR="00C923EA" w:rsidRPr="0048386C">
        <w:rPr>
          <w:rFonts w:eastAsia="Arial"/>
        </w:rPr>
        <w:t xml:space="preserve"> 2020 metais Lietuvoje nustatyti 977 nauji kiaušidžių vėžio atvejai (TLK C56, C57.0 ir C48).</w:t>
      </w:r>
    </w:p>
    <w:p w14:paraId="598E3B36" w14:textId="77777777" w:rsidR="00C923EA" w:rsidRPr="0048386C" w:rsidRDefault="00C923EA" w:rsidP="00C923EA">
      <w:pPr>
        <w:tabs>
          <w:tab w:val="left" w:pos="426"/>
        </w:tabs>
        <w:spacing w:line="276" w:lineRule="auto"/>
        <w:jc w:val="both"/>
        <w:rPr>
          <w:rFonts w:eastAsia="Arial"/>
        </w:rPr>
      </w:pPr>
      <w:r>
        <w:rPr>
          <w:rFonts w:eastAsia="Arial"/>
        </w:rPr>
        <w:tab/>
      </w:r>
      <w:r w:rsidRPr="0048386C">
        <w:rPr>
          <w:rFonts w:eastAsia="Arial"/>
        </w:rPr>
        <w:t xml:space="preserve">Didelio piktybiškumo laipsnio kiaušidžių vėžys yra nustatomas apie 70 proc. moterų. Rizika susirgti kiaušidžių vėžiu yra susijusi su vėžį skatinančiomis BRCA1, BRCA2 genų mutacijomis, jos nustatomos 15 proc. kiaušidžių vėžio (daugiausiai serozinio) atvejų. Moterims su BRCA mutacijomis kiaušidžių vėžys pasireiškia jaunesniame amžiuje, ypač esant BRCA1 mutacijai. Lietuvoje BRCA1 ir BRCA2 mutacijos nustatytos 22 proc. sergančių kiaušidžių vėžiu pacienčių. </w:t>
      </w:r>
    </w:p>
    <w:p w14:paraId="40826AA6" w14:textId="14084E3B" w:rsidR="00C923EA" w:rsidRDefault="00C923EA" w:rsidP="00C923EA">
      <w:pPr>
        <w:tabs>
          <w:tab w:val="left" w:pos="426"/>
        </w:tabs>
        <w:spacing w:line="276" w:lineRule="auto"/>
        <w:jc w:val="both"/>
        <w:rPr>
          <w:rFonts w:eastAsia="Arial"/>
          <w:color w:val="000000" w:themeColor="text1"/>
        </w:rPr>
      </w:pPr>
      <w:r>
        <w:rPr>
          <w:rFonts w:eastAsia="Arial"/>
        </w:rPr>
        <w:tab/>
      </w:r>
      <w:r w:rsidRPr="0048386C">
        <w:rPr>
          <w:rFonts w:eastAsia="Arial"/>
        </w:rPr>
        <w:t>Šiuo metu Lietuvoje bevacizumabas s</w:t>
      </w:r>
      <w:r w:rsidRPr="0048386C">
        <w:rPr>
          <w:spacing w:val="-4"/>
        </w:rPr>
        <w:t>kiriamas derinant su karboplatina ir paklitakseliu progresavusiam IV stadijos epiteliniam kiaušidžių, kiaušintakių ar pirminiam pilvaplėvės vėžiui pirmaeiliam gydyti ir tęsiamas kaip monoterapija, pasibaigus karbaplatin</w:t>
      </w:r>
      <w:r w:rsidR="006840B0">
        <w:rPr>
          <w:spacing w:val="-4"/>
        </w:rPr>
        <w:t>os</w:t>
      </w:r>
      <w:r w:rsidRPr="0048386C">
        <w:rPr>
          <w:spacing w:val="-4"/>
        </w:rPr>
        <w:t xml:space="preserve"> ir paklitakselio gydymu</w:t>
      </w:r>
      <w:r w:rsidR="006840B0">
        <w:rPr>
          <w:spacing w:val="-4"/>
        </w:rPr>
        <w:t>o kursui</w:t>
      </w:r>
      <w:r w:rsidRPr="0048386C">
        <w:rPr>
          <w:spacing w:val="-4"/>
        </w:rPr>
        <w:t>. Bendra bevcizumabo gydymo trukmė paprastai yra 15 mėnesių.</w:t>
      </w:r>
      <w:r>
        <w:rPr>
          <w:spacing w:val="-4"/>
        </w:rPr>
        <w:t xml:space="preserve"> R</w:t>
      </w:r>
      <w:r w:rsidRPr="0048386C">
        <w:rPr>
          <w:rFonts w:eastAsia="Arial"/>
          <w:color w:val="000000" w:themeColor="text1"/>
        </w:rPr>
        <w:t>emiantis Europos medicininės onkologijos draugij</w:t>
      </w:r>
      <w:r w:rsidR="00786F70">
        <w:rPr>
          <w:rFonts w:eastAsia="Arial"/>
          <w:color w:val="000000" w:themeColor="text1"/>
        </w:rPr>
        <w:t>os</w:t>
      </w:r>
      <w:r w:rsidRPr="0048386C">
        <w:rPr>
          <w:rFonts w:eastAsia="Arial"/>
          <w:color w:val="000000" w:themeColor="text1"/>
        </w:rPr>
        <w:t xml:space="preserve"> rekomendacijomis (angl. ESMO, 2021), pacientai su daliniu arba pilnu atsaku chemoterapijai platinos pagrindu kartu su bevacizumabu toliau gali būti gydomi PARP inhibitoriumi derinyje su bevacizimubu</w:t>
      </w:r>
      <w:r w:rsidR="00786F70">
        <w:rPr>
          <w:rFonts w:eastAsia="Arial"/>
          <w:color w:val="000000" w:themeColor="text1"/>
        </w:rPr>
        <w:t>.</w:t>
      </w:r>
      <w:r w:rsidRPr="0048386C">
        <w:rPr>
          <w:rFonts w:eastAsia="Arial"/>
          <w:color w:val="000000" w:themeColor="text1"/>
        </w:rPr>
        <w:t xml:space="preserve"> </w:t>
      </w:r>
    </w:p>
    <w:p w14:paraId="66422896" w14:textId="5599E07C" w:rsidR="00C923EA" w:rsidRDefault="00C923EA" w:rsidP="00C923EA">
      <w:pPr>
        <w:tabs>
          <w:tab w:val="left" w:pos="426"/>
        </w:tabs>
        <w:spacing w:line="276" w:lineRule="auto"/>
        <w:jc w:val="both"/>
        <w:rPr>
          <w:rFonts w:eastAsia="Arial"/>
        </w:rPr>
      </w:pPr>
      <w:r>
        <w:rPr>
          <w:rFonts w:eastAsia="Arial"/>
          <w:color w:val="000000" w:themeColor="text1"/>
        </w:rPr>
        <w:tab/>
      </w:r>
      <w:r w:rsidR="00844F5B">
        <w:rPr>
          <w:rFonts w:eastAsia="Arial"/>
          <w:color w:val="000000" w:themeColor="text1"/>
        </w:rPr>
        <w:t xml:space="preserve">Kompensavimui teikiama </w:t>
      </w:r>
      <w:r w:rsidRPr="0048386C">
        <w:rPr>
          <w:rFonts w:eastAsia="Arial"/>
          <w:color w:val="000000" w:themeColor="text1"/>
        </w:rPr>
        <w:t>olaparibo indikacija tikėtina pate</w:t>
      </w:r>
      <w:r w:rsidR="00844F5B">
        <w:rPr>
          <w:rFonts w:eastAsia="Arial"/>
          <w:color w:val="000000" w:themeColor="text1"/>
        </w:rPr>
        <w:t>n</w:t>
      </w:r>
      <w:r w:rsidRPr="0048386C">
        <w:rPr>
          <w:rFonts w:eastAsia="Arial"/>
          <w:color w:val="000000" w:themeColor="text1"/>
        </w:rPr>
        <w:t>kins medicininį poreikį pacient</w:t>
      </w:r>
      <w:r w:rsidR="00786F70">
        <w:rPr>
          <w:rFonts w:eastAsia="Arial"/>
          <w:color w:val="000000" w:themeColor="text1"/>
        </w:rPr>
        <w:t>ėms</w:t>
      </w:r>
      <w:r w:rsidRPr="0048386C">
        <w:rPr>
          <w:rFonts w:eastAsia="Arial"/>
          <w:color w:val="000000" w:themeColor="text1"/>
        </w:rPr>
        <w:t>, kuri</w:t>
      </w:r>
      <w:r w:rsidR="00786F70">
        <w:rPr>
          <w:rFonts w:eastAsia="Arial"/>
          <w:color w:val="000000" w:themeColor="text1"/>
        </w:rPr>
        <w:t>os buvo gydytos</w:t>
      </w:r>
      <w:r w:rsidRPr="0048386C">
        <w:rPr>
          <w:rFonts w:eastAsia="Arial"/>
          <w:color w:val="000000" w:themeColor="text1"/>
        </w:rPr>
        <w:t xml:space="preserve"> bevacizumabu derinyje su karboplatina </w:t>
      </w:r>
      <w:r w:rsidR="00786F70">
        <w:rPr>
          <w:rFonts w:eastAsia="Arial"/>
          <w:color w:val="000000" w:themeColor="text1"/>
        </w:rPr>
        <w:t xml:space="preserve">ir </w:t>
      </w:r>
      <w:r w:rsidRPr="0048386C">
        <w:rPr>
          <w:rFonts w:eastAsia="Arial"/>
          <w:color w:val="000000" w:themeColor="text1"/>
        </w:rPr>
        <w:t>paklitakseliu palaikomajam gydymui  skiria</w:t>
      </w:r>
      <w:r w:rsidR="00786F70">
        <w:rPr>
          <w:rFonts w:eastAsia="Arial"/>
          <w:color w:val="000000" w:themeColor="text1"/>
        </w:rPr>
        <w:t>nt</w:t>
      </w:r>
      <w:r w:rsidRPr="0048386C">
        <w:rPr>
          <w:rFonts w:eastAsia="Arial"/>
          <w:color w:val="000000" w:themeColor="text1"/>
        </w:rPr>
        <w:t xml:space="preserve"> bevacizumab</w:t>
      </w:r>
      <w:r w:rsidR="00786F70">
        <w:rPr>
          <w:rFonts w:eastAsia="Arial"/>
          <w:color w:val="000000" w:themeColor="text1"/>
        </w:rPr>
        <w:t>ą</w:t>
      </w:r>
      <w:r w:rsidRPr="0048386C">
        <w:rPr>
          <w:rFonts w:eastAsia="Arial"/>
          <w:color w:val="000000" w:themeColor="text1"/>
        </w:rPr>
        <w:t>.</w:t>
      </w:r>
      <w:r w:rsidRPr="0048386C">
        <w:rPr>
          <w:rFonts w:eastAsia="Arial"/>
        </w:rPr>
        <w:tab/>
      </w:r>
    </w:p>
    <w:p w14:paraId="131BEADF" w14:textId="647F96D2" w:rsidR="00C923EA" w:rsidRPr="0048386C" w:rsidRDefault="00C923EA" w:rsidP="00C923EA">
      <w:pPr>
        <w:tabs>
          <w:tab w:val="left" w:pos="426"/>
        </w:tabs>
        <w:spacing w:line="276" w:lineRule="auto"/>
        <w:jc w:val="both"/>
        <w:rPr>
          <w:rFonts w:eastAsia="Arial"/>
        </w:rPr>
      </w:pPr>
      <w:r>
        <w:rPr>
          <w:rFonts w:eastAsia="Arial"/>
        </w:rPr>
        <w:tab/>
        <w:t>Olaparibo derinyje su bevacizumabu  klinikinis veiksmingumas grindžiamas tiesioginiu palyginimu su bevacizumab</w:t>
      </w:r>
      <w:r w:rsidR="00786F70">
        <w:rPr>
          <w:rFonts w:eastAsia="Arial"/>
        </w:rPr>
        <w:t>o monoterapija</w:t>
      </w:r>
      <w:r>
        <w:rPr>
          <w:rFonts w:eastAsia="Arial"/>
        </w:rPr>
        <w:t xml:space="preserve"> klininiame tyrime PAOLA-1. </w:t>
      </w:r>
      <w:r w:rsidRPr="0048386C">
        <w:rPr>
          <w:rFonts w:eastAsia="Arial"/>
        </w:rPr>
        <w:t>PAOLA-1 klinikinis</w:t>
      </w:r>
      <w:r w:rsidR="00786F70">
        <w:rPr>
          <w:rFonts w:eastAsia="Arial"/>
        </w:rPr>
        <w:t xml:space="preserve"> tyrimas yra</w:t>
      </w:r>
      <w:r w:rsidRPr="0048386C">
        <w:rPr>
          <w:rFonts w:eastAsia="Arial"/>
        </w:rPr>
        <w:t xml:space="preserve"> 3 fazės, atsitiktinių imčių, dvigubai koduotas, placebu kontroliuojamas tarptautinis tyrimas. </w:t>
      </w:r>
      <w:r w:rsidR="00786F70">
        <w:rPr>
          <w:rFonts w:eastAsia="Arial"/>
        </w:rPr>
        <w:t xml:space="preserve">Šio tyrimo duomenimis buvo </w:t>
      </w:r>
      <w:r w:rsidR="00844F5B">
        <w:rPr>
          <w:rFonts w:eastAsia="Arial"/>
        </w:rPr>
        <w:t>remiamasi</w:t>
      </w:r>
      <w:r w:rsidR="00786F70">
        <w:rPr>
          <w:rFonts w:eastAsia="Arial"/>
        </w:rPr>
        <w:t xml:space="preserve"> registruojant vaistinį preparatą. </w:t>
      </w:r>
      <w:r w:rsidRPr="000A7A57">
        <w:rPr>
          <w:rFonts w:eastAsia="Arial"/>
        </w:rPr>
        <w:t>Atsižvelgiant į registruotą terapinę indikaciją ir pareiškėjo siūlom</w:t>
      </w:r>
      <w:r w:rsidR="00844F5B">
        <w:rPr>
          <w:rFonts w:eastAsia="Arial"/>
        </w:rPr>
        <w:t>ą</w:t>
      </w:r>
      <w:r w:rsidRPr="000A7A57">
        <w:rPr>
          <w:rFonts w:eastAsia="Arial"/>
        </w:rPr>
        <w:t xml:space="preserve"> skyrimo sąlygą, sveikatos technologijos vertinamas atliekamas remiantis pacientų, sergančių pažengusiu (FIGO III ar IV stadijos) didelio piktybiškumo laipsnio epiteliniu kiaušidžių, kiaušintakių arba pirminiu pilvaplėvės vėžiu, kai yra pasireiškęs visiškas arba dalinis atsakas į baigtą pirmos eilės gydymą, kurį sudarė chemoterapija platinos pagrindu ir bevacizumabas, kai yra teigiamas naviko homologinės rekombinacijos nepakankamumo  (angl. homologous recombination deficiency, HRD) statusas (būklė), nulemtos BRCA1/2 mutacijos ir (arba) genomo nestabilumo, populiacija.</w:t>
      </w:r>
      <w:r>
        <w:rPr>
          <w:rFonts w:eastAsia="Arial"/>
        </w:rPr>
        <w:t xml:space="preserve"> Pažymėtina, kad minėta pacientų populiacija yra tyrimo PAOLA-1 bendros pacientų populiacijos iš anksto numatytas pogrupis. </w:t>
      </w:r>
      <w:r w:rsidR="00844F5B">
        <w:rPr>
          <w:rFonts w:eastAsia="Arial"/>
        </w:rPr>
        <w:t>Šiame pogrupyje buvo vertinamos p</w:t>
      </w:r>
      <w:r>
        <w:rPr>
          <w:rFonts w:eastAsia="Arial"/>
        </w:rPr>
        <w:t xml:space="preserve">irminė ir antrinės </w:t>
      </w:r>
      <w:r w:rsidR="00844F5B">
        <w:rPr>
          <w:rFonts w:eastAsia="Arial"/>
        </w:rPr>
        <w:t xml:space="preserve">vertinamosios </w:t>
      </w:r>
      <w:r>
        <w:rPr>
          <w:rFonts w:eastAsia="Arial"/>
        </w:rPr>
        <w:t>baigtys</w:t>
      </w:r>
      <w:r w:rsidR="00844F5B">
        <w:rPr>
          <w:rFonts w:eastAsia="Arial"/>
        </w:rPr>
        <w:t>.</w:t>
      </w:r>
      <w:r>
        <w:rPr>
          <w:rFonts w:eastAsia="Arial"/>
        </w:rPr>
        <w:t xml:space="preserve"> </w:t>
      </w:r>
    </w:p>
    <w:p w14:paraId="7B62EBA0" w14:textId="77777777" w:rsidR="00844F5B" w:rsidRDefault="00844F5B" w:rsidP="00C923EA">
      <w:pPr>
        <w:tabs>
          <w:tab w:val="left" w:pos="426"/>
        </w:tabs>
        <w:spacing w:line="276" w:lineRule="auto"/>
        <w:jc w:val="both"/>
        <w:rPr>
          <w:rFonts w:eastAsia="Arial"/>
          <w:i/>
          <w:iCs/>
        </w:rPr>
      </w:pPr>
    </w:p>
    <w:p w14:paraId="310E2176" w14:textId="0B3495C9" w:rsidR="00C923EA" w:rsidRDefault="00C923EA" w:rsidP="00C923EA">
      <w:pPr>
        <w:tabs>
          <w:tab w:val="left" w:pos="426"/>
        </w:tabs>
        <w:spacing w:line="276" w:lineRule="auto"/>
        <w:jc w:val="both"/>
        <w:rPr>
          <w:rFonts w:eastAsia="Arial"/>
          <w:i/>
          <w:iCs/>
        </w:rPr>
      </w:pPr>
      <w:r w:rsidRPr="00B02333">
        <w:rPr>
          <w:rFonts w:eastAsia="Arial"/>
          <w:i/>
          <w:iCs/>
        </w:rPr>
        <w:t>Pirminė vertinamoji baigtis</w:t>
      </w:r>
    </w:p>
    <w:p w14:paraId="601C92EE" w14:textId="77777777" w:rsidR="005F17FC" w:rsidRPr="00B02333" w:rsidRDefault="005F17FC" w:rsidP="00C923EA">
      <w:pPr>
        <w:tabs>
          <w:tab w:val="left" w:pos="426"/>
        </w:tabs>
        <w:spacing w:line="276" w:lineRule="auto"/>
        <w:jc w:val="both"/>
        <w:rPr>
          <w:rFonts w:eastAsia="Arial"/>
          <w:i/>
          <w:iCs/>
        </w:rPr>
      </w:pPr>
    </w:p>
    <w:p w14:paraId="06268B68" w14:textId="6A8AD236" w:rsidR="00C923EA" w:rsidRPr="0048386C" w:rsidRDefault="00C923EA" w:rsidP="00C923EA">
      <w:pPr>
        <w:tabs>
          <w:tab w:val="left" w:pos="426"/>
        </w:tabs>
        <w:spacing w:line="276" w:lineRule="auto"/>
        <w:jc w:val="both"/>
        <w:rPr>
          <w:rFonts w:eastAsia="Arial"/>
          <w:color w:val="000000" w:themeColor="text1"/>
        </w:rPr>
      </w:pPr>
      <w:r w:rsidRPr="0048386C">
        <w:rPr>
          <w:rFonts w:eastAsia="Arial"/>
        </w:rPr>
        <w:tab/>
      </w:r>
      <w:r w:rsidRPr="00B02333">
        <w:rPr>
          <w:rFonts w:eastAsia="Arial"/>
          <w:b/>
          <w:bCs/>
        </w:rPr>
        <w:t>Išgyvenamumo be ligos progresavimo</w:t>
      </w:r>
      <w:r w:rsidRPr="0048386C">
        <w:rPr>
          <w:rFonts w:eastAsia="Arial"/>
        </w:rPr>
        <w:t xml:space="preserve"> </w:t>
      </w:r>
      <w:r w:rsidR="008B36CE">
        <w:rPr>
          <w:rFonts w:eastAsia="Arial"/>
        </w:rPr>
        <w:t xml:space="preserve">(IBLP) </w:t>
      </w:r>
      <w:r w:rsidRPr="0048386C">
        <w:rPr>
          <w:rFonts w:eastAsia="Arial"/>
        </w:rPr>
        <w:t xml:space="preserve">analizė buvo atlikta, kai 474 </w:t>
      </w:r>
      <w:r w:rsidR="00844F5B">
        <w:rPr>
          <w:rFonts w:eastAsia="Arial"/>
        </w:rPr>
        <w:t xml:space="preserve">pacientėms </w:t>
      </w:r>
      <w:r w:rsidRPr="0048386C">
        <w:rPr>
          <w:rFonts w:eastAsia="Arial"/>
        </w:rPr>
        <w:t>iš 806 buvo nustatyta ligos progresija arba j</w:t>
      </w:r>
      <w:r w:rsidR="008B36CE">
        <w:rPr>
          <w:rFonts w:eastAsia="Arial"/>
        </w:rPr>
        <w:t>o</w:t>
      </w:r>
      <w:r w:rsidRPr="0048386C">
        <w:rPr>
          <w:rFonts w:eastAsia="Arial"/>
        </w:rPr>
        <w:t xml:space="preserve"> buvo mir</w:t>
      </w:r>
      <w:r w:rsidR="008B36CE">
        <w:rPr>
          <w:rFonts w:eastAsia="Arial"/>
        </w:rPr>
        <w:t>usios</w:t>
      </w:r>
      <w:r w:rsidRPr="0048386C">
        <w:rPr>
          <w:rFonts w:eastAsia="Arial"/>
        </w:rPr>
        <w:t xml:space="preserve">. Duomenų brandumas atliekant pirminė analizę buvo 59 proc. Stebėjimo mediana olaparibo grupėje buvo 22,7 mėn. (PI: 18,0-27,7 mėn.) ir placebo grupėje  - 24,0 mėn. (PI: 18,0 – 27,7). </w:t>
      </w:r>
      <w:r w:rsidRPr="0048386C">
        <w:rPr>
          <w:rFonts w:eastAsia="Arial"/>
          <w:color w:val="000000" w:themeColor="text1"/>
        </w:rPr>
        <w:t>Iš anksto numatytų pogrupių pirminės baigties rezultatai parodė olaparibo pranašumą prieš placebą. Pacien</w:t>
      </w:r>
      <w:r w:rsidR="008B36CE">
        <w:rPr>
          <w:rFonts w:eastAsia="Arial"/>
          <w:color w:val="000000" w:themeColor="text1"/>
        </w:rPr>
        <w:t>čių</w:t>
      </w:r>
      <w:r w:rsidRPr="0048386C">
        <w:rPr>
          <w:rFonts w:eastAsia="Arial"/>
          <w:color w:val="000000" w:themeColor="text1"/>
        </w:rPr>
        <w:t xml:space="preserve"> su nustatyta </w:t>
      </w:r>
      <w:r w:rsidRPr="00604490">
        <w:rPr>
          <w:rFonts w:eastAsia="Arial"/>
          <w:color w:val="000000" w:themeColor="text1"/>
        </w:rPr>
        <w:t>BRCA1/BRCA2</w:t>
      </w:r>
      <w:r>
        <w:rPr>
          <w:rFonts w:eastAsia="Arial"/>
          <w:color w:val="000000" w:themeColor="text1"/>
        </w:rPr>
        <w:t xml:space="preserve"> </w:t>
      </w:r>
      <w:r w:rsidRPr="0048386C">
        <w:rPr>
          <w:rFonts w:eastAsia="Arial"/>
          <w:color w:val="000000" w:themeColor="text1"/>
        </w:rPr>
        <w:t xml:space="preserve">mutacija IBLP mediana buvo 37,2 mėn. </w:t>
      </w:r>
      <w:r>
        <w:rPr>
          <w:rFonts w:eastAsia="Arial"/>
          <w:color w:val="000000" w:themeColor="text1"/>
        </w:rPr>
        <w:t>ir//</w:t>
      </w:r>
      <w:r w:rsidRPr="0048386C">
        <w:rPr>
          <w:rFonts w:eastAsia="Arial"/>
          <w:color w:val="000000" w:themeColor="text1"/>
        </w:rPr>
        <w:t>olaparibo grupėje ir 21,7 mėn. placebo grupėje. RS buvo 0,31 (95 proc. PI: 0,58-0,88). Pacient</w:t>
      </w:r>
      <w:r w:rsidR="008B36CE">
        <w:rPr>
          <w:rFonts w:eastAsia="Arial"/>
          <w:color w:val="000000" w:themeColor="text1"/>
        </w:rPr>
        <w:t>ė</w:t>
      </w:r>
      <w:r w:rsidRPr="0048386C">
        <w:rPr>
          <w:rFonts w:eastAsia="Arial"/>
          <w:color w:val="000000" w:themeColor="text1"/>
        </w:rPr>
        <w:t>ms su teigiamu HRD testu (</w:t>
      </w:r>
      <w:r w:rsidR="008B36CE">
        <w:rPr>
          <w:rFonts w:eastAsia="Arial"/>
          <w:color w:val="000000" w:themeColor="text1"/>
        </w:rPr>
        <w:t>naviko</w:t>
      </w:r>
      <w:r w:rsidR="008B36CE" w:rsidRPr="0048386C">
        <w:rPr>
          <w:rFonts w:eastAsia="Arial"/>
          <w:color w:val="000000" w:themeColor="text1"/>
        </w:rPr>
        <w:t xml:space="preserve"> </w:t>
      </w:r>
      <w:r w:rsidRPr="0048386C">
        <w:rPr>
          <w:rFonts w:eastAsia="Arial"/>
          <w:color w:val="000000" w:themeColor="text1"/>
        </w:rPr>
        <w:t xml:space="preserve">santykis įvertintas ≥ 42 naudojant </w:t>
      </w:r>
      <w:r w:rsidRPr="0048386C">
        <w:rPr>
          <w:rFonts w:eastAsia="Arial"/>
          <w:i/>
          <w:color w:val="000000" w:themeColor="text1"/>
        </w:rPr>
        <w:t>my Choice HRD plus</w:t>
      </w:r>
      <w:r w:rsidRPr="0048386C">
        <w:rPr>
          <w:rFonts w:eastAsia="Arial"/>
          <w:color w:val="000000" w:themeColor="text1"/>
        </w:rPr>
        <w:t xml:space="preserve"> rinkinį)</w:t>
      </w:r>
      <w:r>
        <w:rPr>
          <w:rFonts w:eastAsia="Arial"/>
          <w:color w:val="000000" w:themeColor="text1"/>
        </w:rPr>
        <w:t>,</w:t>
      </w:r>
      <w:r w:rsidRPr="0048386C">
        <w:rPr>
          <w:rFonts w:eastAsia="Arial"/>
          <w:color w:val="000000" w:themeColor="text1"/>
        </w:rPr>
        <w:t xml:space="preserve"> </w:t>
      </w:r>
      <w:r>
        <w:rPr>
          <w:rFonts w:eastAsia="Arial"/>
          <w:color w:val="000000" w:themeColor="text1"/>
        </w:rPr>
        <w:t xml:space="preserve">įskaitant </w:t>
      </w:r>
      <w:r w:rsidRPr="00604490">
        <w:rPr>
          <w:iCs/>
        </w:rPr>
        <w:t>BRCA1/BRCA2</w:t>
      </w:r>
      <w:r>
        <w:rPr>
          <w:i/>
        </w:rPr>
        <w:t xml:space="preserve"> </w:t>
      </w:r>
      <w:r w:rsidRPr="0048386C">
        <w:rPr>
          <w:rFonts w:eastAsia="Arial"/>
          <w:color w:val="000000" w:themeColor="text1"/>
        </w:rPr>
        <w:t>mutacij</w:t>
      </w:r>
      <w:r>
        <w:rPr>
          <w:rFonts w:eastAsia="Arial"/>
          <w:color w:val="000000" w:themeColor="text1"/>
        </w:rPr>
        <w:t>omis,</w:t>
      </w:r>
      <w:r w:rsidRPr="0048386C">
        <w:rPr>
          <w:rFonts w:eastAsia="Arial"/>
          <w:color w:val="000000" w:themeColor="text1"/>
        </w:rPr>
        <w:t xml:space="preserve"> IBLP mediana buvo 28,1 mėn. olaparibo </w:t>
      </w:r>
      <w:r w:rsidRPr="0048386C">
        <w:rPr>
          <w:rFonts w:eastAsia="Arial"/>
          <w:color w:val="000000" w:themeColor="text1"/>
        </w:rPr>
        <w:lastRenderedPageBreak/>
        <w:t>grupėje ir 16,6 mėn. placebo grupėje. RS buvo 0,43 (95 proc. PI: 0,28 -0,66). IBLP mediana nesiskiria ab</w:t>
      </w:r>
      <w:r w:rsidR="008B36CE">
        <w:rPr>
          <w:rFonts w:eastAsia="Arial"/>
          <w:color w:val="000000" w:themeColor="text1"/>
        </w:rPr>
        <w:t>i</w:t>
      </w:r>
      <w:r w:rsidRPr="0048386C">
        <w:rPr>
          <w:rFonts w:eastAsia="Arial"/>
          <w:color w:val="000000" w:themeColor="text1"/>
        </w:rPr>
        <w:t>ejose grupėse nustačius neigiamą HRD testą: 16,6 mėn. olaparibo grupėje ir 13,2 mėn. placebo grupėje.</w:t>
      </w:r>
    </w:p>
    <w:p w14:paraId="57CBD252" w14:textId="77777777" w:rsidR="008B36CE" w:rsidRDefault="008B36CE" w:rsidP="00C923EA">
      <w:pPr>
        <w:tabs>
          <w:tab w:val="left" w:pos="426"/>
        </w:tabs>
        <w:spacing w:line="276" w:lineRule="auto"/>
        <w:jc w:val="both"/>
        <w:rPr>
          <w:rFonts w:eastAsia="Arial"/>
          <w:i/>
          <w:iCs/>
          <w:color w:val="000000" w:themeColor="text1"/>
        </w:rPr>
      </w:pPr>
    </w:p>
    <w:p w14:paraId="2C12EB70" w14:textId="77777777" w:rsidR="005F17FC" w:rsidRDefault="00C923EA" w:rsidP="00C923EA">
      <w:pPr>
        <w:tabs>
          <w:tab w:val="left" w:pos="426"/>
        </w:tabs>
        <w:spacing w:line="276" w:lineRule="auto"/>
        <w:jc w:val="both"/>
        <w:rPr>
          <w:rFonts w:eastAsia="Arial"/>
          <w:i/>
          <w:iCs/>
          <w:color w:val="000000" w:themeColor="text1"/>
        </w:rPr>
      </w:pPr>
      <w:r w:rsidRPr="00B02333">
        <w:rPr>
          <w:rFonts w:eastAsia="Arial"/>
          <w:i/>
          <w:iCs/>
          <w:color w:val="000000" w:themeColor="text1"/>
        </w:rPr>
        <w:t>Pagrindinė antrinė vertinamoji baigtis</w:t>
      </w:r>
    </w:p>
    <w:p w14:paraId="0FBEB89A" w14:textId="433D91E6" w:rsidR="00C923EA" w:rsidRPr="00B02333" w:rsidRDefault="00C923EA" w:rsidP="00C923EA">
      <w:pPr>
        <w:tabs>
          <w:tab w:val="left" w:pos="426"/>
        </w:tabs>
        <w:spacing w:line="276" w:lineRule="auto"/>
        <w:jc w:val="both"/>
        <w:rPr>
          <w:rFonts w:eastAsia="Arial"/>
          <w:i/>
          <w:iCs/>
          <w:color w:val="000000" w:themeColor="text1"/>
        </w:rPr>
      </w:pPr>
      <w:r w:rsidRPr="00B02333">
        <w:rPr>
          <w:rFonts w:eastAsia="Arial"/>
          <w:i/>
          <w:iCs/>
          <w:color w:val="000000" w:themeColor="text1"/>
        </w:rPr>
        <w:tab/>
      </w:r>
    </w:p>
    <w:p w14:paraId="22BC98AE" w14:textId="14C076F4" w:rsidR="00C923EA" w:rsidRPr="001C224F" w:rsidRDefault="00C923EA" w:rsidP="00C923EA">
      <w:pPr>
        <w:spacing w:line="276" w:lineRule="auto"/>
        <w:jc w:val="both"/>
        <w:rPr>
          <w:rFonts w:eastAsia="Arial"/>
          <w:color w:val="000000" w:themeColor="text1"/>
        </w:rPr>
      </w:pPr>
      <w:r w:rsidRPr="0048386C">
        <w:rPr>
          <w:rFonts w:eastAsia="Arial"/>
          <w:color w:val="000000" w:themeColor="text1"/>
        </w:rPr>
        <w:tab/>
        <w:t xml:space="preserve">Pirminės analizės metu </w:t>
      </w:r>
      <w:r w:rsidRPr="0048386C">
        <w:rPr>
          <w:rFonts w:eastAsia="Arial"/>
          <w:b/>
          <w:color w:val="000000" w:themeColor="text1"/>
        </w:rPr>
        <w:t>bendro išgyvenamumo</w:t>
      </w:r>
      <w:r w:rsidRPr="0048386C">
        <w:rPr>
          <w:rFonts w:eastAsia="Arial"/>
          <w:color w:val="000000" w:themeColor="text1"/>
        </w:rPr>
        <w:t xml:space="preserve"> </w:t>
      </w:r>
      <w:r w:rsidR="008B36CE">
        <w:rPr>
          <w:rFonts w:eastAsia="Arial"/>
          <w:color w:val="000000" w:themeColor="text1"/>
        </w:rPr>
        <w:t xml:space="preserve"> (BI) </w:t>
      </w:r>
      <w:r w:rsidRPr="0048386C">
        <w:rPr>
          <w:rFonts w:eastAsia="Arial"/>
          <w:color w:val="000000" w:themeColor="text1"/>
        </w:rPr>
        <w:t>duomenys buvo nebrandūs (27 proc.</w:t>
      </w:r>
      <w:r>
        <w:rPr>
          <w:rFonts w:eastAsia="Arial"/>
          <w:color w:val="000000" w:themeColor="text1"/>
        </w:rPr>
        <w:t xml:space="preserve">), todėl BI rezultatai įvertinti,  pateikus Pareiškėjui galutinės analizės rezultatus, kai buvo pasiektas BI </w:t>
      </w:r>
      <w:r w:rsidR="008B36CE">
        <w:rPr>
          <w:rFonts w:eastAsia="Arial"/>
          <w:color w:val="000000" w:themeColor="text1"/>
        </w:rPr>
        <w:t xml:space="preserve">duomenų </w:t>
      </w:r>
      <w:r>
        <w:rPr>
          <w:rFonts w:eastAsia="Arial"/>
          <w:color w:val="000000" w:themeColor="text1"/>
        </w:rPr>
        <w:t xml:space="preserve">brandumas. </w:t>
      </w:r>
      <w:r w:rsidRPr="001C224F">
        <w:rPr>
          <w:rFonts w:eastAsia="Arial"/>
          <w:color w:val="000000" w:themeColor="text1"/>
        </w:rPr>
        <w:t>Pažymėtina, kad iš anksto numatytame pogrupyje pacien</w:t>
      </w:r>
      <w:r w:rsidR="008B36CE">
        <w:rPr>
          <w:rFonts w:eastAsia="Arial"/>
          <w:color w:val="000000" w:themeColor="text1"/>
        </w:rPr>
        <w:t>či</w:t>
      </w:r>
      <w:r w:rsidRPr="001C224F">
        <w:rPr>
          <w:rFonts w:eastAsia="Arial"/>
          <w:color w:val="000000" w:themeColor="text1"/>
        </w:rPr>
        <w:t xml:space="preserve">ų su teigiamu naviko HRD statusu, įskaitant </w:t>
      </w:r>
      <w:r w:rsidRPr="006F51E0">
        <w:rPr>
          <w:iCs/>
        </w:rPr>
        <w:t>BRCA1/BRCA2</w:t>
      </w:r>
      <w:r>
        <w:rPr>
          <w:i/>
        </w:rPr>
        <w:t xml:space="preserve"> </w:t>
      </w:r>
      <w:r w:rsidRPr="001C224F">
        <w:rPr>
          <w:rFonts w:eastAsia="Arial"/>
          <w:color w:val="000000" w:themeColor="text1"/>
        </w:rPr>
        <w:t>mutacijas, BI buvo statistiškai reikšmingai ilgesnis. Mediana olaparibo</w:t>
      </w:r>
      <w:r>
        <w:rPr>
          <w:rFonts w:eastAsia="Arial"/>
          <w:color w:val="000000" w:themeColor="text1"/>
        </w:rPr>
        <w:t xml:space="preserve"> ir bevacizumabo</w:t>
      </w:r>
      <w:r w:rsidRPr="001C224F">
        <w:rPr>
          <w:rFonts w:eastAsia="Arial"/>
          <w:color w:val="000000" w:themeColor="text1"/>
        </w:rPr>
        <w:t xml:space="preserve"> grupėje buvo 75,2 mėn. ir placebo</w:t>
      </w:r>
      <w:r>
        <w:rPr>
          <w:rFonts w:eastAsia="Arial"/>
          <w:color w:val="000000" w:themeColor="text1"/>
        </w:rPr>
        <w:t xml:space="preserve"> ir bevcizumabo</w:t>
      </w:r>
      <w:r w:rsidRPr="001C224F">
        <w:rPr>
          <w:rFonts w:eastAsia="Arial"/>
          <w:color w:val="000000" w:themeColor="text1"/>
        </w:rPr>
        <w:t xml:space="preserve"> grupėje – 57,3; RS =0,62 (95 proc. PI: 0,45-0,86). Olaparibo grupėje 17 proc. daugiau pacientų išgyveno 5 metų laikotarpį, palyginus su placebo grupe. Vertinant BI </w:t>
      </w:r>
      <w:r w:rsidR="002F0E86" w:rsidRPr="001C224F">
        <w:rPr>
          <w:rFonts w:eastAsia="Arial"/>
          <w:color w:val="000000" w:themeColor="text1"/>
        </w:rPr>
        <w:t>pacien</w:t>
      </w:r>
      <w:r w:rsidR="002F0E86">
        <w:rPr>
          <w:rFonts w:eastAsia="Arial"/>
          <w:color w:val="000000" w:themeColor="text1"/>
        </w:rPr>
        <w:t>tėms</w:t>
      </w:r>
      <w:r w:rsidRPr="001C224F">
        <w:rPr>
          <w:rFonts w:eastAsia="Arial"/>
          <w:color w:val="000000" w:themeColor="text1"/>
        </w:rPr>
        <w:t xml:space="preserve"> tik su </w:t>
      </w:r>
      <w:r w:rsidRPr="006F51E0">
        <w:rPr>
          <w:iCs/>
        </w:rPr>
        <w:t>BRCA1/BRCA2</w:t>
      </w:r>
      <w:r>
        <w:rPr>
          <w:iCs/>
        </w:rPr>
        <w:t xml:space="preserve"> </w:t>
      </w:r>
      <w:r w:rsidRPr="001C224F">
        <w:rPr>
          <w:rFonts w:eastAsia="Arial"/>
          <w:color w:val="000000" w:themeColor="text1"/>
        </w:rPr>
        <w:t xml:space="preserve">mutacijoms, nustatytas panašus RS, kuris </w:t>
      </w:r>
      <w:r>
        <w:rPr>
          <w:rFonts w:eastAsia="Arial"/>
          <w:color w:val="000000" w:themeColor="text1"/>
        </w:rPr>
        <w:t>nuosekliai patvirtino</w:t>
      </w:r>
      <w:r w:rsidRPr="001C224F">
        <w:rPr>
          <w:rFonts w:eastAsia="Arial"/>
          <w:color w:val="000000" w:themeColor="text1"/>
        </w:rPr>
        <w:t xml:space="preserve"> olaparibo ir bevacizumabo naud</w:t>
      </w:r>
      <w:r w:rsidR="008B36CE">
        <w:rPr>
          <w:rFonts w:eastAsia="Arial"/>
          <w:color w:val="000000" w:themeColor="text1"/>
        </w:rPr>
        <w:t>ą</w:t>
      </w:r>
      <w:r w:rsidRPr="001C224F">
        <w:rPr>
          <w:rFonts w:eastAsia="Arial"/>
          <w:color w:val="000000" w:themeColor="text1"/>
        </w:rPr>
        <w:t xml:space="preserve"> lyginant su bevacizumab</w:t>
      </w:r>
      <w:r w:rsidR="008B36CE">
        <w:rPr>
          <w:rFonts w:eastAsia="Arial"/>
          <w:color w:val="000000" w:themeColor="text1"/>
        </w:rPr>
        <w:t>o monoterapija</w:t>
      </w:r>
      <w:r w:rsidRPr="001C224F">
        <w:rPr>
          <w:rFonts w:eastAsia="Arial"/>
          <w:color w:val="000000" w:themeColor="text1"/>
        </w:rPr>
        <w:t>. Pažymėtina, kad pacientai, kuriems buvo nustatytas neigiamas HRD statusas</w:t>
      </w:r>
      <w:r>
        <w:rPr>
          <w:rFonts w:eastAsia="Arial"/>
          <w:color w:val="000000" w:themeColor="text1"/>
        </w:rPr>
        <w:t xml:space="preserve"> (būklė)</w:t>
      </w:r>
      <w:r w:rsidRPr="001C224F">
        <w:rPr>
          <w:rFonts w:eastAsia="Arial"/>
          <w:color w:val="000000" w:themeColor="text1"/>
        </w:rPr>
        <w:t>, teigiamo olaparibo gydymo poveikio  BI, palyginus su placeb</w:t>
      </w:r>
      <w:r w:rsidR="008B36CE">
        <w:rPr>
          <w:rFonts w:eastAsia="Arial"/>
          <w:color w:val="000000" w:themeColor="text1"/>
        </w:rPr>
        <w:t>u</w:t>
      </w:r>
      <w:r w:rsidRPr="001C224F">
        <w:rPr>
          <w:rFonts w:eastAsia="Arial"/>
          <w:color w:val="000000" w:themeColor="text1"/>
        </w:rPr>
        <w:t xml:space="preserve"> nenustatyta. Skaitmeninė išraiška olaparibo grupėje buvo mažiau išgyvenusių pacientų ir jų BI mediana buvo trumpesnė.  </w:t>
      </w:r>
    </w:p>
    <w:p w14:paraId="383A0F8C" w14:textId="22178107" w:rsidR="00C923EA" w:rsidRPr="0048386C" w:rsidRDefault="00C923EA" w:rsidP="005F17FC">
      <w:pPr>
        <w:spacing w:line="276" w:lineRule="auto"/>
        <w:ind w:firstLine="720"/>
        <w:jc w:val="both"/>
        <w:rPr>
          <w:rFonts w:eastAsia="Arial"/>
          <w:sz w:val="22"/>
          <w:szCs w:val="22"/>
        </w:rPr>
      </w:pPr>
      <w:r w:rsidRPr="0048386C">
        <w:rPr>
          <w:rFonts w:eastAsia="Arial"/>
        </w:rPr>
        <w:t>Vertinant  gyvenimo kokybės pokyčius nuo tyrimo pradžios iki tyrimo pabaigos, kliniškai reikšmingo skirtumo tarp palyginamųjų grupių po 24 mėnesių gydymo ar per tyrimo laikotarpį nepastebėta.</w:t>
      </w:r>
      <w:r>
        <w:rPr>
          <w:rFonts w:eastAsia="Arial"/>
        </w:rPr>
        <w:t xml:space="preserve"> </w:t>
      </w:r>
      <w:r w:rsidRPr="0048386C">
        <w:t>Klinikinis tyrimas PAOLA-1 yra registracinis tyrimas, visi nepageidau</w:t>
      </w:r>
      <w:r w:rsidR="008B36CE">
        <w:t>jami</w:t>
      </w:r>
      <w:r w:rsidRPr="0048386C">
        <w:t xml:space="preserve"> reiškiniai atitinka saugumo charakteristik</w:t>
      </w:r>
      <w:r w:rsidR="008B36CE">
        <w:t>as</w:t>
      </w:r>
      <w:r w:rsidRPr="0048386C">
        <w:t>, pateikt</w:t>
      </w:r>
      <w:r w:rsidR="008B36CE">
        <w:t>as</w:t>
      </w:r>
      <w:r w:rsidRPr="0048386C">
        <w:t xml:space="preserve"> olaparibo pr</w:t>
      </w:r>
      <w:r w:rsidR="008B36CE">
        <w:t>eparato</w:t>
      </w:r>
      <w:r w:rsidRPr="0048386C">
        <w:t xml:space="preserve"> charakteristik</w:t>
      </w:r>
      <w:r w:rsidR="008B36CE">
        <w:t>ų</w:t>
      </w:r>
      <w:r w:rsidRPr="0048386C">
        <w:t xml:space="preserve"> santrauko</w:t>
      </w:r>
      <w:r w:rsidR="008B36CE">
        <w:t>s</w:t>
      </w:r>
      <w:r w:rsidRPr="0048386C">
        <w:t xml:space="preserve"> 4.8</w:t>
      </w:r>
      <w:r w:rsidR="008B36CE">
        <w:t xml:space="preserve"> sk</w:t>
      </w:r>
      <w:r w:rsidR="00AA51C1">
        <w:t>yriuje</w:t>
      </w:r>
      <w:r w:rsidR="008B36CE">
        <w:t>.</w:t>
      </w:r>
      <w:r w:rsidRPr="0048386C">
        <w:t xml:space="preserve"> Ilgalaiki</w:t>
      </w:r>
      <w:r w:rsidR="008B36CE">
        <w:t>o</w:t>
      </w:r>
      <w:r w:rsidRPr="0048386C">
        <w:t xml:space="preserve"> stebėjim</w:t>
      </w:r>
      <w:r w:rsidR="008B36CE">
        <w:t>o tyrimas</w:t>
      </w:r>
      <w:r w:rsidR="00C62AC3">
        <w:t xml:space="preserve"> PAOLA/ENGOT-ov25 </w:t>
      </w:r>
      <w:r w:rsidR="008B36CE">
        <w:t>(</w:t>
      </w:r>
      <w:r w:rsidR="008B36CE" w:rsidRPr="0048386C">
        <w:rPr>
          <w:rFonts w:eastAsia="Arial"/>
        </w:rPr>
        <w:t>ENGOT-ov25</w:t>
      </w:r>
      <w:r w:rsidR="00347621">
        <w:rPr>
          <w:rFonts w:eastAsia="Arial"/>
        </w:rPr>
        <w:t xml:space="preserve"> tyrimas -</w:t>
      </w:r>
      <w:r w:rsidR="00C62AC3">
        <w:rPr>
          <w:rFonts w:eastAsia="Arial"/>
        </w:rPr>
        <w:t xml:space="preserve"> klinikinio tyrimo PAOLA tęsinys</w:t>
      </w:r>
      <w:r w:rsidR="008B36CE">
        <w:rPr>
          <w:rFonts w:eastAsia="Arial"/>
        </w:rPr>
        <w:t xml:space="preserve">) </w:t>
      </w:r>
      <w:r w:rsidRPr="0048386C">
        <w:t>neatskleidė jokių netikėtų olaparib</w:t>
      </w:r>
      <w:r w:rsidR="00AA51C1">
        <w:t>o</w:t>
      </w:r>
      <w:r w:rsidR="008B36CE">
        <w:t xml:space="preserve"> nepageidaujamų poveikių. </w:t>
      </w:r>
      <w:r w:rsidRPr="0048386C">
        <w:t xml:space="preserve"> </w:t>
      </w:r>
    </w:p>
    <w:p w14:paraId="26733A83" w14:textId="713234F1" w:rsidR="00C923EA" w:rsidRPr="001E1A50" w:rsidRDefault="00EB2291" w:rsidP="005F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iCs/>
        </w:rPr>
      </w:pPr>
      <w:r>
        <w:rPr>
          <w:rFonts w:eastAsia="Arial"/>
        </w:rPr>
        <w:tab/>
      </w:r>
      <w:r w:rsidR="00C923EA" w:rsidRPr="003524C0">
        <w:rPr>
          <w:rFonts w:eastAsia="Arial"/>
        </w:rPr>
        <w:t>Remiantis klinikiniu tyrimu PAOLA-1</w:t>
      </w:r>
      <w:r w:rsidR="002D663A" w:rsidRPr="003524C0">
        <w:rPr>
          <w:rFonts w:eastAsia="Arial"/>
        </w:rPr>
        <w:t xml:space="preserve"> ir jo tęsiniu </w:t>
      </w:r>
      <w:r w:rsidR="00C923EA" w:rsidRPr="003524C0">
        <w:rPr>
          <w:rFonts w:eastAsia="Arial"/>
        </w:rPr>
        <w:t>ENGOT-ov25, galutinė iš anksto numatyta statistiniame</w:t>
      </w:r>
      <w:r w:rsidR="00C923EA" w:rsidRPr="0048386C">
        <w:rPr>
          <w:rFonts w:eastAsia="Arial"/>
        </w:rPr>
        <w:t xml:space="preserve"> plane BI analizė  parode, kad olaparibo ir bevacizumabo nauda atitolin</w:t>
      </w:r>
      <w:r>
        <w:rPr>
          <w:rFonts w:eastAsia="Arial"/>
        </w:rPr>
        <w:t>anat</w:t>
      </w:r>
      <w:r w:rsidR="00C923EA" w:rsidRPr="0048386C">
        <w:rPr>
          <w:rFonts w:eastAsia="Arial"/>
        </w:rPr>
        <w:t xml:space="preserve"> ligos progres</w:t>
      </w:r>
      <w:r>
        <w:rPr>
          <w:rFonts w:eastAsia="Arial"/>
        </w:rPr>
        <w:t>avimą</w:t>
      </w:r>
      <w:r w:rsidR="00C923EA" w:rsidRPr="0048386C">
        <w:rPr>
          <w:rFonts w:eastAsia="Arial"/>
        </w:rPr>
        <w:t xml:space="preserve"> taip pat atsispindi 5 metų bendro išgyvenamo rezultatuose</w:t>
      </w:r>
      <w:r w:rsidR="00C923EA">
        <w:rPr>
          <w:rFonts w:eastAsia="Arial"/>
        </w:rPr>
        <w:t xml:space="preserve"> vertinant </w:t>
      </w:r>
      <w:r w:rsidR="00C923EA" w:rsidRPr="0048386C">
        <w:t xml:space="preserve">sergančių pažengusiu (FIGO III ar IV stadijos) didelio piktybiškumo laipsnio epiteliniu kiaušidžių, kiaušintakių arba pirminiu pilvaplėvės vėžiu, </w:t>
      </w:r>
      <w:r>
        <w:t xml:space="preserve">kai </w:t>
      </w:r>
      <w:r w:rsidR="00C923EA">
        <w:t xml:space="preserve">nustatytas </w:t>
      </w:r>
      <w:r w:rsidR="00C923EA" w:rsidRPr="0048386C">
        <w:t xml:space="preserve">homologinės rekombinacijos </w:t>
      </w:r>
      <w:r w:rsidR="00C923EA">
        <w:t xml:space="preserve">nepakankamumas, </w:t>
      </w:r>
      <w:r w:rsidR="00C923EA" w:rsidRPr="0048386C">
        <w:t>nulemt</w:t>
      </w:r>
      <w:r>
        <w:t>a</w:t>
      </w:r>
      <w:r w:rsidR="00C923EA" w:rsidRPr="0048386C">
        <w:t xml:space="preserve">s </w:t>
      </w:r>
      <w:r w:rsidR="00C923EA" w:rsidRPr="006F51E0">
        <w:rPr>
          <w:iCs/>
        </w:rPr>
        <w:t>BRCA1/BRCA2</w:t>
      </w:r>
      <w:r w:rsidR="00C923EA">
        <w:rPr>
          <w:iCs/>
        </w:rPr>
        <w:t xml:space="preserve"> </w:t>
      </w:r>
      <w:r w:rsidR="00C923EA" w:rsidRPr="0048386C">
        <w:t>mutacijos ir (arba) genomo nestabilumo</w:t>
      </w:r>
      <w:r w:rsidR="00C923EA">
        <w:rPr>
          <w:rFonts w:eastAsia="Arial"/>
        </w:rPr>
        <w:t>, gydymo rezultatus</w:t>
      </w:r>
      <w:r w:rsidR="00C923EA" w:rsidRPr="0048386C">
        <w:rPr>
          <w:rFonts w:eastAsia="Arial"/>
        </w:rPr>
        <w:t xml:space="preserve">.  </w:t>
      </w:r>
      <w:r w:rsidR="002D663A">
        <w:rPr>
          <w:rFonts w:eastAsia="Arial"/>
        </w:rPr>
        <w:t xml:space="preserve">Penkerių </w:t>
      </w:r>
      <w:r w:rsidRPr="0048386C">
        <w:rPr>
          <w:rFonts w:eastAsia="Arial"/>
        </w:rPr>
        <w:t>metų perspektyvoje</w:t>
      </w:r>
      <w:r>
        <w:rPr>
          <w:rFonts w:eastAsia="Arial"/>
        </w:rPr>
        <w:t xml:space="preserve"> gydant</w:t>
      </w:r>
      <w:r w:rsidR="00C923EA" w:rsidRPr="0048386C">
        <w:rPr>
          <w:rFonts w:eastAsia="Arial"/>
        </w:rPr>
        <w:t xml:space="preserve"> olaparib</w:t>
      </w:r>
      <w:r>
        <w:rPr>
          <w:rFonts w:eastAsia="Arial"/>
        </w:rPr>
        <w:t>o ir</w:t>
      </w:r>
      <w:r w:rsidR="00C923EA" w:rsidRPr="0048386C">
        <w:rPr>
          <w:rFonts w:eastAsia="Arial"/>
        </w:rPr>
        <w:t xml:space="preserve"> bevacizumab</w:t>
      </w:r>
      <w:r>
        <w:rPr>
          <w:rFonts w:eastAsia="Arial"/>
        </w:rPr>
        <w:t>o deriniu</w:t>
      </w:r>
      <w:r w:rsidR="00C923EA" w:rsidRPr="0048386C">
        <w:rPr>
          <w:rFonts w:eastAsia="Arial"/>
        </w:rPr>
        <w:t>, mirties rizika mažėja 38 proc., palyginus su gydymu placebu ir bevacizumabu.</w:t>
      </w:r>
      <w:r w:rsidR="001E1A50">
        <w:rPr>
          <w:rFonts w:eastAsia="Arial"/>
        </w:rPr>
        <w:t xml:space="preserve"> </w:t>
      </w:r>
    </w:p>
    <w:p w14:paraId="119A8C12" w14:textId="2A5BC9CD" w:rsidR="00E26876" w:rsidRDefault="00AA51C1" w:rsidP="005F17FC">
      <w:pPr>
        <w:pStyle w:val="ListParagraph"/>
        <w:tabs>
          <w:tab w:val="left" w:pos="426"/>
        </w:tabs>
        <w:spacing w:line="276" w:lineRule="auto"/>
        <w:ind w:left="0"/>
        <w:jc w:val="both"/>
        <w:rPr>
          <w:b/>
          <w:bCs/>
          <w:caps/>
        </w:rPr>
      </w:pPr>
      <w:r>
        <w:rPr>
          <w:rFonts w:eastAsia="Arial"/>
        </w:rPr>
        <w:tab/>
      </w:r>
      <w:r w:rsidR="005F17FC">
        <w:rPr>
          <w:rFonts w:eastAsia="Arial"/>
        </w:rPr>
        <w:tab/>
      </w:r>
      <w:r>
        <w:rPr>
          <w:rFonts w:eastAsia="Arial"/>
        </w:rPr>
        <w:t xml:space="preserve">Apibendrinant, </w:t>
      </w:r>
      <w:r w:rsidRPr="001E1A50">
        <w:rPr>
          <w:iCs/>
        </w:rPr>
        <w:t xml:space="preserve">palyginamasis </w:t>
      </w:r>
      <w:r w:rsidRPr="003524C0">
        <w:rPr>
          <w:iCs/>
        </w:rPr>
        <w:t xml:space="preserve">olaparibo ir bevacizumabo klinikinis veiksmingumas laikomas didesniu, </w:t>
      </w:r>
      <w:r w:rsidRPr="003524C0">
        <w:t>lyginant su įprasta klinikine praktika</w:t>
      </w:r>
      <w:r w:rsidRPr="007771CB">
        <w:rPr>
          <w:iCs/>
        </w:rPr>
        <w:t>.</w:t>
      </w:r>
    </w:p>
    <w:p w14:paraId="1C48F96A" w14:textId="77777777" w:rsidR="00E26876" w:rsidRPr="00E26876" w:rsidRDefault="00E26876" w:rsidP="00A93AA6">
      <w:pPr>
        <w:pStyle w:val="ListParagraph"/>
        <w:tabs>
          <w:tab w:val="left" w:pos="426"/>
        </w:tabs>
        <w:ind w:left="0"/>
        <w:rPr>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53ADEBDC" w:rsidR="00C62B36" w:rsidRDefault="00C62B36" w:rsidP="00A93AA6">
      <w:pPr>
        <w:tabs>
          <w:tab w:val="left" w:pos="426"/>
        </w:tabs>
        <w:rPr>
          <w:i/>
          <w:color w:val="00B050"/>
          <w:sz w:val="22"/>
          <w:szCs w:val="22"/>
        </w:rPr>
      </w:pPr>
    </w:p>
    <w:p w14:paraId="5B51E3B7" w14:textId="77777777" w:rsidR="00572C4F" w:rsidRDefault="00572C4F" w:rsidP="00572C4F">
      <w:pPr>
        <w:spacing w:line="276" w:lineRule="auto"/>
        <w:ind w:firstLine="360"/>
        <w:jc w:val="both"/>
        <w:rPr>
          <w:color w:val="000000"/>
        </w:rPr>
      </w:pPr>
      <w:r w:rsidRPr="00151278">
        <w:rPr>
          <w:lang w:eastAsia="lt-LT"/>
        </w:rPr>
        <w:t>Į ekonominę analizę įtraukti pacientai atitinka kompensacijai t</w:t>
      </w:r>
      <w:r>
        <w:rPr>
          <w:lang w:eastAsia="lt-LT"/>
        </w:rPr>
        <w:t>eikiamas terapines indikacijas: (</w:t>
      </w:r>
      <w:r w:rsidRPr="00287B28">
        <w:rPr>
          <w:i/>
          <w:iCs/>
        </w:rPr>
        <w:t>FIGO III ar IV stadijos) didelio piktybiškumo laipsnio epiteliniu kiaušidžių, kiaušintakių arba pirminiu pilvaplėvės vėžiu, kai yra pasireiškęs visiškas arba dalinis atsakas į baigtą pirmos eilės gydymą, kurį sudarė chemoterapija platinos pagrindu ir bevacizumabas, kai vėžys yra homologinės rekombinacijos deficitui (angl. homologous recombination deficiency, HRD) teigiamos būklės, nulemtos BRCA1/2 mutacijos ir (arba) genomo nestabilumo</w:t>
      </w:r>
      <w:r>
        <w:t xml:space="preserve">. </w:t>
      </w:r>
      <w:r>
        <w:rPr>
          <w:color w:val="000000"/>
        </w:rPr>
        <w:t>Modelyje analizės populiaciją atitinka HRD+ pacienčių populiacija III fazės klinikiniame tyrime PAOLA-1.</w:t>
      </w:r>
    </w:p>
    <w:p w14:paraId="6F99BEAA" w14:textId="77777777" w:rsidR="00572C4F" w:rsidRDefault="00572C4F" w:rsidP="00572C4F">
      <w:pPr>
        <w:spacing w:line="276" w:lineRule="auto"/>
        <w:ind w:firstLine="360"/>
        <w:jc w:val="both"/>
      </w:pPr>
      <w:r>
        <w:t xml:space="preserve">Klinikinis olaparibo derinyje su bevacizumabu veiksmingumas lyginant su bevacizumabu vertintas tiesioginio palyginimo PAOLA-1 klinikiniame tyrime. Lietuvoje bevacizumabas </w:t>
      </w:r>
      <w:r>
        <w:lastRenderedPageBreak/>
        <w:t xml:space="preserve">kompensavimui </w:t>
      </w:r>
      <w:r w:rsidRPr="00610074">
        <w:t>teikiamai indikacijai yra perkamas centralizuotu būdu ir yra laikomas įprasta gydymo praktika.</w:t>
      </w:r>
    </w:p>
    <w:p w14:paraId="78348221" w14:textId="02DDAFB4" w:rsidR="00572C4F" w:rsidRPr="00610074" w:rsidRDefault="00572C4F" w:rsidP="00572C4F">
      <w:pPr>
        <w:spacing w:line="276" w:lineRule="auto"/>
        <w:ind w:firstLine="360"/>
        <w:jc w:val="both"/>
      </w:pPr>
      <w:r w:rsidRPr="00610074">
        <w:t>Tarnyba vertina, kad Pareiškėjo taikomas padalintos kohortos išgyvenamumo (angl. partitioned survival model) modelis yra tinkamas</w:t>
      </w:r>
      <w:r w:rsidRPr="00610074">
        <w:rPr>
          <w:rFonts w:eastAsia="Arial"/>
        </w:rPr>
        <w:t xml:space="preserve"> kiaušidžių vėžiu sergančių suaugusių pacientų gydymo modeliavimui. Pareiškėjas modeliuojant gydymą Lynparza išskiria keturias sveikatos būkles: be ligos progresavimo; ligos progresavimas 1; ligos progresavimas 2; mirtis.</w:t>
      </w:r>
      <w:r>
        <w:t xml:space="preserve"> </w:t>
      </w:r>
      <w:r w:rsidRPr="00610074">
        <w:t xml:space="preserve">Modelyje po klinikinio tyrimo pabaigos taikoma </w:t>
      </w:r>
      <w:r w:rsidR="00BC2581">
        <w:t>***</w:t>
      </w:r>
      <w:r w:rsidRPr="00610074">
        <w:t xml:space="preserve"> laiko perspektyva ir yra laikoma pakankama trukme sveikatai sukuriamai naudai ir kaštų skirtumams užfiksuoti, atsižvelgiant į ligos pobūdį ir išgyvenamumo duomenis.</w:t>
      </w:r>
    </w:p>
    <w:p w14:paraId="11712E4B" w14:textId="77777777" w:rsidR="00572C4F" w:rsidRDefault="00572C4F" w:rsidP="00572C4F">
      <w:pPr>
        <w:spacing w:line="276" w:lineRule="auto"/>
        <w:ind w:firstLine="645"/>
        <w:jc w:val="both"/>
      </w:pPr>
      <w:proofErr w:type="spellStart"/>
      <w:r>
        <w:rPr>
          <w:color w:val="000000"/>
          <w:lang w:val="en-GB"/>
        </w:rPr>
        <w:t>Parei</w:t>
      </w:r>
      <w:proofErr w:type="spellEnd"/>
      <w:r>
        <w:rPr>
          <w:color w:val="000000"/>
        </w:rPr>
        <w:t xml:space="preserve">škėjas KNA įtraukė </w:t>
      </w:r>
      <w:r w:rsidRPr="0005693B">
        <w:rPr>
          <w:color w:val="000000"/>
        </w:rPr>
        <w:t>tarpinės analizės</w:t>
      </w:r>
      <w:r>
        <w:rPr>
          <w:color w:val="000000"/>
        </w:rPr>
        <w:t xml:space="preserve"> PAOLA-1 klinikinio tyrimo duomenis, todėl Tarnyba kreipėsi į Pareiškėją prašant atnaujinti galutiniais analizės duomenimis. </w:t>
      </w:r>
      <w:r w:rsidRPr="00560780">
        <w:rPr>
          <w:bCs/>
        </w:rPr>
        <w:t xml:space="preserve">Pareiškėjas pateikė atnaujintą kaštų naudingumo analizę, </w:t>
      </w:r>
      <w:r>
        <w:rPr>
          <w:bCs/>
        </w:rPr>
        <w:t>kurioje įtraukė</w:t>
      </w:r>
      <w:r w:rsidRPr="00560780">
        <w:rPr>
          <w:bCs/>
        </w:rPr>
        <w:t xml:space="preserve"> naujausi</w:t>
      </w:r>
      <w:r>
        <w:rPr>
          <w:bCs/>
        </w:rPr>
        <w:t>us prieinamus klinikinius duomeni</w:t>
      </w:r>
      <w:r w:rsidRPr="00560780">
        <w:rPr>
          <w:bCs/>
        </w:rPr>
        <w:t>s (PAOLA-1 klinikinio tyrimo HRD-teigiamos pacientų lygmens populiacijos duome</w:t>
      </w:r>
      <w:r>
        <w:rPr>
          <w:bCs/>
        </w:rPr>
        <w:t xml:space="preserve">nys (DCO3, 2022 m. kovo pjūv.) bei po klinikinio tyrimo pabaigos duomenų ekstrapoliacijai taikomas prielaidas. </w:t>
      </w:r>
      <w:r w:rsidRPr="00B75F80">
        <w:rPr>
          <w:lang w:eastAsia="lt-LT"/>
        </w:rPr>
        <w:t>Tarnyba vertina, kad Pareiškėjo taikomos prielaidos, vertinant efektyvumo skirtumus tarp siūlomo ir palyginamojo gydymo ilgajame laikotarpyje yra pagrįstos.</w:t>
      </w:r>
      <w:r>
        <w:rPr>
          <w:lang w:eastAsia="lt-LT"/>
        </w:rPr>
        <w:t xml:space="preserve"> Duomenų modeliavimui, Pareiškėjas remiasi AIC/BIC informacinių kriterijų, vizualine kreivių atitiktimi KM kreivėms bei išorinių literatūros šaltinių validavimu. </w:t>
      </w:r>
      <w:r>
        <w:t xml:space="preserve">Tarnyba vertina, kad Pareiškėjo teikiami išoriniai literatūros duomenys pagrindžia ekstrapoliacijai taikomų metodų parinkimą kontrolinei grupei. Atsižvelgiant į publikuotus bei ilgalaikius PAOLA-1 ir SOLO-1 klinikinių tyrimų duomenis, Tarnyba vertina, kad Pareiškėjas pateikė pakankamai įrodymų, patvirtinančių mišraus sveikimo modelio taikymą IBLP duomenų ekstrapoliacijai po klinikinio tyrimo pabaigos. Modelyje vaistiniams preparatams taikomos gydymo nutraukimo prielaidos. Remiantis klinikinio tyrimo duomenimis, olaparibas skiriamas ne ilgiau nei iki 24 mėn., bevazicumabas – 11 mėn. (palaikomajam gydymui). </w:t>
      </w:r>
    </w:p>
    <w:p w14:paraId="3E09A1ED" w14:textId="77777777" w:rsidR="00572C4F" w:rsidRDefault="00572C4F" w:rsidP="00572C4F">
      <w:pPr>
        <w:spacing w:line="276" w:lineRule="auto"/>
        <w:ind w:firstLine="360"/>
        <w:jc w:val="both"/>
        <w:rPr>
          <w:lang w:eastAsia="lt-LT"/>
        </w:rPr>
      </w:pPr>
      <w:r w:rsidRPr="00A56188">
        <w:t>Su sve</w:t>
      </w:r>
      <w:r>
        <w:t xml:space="preserve">ikata susijusi gyvenimo kokybė </w:t>
      </w:r>
      <w:r w:rsidRPr="00A56188">
        <w:t>buvo vertinta olaparibo pagrindinio klinikinio tyrimo metu (PAOLA-1,  duomenys konvertuoti į EQ-5D-3L klausimyną). Būklėje iki antrojo ligos progreso naudingumo reikšmė KNA taikoma pagal SOLO-1 klinikinio tyrimo duomenis (taikyta TA598 analizėje).</w:t>
      </w:r>
      <w:r>
        <w:t xml:space="preserve"> Tarnyba sutinka.</w:t>
      </w:r>
    </w:p>
    <w:p w14:paraId="1295E129" w14:textId="77777777" w:rsidR="00572C4F" w:rsidRPr="00BD0C69" w:rsidRDefault="00572C4F" w:rsidP="00572C4F">
      <w:pPr>
        <w:spacing w:line="276" w:lineRule="auto"/>
        <w:ind w:firstLine="360"/>
        <w:jc w:val="both"/>
        <w:rPr>
          <w:szCs w:val="20"/>
          <w:lang w:eastAsia="lt-LT"/>
        </w:rPr>
      </w:pPr>
      <w:r>
        <w:rPr>
          <w:color w:val="000000"/>
        </w:rPr>
        <w:t>Pareiškėjas KNA įtraukia tik tiesiogiai su sveikatos sistemos išlaidomis susijusius kaštus: vaistinių preparatų įsigijimo, skyrimo, stebėsenos, sekančių eilių gydymo ir nepageidaujamo poveikio kaštus.</w:t>
      </w:r>
      <w:r w:rsidRPr="00B8039F">
        <w:t xml:space="preserve"> </w:t>
      </w:r>
      <w:r w:rsidRPr="009A1853">
        <w:t xml:space="preserve">Tarnyba įprastinę atvejo analizę atlieka taikant 2025 m. I pusm. kainyno ir ASPP įkainius. Taikoma olaparibo </w:t>
      </w:r>
      <w:r>
        <w:t xml:space="preserve">2025 m. I pusm. </w:t>
      </w:r>
      <w:r w:rsidRPr="00BD0C69">
        <w:t>kainyno kaina. Palyginamojo gydymo bevacizumabo kaina įtraukiama remiantis VLK duomenimis (centralizuoti pirkimai).</w:t>
      </w:r>
      <w:r w:rsidRPr="00BD0C69">
        <w:rPr>
          <w:color w:val="000000"/>
        </w:rPr>
        <w:t xml:space="preserve"> Išteklių panaudojimas KNA pagrįstas PAOLA-1 ir VP SmPC.</w:t>
      </w:r>
      <w:r w:rsidRPr="00BD0C69">
        <w:t xml:space="preserve"> </w:t>
      </w:r>
    </w:p>
    <w:p w14:paraId="1AEB9021" w14:textId="1F75D376" w:rsidR="00572C4F" w:rsidRDefault="00572C4F" w:rsidP="00572C4F">
      <w:pPr>
        <w:spacing w:line="276" w:lineRule="auto"/>
        <w:ind w:firstLine="360"/>
        <w:jc w:val="both"/>
        <w:rPr>
          <w:lang w:eastAsia="lt-LT"/>
        </w:rPr>
      </w:pPr>
      <w:r w:rsidRPr="00BD0C69">
        <w:t>Atsižvelgiant, kad pagal vienveiksnę jautrumo analizę, didžiausią įtaką galutiniam ekonominės analizės rezultatui turi sekančių eilių gydymui taikomos prielaidos (PARP inhibitorių įtraukimas), Tarnyba įprastinėje atvejo analizėje taiko konservatyvų scenarijų ir sekančių eilių gydyme olaparibo ir palyginamojo gydymo grupėse neįtraukia PARP inhibitorių (olaparibo),</w:t>
      </w:r>
      <w:r w:rsidRPr="00F03D56">
        <w:t xml:space="preserve"> atsižvelgiant, kad Paraiška pateikta ir </w:t>
      </w:r>
      <w:r w:rsidRPr="00F03D56">
        <w:rPr>
          <w:rFonts w:eastAsia="Calibri"/>
        </w:rPr>
        <w:t>olaparibo sveikatai sukuriama nauda yra vertinama kai olaparibas yra skiriamas palaikomajam gydymui po skirtos chemoterapijos (o ne ligai progresavus).</w:t>
      </w:r>
      <w:r>
        <w:t xml:space="preserve"> </w:t>
      </w:r>
      <w:r w:rsidRPr="00F03D56">
        <w:t>Sekančių chemoterapijų</w:t>
      </w:r>
      <w:r>
        <w:t xml:space="preserve"> platinos ir ne-platinos pagrindu procentinis pasiskirstymas pagrįstas VLK duomenimis apie </w:t>
      </w:r>
      <w:r w:rsidRPr="00B8039F">
        <w:t>2023 m. kompensuotus antinavikinius vaistus (ATC kodas L01) kiaušidės, kiaušintakio, retroperitoninio tarpo ir pilvaplėvės piktybiniam navikui (C56, C57.0, C48) gydyti.</w:t>
      </w:r>
      <w:r w:rsidRPr="00B40CB4">
        <w:rPr>
          <w:rFonts w:eastAsia="Arial"/>
        </w:rPr>
        <w:t xml:space="preserve"> </w:t>
      </w:r>
      <w:r w:rsidRPr="006563B2">
        <w:rPr>
          <w:rFonts w:eastAsia="Arial"/>
        </w:rPr>
        <w:t xml:space="preserve">Jautrumo analizės rezultatai patvirtina, kad galutinis ekonominės analizės rezultatas keičiant prielaidas varijuoja nežymiai ir neviršija </w:t>
      </w:r>
      <w:r w:rsidRPr="006563B2">
        <w:rPr>
          <w:lang w:eastAsia="lt-LT"/>
        </w:rPr>
        <w:t xml:space="preserve">referencinės kaštų naudingumo vertės </w:t>
      </w:r>
      <w:r w:rsidRPr="006563B2">
        <w:rPr>
          <w:rFonts w:eastAsia="Arial"/>
          <w:lang w:eastAsia="lt-LT"/>
        </w:rPr>
        <w:t xml:space="preserve">(&lt; </w:t>
      </w:r>
      <w:r w:rsidR="00506872">
        <w:rPr>
          <w:lang w:eastAsia="lt-LT"/>
        </w:rPr>
        <w:t>***</w:t>
      </w:r>
      <w:r w:rsidRPr="006563B2">
        <w:rPr>
          <w:lang w:eastAsia="lt-LT"/>
        </w:rPr>
        <w:t xml:space="preserve"> Eur./QALY).</w:t>
      </w:r>
    </w:p>
    <w:p w14:paraId="367C2240" w14:textId="77777777" w:rsidR="00572C4F" w:rsidRDefault="00572C4F" w:rsidP="00572C4F">
      <w:pPr>
        <w:spacing w:line="276" w:lineRule="auto"/>
        <w:ind w:firstLine="360"/>
        <w:jc w:val="both"/>
        <w:rPr>
          <w:lang w:eastAsia="lt-LT"/>
        </w:rPr>
      </w:pPr>
    </w:p>
    <w:p w14:paraId="174D84D7" w14:textId="2A98EE7C" w:rsidR="0035172D" w:rsidRPr="00A643EF" w:rsidRDefault="0035172D" w:rsidP="00572C4F">
      <w:pPr>
        <w:tabs>
          <w:tab w:val="left" w:pos="426"/>
        </w:tabs>
        <w:jc w:val="center"/>
        <w:rPr>
          <w:b/>
          <w:lang w:eastAsia="lt-LT"/>
        </w:rPr>
      </w:pPr>
      <w:r w:rsidRPr="00A643E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A643EF">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53369AF7" w:rsidR="00BA5DBC" w:rsidRPr="001D2A06" w:rsidRDefault="00506872" w:rsidP="00BA5DBC">
            <w:pPr>
              <w:tabs>
                <w:tab w:val="left" w:pos="567"/>
              </w:tabs>
              <w:jc w:val="both"/>
              <w:rPr>
                <w:iCs/>
                <w:lang w:eastAsia="lt-LT"/>
              </w:rPr>
            </w:pPr>
            <w:r w:rsidRPr="001D2A06">
              <w:rPr>
                <w:iCs/>
                <w:lang w:eastAsia="lt-LT"/>
              </w:rPr>
              <w:t>***</w:t>
            </w:r>
          </w:p>
        </w:tc>
      </w:tr>
      <w:tr w:rsidR="00BA5DBC" w:rsidRPr="00E33EFF" w14:paraId="49F818A3" w14:textId="77777777" w:rsidTr="00A643EF">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9" w:type="dxa"/>
            <w:tcBorders>
              <w:right w:val="single" w:sz="4" w:space="0" w:color="auto"/>
            </w:tcBorders>
          </w:tcPr>
          <w:p w14:paraId="4954817B" w14:textId="7AC7BA30" w:rsidR="00BA5DBC" w:rsidRPr="001D2A06" w:rsidRDefault="00506872" w:rsidP="00BA5DBC">
            <w:pPr>
              <w:tabs>
                <w:tab w:val="left" w:pos="567"/>
              </w:tabs>
              <w:jc w:val="both"/>
              <w:rPr>
                <w:i/>
                <w:iCs/>
                <w:lang w:eastAsia="lt-LT"/>
              </w:rPr>
            </w:pPr>
            <w:r w:rsidRPr="001D2A06">
              <w:rPr>
                <w:lang w:eastAsia="lt-LT"/>
              </w:rPr>
              <w:t>***</w:t>
            </w:r>
          </w:p>
        </w:tc>
      </w:tr>
      <w:tr w:rsidR="00BA5DBC" w:rsidRPr="00E33EFF" w14:paraId="20ADA742" w14:textId="77777777" w:rsidTr="00A643EF">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42AA8735" w:rsidR="00BA5DBC" w:rsidRPr="001D2A06" w:rsidRDefault="00506872" w:rsidP="00BA5DBC">
            <w:pPr>
              <w:tabs>
                <w:tab w:val="left" w:pos="567"/>
              </w:tabs>
              <w:jc w:val="both"/>
              <w:rPr>
                <w:iCs/>
                <w:lang w:eastAsia="lt-LT"/>
              </w:rPr>
            </w:pPr>
            <w:r w:rsidRPr="001D2A06">
              <w:rPr>
                <w:iCs/>
                <w:lang w:eastAsia="lt-LT"/>
              </w:rPr>
              <w:t>***</w:t>
            </w:r>
          </w:p>
        </w:tc>
      </w:tr>
      <w:tr w:rsidR="00A643EF" w:rsidRPr="00E33EFF" w14:paraId="1FADA2B3" w14:textId="77777777" w:rsidTr="00A643EF">
        <w:trPr>
          <w:trHeight w:val="267"/>
          <w:jc w:val="center"/>
        </w:trPr>
        <w:tc>
          <w:tcPr>
            <w:tcW w:w="6200" w:type="dxa"/>
            <w:tcBorders>
              <w:left w:val="single" w:sz="4" w:space="0" w:color="auto"/>
            </w:tcBorders>
          </w:tcPr>
          <w:p w14:paraId="13E089E8" w14:textId="0BCEB339" w:rsidR="00A643EF" w:rsidRPr="00E33EFF" w:rsidRDefault="00A643EF" w:rsidP="00A643EF">
            <w:pPr>
              <w:tabs>
                <w:tab w:val="left" w:pos="567"/>
              </w:tabs>
              <w:jc w:val="right"/>
              <w:rPr>
                <w:iCs/>
                <w:lang w:eastAsia="lt-LT"/>
              </w:rPr>
            </w:pPr>
            <w:r w:rsidRPr="00E33EFF">
              <w:rPr>
                <w:iCs/>
                <w:lang w:eastAsia="lt-LT"/>
              </w:rPr>
              <w:t>ICER už LY</w:t>
            </w:r>
          </w:p>
        </w:tc>
        <w:tc>
          <w:tcPr>
            <w:tcW w:w="3239" w:type="dxa"/>
            <w:tcBorders>
              <w:right w:val="single" w:sz="4" w:space="0" w:color="auto"/>
            </w:tcBorders>
          </w:tcPr>
          <w:p w14:paraId="2817448D" w14:textId="7C1F7983" w:rsidR="00A643EF" w:rsidRPr="001D2A06" w:rsidRDefault="00506872" w:rsidP="00A643EF">
            <w:pPr>
              <w:tabs>
                <w:tab w:val="left" w:pos="567"/>
              </w:tabs>
              <w:jc w:val="both"/>
              <w:rPr>
                <w:i/>
                <w:iCs/>
                <w:lang w:eastAsia="lt-LT"/>
              </w:rPr>
            </w:pPr>
            <w:r w:rsidRPr="001D2A06">
              <w:rPr>
                <w:iCs/>
                <w:lang w:val="en-US" w:eastAsia="lt-LT"/>
              </w:rPr>
              <w:t>***</w:t>
            </w:r>
          </w:p>
        </w:tc>
      </w:tr>
      <w:tr w:rsidR="00A643EF" w:rsidRPr="00E33EFF" w14:paraId="250DE960" w14:textId="77777777" w:rsidTr="00A643EF">
        <w:trPr>
          <w:trHeight w:val="267"/>
          <w:jc w:val="center"/>
        </w:trPr>
        <w:tc>
          <w:tcPr>
            <w:tcW w:w="6200" w:type="dxa"/>
            <w:tcBorders>
              <w:left w:val="single" w:sz="4" w:space="0" w:color="auto"/>
            </w:tcBorders>
          </w:tcPr>
          <w:p w14:paraId="207EFB23" w14:textId="77777777" w:rsidR="00A643EF" w:rsidRPr="00E33EFF" w:rsidRDefault="00A643EF" w:rsidP="00A643EF">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0CA65325" w:rsidR="00A643EF" w:rsidRPr="001D2A06" w:rsidRDefault="00506872" w:rsidP="00A643EF">
            <w:pPr>
              <w:tabs>
                <w:tab w:val="left" w:pos="567"/>
              </w:tabs>
              <w:jc w:val="both"/>
              <w:rPr>
                <w:i/>
                <w:iCs/>
                <w:lang w:eastAsia="lt-LT"/>
              </w:rPr>
            </w:pPr>
            <w:r w:rsidRPr="001D2A06">
              <w:rPr>
                <w:iCs/>
                <w:lang w:eastAsia="lt-LT"/>
              </w:rPr>
              <w:t>***</w:t>
            </w:r>
          </w:p>
        </w:tc>
      </w:tr>
      <w:tr w:rsidR="00A643EF" w:rsidRPr="00E33EFF" w14:paraId="2C4C68BA" w14:textId="77777777" w:rsidTr="00A643EF">
        <w:trPr>
          <w:trHeight w:val="267"/>
          <w:jc w:val="center"/>
        </w:trPr>
        <w:tc>
          <w:tcPr>
            <w:tcW w:w="6200" w:type="dxa"/>
            <w:tcBorders>
              <w:left w:val="single" w:sz="4" w:space="0" w:color="auto"/>
              <w:bottom w:val="single" w:sz="4" w:space="0" w:color="auto"/>
              <w:right w:val="single" w:sz="4" w:space="0" w:color="auto"/>
            </w:tcBorders>
          </w:tcPr>
          <w:p w14:paraId="21BEDABF" w14:textId="77777777" w:rsidR="00A643EF" w:rsidRPr="00E33EFF" w:rsidRDefault="00A643EF" w:rsidP="00A643EF">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7874CE62" w:rsidR="00A643EF" w:rsidRPr="001D2A06" w:rsidRDefault="00B471DC" w:rsidP="00A643EF">
            <w:pPr>
              <w:tabs>
                <w:tab w:val="left" w:pos="567"/>
              </w:tabs>
              <w:jc w:val="both"/>
              <w:rPr>
                <w:i/>
                <w:iCs/>
                <w:lang w:eastAsia="lt-LT"/>
              </w:rPr>
            </w:pPr>
            <w:r w:rsidRPr="001D2A06">
              <w:rPr>
                <w:i/>
                <w:color w:val="000000"/>
                <w:lang w:eastAsia="lt-LT"/>
              </w:rPr>
              <w:t>***</w:t>
            </w:r>
            <w:r w:rsidR="00A643EF" w:rsidRPr="001D2A06">
              <w:rPr>
                <w:i/>
                <w:color w:val="000000"/>
                <w:lang w:eastAsia="lt-LT"/>
              </w:rPr>
              <w:t xml:space="preserve"> </w:t>
            </w:r>
            <w:r w:rsidR="00A643EF" w:rsidRPr="001D2A06">
              <w:rPr>
                <w:i/>
              </w:rPr>
              <w:t>Eur.</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14807D24" w:rsidR="0035172D" w:rsidRDefault="0035172D" w:rsidP="00A93AA6">
      <w:pPr>
        <w:tabs>
          <w:tab w:val="left" w:pos="426"/>
        </w:tabs>
        <w:rPr>
          <w:b/>
          <w:bCs/>
          <w:caps/>
        </w:rPr>
      </w:pPr>
    </w:p>
    <w:p w14:paraId="3B25DF6E" w14:textId="1FEB62B4" w:rsidR="00572C4F" w:rsidRPr="00572C4F" w:rsidRDefault="00572C4F" w:rsidP="00572C4F">
      <w:pPr>
        <w:spacing w:line="276" w:lineRule="auto"/>
        <w:ind w:firstLine="720"/>
        <w:jc w:val="both"/>
      </w:pPr>
      <w:r>
        <w:rPr>
          <w:lang w:eastAsia="lt-LT"/>
        </w:rPr>
        <w:t xml:space="preserve">Gautais ekonominės analizės rezultatais, olaparibą derinyje su bevacizumabu </w:t>
      </w:r>
      <w:r w:rsidRPr="00591BF0">
        <w:t>skiriant</w:t>
      </w:r>
      <w:r>
        <w:t xml:space="preserve"> </w:t>
      </w:r>
      <w:r w:rsidRPr="00151278">
        <w:t>palaikomajam gydymui suaugusiųjų pacienčių, sergančių pažengusiu (FIGO III ar IV stadijos) didelio piktybiškumo laipsnio epiteliniu kiaušidžių, kiaušintakių arba pirminiu pilvaplėvės vėžiu, kai yra pasireiškęs visiškas arba dalinis atsakas į baigtą pirmos eilės gydymą, kurį sudarė chemoterapija platinos pagrindu ir bevacizumabas, kai vėžys yra homologinės rekombinacijos deficitui (angl. homologous recombination deficiency, HRD) teigiamos būklės, nulemtos BRCA1/2 mutacij</w:t>
      </w:r>
      <w:r>
        <w:t>os ir (arba) genomo nestabilumo (</w:t>
      </w:r>
      <w:r w:rsidRPr="00151278">
        <w:t>C50</w:t>
      </w:r>
      <w:r>
        <w:t xml:space="preserve">)) </w:t>
      </w:r>
      <w:r w:rsidRPr="00591BF0">
        <w:rPr>
          <w:lang w:eastAsia="lt-LT"/>
        </w:rPr>
        <w:t>lyginant su standartiniu gydymu (</w:t>
      </w:r>
      <w:r>
        <w:rPr>
          <w:bCs/>
          <w:i/>
        </w:rPr>
        <w:t>placebas + bevacizumabas</w:t>
      </w:r>
      <w:r w:rsidRPr="00591BF0">
        <w:rPr>
          <w:bCs/>
          <w:i/>
        </w:rPr>
        <w:t xml:space="preserve">) </w:t>
      </w:r>
      <w:r>
        <w:rPr>
          <w:bCs/>
          <w:iCs/>
          <w:lang w:eastAsia="lt-LT"/>
        </w:rPr>
        <w:t xml:space="preserve">ir vertinant </w:t>
      </w:r>
      <w:r w:rsidR="00B471DC">
        <w:rPr>
          <w:bCs/>
          <w:iCs/>
          <w:lang w:eastAsia="lt-LT"/>
        </w:rPr>
        <w:t>***</w:t>
      </w:r>
      <w:r w:rsidRPr="00591BF0">
        <w:rPr>
          <w:bCs/>
          <w:iCs/>
          <w:lang w:eastAsia="lt-LT"/>
        </w:rPr>
        <w:t xml:space="preserve"> laikotarpiu yra išsaugomi papildomi </w:t>
      </w:r>
      <w:r w:rsidR="00B471DC">
        <w:rPr>
          <w:bCs/>
          <w:iCs/>
          <w:lang w:eastAsia="lt-LT"/>
        </w:rPr>
        <w:t>***</w:t>
      </w:r>
      <w:r w:rsidRPr="00591BF0">
        <w:rPr>
          <w:bCs/>
          <w:iCs/>
          <w:lang w:eastAsia="lt-LT"/>
        </w:rPr>
        <w:t xml:space="preserve"> kokybiški gyvenimo metai, kurie lemia </w:t>
      </w:r>
      <w:r w:rsidR="00B471DC">
        <w:t>***</w:t>
      </w:r>
      <w:r w:rsidRPr="00591BF0">
        <w:t xml:space="preserve"> </w:t>
      </w:r>
      <w:r>
        <w:rPr>
          <w:bCs/>
          <w:color w:val="000000"/>
          <w:lang w:eastAsia="lt-LT"/>
        </w:rPr>
        <w:t>Eur. papildomas išlaidas. A</w:t>
      </w:r>
      <w:r w:rsidRPr="00591BF0">
        <w:rPr>
          <w:rFonts w:eastAsia="Arial"/>
          <w:lang w:eastAsia="lt-LT"/>
        </w:rPr>
        <w:t>pskaičiuotas ICER (</w:t>
      </w:r>
      <w:r w:rsidR="00B471DC">
        <w:rPr>
          <w:color w:val="000000"/>
        </w:rPr>
        <w:t>***</w:t>
      </w:r>
      <w:r w:rsidRPr="00591BF0">
        <w:rPr>
          <w:color w:val="000000"/>
        </w:rPr>
        <w:t xml:space="preserve"> Eur./QALY</w:t>
      </w:r>
      <w:r w:rsidRPr="00591BF0">
        <w:rPr>
          <w:bCs/>
          <w:color w:val="000000"/>
          <w:lang w:eastAsia="lt-LT"/>
        </w:rPr>
        <w:t xml:space="preserve">) </w:t>
      </w:r>
      <w:r w:rsidRPr="00591BF0">
        <w:rPr>
          <w:bCs/>
          <w:lang w:eastAsia="lt-LT"/>
        </w:rPr>
        <w:t xml:space="preserve">atitinka </w:t>
      </w:r>
      <w:r>
        <w:rPr>
          <w:bCs/>
          <w:lang w:eastAsia="lt-LT"/>
        </w:rPr>
        <w:t>vidutinei</w:t>
      </w:r>
      <w:r w:rsidRPr="00591BF0">
        <w:rPr>
          <w:bCs/>
          <w:lang w:eastAsia="lt-LT"/>
        </w:rPr>
        <w:t xml:space="preserve"> ligos naštai taikomą referencinę kaštų naudingumo vertę (&lt;</w:t>
      </w:r>
      <w:r w:rsidR="00B471DC">
        <w:rPr>
          <w:lang w:eastAsia="lt-LT"/>
        </w:rPr>
        <w:t>***</w:t>
      </w:r>
      <w:r w:rsidRPr="00591BF0">
        <w:rPr>
          <w:lang w:eastAsia="lt-LT"/>
        </w:rPr>
        <w:t xml:space="preserve"> Eur.).</w:t>
      </w:r>
    </w:p>
    <w:p w14:paraId="204D7FE8" w14:textId="77777777" w:rsidR="00572C4F" w:rsidRPr="00E33EFF" w:rsidRDefault="00572C4F"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A9FF2E4"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EF74D1">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85025EE"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EF74D1">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787D5533" w14:textId="77777777" w:rsidR="00FC26B5" w:rsidRDefault="00FC26B5" w:rsidP="00FC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i/>
          <w:color w:val="00B050"/>
        </w:rPr>
      </w:pPr>
    </w:p>
    <w:tbl>
      <w:tblPr>
        <w:tblStyle w:val="TableGrid"/>
        <w:tblW w:w="0" w:type="auto"/>
        <w:tblLook w:val="04A0" w:firstRow="1" w:lastRow="0" w:firstColumn="1" w:lastColumn="0" w:noHBand="0" w:noVBand="1"/>
      </w:tblPr>
      <w:tblGrid>
        <w:gridCol w:w="4815"/>
        <w:gridCol w:w="4814"/>
      </w:tblGrid>
      <w:tr w:rsidR="00572C4F" w:rsidRPr="000203E1" w14:paraId="40BA1BBE" w14:textId="77777777" w:rsidTr="00E55CC4">
        <w:trPr>
          <w:trHeight w:val="510"/>
        </w:trPr>
        <w:tc>
          <w:tcPr>
            <w:tcW w:w="9629" w:type="dxa"/>
            <w:gridSpan w:val="2"/>
            <w:vAlign w:val="center"/>
          </w:tcPr>
          <w:p w14:paraId="24147ADC"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0203E1">
              <w:rPr>
                <w:rStyle w:val="Style2"/>
                <w:rFonts w:eastAsia="MS Gothic"/>
                <w:b/>
                <w:bCs/>
                <w:sz w:val="24"/>
              </w:rPr>
              <w:t xml:space="preserve">Palyginamasis </w:t>
            </w:r>
            <w:r>
              <w:rPr>
                <w:rStyle w:val="Style2"/>
                <w:rFonts w:eastAsia="MS Gothic"/>
                <w:b/>
                <w:bCs/>
                <w:sz w:val="24"/>
              </w:rPr>
              <w:t>veiksmingumas</w:t>
            </w:r>
          </w:p>
        </w:tc>
      </w:tr>
      <w:tr w:rsidR="00572C4F" w:rsidRPr="000203E1" w14:paraId="52549B50" w14:textId="77777777" w:rsidTr="00E55CC4">
        <w:tc>
          <w:tcPr>
            <w:tcW w:w="4815" w:type="dxa"/>
          </w:tcPr>
          <w:p w14:paraId="3EC72F5A" w14:textId="7D99A7F5"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85207295"/>
                <w15:color w:val="FFCC00"/>
                <w14:checkbox>
                  <w14:checked w14:val="1"/>
                  <w14:checkedState w14:val="2612" w14:font="MS Gothic"/>
                  <w14:uncheckedState w14:val="2610" w14:font="MS Gothic"/>
                </w14:checkbox>
              </w:sdtPr>
              <w:sdtContent>
                <w:r w:rsidR="00572C4F">
                  <w:rPr>
                    <w:rStyle w:val="Style2"/>
                    <w:rFonts w:ascii="MS Gothic" w:eastAsia="MS Gothic" w:hAnsi="MS Gothic" w:hint="eastAsia"/>
                    <w:sz w:val="24"/>
                  </w:rPr>
                  <w:t>☒</w:t>
                </w:r>
              </w:sdtContent>
            </w:sdt>
            <w:r w:rsidR="00572C4F">
              <w:rPr>
                <w:rStyle w:val="Style2"/>
                <w:sz w:val="24"/>
              </w:rPr>
              <w:t xml:space="preserve"> 29</w:t>
            </w:r>
            <w:r w:rsidR="00572C4F" w:rsidRPr="000203E1">
              <w:t>.1.</w:t>
            </w:r>
            <w:r w:rsidR="00572C4F">
              <w:t>1</w:t>
            </w:r>
            <w:r w:rsidR="00572C4F" w:rsidRPr="000203E1">
              <w:t xml:space="preserve"> yra didesnis, lyginant su įprasta klinikine praktika</w:t>
            </w:r>
          </w:p>
          <w:p w14:paraId="7A7055AD"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93C0B7" w14:textId="7FE832B4"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914471956"/>
                <w15:color w:val="FFCC00"/>
                <w14:checkbox>
                  <w14:checked w14:val="0"/>
                  <w14:checkedState w14:val="2612" w14:font="MS Gothic"/>
                  <w14:uncheckedState w14:val="2610" w14:font="MS Gothic"/>
                </w14:checkbox>
              </w:sdtPr>
              <w:sdtContent>
                <w:r w:rsidR="00572C4F">
                  <w:rPr>
                    <w:rStyle w:val="Style2"/>
                    <w:rFonts w:ascii="MS Gothic" w:eastAsia="MS Gothic" w:hAnsi="MS Gothic" w:hint="eastAsia"/>
                    <w:sz w:val="24"/>
                  </w:rPr>
                  <w:t>☐</w:t>
                </w:r>
              </w:sdtContent>
            </w:sdt>
            <w:r w:rsidR="00572C4F" w:rsidRPr="000203E1">
              <w:t xml:space="preserve"> </w:t>
            </w:r>
            <w:r w:rsidR="00572C4F">
              <w:rPr>
                <w:rStyle w:val="Style2"/>
                <w:sz w:val="24"/>
              </w:rPr>
              <w:t>29</w:t>
            </w:r>
            <w:r w:rsidR="00572C4F" w:rsidRPr="000203E1">
              <w:t>.1.</w:t>
            </w:r>
            <w:r w:rsidR="00572C4F">
              <w:t xml:space="preserve">2 </w:t>
            </w:r>
            <w:r w:rsidR="00572C4F" w:rsidRPr="000203E1">
              <w:t>iš esmės nesiskiria, lyginant su įprasta klinikine praktika</w:t>
            </w:r>
          </w:p>
        </w:tc>
        <w:tc>
          <w:tcPr>
            <w:tcW w:w="4814" w:type="dxa"/>
          </w:tcPr>
          <w:p w14:paraId="3954F17D" w14:textId="77777777" w:rsidR="00572C4F"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4200549"/>
                <w15:color w:val="FFCC00"/>
                <w14:checkbox>
                  <w14:checked w14:val="0"/>
                  <w14:checkedState w14:val="2612" w14:font="MS Gothic"/>
                  <w14:uncheckedState w14:val="2610" w14:font="MS Gothic"/>
                </w14:checkbox>
              </w:sdtPr>
              <w:sdtContent>
                <w:r w:rsidR="00572C4F" w:rsidRPr="000203E1">
                  <w:rPr>
                    <w:rStyle w:val="Style2"/>
                    <w:rFonts w:ascii="Segoe UI Symbol" w:eastAsia="MS Gothic" w:hAnsi="Segoe UI Symbol" w:cs="Segoe UI Symbol"/>
                    <w:sz w:val="24"/>
                  </w:rPr>
                  <w:t>☐</w:t>
                </w:r>
              </w:sdtContent>
            </w:sdt>
            <w:r w:rsidR="00572C4F" w:rsidRPr="000203E1">
              <w:t xml:space="preserve"> </w:t>
            </w:r>
            <w:r w:rsidR="00572C4F">
              <w:rPr>
                <w:rStyle w:val="Style2"/>
                <w:sz w:val="24"/>
              </w:rPr>
              <w:t>29</w:t>
            </w:r>
            <w:r w:rsidR="00572C4F" w:rsidRPr="000203E1">
              <w:t>.1.</w:t>
            </w:r>
            <w:r w:rsidR="00572C4F">
              <w:t xml:space="preserve">3 </w:t>
            </w:r>
            <w:r w:rsidR="00572C4F" w:rsidRPr="000203E1">
              <w:t>yra neįrodytas kaip didesnis</w:t>
            </w:r>
            <w:r w:rsidR="00572C4F">
              <w:t xml:space="preserve"> </w:t>
            </w:r>
            <w:r w:rsidR="00572C4F" w:rsidRPr="001C1D94">
              <w:t> ar iš esmės nesiskiriantis</w:t>
            </w:r>
            <w:r w:rsidR="00572C4F" w:rsidRPr="000203E1">
              <w:t xml:space="preserve">, lyginant su įprasta klinikine praktika  </w:t>
            </w:r>
          </w:p>
          <w:p w14:paraId="0AC12D6B"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FF80FA7" w14:textId="77777777" w:rsidR="00572C4F"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2178579"/>
                <w15:color w:val="FFCC00"/>
                <w14:checkbox>
                  <w14:checked w14:val="0"/>
                  <w14:checkedState w14:val="2612" w14:font="MS Gothic"/>
                  <w14:uncheckedState w14:val="2610" w14:font="MS Gothic"/>
                </w14:checkbox>
              </w:sdtPr>
              <w:sdtContent>
                <w:r w:rsidR="00572C4F" w:rsidRPr="000203E1">
                  <w:rPr>
                    <w:rStyle w:val="Style2"/>
                    <w:rFonts w:ascii="Segoe UI Symbol" w:eastAsia="MS Gothic" w:hAnsi="Segoe UI Symbol" w:cs="Segoe UI Symbol"/>
                    <w:sz w:val="24"/>
                  </w:rPr>
                  <w:t>☐</w:t>
                </w:r>
              </w:sdtContent>
            </w:sdt>
            <w:r w:rsidR="00572C4F" w:rsidRPr="000203E1">
              <w:t xml:space="preserve"> </w:t>
            </w:r>
            <w:r w:rsidR="00572C4F">
              <w:rPr>
                <w:rStyle w:val="Style2"/>
                <w:sz w:val="24"/>
              </w:rPr>
              <w:t>29</w:t>
            </w:r>
            <w:r w:rsidR="00572C4F" w:rsidRPr="000203E1">
              <w:t>.1.</w:t>
            </w:r>
            <w:r w:rsidR="00572C4F">
              <w:t xml:space="preserve">4 </w:t>
            </w:r>
            <w:r w:rsidR="00572C4F" w:rsidRPr="000203E1">
              <w:t>yra mažesnis, lyginant su įprasta klinikine praktika</w:t>
            </w:r>
          </w:p>
          <w:p w14:paraId="5A7D52D5" w14:textId="77777777" w:rsidR="00572C4F"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DF9511" w14:textId="77777777"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65324558"/>
                <w15:color w:val="FFCC00"/>
                <w14:checkbox>
                  <w14:checked w14:val="0"/>
                  <w14:checkedState w14:val="2612" w14:font="MS Gothic"/>
                  <w14:uncheckedState w14:val="2610" w14:font="MS Gothic"/>
                </w14:checkbox>
              </w:sdtPr>
              <w:sdtContent>
                <w:r w:rsidR="00572C4F" w:rsidRPr="000203E1">
                  <w:rPr>
                    <w:rStyle w:val="Style2"/>
                    <w:rFonts w:ascii="Segoe UI Symbol" w:eastAsia="MS Gothic" w:hAnsi="Segoe UI Symbol" w:cs="Segoe UI Symbol"/>
                    <w:sz w:val="24"/>
                  </w:rPr>
                  <w:t>☐</w:t>
                </w:r>
              </w:sdtContent>
            </w:sdt>
            <w:r w:rsidR="00572C4F" w:rsidRPr="000203E1">
              <w:t xml:space="preserve"> </w:t>
            </w:r>
            <w:r w:rsidR="00572C4F">
              <w:t xml:space="preserve"> </w:t>
            </w:r>
            <w:r w:rsidR="00572C4F">
              <w:rPr>
                <w:rStyle w:val="Style2"/>
                <w:sz w:val="24"/>
              </w:rPr>
              <w:t>29</w:t>
            </w:r>
            <w:r w:rsidR="00572C4F" w:rsidRPr="000203E1">
              <w:t>.1.</w:t>
            </w:r>
            <w:r w:rsidR="00572C4F">
              <w:t>5</w:t>
            </w:r>
            <w:r w:rsidR="00572C4F" w:rsidRPr="000203E1">
              <w:t xml:space="preserve"> pateikti duomenys apie palyginamąjį </w:t>
            </w:r>
            <w:r w:rsidR="00572C4F">
              <w:t>veiksmingumą</w:t>
            </w:r>
            <w:r w:rsidR="00572C4F" w:rsidRPr="000203E1">
              <w:t xml:space="preserve"> yra netinkami vertinti</w:t>
            </w:r>
          </w:p>
          <w:p w14:paraId="60665EED"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572C4F" w:rsidRPr="000203E1" w14:paraId="65796232" w14:textId="77777777" w:rsidTr="00E55CC4">
        <w:trPr>
          <w:trHeight w:val="510"/>
        </w:trPr>
        <w:tc>
          <w:tcPr>
            <w:tcW w:w="9629" w:type="dxa"/>
            <w:gridSpan w:val="2"/>
            <w:vAlign w:val="center"/>
          </w:tcPr>
          <w:p w14:paraId="12D73783"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787"/>
            <w:r w:rsidRPr="000203E1">
              <w:rPr>
                <w:rStyle w:val="Style2"/>
                <w:rFonts w:eastAsia="MS Gothic"/>
                <w:b/>
                <w:bCs/>
                <w:sz w:val="24"/>
              </w:rPr>
              <w:t>Kaštų naudingumas</w:t>
            </w:r>
          </w:p>
        </w:tc>
      </w:tr>
      <w:tr w:rsidR="00572C4F" w:rsidRPr="000203E1" w14:paraId="44EFAA59" w14:textId="77777777" w:rsidTr="00E55CC4">
        <w:tc>
          <w:tcPr>
            <w:tcW w:w="4815" w:type="dxa"/>
          </w:tcPr>
          <w:p w14:paraId="7CB90E8C" w14:textId="4338D5B8"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572C4F">
                  <w:rPr>
                    <w:rStyle w:val="Style2"/>
                    <w:rFonts w:ascii="MS Gothic" w:eastAsia="MS Gothic" w:hAnsi="MS Gothic" w:hint="eastAsia"/>
                    <w:sz w:val="24"/>
                  </w:rPr>
                  <w:t>☒</w:t>
                </w:r>
              </w:sdtContent>
            </w:sdt>
            <w:r w:rsidR="00572C4F" w:rsidRPr="000203E1">
              <w:t xml:space="preserve"> </w:t>
            </w:r>
            <w:r w:rsidR="00572C4F">
              <w:t xml:space="preserve">29.2.1 </w:t>
            </w:r>
            <w:r w:rsidR="00572C4F" w:rsidRPr="000203E1">
              <w:t>atitink</w:t>
            </w:r>
            <w:r w:rsidR="00572C4F">
              <w:t>a referencinę naudingumo vertę</w:t>
            </w:r>
          </w:p>
          <w:p w14:paraId="627010C3"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3FE515" w14:textId="77777777"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572C4F" w:rsidRPr="000203E1">
                  <w:rPr>
                    <w:rStyle w:val="Style2"/>
                    <w:rFonts w:ascii="Segoe UI Symbol" w:eastAsia="MS Gothic" w:hAnsi="Segoe UI Symbol" w:cs="Segoe UI Symbol"/>
                    <w:sz w:val="24"/>
                  </w:rPr>
                  <w:t>☐</w:t>
                </w:r>
              </w:sdtContent>
            </w:sdt>
            <w:r w:rsidR="00572C4F" w:rsidRPr="000203E1">
              <w:t xml:space="preserve"> </w:t>
            </w:r>
            <w:r w:rsidR="00572C4F">
              <w:t xml:space="preserve">29.2.2 </w:t>
            </w:r>
            <w:r w:rsidR="00572C4F" w:rsidRPr="000203E1">
              <w:t>gydymo juo kaštai yra mažesni ar tokie patys esant iš esmės nesiskiriančiam palyginamajam efektyvumui, taikant</w:t>
            </w:r>
            <w:r w:rsidR="00572C4F">
              <w:t xml:space="preserve"> arba netaikant </w:t>
            </w:r>
            <w:r w:rsidR="00572C4F" w:rsidRPr="000203E1">
              <w:t xml:space="preserve"> </w:t>
            </w:r>
            <w:r w:rsidR="00572C4F">
              <w:t>PGS</w:t>
            </w:r>
          </w:p>
        </w:tc>
        <w:tc>
          <w:tcPr>
            <w:tcW w:w="4814" w:type="dxa"/>
          </w:tcPr>
          <w:p w14:paraId="2E43FABF" w14:textId="77777777"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572C4F">
                  <w:rPr>
                    <w:rStyle w:val="Style2"/>
                    <w:rFonts w:ascii="MS Gothic" w:eastAsia="MS Gothic" w:hAnsi="MS Gothic" w:hint="eastAsia"/>
                    <w:sz w:val="24"/>
                  </w:rPr>
                  <w:t>☐</w:t>
                </w:r>
              </w:sdtContent>
            </w:sdt>
            <w:r w:rsidR="00572C4F" w:rsidRPr="000203E1">
              <w:t xml:space="preserve"> </w:t>
            </w:r>
            <w:r w:rsidR="00572C4F">
              <w:t>29</w:t>
            </w:r>
            <w:r w:rsidR="00572C4F" w:rsidRPr="000203E1">
              <w:t>.</w:t>
            </w:r>
            <w:r w:rsidR="00572C4F">
              <w:t>2.</w:t>
            </w:r>
            <w:r w:rsidR="00572C4F" w:rsidRPr="000203E1">
              <w:t xml:space="preserve">3 neatitinka referencinės naudingumo vertės </w:t>
            </w:r>
            <w:r w:rsidR="00572C4F" w:rsidRPr="001C1D94">
              <w:t>taikant arba netaikant PGS</w:t>
            </w:r>
          </w:p>
          <w:p w14:paraId="00F739FF"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778ADE0" w14:textId="029795F0"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572C4F">
                  <w:rPr>
                    <w:rStyle w:val="Style2"/>
                    <w:rFonts w:ascii="MS Gothic" w:eastAsia="MS Gothic" w:hAnsi="MS Gothic" w:hint="eastAsia"/>
                    <w:sz w:val="24"/>
                  </w:rPr>
                  <w:t>☐</w:t>
                </w:r>
              </w:sdtContent>
            </w:sdt>
            <w:r w:rsidR="00572C4F" w:rsidRPr="000203E1">
              <w:t xml:space="preserve"> </w:t>
            </w:r>
            <w:r w:rsidR="00572C4F">
              <w:t>29</w:t>
            </w:r>
            <w:r w:rsidR="00572C4F" w:rsidRPr="000203E1">
              <w:t>.</w:t>
            </w:r>
            <w:r w:rsidR="00572C4F">
              <w:t>2.4</w:t>
            </w:r>
            <w:r w:rsidR="00572C4F" w:rsidRPr="000203E1">
              <w:t xml:space="preserve"> gydymo juo kaštai yra didesni esant iš esmės nesiskiriančiam palyginamajam </w:t>
            </w:r>
            <w:r w:rsidR="00572C4F">
              <w:t>veiksmingumui</w:t>
            </w:r>
            <w:r w:rsidR="00572C4F" w:rsidRPr="000203E1">
              <w:t>, taikant</w:t>
            </w:r>
            <w:r w:rsidR="00572C4F">
              <w:t xml:space="preserve"> </w:t>
            </w:r>
            <w:r w:rsidR="00572C4F" w:rsidRPr="001C1D94">
              <w:t>arba netaikant PGS</w:t>
            </w:r>
          </w:p>
          <w:p w14:paraId="5BB333BB"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4D46B9C" w14:textId="77777777" w:rsidR="00572C4F" w:rsidRPr="000203E1" w:rsidRDefault="00000000"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572C4F" w:rsidRPr="000203E1">
                  <w:rPr>
                    <w:rStyle w:val="Style2"/>
                    <w:rFonts w:ascii="Segoe UI Symbol" w:eastAsia="MS Gothic" w:hAnsi="Segoe UI Symbol" w:cs="Segoe UI Symbol"/>
                    <w:sz w:val="24"/>
                  </w:rPr>
                  <w:t>☐</w:t>
                </w:r>
              </w:sdtContent>
            </w:sdt>
            <w:r w:rsidR="00572C4F" w:rsidRPr="000203E1">
              <w:t xml:space="preserve"> </w:t>
            </w:r>
            <w:r w:rsidR="00572C4F">
              <w:t>29</w:t>
            </w:r>
            <w:r w:rsidR="00572C4F" w:rsidRPr="000203E1">
              <w:t>.</w:t>
            </w:r>
            <w:r w:rsidR="00572C4F">
              <w:t>2.5</w:t>
            </w:r>
            <w:r w:rsidR="00572C4F" w:rsidRPr="000203E1">
              <w:t xml:space="preserve"> pateikti duomenys apie kaštų naudingumą yra netinkami vertinti</w:t>
            </w:r>
          </w:p>
          <w:p w14:paraId="6430F338" w14:textId="77777777" w:rsidR="00572C4F" w:rsidRPr="000203E1" w:rsidRDefault="00572C4F" w:rsidP="00E5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7092D58C" w14:textId="77777777" w:rsidR="00572C4F" w:rsidRPr="0073329D" w:rsidRDefault="00572C4F" w:rsidP="00572C4F">
      <w:pPr>
        <w:jc w:val="both"/>
        <w:rPr>
          <w:i/>
          <w:sz w:val="22"/>
          <w:szCs w:val="22"/>
        </w:rPr>
      </w:pPr>
    </w:p>
    <w:p w14:paraId="4C1752FF" w14:textId="51A78950" w:rsidR="00572C4F" w:rsidRPr="00572C4F" w:rsidRDefault="00572C4F" w:rsidP="00572C4F">
      <w:pPr>
        <w:pStyle w:val="ListParagraph"/>
        <w:numPr>
          <w:ilvl w:val="0"/>
          <w:numId w:val="12"/>
        </w:numPr>
        <w:ind w:left="630" w:hanging="630"/>
        <w:jc w:val="both"/>
        <w:rPr>
          <w:b/>
        </w:rPr>
      </w:pPr>
      <w:r w:rsidRPr="00572C4F">
        <w:rPr>
          <w:b/>
        </w:rPr>
        <w:t>REKOMENDACIJA</w:t>
      </w:r>
    </w:p>
    <w:p w14:paraId="35D7D349" w14:textId="77777777" w:rsidR="00572C4F" w:rsidRPr="0073329D" w:rsidRDefault="00572C4F" w:rsidP="00572C4F">
      <w:pPr>
        <w:jc w:val="both"/>
        <w:rPr>
          <w:b/>
        </w:rPr>
      </w:pPr>
    </w:p>
    <w:p w14:paraId="2F5D5F05" w14:textId="262EA17F" w:rsidR="005A5280" w:rsidRPr="00572C4F" w:rsidRDefault="00572C4F" w:rsidP="00572C4F">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kai vertinimo išvados atitinka Aprašo 29.1.1 ir 29.2.1 papunkčiuose numatytas sąlygas arba Aprašo 29.1.2 ir 29.2.2 papunkčiuose numatytas sąlygas, teikiama rekomendacija </w:t>
      </w:r>
      <w:r w:rsidRPr="005C6809">
        <w:rPr>
          <w:i/>
          <w:color w:val="000000"/>
        </w:rPr>
        <w:t>kompensuoti</w:t>
      </w:r>
      <w:r>
        <w:rPr>
          <w:color w:val="000000"/>
        </w:rPr>
        <w:t xml:space="preserve"> vaistinį preparatą pagal paraiškoje nurodytą indikaciją (arba jos dalį) su arba be skyrimo sąlygų, taikant ar netaikant PGS</w:t>
      </w:r>
      <w:r>
        <w:rPr>
          <w:color w:val="000000"/>
          <w:lang w:eastAsia="lt-LT"/>
        </w:rPr>
        <w:t>.</w:t>
      </w:r>
    </w:p>
    <w:p w14:paraId="72A41D32" w14:textId="77777777" w:rsidR="005A5280" w:rsidRDefault="005A5280" w:rsidP="00CC09D4">
      <w:pPr>
        <w:tabs>
          <w:tab w:val="left" w:pos="567"/>
        </w:tabs>
        <w:ind w:left="567" w:hanging="567"/>
        <w:jc w:val="both"/>
        <w:rPr>
          <w:b/>
          <w:color w:val="000000"/>
          <w:lang w:eastAsia="lt-LT"/>
        </w:rPr>
      </w:pPr>
    </w:p>
    <w:p w14:paraId="18B4292E" w14:textId="640977F2"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180E907C"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FC26B5">
            <w:rPr>
              <w:rStyle w:val="Style2"/>
              <w:rFonts w:ascii="MS Gothic" w:eastAsia="MS Gothic" w:hAnsi="MS Gothic" w:hint="eastAsia"/>
            </w:rPr>
            <w:t>☒</w:t>
          </w:r>
        </w:sdtContent>
      </w:sdt>
      <w:r w:rsidR="000723FF" w:rsidRPr="00E33EFF">
        <w:t xml:space="preserve"> Siūloma kompensuoti Pareiškėjo teikiamą indikaciją be pakeitimų.</w:t>
      </w:r>
    </w:p>
    <w:p w14:paraId="48EFE965" w14:textId="77777777" w:rsidR="00FC26B5" w:rsidRDefault="000723FF" w:rsidP="00824B92">
      <w:r w:rsidRPr="00E33EFF">
        <w:t xml:space="preserve"> </w:t>
      </w:r>
    </w:p>
    <w:p w14:paraId="0059520E" w14:textId="25B44FAE" w:rsidR="001239A8" w:rsidRDefault="005B42DF" w:rsidP="00572C4F">
      <w:pPr>
        <w:spacing w:after="120" w:line="276" w:lineRule="auto"/>
        <w:jc w:val="both"/>
      </w:pPr>
      <w:r w:rsidRPr="0048386C">
        <w:t xml:space="preserve">Lynparza derinyje su bevacizumabu skirtas palaikomajam gydymui suaugusiųjų pacienčių, sergančių pažengusiu (FIGO III ar IV stadijos) didelio piktybiškumo laipsnio epiteliniu kiaušidžių, kiaušintakių arba pirminiu pilvaplėvės vėžiu, kai yra pasireiškęs visiškas arba dalinis atsakas į baigtą pirmos eilės gydymą, kurį sudarė chemoterapija platinos pagrindu ir bevacizumabas, kai vėžys yra homologinės rekombinacijos </w:t>
      </w:r>
      <w:r>
        <w:t>nepakankamumo</w:t>
      </w:r>
      <w:r w:rsidRPr="0048386C">
        <w:t xml:space="preserve"> (angl. homologous recombination deficiency, HRD) teigiamos būklės, nulemtos BRCA1/2 mutacijos ir (arba) genomo nestabilumo.</w:t>
      </w:r>
    </w:p>
    <w:p w14:paraId="597367EF" w14:textId="6D0B2AF1"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B3456D">
            <w:rPr>
              <w:rStyle w:val="Style2"/>
              <w:rFonts w:ascii="MS Gothic" w:eastAsia="MS Gothic" w:hAnsi="MS Gothic" w:hint="eastAsia"/>
            </w:rPr>
            <w:t>☐</w:t>
          </w:r>
        </w:sdtContent>
      </w:sdt>
      <w:r w:rsidR="000723FF" w:rsidRPr="00E33EFF">
        <w:t xml:space="preserve"> Siūloma kompensuoti Pareiškėjo teikiamą indikaciją su pakeitimais.</w:t>
      </w:r>
    </w:p>
    <w:p w14:paraId="0DD038F5" w14:textId="2C76091E" w:rsidR="009078D6" w:rsidRPr="00E33EFF" w:rsidRDefault="009078D6" w:rsidP="00824B92"/>
    <w:p w14:paraId="47AE387B" w14:textId="77777777" w:rsidR="00F91D8B" w:rsidRPr="00E33EFF" w:rsidRDefault="00F91D8B" w:rsidP="00F91D8B">
      <w:pPr>
        <w:rPr>
          <w:b/>
        </w:rPr>
      </w:pPr>
      <w:r w:rsidRPr="00E33EFF">
        <w:rPr>
          <w:b/>
        </w:rPr>
        <w:t>Skyrimo sąlygos</w:t>
      </w:r>
    </w:p>
    <w:p w14:paraId="01B9B309" w14:textId="1FF1918D" w:rsidR="00F91D8B" w:rsidRPr="00E33EFF" w:rsidRDefault="00F91D8B" w:rsidP="00F91D8B"/>
    <w:p w14:paraId="7CDFF220" w14:textId="17574D52" w:rsidR="000723FF" w:rsidRPr="00D04E4E" w:rsidRDefault="00906462" w:rsidP="00D04E4E">
      <w:pPr>
        <w:spacing w:line="276" w:lineRule="auto"/>
        <w:jc w:val="both"/>
      </w:pPr>
      <w:bookmarkStart w:id="2" w:name="_Hlk193480319"/>
      <w:r>
        <w:t xml:space="preserve">Skiriamas  </w:t>
      </w:r>
      <w:r w:rsidR="00AA51C1">
        <w:t xml:space="preserve">palaikomajam </w:t>
      </w:r>
      <w:r w:rsidR="00AA51C1" w:rsidRPr="00041B91">
        <w:t>gydymui</w:t>
      </w:r>
      <w:r w:rsidR="00AA51C1">
        <w:t xml:space="preserve"> </w:t>
      </w:r>
      <w:r>
        <w:t xml:space="preserve">derinyje su bevacizumabu </w:t>
      </w:r>
      <w:r w:rsidRPr="00B872E4">
        <w:rPr>
          <w:lang w:eastAsia="lt-LT"/>
        </w:rPr>
        <w:t xml:space="preserve">suaugusių pacienčių, sergančių progresavusiu (FIGO III </w:t>
      </w:r>
      <w:r w:rsidR="00AA51C1">
        <w:rPr>
          <w:lang w:eastAsia="lt-LT"/>
        </w:rPr>
        <w:t>a</w:t>
      </w:r>
      <w:r w:rsidRPr="00B872E4">
        <w:rPr>
          <w:lang w:eastAsia="lt-LT"/>
        </w:rPr>
        <w:t>r IV stadij</w:t>
      </w:r>
      <w:r w:rsidR="005F17FC">
        <w:rPr>
          <w:lang w:eastAsia="lt-LT"/>
        </w:rPr>
        <w:t>os</w:t>
      </w:r>
      <w:r w:rsidRPr="00B872E4">
        <w:rPr>
          <w:lang w:eastAsia="lt-LT"/>
        </w:rPr>
        <w:t xml:space="preserve">) didelio piktybiškumo laipsnio epiteliniu kiaušidžių, kiaušintakių arba pirminiu pilvaplėvės vėžiu, </w:t>
      </w:r>
      <w:r w:rsidR="001C5C14" w:rsidRPr="0048386C">
        <w:t xml:space="preserve">kai vėžys yra homologinės rekombinacijos </w:t>
      </w:r>
      <w:r w:rsidR="001C5C14">
        <w:t>nepakankamumo</w:t>
      </w:r>
      <w:r w:rsidR="001C5C14" w:rsidRPr="0048386C">
        <w:t xml:space="preserve"> (</w:t>
      </w:r>
      <w:r w:rsidR="001C5C14" w:rsidRPr="00DA2A08">
        <w:rPr>
          <w:i/>
          <w:iCs/>
        </w:rPr>
        <w:t>angl. homologous recombination deficiency, HRD</w:t>
      </w:r>
      <w:r w:rsidR="001C5C14" w:rsidRPr="0048386C">
        <w:t>) teigiamos būklės, nulemtos BRCA1/2 mutacijos ir (arba) genomo nestabilumo</w:t>
      </w:r>
      <w:r w:rsidR="001C5C14">
        <w:t xml:space="preserve"> ir </w:t>
      </w:r>
      <w:r w:rsidRPr="00B872E4">
        <w:rPr>
          <w:lang w:eastAsia="lt-LT"/>
        </w:rPr>
        <w:t>yra pasireiškęs visiškas arba dalinis atsakas į baigtą pirmos</w:t>
      </w:r>
      <w:r w:rsidR="005E4216">
        <w:rPr>
          <w:lang w:eastAsia="lt-LT"/>
        </w:rPr>
        <w:t xml:space="preserve"> eilės sudėtinį gydymą</w:t>
      </w:r>
      <w:r w:rsidR="005E4216" w:rsidRPr="0048386C">
        <w:t xml:space="preserve"> chemoterapij</w:t>
      </w:r>
      <w:r w:rsidR="005E4216">
        <w:t>ą</w:t>
      </w:r>
      <w:r w:rsidR="005E4216" w:rsidRPr="0048386C">
        <w:t xml:space="preserve"> platinos pagrindu ir bevacizumab</w:t>
      </w:r>
      <w:r w:rsidR="005E4216">
        <w:t>u</w:t>
      </w:r>
      <w:r w:rsidR="00041B91" w:rsidRPr="00041B91">
        <w:t>.</w:t>
      </w:r>
      <w:r w:rsidR="005E4216" w:rsidRPr="00041B91">
        <w:t xml:space="preserve"> Gydymo trukmė</w:t>
      </w:r>
      <w:r w:rsidR="00D632D2" w:rsidRPr="007E7BAF">
        <w:t xml:space="preserve"> olaparibu</w:t>
      </w:r>
      <w:r w:rsidR="005E4216" w:rsidRPr="00041B91">
        <w:t xml:space="preserve"> ne ilgesnė kaip 24 mėnesiai. </w:t>
      </w:r>
      <w:r w:rsidR="0089342C" w:rsidRPr="007E7BAF">
        <w:t>Suminė g</w:t>
      </w:r>
      <w:r w:rsidR="00D632D2" w:rsidRPr="007E7BAF">
        <w:t xml:space="preserve">ydymo bevacizumabu </w:t>
      </w:r>
      <w:r w:rsidR="0089342C" w:rsidRPr="007E7BAF">
        <w:t>trukmė, į kurią įeina</w:t>
      </w:r>
      <w:r w:rsidR="00041B91" w:rsidRPr="007E7BAF">
        <w:t xml:space="preserve"> pirmaeiliam gydymui vartojamas </w:t>
      </w:r>
      <w:r w:rsidR="0089342C" w:rsidRPr="007E7BAF">
        <w:t>bevacizumab</w:t>
      </w:r>
      <w:r w:rsidR="00041B91" w:rsidRPr="007E7BAF">
        <w:t xml:space="preserve">as </w:t>
      </w:r>
      <w:r w:rsidR="0089342C" w:rsidRPr="007E7BAF">
        <w:t xml:space="preserve">derinyje su chemoterapija ir </w:t>
      </w:r>
      <w:r w:rsidR="00041B91" w:rsidRPr="007E7BAF">
        <w:t>palaikomajam gydymui</w:t>
      </w:r>
      <w:r w:rsidR="0089342C" w:rsidRPr="007E7BAF">
        <w:t xml:space="preserve"> vartoja</w:t>
      </w:r>
      <w:r w:rsidR="00041B91" w:rsidRPr="007E7BAF">
        <w:t xml:space="preserve">mas bevacizumabas </w:t>
      </w:r>
      <w:r w:rsidR="0089342C" w:rsidRPr="007E7BAF">
        <w:t xml:space="preserve">derinyje su olaparibu </w:t>
      </w:r>
      <w:r w:rsidR="00D632D2" w:rsidRPr="007E7BAF">
        <w:t>ne ilgesnė kaip 15 mėnesių</w:t>
      </w:r>
      <w:r w:rsidR="00041B91" w:rsidRPr="007E7BAF">
        <w:t xml:space="preserve">. </w:t>
      </w:r>
      <w:r w:rsidR="005E4216" w:rsidRPr="00041B91">
        <w:t>Gydymas tęsiamas iki nepriimtino toksinio poveikio atsiradimo, ligos progresavimo arba planuoto gydymo užbaigimo.</w:t>
      </w:r>
      <w:bookmarkEnd w:id="2"/>
    </w:p>
    <w:sectPr w:rsidR="000723FF" w:rsidRPr="00D04E4E"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7411" w14:textId="77777777" w:rsidR="00EE4F76" w:rsidRDefault="00EE4F76">
      <w:r>
        <w:separator/>
      </w:r>
    </w:p>
  </w:endnote>
  <w:endnote w:type="continuationSeparator" w:id="0">
    <w:p w14:paraId="675E7537" w14:textId="77777777" w:rsidR="00EE4F76" w:rsidRDefault="00EE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95AC" w14:textId="77777777" w:rsidR="00EE4F76" w:rsidRDefault="00EE4F76">
      <w:r>
        <w:separator/>
      </w:r>
    </w:p>
  </w:footnote>
  <w:footnote w:type="continuationSeparator" w:id="0">
    <w:p w14:paraId="69D5CB92" w14:textId="77777777" w:rsidR="00EE4F76" w:rsidRDefault="00EE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36BBD14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3EF">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A3427"/>
    <w:multiLevelType w:val="hybridMultilevel"/>
    <w:tmpl w:val="493E6758"/>
    <w:lvl w:ilvl="0" w:tplc="95FC665C">
      <w:start w:val="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287752">
    <w:abstractNumId w:val="8"/>
  </w:num>
  <w:num w:numId="2" w16cid:durableId="1957979015">
    <w:abstractNumId w:val="1"/>
  </w:num>
  <w:num w:numId="3" w16cid:durableId="1523200917">
    <w:abstractNumId w:val="10"/>
  </w:num>
  <w:num w:numId="4" w16cid:durableId="205067679">
    <w:abstractNumId w:val="9"/>
  </w:num>
  <w:num w:numId="5" w16cid:durableId="1828933617">
    <w:abstractNumId w:val="7"/>
  </w:num>
  <w:num w:numId="6" w16cid:durableId="1872722915">
    <w:abstractNumId w:val="6"/>
  </w:num>
  <w:num w:numId="7" w16cid:durableId="1707608417">
    <w:abstractNumId w:val="4"/>
  </w:num>
  <w:num w:numId="8" w16cid:durableId="1201356510">
    <w:abstractNumId w:val="13"/>
  </w:num>
  <w:num w:numId="9" w16cid:durableId="1098793289">
    <w:abstractNumId w:val="0"/>
  </w:num>
  <w:num w:numId="10" w16cid:durableId="301279722">
    <w:abstractNumId w:val="11"/>
  </w:num>
  <w:num w:numId="11" w16cid:durableId="695499482">
    <w:abstractNumId w:val="12"/>
  </w:num>
  <w:num w:numId="12" w16cid:durableId="1198274340">
    <w:abstractNumId w:val="2"/>
  </w:num>
  <w:num w:numId="13" w16cid:durableId="914826365">
    <w:abstractNumId w:val="3"/>
  </w:num>
  <w:num w:numId="14" w16cid:durableId="1314531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36FB4"/>
    <w:rsid w:val="00041B91"/>
    <w:rsid w:val="00042924"/>
    <w:rsid w:val="00053975"/>
    <w:rsid w:val="00057A2B"/>
    <w:rsid w:val="000606BE"/>
    <w:rsid w:val="000662D9"/>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39A8"/>
    <w:rsid w:val="00124A9E"/>
    <w:rsid w:val="00130703"/>
    <w:rsid w:val="0013153F"/>
    <w:rsid w:val="001408B8"/>
    <w:rsid w:val="001517E2"/>
    <w:rsid w:val="001521D9"/>
    <w:rsid w:val="001554E2"/>
    <w:rsid w:val="00160105"/>
    <w:rsid w:val="00164146"/>
    <w:rsid w:val="001659C6"/>
    <w:rsid w:val="0017369C"/>
    <w:rsid w:val="00175D57"/>
    <w:rsid w:val="00180C39"/>
    <w:rsid w:val="00180D96"/>
    <w:rsid w:val="00184BD3"/>
    <w:rsid w:val="001921F3"/>
    <w:rsid w:val="001B3C5B"/>
    <w:rsid w:val="001C5C14"/>
    <w:rsid w:val="001D2A06"/>
    <w:rsid w:val="001D746F"/>
    <w:rsid w:val="001E1A50"/>
    <w:rsid w:val="001E4BBB"/>
    <w:rsid w:val="001E5410"/>
    <w:rsid w:val="001E6304"/>
    <w:rsid w:val="0020381E"/>
    <w:rsid w:val="00213471"/>
    <w:rsid w:val="00215906"/>
    <w:rsid w:val="00241CD8"/>
    <w:rsid w:val="00244B09"/>
    <w:rsid w:val="002519CB"/>
    <w:rsid w:val="0025697F"/>
    <w:rsid w:val="00260258"/>
    <w:rsid w:val="0026588E"/>
    <w:rsid w:val="00272428"/>
    <w:rsid w:val="00272948"/>
    <w:rsid w:val="00286F2E"/>
    <w:rsid w:val="00292392"/>
    <w:rsid w:val="002946C7"/>
    <w:rsid w:val="00297916"/>
    <w:rsid w:val="002B3CC1"/>
    <w:rsid w:val="002B6CFF"/>
    <w:rsid w:val="002C09E0"/>
    <w:rsid w:val="002C1BB1"/>
    <w:rsid w:val="002C2786"/>
    <w:rsid w:val="002C3A10"/>
    <w:rsid w:val="002C4A90"/>
    <w:rsid w:val="002C4ED5"/>
    <w:rsid w:val="002D02EF"/>
    <w:rsid w:val="002D663A"/>
    <w:rsid w:val="002E0702"/>
    <w:rsid w:val="002E57AD"/>
    <w:rsid w:val="002E6F80"/>
    <w:rsid w:val="002F0E4F"/>
    <w:rsid w:val="002F0E86"/>
    <w:rsid w:val="002F1053"/>
    <w:rsid w:val="003148C8"/>
    <w:rsid w:val="00317B0E"/>
    <w:rsid w:val="00324BDB"/>
    <w:rsid w:val="00342542"/>
    <w:rsid w:val="00347621"/>
    <w:rsid w:val="00347FAA"/>
    <w:rsid w:val="0035172D"/>
    <w:rsid w:val="003524C0"/>
    <w:rsid w:val="0036187D"/>
    <w:rsid w:val="00367EDB"/>
    <w:rsid w:val="00381024"/>
    <w:rsid w:val="00382FFB"/>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53862"/>
    <w:rsid w:val="0045469B"/>
    <w:rsid w:val="00461338"/>
    <w:rsid w:val="0046362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0EAD"/>
    <w:rsid w:val="004E581C"/>
    <w:rsid w:val="004E6458"/>
    <w:rsid w:val="004E6E7D"/>
    <w:rsid w:val="004F1AAC"/>
    <w:rsid w:val="004F1AE2"/>
    <w:rsid w:val="004F34F0"/>
    <w:rsid w:val="004F3B2B"/>
    <w:rsid w:val="004F6050"/>
    <w:rsid w:val="005005EF"/>
    <w:rsid w:val="00506872"/>
    <w:rsid w:val="005123C2"/>
    <w:rsid w:val="0052144B"/>
    <w:rsid w:val="00524066"/>
    <w:rsid w:val="005335BE"/>
    <w:rsid w:val="00534E11"/>
    <w:rsid w:val="005378D8"/>
    <w:rsid w:val="005400D9"/>
    <w:rsid w:val="005476A4"/>
    <w:rsid w:val="0055019B"/>
    <w:rsid w:val="00556E63"/>
    <w:rsid w:val="005601A4"/>
    <w:rsid w:val="00566DBB"/>
    <w:rsid w:val="00572C4F"/>
    <w:rsid w:val="005767DB"/>
    <w:rsid w:val="005815E6"/>
    <w:rsid w:val="0058712F"/>
    <w:rsid w:val="005976CE"/>
    <w:rsid w:val="005A23D4"/>
    <w:rsid w:val="005A2D1E"/>
    <w:rsid w:val="005A5280"/>
    <w:rsid w:val="005B3756"/>
    <w:rsid w:val="005B42DF"/>
    <w:rsid w:val="005C493F"/>
    <w:rsid w:val="005C6BF7"/>
    <w:rsid w:val="005C71BF"/>
    <w:rsid w:val="005D002C"/>
    <w:rsid w:val="005D30E1"/>
    <w:rsid w:val="005D6555"/>
    <w:rsid w:val="005D7BDF"/>
    <w:rsid w:val="005E3196"/>
    <w:rsid w:val="005E4216"/>
    <w:rsid w:val="005E4870"/>
    <w:rsid w:val="005F17FC"/>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840B0"/>
    <w:rsid w:val="00692625"/>
    <w:rsid w:val="00695CD3"/>
    <w:rsid w:val="00697A52"/>
    <w:rsid w:val="006A38B6"/>
    <w:rsid w:val="006B1987"/>
    <w:rsid w:val="006B5B71"/>
    <w:rsid w:val="006B6CB0"/>
    <w:rsid w:val="006C0296"/>
    <w:rsid w:val="006C2B64"/>
    <w:rsid w:val="006D4C85"/>
    <w:rsid w:val="006D66AC"/>
    <w:rsid w:val="006E33F6"/>
    <w:rsid w:val="006F1251"/>
    <w:rsid w:val="006F1C23"/>
    <w:rsid w:val="00702C18"/>
    <w:rsid w:val="00703166"/>
    <w:rsid w:val="00711310"/>
    <w:rsid w:val="007127F3"/>
    <w:rsid w:val="0071663B"/>
    <w:rsid w:val="007301CF"/>
    <w:rsid w:val="007316FB"/>
    <w:rsid w:val="007374D0"/>
    <w:rsid w:val="00737E2D"/>
    <w:rsid w:val="007424D5"/>
    <w:rsid w:val="00743AAA"/>
    <w:rsid w:val="007467F5"/>
    <w:rsid w:val="00750A88"/>
    <w:rsid w:val="007523DD"/>
    <w:rsid w:val="00757B7E"/>
    <w:rsid w:val="007656B2"/>
    <w:rsid w:val="0077016F"/>
    <w:rsid w:val="007713AD"/>
    <w:rsid w:val="007771CB"/>
    <w:rsid w:val="00786F70"/>
    <w:rsid w:val="00795DC5"/>
    <w:rsid w:val="00797153"/>
    <w:rsid w:val="007A21F7"/>
    <w:rsid w:val="007A2B68"/>
    <w:rsid w:val="007B0DDA"/>
    <w:rsid w:val="007C0875"/>
    <w:rsid w:val="007C0E10"/>
    <w:rsid w:val="007C6794"/>
    <w:rsid w:val="007C7519"/>
    <w:rsid w:val="007D3347"/>
    <w:rsid w:val="007E5466"/>
    <w:rsid w:val="007E7BAF"/>
    <w:rsid w:val="007F1949"/>
    <w:rsid w:val="007F2592"/>
    <w:rsid w:val="00800A08"/>
    <w:rsid w:val="00817A84"/>
    <w:rsid w:val="008225A4"/>
    <w:rsid w:val="00824B92"/>
    <w:rsid w:val="00826D5E"/>
    <w:rsid w:val="00832013"/>
    <w:rsid w:val="00832DB7"/>
    <w:rsid w:val="00834732"/>
    <w:rsid w:val="00844F5B"/>
    <w:rsid w:val="0085200C"/>
    <w:rsid w:val="00857C52"/>
    <w:rsid w:val="00860D5F"/>
    <w:rsid w:val="00880A44"/>
    <w:rsid w:val="0088345E"/>
    <w:rsid w:val="008857B1"/>
    <w:rsid w:val="0088656F"/>
    <w:rsid w:val="00891EF6"/>
    <w:rsid w:val="0089342C"/>
    <w:rsid w:val="00896DFD"/>
    <w:rsid w:val="008A0303"/>
    <w:rsid w:val="008A5FDD"/>
    <w:rsid w:val="008B36CE"/>
    <w:rsid w:val="008C3947"/>
    <w:rsid w:val="008C3FEE"/>
    <w:rsid w:val="008E473B"/>
    <w:rsid w:val="008E51A6"/>
    <w:rsid w:val="008E7329"/>
    <w:rsid w:val="008F2ED5"/>
    <w:rsid w:val="00906462"/>
    <w:rsid w:val="009078D6"/>
    <w:rsid w:val="00910440"/>
    <w:rsid w:val="0092297E"/>
    <w:rsid w:val="00923651"/>
    <w:rsid w:val="00927B56"/>
    <w:rsid w:val="009341BF"/>
    <w:rsid w:val="00937907"/>
    <w:rsid w:val="00941739"/>
    <w:rsid w:val="00943E06"/>
    <w:rsid w:val="00951573"/>
    <w:rsid w:val="0095339B"/>
    <w:rsid w:val="00960B34"/>
    <w:rsid w:val="00963003"/>
    <w:rsid w:val="00966EEF"/>
    <w:rsid w:val="00971B28"/>
    <w:rsid w:val="00983471"/>
    <w:rsid w:val="009909AB"/>
    <w:rsid w:val="009B2FE0"/>
    <w:rsid w:val="009B37DB"/>
    <w:rsid w:val="009C0F47"/>
    <w:rsid w:val="009C7A8C"/>
    <w:rsid w:val="009D23F9"/>
    <w:rsid w:val="009D4FA8"/>
    <w:rsid w:val="009E44AE"/>
    <w:rsid w:val="009E6CD6"/>
    <w:rsid w:val="009F4D66"/>
    <w:rsid w:val="00A00C3C"/>
    <w:rsid w:val="00A01091"/>
    <w:rsid w:val="00A042B9"/>
    <w:rsid w:val="00A050A2"/>
    <w:rsid w:val="00A06DBB"/>
    <w:rsid w:val="00A22ADF"/>
    <w:rsid w:val="00A31E86"/>
    <w:rsid w:val="00A54D87"/>
    <w:rsid w:val="00A5553C"/>
    <w:rsid w:val="00A643EF"/>
    <w:rsid w:val="00A701C9"/>
    <w:rsid w:val="00A81785"/>
    <w:rsid w:val="00A84803"/>
    <w:rsid w:val="00A84C51"/>
    <w:rsid w:val="00A86F2B"/>
    <w:rsid w:val="00A91366"/>
    <w:rsid w:val="00A93AA6"/>
    <w:rsid w:val="00AA4538"/>
    <w:rsid w:val="00AA4E48"/>
    <w:rsid w:val="00AA51C1"/>
    <w:rsid w:val="00AA6202"/>
    <w:rsid w:val="00AA7B57"/>
    <w:rsid w:val="00AB7BB3"/>
    <w:rsid w:val="00AC26FC"/>
    <w:rsid w:val="00AC4062"/>
    <w:rsid w:val="00AC4A99"/>
    <w:rsid w:val="00AC61EA"/>
    <w:rsid w:val="00AC64D2"/>
    <w:rsid w:val="00AD02E7"/>
    <w:rsid w:val="00AD3DD6"/>
    <w:rsid w:val="00AD4C1E"/>
    <w:rsid w:val="00AE0FE8"/>
    <w:rsid w:val="00AE1322"/>
    <w:rsid w:val="00AF60D5"/>
    <w:rsid w:val="00B00959"/>
    <w:rsid w:val="00B04415"/>
    <w:rsid w:val="00B06509"/>
    <w:rsid w:val="00B11D60"/>
    <w:rsid w:val="00B13D65"/>
    <w:rsid w:val="00B21805"/>
    <w:rsid w:val="00B3072E"/>
    <w:rsid w:val="00B3456D"/>
    <w:rsid w:val="00B36E15"/>
    <w:rsid w:val="00B37245"/>
    <w:rsid w:val="00B4017A"/>
    <w:rsid w:val="00B4468D"/>
    <w:rsid w:val="00B471DC"/>
    <w:rsid w:val="00B71C72"/>
    <w:rsid w:val="00B81E92"/>
    <w:rsid w:val="00B908D7"/>
    <w:rsid w:val="00B915AB"/>
    <w:rsid w:val="00B935E8"/>
    <w:rsid w:val="00B93B30"/>
    <w:rsid w:val="00B94CB5"/>
    <w:rsid w:val="00BA0DD9"/>
    <w:rsid w:val="00BA5DBC"/>
    <w:rsid w:val="00BB15AB"/>
    <w:rsid w:val="00BB6312"/>
    <w:rsid w:val="00BC2581"/>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6E4B"/>
    <w:rsid w:val="00C37B53"/>
    <w:rsid w:val="00C517D2"/>
    <w:rsid w:val="00C5772E"/>
    <w:rsid w:val="00C62AC3"/>
    <w:rsid w:val="00C62B36"/>
    <w:rsid w:val="00C7012C"/>
    <w:rsid w:val="00C712EA"/>
    <w:rsid w:val="00C923EA"/>
    <w:rsid w:val="00CA1BD7"/>
    <w:rsid w:val="00CA217D"/>
    <w:rsid w:val="00CC09D4"/>
    <w:rsid w:val="00CC228A"/>
    <w:rsid w:val="00CC668D"/>
    <w:rsid w:val="00CC7832"/>
    <w:rsid w:val="00CD44F0"/>
    <w:rsid w:val="00CF0C1C"/>
    <w:rsid w:val="00CF27FD"/>
    <w:rsid w:val="00CF5F12"/>
    <w:rsid w:val="00D00D8F"/>
    <w:rsid w:val="00D04E4E"/>
    <w:rsid w:val="00D21F3A"/>
    <w:rsid w:val="00D23808"/>
    <w:rsid w:val="00D3016A"/>
    <w:rsid w:val="00D417D2"/>
    <w:rsid w:val="00D42960"/>
    <w:rsid w:val="00D43BD7"/>
    <w:rsid w:val="00D4485B"/>
    <w:rsid w:val="00D4708D"/>
    <w:rsid w:val="00D4744C"/>
    <w:rsid w:val="00D521DE"/>
    <w:rsid w:val="00D5470B"/>
    <w:rsid w:val="00D63068"/>
    <w:rsid w:val="00D632D2"/>
    <w:rsid w:val="00D6411E"/>
    <w:rsid w:val="00D6498C"/>
    <w:rsid w:val="00D76A70"/>
    <w:rsid w:val="00D83182"/>
    <w:rsid w:val="00D8521E"/>
    <w:rsid w:val="00D9291C"/>
    <w:rsid w:val="00D93A97"/>
    <w:rsid w:val="00D970E4"/>
    <w:rsid w:val="00DA2A08"/>
    <w:rsid w:val="00DB1F64"/>
    <w:rsid w:val="00DC2F53"/>
    <w:rsid w:val="00DC5BAC"/>
    <w:rsid w:val="00DC6816"/>
    <w:rsid w:val="00DC76C2"/>
    <w:rsid w:val="00DD1CF2"/>
    <w:rsid w:val="00DE4484"/>
    <w:rsid w:val="00DF41B7"/>
    <w:rsid w:val="00DF4A4A"/>
    <w:rsid w:val="00DF583C"/>
    <w:rsid w:val="00E03C3F"/>
    <w:rsid w:val="00E06FD7"/>
    <w:rsid w:val="00E07417"/>
    <w:rsid w:val="00E12896"/>
    <w:rsid w:val="00E1596F"/>
    <w:rsid w:val="00E24D45"/>
    <w:rsid w:val="00E26876"/>
    <w:rsid w:val="00E33DB8"/>
    <w:rsid w:val="00E33EFF"/>
    <w:rsid w:val="00E34387"/>
    <w:rsid w:val="00E348BA"/>
    <w:rsid w:val="00E369FE"/>
    <w:rsid w:val="00E37C6F"/>
    <w:rsid w:val="00E475F8"/>
    <w:rsid w:val="00E5102E"/>
    <w:rsid w:val="00E5721C"/>
    <w:rsid w:val="00E619C6"/>
    <w:rsid w:val="00E67F52"/>
    <w:rsid w:val="00E745A1"/>
    <w:rsid w:val="00E81529"/>
    <w:rsid w:val="00E83A13"/>
    <w:rsid w:val="00EB2291"/>
    <w:rsid w:val="00EB6FC5"/>
    <w:rsid w:val="00EC2356"/>
    <w:rsid w:val="00EC2582"/>
    <w:rsid w:val="00EC337C"/>
    <w:rsid w:val="00ED0CFF"/>
    <w:rsid w:val="00ED31D2"/>
    <w:rsid w:val="00EE0EAC"/>
    <w:rsid w:val="00EE3322"/>
    <w:rsid w:val="00EE33CB"/>
    <w:rsid w:val="00EE4F76"/>
    <w:rsid w:val="00EF74D1"/>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1D8B"/>
    <w:rsid w:val="00F92035"/>
    <w:rsid w:val="00F92748"/>
    <w:rsid w:val="00FA4169"/>
    <w:rsid w:val="00FB0D41"/>
    <w:rsid w:val="00FB2030"/>
    <w:rsid w:val="00FC26B5"/>
    <w:rsid w:val="00FD0E46"/>
    <w:rsid w:val="00FD1CF2"/>
    <w:rsid w:val="00FD3EDF"/>
    <w:rsid w:val="00FD793C"/>
    <w:rsid w:val="00FE0FD5"/>
    <w:rsid w:val="00FE20E6"/>
    <w:rsid w:val="00FE3283"/>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qFormat/>
    <w:rsid w:val="003D1877"/>
    <w:rPr>
      <w:sz w:val="24"/>
      <w:szCs w:val="24"/>
      <w:lang w:eastAsia="en-US"/>
    </w:rPr>
  </w:style>
  <w:style w:type="table" w:customStyle="1" w:styleId="DossierTable1">
    <w:name w:val="Dossier Table1"/>
    <w:basedOn w:val="TableNormal"/>
    <w:next w:val="TableGrid"/>
    <w:rsid w:val="00FC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AAFCD767213B4CF7A7D1D5EFBC0F9252"/>
        <w:category>
          <w:name w:val="General"/>
          <w:gallery w:val="placeholder"/>
        </w:category>
        <w:types>
          <w:type w:val="bbPlcHdr"/>
        </w:types>
        <w:behaviors>
          <w:behavior w:val="content"/>
        </w:behaviors>
        <w:guid w:val="{AC0E9780-B83C-4290-97A1-6EC56BC8C63D}"/>
      </w:docPartPr>
      <w:docPartBody>
        <w:p w:rsidR="002A11AF" w:rsidRDefault="002A11AF" w:rsidP="002A11AF">
          <w:pPr>
            <w:pStyle w:val="AAFCD767213B4CF7A7D1D5EFBC0F9252"/>
          </w:pPr>
          <w:r>
            <w:rPr>
              <w:rStyle w:val="PlaceholderText"/>
            </w:rPr>
            <w:t>Click here to enter a date.</w:t>
          </w:r>
        </w:p>
      </w:docPartBody>
    </w:docPart>
    <w:docPart>
      <w:docPartPr>
        <w:name w:val="3BB7BBA31507418BA7C3FB69A0A31613"/>
        <w:category>
          <w:name w:val="General"/>
          <w:gallery w:val="placeholder"/>
        </w:category>
        <w:types>
          <w:type w:val="bbPlcHdr"/>
        </w:types>
        <w:behaviors>
          <w:behavior w:val="content"/>
        </w:behaviors>
        <w:guid w:val="{40B799B1-E6E7-4D43-A607-213531AB054E}"/>
      </w:docPartPr>
      <w:docPartBody>
        <w:p w:rsidR="002A11AF" w:rsidRDefault="002A11AF" w:rsidP="002A11AF">
          <w:pPr>
            <w:pStyle w:val="3BB7BBA31507418BA7C3FB69A0A31613"/>
          </w:pPr>
          <w:r>
            <w:rPr>
              <w:rStyle w:val="PlaceholderText"/>
            </w:rPr>
            <w:t>Click here to enter a date.</w:t>
          </w:r>
        </w:p>
      </w:docPartBody>
    </w:docPart>
    <w:docPart>
      <w:docPartPr>
        <w:name w:val="781656AFB5654CC3A78F4994F98DD5B0"/>
        <w:category>
          <w:name w:val="General"/>
          <w:gallery w:val="placeholder"/>
        </w:category>
        <w:types>
          <w:type w:val="bbPlcHdr"/>
        </w:types>
        <w:behaviors>
          <w:behavior w:val="content"/>
        </w:behaviors>
        <w:guid w:val="{6EF4A00D-82A9-4595-90F0-8C3F83A38A77}"/>
      </w:docPartPr>
      <w:docPartBody>
        <w:p w:rsidR="002A11AF" w:rsidRDefault="002A11AF" w:rsidP="002A11AF">
          <w:pPr>
            <w:pStyle w:val="781656AFB5654CC3A78F4994F98DD5B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6FB4"/>
    <w:rsid w:val="00061157"/>
    <w:rsid w:val="0008646B"/>
    <w:rsid w:val="000937FE"/>
    <w:rsid w:val="000A559A"/>
    <w:rsid w:val="000D24D4"/>
    <w:rsid w:val="001C35A9"/>
    <w:rsid w:val="001F47C5"/>
    <w:rsid w:val="00237556"/>
    <w:rsid w:val="00252EF1"/>
    <w:rsid w:val="00270087"/>
    <w:rsid w:val="00273910"/>
    <w:rsid w:val="00297916"/>
    <w:rsid w:val="002A11AF"/>
    <w:rsid w:val="00342542"/>
    <w:rsid w:val="0039303B"/>
    <w:rsid w:val="004144A3"/>
    <w:rsid w:val="004160E7"/>
    <w:rsid w:val="004416C6"/>
    <w:rsid w:val="004E5C0A"/>
    <w:rsid w:val="004F5AB2"/>
    <w:rsid w:val="005074B9"/>
    <w:rsid w:val="005E40DD"/>
    <w:rsid w:val="00681A9D"/>
    <w:rsid w:val="006E328A"/>
    <w:rsid w:val="007219C1"/>
    <w:rsid w:val="00730B9D"/>
    <w:rsid w:val="007421D5"/>
    <w:rsid w:val="0074261C"/>
    <w:rsid w:val="007467F5"/>
    <w:rsid w:val="00753462"/>
    <w:rsid w:val="00772325"/>
    <w:rsid w:val="007A2FE0"/>
    <w:rsid w:val="007C0E10"/>
    <w:rsid w:val="007C6D1D"/>
    <w:rsid w:val="0090074D"/>
    <w:rsid w:val="0095339B"/>
    <w:rsid w:val="0095615F"/>
    <w:rsid w:val="009B3BF0"/>
    <w:rsid w:val="009D5E5E"/>
    <w:rsid w:val="009F1BB4"/>
    <w:rsid w:val="00AB6ED4"/>
    <w:rsid w:val="00AB7BB3"/>
    <w:rsid w:val="00AC4062"/>
    <w:rsid w:val="00B14210"/>
    <w:rsid w:val="00B23DC0"/>
    <w:rsid w:val="00B96656"/>
    <w:rsid w:val="00BE29C1"/>
    <w:rsid w:val="00C2401D"/>
    <w:rsid w:val="00C51189"/>
    <w:rsid w:val="00C53A68"/>
    <w:rsid w:val="00CA5BB4"/>
    <w:rsid w:val="00CB4BD1"/>
    <w:rsid w:val="00CC228A"/>
    <w:rsid w:val="00CD44F0"/>
    <w:rsid w:val="00CD5A2D"/>
    <w:rsid w:val="00CE2DA9"/>
    <w:rsid w:val="00CE44BE"/>
    <w:rsid w:val="00D107CD"/>
    <w:rsid w:val="00D4356B"/>
    <w:rsid w:val="00D6411E"/>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11AF"/>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AAFCD767213B4CF7A7D1D5EFBC0F9252">
    <w:name w:val="AAFCD767213B4CF7A7D1D5EFBC0F9252"/>
    <w:rsid w:val="002A11AF"/>
    <w:pPr>
      <w:spacing w:line="278" w:lineRule="auto"/>
    </w:pPr>
    <w:rPr>
      <w:kern w:val="2"/>
      <w:sz w:val="24"/>
      <w:szCs w:val="24"/>
      <w14:ligatures w14:val="standardContextual"/>
    </w:rPr>
  </w:style>
  <w:style w:type="paragraph" w:customStyle="1" w:styleId="3BB7BBA31507418BA7C3FB69A0A31613">
    <w:name w:val="3BB7BBA31507418BA7C3FB69A0A31613"/>
    <w:rsid w:val="002A11AF"/>
    <w:pPr>
      <w:spacing w:line="278" w:lineRule="auto"/>
    </w:pPr>
    <w:rPr>
      <w:kern w:val="2"/>
      <w:sz w:val="24"/>
      <w:szCs w:val="24"/>
      <w14:ligatures w14:val="standardContextual"/>
    </w:rPr>
  </w:style>
  <w:style w:type="paragraph" w:customStyle="1" w:styleId="781656AFB5654CC3A78F4994F98DD5B0">
    <w:name w:val="781656AFB5654CC3A78F4994F98DD5B0"/>
    <w:rsid w:val="002A11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76E4-DDFE-421C-A8E7-B3C0008A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2969</Words>
  <Characters>16926</Characters>
  <Application>Microsoft Office Word</Application>
  <DocSecurity>0</DocSecurity>
  <Lines>141</Lines>
  <Paragraphs>39</Paragraphs>
  <ScaleCrop>false</ScaleCrop>
  <Company/>
  <LinksUpToDate>false</LinksUpToDate>
  <CharactersWithSpaces>19856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2025-03-24T12:05:00Z</dcterms:created>
  <dcterms:modified xsi:type="dcterms:W3CDTF">2025-03-31T13:55:00Z</dcterms:modified>
</cp:coreProperties>
</file>