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558E8381" w14:textId="77777777" w:rsidR="006E29DE" w:rsidRPr="00102D09" w:rsidRDefault="006E29DE" w:rsidP="009C3674">
      <w:pPr>
        <w:spacing w:line="276" w:lineRule="auto"/>
        <w:jc w:val="center"/>
      </w:pPr>
      <w:r w:rsidRPr="00102D09">
        <w:rPr>
          <w:b/>
        </w:rPr>
        <w:t>IMFINZI</w:t>
      </w:r>
      <w:r w:rsidRPr="00102D09">
        <w:t xml:space="preserve">, </w:t>
      </w:r>
      <w:r w:rsidRPr="00102D09">
        <w:rPr>
          <w:b/>
        </w:rPr>
        <w:t>50 mg/ml koncentratas infuziniam tirpalui</w:t>
      </w:r>
    </w:p>
    <w:p w14:paraId="5757BDE9" w14:textId="77777777" w:rsidR="006E29DE" w:rsidRPr="00102D09" w:rsidRDefault="006E29DE" w:rsidP="009C3674">
      <w:pPr>
        <w:spacing w:line="276" w:lineRule="auto"/>
        <w:jc w:val="center"/>
      </w:pPr>
    </w:p>
    <w:p w14:paraId="5C1D6983" w14:textId="77777777" w:rsidR="006E29DE" w:rsidRPr="00102D09" w:rsidRDefault="006E29DE" w:rsidP="009C3674">
      <w:pPr>
        <w:spacing w:line="276" w:lineRule="auto"/>
        <w:jc w:val="center"/>
      </w:pPr>
      <w:r w:rsidRPr="00102D09">
        <w:t>(</w:t>
      </w:r>
      <w:r w:rsidRPr="00102D09">
        <w:rPr>
          <w:rFonts w:eastAsia="Arial"/>
        </w:rPr>
        <w:t>Durvalumabas</w:t>
      </w:r>
      <w:r w:rsidRPr="00102D09">
        <w:t>)</w:t>
      </w:r>
    </w:p>
    <w:p w14:paraId="6F65A692" w14:textId="77777777" w:rsidR="006E29DE" w:rsidRPr="00102D09" w:rsidRDefault="006E29DE" w:rsidP="009C3674">
      <w:pPr>
        <w:spacing w:line="276" w:lineRule="auto"/>
        <w:jc w:val="center"/>
      </w:pPr>
    </w:p>
    <w:p w14:paraId="29B42308" w14:textId="77777777" w:rsidR="006E29DE" w:rsidRPr="00102D09" w:rsidRDefault="006E29DE" w:rsidP="009C3674">
      <w:pPr>
        <w:spacing w:line="276" w:lineRule="auto"/>
        <w:jc w:val="center"/>
        <w:rPr>
          <w:b/>
        </w:rPr>
      </w:pPr>
      <w:r w:rsidRPr="00102D09">
        <w:rPr>
          <w:b/>
        </w:rPr>
        <w:t>Paraiškos numeris STV 180</w:t>
      </w:r>
    </w:p>
    <w:p w14:paraId="5BC2EA5D" w14:textId="45A77B4A" w:rsidR="00937907" w:rsidRPr="00E33EFF" w:rsidRDefault="00937907" w:rsidP="003B211A">
      <w:pPr>
        <w:jc w:val="center"/>
        <w:rPr>
          <w:b/>
        </w:rPr>
      </w:pPr>
    </w:p>
    <w:p w14:paraId="453197C8" w14:textId="77777777" w:rsidR="00D4708D" w:rsidRPr="00E33EFF" w:rsidRDefault="00D4708D" w:rsidP="003B211A">
      <w:pPr>
        <w:jc w:val="center"/>
        <w:rPr>
          <w:b/>
        </w:rPr>
      </w:pPr>
    </w:p>
    <w:p w14:paraId="78C89D1C" w14:textId="0DEFFAA5" w:rsidR="00D4485B"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F5C170F" w14:textId="77777777" w:rsidR="00704571" w:rsidRDefault="00704571" w:rsidP="00704571">
      <w:pPr>
        <w:tabs>
          <w:tab w:val="left" w:pos="567"/>
        </w:tabs>
        <w:rPr>
          <w:b/>
          <w:bCs/>
          <w:caps/>
        </w:rPr>
      </w:pPr>
    </w:p>
    <w:p w14:paraId="42C79711" w14:textId="77777777" w:rsidR="00704571" w:rsidRPr="00704571" w:rsidRDefault="00704571" w:rsidP="00704571">
      <w:pPr>
        <w:spacing w:line="276" w:lineRule="auto"/>
        <w:jc w:val="both"/>
        <w:rPr>
          <w:rFonts w:eastAsia="Arial"/>
        </w:rPr>
      </w:pPr>
    </w:p>
    <w:tbl>
      <w:tblPr>
        <w:tblStyle w:val="TableGrid"/>
        <w:tblW w:w="9918" w:type="dxa"/>
        <w:tblLook w:val="04A0" w:firstRow="1" w:lastRow="0" w:firstColumn="1" w:lastColumn="0" w:noHBand="0" w:noVBand="1"/>
      </w:tblPr>
      <w:tblGrid>
        <w:gridCol w:w="705"/>
        <w:gridCol w:w="4117"/>
        <w:gridCol w:w="5096"/>
      </w:tblGrid>
      <w:tr w:rsidR="00704571" w:rsidRPr="00704571" w14:paraId="63C54115" w14:textId="77777777" w:rsidTr="00DE7FAD">
        <w:trPr>
          <w:trHeight w:val="342"/>
        </w:trPr>
        <w:tc>
          <w:tcPr>
            <w:tcW w:w="705" w:type="dxa"/>
          </w:tcPr>
          <w:p w14:paraId="7DFB4129" w14:textId="77777777" w:rsidR="00704571" w:rsidRPr="00704571" w:rsidRDefault="00704571" w:rsidP="00DE7FAD">
            <w:pPr>
              <w:tabs>
                <w:tab w:val="left" w:pos="284"/>
              </w:tabs>
              <w:spacing w:line="276" w:lineRule="auto"/>
              <w:jc w:val="both"/>
              <w:rPr>
                <w:rFonts w:eastAsia="Arial"/>
              </w:rPr>
            </w:pPr>
            <w:r w:rsidRPr="00704571">
              <w:rPr>
                <w:rFonts w:eastAsia="Arial"/>
              </w:rPr>
              <w:t>1.1</w:t>
            </w:r>
          </w:p>
        </w:tc>
        <w:tc>
          <w:tcPr>
            <w:tcW w:w="4117" w:type="dxa"/>
          </w:tcPr>
          <w:p w14:paraId="2AFFC7DE" w14:textId="77777777" w:rsidR="00704571" w:rsidRPr="00704571" w:rsidRDefault="00704571" w:rsidP="00DE7FAD">
            <w:pPr>
              <w:tabs>
                <w:tab w:val="left" w:pos="284"/>
              </w:tabs>
              <w:spacing w:line="276" w:lineRule="auto"/>
              <w:jc w:val="both"/>
              <w:rPr>
                <w:lang w:eastAsia="lt-LT"/>
              </w:rPr>
            </w:pPr>
            <w:r w:rsidRPr="00704571">
              <w:rPr>
                <w:lang w:eastAsia="lt-LT"/>
              </w:rPr>
              <w:t>Pareiškėjas</w:t>
            </w:r>
          </w:p>
        </w:tc>
        <w:tc>
          <w:tcPr>
            <w:tcW w:w="5096" w:type="dxa"/>
          </w:tcPr>
          <w:p w14:paraId="31A360CC" w14:textId="77777777" w:rsidR="00704571" w:rsidRPr="00704571" w:rsidRDefault="00704571" w:rsidP="00DE7FAD">
            <w:pPr>
              <w:pStyle w:val="ListParagraph"/>
              <w:spacing w:after="120" w:line="276" w:lineRule="auto"/>
              <w:ind w:left="0"/>
              <w:contextualSpacing w:val="0"/>
              <w:jc w:val="both"/>
            </w:pPr>
            <w:r w:rsidRPr="00704571">
              <w:t>Astra Zeneca UAB</w:t>
            </w:r>
          </w:p>
        </w:tc>
      </w:tr>
      <w:tr w:rsidR="00704571" w:rsidRPr="00704571" w14:paraId="6F07D388" w14:textId="77777777" w:rsidTr="00DE7FAD">
        <w:trPr>
          <w:trHeight w:val="479"/>
        </w:trPr>
        <w:tc>
          <w:tcPr>
            <w:tcW w:w="705" w:type="dxa"/>
          </w:tcPr>
          <w:p w14:paraId="215EADB4" w14:textId="77777777" w:rsidR="00704571" w:rsidRPr="00704571" w:rsidRDefault="00704571" w:rsidP="00DE7FAD">
            <w:pPr>
              <w:tabs>
                <w:tab w:val="left" w:pos="284"/>
              </w:tabs>
              <w:spacing w:line="276" w:lineRule="auto"/>
              <w:jc w:val="both"/>
              <w:rPr>
                <w:rFonts w:eastAsia="Arial"/>
              </w:rPr>
            </w:pPr>
            <w:r w:rsidRPr="00704571">
              <w:rPr>
                <w:rFonts w:eastAsia="Arial"/>
              </w:rPr>
              <w:t>1.2</w:t>
            </w:r>
          </w:p>
        </w:tc>
        <w:tc>
          <w:tcPr>
            <w:tcW w:w="4117" w:type="dxa"/>
          </w:tcPr>
          <w:p w14:paraId="483A9B85" w14:textId="77777777" w:rsidR="00704571" w:rsidRPr="00704571" w:rsidRDefault="00704571" w:rsidP="00DE7FAD">
            <w:pPr>
              <w:tabs>
                <w:tab w:val="left" w:pos="284"/>
              </w:tabs>
              <w:spacing w:line="276" w:lineRule="auto"/>
              <w:jc w:val="both"/>
              <w:rPr>
                <w:lang w:eastAsia="lt-LT"/>
              </w:rPr>
            </w:pPr>
            <w:r w:rsidRPr="00704571">
              <w:rPr>
                <w:lang w:eastAsia="lt-LT"/>
              </w:rPr>
              <w:t>Registracijos data (EVA)</w:t>
            </w:r>
          </w:p>
          <w:p w14:paraId="0B6D21F3" w14:textId="77777777" w:rsidR="00704571" w:rsidRPr="00704571" w:rsidRDefault="00704571" w:rsidP="00DE7FAD">
            <w:pPr>
              <w:tabs>
                <w:tab w:val="left" w:pos="284"/>
              </w:tabs>
              <w:spacing w:line="276" w:lineRule="auto"/>
              <w:jc w:val="both"/>
              <w:rPr>
                <w:lang w:eastAsia="lt-LT"/>
              </w:rPr>
            </w:pPr>
          </w:p>
        </w:tc>
        <w:tc>
          <w:tcPr>
            <w:tcW w:w="5096" w:type="dxa"/>
          </w:tcPr>
          <w:p w14:paraId="74BC1894" w14:textId="77777777" w:rsidR="00704571" w:rsidRPr="00E22086" w:rsidRDefault="00110217" w:rsidP="00DE7FAD">
            <w:pPr>
              <w:pStyle w:val="ListParagraph"/>
              <w:spacing w:after="120" w:line="276" w:lineRule="auto"/>
              <w:ind w:left="0"/>
              <w:contextualSpacing w:val="0"/>
              <w:jc w:val="both"/>
              <w:rPr>
                <w:rStyle w:val="Style2"/>
                <w:sz w:val="24"/>
              </w:rPr>
            </w:pPr>
            <w:sdt>
              <w:sdtPr>
                <w:rPr>
                  <w:sz w:val="32"/>
                </w:rPr>
                <w:alias w:val="Nurodykite konkrečią dieną"/>
                <w:tag w:val="Nurodykite pradžios datą"/>
                <w:id w:val="-47304824"/>
                <w:placeholder>
                  <w:docPart w:val="0472641ED32C4335869D71AC8F57518F"/>
                </w:placeholder>
                <w15:color w:val="FFCC99"/>
                <w:date w:fullDate="2018-09-21T00:00:00Z">
                  <w:dateFormat w:val="yyyy 'm.' MMMM d 'd.'"/>
                  <w:lid w:val="lt-LT"/>
                  <w:storeMappedDataAs w:val="dateTime"/>
                  <w:calendar w:val="gregorian"/>
                </w:date>
              </w:sdtPr>
              <w:sdtEndPr/>
              <w:sdtContent>
                <w:r w:rsidR="00704571" w:rsidRPr="00E22086">
                  <w:t>2018 m. rugsėjo 21 d.</w:t>
                </w:r>
              </w:sdtContent>
            </w:sdt>
          </w:p>
        </w:tc>
      </w:tr>
      <w:tr w:rsidR="00704571" w:rsidRPr="00704571" w14:paraId="369B72CB" w14:textId="77777777" w:rsidTr="00DE7FAD">
        <w:trPr>
          <w:trHeight w:val="1328"/>
        </w:trPr>
        <w:tc>
          <w:tcPr>
            <w:tcW w:w="705" w:type="dxa"/>
          </w:tcPr>
          <w:p w14:paraId="1A4B0CA8" w14:textId="77777777" w:rsidR="00704571" w:rsidRPr="00704571" w:rsidRDefault="00704571" w:rsidP="00DE7FAD">
            <w:pPr>
              <w:tabs>
                <w:tab w:val="left" w:pos="284"/>
              </w:tabs>
              <w:spacing w:line="276" w:lineRule="auto"/>
              <w:jc w:val="both"/>
              <w:rPr>
                <w:rFonts w:eastAsia="Arial"/>
              </w:rPr>
            </w:pPr>
            <w:r w:rsidRPr="00704571">
              <w:rPr>
                <w:rFonts w:eastAsia="Arial"/>
              </w:rPr>
              <w:t>1.3</w:t>
            </w:r>
          </w:p>
        </w:tc>
        <w:tc>
          <w:tcPr>
            <w:tcW w:w="4117" w:type="dxa"/>
          </w:tcPr>
          <w:p w14:paraId="4C31536F" w14:textId="77777777" w:rsidR="00704571" w:rsidRPr="00704571" w:rsidRDefault="00704571" w:rsidP="00DE7FAD">
            <w:pPr>
              <w:pStyle w:val="NoSpacing"/>
              <w:spacing w:line="276" w:lineRule="auto"/>
              <w:jc w:val="both"/>
              <w:rPr>
                <w:rFonts w:ascii="Times New Roman" w:hAnsi="Times New Roman"/>
                <w:sz w:val="24"/>
                <w:szCs w:val="24"/>
              </w:rPr>
            </w:pPr>
            <w:r w:rsidRPr="00704571">
              <w:rPr>
                <w:rFonts w:ascii="Times New Roman" w:hAnsi="Times New Roman"/>
                <w:sz w:val="24"/>
                <w:szCs w:val="24"/>
              </w:rPr>
              <w:t xml:space="preserve">Paraiškos tipas </w:t>
            </w:r>
          </w:p>
          <w:p w14:paraId="1B5AB154" w14:textId="77777777" w:rsidR="00704571" w:rsidRPr="00704571" w:rsidRDefault="00704571" w:rsidP="00DE7FAD">
            <w:pPr>
              <w:spacing w:line="276" w:lineRule="auto"/>
              <w:jc w:val="both"/>
            </w:pPr>
            <w:r w:rsidRPr="00704571">
              <w:t xml:space="preserve">(pagal </w:t>
            </w:r>
            <w:r w:rsidRPr="00704571">
              <w:rPr>
                <w:shd w:val="clear" w:color="auto" w:fill="FFFFFF"/>
              </w:rPr>
              <w:t>vaistinio preparato registracijos tipą, įtvirtintą</w:t>
            </w:r>
            <w:r w:rsidRPr="00704571">
              <w:t xml:space="preserve"> Direktyvos 2001/83/EB straipsniuose)</w:t>
            </w:r>
          </w:p>
          <w:p w14:paraId="01519B7E" w14:textId="77777777" w:rsidR="00704571" w:rsidRPr="00704571" w:rsidRDefault="00704571" w:rsidP="00DE7FAD">
            <w:pPr>
              <w:tabs>
                <w:tab w:val="left" w:pos="284"/>
              </w:tabs>
              <w:spacing w:line="276" w:lineRule="auto"/>
              <w:jc w:val="both"/>
              <w:rPr>
                <w:lang w:eastAsia="lt-LT"/>
              </w:rPr>
            </w:pPr>
          </w:p>
        </w:tc>
        <w:tc>
          <w:tcPr>
            <w:tcW w:w="5096" w:type="dxa"/>
          </w:tcPr>
          <w:p w14:paraId="32C6D830" w14:textId="77777777" w:rsidR="00704571" w:rsidRPr="00704571" w:rsidRDefault="00110217" w:rsidP="00DE7FAD">
            <w:pPr>
              <w:spacing w:line="276" w:lineRule="auto"/>
              <w:jc w:val="both"/>
            </w:pPr>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704571" w:rsidRPr="00704571">
                  <w:rPr>
                    <w:rStyle w:val="Style2"/>
                    <w:rFonts w:ascii="MS Gothic" w:eastAsia="MS Gothic" w:hAnsi="MS Gothic" w:hint="eastAsia"/>
                  </w:rPr>
                  <w:t>☒</w:t>
                </w:r>
              </w:sdtContent>
            </w:sdt>
            <w:r w:rsidR="00704571" w:rsidRPr="00704571">
              <w:t xml:space="preserve"> 8.3 str. (pilna byla, pagrįsta savais tyrimais) </w:t>
            </w:r>
          </w:p>
          <w:p w14:paraId="116071BF" w14:textId="77777777" w:rsidR="00704571" w:rsidRPr="00704571" w:rsidRDefault="00110217" w:rsidP="00DE7FAD">
            <w:pPr>
              <w:spacing w:line="276" w:lineRule="auto"/>
              <w:jc w:val="both"/>
            </w:pPr>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704571" w:rsidRPr="00704571">
                  <w:rPr>
                    <w:rStyle w:val="Style2"/>
                    <w:rFonts w:ascii="Segoe UI Symbol" w:eastAsia="MS Gothic" w:hAnsi="Segoe UI Symbol" w:cs="Segoe UI Symbol"/>
                  </w:rPr>
                  <w:t>☐</w:t>
                </w:r>
              </w:sdtContent>
            </w:sdt>
            <w:r w:rsidR="00704571" w:rsidRPr="00704571">
              <w:t xml:space="preserve"> 10 a str. (pripažintas medicininis vartojimas) </w:t>
            </w:r>
          </w:p>
          <w:p w14:paraId="3BF8763B" w14:textId="77777777" w:rsidR="00704571" w:rsidRPr="00704571" w:rsidRDefault="00110217" w:rsidP="00DE7FAD">
            <w:pPr>
              <w:spacing w:line="276" w:lineRule="auto"/>
              <w:jc w:val="both"/>
            </w:pPr>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704571" w:rsidRPr="00704571">
                  <w:rPr>
                    <w:rStyle w:val="Style2"/>
                    <w:rFonts w:ascii="MS Gothic" w:eastAsia="MS Gothic" w:hAnsi="MS Gothic" w:hint="eastAsia"/>
                  </w:rPr>
                  <w:t>☐</w:t>
                </w:r>
              </w:sdtContent>
            </w:sdt>
            <w:r w:rsidR="00704571" w:rsidRPr="00704571">
              <w:t xml:space="preserve"> 10.1 str. (generinis)</w:t>
            </w:r>
          </w:p>
          <w:p w14:paraId="45DC7C5A" w14:textId="77777777" w:rsidR="00704571" w:rsidRPr="00704571" w:rsidRDefault="00110217" w:rsidP="00DE7FAD">
            <w:pPr>
              <w:spacing w:line="276" w:lineRule="auto"/>
              <w:jc w:val="both"/>
              <w:rPr>
                <w:rStyle w:val="Style2"/>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704571" w:rsidRPr="00704571">
                  <w:rPr>
                    <w:rStyle w:val="Style2"/>
                    <w:rFonts w:ascii="Segoe UI Symbol" w:eastAsia="MS Gothic" w:hAnsi="Segoe UI Symbol" w:cs="Segoe UI Symbol"/>
                  </w:rPr>
                  <w:t>☐</w:t>
                </w:r>
              </w:sdtContent>
            </w:sdt>
            <w:r w:rsidR="00704571" w:rsidRPr="00704571">
              <w:t xml:space="preserve"> 10.3 str. (hibridinis)</w:t>
            </w:r>
          </w:p>
        </w:tc>
      </w:tr>
      <w:tr w:rsidR="00704571" w:rsidRPr="00704571" w14:paraId="1DE11DF6" w14:textId="77777777" w:rsidTr="00DE7FAD">
        <w:trPr>
          <w:trHeight w:val="1109"/>
        </w:trPr>
        <w:tc>
          <w:tcPr>
            <w:tcW w:w="705" w:type="dxa"/>
          </w:tcPr>
          <w:p w14:paraId="048FB762" w14:textId="77777777" w:rsidR="00704571" w:rsidRPr="00704571" w:rsidRDefault="00704571" w:rsidP="00DE7FAD">
            <w:pPr>
              <w:tabs>
                <w:tab w:val="left" w:pos="284"/>
              </w:tabs>
              <w:spacing w:line="276" w:lineRule="auto"/>
              <w:jc w:val="both"/>
              <w:rPr>
                <w:rFonts w:eastAsia="Arial"/>
              </w:rPr>
            </w:pPr>
            <w:r w:rsidRPr="00704571">
              <w:rPr>
                <w:rFonts w:eastAsia="Arial"/>
              </w:rPr>
              <w:t>1.4</w:t>
            </w:r>
          </w:p>
        </w:tc>
        <w:tc>
          <w:tcPr>
            <w:tcW w:w="4117" w:type="dxa"/>
          </w:tcPr>
          <w:p w14:paraId="187AD1B8" w14:textId="77777777" w:rsidR="00704571" w:rsidRPr="00704571" w:rsidRDefault="00704571" w:rsidP="00DE7FAD">
            <w:pPr>
              <w:tabs>
                <w:tab w:val="left" w:pos="284"/>
              </w:tabs>
              <w:spacing w:line="276" w:lineRule="auto"/>
              <w:jc w:val="both"/>
              <w:rPr>
                <w:lang w:eastAsia="lt-LT"/>
              </w:rPr>
            </w:pPr>
            <w:r w:rsidRPr="00704571">
              <w:rPr>
                <w:lang w:eastAsia="lt-LT"/>
              </w:rPr>
              <w:t>Ar vaistinis preparatas įrašytas į Bendrijos retųjų vaistinių preparatų registrą?</w:t>
            </w:r>
          </w:p>
          <w:p w14:paraId="3ACC2C47" w14:textId="77777777" w:rsidR="00704571" w:rsidRPr="00704571" w:rsidRDefault="00704571" w:rsidP="00DE7FAD">
            <w:pPr>
              <w:tabs>
                <w:tab w:val="left" w:pos="284"/>
              </w:tabs>
              <w:spacing w:line="276" w:lineRule="auto"/>
              <w:jc w:val="both"/>
              <w:rPr>
                <w:sz w:val="22"/>
                <w:szCs w:val="22"/>
                <w:lang w:eastAsia="lt-LT"/>
              </w:rPr>
            </w:pPr>
          </w:p>
        </w:tc>
        <w:tc>
          <w:tcPr>
            <w:tcW w:w="5096" w:type="dxa"/>
          </w:tcPr>
          <w:p w14:paraId="45CB6E9E" w14:textId="77777777" w:rsidR="00704571" w:rsidRPr="00704571" w:rsidRDefault="00110217" w:rsidP="00DE7FAD">
            <w:pPr>
              <w:spacing w:line="276" w:lineRule="auto"/>
              <w:jc w:val="both"/>
            </w:pPr>
            <w:sdt>
              <w:sdtPr>
                <w:rPr>
                  <w:rStyle w:val="Style2"/>
                </w:rPr>
                <w:id w:val="-892572973"/>
                <w15:color w:val="FFCC00"/>
                <w14:checkbox>
                  <w14:checked w14:val="0"/>
                  <w14:checkedState w14:val="2612" w14:font="MS Gothic"/>
                  <w14:uncheckedState w14:val="2610" w14:font="MS Gothic"/>
                </w14:checkbox>
              </w:sdtPr>
              <w:sdtEndPr>
                <w:rPr>
                  <w:rStyle w:val="Style2"/>
                </w:rPr>
              </w:sdtEndPr>
              <w:sdtContent>
                <w:r w:rsidR="00704571" w:rsidRPr="00704571">
                  <w:rPr>
                    <w:rStyle w:val="Style2"/>
                    <w:rFonts w:ascii="Segoe UI Symbol" w:eastAsia="MS Gothic" w:hAnsi="Segoe UI Symbol" w:cs="Segoe UI Symbol"/>
                  </w:rPr>
                  <w:t>☐</w:t>
                </w:r>
              </w:sdtContent>
            </w:sdt>
            <w:r w:rsidR="00704571" w:rsidRPr="00704571">
              <w:t xml:space="preserve"> Taip</w:t>
            </w:r>
          </w:p>
          <w:p w14:paraId="285F8089" w14:textId="77777777" w:rsidR="00704571" w:rsidRPr="00704571" w:rsidRDefault="00110217" w:rsidP="00DE7FAD">
            <w:pPr>
              <w:spacing w:line="276" w:lineRule="auto"/>
              <w:jc w:val="both"/>
            </w:pPr>
            <w:sdt>
              <w:sdtPr>
                <w:rPr>
                  <w:rStyle w:val="Style2"/>
                </w:rPr>
                <w:id w:val="-2040579751"/>
                <w15:color w:val="FFCC00"/>
                <w14:checkbox>
                  <w14:checked w14:val="1"/>
                  <w14:checkedState w14:val="2612" w14:font="MS Gothic"/>
                  <w14:uncheckedState w14:val="2610" w14:font="MS Gothic"/>
                </w14:checkbox>
              </w:sdtPr>
              <w:sdtEndPr>
                <w:rPr>
                  <w:rStyle w:val="Style2"/>
                </w:rPr>
              </w:sdtEndPr>
              <w:sdtContent>
                <w:r w:rsidR="00704571" w:rsidRPr="00704571">
                  <w:rPr>
                    <w:rStyle w:val="Style2"/>
                    <w:rFonts w:ascii="MS Gothic" w:eastAsia="MS Gothic" w:hAnsi="MS Gothic" w:hint="eastAsia"/>
                  </w:rPr>
                  <w:t>☒</w:t>
                </w:r>
              </w:sdtContent>
            </w:sdt>
            <w:r w:rsidR="00704571" w:rsidRPr="00704571">
              <w:t xml:space="preserve"> Ne</w:t>
            </w:r>
          </w:p>
          <w:p w14:paraId="72D2D924" w14:textId="77777777" w:rsidR="00704571" w:rsidRPr="00704571" w:rsidRDefault="00110217" w:rsidP="00DE7FAD">
            <w:pPr>
              <w:spacing w:line="276" w:lineRule="auto"/>
              <w:jc w:val="both"/>
              <w:rPr>
                <w:rFonts w:eastAsia="Arial"/>
              </w:rPr>
            </w:pPr>
            <w:sdt>
              <w:sdtPr>
                <w:alias w:val="Nurodykite konkrečią dieną"/>
                <w:tag w:val="Nurodykite pradžios datą"/>
                <w:id w:val="1567603916"/>
                <w:placeholder>
                  <w:docPart w:val="BF458B5ABE85431D8685BD1D25BBB3FD"/>
                </w:placeholder>
                <w:showingPlcHdr/>
                <w15:color w:val="FFCC99"/>
                <w:date w:fullDate="2022-05-18T00:00:00Z">
                  <w:dateFormat w:val="yyyy 'm.' MMMM d 'd.'"/>
                  <w:lid w:val="lt-LT"/>
                  <w:storeMappedDataAs w:val="dateTime"/>
                  <w:calendar w:val="gregorian"/>
                </w:date>
              </w:sdtPr>
              <w:sdtEndPr/>
              <w:sdtContent>
                <w:r w:rsidR="00704571" w:rsidRPr="00704571">
                  <w:rPr>
                    <w:rStyle w:val="PlaceholderText"/>
                    <w:color w:val="auto"/>
                  </w:rPr>
                  <w:t>Click here to enter a date.</w:t>
                </w:r>
              </w:sdtContent>
            </w:sdt>
          </w:p>
        </w:tc>
      </w:tr>
      <w:tr w:rsidR="00704571" w:rsidRPr="00704571" w14:paraId="0EC9890D" w14:textId="77777777" w:rsidTr="00DE7FAD">
        <w:trPr>
          <w:trHeight w:val="958"/>
        </w:trPr>
        <w:tc>
          <w:tcPr>
            <w:tcW w:w="705" w:type="dxa"/>
            <w:tcBorders>
              <w:bottom w:val="single" w:sz="4" w:space="0" w:color="auto"/>
            </w:tcBorders>
          </w:tcPr>
          <w:p w14:paraId="60471EC9" w14:textId="77777777" w:rsidR="00704571" w:rsidRPr="00704571" w:rsidRDefault="00704571" w:rsidP="00DE7FAD">
            <w:pPr>
              <w:tabs>
                <w:tab w:val="left" w:pos="284"/>
              </w:tabs>
              <w:spacing w:line="276" w:lineRule="auto"/>
              <w:jc w:val="both"/>
              <w:rPr>
                <w:rFonts w:eastAsia="Arial"/>
              </w:rPr>
            </w:pPr>
            <w:r w:rsidRPr="00704571">
              <w:rPr>
                <w:rFonts w:eastAsia="Arial"/>
              </w:rPr>
              <w:t>1.5</w:t>
            </w:r>
          </w:p>
        </w:tc>
        <w:tc>
          <w:tcPr>
            <w:tcW w:w="4117" w:type="dxa"/>
            <w:tcBorders>
              <w:bottom w:val="single" w:sz="4" w:space="0" w:color="auto"/>
            </w:tcBorders>
          </w:tcPr>
          <w:p w14:paraId="2374FC9B" w14:textId="77777777" w:rsidR="00704571" w:rsidRPr="00704571" w:rsidRDefault="00704571" w:rsidP="00DE7FAD">
            <w:pPr>
              <w:tabs>
                <w:tab w:val="left" w:pos="284"/>
              </w:tabs>
              <w:spacing w:line="276" w:lineRule="auto"/>
              <w:jc w:val="both"/>
              <w:rPr>
                <w:lang w:eastAsia="lt-LT"/>
              </w:rPr>
            </w:pPr>
            <w:r w:rsidRPr="00704571">
              <w:rPr>
                <w:lang w:eastAsia="lt-LT"/>
              </w:rPr>
              <w:t>Pareiškėjo teikiama (-os) kompensuoti preparato indikacija (-os)</w:t>
            </w:r>
          </w:p>
          <w:p w14:paraId="5A0B9C40" w14:textId="77777777" w:rsidR="00704571" w:rsidRPr="00704571" w:rsidRDefault="00704571" w:rsidP="00DE7FAD">
            <w:pPr>
              <w:tabs>
                <w:tab w:val="left" w:pos="284"/>
              </w:tabs>
              <w:spacing w:line="276" w:lineRule="auto"/>
              <w:jc w:val="both"/>
              <w:rPr>
                <w:lang w:eastAsia="lt-LT"/>
              </w:rPr>
            </w:pPr>
          </w:p>
          <w:p w14:paraId="0A762A34" w14:textId="77777777" w:rsidR="00704571" w:rsidRPr="00704571" w:rsidRDefault="00704571" w:rsidP="00DE7FAD">
            <w:pPr>
              <w:tabs>
                <w:tab w:val="left" w:pos="284"/>
              </w:tabs>
              <w:spacing w:line="276" w:lineRule="auto"/>
              <w:jc w:val="both"/>
              <w:rPr>
                <w:lang w:eastAsia="lt-LT"/>
              </w:rPr>
            </w:pPr>
          </w:p>
          <w:p w14:paraId="723DD664" w14:textId="77777777" w:rsidR="00704571" w:rsidRPr="00704571" w:rsidRDefault="00704571" w:rsidP="00DE7FAD">
            <w:pPr>
              <w:tabs>
                <w:tab w:val="left" w:pos="284"/>
              </w:tabs>
              <w:spacing w:line="276" w:lineRule="auto"/>
              <w:jc w:val="both"/>
              <w:rPr>
                <w:lang w:eastAsia="lt-LT"/>
              </w:rPr>
            </w:pPr>
            <w:r w:rsidRPr="00704571">
              <w:rPr>
                <w:lang w:eastAsia="lt-LT"/>
              </w:rPr>
              <w:t xml:space="preserve">Kodas pagal TLK-10 AM  </w:t>
            </w:r>
          </w:p>
        </w:tc>
        <w:tc>
          <w:tcPr>
            <w:tcW w:w="5096" w:type="dxa"/>
            <w:tcBorders>
              <w:bottom w:val="single" w:sz="4" w:space="0" w:color="auto"/>
            </w:tcBorders>
          </w:tcPr>
          <w:p w14:paraId="4956C1CC" w14:textId="77777777" w:rsidR="00704571" w:rsidRPr="00704571" w:rsidRDefault="00704571" w:rsidP="00DE7FAD">
            <w:pPr>
              <w:pStyle w:val="Tekstas"/>
              <w:spacing w:line="276" w:lineRule="auto"/>
              <w:rPr>
                <w:rFonts w:eastAsia="Arial"/>
                <w:i/>
              </w:rPr>
            </w:pPr>
            <w:r w:rsidRPr="00704571">
              <w:rPr>
                <w:rFonts w:eastAsia="Arial"/>
              </w:rPr>
              <w:t xml:space="preserve">IMFINZI derinys su gemcitabinu ir cisplatina yra skirtas suaugusiųjų neoperuotino arba metastazavusio tulžies takų vėžio (angl. </w:t>
            </w:r>
            <w:r w:rsidRPr="00704571">
              <w:rPr>
                <w:rFonts w:eastAsia="Arial"/>
                <w:i/>
                <w:iCs/>
              </w:rPr>
              <w:t>biliary tract cancer</w:t>
            </w:r>
            <w:r w:rsidRPr="00704571">
              <w:rPr>
                <w:rFonts w:eastAsia="Arial"/>
              </w:rPr>
              <w:t>, BTC) pirmos eilės gydymui.</w:t>
            </w:r>
          </w:p>
          <w:p w14:paraId="20559889" w14:textId="77777777" w:rsidR="00704571" w:rsidRPr="00704571" w:rsidRDefault="00704571" w:rsidP="00DE7FAD">
            <w:pPr>
              <w:pStyle w:val="ListParagraph"/>
              <w:spacing w:after="120" w:line="276" w:lineRule="auto"/>
              <w:ind w:left="0"/>
              <w:contextualSpacing w:val="0"/>
              <w:jc w:val="both"/>
            </w:pPr>
            <w:r w:rsidRPr="00704571">
              <w:t>C22.1, C23, C24</w:t>
            </w:r>
          </w:p>
        </w:tc>
      </w:tr>
      <w:tr w:rsidR="00704571" w:rsidRPr="00704571" w14:paraId="385E8E83" w14:textId="77777777" w:rsidTr="00DE7FAD">
        <w:trPr>
          <w:trHeight w:val="479"/>
        </w:trPr>
        <w:tc>
          <w:tcPr>
            <w:tcW w:w="705" w:type="dxa"/>
            <w:tcBorders>
              <w:top w:val="single" w:sz="4" w:space="0" w:color="auto"/>
              <w:left w:val="single" w:sz="4" w:space="0" w:color="auto"/>
              <w:bottom w:val="single" w:sz="4" w:space="0" w:color="auto"/>
              <w:right w:val="single" w:sz="4" w:space="0" w:color="auto"/>
            </w:tcBorders>
          </w:tcPr>
          <w:p w14:paraId="649B83EC" w14:textId="77777777" w:rsidR="00704571" w:rsidRPr="00704571" w:rsidRDefault="00704571" w:rsidP="00DE7FAD">
            <w:pPr>
              <w:tabs>
                <w:tab w:val="left" w:pos="284"/>
              </w:tabs>
              <w:spacing w:line="276" w:lineRule="auto"/>
              <w:jc w:val="both"/>
              <w:rPr>
                <w:rFonts w:eastAsia="Arial"/>
              </w:rPr>
            </w:pPr>
            <w:r w:rsidRPr="00704571">
              <w:rPr>
                <w:rFonts w:eastAsia="Arial"/>
              </w:rPr>
              <w:t>1.6</w:t>
            </w:r>
          </w:p>
        </w:tc>
        <w:tc>
          <w:tcPr>
            <w:tcW w:w="4117" w:type="dxa"/>
            <w:tcBorders>
              <w:top w:val="single" w:sz="4" w:space="0" w:color="auto"/>
              <w:left w:val="single" w:sz="4" w:space="0" w:color="auto"/>
              <w:bottom w:val="single" w:sz="4" w:space="0" w:color="auto"/>
              <w:right w:val="single" w:sz="4" w:space="0" w:color="auto"/>
            </w:tcBorders>
          </w:tcPr>
          <w:p w14:paraId="3D20EA86" w14:textId="77777777" w:rsidR="00704571" w:rsidRPr="00704571" w:rsidRDefault="00704571" w:rsidP="00DE7FAD">
            <w:pPr>
              <w:tabs>
                <w:tab w:val="left" w:pos="284"/>
              </w:tabs>
              <w:spacing w:line="276" w:lineRule="auto"/>
              <w:jc w:val="both"/>
              <w:rPr>
                <w:u w:val="single"/>
                <w:lang w:eastAsia="lt-LT"/>
              </w:rPr>
            </w:pPr>
            <w:r w:rsidRPr="00704571">
              <w:rPr>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32D1DED6" w14:textId="77777777" w:rsidR="00704571" w:rsidRPr="00704571" w:rsidRDefault="00704571" w:rsidP="00DE7FAD">
            <w:pPr>
              <w:pStyle w:val="ListParagraph"/>
              <w:spacing w:after="120" w:line="276" w:lineRule="auto"/>
              <w:ind w:left="0"/>
              <w:contextualSpacing w:val="0"/>
              <w:jc w:val="both"/>
            </w:pPr>
            <w:r w:rsidRPr="00704571">
              <w:t>Neteikiamos</w:t>
            </w:r>
          </w:p>
        </w:tc>
      </w:tr>
      <w:tr w:rsidR="00704571" w:rsidRPr="00704571" w14:paraId="2FB770C9" w14:textId="77777777" w:rsidTr="00DE7FAD">
        <w:trPr>
          <w:trHeight w:val="479"/>
        </w:trPr>
        <w:tc>
          <w:tcPr>
            <w:tcW w:w="705" w:type="dxa"/>
            <w:tcBorders>
              <w:top w:val="single" w:sz="4" w:space="0" w:color="auto"/>
              <w:left w:val="single" w:sz="4" w:space="0" w:color="auto"/>
              <w:bottom w:val="single" w:sz="4" w:space="0" w:color="auto"/>
              <w:right w:val="single" w:sz="4" w:space="0" w:color="auto"/>
            </w:tcBorders>
          </w:tcPr>
          <w:p w14:paraId="1E8DF81B" w14:textId="77777777" w:rsidR="00704571" w:rsidRPr="00704571" w:rsidRDefault="00704571" w:rsidP="00DE7FAD">
            <w:pPr>
              <w:tabs>
                <w:tab w:val="left" w:pos="284"/>
              </w:tabs>
              <w:spacing w:line="276" w:lineRule="auto"/>
              <w:jc w:val="both"/>
              <w:rPr>
                <w:rFonts w:eastAsia="Arial"/>
              </w:rPr>
            </w:pPr>
            <w:r w:rsidRPr="00704571">
              <w:rPr>
                <w:rFonts w:eastAsia="Arial"/>
              </w:rPr>
              <w:lastRenderedPageBreak/>
              <w:t>1.7</w:t>
            </w:r>
          </w:p>
        </w:tc>
        <w:tc>
          <w:tcPr>
            <w:tcW w:w="4117" w:type="dxa"/>
            <w:tcBorders>
              <w:top w:val="single" w:sz="4" w:space="0" w:color="auto"/>
              <w:left w:val="single" w:sz="4" w:space="0" w:color="auto"/>
              <w:bottom w:val="single" w:sz="4" w:space="0" w:color="auto"/>
              <w:right w:val="single" w:sz="4" w:space="0" w:color="auto"/>
            </w:tcBorders>
          </w:tcPr>
          <w:p w14:paraId="4773E658" w14:textId="77777777" w:rsidR="00704571" w:rsidRPr="00704571" w:rsidRDefault="00704571" w:rsidP="00DE7FAD">
            <w:pPr>
              <w:tabs>
                <w:tab w:val="left" w:pos="284"/>
              </w:tabs>
              <w:spacing w:line="276" w:lineRule="auto"/>
              <w:jc w:val="both"/>
              <w:rPr>
                <w:lang w:eastAsia="lt-LT"/>
              </w:rPr>
            </w:pPr>
            <w:r w:rsidRPr="00704571">
              <w:t>STV paraiškos pobūdis</w:t>
            </w:r>
          </w:p>
        </w:tc>
        <w:tc>
          <w:tcPr>
            <w:tcW w:w="5096" w:type="dxa"/>
            <w:tcBorders>
              <w:top w:val="single" w:sz="4" w:space="0" w:color="auto"/>
              <w:left w:val="single" w:sz="4" w:space="0" w:color="auto"/>
              <w:bottom w:val="single" w:sz="4" w:space="0" w:color="auto"/>
              <w:right w:val="single" w:sz="4" w:space="0" w:color="auto"/>
            </w:tcBorders>
          </w:tcPr>
          <w:p w14:paraId="4458A332" w14:textId="77777777" w:rsidR="00704571" w:rsidRPr="00704571" w:rsidRDefault="00110217" w:rsidP="00DE7FAD">
            <w:pPr>
              <w:spacing w:line="276" w:lineRule="auto"/>
              <w:jc w:val="both"/>
            </w:pPr>
            <w:sdt>
              <w:sdtPr>
                <w:rPr>
                  <w:rStyle w:val="Style2"/>
                </w:rPr>
                <w:id w:val="1021130575"/>
                <w15:color w:val="FFCC00"/>
                <w14:checkbox>
                  <w14:checked w14:val="1"/>
                  <w14:checkedState w14:val="2612" w14:font="MS Gothic"/>
                  <w14:uncheckedState w14:val="2610" w14:font="MS Gothic"/>
                </w14:checkbox>
              </w:sdtPr>
              <w:sdtEndPr>
                <w:rPr>
                  <w:rStyle w:val="Style2"/>
                </w:rPr>
              </w:sdtEndPr>
              <w:sdtContent>
                <w:r w:rsidR="00704571" w:rsidRPr="00704571">
                  <w:rPr>
                    <w:rStyle w:val="Style2"/>
                    <w:rFonts w:ascii="MS Gothic" w:eastAsia="MS Gothic" w:hAnsi="MS Gothic" w:hint="eastAsia"/>
                  </w:rPr>
                  <w:t>☒</w:t>
                </w:r>
              </w:sdtContent>
            </w:sdt>
            <w:r w:rsidR="00704571" w:rsidRPr="00704571">
              <w:t xml:space="preserve"> Pilna paraiška</w:t>
            </w:r>
          </w:p>
          <w:p w14:paraId="17799E37" w14:textId="77777777" w:rsidR="00704571" w:rsidRPr="00704571" w:rsidRDefault="00110217" w:rsidP="00DE7FAD">
            <w:pPr>
              <w:spacing w:line="276" w:lineRule="auto"/>
              <w:jc w:val="both"/>
              <w:rPr>
                <w:rStyle w:val="Style2"/>
              </w:rPr>
            </w:pPr>
            <w:sdt>
              <w:sdtPr>
                <w:rPr>
                  <w:rStyle w:val="Style2"/>
                </w:rPr>
                <w:id w:val="299035170"/>
                <w15:color w:val="FFCC00"/>
                <w14:checkbox>
                  <w14:checked w14:val="0"/>
                  <w14:checkedState w14:val="2612" w14:font="MS Gothic"/>
                  <w14:uncheckedState w14:val="2610" w14:font="MS Gothic"/>
                </w14:checkbox>
              </w:sdtPr>
              <w:sdtEndPr>
                <w:rPr>
                  <w:rStyle w:val="Style2"/>
                </w:rPr>
              </w:sdtEndPr>
              <w:sdtContent>
                <w:r w:rsidR="00704571" w:rsidRPr="00704571">
                  <w:rPr>
                    <w:rStyle w:val="Style2"/>
                    <w:rFonts w:ascii="MS Gothic" w:eastAsia="MS Gothic" w:hAnsi="MS Gothic" w:hint="eastAsia"/>
                  </w:rPr>
                  <w:t>☐</w:t>
                </w:r>
              </w:sdtContent>
            </w:sdt>
            <w:r w:rsidR="00704571" w:rsidRPr="00704571">
              <w:t xml:space="preserve"> Supaprastinta paraiška</w:t>
            </w:r>
          </w:p>
        </w:tc>
      </w:tr>
      <w:tr w:rsidR="00704571" w:rsidRPr="001C0E54" w14:paraId="6BDC2EC5" w14:textId="77777777" w:rsidTr="00DE7FAD">
        <w:trPr>
          <w:trHeight w:val="479"/>
        </w:trPr>
        <w:tc>
          <w:tcPr>
            <w:tcW w:w="705" w:type="dxa"/>
            <w:tcBorders>
              <w:top w:val="single" w:sz="4" w:space="0" w:color="auto"/>
              <w:left w:val="single" w:sz="4" w:space="0" w:color="auto"/>
              <w:bottom w:val="single" w:sz="4" w:space="0" w:color="auto"/>
              <w:right w:val="single" w:sz="4" w:space="0" w:color="auto"/>
            </w:tcBorders>
          </w:tcPr>
          <w:p w14:paraId="2B6E8977" w14:textId="77777777" w:rsidR="00704571" w:rsidRPr="00E22086" w:rsidRDefault="00704571" w:rsidP="00DE7FAD">
            <w:pPr>
              <w:tabs>
                <w:tab w:val="left" w:pos="284"/>
              </w:tabs>
              <w:spacing w:line="276" w:lineRule="auto"/>
              <w:jc w:val="both"/>
              <w:rPr>
                <w:rFonts w:eastAsia="Arial"/>
              </w:rPr>
            </w:pPr>
            <w:r w:rsidRPr="00E22086">
              <w:rPr>
                <w:rFonts w:eastAsia="Arial"/>
              </w:rPr>
              <w:t>1.8</w:t>
            </w:r>
          </w:p>
        </w:tc>
        <w:tc>
          <w:tcPr>
            <w:tcW w:w="4117" w:type="dxa"/>
            <w:tcBorders>
              <w:top w:val="single" w:sz="4" w:space="0" w:color="auto"/>
              <w:left w:val="single" w:sz="4" w:space="0" w:color="auto"/>
              <w:bottom w:val="single" w:sz="4" w:space="0" w:color="auto"/>
              <w:right w:val="single" w:sz="4" w:space="0" w:color="auto"/>
            </w:tcBorders>
          </w:tcPr>
          <w:p w14:paraId="4A9C67C8" w14:textId="77777777" w:rsidR="00704571" w:rsidRPr="00E22086" w:rsidRDefault="00704571" w:rsidP="00DE7FAD">
            <w:pPr>
              <w:tabs>
                <w:tab w:val="left" w:pos="284"/>
              </w:tabs>
              <w:spacing w:line="276" w:lineRule="auto"/>
              <w:jc w:val="both"/>
              <w:rPr>
                <w:lang w:eastAsia="lt-LT"/>
              </w:rPr>
            </w:pPr>
            <w:r w:rsidRPr="00E22086">
              <w:rPr>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tcPr>
          <w:p w14:paraId="6D463D6B" w14:textId="300A525A" w:rsidR="00704571" w:rsidRPr="00E22086" w:rsidRDefault="00110217" w:rsidP="00DE7FAD">
            <w:pPr>
              <w:spacing w:line="276" w:lineRule="auto"/>
              <w:jc w:val="both"/>
            </w:pPr>
            <w:sdt>
              <w:sdtPr>
                <w:rPr>
                  <w:rStyle w:val="Style2"/>
                </w:rPr>
                <w:id w:val="1348903796"/>
                <w15:color w:val="FFCC00"/>
                <w14:checkbox>
                  <w14:checked w14:val="1"/>
                  <w14:checkedState w14:val="2612" w14:font="MS Gothic"/>
                  <w14:uncheckedState w14:val="2610" w14:font="MS Gothic"/>
                </w14:checkbox>
              </w:sdtPr>
              <w:sdtEndPr>
                <w:rPr>
                  <w:rStyle w:val="Style2"/>
                </w:rPr>
              </w:sdtEndPr>
              <w:sdtContent>
                <w:r w:rsidR="001C0E54" w:rsidRPr="00E22086">
                  <w:rPr>
                    <w:rStyle w:val="Style2"/>
                    <w:rFonts w:ascii="MS Gothic" w:eastAsia="MS Gothic" w:hAnsi="MS Gothic" w:cs="Segoe UI Symbol"/>
                  </w:rPr>
                  <w:t>☒</w:t>
                </w:r>
              </w:sdtContent>
            </w:sdt>
            <w:r w:rsidR="00704571" w:rsidRPr="00E22086">
              <w:t xml:space="preserve"> Tiesioginis palyginimas</w:t>
            </w:r>
          </w:p>
          <w:p w14:paraId="3AAF22F0" w14:textId="6EC94188" w:rsidR="00704571" w:rsidRPr="00E22086" w:rsidRDefault="00110217" w:rsidP="00DE7FAD">
            <w:pPr>
              <w:spacing w:line="276" w:lineRule="auto"/>
              <w:jc w:val="both"/>
            </w:pPr>
            <w:sdt>
              <w:sdtPr>
                <w:rPr>
                  <w:sz w:val="28"/>
                  <w:szCs w:val="28"/>
                </w:rPr>
                <w:id w:val="-210416744"/>
                <w15:color w:val="FFCC00"/>
                <w14:checkbox>
                  <w14:checked w14:val="0"/>
                  <w14:checkedState w14:val="2612" w14:font="MS Gothic"/>
                  <w14:uncheckedState w14:val="2610" w14:font="MS Gothic"/>
                </w14:checkbox>
              </w:sdtPr>
              <w:sdtEndPr/>
              <w:sdtContent>
                <w:r w:rsidR="00D83B4C">
                  <w:rPr>
                    <w:rFonts w:ascii="MS Gothic" w:eastAsia="MS Gothic" w:hAnsi="MS Gothic" w:hint="eastAsia"/>
                    <w:sz w:val="28"/>
                    <w:szCs w:val="28"/>
                  </w:rPr>
                  <w:t>☐</w:t>
                </w:r>
              </w:sdtContent>
            </w:sdt>
            <w:r w:rsidR="00704571" w:rsidRPr="00E22086">
              <w:t xml:space="preserve"> Netiesioginis palyginimas</w:t>
            </w:r>
          </w:p>
        </w:tc>
      </w:tr>
      <w:tr w:rsidR="00704571" w:rsidRPr="00704571" w14:paraId="1345C3DC" w14:textId="77777777" w:rsidTr="00DE7FAD">
        <w:trPr>
          <w:trHeight w:val="479"/>
        </w:trPr>
        <w:tc>
          <w:tcPr>
            <w:tcW w:w="705" w:type="dxa"/>
            <w:tcBorders>
              <w:top w:val="single" w:sz="4" w:space="0" w:color="auto"/>
              <w:left w:val="single" w:sz="4" w:space="0" w:color="auto"/>
              <w:bottom w:val="single" w:sz="4" w:space="0" w:color="auto"/>
              <w:right w:val="single" w:sz="4" w:space="0" w:color="auto"/>
            </w:tcBorders>
          </w:tcPr>
          <w:p w14:paraId="78FB36BF" w14:textId="77777777" w:rsidR="00704571" w:rsidRPr="00E22086" w:rsidRDefault="00704571" w:rsidP="00DE7FAD">
            <w:pPr>
              <w:tabs>
                <w:tab w:val="left" w:pos="284"/>
              </w:tabs>
              <w:spacing w:line="276" w:lineRule="auto"/>
              <w:jc w:val="both"/>
              <w:rPr>
                <w:rFonts w:eastAsia="Arial"/>
              </w:rPr>
            </w:pPr>
            <w:r w:rsidRPr="00E22086">
              <w:rPr>
                <w:rFonts w:eastAsia="Arial"/>
              </w:rPr>
              <w:t>1.9</w:t>
            </w:r>
          </w:p>
        </w:tc>
        <w:tc>
          <w:tcPr>
            <w:tcW w:w="4117" w:type="dxa"/>
            <w:tcBorders>
              <w:top w:val="single" w:sz="4" w:space="0" w:color="auto"/>
              <w:left w:val="single" w:sz="4" w:space="0" w:color="auto"/>
              <w:bottom w:val="single" w:sz="4" w:space="0" w:color="auto"/>
              <w:right w:val="single" w:sz="4" w:space="0" w:color="auto"/>
            </w:tcBorders>
          </w:tcPr>
          <w:p w14:paraId="58702EE7" w14:textId="77777777" w:rsidR="00704571" w:rsidRPr="00E22086" w:rsidRDefault="00704571" w:rsidP="00DE7FAD">
            <w:pPr>
              <w:tabs>
                <w:tab w:val="left" w:pos="284"/>
              </w:tabs>
              <w:spacing w:line="276" w:lineRule="auto"/>
              <w:jc w:val="both"/>
              <w:rPr>
                <w:lang w:eastAsia="lt-LT"/>
              </w:rPr>
            </w:pPr>
            <w:r w:rsidRPr="00E22086">
              <w:rPr>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62C434F3" w14:textId="0A2BA69B" w:rsidR="00704571" w:rsidRPr="00E22086" w:rsidRDefault="00110217" w:rsidP="00DE7FAD">
            <w:pPr>
              <w:spacing w:line="276" w:lineRule="auto"/>
              <w:jc w:val="both"/>
            </w:pPr>
            <w:sdt>
              <w:sdtPr>
                <w:rPr>
                  <w:rStyle w:val="Style2"/>
                </w:rPr>
                <w:id w:val="-836689216"/>
                <w15:color w:val="FFCC00"/>
                <w14:checkbox>
                  <w14:checked w14:val="1"/>
                  <w14:checkedState w14:val="2612" w14:font="MS Gothic"/>
                  <w14:uncheckedState w14:val="2610" w14:font="MS Gothic"/>
                </w14:checkbox>
              </w:sdtPr>
              <w:sdtEndPr>
                <w:rPr>
                  <w:rStyle w:val="Style2"/>
                </w:rPr>
              </w:sdtEndPr>
              <w:sdtContent>
                <w:r w:rsidR="001C0E54" w:rsidRPr="00E22086">
                  <w:rPr>
                    <w:rStyle w:val="Style2"/>
                    <w:rFonts w:ascii="MS Gothic" w:eastAsia="MS Gothic" w:hAnsi="MS Gothic" w:cs="Segoe UI Symbol"/>
                  </w:rPr>
                  <w:t>☒</w:t>
                </w:r>
              </w:sdtContent>
            </w:sdt>
            <w:r w:rsidR="00704571" w:rsidRPr="00E22086">
              <w:t xml:space="preserve"> Kaštų naudingumo analizė</w:t>
            </w:r>
          </w:p>
          <w:p w14:paraId="1C3030BC" w14:textId="77777777" w:rsidR="00704571" w:rsidRPr="00E22086" w:rsidRDefault="00110217" w:rsidP="00DE7FAD">
            <w:pPr>
              <w:spacing w:line="276" w:lineRule="auto"/>
              <w:jc w:val="both"/>
            </w:pPr>
            <w:sdt>
              <w:sdtPr>
                <w:rPr>
                  <w:rStyle w:val="Style2"/>
                </w:rPr>
                <w:id w:val="2013950720"/>
                <w15:color w:val="FFCC00"/>
                <w14:checkbox>
                  <w14:checked w14:val="0"/>
                  <w14:checkedState w14:val="2612" w14:font="MS Gothic"/>
                  <w14:uncheckedState w14:val="2610" w14:font="MS Gothic"/>
                </w14:checkbox>
              </w:sdtPr>
              <w:sdtEndPr>
                <w:rPr>
                  <w:rStyle w:val="Style2"/>
                </w:rPr>
              </w:sdtEndPr>
              <w:sdtContent>
                <w:r w:rsidR="00704571" w:rsidRPr="00E22086">
                  <w:rPr>
                    <w:rStyle w:val="Style2"/>
                    <w:rFonts w:ascii="MS Gothic" w:eastAsia="MS Gothic" w:hAnsi="MS Gothic"/>
                  </w:rPr>
                  <w:t>☐</w:t>
                </w:r>
              </w:sdtContent>
            </w:sdt>
            <w:r w:rsidR="00704571" w:rsidRPr="00E22086">
              <w:t xml:space="preserve"> Kaštų mažinimo analizė</w:t>
            </w:r>
          </w:p>
          <w:p w14:paraId="7FCA69B2" w14:textId="77777777" w:rsidR="00704571" w:rsidRPr="00E22086" w:rsidRDefault="00110217" w:rsidP="00DE7FAD">
            <w:pPr>
              <w:spacing w:line="276" w:lineRule="auto"/>
              <w:jc w:val="both"/>
            </w:pPr>
            <w:sdt>
              <w:sdtPr>
                <w:rPr>
                  <w:rStyle w:val="Style2"/>
                </w:rPr>
                <w:id w:val="362025833"/>
                <w15:color w:val="FFCC00"/>
                <w14:checkbox>
                  <w14:checked w14:val="0"/>
                  <w14:checkedState w14:val="2612" w14:font="MS Gothic"/>
                  <w14:uncheckedState w14:val="2610" w14:font="MS Gothic"/>
                </w14:checkbox>
              </w:sdtPr>
              <w:sdtEndPr>
                <w:rPr>
                  <w:rStyle w:val="Style2"/>
                </w:rPr>
              </w:sdtEndPr>
              <w:sdtContent>
                <w:r w:rsidR="00704571" w:rsidRPr="00E22086">
                  <w:rPr>
                    <w:rStyle w:val="Style2"/>
                    <w:rFonts w:ascii="Segoe UI Symbol" w:eastAsia="MS Gothic" w:hAnsi="Segoe UI Symbol" w:cs="Segoe UI Symbol"/>
                  </w:rPr>
                  <w:t>☐</w:t>
                </w:r>
              </w:sdtContent>
            </w:sdt>
            <w:r w:rsidR="00704571" w:rsidRPr="00E22086">
              <w:t xml:space="preserve"> Kita: </w:t>
            </w:r>
            <w:sdt>
              <w:sdtPr>
                <w:alias w:val="Įrašykite"/>
                <w:tag w:val="Įrašykite"/>
                <w:id w:val="-16472040"/>
                <w:placeholder>
                  <w:docPart w:val="5E23E4AB9B104D07A2D59E30E1D6FB64"/>
                </w:placeholder>
                <w15:color w:val="FFCC99"/>
              </w:sdtPr>
              <w:sdtEndPr/>
              <w:sdtContent>
                <w:r w:rsidR="00704571" w:rsidRPr="00E22086">
                  <w:t>_________________</w:t>
                </w:r>
              </w:sdtContent>
            </w:sdt>
            <w:r w:rsidR="00704571" w:rsidRPr="00E22086">
              <w:t xml:space="preserve"> </w:t>
            </w:r>
          </w:p>
        </w:tc>
      </w:tr>
    </w:tbl>
    <w:p w14:paraId="76777B80" w14:textId="77777777" w:rsidR="00704571" w:rsidRPr="00704571" w:rsidRDefault="00704571" w:rsidP="00704571">
      <w:pPr>
        <w:spacing w:line="276" w:lineRule="auto"/>
        <w:jc w:val="both"/>
        <w:rPr>
          <w:rFonts w:eastAsia="Arial"/>
        </w:rPr>
      </w:pPr>
    </w:p>
    <w:p w14:paraId="2871CA7F" w14:textId="3996634C" w:rsidR="00F70C9E" w:rsidRPr="004537D0" w:rsidRDefault="00F70C9E" w:rsidP="004537D0">
      <w:pPr>
        <w:pStyle w:val="ListParagraph"/>
        <w:numPr>
          <w:ilvl w:val="1"/>
          <w:numId w:val="12"/>
        </w:numPr>
        <w:spacing w:line="276" w:lineRule="auto"/>
        <w:jc w:val="both"/>
        <w:rPr>
          <w:rFonts w:eastAsia="Arial"/>
          <w:b/>
        </w:rPr>
      </w:pPr>
      <w:r w:rsidRPr="004537D0">
        <w:rPr>
          <w:rFonts w:eastAsia="Arial"/>
          <w:b/>
        </w:rPr>
        <w:t xml:space="preserve">Kitų </w:t>
      </w:r>
      <w:r w:rsidR="00DF583C" w:rsidRPr="004537D0">
        <w:rPr>
          <w:rFonts w:eastAsia="Arial"/>
          <w:b/>
        </w:rPr>
        <w:t xml:space="preserve">valstybių </w:t>
      </w:r>
      <w:r w:rsidRPr="004537D0">
        <w:rPr>
          <w:rFonts w:eastAsia="Arial"/>
          <w:b/>
        </w:rPr>
        <w:t xml:space="preserve">atsakingų institucijų atlikto </w:t>
      </w:r>
      <w:r w:rsidR="00DF583C" w:rsidRPr="004537D0">
        <w:rPr>
          <w:rFonts w:eastAsia="Arial"/>
          <w:b/>
        </w:rPr>
        <w:t>Sveikatos technologijų vertinimo (toliau – STV)</w:t>
      </w:r>
      <w:r w:rsidRPr="004537D0">
        <w:rPr>
          <w:rFonts w:eastAsia="Arial"/>
          <w:b/>
        </w:rPr>
        <w:t xml:space="preserve"> išvados</w:t>
      </w:r>
    </w:p>
    <w:p w14:paraId="320EE7D7" w14:textId="77777777" w:rsidR="00721275" w:rsidRPr="00721275" w:rsidRDefault="00721275" w:rsidP="00721275">
      <w:pPr>
        <w:pStyle w:val="ListParagraph"/>
        <w:spacing w:line="276" w:lineRule="auto"/>
        <w:jc w:val="both"/>
        <w:rPr>
          <w:rFonts w:eastAsia="Arial"/>
        </w:rPr>
      </w:pPr>
    </w:p>
    <w:tbl>
      <w:tblPr>
        <w:tblStyle w:val="TableGrid"/>
        <w:tblW w:w="9918" w:type="dxa"/>
        <w:tblLook w:val="04A0" w:firstRow="1" w:lastRow="0" w:firstColumn="1" w:lastColumn="0" w:noHBand="0" w:noVBand="1"/>
      </w:tblPr>
      <w:tblGrid>
        <w:gridCol w:w="2405"/>
        <w:gridCol w:w="1843"/>
        <w:gridCol w:w="2945"/>
        <w:gridCol w:w="2725"/>
      </w:tblGrid>
      <w:tr w:rsidR="00721275" w:rsidRPr="00102D09" w14:paraId="2FE1A13E" w14:textId="77777777" w:rsidTr="00DE7FAD">
        <w:trPr>
          <w:trHeight w:val="924"/>
        </w:trPr>
        <w:tc>
          <w:tcPr>
            <w:tcW w:w="2405" w:type="dxa"/>
          </w:tcPr>
          <w:p w14:paraId="00E0FFF2" w14:textId="77777777" w:rsidR="00721275" w:rsidRPr="00102D09" w:rsidRDefault="00721275" w:rsidP="00DE7FAD">
            <w:pPr>
              <w:spacing w:line="276" w:lineRule="auto"/>
              <w:jc w:val="both"/>
              <w:rPr>
                <w:rFonts w:eastAsia="Arial"/>
              </w:rPr>
            </w:pPr>
            <w:r w:rsidRPr="00102D09">
              <w:rPr>
                <w:rFonts w:eastAsia="Arial"/>
              </w:rPr>
              <w:t>STV agentūros pavadinimas, šalis</w:t>
            </w:r>
          </w:p>
        </w:tc>
        <w:tc>
          <w:tcPr>
            <w:tcW w:w="1843" w:type="dxa"/>
          </w:tcPr>
          <w:p w14:paraId="52C79C69" w14:textId="77777777" w:rsidR="00721275" w:rsidRPr="00102D09" w:rsidRDefault="00721275" w:rsidP="00DE7FAD">
            <w:pPr>
              <w:spacing w:line="276" w:lineRule="auto"/>
              <w:jc w:val="both"/>
              <w:rPr>
                <w:rFonts w:eastAsia="Arial"/>
              </w:rPr>
            </w:pPr>
            <w:r w:rsidRPr="00102D09">
              <w:rPr>
                <w:rFonts w:eastAsia="Arial"/>
              </w:rPr>
              <w:t>STV vertinimas atliktas</w:t>
            </w:r>
          </w:p>
        </w:tc>
        <w:tc>
          <w:tcPr>
            <w:tcW w:w="2945" w:type="dxa"/>
          </w:tcPr>
          <w:p w14:paraId="4EC85C82" w14:textId="77777777" w:rsidR="00721275" w:rsidRPr="00102D09" w:rsidRDefault="00721275" w:rsidP="00DE7FAD">
            <w:pPr>
              <w:spacing w:line="276" w:lineRule="auto"/>
              <w:jc w:val="both"/>
              <w:rPr>
                <w:rFonts w:eastAsia="Arial"/>
              </w:rPr>
            </w:pPr>
            <w:r w:rsidRPr="00102D09">
              <w:rPr>
                <w:rFonts w:eastAsia="Arial"/>
              </w:rPr>
              <w:t>Klinikinio vertinimo išvada</w:t>
            </w:r>
          </w:p>
        </w:tc>
        <w:tc>
          <w:tcPr>
            <w:tcW w:w="2725" w:type="dxa"/>
          </w:tcPr>
          <w:p w14:paraId="7791CFE6" w14:textId="77777777" w:rsidR="00721275" w:rsidRPr="00102D09" w:rsidRDefault="00721275" w:rsidP="00DE7FAD">
            <w:pPr>
              <w:spacing w:line="276" w:lineRule="auto"/>
              <w:jc w:val="both"/>
              <w:rPr>
                <w:rFonts w:eastAsia="Arial"/>
              </w:rPr>
            </w:pPr>
            <w:r w:rsidRPr="00102D09">
              <w:rPr>
                <w:rFonts w:eastAsia="Arial"/>
              </w:rPr>
              <w:t>Farmakoekonominio vertinimo išvada</w:t>
            </w:r>
          </w:p>
        </w:tc>
      </w:tr>
      <w:tr w:rsidR="00721275" w:rsidRPr="00102D09" w14:paraId="2E9FF2D3" w14:textId="77777777" w:rsidTr="00DE7FAD">
        <w:trPr>
          <w:trHeight w:val="3673"/>
        </w:trPr>
        <w:tc>
          <w:tcPr>
            <w:tcW w:w="2405" w:type="dxa"/>
          </w:tcPr>
          <w:p w14:paraId="7DF39692" w14:textId="77777777" w:rsidR="00721275" w:rsidRPr="00102D09" w:rsidRDefault="00721275" w:rsidP="00DE7FAD">
            <w:pPr>
              <w:autoSpaceDE w:val="0"/>
              <w:autoSpaceDN w:val="0"/>
              <w:adjustRightInd w:val="0"/>
              <w:spacing w:line="276" w:lineRule="auto"/>
              <w:jc w:val="both"/>
              <w:rPr>
                <w:bCs/>
              </w:rPr>
            </w:pPr>
            <w:r w:rsidRPr="00102D09">
              <w:rPr>
                <w:bCs/>
              </w:rPr>
              <w:t>Nacionalinis sveikatos ir klinikinės kompetencijos institutas, Didžioji Britanija</w:t>
            </w:r>
          </w:p>
          <w:p w14:paraId="04E45115" w14:textId="77777777" w:rsidR="00721275" w:rsidRPr="00102D09" w:rsidRDefault="00721275" w:rsidP="00DE7FAD">
            <w:pPr>
              <w:spacing w:line="276" w:lineRule="auto"/>
              <w:jc w:val="both"/>
              <w:rPr>
                <w:rFonts w:eastAsia="Arial"/>
              </w:rPr>
            </w:pPr>
            <w:r w:rsidRPr="00102D09">
              <w:rPr>
                <w:rFonts w:eastAsia="Arial"/>
              </w:rPr>
              <w:t xml:space="preserve">(angl. </w:t>
            </w:r>
            <w:r w:rsidRPr="00102D09">
              <w:rPr>
                <w:rFonts w:eastAsia="Arial"/>
                <w:i/>
              </w:rPr>
              <w:t>National Institute for Health and Care Excellence, NICE</w:t>
            </w:r>
            <w:r w:rsidRPr="00102D09">
              <w:rPr>
                <w:rFonts w:eastAsia="Arial"/>
              </w:rPr>
              <w:t>)</w:t>
            </w:r>
          </w:p>
        </w:tc>
        <w:tc>
          <w:tcPr>
            <w:tcW w:w="1843" w:type="dxa"/>
          </w:tcPr>
          <w:p w14:paraId="460757CA" w14:textId="77777777" w:rsidR="00721275" w:rsidRPr="00102D09" w:rsidRDefault="00110217" w:rsidP="00DE7FAD">
            <w:pPr>
              <w:spacing w:line="276" w:lineRule="auto"/>
              <w:jc w:val="both"/>
            </w:pPr>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721275" w:rsidRPr="00102D09">
                  <w:rPr>
                    <w:rStyle w:val="Style2"/>
                    <w:rFonts w:ascii="MS Gothic" w:eastAsia="MS Gothic" w:hAnsi="MS Gothic" w:hint="eastAsia"/>
                  </w:rPr>
                  <w:t>☒</w:t>
                </w:r>
              </w:sdtContent>
            </w:sdt>
            <w:r w:rsidR="00721275" w:rsidRPr="00102D09">
              <w:t xml:space="preserve"> Taip</w:t>
            </w:r>
          </w:p>
          <w:p w14:paraId="22BFACF6" w14:textId="77777777" w:rsidR="00721275" w:rsidRPr="00102D09" w:rsidRDefault="00110217" w:rsidP="00DE7FAD">
            <w:pPr>
              <w:spacing w:line="276" w:lineRule="auto"/>
              <w:jc w:val="both"/>
            </w:pPr>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721275" w:rsidRPr="00102D09">
                  <w:rPr>
                    <w:rStyle w:val="Style2"/>
                    <w:rFonts w:ascii="MS Gothic" w:eastAsia="MS Gothic" w:hAnsi="MS Gothic" w:hint="eastAsia"/>
                  </w:rPr>
                  <w:t>☐</w:t>
                </w:r>
              </w:sdtContent>
            </w:sdt>
            <w:r w:rsidR="00721275" w:rsidRPr="00102D09">
              <w:t xml:space="preserve"> Ne</w:t>
            </w:r>
          </w:p>
          <w:p w14:paraId="2E5B2545" w14:textId="77777777" w:rsidR="00721275" w:rsidRPr="00102D09" w:rsidRDefault="00110217" w:rsidP="00045F9D">
            <w:pPr>
              <w:spacing w:line="276" w:lineRule="auto"/>
              <w:rPr>
                <w:rFonts w:eastAsia="Arial"/>
              </w:rPr>
            </w:pPr>
            <w:sdt>
              <w:sdtPr>
                <w:alias w:val="Nurodykite konkrečią dieną"/>
                <w:tag w:val="Nurodykite pradžios datą"/>
                <w:id w:val="922837954"/>
                <w:placeholder>
                  <w:docPart w:val="4046C1DE011146779A8D27D2CE13E1D0"/>
                </w:placeholder>
                <w15:color w:val="FFCC99"/>
                <w:date w:fullDate="2024-01-10T00:00:00Z">
                  <w:dateFormat w:val="yyyy 'm.' MMMM d 'd.'"/>
                  <w:lid w:val="lt-LT"/>
                  <w:storeMappedDataAs w:val="dateTime"/>
                  <w:calendar w:val="gregorian"/>
                </w:date>
              </w:sdtPr>
              <w:sdtEndPr/>
              <w:sdtContent>
                <w:r w:rsidR="00721275" w:rsidRPr="00102D09">
                  <w:t>2024 m. sausio 10 d.</w:t>
                </w:r>
              </w:sdtContent>
            </w:sdt>
          </w:p>
        </w:tc>
        <w:tc>
          <w:tcPr>
            <w:tcW w:w="5670" w:type="dxa"/>
            <w:gridSpan w:val="2"/>
          </w:tcPr>
          <w:p w14:paraId="79B1A1FA" w14:textId="77777777" w:rsidR="00721275" w:rsidRPr="00102D09" w:rsidRDefault="00721275" w:rsidP="00DE7FAD">
            <w:pPr>
              <w:spacing w:line="276" w:lineRule="auto"/>
              <w:jc w:val="both"/>
              <w:rPr>
                <w:rFonts w:eastAsia="Arial"/>
              </w:rPr>
            </w:pPr>
            <w:r w:rsidRPr="00102D09">
              <w:rPr>
                <w:rFonts w:eastAsia="Arial"/>
              </w:rPr>
              <w:t>Durvalumabas kartu su gemcitabinu ir cisplatina yra rekomenduojamas, kaip gydymo galimybė suaugusiesiems, sergantiems lokaliai pažengusiu, neoperabiliu arba metastazavusiu tulžies latakų vėžiu. Tuo atveju, kai durvalumabas tiekiamas pagal komercinį susitartimą.</w:t>
            </w:r>
          </w:p>
        </w:tc>
      </w:tr>
      <w:tr w:rsidR="00721275" w:rsidRPr="00102D09" w14:paraId="0BDF9C5C" w14:textId="77777777" w:rsidTr="00DE7FAD">
        <w:trPr>
          <w:trHeight w:val="1547"/>
        </w:trPr>
        <w:tc>
          <w:tcPr>
            <w:tcW w:w="2405" w:type="dxa"/>
          </w:tcPr>
          <w:p w14:paraId="49335DFF" w14:textId="77777777" w:rsidR="00721275" w:rsidRPr="00102D09" w:rsidRDefault="00721275" w:rsidP="00DE7FAD">
            <w:pPr>
              <w:spacing w:line="276" w:lineRule="auto"/>
              <w:jc w:val="both"/>
              <w:rPr>
                <w:rFonts w:eastAsia="Arial"/>
              </w:rPr>
            </w:pPr>
            <w:r w:rsidRPr="00102D09">
              <w:rPr>
                <w:rFonts w:eastAsia="Arial"/>
              </w:rPr>
              <w:t>Kanados sveikatos technologijų agentūra</w:t>
            </w:r>
          </w:p>
          <w:p w14:paraId="52A9D534" w14:textId="77777777" w:rsidR="00721275" w:rsidRPr="00102D09" w:rsidRDefault="00721275" w:rsidP="00DE7FAD">
            <w:pPr>
              <w:spacing w:line="276" w:lineRule="auto"/>
              <w:jc w:val="both"/>
              <w:rPr>
                <w:rFonts w:eastAsia="Arial"/>
              </w:rPr>
            </w:pPr>
            <w:r w:rsidRPr="00102D09">
              <w:rPr>
                <w:rFonts w:eastAsia="Arial"/>
              </w:rPr>
              <w:t xml:space="preserve">(angl. </w:t>
            </w:r>
            <w:r w:rsidRPr="00102D09">
              <w:rPr>
                <w:rFonts w:eastAsia="Arial"/>
                <w:i/>
              </w:rPr>
              <w:t>Canadian health Technology Assessment agency, CADTH</w:t>
            </w:r>
            <w:r w:rsidRPr="00102D09">
              <w:rPr>
                <w:rFonts w:eastAsia="Arial"/>
              </w:rPr>
              <w:t>)</w:t>
            </w:r>
          </w:p>
        </w:tc>
        <w:tc>
          <w:tcPr>
            <w:tcW w:w="1843" w:type="dxa"/>
          </w:tcPr>
          <w:p w14:paraId="5865165D" w14:textId="77777777" w:rsidR="00721275" w:rsidRPr="00102D09" w:rsidRDefault="00110217" w:rsidP="00DE7FAD">
            <w:pPr>
              <w:spacing w:line="276" w:lineRule="auto"/>
              <w:jc w:val="both"/>
            </w:pPr>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721275" w:rsidRPr="00102D09">
                  <w:rPr>
                    <w:rStyle w:val="Style2"/>
                    <w:rFonts w:ascii="MS Gothic" w:eastAsia="MS Gothic" w:hAnsi="MS Gothic" w:hint="eastAsia"/>
                  </w:rPr>
                  <w:t>☒</w:t>
                </w:r>
              </w:sdtContent>
            </w:sdt>
            <w:r w:rsidR="00721275" w:rsidRPr="00102D09">
              <w:t xml:space="preserve"> Taip</w:t>
            </w:r>
          </w:p>
          <w:p w14:paraId="3917CBE5" w14:textId="77777777" w:rsidR="00721275" w:rsidRPr="00102D09" w:rsidRDefault="00110217" w:rsidP="00DE7FAD">
            <w:pPr>
              <w:spacing w:line="276" w:lineRule="auto"/>
              <w:jc w:val="both"/>
            </w:pPr>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721275" w:rsidRPr="00102D09">
                  <w:rPr>
                    <w:rStyle w:val="Style2"/>
                    <w:rFonts w:ascii="Segoe UI Symbol" w:eastAsia="MS Gothic" w:hAnsi="Segoe UI Symbol" w:cs="Segoe UI Symbol"/>
                  </w:rPr>
                  <w:t>☐</w:t>
                </w:r>
              </w:sdtContent>
            </w:sdt>
            <w:r w:rsidR="00721275" w:rsidRPr="00102D09">
              <w:t xml:space="preserve"> Ne</w:t>
            </w:r>
          </w:p>
          <w:p w14:paraId="60F5EF6C" w14:textId="77777777" w:rsidR="00721275" w:rsidRPr="00102D09" w:rsidRDefault="00110217" w:rsidP="00045F9D">
            <w:pPr>
              <w:spacing w:line="276" w:lineRule="auto"/>
              <w:rPr>
                <w:rFonts w:eastAsia="Arial"/>
              </w:rPr>
            </w:pPr>
            <w:sdt>
              <w:sdtPr>
                <w:alias w:val="Nurodykite konkrečią dieną"/>
                <w:tag w:val="Nurodykite pradžios datą"/>
                <w:id w:val="1072468416"/>
                <w:placeholder>
                  <w:docPart w:val="DA718725BE73467F813C7E2C12E3A89A"/>
                </w:placeholder>
                <w15:color w:val="FFCC99"/>
                <w:date w:fullDate="2023-04-27T00:00:00Z">
                  <w:dateFormat w:val="yyyy 'm.' MMMM d 'd.'"/>
                  <w:lid w:val="lt-LT"/>
                  <w:storeMappedDataAs w:val="dateTime"/>
                  <w:calendar w:val="gregorian"/>
                </w:date>
              </w:sdtPr>
              <w:sdtEndPr/>
              <w:sdtContent>
                <w:r w:rsidR="00721275" w:rsidRPr="00102D09">
                  <w:t>2023 m. balandžio 27 d.</w:t>
                </w:r>
              </w:sdtContent>
            </w:sdt>
          </w:p>
        </w:tc>
        <w:tc>
          <w:tcPr>
            <w:tcW w:w="2945" w:type="dxa"/>
          </w:tcPr>
          <w:p w14:paraId="55EEFD44" w14:textId="77777777" w:rsidR="00721275" w:rsidRPr="00102D09" w:rsidRDefault="00721275" w:rsidP="00DE7FAD">
            <w:pPr>
              <w:spacing w:line="276" w:lineRule="auto"/>
              <w:jc w:val="both"/>
              <w:rPr>
                <w:rFonts w:eastAsia="Arial"/>
              </w:rPr>
            </w:pPr>
            <w:r w:rsidRPr="00102D09">
              <w:rPr>
                <w:rFonts w:eastAsia="Arial"/>
              </w:rPr>
              <w:t xml:space="preserve">Rekomenduoja kompensuoti durvalumabą kartu su gemcitabinu ir platinos pagrindu pagaminta chemoterapija kaip pirmos eilės gydymą pacientams, sergantiems lokaliai pažengusiu (neoperuojamu) arba metastazavusiu tulžies latakų vėžiu, tik jei yra išpildytos šios sąlygos: gydymas pradedamas diagnozavus ligą, arba praėjus bent 6 mėn. po adjuvantinio arba operacinio gydymo; pacientai yra geros </w:t>
            </w:r>
            <w:r w:rsidRPr="00102D09">
              <w:rPr>
                <w:rFonts w:eastAsia="Arial"/>
              </w:rPr>
              <w:lastRenderedPageBreak/>
              <w:t>būklės (ECOG 0 arba 1); gydymas nėra taikomas pacientams, sergantiems Ampulla Vateri karcinoma; gydymas turi būti nutrauktas esant ligos progresijai arba nepriimtinam toksiškumui; pradiniame etape, gydomi pacientai turi būti kliniškai įvertinami kas 3-4 sav. pagal vietinius vaizdinės diagnostikos standartus.</w:t>
            </w:r>
          </w:p>
        </w:tc>
        <w:tc>
          <w:tcPr>
            <w:tcW w:w="2725" w:type="dxa"/>
          </w:tcPr>
          <w:p w14:paraId="4C76FD48" w14:textId="77777777" w:rsidR="00721275" w:rsidRPr="00102D09" w:rsidRDefault="00721275" w:rsidP="00DE7FAD">
            <w:pPr>
              <w:spacing w:line="276" w:lineRule="auto"/>
              <w:jc w:val="both"/>
              <w:rPr>
                <w:rFonts w:eastAsia="Arial"/>
              </w:rPr>
            </w:pPr>
          </w:p>
        </w:tc>
      </w:tr>
      <w:tr w:rsidR="008C4DA5" w:rsidRPr="00102D09" w14:paraId="6CA49D6C" w14:textId="77777777" w:rsidTr="00C71F10">
        <w:trPr>
          <w:trHeight w:val="1927"/>
        </w:trPr>
        <w:tc>
          <w:tcPr>
            <w:tcW w:w="2405" w:type="dxa"/>
          </w:tcPr>
          <w:p w14:paraId="1C7E29CD" w14:textId="77777777" w:rsidR="008C4DA5" w:rsidRPr="00102D09" w:rsidRDefault="008C4DA5" w:rsidP="00DE7FAD">
            <w:pPr>
              <w:spacing w:line="276" w:lineRule="auto"/>
              <w:jc w:val="both"/>
              <w:rPr>
                <w:rFonts w:eastAsia="Arial"/>
              </w:rPr>
            </w:pPr>
            <w:r w:rsidRPr="00102D09">
              <w:rPr>
                <w:rFonts w:eastAsia="Arial"/>
              </w:rPr>
              <w:t>Nacionalinis farmakoekonomikos centras, Airija</w:t>
            </w:r>
          </w:p>
          <w:p w14:paraId="2F164FAD" w14:textId="77777777" w:rsidR="008C4DA5" w:rsidRPr="00102D09" w:rsidRDefault="008C4DA5" w:rsidP="00DE7FAD">
            <w:pPr>
              <w:spacing w:line="276" w:lineRule="auto"/>
              <w:jc w:val="both"/>
              <w:rPr>
                <w:rFonts w:eastAsia="Arial"/>
              </w:rPr>
            </w:pPr>
            <w:r w:rsidRPr="00102D09">
              <w:rPr>
                <w:rFonts w:eastAsia="Arial"/>
              </w:rPr>
              <w:t>(angl.</w:t>
            </w:r>
            <w:r w:rsidRPr="00102D09">
              <w:rPr>
                <w:rFonts w:eastAsia="Arial"/>
                <w:i/>
              </w:rPr>
              <w:t xml:space="preserve"> National Centre for Pharmacoeconomics, NCPE</w:t>
            </w:r>
            <w:r w:rsidRPr="00102D09">
              <w:rPr>
                <w:rFonts w:eastAsia="Arial"/>
              </w:rPr>
              <w:t>)</w:t>
            </w:r>
          </w:p>
        </w:tc>
        <w:tc>
          <w:tcPr>
            <w:tcW w:w="1843" w:type="dxa"/>
          </w:tcPr>
          <w:p w14:paraId="05FB6E27" w14:textId="6982A9D9" w:rsidR="008C4DA5" w:rsidRPr="00102D09" w:rsidRDefault="00110217" w:rsidP="00DE7FAD">
            <w:pPr>
              <w:spacing w:line="276" w:lineRule="auto"/>
              <w:jc w:val="both"/>
            </w:pPr>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8C4DA5">
                  <w:rPr>
                    <w:rStyle w:val="Style2"/>
                    <w:rFonts w:ascii="MS Gothic" w:eastAsia="MS Gothic" w:hAnsi="MS Gothic" w:hint="eastAsia"/>
                  </w:rPr>
                  <w:t>☒</w:t>
                </w:r>
              </w:sdtContent>
            </w:sdt>
            <w:r w:rsidR="008C4DA5" w:rsidRPr="00102D09">
              <w:t xml:space="preserve"> Taip</w:t>
            </w:r>
          </w:p>
          <w:p w14:paraId="19BD7A87" w14:textId="77777777" w:rsidR="008C4DA5" w:rsidRPr="00102D09" w:rsidRDefault="00110217" w:rsidP="00DE7FAD">
            <w:pPr>
              <w:spacing w:line="276" w:lineRule="auto"/>
              <w:jc w:val="both"/>
            </w:pPr>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8C4DA5" w:rsidRPr="00102D09">
                  <w:rPr>
                    <w:rStyle w:val="Style2"/>
                    <w:rFonts w:ascii="Segoe UI Symbol" w:eastAsia="MS Gothic" w:hAnsi="Segoe UI Symbol" w:cs="Segoe UI Symbol"/>
                  </w:rPr>
                  <w:t>☐</w:t>
                </w:r>
              </w:sdtContent>
            </w:sdt>
            <w:r w:rsidR="008C4DA5" w:rsidRPr="00102D09">
              <w:t xml:space="preserve"> Ne</w:t>
            </w:r>
          </w:p>
          <w:p w14:paraId="151254E7" w14:textId="00F13426" w:rsidR="008C4DA5" w:rsidRPr="00102D09" w:rsidRDefault="00110217" w:rsidP="00DE7FAD">
            <w:pPr>
              <w:spacing w:line="276" w:lineRule="auto"/>
              <w:jc w:val="both"/>
              <w:rPr>
                <w:rFonts w:eastAsia="Arial"/>
                <w:i/>
                <w:iCs/>
              </w:rPr>
            </w:pPr>
            <w:sdt>
              <w:sdtPr>
                <w:alias w:val="Nurodykite konkrečią dieną"/>
                <w:tag w:val="Nurodykite pradžios datą"/>
                <w:id w:val="-1158070150"/>
                <w:placeholder>
                  <w:docPart w:val="7D7378FCC11E44479D73DFFBA6261470"/>
                </w:placeholder>
                <w15:color w:val="FFCC99"/>
                <w:date>
                  <w:dateFormat w:val="yyyy 'm.' MMMM d 'd.'"/>
                  <w:lid w:val="lt-LT"/>
                  <w:storeMappedDataAs w:val="dateTime"/>
                  <w:calendar w:val="gregorian"/>
                </w:date>
              </w:sdtPr>
              <w:sdtEndPr/>
              <w:sdtContent>
                <w:r w:rsidR="008C4DA5" w:rsidRPr="00102D09">
                  <w:t>202</w:t>
                </w:r>
                <w:r w:rsidR="008C4DA5">
                  <w:t>4</w:t>
                </w:r>
                <w:r w:rsidR="008C4DA5" w:rsidRPr="00102D09">
                  <w:t xml:space="preserve"> m. </w:t>
                </w:r>
                <w:r w:rsidR="008C4DA5">
                  <w:t>gruodžio</w:t>
                </w:r>
                <w:r w:rsidR="008C4DA5" w:rsidRPr="00102D09">
                  <w:t xml:space="preserve"> </w:t>
                </w:r>
                <w:r w:rsidR="008C4DA5">
                  <w:t>19</w:t>
                </w:r>
                <w:r w:rsidR="008C4DA5" w:rsidRPr="00102D09">
                  <w:t xml:space="preserve"> d.</w:t>
                </w:r>
              </w:sdtContent>
            </w:sdt>
          </w:p>
        </w:tc>
        <w:tc>
          <w:tcPr>
            <w:tcW w:w="5670" w:type="dxa"/>
            <w:gridSpan w:val="2"/>
          </w:tcPr>
          <w:p w14:paraId="41D6E88F" w14:textId="72DA459A" w:rsidR="008C4DA5" w:rsidRPr="00102D09" w:rsidRDefault="008C4DA5" w:rsidP="00DE7FAD">
            <w:pPr>
              <w:spacing w:line="276" w:lineRule="auto"/>
              <w:jc w:val="both"/>
              <w:rPr>
                <w:rFonts w:eastAsia="Arial"/>
              </w:rPr>
            </w:pPr>
            <w:r>
              <w:rPr>
                <w:rFonts w:eastAsia="Arial"/>
              </w:rPr>
              <w:t>Durvalumabas nėra rekomenduojamas kompensuoti, nebent bus pagerintas jo ekonominis efektyvumas, lyginant su egzistuojančia klinikine praktika.</w:t>
            </w:r>
          </w:p>
        </w:tc>
      </w:tr>
    </w:tbl>
    <w:p w14:paraId="02383285" w14:textId="77777777" w:rsidR="00721275" w:rsidRPr="00721275" w:rsidRDefault="00721275" w:rsidP="00721275">
      <w:pPr>
        <w:pStyle w:val="ListParagraph"/>
        <w:spacing w:line="276" w:lineRule="auto"/>
        <w:jc w:val="both"/>
        <w:rPr>
          <w:rFonts w:eastAsia="Arial"/>
        </w:rPr>
      </w:pPr>
    </w:p>
    <w:p w14:paraId="25F89291" w14:textId="03338545" w:rsidR="00D4485B" w:rsidRDefault="00CC7832" w:rsidP="004537D0">
      <w:pPr>
        <w:pStyle w:val="ListParagraph"/>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3702E64" w14:textId="77777777" w:rsidR="004537D0" w:rsidRDefault="004537D0" w:rsidP="004537D0">
      <w:pPr>
        <w:tabs>
          <w:tab w:val="left" w:pos="567"/>
        </w:tabs>
        <w:rPr>
          <w:b/>
          <w:bCs/>
          <w:caps/>
        </w:rPr>
      </w:pPr>
    </w:p>
    <w:p w14:paraId="2C7DFCF4" w14:textId="39E3FCF6" w:rsidR="00A67712" w:rsidRPr="00102D09" w:rsidRDefault="004537D0" w:rsidP="00A67712">
      <w:pPr>
        <w:tabs>
          <w:tab w:val="left" w:pos="426"/>
        </w:tabs>
        <w:spacing w:line="276" w:lineRule="auto"/>
        <w:jc w:val="both"/>
        <w:rPr>
          <w:rFonts w:eastAsia="Arial"/>
        </w:rPr>
      </w:pPr>
      <w:r>
        <w:rPr>
          <w:rFonts w:eastAsia="Arial"/>
        </w:rPr>
        <w:tab/>
      </w:r>
      <w:r w:rsidR="00A67712" w:rsidRPr="00102D09">
        <w:rPr>
          <w:rFonts w:eastAsia="Arial"/>
        </w:rPr>
        <w:t>Tulžies latakų vėžys (TLV), reta, mažiau nei 1</w:t>
      </w:r>
      <w:r w:rsidR="00D83B4C">
        <w:rPr>
          <w:rFonts w:eastAsia="Arial"/>
        </w:rPr>
        <w:t xml:space="preserve"> </w:t>
      </w:r>
      <w:r w:rsidR="00A67712" w:rsidRPr="00102D09">
        <w:rPr>
          <w:rFonts w:eastAsia="Arial"/>
        </w:rPr>
        <w:t xml:space="preserve">% visų vėžinių susirgimų sudaranti grupė. TLV apima spektrą invazinių navikų, kylančių iš tulžies pūslės, tulžies pūslės intrahepatinių ir ekstrahepatinių latakų (cholangiokarcinomas), bei </w:t>
      </w:r>
      <w:r w:rsidR="00A67712" w:rsidRPr="009C3674">
        <w:rPr>
          <w:rFonts w:eastAsia="Arial"/>
          <w:i/>
          <w:iCs/>
        </w:rPr>
        <w:t>Ampulla Vateri</w:t>
      </w:r>
      <w:r w:rsidR="00A67712" w:rsidRPr="00102D09">
        <w:rPr>
          <w:rFonts w:eastAsia="Arial"/>
        </w:rPr>
        <w:t xml:space="preserve"> navikus. </w:t>
      </w:r>
    </w:p>
    <w:p w14:paraId="785DF906" w14:textId="47662CDF" w:rsidR="00A67712" w:rsidRPr="00102D09" w:rsidRDefault="00A67712" w:rsidP="00A67712">
      <w:pPr>
        <w:tabs>
          <w:tab w:val="left" w:pos="426"/>
        </w:tabs>
        <w:spacing w:line="276" w:lineRule="auto"/>
        <w:jc w:val="both"/>
        <w:rPr>
          <w:rFonts w:eastAsia="Arial"/>
        </w:rPr>
      </w:pPr>
      <w:r w:rsidRPr="00102D09">
        <w:rPr>
          <w:rFonts w:eastAsia="Arial"/>
        </w:rPr>
        <w:tab/>
        <w:t xml:space="preserve">Ši reta, bei labai agresyvi vėžio forma dažnai diagnozuojama vėlyvose stadijose, kai chirurginis gydymas yra neįmanomas: apie 50% gydymo negavusių cholangiokarcinoma sergančių pacientų miršta per 3-4 mėn. nuo diagnozės patvirtinimo, ir </w:t>
      </w:r>
      <w:r w:rsidR="009C3674" w:rsidRPr="00102D09">
        <w:rPr>
          <w:rFonts w:eastAsia="Arial"/>
        </w:rPr>
        <w:t xml:space="preserve">diagnozės nustatymo metu </w:t>
      </w:r>
      <w:r w:rsidRPr="00102D09">
        <w:rPr>
          <w:rFonts w:eastAsia="Arial"/>
        </w:rPr>
        <w:t>daugiau kaip 75% TLV sergančių</w:t>
      </w:r>
      <w:r w:rsidR="009C3674">
        <w:rPr>
          <w:rFonts w:eastAsia="Arial"/>
        </w:rPr>
        <w:t xml:space="preserve"> pacientų</w:t>
      </w:r>
      <w:r w:rsidRPr="00102D09">
        <w:rPr>
          <w:rFonts w:eastAsia="Arial"/>
        </w:rPr>
        <w:t xml:space="preserve"> nustatoma neoperabili ligos forma. Taigi, dauguma TLV susergančių pacientų gali būti gydomi sisteminiais pirmos eilės vaistais.</w:t>
      </w:r>
    </w:p>
    <w:p w14:paraId="482759F5" w14:textId="37D9E6C0" w:rsidR="00A67712" w:rsidRPr="00102D09" w:rsidRDefault="00A67712" w:rsidP="00A67712">
      <w:pPr>
        <w:tabs>
          <w:tab w:val="left" w:pos="426"/>
        </w:tabs>
        <w:spacing w:line="276" w:lineRule="auto"/>
        <w:jc w:val="both"/>
        <w:rPr>
          <w:rFonts w:eastAsia="Arial"/>
        </w:rPr>
      </w:pPr>
      <w:r w:rsidRPr="00102D09">
        <w:rPr>
          <w:rFonts w:eastAsia="Arial"/>
        </w:rPr>
        <w:tab/>
        <w:t>Remiantis Higienos instituto ir Valstybinės ligonių kasos duomenimis, Lietuvoje 2013-2023 m. stebima tolygi didėjan</w:t>
      </w:r>
      <w:r w:rsidR="009C3674">
        <w:rPr>
          <w:rFonts w:eastAsia="Arial"/>
        </w:rPr>
        <w:t>čio</w:t>
      </w:r>
      <w:r w:rsidRPr="00102D09">
        <w:rPr>
          <w:rFonts w:eastAsia="Arial"/>
        </w:rPr>
        <w:t xml:space="preserve"> sergamumo </w:t>
      </w:r>
      <w:r w:rsidR="009C3674" w:rsidRPr="009C3674">
        <w:rPr>
          <w:rFonts w:eastAsia="Arial"/>
        </w:rPr>
        <w:t>k</w:t>
      </w:r>
      <w:r w:rsidR="009C3674" w:rsidRPr="008C4DA5">
        <w:rPr>
          <w:rFonts w:eastAsia="Arial"/>
        </w:rPr>
        <w:t>epenų ir intrahepatinių tulžies latakų piktybini</w:t>
      </w:r>
      <w:r w:rsidR="009C3674">
        <w:rPr>
          <w:rFonts w:eastAsia="Arial"/>
        </w:rPr>
        <w:t xml:space="preserve">u </w:t>
      </w:r>
      <w:r w:rsidR="009C3674" w:rsidRPr="008C4DA5">
        <w:rPr>
          <w:rFonts w:eastAsia="Arial"/>
        </w:rPr>
        <w:t xml:space="preserve"> navik</w:t>
      </w:r>
      <w:r w:rsidR="009C3674">
        <w:rPr>
          <w:rFonts w:eastAsia="Arial"/>
        </w:rPr>
        <w:t xml:space="preserve">u (TLK 10 AM kodas </w:t>
      </w:r>
      <w:r w:rsidRPr="00102D09">
        <w:rPr>
          <w:rFonts w:eastAsia="Arial"/>
        </w:rPr>
        <w:t>C22</w:t>
      </w:r>
      <w:r w:rsidR="009C3674">
        <w:rPr>
          <w:rFonts w:eastAsia="Arial"/>
        </w:rPr>
        <w:t>)</w:t>
      </w:r>
      <w:r w:rsidRPr="00102D09">
        <w:rPr>
          <w:rFonts w:eastAsia="Arial"/>
        </w:rPr>
        <w:t xml:space="preserve"> tendencija ir tolygus sergamumas </w:t>
      </w:r>
      <w:r w:rsidR="009C3674">
        <w:rPr>
          <w:rFonts w:eastAsia="Arial"/>
        </w:rPr>
        <w:t xml:space="preserve">tulžies pūslės piktybiniu naviku (TLK 10 AM kodas </w:t>
      </w:r>
      <w:r w:rsidRPr="00102D09">
        <w:rPr>
          <w:rFonts w:eastAsia="Arial"/>
        </w:rPr>
        <w:t>C23</w:t>
      </w:r>
      <w:r w:rsidR="009C3674">
        <w:rPr>
          <w:rFonts w:eastAsia="Arial"/>
        </w:rPr>
        <w:t>)</w:t>
      </w:r>
      <w:r w:rsidRPr="00102D09">
        <w:rPr>
          <w:rFonts w:eastAsia="Arial"/>
        </w:rPr>
        <w:t xml:space="preserve"> ir</w:t>
      </w:r>
      <w:r w:rsidR="009C3674">
        <w:rPr>
          <w:rFonts w:eastAsia="Arial"/>
        </w:rPr>
        <w:t xml:space="preserve"> </w:t>
      </w:r>
      <w:r w:rsidRPr="00102D09">
        <w:rPr>
          <w:rFonts w:eastAsia="Arial"/>
        </w:rPr>
        <w:t xml:space="preserve"> </w:t>
      </w:r>
      <w:r w:rsidR="009C3674">
        <w:rPr>
          <w:rFonts w:eastAsia="Arial"/>
        </w:rPr>
        <w:t xml:space="preserve">tulžies latakų piktybiniu naviku (TLK 10 AM kodas </w:t>
      </w:r>
      <w:r w:rsidRPr="00102D09">
        <w:rPr>
          <w:rFonts w:eastAsia="Arial"/>
        </w:rPr>
        <w:t>C24</w:t>
      </w:r>
      <w:r w:rsidR="009C3674">
        <w:rPr>
          <w:rFonts w:eastAsia="Arial"/>
        </w:rPr>
        <w:t>)</w:t>
      </w:r>
      <w:r w:rsidRPr="00102D09">
        <w:rPr>
          <w:rFonts w:eastAsia="Arial"/>
        </w:rPr>
        <w:t xml:space="preserve">.  </w:t>
      </w:r>
    </w:p>
    <w:p w14:paraId="28B2F2BB" w14:textId="5E0ED701" w:rsidR="00A67712" w:rsidRPr="00102D09" w:rsidRDefault="00A67712" w:rsidP="00A67712">
      <w:pPr>
        <w:tabs>
          <w:tab w:val="left" w:pos="426"/>
        </w:tabs>
        <w:spacing w:line="276" w:lineRule="auto"/>
        <w:jc w:val="both"/>
        <w:rPr>
          <w:rFonts w:eastAsia="Arial"/>
        </w:rPr>
      </w:pPr>
      <w:r w:rsidRPr="00102D09">
        <w:rPr>
          <w:rFonts w:eastAsia="Arial"/>
        </w:rPr>
        <w:tab/>
        <w:t xml:space="preserve">Šiuo metu įprastinis </w:t>
      </w:r>
      <w:r w:rsidR="009C3674">
        <w:rPr>
          <w:rFonts w:eastAsia="Arial"/>
        </w:rPr>
        <w:t xml:space="preserve">TLV </w:t>
      </w:r>
      <w:r w:rsidRPr="00102D09">
        <w:rPr>
          <w:rFonts w:eastAsia="Arial"/>
        </w:rPr>
        <w:t>pirmos eilės gydymas Lietuvoje yra gemcitabino ir cisplatinos derinys (Gem/Cis). Ligos prognozė, taikant šį gydymą, yra bloga – pacientų išgyvenamumo mediana nesiekia 1-erių metų. Gydant Gem/Cis deriniu, 5-erių metų išgyvenamumo rodikliai yra labai žemi.</w:t>
      </w:r>
    </w:p>
    <w:p w14:paraId="7416CAE5" w14:textId="77777777" w:rsidR="00A67712" w:rsidRPr="00102D09" w:rsidRDefault="00A67712" w:rsidP="00A67712">
      <w:pPr>
        <w:tabs>
          <w:tab w:val="left" w:pos="426"/>
        </w:tabs>
        <w:spacing w:line="276" w:lineRule="auto"/>
        <w:jc w:val="both"/>
        <w:rPr>
          <w:bCs/>
          <w:iCs/>
          <w:lang w:eastAsia="lt-LT"/>
        </w:rPr>
      </w:pPr>
      <w:r w:rsidRPr="00102D09">
        <w:rPr>
          <w:rFonts w:eastAsia="Arial"/>
        </w:rPr>
        <w:tab/>
      </w:r>
      <w:r w:rsidRPr="00102D09">
        <w:rPr>
          <w:bCs/>
          <w:iCs/>
          <w:lang w:eastAsia="lt-LT"/>
        </w:rPr>
        <w:t xml:space="preserve">Palyginamieji vaistiniai preparatai </w:t>
      </w:r>
      <w:r w:rsidRPr="00102D09">
        <w:rPr>
          <w:lang w:eastAsia="lt-LT"/>
        </w:rPr>
        <w:t>cisplatina ir  gemcitabinas</w:t>
      </w:r>
      <w:r w:rsidRPr="00102D09">
        <w:rPr>
          <w:bCs/>
          <w:iCs/>
          <w:lang w:eastAsia="lt-LT"/>
        </w:rPr>
        <w:t xml:space="preserve"> laikomi atitinkantys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p>
    <w:p w14:paraId="2972A0AA" w14:textId="77777777" w:rsidR="00A67712" w:rsidRPr="00102D09" w:rsidRDefault="00A67712" w:rsidP="00A67712">
      <w:pPr>
        <w:tabs>
          <w:tab w:val="left" w:pos="426"/>
        </w:tabs>
        <w:spacing w:line="276" w:lineRule="auto"/>
        <w:jc w:val="both"/>
        <w:rPr>
          <w:rFonts w:eastAsia="Arial"/>
        </w:rPr>
      </w:pPr>
    </w:p>
    <w:p w14:paraId="2D8A5BC5" w14:textId="77777777" w:rsidR="00A67712" w:rsidRPr="00102D09" w:rsidRDefault="00A67712" w:rsidP="00A67712">
      <w:pPr>
        <w:tabs>
          <w:tab w:val="left" w:pos="426"/>
        </w:tabs>
        <w:spacing w:line="276" w:lineRule="auto"/>
        <w:jc w:val="both"/>
        <w:rPr>
          <w:rFonts w:eastAsia="Arial"/>
        </w:rPr>
      </w:pPr>
      <w:r w:rsidRPr="00102D09">
        <w:rPr>
          <w:rFonts w:eastAsia="Arial"/>
        </w:rPr>
        <w:tab/>
      </w:r>
      <w:r w:rsidRPr="00102D09">
        <w:rPr>
          <w:rFonts w:eastAsia="Arial"/>
          <w:u w:val="single"/>
        </w:rPr>
        <w:t>Tiesioginis palyginimas</w:t>
      </w:r>
    </w:p>
    <w:p w14:paraId="2FEF6F61" w14:textId="4F67B101" w:rsidR="00A67712" w:rsidRPr="00102D09" w:rsidRDefault="009C3674" w:rsidP="00A67712">
      <w:pPr>
        <w:spacing w:line="276" w:lineRule="auto"/>
        <w:ind w:firstLine="720"/>
        <w:jc w:val="both"/>
      </w:pPr>
      <w:r>
        <w:rPr>
          <w:rFonts w:eastAsia="Arial"/>
          <w:bCs/>
        </w:rPr>
        <w:t>D</w:t>
      </w:r>
      <w:r w:rsidRPr="00102D09">
        <w:rPr>
          <w:rFonts w:eastAsia="Arial"/>
          <w:bCs/>
        </w:rPr>
        <w:t xml:space="preserve">urvalumabo </w:t>
      </w:r>
      <w:r>
        <w:rPr>
          <w:rFonts w:eastAsia="Arial"/>
          <w:bCs/>
        </w:rPr>
        <w:t xml:space="preserve">palyginamasis veiksmingumas grindžiamas </w:t>
      </w:r>
      <w:r w:rsidR="00A67712" w:rsidRPr="00102D09">
        <w:rPr>
          <w:rFonts w:eastAsia="Arial"/>
          <w:bCs/>
        </w:rPr>
        <w:t xml:space="preserve">paraiškoje pateikto daugiacentrio, </w:t>
      </w:r>
      <w:r w:rsidR="00A67712" w:rsidRPr="00102D09">
        <w:rPr>
          <w:rFonts w:eastAsia="Arial"/>
        </w:rPr>
        <w:t>dvigubai koduoto, placebu kontroliuoto</w:t>
      </w:r>
      <w:r w:rsidR="00A67712" w:rsidRPr="00102D09">
        <w:rPr>
          <w:rFonts w:eastAsia="Arial"/>
          <w:bCs/>
        </w:rPr>
        <w:t xml:space="preserve">, atsitiktinių imčių </w:t>
      </w:r>
      <w:r w:rsidR="00A67712" w:rsidRPr="00102D09">
        <w:rPr>
          <w:rFonts w:eastAsia="Arial"/>
        </w:rPr>
        <w:t xml:space="preserve">TOPAZ-1 </w:t>
      </w:r>
      <w:r w:rsidR="00A67712" w:rsidRPr="00102D09">
        <w:rPr>
          <w:rFonts w:eastAsia="Arial"/>
          <w:bCs/>
        </w:rPr>
        <w:t xml:space="preserve">klinikinio </w:t>
      </w:r>
      <w:r w:rsidR="00A67712" w:rsidRPr="00102D09">
        <w:rPr>
          <w:rFonts w:eastAsia="Arial"/>
          <w:bCs/>
          <w:u w:val="single"/>
        </w:rPr>
        <w:t xml:space="preserve">tiesioginio </w:t>
      </w:r>
      <w:r w:rsidR="00A67712" w:rsidRPr="00102D09">
        <w:rPr>
          <w:rFonts w:eastAsia="Arial"/>
          <w:bCs/>
          <w:u w:val="single"/>
        </w:rPr>
        <w:lastRenderedPageBreak/>
        <w:t>palyginimo</w:t>
      </w:r>
      <w:r w:rsidR="00A67712" w:rsidRPr="00102D09">
        <w:rPr>
          <w:rFonts w:eastAsia="Arial"/>
          <w:bCs/>
        </w:rPr>
        <w:t xml:space="preserve"> tyrim</w:t>
      </w:r>
      <w:r>
        <w:rPr>
          <w:rFonts w:eastAsia="Arial"/>
          <w:bCs/>
        </w:rPr>
        <w:t>u</w:t>
      </w:r>
      <w:r w:rsidR="00A67712" w:rsidRPr="00102D09">
        <w:rPr>
          <w:rFonts w:eastAsia="Arial"/>
          <w:bCs/>
        </w:rPr>
        <w:t xml:space="preserve">. </w:t>
      </w:r>
      <w:r w:rsidR="00A67712" w:rsidRPr="00102D09">
        <w:t xml:space="preserve">TOPAZ-1 tai 3 fazės klinikinis tyrimas, kuriame durvalumabo derinio su cisplatina ir gemcitabinu veiksmingumas  buvo  palygintas su gydymu cisplatina, gemcitabinu ir placebo deriniu, gydant suaugusius pacientus, sergančius histologiškai patvirtintu, neoperuotinu, išplitusiu arba metastazavusiu TLV (apimant intrahepatinę ir ekstrahepatinę cholangiokarcinomą ir tulžies pūslės karcinomą). </w:t>
      </w:r>
    </w:p>
    <w:p w14:paraId="0F90BBC6" w14:textId="77777777" w:rsidR="00A67712" w:rsidRPr="00102D09" w:rsidRDefault="00A67712" w:rsidP="00A67712">
      <w:pPr>
        <w:spacing w:line="276" w:lineRule="auto"/>
        <w:ind w:firstLine="720"/>
        <w:jc w:val="both"/>
        <w:rPr>
          <w:rFonts w:eastAsia="Arial"/>
        </w:rPr>
      </w:pPr>
      <w:r w:rsidRPr="00102D09">
        <w:rPr>
          <w:rFonts w:eastAsia="Arial"/>
        </w:rPr>
        <w:t>TOPAZ-1 (IMMU-132-09) tyrimo populiacija- 685 suaugę pacientai, sergantys histologiškai patvirtintu, anksčiau negydytu, neoperuotinu lokaliai išplitusiu arba metastazavusiu tulžies latakų vėžiu (intrahepatine cholangiokarcinoma, ekstrahepatine cholangiokarcinoma ir tulžies pūslės vėžiu). Į tyrimą įtraukti pacientai, sergantys anksčiau negydyta liga,  kuri pirminės diagnozės nustatymo metu buvo neoperuojama ar metastazavusi, arba jei liga atsinaujino po 6 ar daugiau mėnesių po chirurginio gydymo, ar praėjus 6 ar daugiau mėnesių po adjuvantinio gydymo pabaigos.</w:t>
      </w:r>
    </w:p>
    <w:p w14:paraId="3E80651C" w14:textId="0B57E87C" w:rsidR="00A67712" w:rsidRPr="00102D09" w:rsidRDefault="00A67712" w:rsidP="00A67712">
      <w:pPr>
        <w:tabs>
          <w:tab w:val="left" w:pos="426"/>
        </w:tabs>
        <w:spacing w:line="276" w:lineRule="auto"/>
        <w:jc w:val="both"/>
        <w:rPr>
          <w:rFonts w:eastAsia="Arial"/>
        </w:rPr>
      </w:pPr>
      <w:r w:rsidRPr="00102D09">
        <w:rPr>
          <w:rFonts w:eastAsia="Arial"/>
        </w:rPr>
        <w:tab/>
        <w:t xml:space="preserve">Tyrimo pacientų populiacija atitinka egzistuojančią Lietuvos pacientų populiaciją, kuriai gydymas gali būti skiriamas pagal numatomas durvalumabo skyrimo indikacijas ir siūlomas skyrimo sąlygas. Tačiau, į pagrindinį Paraiškoje pateikiamą palyginamojo gydymo tyrimą neįtraukti pacientai, sergantys ampulės karcinoma (t.y. </w:t>
      </w:r>
      <w:r w:rsidRPr="008C4DA5">
        <w:rPr>
          <w:rFonts w:eastAsia="Arial"/>
          <w:i/>
          <w:iCs/>
        </w:rPr>
        <w:t>Ampulla Vateri</w:t>
      </w:r>
      <w:r w:rsidRPr="00102D09">
        <w:rPr>
          <w:rFonts w:eastAsia="Arial"/>
        </w:rPr>
        <w:t xml:space="preserve"> karcinoma, dvylikapirštės žarnos didžiojo spenelio karcinoma, TLK-10-AM kodas C24.1), šis ligos tipas TOPAZ-1 tyrime įtrauktas į atmetimo kriterijus, todėl klinikinis durvalumabo efektyvumas šiam pacientų pogrupiui </w:t>
      </w:r>
      <w:r w:rsidR="001C0E54" w:rsidRPr="00102D09">
        <w:rPr>
          <w:rFonts w:eastAsia="Arial"/>
        </w:rPr>
        <w:t xml:space="preserve">negali būti </w:t>
      </w:r>
      <w:r w:rsidRPr="00102D09">
        <w:rPr>
          <w:rFonts w:eastAsia="Arial"/>
        </w:rPr>
        <w:t xml:space="preserve">įvertintas . </w:t>
      </w:r>
    </w:p>
    <w:p w14:paraId="5EB3B644" w14:textId="53AF9051" w:rsidR="00A67712" w:rsidRPr="00102D09" w:rsidRDefault="00A67712" w:rsidP="00A67712">
      <w:pPr>
        <w:tabs>
          <w:tab w:val="left" w:pos="426"/>
        </w:tabs>
        <w:spacing w:line="276" w:lineRule="auto"/>
        <w:jc w:val="both"/>
        <w:rPr>
          <w:rFonts w:eastAsia="Arial"/>
          <w:iCs/>
        </w:rPr>
      </w:pPr>
      <w:r w:rsidRPr="00102D09">
        <w:rPr>
          <w:rFonts w:eastAsia="Arial"/>
        </w:rPr>
        <w:tab/>
        <w:t>Tyrime i</w:t>
      </w:r>
      <w:r w:rsidRPr="00102D09">
        <w:rPr>
          <w:rFonts w:eastAsia="Arial"/>
          <w:iCs/>
        </w:rPr>
        <w:t xml:space="preserve">š anksto numatytos 2 tarpinės analizės ir 1 galutinė analizė. </w:t>
      </w:r>
      <w:r w:rsidRPr="00102D09">
        <w:rPr>
          <w:rFonts w:eastAsia="Arial"/>
        </w:rPr>
        <w:t xml:space="preserve">Hierarchinė analizė buvo taikoma vertinant BI, pagal iš anksto numatytą statistinę analizę. </w:t>
      </w:r>
      <w:r w:rsidRPr="00102D09">
        <w:rPr>
          <w:rFonts w:eastAsia="Arial"/>
          <w:iCs/>
        </w:rPr>
        <w:t>Šio tyrimo BI rezultatai buvo statistiškai reikšmingi IA-2 analizės metu, todėl IA-2 buvo vertinamos pirminės ir antrinės vertinamosios baigtys. Atlikus galutinę analizę, pateikti atnaujinti duomenys. Galutinėje analizėje duomenų brandumas 76,9 proc., BI duomenys laikomi br</w:t>
      </w:r>
      <w:r w:rsidR="001C0E54">
        <w:rPr>
          <w:rFonts w:eastAsia="Arial"/>
          <w:iCs/>
        </w:rPr>
        <w:t>andžiais</w:t>
      </w:r>
      <w:r w:rsidRPr="00102D09">
        <w:rPr>
          <w:rFonts w:eastAsia="Arial"/>
          <w:iCs/>
        </w:rPr>
        <w:t xml:space="preserve"> (527 iš 685 dalyvių). </w:t>
      </w:r>
    </w:p>
    <w:p w14:paraId="2F643967" w14:textId="77777777" w:rsidR="00A67712" w:rsidRPr="00102D09" w:rsidRDefault="00A67712" w:rsidP="00A67712">
      <w:pPr>
        <w:tabs>
          <w:tab w:val="left" w:pos="426"/>
        </w:tabs>
        <w:spacing w:line="276" w:lineRule="auto"/>
        <w:jc w:val="both"/>
        <w:rPr>
          <w:rFonts w:eastAsia="Arial"/>
          <w:iCs/>
        </w:rPr>
      </w:pPr>
    </w:p>
    <w:p w14:paraId="32FAF112" w14:textId="77777777" w:rsidR="00A67712" w:rsidRPr="00102D09" w:rsidRDefault="00A67712" w:rsidP="00A67712">
      <w:pPr>
        <w:spacing w:line="276" w:lineRule="auto"/>
        <w:ind w:firstLine="720"/>
        <w:jc w:val="both"/>
        <w:rPr>
          <w:rFonts w:eastAsia="Arial"/>
          <w:iCs/>
        </w:rPr>
      </w:pPr>
      <w:r w:rsidRPr="00102D09">
        <w:rPr>
          <w:rFonts w:eastAsia="Arial"/>
          <w:iCs/>
          <w:u w:val="single"/>
        </w:rPr>
        <w:t>Pirminė vertinamoji baigtis</w:t>
      </w:r>
      <w:r w:rsidRPr="00102D09">
        <w:rPr>
          <w:rFonts w:eastAsia="Arial"/>
          <w:iCs/>
        </w:rPr>
        <w:t>, bendras išgyvenamumas (BI) – laikas nuo atsitiktinės atrankos iki mirties nuo bet kokios priežasties datos. G</w:t>
      </w:r>
      <w:r w:rsidRPr="00102D09">
        <w:rPr>
          <w:iCs/>
        </w:rPr>
        <w:t xml:space="preserve">alutinė BI analizė parodė, kad vidutinis BI buvo atitinkamai 12,9 mėnesio ir 11,3 mėnesio (RS 0,76; 95 proc. PI: 0,64-0,91) durvalumabo + Gem/Cis ir placebo + Gem/Cis grupėse. </w:t>
      </w:r>
      <w:r w:rsidRPr="00102D09">
        <w:rPr>
          <w:rFonts w:eastAsia="Arial"/>
          <w:iCs/>
        </w:rPr>
        <w:t>Durvalumabo + Gem/Cis ir placebo + Gem/Cis grupėse apskaičiuotas bendrasis išgyvenamumas buvo atitinkamai 54,3 proc. (95 proc. PI 48,8-59,4) ir 47,1 proc. (41,7-52,3) po 12 mėnesių, 34,8 proc. (29,6-40,0) ir 24,1 proc. (19,6-28,9) po 18 mėnesių ir 23,6 proc. (18,7-28,9) ir 11,5 proc. (7,6-16,2) po 24 mėnesių.</w:t>
      </w:r>
    </w:p>
    <w:p w14:paraId="5FFF1268" w14:textId="1F299DFB" w:rsidR="00A67712" w:rsidRPr="00102D09" w:rsidRDefault="00A67712" w:rsidP="00CC4B04">
      <w:pPr>
        <w:spacing w:line="276" w:lineRule="auto"/>
        <w:ind w:firstLine="720"/>
        <w:jc w:val="both"/>
        <w:rPr>
          <w:rFonts w:eastAsia="Arial"/>
          <w:iCs/>
        </w:rPr>
      </w:pPr>
      <w:r w:rsidRPr="00102D09">
        <w:rPr>
          <w:rFonts w:eastAsia="Arial"/>
          <w:iCs/>
        </w:rPr>
        <w:t xml:space="preserve">Pogrupių analizės metu, pacientams, kuriems liga buvo pripažinta neoperabili, gydymas durvalumabo + Gem/Cis deriniu lėmė 5,3 proc. mažesnę mirties riziką, palyginti su placebo + Gem/Cis grupe (BI įvykių dalis IA-2 metu durvalumabo + Gem/Cis grupėje 64,2 proc., placebo + Gem/Cis grupėje 69,5 proc., RS 0,84). Pacientams, sergantiems pasikartojančia liga, gydymas durvalumabu + Gem/Cis taip pat parodė naudą, sumažindamas mirties riziką 17,2 proc. Pacientų, sergančių intrahepatine cholangiokarcinoma, gydomų durvalumabu + Gem/Cis BI įvykių skaičius buvo 55,3 proc., o gydomu placebu + Gem/Cis 65,3 proc., gydymas durvalumabo sumažino mirties riziką šiems pacientams 10 proc. (RS 0,76). </w:t>
      </w:r>
      <w:r w:rsidR="00CC4B04">
        <w:rPr>
          <w:rFonts w:eastAsia="Arial"/>
          <w:iCs/>
        </w:rPr>
        <w:t xml:space="preserve">Vertinant pogrupius pagal PD-L1 raišką, matomi geresni BI rezultatai ir gydymo durvalumabu + Gem/Cis pranašumas PD-L1 </w:t>
      </w:r>
      <w:r w:rsidR="00CC4B04" w:rsidRPr="00ED6574">
        <w:rPr>
          <w:rFonts w:eastAsia="Arial"/>
          <w:iCs/>
        </w:rPr>
        <w:t>≥</w:t>
      </w:r>
      <w:r w:rsidR="00CC4B04">
        <w:rPr>
          <w:rFonts w:eastAsia="Arial"/>
          <w:iCs/>
        </w:rPr>
        <w:t xml:space="preserve"> 1 proc. pacientų pogrupyje, lyginant su PD-L1 &lt; 1 proc. pogrupiu: BI įvykių dažnis PD-L1 </w:t>
      </w:r>
      <w:r w:rsidR="00CC4B04" w:rsidRPr="00ED6574">
        <w:rPr>
          <w:rFonts w:eastAsia="Arial"/>
          <w:iCs/>
        </w:rPr>
        <w:t>≥</w:t>
      </w:r>
      <w:r w:rsidR="00CC4B04">
        <w:rPr>
          <w:rFonts w:eastAsia="Arial"/>
          <w:iCs/>
        </w:rPr>
        <w:t xml:space="preserve"> 1 proc. pogrupyje taikant gydymą durvalumabu + Gem/Cis 60,9 proc., taikant gydymą placebu + Gem/Cis 67,3 proc, RS 0,79, atitinkamai PD-L1 &lt; 1 proc. pogrupyje taikant gydymą durvalumabu + Gem/Cis 55,3 proc., taikant gydymą placebu + Gem/Cis 64,1 proc, RS 0,86.</w:t>
      </w:r>
    </w:p>
    <w:p w14:paraId="57721BF0" w14:textId="77777777" w:rsidR="00A67712" w:rsidRPr="00102D09" w:rsidRDefault="00A67712" w:rsidP="00A67712">
      <w:pPr>
        <w:spacing w:line="276" w:lineRule="auto"/>
        <w:ind w:firstLine="720"/>
        <w:jc w:val="both"/>
        <w:rPr>
          <w:rFonts w:eastAsia="Arial"/>
          <w:iCs/>
        </w:rPr>
      </w:pPr>
    </w:p>
    <w:p w14:paraId="4FA69F34" w14:textId="77777777" w:rsidR="00A67712" w:rsidRPr="00102D09" w:rsidRDefault="00A67712" w:rsidP="00A67712">
      <w:pPr>
        <w:spacing w:line="276" w:lineRule="auto"/>
        <w:jc w:val="both"/>
        <w:rPr>
          <w:rFonts w:eastAsia="Arial"/>
          <w:iCs/>
        </w:rPr>
      </w:pPr>
    </w:p>
    <w:p w14:paraId="46365FA3" w14:textId="77777777" w:rsidR="00A67712" w:rsidRPr="00102D09" w:rsidRDefault="00A67712" w:rsidP="00A67712">
      <w:pPr>
        <w:spacing w:line="276" w:lineRule="auto"/>
        <w:jc w:val="both"/>
        <w:rPr>
          <w:rFonts w:eastAsia="Arial"/>
          <w:iCs/>
        </w:rPr>
      </w:pPr>
      <w:r w:rsidRPr="00102D09">
        <w:rPr>
          <w:rFonts w:eastAsia="Arial"/>
          <w:iCs/>
        </w:rPr>
        <w:lastRenderedPageBreak/>
        <w:tab/>
      </w:r>
      <w:r w:rsidRPr="00102D09">
        <w:rPr>
          <w:rFonts w:eastAsia="Arial"/>
          <w:iCs/>
          <w:u w:val="single"/>
        </w:rPr>
        <w:t>Antrinės vertinamosios baigtys,</w:t>
      </w:r>
      <w:r w:rsidRPr="00102D09">
        <w:rPr>
          <w:rFonts w:eastAsia="Arial"/>
          <w:iCs/>
        </w:rPr>
        <w:t xml:space="preserve"> išgyvenamumas be ligos progresavimo (IBLP arba PFS, </w:t>
      </w:r>
      <w:r w:rsidRPr="00102D09">
        <w:rPr>
          <w:rFonts w:eastAsia="Arial"/>
          <w:i/>
        </w:rPr>
        <w:t>angl. progression free survival</w:t>
      </w:r>
      <w:r w:rsidRPr="00102D09">
        <w:rPr>
          <w:rFonts w:eastAsia="Arial"/>
          <w:iCs/>
        </w:rPr>
        <w:t xml:space="preserve">), apibrėžiamas kaip laikas nuo atsitiktinių imčių sudarymo datos iki pirmojo radiologiniu tyrimu patvirtinto ligos progresavimo ar mirties dėl bet kokios priežasties, atsižvelgiant į tai, kas įvyksta anksčiau; objektyvaus atsako dažnis; atsako trukmė; geriausias objektyvus atsakas; laikas iki atsako; ligos valdymo dažnis ir naviko dydžio pokytis; pacientų praneštos baigtys (vertinami naudojant EORTC QLQ-C30 klausimyną). </w:t>
      </w:r>
    </w:p>
    <w:p w14:paraId="2EFFD093" w14:textId="77777777" w:rsidR="00A67712" w:rsidRPr="00102D09" w:rsidRDefault="00A67712" w:rsidP="00A67712">
      <w:pPr>
        <w:spacing w:line="276" w:lineRule="auto"/>
        <w:ind w:firstLine="720"/>
        <w:jc w:val="both"/>
      </w:pPr>
      <w:r w:rsidRPr="00102D09">
        <w:t>Bendroje populiacijoje gydymas durvalumabu + Gem/Cis 25 proc. statistiškai reikšmingai sumažino IBPL įvykių tikimybę (ligos progresijos ir mirties dėl bet kokios priežasties tikimybę), lyginant su gydymu placebu + Gem/Cis.</w:t>
      </w:r>
    </w:p>
    <w:p w14:paraId="26F16182" w14:textId="77777777" w:rsidR="00A67712" w:rsidRPr="00102D09" w:rsidRDefault="00A67712" w:rsidP="00A67712">
      <w:pPr>
        <w:tabs>
          <w:tab w:val="left" w:pos="426"/>
        </w:tabs>
        <w:spacing w:line="276" w:lineRule="auto"/>
        <w:jc w:val="both"/>
        <w:rPr>
          <w:rFonts w:eastAsia="Arial"/>
          <w:iCs/>
        </w:rPr>
      </w:pPr>
      <w:r w:rsidRPr="00102D09">
        <w:t>Vertinant iš anksto numatytus pogrupius, IBLP įvykių tikimybė mažesnė pacientų, sergančių atsinaujinusiu TLV arba sergančių ekstrahepatine cholangiokarcinoma grupėse, taip pat, gydant lokaliai išplitusią ar metastazavusią ligą.</w:t>
      </w:r>
    </w:p>
    <w:p w14:paraId="1536845B" w14:textId="77777777" w:rsidR="00A67712" w:rsidRPr="00102D09" w:rsidRDefault="00A67712" w:rsidP="00A67712">
      <w:pPr>
        <w:tabs>
          <w:tab w:val="left" w:pos="284"/>
        </w:tabs>
        <w:spacing w:line="276" w:lineRule="auto"/>
        <w:jc w:val="both"/>
        <w:rPr>
          <w:rFonts w:eastAsia="Arial"/>
        </w:rPr>
      </w:pPr>
      <w:r w:rsidRPr="00102D09">
        <w:rPr>
          <w:rFonts w:eastAsia="Arial"/>
        </w:rPr>
        <w:tab/>
        <w:t>Vertinant nepageidaujamus reiškiniu, g</w:t>
      </w:r>
      <w:r w:rsidRPr="00102D09">
        <w:t xml:space="preserve">ydymas durvalumabu + Gem/Cis, lyginant su placebu + Gem/Cis, neparodė statistiškai reikšmingai blogesnių ar geresnių gyvenimo kokybės, skausmo ar nuovargio rodiklių, vertinant </w:t>
      </w:r>
      <w:r w:rsidRPr="00102D09">
        <w:rPr>
          <w:u w:val="single"/>
        </w:rPr>
        <w:t>pacientų praneštas baigtis</w:t>
      </w:r>
      <w:r w:rsidRPr="00102D09">
        <w:t xml:space="preserve">. </w:t>
      </w:r>
      <w:r w:rsidRPr="00102D09">
        <w:rPr>
          <w:rFonts w:eastAsia="Arial"/>
        </w:rPr>
        <w:t xml:space="preserve">NP atitiko PCS </w:t>
      </w:r>
      <w:r w:rsidRPr="00102D09">
        <w:rPr>
          <w:rFonts w:eastAsia="Arial"/>
          <w:u w:val="single"/>
        </w:rPr>
        <w:t>saugumo</w:t>
      </w:r>
      <w:r w:rsidRPr="00102D09">
        <w:rPr>
          <w:rFonts w:eastAsia="Arial"/>
        </w:rPr>
        <w:t xml:space="preserve"> duomenis, TOPAZ-1 esant registraciniam tyrimui.</w:t>
      </w:r>
    </w:p>
    <w:p w14:paraId="67805F83" w14:textId="397A44D4" w:rsidR="00A67712" w:rsidRPr="00102D09" w:rsidRDefault="00A67712" w:rsidP="00A67712">
      <w:pPr>
        <w:spacing w:line="276" w:lineRule="auto"/>
        <w:ind w:firstLine="720"/>
        <w:jc w:val="both"/>
        <w:rPr>
          <w:szCs w:val="20"/>
        </w:rPr>
      </w:pPr>
      <w:r w:rsidRPr="00102D09">
        <w:rPr>
          <w:rFonts w:eastAsia="Arial"/>
        </w:rPr>
        <w:t xml:space="preserve">Apibendrinant, </w:t>
      </w:r>
      <w:r w:rsidR="001C0E54">
        <w:rPr>
          <w:rFonts w:eastAsia="Arial"/>
        </w:rPr>
        <w:t xml:space="preserve">įvertinus klinikinio tyrimo duomenis nustatyta, </w:t>
      </w:r>
      <w:r w:rsidRPr="00102D09">
        <w:rPr>
          <w:rFonts w:eastAsia="Arial"/>
        </w:rPr>
        <w:t xml:space="preserve"> kad durvalumabas, skiriamas </w:t>
      </w:r>
      <w:r w:rsidR="001C0E54">
        <w:rPr>
          <w:rFonts w:eastAsia="Arial"/>
        </w:rPr>
        <w:t xml:space="preserve">derinyje </w:t>
      </w:r>
      <w:r w:rsidRPr="00102D09">
        <w:rPr>
          <w:rFonts w:eastAsia="Arial"/>
        </w:rPr>
        <w:t xml:space="preserve">su gemcitabinu ir cisplatina, skirtas suaugusių pacientų, sergančių neoperuotinu arba metastazavusiu tulžies latakų vėžiu, gydymui, lyginant su gydymu chemoterapija, pasižymėjo kliniškai geresniais rezultatais. </w:t>
      </w:r>
      <w:r w:rsidRPr="00102D09">
        <w:t>BI buvo vidutiniškai 1,6 mėnesio ilgesnis durvalumabo + Gem/Cis grupėje (PI medianos intervalas 11,6-14,1), palyginus su placebo + Gem/Cis grupe (PI intervalas 10,1-12,5), šis skirtumas laikomas statistiškai reikšmingu. Mirties rizika, gyd</w:t>
      </w:r>
      <w:r w:rsidR="001C0E54">
        <w:t>ant</w:t>
      </w:r>
      <w:r w:rsidRPr="00102D09">
        <w:t xml:space="preserve"> durvalumabu + Gem/Cis yra mažesnė 24 proc., lyginant su gydymu placebu + Gem/Cis. Bendroje populiacijoje gydymas durvalumabu + Gem/Cis 25 proc. statistiškai reikšmingai sumažino IBPL įvykių tikimybę (ligos progresijos ir mirties dėl bet kokios priežasties tikimybę), lyginant su gydymu placebu + Gem/Cis.</w:t>
      </w:r>
    </w:p>
    <w:p w14:paraId="42DD173B" w14:textId="326324E7" w:rsidR="00A67712" w:rsidRPr="00102D09" w:rsidRDefault="00A67712" w:rsidP="00A67712">
      <w:pPr>
        <w:spacing w:line="276" w:lineRule="auto"/>
        <w:jc w:val="both"/>
        <w:rPr>
          <w:iCs/>
        </w:rPr>
      </w:pPr>
      <w:r w:rsidRPr="00102D09">
        <w:rPr>
          <w:rFonts w:eastAsia="Arial"/>
        </w:rPr>
        <w:tab/>
      </w:r>
      <w:r w:rsidRPr="00102D09">
        <w:rPr>
          <w:rFonts w:eastAsia="Arial"/>
          <w:iCs/>
        </w:rPr>
        <w:t xml:space="preserve">Remiantis šiais duomenimis, </w:t>
      </w:r>
      <w:r w:rsidR="001C0E54">
        <w:rPr>
          <w:rFonts w:eastAsia="Arial"/>
          <w:iCs/>
        </w:rPr>
        <w:t xml:space="preserve">nustatyta, kad </w:t>
      </w:r>
      <w:r w:rsidRPr="00102D09">
        <w:rPr>
          <w:rFonts w:eastAsia="Arial"/>
          <w:iCs/>
        </w:rPr>
        <w:t>durvalumabo</w:t>
      </w:r>
      <w:r w:rsidR="001C0E54">
        <w:rPr>
          <w:rFonts w:eastAsia="Arial"/>
          <w:iCs/>
        </w:rPr>
        <w:t xml:space="preserve">, vartojamo derinyje su </w:t>
      </w:r>
      <w:r w:rsidR="001C0E54" w:rsidRPr="00102D09">
        <w:rPr>
          <w:rFonts w:eastAsia="Arial"/>
        </w:rPr>
        <w:t>gemcitabinu ir cisplatina</w:t>
      </w:r>
      <w:r w:rsidRPr="00102D09">
        <w:rPr>
          <w:rFonts w:eastAsia="Arial"/>
          <w:iCs/>
        </w:rPr>
        <w:t xml:space="preserve"> palyginamasis </w:t>
      </w:r>
      <w:r w:rsidR="001C0E54">
        <w:rPr>
          <w:rFonts w:eastAsia="Arial"/>
          <w:iCs/>
        </w:rPr>
        <w:t>veiksmingumas</w:t>
      </w:r>
      <w:r w:rsidR="001C0E54" w:rsidRPr="00102D09">
        <w:rPr>
          <w:rFonts w:eastAsia="Arial"/>
          <w:iCs/>
        </w:rPr>
        <w:t xml:space="preserve"> </w:t>
      </w:r>
      <w:r w:rsidRPr="00102D09">
        <w:rPr>
          <w:rFonts w:eastAsia="Arial"/>
          <w:iCs/>
        </w:rPr>
        <w:t>yra didesnis</w:t>
      </w:r>
      <w:r w:rsidRPr="00102D09">
        <w:rPr>
          <w:iCs/>
        </w:rPr>
        <w:t xml:space="preserve"> lyginant su įprasta klinikine praktika.</w:t>
      </w:r>
    </w:p>
    <w:p w14:paraId="489A2E3C" w14:textId="36D108D4" w:rsidR="004537D0" w:rsidRDefault="004537D0" w:rsidP="00A67712">
      <w:pPr>
        <w:tabs>
          <w:tab w:val="left" w:pos="284"/>
        </w:tabs>
        <w:spacing w:line="276" w:lineRule="auto"/>
        <w:jc w:val="both"/>
        <w:rPr>
          <w:b/>
          <w:bCs/>
          <w:caps/>
        </w:rPr>
      </w:pPr>
    </w:p>
    <w:p w14:paraId="574D3486" w14:textId="77777777" w:rsidR="004537D0" w:rsidRPr="004537D0" w:rsidRDefault="004537D0" w:rsidP="004537D0">
      <w:pPr>
        <w:tabs>
          <w:tab w:val="left" w:pos="567"/>
        </w:tabs>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269A963D" w:rsidR="00C62B36" w:rsidRDefault="00C62B36" w:rsidP="00A93AA6">
      <w:pPr>
        <w:tabs>
          <w:tab w:val="left" w:pos="426"/>
        </w:tabs>
        <w:rPr>
          <w:i/>
          <w:color w:val="00B050"/>
          <w:sz w:val="22"/>
          <w:szCs w:val="22"/>
        </w:rPr>
      </w:pPr>
    </w:p>
    <w:p w14:paraId="33AD7EB0" w14:textId="77777777" w:rsidR="00580E2C" w:rsidRPr="00865D66" w:rsidRDefault="00580E2C" w:rsidP="008C4DA5">
      <w:pPr>
        <w:shd w:val="clear" w:color="auto" w:fill="FFFFFF"/>
        <w:spacing w:line="276" w:lineRule="auto"/>
        <w:ind w:firstLine="720"/>
        <w:jc w:val="both"/>
        <w:rPr>
          <w:rFonts w:eastAsia="Arial"/>
        </w:rPr>
      </w:pPr>
      <w:r w:rsidRPr="00865D66">
        <w:rPr>
          <w:rFonts w:eastAsia="Arial"/>
        </w:rPr>
        <w:t>Vertinimui pateikta kaštų naudingumo analizė, vertinant durvalumabo + gem/cis kaštų naudingumą palyginus su placebo + gem/cis. Laikoma, jog šis palyginamasis gydymas atitinka įprastą Lietuvos Respublikos klinikinę praktiką. Ekonominė analizė remiasi tiesioginio palyginimo duomenimis iš klinikinio tyrimo TOPAZ-1, kuriame gydomi pacientai, sergantys prieš tai negydytu, nerezekuotinu, vietiškai išplitusiu ar metastaziniu BTC. Analizėje taikomas padalintos kohortos išgyvenamumo modelis su trejomis sveikatos būklėmis. Laikoma, jog pateikta analizė yra išsami ir pagrįsta brandžiais tiesioginio palyginimo įrodymais, kas, tikėtina, padidina analizės tikslumą.</w:t>
      </w:r>
    </w:p>
    <w:p w14:paraId="21E1FCC8" w14:textId="3818D31D" w:rsidR="00580E2C" w:rsidRDefault="00580E2C" w:rsidP="008C4DA5">
      <w:pPr>
        <w:pStyle w:val="Tekstaspolentele"/>
        <w:spacing w:line="276" w:lineRule="auto"/>
        <w:rPr>
          <w:sz w:val="24"/>
        </w:rPr>
      </w:pPr>
      <w:r w:rsidRPr="00865D66">
        <w:rPr>
          <w:rFonts w:eastAsia="Arial"/>
          <w:sz w:val="24"/>
        </w:rPr>
        <w:t xml:space="preserve">Pagrindiniai trūkumai pastebėti kaštų įvertinimo dalyje. Tarnybai nėra pilnai aišku ar paraiškoje įvertinti sveikatos būklių kaštai atitinka Lietuvos Respublikoje išleidžiamus kaštus, nes asmens sveikatos priežiūros paslaugų poreikis analizėje yra grindžiamas ESMO BTC, TA722 ir JK klinikinių ekspertų nuomone. Vis dėlto, </w:t>
      </w:r>
      <w:r w:rsidRPr="00865D66">
        <w:rPr>
          <w:sz w:val="24"/>
        </w:rPr>
        <w:t xml:space="preserve">atsižvelgiant į šių kaštų įtaką analizės rezultatui, Tarnyba vertina, jog analizės rezultatas šiuo atveju gali būti interpretuojamas. Tarnybai nėra priimtina analizėje taikoma </w:t>
      </w:r>
      <w:r w:rsidR="005A631D">
        <w:rPr>
          <w:sz w:val="24"/>
        </w:rPr>
        <w:t>***</w:t>
      </w:r>
      <w:r w:rsidRPr="00865D66">
        <w:rPr>
          <w:sz w:val="24"/>
        </w:rPr>
        <w:t xml:space="preserve"> prielaida. Šios prielaidos taikymas analizėje  Tarnybai yra nepriimtinas, nes skirtingoms pacientų grupėms </w:t>
      </w:r>
      <w:r w:rsidR="005A631D">
        <w:rPr>
          <w:sz w:val="24"/>
        </w:rPr>
        <w:t>***</w:t>
      </w:r>
      <w:r w:rsidRPr="00865D66">
        <w:rPr>
          <w:sz w:val="24"/>
        </w:rPr>
        <w:t xml:space="preserve"> yra taikomas iš skirtingų šaltinių, o durvalumabo grupei </w:t>
      </w:r>
      <w:r w:rsidR="005A631D">
        <w:rPr>
          <w:sz w:val="24"/>
        </w:rPr>
        <w:t>***</w:t>
      </w:r>
      <w:r w:rsidRPr="00865D66">
        <w:rPr>
          <w:sz w:val="24"/>
        </w:rPr>
        <w:t xml:space="preserve"> yra įvertintas pagal šiuo </w:t>
      </w:r>
      <w:r w:rsidRPr="00865D66">
        <w:rPr>
          <w:sz w:val="24"/>
        </w:rPr>
        <w:lastRenderedPageBreak/>
        <w:t xml:space="preserve">metu Lietuvoje kompensuojamo durvalumabo suvartojimą – tai nėra tikslų, nes pacientų gydymą pradedančių/tęsiančių/baigiančių gydymą pacientų skaičius metams bėgant kinta. Tarnybai nėra aišku, koks būtų Lietuvos pacientų rodiklis abiem pacientų grupėms atitinkamai pacientų populiacijai. Dėl šių priežasčių, Tarnybai nėra priimtina Pareiškėjo taikoma prielaida </w:t>
      </w:r>
      <w:r w:rsidR="005A631D">
        <w:rPr>
          <w:sz w:val="24"/>
        </w:rPr>
        <w:t>***</w:t>
      </w:r>
      <w:r w:rsidRPr="00865D66">
        <w:rPr>
          <w:sz w:val="24"/>
        </w:rPr>
        <w:t xml:space="preserve"> dėl faktiškai </w:t>
      </w:r>
      <w:r w:rsidR="005A631D">
        <w:rPr>
          <w:sz w:val="24"/>
        </w:rPr>
        <w:t>***</w:t>
      </w:r>
      <w:r w:rsidRPr="00865D66">
        <w:rPr>
          <w:sz w:val="24"/>
        </w:rPr>
        <w:t>.</w:t>
      </w:r>
      <w:r>
        <w:rPr>
          <w:sz w:val="24"/>
        </w:rPr>
        <w:t xml:space="preserve"> </w:t>
      </w:r>
      <w:r w:rsidRPr="00865D66">
        <w:rPr>
          <w:sz w:val="24"/>
        </w:rPr>
        <w:t xml:space="preserve">Siekiant pateikti konservatyvų analizės rezultatą, įprastu atveju, Tarnyba </w:t>
      </w:r>
      <w:r w:rsidR="005A631D">
        <w:rPr>
          <w:sz w:val="24"/>
        </w:rPr>
        <w:t>***</w:t>
      </w:r>
      <w:r w:rsidRPr="00865D66">
        <w:rPr>
          <w:sz w:val="24"/>
        </w:rPr>
        <w:t>.</w:t>
      </w:r>
    </w:p>
    <w:p w14:paraId="05BDD250" w14:textId="03540316" w:rsidR="000869CF" w:rsidRPr="007348F5" w:rsidRDefault="000869CF" w:rsidP="000869CF">
      <w:pPr>
        <w:spacing w:line="276" w:lineRule="auto"/>
        <w:jc w:val="both"/>
        <w:rPr>
          <w:rFonts w:eastAsia="Arial"/>
        </w:rPr>
      </w:pPr>
      <w:r w:rsidRPr="007348F5">
        <w:rPr>
          <w:rFonts w:eastAsia="Arial"/>
        </w:rPr>
        <w:t xml:space="preserve">Laikoma, jog durvalumabas sukuria papildomus </w:t>
      </w:r>
      <w:r w:rsidR="00EC63D1">
        <w:rPr>
          <w:rFonts w:eastAsia="Arial"/>
        </w:rPr>
        <w:t>***</w:t>
      </w:r>
      <w:r w:rsidRPr="007348F5">
        <w:rPr>
          <w:rFonts w:eastAsia="Arial"/>
        </w:rPr>
        <w:t xml:space="preserve"> kokybiškus gyvenimo metus, tačiau nėra kaštams naudingas net taikant sunkios ligos naštos referencinę kaštų naudingumo vertę (5 BVP </w:t>
      </w:r>
      <w:r w:rsidRPr="00045F9D">
        <w:rPr>
          <w:rFonts w:eastAsia="Arial"/>
          <w:i/>
          <w:iCs/>
        </w:rPr>
        <w:t>per capita</w:t>
      </w:r>
      <w:r w:rsidRPr="007348F5">
        <w:rPr>
          <w:rFonts w:eastAsia="Arial"/>
        </w:rPr>
        <w:t xml:space="preserve">). Siekiant, jog vaistas galėtų būti laikomas kaštams naudingu, </w:t>
      </w:r>
      <w:r w:rsidR="00EC63D1" w:rsidRPr="00EC63D1">
        <w:rPr>
          <w:rFonts w:eastAsia="Arial"/>
        </w:rPr>
        <w:t>***</w:t>
      </w:r>
      <w:r w:rsidRPr="00EC63D1">
        <w:rPr>
          <w:rFonts w:eastAsia="Arial"/>
        </w:rPr>
        <w:t>.</w:t>
      </w:r>
    </w:p>
    <w:p w14:paraId="4C7D0F99" w14:textId="77777777" w:rsidR="000869CF" w:rsidRPr="00865D66" w:rsidRDefault="000869CF" w:rsidP="008C4DA5">
      <w:pPr>
        <w:pStyle w:val="Tekstaspolentele"/>
        <w:spacing w:line="276" w:lineRule="auto"/>
        <w:rPr>
          <w:sz w:val="24"/>
        </w:rPr>
      </w:pPr>
    </w:p>
    <w:p w14:paraId="13826EF7" w14:textId="77777777" w:rsidR="00580E2C" w:rsidRPr="00E33EFF" w:rsidRDefault="00580E2C"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BE7489">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8" w:type="dxa"/>
            <w:tcBorders>
              <w:right w:val="single" w:sz="4" w:space="0" w:color="auto"/>
            </w:tcBorders>
          </w:tcPr>
          <w:p w14:paraId="1CACF0B4" w14:textId="002C02E2" w:rsidR="00BA5DBC" w:rsidRPr="00E33EFF" w:rsidRDefault="00EC63D1" w:rsidP="00BA5DBC">
            <w:pPr>
              <w:tabs>
                <w:tab w:val="left" w:pos="567"/>
              </w:tabs>
              <w:jc w:val="both"/>
              <w:rPr>
                <w:i/>
                <w:iCs/>
                <w:lang w:eastAsia="lt-LT"/>
              </w:rPr>
            </w:pPr>
            <w:r>
              <w:rPr>
                <w:i/>
                <w:iCs/>
                <w:lang w:eastAsia="lt-LT"/>
              </w:rPr>
              <w:t>***</w:t>
            </w:r>
            <w:r w:rsidR="00580E2C">
              <w:rPr>
                <w:i/>
                <w:iCs/>
                <w:lang w:eastAsia="lt-LT"/>
              </w:rPr>
              <w:t xml:space="preserve"> </w:t>
            </w:r>
          </w:p>
        </w:tc>
      </w:tr>
      <w:tr w:rsidR="00BA5DBC" w:rsidRPr="00E33EFF" w14:paraId="49F818A3" w14:textId="77777777" w:rsidTr="00BE7489">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8" w:type="dxa"/>
            <w:tcBorders>
              <w:right w:val="single" w:sz="4" w:space="0" w:color="auto"/>
            </w:tcBorders>
          </w:tcPr>
          <w:p w14:paraId="4954817B" w14:textId="30BB0C1D" w:rsidR="00BA5DBC" w:rsidRPr="00E33EFF" w:rsidRDefault="00EC63D1" w:rsidP="00BA5DBC">
            <w:pPr>
              <w:tabs>
                <w:tab w:val="left" w:pos="567"/>
              </w:tabs>
              <w:jc w:val="both"/>
              <w:rPr>
                <w:i/>
                <w:iCs/>
                <w:lang w:eastAsia="lt-LT"/>
              </w:rPr>
            </w:pPr>
            <w:r>
              <w:rPr>
                <w:i/>
                <w:iCs/>
                <w:lang w:eastAsia="lt-LT"/>
              </w:rPr>
              <w:t>***</w:t>
            </w:r>
          </w:p>
        </w:tc>
      </w:tr>
      <w:tr w:rsidR="00BA5DBC" w:rsidRPr="00E33EFF" w14:paraId="20ADA742" w14:textId="77777777" w:rsidTr="00BE7489">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8" w:type="dxa"/>
            <w:tcBorders>
              <w:right w:val="single" w:sz="4" w:space="0" w:color="auto"/>
            </w:tcBorders>
          </w:tcPr>
          <w:p w14:paraId="02E4DAE1" w14:textId="1ABBF816" w:rsidR="00BA5DBC" w:rsidRPr="00E33EFF" w:rsidRDefault="00EC63D1" w:rsidP="00BA5DBC">
            <w:pPr>
              <w:tabs>
                <w:tab w:val="left" w:pos="567"/>
              </w:tabs>
              <w:jc w:val="both"/>
              <w:rPr>
                <w:i/>
                <w:iCs/>
                <w:lang w:eastAsia="lt-LT"/>
              </w:rPr>
            </w:pPr>
            <w:r>
              <w:rPr>
                <w:i/>
                <w:iCs/>
                <w:lang w:eastAsia="lt-LT"/>
              </w:rPr>
              <w:t>***</w:t>
            </w:r>
          </w:p>
        </w:tc>
      </w:tr>
      <w:tr w:rsidR="00BA5DBC" w:rsidRPr="00E33EFF" w14:paraId="1FADA2B3" w14:textId="77777777" w:rsidTr="00BE7489">
        <w:trPr>
          <w:trHeight w:val="267"/>
          <w:jc w:val="center"/>
        </w:trPr>
        <w:tc>
          <w:tcPr>
            <w:tcW w:w="6200" w:type="dxa"/>
            <w:tcBorders>
              <w:left w:val="single" w:sz="4" w:space="0" w:color="auto"/>
            </w:tcBorders>
          </w:tcPr>
          <w:p w14:paraId="13E089E8" w14:textId="0BCEB339" w:rsidR="00BA5DBC" w:rsidRPr="00E33EFF" w:rsidRDefault="00BA5DBC" w:rsidP="009E44AE">
            <w:pPr>
              <w:tabs>
                <w:tab w:val="left" w:pos="567"/>
              </w:tabs>
              <w:jc w:val="right"/>
              <w:rPr>
                <w:iCs/>
                <w:lang w:eastAsia="lt-LT"/>
              </w:rPr>
            </w:pPr>
            <w:r w:rsidRPr="00E33EFF">
              <w:rPr>
                <w:iCs/>
                <w:lang w:eastAsia="lt-LT"/>
              </w:rPr>
              <w:t>ICER už LY</w:t>
            </w:r>
          </w:p>
        </w:tc>
        <w:tc>
          <w:tcPr>
            <w:tcW w:w="3238" w:type="dxa"/>
            <w:tcBorders>
              <w:right w:val="single" w:sz="4" w:space="0" w:color="auto"/>
            </w:tcBorders>
          </w:tcPr>
          <w:p w14:paraId="2817448D" w14:textId="558CEDBC" w:rsidR="00BA5DBC" w:rsidRPr="00110217" w:rsidRDefault="00EC63D1" w:rsidP="009E44AE">
            <w:pPr>
              <w:tabs>
                <w:tab w:val="left" w:pos="567"/>
              </w:tabs>
              <w:jc w:val="both"/>
              <w:rPr>
                <w:i/>
                <w:iCs/>
                <w:lang w:eastAsia="lt-LT"/>
              </w:rPr>
            </w:pPr>
            <w:r w:rsidRPr="00110217">
              <w:rPr>
                <w:i/>
                <w:iCs/>
                <w:lang w:eastAsia="lt-LT"/>
              </w:rPr>
              <w:t>***</w:t>
            </w:r>
          </w:p>
        </w:tc>
      </w:tr>
      <w:tr w:rsidR="009E44AE" w:rsidRPr="00E33EFF" w14:paraId="250DE960" w14:textId="77777777" w:rsidTr="00BE7489">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t>ICER už QALY</w:t>
            </w:r>
          </w:p>
        </w:tc>
        <w:tc>
          <w:tcPr>
            <w:tcW w:w="3238" w:type="dxa"/>
            <w:tcBorders>
              <w:right w:val="single" w:sz="4" w:space="0" w:color="auto"/>
            </w:tcBorders>
          </w:tcPr>
          <w:p w14:paraId="4275320D" w14:textId="3A3F0D55" w:rsidR="009E44AE" w:rsidRPr="00110217" w:rsidRDefault="00EC63D1" w:rsidP="009E44AE">
            <w:pPr>
              <w:tabs>
                <w:tab w:val="left" w:pos="567"/>
              </w:tabs>
              <w:jc w:val="both"/>
              <w:rPr>
                <w:i/>
                <w:iCs/>
                <w:lang w:eastAsia="lt-LT"/>
              </w:rPr>
            </w:pPr>
            <w:r w:rsidRPr="00110217">
              <w:rPr>
                <w:i/>
                <w:iCs/>
                <w:lang w:eastAsia="lt-LT"/>
              </w:rPr>
              <w:t>***</w:t>
            </w:r>
          </w:p>
        </w:tc>
      </w:tr>
      <w:tr w:rsidR="009E44AE" w:rsidRPr="00E33EFF"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3CB53A9B" w:rsidR="009E44AE" w:rsidRPr="00110217" w:rsidRDefault="00110217" w:rsidP="009E44AE">
            <w:pPr>
              <w:tabs>
                <w:tab w:val="left" w:pos="567"/>
              </w:tabs>
              <w:jc w:val="both"/>
              <w:rPr>
                <w:i/>
                <w:iCs/>
                <w:lang w:eastAsia="lt-LT"/>
              </w:rPr>
            </w:pPr>
            <w:r w:rsidRPr="00110217">
              <w:rPr>
                <w:i/>
                <w:iCs/>
                <w:lang w:eastAsia="lt-LT"/>
              </w:rPr>
              <w:t>***</w:t>
            </w:r>
            <w:r w:rsidR="00580E2C" w:rsidRPr="00110217">
              <w:rPr>
                <w:i/>
                <w:iCs/>
                <w:lang w:eastAsia="lt-LT"/>
              </w:rPr>
              <w:t>/QALY</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110217"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21952C0" w:rsidR="00937907" w:rsidRPr="00E33EFF" w:rsidRDefault="00110217"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110217"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6A77852" w:rsidR="00662983" w:rsidRPr="00E33EFF" w:rsidRDefault="00110217"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630AE">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754EA132" w14:textId="11578318" w:rsidR="00BD18D3" w:rsidRDefault="00BD18D3" w:rsidP="0061611B">
      <w:pPr>
        <w:rPr>
          <w:i/>
          <w:color w:val="00B050"/>
          <w:szCs w:val="22"/>
        </w:rPr>
      </w:pPr>
    </w:p>
    <w:tbl>
      <w:tblPr>
        <w:tblStyle w:val="TableGrid"/>
        <w:tblW w:w="0" w:type="auto"/>
        <w:tblInd w:w="-5" w:type="dxa"/>
        <w:tblLook w:val="04A0" w:firstRow="1" w:lastRow="0" w:firstColumn="1" w:lastColumn="0" w:noHBand="0" w:noVBand="1"/>
      </w:tblPr>
      <w:tblGrid>
        <w:gridCol w:w="4820"/>
        <w:gridCol w:w="4814"/>
      </w:tblGrid>
      <w:tr w:rsidR="00580E2C" w:rsidRPr="001A132A" w14:paraId="6A292288" w14:textId="77777777" w:rsidTr="00A97E95">
        <w:trPr>
          <w:trHeight w:val="510"/>
        </w:trPr>
        <w:tc>
          <w:tcPr>
            <w:tcW w:w="9629" w:type="dxa"/>
            <w:gridSpan w:val="2"/>
            <w:vAlign w:val="center"/>
          </w:tcPr>
          <w:p w14:paraId="4DB66AB9"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1A132A">
              <w:rPr>
                <w:rStyle w:val="Style2"/>
                <w:rFonts w:eastAsia="MS Gothic"/>
                <w:b/>
                <w:bCs/>
                <w:sz w:val="23"/>
                <w:szCs w:val="23"/>
              </w:rPr>
              <w:t>Palyginamasis veiksmingumas</w:t>
            </w:r>
          </w:p>
        </w:tc>
      </w:tr>
      <w:tr w:rsidR="00580E2C" w:rsidRPr="001A132A" w14:paraId="09B4C5BD" w14:textId="77777777" w:rsidTr="00A97E95">
        <w:tc>
          <w:tcPr>
            <w:tcW w:w="4815" w:type="dxa"/>
          </w:tcPr>
          <w:p w14:paraId="471EA7C1"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580E2C">
                  <w:rPr>
                    <w:rStyle w:val="Style2"/>
                    <w:rFonts w:ascii="MS Gothic" w:eastAsia="MS Gothic" w:hAnsi="MS Gothic" w:hint="eastAsia"/>
                    <w:sz w:val="23"/>
                    <w:szCs w:val="23"/>
                  </w:rPr>
                  <w:t>☒</w:t>
                </w:r>
              </w:sdtContent>
            </w:sdt>
            <w:r w:rsidR="00580E2C" w:rsidRPr="001A132A">
              <w:rPr>
                <w:rStyle w:val="Style2"/>
                <w:sz w:val="23"/>
                <w:szCs w:val="23"/>
              </w:rPr>
              <w:t xml:space="preserve"> 29</w:t>
            </w:r>
            <w:r w:rsidR="00580E2C" w:rsidRPr="001A132A">
              <w:rPr>
                <w:sz w:val="23"/>
                <w:szCs w:val="23"/>
              </w:rPr>
              <w:t>.1.1 yra didesnis, lyginant su įprasta klinikine praktika</w:t>
            </w:r>
          </w:p>
          <w:p w14:paraId="7E16639D"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BF86955"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580E2C" w:rsidRPr="001A132A">
                  <w:rPr>
                    <w:rStyle w:val="Style2"/>
                    <w:rFonts w:ascii="Segoe UI Symbol" w:eastAsia="MS Gothic" w:hAnsi="Segoe UI Symbol" w:cs="Segoe UI Symbol"/>
                    <w:sz w:val="23"/>
                    <w:szCs w:val="23"/>
                  </w:rPr>
                  <w:t>☐</w:t>
                </w:r>
              </w:sdtContent>
            </w:sdt>
            <w:r w:rsidR="00580E2C" w:rsidRPr="001A132A">
              <w:rPr>
                <w:sz w:val="23"/>
                <w:szCs w:val="23"/>
              </w:rPr>
              <w:t xml:space="preserve"> </w:t>
            </w:r>
            <w:r w:rsidR="00580E2C" w:rsidRPr="001A132A">
              <w:rPr>
                <w:rStyle w:val="Style2"/>
                <w:sz w:val="23"/>
                <w:szCs w:val="23"/>
              </w:rPr>
              <w:t>29</w:t>
            </w:r>
            <w:r w:rsidR="00580E2C" w:rsidRPr="001A132A">
              <w:rPr>
                <w:sz w:val="23"/>
                <w:szCs w:val="23"/>
              </w:rPr>
              <w:t>.1.2 iš esmės nesiskiria, lyginant su įprasta klinikine praktika</w:t>
            </w:r>
          </w:p>
        </w:tc>
        <w:tc>
          <w:tcPr>
            <w:tcW w:w="4814" w:type="dxa"/>
          </w:tcPr>
          <w:p w14:paraId="43EDBFEA"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580E2C" w:rsidRPr="001A132A">
                  <w:rPr>
                    <w:rStyle w:val="Style2"/>
                    <w:rFonts w:ascii="Segoe UI Symbol" w:eastAsia="MS Gothic" w:hAnsi="Segoe UI Symbol" w:cs="Segoe UI Symbol"/>
                    <w:sz w:val="23"/>
                    <w:szCs w:val="23"/>
                  </w:rPr>
                  <w:t>☐</w:t>
                </w:r>
              </w:sdtContent>
            </w:sdt>
            <w:r w:rsidR="00580E2C" w:rsidRPr="001A132A">
              <w:rPr>
                <w:sz w:val="23"/>
                <w:szCs w:val="23"/>
              </w:rPr>
              <w:t xml:space="preserve"> </w:t>
            </w:r>
            <w:r w:rsidR="00580E2C" w:rsidRPr="001A132A">
              <w:rPr>
                <w:rStyle w:val="Style2"/>
                <w:sz w:val="23"/>
                <w:szCs w:val="23"/>
              </w:rPr>
              <w:t>29</w:t>
            </w:r>
            <w:r w:rsidR="00580E2C" w:rsidRPr="001A132A">
              <w:rPr>
                <w:sz w:val="23"/>
                <w:szCs w:val="23"/>
              </w:rPr>
              <w:t xml:space="preserve">.1.3 yra neįrodytas kaip didesnis  ar iš esmės nesiskiriantis, lyginant su įprasta klinikine praktika  </w:t>
            </w:r>
          </w:p>
          <w:p w14:paraId="12E84C47"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74C2F238"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580E2C" w:rsidRPr="001A132A">
                  <w:rPr>
                    <w:rStyle w:val="Style2"/>
                    <w:rFonts w:ascii="Segoe UI Symbol" w:eastAsia="MS Gothic" w:hAnsi="Segoe UI Symbol" w:cs="Segoe UI Symbol"/>
                    <w:sz w:val="23"/>
                    <w:szCs w:val="23"/>
                  </w:rPr>
                  <w:t>☐</w:t>
                </w:r>
              </w:sdtContent>
            </w:sdt>
            <w:r w:rsidR="00580E2C" w:rsidRPr="001A132A">
              <w:rPr>
                <w:sz w:val="23"/>
                <w:szCs w:val="23"/>
              </w:rPr>
              <w:t xml:space="preserve"> </w:t>
            </w:r>
            <w:r w:rsidR="00580E2C" w:rsidRPr="001A132A">
              <w:rPr>
                <w:rStyle w:val="Style2"/>
                <w:sz w:val="23"/>
                <w:szCs w:val="23"/>
              </w:rPr>
              <w:t>29</w:t>
            </w:r>
            <w:r w:rsidR="00580E2C" w:rsidRPr="001A132A">
              <w:rPr>
                <w:sz w:val="23"/>
                <w:szCs w:val="23"/>
              </w:rPr>
              <w:t>.1.4 yra mažesnis, lyginant su įprasta klinikine praktika</w:t>
            </w:r>
          </w:p>
          <w:p w14:paraId="75D3318C"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4220B495"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580E2C" w:rsidRPr="001A132A">
                  <w:rPr>
                    <w:rStyle w:val="Style2"/>
                    <w:rFonts w:ascii="Segoe UI Symbol" w:eastAsia="MS Gothic" w:hAnsi="Segoe UI Symbol" w:cs="Segoe UI Symbol"/>
                    <w:sz w:val="23"/>
                    <w:szCs w:val="23"/>
                  </w:rPr>
                  <w:t>☐</w:t>
                </w:r>
              </w:sdtContent>
            </w:sdt>
            <w:r w:rsidR="00580E2C" w:rsidRPr="001A132A">
              <w:rPr>
                <w:sz w:val="23"/>
                <w:szCs w:val="23"/>
              </w:rPr>
              <w:t xml:space="preserve">  </w:t>
            </w:r>
            <w:r w:rsidR="00580E2C" w:rsidRPr="001A132A">
              <w:rPr>
                <w:rStyle w:val="Style2"/>
                <w:sz w:val="23"/>
                <w:szCs w:val="23"/>
              </w:rPr>
              <w:t>29</w:t>
            </w:r>
            <w:r w:rsidR="00580E2C" w:rsidRPr="001A132A">
              <w:rPr>
                <w:sz w:val="23"/>
                <w:szCs w:val="23"/>
              </w:rPr>
              <w:t>.1.5 pateikti duomenys apie palyginamąjį veiksmingumą yra netinkami vertinti</w:t>
            </w:r>
          </w:p>
          <w:p w14:paraId="7BBC812E"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580E2C" w:rsidRPr="001A132A" w14:paraId="5EC606F9" w14:textId="77777777" w:rsidTr="00A97E95">
        <w:trPr>
          <w:trHeight w:val="510"/>
        </w:trPr>
        <w:tc>
          <w:tcPr>
            <w:tcW w:w="9634" w:type="dxa"/>
            <w:gridSpan w:val="2"/>
            <w:vAlign w:val="center"/>
          </w:tcPr>
          <w:p w14:paraId="6C3F9863"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1A132A">
              <w:rPr>
                <w:rStyle w:val="Style2"/>
                <w:rFonts w:eastAsia="MS Gothic"/>
                <w:b/>
                <w:bCs/>
                <w:sz w:val="23"/>
                <w:szCs w:val="23"/>
              </w:rPr>
              <w:t>Kaštų naudingumas</w:t>
            </w:r>
          </w:p>
        </w:tc>
      </w:tr>
      <w:tr w:rsidR="00580E2C" w:rsidRPr="001A132A" w14:paraId="6893B147" w14:textId="77777777" w:rsidTr="00A97E95">
        <w:tc>
          <w:tcPr>
            <w:tcW w:w="4820" w:type="dxa"/>
          </w:tcPr>
          <w:p w14:paraId="6E0665C8"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580E2C" w:rsidRPr="001A132A">
                  <w:rPr>
                    <w:rStyle w:val="Style2"/>
                    <w:rFonts w:ascii="Segoe UI Symbol" w:eastAsia="MS Gothic" w:hAnsi="Segoe UI Symbol" w:cs="Segoe UI Symbol"/>
                    <w:sz w:val="23"/>
                    <w:szCs w:val="23"/>
                  </w:rPr>
                  <w:t>☐</w:t>
                </w:r>
              </w:sdtContent>
            </w:sdt>
            <w:r w:rsidR="00580E2C" w:rsidRPr="001A132A">
              <w:rPr>
                <w:sz w:val="23"/>
                <w:szCs w:val="23"/>
              </w:rPr>
              <w:t xml:space="preserve"> 29.2.1 atitinka referencinę naudingumo vertę taikant arba netaikant</w:t>
            </w:r>
            <w:r w:rsidR="00580E2C" w:rsidRPr="001A132A">
              <w:rPr>
                <w:b/>
                <w:bCs/>
                <w:sz w:val="23"/>
                <w:szCs w:val="23"/>
              </w:rPr>
              <w:t> </w:t>
            </w:r>
            <w:r w:rsidR="00580E2C" w:rsidRPr="001A132A">
              <w:rPr>
                <w:sz w:val="23"/>
                <w:szCs w:val="23"/>
              </w:rPr>
              <w:t>PGS</w:t>
            </w:r>
          </w:p>
          <w:p w14:paraId="067B9602"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4E367104"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EndPr>
                <w:rPr>
                  <w:rStyle w:val="Style2"/>
                </w:rPr>
              </w:sdtEndPr>
              <w:sdtContent>
                <w:r w:rsidR="00580E2C" w:rsidRPr="001A132A">
                  <w:rPr>
                    <w:rStyle w:val="Style2"/>
                    <w:rFonts w:ascii="Segoe UI Symbol" w:eastAsia="MS Gothic" w:hAnsi="Segoe UI Symbol" w:cs="Segoe UI Symbol"/>
                    <w:sz w:val="23"/>
                    <w:szCs w:val="23"/>
                  </w:rPr>
                  <w:t>☐</w:t>
                </w:r>
              </w:sdtContent>
            </w:sdt>
            <w:r w:rsidR="00580E2C" w:rsidRPr="001A132A">
              <w:rPr>
                <w:sz w:val="23"/>
                <w:szCs w:val="23"/>
              </w:rPr>
              <w:t xml:space="preserve"> 29.2.2 gydymo juo kaštai yra mažesni ar tokie patys esant iš esmės nesiskiriančiam palyginamajam efektyvumui, taikant arba netaikant  PGS</w:t>
            </w:r>
          </w:p>
        </w:tc>
        <w:tc>
          <w:tcPr>
            <w:tcW w:w="4814" w:type="dxa"/>
          </w:tcPr>
          <w:p w14:paraId="199A7954"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580E2C">
                  <w:rPr>
                    <w:rStyle w:val="Style2"/>
                    <w:rFonts w:ascii="MS Gothic" w:eastAsia="MS Gothic" w:hAnsi="MS Gothic" w:hint="eastAsia"/>
                    <w:sz w:val="23"/>
                    <w:szCs w:val="23"/>
                  </w:rPr>
                  <w:t>☒</w:t>
                </w:r>
              </w:sdtContent>
            </w:sdt>
            <w:r w:rsidR="00580E2C" w:rsidRPr="001A132A">
              <w:rPr>
                <w:sz w:val="23"/>
                <w:szCs w:val="23"/>
              </w:rPr>
              <w:t xml:space="preserve"> 29.2.3 neatitinka referencinės naudingumo vertės taikant arba netaikant PGS</w:t>
            </w:r>
          </w:p>
          <w:p w14:paraId="562D3AF2"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03B2EEE"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EndPr>
                <w:rPr>
                  <w:rStyle w:val="Style2"/>
                </w:rPr>
              </w:sdtEndPr>
              <w:sdtContent>
                <w:r w:rsidR="00580E2C" w:rsidRPr="001A132A">
                  <w:rPr>
                    <w:rStyle w:val="Style2"/>
                    <w:rFonts w:ascii="Segoe UI Symbol" w:eastAsia="MS Gothic" w:hAnsi="Segoe UI Symbol" w:cs="Segoe UI Symbol"/>
                    <w:sz w:val="23"/>
                    <w:szCs w:val="23"/>
                  </w:rPr>
                  <w:t>☐</w:t>
                </w:r>
              </w:sdtContent>
            </w:sdt>
            <w:r w:rsidR="00580E2C" w:rsidRPr="001A132A">
              <w:rPr>
                <w:sz w:val="23"/>
                <w:szCs w:val="23"/>
              </w:rPr>
              <w:t xml:space="preserve"> 29.2.4 gydymo juo kaštai yra didesni esant iš esmės nesiskiriančiam palyginamajam veiksmingumui, taikant arba netaikant PGS</w:t>
            </w:r>
          </w:p>
          <w:p w14:paraId="19843236"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7F86FB9C" w14:textId="77777777" w:rsidR="00580E2C" w:rsidRPr="001A132A" w:rsidRDefault="00110217"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580E2C" w:rsidRPr="001A132A">
                  <w:rPr>
                    <w:rStyle w:val="Style2"/>
                    <w:rFonts w:ascii="Segoe UI Symbol" w:eastAsia="MS Gothic" w:hAnsi="Segoe UI Symbol" w:cs="Segoe UI Symbol"/>
                    <w:sz w:val="23"/>
                    <w:szCs w:val="23"/>
                  </w:rPr>
                  <w:t>☐</w:t>
                </w:r>
              </w:sdtContent>
            </w:sdt>
            <w:r w:rsidR="00580E2C" w:rsidRPr="001A132A">
              <w:rPr>
                <w:sz w:val="23"/>
                <w:szCs w:val="23"/>
              </w:rPr>
              <w:t xml:space="preserve"> 29.2.5 pateikti duomenys apie kaštų naudingumą yra netinkami vertinti</w:t>
            </w:r>
          </w:p>
          <w:p w14:paraId="786F8023" w14:textId="77777777" w:rsidR="00580E2C" w:rsidRPr="001A132A" w:rsidRDefault="00580E2C" w:rsidP="00A97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2922DDCD" w14:textId="5E203290" w:rsidR="00BD18D3" w:rsidRPr="00E33EFF" w:rsidRDefault="00BD18D3" w:rsidP="0061611B">
      <w:pPr>
        <w:rPr>
          <w:i/>
          <w:color w:val="00B050"/>
          <w:szCs w:val="22"/>
        </w:rPr>
      </w:pPr>
    </w:p>
    <w:p w14:paraId="65ACA3C5" w14:textId="76C604A1" w:rsidR="004A3A61" w:rsidRPr="00E33EFF" w:rsidRDefault="004A3A61"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75B29912" w14:textId="77777777" w:rsidR="00580E2C" w:rsidRDefault="00580E2C" w:rsidP="008C4DA5">
      <w:pPr>
        <w:spacing w:line="276" w:lineRule="auto"/>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w:t>
      </w:r>
    </w:p>
    <w:p w14:paraId="5FA734DC" w14:textId="77777777" w:rsidR="00580E2C" w:rsidRDefault="00580E2C" w:rsidP="008C4DA5">
      <w:pPr>
        <w:spacing w:line="276" w:lineRule="auto"/>
        <w:jc w:val="both"/>
        <w:rPr>
          <w:color w:val="000000"/>
          <w:lang w:eastAsia="lt-LT"/>
        </w:rPr>
      </w:pP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rekomenduojama</w:t>
      </w:r>
      <w:r w:rsidRPr="00471EC6">
        <w:rPr>
          <w:color w:val="000000"/>
          <w:lang w:eastAsia="lt-LT"/>
        </w:rPr>
        <w:t xml:space="preserve"> kompensuoti vaistinį preparatą pagal paraiškoje nurodytą indikaciją (arba jos dalį) su arba be skyrimo sąlygų, jei, pateikus naują ar atnaujintą PGS, kaštų naudingumas atitinka referencinę naudingumo vertę</w:t>
      </w:r>
      <w:r>
        <w:rPr>
          <w:color w:val="000000"/>
          <w:lang w:eastAsia="lt-LT"/>
        </w:rPr>
        <w:t xml:space="preserve">, </w:t>
      </w:r>
      <w:r w:rsidRPr="00471EC6">
        <w:rPr>
          <w:color w:val="000000"/>
          <w:lang w:eastAsia="lt-LT"/>
        </w:rPr>
        <w:t>kai vertinimo išvados atitinka Aprašo 29.1.1 ir 29.2.3 papunkčiuose numatytas sąlygas</w:t>
      </w:r>
      <w:r>
        <w:rPr>
          <w:color w:val="000000"/>
          <w:lang w:eastAsia="lt-LT"/>
        </w:rPr>
        <w:t>.</w:t>
      </w:r>
    </w:p>
    <w:p w14:paraId="06BC01EE" w14:textId="44333E0B" w:rsidR="000723FF" w:rsidRPr="00E33EFF" w:rsidRDefault="000723FF" w:rsidP="00381024"/>
    <w:p w14:paraId="18B4292E" w14:textId="52B7A138"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6CC0C625" w:rsidR="000723FF" w:rsidRPr="00E33EFF" w:rsidRDefault="00110217" w:rsidP="00824B9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973567">
            <w:rPr>
              <w:rStyle w:val="Style2"/>
              <w:rFonts w:ascii="MS Gothic" w:eastAsia="MS Gothic" w:hAnsi="MS Gothic" w:hint="eastAsia"/>
            </w:rPr>
            <w:t>☒</w:t>
          </w:r>
        </w:sdtContent>
      </w:sdt>
      <w:r w:rsidR="000723FF" w:rsidRPr="00E33EFF">
        <w:t xml:space="preserve"> Siūloma kompensuoti Pareiškėjo teikiamą indikaciją </w:t>
      </w:r>
      <w:r w:rsidR="00BD1D67">
        <w:t>su</w:t>
      </w:r>
      <w:r w:rsidR="000723FF" w:rsidRPr="00E33EFF">
        <w:t xml:space="preserve"> pakeitim</w:t>
      </w:r>
      <w:r w:rsidR="00BD1D67">
        <w:t>ais</w:t>
      </w:r>
      <w:r w:rsidR="000723FF" w:rsidRPr="00E33EFF">
        <w:t>.</w:t>
      </w:r>
    </w:p>
    <w:p w14:paraId="73FA9BB8" w14:textId="16773A91" w:rsidR="009122E1" w:rsidRDefault="009122E1" w:rsidP="009122E1">
      <w:pPr>
        <w:pStyle w:val="NoSpacing"/>
        <w:spacing w:line="276" w:lineRule="auto"/>
        <w:ind w:firstLine="720"/>
        <w:jc w:val="both"/>
        <w:rPr>
          <w:rFonts w:ascii="Times New Roman" w:hAnsi="Times New Roman"/>
          <w:sz w:val="24"/>
          <w:szCs w:val="24"/>
        </w:rPr>
      </w:pPr>
    </w:p>
    <w:p w14:paraId="38477877" w14:textId="77777777" w:rsidR="008B3A7C" w:rsidRPr="007348F5" w:rsidRDefault="008B3A7C" w:rsidP="008B3A7C">
      <w:pPr>
        <w:pStyle w:val="Tekstas"/>
        <w:spacing w:line="276" w:lineRule="auto"/>
        <w:rPr>
          <w:rFonts w:eastAsia="Arial"/>
        </w:rPr>
      </w:pPr>
      <w:r w:rsidRPr="007348F5">
        <w:rPr>
          <w:rFonts w:eastAsia="Arial"/>
        </w:rPr>
        <w:t>IMFINZI derinys su gemcitabinu ir cisplatina yra skirtas suaugusiųjų neoperuotino arba metastazavusio tulžies takų vėžio, įskaitant intrahepatinio tulžies latako karcinomą, tulžies pūslės piktybinį naviką</w:t>
      </w:r>
      <w:r w:rsidRPr="007348F5">
        <w:rPr>
          <w:rFonts w:eastAsia="Arial"/>
          <w:lang w:val="en-US"/>
        </w:rPr>
        <w:t xml:space="preserve">, </w:t>
      </w:r>
      <w:r w:rsidRPr="007348F5">
        <w:rPr>
          <w:rFonts w:eastAsia="Arial"/>
        </w:rPr>
        <w:t>ekstrahepatinio tulžies latako piktybinį naviką</w:t>
      </w:r>
      <w:r w:rsidRPr="007348F5">
        <w:rPr>
          <w:rFonts w:eastAsia="Arial"/>
          <w:lang w:val="en-US"/>
        </w:rPr>
        <w:t xml:space="preserve">, </w:t>
      </w:r>
      <w:proofErr w:type="spellStart"/>
      <w:r w:rsidRPr="007348F5">
        <w:rPr>
          <w:rFonts w:eastAsia="Arial"/>
          <w:lang w:val="en-US"/>
        </w:rPr>
        <w:t>tulžies</w:t>
      </w:r>
      <w:proofErr w:type="spellEnd"/>
      <w:r w:rsidRPr="007348F5">
        <w:rPr>
          <w:rFonts w:eastAsia="Arial"/>
          <w:lang w:val="en-US"/>
        </w:rPr>
        <w:t xml:space="preserve"> </w:t>
      </w:r>
      <w:proofErr w:type="spellStart"/>
      <w:r w:rsidRPr="007348F5">
        <w:rPr>
          <w:rFonts w:eastAsia="Arial"/>
          <w:lang w:val="en-US"/>
        </w:rPr>
        <w:t>latakų</w:t>
      </w:r>
      <w:proofErr w:type="spellEnd"/>
      <w:r w:rsidRPr="007348F5">
        <w:rPr>
          <w:rFonts w:eastAsia="Arial"/>
          <w:lang w:val="en-US"/>
        </w:rPr>
        <w:t xml:space="preserve"> </w:t>
      </w:r>
      <w:proofErr w:type="spellStart"/>
      <w:r w:rsidRPr="007348F5">
        <w:rPr>
          <w:rFonts w:eastAsia="Arial"/>
          <w:lang w:val="en-US"/>
        </w:rPr>
        <w:t>išplitusį</w:t>
      </w:r>
      <w:proofErr w:type="spellEnd"/>
      <w:r w:rsidRPr="007348F5">
        <w:rPr>
          <w:rFonts w:eastAsia="Arial"/>
          <w:lang w:val="en-US"/>
        </w:rPr>
        <w:t xml:space="preserve"> </w:t>
      </w:r>
      <w:proofErr w:type="spellStart"/>
      <w:r w:rsidRPr="007348F5">
        <w:rPr>
          <w:rFonts w:eastAsia="Arial"/>
          <w:lang w:val="en-US"/>
        </w:rPr>
        <w:t>piktybinį</w:t>
      </w:r>
      <w:proofErr w:type="spellEnd"/>
      <w:r w:rsidRPr="007348F5">
        <w:rPr>
          <w:rFonts w:eastAsia="Arial"/>
          <w:lang w:val="en-US"/>
        </w:rPr>
        <w:t xml:space="preserve"> </w:t>
      </w:r>
      <w:proofErr w:type="spellStart"/>
      <w:r w:rsidRPr="007348F5">
        <w:rPr>
          <w:rFonts w:eastAsia="Arial"/>
          <w:lang w:val="en-US"/>
        </w:rPr>
        <w:t>naviką</w:t>
      </w:r>
      <w:proofErr w:type="spellEnd"/>
      <w:r w:rsidRPr="007348F5">
        <w:rPr>
          <w:rFonts w:eastAsia="Arial"/>
          <w:lang w:val="en-US"/>
        </w:rPr>
        <w:t xml:space="preserve"> </w:t>
      </w:r>
      <w:proofErr w:type="spellStart"/>
      <w:r w:rsidRPr="007348F5">
        <w:rPr>
          <w:rFonts w:eastAsia="Arial"/>
          <w:lang w:val="en-US"/>
        </w:rPr>
        <w:t>ir</w:t>
      </w:r>
      <w:proofErr w:type="spellEnd"/>
      <w:r w:rsidRPr="007348F5">
        <w:rPr>
          <w:rFonts w:eastAsia="Arial"/>
          <w:lang w:val="en-US"/>
        </w:rPr>
        <w:t xml:space="preserve"> </w:t>
      </w:r>
      <w:proofErr w:type="spellStart"/>
      <w:r w:rsidRPr="007348F5">
        <w:rPr>
          <w:rFonts w:eastAsia="Arial"/>
          <w:lang w:val="en-US"/>
        </w:rPr>
        <w:t>nepatikslinto</w:t>
      </w:r>
      <w:proofErr w:type="spellEnd"/>
      <w:r w:rsidRPr="007348F5">
        <w:rPr>
          <w:rFonts w:eastAsia="Arial"/>
          <w:lang w:val="en-US"/>
        </w:rPr>
        <w:t xml:space="preserve"> </w:t>
      </w:r>
      <w:proofErr w:type="spellStart"/>
      <w:r w:rsidRPr="007348F5">
        <w:rPr>
          <w:rFonts w:eastAsia="Arial"/>
          <w:lang w:val="en-US"/>
        </w:rPr>
        <w:t>tul</w:t>
      </w:r>
      <w:proofErr w:type="spellEnd"/>
      <w:r w:rsidRPr="007348F5">
        <w:rPr>
          <w:rFonts w:eastAsia="Arial"/>
        </w:rPr>
        <w:t>žies takų piktybinio naviko pirmos eilės gydymui.</w:t>
      </w:r>
    </w:p>
    <w:p w14:paraId="28E544C0" w14:textId="77777777" w:rsidR="008B3A7C" w:rsidRPr="007348F5" w:rsidRDefault="008B3A7C" w:rsidP="008B3A7C">
      <w:pPr>
        <w:pStyle w:val="Tekstas"/>
        <w:spacing w:line="276" w:lineRule="auto"/>
        <w:rPr>
          <w:rFonts w:eastAsia="Arial"/>
        </w:rPr>
      </w:pPr>
      <w:r w:rsidRPr="007348F5">
        <w:rPr>
          <w:rFonts w:eastAsia="Arial"/>
        </w:rPr>
        <w:t>TLK 10 AM kodai: C22, C23, 24.0, 24.8, 24.9</w:t>
      </w:r>
    </w:p>
    <w:p w14:paraId="0673D530" w14:textId="77777777" w:rsidR="00987AFE" w:rsidRPr="00E33EFF" w:rsidRDefault="00987AFE" w:rsidP="00824B92"/>
    <w:p w14:paraId="241A6E6B" w14:textId="77777777" w:rsidR="000723FF" w:rsidRPr="00E33EFF" w:rsidRDefault="000723FF" w:rsidP="00824B92">
      <w:pPr>
        <w:rPr>
          <w:b/>
        </w:rPr>
      </w:pPr>
      <w:r w:rsidRPr="00E33EFF">
        <w:rPr>
          <w:b/>
        </w:rPr>
        <w:t>Skyrimo sąlygos</w:t>
      </w:r>
    </w:p>
    <w:p w14:paraId="77BB75CD" w14:textId="386D1014" w:rsidR="001C0E54" w:rsidRDefault="001C0E54" w:rsidP="00824B92">
      <w:r>
        <w:t>Teikiamos tokios skyrimo sąlygos.</w:t>
      </w:r>
    </w:p>
    <w:p w14:paraId="53BDB47C" w14:textId="77777777" w:rsidR="001C0E54" w:rsidRDefault="001C0E54" w:rsidP="00824B92"/>
    <w:p w14:paraId="04073709" w14:textId="41570FCC" w:rsidR="008B3A7C" w:rsidRPr="007348F5" w:rsidRDefault="008B3A7C" w:rsidP="008B3A7C">
      <w:pPr>
        <w:pStyle w:val="Tekstas"/>
        <w:spacing w:line="276" w:lineRule="auto"/>
        <w:rPr>
          <w:rFonts w:eastAsia="Arial"/>
        </w:rPr>
      </w:pPr>
      <w:bookmarkStart w:id="0" w:name="_Hlk193486683"/>
      <w:r w:rsidRPr="007348F5">
        <w:rPr>
          <w:rFonts w:eastAsia="Arial"/>
        </w:rPr>
        <w:t>Skiriamas derinyje su gemcitabinu ir platinos preparatais suaugusiųjų neoperuotino arba metastazavusio tulžies takų vėžio, įskaitant intrahepatinio tulžies latako karcinomą, tulžies pūslės piktybinį naviką</w:t>
      </w:r>
      <w:r w:rsidRPr="007348F5">
        <w:rPr>
          <w:rFonts w:eastAsia="Arial"/>
          <w:lang w:val="en-US"/>
        </w:rPr>
        <w:t xml:space="preserve">, </w:t>
      </w:r>
      <w:r w:rsidRPr="007348F5">
        <w:rPr>
          <w:rFonts w:eastAsia="Arial"/>
        </w:rPr>
        <w:t>ekstrahepatinio tulžies latako piktybinį naviką</w:t>
      </w:r>
      <w:r w:rsidRPr="007348F5">
        <w:rPr>
          <w:rFonts w:eastAsia="Arial"/>
          <w:lang w:val="en-US"/>
        </w:rPr>
        <w:t xml:space="preserve">, </w:t>
      </w:r>
      <w:proofErr w:type="spellStart"/>
      <w:r w:rsidRPr="007348F5">
        <w:rPr>
          <w:rFonts w:eastAsia="Arial"/>
          <w:lang w:val="en-US"/>
        </w:rPr>
        <w:t>tulžies</w:t>
      </w:r>
      <w:proofErr w:type="spellEnd"/>
      <w:r w:rsidRPr="007348F5">
        <w:rPr>
          <w:rFonts w:eastAsia="Arial"/>
          <w:lang w:val="en-US"/>
        </w:rPr>
        <w:t xml:space="preserve"> </w:t>
      </w:r>
      <w:proofErr w:type="spellStart"/>
      <w:r w:rsidRPr="007348F5">
        <w:rPr>
          <w:rFonts w:eastAsia="Arial"/>
          <w:lang w:val="en-US"/>
        </w:rPr>
        <w:t>latakų</w:t>
      </w:r>
      <w:proofErr w:type="spellEnd"/>
      <w:r w:rsidRPr="007348F5">
        <w:rPr>
          <w:rFonts w:eastAsia="Arial"/>
          <w:lang w:val="en-US"/>
        </w:rPr>
        <w:t xml:space="preserve"> </w:t>
      </w:r>
      <w:proofErr w:type="spellStart"/>
      <w:r w:rsidRPr="007348F5">
        <w:rPr>
          <w:rFonts w:eastAsia="Arial"/>
          <w:lang w:val="en-US"/>
        </w:rPr>
        <w:t>išplitusį</w:t>
      </w:r>
      <w:proofErr w:type="spellEnd"/>
      <w:r w:rsidRPr="007348F5">
        <w:rPr>
          <w:rFonts w:eastAsia="Arial"/>
          <w:lang w:val="en-US"/>
        </w:rPr>
        <w:t xml:space="preserve"> </w:t>
      </w:r>
      <w:proofErr w:type="spellStart"/>
      <w:r w:rsidRPr="007348F5">
        <w:rPr>
          <w:rFonts w:eastAsia="Arial"/>
          <w:lang w:val="en-US"/>
        </w:rPr>
        <w:t>piktybinį</w:t>
      </w:r>
      <w:proofErr w:type="spellEnd"/>
      <w:r w:rsidRPr="007348F5">
        <w:rPr>
          <w:rFonts w:eastAsia="Arial"/>
          <w:lang w:val="en-US"/>
        </w:rPr>
        <w:t xml:space="preserve"> </w:t>
      </w:r>
      <w:proofErr w:type="spellStart"/>
      <w:r w:rsidRPr="007348F5">
        <w:rPr>
          <w:rFonts w:eastAsia="Arial"/>
          <w:lang w:val="en-US"/>
        </w:rPr>
        <w:t>naviką</w:t>
      </w:r>
      <w:proofErr w:type="spellEnd"/>
      <w:r w:rsidR="00D83B4C">
        <w:rPr>
          <w:rFonts w:eastAsia="Arial"/>
          <w:lang w:val="en-US"/>
        </w:rPr>
        <w:t>,</w:t>
      </w:r>
      <w:r w:rsidRPr="007348F5">
        <w:rPr>
          <w:rFonts w:eastAsia="Arial"/>
          <w:lang w:val="en-US"/>
        </w:rPr>
        <w:t xml:space="preserve"> </w:t>
      </w:r>
      <w:proofErr w:type="spellStart"/>
      <w:r w:rsidRPr="007348F5">
        <w:rPr>
          <w:rFonts w:eastAsia="Arial"/>
          <w:lang w:val="en-US"/>
        </w:rPr>
        <w:t>ir</w:t>
      </w:r>
      <w:proofErr w:type="spellEnd"/>
      <w:r w:rsidRPr="007348F5">
        <w:rPr>
          <w:rFonts w:eastAsia="Arial"/>
          <w:lang w:val="en-US"/>
        </w:rPr>
        <w:t xml:space="preserve"> </w:t>
      </w:r>
      <w:proofErr w:type="spellStart"/>
      <w:r w:rsidRPr="007348F5">
        <w:rPr>
          <w:rFonts w:eastAsia="Arial"/>
          <w:lang w:val="en-US"/>
        </w:rPr>
        <w:t>nepatikslinto</w:t>
      </w:r>
      <w:proofErr w:type="spellEnd"/>
      <w:r w:rsidRPr="007348F5">
        <w:rPr>
          <w:rFonts w:eastAsia="Arial"/>
          <w:lang w:val="en-US"/>
        </w:rPr>
        <w:t xml:space="preserve"> </w:t>
      </w:r>
      <w:proofErr w:type="spellStart"/>
      <w:r w:rsidRPr="007348F5">
        <w:rPr>
          <w:rFonts w:eastAsia="Arial"/>
          <w:lang w:val="en-US"/>
        </w:rPr>
        <w:t>tul</w:t>
      </w:r>
      <w:proofErr w:type="spellEnd"/>
      <w:r w:rsidRPr="007348F5">
        <w:rPr>
          <w:rFonts w:eastAsia="Arial"/>
        </w:rPr>
        <w:t>žies takų piktybinio naviko pirmos eilės gydymui.</w:t>
      </w:r>
    </w:p>
    <w:bookmarkEnd w:id="0"/>
    <w:p w14:paraId="23D715FC" w14:textId="77777777" w:rsidR="008B3A7C" w:rsidRPr="007348F5" w:rsidRDefault="008B3A7C" w:rsidP="008B3A7C">
      <w:pPr>
        <w:pStyle w:val="Tekstas"/>
        <w:spacing w:line="276" w:lineRule="auto"/>
        <w:rPr>
          <w:rFonts w:eastAsia="Arial"/>
        </w:rPr>
      </w:pPr>
      <w:r w:rsidRPr="007348F5">
        <w:rPr>
          <w:rFonts w:eastAsia="Arial"/>
        </w:rPr>
        <w:t>TLK 10 AM kodai: C22, C23, 24.0, 24.8, 24.9</w:t>
      </w:r>
    </w:p>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0BB6" w14:textId="77777777" w:rsidR="0092047A" w:rsidRDefault="0092047A">
      <w:r>
        <w:separator/>
      </w:r>
    </w:p>
  </w:endnote>
  <w:endnote w:type="continuationSeparator" w:id="0">
    <w:p w14:paraId="23401CE3" w14:textId="77777777" w:rsidR="0092047A" w:rsidRDefault="0092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D1F6" w14:textId="77777777" w:rsidR="0092047A" w:rsidRDefault="0092047A">
      <w:r>
        <w:separator/>
      </w:r>
    </w:p>
  </w:footnote>
  <w:footnote w:type="continuationSeparator" w:id="0">
    <w:p w14:paraId="13EDA08E" w14:textId="77777777" w:rsidR="0092047A" w:rsidRDefault="00920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4AF6AC8F"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69CF">
      <w:rPr>
        <w:rStyle w:val="PageNumber"/>
        <w:noProof/>
      </w:rPr>
      <w:t>2</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79D2DBD2"/>
    <w:lvl w:ilvl="0">
      <w:start w:val="1"/>
      <w:numFmt w:val="decimal"/>
      <w:lvlText w:val="%1."/>
      <w:lvlJc w:val="left"/>
      <w:pPr>
        <w:ind w:left="720" w:hanging="360"/>
      </w:pPr>
      <w:rPr>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3FB4173D"/>
    <w:multiLevelType w:val="hybridMultilevel"/>
    <w:tmpl w:val="45BEFCF4"/>
    <w:lvl w:ilvl="0" w:tplc="7CEC0E9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6334782">
    <w:abstractNumId w:val="7"/>
  </w:num>
  <w:num w:numId="2" w16cid:durableId="1747650780">
    <w:abstractNumId w:val="1"/>
  </w:num>
  <w:num w:numId="3" w16cid:durableId="1765150557">
    <w:abstractNumId w:val="9"/>
  </w:num>
  <w:num w:numId="4" w16cid:durableId="437600839">
    <w:abstractNumId w:val="8"/>
  </w:num>
  <w:num w:numId="5" w16cid:durableId="1818760385">
    <w:abstractNumId w:val="5"/>
  </w:num>
  <w:num w:numId="6" w16cid:durableId="1514682390">
    <w:abstractNumId w:val="4"/>
  </w:num>
  <w:num w:numId="7" w16cid:durableId="1786844194">
    <w:abstractNumId w:val="3"/>
  </w:num>
  <w:num w:numId="8" w16cid:durableId="773089719">
    <w:abstractNumId w:val="12"/>
  </w:num>
  <w:num w:numId="9" w16cid:durableId="783842782">
    <w:abstractNumId w:val="0"/>
  </w:num>
  <w:num w:numId="10" w16cid:durableId="755051136">
    <w:abstractNumId w:val="10"/>
  </w:num>
  <w:num w:numId="11" w16cid:durableId="104232110">
    <w:abstractNumId w:val="11"/>
  </w:num>
  <w:num w:numId="12" w16cid:durableId="1751930654">
    <w:abstractNumId w:val="2"/>
  </w:num>
  <w:num w:numId="13" w16cid:durableId="1031303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58D3"/>
    <w:rsid w:val="000114DD"/>
    <w:rsid w:val="000136F7"/>
    <w:rsid w:val="0002686C"/>
    <w:rsid w:val="00031D0E"/>
    <w:rsid w:val="000337E6"/>
    <w:rsid w:val="0003402E"/>
    <w:rsid w:val="00034EAE"/>
    <w:rsid w:val="00042924"/>
    <w:rsid w:val="00045F9D"/>
    <w:rsid w:val="00053975"/>
    <w:rsid w:val="00056CAB"/>
    <w:rsid w:val="00057701"/>
    <w:rsid w:val="00057A2B"/>
    <w:rsid w:val="000606BE"/>
    <w:rsid w:val="00064FF4"/>
    <w:rsid w:val="000723FF"/>
    <w:rsid w:val="000736B8"/>
    <w:rsid w:val="0008190F"/>
    <w:rsid w:val="00081D9C"/>
    <w:rsid w:val="00082907"/>
    <w:rsid w:val="0008378D"/>
    <w:rsid w:val="000869CF"/>
    <w:rsid w:val="000908A5"/>
    <w:rsid w:val="00092805"/>
    <w:rsid w:val="0009613B"/>
    <w:rsid w:val="000C454C"/>
    <w:rsid w:val="000C7CB7"/>
    <w:rsid w:val="000D5038"/>
    <w:rsid w:val="000E29D4"/>
    <w:rsid w:val="000F3540"/>
    <w:rsid w:val="00100491"/>
    <w:rsid w:val="00104E2E"/>
    <w:rsid w:val="00107287"/>
    <w:rsid w:val="00110217"/>
    <w:rsid w:val="00117406"/>
    <w:rsid w:val="00121EF0"/>
    <w:rsid w:val="00122A0F"/>
    <w:rsid w:val="0012372F"/>
    <w:rsid w:val="00124A9E"/>
    <w:rsid w:val="00130174"/>
    <w:rsid w:val="00130703"/>
    <w:rsid w:val="0013153F"/>
    <w:rsid w:val="001408B8"/>
    <w:rsid w:val="001517E2"/>
    <w:rsid w:val="001521D9"/>
    <w:rsid w:val="001554E2"/>
    <w:rsid w:val="00160105"/>
    <w:rsid w:val="00164146"/>
    <w:rsid w:val="0017369C"/>
    <w:rsid w:val="00175D57"/>
    <w:rsid w:val="00180C39"/>
    <w:rsid w:val="00180D96"/>
    <w:rsid w:val="00183C38"/>
    <w:rsid w:val="00184BD3"/>
    <w:rsid w:val="001921F3"/>
    <w:rsid w:val="001B3C5B"/>
    <w:rsid w:val="001C0E54"/>
    <w:rsid w:val="001D746F"/>
    <w:rsid w:val="001E4BBB"/>
    <w:rsid w:val="001E6304"/>
    <w:rsid w:val="00200C53"/>
    <w:rsid w:val="0020381E"/>
    <w:rsid w:val="00213471"/>
    <w:rsid w:val="00215906"/>
    <w:rsid w:val="00241CD8"/>
    <w:rsid w:val="00244B09"/>
    <w:rsid w:val="002519CB"/>
    <w:rsid w:val="0025697F"/>
    <w:rsid w:val="00260258"/>
    <w:rsid w:val="0026588E"/>
    <w:rsid w:val="00272428"/>
    <w:rsid w:val="00272948"/>
    <w:rsid w:val="00292392"/>
    <w:rsid w:val="002946C7"/>
    <w:rsid w:val="002A1AC6"/>
    <w:rsid w:val="002B3CC1"/>
    <w:rsid w:val="002C09E0"/>
    <w:rsid w:val="002C1BB1"/>
    <w:rsid w:val="002C2786"/>
    <w:rsid w:val="002C3A10"/>
    <w:rsid w:val="002C4A90"/>
    <w:rsid w:val="002C4ED5"/>
    <w:rsid w:val="002D02EF"/>
    <w:rsid w:val="002E0702"/>
    <w:rsid w:val="002E57AD"/>
    <w:rsid w:val="002E6F80"/>
    <w:rsid w:val="002F0E4F"/>
    <w:rsid w:val="002F1053"/>
    <w:rsid w:val="00302825"/>
    <w:rsid w:val="00317B0E"/>
    <w:rsid w:val="00347FAA"/>
    <w:rsid w:val="0035172D"/>
    <w:rsid w:val="0036187D"/>
    <w:rsid w:val="00365364"/>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25088"/>
    <w:rsid w:val="00431C47"/>
    <w:rsid w:val="004537D0"/>
    <w:rsid w:val="00453862"/>
    <w:rsid w:val="0045469B"/>
    <w:rsid w:val="0046019C"/>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6458"/>
    <w:rsid w:val="004E6E7D"/>
    <w:rsid w:val="004F1AAC"/>
    <w:rsid w:val="004F1AE2"/>
    <w:rsid w:val="004F34F0"/>
    <w:rsid w:val="004F3B2B"/>
    <w:rsid w:val="004F6050"/>
    <w:rsid w:val="005005EF"/>
    <w:rsid w:val="00511665"/>
    <w:rsid w:val="005123C2"/>
    <w:rsid w:val="0052144B"/>
    <w:rsid w:val="00524066"/>
    <w:rsid w:val="00534E11"/>
    <w:rsid w:val="005378D8"/>
    <w:rsid w:val="005400D9"/>
    <w:rsid w:val="005476A4"/>
    <w:rsid w:val="0055019B"/>
    <w:rsid w:val="00556E63"/>
    <w:rsid w:val="005601A4"/>
    <w:rsid w:val="00566DBB"/>
    <w:rsid w:val="005767DB"/>
    <w:rsid w:val="00580E2C"/>
    <w:rsid w:val="005815E6"/>
    <w:rsid w:val="0058712F"/>
    <w:rsid w:val="005877CF"/>
    <w:rsid w:val="005976CE"/>
    <w:rsid w:val="005A23D4"/>
    <w:rsid w:val="005A2D1E"/>
    <w:rsid w:val="005A631D"/>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47B19"/>
    <w:rsid w:val="00653D11"/>
    <w:rsid w:val="00662983"/>
    <w:rsid w:val="006834D3"/>
    <w:rsid w:val="0069121C"/>
    <w:rsid w:val="00692625"/>
    <w:rsid w:val="00695CD3"/>
    <w:rsid w:val="006A38B6"/>
    <w:rsid w:val="006B1987"/>
    <w:rsid w:val="006B5B71"/>
    <w:rsid w:val="006B6CB0"/>
    <w:rsid w:val="006C0296"/>
    <w:rsid w:val="006C2B64"/>
    <w:rsid w:val="006D4C85"/>
    <w:rsid w:val="006D66AC"/>
    <w:rsid w:val="006E29DE"/>
    <w:rsid w:val="006E33F6"/>
    <w:rsid w:val="006F1251"/>
    <w:rsid w:val="006F1C23"/>
    <w:rsid w:val="00702C18"/>
    <w:rsid w:val="00703166"/>
    <w:rsid w:val="00704571"/>
    <w:rsid w:val="007127F3"/>
    <w:rsid w:val="00721275"/>
    <w:rsid w:val="007301CF"/>
    <w:rsid w:val="007316FB"/>
    <w:rsid w:val="00734DF9"/>
    <w:rsid w:val="007374D0"/>
    <w:rsid w:val="00737E2D"/>
    <w:rsid w:val="007424D5"/>
    <w:rsid w:val="00742D9B"/>
    <w:rsid w:val="00750A88"/>
    <w:rsid w:val="007523DD"/>
    <w:rsid w:val="00757B7E"/>
    <w:rsid w:val="007656B2"/>
    <w:rsid w:val="0077016F"/>
    <w:rsid w:val="007713AD"/>
    <w:rsid w:val="00795DC5"/>
    <w:rsid w:val="00797153"/>
    <w:rsid w:val="007A0AC6"/>
    <w:rsid w:val="007A21F7"/>
    <w:rsid w:val="007A2B68"/>
    <w:rsid w:val="007B0DDA"/>
    <w:rsid w:val="007C0875"/>
    <w:rsid w:val="007C6794"/>
    <w:rsid w:val="007C7519"/>
    <w:rsid w:val="007D3347"/>
    <w:rsid w:val="007E5466"/>
    <w:rsid w:val="007F1949"/>
    <w:rsid w:val="007F2592"/>
    <w:rsid w:val="00800A08"/>
    <w:rsid w:val="00817A84"/>
    <w:rsid w:val="008225A4"/>
    <w:rsid w:val="00824899"/>
    <w:rsid w:val="00824B92"/>
    <w:rsid w:val="00826D5E"/>
    <w:rsid w:val="00832013"/>
    <w:rsid w:val="00832DB7"/>
    <w:rsid w:val="00834732"/>
    <w:rsid w:val="0085200C"/>
    <w:rsid w:val="00857C52"/>
    <w:rsid w:val="00860D5F"/>
    <w:rsid w:val="00880A44"/>
    <w:rsid w:val="0088345E"/>
    <w:rsid w:val="0088656F"/>
    <w:rsid w:val="00891EF6"/>
    <w:rsid w:val="008A0303"/>
    <w:rsid w:val="008A353D"/>
    <w:rsid w:val="008A5FDD"/>
    <w:rsid w:val="008B3A7C"/>
    <w:rsid w:val="008C3947"/>
    <w:rsid w:val="008C4DA5"/>
    <w:rsid w:val="008E473B"/>
    <w:rsid w:val="008E51A6"/>
    <w:rsid w:val="008E7329"/>
    <w:rsid w:val="008F2ED5"/>
    <w:rsid w:val="009122E1"/>
    <w:rsid w:val="0092047A"/>
    <w:rsid w:val="0092297E"/>
    <w:rsid w:val="00923651"/>
    <w:rsid w:val="00927B56"/>
    <w:rsid w:val="009341BF"/>
    <w:rsid w:val="00937907"/>
    <w:rsid w:val="00941739"/>
    <w:rsid w:val="00943E06"/>
    <w:rsid w:val="00951573"/>
    <w:rsid w:val="0095339B"/>
    <w:rsid w:val="00956CEA"/>
    <w:rsid w:val="00963003"/>
    <w:rsid w:val="00966EEF"/>
    <w:rsid w:val="00971B28"/>
    <w:rsid w:val="00973567"/>
    <w:rsid w:val="00983471"/>
    <w:rsid w:val="00987AFE"/>
    <w:rsid w:val="009909AB"/>
    <w:rsid w:val="009B37DB"/>
    <w:rsid w:val="009C3674"/>
    <w:rsid w:val="009C49F6"/>
    <w:rsid w:val="009C793D"/>
    <w:rsid w:val="009C7A8C"/>
    <w:rsid w:val="009D23F9"/>
    <w:rsid w:val="009D4FA8"/>
    <w:rsid w:val="009E0785"/>
    <w:rsid w:val="009E44AE"/>
    <w:rsid w:val="009E6CD6"/>
    <w:rsid w:val="009F4D66"/>
    <w:rsid w:val="00A00C3C"/>
    <w:rsid w:val="00A01091"/>
    <w:rsid w:val="00A042B9"/>
    <w:rsid w:val="00A06DBB"/>
    <w:rsid w:val="00A22ADF"/>
    <w:rsid w:val="00A26517"/>
    <w:rsid w:val="00A31E86"/>
    <w:rsid w:val="00A35EB6"/>
    <w:rsid w:val="00A54D87"/>
    <w:rsid w:val="00A5553C"/>
    <w:rsid w:val="00A67712"/>
    <w:rsid w:val="00A701C9"/>
    <w:rsid w:val="00A73744"/>
    <w:rsid w:val="00A81785"/>
    <w:rsid w:val="00A84803"/>
    <w:rsid w:val="00A84C51"/>
    <w:rsid w:val="00A86F2B"/>
    <w:rsid w:val="00A91366"/>
    <w:rsid w:val="00A93AA6"/>
    <w:rsid w:val="00AA03DF"/>
    <w:rsid w:val="00AA4E48"/>
    <w:rsid w:val="00AA6202"/>
    <w:rsid w:val="00AA7B57"/>
    <w:rsid w:val="00AC26FC"/>
    <w:rsid w:val="00AC4A99"/>
    <w:rsid w:val="00AC64D2"/>
    <w:rsid w:val="00AD02E7"/>
    <w:rsid w:val="00AE0FE8"/>
    <w:rsid w:val="00AE1322"/>
    <w:rsid w:val="00AF1EA4"/>
    <w:rsid w:val="00AF60D5"/>
    <w:rsid w:val="00B00959"/>
    <w:rsid w:val="00B04415"/>
    <w:rsid w:val="00B06509"/>
    <w:rsid w:val="00B11D60"/>
    <w:rsid w:val="00B13D65"/>
    <w:rsid w:val="00B21805"/>
    <w:rsid w:val="00B24C67"/>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18D3"/>
    <w:rsid w:val="00BD1D67"/>
    <w:rsid w:val="00BD585E"/>
    <w:rsid w:val="00BD6919"/>
    <w:rsid w:val="00BE1EA7"/>
    <w:rsid w:val="00BE7489"/>
    <w:rsid w:val="00BF2E0D"/>
    <w:rsid w:val="00BF3927"/>
    <w:rsid w:val="00BF3F8B"/>
    <w:rsid w:val="00BF76DA"/>
    <w:rsid w:val="00C003C1"/>
    <w:rsid w:val="00C07C7B"/>
    <w:rsid w:val="00C16245"/>
    <w:rsid w:val="00C22DC5"/>
    <w:rsid w:val="00C24479"/>
    <w:rsid w:val="00C273F2"/>
    <w:rsid w:val="00C37B53"/>
    <w:rsid w:val="00C4723B"/>
    <w:rsid w:val="00C517D2"/>
    <w:rsid w:val="00C5772E"/>
    <w:rsid w:val="00C62B36"/>
    <w:rsid w:val="00C630AE"/>
    <w:rsid w:val="00C7012C"/>
    <w:rsid w:val="00C712EA"/>
    <w:rsid w:val="00CA217D"/>
    <w:rsid w:val="00CC09D4"/>
    <w:rsid w:val="00CC4B04"/>
    <w:rsid w:val="00CC668D"/>
    <w:rsid w:val="00CC7832"/>
    <w:rsid w:val="00CD4780"/>
    <w:rsid w:val="00CF0C1C"/>
    <w:rsid w:val="00CF27FD"/>
    <w:rsid w:val="00CF5F12"/>
    <w:rsid w:val="00CF7304"/>
    <w:rsid w:val="00D00D8F"/>
    <w:rsid w:val="00D21F3A"/>
    <w:rsid w:val="00D23808"/>
    <w:rsid w:val="00D3016A"/>
    <w:rsid w:val="00D31225"/>
    <w:rsid w:val="00D417D2"/>
    <w:rsid w:val="00D42960"/>
    <w:rsid w:val="00D43BD7"/>
    <w:rsid w:val="00D4485B"/>
    <w:rsid w:val="00D4708D"/>
    <w:rsid w:val="00D4744C"/>
    <w:rsid w:val="00D521DE"/>
    <w:rsid w:val="00D5470B"/>
    <w:rsid w:val="00D63068"/>
    <w:rsid w:val="00D6498C"/>
    <w:rsid w:val="00D76A70"/>
    <w:rsid w:val="00D83182"/>
    <w:rsid w:val="00D83B4C"/>
    <w:rsid w:val="00D8521E"/>
    <w:rsid w:val="00D9291C"/>
    <w:rsid w:val="00D93A97"/>
    <w:rsid w:val="00D970E4"/>
    <w:rsid w:val="00DB1F64"/>
    <w:rsid w:val="00DC2F53"/>
    <w:rsid w:val="00DC5BAC"/>
    <w:rsid w:val="00DC6816"/>
    <w:rsid w:val="00DC76C2"/>
    <w:rsid w:val="00DD1CF2"/>
    <w:rsid w:val="00DE4484"/>
    <w:rsid w:val="00DF41B7"/>
    <w:rsid w:val="00DF4A4A"/>
    <w:rsid w:val="00DF583C"/>
    <w:rsid w:val="00E03C3F"/>
    <w:rsid w:val="00E05A24"/>
    <w:rsid w:val="00E06FD7"/>
    <w:rsid w:val="00E07417"/>
    <w:rsid w:val="00E14D08"/>
    <w:rsid w:val="00E22086"/>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C63D1"/>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4F39"/>
    <w:rsid w:val="00F456BC"/>
    <w:rsid w:val="00F50666"/>
    <w:rsid w:val="00F70C9E"/>
    <w:rsid w:val="00F74A74"/>
    <w:rsid w:val="00F7572C"/>
    <w:rsid w:val="00F8382C"/>
    <w:rsid w:val="00F855D7"/>
    <w:rsid w:val="00F904AD"/>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1"/>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 w:type="paragraph" w:customStyle="1" w:styleId="Tekstas">
    <w:name w:val="Tekstas"/>
    <w:basedOn w:val="Normal"/>
    <w:link w:val="TekstasChar"/>
    <w:qFormat/>
    <w:rsid w:val="00704571"/>
    <w:pPr>
      <w:spacing w:after="120"/>
      <w:jc w:val="both"/>
    </w:pPr>
  </w:style>
  <w:style w:type="character" w:customStyle="1" w:styleId="TekstasChar">
    <w:name w:val="Tekstas Char"/>
    <w:link w:val="Tekstas"/>
    <w:rsid w:val="00704571"/>
    <w:rPr>
      <w:sz w:val="24"/>
      <w:szCs w:val="24"/>
      <w:lang w:eastAsia="en-US"/>
    </w:rPr>
  </w:style>
  <w:style w:type="paragraph" w:customStyle="1" w:styleId="Tekstaspolentele">
    <w:name w:val="Tekstas po lentele"/>
    <w:basedOn w:val="Normal"/>
    <w:qFormat/>
    <w:locked/>
    <w:rsid w:val="00580E2C"/>
    <w:pPr>
      <w:spacing w:before="2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72641ED32C4335869D71AC8F57518F"/>
        <w:category>
          <w:name w:val="Bendrosios nuostatos"/>
          <w:gallery w:val="placeholder"/>
        </w:category>
        <w:types>
          <w:type w:val="bbPlcHdr"/>
        </w:types>
        <w:behaviors>
          <w:behavior w:val="content"/>
        </w:behaviors>
        <w:guid w:val="{25FF24F3-D713-40B1-B268-A19576C3D8EA}"/>
      </w:docPartPr>
      <w:docPartBody>
        <w:p w:rsidR="00252976" w:rsidRDefault="00252976" w:rsidP="00252976">
          <w:pPr>
            <w:pStyle w:val="0472641ED32C4335869D71AC8F57518F"/>
          </w:pPr>
          <w:r>
            <w:rPr>
              <w:rStyle w:val="PlaceholderText"/>
            </w:rPr>
            <w:t>Click here to enter a date.</w:t>
          </w:r>
        </w:p>
      </w:docPartBody>
    </w:docPart>
    <w:docPart>
      <w:docPartPr>
        <w:name w:val="BF458B5ABE85431D8685BD1D25BBB3FD"/>
        <w:category>
          <w:name w:val="Bendrosios nuostatos"/>
          <w:gallery w:val="placeholder"/>
        </w:category>
        <w:types>
          <w:type w:val="bbPlcHdr"/>
        </w:types>
        <w:behaviors>
          <w:behavior w:val="content"/>
        </w:behaviors>
        <w:guid w:val="{936AC4DE-A025-4ECB-A0A3-BEA6D9816F80}"/>
      </w:docPartPr>
      <w:docPartBody>
        <w:p w:rsidR="00252976" w:rsidRDefault="00252976" w:rsidP="00252976">
          <w:pPr>
            <w:pStyle w:val="BF458B5ABE85431D8685BD1D25BBB3FD"/>
          </w:pPr>
          <w:r>
            <w:rPr>
              <w:rStyle w:val="PlaceholderText"/>
            </w:rPr>
            <w:t>Click here to enter a date.</w:t>
          </w:r>
        </w:p>
      </w:docPartBody>
    </w:docPart>
    <w:docPart>
      <w:docPartPr>
        <w:name w:val="5E23E4AB9B104D07A2D59E30E1D6FB64"/>
        <w:category>
          <w:name w:val="Bendrosios nuostatos"/>
          <w:gallery w:val="placeholder"/>
        </w:category>
        <w:types>
          <w:type w:val="bbPlcHdr"/>
        </w:types>
        <w:behaviors>
          <w:behavior w:val="content"/>
        </w:behaviors>
        <w:guid w:val="{2768BEFE-42A5-4D03-B6B0-E7156AC890C1}"/>
      </w:docPartPr>
      <w:docPartBody>
        <w:p w:rsidR="00252976" w:rsidRDefault="00252976" w:rsidP="00252976">
          <w:pPr>
            <w:pStyle w:val="5E23E4AB9B104D07A2D59E30E1D6FB64"/>
          </w:pPr>
          <w:r w:rsidRPr="00546469">
            <w:rPr>
              <w:rStyle w:val="PlaceholderText"/>
            </w:rPr>
            <w:t>Click or tap here to enter text.</w:t>
          </w:r>
        </w:p>
      </w:docPartBody>
    </w:docPart>
    <w:docPart>
      <w:docPartPr>
        <w:name w:val="4046C1DE011146779A8D27D2CE13E1D0"/>
        <w:category>
          <w:name w:val="Bendrosios nuostatos"/>
          <w:gallery w:val="placeholder"/>
        </w:category>
        <w:types>
          <w:type w:val="bbPlcHdr"/>
        </w:types>
        <w:behaviors>
          <w:behavior w:val="content"/>
        </w:behaviors>
        <w:guid w:val="{A4F164EC-8CE8-4E7F-965E-2AFF3F832AA6}"/>
      </w:docPartPr>
      <w:docPartBody>
        <w:p w:rsidR="00252976" w:rsidRDefault="00252976" w:rsidP="00252976">
          <w:pPr>
            <w:pStyle w:val="4046C1DE011146779A8D27D2CE13E1D0"/>
          </w:pPr>
          <w:r>
            <w:rPr>
              <w:rStyle w:val="PlaceholderText"/>
            </w:rPr>
            <w:t>Click here to enter a date.</w:t>
          </w:r>
        </w:p>
      </w:docPartBody>
    </w:docPart>
    <w:docPart>
      <w:docPartPr>
        <w:name w:val="DA718725BE73467F813C7E2C12E3A89A"/>
        <w:category>
          <w:name w:val="Bendrosios nuostatos"/>
          <w:gallery w:val="placeholder"/>
        </w:category>
        <w:types>
          <w:type w:val="bbPlcHdr"/>
        </w:types>
        <w:behaviors>
          <w:behavior w:val="content"/>
        </w:behaviors>
        <w:guid w:val="{2250655B-1FB5-4A3A-BF90-17EDEDD11131}"/>
      </w:docPartPr>
      <w:docPartBody>
        <w:p w:rsidR="00252976" w:rsidRDefault="00252976" w:rsidP="00252976">
          <w:pPr>
            <w:pStyle w:val="DA718725BE73467F813C7E2C12E3A89A"/>
          </w:pPr>
          <w:r>
            <w:rPr>
              <w:rStyle w:val="PlaceholderText"/>
            </w:rPr>
            <w:t>Click here to enter a date.</w:t>
          </w:r>
        </w:p>
      </w:docPartBody>
    </w:docPart>
    <w:docPart>
      <w:docPartPr>
        <w:name w:val="7D7378FCC11E44479D73DFFBA6261470"/>
        <w:category>
          <w:name w:val="General"/>
          <w:gallery w:val="placeholder"/>
        </w:category>
        <w:types>
          <w:type w:val="bbPlcHdr"/>
        </w:types>
        <w:behaviors>
          <w:behavior w:val="content"/>
        </w:behaviors>
        <w:guid w:val="{B64E4DC2-250F-EB49-920E-7F7597966199}"/>
      </w:docPartPr>
      <w:docPartBody>
        <w:p w:rsidR="00AA0181" w:rsidRDefault="004D2794" w:rsidP="004D2794">
          <w:pPr>
            <w:pStyle w:val="7D7378FCC11E44479D73DFFBA626147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2372F"/>
    <w:rsid w:val="00130174"/>
    <w:rsid w:val="0016720C"/>
    <w:rsid w:val="001C35A9"/>
    <w:rsid w:val="001F47C5"/>
    <w:rsid w:val="00237556"/>
    <w:rsid w:val="00252976"/>
    <w:rsid w:val="00317AD6"/>
    <w:rsid w:val="00365364"/>
    <w:rsid w:val="0039303B"/>
    <w:rsid w:val="004144A3"/>
    <w:rsid w:val="004160E7"/>
    <w:rsid w:val="00425088"/>
    <w:rsid w:val="004416C6"/>
    <w:rsid w:val="00496078"/>
    <w:rsid w:val="004D2794"/>
    <w:rsid w:val="004F5AB2"/>
    <w:rsid w:val="005074B9"/>
    <w:rsid w:val="00510A3A"/>
    <w:rsid w:val="005E40DD"/>
    <w:rsid w:val="0069121C"/>
    <w:rsid w:val="007219C1"/>
    <w:rsid w:val="00736101"/>
    <w:rsid w:val="0074261C"/>
    <w:rsid w:val="00753462"/>
    <w:rsid w:val="00772325"/>
    <w:rsid w:val="007A2FE0"/>
    <w:rsid w:val="007C6D1D"/>
    <w:rsid w:val="007F381D"/>
    <w:rsid w:val="0090074D"/>
    <w:rsid w:val="0095339B"/>
    <w:rsid w:val="009B3BF0"/>
    <w:rsid w:val="009C793D"/>
    <w:rsid w:val="009D5E5E"/>
    <w:rsid w:val="009D7B35"/>
    <w:rsid w:val="009F1BB4"/>
    <w:rsid w:val="00A73744"/>
    <w:rsid w:val="00AA0181"/>
    <w:rsid w:val="00AA0EDA"/>
    <w:rsid w:val="00AB6ED4"/>
    <w:rsid w:val="00B14210"/>
    <w:rsid w:val="00B23DC0"/>
    <w:rsid w:val="00B7318E"/>
    <w:rsid w:val="00B96656"/>
    <w:rsid w:val="00BE29C1"/>
    <w:rsid w:val="00C2401D"/>
    <w:rsid w:val="00C4723B"/>
    <w:rsid w:val="00C53A68"/>
    <w:rsid w:val="00CA5BB4"/>
    <w:rsid w:val="00CB4BD1"/>
    <w:rsid w:val="00CE2DA9"/>
    <w:rsid w:val="00CE44BE"/>
    <w:rsid w:val="00D107CD"/>
    <w:rsid w:val="00D4356B"/>
    <w:rsid w:val="00D7162F"/>
    <w:rsid w:val="00D8293A"/>
    <w:rsid w:val="00E44A86"/>
    <w:rsid w:val="00E522EB"/>
    <w:rsid w:val="00E60827"/>
    <w:rsid w:val="00E73FF6"/>
    <w:rsid w:val="00EF6E0C"/>
    <w:rsid w:val="00F2298E"/>
    <w:rsid w:val="00F43CCE"/>
    <w:rsid w:val="00F55028"/>
    <w:rsid w:val="00F77BEF"/>
    <w:rsid w:val="00F8085D"/>
    <w:rsid w:val="00F904AD"/>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2794"/>
    <w:rPr>
      <w:color w:val="808080"/>
    </w:rPr>
  </w:style>
  <w:style w:type="paragraph" w:customStyle="1" w:styleId="0472641ED32C4335869D71AC8F57518F">
    <w:name w:val="0472641ED32C4335869D71AC8F57518F"/>
    <w:rsid w:val="00252976"/>
    <w:pPr>
      <w:spacing w:line="278" w:lineRule="auto"/>
    </w:pPr>
    <w:rPr>
      <w:kern w:val="2"/>
      <w:sz w:val="24"/>
      <w:szCs w:val="24"/>
      <w14:ligatures w14:val="standardContextual"/>
    </w:rPr>
  </w:style>
  <w:style w:type="paragraph" w:customStyle="1" w:styleId="BF458B5ABE85431D8685BD1D25BBB3FD">
    <w:name w:val="BF458B5ABE85431D8685BD1D25BBB3FD"/>
    <w:rsid w:val="00252976"/>
    <w:pPr>
      <w:spacing w:line="278" w:lineRule="auto"/>
    </w:pPr>
    <w:rPr>
      <w:kern w:val="2"/>
      <w:sz w:val="24"/>
      <w:szCs w:val="24"/>
      <w14:ligatures w14:val="standardContextual"/>
    </w:rPr>
  </w:style>
  <w:style w:type="paragraph" w:customStyle="1" w:styleId="5E23E4AB9B104D07A2D59E30E1D6FB64">
    <w:name w:val="5E23E4AB9B104D07A2D59E30E1D6FB64"/>
    <w:rsid w:val="00252976"/>
    <w:pPr>
      <w:spacing w:line="278" w:lineRule="auto"/>
    </w:pPr>
    <w:rPr>
      <w:kern w:val="2"/>
      <w:sz w:val="24"/>
      <w:szCs w:val="24"/>
      <w14:ligatures w14:val="standardContextual"/>
    </w:rPr>
  </w:style>
  <w:style w:type="paragraph" w:customStyle="1" w:styleId="4046C1DE011146779A8D27D2CE13E1D0">
    <w:name w:val="4046C1DE011146779A8D27D2CE13E1D0"/>
    <w:rsid w:val="00252976"/>
    <w:pPr>
      <w:spacing w:line="278" w:lineRule="auto"/>
    </w:pPr>
    <w:rPr>
      <w:kern w:val="2"/>
      <w:sz w:val="24"/>
      <w:szCs w:val="24"/>
      <w14:ligatures w14:val="standardContextual"/>
    </w:rPr>
  </w:style>
  <w:style w:type="paragraph" w:customStyle="1" w:styleId="DA718725BE73467F813C7E2C12E3A89A">
    <w:name w:val="DA718725BE73467F813C7E2C12E3A89A"/>
    <w:rsid w:val="00252976"/>
    <w:pPr>
      <w:spacing w:line="278" w:lineRule="auto"/>
    </w:pPr>
    <w:rPr>
      <w:kern w:val="2"/>
      <w:sz w:val="24"/>
      <w:szCs w:val="24"/>
      <w14:ligatures w14:val="standardContextual"/>
    </w:rPr>
  </w:style>
  <w:style w:type="paragraph" w:customStyle="1" w:styleId="7D7378FCC11E44479D73DFFBA6261470">
    <w:name w:val="7D7378FCC11E44479D73DFFBA6261470"/>
    <w:rsid w:val="004D2794"/>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A032C-41EC-4118-9FA2-B659EF6B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15118</Characters>
  <Application>Microsoft Office Word</Application>
  <DocSecurity>0</DocSecurity>
  <Lines>125</Lines>
  <Paragraphs>34</Paragraphs>
  <ScaleCrop>false</ScaleCrop>
  <Company/>
  <LinksUpToDate>false</LinksUpToDate>
  <CharactersWithSpaces>17253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2025-03-26T07:09:00Z</dcterms:created>
  <dcterms:modified xsi:type="dcterms:W3CDTF">2025-03-31T14:14:00Z</dcterms:modified>
</cp:coreProperties>
</file>