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632BB3" w:rsidRDefault="005F7602" w:rsidP="002946C7">
      <w:pPr>
        <w:ind w:left="5529"/>
      </w:pPr>
    </w:p>
    <w:p w14:paraId="12FA4B9E" w14:textId="77777777" w:rsidR="001B3C5B" w:rsidRPr="00632BB3" w:rsidRDefault="001B3C5B" w:rsidP="001B3C5B">
      <w:pPr>
        <w:ind w:left="6096"/>
      </w:pPr>
      <w:r w:rsidRPr="00632BB3">
        <w:t>Forma patvirtinta</w:t>
      </w:r>
    </w:p>
    <w:p w14:paraId="7206970B" w14:textId="70E9BD2E" w:rsidR="004C263A" w:rsidRPr="00632BB3" w:rsidRDefault="001B3C5B" w:rsidP="001B3C5B">
      <w:pPr>
        <w:ind w:left="6096"/>
      </w:pPr>
      <w:r w:rsidRPr="00632BB3">
        <w:t>Valstybinės vaistų kontrolės tarnybos prie Lietuvos Respublikos sveikatos apsaugos ministerijos viršininko 2021 m</w:t>
      </w:r>
      <w:r w:rsidR="004C263A" w:rsidRPr="00632BB3">
        <w:t xml:space="preserve">. lapkričio 12 </w:t>
      </w:r>
      <w:r w:rsidRPr="00632BB3">
        <w:t>d. įsakymu Nr.</w:t>
      </w:r>
      <w:r w:rsidR="004C263A" w:rsidRPr="00632BB3">
        <w:t xml:space="preserve"> (1.72E)1A-1418</w:t>
      </w:r>
    </w:p>
    <w:p w14:paraId="5B219AA6" w14:textId="520B9136" w:rsidR="001B3C5B" w:rsidRPr="00632BB3" w:rsidRDefault="004C263A" w:rsidP="001B3C5B">
      <w:pPr>
        <w:ind w:left="6096"/>
      </w:pPr>
      <w:r w:rsidRPr="00632BB3">
        <w:t>(Valstybinės vaistų kontrolės tarnybos prie Lietuvos Respublikos sveikatos apsaugos ministerijos viršininko 2022 m.                         d. įsakymo Nr.                    redakcija)</w:t>
      </w:r>
    </w:p>
    <w:p w14:paraId="3336BD74" w14:textId="77777777" w:rsidR="001B3C5B" w:rsidRPr="00632BB3" w:rsidRDefault="001B3C5B" w:rsidP="00FA4169"/>
    <w:p w14:paraId="77AFB67E" w14:textId="16397257" w:rsidR="00613501" w:rsidRPr="00632BB3" w:rsidRDefault="002F0E4F" w:rsidP="003B211A">
      <w:pPr>
        <w:jc w:val="center"/>
        <w:rPr>
          <w:b/>
          <w:bCs/>
          <w:caps/>
        </w:rPr>
      </w:pPr>
      <w:r w:rsidRPr="00632BB3">
        <w:rPr>
          <w:b/>
        </w:rPr>
        <w:t xml:space="preserve">REKOMENDACIJA DĖL VAISTINIO PREPARATO </w:t>
      </w:r>
      <w:r w:rsidRPr="00632BB3">
        <w:rPr>
          <w:b/>
          <w:bCs/>
          <w:caps/>
        </w:rPr>
        <w:t>Lietuvos Respublikos Sveikatos apsaugos ministerijos vaistinių preparatų ir medicinos pagalbos priemonių kompensavimo komisijai</w:t>
      </w:r>
    </w:p>
    <w:p w14:paraId="34E4395D" w14:textId="15FB10DF" w:rsidR="00B13D65" w:rsidRPr="00632BB3" w:rsidRDefault="00B13D65" w:rsidP="003B211A">
      <w:pPr>
        <w:jc w:val="center"/>
        <w:rPr>
          <w:b/>
        </w:rPr>
      </w:pPr>
    </w:p>
    <w:p w14:paraId="1E1043AF" w14:textId="77777777" w:rsidR="008C2035" w:rsidRPr="00632BB3" w:rsidRDefault="008C2035" w:rsidP="008C2035">
      <w:pPr>
        <w:spacing w:line="276" w:lineRule="auto"/>
        <w:ind w:firstLine="806"/>
        <w:jc w:val="center"/>
        <w:rPr>
          <w:b/>
          <w:bCs/>
        </w:rPr>
      </w:pPr>
      <w:r w:rsidRPr="00632BB3">
        <w:rPr>
          <w:b/>
          <w:bCs/>
        </w:rPr>
        <w:t>LIBTAYO 350 mg koncentratas infuziniam tirpalui 7 ml N1</w:t>
      </w:r>
    </w:p>
    <w:p w14:paraId="710153DB" w14:textId="77777777" w:rsidR="008C2035" w:rsidRPr="00632BB3" w:rsidRDefault="008C2035" w:rsidP="008C2035">
      <w:pPr>
        <w:spacing w:line="276" w:lineRule="auto"/>
        <w:jc w:val="center"/>
      </w:pPr>
    </w:p>
    <w:p w14:paraId="5AFAFD1B" w14:textId="77777777" w:rsidR="008C2035" w:rsidRPr="00632BB3" w:rsidRDefault="008C2035" w:rsidP="008C2035">
      <w:pPr>
        <w:spacing w:line="276" w:lineRule="auto"/>
        <w:jc w:val="center"/>
        <w:rPr>
          <w:b/>
          <w:bCs/>
        </w:rPr>
      </w:pPr>
      <w:r w:rsidRPr="00632BB3">
        <w:rPr>
          <w:b/>
          <w:bCs/>
        </w:rPr>
        <w:t>Cemiplimabas</w:t>
      </w:r>
    </w:p>
    <w:p w14:paraId="69CCDB15" w14:textId="77777777" w:rsidR="008C2035" w:rsidRPr="00632BB3" w:rsidRDefault="008C2035" w:rsidP="008C2035">
      <w:pPr>
        <w:spacing w:line="276" w:lineRule="auto"/>
        <w:jc w:val="center"/>
      </w:pPr>
    </w:p>
    <w:p w14:paraId="72FDB281" w14:textId="77777777" w:rsidR="008C2035" w:rsidRPr="00632BB3" w:rsidRDefault="008C2035" w:rsidP="008C2035">
      <w:pPr>
        <w:spacing w:line="276" w:lineRule="auto"/>
        <w:jc w:val="center"/>
        <w:rPr>
          <w:b/>
        </w:rPr>
      </w:pPr>
      <w:r w:rsidRPr="00632BB3">
        <w:rPr>
          <w:b/>
        </w:rPr>
        <w:t>STV - 195</w:t>
      </w:r>
    </w:p>
    <w:p w14:paraId="453197C8" w14:textId="77777777" w:rsidR="00D4708D" w:rsidRPr="00632BB3" w:rsidRDefault="00D4708D" w:rsidP="009B2F9C">
      <w:pPr>
        <w:rPr>
          <w:b/>
        </w:rPr>
      </w:pPr>
    </w:p>
    <w:p w14:paraId="78C89D1C" w14:textId="0DEFFAA5" w:rsidR="00D4485B" w:rsidRPr="00632BB3" w:rsidRDefault="00B13D65" w:rsidP="00CC09D4">
      <w:pPr>
        <w:pStyle w:val="ListParagraph"/>
        <w:numPr>
          <w:ilvl w:val="0"/>
          <w:numId w:val="12"/>
        </w:numPr>
        <w:tabs>
          <w:tab w:val="left" w:pos="567"/>
        </w:tabs>
        <w:ind w:left="567" w:hanging="567"/>
        <w:rPr>
          <w:b/>
          <w:bCs/>
          <w:caps/>
        </w:rPr>
      </w:pPr>
      <w:r w:rsidRPr="00632BB3">
        <w:rPr>
          <w:b/>
          <w:bCs/>
          <w:caps/>
        </w:rPr>
        <w:t>Bendroji dalis</w:t>
      </w:r>
    </w:p>
    <w:p w14:paraId="04A7C7A7" w14:textId="77777777" w:rsidR="00B13D65" w:rsidRPr="00632BB3"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8C2035" w:rsidRPr="00632BB3" w14:paraId="18A83EC2" w14:textId="77777777" w:rsidTr="00BE7489">
        <w:trPr>
          <w:trHeight w:val="538"/>
        </w:trPr>
        <w:tc>
          <w:tcPr>
            <w:tcW w:w="632" w:type="dxa"/>
          </w:tcPr>
          <w:p w14:paraId="0646FBEA" w14:textId="77777777" w:rsidR="008C2035" w:rsidRPr="00632BB3" w:rsidRDefault="008C2035" w:rsidP="008C2035">
            <w:pPr>
              <w:rPr>
                <w:rFonts w:eastAsia="Arial"/>
              </w:rPr>
            </w:pPr>
            <w:r w:rsidRPr="00632BB3">
              <w:rPr>
                <w:rFonts w:eastAsia="Arial"/>
              </w:rPr>
              <w:t>1.1</w:t>
            </w:r>
          </w:p>
        </w:tc>
        <w:tc>
          <w:tcPr>
            <w:tcW w:w="3694" w:type="dxa"/>
          </w:tcPr>
          <w:p w14:paraId="6C3AE864" w14:textId="77777777" w:rsidR="008C2035" w:rsidRPr="00632BB3" w:rsidRDefault="008C2035" w:rsidP="008C2035">
            <w:pPr>
              <w:rPr>
                <w:rFonts w:eastAsia="Arial"/>
              </w:rPr>
            </w:pPr>
            <w:r w:rsidRPr="00632BB3">
              <w:rPr>
                <w:rFonts w:eastAsia="Arial"/>
              </w:rPr>
              <w:t>Pareiškėjas</w:t>
            </w:r>
          </w:p>
          <w:p w14:paraId="2AF240DC" w14:textId="77777777" w:rsidR="008C2035" w:rsidRPr="00632BB3" w:rsidRDefault="008C2035" w:rsidP="008C2035">
            <w:pPr>
              <w:rPr>
                <w:rFonts w:eastAsia="Arial"/>
              </w:rPr>
            </w:pPr>
          </w:p>
        </w:tc>
        <w:tc>
          <w:tcPr>
            <w:tcW w:w="5167" w:type="dxa"/>
          </w:tcPr>
          <w:p w14:paraId="2AAF0D91" w14:textId="5265CC0D" w:rsidR="008C2035" w:rsidRPr="00632BB3" w:rsidRDefault="008C2035" w:rsidP="008C2035">
            <w:pPr>
              <w:rPr>
                <w:rFonts w:eastAsia="Arial"/>
              </w:rPr>
            </w:pPr>
            <w:r w:rsidRPr="00632BB3">
              <w:rPr>
                <w:szCs w:val="28"/>
                <w:lang w:eastAsia="lt-LT"/>
              </w:rPr>
              <w:t>Medison Pharma Lithuania, UAB</w:t>
            </w:r>
          </w:p>
        </w:tc>
      </w:tr>
      <w:tr w:rsidR="008C2035" w:rsidRPr="00632BB3" w14:paraId="31998B0D" w14:textId="77777777" w:rsidTr="00BE7489">
        <w:trPr>
          <w:trHeight w:val="538"/>
        </w:trPr>
        <w:tc>
          <w:tcPr>
            <w:tcW w:w="632" w:type="dxa"/>
          </w:tcPr>
          <w:p w14:paraId="2005EC67" w14:textId="662300D0" w:rsidR="008C2035" w:rsidRPr="00632BB3" w:rsidRDefault="008C2035" w:rsidP="008C2035">
            <w:pPr>
              <w:rPr>
                <w:rFonts w:eastAsia="Arial"/>
              </w:rPr>
            </w:pPr>
            <w:r w:rsidRPr="00632BB3">
              <w:rPr>
                <w:rFonts w:eastAsia="Arial"/>
              </w:rPr>
              <w:t>1.2</w:t>
            </w:r>
          </w:p>
        </w:tc>
        <w:tc>
          <w:tcPr>
            <w:tcW w:w="3694" w:type="dxa"/>
          </w:tcPr>
          <w:p w14:paraId="1E4AE3B1" w14:textId="77777777" w:rsidR="008C2035" w:rsidRPr="00632BB3" w:rsidRDefault="008C2035" w:rsidP="008C2035">
            <w:pPr>
              <w:rPr>
                <w:bCs/>
                <w:lang w:eastAsia="lt-LT"/>
              </w:rPr>
            </w:pPr>
            <w:r w:rsidRPr="00632BB3">
              <w:rPr>
                <w:bCs/>
                <w:lang w:eastAsia="lt-LT"/>
              </w:rPr>
              <w:t xml:space="preserve">Registracijos data </w:t>
            </w:r>
          </w:p>
          <w:p w14:paraId="3A0DC096" w14:textId="77777777" w:rsidR="008C2035" w:rsidRPr="00632BB3" w:rsidRDefault="008C2035" w:rsidP="008C2035">
            <w:pPr>
              <w:rPr>
                <w:bCs/>
                <w:lang w:eastAsia="lt-LT"/>
              </w:rPr>
            </w:pPr>
          </w:p>
        </w:tc>
        <w:tc>
          <w:tcPr>
            <w:tcW w:w="5167" w:type="dxa"/>
          </w:tcPr>
          <w:p w14:paraId="313F37DF" w14:textId="77777777" w:rsidR="008C2035" w:rsidRPr="00632BB3" w:rsidRDefault="00B12DF6" w:rsidP="008C2035">
            <w:pPr>
              <w:pStyle w:val="ListParagraph"/>
              <w:spacing w:after="120" w:line="276" w:lineRule="auto"/>
              <w:ind w:left="0"/>
              <w:contextualSpacing w:val="0"/>
              <w:jc w:val="both"/>
            </w:pPr>
            <w:sdt>
              <w:sdtPr>
                <w:alias w:val="Nurodykite konkrečią dieną"/>
                <w:tag w:val="Nurodykite pradžios datą"/>
                <w:id w:val="423238108"/>
                <w:placeholder>
                  <w:docPart w:val="178B73036F0B4B4CA34E6F569524E5FA"/>
                </w:placeholder>
                <w15:color w:val="FFCC99"/>
                <w:date w:fullDate="2019-06-28T00:00:00Z">
                  <w:dateFormat w:val="yyyy 'm.' MMMM d 'd.'"/>
                  <w:lid w:val="lt-LT"/>
                  <w:storeMappedDataAs w:val="dateTime"/>
                  <w:calendar w:val="gregorian"/>
                </w:date>
              </w:sdtPr>
              <w:sdtEndPr/>
              <w:sdtContent>
                <w:r w:rsidR="008C2035" w:rsidRPr="00632BB3">
                  <w:t>2019 m. birželio 28 d.</w:t>
                </w:r>
              </w:sdtContent>
            </w:sdt>
          </w:p>
          <w:p w14:paraId="3CA218AD" w14:textId="614F313D" w:rsidR="008C2035" w:rsidRPr="00632BB3" w:rsidRDefault="008C2035" w:rsidP="008C2035">
            <w:pPr>
              <w:rPr>
                <w:rStyle w:val="Style2"/>
              </w:rPr>
            </w:pPr>
            <w:r w:rsidRPr="00632BB3">
              <w:t>Paskutinio perregistravimo data 2022 m. liepos 1 d.</w:t>
            </w:r>
          </w:p>
        </w:tc>
      </w:tr>
      <w:tr w:rsidR="000203E1" w:rsidRPr="00632BB3" w14:paraId="15968AE1" w14:textId="77777777" w:rsidTr="00BE7489">
        <w:trPr>
          <w:trHeight w:val="1500"/>
        </w:trPr>
        <w:tc>
          <w:tcPr>
            <w:tcW w:w="632" w:type="dxa"/>
          </w:tcPr>
          <w:p w14:paraId="6A784245" w14:textId="1E461489" w:rsidR="00B13D65" w:rsidRPr="00632BB3" w:rsidRDefault="002E0702" w:rsidP="00824B92">
            <w:pPr>
              <w:rPr>
                <w:rFonts w:eastAsia="Arial"/>
              </w:rPr>
            </w:pPr>
            <w:r w:rsidRPr="00632BB3">
              <w:rPr>
                <w:rFonts w:eastAsia="Arial"/>
              </w:rPr>
              <w:t>1.3</w:t>
            </w:r>
          </w:p>
        </w:tc>
        <w:tc>
          <w:tcPr>
            <w:tcW w:w="3694" w:type="dxa"/>
          </w:tcPr>
          <w:p w14:paraId="22933506" w14:textId="77777777" w:rsidR="00B13D65" w:rsidRPr="00632BB3" w:rsidRDefault="00B13D65" w:rsidP="00824B92">
            <w:r w:rsidRPr="00632BB3">
              <w:t xml:space="preserve">Paraiškos tipas </w:t>
            </w:r>
          </w:p>
          <w:p w14:paraId="0465E680" w14:textId="7F0A0714" w:rsidR="00B13D65" w:rsidRPr="00632BB3" w:rsidRDefault="00B13D65" w:rsidP="00824B92">
            <w:r w:rsidRPr="00632BB3">
              <w:t>(</w:t>
            </w:r>
            <w:r w:rsidR="00695CD3" w:rsidRPr="00632BB3">
              <w:t xml:space="preserve">pagal </w:t>
            </w:r>
            <w:r w:rsidR="0039696E" w:rsidRPr="00632BB3">
              <w:rPr>
                <w:shd w:val="clear" w:color="auto" w:fill="FFFFFF"/>
              </w:rPr>
              <w:t>vaistinio preparato registracijos tipą, įtvirtintą</w:t>
            </w:r>
            <w:r w:rsidR="0039696E" w:rsidRPr="00632BB3">
              <w:t xml:space="preserve"> </w:t>
            </w:r>
            <w:r w:rsidRPr="00632BB3">
              <w:t>Direktyv</w:t>
            </w:r>
            <w:r w:rsidR="00695CD3" w:rsidRPr="00632BB3">
              <w:t>os</w:t>
            </w:r>
            <w:r w:rsidRPr="00632BB3">
              <w:t xml:space="preserve"> 2001/83/EB</w:t>
            </w:r>
            <w:r w:rsidR="00695CD3" w:rsidRPr="00632BB3">
              <w:t xml:space="preserve"> straips</w:t>
            </w:r>
            <w:r w:rsidR="0039696E" w:rsidRPr="00632BB3">
              <w:t>iuose</w:t>
            </w:r>
            <w:r w:rsidRPr="00632BB3">
              <w:t>)</w:t>
            </w:r>
          </w:p>
          <w:p w14:paraId="77089D80" w14:textId="6681D72A" w:rsidR="00B13D65" w:rsidRPr="00632BB3" w:rsidRDefault="00B13D65" w:rsidP="00824B92">
            <w:pPr>
              <w:rPr>
                <w:bCs/>
                <w:lang w:eastAsia="lt-LT"/>
              </w:rPr>
            </w:pPr>
          </w:p>
        </w:tc>
        <w:tc>
          <w:tcPr>
            <w:tcW w:w="5167" w:type="dxa"/>
          </w:tcPr>
          <w:p w14:paraId="208F40EC" w14:textId="72AD270C" w:rsidR="00B13D65" w:rsidRPr="00632BB3" w:rsidRDefault="00B12DF6" w:rsidP="00824B92">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9B2F9C" w:rsidRPr="00632BB3">
                  <w:rPr>
                    <w:rStyle w:val="Style2"/>
                    <w:rFonts w:ascii="Segoe UI Symbol" w:eastAsia="MS Gothic" w:hAnsi="Segoe UI Symbol" w:cs="Segoe UI Symbol"/>
                    <w:sz w:val="24"/>
                  </w:rPr>
                  <w:t>☒</w:t>
                </w:r>
              </w:sdtContent>
            </w:sdt>
            <w:r w:rsidR="00B13D65" w:rsidRPr="00632BB3">
              <w:t xml:space="preserve">8.3 str. (pilna byla, pagrįsta savais tyrimais) </w:t>
            </w:r>
          </w:p>
          <w:p w14:paraId="32BA564E" w14:textId="3FDA3E01" w:rsidR="00B13D65" w:rsidRPr="00632BB3" w:rsidRDefault="00B12DF6" w:rsidP="00824B92">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CC7832" w:rsidRPr="00632BB3">
                  <w:rPr>
                    <w:rStyle w:val="Style2"/>
                    <w:rFonts w:ascii="Segoe UI Symbol" w:eastAsia="MS Gothic" w:hAnsi="Segoe UI Symbol" w:cs="Segoe UI Symbol"/>
                    <w:sz w:val="24"/>
                  </w:rPr>
                  <w:t>☐</w:t>
                </w:r>
              </w:sdtContent>
            </w:sdt>
            <w:r w:rsidR="00B13D65" w:rsidRPr="00632BB3">
              <w:t xml:space="preserve">10 a str. (pripažintas medicininis vartojimas) </w:t>
            </w:r>
          </w:p>
          <w:p w14:paraId="318DCD7F" w14:textId="32333E53" w:rsidR="00B13D65" w:rsidRPr="00632BB3" w:rsidRDefault="00B12DF6" w:rsidP="00824B92">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CC7832" w:rsidRPr="00632BB3">
                  <w:rPr>
                    <w:rStyle w:val="Style2"/>
                    <w:rFonts w:ascii="Segoe UI Symbol" w:eastAsia="MS Gothic" w:hAnsi="Segoe UI Symbol" w:cs="Segoe UI Symbol"/>
                    <w:sz w:val="24"/>
                  </w:rPr>
                  <w:t>☐</w:t>
                </w:r>
              </w:sdtContent>
            </w:sdt>
            <w:r w:rsidR="00B13D65" w:rsidRPr="00632BB3">
              <w:t>10.1 str. (generinis)</w:t>
            </w:r>
          </w:p>
          <w:p w14:paraId="3B0A4F72" w14:textId="3F5FB073" w:rsidR="00B13D65" w:rsidRPr="00632BB3" w:rsidRDefault="00B12DF6"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CC7832" w:rsidRPr="00632BB3">
                  <w:rPr>
                    <w:rStyle w:val="Style2"/>
                    <w:rFonts w:ascii="Segoe UI Symbol" w:eastAsia="MS Gothic" w:hAnsi="Segoe UI Symbol" w:cs="Segoe UI Symbol"/>
                    <w:sz w:val="24"/>
                  </w:rPr>
                  <w:t>☐</w:t>
                </w:r>
              </w:sdtContent>
            </w:sdt>
            <w:r w:rsidR="00B13D65" w:rsidRPr="00632BB3">
              <w:t>10.3 str. (hibridinis)</w:t>
            </w:r>
          </w:p>
        </w:tc>
      </w:tr>
      <w:tr w:rsidR="000203E1" w:rsidRPr="00632BB3" w14:paraId="310E9662" w14:textId="77777777" w:rsidTr="00BE7489">
        <w:trPr>
          <w:trHeight w:val="1442"/>
        </w:trPr>
        <w:tc>
          <w:tcPr>
            <w:tcW w:w="632" w:type="dxa"/>
          </w:tcPr>
          <w:p w14:paraId="4B5A91A2" w14:textId="561B5E5F" w:rsidR="00B13D65" w:rsidRPr="00632BB3" w:rsidRDefault="00B13D65" w:rsidP="00824B92">
            <w:pPr>
              <w:rPr>
                <w:rFonts w:eastAsia="Arial"/>
              </w:rPr>
            </w:pPr>
            <w:r w:rsidRPr="00632BB3">
              <w:rPr>
                <w:rFonts w:eastAsia="Arial"/>
              </w:rPr>
              <w:t>1.</w:t>
            </w:r>
            <w:r w:rsidR="002E0702" w:rsidRPr="00632BB3">
              <w:rPr>
                <w:rFonts w:eastAsia="Arial"/>
              </w:rPr>
              <w:t>4</w:t>
            </w:r>
          </w:p>
        </w:tc>
        <w:tc>
          <w:tcPr>
            <w:tcW w:w="3694" w:type="dxa"/>
          </w:tcPr>
          <w:p w14:paraId="6C91E105" w14:textId="77777777" w:rsidR="00B13D65" w:rsidRPr="00632BB3" w:rsidRDefault="00B13D65" w:rsidP="00824B92">
            <w:pPr>
              <w:rPr>
                <w:bCs/>
                <w:lang w:eastAsia="lt-LT"/>
              </w:rPr>
            </w:pPr>
            <w:r w:rsidRPr="00632BB3">
              <w:rPr>
                <w:bCs/>
                <w:lang w:eastAsia="lt-LT"/>
              </w:rPr>
              <w:t xml:space="preserve">Ar vaistinis preparatas įrašytas į Bendrijos retųjų vaistinių preparatų registrą? </w:t>
            </w:r>
          </w:p>
          <w:p w14:paraId="33726F9C" w14:textId="77777777" w:rsidR="00B13D65" w:rsidRPr="00632BB3" w:rsidRDefault="00B13D65" w:rsidP="00824B92">
            <w:pPr>
              <w:rPr>
                <w:bCs/>
                <w:i/>
                <w:lang w:eastAsia="lt-LT"/>
              </w:rPr>
            </w:pPr>
          </w:p>
          <w:p w14:paraId="483071A3" w14:textId="0F633FFC" w:rsidR="00B13D65" w:rsidRPr="00632BB3" w:rsidRDefault="00DF583C" w:rsidP="00824B92">
            <w:pPr>
              <w:rPr>
                <w:bCs/>
                <w:lang w:eastAsia="lt-LT"/>
              </w:rPr>
            </w:pPr>
            <w:r w:rsidRPr="00632BB3">
              <w:rPr>
                <w:bCs/>
                <w:i/>
                <w:sz w:val="20"/>
                <w:lang w:eastAsia="lt-LT"/>
              </w:rPr>
              <w:t>Jei taip, n</w:t>
            </w:r>
            <w:r w:rsidR="00B13D65" w:rsidRPr="00632BB3">
              <w:rPr>
                <w:bCs/>
                <w:i/>
                <w:sz w:val="20"/>
                <w:lang w:eastAsia="lt-LT"/>
              </w:rPr>
              <w:t xml:space="preserve">urodykite </w:t>
            </w:r>
            <w:r w:rsidR="007656B2" w:rsidRPr="00632BB3">
              <w:rPr>
                <w:bCs/>
                <w:i/>
                <w:sz w:val="20"/>
                <w:lang w:eastAsia="lt-LT"/>
              </w:rPr>
              <w:t>įrašymo</w:t>
            </w:r>
            <w:r w:rsidR="00B13D65" w:rsidRPr="00632BB3">
              <w:rPr>
                <w:bCs/>
                <w:i/>
                <w:sz w:val="20"/>
                <w:lang w:eastAsia="lt-LT"/>
              </w:rPr>
              <w:t xml:space="preserve"> datą ir numerį</w:t>
            </w:r>
          </w:p>
        </w:tc>
        <w:tc>
          <w:tcPr>
            <w:tcW w:w="5167" w:type="dxa"/>
          </w:tcPr>
          <w:p w14:paraId="05845C60" w14:textId="10CF4033" w:rsidR="00B13D65" w:rsidRPr="00632BB3" w:rsidRDefault="00B12DF6"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632BB3">
                  <w:rPr>
                    <w:rStyle w:val="Style2"/>
                    <w:rFonts w:ascii="MS Gothic" w:eastAsia="MS Gothic" w:hAnsi="MS Gothic"/>
                    <w:sz w:val="24"/>
                  </w:rPr>
                  <w:t>☐</w:t>
                </w:r>
              </w:sdtContent>
            </w:sdt>
            <w:r w:rsidR="00B13D65" w:rsidRPr="00632BB3">
              <w:t xml:space="preserve"> Taip</w:t>
            </w:r>
          </w:p>
          <w:p w14:paraId="41D88067" w14:textId="289F3BDA" w:rsidR="00B13D65" w:rsidRPr="00632BB3" w:rsidRDefault="00B12DF6"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9B2F9C" w:rsidRPr="00632BB3">
                  <w:rPr>
                    <w:rStyle w:val="Style2"/>
                    <w:rFonts w:ascii="MS Gothic" w:eastAsia="MS Gothic" w:hAnsi="MS Gothic"/>
                    <w:sz w:val="24"/>
                  </w:rPr>
                  <w:t>☒</w:t>
                </w:r>
              </w:sdtContent>
            </w:sdt>
            <w:r w:rsidR="00B13D65" w:rsidRPr="00632BB3">
              <w:t xml:space="preserve"> Ne</w:t>
            </w:r>
          </w:p>
          <w:p w14:paraId="29C2CBBB" w14:textId="77777777" w:rsidR="00B13D65" w:rsidRPr="00632BB3" w:rsidRDefault="00B12DF6"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632BB3">
                  <w:rPr>
                    <w:rStyle w:val="PlaceholderText"/>
                    <w:color w:val="auto"/>
                  </w:rPr>
                  <w:t>Click here to enter a date.</w:t>
                </w:r>
              </w:sdtContent>
            </w:sdt>
          </w:p>
        </w:tc>
      </w:tr>
      <w:tr w:rsidR="000203E1" w:rsidRPr="00632BB3" w14:paraId="7841E5F8" w14:textId="77777777" w:rsidTr="00BE7489">
        <w:trPr>
          <w:trHeight w:val="476"/>
        </w:trPr>
        <w:tc>
          <w:tcPr>
            <w:tcW w:w="632" w:type="dxa"/>
          </w:tcPr>
          <w:p w14:paraId="109D2861" w14:textId="73BF27DF" w:rsidR="00D417D2" w:rsidRPr="00632BB3" w:rsidRDefault="00D417D2" w:rsidP="00824B92">
            <w:pPr>
              <w:rPr>
                <w:rFonts w:eastAsia="Arial"/>
              </w:rPr>
            </w:pPr>
            <w:r w:rsidRPr="00632BB3">
              <w:rPr>
                <w:rFonts w:eastAsia="Arial"/>
              </w:rPr>
              <w:t>1.5</w:t>
            </w:r>
          </w:p>
        </w:tc>
        <w:tc>
          <w:tcPr>
            <w:tcW w:w="3694" w:type="dxa"/>
          </w:tcPr>
          <w:p w14:paraId="7822D63E" w14:textId="68C38334" w:rsidR="00D417D2" w:rsidRPr="00632BB3" w:rsidRDefault="00D417D2" w:rsidP="00824B92">
            <w:pPr>
              <w:rPr>
                <w:bCs/>
                <w:lang w:eastAsia="lt-LT"/>
              </w:rPr>
            </w:pPr>
            <w:r w:rsidRPr="00632BB3">
              <w:t>STV paraiškos pobūdis</w:t>
            </w:r>
          </w:p>
        </w:tc>
        <w:tc>
          <w:tcPr>
            <w:tcW w:w="5167" w:type="dxa"/>
          </w:tcPr>
          <w:p w14:paraId="403461B9" w14:textId="1E4CB095" w:rsidR="00D417D2" w:rsidRPr="00632BB3" w:rsidRDefault="00B12DF6"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D417D2" w:rsidRPr="00632BB3">
              <w:t xml:space="preserve"> Pilna paraiška</w:t>
            </w:r>
          </w:p>
          <w:p w14:paraId="6B8213E3" w14:textId="3495CDF4" w:rsidR="00D417D2" w:rsidRPr="00632BB3" w:rsidRDefault="00B12DF6"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632BB3">
                  <w:rPr>
                    <w:rStyle w:val="Style2"/>
                    <w:rFonts w:ascii="MS Gothic" w:eastAsia="MS Gothic" w:hAnsi="MS Gothic"/>
                    <w:sz w:val="24"/>
                  </w:rPr>
                  <w:t>☐</w:t>
                </w:r>
              </w:sdtContent>
            </w:sdt>
            <w:r w:rsidR="00D417D2" w:rsidRPr="00632BB3">
              <w:t xml:space="preserve"> Supaprastinta paraiška</w:t>
            </w:r>
          </w:p>
        </w:tc>
      </w:tr>
      <w:tr w:rsidR="000203E1" w:rsidRPr="00632BB3" w14:paraId="274D1DAF" w14:textId="77777777" w:rsidTr="00030C28">
        <w:trPr>
          <w:trHeight w:val="440"/>
        </w:trPr>
        <w:tc>
          <w:tcPr>
            <w:tcW w:w="632" w:type="dxa"/>
          </w:tcPr>
          <w:p w14:paraId="17ABF217" w14:textId="14AC00D7" w:rsidR="00B13D65" w:rsidRPr="00632BB3" w:rsidRDefault="00B13D65" w:rsidP="00824B92">
            <w:pPr>
              <w:rPr>
                <w:rFonts w:eastAsia="Arial"/>
              </w:rPr>
            </w:pPr>
            <w:r w:rsidRPr="00632BB3">
              <w:rPr>
                <w:rFonts w:eastAsia="Arial"/>
              </w:rPr>
              <w:t>1.</w:t>
            </w:r>
            <w:r w:rsidR="00D417D2" w:rsidRPr="00632BB3">
              <w:rPr>
                <w:rFonts w:eastAsia="Arial"/>
              </w:rPr>
              <w:t>6</w:t>
            </w:r>
          </w:p>
        </w:tc>
        <w:tc>
          <w:tcPr>
            <w:tcW w:w="3694" w:type="dxa"/>
          </w:tcPr>
          <w:p w14:paraId="4D49DBF5" w14:textId="77777777" w:rsidR="007656B2" w:rsidRPr="00632BB3" w:rsidRDefault="00DE4484" w:rsidP="00824B92">
            <w:pPr>
              <w:rPr>
                <w:bCs/>
                <w:lang w:eastAsia="lt-LT"/>
              </w:rPr>
            </w:pPr>
            <w:r w:rsidRPr="00632BB3">
              <w:rPr>
                <w:bCs/>
                <w:lang w:eastAsia="lt-LT"/>
              </w:rPr>
              <w:t>Par</w:t>
            </w:r>
            <w:r w:rsidR="007656B2" w:rsidRPr="00632BB3">
              <w:rPr>
                <w:bCs/>
                <w:lang w:eastAsia="lt-LT"/>
              </w:rPr>
              <w:t>eiškėjo t</w:t>
            </w:r>
            <w:r w:rsidR="00B13D65" w:rsidRPr="00632BB3">
              <w:rPr>
                <w:bCs/>
                <w:lang w:eastAsia="lt-LT"/>
              </w:rPr>
              <w:t>eikiama (-os) kompensuoti vaistinio preparato indikacija (-os)</w:t>
            </w:r>
          </w:p>
          <w:p w14:paraId="6B4FEEC1" w14:textId="6A619694" w:rsidR="00B13D65" w:rsidRPr="00632BB3" w:rsidRDefault="007656B2" w:rsidP="00824B92">
            <w:pPr>
              <w:rPr>
                <w:bCs/>
                <w:lang w:eastAsia="lt-LT"/>
              </w:rPr>
            </w:pPr>
            <w:r w:rsidRPr="00632BB3">
              <w:rPr>
                <w:bCs/>
                <w:lang w:eastAsia="lt-LT"/>
              </w:rPr>
              <w:t>K</w:t>
            </w:r>
            <w:r w:rsidR="00B13D65" w:rsidRPr="00632BB3">
              <w:rPr>
                <w:bCs/>
                <w:lang w:eastAsia="lt-LT"/>
              </w:rPr>
              <w:t>odas</w:t>
            </w:r>
            <w:r w:rsidRPr="00632BB3">
              <w:rPr>
                <w:bCs/>
                <w:lang w:eastAsia="lt-LT"/>
              </w:rPr>
              <w:t xml:space="preserve"> pagal TLK-10 AM</w:t>
            </w:r>
          </w:p>
        </w:tc>
        <w:tc>
          <w:tcPr>
            <w:tcW w:w="5167" w:type="dxa"/>
          </w:tcPr>
          <w:p w14:paraId="58322A4C" w14:textId="076B0539" w:rsidR="008C2035" w:rsidRPr="00632BB3" w:rsidRDefault="008C2035" w:rsidP="008C2035">
            <w:pPr>
              <w:spacing w:line="276" w:lineRule="auto"/>
              <w:jc w:val="both"/>
            </w:pPr>
            <w:r w:rsidRPr="00632BB3">
              <w:t>LIBTAYO derinys su chemoterapija platinos pagrindu skirtas NSLPV, ekspresuojančio PD-L1 (≥ 1 % naviko ląstelių) be E</w:t>
            </w:r>
            <w:r w:rsidR="006C6CED">
              <w:t>G</w:t>
            </w:r>
            <w:r w:rsidRPr="00632BB3">
              <w:t xml:space="preserve">FR, ALK ar ROS1 aberacijų, pirmos eilės gydymui suaugusiems pacientams, sergantiems: </w:t>
            </w:r>
          </w:p>
          <w:p w14:paraId="178D9315" w14:textId="77777777" w:rsidR="008C2035" w:rsidRPr="00632BB3" w:rsidRDefault="008C2035" w:rsidP="008C2035">
            <w:pPr>
              <w:spacing w:line="276" w:lineRule="auto"/>
              <w:jc w:val="both"/>
            </w:pPr>
            <w:r w:rsidRPr="00632BB3">
              <w:lastRenderedPageBreak/>
              <w:t xml:space="preserve">• lokaliai išplitusiu NSLPV, kuriems netinka galutinė chemoradioterapija, arba </w:t>
            </w:r>
          </w:p>
          <w:p w14:paraId="2D504E91" w14:textId="77777777" w:rsidR="008C2035" w:rsidRPr="00632BB3" w:rsidRDefault="008C2035" w:rsidP="008C2035">
            <w:pPr>
              <w:spacing w:line="276" w:lineRule="auto"/>
              <w:jc w:val="both"/>
            </w:pPr>
            <w:r w:rsidRPr="00632BB3">
              <w:t xml:space="preserve">• metastazavusiu NSLPV. </w:t>
            </w:r>
          </w:p>
          <w:p w14:paraId="7CE2E484" w14:textId="77777777" w:rsidR="008C2035" w:rsidRPr="00632BB3" w:rsidRDefault="008C2035" w:rsidP="008C2035">
            <w:pPr>
              <w:spacing w:line="276" w:lineRule="auto"/>
              <w:rPr>
                <w:lang w:eastAsia="lt-LT"/>
              </w:rPr>
            </w:pPr>
          </w:p>
          <w:p w14:paraId="13F7DFB0" w14:textId="030F0E38" w:rsidR="00B13D65" w:rsidRPr="00632BB3" w:rsidRDefault="008C2035" w:rsidP="008C2035">
            <w:pPr>
              <w:spacing w:line="276" w:lineRule="auto"/>
              <w:rPr>
                <w:lang w:eastAsia="lt-LT"/>
              </w:rPr>
            </w:pPr>
            <w:r w:rsidRPr="00632BB3">
              <w:rPr>
                <w:lang w:eastAsia="lt-LT"/>
              </w:rPr>
              <w:t>TLK-10 AM</w:t>
            </w:r>
            <w:r w:rsidRPr="00632BB3">
              <w:rPr>
                <w:color w:val="000000"/>
              </w:rPr>
              <w:t xml:space="preserve"> kodas: C34</w:t>
            </w:r>
          </w:p>
        </w:tc>
      </w:tr>
      <w:tr w:rsidR="008C2035" w:rsidRPr="00632BB3" w14:paraId="2F79DC08" w14:textId="77777777" w:rsidTr="00BE7489">
        <w:trPr>
          <w:trHeight w:val="378"/>
        </w:trPr>
        <w:tc>
          <w:tcPr>
            <w:tcW w:w="632" w:type="dxa"/>
          </w:tcPr>
          <w:p w14:paraId="547885A2" w14:textId="2EE70237" w:rsidR="008C2035" w:rsidRPr="00632BB3" w:rsidRDefault="008C2035" w:rsidP="008C2035">
            <w:pPr>
              <w:rPr>
                <w:rFonts w:eastAsia="Arial"/>
              </w:rPr>
            </w:pPr>
            <w:r w:rsidRPr="00632BB3">
              <w:rPr>
                <w:rFonts w:eastAsia="Arial"/>
              </w:rPr>
              <w:lastRenderedPageBreak/>
              <w:t>1.7</w:t>
            </w:r>
          </w:p>
        </w:tc>
        <w:tc>
          <w:tcPr>
            <w:tcW w:w="3694" w:type="dxa"/>
          </w:tcPr>
          <w:p w14:paraId="2EAB877F" w14:textId="39A36941" w:rsidR="008C2035" w:rsidRPr="00632BB3" w:rsidRDefault="008C2035" w:rsidP="008C2035">
            <w:pPr>
              <w:rPr>
                <w:bCs/>
                <w:u w:val="single"/>
                <w:lang w:eastAsia="lt-LT"/>
              </w:rPr>
            </w:pPr>
            <w:r w:rsidRPr="00632BB3">
              <w:rPr>
                <w:bCs/>
                <w:lang w:eastAsia="lt-LT"/>
              </w:rPr>
              <w:t xml:space="preserve">Pareiškėjo teikiamos skyrimo sąlygos </w:t>
            </w:r>
          </w:p>
        </w:tc>
        <w:tc>
          <w:tcPr>
            <w:tcW w:w="5167" w:type="dxa"/>
          </w:tcPr>
          <w:p w14:paraId="0579DF58" w14:textId="7B6E8B10" w:rsidR="008C2035" w:rsidRPr="00632BB3" w:rsidRDefault="008C2035" w:rsidP="008C2035">
            <w:pPr>
              <w:tabs>
                <w:tab w:val="left" w:pos="3324"/>
              </w:tabs>
            </w:pPr>
            <w:r w:rsidRPr="00632BB3">
              <w:rPr>
                <w:lang w:eastAsia="lt-LT"/>
              </w:rPr>
              <w:t>Skyrimo sąlygos atitinka registruotą indikaciją.</w:t>
            </w:r>
          </w:p>
        </w:tc>
      </w:tr>
      <w:tr w:rsidR="008C2035" w:rsidRPr="00632BB3" w14:paraId="3B125269" w14:textId="77777777" w:rsidTr="00BE7489">
        <w:trPr>
          <w:trHeight w:val="378"/>
        </w:trPr>
        <w:tc>
          <w:tcPr>
            <w:tcW w:w="632" w:type="dxa"/>
          </w:tcPr>
          <w:p w14:paraId="0058E11F" w14:textId="3C0D7626" w:rsidR="008C2035" w:rsidRPr="00632BB3" w:rsidRDefault="008C2035" w:rsidP="008C2035">
            <w:pPr>
              <w:rPr>
                <w:rFonts w:eastAsia="Arial"/>
              </w:rPr>
            </w:pPr>
            <w:r w:rsidRPr="00632BB3">
              <w:rPr>
                <w:rFonts w:eastAsia="Arial"/>
              </w:rPr>
              <w:t>1.8</w:t>
            </w:r>
          </w:p>
        </w:tc>
        <w:tc>
          <w:tcPr>
            <w:tcW w:w="3694" w:type="dxa"/>
          </w:tcPr>
          <w:p w14:paraId="738E1926" w14:textId="77777777" w:rsidR="008C2035" w:rsidRPr="00632BB3" w:rsidRDefault="008C2035" w:rsidP="008C2035">
            <w:pPr>
              <w:rPr>
                <w:bCs/>
                <w:lang w:eastAsia="lt-LT"/>
              </w:rPr>
            </w:pPr>
            <w:r w:rsidRPr="00632BB3">
              <w:rPr>
                <w:bCs/>
                <w:lang w:eastAsia="lt-LT"/>
              </w:rPr>
              <w:t xml:space="preserve">Pareiškėjo teikiamas palyginamasis gydymas </w:t>
            </w:r>
          </w:p>
          <w:p w14:paraId="61EC5BBD" w14:textId="7A8BD8B4" w:rsidR="008C2035" w:rsidRPr="00632BB3" w:rsidRDefault="008C2035" w:rsidP="008C2035">
            <w:pPr>
              <w:rPr>
                <w:bCs/>
                <w:lang w:eastAsia="lt-LT"/>
              </w:rPr>
            </w:pPr>
          </w:p>
          <w:p w14:paraId="62057D94" w14:textId="77777777" w:rsidR="008C2035" w:rsidRPr="00632BB3" w:rsidRDefault="008C2035" w:rsidP="008C2035">
            <w:pPr>
              <w:rPr>
                <w:bCs/>
                <w:lang w:eastAsia="lt-LT"/>
              </w:rPr>
            </w:pPr>
          </w:p>
          <w:p w14:paraId="6CC1022E" w14:textId="2B6BCEE1" w:rsidR="008C2035" w:rsidRPr="00632BB3" w:rsidRDefault="008C2035" w:rsidP="008C2035">
            <w:pPr>
              <w:rPr>
                <w:bCs/>
                <w:lang w:eastAsia="lt-LT"/>
              </w:rPr>
            </w:pPr>
          </w:p>
        </w:tc>
        <w:tc>
          <w:tcPr>
            <w:tcW w:w="5167" w:type="dxa"/>
          </w:tcPr>
          <w:p w14:paraId="1F113AC0" w14:textId="168ABC7A" w:rsidR="008C2035" w:rsidRPr="00632BB3" w:rsidRDefault="00B12DF6" w:rsidP="008C2035">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8C2035" w:rsidRPr="00632BB3">
              <w:t xml:space="preserve"> Tinkamas (pembrolizumabas; atezolizumabas ir bevacizumabas; nivolumabas ir ipilimumabas deriniuose su chemoterapija)</w:t>
            </w:r>
          </w:p>
          <w:p w14:paraId="41B44044" w14:textId="199BD9DF" w:rsidR="008C2035" w:rsidRPr="00632BB3" w:rsidRDefault="00B12DF6" w:rsidP="008C2035">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8C2035" w:rsidRPr="00632BB3">
              <w:t xml:space="preserve"> Netinkama</w:t>
            </w:r>
          </w:p>
        </w:tc>
      </w:tr>
    </w:tbl>
    <w:p w14:paraId="108176F7" w14:textId="640C6F75" w:rsidR="00F70C9E" w:rsidRPr="00632BB3" w:rsidRDefault="00F70C9E" w:rsidP="00E03C3F">
      <w:pPr>
        <w:pStyle w:val="ListParagraph"/>
        <w:tabs>
          <w:tab w:val="left" w:pos="426"/>
        </w:tabs>
        <w:ind w:left="0"/>
        <w:rPr>
          <w:b/>
          <w:bCs/>
          <w:caps/>
        </w:rPr>
      </w:pPr>
    </w:p>
    <w:p w14:paraId="2871CA7F" w14:textId="3B173597" w:rsidR="00F70C9E" w:rsidRPr="00632BB3" w:rsidRDefault="00F70C9E" w:rsidP="00880A44">
      <w:pPr>
        <w:spacing w:line="276" w:lineRule="auto"/>
        <w:jc w:val="both"/>
        <w:rPr>
          <w:rFonts w:eastAsia="Arial"/>
          <w:b/>
        </w:rPr>
      </w:pPr>
      <w:r w:rsidRPr="00632BB3">
        <w:rPr>
          <w:rFonts w:eastAsia="Arial"/>
          <w:b/>
        </w:rPr>
        <w:t>1.</w:t>
      </w:r>
      <w:r w:rsidR="00164D64" w:rsidRPr="00632BB3">
        <w:rPr>
          <w:rFonts w:eastAsia="Arial"/>
          <w:b/>
        </w:rPr>
        <w:t>9</w:t>
      </w:r>
      <w:r w:rsidRPr="00632BB3">
        <w:rPr>
          <w:rFonts w:eastAsia="Arial"/>
          <w:b/>
        </w:rPr>
        <w:t xml:space="preserve"> Kitų </w:t>
      </w:r>
      <w:r w:rsidR="00DF583C" w:rsidRPr="00632BB3">
        <w:rPr>
          <w:rFonts w:eastAsia="Arial"/>
          <w:b/>
        </w:rPr>
        <w:t xml:space="preserve">valstybių </w:t>
      </w:r>
      <w:r w:rsidRPr="00632BB3">
        <w:rPr>
          <w:rFonts w:eastAsia="Arial"/>
          <w:b/>
        </w:rPr>
        <w:t xml:space="preserve">atsakingų institucijų atlikto </w:t>
      </w:r>
      <w:r w:rsidR="00DF583C" w:rsidRPr="00632BB3">
        <w:rPr>
          <w:rFonts w:eastAsia="Arial"/>
          <w:b/>
        </w:rPr>
        <w:t>Sveikatos technologijų vertinimo (toliau – STV)</w:t>
      </w:r>
      <w:r w:rsidRPr="00632BB3">
        <w:rPr>
          <w:rFonts w:eastAsia="Arial"/>
          <w:b/>
        </w:rPr>
        <w:t xml:space="preserve"> išvados</w:t>
      </w:r>
    </w:p>
    <w:p w14:paraId="30721FDD" w14:textId="77777777" w:rsidR="00F70C9E" w:rsidRPr="00632BB3"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8C2035" w:rsidRPr="00632BB3" w14:paraId="1875FE84" w14:textId="77777777" w:rsidTr="00063726">
        <w:trPr>
          <w:trHeight w:val="924"/>
        </w:trPr>
        <w:tc>
          <w:tcPr>
            <w:tcW w:w="2927" w:type="dxa"/>
          </w:tcPr>
          <w:p w14:paraId="4C86A462" w14:textId="77777777" w:rsidR="008C2035" w:rsidRPr="00632BB3" w:rsidRDefault="008C2035" w:rsidP="00063726">
            <w:pPr>
              <w:spacing w:line="276" w:lineRule="auto"/>
              <w:rPr>
                <w:rFonts w:eastAsia="Arial"/>
              </w:rPr>
            </w:pPr>
            <w:r w:rsidRPr="00632BB3">
              <w:rPr>
                <w:rFonts w:eastAsia="Arial"/>
              </w:rPr>
              <w:t>STV agentūros pavadinimas, šalis</w:t>
            </w:r>
          </w:p>
        </w:tc>
        <w:tc>
          <w:tcPr>
            <w:tcW w:w="1915" w:type="dxa"/>
          </w:tcPr>
          <w:p w14:paraId="645D2049" w14:textId="77777777" w:rsidR="008C2035" w:rsidRPr="00632BB3" w:rsidRDefault="008C2035" w:rsidP="00063726">
            <w:pPr>
              <w:spacing w:line="276" w:lineRule="auto"/>
              <w:rPr>
                <w:rFonts w:eastAsia="Arial"/>
              </w:rPr>
            </w:pPr>
            <w:r w:rsidRPr="00632BB3">
              <w:rPr>
                <w:rFonts w:eastAsia="Arial"/>
              </w:rPr>
              <w:t>STV vertinimas atliktas</w:t>
            </w:r>
          </w:p>
        </w:tc>
        <w:tc>
          <w:tcPr>
            <w:tcW w:w="2351" w:type="dxa"/>
          </w:tcPr>
          <w:p w14:paraId="63AC84CE" w14:textId="77777777" w:rsidR="008C2035" w:rsidRPr="00632BB3" w:rsidRDefault="008C2035" w:rsidP="00063726">
            <w:pPr>
              <w:spacing w:line="276" w:lineRule="auto"/>
              <w:rPr>
                <w:rFonts w:eastAsia="Arial"/>
              </w:rPr>
            </w:pPr>
            <w:r w:rsidRPr="00632BB3">
              <w:rPr>
                <w:rFonts w:eastAsia="Arial"/>
              </w:rPr>
              <w:t>Klinikinio vertinimo išvada</w:t>
            </w:r>
          </w:p>
        </w:tc>
        <w:tc>
          <w:tcPr>
            <w:tcW w:w="2725" w:type="dxa"/>
          </w:tcPr>
          <w:p w14:paraId="6C6FCF70" w14:textId="77777777" w:rsidR="008C2035" w:rsidRPr="00632BB3" w:rsidRDefault="008C2035" w:rsidP="00063726">
            <w:pPr>
              <w:spacing w:line="276" w:lineRule="auto"/>
              <w:rPr>
                <w:rFonts w:eastAsia="Arial"/>
              </w:rPr>
            </w:pPr>
            <w:r w:rsidRPr="00632BB3">
              <w:rPr>
                <w:rFonts w:eastAsia="Arial"/>
              </w:rPr>
              <w:t>Farmakoekonominio vertinimo išvada</w:t>
            </w:r>
          </w:p>
        </w:tc>
      </w:tr>
      <w:tr w:rsidR="008C2035" w:rsidRPr="00632BB3" w14:paraId="68BF99DD" w14:textId="77777777" w:rsidTr="00063726">
        <w:trPr>
          <w:trHeight w:val="1765"/>
        </w:trPr>
        <w:tc>
          <w:tcPr>
            <w:tcW w:w="2927" w:type="dxa"/>
          </w:tcPr>
          <w:p w14:paraId="01B1C721" w14:textId="77777777" w:rsidR="008C2035" w:rsidRPr="00632BB3" w:rsidRDefault="008C2035" w:rsidP="00063726">
            <w:pPr>
              <w:autoSpaceDE w:val="0"/>
              <w:autoSpaceDN w:val="0"/>
              <w:adjustRightInd w:val="0"/>
              <w:spacing w:line="276" w:lineRule="auto"/>
              <w:rPr>
                <w:bCs/>
              </w:rPr>
            </w:pPr>
            <w:r w:rsidRPr="00632BB3">
              <w:rPr>
                <w:bCs/>
              </w:rPr>
              <w:t>Nacionalinis sveikatos ir klinikinės kompetencijos institutas, Didžioji Britanija</w:t>
            </w:r>
          </w:p>
          <w:p w14:paraId="1C30E0CE" w14:textId="77777777" w:rsidR="008C2035" w:rsidRPr="00632BB3" w:rsidRDefault="008C2035" w:rsidP="00063726">
            <w:pPr>
              <w:spacing w:line="276" w:lineRule="auto"/>
              <w:rPr>
                <w:rFonts w:eastAsia="Arial"/>
              </w:rPr>
            </w:pPr>
            <w:r w:rsidRPr="00632BB3">
              <w:rPr>
                <w:rFonts w:eastAsia="Arial"/>
              </w:rPr>
              <w:t xml:space="preserve">(angl. </w:t>
            </w:r>
            <w:r w:rsidRPr="00632BB3">
              <w:rPr>
                <w:rFonts w:eastAsia="Arial"/>
                <w:i/>
              </w:rPr>
              <w:t>National Institute for Health and Care Excellence, NICE</w:t>
            </w:r>
            <w:r w:rsidRPr="00632BB3">
              <w:rPr>
                <w:rFonts w:eastAsia="Arial"/>
              </w:rPr>
              <w:t>)</w:t>
            </w:r>
          </w:p>
        </w:tc>
        <w:tc>
          <w:tcPr>
            <w:tcW w:w="1915" w:type="dxa"/>
          </w:tcPr>
          <w:p w14:paraId="1A2D11F0" w14:textId="77777777" w:rsidR="008C2035" w:rsidRPr="00632BB3" w:rsidRDefault="00B12DF6" w:rsidP="00063726">
            <w:pPr>
              <w:spacing w:line="276" w:lineRule="auto"/>
            </w:pPr>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rPr>
                  <w:t>☐</w:t>
                </w:r>
              </w:sdtContent>
            </w:sdt>
            <w:r w:rsidR="008C2035" w:rsidRPr="00632BB3">
              <w:t xml:space="preserve"> Taip</w:t>
            </w:r>
          </w:p>
          <w:p w14:paraId="4E15D929" w14:textId="77777777" w:rsidR="008C2035" w:rsidRPr="00632BB3" w:rsidRDefault="00B12DF6" w:rsidP="00063726">
            <w:pPr>
              <w:spacing w:line="276" w:lineRule="auto"/>
            </w:pPr>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rPr>
                  <w:t>☒</w:t>
                </w:r>
              </w:sdtContent>
            </w:sdt>
            <w:r w:rsidR="008C2035" w:rsidRPr="00632BB3">
              <w:t xml:space="preserve"> Ne</w:t>
            </w:r>
          </w:p>
          <w:p w14:paraId="3738E3D8" w14:textId="77777777" w:rsidR="008C2035" w:rsidRPr="00632BB3" w:rsidRDefault="008C2035" w:rsidP="00063726">
            <w:pPr>
              <w:spacing w:line="276" w:lineRule="auto"/>
              <w:rPr>
                <w:rFonts w:eastAsia="Arial"/>
              </w:rPr>
            </w:pPr>
          </w:p>
        </w:tc>
        <w:tc>
          <w:tcPr>
            <w:tcW w:w="2351" w:type="dxa"/>
          </w:tcPr>
          <w:p w14:paraId="1C89A92B" w14:textId="77777777" w:rsidR="008C2035" w:rsidRPr="00632BB3" w:rsidRDefault="008C2035" w:rsidP="00063726">
            <w:pPr>
              <w:spacing w:line="276" w:lineRule="auto"/>
              <w:rPr>
                <w:rFonts w:eastAsia="Arial"/>
              </w:rPr>
            </w:pPr>
          </w:p>
        </w:tc>
        <w:tc>
          <w:tcPr>
            <w:tcW w:w="2725" w:type="dxa"/>
          </w:tcPr>
          <w:p w14:paraId="682B85F9" w14:textId="77777777" w:rsidR="008C2035" w:rsidRPr="00632BB3" w:rsidRDefault="008C2035" w:rsidP="00063726">
            <w:pPr>
              <w:spacing w:line="276" w:lineRule="auto"/>
              <w:rPr>
                <w:rFonts w:eastAsia="Arial"/>
              </w:rPr>
            </w:pPr>
          </w:p>
        </w:tc>
      </w:tr>
      <w:tr w:rsidR="008C2035" w:rsidRPr="00632BB3" w14:paraId="358F46B3" w14:textId="77777777" w:rsidTr="00063726">
        <w:trPr>
          <w:trHeight w:val="1547"/>
        </w:trPr>
        <w:tc>
          <w:tcPr>
            <w:tcW w:w="2927" w:type="dxa"/>
          </w:tcPr>
          <w:p w14:paraId="197EAF85" w14:textId="77777777" w:rsidR="008C2035" w:rsidRPr="00632BB3" w:rsidRDefault="008C2035" w:rsidP="00063726">
            <w:pPr>
              <w:spacing w:line="276" w:lineRule="auto"/>
              <w:rPr>
                <w:rFonts w:eastAsia="Arial"/>
              </w:rPr>
            </w:pPr>
            <w:r w:rsidRPr="00632BB3">
              <w:rPr>
                <w:rFonts w:eastAsia="Arial"/>
              </w:rPr>
              <w:t>Kanados sveikatos technologijų agentūra</w:t>
            </w:r>
          </w:p>
          <w:p w14:paraId="2C203AF0" w14:textId="77777777" w:rsidR="008C2035" w:rsidRPr="00632BB3" w:rsidRDefault="008C2035" w:rsidP="00063726">
            <w:pPr>
              <w:spacing w:line="276" w:lineRule="auto"/>
              <w:rPr>
                <w:rFonts w:eastAsia="Arial"/>
              </w:rPr>
            </w:pPr>
            <w:r w:rsidRPr="00632BB3">
              <w:rPr>
                <w:rFonts w:eastAsia="Arial"/>
              </w:rPr>
              <w:t xml:space="preserve">(angl. </w:t>
            </w:r>
            <w:r w:rsidRPr="00632BB3">
              <w:rPr>
                <w:rFonts w:eastAsia="Arial"/>
                <w:i/>
              </w:rPr>
              <w:t>Canadian health Technology Assessment agency, CADTH</w:t>
            </w:r>
            <w:r w:rsidRPr="00632BB3">
              <w:rPr>
                <w:rFonts w:eastAsia="Arial"/>
              </w:rPr>
              <w:t>)</w:t>
            </w:r>
          </w:p>
        </w:tc>
        <w:tc>
          <w:tcPr>
            <w:tcW w:w="1915" w:type="dxa"/>
          </w:tcPr>
          <w:p w14:paraId="6B81D6D0" w14:textId="77777777" w:rsidR="008C2035" w:rsidRPr="00632BB3" w:rsidRDefault="00B12DF6" w:rsidP="00063726">
            <w:pPr>
              <w:spacing w:line="276" w:lineRule="auto"/>
            </w:pPr>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Segoe UI Symbol" w:eastAsia="MS Gothic" w:hAnsi="Segoe UI Symbol" w:cs="Segoe UI Symbol"/>
                  </w:rPr>
                  <w:t>☐</w:t>
                </w:r>
              </w:sdtContent>
            </w:sdt>
            <w:r w:rsidR="008C2035" w:rsidRPr="00632BB3">
              <w:t xml:space="preserve"> Taip</w:t>
            </w:r>
          </w:p>
          <w:p w14:paraId="6F1ACA4B" w14:textId="77777777" w:rsidR="008C2035" w:rsidRPr="00632BB3" w:rsidRDefault="00B12DF6" w:rsidP="00063726">
            <w:pPr>
              <w:spacing w:line="276" w:lineRule="auto"/>
            </w:pPr>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rPr>
                  <w:t>☒</w:t>
                </w:r>
              </w:sdtContent>
            </w:sdt>
            <w:r w:rsidR="008C2035" w:rsidRPr="00632BB3">
              <w:t xml:space="preserve"> Ne</w:t>
            </w:r>
          </w:p>
          <w:p w14:paraId="71CF8C44" w14:textId="77777777" w:rsidR="008C2035" w:rsidRPr="00632BB3" w:rsidRDefault="008C2035" w:rsidP="00063726">
            <w:pPr>
              <w:spacing w:line="276" w:lineRule="auto"/>
              <w:rPr>
                <w:rFonts w:eastAsia="Arial"/>
              </w:rPr>
            </w:pPr>
          </w:p>
        </w:tc>
        <w:tc>
          <w:tcPr>
            <w:tcW w:w="2351" w:type="dxa"/>
          </w:tcPr>
          <w:p w14:paraId="4244F1A2" w14:textId="77777777" w:rsidR="008C2035" w:rsidRPr="00632BB3" w:rsidRDefault="008C2035" w:rsidP="00063726">
            <w:pPr>
              <w:spacing w:line="276" w:lineRule="auto"/>
              <w:rPr>
                <w:rFonts w:eastAsia="Arial"/>
              </w:rPr>
            </w:pPr>
          </w:p>
        </w:tc>
        <w:tc>
          <w:tcPr>
            <w:tcW w:w="2725" w:type="dxa"/>
          </w:tcPr>
          <w:p w14:paraId="69F6A11A" w14:textId="77777777" w:rsidR="008C2035" w:rsidRPr="00632BB3" w:rsidRDefault="008C2035" w:rsidP="00063726">
            <w:pPr>
              <w:spacing w:line="276" w:lineRule="auto"/>
              <w:rPr>
                <w:rFonts w:eastAsia="Arial"/>
              </w:rPr>
            </w:pPr>
          </w:p>
        </w:tc>
      </w:tr>
      <w:tr w:rsidR="008C2035" w:rsidRPr="00632BB3" w14:paraId="094D8AB6" w14:textId="77777777" w:rsidTr="00063726">
        <w:trPr>
          <w:trHeight w:val="1927"/>
        </w:trPr>
        <w:tc>
          <w:tcPr>
            <w:tcW w:w="2927" w:type="dxa"/>
          </w:tcPr>
          <w:p w14:paraId="54981C37" w14:textId="77777777" w:rsidR="008C2035" w:rsidRPr="00632BB3" w:rsidRDefault="008C2035" w:rsidP="00063726">
            <w:pPr>
              <w:spacing w:line="276" w:lineRule="auto"/>
              <w:rPr>
                <w:rFonts w:eastAsia="Arial"/>
              </w:rPr>
            </w:pPr>
            <w:r w:rsidRPr="00632BB3">
              <w:rPr>
                <w:rFonts w:eastAsia="Arial"/>
              </w:rPr>
              <w:t>Nacionalinis farmakoekonomikos centras, Airija</w:t>
            </w:r>
          </w:p>
          <w:p w14:paraId="6A7F45FD" w14:textId="77777777" w:rsidR="008C2035" w:rsidRPr="00632BB3" w:rsidRDefault="008C2035" w:rsidP="00063726">
            <w:pPr>
              <w:spacing w:line="276" w:lineRule="auto"/>
              <w:rPr>
                <w:rFonts w:eastAsia="Arial"/>
              </w:rPr>
            </w:pPr>
            <w:r w:rsidRPr="00632BB3">
              <w:rPr>
                <w:rFonts w:eastAsia="Arial"/>
              </w:rPr>
              <w:t>(angl.</w:t>
            </w:r>
            <w:r w:rsidRPr="00632BB3">
              <w:rPr>
                <w:rFonts w:eastAsia="Arial"/>
                <w:i/>
              </w:rPr>
              <w:t xml:space="preserve"> National Centre for Pharmacoeconomics, NCPE</w:t>
            </w:r>
            <w:r w:rsidRPr="00632BB3">
              <w:rPr>
                <w:rFonts w:eastAsia="Arial"/>
              </w:rPr>
              <w:t>)</w:t>
            </w:r>
          </w:p>
        </w:tc>
        <w:tc>
          <w:tcPr>
            <w:tcW w:w="1915" w:type="dxa"/>
          </w:tcPr>
          <w:p w14:paraId="2FACFD36" w14:textId="77777777" w:rsidR="008C2035" w:rsidRPr="00632BB3" w:rsidRDefault="00B12DF6" w:rsidP="00063726">
            <w:pPr>
              <w:spacing w:line="276" w:lineRule="auto"/>
            </w:pPr>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Segoe UI Symbol" w:eastAsia="MS Gothic" w:hAnsi="Segoe UI Symbol" w:cs="Segoe UI Symbol"/>
                  </w:rPr>
                  <w:t>☐</w:t>
                </w:r>
              </w:sdtContent>
            </w:sdt>
            <w:r w:rsidR="008C2035" w:rsidRPr="00632BB3">
              <w:t xml:space="preserve"> Taip</w:t>
            </w:r>
          </w:p>
          <w:p w14:paraId="1A7AD597" w14:textId="77777777" w:rsidR="008C2035" w:rsidRPr="00632BB3" w:rsidRDefault="00B12DF6" w:rsidP="00063726">
            <w:pPr>
              <w:spacing w:line="276" w:lineRule="auto"/>
            </w:pPr>
            <w:sdt>
              <w:sdtPr>
                <w:rPr>
                  <w:rStyle w:val="Style2"/>
                </w:rPr>
                <w:id w:val="1092201793"/>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rPr>
                  <w:t>☒</w:t>
                </w:r>
              </w:sdtContent>
            </w:sdt>
            <w:r w:rsidR="008C2035" w:rsidRPr="00632BB3">
              <w:t xml:space="preserve"> Ne</w:t>
            </w:r>
          </w:p>
        </w:tc>
        <w:tc>
          <w:tcPr>
            <w:tcW w:w="2351" w:type="dxa"/>
          </w:tcPr>
          <w:p w14:paraId="7560B494" w14:textId="77777777" w:rsidR="008C2035" w:rsidRPr="00632BB3" w:rsidRDefault="008C2035" w:rsidP="00063726">
            <w:pPr>
              <w:spacing w:line="276" w:lineRule="auto"/>
              <w:rPr>
                <w:rFonts w:eastAsia="Arial"/>
              </w:rPr>
            </w:pPr>
          </w:p>
        </w:tc>
        <w:tc>
          <w:tcPr>
            <w:tcW w:w="2725" w:type="dxa"/>
          </w:tcPr>
          <w:p w14:paraId="19FC90D9" w14:textId="77777777" w:rsidR="008C2035" w:rsidRPr="00632BB3" w:rsidRDefault="008C2035" w:rsidP="00063726">
            <w:pPr>
              <w:spacing w:line="276" w:lineRule="auto"/>
              <w:rPr>
                <w:rFonts w:eastAsia="Arial"/>
              </w:rPr>
            </w:pPr>
          </w:p>
        </w:tc>
      </w:tr>
      <w:tr w:rsidR="008C2035" w:rsidRPr="00632BB3" w14:paraId="7B4A228B" w14:textId="77777777" w:rsidTr="00063726">
        <w:trPr>
          <w:trHeight w:val="690"/>
        </w:trPr>
        <w:tc>
          <w:tcPr>
            <w:tcW w:w="2927" w:type="dxa"/>
          </w:tcPr>
          <w:p w14:paraId="7ECF0C3B" w14:textId="77777777" w:rsidR="008C2035" w:rsidRPr="00632BB3" w:rsidRDefault="008C2035" w:rsidP="00063726">
            <w:pPr>
              <w:spacing w:line="276" w:lineRule="auto"/>
              <w:rPr>
                <w:rFonts w:eastAsia="Arial"/>
              </w:rPr>
            </w:pPr>
            <w:r w:rsidRPr="00632BB3">
              <w:rPr>
                <w:rFonts w:eastAsia="Arial"/>
              </w:rPr>
              <w:t>Kita</w:t>
            </w:r>
          </w:p>
          <w:p w14:paraId="68152266" w14:textId="77777777" w:rsidR="008C2035" w:rsidRPr="00632BB3" w:rsidRDefault="008C2035" w:rsidP="00063726">
            <w:pPr>
              <w:spacing w:line="276" w:lineRule="auto"/>
              <w:rPr>
                <w:rFonts w:eastAsia="Arial"/>
              </w:rPr>
            </w:pPr>
          </w:p>
        </w:tc>
        <w:tc>
          <w:tcPr>
            <w:tcW w:w="1915" w:type="dxa"/>
          </w:tcPr>
          <w:p w14:paraId="0DD5A3B6" w14:textId="77777777" w:rsidR="008C2035" w:rsidRPr="00632BB3" w:rsidRDefault="00B12DF6" w:rsidP="00063726">
            <w:pPr>
              <w:spacing w:line="276" w:lineRule="auto"/>
            </w:pPr>
            <w:sdt>
              <w:sdtPr>
                <w:rPr>
                  <w:rStyle w:val="Style2"/>
                </w:rPr>
                <w:id w:val="1634437882"/>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Segoe UI Symbol" w:eastAsia="MS Gothic" w:hAnsi="Segoe UI Symbol" w:cs="Segoe UI Symbol"/>
                  </w:rPr>
                  <w:t>☐</w:t>
                </w:r>
              </w:sdtContent>
            </w:sdt>
            <w:r w:rsidR="008C2035" w:rsidRPr="00632BB3">
              <w:t xml:space="preserve"> Taip</w:t>
            </w:r>
          </w:p>
          <w:p w14:paraId="57F62BDF" w14:textId="77777777" w:rsidR="008C2035" w:rsidRPr="00632BB3" w:rsidRDefault="00B12DF6" w:rsidP="00063726">
            <w:pPr>
              <w:spacing w:line="276" w:lineRule="auto"/>
            </w:pPr>
            <w:sdt>
              <w:sdtPr>
                <w:rPr>
                  <w:rStyle w:val="Style2"/>
                </w:rPr>
                <w:id w:val="85655384"/>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rPr>
                  <w:t>☒</w:t>
                </w:r>
              </w:sdtContent>
            </w:sdt>
            <w:r w:rsidR="008C2035" w:rsidRPr="00632BB3">
              <w:t xml:space="preserve"> Ne</w:t>
            </w:r>
          </w:p>
          <w:p w14:paraId="19FDF10A" w14:textId="77777777" w:rsidR="008C2035" w:rsidRPr="00632BB3" w:rsidRDefault="008C2035" w:rsidP="00063726">
            <w:pPr>
              <w:pStyle w:val="ListParagraph"/>
              <w:spacing w:after="120" w:line="276" w:lineRule="auto"/>
              <w:ind w:left="0"/>
              <w:contextualSpacing w:val="0"/>
              <w:jc w:val="both"/>
              <w:rPr>
                <w:rStyle w:val="Style2"/>
              </w:rPr>
            </w:pPr>
          </w:p>
        </w:tc>
        <w:tc>
          <w:tcPr>
            <w:tcW w:w="2351" w:type="dxa"/>
          </w:tcPr>
          <w:p w14:paraId="3E14DD1B" w14:textId="77777777" w:rsidR="008C2035" w:rsidRPr="00632BB3" w:rsidRDefault="008C2035" w:rsidP="00063726">
            <w:pPr>
              <w:spacing w:line="276" w:lineRule="auto"/>
              <w:rPr>
                <w:rFonts w:eastAsia="Arial"/>
              </w:rPr>
            </w:pPr>
          </w:p>
        </w:tc>
        <w:tc>
          <w:tcPr>
            <w:tcW w:w="2725" w:type="dxa"/>
          </w:tcPr>
          <w:p w14:paraId="417331CB" w14:textId="77777777" w:rsidR="008C2035" w:rsidRPr="00632BB3" w:rsidRDefault="008C2035" w:rsidP="00063726">
            <w:pPr>
              <w:spacing w:line="276" w:lineRule="auto"/>
              <w:rPr>
                <w:rFonts w:eastAsia="Arial"/>
              </w:rPr>
            </w:pPr>
          </w:p>
        </w:tc>
      </w:tr>
    </w:tbl>
    <w:p w14:paraId="2EB7FD31" w14:textId="4D2A8479" w:rsidR="007A2B68" w:rsidRPr="00632BB3" w:rsidRDefault="007A2B68" w:rsidP="00E03C3F">
      <w:pPr>
        <w:pStyle w:val="ListParagraph"/>
        <w:tabs>
          <w:tab w:val="left" w:pos="426"/>
        </w:tabs>
        <w:ind w:left="0"/>
        <w:rPr>
          <w:b/>
          <w:bCs/>
          <w:caps/>
        </w:rPr>
      </w:pPr>
    </w:p>
    <w:p w14:paraId="5055E8A8" w14:textId="471A9757" w:rsidR="002E6F80" w:rsidRPr="00632BB3" w:rsidRDefault="00CC7832" w:rsidP="00CC09D4">
      <w:pPr>
        <w:pStyle w:val="ListParagraph"/>
        <w:numPr>
          <w:ilvl w:val="0"/>
          <w:numId w:val="12"/>
        </w:numPr>
        <w:tabs>
          <w:tab w:val="left" w:pos="567"/>
        </w:tabs>
        <w:ind w:hanging="720"/>
        <w:rPr>
          <w:b/>
          <w:bCs/>
          <w:caps/>
        </w:rPr>
      </w:pPr>
      <w:r w:rsidRPr="00632BB3">
        <w:rPr>
          <w:b/>
          <w:bCs/>
          <w:caps/>
        </w:rPr>
        <w:t>Klinikinio vertinimo a</w:t>
      </w:r>
      <w:r w:rsidR="00D4485B" w:rsidRPr="00632BB3">
        <w:rPr>
          <w:b/>
          <w:bCs/>
          <w:caps/>
        </w:rPr>
        <w:t>pibendrinimas</w:t>
      </w:r>
    </w:p>
    <w:p w14:paraId="0ACD4596" w14:textId="77777777" w:rsidR="00C21A99" w:rsidRPr="00632BB3" w:rsidRDefault="00C21A99" w:rsidP="00C21A99">
      <w:pPr>
        <w:pStyle w:val="Style1"/>
        <w:spacing w:line="276" w:lineRule="auto"/>
        <w:jc w:val="both"/>
      </w:pPr>
    </w:p>
    <w:p w14:paraId="3D2DF352" w14:textId="77777777" w:rsidR="008C2035" w:rsidRPr="00632BB3" w:rsidRDefault="008C2035" w:rsidP="008C2035">
      <w:pPr>
        <w:spacing w:line="276" w:lineRule="auto"/>
        <w:ind w:firstLine="720"/>
        <w:jc w:val="both"/>
      </w:pPr>
      <w:r w:rsidRPr="00632BB3">
        <w:t xml:space="preserve">Plaučių vėžys yra viena labiausiai paplitusių onkologinių ligų pasaulyje, lemianti didžiausią mirtingumą. Tarptautinės vėžio tyrimų agentūros (angl. </w:t>
      </w:r>
      <w:r w:rsidRPr="00632BB3">
        <w:rPr>
          <w:i/>
          <w:iCs/>
        </w:rPr>
        <w:t>International Agency for Research on Cancer</w:t>
      </w:r>
      <w:r w:rsidRPr="00632BB3">
        <w:t xml:space="preserve">) projekto GLOBOCAN duomenimis, 2020 m. nustatyta 2,2 mln. naujų plaučių vėžio atvejų </w:t>
      </w:r>
      <w:r w:rsidRPr="00632BB3">
        <w:lastRenderedPageBreak/>
        <w:t>(11,4 proc. visų naujų vėžio atvejų). Plaučių vėžys yra pagrindinė vyrų sergamumo ir mirštamumo nuo vėžio priežastis. Remiantis 2022 m. Lietuvos plaučių vėžio diagnostikos ir gydymo rekomendacijomis, rytų Europoje registruojami 49,0 atvejo 100 tūkst. gyventojų,  pietų Europoje 48,1 atvejo 100 tūkst. gyventojų.</w:t>
      </w:r>
    </w:p>
    <w:p w14:paraId="26DC549A" w14:textId="5734C3D9" w:rsidR="008C2035" w:rsidRPr="00632BB3" w:rsidRDefault="008C2035" w:rsidP="008C2035">
      <w:pPr>
        <w:tabs>
          <w:tab w:val="left" w:pos="426"/>
        </w:tabs>
        <w:spacing w:line="276" w:lineRule="auto"/>
        <w:ind w:firstLine="425"/>
        <w:jc w:val="both"/>
      </w:pPr>
      <w:r w:rsidRPr="00632BB3">
        <w:rPr>
          <w:rFonts w:eastAsia="Arial"/>
        </w:rPr>
        <w:t xml:space="preserve">Remiantis </w:t>
      </w:r>
      <w:bookmarkStart w:id="0" w:name="_Hlk193489059"/>
      <w:r w:rsidR="00B14079" w:rsidRPr="00632BB3">
        <w:rPr>
          <w:rFonts w:eastAsia="Arial"/>
        </w:rPr>
        <w:t>Lietuvos Respublikos sveikatos apsaugos ministro įsakymu „Dėl Plaučių vėžio ambulatorinio gydymo, kurio išlaidos kompensuojamos iš Privalomojo sveikatos draudimo fondo biudžeto, tvarkos aprašo patvirtinimo“ 2009-02-20, Nr. V-127 patvirtintu</w:t>
      </w:r>
      <w:r w:rsidR="00B14079" w:rsidRPr="00632BB3">
        <w:rPr>
          <w:rFonts w:eastAsia="Arial"/>
          <w:b/>
          <w:bCs/>
        </w:rPr>
        <w:t xml:space="preserve"> </w:t>
      </w:r>
      <w:r w:rsidR="00B14079" w:rsidRPr="00632BB3">
        <w:rPr>
          <w:rFonts w:eastAsia="Arial"/>
        </w:rPr>
        <w:t xml:space="preserve"> </w:t>
      </w:r>
      <w:bookmarkEnd w:id="0"/>
      <w:r w:rsidRPr="00632BB3">
        <w:rPr>
          <w:rFonts w:eastAsia="Arial"/>
        </w:rPr>
        <w:t>Plaučių vėžio ambulatorinio gydymo, kurio išlaidos kompensuojamos iš Privalomojo sveikatos draudimo fondo biudžeto, tvarkos aprašu,</w:t>
      </w:r>
      <w:r w:rsidRPr="00632BB3">
        <w:t xml:space="preserve"> diagnozavus lokaliai išplitusį arba metastazavus</w:t>
      </w:r>
      <w:r w:rsidR="002A3C79">
        <w:t>į</w:t>
      </w:r>
      <w:r w:rsidRPr="00632BB3">
        <w:t xml:space="preserve"> </w:t>
      </w:r>
      <w:r w:rsidR="000C451D" w:rsidRPr="00632BB3">
        <w:t xml:space="preserve"> </w:t>
      </w:r>
      <w:bookmarkStart w:id="1" w:name="_Hlk193815290"/>
      <w:r w:rsidR="000C451D" w:rsidRPr="00632BB3">
        <w:t>nesmulki</w:t>
      </w:r>
      <w:r w:rsidR="00E0258C" w:rsidRPr="00632BB3">
        <w:t xml:space="preserve">ųjų </w:t>
      </w:r>
      <w:r w:rsidR="000C451D" w:rsidRPr="00632BB3">
        <w:t>ląsteli</w:t>
      </w:r>
      <w:r w:rsidR="00E0258C" w:rsidRPr="00632BB3">
        <w:t>ų</w:t>
      </w:r>
      <w:r w:rsidR="000C451D" w:rsidRPr="00632BB3">
        <w:t xml:space="preserve"> plaučių vėžį </w:t>
      </w:r>
      <w:bookmarkEnd w:id="1"/>
      <w:r w:rsidR="000C451D" w:rsidRPr="00632BB3">
        <w:t>(</w:t>
      </w:r>
      <w:r w:rsidRPr="00632BB3">
        <w:t>NSLPV</w:t>
      </w:r>
      <w:r w:rsidR="000C451D" w:rsidRPr="00632BB3">
        <w:t>)</w:t>
      </w:r>
      <w:r w:rsidRPr="00632BB3">
        <w:t>, o E</w:t>
      </w:r>
      <w:r w:rsidR="006C6CED">
        <w:t>G</w:t>
      </w:r>
      <w:r w:rsidRPr="00632BB3">
        <w:t>FR receptoriaus raiška naviko mutacijų ar ALK translokacijų nenustatyta, galimi keli gydymo variantai, priklausomai nuo ligos išplitimo (lokaliai išplitęs arba metastazavęs) ir naviko histologinio tipo (plokščialąstelinis arba neplokščialąstelinis).</w:t>
      </w:r>
    </w:p>
    <w:p w14:paraId="6DA65A2E" w14:textId="12F80426" w:rsidR="008C2035" w:rsidRPr="00632BB3" w:rsidRDefault="008C2035" w:rsidP="008C2035">
      <w:pPr>
        <w:tabs>
          <w:tab w:val="left" w:pos="426"/>
        </w:tabs>
        <w:spacing w:line="276" w:lineRule="auto"/>
        <w:ind w:firstLine="425"/>
        <w:jc w:val="both"/>
        <w:rPr>
          <w:rFonts w:eastAsia="Arial"/>
        </w:rPr>
      </w:pPr>
      <w:r w:rsidRPr="00632BB3">
        <w:rPr>
          <w:rFonts w:eastAsia="Arial"/>
        </w:rPr>
        <w:t xml:space="preserve">Vadovaujantis Lietuvos Respublikos sveikatos apsaugos ministro 2002 m. balandžio 5 d. įsakymu Nr. V-159 „Dėl vaistinių preparatų ir medicinos pagalbos priemonių įrašymo į kompensavimo sąrašus ir jų keitimo tvarkos aprašo patvirtinimo“ </w:t>
      </w:r>
      <w:bookmarkStart w:id="2" w:name="_Hlk193489082"/>
      <w:r w:rsidR="00B14079" w:rsidRPr="00632BB3">
        <w:rPr>
          <w:rFonts w:eastAsia="Arial"/>
          <w:color w:val="000000" w:themeColor="text1"/>
        </w:rPr>
        <w:t xml:space="preserve">patvirtintų Paraiškos įrašyti vaistinį preparatą į kompensavimo sąrašus rengimo taisyklių </w:t>
      </w:r>
      <w:bookmarkEnd w:id="2"/>
      <w:r w:rsidRPr="00632BB3">
        <w:rPr>
          <w:rFonts w:eastAsia="Arial"/>
        </w:rPr>
        <w:t>116-119 punktais, nustatyta, kad labiausiai įprastinę klinikinę praktiką Lietuvoje atitinkantis palyginamasis pirmos eilės gydymas yra:</w:t>
      </w:r>
    </w:p>
    <w:p w14:paraId="21DE866E" w14:textId="77777777" w:rsidR="008C2035" w:rsidRPr="00632BB3" w:rsidRDefault="008C2035" w:rsidP="008C2035">
      <w:pPr>
        <w:pStyle w:val="ListParagraph"/>
        <w:numPr>
          <w:ilvl w:val="0"/>
          <w:numId w:val="14"/>
        </w:numPr>
        <w:tabs>
          <w:tab w:val="left" w:pos="426"/>
        </w:tabs>
        <w:spacing w:line="276" w:lineRule="auto"/>
        <w:jc w:val="both"/>
        <w:rPr>
          <w:rFonts w:eastAsia="Arial"/>
          <w:bCs/>
        </w:rPr>
      </w:pPr>
      <w:r w:rsidRPr="00632BB3">
        <w:rPr>
          <w:rFonts w:eastAsia="Arial"/>
          <w:bCs/>
        </w:rPr>
        <w:t>Lokaliai išplitusiam (nemetastazavusiam) (plokščialąstelinis ir adenokarcinoma): chemoterapija → radioterapija.</w:t>
      </w:r>
    </w:p>
    <w:p w14:paraId="70D7FD34" w14:textId="063A6E2E" w:rsidR="008C2035" w:rsidRPr="00632BB3" w:rsidRDefault="008C2035" w:rsidP="008C2035">
      <w:pPr>
        <w:pStyle w:val="ListParagraph"/>
        <w:numPr>
          <w:ilvl w:val="0"/>
          <w:numId w:val="14"/>
        </w:numPr>
        <w:tabs>
          <w:tab w:val="left" w:pos="426"/>
        </w:tabs>
        <w:spacing w:line="276" w:lineRule="auto"/>
        <w:jc w:val="both"/>
        <w:rPr>
          <w:rFonts w:eastAsia="Arial"/>
          <w:bCs/>
        </w:rPr>
      </w:pPr>
      <w:r w:rsidRPr="00632BB3">
        <w:rPr>
          <w:rFonts w:eastAsia="Arial"/>
          <w:bCs/>
        </w:rPr>
        <w:t>Metastazavusiam plokščialąsteliniam NSLPV: karboplatina, paklitakselis ir pembrolizumabas arba nivolumabas, ipilimumabas ir chemoterapija</w:t>
      </w:r>
    </w:p>
    <w:p w14:paraId="2919AC87" w14:textId="77777777" w:rsidR="008C2035" w:rsidRPr="00632BB3" w:rsidRDefault="008C2035" w:rsidP="008C2035">
      <w:pPr>
        <w:pStyle w:val="ListParagraph"/>
        <w:numPr>
          <w:ilvl w:val="0"/>
          <w:numId w:val="14"/>
        </w:numPr>
        <w:tabs>
          <w:tab w:val="left" w:pos="426"/>
        </w:tabs>
        <w:spacing w:line="276" w:lineRule="auto"/>
        <w:jc w:val="both"/>
        <w:rPr>
          <w:rFonts w:eastAsia="Arial"/>
        </w:rPr>
      </w:pPr>
      <w:r w:rsidRPr="00632BB3">
        <w:rPr>
          <w:rFonts w:eastAsia="Arial"/>
          <w:bCs/>
        </w:rPr>
        <w:t>Mestazavusiam neplokščialąstelisniam NSLPV (adenokarcinoma): platina, pemetreksedas ir pembrolizumabas arba karboplatina, paklitakselis, bevacizumabas ir atezolizumabas arba nivolumabas, ipilimumabas ir chemoterapija.</w:t>
      </w:r>
    </w:p>
    <w:p w14:paraId="58FC7B9A" w14:textId="77777777" w:rsidR="008C2035" w:rsidRPr="00632BB3" w:rsidRDefault="008C2035" w:rsidP="008C2035">
      <w:pPr>
        <w:pStyle w:val="0TEXT"/>
        <w:spacing w:before="0" w:line="276" w:lineRule="auto"/>
        <w:rPr>
          <w:lang w:val="lt-LT"/>
        </w:rPr>
      </w:pPr>
      <w:r w:rsidRPr="00632BB3">
        <w:rPr>
          <w:lang w:val="lt-LT"/>
        </w:rPr>
        <w:t>Cemiplimabas yra visiškai žmogaus imunoglobulino G4 (IgG4) monokloninis antikūnas, kuris prisijungia prie 1-ojo programuojamos ląstelės žūties (angl. programmed cell death-1) (PD-1) receptoriaus ir blokuoja jo sąveiką su jo ligandais PD-L1 ir PD-L2. Šie ligandai yra pateikiami ant antigeną pateikiančių ląstelių paviršių ir gali atsirasti ant auglio ląstelių ir (arba) kitų auglio mikroaplinkos ląstelių. Jie sukelia T ląstelių funkcijų (tokių, kaip proliferacija, citokinų išskyrimas ir citotoksinis aktyvumas) slopinimą. Cemiplimabas stiprina T ląstelių atsaką, įskaitant veikimą prieš auglį, blokuodamas PD-1 susijungimą su PD-L1 ir PD-L2 ligandais.</w:t>
      </w:r>
    </w:p>
    <w:p w14:paraId="691EA480" w14:textId="77777777" w:rsidR="008C2035" w:rsidRPr="00632BB3" w:rsidRDefault="008C2035" w:rsidP="008C2035">
      <w:pPr>
        <w:tabs>
          <w:tab w:val="left" w:pos="426"/>
        </w:tabs>
        <w:spacing w:line="276" w:lineRule="auto"/>
        <w:ind w:firstLine="720"/>
        <w:jc w:val="both"/>
        <w:rPr>
          <w:bCs/>
        </w:rPr>
      </w:pPr>
      <w:r w:rsidRPr="00632BB3">
        <w:rPr>
          <w:bCs/>
          <w:color w:val="000000"/>
          <w:lang w:eastAsia="lt-LT"/>
        </w:rPr>
        <w:t>Cemiplimabo ir chemoterapijos derinio veiksmingumas ir saugumas</w:t>
      </w:r>
      <w:r w:rsidRPr="00632BB3">
        <w:rPr>
          <w:bCs/>
        </w:rPr>
        <w:t xml:space="preserve"> lokaliai išplitusiu ar metastazavusiu NSLPV su PD-L1 raiška ≥1 proc. sergančių pacientų gydymui buvo tirtas randomizuotame, daugiacentriame, dvigubai aklame, placebo kontroliuojamame, 3 fazės tyrime EMPOWER-Lung 3 (N=466) bei netiesiogiai palygintas atliekant tinklinę meta-analizę. Įvertinus EMPOWER-Lung 3 tyrimo pacientų populiaciją, nustatyta, kad didžioji dalis (t.y. ~85 proc.) tyrimo dalyvių sirgo metastazavusiu NSLPV. Iš jų, ~57 proc. sirgo neplokščialąsteliniu NSLPV (adenokarcinoma) ir 43 proc. plokščialąsteliniu NSLPV (žr. 3.1.3 skyrių, 1 lentelę). Remiantis įprasta klinikine praktika Lietuvoje ir atsižvelgiant į pacientų pasiskirstymą pagal NSLPV histologinį tipą ir jų ligos išplitimą, galimi trys palyginamieji gydymai: chemoterapija platinos pagrindu (lokaliai išplitusiam abijeų histologinių tipų NSLPV), karboplatina, paklitakselis ir pembrolizumabas arba nivolumabas, ipilimumabas ir chemoterapija (metastazavusiam plokščialąstelisniam NSLPV) bei cisplatina/karboplatina, pemetreksedas ir pembrolizumabas arba karboplatina, paklitakselis, bevacizumabas ir atezolizumabas arba nivolumabas, ipilimumabas ir chemoterapija (nemestazavusiam neplokščialąstelisniam NSLPV (adenokarcinomai). Dėl šios priežasties </w:t>
      </w:r>
      <w:r w:rsidRPr="00632BB3">
        <w:rPr>
          <w:bCs/>
        </w:rPr>
        <w:lastRenderedPageBreak/>
        <w:t>tiesioginio palyginimo klinikinio tyrimo pirminės ir antrinės vertinamosios baigties rezultatai vertinami kaip papildoma informacija pacientams, kuriems yra diagnozuotas metastazavęs NSLPV.</w:t>
      </w:r>
    </w:p>
    <w:p w14:paraId="5799AF5F" w14:textId="6E4FA2CD" w:rsidR="008C2035" w:rsidRPr="00632BB3" w:rsidRDefault="008C2035" w:rsidP="008C2035">
      <w:pPr>
        <w:tabs>
          <w:tab w:val="left" w:pos="426"/>
        </w:tabs>
        <w:spacing w:line="276" w:lineRule="auto"/>
        <w:ind w:firstLine="720"/>
        <w:jc w:val="both"/>
        <w:rPr>
          <w:bCs/>
        </w:rPr>
      </w:pPr>
      <w:r w:rsidRPr="00632BB3">
        <w:rPr>
          <w:bCs/>
        </w:rPr>
        <w:t xml:space="preserve">Netiesioginiame palyginime pembrolizumbo ir chemoterapijos derinys, atezolizumabo, bevacizumabo ir chemoterapijos derinys bei nivolumabo, ipilimumabo ir chemoterapijos derinys laikomi atitinkančiais įprastą klinikinę praktiką Lietuvoje. </w:t>
      </w:r>
    </w:p>
    <w:p w14:paraId="7D1D0C8A" w14:textId="77777777" w:rsidR="000C451D" w:rsidRPr="00632BB3" w:rsidRDefault="000C451D" w:rsidP="008C2035">
      <w:pPr>
        <w:tabs>
          <w:tab w:val="left" w:pos="426"/>
        </w:tabs>
        <w:spacing w:line="276" w:lineRule="auto"/>
        <w:ind w:firstLine="720"/>
        <w:jc w:val="both"/>
        <w:rPr>
          <w:bCs/>
        </w:rPr>
      </w:pPr>
    </w:p>
    <w:p w14:paraId="3DE9A66E" w14:textId="77777777" w:rsidR="008C2035" w:rsidRPr="00632BB3" w:rsidRDefault="008C2035" w:rsidP="008C2035">
      <w:pPr>
        <w:tabs>
          <w:tab w:val="left" w:pos="426"/>
          <w:tab w:val="center" w:pos="5250"/>
        </w:tabs>
        <w:spacing w:line="276" w:lineRule="auto"/>
        <w:ind w:firstLine="720"/>
        <w:contextualSpacing/>
        <w:jc w:val="both"/>
        <w:rPr>
          <w:i/>
          <w:lang w:eastAsia="lt-LT"/>
        </w:rPr>
      </w:pPr>
      <w:r w:rsidRPr="00632BB3">
        <w:rPr>
          <w:i/>
          <w:lang w:eastAsia="lt-LT"/>
        </w:rPr>
        <w:t>Tiesioginis palyginimas</w:t>
      </w:r>
    </w:p>
    <w:p w14:paraId="47A29869" w14:textId="69CC8454" w:rsidR="008C2035" w:rsidRPr="00632BB3" w:rsidRDefault="008C2035" w:rsidP="008C2035">
      <w:pPr>
        <w:pStyle w:val="0TEXT"/>
        <w:spacing w:before="0" w:line="276" w:lineRule="auto"/>
        <w:ind w:firstLine="425"/>
        <w:contextualSpacing/>
        <w:rPr>
          <w:lang w:val="lt-LT"/>
        </w:rPr>
      </w:pPr>
      <w:r w:rsidRPr="00632BB3">
        <w:rPr>
          <w:lang w:val="lt-LT"/>
        </w:rPr>
        <w:t xml:space="preserve">EMPOWER Lung-3 yra 3 fazės, daugiacentris, dvigubai aklas, atsitiktinių imčių 2:1, placebu kontroliuojamas tyrimas, kuriame buvo vertinama cemiplimabo + chemoterapijos ir placebo + chemoterapijos veiksmingumas ir saugumas, pacientams, sergantiems metastazavusiu arba lokaliai išplitusiu NSLPV, pirmos eilės gydymui. Klinikinio tyrimo </w:t>
      </w:r>
      <w:r w:rsidRPr="00632BB3">
        <w:rPr>
          <w:rFonts w:eastAsia="Arial"/>
          <w:bCs w:val="0"/>
          <w:lang w:val="lt-LT"/>
        </w:rPr>
        <w:t xml:space="preserve">EMPOWER-Lung 3 pacientų populiaciją sudarė pacientai, kuriems buvo nustatytas metastazavęs arba lokaliai išplitęs </w:t>
      </w:r>
      <w:r w:rsidRPr="00632BB3">
        <w:rPr>
          <w:lang w:val="lt-LT"/>
        </w:rPr>
        <w:t>nesmulkialąstelinis plaučių vėžys (NSLPV), ekspresuojantis PD-L1 (≥ 1 % naviko ląstelių) be E</w:t>
      </w:r>
      <w:r w:rsidR="006C6CED">
        <w:rPr>
          <w:lang w:val="lt-LT"/>
        </w:rPr>
        <w:t>G</w:t>
      </w:r>
      <w:r w:rsidRPr="00632BB3">
        <w:rPr>
          <w:lang w:val="lt-LT"/>
        </w:rPr>
        <w:t>FR, ALK ar ROS1 mutacijų ir yra netinkama galutinė chemoradioterapija. Bendrai, tai buvo</w:t>
      </w:r>
      <w:r w:rsidRPr="00632BB3">
        <w:rPr>
          <w:bCs w:val="0"/>
          <w:lang w:val="lt-LT"/>
        </w:rPr>
        <w:t xml:space="preserve"> </w:t>
      </w:r>
      <w:r w:rsidRPr="00632BB3">
        <w:rPr>
          <w:lang w:val="lt-LT"/>
        </w:rPr>
        <w:t>p</w:t>
      </w:r>
      <w:r w:rsidRPr="00632BB3">
        <w:rPr>
          <w:bCs w:val="0"/>
          <w:lang w:val="lt-LT"/>
        </w:rPr>
        <w:t xml:space="preserve">acientai, sergantys histologiškai arba citologiškai patvirtintu plokščialąsteliniu (iki 50 proc. tyrimo dalyvių) arba neplokščialąsteliniu  IIIB, IIIC arba IV stadijos </w:t>
      </w:r>
      <w:r w:rsidRPr="00632BB3">
        <w:rPr>
          <w:lang w:val="lt-LT"/>
        </w:rPr>
        <w:t>NSLPV, kurie b</w:t>
      </w:r>
      <w:r w:rsidRPr="00632BB3">
        <w:rPr>
          <w:bCs w:val="0"/>
          <w:lang w:val="lt-LT"/>
        </w:rPr>
        <w:t>uvo netinkami operaciniam gydymui ir galutinei chemoterapijai ir kurie anksčiau nebuvo gavę sisteminio gydymo pažengusiai ligai (pacientai, anksčiau gavę adjuvantinę ar neoadjuvantinę platinos dubletų chemoterapiją ir kurių liga atsinaujino ar metastazavo praėjus &gt;6 mėnesiams nuo taikyto gydymo, taip pat buvo įtraukti į tyrimą).</w:t>
      </w:r>
    </w:p>
    <w:p w14:paraId="43BDD4CD" w14:textId="77777777" w:rsidR="008C2035" w:rsidRPr="00632BB3" w:rsidRDefault="008C2035" w:rsidP="008C2035">
      <w:pPr>
        <w:spacing w:line="276" w:lineRule="auto"/>
        <w:ind w:firstLine="425"/>
        <w:contextualSpacing/>
        <w:jc w:val="both"/>
        <w:rPr>
          <w:lang w:eastAsia="lt-LT"/>
        </w:rPr>
      </w:pPr>
      <w:r w:rsidRPr="00632BB3">
        <w:rPr>
          <w:lang w:eastAsia="lt-LT"/>
        </w:rPr>
        <w:t>Tyrimo populiacija laikoma tinkama, atitinka siūlomą kompensuoti terapinę indikaciją bei tokių pacientų gydymo poreikis yra Lietuvoje. Vertinimas remiasi antrinės tarpinės analizės rezultatais, kadangi pasiekus numatytų įvykių skaičių antrinės tarpinės analizės metu buvo nustatytas pranašumas pagal pirminės vertinamosios baigties rezultatus.</w:t>
      </w:r>
    </w:p>
    <w:p w14:paraId="6499A273" w14:textId="77777777" w:rsidR="008C2035" w:rsidRPr="00632BB3" w:rsidRDefault="008C2035" w:rsidP="008C2035">
      <w:pPr>
        <w:tabs>
          <w:tab w:val="left" w:pos="426"/>
        </w:tabs>
        <w:spacing w:line="276" w:lineRule="auto"/>
        <w:ind w:firstLine="425"/>
        <w:contextualSpacing/>
        <w:jc w:val="both"/>
        <w:rPr>
          <w:rFonts w:eastAsia="Arial"/>
          <w:bCs/>
        </w:rPr>
      </w:pPr>
      <w:r w:rsidRPr="00632BB3">
        <w:rPr>
          <w:rFonts w:eastAsia="Arial"/>
          <w:b/>
        </w:rPr>
        <w:t>Pirminė vertinamoji baigtis -</w:t>
      </w:r>
      <w:r w:rsidRPr="00632BB3">
        <w:rPr>
          <w:rFonts w:eastAsia="Arial"/>
          <w:bCs/>
        </w:rPr>
        <w:t xml:space="preserve"> bendras išgyvenamumas, kuris buvo apibrėžtas kaip laikas nuo tyrimo randomizacijos iki paciento mirties dėl bet kurios priežasties. </w:t>
      </w:r>
    </w:p>
    <w:p w14:paraId="74F9F7C8" w14:textId="77777777" w:rsidR="008C2035" w:rsidRPr="00632BB3" w:rsidRDefault="008C2035" w:rsidP="008C2035">
      <w:pPr>
        <w:spacing w:line="276" w:lineRule="auto"/>
        <w:ind w:firstLine="425"/>
        <w:contextualSpacing/>
        <w:jc w:val="both"/>
      </w:pPr>
      <w:r w:rsidRPr="00632BB3">
        <w:rPr>
          <w:rFonts w:eastAsia="Arial"/>
          <w:u w:val="single"/>
        </w:rPr>
        <w:t>ITT populiacija (N=466):</w:t>
      </w:r>
      <w:r w:rsidRPr="00632BB3">
        <w:rPr>
          <w:rFonts w:eastAsia="Arial"/>
        </w:rPr>
        <w:t xml:space="preserve"> BI buvo statistiškai reikšmingai ilgesnis cemiplimabo + chemoterapijos grupėje (</w:t>
      </w:r>
      <w:r w:rsidRPr="00632BB3">
        <w:t>21,1 mėnesio (95% PI: 15,9-23,5) lyginant su 12,9 mėnesio (95% PI: 10,6-15,7) placebo + chemoterapijos grupėje (P=0,0003; RS buvo 0,65 [95% PI: 0,51-0,82]).</w:t>
      </w:r>
    </w:p>
    <w:p w14:paraId="34A3A3FA" w14:textId="77777777" w:rsidR="008C2035" w:rsidRPr="00632BB3" w:rsidRDefault="008C2035" w:rsidP="008C2035">
      <w:pPr>
        <w:spacing w:line="276" w:lineRule="auto"/>
        <w:ind w:firstLine="425"/>
        <w:contextualSpacing/>
        <w:jc w:val="both"/>
      </w:pPr>
      <w:r w:rsidRPr="00632BB3">
        <w:rPr>
          <w:rFonts w:eastAsia="Arial"/>
          <w:u w:val="single"/>
        </w:rPr>
        <w:t>Pogrupių analizė:</w:t>
      </w:r>
      <w:r w:rsidRPr="00632BB3">
        <w:rPr>
          <w:rFonts w:eastAsia="Arial"/>
        </w:rPr>
        <w:t xml:space="preserve"> Gydymas cemiplimabu + chemoterapija turėjo pranašumą bendram išgyvenamumui visuose analizuotuose pogrupiuose ITT populiacijoje. Statistiškai reikšmingai ilgesnis bendras išgyvenamumas buvo visuose pogrupiuose, išskyrus </w:t>
      </w:r>
      <w:r w:rsidRPr="00632BB3">
        <w:t>≥65 metų amžiaus pacientų, moterų, ne baltųjų, PD-L1 raiškos &lt;1%, pacientų iš Azijos ir nerūkančiųjų pogrupiuose. Lokaliai išplitusiu NSLPV sergančių pacientų bendro išgyvenamumo RS buvo 0,50 (95% PI 0,27-0,95).</w:t>
      </w:r>
    </w:p>
    <w:p w14:paraId="04D66C17" w14:textId="77777777" w:rsidR="008C2035" w:rsidRPr="00632BB3" w:rsidRDefault="008C2035" w:rsidP="008C2035">
      <w:pPr>
        <w:spacing w:line="276" w:lineRule="auto"/>
        <w:ind w:firstLine="425"/>
        <w:contextualSpacing/>
        <w:jc w:val="both"/>
      </w:pPr>
      <w:r w:rsidRPr="00632BB3">
        <w:rPr>
          <w:rFonts w:eastAsia="Arial"/>
          <w:bCs/>
        </w:rPr>
        <w:t xml:space="preserve">Pagrindinės antrinė vertinamoji baigtis: išgyvenamumas be ligos progresavimo (laikas nuo atsitiktinės imties iki ligos progresavimo, patvirtinto NPK pagal RECIST 1.1 kriterijus arba iki mirties nuo bet kokios priežasties). </w:t>
      </w:r>
      <w:r w:rsidRPr="00632BB3">
        <w:rPr>
          <w:rFonts w:eastAsia="Arial"/>
          <w:u w:val="single"/>
        </w:rPr>
        <w:t>ITT populiacija (N=466):</w:t>
      </w:r>
      <w:r w:rsidRPr="00632BB3">
        <w:rPr>
          <w:rFonts w:eastAsia="Arial"/>
        </w:rPr>
        <w:t xml:space="preserve"> IBLP mediana buvo statistiškai reikšmingai didesnė cemiplimabo + chemoterapijos grupėje </w:t>
      </w:r>
      <w:r w:rsidRPr="00632BB3">
        <w:t>(8,2 mėnesio [95% PI: 6,4-9,0]) lyginant su placebo + chemoterapijos grupe (5,5 mėnesio [95% PI: 4,3-6,2]) tyrimo rezultatų vertinimo metu (P&lt;0,0001; RS=0.55 [95% PI: 0,44-0,68]).</w:t>
      </w:r>
    </w:p>
    <w:p w14:paraId="30FD5FA9" w14:textId="77777777" w:rsidR="008C2035" w:rsidRPr="00632BB3" w:rsidRDefault="008C2035" w:rsidP="008C2035">
      <w:pPr>
        <w:spacing w:line="276" w:lineRule="auto"/>
        <w:ind w:firstLine="425"/>
        <w:contextualSpacing/>
        <w:jc w:val="both"/>
        <w:rPr>
          <w:rFonts w:eastAsia="Arial"/>
        </w:rPr>
      </w:pPr>
      <w:r w:rsidRPr="00632BB3">
        <w:rPr>
          <w:rFonts w:eastAsia="Arial"/>
          <w:u w:val="single"/>
        </w:rPr>
        <w:t>Pogrupių analizė:</w:t>
      </w:r>
      <w:r w:rsidRPr="00632BB3">
        <w:rPr>
          <w:rFonts w:eastAsia="Arial"/>
        </w:rPr>
        <w:t xml:space="preserve"> IBLP buvo statistiškai reikšmingai ilgesnis didžiojoje dalyje analizuotų pogrupių, išskyrus: moterų, ne baltųjų, PD-L1 &lt;1%, pacientų, turėjusių smegenų metastazes gydymo pradžioje, nerūkančiųjų pogrupiuose. </w:t>
      </w:r>
      <w:r w:rsidRPr="00632BB3">
        <w:t>Lokaliai išplitusiu NSLPV sergančių pacientų IBLP RS buvo 0,34 (95% PI 0,19-0,61)</w:t>
      </w:r>
      <w:r w:rsidRPr="00632BB3">
        <w:rPr>
          <w:rFonts w:eastAsia="Arial"/>
        </w:rPr>
        <w:t xml:space="preserve">. Kitos antrinės baigtys: bendras atsako dažnis, atsako trukmė, atspindėjo BI ir IBLP rezultatus. </w:t>
      </w:r>
    </w:p>
    <w:p w14:paraId="034B9DCE" w14:textId="77777777" w:rsidR="008C2035" w:rsidRPr="00632BB3" w:rsidRDefault="008C2035" w:rsidP="008C2035">
      <w:pPr>
        <w:spacing w:line="276" w:lineRule="auto"/>
        <w:ind w:firstLine="425"/>
        <w:contextualSpacing/>
        <w:jc w:val="both"/>
      </w:pPr>
      <w:r w:rsidRPr="00632BB3">
        <w:rPr>
          <w:rFonts w:eastAsia="Arial"/>
          <w:b/>
          <w:bCs/>
        </w:rPr>
        <w:t xml:space="preserve">Pacientų praneštų baigčių </w:t>
      </w:r>
      <w:r w:rsidRPr="00632BB3">
        <w:rPr>
          <w:rFonts w:eastAsia="Arial"/>
        </w:rPr>
        <w:t xml:space="preserve">analizėje </w:t>
      </w:r>
      <w:r w:rsidRPr="00632BB3">
        <w:t>reikšmingų skirtumų tarp visų funkcijų grupių (fizinės, emocinės, kognityvinių, socialinės) nebuvo.</w:t>
      </w:r>
    </w:p>
    <w:p w14:paraId="06F19F49" w14:textId="0A2459DA" w:rsidR="008C2035" w:rsidRPr="00632BB3" w:rsidRDefault="008C2035" w:rsidP="008C2035">
      <w:pPr>
        <w:spacing w:line="276" w:lineRule="auto"/>
        <w:ind w:firstLine="425"/>
        <w:contextualSpacing/>
        <w:jc w:val="both"/>
        <w:rPr>
          <w:iCs/>
        </w:rPr>
      </w:pPr>
      <w:r w:rsidRPr="00632BB3">
        <w:rPr>
          <w:iCs/>
        </w:rPr>
        <w:t xml:space="preserve">Saugumo analizės rezultatai parodė, kad gydymas placebu ir chemoterapija buvo kiek geriau toleruojamas, lyginant su gydymu cemiplimabu ir chemoterapija, tačiau mirties atvejų dažnis tarp grupių buvo panašus, todėl daroma išvada, jog klinikinio tyrimo vaistų saugumas nesiskiria. Pateikto klinikinio tyrimo metu nebuvo užfiksuota naujų netikėtų </w:t>
      </w:r>
      <w:r w:rsidR="00B14079" w:rsidRPr="00632BB3">
        <w:rPr>
          <w:iCs/>
        </w:rPr>
        <w:t>nepageidaujamų reakcijų</w:t>
      </w:r>
      <w:r w:rsidRPr="00632BB3">
        <w:rPr>
          <w:iCs/>
        </w:rPr>
        <w:t>. Saugumo duomenys nesiskiria nuo duomenų, pateiktų preparato charakteristikų santraukoje.</w:t>
      </w:r>
    </w:p>
    <w:p w14:paraId="19050948" w14:textId="77777777" w:rsidR="000C451D" w:rsidRPr="00632BB3" w:rsidRDefault="000C451D" w:rsidP="008C2035">
      <w:pPr>
        <w:spacing w:line="276" w:lineRule="auto"/>
        <w:ind w:firstLine="425"/>
        <w:contextualSpacing/>
        <w:jc w:val="both"/>
        <w:rPr>
          <w:i/>
        </w:rPr>
      </w:pPr>
    </w:p>
    <w:p w14:paraId="7E7876E1" w14:textId="5E771247" w:rsidR="008C2035" w:rsidRPr="00632BB3" w:rsidRDefault="008C2035" w:rsidP="008C2035">
      <w:pPr>
        <w:spacing w:line="276" w:lineRule="auto"/>
        <w:ind w:firstLine="425"/>
        <w:contextualSpacing/>
        <w:jc w:val="both"/>
        <w:rPr>
          <w:i/>
        </w:rPr>
      </w:pPr>
      <w:r w:rsidRPr="00632BB3">
        <w:rPr>
          <w:i/>
        </w:rPr>
        <w:t>Netiesioginis palyginimas</w:t>
      </w:r>
    </w:p>
    <w:p w14:paraId="6E7591E2" w14:textId="4610DC72" w:rsidR="008C2035" w:rsidRPr="00632BB3" w:rsidRDefault="008C2035" w:rsidP="008C2035">
      <w:pPr>
        <w:tabs>
          <w:tab w:val="left" w:pos="492"/>
        </w:tabs>
        <w:spacing w:line="276" w:lineRule="auto"/>
        <w:ind w:firstLine="425"/>
        <w:contextualSpacing/>
        <w:jc w:val="both"/>
        <w:outlineLvl w:val="1"/>
      </w:pPr>
      <w:r w:rsidRPr="00632BB3">
        <w:t xml:space="preserve">Atsitiktinių imčių III fazės tyrimai, kuriuose cemiplimabas būtų lyginamas su pembrolizumabo ir chemoterapijos deriniu, atezolizumabo, bevacizumabo ir chemoterapijos deriniu bei nivolumabo, ipilimumabo ir chemoterapijos deriniu, duomenų pateikimo metu nebuvo atlikti. Siekiant pagrįsti šį palyginimą ir ištirti santykinio veiksmingumo ir saugumo įverčius, buvo atlikta sisteminė klinikinių įrodymų literatūros apžvalga (SLR). </w:t>
      </w:r>
      <w:r w:rsidRPr="00632BB3">
        <w:rPr>
          <w:rFonts w:eastAsia="Arial"/>
          <w:bCs/>
        </w:rPr>
        <w:t xml:space="preserve">Į sisteminę literatūros apžvalgą buvo įtraukti </w:t>
      </w:r>
      <w:r w:rsidRPr="00632BB3">
        <w:rPr>
          <w:rFonts w:eastAsiaTheme="majorEastAsia"/>
        </w:rPr>
        <w:t>lokaliai išplitusiu arba metastazavusiu NSLPV  (IIIB, IIIC arba IV stadija) sergantys, anksčiau negydyti, suaugę pacientai, nepriklausomai nuo naviko ląstelių PD-L1 raiškos</w:t>
      </w:r>
      <w:r w:rsidRPr="00632BB3">
        <w:rPr>
          <w:bCs/>
          <w:iCs/>
          <w:lang w:eastAsia="lt-LT"/>
        </w:rPr>
        <w:t xml:space="preserve"> </w:t>
      </w:r>
      <w:r w:rsidRPr="00632BB3">
        <w:t xml:space="preserve">(&lt;1%, ≥1%-49%, </w:t>
      </w:r>
      <w:r w:rsidRPr="00632BB3">
        <w:rPr>
          <w:bCs/>
          <w:iCs/>
          <w:lang w:eastAsia="lt-LT"/>
        </w:rPr>
        <w:t>≥50%)</w:t>
      </w:r>
      <w:r w:rsidRPr="00632BB3">
        <w:t>, kuriems nebuvo nustatyta E</w:t>
      </w:r>
      <w:r w:rsidR="006C6CED">
        <w:t>G</w:t>
      </w:r>
      <w:r w:rsidRPr="00632BB3">
        <w:t>FR, ALK ar ROS1 aberacijų. Populiacija atitinka siūlomą Pareiškėjo siūlomą kompensuoti terapinę indikaciją. Vertinama, kad tinkamų tyrimų duomenys buvo surinkti ir palyginti atliekant tinklinę meta-analizę (TMA). Pagrindinės vertinamosios baigtys TMA metu buvo BI ir IBLP. Jų rezultatai buvo pateikti atsižvelgiant į naviko histologiją.</w:t>
      </w:r>
    </w:p>
    <w:p w14:paraId="02F12FB2" w14:textId="77777777" w:rsidR="008C2035" w:rsidRPr="00632BB3" w:rsidRDefault="008C2035" w:rsidP="009B2A6D">
      <w:pPr>
        <w:spacing w:line="276" w:lineRule="auto"/>
        <w:ind w:firstLine="425"/>
        <w:contextualSpacing/>
        <w:jc w:val="both"/>
      </w:pPr>
      <w:r w:rsidRPr="00632BB3">
        <w:t>Vertinant IBLP baigties rezultatus pacientams, kurių naviko PD-L1 raiška ≥1 proc. (nepriklausomai histologinio tipo NSLPV: plokščialąstelinio ir neplokščialąstelinio), laikas iki ligos progresavimo tarp palyginamųjų grupių buvo panašus.</w:t>
      </w:r>
    </w:p>
    <w:p w14:paraId="79BF7BE7" w14:textId="77777777" w:rsidR="008C2035" w:rsidRPr="00632BB3" w:rsidRDefault="008C2035" w:rsidP="008C2035">
      <w:pPr>
        <w:tabs>
          <w:tab w:val="left" w:pos="284"/>
        </w:tabs>
        <w:spacing w:line="276" w:lineRule="auto"/>
        <w:ind w:firstLine="425"/>
        <w:contextualSpacing/>
        <w:jc w:val="both"/>
        <w:rPr>
          <w:rFonts w:eastAsia="Arial"/>
          <w:bCs/>
        </w:rPr>
      </w:pPr>
      <w:r w:rsidRPr="00632BB3">
        <w:rPr>
          <w:rFonts w:eastAsia="Arial"/>
          <w:bCs/>
        </w:rPr>
        <w:t>Gydymo cemiplimabu + chemoterapija ir visais palyginamaisiais imunoterapijos vaistais, saugumo duomenys buvo panašūs. Nebuvo statistiškai reikšmingo skirtumo tarp 3-5 laipsnio nepageidaujamų reakcijų pasireiškimo dažnio bei gydymo nutraukimo dažnio, dėl vaisto netoleravimo. Saugumo duomenys buvo panašūs visose pacientų grupėse (nepriklausomai nuo PD-L1 raiškos, histologijos, plokščialąstelinio/neplokščialąstelinio NSLPV).</w:t>
      </w:r>
    </w:p>
    <w:p w14:paraId="42014E9F" w14:textId="77777777" w:rsidR="008C2035" w:rsidRPr="00632BB3" w:rsidRDefault="008C2035" w:rsidP="008C2035">
      <w:pPr>
        <w:tabs>
          <w:tab w:val="left" w:pos="492"/>
        </w:tabs>
        <w:spacing w:line="276" w:lineRule="auto"/>
        <w:ind w:firstLine="425"/>
        <w:contextualSpacing/>
        <w:jc w:val="both"/>
        <w:outlineLvl w:val="1"/>
      </w:pPr>
      <w:r w:rsidRPr="00632BB3">
        <w:t xml:space="preserve">Nustatyta, kad įvertinus tiesioginio palyginimo tyrimo rezultatus iš anksto numatytame </w:t>
      </w:r>
      <w:r w:rsidRPr="00632BB3">
        <w:rPr>
          <w:b/>
          <w:bCs/>
        </w:rPr>
        <w:t>lokaliai</w:t>
      </w:r>
      <w:r w:rsidRPr="00632BB3">
        <w:t xml:space="preserve"> </w:t>
      </w:r>
      <w:r w:rsidRPr="00632BB3">
        <w:rPr>
          <w:b/>
          <w:bCs/>
        </w:rPr>
        <w:t>išplitusio</w:t>
      </w:r>
      <w:r w:rsidRPr="00632BB3">
        <w:t xml:space="preserve"> NSLPV pacientų pogrupyje (15 proc. iš bendros pacientų tyrimo EMPOWER-Lung 3 populiacijos), daroma išvada, jog gydymas cemiplimabo ir chemoterapijos deriniu, 50 proc. mažina mirties  riziką ir 66 proc. ligos progresavimo riziką lyginant su įprasta klinikine praktika Lietuvoje (chemoterapija platinos pagrindu), todėl daroma išvada, kad gydymas cemiplimabo ir chemoterapijos platinos pagrindu deriniu šiam pacientų pogrupiui yra pranašesnis. O netiesioginio palyginimo tyrimo rezultatai iš anksto numatytuose </w:t>
      </w:r>
      <w:r w:rsidRPr="00632BB3">
        <w:rPr>
          <w:b/>
          <w:bCs/>
        </w:rPr>
        <w:t>metastazavusio</w:t>
      </w:r>
      <w:r w:rsidRPr="00632BB3">
        <w:t xml:space="preserve"> plokščialąstelinio ir neplokščialąstelinio NSLPV pacientų pogrupiuose parodė, kad  cemiplimabo ir chemoterapijos derinio klinikinis veiksmingumas ir saugumas nesiskiria nuo įprastos Lietuvos klinikinės praktikos (plokščialąsteliniam NSLPV – pembrolizumabo ir chemoterapijos derinys bei nivolumabo, ipilimumabo ir chemoterapijos derinys, neplokščialąsteliniam – pembrolizumabo ir chemoterapijos derinys, atezolizumabo, bevacizumabo ir chemoterapijos derinys bei nivolumabo, ipilimumabo ir chemoterapijos derinys), todėl cemiplimabo ir chemoterapijos derinio veiksmingumas vertintas kaip pagrindžiantis nesiskiriančios naudos pacientų sveikatai sukūrimą, lyginant su įprasta klinikine praktika. </w:t>
      </w:r>
    </w:p>
    <w:p w14:paraId="074BA203" w14:textId="72920D4D" w:rsidR="009B2F9C" w:rsidRPr="00632BB3" w:rsidRDefault="008C2035" w:rsidP="008C2035">
      <w:pPr>
        <w:tabs>
          <w:tab w:val="left" w:pos="492"/>
        </w:tabs>
        <w:spacing w:line="276" w:lineRule="auto"/>
        <w:ind w:firstLine="425"/>
        <w:contextualSpacing/>
        <w:jc w:val="both"/>
        <w:outlineLvl w:val="1"/>
      </w:pPr>
      <w:r w:rsidRPr="00632BB3">
        <w:t xml:space="preserve">Apibendrinant klinikinio veiksmingumo rezultatus bendroje pacientų, sergančių lokaliai išplitusiu arba metastazavusiu NSPLV, gydymas cemiplimabo ir chemoterapijos platinos pagrindu </w:t>
      </w:r>
      <w:r w:rsidR="00A02009" w:rsidRPr="00632BB3">
        <w:t>deriniu  vertinamas kaip</w:t>
      </w:r>
      <w:r w:rsidRPr="00632BB3">
        <w:t xml:space="preserve"> iš esmės nesiskiria</w:t>
      </w:r>
      <w:r w:rsidR="00A02009" w:rsidRPr="00632BB3">
        <w:t>ntis</w:t>
      </w:r>
      <w:r w:rsidRPr="00632BB3">
        <w:t xml:space="preserve"> nuo įprastos klinikinės praktikos Lietuvoje. </w:t>
      </w:r>
    </w:p>
    <w:p w14:paraId="25F89291" w14:textId="5C45C8FC" w:rsidR="00D4485B" w:rsidRPr="00632BB3" w:rsidRDefault="00D4485B" w:rsidP="00A93AA6">
      <w:pPr>
        <w:pStyle w:val="ListParagraph"/>
        <w:tabs>
          <w:tab w:val="left" w:pos="426"/>
        </w:tabs>
        <w:ind w:left="0"/>
        <w:rPr>
          <w:b/>
          <w:bCs/>
          <w:caps/>
        </w:rPr>
      </w:pPr>
    </w:p>
    <w:p w14:paraId="7DE09EB5" w14:textId="69E9DD74" w:rsidR="00E03C3F" w:rsidRPr="00632BB3" w:rsidRDefault="00CC7832" w:rsidP="00CC09D4">
      <w:pPr>
        <w:pStyle w:val="ListParagraph"/>
        <w:numPr>
          <w:ilvl w:val="0"/>
          <w:numId w:val="12"/>
        </w:numPr>
        <w:tabs>
          <w:tab w:val="left" w:pos="567"/>
        </w:tabs>
        <w:ind w:hanging="720"/>
        <w:rPr>
          <w:b/>
          <w:bCs/>
          <w:caps/>
        </w:rPr>
      </w:pPr>
      <w:r w:rsidRPr="00632BB3">
        <w:rPr>
          <w:b/>
          <w:bCs/>
          <w:caps/>
        </w:rPr>
        <w:t xml:space="preserve">ekonominio vertinimo </w:t>
      </w:r>
      <w:r w:rsidR="002F0E4F" w:rsidRPr="00632BB3">
        <w:rPr>
          <w:b/>
          <w:bCs/>
          <w:caps/>
        </w:rPr>
        <w:t>apibendrinimas</w:t>
      </w:r>
    </w:p>
    <w:p w14:paraId="4801D227" w14:textId="140F5E84" w:rsidR="009E44AE" w:rsidRPr="00632BB3" w:rsidRDefault="009E44AE" w:rsidP="00A93AA6">
      <w:pPr>
        <w:tabs>
          <w:tab w:val="left" w:pos="426"/>
        </w:tabs>
        <w:rPr>
          <w:b/>
          <w:lang w:eastAsia="lt-LT"/>
        </w:rPr>
      </w:pPr>
    </w:p>
    <w:p w14:paraId="009E02F7" w14:textId="77777777" w:rsidR="008C2035" w:rsidRPr="00632BB3" w:rsidRDefault="008C2035" w:rsidP="008C2035">
      <w:pPr>
        <w:spacing w:line="276" w:lineRule="auto"/>
        <w:ind w:firstLine="450"/>
        <w:jc w:val="both"/>
        <w:rPr>
          <w:lang w:eastAsia="lt-LT"/>
        </w:rPr>
      </w:pPr>
      <w:r w:rsidRPr="00632BB3">
        <w:t xml:space="preserve">Indikaciją su skyrimo sąlygomis atitinkančios populiacijos klinikinis veiksmingumas ir saugumas pagrįstas EMPOWER-Lung 3 (2 metų trukmės, June 14, 2022 Data Cutoff) klinikinio tyrimo duomenimis. EMPOWER-Lung 3: </w:t>
      </w:r>
      <w:r w:rsidRPr="00632BB3">
        <w:rPr>
          <w:lang w:eastAsia="lt-LT"/>
        </w:rPr>
        <w:t>randomizuotas, daugiacentris, globalus, dvigubai aklas, pagrindinis III fazės tyrimas, kuriame cemiplimabas kartu su platinos pagrindo dviejų vaistų chemoterapija lyginamas su placebu kartu su platinos pagrindo dviejų vaistų chemoterapija pacientams, sergantiems IIIB, IIIC ar IV stadijos plokščialąsteliniu arba neplokščialąsteliniu NSLPV.</w:t>
      </w:r>
    </w:p>
    <w:p w14:paraId="48E47973" w14:textId="77777777" w:rsidR="008C2035" w:rsidRPr="00632BB3" w:rsidRDefault="008C2035" w:rsidP="008C2035">
      <w:pPr>
        <w:spacing w:line="276" w:lineRule="auto"/>
        <w:ind w:firstLine="450"/>
        <w:jc w:val="both"/>
        <w:rPr>
          <w:lang w:eastAsia="lt-LT"/>
        </w:rPr>
      </w:pPr>
      <w:r w:rsidRPr="00632BB3">
        <w:rPr>
          <w:lang w:eastAsia="lt-LT"/>
        </w:rPr>
        <w:t>Kompensavimui teikiamos populiacijos duomenys lyginant su Lietuvos klinikinę praktiką atitinkančiais palyginamaisiais: pembrolizumabas (+ chemoterapija); atezolizumabas+bevacizumabas (+ chemoterapija) ir nivolumabas+ipilimumabas (+ chemoterapija) pagrįsti netiesiogine analize.  Apibendrinant klinikinius rezultatus, vertinama, kad cemiplimabo lyginant su pembrolizumabu (skiriamų deriniuose su chemoterapija) ir kitais palyginamaisiais gydymais sveikatai sukuriama nauda yra panaši (plačiau detalizuojama klinikinėje dalyje) ir v</w:t>
      </w:r>
      <w:r w:rsidRPr="00632BB3">
        <w:t>adovaujantis Lietuvos Respublikos sveikatos apsaugos ministro 2002 m. balandžio 5 d. įsakymu Nr. 159 „Dėl Vaistinių preparatų ir medicinos pagalbos priemonių įrašymo į kompensavimo sąrašus ir jų keitimo tvarkos aprašo patvirtinimo“ patvirtintų „P</w:t>
      </w:r>
      <w:r w:rsidRPr="00632BB3">
        <w:rPr>
          <w:bCs/>
        </w:rPr>
        <w:t>araiškos įrašyti vaistinį preparatą į kompensavimo sąrašus rengimo taisyklių</w:t>
      </w:r>
      <w:r w:rsidRPr="00632BB3">
        <w:t xml:space="preserve"> 127 punktu“, </w:t>
      </w:r>
      <w:r w:rsidRPr="00632BB3">
        <w:rPr>
          <w:rFonts w:eastAsia="Arial"/>
          <w:bCs/>
        </w:rPr>
        <w:t xml:space="preserve">dėl iš esmės nesiskiriančio gydymo efektyvumo ir sukuriamos naudos pacientų sveikatai, lyginant su įprasta klinikine praktika yra atliekama kaštų mažinimo analizė (toliau – KMA), </w:t>
      </w:r>
      <w:r w:rsidRPr="00632BB3">
        <w:t>kurioje cemiplimabo ir palyginamųjų gydymų deriniuose su chemotrapija</w:t>
      </w:r>
      <w:r w:rsidRPr="00632BB3">
        <w:rPr>
          <w:shd w:val="clear" w:color="auto" w:fill="FFFFFF"/>
        </w:rPr>
        <w:t xml:space="preserve"> kaštų lyginamoji analizė vertinama iš kaštų mažinimo perspektyvos (sveikatai sukuriama nauda yra nevertinama).</w:t>
      </w:r>
    </w:p>
    <w:p w14:paraId="001401B5" w14:textId="77777777" w:rsidR="008C2035" w:rsidRPr="00632BB3" w:rsidRDefault="008C2035" w:rsidP="008C2035">
      <w:pPr>
        <w:spacing w:line="276" w:lineRule="auto"/>
        <w:ind w:firstLine="450"/>
        <w:jc w:val="both"/>
        <w:rPr>
          <w:iCs/>
          <w:lang w:eastAsia="lt-LT"/>
        </w:rPr>
      </w:pPr>
      <w:r w:rsidRPr="00632BB3">
        <w:rPr>
          <w:iCs/>
          <w:lang w:eastAsia="lt-LT"/>
        </w:rPr>
        <w:t xml:space="preserve">Tarnyba įprastinę atvejo analizę atlieka cemiplimabo derinyje su chemoterapija kaštus lyginant su palyginamųjų gydymų derinyje su chemoterapija kaštus vienerių metų laikotarpiu. Tarnyba vertina, kad nėra tikslinga taikyti 5 m. laikotarpį, atsižvelgiant, kad pirmaisiais ir sekančiais metais VP dozavimas nesiskiria. Taip pat laikomasi prielaidos (pagal klinikinių tyrimų IBLP duomenis (pembrolizumabo: </w:t>
      </w:r>
      <w:r w:rsidRPr="00632BB3">
        <w:t>KEYNOTE-189 ir KEYNOTE-021G</w:t>
      </w:r>
      <w:r w:rsidRPr="00632BB3">
        <w:rPr>
          <w:iCs/>
          <w:lang w:eastAsia="lt-LT"/>
        </w:rPr>
        <w:t xml:space="preserve">), kad pembrolizumabo ir cemiplimabo gydymo trukmės sutampa (~9 mėn., </w:t>
      </w:r>
      <w:r w:rsidRPr="00632BB3">
        <w:t>9 ir 13 mėn. vs. 8,5</w:t>
      </w:r>
      <w:r w:rsidRPr="00632BB3">
        <w:rPr>
          <w:iCs/>
          <w:lang w:eastAsia="lt-LT"/>
        </w:rPr>
        <w:t>)., kitų vaistinių preparatų IBLP medianos ne ilgesnės nei 1 m. (6.8-8.1 mėn.), todėl KMA apima vienerių metų laikotarpį.</w:t>
      </w:r>
      <w:r w:rsidRPr="00632BB3">
        <w:rPr>
          <w:lang w:eastAsia="lt-LT"/>
        </w:rPr>
        <w:t xml:space="preserve"> </w:t>
      </w:r>
      <w:r w:rsidRPr="00632BB3">
        <w:rPr>
          <w:iCs/>
          <w:lang w:eastAsia="lt-LT"/>
        </w:rPr>
        <w:t>KMA įtraukiami tik skirtumus lemiantys kaštai: vaistinių preparatų įsigijimo (sekančių metų įsigijimo kaštai nesiskiria nuo pirmųjų, dozavimas taikomas toks pat) bei dėl gydymo VP sukeliamo nepageidaujamo poveikio kaštus (dažnis pagrįstas klinikiniais tyrimais, kaštai apskaičiuoti pagal DRG 2024 m II pusm. įkainius ir 2023 m. atvejus). Gydymo ir skyrimo kaštai neįtraukiami. Laikomasi prielaidos, kad dėl vienodo vaistų efektyvumo bei vienodo periodiškumo skyrimo (skiriama dienos stacionare) kaštai bus panašūs ir esminės įtakos KMA rezultatui neturi.</w:t>
      </w:r>
    </w:p>
    <w:p w14:paraId="39222DE4" w14:textId="77D12203" w:rsidR="008C2035" w:rsidRPr="00632BB3" w:rsidRDefault="008C2035" w:rsidP="008C2035">
      <w:pPr>
        <w:spacing w:line="276" w:lineRule="auto"/>
        <w:ind w:firstLine="450"/>
        <w:jc w:val="both"/>
      </w:pPr>
      <w:r w:rsidRPr="00632BB3">
        <w:rPr>
          <w:iCs/>
          <w:lang w:eastAsia="lt-LT"/>
        </w:rPr>
        <w:t>Tarnyba pateikia pagrindinę ekonominę analizę, kai taikoma Pareiškėjo teikiama cemiplimabo kaina (</w:t>
      </w:r>
      <w:r w:rsidRPr="00632BB3">
        <w:rPr>
          <w:color w:val="000000"/>
          <w:lang w:eastAsia="lt-LT"/>
        </w:rPr>
        <w:t xml:space="preserve">350mg N1 pakuotės kaina: </w:t>
      </w:r>
      <w:r w:rsidR="00545DB0">
        <w:rPr>
          <w:color w:val="000000"/>
          <w:lang w:eastAsia="lt-LT"/>
        </w:rPr>
        <w:t>***</w:t>
      </w:r>
      <w:r w:rsidRPr="00632BB3">
        <w:rPr>
          <w:color w:val="000000"/>
          <w:lang w:eastAsia="lt-LT"/>
        </w:rPr>
        <w:t xml:space="preserve"> Eur) ir kai taikoma sutarties su VLK kaina (350mg N1 pakuotės kaina: </w:t>
      </w:r>
      <w:r w:rsidR="0052094A">
        <w:t>***</w:t>
      </w:r>
      <w:r w:rsidRPr="00632BB3">
        <w:t xml:space="preserve">Eur.), kadangi </w:t>
      </w:r>
      <w:r w:rsidRPr="00632BB3">
        <w:rPr>
          <w:iCs/>
          <w:lang w:eastAsia="lt-LT"/>
        </w:rPr>
        <w:t xml:space="preserve">Pareiškėjas neteikia PGS, tačiau </w:t>
      </w:r>
      <w:r w:rsidRPr="00632BB3">
        <w:t xml:space="preserve">Tarnybai yra žinoma, kad su gamintoju </w:t>
      </w:r>
      <w:r w:rsidR="00AE72AC">
        <w:t>***</w:t>
      </w:r>
      <w:r w:rsidRPr="00632BB3">
        <w:t xml:space="preserve"> yra pasirašyta sutartis </w:t>
      </w:r>
      <w:r w:rsidR="00AE72AC">
        <w:t>***</w:t>
      </w:r>
      <w:r w:rsidRPr="00632BB3">
        <w:t xml:space="preserve">) gydymui tokią grąžintiną kainos dalį, kad šio vaisto </w:t>
      </w:r>
      <w:r w:rsidRPr="00632BB3">
        <w:rPr>
          <w:u w:val="single"/>
        </w:rPr>
        <w:t xml:space="preserve">faktinė bazinė kaina sudarytų ne daugiau nei </w:t>
      </w:r>
      <w:r w:rsidR="0052094A">
        <w:rPr>
          <w:u w:val="single"/>
        </w:rPr>
        <w:t>***</w:t>
      </w:r>
      <w:r w:rsidRPr="00632BB3">
        <w:rPr>
          <w:u w:val="single"/>
        </w:rPr>
        <w:t xml:space="preserve"> Eur.</w:t>
      </w:r>
      <w:r w:rsidRPr="00632BB3">
        <w:t xml:space="preserve"> KMA taikomos palyginamųjų vaistinių preparatų kainos yra konfidencialios (su PGS, VLK duomenys).</w:t>
      </w:r>
      <w:r w:rsidRPr="00632BB3">
        <w:rPr>
          <w:iCs/>
          <w:lang w:eastAsia="lt-LT"/>
        </w:rPr>
        <w:t xml:space="preserve"> </w:t>
      </w:r>
      <w:r w:rsidRPr="00632BB3">
        <w:t>Dozavimas ir gydymo trukmė ekonominėje analizėje atitinka klinikiniuose įrodymuose pateiktą informaciją. KMA taikoma pagal vaistinių preparatų charakteristikų santraukose nurodomą. Kartu skiriamos kompensuojamos chemoterapijos (pagal 16113 tyrimą) derinių: paklitakselis + cisplatina, paklitakselis + karboplatina, pemetreksedas + cisplatina, pemetreksedas + karboplatina svertinė kaina pagal šių derinių naudojimo proporcijas (atitinkamai 55%, 15%, 15% ir 15%, paraiškos duomenys), kai chemoterapija būtų skiriama 4 ciklus kas 3 sav., pemetreksedas 13 ciklų kas 3 sav., pateikiama pagal 2025 m. I pusmečio kompensuojamų vaistinių preparatų kainyne nurodytą bazinę kainą.</w:t>
      </w:r>
    </w:p>
    <w:p w14:paraId="72461C27" w14:textId="4277EC58" w:rsidR="008C2035" w:rsidRPr="00B40EE7" w:rsidRDefault="008C2035" w:rsidP="008C2035">
      <w:pPr>
        <w:spacing w:line="276" w:lineRule="auto"/>
        <w:ind w:firstLine="450"/>
        <w:jc w:val="both"/>
      </w:pPr>
      <w:r w:rsidRPr="00632BB3">
        <w:rPr>
          <w:rFonts w:eastAsia="Arial"/>
        </w:rPr>
        <w:t>Gautais KMA duomenimis, taikant cemiplimabo sutartinę kainą (</w:t>
      </w:r>
      <w:r w:rsidRPr="00632BB3">
        <w:rPr>
          <w:color w:val="000000"/>
          <w:lang w:eastAsia="lt-LT"/>
        </w:rPr>
        <w:t xml:space="preserve">350mg N1 pakuotės kaina: </w:t>
      </w:r>
      <w:r w:rsidR="00FC6889" w:rsidRPr="00B40EE7">
        <w:rPr>
          <w:color w:val="000000"/>
          <w:u w:val="single"/>
          <w:lang w:eastAsia="lt-LT"/>
        </w:rPr>
        <w:t>***</w:t>
      </w:r>
      <w:r w:rsidRPr="00B40EE7">
        <w:rPr>
          <w:color w:val="000000"/>
          <w:u w:val="single"/>
          <w:lang w:eastAsia="lt-LT"/>
        </w:rPr>
        <w:t xml:space="preserve"> </w:t>
      </w:r>
      <w:r w:rsidRPr="00B40EE7">
        <w:rPr>
          <w:u w:val="single"/>
          <w:lang w:eastAsia="lt-LT"/>
        </w:rPr>
        <w:t>Eur.</w:t>
      </w:r>
      <w:r w:rsidRPr="00B40EE7">
        <w:rPr>
          <w:color w:val="000000"/>
          <w:lang w:eastAsia="lt-LT"/>
        </w:rPr>
        <w:t>) ir konfidencialias palyginamųjų kainas (su PGS) bendrųjų kaštų skirtumas per 1 metų gydymo laikotarpį yra mažesnis (</w:t>
      </w:r>
      <w:r w:rsidR="00022B6F" w:rsidRPr="00B40EE7">
        <w:rPr>
          <w:color w:val="000000"/>
          <w:lang w:eastAsia="lt-LT"/>
        </w:rPr>
        <w:t xml:space="preserve">nuo – </w:t>
      </w:r>
      <w:r w:rsidR="00022B6F" w:rsidRPr="00B40EE7">
        <w:t xml:space="preserve">*** </w:t>
      </w:r>
      <w:r w:rsidR="00022B6F" w:rsidRPr="00B40EE7">
        <w:rPr>
          <w:color w:val="000000"/>
          <w:lang w:eastAsia="lt-LT"/>
        </w:rPr>
        <w:t xml:space="preserve">iki - </w:t>
      </w:r>
      <w:r w:rsidR="00022B6F" w:rsidRPr="00B40EE7">
        <w:t xml:space="preserve">*** </w:t>
      </w:r>
      <w:r w:rsidRPr="00B40EE7">
        <w:rPr>
          <w:color w:val="000000"/>
          <w:lang w:eastAsia="lt-LT"/>
        </w:rPr>
        <w:t xml:space="preserve">Eur.) ir yra pasiekiamas kaštų mažinimas, t.y. cemiplimabas yra pigesnė nuo – </w:t>
      </w:r>
      <w:r w:rsidR="0082405F" w:rsidRPr="00B40EE7">
        <w:rPr>
          <w:color w:val="000000"/>
          <w:lang w:eastAsia="lt-LT"/>
        </w:rPr>
        <w:t>*** proc.</w:t>
      </w:r>
      <w:r w:rsidRPr="00B40EE7">
        <w:rPr>
          <w:color w:val="000000"/>
          <w:lang w:eastAsia="lt-LT"/>
        </w:rPr>
        <w:t xml:space="preserve"> iki – </w:t>
      </w:r>
      <w:r w:rsidR="0082405F" w:rsidRPr="00B40EE7">
        <w:rPr>
          <w:color w:val="000000"/>
          <w:lang w:eastAsia="lt-LT"/>
        </w:rPr>
        <w:t>***</w:t>
      </w:r>
      <w:r w:rsidRPr="00B40EE7">
        <w:rPr>
          <w:color w:val="000000"/>
          <w:lang w:eastAsia="lt-LT"/>
        </w:rPr>
        <w:t xml:space="preserve"> proc. gydymo alternatyva.</w:t>
      </w:r>
    </w:p>
    <w:p w14:paraId="6CB780EA" w14:textId="620CE225" w:rsidR="008C2035" w:rsidRPr="00B40EE7" w:rsidRDefault="008C2035" w:rsidP="008C2035">
      <w:pPr>
        <w:spacing w:line="276" w:lineRule="auto"/>
        <w:jc w:val="both"/>
        <w:rPr>
          <w:color w:val="000000"/>
          <w:lang w:eastAsia="lt-LT"/>
        </w:rPr>
      </w:pPr>
    </w:p>
    <w:p w14:paraId="42E5F5D9" w14:textId="16818E03" w:rsidR="008C2035" w:rsidRPr="00B40EE7" w:rsidRDefault="008C2035" w:rsidP="008C2035">
      <w:pPr>
        <w:tabs>
          <w:tab w:val="left" w:pos="567"/>
        </w:tabs>
        <w:jc w:val="center"/>
        <w:rPr>
          <w:lang w:eastAsia="lt-LT"/>
        </w:rPr>
      </w:pPr>
      <w:r w:rsidRPr="00B40EE7">
        <w:rPr>
          <w:lang w:eastAsia="lt-LT"/>
        </w:rPr>
        <w:t xml:space="preserve">Pagrindinis ekonominės analizės rezultatas, </w:t>
      </w:r>
    </w:p>
    <w:p w14:paraId="0B156F1C" w14:textId="19BCC967" w:rsidR="008C2035" w:rsidRPr="00B40EE7" w:rsidRDefault="008C2035" w:rsidP="008C2035">
      <w:pPr>
        <w:tabs>
          <w:tab w:val="left" w:pos="567"/>
        </w:tabs>
        <w:jc w:val="center"/>
        <w:rPr>
          <w:u w:val="single"/>
          <w:lang w:eastAsia="lt-LT"/>
        </w:rPr>
      </w:pPr>
      <w:r w:rsidRPr="00B40EE7">
        <w:rPr>
          <w:u w:val="single"/>
          <w:lang w:eastAsia="lt-LT"/>
        </w:rPr>
        <w:t>kai taikoma sutarties su VLK kaina (</w:t>
      </w:r>
      <w:r w:rsidRPr="00B40EE7">
        <w:rPr>
          <w:lang w:eastAsia="lt-LT"/>
        </w:rPr>
        <w:t xml:space="preserve">cemiplimabas, </w:t>
      </w:r>
      <w:r w:rsidRPr="00B40EE7">
        <w:rPr>
          <w:color w:val="000000"/>
          <w:lang w:eastAsia="lt-LT"/>
        </w:rPr>
        <w:t xml:space="preserve">350mg N1 - </w:t>
      </w:r>
      <w:r w:rsidR="0082405F" w:rsidRPr="00B40EE7">
        <w:rPr>
          <w:color w:val="000000"/>
          <w:u w:val="single"/>
          <w:lang w:eastAsia="lt-LT"/>
        </w:rPr>
        <w:t>***</w:t>
      </w:r>
      <w:r w:rsidRPr="00B40EE7">
        <w:rPr>
          <w:color w:val="000000"/>
          <w:u w:val="single"/>
          <w:lang w:eastAsia="lt-LT"/>
        </w:rPr>
        <w:t xml:space="preserve"> </w:t>
      </w:r>
      <w:r w:rsidRPr="00B40EE7">
        <w:rPr>
          <w:u w:val="single"/>
          <w:lang w:eastAsia="lt-LT"/>
        </w:rPr>
        <w:t>Eur.)</w:t>
      </w:r>
    </w:p>
    <w:p w14:paraId="50544084" w14:textId="77777777" w:rsidR="008C2035" w:rsidRPr="00B40EE7" w:rsidRDefault="008C2035" w:rsidP="008C2035">
      <w:pPr>
        <w:tabs>
          <w:tab w:val="left" w:pos="567"/>
        </w:tabs>
        <w:jc w:val="center"/>
        <w:rPr>
          <w:i/>
          <w:iCs/>
          <w:color w:val="00B050"/>
          <w:u w:val="single"/>
          <w:lang w:eastAsia="lt-LT"/>
        </w:rPr>
      </w:pPr>
    </w:p>
    <w:tbl>
      <w:tblPr>
        <w:tblStyle w:val="Summarybox1"/>
        <w:tblW w:w="9872" w:type="dxa"/>
        <w:tblLook w:val="04A0" w:firstRow="1" w:lastRow="0" w:firstColumn="1" w:lastColumn="0" w:noHBand="0" w:noVBand="1"/>
      </w:tblPr>
      <w:tblGrid>
        <w:gridCol w:w="2155"/>
        <w:gridCol w:w="1778"/>
        <w:gridCol w:w="2071"/>
        <w:gridCol w:w="1898"/>
        <w:gridCol w:w="1970"/>
      </w:tblGrid>
      <w:tr w:rsidR="008C2035" w:rsidRPr="00B40EE7" w14:paraId="23D440AD" w14:textId="77777777" w:rsidTr="00063726">
        <w:trPr>
          <w:trHeight w:val="285"/>
        </w:trPr>
        <w:tc>
          <w:tcPr>
            <w:tcW w:w="2155" w:type="dxa"/>
            <w:noWrap/>
            <w:hideMark/>
          </w:tcPr>
          <w:p w14:paraId="4B3BDC66" w14:textId="77777777" w:rsidR="008C2035" w:rsidRPr="00B40EE7" w:rsidRDefault="008C2035" w:rsidP="00063726">
            <w:pPr>
              <w:rPr>
                <w:lang w:eastAsia="lt-LT"/>
              </w:rPr>
            </w:pPr>
            <w:r w:rsidRPr="00B40EE7">
              <w:rPr>
                <w:lang w:eastAsia="lt-LT"/>
              </w:rPr>
              <w:t>Kategorijos</w:t>
            </w:r>
          </w:p>
        </w:tc>
        <w:tc>
          <w:tcPr>
            <w:tcW w:w="1778" w:type="dxa"/>
            <w:noWrap/>
            <w:hideMark/>
          </w:tcPr>
          <w:p w14:paraId="528303BB" w14:textId="77777777" w:rsidR="008C2035" w:rsidRPr="00B40EE7" w:rsidRDefault="008C2035" w:rsidP="00063726">
            <w:pPr>
              <w:jc w:val="center"/>
              <w:rPr>
                <w:lang w:eastAsia="lt-LT"/>
              </w:rPr>
            </w:pPr>
            <w:r w:rsidRPr="00B40EE7">
              <w:rPr>
                <w:lang w:eastAsia="lt-LT"/>
              </w:rPr>
              <w:t>Cemiplimabas+ chemoterapija</w:t>
            </w:r>
          </w:p>
        </w:tc>
        <w:tc>
          <w:tcPr>
            <w:tcW w:w="2071" w:type="dxa"/>
            <w:noWrap/>
            <w:hideMark/>
          </w:tcPr>
          <w:p w14:paraId="0732EC23" w14:textId="77777777" w:rsidR="008C2035" w:rsidRPr="00B40EE7" w:rsidRDefault="008C2035" w:rsidP="00063726">
            <w:pPr>
              <w:jc w:val="center"/>
              <w:rPr>
                <w:lang w:eastAsia="lt-LT"/>
              </w:rPr>
            </w:pPr>
            <w:r w:rsidRPr="00B40EE7">
              <w:rPr>
                <w:lang w:eastAsia="lt-LT"/>
              </w:rPr>
              <w:t>Pembrolizumabas+ chemoterapija</w:t>
            </w:r>
          </w:p>
        </w:tc>
        <w:tc>
          <w:tcPr>
            <w:tcW w:w="1898" w:type="dxa"/>
            <w:noWrap/>
            <w:hideMark/>
          </w:tcPr>
          <w:p w14:paraId="4799ADF7" w14:textId="77777777" w:rsidR="008C2035" w:rsidRPr="00B40EE7" w:rsidRDefault="008C2035" w:rsidP="00063726">
            <w:pPr>
              <w:jc w:val="center"/>
              <w:rPr>
                <w:lang w:eastAsia="lt-LT"/>
              </w:rPr>
            </w:pPr>
            <w:r w:rsidRPr="00B40EE7">
              <w:rPr>
                <w:lang w:eastAsia="lt-LT"/>
              </w:rPr>
              <w:t>Atezolizumabas+ bevacizumabas +chemoterapija</w:t>
            </w:r>
          </w:p>
        </w:tc>
        <w:tc>
          <w:tcPr>
            <w:tcW w:w="1970" w:type="dxa"/>
          </w:tcPr>
          <w:p w14:paraId="6DB3BFDC" w14:textId="77777777" w:rsidR="008C2035" w:rsidRPr="00B40EE7" w:rsidRDefault="008C2035" w:rsidP="00063726">
            <w:pPr>
              <w:jc w:val="center"/>
              <w:rPr>
                <w:lang w:eastAsia="lt-LT"/>
              </w:rPr>
            </w:pPr>
            <w:r w:rsidRPr="00B40EE7">
              <w:rPr>
                <w:lang w:eastAsia="lt-LT"/>
              </w:rPr>
              <w:t>Nivolumabas+ ipilimumabas+ chemoterapija</w:t>
            </w:r>
          </w:p>
        </w:tc>
      </w:tr>
      <w:tr w:rsidR="008C2035" w:rsidRPr="00B40EE7" w14:paraId="294190DA" w14:textId="77777777" w:rsidTr="00063726">
        <w:trPr>
          <w:trHeight w:val="255"/>
        </w:trPr>
        <w:tc>
          <w:tcPr>
            <w:tcW w:w="2155" w:type="dxa"/>
            <w:noWrap/>
            <w:hideMark/>
          </w:tcPr>
          <w:p w14:paraId="4CE4F28F" w14:textId="70C9023B" w:rsidR="008C2035" w:rsidRPr="00B40EE7" w:rsidRDefault="00BD26AA" w:rsidP="00BD26AA">
            <w:pPr>
              <w:rPr>
                <w:bCs/>
                <w:lang w:eastAsia="lt-LT"/>
              </w:rPr>
            </w:pPr>
            <w:r w:rsidRPr="00B40EE7">
              <w:rPr>
                <w:bCs/>
                <w:lang w:eastAsia="lt-LT"/>
              </w:rPr>
              <w:t xml:space="preserve">Viso (bendrieji kaštai, </w:t>
            </w:r>
            <w:r w:rsidR="008C2035" w:rsidRPr="00B40EE7">
              <w:rPr>
                <w:bCs/>
                <w:lang w:eastAsia="lt-LT"/>
              </w:rPr>
              <w:t xml:space="preserve">Eur.): </w:t>
            </w:r>
          </w:p>
        </w:tc>
        <w:tc>
          <w:tcPr>
            <w:tcW w:w="1778" w:type="dxa"/>
            <w:noWrap/>
            <w:vAlign w:val="center"/>
            <w:hideMark/>
          </w:tcPr>
          <w:p w14:paraId="063A431A" w14:textId="58B5C270" w:rsidR="008C2035" w:rsidRPr="00B40EE7" w:rsidRDefault="00F802A6" w:rsidP="00063726">
            <w:pPr>
              <w:jc w:val="center"/>
              <w:rPr>
                <w:bCs/>
                <w:lang w:eastAsia="lt-LT"/>
              </w:rPr>
            </w:pPr>
            <w:r w:rsidRPr="00B40EE7">
              <w:rPr>
                <w:bCs/>
                <w:color w:val="000000"/>
                <w:lang w:eastAsia="lt-LT"/>
              </w:rPr>
              <w:t>*** Eur.</w:t>
            </w:r>
          </w:p>
        </w:tc>
        <w:tc>
          <w:tcPr>
            <w:tcW w:w="2071" w:type="dxa"/>
            <w:noWrap/>
            <w:vAlign w:val="center"/>
            <w:hideMark/>
          </w:tcPr>
          <w:p w14:paraId="042CE62F" w14:textId="56B351F3" w:rsidR="008C2035" w:rsidRPr="00B40EE7" w:rsidRDefault="00022B6F" w:rsidP="00063726">
            <w:pPr>
              <w:jc w:val="center"/>
              <w:rPr>
                <w:bCs/>
                <w:lang w:eastAsia="lt-LT"/>
              </w:rPr>
            </w:pPr>
            <w:r w:rsidRPr="00B40EE7">
              <w:rPr>
                <w:lang w:val="en-US"/>
              </w:rPr>
              <w:t>*** Eur.</w:t>
            </w:r>
          </w:p>
        </w:tc>
        <w:tc>
          <w:tcPr>
            <w:tcW w:w="1898" w:type="dxa"/>
            <w:noWrap/>
            <w:vAlign w:val="center"/>
            <w:hideMark/>
          </w:tcPr>
          <w:p w14:paraId="49875338" w14:textId="158FE354" w:rsidR="008C2035" w:rsidRPr="00B40EE7" w:rsidRDefault="00022B6F" w:rsidP="00063726">
            <w:pPr>
              <w:jc w:val="center"/>
              <w:rPr>
                <w:bCs/>
                <w:lang w:eastAsia="lt-LT"/>
              </w:rPr>
            </w:pPr>
            <w:r w:rsidRPr="00B40EE7">
              <w:rPr>
                <w:lang w:val="en-US"/>
              </w:rPr>
              <w:t>*** Eur.</w:t>
            </w:r>
          </w:p>
        </w:tc>
        <w:tc>
          <w:tcPr>
            <w:tcW w:w="1970" w:type="dxa"/>
            <w:vAlign w:val="center"/>
          </w:tcPr>
          <w:p w14:paraId="67906362" w14:textId="6ECD7D9C" w:rsidR="008C2035" w:rsidRPr="00B40EE7" w:rsidRDefault="00022B6F" w:rsidP="00063726">
            <w:pPr>
              <w:jc w:val="center"/>
              <w:rPr>
                <w:bCs/>
                <w:lang w:eastAsia="lt-LT"/>
              </w:rPr>
            </w:pPr>
            <w:r w:rsidRPr="00B40EE7">
              <w:rPr>
                <w:lang w:val="en-US"/>
              </w:rPr>
              <w:t>*** Eur.</w:t>
            </w:r>
          </w:p>
        </w:tc>
      </w:tr>
      <w:tr w:rsidR="008C2035" w:rsidRPr="00632BB3" w14:paraId="2F6652F3" w14:textId="77777777" w:rsidTr="00063726">
        <w:trPr>
          <w:trHeight w:val="255"/>
        </w:trPr>
        <w:tc>
          <w:tcPr>
            <w:tcW w:w="2155" w:type="dxa"/>
            <w:noWrap/>
          </w:tcPr>
          <w:p w14:paraId="1DA44120" w14:textId="77777777" w:rsidR="008C2035" w:rsidRPr="00B40EE7" w:rsidRDefault="008C2035" w:rsidP="00063726">
            <w:pPr>
              <w:rPr>
                <w:b/>
                <w:bCs/>
                <w:lang w:eastAsia="lt-LT"/>
              </w:rPr>
            </w:pPr>
            <w:r w:rsidRPr="00B40EE7">
              <w:rPr>
                <w:b/>
                <w:bCs/>
                <w:lang w:eastAsia="lt-LT"/>
              </w:rPr>
              <w:t>Skirtumas, Eur.</w:t>
            </w:r>
            <w:r w:rsidR="00BD26AA" w:rsidRPr="00B40EE7">
              <w:rPr>
                <w:b/>
                <w:bCs/>
                <w:lang w:eastAsia="lt-LT"/>
              </w:rPr>
              <w:t>,</w:t>
            </w:r>
          </w:p>
          <w:p w14:paraId="535EC466" w14:textId="1871AAF0" w:rsidR="00BD26AA" w:rsidRPr="00B40EE7" w:rsidRDefault="00BD26AA" w:rsidP="00063726">
            <w:pPr>
              <w:rPr>
                <w:b/>
                <w:bCs/>
                <w:lang w:eastAsia="lt-LT"/>
              </w:rPr>
            </w:pPr>
            <w:r w:rsidRPr="00B40EE7">
              <w:rPr>
                <w:b/>
                <w:bCs/>
                <w:lang w:eastAsia="lt-LT"/>
              </w:rPr>
              <w:t>(proc.)</w:t>
            </w:r>
          </w:p>
        </w:tc>
        <w:tc>
          <w:tcPr>
            <w:tcW w:w="1778" w:type="dxa"/>
            <w:noWrap/>
          </w:tcPr>
          <w:p w14:paraId="75A168A6" w14:textId="77777777" w:rsidR="008C2035" w:rsidRPr="00B40EE7" w:rsidRDefault="008C2035" w:rsidP="00063726">
            <w:pPr>
              <w:jc w:val="center"/>
              <w:rPr>
                <w:b/>
                <w:bCs/>
                <w:lang w:eastAsia="lt-LT"/>
              </w:rPr>
            </w:pPr>
          </w:p>
        </w:tc>
        <w:tc>
          <w:tcPr>
            <w:tcW w:w="2071" w:type="dxa"/>
            <w:noWrap/>
          </w:tcPr>
          <w:p w14:paraId="4C38A236" w14:textId="053832B4" w:rsidR="008C2035" w:rsidRPr="00B40EE7" w:rsidRDefault="008C2035" w:rsidP="00063726">
            <w:pPr>
              <w:jc w:val="center"/>
              <w:rPr>
                <w:b/>
                <w:bCs/>
                <w:lang w:eastAsia="lt-LT"/>
              </w:rPr>
            </w:pPr>
            <w:r w:rsidRPr="00B40EE7">
              <w:rPr>
                <w:b/>
                <w:bCs/>
                <w:color w:val="000000"/>
                <w:lang w:eastAsia="lt-LT"/>
              </w:rPr>
              <w:t>-</w:t>
            </w:r>
            <w:r w:rsidR="00022B6F" w:rsidRPr="00B40EE7">
              <w:rPr>
                <w:lang w:val="en-US"/>
              </w:rPr>
              <w:t xml:space="preserve">*** </w:t>
            </w:r>
            <w:proofErr w:type="spellStart"/>
            <w:r w:rsidR="00022B6F" w:rsidRPr="00B40EE7">
              <w:rPr>
                <w:lang w:val="en-US"/>
              </w:rPr>
              <w:t>Eur</w:t>
            </w:r>
            <w:proofErr w:type="spellEnd"/>
            <w:r w:rsidRPr="00B40EE7">
              <w:rPr>
                <w:b/>
                <w:bCs/>
                <w:lang w:eastAsia="lt-LT"/>
              </w:rPr>
              <w:t>.,</w:t>
            </w:r>
          </w:p>
          <w:p w14:paraId="33B3DFD6" w14:textId="5441DA77" w:rsidR="008C2035" w:rsidRPr="00B40EE7" w:rsidRDefault="008C2035" w:rsidP="00063726">
            <w:pPr>
              <w:jc w:val="center"/>
              <w:rPr>
                <w:b/>
                <w:bCs/>
                <w:lang w:eastAsia="lt-LT"/>
              </w:rPr>
            </w:pPr>
            <w:r w:rsidRPr="00B40EE7">
              <w:rPr>
                <w:b/>
                <w:color w:val="000000"/>
                <w:lang w:eastAsia="lt-LT"/>
              </w:rPr>
              <w:t>(-</w:t>
            </w:r>
            <w:r w:rsidR="00022B6F" w:rsidRPr="00B40EE7">
              <w:rPr>
                <w:lang w:val="en-US"/>
              </w:rPr>
              <w:t>***</w:t>
            </w:r>
            <w:r w:rsidRPr="00B40EE7">
              <w:rPr>
                <w:b/>
                <w:color w:val="000000"/>
                <w:lang w:eastAsia="lt-LT"/>
              </w:rPr>
              <w:t>proc.)</w:t>
            </w:r>
          </w:p>
        </w:tc>
        <w:tc>
          <w:tcPr>
            <w:tcW w:w="1898" w:type="dxa"/>
            <w:noWrap/>
          </w:tcPr>
          <w:p w14:paraId="169EF601" w14:textId="6DA6CE5C" w:rsidR="008C2035" w:rsidRPr="00B40EE7" w:rsidRDefault="008C2035" w:rsidP="00063726">
            <w:pPr>
              <w:jc w:val="center"/>
              <w:rPr>
                <w:b/>
                <w:bCs/>
                <w:color w:val="000000"/>
                <w:lang w:eastAsia="lt-LT"/>
              </w:rPr>
            </w:pPr>
            <w:r w:rsidRPr="00B40EE7">
              <w:rPr>
                <w:b/>
                <w:bCs/>
                <w:color w:val="000000"/>
                <w:lang w:eastAsia="lt-LT"/>
              </w:rPr>
              <w:t>-</w:t>
            </w:r>
            <w:r w:rsidR="00022B6F" w:rsidRPr="00B40EE7">
              <w:rPr>
                <w:lang w:val="en-US"/>
              </w:rPr>
              <w:t xml:space="preserve">*** </w:t>
            </w:r>
            <w:r w:rsidRPr="00B40EE7">
              <w:rPr>
                <w:b/>
                <w:bCs/>
                <w:color w:val="000000"/>
                <w:lang w:eastAsia="lt-LT"/>
              </w:rPr>
              <w:t>Eur.,</w:t>
            </w:r>
          </w:p>
          <w:p w14:paraId="6B502EFF" w14:textId="24A7C36E" w:rsidR="008C2035" w:rsidRPr="00B40EE7" w:rsidRDefault="008C2035" w:rsidP="00063726">
            <w:pPr>
              <w:jc w:val="center"/>
              <w:rPr>
                <w:b/>
                <w:bCs/>
                <w:lang w:eastAsia="lt-LT"/>
              </w:rPr>
            </w:pPr>
            <w:r w:rsidRPr="00B40EE7">
              <w:rPr>
                <w:b/>
                <w:bCs/>
                <w:color w:val="000000"/>
                <w:lang w:eastAsia="lt-LT"/>
              </w:rPr>
              <w:t>(-</w:t>
            </w:r>
            <w:r w:rsidR="00022B6F" w:rsidRPr="00B40EE7">
              <w:rPr>
                <w:lang w:val="en-US"/>
              </w:rPr>
              <w:t xml:space="preserve">*** </w:t>
            </w:r>
            <w:r w:rsidRPr="00B40EE7">
              <w:rPr>
                <w:b/>
                <w:bCs/>
                <w:color w:val="000000"/>
                <w:lang w:eastAsia="lt-LT"/>
              </w:rPr>
              <w:t>proc.)</w:t>
            </w:r>
          </w:p>
        </w:tc>
        <w:tc>
          <w:tcPr>
            <w:tcW w:w="1970" w:type="dxa"/>
            <w:vAlign w:val="center"/>
          </w:tcPr>
          <w:p w14:paraId="7E27D409" w14:textId="43683E81" w:rsidR="008C2035" w:rsidRPr="00B40EE7" w:rsidRDefault="008C2035" w:rsidP="00063726">
            <w:pPr>
              <w:jc w:val="center"/>
              <w:rPr>
                <w:b/>
                <w:bCs/>
                <w:color w:val="000000"/>
                <w:lang w:eastAsia="lt-LT"/>
              </w:rPr>
            </w:pPr>
            <w:r w:rsidRPr="00B40EE7">
              <w:rPr>
                <w:b/>
                <w:bCs/>
                <w:color w:val="000000"/>
                <w:lang w:eastAsia="lt-LT"/>
              </w:rPr>
              <w:t>-</w:t>
            </w:r>
            <w:r w:rsidR="00022B6F" w:rsidRPr="00B40EE7">
              <w:rPr>
                <w:lang w:val="en-US"/>
              </w:rPr>
              <w:t xml:space="preserve">*** </w:t>
            </w:r>
            <w:r w:rsidRPr="00B40EE7">
              <w:rPr>
                <w:b/>
                <w:bCs/>
                <w:color w:val="000000"/>
                <w:lang w:eastAsia="lt-LT"/>
              </w:rPr>
              <w:t>Eur.,</w:t>
            </w:r>
          </w:p>
          <w:p w14:paraId="58FE5095" w14:textId="0BDA3A93" w:rsidR="008C2035" w:rsidRPr="00632BB3" w:rsidRDefault="008C2035" w:rsidP="00063726">
            <w:pPr>
              <w:jc w:val="center"/>
              <w:rPr>
                <w:b/>
                <w:bCs/>
                <w:lang w:eastAsia="lt-LT"/>
              </w:rPr>
            </w:pPr>
            <w:r w:rsidRPr="00B40EE7">
              <w:rPr>
                <w:b/>
                <w:bCs/>
                <w:color w:val="000000"/>
                <w:lang w:eastAsia="lt-LT"/>
              </w:rPr>
              <w:t>(-</w:t>
            </w:r>
            <w:r w:rsidR="00022B6F" w:rsidRPr="00B40EE7">
              <w:rPr>
                <w:lang w:val="en-US"/>
              </w:rPr>
              <w:t xml:space="preserve">*** </w:t>
            </w:r>
            <w:r w:rsidRPr="00B40EE7">
              <w:rPr>
                <w:b/>
                <w:bCs/>
                <w:color w:val="000000"/>
                <w:lang w:eastAsia="lt-LT"/>
              </w:rPr>
              <w:t>proc.)</w:t>
            </w:r>
          </w:p>
        </w:tc>
      </w:tr>
    </w:tbl>
    <w:p w14:paraId="234C7F22" w14:textId="77777777" w:rsidR="008C2035" w:rsidRPr="00632BB3" w:rsidRDefault="008C2035" w:rsidP="008C2035">
      <w:pPr>
        <w:spacing w:line="276" w:lineRule="auto"/>
        <w:jc w:val="both"/>
        <w:rPr>
          <w:color w:val="000000"/>
          <w:lang w:eastAsia="lt-LT"/>
        </w:rPr>
      </w:pPr>
    </w:p>
    <w:p w14:paraId="33875138" w14:textId="7EDA0CA3" w:rsidR="0035172D" w:rsidRPr="00632BB3" w:rsidRDefault="008C2035" w:rsidP="008C2035">
      <w:pPr>
        <w:spacing w:line="276" w:lineRule="auto"/>
        <w:ind w:firstLine="540"/>
        <w:jc w:val="both"/>
        <w:rPr>
          <w:rFonts w:eastAsiaTheme="minorHAnsi"/>
        </w:rPr>
      </w:pPr>
      <w:r w:rsidRPr="00632BB3">
        <w:t>Vertinant atskirų analizės elementų (</w:t>
      </w:r>
      <w:r w:rsidRPr="00632BB3">
        <w:rPr>
          <w:iCs/>
          <w:lang w:eastAsia="lt-LT"/>
        </w:rPr>
        <w:t>laikotarpio (1-5 m.), chemoterapijai skiriamų VP pasiskirstymo, nepageidaujamo poveikio kaštų, svertinės palyginamojo gydymo kainos (apskaičiuojant pagal 2024 m. NSLPV skirtą gydymą ir pacientų pasiskirstymą))</w:t>
      </w:r>
      <w:r w:rsidRPr="00632BB3">
        <w:t xml:space="preserve"> įtaką rezultatui lyginant Cemiplimabas + chemo su Palyginamieji + chemo 1 metų laiko perspektyvoje, nesmulkialąstelinio plaučių vėžio (NSLPV), ekspresuojančio PD-L1 (≥ 1 % naviko ląstelių) be E</w:t>
      </w:r>
      <w:r w:rsidR="006C6CED">
        <w:t>G</w:t>
      </w:r>
      <w:r w:rsidRPr="00632BB3">
        <w:t>FR, ALK ar ROS1 aberacijų, pirmos eilės gydymui visais nagrinėtais scenarijais yra pigesnė gydymo alternatyva.</w:t>
      </w:r>
    </w:p>
    <w:p w14:paraId="3D038093" w14:textId="77777777" w:rsidR="002B50EA" w:rsidRPr="00632BB3" w:rsidRDefault="002B50EA" w:rsidP="00A93AA6">
      <w:pPr>
        <w:tabs>
          <w:tab w:val="left" w:pos="426"/>
        </w:tabs>
        <w:rPr>
          <w:b/>
          <w:bCs/>
          <w:caps/>
        </w:rPr>
      </w:pPr>
    </w:p>
    <w:p w14:paraId="4FC424F9" w14:textId="4E767245" w:rsidR="00C62B36" w:rsidRPr="00632BB3" w:rsidRDefault="00C62B36" w:rsidP="00CC09D4">
      <w:pPr>
        <w:pStyle w:val="ListParagraph"/>
        <w:numPr>
          <w:ilvl w:val="0"/>
          <w:numId w:val="12"/>
        </w:numPr>
        <w:tabs>
          <w:tab w:val="left" w:pos="567"/>
        </w:tabs>
        <w:ind w:hanging="720"/>
        <w:rPr>
          <w:b/>
          <w:bCs/>
          <w:caps/>
        </w:rPr>
      </w:pPr>
      <w:r w:rsidRPr="00632BB3">
        <w:rPr>
          <w:b/>
          <w:bCs/>
          <w:caps/>
        </w:rPr>
        <w:t xml:space="preserve">Pacientų organizacijų pateikti duomenys </w:t>
      </w:r>
    </w:p>
    <w:p w14:paraId="79BCFF40" w14:textId="243CD300" w:rsidR="00937907" w:rsidRPr="00632BB3" w:rsidRDefault="00B12DF6"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DF5AF3" w:rsidRPr="00632BB3">
            <w:rPr>
              <w:rStyle w:val="Style2"/>
              <w:rFonts w:ascii="MS Gothic" w:eastAsia="MS Gothic" w:hAnsi="MS Gothic"/>
              <w:sz w:val="24"/>
            </w:rPr>
            <w:t>☐</w:t>
          </w:r>
        </w:sdtContent>
      </w:sdt>
      <w:r w:rsidR="00937907" w:rsidRPr="00632BB3">
        <w:t xml:space="preserve"> Pacientų organizacijos pozicija pateikta. Žr. priedą.</w:t>
      </w:r>
    </w:p>
    <w:p w14:paraId="62992180" w14:textId="7BC88142" w:rsidR="00937907" w:rsidRPr="00632BB3" w:rsidRDefault="00B12DF6"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DF5AF3" w:rsidRPr="00632BB3">
            <w:rPr>
              <w:rStyle w:val="Style2"/>
              <w:rFonts w:ascii="MS Gothic" w:eastAsia="MS Gothic" w:hAnsi="MS Gothic"/>
              <w:sz w:val="24"/>
            </w:rPr>
            <w:t>☒</w:t>
          </w:r>
        </w:sdtContent>
      </w:sdt>
      <w:r w:rsidR="00937907" w:rsidRPr="00632BB3">
        <w:t xml:space="preserve"> Pacientų organizacijos pozicija </w:t>
      </w:r>
      <w:r w:rsidR="00880A44" w:rsidRPr="00632BB3">
        <w:t>ne</w:t>
      </w:r>
      <w:r w:rsidR="00937907" w:rsidRPr="00632BB3">
        <w:t>pateikta.</w:t>
      </w:r>
    </w:p>
    <w:p w14:paraId="03E73D82" w14:textId="77777777" w:rsidR="00D417D2" w:rsidRPr="00632BB3" w:rsidRDefault="00D417D2" w:rsidP="00937907">
      <w:pPr>
        <w:spacing w:after="120"/>
        <w:jc w:val="both"/>
      </w:pPr>
    </w:p>
    <w:p w14:paraId="3D3277FA" w14:textId="3CEEB2D2" w:rsidR="00C62B36" w:rsidRPr="00632BB3" w:rsidRDefault="00C62B36" w:rsidP="00CC09D4">
      <w:pPr>
        <w:pStyle w:val="ListParagraph"/>
        <w:numPr>
          <w:ilvl w:val="0"/>
          <w:numId w:val="12"/>
        </w:numPr>
        <w:tabs>
          <w:tab w:val="left" w:pos="567"/>
        </w:tabs>
        <w:ind w:hanging="720"/>
        <w:rPr>
          <w:b/>
          <w:bCs/>
          <w:caps/>
        </w:rPr>
      </w:pPr>
      <w:r w:rsidRPr="00632BB3">
        <w:rPr>
          <w:b/>
          <w:bCs/>
          <w:caps/>
        </w:rPr>
        <w:t>Gydytojų organizacijų pateikti duomenys</w:t>
      </w:r>
    </w:p>
    <w:p w14:paraId="389A346C" w14:textId="17184B64" w:rsidR="00937907" w:rsidRPr="00632BB3" w:rsidRDefault="00B12DF6"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632BB3">
            <w:rPr>
              <w:rStyle w:val="Style2"/>
              <w:rFonts w:ascii="MS Gothic" w:eastAsia="MS Gothic" w:hAnsi="MS Gothic"/>
              <w:sz w:val="24"/>
            </w:rPr>
            <w:t>☐</w:t>
          </w:r>
        </w:sdtContent>
      </w:sdt>
      <w:r w:rsidR="00662983" w:rsidRPr="00632BB3">
        <w:t xml:space="preserve"> </w:t>
      </w:r>
      <w:r w:rsidR="00937907" w:rsidRPr="00632BB3">
        <w:t xml:space="preserve">Gydytojų specialistų organizacijos pozicija pateikta. </w:t>
      </w:r>
      <w:r w:rsidR="00662983" w:rsidRPr="00632BB3">
        <w:t>Žr. priedą</w:t>
      </w:r>
      <w:r w:rsidR="00937907" w:rsidRPr="00632BB3">
        <w:t>.</w:t>
      </w:r>
    </w:p>
    <w:p w14:paraId="5D8CC48C" w14:textId="31A2C539" w:rsidR="00662983" w:rsidRPr="00632BB3" w:rsidRDefault="00B12DF6"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21A99" w:rsidRPr="00632BB3">
            <w:rPr>
              <w:rStyle w:val="Style2"/>
              <w:rFonts w:ascii="MS Gothic" w:eastAsia="MS Gothic" w:hAnsi="MS Gothic"/>
              <w:sz w:val="24"/>
            </w:rPr>
            <w:t>☒</w:t>
          </w:r>
        </w:sdtContent>
      </w:sdt>
      <w:r w:rsidR="00662983" w:rsidRPr="00632BB3">
        <w:t xml:space="preserve"> </w:t>
      </w:r>
      <w:r w:rsidR="00937907" w:rsidRPr="00632BB3">
        <w:t xml:space="preserve">Gydytojų specialistų organizacijos pozicija </w:t>
      </w:r>
      <w:r w:rsidR="00880A44" w:rsidRPr="00632BB3">
        <w:t>ne</w:t>
      </w:r>
      <w:r w:rsidR="00937907" w:rsidRPr="00632BB3">
        <w:t>pateikta.</w:t>
      </w:r>
    </w:p>
    <w:p w14:paraId="3701D46A" w14:textId="77777777" w:rsidR="00A042B9" w:rsidRPr="00632BB3" w:rsidRDefault="00A042B9" w:rsidP="00662983">
      <w:pPr>
        <w:spacing w:after="120"/>
        <w:jc w:val="both"/>
      </w:pPr>
    </w:p>
    <w:p w14:paraId="78F23ECB" w14:textId="23A3A002" w:rsidR="002F0E4F" w:rsidRPr="00632BB3" w:rsidRDefault="002F0E4F" w:rsidP="00CC09D4">
      <w:pPr>
        <w:pStyle w:val="ListParagraph"/>
        <w:numPr>
          <w:ilvl w:val="0"/>
          <w:numId w:val="12"/>
        </w:numPr>
        <w:tabs>
          <w:tab w:val="left" w:pos="567"/>
        </w:tabs>
        <w:ind w:hanging="720"/>
        <w:rPr>
          <w:b/>
          <w:bCs/>
          <w:caps/>
        </w:rPr>
      </w:pPr>
      <w:r w:rsidRPr="00632BB3">
        <w:rPr>
          <w:b/>
          <w:bCs/>
          <w:caps/>
        </w:rPr>
        <w:t xml:space="preserve">Išvada </w:t>
      </w:r>
    </w:p>
    <w:p w14:paraId="55E76E53" w14:textId="5437B761" w:rsidR="0064249A" w:rsidRPr="00632BB3" w:rsidRDefault="0064249A" w:rsidP="0061611B">
      <w:pPr>
        <w:rPr>
          <w:i/>
          <w:szCs w:val="22"/>
        </w:rPr>
      </w:pPr>
    </w:p>
    <w:tbl>
      <w:tblPr>
        <w:tblStyle w:val="TableGrid"/>
        <w:tblW w:w="0" w:type="auto"/>
        <w:tblLook w:val="04A0" w:firstRow="1" w:lastRow="0" w:firstColumn="1" w:lastColumn="0" w:noHBand="0" w:noVBand="1"/>
      </w:tblPr>
      <w:tblGrid>
        <w:gridCol w:w="4815"/>
        <w:gridCol w:w="4814"/>
      </w:tblGrid>
      <w:tr w:rsidR="000203E1" w:rsidRPr="00632BB3" w14:paraId="143A7356" w14:textId="77777777" w:rsidTr="00C16245">
        <w:trPr>
          <w:trHeight w:val="510"/>
        </w:trPr>
        <w:tc>
          <w:tcPr>
            <w:tcW w:w="9629" w:type="dxa"/>
            <w:gridSpan w:val="2"/>
            <w:vAlign w:val="center"/>
          </w:tcPr>
          <w:p w14:paraId="0AF5D6B4" w14:textId="12D1C777" w:rsidR="00B13D65" w:rsidRPr="00632BB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3" w:name="_Hlk185374656"/>
            <w:r w:rsidRPr="00632BB3">
              <w:rPr>
                <w:rStyle w:val="Style2"/>
                <w:rFonts w:eastAsia="MS Gothic"/>
                <w:b/>
                <w:bCs/>
                <w:sz w:val="24"/>
              </w:rPr>
              <w:t xml:space="preserve">Palyginamasis </w:t>
            </w:r>
            <w:r w:rsidR="001C1D94" w:rsidRPr="00632BB3">
              <w:rPr>
                <w:rStyle w:val="Style2"/>
                <w:rFonts w:eastAsia="MS Gothic"/>
                <w:b/>
                <w:bCs/>
                <w:sz w:val="24"/>
              </w:rPr>
              <w:t>veiksmingumas</w:t>
            </w:r>
          </w:p>
        </w:tc>
      </w:tr>
      <w:tr w:rsidR="000203E1" w:rsidRPr="00632BB3" w14:paraId="28A0C814" w14:textId="77777777" w:rsidTr="0061611B">
        <w:tc>
          <w:tcPr>
            <w:tcW w:w="4815" w:type="dxa"/>
          </w:tcPr>
          <w:p w14:paraId="216769B5" w14:textId="72AB8F59" w:rsidR="00B13D65" w:rsidRPr="00632BB3" w:rsidRDefault="00B12DF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1C1D94" w:rsidRPr="00632BB3">
              <w:rPr>
                <w:rStyle w:val="Style2"/>
                <w:sz w:val="24"/>
              </w:rPr>
              <w:t xml:space="preserve"> 29</w:t>
            </w:r>
            <w:r w:rsidR="00B13D65" w:rsidRPr="00632BB3">
              <w:t>.1.</w:t>
            </w:r>
            <w:r w:rsidR="001C1D94" w:rsidRPr="00632BB3">
              <w:t>1</w:t>
            </w:r>
            <w:r w:rsidR="00B13D65" w:rsidRPr="00632BB3">
              <w:t xml:space="preserve"> yra didesnis</w:t>
            </w:r>
            <w:r w:rsidR="00B00959" w:rsidRPr="00632BB3">
              <w:t>, lyginant su įprasta klinikine praktika</w:t>
            </w:r>
          </w:p>
          <w:p w14:paraId="3B48F372" w14:textId="77777777"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CCDAA71" w:rsidR="00B13D65" w:rsidRPr="00632BB3" w:rsidRDefault="00B12DF6"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B13D65" w:rsidRPr="00632BB3">
              <w:t xml:space="preserve"> </w:t>
            </w:r>
            <w:r w:rsidR="001C1D94" w:rsidRPr="00632BB3">
              <w:rPr>
                <w:rStyle w:val="Style2"/>
                <w:sz w:val="24"/>
              </w:rPr>
              <w:t>29</w:t>
            </w:r>
            <w:r w:rsidR="001C1D94" w:rsidRPr="00632BB3">
              <w:t xml:space="preserve">.1.2 </w:t>
            </w:r>
            <w:r w:rsidR="00B13D65" w:rsidRPr="00632BB3">
              <w:t>iš esmės nesiskiria</w:t>
            </w:r>
            <w:r w:rsidR="00B00959" w:rsidRPr="00632BB3">
              <w:t>, lyginant su įprasta klinikine praktika</w:t>
            </w:r>
          </w:p>
        </w:tc>
        <w:tc>
          <w:tcPr>
            <w:tcW w:w="4814" w:type="dxa"/>
          </w:tcPr>
          <w:p w14:paraId="507828D9" w14:textId="2D47A9EF" w:rsidR="00B13D65" w:rsidRPr="00632BB3" w:rsidRDefault="00B12DF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632BB3">
                  <w:rPr>
                    <w:rStyle w:val="Style2"/>
                    <w:rFonts w:ascii="Segoe UI Symbol" w:eastAsia="MS Gothic" w:hAnsi="Segoe UI Symbol" w:cs="Segoe UI Symbol"/>
                    <w:sz w:val="24"/>
                  </w:rPr>
                  <w:t>☐</w:t>
                </w:r>
              </w:sdtContent>
            </w:sdt>
            <w:r w:rsidR="00B13D65" w:rsidRPr="00632BB3">
              <w:t xml:space="preserve"> </w:t>
            </w:r>
            <w:r w:rsidR="001C1D94" w:rsidRPr="00632BB3">
              <w:rPr>
                <w:rStyle w:val="Style2"/>
                <w:sz w:val="24"/>
              </w:rPr>
              <w:t>29</w:t>
            </w:r>
            <w:r w:rsidR="001C1D94" w:rsidRPr="00632BB3">
              <w:t xml:space="preserve">.1.3 yra neįrodytas kaip didesnis  ar iš esmės nesiskiriantis, lyginant su įprasta klinikine praktika </w:t>
            </w:r>
            <w:r w:rsidR="00B13D65" w:rsidRPr="00632BB3">
              <w:t xml:space="preserve"> </w:t>
            </w:r>
          </w:p>
          <w:p w14:paraId="282277FB" w14:textId="77777777" w:rsidR="001C1D94" w:rsidRPr="00632BB3"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12B9C4" w14:textId="1D4329EA" w:rsidR="001C1D94" w:rsidRPr="00632BB3" w:rsidRDefault="00B12DF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632BB3">
                  <w:rPr>
                    <w:rStyle w:val="Style2"/>
                    <w:rFonts w:ascii="Segoe UI Symbol" w:eastAsia="MS Gothic" w:hAnsi="Segoe UI Symbol" w:cs="Segoe UI Symbol"/>
                    <w:sz w:val="24"/>
                  </w:rPr>
                  <w:t>☐</w:t>
                </w:r>
              </w:sdtContent>
            </w:sdt>
            <w:r w:rsidR="00B13D65" w:rsidRPr="00632BB3">
              <w:t xml:space="preserve"> </w:t>
            </w:r>
            <w:r w:rsidR="001C1D94" w:rsidRPr="00632BB3">
              <w:rPr>
                <w:rStyle w:val="Style2"/>
                <w:sz w:val="24"/>
              </w:rPr>
              <w:t>29</w:t>
            </w:r>
            <w:r w:rsidR="001C1D94" w:rsidRPr="00632BB3">
              <w:t>.1.4 yra mažesnis, lyginant su įprasta klinikine praktika</w:t>
            </w:r>
          </w:p>
          <w:p w14:paraId="3396544A" w14:textId="77777777" w:rsidR="001C1D94" w:rsidRPr="00632BB3"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34F09BE7" w:rsidR="00B13D65" w:rsidRPr="00632BB3" w:rsidRDefault="00B12DF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632BB3">
                  <w:rPr>
                    <w:rStyle w:val="Style2"/>
                    <w:rFonts w:ascii="Segoe UI Symbol" w:eastAsia="MS Gothic" w:hAnsi="Segoe UI Symbol" w:cs="Segoe UI Symbol"/>
                    <w:sz w:val="24"/>
                  </w:rPr>
                  <w:t>☐</w:t>
                </w:r>
              </w:sdtContent>
            </w:sdt>
            <w:r w:rsidR="00662983" w:rsidRPr="00632BB3">
              <w:t xml:space="preserve"> </w:t>
            </w:r>
            <w:r w:rsidR="001C1D94" w:rsidRPr="00632BB3">
              <w:t xml:space="preserve"> </w:t>
            </w:r>
            <w:r w:rsidR="001C1D94" w:rsidRPr="00632BB3">
              <w:rPr>
                <w:rStyle w:val="Style2"/>
                <w:sz w:val="24"/>
              </w:rPr>
              <w:t>29</w:t>
            </w:r>
            <w:r w:rsidR="001C1D94" w:rsidRPr="00632BB3">
              <w:t>.1.5 pateikti duomenys apie palyginamąjį veiksmingumą yra netinkami vertinti</w:t>
            </w:r>
          </w:p>
          <w:p w14:paraId="5DDAA961" w14:textId="77777777" w:rsidR="00B13D65" w:rsidRPr="00632BB3" w:rsidRDefault="00B13D65"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632BB3" w14:paraId="1C75AE76" w14:textId="77777777" w:rsidTr="00C16245">
        <w:trPr>
          <w:trHeight w:val="510"/>
        </w:trPr>
        <w:tc>
          <w:tcPr>
            <w:tcW w:w="9629" w:type="dxa"/>
            <w:gridSpan w:val="2"/>
            <w:vAlign w:val="center"/>
          </w:tcPr>
          <w:p w14:paraId="0247EDAD" w14:textId="7FBBB759" w:rsidR="00B13D65" w:rsidRPr="00632BB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4" w:name="_Hlk185374787"/>
            <w:r w:rsidRPr="00632BB3">
              <w:rPr>
                <w:rStyle w:val="Style2"/>
                <w:rFonts w:eastAsia="MS Gothic"/>
                <w:b/>
                <w:bCs/>
                <w:sz w:val="24"/>
              </w:rPr>
              <w:t>Kaštų naudingumas</w:t>
            </w:r>
          </w:p>
        </w:tc>
      </w:tr>
      <w:tr w:rsidR="00B13D65" w:rsidRPr="00632BB3" w14:paraId="7091A05B" w14:textId="77777777" w:rsidTr="0061611B">
        <w:tc>
          <w:tcPr>
            <w:tcW w:w="4815" w:type="dxa"/>
          </w:tcPr>
          <w:p w14:paraId="69B2A994" w14:textId="6EC0FD25" w:rsidR="00B13D65" w:rsidRPr="00632BB3" w:rsidRDefault="00B12DF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B13D65" w:rsidRPr="00632BB3">
              <w:t xml:space="preserve"> </w:t>
            </w:r>
            <w:r w:rsidR="001C1D94" w:rsidRPr="00632BB3">
              <w:t xml:space="preserve">29.2.1 </w:t>
            </w:r>
            <w:r w:rsidR="00B13D65" w:rsidRPr="00632BB3">
              <w:t>atitink</w:t>
            </w:r>
            <w:r w:rsidR="00450075" w:rsidRPr="00632BB3">
              <w:t>a referencinę naudingumo vertę</w:t>
            </w:r>
          </w:p>
          <w:p w14:paraId="3F76F153" w14:textId="77777777"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33C42DC5" w:rsidR="00B13D65" w:rsidRPr="00632BB3" w:rsidRDefault="00B12DF6"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B13D65" w:rsidRPr="00632BB3">
              <w:t xml:space="preserve"> </w:t>
            </w:r>
            <w:r w:rsidR="001C1D94" w:rsidRPr="00632BB3">
              <w:t xml:space="preserve">29.2.2 </w:t>
            </w:r>
            <w:r w:rsidR="00B13D65" w:rsidRPr="00632BB3">
              <w:t>gydymo juo kaštai yra mažesni ar tokie patys esant iš esmės nesiskiriančiam palyginamajam efektyvumui, taikant</w:t>
            </w:r>
            <w:r w:rsidR="001C1D94" w:rsidRPr="00632BB3">
              <w:t xml:space="preserve"> arba netaikant </w:t>
            </w:r>
            <w:r w:rsidR="00B13D65" w:rsidRPr="00632BB3">
              <w:t xml:space="preserve"> </w:t>
            </w:r>
            <w:r w:rsidR="00450075" w:rsidRPr="00632BB3">
              <w:t>PGS</w:t>
            </w:r>
          </w:p>
        </w:tc>
        <w:tc>
          <w:tcPr>
            <w:tcW w:w="4814" w:type="dxa"/>
          </w:tcPr>
          <w:p w14:paraId="53380063" w14:textId="5C8AD260" w:rsidR="00B13D65" w:rsidRPr="00632BB3" w:rsidRDefault="00B12DF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030C28" w:rsidRPr="00632BB3">
                  <w:rPr>
                    <w:rStyle w:val="Style2"/>
                    <w:rFonts w:ascii="MS Gothic" w:eastAsia="MS Gothic" w:hAnsi="MS Gothic"/>
                    <w:sz w:val="24"/>
                  </w:rPr>
                  <w:t>☐</w:t>
                </w:r>
              </w:sdtContent>
            </w:sdt>
            <w:r w:rsidR="00B13D65" w:rsidRPr="00632BB3">
              <w:t xml:space="preserve"> </w:t>
            </w:r>
            <w:r w:rsidR="001C1D94" w:rsidRPr="00632BB3">
              <w:t>29</w:t>
            </w:r>
            <w:r w:rsidR="00B13D65" w:rsidRPr="00632BB3">
              <w:t>.</w:t>
            </w:r>
            <w:r w:rsidR="001C1D94" w:rsidRPr="00632BB3">
              <w:t>2.</w:t>
            </w:r>
            <w:r w:rsidR="00B13D65" w:rsidRPr="00632BB3">
              <w:t xml:space="preserve">3 neatitinka referencinės naudingumo vertės </w:t>
            </w:r>
            <w:r w:rsidR="001C1D94" w:rsidRPr="00632BB3">
              <w:t>taikant arba netaikant PGS</w:t>
            </w:r>
          </w:p>
          <w:p w14:paraId="229ED51A" w14:textId="77777777"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F7D76B3" w14:textId="77777777" w:rsidR="007D2CF4" w:rsidRPr="00632BB3" w:rsidRDefault="00B12DF6"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632BB3">
                  <w:rPr>
                    <w:rStyle w:val="Style2"/>
                    <w:rFonts w:ascii="Segoe UI Symbol" w:eastAsia="MS Gothic" w:hAnsi="Segoe UI Symbol" w:cs="Segoe UI Symbol"/>
                    <w:sz w:val="24"/>
                  </w:rPr>
                  <w:t>☐</w:t>
                </w:r>
              </w:sdtContent>
            </w:sdt>
            <w:r w:rsidR="00B13D65" w:rsidRPr="00632BB3">
              <w:t xml:space="preserve"> </w:t>
            </w:r>
            <w:r w:rsidR="007D2CF4" w:rsidRPr="00632BB3">
              <w:t xml:space="preserve">29.2.4 </w:t>
            </w:r>
            <w:r w:rsidR="00B13D65" w:rsidRPr="00632BB3">
              <w:t xml:space="preserve">gydymo juo kaštai yra didesni esant iš esmės nesiskiriančiam palyginamajam </w:t>
            </w:r>
            <w:r w:rsidR="007D2CF4" w:rsidRPr="00632BB3">
              <w:t>veiksmingumui</w:t>
            </w:r>
            <w:r w:rsidR="00B13D65" w:rsidRPr="00632BB3">
              <w:t>, taikant</w:t>
            </w:r>
            <w:r w:rsidR="00450075" w:rsidRPr="00632BB3">
              <w:t xml:space="preserve"> </w:t>
            </w:r>
            <w:r w:rsidR="007D2CF4" w:rsidRPr="00632BB3">
              <w:t>arba netaikant PGS</w:t>
            </w:r>
          </w:p>
          <w:p w14:paraId="4A9C7D2A" w14:textId="1B3F88FF"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7E2B340F" w:rsidR="00B13D65" w:rsidRPr="00632BB3" w:rsidRDefault="00B12DF6"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632BB3">
                  <w:rPr>
                    <w:rStyle w:val="Style2"/>
                    <w:rFonts w:ascii="Segoe UI Symbol" w:eastAsia="MS Gothic" w:hAnsi="Segoe UI Symbol" w:cs="Segoe UI Symbol"/>
                    <w:sz w:val="24"/>
                  </w:rPr>
                  <w:t>☐</w:t>
                </w:r>
              </w:sdtContent>
            </w:sdt>
            <w:r w:rsidR="00B13D65" w:rsidRPr="00632BB3">
              <w:t xml:space="preserve"> </w:t>
            </w:r>
            <w:r w:rsidR="007D2CF4" w:rsidRPr="00632BB3">
              <w:t>29.2.5</w:t>
            </w:r>
            <w:r w:rsidR="00B13D65" w:rsidRPr="00632BB3">
              <w:t xml:space="preserve"> pateikti duomenys apie kaštų na</w:t>
            </w:r>
            <w:r w:rsidR="00662983" w:rsidRPr="00632BB3">
              <w:t>udingumą yra netinkami vertinti</w:t>
            </w:r>
          </w:p>
          <w:p w14:paraId="470A48A4" w14:textId="77777777" w:rsidR="00B13D65" w:rsidRPr="00632BB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3"/>
      <w:bookmarkEnd w:id="4"/>
    </w:tbl>
    <w:p w14:paraId="29A90384" w14:textId="4772D5ED" w:rsidR="004A3A61" w:rsidRPr="00632BB3" w:rsidRDefault="004A3A61" w:rsidP="00381024"/>
    <w:p w14:paraId="1B85C083" w14:textId="77777777" w:rsidR="009E44AE" w:rsidRPr="00632BB3" w:rsidRDefault="009E44AE" w:rsidP="00381024"/>
    <w:p w14:paraId="3B2D1F25" w14:textId="3A80E19F" w:rsidR="000001B0" w:rsidRPr="00632BB3" w:rsidRDefault="000001B0" w:rsidP="00CC09D4">
      <w:pPr>
        <w:pStyle w:val="ListParagraph"/>
        <w:numPr>
          <w:ilvl w:val="0"/>
          <w:numId w:val="12"/>
        </w:numPr>
        <w:ind w:left="567" w:hanging="567"/>
      </w:pPr>
      <w:r w:rsidRPr="00632BB3">
        <w:rPr>
          <w:b/>
        </w:rPr>
        <w:t>REKOME</w:t>
      </w:r>
      <w:r w:rsidR="00D83182" w:rsidRPr="00632BB3">
        <w:rPr>
          <w:b/>
        </w:rPr>
        <w:t>N</w:t>
      </w:r>
      <w:r w:rsidRPr="00632BB3">
        <w:rPr>
          <w:b/>
        </w:rPr>
        <w:t>DACIJA</w:t>
      </w:r>
    </w:p>
    <w:p w14:paraId="7D5C6700" w14:textId="77777777" w:rsidR="00D5470B" w:rsidRPr="00632BB3" w:rsidRDefault="00D5470B" w:rsidP="00C712EA">
      <w:pPr>
        <w:pStyle w:val="ListParagraph"/>
        <w:ind w:left="426"/>
      </w:pPr>
    </w:p>
    <w:p w14:paraId="793C3FF5" w14:textId="77777777" w:rsidR="008C2035" w:rsidRPr="00632BB3" w:rsidRDefault="008C2035" w:rsidP="008C2035">
      <w:pPr>
        <w:spacing w:line="276" w:lineRule="auto"/>
        <w:ind w:firstLine="567"/>
        <w:jc w:val="both"/>
        <w:rPr>
          <w:color w:val="000000" w:themeColor="text1"/>
        </w:rPr>
      </w:pPr>
      <w:r w:rsidRPr="00632BB3">
        <w:t>Vadovaujantis</w:t>
      </w:r>
      <w:r w:rsidRPr="00632BB3">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176E9E41" w14:textId="794D719C" w:rsidR="008C2035" w:rsidRPr="00632BB3" w:rsidRDefault="008C2035" w:rsidP="008C2035">
      <w:pPr>
        <w:jc w:val="both"/>
        <w:rPr>
          <w:color w:val="000000"/>
        </w:rPr>
      </w:pPr>
      <w:r w:rsidRPr="00632BB3">
        <w:rPr>
          <w:color w:val="000000"/>
        </w:rPr>
        <w:t>30</w:t>
      </w:r>
      <w:r w:rsidRPr="00632BB3">
        <w:rPr>
          <w:color w:val="000000"/>
          <w:vertAlign w:val="superscript"/>
        </w:rPr>
        <w:t>1</w:t>
      </w:r>
      <w:r w:rsidRPr="00632BB3">
        <w:rPr>
          <w:color w:val="000000"/>
        </w:rPr>
        <w:t>.1. kai vertinimo išvados atitinka Aprašo 29.1.1 ir 29.2.1 papunkčiuose numatytas sąlygas arba Aprašo 29.1.2 ir 29.2.2 papunkčiuose numatytas sąlygas, teikiama rekomendacija kompensuoti vaistinį preparatą pagal paraiškoje nurodytą indikaciją (arba jos dalį) su arba be skyrimo sąlygų, taikant PGS</w:t>
      </w:r>
      <w:r w:rsidR="005615E8" w:rsidRPr="00632BB3">
        <w:rPr>
          <w:color w:val="000000"/>
        </w:rPr>
        <w:t>.</w:t>
      </w:r>
    </w:p>
    <w:p w14:paraId="09B9EE05" w14:textId="77777777" w:rsidR="008C2035" w:rsidRPr="00632BB3" w:rsidRDefault="008C2035" w:rsidP="008C2035">
      <w:pPr>
        <w:jc w:val="both"/>
        <w:rPr>
          <w:color w:val="000000"/>
        </w:rPr>
      </w:pPr>
    </w:p>
    <w:p w14:paraId="2C658908" w14:textId="3CB3FB57" w:rsidR="00F21C28" w:rsidRPr="00632BB3" w:rsidRDefault="008C2035" w:rsidP="008C2035">
      <w:pPr>
        <w:spacing w:line="276" w:lineRule="auto"/>
        <w:ind w:firstLine="540"/>
        <w:jc w:val="both"/>
        <w:rPr>
          <w:bCs/>
          <w:i/>
          <w:color w:val="000000" w:themeColor="text1"/>
          <w:u w:val="single"/>
          <w:lang w:eastAsia="lt-LT"/>
        </w:rPr>
      </w:pPr>
      <w:r w:rsidRPr="00632BB3">
        <w:rPr>
          <w:bCs/>
          <w:i/>
          <w:color w:val="000000" w:themeColor="text1"/>
          <w:u w:val="single"/>
          <w:lang w:eastAsia="lt-LT"/>
        </w:rPr>
        <w:t>Pastab</w:t>
      </w:r>
      <w:r w:rsidR="00F21C28" w:rsidRPr="00632BB3">
        <w:rPr>
          <w:bCs/>
          <w:i/>
          <w:color w:val="000000" w:themeColor="text1"/>
          <w:u w:val="single"/>
          <w:lang w:eastAsia="lt-LT"/>
        </w:rPr>
        <w:t>os</w:t>
      </w:r>
    </w:p>
    <w:p w14:paraId="3CECF774" w14:textId="461B26B1" w:rsidR="008C2035" w:rsidRPr="00632BB3" w:rsidRDefault="008C2035" w:rsidP="00D65B95">
      <w:pPr>
        <w:pStyle w:val="ListParagraph"/>
        <w:numPr>
          <w:ilvl w:val="0"/>
          <w:numId w:val="15"/>
        </w:numPr>
        <w:spacing w:line="276" w:lineRule="auto"/>
        <w:jc w:val="both"/>
      </w:pPr>
      <w:r w:rsidRPr="00632BB3">
        <w:rPr>
          <w:bCs/>
          <w:color w:val="000000" w:themeColor="text1"/>
          <w:lang w:eastAsia="lt-LT"/>
        </w:rPr>
        <w:t>KMA atlikta taikant cemiplimabo kainą pagal sutartinę su VLK kainą (</w:t>
      </w:r>
      <w:r w:rsidRPr="00632BB3">
        <w:rPr>
          <w:color w:val="000000"/>
          <w:lang w:eastAsia="lt-LT"/>
        </w:rPr>
        <w:t xml:space="preserve">350mg N1 pakuotės kaina: </w:t>
      </w:r>
      <w:r w:rsidR="005033D3" w:rsidRPr="00B40EE7">
        <w:rPr>
          <w:u w:val="single"/>
        </w:rPr>
        <w:t>***</w:t>
      </w:r>
      <w:r w:rsidRPr="00632BB3">
        <w:rPr>
          <w:u w:val="single"/>
        </w:rPr>
        <w:t xml:space="preserve"> Eur.; </w:t>
      </w:r>
      <w:r w:rsidR="00E514BF">
        <w:t>***</w:t>
      </w:r>
      <w:r w:rsidRPr="00632BB3">
        <w:t xml:space="preserve">). </w:t>
      </w:r>
    </w:p>
    <w:p w14:paraId="1A8B2E28" w14:textId="77777777" w:rsidR="00F21C28" w:rsidRPr="00B12DF6" w:rsidRDefault="00F21C28" w:rsidP="00B12DF6">
      <w:pPr>
        <w:rPr>
          <w:rFonts w:eastAsiaTheme="minorHAnsi"/>
        </w:rPr>
      </w:pPr>
    </w:p>
    <w:p w14:paraId="06BC01EE" w14:textId="44333E0B" w:rsidR="000723FF" w:rsidRPr="00632BB3" w:rsidRDefault="000723FF" w:rsidP="00381024"/>
    <w:p w14:paraId="562A1372" w14:textId="77777777" w:rsidR="00283E59" w:rsidRPr="00632BB3" w:rsidRDefault="00283E59" w:rsidP="00283E59">
      <w:pPr>
        <w:jc w:val="both"/>
        <w:rPr>
          <w:b/>
          <w:sz w:val="20"/>
        </w:rPr>
      </w:pPr>
    </w:p>
    <w:p w14:paraId="7C641248" w14:textId="77777777" w:rsidR="005615E8" w:rsidRPr="00632BB3" w:rsidRDefault="005615E8" w:rsidP="005615E8">
      <w:pPr>
        <w:tabs>
          <w:tab w:val="left" w:pos="567"/>
        </w:tabs>
        <w:ind w:left="567" w:hanging="567"/>
        <w:jc w:val="both"/>
        <w:rPr>
          <w:b/>
          <w:color w:val="000000"/>
          <w:lang w:eastAsia="lt-LT"/>
        </w:rPr>
      </w:pPr>
      <w:r w:rsidRPr="00632BB3">
        <w:rPr>
          <w:b/>
          <w:color w:val="000000"/>
          <w:lang w:eastAsia="lt-LT"/>
        </w:rPr>
        <w:t>8.</w:t>
      </w:r>
      <w:r w:rsidRPr="00632BB3">
        <w:rPr>
          <w:b/>
          <w:color w:val="000000"/>
          <w:lang w:eastAsia="lt-LT"/>
        </w:rPr>
        <w:tab/>
        <w:t xml:space="preserve">SIŪLOMOS KOMPENSUOTI TERAPINĖS INDIKACIJOS IR SKYRIMO SĄLYGOS </w:t>
      </w:r>
    </w:p>
    <w:p w14:paraId="261E3FAE" w14:textId="77777777" w:rsidR="005615E8" w:rsidRPr="00632BB3" w:rsidRDefault="005615E8" w:rsidP="005615E8">
      <w:pPr>
        <w:tabs>
          <w:tab w:val="left" w:pos="426"/>
        </w:tabs>
        <w:jc w:val="both"/>
        <w:rPr>
          <w:b/>
          <w:color w:val="000000"/>
          <w:lang w:eastAsia="lt-LT"/>
        </w:rPr>
      </w:pPr>
    </w:p>
    <w:p w14:paraId="717DC2DC" w14:textId="77777777" w:rsidR="005615E8" w:rsidRPr="00632BB3" w:rsidRDefault="005615E8" w:rsidP="005615E8">
      <w:pPr>
        <w:rPr>
          <w:b/>
          <w:lang w:eastAsia="lt-LT"/>
        </w:rPr>
      </w:pPr>
      <w:r w:rsidRPr="00632BB3">
        <w:rPr>
          <w:b/>
          <w:lang w:eastAsia="lt-LT"/>
        </w:rPr>
        <w:t>Terapinės indikacijos</w:t>
      </w:r>
    </w:p>
    <w:p w14:paraId="00A96B29" w14:textId="77777777" w:rsidR="005615E8" w:rsidRPr="00632BB3" w:rsidRDefault="00B12DF6" w:rsidP="005615E8">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5615E8" w:rsidRPr="00632BB3">
            <w:rPr>
              <w:rStyle w:val="Style2"/>
              <w:rFonts w:ascii="MS Gothic" w:eastAsia="MS Gothic" w:hAnsi="MS Gothic" w:hint="eastAsia"/>
            </w:rPr>
            <w:t>☒</w:t>
          </w:r>
        </w:sdtContent>
      </w:sdt>
      <w:r w:rsidR="005615E8" w:rsidRPr="00632BB3">
        <w:t xml:space="preserve"> Siūloma kompensuoti Pareiškėjo teikiamą indikaciją be pakeitimų.</w:t>
      </w:r>
    </w:p>
    <w:p w14:paraId="686FD8C9" w14:textId="4171F4CE" w:rsidR="005615E8" w:rsidRPr="00632BB3" w:rsidRDefault="005615E8" w:rsidP="005615E8">
      <w:pPr>
        <w:spacing w:line="276" w:lineRule="auto"/>
        <w:jc w:val="both"/>
      </w:pPr>
      <w:r w:rsidRPr="00632BB3">
        <w:t>LIBTAYO derinys su chemoterapija platinos pagrindu skirtas NSLPV, ekspresuojančio PD-L1 (≥ 1 % naviko ląstelių) be E</w:t>
      </w:r>
      <w:r w:rsidR="006C6CED">
        <w:t>G</w:t>
      </w:r>
      <w:r w:rsidRPr="00632BB3">
        <w:t xml:space="preserve">FR, ALK ar ROS1 aberacijų, pirmos eilės gydymui suaugusiems pacientams, sergantiems: </w:t>
      </w:r>
    </w:p>
    <w:p w14:paraId="25DC8D55" w14:textId="77777777" w:rsidR="005615E8" w:rsidRPr="00632BB3" w:rsidRDefault="005615E8" w:rsidP="005615E8">
      <w:pPr>
        <w:spacing w:line="276" w:lineRule="auto"/>
        <w:jc w:val="both"/>
      </w:pPr>
      <w:r w:rsidRPr="00632BB3">
        <w:t xml:space="preserve">• lokaliai išplitusiu NSLPV, kuriems netinka galutinė chemoradioterapija, arba </w:t>
      </w:r>
    </w:p>
    <w:p w14:paraId="1926C874" w14:textId="77777777" w:rsidR="005615E8" w:rsidRPr="00632BB3" w:rsidRDefault="005615E8" w:rsidP="005615E8">
      <w:pPr>
        <w:spacing w:line="276" w:lineRule="auto"/>
        <w:jc w:val="both"/>
      </w:pPr>
      <w:r w:rsidRPr="00632BB3">
        <w:t xml:space="preserve">• metastazavusiu NSLPV. </w:t>
      </w:r>
    </w:p>
    <w:p w14:paraId="49E4BF44" w14:textId="77777777" w:rsidR="005615E8" w:rsidRPr="00632BB3" w:rsidRDefault="005615E8" w:rsidP="005615E8"/>
    <w:p w14:paraId="29EDB982" w14:textId="77777777" w:rsidR="005615E8" w:rsidRPr="00632BB3" w:rsidRDefault="005615E8" w:rsidP="005615E8"/>
    <w:p w14:paraId="1CB5049C" w14:textId="77777777" w:rsidR="005615E8" w:rsidRPr="00632BB3" w:rsidRDefault="005615E8" w:rsidP="005615E8">
      <w:pPr>
        <w:rPr>
          <w:b/>
        </w:rPr>
      </w:pPr>
      <w:r w:rsidRPr="00632BB3">
        <w:rPr>
          <w:b/>
        </w:rPr>
        <w:t>Skyrimo sąlygos</w:t>
      </w:r>
    </w:p>
    <w:p w14:paraId="782D27E0" w14:textId="77777777" w:rsidR="00241B70" w:rsidRPr="00632BB3" w:rsidRDefault="00241B70" w:rsidP="005615E8">
      <w:pPr>
        <w:rPr>
          <w:b/>
        </w:rPr>
      </w:pPr>
    </w:p>
    <w:p w14:paraId="5524233B" w14:textId="5D60A5BA" w:rsidR="005615E8" w:rsidRDefault="00017BD0" w:rsidP="00E33A63">
      <w:pPr>
        <w:spacing w:line="276" w:lineRule="auto"/>
        <w:jc w:val="both"/>
        <w:rPr>
          <w:bCs/>
          <w:lang w:eastAsia="lt-LT"/>
        </w:rPr>
      </w:pPr>
      <w:r w:rsidRPr="00632BB3">
        <w:rPr>
          <w:rFonts w:eastAsia="Calibri"/>
        </w:rPr>
        <w:t>LIBTAYO, derinyje su chemoterapija pemetreksedu ir platinos vaistiniais preparatais arba su karboplatina ir paklitakseliu, skiriamas pirmos eilės gydymui suaugusiems pacientams, kuriems diagnozuotas metastazavęs arba lokaliai išplitęs nesmulkialąstelinis plaučių vėžys, kurio PD-L1 raišk</w:t>
      </w:r>
      <w:r w:rsidR="006C6CED">
        <w:rPr>
          <w:rFonts w:eastAsia="Calibri"/>
        </w:rPr>
        <w:t>a</w:t>
      </w:r>
      <w:r w:rsidRPr="00632BB3">
        <w:rPr>
          <w:rFonts w:eastAsia="Calibri"/>
        </w:rPr>
        <w:t xml:space="preserve"> ≥ 1 proc. ir nenustatyta </w:t>
      </w:r>
      <w:r w:rsidRPr="006C6CED">
        <w:rPr>
          <w:rFonts w:eastAsia="Calibri"/>
        </w:rPr>
        <w:t>EGFR</w:t>
      </w:r>
      <w:r w:rsidRPr="00632BB3">
        <w:rPr>
          <w:rFonts w:eastAsia="Calibri"/>
        </w:rPr>
        <w:t xml:space="preserve"> mutacijų, ALK translokacijų ar ROS1 aberacijų ir kuriems netinka galutinė chemoradioterapija.  Gydymas tęsiamas iki nepriimtino toksinio poveikio </w:t>
      </w:r>
      <w:r w:rsidR="00E33A63">
        <w:rPr>
          <w:rFonts w:eastAsia="Calibri"/>
        </w:rPr>
        <w:t>atsiradimo,</w:t>
      </w:r>
      <w:r w:rsidRPr="00632BB3">
        <w:rPr>
          <w:rFonts w:eastAsia="Calibri"/>
        </w:rPr>
        <w:t xml:space="preserve">  ligos progresavimo</w:t>
      </w:r>
      <w:r w:rsidR="00E33A63">
        <w:rPr>
          <w:rFonts w:eastAsia="Calibri"/>
        </w:rPr>
        <w:t xml:space="preserve"> arba planuoto gydymo užbaigimo. Gydymo trukmė </w:t>
      </w:r>
      <w:r w:rsidR="00E33A63" w:rsidRPr="00170B8D">
        <w:rPr>
          <w:bCs/>
          <w:lang w:eastAsia="lt-LT"/>
        </w:rPr>
        <w:t>ne ilgesnė kaip 2 metai</w:t>
      </w:r>
      <w:r w:rsidR="00E33A63">
        <w:rPr>
          <w:bCs/>
          <w:lang w:eastAsia="lt-LT"/>
        </w:rPr>
        <w:t>.</w:t>
      </w:r>
    </w:p>
    <w:p w14:paraId="4E857C79" w14:textId="77777777" w:rsidR="00E33A63" w:rsidRPr="00632BB3" w:rsidRDefault="00E33A63" w:rsidP="00E33A63">
      <w:pPr>
        <w:spacing w:line="276" w:lineRule="auto"/>
        <w:jc w:val="both"/>
      </w:pPr>
    </w:p>
    <w:p w14:paraId="34539A95" w14:textId="6370DA29" w:rsidR="005615E8" w:rsidRPr="00632BB3" w:rsidRDefault="005615E8" w:rsidP="005615E8">
      <w:pPr>
        <w:rPr>
          <w:i/>
          <w:iCs/>
        </w:rPr>
      </w:pPr>
      <w:r w:rsidRPr="00632BB3">
        <w:rPr>
          <w:i/>
          <w:iCs/>
        </w:rPr>
        <w:t>Pastaba</w:t>
      </w:r>
    </w:p>
    <w:p w14:paraId="184F64BA" w14:textId="0A92CCEB" w:rsidR="005615E8" w:rsidRPr="00632BB3" w:rsidRDefault="005615E8" w:rsidP="00D65B95">
      <w:pPr>
        <w:spacing w:line="276" w:lineRule="auto"/>
        <w:jc w:val="both"/>
        <w:rPr>
          <w:rFonts w:eastAsiaTheme="minorHAnsi"/>
        </w:rPr>
      </w:pPr>
      <w:r w:rsidRPr="00632BB3">
        <w:rPr>
          <w:rFonts w:eastAsiaTheme="minorHAnsi"/>
        </w:rPr>
        <w:t xml:space="preserve">Tuo atveju, jei vaistinis preparatas būtų įrašytas į kompensavimo sąrašus, būtina jį įtraukti į </w:t>
      </w:r>
      <w:r w:rsidRPr="00632BB3">
        <w:rPr>
          <w:rFonts w:eastAsia="Arial"/>
        </w:rPr>
        <w:t>Lietuvos Respublikos sveikatos apsaugos ministro įsakymu „Dėl Plaučių vėžio ambulatorinio gydymo, kurio išlaidos kompensuojamos iš Privalomojo sveikatos draudimo fondo biudžeto, tvarkos aprašo patvirtinimo“ 2009-02-20, Nr. V-127 patvirtintą Plaučių vėžio ambulatorinio gydymo, kurio išlaidos kompensuojamos iš Privalomojo sveikatos draudimo fondo biudžeto, tvarkos aprašą ir skyrimo sąlygose nurodyti „</w:t>
      </w:r>
      <w:r w:rsidRPr="00632BB3">
        <w:rPr>
          <w:lang w:eastAsia="lt-LT"/>
        </w:rPr>
        <w:t>Skiriamas sveikatos apsaugos ministro nustatyta tvarka.“</w:t>
      </w:r>
    </w:p>
    <w:p w14:paraId="7CDFF220" w14:textId="54393196" w:rsidR="000723FF" w:rsidRPr="00B14079" w:rsidRDefault="000723FF" w:rsidP="00824B92">
      <w:pPr>
        <w:rPr>
          <w:b/>
        </w:rPr>
      </w:pPr>
    </w:p>
    <w:sectPr w:rsidR="000723FF" w:rsidRPr="00B14079"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E528" w14:textId="77777777" w:rsidR="007C636A" w:rsidRPr="00632BB3" w:rsidRDefault="007C636A">
      <w:r w:rsidRPr="00632BB3">
        <w:separator/>
      </w:r>
    </w:p>
  </w:endnote>
  <w:endnote w:type="continuationSeparator" w:id="0">
    <w:p w14:paraId="7C745EBB" w14:textId="77777777" w:rsidR="007C636A" w:rsidRPr="00632BB3" w:rsidRDefault="007C636A">
      <w:r w:rsidRPr="00632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Pr="00632BB3"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1E66" w14:textId="77777777" w:rsidR="007C636A" w:rsidRPr="00632BB3" w:rsidRDefault="007C636A">
      <w:r w:rsidRPr="00632BB3">
        <w:separator/>
      </w:r>
    </w:p>
  </w:footnote>
  <w:footnote w:type="continuationSeparator" w:id="0">
    <w:p w14:paraId="715BA647" w14:textId="77777777" w:rsidR="007C636A" w:rsidRPr="00632BB3" w:rsidRDefault="007C636A">
      <w:r w:rsidRPr="00632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Pr="00632BB3" w:rsidRDefault="00347FAA">
    <w:pPr>
      <w:pStyle w:val="Header"/>
      <w:framePr w:wrap="around" w:vAnchor="text" w:hAnchor="margin" w:xAlign="center" w:y="1"/>
      <w:rPr>
        <w:rStyle w:val="PageNumber"/>
      </w:rPr>
    </w:pPr>
    <w:r w:rsidRPr="00632BB3">
      <w:rPr>
        <w:rStyle w:val="PageNumber"/>
      </w:rPr>
      <w:fldChar w:fldCharType="begin"/>
    </w:r>
    <w:r w:rsidRPr="00632BB3">
      <w:rPr>
        <w:rStyle w:val="PageNumber"/>
      </w:rPr>
      <w:instrText xml:space="preserve">PAGE  </w:instrText>
    </w:r>
    <w:r w:rsidRPr="00632BB3">
      <w:rPr>
        <w:rStyle w:val="PageNumber"/>
      </w:rPr>
      <w:fldChar w:fldCharType="separate"/>
    </w:r>
    <w:r w:rsidRPr="00632BB3">
      <w:rPr>
        <w:rStyle w:val="PageNumber"/>
      </w:rPr>
      <w:t>1</w:t>
    </w:r>
    <w:r w:rsidRPr="00632BB3">
      <w:rPr>
        <w:rStyle w:val="PageNumber"/>
      </w:rPr>
      <w:fldChar w:fldCharType="end"/>
    </w:r>
  </w:p>
  <w:p w14:paraId="3E81DB01" w14:textId="77777777" w:rsidR="00347FAA" w:rsidRPr="00632BB3"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46DC4C44" w:rsidR="00347FAA" w:rsidRPr="00632BB3" w:rsidRDefault="00347FAA">
    <w:pPr>
      <w:pStyle w:val="Header"/>
      <w:framePr w:wrap="around" w:vAnchor="text" w:hAnchor="margin" w:xAlign="center" w:y="1"/>
      <w:rPr>
        <w:rStyle w:val="PageNumber"/>
      </w:rPr>
    </w:pPr>
    <w:r w:rsidRPr="00632BB3">
      <w:rPr>
        <w:rStyle w:val="PageNumber"/>
      </w:rPr>
      <w:fldChar w:fldCharType="begin"/>
    </w:r>
    <w:r w:rsidRPr="00632BB3">
      <w:rPr>
        <w:rStyle w:val="PageNumber"/>
      </w:rPr>
      <w:instrText xml:space="preserve">PAGE  </w:instrText>
    </w:r>
    <w:r w:rsidRPr="00632BB3">
      <w:rPr>
        <w:rStyle w:val="PageNumber"/>
      </w:rPr>
      <w:fldChar w:fldCharType="separate"/>
    </w:r>
    <w:r w:rsidR="00022B6F">
      <w:rPr>
        <w:rStyle w:val="PageNumber"/>
        <w:noProof/>
      </w:rPr>
      <w:t>9</w:t>
    </w:r>
    <w:r w:rsidRPr="00632BB3">
      <w:rPr>
        <w:rStyle w:val="PageNumber"/>
      </w:rPr>
      <w:fldChar w:fldCharType="end"/>
    </w:r>
  </w:p>
  <w:p w14:paraId="13EC872E" w14:textId="77777777" w:rsidR="00347FAA" w:rsidRPr="00632BB3"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Pr="00632BB3"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0AE33D1"/>
    <w:multiLevelType w:val="hybridMultilevel"/>
    <w:tmpl w:val="0F8A81D2"/>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 w15:restartNumberingAfterBreak="0">
    <w:nsid w:val="35110E32"/>
    <w:multiLevelType w:val="hybridMultilevel"/>
    <w:tmpl w:val="7C347EC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8C20C8"/>
    <w:multiLevelType w:val="hybridMultilevel"/>
    <w:tmpl w:val="D7C8B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64682235">
    <w:abstractNumId w:val="8"/>
  </w:num>
  <w:num w:numId="2" w16cid:durableId="1015226183">
    <w:abstractNumId w:val="1"/>
  </w:num>
  <w:num w:numId="3" w16cid:durableId="2134715198">
    <w:abstractNumId w:val="10"/>
  </w:num>
  <w:num w:numId="4" w16cid:durableId="1006833166">
    <w:abstractNumId w:val="9"/>
  </w:num>
  <w:num w:numId="5" w16cid:durableId="2132898288">
    <w:abstractNumId w:val="7"/>
  </w:num>
  <w:num w:numId="6" w16cid:durableId="594482053">
    <w:abstractNumId w:val="6"/>
  </w:num>
  <w:num w:numId="7" w16cid:durableId="1183663026">
    <w:abstractNumId w:val="3"/>
  </w:num>
  <w:num w:numId="8" w16cid:durableId="409087802">
    <w:abstractNumId w:val="14"/>
  </w:num>
  <w:num w:numId="9" w16cid:durableId="206719048">
    <w:abstractNumId w:val="0"/>
  </w:num>
  <w:num w:numId="10" w16cid:durableId="1854296662">
    <w:abstractNumId w:val="11"/>
  </w:num>
  <w:num w:numId="11" w16cid:durableId="747727566">
    <w:abstractNumId w:val="13"/>
  </w:num>
  <w:num w:numId="12" w16cid:durableId="2061518017">
    <w:abstractNumId w:val="2"/>
  </w:num>
  <w:num w:numId="13" w16cid:durableId="1185367294">
    <w:abstractNumId w:val="5"/>
  </w:num>
  <w:num w:numId="14" w16cid:durableId="1176648421">
    <w:abstractNumId w:val="12"/>
  </w:num>
  <w:num w:numId="15" w16cid:durableId="176056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17BD0"/>
    <w:rsid w:val="000203E1"/>
    <w:rsid w:val="00022B6F"/>
    <w:rsid w:val="0002686C"/>
    <w:rsid w:val="00030C28"/>
    <w:rsid w:val="00031D0E"/>
    <w:rsid w:val="000337E6"/>
    <w:rsid w:val="0003402E"/>
    <w:rsid w:val="00034EAE"/>
    <w:rsid w:val="000410F6"/>
    <w:rsid w:val="00042924"/>
    <w:rsid w:val="00053975"/>
    <w:rsid w:val="00057A2B"/>
    <w:rsid w:val="000606BE"/>
    <w:rsid w:val="000723FF"/>
    <w:rsid w:val="000736B8"/>
    <w:rsid w:val="0007410A"/>
    <w:rsid w:val="0008190F"/>
    <w:rsid w:val="00081D9C"/>
    <w:rsid w:val="00082907"/>
    <w:rsid w:val="0008378D"/>
    <w:rsid w:val="000908A5"/>
    <w:rsid w:val="00092805"/>
    <w:rsid w:val="000C451D"/>
    <w:rsid w:val="000C454C"/>
    <w:rsid w:val="000D5038"/>
    <w:rsid w:val="000E29D4"/>
    <w:rsid w:val="000F3540"/>
    <w:rsid w:val="00100491"/>
    <w:rsid w:val="00104E2E"/>
    <w:rsid w:val="00107287"/>
    <w:rsid w:val="00117406"/>
    <w:rsid w:val="00121EF0"/>
    <w:rsid w:val="001237D0"/>
    <w:rsid w:val="00124A9E"/>
    <w:rsid w:val="00124E31"/>
    <w:rsid w:val="00130703"/>
    <w:rsid w:val="0013153F"/>
    <w:rsid w:val="001408B8"/>
    <w:rsid w:val="001517E2"/>
    <w:rsid w:val="001521D9"/>
    <w:rsid w:val="001554E2"/>
    <w:rsid w:val="00164146"/>
    <w:rsid w:val="00164D64"/>
    <w:rsid w:val="0017369C"/>
    <w:rsid w:val="00175D57"/>
    <w:rsid w:val="00180C39"/>
    <w:rsid w:val="00180D96"/>
    <w:rsid w:val="00184BD3"/>
    <w:rsid w:val="00185963"/>
    <w:rsid w:val="001921F3"/>
    <w:rsid w:val="001B3C5B"/>
    <w:rsid w:val="001C1D94"/>
    <w:rsid w:val="001C4F45"/>
    <w:rsid w:val="001D15C0"/>
    <w:rsid w:val="001D3427"/>
    <w:rsid w:val="001D5B91"/>
    <w:rsid w:val="001D746F"/>
    <w:rsid w:val="001E4BBB"/>
    <w:rsid w:val="001E6304"/>
    <w:rsid w:val="0020381E"/>
    <w:rsid w:val="00213471"/>
    <w:rsid w:val="00215906"/>
    <w:rsid w:val="00241B70"/>
    <w:rsid w:val="00241CD8"/>
    <w:rsid w:val="00244B09"/>
    <w:rsid w:val="002519CB"/>
    <w:rsid w:val="0025697F"/>
    <w:rsid w:val="00260258"/>
    <w:rsid w:val="0026588E"/>
    <w:rsid w:val="002661E3"/>
    <w:rsid w:val="00272428"/>
    <w:rsid w:val="00272948"/>
    <w:rsid w:val="00283E59"/>
    <w:rsid w:val="00292392"/>
    <w:rsid w:val="002946C7"/>
    <w:rsid w:val="002A1717"/>
    <w:rsid w:val="002A3C79"/>
    <w:rsid w:val="002B3CC1"/>
    <w:rsid w:val="002B50EA"/>
    <w:rsid w:val="002C09E0"/>
    <w:rsid w:val="002C1BB1"/>
    <w:rsid w:val="002C2786"/>
    <w:rsid w:val="002C3A10"/>
    <w:rsid w:val="002C4A90"/>
    <w:rsid w:val="002C4ED5"/>
    <w:rsid w:val="002D02EF"/>
    <w:rsid w:val="002E0702"/>
    <w:rsid w:val="002E57AD"/>
    <w:rsid w:val="002E6F80"/>
    <w:rsid w:val="002F0E4F"/>
    <w:rsid w:val="002F1053"/>
    <w:rsid w:val="00314816"/>
    <w:rsid w:val="00317B0E"/>
    <w:rsid w:val="00332D50"/>
    <w:rsid w:val="00340688"/>
    <w:rsid w:val="00347FAA"/>
    <w:rsid w:val="0035172D"/>
    <w:rsid w:val="00357421"/>
    <w:rsid w:val="0036187D"/>
    <w:rsid w:val="00367EDB"/>
    <w:rsid w:val="00381024"/>
    <w:rsid w:val="00386307"/>
    <w:rsid w:val="003874DE"/>
    <w:rsid w:val="00393E9F"/>
    <w:rsid w:val="0039696E"/>
    <w:rsid w:val="003A604B"/>
    <w:rsid w:val="003B211A"/>
    <w:rsid w:val="003C141F"/>
    <w:rsid w:val="003C6165"/>
    <w:rsid w:val="003C6B0E"/>
    <w:rsid w:val="003C7257"/>
    <w:rsid w:val="003C7E35"/>
    <w:rsid w:val="003D1E99"/>
    <w:rsid w:val="003D6208"/>
    <w:rsid w:val="003E0A12"/>
    <w:rsid w:val="00404E8A"/>
    <w:rsid w:val="0040622F"/>
    <w:rsid w:val="00413F24"/>
    <w:rsid w:val="00422853"/>
    <w:rsid w:val="00423160"/>
    <w:rsid w:val="00450075"/>
    <w:rsid w:val="00453862"/>
    <w:rsid w:val="00453F98"/>
    <w:rsid w:val="0045469B"/>
    <w:rsid w:val="00461338"/>
    <w:rsid w:val="004677DB"/>
    <w:rsid w:val="00476256"/>
    <w:rsid w:val="0048630F"/>
    <w:rsid w:val="004947A1"/>
    <w:rsid w:val="0049482A"/>
    <w:rsid w:val="004979D3"/>
    <w:rsid w:val="004A00E7"/>
    <w:rsid w:val="004A37D0"/>
    <w:rsid w:val="004A3A61"/>
    <w:rsid w:val="004B59BA"/>
    <w:rsid w:val="004B5A03"/>
    <w:rsid w:val="004C263A"/>
    <w:rsid w:val="004D2953"/>
    <w:rsid w:val="004D2D86"/>
    <w:rsid w:val="004D48A6"/>
    <w:rsid w:val="004D7B8F"/>
    <w:rsid w:val="004E241F"/>
    <w:rsid w:val="004E6458"/>
    <w:rsid w:val="004E6E7D"/>
    <w:rsid w:val="004F1AAC"/>
    <w:rsid w:val="004F1AE2"/>
    <w:rsid w:val="004F34F0"/>
    <w:rsid w:val="004F3B2B"/>
    <w:rsid w:val="004F6050"/>
    <w:rsid w:val="005005EF"/>
    <w:rsid w:val="005033D3"/>
    <w:rsid w:val="005123C2"/>
    <w:rsid w:val="0052094A"/>
    <w:rsid w:val="0052144B"/>
    <w:rsid w:val="00524066"/>
    <w:rsid w:val="00534E11"/>
    <w:rsid w:val="005378D8"/>
    <w:rsid w:val="005400D9"/>
    <w:rsid w:val="005401AE"/>
    <w:rsid w:val="00545DB0"/>
    <w:rsid w:val="005476A4"/>
    <w:rsid w:val="0055019B"/>
    <w:rsid w:val="00556E63"/>
    <w:rsid w:val="005601A4"/>
    <w:rsid w:val="005615E8"/>
    <w:rsid w:val="00566DBB"/>
    <w:rsid w:val="005767DB"/>
    <w:rsid w:val="00580AB8"/>
    <w:rsid w:val="005815E6"/>
    <w:rsid w:val="0058712F"/>
    <w:rsid w:val="00595774"/>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2BB3"/>
    <w:rsid w:val="00633B49"/>
    <w:rsid w:val="0064249A"/>
    <w:rsid w:val="0064297F"/>
    <w:rsid w:val="00645102"/>
    <w:rsid w:val="00646CF3"/>
    <w:rsid w:val="00650959"/>
    <w:rsid w:val="00653D11"/>
    <w:rsid w:val="00662983"/>
    <w:rsid w:val="00670984"/>
    <w:rsid w:val="006834D3"/>
    <w:rsid w:val="006859A4"/>
    <w:rsid w:val="00692625"/>
    <w:rsid w:val="00695CD3"/>
    <w:rsid w:val="006A36FB"/>
    <w:rsid w:val="006A38B6"/>
    <w:rsid w:val="006B1987"/>
    <w:rsid w:val="006B5B71"/>
    <w:rsid w:val="006B5D3E"/>
    <w:rsid w:val="006B6CB0"/>
    <w:rsid w:val="006C0251"/>
    <w:rsid w:val="006C2B64"/>
    <w:rsid w:val="006C6CED"/>
    <w:rsid w:val="006D1BF3"/>
    <w:rsid w:val="006D4C85"/>
    <w:rsid w:val="006D66AC"/>
    <w:rsid w:val="006E33F6"/>
    <w:rsid w:val="006F1251"/>
    <w:rsid w:val="006F1C23"/>
    <w:rsid w:val="00702C18"/>
    <w:rsid w:val="00703166"/>
    <w:rsid w:val="007127F3"/>
    <w:rsid w:val="00713C8C"/>
    <w:rsid w:val="00722F30"/>
    <w:rsid w:val="007301CF"/>
    <w:rsid w:val="007316FB"/>
    <w:rsid w:val="00737E2D"/>
    <w:rsid w:val="007424D5"/>
    <w:rsid w:val="00750A88"/>
    <w:rsid w:val="007523DD"/>
    <w:rsid w:val="00757B7E"/>
    <w:rsid w:val="007656B2"/>
    <w:rsid w:val="0077016F"/>
    <w:rsid w:val="007713AD"/>
    <w:rsid w:val="00777822"/>
    <w:rsid w:val="00795DC5"/>
    <w:rsid w:val="00797005"/>
    <w:rsid w:val="00797153"/>
    <w:rsid w:val="007A21F7"/>
    <w:rsid w:val="007A2B68"/>
    <w:rsid w:val="007B0DDA"/>
    <w:rsid w:val="007B2CE5"/>
    <w:rsid w:val="007C636A"/>
    <w:rsid w:val="007D2CF4"/>
    <w:rsid w:val="007D3347"/>
    <w:rsid w:val="007E5466"/>
    <w:rsid w:val="007F1949"/>
    <w:rsid w:val="007F2592"/>
    <w:rsid w:val="00800A08"/>
    <w:rsid w:val="00817A84"/>
    <w:rsid w:val="008225A4"/>
    <w:rsid w:val="0082405F"/>
    <w:rsid w:val="00824B92"/>
    <w:rsid w:val="00826D5E"/>
    <w:rsid w:val="00832013"/>
    <w:rsid w:val="00832DB7"/>
    <w:rsid w:val="00834732"/>
    <w:rsid w:val="0085200C"/>
    <w:rsid w:val="00857C52"/>
    <w:rsid w:val="00860D5F"/>
    <w:rsid w:val="00860ECB"/>
    <w:rsid w:val="00880A44"/>
    <w:rsid w:val="0088345E"/>
    <w:rsid w:val="0088656F"/>
    <w:rsid w:val="00891EF6"/>
    <w:rsid w:val="008A0303"/>
    <w:rsid w:val="008A5FDD"/>
    <w:rsid w:val="008B17E4"/>
    <w:rsid w:val="008C2035"/>
    <w:rsid w:val="008C3947"/>
    <w:rsid w:val="008C467D"/>
    <w:rsid w:val="008E473B"/>
    <w:rsid w:val="008E51A6"/>
    <w:rsid w:val="008E7329"/>
    <w:rsid w:val="008F2ED5"/>
    <w:rsid w:val="008F57F8"/>
    <w:rsid w:val="0092297E"/>
    <w:rsid w:val="00923651"/>
    <w:rsid w:val="00927B56"/>
    <w:rsid w:val="009341BF"/>
    <w:rsid w:val="00937907"/>
    <w:rsid w:val="00941739"/>
    <w:rsid w:val="00951573"/>
    <w:rsid w:val="00963003"/>
    <w:rsid w:val="00966EEF"/>
    <w:rsid w:val="00971B28"/>
    <w:rsid w:val="009720BC"/>
    <w:rsid w:val="00983471"/>
    <w:rsid w:val="009860D1"/>
    <w:rsid w:val="009909AB"/>
    <w:rsid w:val="009B2A6D"/>
    <w:rsid w:val="009B2F9C"/>
    <w:rsid w:val="009B37DB"/>
    <w:rsid w:val="009C7A8C"/>
    <w:rsid w:val="009D23F9"/>
    <w:rsid w:val="009D4FA8"/>
    <w:rsid w:val="009E44AE"/>
    <w:rsid w:val="009E4A6E"/>
    <w:rsid w:val="009E6CD6"/>
    <w:rsid w:val="009F2E6E"/>
    <w:rsid w:val="009F4D66"/>
    <w:rsid w:val="00A00C3C"/>
    <w:rsid w:val="00A01091"/>
    <w:rsid w:val="00A02009"/>
    <w:rsid w:val="00A042B9"/>
    <w:rsid w:val="00A06DBB"/>
    <w:rsid w:val="00A22ADF"/>
    <w:rsid w:val="00A31E86"/>
    <w:rsid w:val="00A4457A"/>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C26FC"/>
    <w:rsid w:val="00AC4A99"/>
    <w:rsid w:val="00AC64D2"/>
    <w:rsid w:val="00AD02E7"/>
    <w:rsid w:val="00AD76D4"/>
    <w:rsid w:val="00AE0FE8"/>
    <w:rsid w:val="00AE72AC"/>
    <w:rsid w:val="00AF60D5"/>
    <w:rsid w:val="00B00959"/>
    <w:rsid w:val="00B04415"/>
    <w:rsid w:val="00B06509"/>
    <w:rsid w:val="00B11D60"/>
    <w:rsid w:val="00B12DF6"/>
    <w:rsid w:val="00B13D65"/>
    <w:rsid w:val="00B14079"/>
    <w:rsid w:val="00B21805"/>
    <w:rsid w:val="00B3072E"/>
    <w:rsid w:val="00B36E15"/>
    <w:rsid w:val="00B37245"/>
    <w:rsid w:val="00B4017A"/>
    <w:rsid w:val="00B40EE7"/>
    <w:rsid w:val="00B4468D"/>
    <w:rsid w:val="00B71C72"/>
    <w:rsid w:val="00B81E92"/>
    <w:rsid w:val="00B908D7"/>
    <w:rsid w:val="00B935E8"/>
    <w:rsid w:val="00B93B30"/>
    <w:rsid w:val="00B94CB5"/>
    <w:rsid w:val="00BA0DD9"/>
    <w:rsid w:val="00BA5DBC"/>
    <w:rsid w:val="00BA6584"/>
    <w:rsid w:val="00BB6312"/>
    <w:rsid w:val="00BC4D06"/>
    <w:rsid w:val="00BD26AA"/>
    <w:rsid w:val="00BD585E"/>
    <w:rsid w:val="00BD6919"/>
    <w:rsid w:val="00BE1EA7"/>
    <w:rsid w:val="00BE7489"/>
    <w:rsid w:val="00BF2E0D"/>
    <w:rsid w:val="00BF3927"/>
    <w:rsid w:val="00BF3F8B"/>
    <w:rsid w:val="00BF76DA"/>
    <w:rsid w:val="00C07C7B"/>
    <w:rsid w:val="00C16245"/>
    <w:rsid w:val="00C21A99"/>
    <w:rsid w:val="00C21EB8"/>
    <w:rsid w:val="00C22DC5"/>
    <w:rsid w:val="00C24479"/>
    <w:rsid w:val="00C273F2"/>
    <w:rsid w:val="00C37B53"/>
    <w:rsid w:val="00C434EB"/>
    <w:rsid w:val="00C517D2"/>
    <w:rsid w:val="00C5772E"/>
    <w:rsid w:val="00C62B36"/>
    <w:rsid w:val="00C7012C"/>
    <w:rsid w:val="00C712EA"/>
    <w:rsid w:val="00CA217D"/>
    <w:rsid w:val="00CA342D"/>
    <w:rsid w:val="00CC09D4"/>
    <w:rsid w:val="00CC668D"/>
    <w:rsid w:val="00CC7832"/>
    <w:rsid w:val="00CD488E"/>
    <w:rsid w:val="00CF0C1C"/>
    <w:rsid w:val="00CF27FD"/>
    <w:rsid w:val="00CF5F12"/>
    <w:rsid w:val="00D00D8F"/>
    <w:rsid w:val="00D20CA7"/>
    <w:rsid w:val="00D21F3A"/>
    <w:rsid w:val="00D23808"/>
    <w:rsid w:val="00D3016A"/>
    <w:rsid w:val="00D417D2"/>
    <w:rsid w:val="00D42960"/>
    <w:rsid w:val="00D43BD7"/>
    <w:rsid w:val="00D4485B"/>
    <w:rsid w:val="00D46CCD"/>
    <w:rsid w:val="00D4708D"/>
    <w:rsid w:val="00D4744C"/>
    <w:rsid w:val="00D51730"/>
    <w:rsid w:val="00D521DE"/>
    <w:rsid w:val="00D5470B"/>
    <w:rsid w:val="00D63068"/>
    <w:rsid w:val="00D6498C"/>
    <w:rsid w:val="00D65B95"/>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DF5AF3"/>
    <w:rsid w:val="00E0258C"/>
    <w:rsid w:val="00E03C3F"/>
    <w:rsid w:val="00E06FD7"/>
    <w:rsid w:val="00E07417"/>
    <w:rsid w:val="00E24D45"/>
    <w:rsid w:val="00E27419"/>
    <w:rsid w:val="00E33A63"/>
    <w:rsid w:val="00E33DB8"/>
    <w:rsid w:val="00E33EFF"/>
    <w:rsid w:val="00E34387"/>
    <w:rsid w:val="00E348BA"/>
    <w:rsid w:val="00E369FE"/>
    <w:rsid w:val="00E37C6F"/>
    <w:rsid w:val="00E475F8"/>
    <w:rsid w:val="00E5102E"/>
    <w:rsid w:val="00E514BF"/>
    <w:rsid w:val="00E5721C"/>
    <w:rsid w:val="00E619C6"/>
    <w:rsid w:val="00E745A1"/>
    <w:rsid w:val="00E80840"/>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7BF4"/>
    <w:rsid w:val="00F21C28"/>
    <w:rsid w:val="00F259FC"/>
    <w:rsid w:val="00F36972"/>
    <w:rsid w:val="00F42426"/>
    <w:rsid w:val="00F456BC"/>
    <w:rsid w:val="00F50666"/>
    <w:rsid w:val="00F70731"/>
    <w:rsid w:val="00F70C9E"/>
    <w:rsid w:val="00F74A74"/>
    <w:rsid w:val="00F7572C"/>
    <w:rsid w:val="00F802A6"/>
    <w:rsid w:val="00F8382C"/>
    <w:rsid w:val="00F855D7"/>
    <w:rsid w:val="00F92035"/>
    <w:rsid w:val="00F92748"/>
    <w:rsid w:val="00FA4169"/>
    <w:rsid w:val="00FB0D41"/>
    <w:rsid w:val="00FB2030"/>
    <w:rsid w:val="00FC6889"/>
    <w:rsid w:val="00FD0E46"/>
    <w:rsid w:val="00FD1CF2"/>
    <w:rsid w:val="00FD3EDF"/>
    <w:rsid w:val="00FD793C"/>
    <w:rsid w:val="00FE0FD5"/>
    <w:rsid w:val="00FE20E6"/>
    <w:rsid w:val="00FE3E3B"/>
    <w:rsid w:val="00FF10C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 List,Bullet1,Use Case List Paragraph,List Paragraph1,Body Bullet,Table Number Paragraph,Colorful List - Accent 11,List Paragraph 1,Ref,B1,Figure_name,bu1,bu1 + Before:  0 pt,After:  6 pt,Bullet for no #'s,Paragraph,lp1,Bullet 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 List Char,Bullet1 Char,Use Case List Paragraph Char,List Paragraph1 Char,Body Bullet Char,Table Number Paragraph Char,Colorful List - Accent 11 Char,List Paragraph 1 Char,Ref Char,B1 Char,Figure_name Char,bu1 Char,lp1 Char"/>
    <w:basedOn w:val="DefaultParagraphFont"/>
    <w:link w:val="ListParagraph"/>
    <w:uiPriority w:val="34"/>
    <w:rsid w:val="009B2F9C"/>
    <w:rPr>
      <w:sz w:val="24"/>
      <w:szCs w:val="24"/>
      <w:lang w:eastAsia="en-US"/>
    </w:rPr>
  </w:style>
  <w:style w:type="paragraph" w:customStyle="1" w:styleId="Style1">
    <w:name w:val="Style1"/>
    <w:basedOn w:val="Normal"/>
    <w:qFormat/>
    <w:rsid w:val="009B2F9C"/>
    <w:pPr>
      <w:ind w:firstLine="720"/>
    </w:pPr>
    <w:rPr>
      <w:color w:val="000000"/>
    </w:rPr>
  </w:style>
  <w:style w:type="paragraph" w:customStyle="1" w:styleId="0TEXT">
    <w:name w:val="0: TEXT"/>
    <w:basedOn w:val="Normal"/>
    <w:link w:val="0TEXTChar"/>
    <w:qFormat/>
    <w:rsid w:val="008C2035"/>
    <w:pPr>
      <w:spacing w:before="240"/>
      <w:ind w:firstLine="567"/>
      <w:jc w:val="both"/>
    </w:pPr>
    <w:rPr>
      <w:rFonts w:eastAsiaTheme="minorHAnsi"/>
      <w:bCs/>
      <w:color w:val="000000"/>
      <w:lang w:val="en-GB"/>
    </w:rPr>
  </w:style>
  <w:style w:type="character" w:customStyle="1" w:styleId="0TEXTChar">
    <w:name w:val="0: TEXT Char"/>
    <w:basedOn w:val="DefaultParagraphFont"/>
    <w:link w:val="0TEXT"/>
    <w:rsid w:val="008C2035"/>
    <w:rPr>
      <w:rFonts w:eastAsiaTheme="minorHAnsi"/>
      <w:bCs/>
      <w:color w:val="000000"/>
      <w:sz w:val="24"/>
      <w:szCs w:val="24"/>
      <w:lang w:val="en-GB" w:eastAsia="en-US"/>
    </w:rPr>
  </w:style>
  <w:style w:type="table" w:customStyle="1" w:styleId="Summarybox1">
    <w:name w:val="Summary box1"/>
    <w:basedOn w:val="TableNormal"/>
    <w:next w:val="TableGrid"/>
    <w:rsid w:val="008C2035"/>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5043">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6818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178B73036F0B4B4CA34E6F569524E5FA"/>
        <w:category>
          <w:name w:val="General"/>
          <w:gallery w:val="placeholder"/>
        </w:category>
        <w:types>
          <w:type w:val="bbPlcHdr"/>
        </w:types>
        <w:behaviors>
          <w:behavior w:val="content"/>
        </w:behaviors>
        <w:guid w:val="{E46B5650-8E93-4166-834C-360D0BFC06A8}"/>
      </w:docPartPr>
      <w:docPartBody>
        <w:p w:rsidR="00EF2363" w:rsidRDefault="007C0D4F" w:rsidP="007C0D4F">
          <w:pPr>
            <w:pStyle w:val="178B73036F0B4B4CA34E6F569524E5FA"/>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10F6"/>
    <w:rsid w:val="00061157"/>
    <w:rsid w:val="000937FE"/>
    <w:rsid w:val="000A559A"/>
    <w:rsid w:val="000D24D4"/>
    <w:rsid w:val="00124E31"/>
    <w:rsid w:val="00142F50"/>
    <w:rsid w:val="00165F12"/>
    <w:rsid w:val="001C35A9"/>
    <w:rsid w:val="00237556"/>
    <w:rsid w:val="002B6D97"/>
    <w:rsid w:val="00357421"/>
    <w:rsid w:val="0039303B"/>
    <w:rsid w:val="003C6165"/>
    <w:rsid w:val="004144A3"/>
    <w:rsid w:val="004160E7"/>
    <w:rsid w:val="004416C6"/>
    <w:rsid w:val="00456E96"/>
    <w:rsid w:val="004B0476"/>
    <w:rsid w:val="004F5AB2"/>
    <w:rsid w:val="005074B9"/>
    <w:rsid w:val="00595774"/>
    <w:rsid w:val="005C62E5"/>
    <w:rsid w:val="005E40DD"/>
    <w:rsid w:val="007219C1"/>
    <w:rsid w:val="00734BD2"/>
    <w:rsid w:val="00736E2F"/>
    <w:rsid w:val="00753462"/>
    <w:rsid w:val="00772325"/>
    <w:rsid w:val="0078090C"/>
    <w:rsid w:val="007A2FE0"/>
    <w:rsid w:val="007B6244"/>
    <w:rsid w:val="007C0D4F"/>
    <w:rsid w:val="007C1D92"/>
    <w:rsid w:val="007C6D1D"/>
    <w:rsid w:val="00805BE5"/>
    <w:rsid w:val="008152E7"/>
    <w:rsid w:val="008B17E4"/>
    <w:rsid w:val="0090074D"/>
    <w:rsid w:val="009860D1"/>
    <w:rsid w:val="009B3BF0"/>
    <w:rsid w:val="009D5E5E"/>
    <w:rsid w:val="009F1BB4"/>
    <w:rsid w:val="00A9652A"/>
    <w:rsid w:val="00AB6ED4"/>
    <w:rsid w:val="00B14210"/>
    <w:rsid w:val="00B22ED6"/>
    <w:rsid w:val="00B23DC0"/>
    <w:rsid w:val="00B96656"/>
    <w:rsid w:val="00BA1166"/>
    <w:rsid w:val="00BF3F4F"/>
    <w:rsid w:val="00C2401D"/>
    <w:rsid w:val="00C250D7"/>
    <w:rsid w:val="00C53A68"/>
    <w:rsid w:val="00CA5BB4"/>
    <w:rsid w:val="00CB4BD1"/>
    <w:rsid w:val="00CD139C"/>
    <w:rsid w:val="00CE2DA9"/>
    <w:rsid w:val="00CE44BE"/>
    <w:rsid w:val="00D0142D"/>
    <w:rsid w:val="00D26CB9"/>
    <w:rsid w:val="00D4356B"/>
    <w:rsid w:val="00D67EDE"/>
    <w:rsid w:val="00D7162F"/>
    <w:rsid w:val="00DB4DB5"/>
    <w:rsid w:val="00DE4D10"/>
    <w:rsid w:val="00E44A86"/>
    <w:rsid w:val="00E522EB"/>
    <w:rsid w:val="00E60827"/>
    <w:rsid w:val="00E80840"/>
    <w:rsid w:val="00EF2363"/>
    <w:rsid w:val="00EF6E0C"/>
    <w:rsid w:val="00F17BF4"/>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0D4F"/>
    <w:rPr>
      <w:color w:val="808080"/>
    </w:rPr>
  </w:style>
  <w:style w:type="paragraph" w:customStyle="1" w:styleId="CDB60824EC144AB3B75C05A5823BEE2D">
    <w:name w:val="CDB60824EC144AB3B75C05A5823BEE2D"/>
    <w:rsid w:val="005E40DD"/>
  </w:style>
  <w:style w:type="paragraph" w:customStyle="1" w:styleId="178B73036F0B4B4CA34E6F569524E5FA">
    <w:name w:val="178B73036F0B4B4CA34E6F569524E5FA"/>
    <w:rsid w:val="007C0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6991-0200-4026-89CC-0BFA8507B795}">
  <ds:schemaRefs>
    <ds:schemaRef ds:uri="http://schemas.openxmlformats.org/officeDocument/2006/bibliography"/>
  </ds:schemaRefs>
</ds:datastoreItem>
</file>

<file path=docMetadata/LabelInfo.xml><?xml version="1.0" encoding="utf-8"?>
<clbl:labelList xmlns:clbl="http://schemas.microsoft.com/office/2020/mipLabelMetadata">
  <clbl:label id="{397cd41d-f0df-44e5-aea8-cb12e7ea80cd}" enabled="0" method="" siteId="{397cd41d-f0df-44e5-aea8-cb12e7ea80cd}"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2857</Words>
  <Characters>20941</Characters>
  <Application>Microsoft Office Word</Application>
  <DocSecurity>0</DocSecurity>
  <Lines>174</Lines>
  <Paragraphs>47</Paragraphs>
  <ScaleCrop>false</ScaleCrop>
  <Company/>
  <LinksUpToDate>false</LinksUpToDate>
  <CharactersWithSpaces>23751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2025-04-03T07:44:00Z</dcterms:created>
  <dcterms:modified xsi:type="dcterms:W3CDTF">2025-04-03T12:52:00Z</dcterms:modified>
</cp:coreProperties>
</file>