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0203E1" w:rsidRDefault="005F7602" w:rsidP="002946C7">
      <w:pPr>
        <w:ind w:left="5529"/>
      </w:pPr>
    </w:p>
    <w:p w14:paraId="12FA4B9E" w14:textId="77777777" w:rsidR="001B3C5B" w:rsidRPr="000203E1" w:rsidRDefault="001B3C5B" w:rsidP="001B3C5B">
      <w:pPr>
        <w:ind w:left="6096"/>
      </w:pPr>
      <w:r w:rsidRPr="000203E1">
        <w:t>Forma patvirtinta</w:t>
      </w:r>
    </w:p>
    <w:p w14:paraId="7206970B" w14:textId="70E9BD2E" w:rsidR="004C263A" w:rsidRPr="000203E1" w:rsidRDefault="001B3C5B" w:rsidP="001B3C5B">
      <w:pPr>
        <w:ind w:left="6096"/>
      </w:pPr>
      <w:r w:rsidRPr="000203E1">
        <w:t>Valstybinės vaistų kontrolės tarnybos prie Lietuvos Respublikos sveikatos apsaugos ministerijos viršininko 2021 m</w:t>
      </w:r>
      <w:r w:rsidR="004C263A" w:rsidRPr="000203E1">
        <w:t xml:space="preserve">. lapkričio 12 </w:t>
      </w:r>
      <w:r w:rsidRPr="000203E1">
        <w:t>d. įsakymu Nr.</w:t>
      </w:r>
      <w:r w:rsidR="004C263A" w:rsidRPr="000203E1">
        <w:t xml:space="preserve"> (1.72E)1A-1418</w:t>
      </w:r>
    </w:p>
    <w:p w14:paraId="5B219AA6" w14:textId="520B9136" w:rsidR="001B3C5B" w:rsidRPr="000203E1" w:rsidRDefault="004C263A" w:rsidP="001B3C5B">
      <w:pPr>
        <w:ind w:left="6096"/>
      </w:pPr>
      <w:r w:rsidRPr="000203E1">
        <w:t>(Valstybinės vaistų kontrolės tarnybos prie Lietuvos Respublikos sveikatos apsaugos ministerijos viršininko 2022 m.                         d. įsakymo Nr.                    redakcija)</w:t>
      </w:r>
    </w:p>
    <w:p w14:paraId="3336BD74" w14:textId="77777777" w:rsidR="001B3C5B" w:rsidRPr="000203E1" w:rsidRDefault="001B3C5B" w:rsidP="00FA4169"/>
    <w:p w14:paraId="77AFB67E" w14:textId="16397257" w:rsidR="00613501" w:rsidRPr="000203E1" w:rsidRDefault="002F0E4F" w:rsidP="003B211A">
      <w:pPr>
        <w:jc w:val="center"/>
        <w:rPr>
          <w:b/>
          <w:bCs/>
          <w:caps/>
        </w:rPr>
      </w:pPr>
      <w:r w:rsidRPr="000203E1">
        <w:rPr>
          <w:b/>
        </w:rPr>
        <w:t xml:space="preserve">REKOMENDACIJA DĖL VAISTINIO PREPARATO </w:t>
      </w:r>
      <w:r w:rsidRPr="000203E1">
        <w:rPr>
          <w:b/>
          <w:bCs/>
          <w:caps/>
        </w:rPr>
        <w:t>Lietuvos Respublikos Sveikatos apsaugos ministerijos vaistinių preparatų ir medicinos pagalbos priemonių kompensavimo komisijai</w:t>
      </w:r>
    </w:p>
    <w:p w14:paraId="34E4395D" w14:textId="15FB10DF" w:rsidR="00B13D65" w:rsidRPr="000203E1" w:rsidRDefault="00B13D65" w:rsidP="003B211A">
      <w:pPr>
        <w:jc w:val="center"/>
        <w:rPr>
          <w:b/>
        </w:rPr>
      </w:pPr>
    </w:p>
    <w:p w14:paraId="1E1043AF" w14:textId="77777777" w:rsidR="008C2035" w:rsidRPr="00FF14F9" w:rsidRDefault="008C2035" w:rsidP="008C2035">
      <w:pPr>
        <w:spacing w:line="276" w:lineRule="auto"/>
        <w:ind w:firstLine="806"/>
        <w:jc w:val="center"/>
        <w:rPr>
          <w:b/>
          <w:bCs/>
        </w:rPr>
      </w:pPr>
      <w:r w:rsidRPr="00FF14F9">
        <w:rPr>
          <w:b/>
          <w:bCs/>
        </w:rPr>
        <w:t>LIBTAYO 350 mg koncentratas infuziniam tirpalui 7 ml N1</w:t>
      </w:r>
    </w:p>
    <w:p w14:paraId="710153DB" w14:textId="77777777" w:rsidR="008C2035" w:rsidRPr="00FF14F9" w:rsidRDefault="008C2035" w:rsidP="008C2035">
      <w:pPr>
        <w:spacing w:line="276" w:lineRule="auto"/>
        <w:jc w:val="center"/>
      </w:pPr>
    </w:p>
    <w:p w14:paraId="5AFAFD1B" w14:textId="77777777" w:rsidR="008C2035" w:rsidRPr="00FF14F9" w:rsidRDefault="008C2035" w:rsidP="008C2035">
      <w:pPr>
        <w:spacing w:line="276" w:lineRule="auto"/>
        <w:jc w:val="center"/>
        <w:rPr>
          <w:b/>
          <w:bCs/>
        </w:rPr>
      </w:pPr>
      <w:r w:rsidRPr="00FF14F9">
        <w:rPr>
          <w:b/>
          <w:bCs/>
        </w:rPr>
        <w:t>Cemiplimabas</w:t>
      </w:r>
    </w:p>
    <w:p w14:paraId="69CCDB15" w14:textId="77777777" w:rsidR="008C2035" w:rsidRPr="00FF14F9" w:rsidRDefault="008C2035" w:rsidP="008C2035">
      <w:pPr>
        <w:spacing w:line="276" w:lineRule="auto"/>
        <w:jc w:val="center"/>
      </w:pPr>
    </w:p>
    <w:p w14:paraId="72FDB281" w14:textId="6F6937E0" w:rsidR="008C2035" w:rsidRPr="00FF14F9" w:rsidRDefault="008C2035" w:rsidP="008C2035">
      <w:pPr>
        <w:spacing w:line="276" w:lineRule="auto"/>
        <w:jc w:val="center"/>
        <w:rPr>
          <w:b/>
        </w:rPr>
      </w:pPr>
      <w:r w:rsidRPr="00FF14F9">
        <w:rPr>
          <w:b/>
        </w:rPr>
        <w:t>STV - 19</w:t>
      </w:r>
      <w:r w:rsidR="001D7E38">
        <w:rPr>
          <w:b/>
        </w:rPr>
        <w:t>4</w:t>
      </w:r>
    </w:p>
    <w:p w14:paraId="453197C8" w14:textId="77777777" w:rsidR="00D4708D" w:rsidRPr="000203E1" w:rsidRDefault="00D4708D" w:rsidP="009B2F9C">
      <w:pPr>
        <w:rPr>
          <w:b/>
        </w:rPr>
      </w:pPr>
    </w:p>
    <w:p w14:paraId="78C89D1C" w14:textId="0DEFFAA5" w:rsidR="00D4485B" w:rsidRPr="000203E1" w:rsidRDefault="00B13D65" w:rsidP="00CC09D4">
      <w:pPr>
        <w:pStyle w:val="Sraopastraipa"/>
        <w:numPr>
          <w:ilvl w:val="0"/>
          <w:numId w:val="12"/>
        </w:numPr>
        <w:tabs>
          <w:tab w:val="left" w:pos="567"/>
        </w:tabs>
        <w:ind w:left="567" w:hanging="567"/>
        <w:rPr>
          <w:b/>
          <w:bCs/>
          <w:caps/>
        </w:rPr>
      </w:pPr>
      <w:r w:rsidRPr="000203E1">
        <w:rPr>
          <w:b/>
          <w:bCs/>
          <w:caps/>
        </w:rPr>
        <w:t>Bendroji dalis</w:t>
      </w:r>
    </w:p>
    <w:p w14:paraId="04A7C7A7" w14:textId="77777777" w:rsidR="00B13D65" w:rsidRPr="000203E1"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003FA3" w:rsidRPr="000203E1" w14:paraId="18A83EC2" w14:textId="77777777" w:rsidTr="00BE7489">
        <w:trPr>
          <w:trHeight w:val="538"/>
        </w:trPr>
        <w:tc>
          <w:tcPr>
            <w:tcW w:w="632" w:type="dxa"/>
          </w:tcPr>
          <w:p w14:paraId="0646FBEA" w14:textId="77777777" w:rsidR="00003FA3" w:rsidRPr="000203E1" w:rsidRDefault="00003FA3" w:rsidP="00003FA3">
            <w:pPr>
              <w:rPr>
                <w:rFonts w:eastAsia="Arial"/>
              </w:rPr>
            </w:pPr>
            <w:r w:rsidRPr="000203E1">
              <w:rPr>
                <w:rFonts w:eastAsia="Arial"/>
              </w:rPr>
              <w:t>1.1</w:t>
            </w:r>
          </w:p>
        </w:tc>
        <w:tc>
          <w:tcPr>
            <w:tcW w:w="3694" w:type="dxa"/>
          </w:tcPr>
          <w:p w14:paraId="6C3AE864" w14:textId="77777777" w:rsidR="00003FA3" w:rsidRPr="000203E1" w:rsidRDefault="00003FA3" w:rsidP="00003FA3">
            <w:pPr>
              <w:rPr>
                <w:rFonts w:eastAsia="Arial"/>
              </w:rPr>
            </w:pPr>
            <w:r w:rsidRPr="000203E1">
              <w:rPr>
                <w:rFonts w:eastAsia="Arial"/>
              </w:rPr>
              <w:t>Pareiškėjas</w:t>
            </w:r>
          </w:p>
          <w:p w14:paraId="2AF240DC" w14:textId="77777777" w:rsidR="00003FA3" w:rsidRPr="000203E1" w:rsidRDefault="00003FA3" w:rsidP="00003FA3">
            <w:pPr>
              <w:rPr>
                <w:rFonts w:eastAsia="Arial"/>
              </w:rPr>
            </w:pPr>
          </w:p>
        </w:tc>
        <w:tc>
          <w:tcPr>
            <w:tcW w:w="5167" w:type="dxa"/>
          </w:tcPr>
          <w:p w14:paraId="2AAF0D91" w14:textId="79952CC0" w:rsidR="00003FA3" w:rsidRPr="000203E1" w:rsidRDefault="00003FA3" w:rsidP="00003FA3">
            <w:pPr>
              <w:rPr>
                <w:rFonts w:eastAsia="Arial"/>
              </w:rPr>
            </w:pPr>
            <w:r w:rsidRPr="00BB5671">
              <w:rPr>
                <w:szCs w:val="28"/>
                <w:lang w:eastAsia="lt-LT"/>
              </w:rPr>
              <w:t>Medison Pharma Lithuania</w:t>
            </w:r>
          </w:p>
        </w:tc>
      </w:tr>
      <w:tr w:rsidR="00003FA3" w:rsidRPr="000203E1" w14:paraId="31998B0D" w14:textId="77777777" w:rsidTr="00BE7489">
        <w:trPr>
          <w:trHeight w:val="538"/>
        </w:trPr>
        <w:tc>
          <w:tcPr>
            <w:tcW w:w="632" w:type="dxa"/>
          </w:tcPr>
          <w:p w14:paraId="2005EC67" w14:textId="662300D0" w:rsidR="00003FA3" w:rsidRPr="000203E1" w:rsidRDefault="00003FA3" w:rsidP="00003FA3">
            <w:pPr>
              <w:rPr>
                <w:rFonts w:eastAsia="Arial"/>
              </w:rPr>
            </w:pPr>
            <w:r w:rsidRPr="000203E1">
              <w:rPr>
                <w:rFonts w:eastAsia="Arial"/>
              </w:rPr>
              <w:t>1.2</w:t>
            </w:r>
          </w:p>
        </w:tc>
        <w:tc>
          <w:tcPr>
            <w:tcW w:w="3694" w:type="dxa"/>
          </w:tcPr>
          <w:p w14:paraId="1E4AE3B1" w14:textId="77777777" w:rsidR="00003FA3" w:rsidRPr="000203E1" w:rsidRDefault="00003FA3" w:rsidP="00003FA3">
            <w:pPr>
              <w:rPr>
                <w:bCs/>
                <w:lang w:eastAsia="lt-LT"/>
              </w:rPr>
            </w:pPr>
            <w:r w:rsidRPr="000203E1">
              <w:rPr>
                <w:bCs/>
                <w:lang w:eastAsia="lt-LT"/>
              </w:rPr>
              <w:t xml:space="preserve">Registracijos data </w:t>
            </w:r>
          </w:p>
          <w:p w14:paraId="3A0DC096" w14:textId="77777777" w:rsidR="00003FA3" w:rsidRPr="000203E1" w:rsidRDefault="00003FA3" w:rsidP="00003FA3">
            <w:pPr>
              <w:rPr>
                <w:bCs/>
                <w:lang w:eastAsia="lt-LT"/>
              </w:rPr>
            </w:pPr>
          </w:p>
        </w:tc>
        <w:tc>
          <w:tcPr>
            <w:tcW w:w="5167" w:type="dxa"/>
          </w:tcPr>
          <w:p w14:paraId="3CA218AD" w14:textId="1790C6E4" w:rsidR="00003FA3" w:rsidRPr="000203E1" w:rsidRDefault="00000000" w:rsidP="00003FA3">
            <w:pPr>
              <w:rPr>
                <w:rStyle w:val="Style2"/>
              </w:rPr>
            </w:pPr>
            <w:sdt>
              <w:sdtPr>
                <w:rPr>
                  <w:sz w:val="32"/>
                </w:rPr>
                <w:alias w:val="Nurodykite konkrečią dieną"/>
                <w:tag w:val="Nurodykite pradžios datą"/>
                <w:id w:val="423238108"/>
                <w:placeholder>
                  <w:docPart w:val="151896C5A8F34F6AB9076F4407CCF7B4"/>
                </w:placeholder>
                <w15:color w:val="FFCC99"/>
                <w:date w:fullDate="2019-06-28T00:00:00Z">
                  <w:dateFormat w:val="yyyy 'm.' MMMM d 'd.'"/>
                  <w:lid w:val="lt-LT"/>
                  <w:storeMappedDataAs w:val="dateTime"/>
                  <w:calendar w:val="gregorian"/>
                </w:date>
              </w:sdtPr>
              <w:sdtEndPr>
                <w:rPr>
                  <w:sz w:val="24"/>
                </w:rPr>
              </w:sdtEndPr>
              <w:sdtContent>
                <w:r w:rsidR="00003FA3" w:rsidRPr="00BB5671">
                  <w:t>2019 m. birželio 28 d.</w:t>
                </w:r>
              </w:sdtContent>
            </w:sdt>
          </w:p>
        </w:tc>
      </w:tr>
      <w:tr w:rsidR="000203E1" w:rsidRPr="000203E1" w14:paraId="15968AE1" w14:textId="77777777" w:rsidTr="00BE7489">
        <w:trPr>
          <w:trHeight w:val="1500"/>
        </w:trPr>
        <w:tc>
          <w:tcPr>
            <w:tcW w:w="632" w:type="dxa"/>
          </w:tcPr>
          <w:p w14:paraId="6A784245" w14:textId="1E461489" w:rsidR="00B13D65" w:rsidRPr="000203E1" w:rsidRDefault="002E0702" w:rsidP="00824B92">
            <w:pPr>
              <w:rPr>
                <w:rFonts w:eastAsia="Arial"/>
              </w:rPr>
            </w:pPr>
            <w:r w:rsidRPr="000203E1">
              <w:rPr>
                <w:rFonts w:eastAsia="Arial"/>
              </w:rPr>
              <w:t>1.3</w:t>
            </w:r>
          </w:p>
        </w:tc>
        <w:tc>
          <w:tcPr>
            <w:tcW w:w="3694" w:type="dxa"/>
          </w:tcPr>
          <w:p w14:paraId="22933506" w14:textId="77777777" w:rsidR="00B13D65" w:rsidRPr="000203E1" w:rsidRDefault="00B13D65" w:rsidP="00824B92">
            <w:r w:rsidRPr="000203E1">
              <w:t xml:space="preserve">Paraiškos tipas </w:t>
            </w:r>
          </w:p>
          <w:p w14:paraId="0465E680" w14:textId="7F0A0714" w:rsidR="00B13D65" w:rsidRPr="000203E1" w:rsidRDefault="00B13D65" w:rsidP="00824B92">
            <w:r w:rsidRPr="000203E1">
              <w:t>(</w:t>
            </w:r>
            <w:r w:rsidR="00695CD3" w:rsidRPr="000203E1">
              <w:t xml:space="preserve">pagal </w:t>
            </w:r>
            <w:r w:rsidR="0039696E" w:rsidRPr="000203E1">
              <w:rPr>
                <w:shd w:val="clear" w:color="auto" w:fill="FFFFFF"/>
              </w:rPr>
              <w:t>vaistinio preparato registracijos tipą, įtvirtintą</w:t>
            </w:r>
            <w:r w:rsidR="0039696E" w:rsidRPr="000203E1">
              <w:t xml:space="preserve"> </w:t>
            </w:r>
            <w:r w:rsidRPr="000203E1">
              <w:t>Direktyv</w:t>
            </w:r>
            <w:r w:rsidR="00695CD3" w:rsidRPr="000203E1">
              <w:t>os</w:t>
            </w:r>
            <w:r w:rsidRPr="000203E1">
              <w:t xml:space="preserve"> 2001/83/EB</w:t>
            </w:r>
            <w:r w:rsidR="00695CD3" w:rsidRPr="000203E1">
              <w:t xml:space="preserve"> straips</w:t>
            </w:r>
            <w:r w:rsidR="0039696E" w:rsidRPr="000203E1">
              <w:t>iuose</w:t>
            </w:r>
            <w:r w:rsidRPr="000203E1">
              <w:t>)</w:t>
            </w:r>
          </w:p>
          <w:p w14:paraId="77089D80" w14:textId="6681D72A" w:rsidR="00B13D65" w:rsidRPr="000203E1" w:rsidRDefault="00B13D65" w:rsidP="00824B92">
            <w:pPr>
              <w:rPr>
                <w:bCs/>
                <w:lang w:eastAsia="lt-LT"/>
              </w:rPr>
            </w:pPr>
          </w:p>
        </w:tc>
        <w:tc>
          <w:tcPr>
            <w:tcW w:w="5167" w:type="dxa"/>
          </w:tcPr>
          <w:p w14:paraId="208F40EC" w14:textId="72AD270C" w:rsidR="00B13D65" w:rsidRPr="009B2F9C" w:rsidRDefault="00000000" w:rsidP="00824B92">
            <w:sdt>
              <w:sdtPr>
                <w:rPr>
                  <w:rStyle w:val="Style2"/>
                  <w:sz w:val="24"/>
                </w:rPr>
                <w:id w:val="526292078"/>
                <w15:color w:val="FFCC00"/>
                <w14:checkbox>
                  <w14:checked w14:val="1"/>
                  <w14:checkedState w14:val="2612" w14:font="MS Gothic"/>
                  <w14:uncheckedState w14:val="2610" w14:font="MS Gothic"/>
                </w14:checkbox>
              </w:sdtPr>
              <w:sdtContent>
                <w:r w:rsidR="009B2F9C" w:rsidRPr="009B2F9C">
                  <w:rPr>
                    <w:rStyle w:val="Style2"/>
                    <w:rFonts w:ascii="Segoe UI Symbol" w:eastAsia="MS Gothic" w:hAnsi="Segoe UI Symbol" w:cs="Segoe UI Symbol"/>
                    <w:sz w:val="24"/>
                  </w:rPr>
                  <w:t>☒</w:t>
                </w:r>
              </w:sdtContent>
            </w:sdt>
            <w:r w:rsidR="00B13D65" w:rsidRPr="009B2F9C">
              <w:t xml:space="preserve">8.3 str. (pilna byla, pagrįsta savais tyrimais) </w:t>
            </w:r>
          </w:p>
          <w:p w14:paraId="32BA564E" w14:textId="3FDA3E01" w:rsidR="00B13D65" w:rsidRPr="009B2F9C" w:rsidRDefault="00000000" w:rsidP="00824B92">
            <w:sdt>
              <w:sdtPr>
                <w:rPr>
                  <w:rStyle w:val="Style2"/>
                  <w:sz w:val="24"/>
                </w:rPr>
                <w:id w:val="-1497953736"/>
                <w15:color w:val="FFCC00"/>
                <w14:checkbox>
                  <w14:checked w14:val="0"/>
                  <w14:checkedState w14:val="2612" w14:font="MS Gothic"/>
                  <w14:uncheckedState w14:val="2610" w14:font="MS Gothic"/>
                </w14:checkbox>
              </w:sdtPr>
              <w:sdtContent>
                <w:r w:rsidR="00CC7832" w:rsidRPr="009B2F9C">
                  <w:rPr>
                    <w:rStyle w:val="Style2"/>
                    <w:rFonts w:ascii="Segoe UI Symbol" w:eastAsia="MS Gothic" w:hAnsi="Segoe UI Symbol" w:cs="Segoe UI Symbol"/>
                    <w:sz w:val="24"/>
                  </w:rPr>
                  <w:t>☐</w:t>
                </w:r>
              </w:sdtContent>
            </w:sdt>
            <w:r w:rsidR="00B13D65" w:rsidRPr="009B2F9C">
              <w:t xml:space="preserve">10 a str. (pripažintas medicininis vartojimas) </w:t>
            </w:r>
          </w:p>
          <w:p w14:paraId="318DCD7F" w14:textId="32333E53" w:rsidR="00B13D65" w:rsidRPr="009B2F9C" w:rsidRDefault="00000000" w:rsidP="00824B92">
            <w:sdt>
              <w:sdtPr>
                <w:rPr>
                  <w:rStyle w:val="Style2"/>
                  <w:sz w:val="24"/>
                </w:rPr>
                <w:id w:val="204142496"/>
                <w15:color w:val="FFCC00"/>
                <w14:checkbox>
                  <w14:checked w14:val="0"/>
                  <w14:checkedState w14:val="2612" w14:font="MS Gothic"/>
                  <w14:uncheckedState w14:val="2610" w14:font="MS Gothic"/>
                </w14:checkbox>
              </w:sdtPr>
              <w:sdtContent>
                <w:r w:rsidR="00CC7832" w:rsidRPr="009B2F9C">
                  <w:rPr>
                    <w:rStyle w:val="Style2"/>
                    <w:rFonts w:ascii="Segoe UI Symbol" w:eastAsia="MS Gothic" w:hAnsi="Segoe UI Symbol" w:cs="Segoe UI Symbol"/>
                    <w:sz w:val="24"/>
                  </w:rPr>
                  <w:t>☐</w:t>
                </w:r>
              </w:sdtContent>
            </w:sdt>
            <w:r w:rsidR="00B13D65" w:rsidRPr="009B2F9C">
              <w:t>10.1 str. (generinis)</w:t>
            </w:r>
          </w:p>
          <w:p w14:paraId="3B0A4F72" w14:textId="3F5FB073" w:rsidR="00B13D65" w:rsidRPr="000203E1" w:rsidRDefault="00000000" w:rsidP="00824B92">
            <w:pPr>
              <w:rPr>
                <w:rStyle w:val="Style2"/>
                <w:sz w:val="24"/>
              </w:rPr>
            </w:pPr>
            <w:sdt>
              <w:sdtPr>
                <w:rPr>
                  <w:rStyle w:val="Style2"/>
                  <w:sz w:val="24"/>
                </w:rPr>
                <w:id w:val="820305101"/>
                <w15:color w:val="FFCC00"/>
                <w14:checkbox>
                  <w14:checked w14:val="0"/>
                  <w14:checkedState w14:val="2612" w14:font="MS Gothic"/>
                  <w14:uncheckedState w14:val="2610" w14:font="MS Gothic"/>
                </w14:checkbox>
              </w:sdtPr>
              <w:sdtContent>
                <w:r w:rsidR="00CC7832" w:rsidRPr="009B2F9C">
                  <w:rPr>
                    <w:rStyle w:val="Style2"/>
                    <w:rFonts w:ascii="Segoe UI Symbol" w:eastAsia="MS Gothic" w:hAnsi="Segoe UI Symbol" w:cs="Segoe UI Symbol"/>
                    <w:sz w:val="24"/>
                  </w:rPr>
                  <w:t>☐</w:t>
                </w:r>
              </w:sdtContent>
            </w:sdt>
            <w:r w:rsidR="00B13D65" w:rsidRPr="009B2F9C">
              <w:t>10.3 str. (hibridinis)</w:t>
            </w:r>
          </w:p>
        </w:tc>
      </w:tr>
      <w:tr w:rsidR="000203E1" w:rsidRPr="000203E1" w14:paraId="310E9662" w14:textId="77777777" w:rsidTr="00BE7489">
        <w:trPr>
          <w:trHeight w:val="1442"/>
        </w:trPr>
        <w:tc>
          <w:tcPr>
            <w:tcW w:w="632" w:type="dxa"/>
          </w:tcPr>
          <w:p w14:paraId="4B5A91A2" w14:textId="561B5E5F" w:rsidR="00B13D65" w:rsidRPr="000203E1" w:rsidRDefault="00B13D65" w:rsidP="00824B92">
            <w:pPr>
              <w:rPr>
                <w:rFonts w:eastAsia="Arial"/>
              </w:rPr>
            </w:pPr>
            <w:r w:rsidRPr="000203E1">
              <w:rPr>
                <w:rFonts w:eastAsia="Arial"/>
              </w:rPr>
              <w:t>1.</w:t>
            </w:r>
            <w:r w:rsidR="002E0702" w:rsidRPr="000203E1">
              <w:rPr>
                <w:rFonts w:eastAsia="Arial"/>
              </w:rPr>
              <w:t>4</w:t>
            </w:r>
          </w:p>
        </w:tc>
        <w:tc>
          <w:tcPr>
            <w:tcW w:w="3694" w:type="dxa"/>
          </w:tcPr>
          <w:p w14:paraId="6C91E105" w14:textId="77777777" w:rsidR="00B13D65" w:rsidRPr="000203E1" w:rsidRDefault="00B13D65" w:rsidP="00824B92">
            <w:pPr>
              <w:rPr>
                <w:bCs/>
                <w:lang w:eastAsia="lt-LT"/>
              </w:rPr>
            </w:pPr>
            <w:r w:rsidRPr="000203E1">
              <w:rPr>
                <w:bCs/>
                <w:lang w:eastAsia="lt-LT"/>
              </w:rPr>
              <w:t xml:space="preserve">Ar vaistinis preparatas įrašytas į Bendrijos retųjų vaistinių preparatų registrą? </w:t>
            </w:r>
          </w:p>
          <w:p w14:paraId="33726F9C" w14:textId="77777777" w:rsidR="00B13D65" w:rsidRPr="000203E1" w:rsidRDefault="00B13D65" w:rsidP="00824B92">
            <w:pPr>
              <w:rPr>
                <w:bCs/>
                <w:i/>
                <w:lang w:eastAsia="lt-LT"/>
              </w:rPr>
            </w:pPr>
          </w:p>
          <w:p w14:paraId="483071A3" w14:textId="6797D1A3" w:rsidR="00B13D65" w:rsidRPr="000203E1" w:rsidRDefault="00B13D65" w:rsidP="00824B92">
            <w:pPr>
              <w:rPr>
                <w:bCs/>
                <w:lang w:eastAsia="lt-LT"/>
              </w:rPr>
            </w:pPr>
          </w:p>
        </w:tc>
        <w:tc>
          <w:tcPr>
            <w:tcW w:w="5167" w:type="dxa"/>
          </w:tcPr>
          <w:p w14:paraId="05845C60" w14:textId="10CF4033" w:rsidR="00B13D65" w:rsidRPr="000203E1" w:rsidRDefault="00000000" w:rsidP="00824B92">
            <w:sdt>
              <w:sdtPr>
                <w:rPr>
                  <w:rStyle w:val="Style2"/>
                  <w:sz w:val="24"/>
                </w:rPr>
                <w:id w:val="2024432173"/>
                <w15:color w:val="FFCC00"/>
                <w14:checkbox>
                  <w14:checked w14:val="0"/>
                  <w14:checkedState w14:val="2612" w14:font="MS Gothic"/>
                  <w14:uncheckedState w14:val="2610" w14:font="MS Gothic"/>
                </w14:checkbox>
              </w:sdtPr>
              <w:sdtContent>
                <w:r w:rsidR="00D417D2" w:rsidRPr="000203E1">
                  <w:rPr>
                    <w:rStyle w:val="Style2"/>
                    <w:rFonts w:ascii="MS Gothic" w:eastAsia="MS Gothic" w:hAnsi="MS Gothic" w:hint="eastAsia"/>
                    <w:sz w:val="24"/>
                  </w:rPr>
                  <w:t>☐</w:t>
                </w:r>
              </w:sdtContent>
            </w:sdt>
            <w:r w:rsidR="00B13D65" w:rsidRPr="000203E1">
              <w:t xml:space="preserve"> Taip</w:t>
            </w:r>
          </w:p>
          <w:p w14:paraId="41D88067" w14:textId="289F3BDA" w:rsidR="00B13D65" w:rsidRPr="000203E1" w:rsidRDefault="00000000" w:rsidP="00824B92">
            <w:sdt>
              <w:sdtPr>
                <w:rPr>
                  <w:rStyle w:val="Style2"/>
                  <w:sz w:val="24"/>
                </w:rPr>
                <w:id w:val="-970507926"/>
                <w15:color w:val="FFCC00"/>
                <w14:checkbox>
                  <w14:checked w14:val="1"/>
                  <w14:checkedState w14:val="2612" w14:font="MS Gothic"/>
                  <w14:uncheckedState w14:val="2610" w14:font="MS Gothic"/>
                </w14:checkbox>
              </w:sdtPr>
              <w:sdtContent>
                <w:r w:rsidR="009B2F9C">
                  <w:rPr>
                    <w:rStyle w:val="Style2"/>
                    <w:rFonts w:ascii="MS Gothic" w:eastAsia="MS Gothic" w:hAnsi="MS Gothic" w:hint="eastAsia"/>
                    <w:sz w:val="24"/>
                  </w:rPr>
                  <w:t>☒</w:t>
                </w:r>
              </w:sdtContent>
            </w:sdt>
            <w:r w:rsidR="00B13D65" w:rsidRPr="000203E1">
              <w:t xml:space="preserve"> Ne</w:t>
            </w:r>
          </w:p>
          <w:p w14:paraId="29C2CBBB" w14:textId="4E391ED4" w:rsidR="00B13D65" w:rsidRPr="000203E1" w:rsidRDefault="00000000" w:rsidP="00DA50E2">
            <w:pPr>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Content>
                <w:r w:rsidR="00DA50E2">
                  <w:rPr>
                    <w:rStyle w:val="Vietosrezervavimoenklotekstas"/>
                  </w:rPr>
                  <w:t>Click here to enter a date.</w:t>
                </w:r>
              </w:sdtContent>
            </w:sdt>
          </w:p>
        </w:tc>
      </w:tr>
      <w:tr w:rsidR="000203E1" w:rsidRPr="000203E1" w14:paraId="7841E5F8" w14:textId="77777777" w:rsidTr="00BE7489">
        <w:trPr>
          <w:trHeight w:val="476"/>
        </w:trPr>
        <w:tc>
          <w:tcPr>
            <w:tcW w:w="632" w:type="dxa"/>
          </w:tcPr>
          <w:p w14:paraId="109D2861" w14:textId="73BF27DF" w:rsidR="00D417D2" w:rsidRPr="000203E1" w:rsidRDefault="00D417D2" w:rsidP="00824B92">
            <w:pPr>
              <w:rPr>
                <w:rFonts w:eastAsia="Arial"/>
              </w:rPr>
            </w:pPr>
            <w:r w:rsidRPr="000203E1">
              <w:rPr>
                <w:rFonts w:eastAsia="Arial"/>
              </w:rPr>
              <w:t>1.5</w:t>
            </w:r>
          </w:p>
        </w:tc>
        <w:tc>
          <w:tcPr>
            <w:tcW w:w="3694" w:type="dxa"/>
          </w:tcPr>
          <w:p w14:paraId="7822D63E" w14:textId="68C38334" w:rsidR="00D417D2" w:rsidRPr="000203E1" w:rsidRDefault="00D417D2" w:rsidP="00824B92">
            <w:pPr>
              <w:rPr>
                <w:bCs/>
                <w:lang w:eastAsia="lt-LT"/>
              </w:rPr>
            </w:pPr>
            <w:r w:rsidRPr="000203E1">
              <w:t>STV paraiškos pobūdis</w:t>
            </w:r>
          </w:p>
        </w:tc>
        <w:tc>
          <w:tcPr>
            <w:tcW w:w="5167" w:type="dxa"/>
          </w:tcPr>
          <w:p w14:paraId="403461B9" w14:textId="1E4CB095" w:rsidR="00D417D2" w:rsidRPr="000203E1"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8C2035">
                  <w:rPr>
                    <w:rStyle w:val="Style2"/>
                    <w:rFonts w:ascii="MS Gothic" w:eastAsia="MS Gothic" w:hAnsi="MS Gothic" w:hint="eastAsia"/>
                    <w:sz w:val="24"/>
                  </w:rPr>
                  <w:t>☒</w:t>
                </w:r>
              </w:sdtContent>
            </w:sdt>
            <w:r w:rsidR="00D417D2" w:rsidRPr="000203E1">
              <w:t xml:space="preserve"> Pilna paraiška</w:t>
            </w:r>
          </w:p>
          <w:p w14:paraId="6B8213E3" w14:textId="3495CDF4" w:rsidR="00D417D2" w:rsidRPr="000203E1"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0203E1">
                  <w:rPr>
                    <w:rStyle w:val="Style2"/>
                    <w:rFonts w:ascii="MS Gothic" w:eastAsia="MS Gothic" w:hAnsi="MS Gothic" w:hint="eastAsia"/>
                    <w:sz w:val="24"/>
                  </w:rPr>
                  <w:t>☐</w:t>
                </w:r>
              </w:sdtContent>
            </w:sdt>
            <w:r w:rsidR="00D417D2" w:rsidRPr="000203E1">
              <w:t xml:space="preserve"> Supaprastinta paraiška</w:t>
            </w:r>
          </w:p>
        </w:tc>
      </w:tr>
      <w:tr w:rsidR="000203E1" w:rsidRPr="000203E1" w14:paraId="274D1DAF" w14:textId="77777777" w:rsidTr="00030C28">
        <w:trPr>
          <w:trHeight w:val="440"/>
        </w:trPr>
        <w:tc>
          <w:tcPr>
            <w:tcW w:w="632" w:type="dxa"/>
          </w:tcPr>
          <w:p w14:paraId="17ABF217" w14:textId="14AC00D7" w:rsidR="00B13D65" w:rsidRPr="000203E1" w:rsidRDefault="00B13D65" w:rsidP="00824B92">
            <w:pPr>
              <w:rPr>
                <w:rFonts w:eastAsia="Arial"/>
              </w:rPr>
            </w:pPr>
            <w:r w:rsidRPr="000203E1">
              <w:rPr>
                <w:rFonts w:eastAsia="Arial"/>
              </w:rPr>
              <w:t>1.</w:t>
            </w:r>
            <w:r w:rsidR="00D417D2" w:rsidRPr="000203E1">
              <w:rPr>
                <w:rFonts w:eastAsia="Arial"/>
              </w:rPr>
              <w:t>6</w:t>
            </w:r>
          </w:p>
        </w:tc>
        <w:tc>
          <w:tcPr>
            <w:tcW w:w="3694" w:type="dxa"/>
          </w:tcPr>
          <w:p w14:paraId="4D49DBF5" w14:textId="77777777" w:rsidR="007656B2" w:rsidRPr="000203E1" w:rsidRDefault="00DE4484" w:rsidP="00824B92">
            <w:pPr>
              <w:rPr>
                <w:bCs/>
                <w:lang w:eastAsia="lt-LT"/>
              </w:rPr>
            </w:pPr>
            <w:r w:rsidRPr="000203E1">
              <w:rPr>
                <w:bCs/>
                <w:lang w:eastAsia="lt-LT"/>
              </w:rPr>
              <w:t>Par</w:t>
            </w:r>
            <w:r w:rsidR="007656B2" w:rsidRPr="000203E1">
              <w:rPr>
                <w:bCs/>
                <w:lang w:eastAsia="lt-LT"/>
              </w:rPr>
              <w:t>eiškėjo t</w:t>
            </w:r>
            <w:r w:rsidR="00B13D65" w:rsidRPr="000203E1">
              <w:rPr>
                <w:bCs/>
                <w:lang w:eastAsia="lt-LT"/>
              </w:rPr>
              <w:t>eikiama (-os) kompensuoti vaistinio preparato indikacija (-os)</w:t>
            </w:r>
          </w:p>
          <w:p w14:paraId="6B4FEEC1" w14:textId="6A619694" w:rsidR="00B13D65" w:rsidRPr="000203E1" w:rsidRDefault="007656B2" w:rsidP="00824B92">
            <w:pPr>
              <w:rPr>
                <w:bCs/>
                <w:lang w:eastAsia="lt-LT"/>
              </w:rPr>
            </w:pPr>
            <w:r w:rsidRPr="000203E1">
              <w:rPr>
                <w:bCs/>
                <w:lang w:eastAsia="lt-LT"/>
              </w:rPr>
              <w:t>K</w:t>
            </w:r>
            <w:r w:rsidR="00B13D65" w:rsidRPr="000203E1">
              <w:rPr>
                <w:bCs/>
                <w:lang w:eastAsia="lt-LT"/>
              </w:rPr>
              <w:t>odas</w:t>
            </w:r>
            <w:r w:rsidRPr="000203E1">
              <w:rPr>
                <w:bCs/>
                <w:lang w:eastAsia="lt-LT"/>
              </w:rPr>
              <w:t xml:space="preserve"> pagal TLK-10 AM</w:t>
            </w:r>
          </w:p>
        </w:tc>
        <w:tc>
          <w:tcPr>
            <w:tcW w:w="5167" w:type="dxa"/>
          </w:tcPr>
          <w:p w14:paraId="5513C20A" w14:textId="77777777" w:rsidR="00003FA3" w:rsidRPr="0066132D" w:rsidRDefault="00003FA3" w:rsidP="00003FA3">
            <w:pPr>
              <w:jc w:val="both"/>
            </w:pPr>
            <w:r w:rsidRPr="0066132D">
              <w:t xml:space="preserve">LIBTAYO monoterapija skirta nesmulkialąstelinio plaučių vėžio (NSLPV), ekspresuojančio PD-L1 (≥ 50 % naviko ląstelių) be EAFR, ALK ar ROS1 aberacijų, pirmos eilės gydymui suaugusiems pacientams, sergantiems: </w:t>
            </w:r>
          </w:p>
          <w:p w14:paraId="7207DB90" w14:textId="77777777" w:rsidR="00003FA3" w:rsidRPr="0066132D" w:rsidRDefault="00003FA3" w:rsidP="00003FA3">
            <w:pPr>
              <w:jc w:val="both"/>
            </w:pPr>
            <w:r w:rsidRPr="0066132D">
              <w:rPr>
                <w:sz w:val="23"/>
                <w:szCs w:val="23"/>
              </w:rPr>
              <w:t xml:space="preserve">• </w:t>
            </w:r>
            <w:r w:rsidRPr="0066132D">
              <w:t xml:space="preserve">lokaliai išplitusiu NSLPV, kuriems netinka galutinė chemoradioterapija, arba </w:t>
            </w:r>
          </w:p>
          <w:p w14:paraId="327F0CAA" w14:textId="77777777" w:rsidR="00003FA3" w:rsidRPr="0066132D" w:rsidRDefault="00003FA3" w:rsidP="00003FA3">
            <w:pPr>
              <w:jc w:val="both"/>
              <w:rPr>
                <w:sz w:val="23"/>
                <w:szCs w:val="23"/>
              </w:rPr>
            </w:pPr>
            <w:r w:rsidRPr="0066132D">
              <w:rPr>
                <w:sz w:val="23"/>
                <w:szCs w:val="23"/>
              </w:rPr>
              <w:t xml:space="preserve">• metastaziniu NSLPV. </w:t>
            </w:r>
          </w:p>
          <w:p w14:paraId="4F159838" w14:textId="77777777" w:rsidR="00003FA3" w:rsidRDefault="00003FA3" w:rsidP="00003FA3">
            <w:pPr>
              <w:pStyle w:val="Sraopastraipa"/>
              <w:spacing w:after="120"/>
              <w:ind w:left="0"/>
              <w:contextualSpacing w:val="0"/>
              <w:jc w:val="both"/>
            </w:pPr>
          </w:p>
          <w:p w14:paraId="13F7DFB0" w14:textId="0A7D7A9B" w:rsidR="00B13D65" w:rsidRPr="000203E1" w:rsidRDefault="00003FA3" w:rsidP="00003FA3">
            <w:pPr>
              <w:spacing w:line="276" w:lineRule="auto"/>
              <w:rPr>
                <w:lang w:eastAsia="lt-LT"/>
              </w:rPr>
            </w:pPr>
            <w:r>
              <w:rPr>
                <w:lang w:eastAsia="lt-LT"/>
              </w:rPr>
              <w:t>TLK-10 AM</w:t>
            </w:r>
            <w:r w:rsidRPr="000D31DB">
              <w:rPr>
                <w:color w:val="000000"/>
              </w:rPr>
              <w:t xml:space="preserve"> </w:t>
            </w:r>
            <w:r>
              <w:rPr>
                <w:color w:val="000000"/>
              </w:rPr>
              <w:t xml:space="preserve">kodas: </w:t>
            </w:r>
            <w:r w:rsidRPr="000D31DB">
              <w:rPr>
                <w:color w:val="000000"/>
              </w:rPr>
              <w:t>C34</w:t>
            </w:r>
          </w:p>
        </w:tc>
      </w:tr>
      <w:tr w:rsidR="008C2035" w:rsidRPr="000203E1" w14:paraId="2F79DC08" w14:textId="77777777" w:rsidTr="00BE7489">
        <w:trPr>
          <w:trHeight w:val="378"/>
        </w:trPr>
        <w:tc>
          <w:tcPr>
            <w:tcW w:w="632" w:type="dxa"/>
          </w:tcPr>
          <w:p w14:paraId="547885A2" w14:textId="2EE70237" w:rsidR="008C2035" w:rsidRPr="000203E1" w:rsidRDefault="008C2035" w:rsidP="008C2035">
            <w:pPr>
              <w:rPr>
                <w:rFonts w:eastAsia="Arial"/>
              </w:rPr>
            </w:pPr>
            <w:r w:rsidRPr="000203E1">
              <w:rPr>
                <w:rFonts w:eastAsia="Arial"/>
              </w:rPr>
              <w:t>1.</w:t>
            </w:r>
            <w:r>
              <w:rPr>
                <w:rFonts w:eastAsia="Arial"/>
              </w:rPr>
              <w:t>7</w:t>
            </w:r>
          </w:p>
        </w:tc>
        <w:tc>
          <w:tcPr>
            <w:tcW w:w="3694" w:type="dxa"/>
          </w:tcPr>
          <w:p w14:paraId="2EAB877F" w14:textId="39A36941" w:rsidR="008C2035" w:rsidRPr="000203E1" w:rsidRDefault="008C2035" w:rsidP="008C2035">
            <w:pPr>
              <w:rPr>
                <w:bCs/>
                <w:u w:val="single"/>
                <w:lang w:eastAsia="lt-LT"/>
              </w:rPr>
            </w:pPr>
            <w:r w:rsidRPr="000203E1">
              <w:rPr>
                <w:bCs/>
                <w:lang w:eastAsia="lt-LT"/>
              </w:rPr>
              <w:t xml:space="preserve">Pareiškėjo teikiamos skyrimo sąlygos </w:t>
            </w:r>
          </w:p>
        </w:tc>
        <w:tc>
          <w:tcPr>
            <w:tcW w:w="5167" w:type="dxa"/>
          </w:tcPr>
          <w:p w14:paraId="0579DF58" w14:textId="7B6E8B10" w:rsidR="008C2035" w:rsidRPr="000203E1" w:rsidRDefault="008C2035" w:rsidP="008C2035">
            <w:pPr>
              <w:tabs>
                <w:tab w:val="left" w:pos="3324"/>
              </w:tabs>
            </w:pPr>
            <w:r w:rsidRPr="00FF14F9">
              <w:rPr>
                <w:lang w:eastAsia="lt-LT"/>
              </w:rPr>
              <w:t>Skyrimo sąlygos atitinka registruotą indikaciją.</w:t>
            </w:r>
          </w:p>
        </w:tc>
      </w:tr>
      <w:tr w:rsidR="008C2035" w:rsidRPr="000203E1" w14:paraId="3B125269" w14:textId="77777777" w:rsidTr="00BE7489">
        <w:trPr>
          <w:trHeight w:val="378"/>
        </w:trPr>
        <w:tc>
          <w:tcPr>
            <w:tcW w:w="632" w:type="dxa"/>
          </w:tcPr>
          <w:p w14:paraId="0058E11F" w14:textId="3C0D7626" w:rsidR="008C2035" w:rsidRPr="000203E1" w:rsidRDefault="008C2035" w:rsidP="008C2035">
            <w:pPr>
              <w:rPr>
                <w:rFonts w:eastAsia="Arial"/>
              </w:rPr>
            </w:pPr>
            <w:r w:rsidRPr="000203E1">
              <w:rPr>
                <w:rFonts w:eastAsia="Arial"/>
              </w:rPr>
              <w:t>1.</w:t>
            </w:r>
            <w:r>
              <w:rPr>
                <w:rFonts w:eastAsia="Arial"/>
              </w:rPr>
              <w:t>8</w:t>
            </w:r>
          </w:p>
        </w:tc>
        <w:tc>
          <w:tcPr>
            <w:tcW w:w="3694" w:type="dxa"/>
          </w:tcPr>
          <w:p w14:paraId="738E1926" w14:textId="77777777" w:rsidR="008C2035" w:rsidRPr="000203E1" w:rsidRDefault="008C2035" w:rsidP="008C2035">
            <w:pPr>
              <w:rPr>
                <w:bCs/>
                <w:lang w:eastAsia="lt-LT"/>
              </w:rPr>
            </w:pPr>
            <w:r w:rsidRPr="000203E1">
              <w:rPr>
                <w:bCs/>
                <w:lang w:eastAsia="lt-LT"/>
              </w:rPr>
              <w:t xml:space="preserve">Pareiškėjo teikiamas palyginamasis gydymas </w:t>
            </w:r>
          </w:p>
          <w:p w14:paraId="61EC5BBD" w14:textId="7A8BD8B4" w:rsidR="008C2035" w:rsidRPr="000203E1" w:rsidRDefault="008C2035" w:rsidP="008C2035">
            <w:pPr>
              <w:rPr>
                <w:bCs/>
                <w:lang w:eastAsia="lt-LT"/>
              </w:rPr>
            </w:pPr>
          </w:p>
          <w:p w14:paraId="62057D94" w14:textId="77777777" w:rsidR="008C2035" w:rsidRPr="000203E1" w:rsidRDefault="008C2035" w:rsidP="008C2035">
            <w:pPr>
              <w:rPr>
                <w:bCs/>
                <w:lang w:eastAsia="lt-LT"/>
              </w:rPr>
            </w:pPr>
          </w:p>
          <w:p w14:paraId="6CC1022E" w14:textId="2B6BCEE1" w:rsidR="008C2035" w:rsidRPr="000203E1" w:rsidRDefault="008C2035" w:rsidP="008C2035">
            <w:pPr>
              <w:rPr>
                <w:bCs/>
                <w:lang w:eastAsia="lt-LT"/>
              </w:rPr>
            </w:pPr>
          </w:p>
        </w:tc>
        <w:tc>
          <w:tcPr>
            <w:tcW w:w="5167" w:type="dxa"/>
          </w:tcPr>
          <w:p w14:paraId="1F113AC0" w14:textId="5EE9E775" w:rsidR="008C2035" w:rsidRPr="000203E1" w:rsidRDefault="00000000" w:rsidP="008C2035">
            <w:sdt>
              <w:sdtPr>
                <w:rPr>
                  <w:rStyle w:val="Style2"/>
                  <w:sz w:val="24"/>
                </w:rPr>
                <w:id w:val="1480955706"/>
                <w15:color w:val="FFCC00"/>
                <w14:checkbox>
                  <w14:checked w14:val="1"/>
                  <w14:checkedState w14:val="2612" w14:font="MS Gothic"/>
                  <w14:uncheckedState w14:val="2610" w14:font="MS Gothic"/>
                </w14:checkbox>
              </w:sdtPr>
              <w:sdtContent>
                <w:r w:rsidR="008C2035">
                  <w:rPr>
                    <w:rStyle w:val="Style2"/>
                    <w:rFonts w:ascii="MS Gothic" w:eastAsia="MS Gothic" w:hAnsi="MS Gothic" w:hint="eastAsia"/>
                    <w:sz w:val="24"/>
                  </w:rPr>
                  <w:t>☒</w:t>
                </w:r>
              </w:sdtContent>
            </w:sdt>
            <w:r w:rsidR="008C2035" w:rsidRPr="000203E1">
              <w:t xml:space="preserve"> Tinkamas</w:t>
            </w:r>
            <w:r w:rsidR="00003FA3">
              <w:t xml:space="preserve"> (pembrolizumabas (monoterapija)</w:t>
            </w:r>
            <w:r w:rsidR="008C2035">
              <w:t>)</w:t>
            </w:r>
          </w:p>
          <w:p w14:paraId="41B44044" w14:textId="199BD9DF" w:rsidR="008C2035" w:rsidRPr="000203E1" w:rsidRDefault="00000000" w:rsidP="008C2035">
            <w:sdt>
              <w:sdtPr>
                <w:rPr>
                  <w:rStyle w:val="Style2"/>
                  <w:sz w:val="24"/>
                </w:rPr>
                <w:id w:val="-352420698"/>
                <w15:color w:val="FFCC00"/>
                <w14:checkbox>
                  <w14:checked w14:val="0"/>
                  <w14:checkedState w14:val="2612" w14:font="MS Gothic"/>
                  <w14:uncheckedState w14:val="2610" w14:font="MS Gothic"/>
                </w14:checkbox>
              </w:sdtPr>
              <w:sdtContent>
                <w:r w:rsidR="008C2035" w:rsidRPr="000203E1">
                  <w:rPr>
                    <w:rStyle w:val="Style2"/>
                    <w:rFonts w:ascii="MS Gothic" w:eastAsia="MS Gothic" w:hAnsi="MS Gothic" w:hint="eastAsia"/>
                    <w:sz w:val="24"/>
                  </w:rPr>
                  <w:t>☐</w:t>
                </w:r>
              </w:sdtContent>
            </w:sdt>
            <w:r w:rsidR="008C2035" w:rsidRPr="000203E1">
              <w:t xml:space="preserve"> Netinkama</w:t>
            </w:r>
          </w:p>
        </w:tc>
      </w:tr>
    </w:tbl>
    <w:p w14:paraId="108176F7" w14:textId="640C6F75" w:rsidR="00F70C9E" w:rsidRPr="000203E1" w:rsidRDefault="00F70C9E" w:rsidP="00E03C3F">
      <w:pPr>
        <w:pStyle w:val="Sraopastraipa"/>
        <w:tabs>
          <w:tab w:val="left" w:pos="426"/>
        </w:tabs>
        <w:ind w:left="0"/>
        <w:rPr>
          <w:b/>
          <w:bCs/>
          <w:caps/>
        </w:rPr>
      </w:pPr>
    </w:p>
    <w:p w14:paraId="2871CA7F" w14:textId="3B173597" w:rsidR="00F70C9E" w:rsidRPr="000203E1" w:rsidRDefault="00F70C9E" w:rsidP="00880A44">
      <w:pPr>
        <w:spacing w:line="276" w:lineRule="auto"/>
        <w:jc w:val="both"/>
        <w:rPr>
          <w:rFonts w:eastAsia="Arial"/>
          <w:b/>
        </w:rPr>
      </w:pPr>
      <w:r w:rsidRPr="008C2035">
        <w:rPr>
          <w:rFonts w:eastAsia="Arial"/>
          <w:b/>
        </w:rPr>
        <w:t>1.</w:t>
      </w:r>
      <w:r w:rsidR="00164D64" w:rsidRPr="008C2035">
        <w:rPr>
          <w:rFonts w:eastAsia="Arial"/>
          <w:b/>
        </w:rPr>
        <w:t>9</w:t>
      </w:r>
      <w:r w:rsidRPr="008C2035">
        <w:rPr>
          <w:rFonts w:eastAsia="Arial"/>
          <w:b/>
        </w:rPr>
        <w:t xml:space="preserve"> Kitų </w:t>
      </w:r>
      <w:r w:rsidR="00DF583C" w:rsidRPr="008C2035">
        <w:rPr>
          <w:rFonts w:eastAsia="Arial"/>
          <w:b/>
        </w:rPr>
        <w:t xml:space="preserve">valstybių </w:t>
      </w:r>
      <w:r w:rsidRPr="008C2035">
        <w:rPr>
          <w:rFonts w:eastAsia="Arial"/>
          <w:b/>
        </w:rPr>
        <w:t xml:space="preserve">atsakingų institucijų atlikto </w:t>
      </w:r>
      <w:r w:rsidR="00DF583C" w:rsidRPr="008C2035">
        <w:rPr>
          <w:rFonts w:eastAsia="Arial"/>
          <w:b/>
        </w:rPr>
        <w:t>Sveikatos technologijų vertinimo (toliau – STV)</w:t>
      </w:r>
      <w:r w:rsidRPr="008C2035">
        <w:rPr>
          <w:rFonts w:eastAsia="Arial"/>
          <w:b/>
        </w:rPr>
        <w:t xml:space="preserve"> išvados</w:t>
      </w:r>
    </w:p>
    <w:p w14:paraId="30721FDD" w14:textId="77777777" w:rsidR="00F70C9E" w:rsidRPr="000203E1" w:rsidRDefault="00F70C9E" w:rsidP="00F70C9E">
      <w:pPr>
        <w:spacing w:line="276" w:lineRule="auto"/>
        <w:rPr>
          <w:rFonts w:eastAsia="Arial"/>
        </w:rPr>
      </w:pPr>
    </w:p>
    <w:tbl>
      <w:tblPr>
        <w:tblStyle w:val="Lentelstinklelis"/>
        <w:tblW w:w="9918" w:type="dxa"/>
        <w:tblLook w:val="04A0" w:firstRow="1" w:lastRow="0" w:firstColumn="1" w:lastColumn="0" w:noHBand="0" w:noVBand="1"/>
      </w:tblPr>
      <w:tblGrid>
        <w:gridCol w:w="2745"/>
        <w:gridCol w:w="1719"/>
        <w:gridCol w:w="2875"/>
        <w:gridCol w:w="2579"/>
      </w:tblGrid>
      <w:tr w:rsidR="00003FA3" w:rsidRPr="00D05364" w14:paraId="080011C3" w14:textId="77777777" w:rsidTr="00836B4E">
        <w:trPr>
          <w:trHeight w:val="924"/>
        </w:trPr>
        <w:tc>
          <w:tcPr>
            <w:tcW w:w="2745" w:type="dxa"/>
          </w:tcPr>
          <w:p w14:paraId="4172287C" w14:textId="77777777" w:rsidR="00003FA3" w:rsidRPr="00D05364" w:rsidRDefault="00003FA3" w:rsidP="00836B4E">
            <w:pPr>
              <w:spacing w:line="276" w:lineRule="auto"/>
              <w:rPr>
                <w:rFonts w:eastAsia="Arial"/>
              </w:rPr>
            </w:pPr>
            <w:r w:rsidRPr="00D05364">
              <w:rPr>
                <w:rFonts w:eastAsia="Arial"/>
              </w:rPr>
              <w:t>STV agentūros pavadinimas, šalis</w:t>
            </w:r>
          </w:p>
        </w:tc>
        <w:tc>
          <w:tcPr>
            <w:tcW w:w="1719" w:type="dxa"/>
          </w:tcPr>
          <w:p w14:paraId="5387EF64" w14:textId="77777777" w:rsidR="00003FA3" w:rsidRPr="00D05364" w:rsidRDefault="00003FA3" w:rsidP="00836B4E">
            <w:pPr>
              <w:spacing w:line="276" w:lineRule="auto"/>
              <w:rPr>
                <w:rFonts w:eastAsia="Arial"/>
              </w:rPr>
            </w:pPr>
            <w:r w:rsidRPr="00D05364">
              <w:rPr>
                <w:rFonts w:eastAsia="Arial"/>
              </w:rPr>
              <w:t>STV vertinimas atliktas</w:t>
            </w:r>
          </w:p>
        </w:tc>
        <w:tc>
          <w:tcPr>
            <w:tcW w:w="2875" w:type="dxa"/>
          </w:tcPr>
          <w:p w14:paraId="20F7C112" w14:textId="77777777" w:rsidR="00003FA3" w:rsidRPr="00D05364" w:rsidRDefault="00003FA3" w:rsidP="00836B4E">
            <w:pPr>
              <w:spacing w:line="276" w:lineRule="auto"/>
              <w:rPr>
                <w:rFonts w:eastAsia="Arial"/>
              </w:rPr>
            </w:pPr>
            <w:r w:rsidRPr="00D05364">
              <w:rPr>
                <w:rFonts w:eastAsia="Arial"/>
              </w:rPr>
              <w:t>Klinikinio vertinimo išvada</w:t>
            </w:r>
          </w:p>
        </w:tc>
        <w:tc>
          <w:tcPr>
            <w:tcW w:w="2579" w:type="dxa"/>
          </w:tcPr>
          <w:p w14:paraId="5BB69F09" w14:textId="77777777" w:rsidR="00003FA3" w:rsidRPr="00D05364" w:rsidRDefault="00003FA3" w:rsidP="00836B4E">
            <w:pPr>
              <w:spacing w:line="276" w:lineRule="auto"/>
              <w:rPr>
                <w:rFonts w:eastAsia="Arial"/>
              </w:rPr>
            </w:pPr>
            <w:r w:rsidRPr="00D05364">
              <w:rPr>
                <w:rFonts w:eastAsia="Arial"/>
              </w:rPr>
              <w:t>Farmakoekonominio vertinimo išvada</w:t>
            </w:r>
          </w:p>
        </w:tc>
      </w:tr>
      <w:tr w:rsidR="00003FA3" w:rsidRPr="00D05364" w14:paraId="00CCBB06" w14:textId="77777777" w:rsidTr="00836B4E">
        <w:trPr>
          <w:trHeight w:val="1765"/>
        </w:trPr>
        <w:tc>
          <w:tcPr>
            <w:tcW w:w="2745" w:type="dxa"/>
          </w:tcPr>
          <w:p w14:paraId="05B61220" w14:textId="77777777" w:rsidR="00003FA3" w:rsidRPr="00D05364" w:rsidRDefault="00003FA3" w:rsidP="00836B4E">
            <w:pPr>
              <w:autoSpaceDE w:val="0"/>
              <w:autoSpaceDN w:val="0"/>
              <w:adjustRightInd w:val="0"/>
              <w:rPr>
                <w:bCs/>
              </w:rPr>
            </w:pPr>
            <w:r w:rsidRPr="00D05364">
              <w:rPr>
                <w:bCs/>
              </w:rPr>
              <w:t>Nacionalinis sveikatos ir klinikinės kompetencijos institutas, Didžioji Britanija</w:t>
            </w:r>
          </w:p>
          <w:p w14:paraId="34E21684" w14:textId="77777777" w:rsidR="00003FA3" w:rsidRPr="00D05364" w:rsidRDefault="00003FA3" w:rsidP="00836B4E">
            <w:pPr>
              <w:spacing w:line="276" w:lineRule="auto"/>
              <w:rPr>
                <w:rFonts w:eastAsia="Arial"/>
              </w:rPr>
            </w:pPr>
            <w:r w:rsidRPr="00D05364">
              <w:rPr>
                <w:rFonts w:eastAsia="Arial"/>
              </w:rPr>
              <w:t xml:space="preserve">(angl. </w:t>
            </w:r>
            <w:r w:rsidRPr="00D05364">
              <w:rPr>
                <w:rFonts w:eastAsia="Arial"/>
                <w:i/>
              </w:rPr>
              <w:t>National Institute for Health and Care Excellence, NICE</w:t>
            </w:r>
            <w:r w:rsidRPr="00D05364">
              <w:rPr>
                <w:rFonts w:eastAsia="Arial"/>
              </w:rPr>
              <w:t>)</w:t>
            </w:r>
          </w:p>
        </w:tc>
        <w:tc>
          <w:tcPr>
            <w:tcW w:w="1719" w:type="dxa"/>
          </w:tcPr>
          <w:p w14:paraId="608684F7" w14:textId="77777777" w:rsidR="00003FA3" w:rsidRPr="00D05364" w:rsidRDefault="00000000" w:rsidP="00836B4E">
            <w:sdt>
              <w:sdtPr>
                <w:rPr>
                  <w:rStyle w:val="Style2"/>
                </w:rPr>
                <w:id w:val="1558205022"/>
                <w15:color w:val="FFCC00"/>
                <w14:checkbox>
                  <w14:checked w14:val="1"/>
                  <w14:checkedState w14:val="2612" w14:font="MS Gothic"/>
                  <w14:uncheckedState w14:val="2610" w14:font="MS Gothic"/>
                </w14:checkbox>
              </w:sdtPr>
              <w:sdtContent>
                <w:r w:rsidR="00003FA3">
                  <w:rPr>
                    <w:rStyle w:val="Style2"/>
                    <w:rFonts w:ascii="MS Gothic" w:eastAsia="MS Gothic" w:hAnsi="MS Gothic" w:hint="eastAsia"/>
                  </w:rPr>
                  <w:t>☒</w:t>
                </w:r>
              </w:sdtContent>
            </w:sdt>
            <w:r w:rsidR="00003FA3" w:rsidRPr="00D05364">
              <w:t xml:space="preserve"> Taip</w:t>
            </w:r>
          </w:p>
          <w:p w14:paraId="23A7EEB8" w14:textId="77777777" w:rsidR="00003FA3" w:rsidRPr="00D05364" w:rsidRDefault="00000000" w:rsidP="00836B4E">
            <w:sdt>
              <w:sdtPr>
                <w:rPr>
                  <w:rStyle w:val="Style2"/>
                </w:rPr>
                <w:id w:val="866029625"/>
                <w15:color w:val="FFCC00"/>
                <w14:checkbox>
                  <w14:checked w14:val="0"/>
                  <w14:checkedState w14:val="2612" w14:font="MS Gothic"/>
                  <w14:uncheckedState w14:val="2610" w14:font="MS Gothic"/>
                </w14:checkbox>
              </w:sdtPr>
              <w:sdtContent>
                <w:r w:rsidR="00003FA3">
                  <w:rPr>
                    <w:rStyle w:val="Style2"/>
                    <w:rFonts w:ascii="MS Gothic" w:eastAsia="MS Gothic" w:hAnsi="MS Gothic" w:hint="eastAsia"/>
                  </w:rPr>
                  <w:t>☐</w:t>
                </w:r>
              </w:sdtContent>
            </w:sdt>
            <w:r w:rsidR="00003FA3" w:rsidRPr="00D05364">
              <w:t xml:space="preserve"> Ne</w:t>
            </w:r>
          </w:p>
          <w:p w14:paraId="7C7DCD66" w14:textId="77777777" w:rsidR="00003FA3" w:rsidRPr="001950C1" w:rsidRDefault="00000000" w:rsidP="00836B4E">
            <w:sdt>
              <w:sdtPr>
                <w:alias w:val="Nurodykite konkrečią dieną"/>
                <w:tag w:val="Nurodykite pradžios datą"/>
                <w:id w:val="-2142633318"/>
                <w:placeholder>
                  <w:docPart w:val="4964AA6EF5EB4C229FD65B906A90AABF"/>
                </w:placeholder>
                <w15:color w:val="FFCC99"/>
                <w:date w:fullDate="2022-12-01T00:00:00Z">
                  <w:dateFormat w:val="yyyy 'm.' MMMM d 'd.'"/>
                  <w:lid w:val="lt-LT"/>
                  <w:storeMappedDataAs w:val="dateTime"/>
                  <w:calendar w:val="gregorian"/>
                </w:date>
              </w:sdtPr>
              <w:sdtContent>
                <w:r w:rsidR="00003FA3" w:rsidRPr="001950C1">
                  <w:t>2022 m. gruodžio 1 d.</w:t>
                </w:r>
              </w:sdtContent>
            </w:sdt>
          </w:p>
          <w:p w14:paraId="013DC9FB" w14:textId="77777777" w:rsidR="00003FA3" w:rsidRPr="00D05364" w:rsidRDefault="00003FA3" w:rsidP="00836B4E">
            <w:pPr>
              <w:rPr>
                <w:rFonts w:eastAsia="Arial"/>
              </w:rPr>
            </w:pPr>
          </w:p>
        </w:tc>
        <w:tc>
          <w:tcPr>
            <w:tcW w:w="5454" w:type="dxa"/>
            <w:gridSpan w:val="2"/>
          </w:tcPr>
          <w:p w14:paraId="3A7A427A" w14:textId="77777777" w:rsidR="00003FA3" w:rsidRPr="001950C1" w:rsidRDefault="00003FA3" w:rsidP="00836B4E">
            <w:pPr>
              <w:jc w:val="both"/>
              <w:rPr>
                <w:sz w:val="23"/>
                <w:szCs w:val="23"/>
              </w:rPr>
            </w:pPr>
            <w:r w:rsidRPr="001950C1">
              <w:t xml:space="preserve">Kompanija SANOFI informavo </w:t>
            </w:r>
            <w:r w:rsidRPr="001950C1">
              <w:rPr>
                <w:bCs/>
              </w:rPr>
              <w:t xml:space="preserve">Nacionalinis sveikatos ir klinikinės kompetencijos instituto atstovus, kad </w:t>
            </w:r>
            <w:r w:rsidRPr="001950C1">
              <w:t xml:space="preserve"> neteiks LIBTAYO, sk</w:t>
            </w:r>
            <w:r>
              <w:t>irto</w:t>
            </w:r>
            <w:r w:rsidRPr="001950C1">
              <w:t xml:space="preserve"> nesmulkialąstelinio plaučių vėžio (NSLPV), ekspresuojančio PD-L1 (≥ 50 % naviko ląstelių) be EAFR, ALK ar ROS1 aberacijų, pirmos eilės gydymui </w:t>
            </w:r>
            <w:r>
              <w:t xml:space="preserve">sergantiems </w:t>
            </w:r>
            <w:r w:rsidRPr="001950C1">
              <w:t>suaugusiems pacientams, paraiškos</w:t>
            </w:r>
            <w:r>
              <w:t>.</w:t>
            </w:r>
          </w:p>
          <w:p w14:paraId="7F55272C" w14:textId="77777777" w:rsidR="00003FA3" w:rsidRPr="00D05364" w:rsidRDefault="00003FA3" w:rsidP="00836B4E">
            <w:pPr>
              <w:spacing w:line="276" w:lineRule="auto"/>
              <w:rPr>
                <w:rFonts w:eastAsia="Arial"/>
              </w:rPr>
            </w:pPr>
          </w:p>
        </w:tc>
      </w:tr>
      <w:tr w:rsidR="00003FA3" w:rsidRPr="00D05364" w14:paraId="56B8B600" w14:textId="77777777" w:rsidTr="00836B4E">
        <w:trPr>
          <w:trHeight w:val="1547"/>
        </w:trPr>
        <w:tc>
          <w:tcPr>
            <w:tcW w:w="2745" w:type="dxa"/>
          </w:tcPr>
          <w:p w14:paraId="492F885B" w14:textId="77777777" w:rsidR="00003FA3" w:rsidRPr="00D05364" w:rsidRDefault="00003FA3" w:rsidP="00836B4E">
            <w:pPr>
              <w:spacing w:line="276" w:lineRule="auto"/>
              <w:rPr>
                <w:rFonts w:eastAsia="Arial"/>
              </w:rPr>
            </w:pPr>
            <w:r w:rsidRPr="00D05364">
              <w:rPr>
                <w:rFonts w:eastAsia="Arial"/>
              </w:rPr>
              <w:t>Kanados sveikatos technologijų agentūra</w:t>
            </w:r>
          </w:p>
          <w:p w14:paraId="3F8EE739" w14:textId="77777777" w:rsidR="00003FA3" w:rsidRPr="00D05364" w:rsidRDefault="00003FA3" w:rsidP="00836B4E">
            <w:pPr>
              <w:spacing w:line="276" w:lineRule="auto"/>
              <w:rPr>
                <w:rFonts w:eastAsia="Arial"/>
              </w:rPr>
            </w:pPr>
            <w:r w:rsidRPr="00D05364">
              <w:rPr>
                <w:rFonts w:eastAsia="Arial"/>
              </w:rPr>
              <w:t xml:space="preserve">(angl. </w:t>
            </w:r>
            <w:r w:rsidRPr="00D05364">
              <w:rPr>
                <w:rFonts w:eastAsia="Arial"/>
                <w:i/>
              </w:rPr>
              <w:t>Canadian health Technology Assessment agency, CADTH</w:t>
            </w:r>
            <w:r w:rsidRPr="00D05364">
              <w:rPr>
                <w:rFonts w:eastAsia="Arial"/>
              </w:rPr>
              <w:t>)</w:t>
            </w:r>
          </w:p>
        </w:tc>
        <w:tc>
          <w:tcPr>
            <w:tcW w:w="1719" w:type="dxa"/>
          </w:tcPr>
          <w:p w14:paraId="684944AE" w14:textId="77777777" w:rsidR="00003FA3" w:rsidRPr="00D05364" w:rsidRDefault="00000000" w:rsidP="00836B4E">
            <w:sdt>
              <w:sdtPr>
                <w:rPr>
                  <w:rStyle w:val="Style2"/>
                </w:rPr>
                <w:id w:val="-372539057"/>
                <w15:color w:val="FFCC00"/>
                <w14:checkbox>
                  <w14:checked w14:val="1"/>
                  <w14:checkedState w14:val="2612" w14:font="MS Gothic"/>
                  <w14:uncheckedState w14:val="2610" w14:font="MS Gothic"/>
                </w14:checkbox>
              </w:sdtPr>
              <w:sdtContent>
                <w:r w:rsidR="00003FA3">
                  <w:rPr>
                    <w:rStyle w:val="Style2"/>
                    <w:rFonts w:ascii="MS Gothic" w:eastAsia="MS Gothic" w:hAnsi="MS Gothic" w:hint="eastAsia"/>
                  </w:rPr>
                  <w:t>☒</w:t>
                </w:r>
              </w:sdtContent>
            </w:sdt>
            <w:r w:rsidR="00003FA3" w:rsidRPr="00D05364">
              <w:t xml:space="preserve"> Taip</w:t>
            </w:r>
          </w:p>
          <w:p w14:paraId="5DDCB248" w14:textId="77777777" w:rsidR="00003FA3" w:rsidRPr="00D05364" w:rsidRDefault="00000000" w:rsidP="00836B4E">
            <w:sdt>
              <w:sdtPr>
                <w:rPr>
                  <w:rStyle w:val="Style2"/>
                </w:rPr>
                <w:id w:val="594442222"/>
                <w15:color w:val="FFCC00"/>
                <w14:checkbox>
                  <w14:checked w14:val="0"/>
                  <w14:checkedState w14:val="2612" w14:font="MS Gothic"/>
                  <w14:uncheckedState w14:val="2610" w14:font="MS Gothic"/>
                </w14:checkbox>
              </w:sdtPr>
              <w:sdtContent>
                <w:r w:rsidR="00003FA3" w:rsidRPr="00D05364">
                  <w:rPr>
                    <w:rStyle w:val="Style2"/>
                    <w:rFonts w:ascii="Segoe UI Symbol" w:eastAsia="MS Gothic" w:hAnsi="Segoe UI Symbol" w:cs="Segoe UI Symbol"/>
                  </w:rPr>
                  <w:t>☐</w:t>
                </w:r>
              </w:sdtContent>
            </w:sdt>
            <w:r w:rsidR="00003FA3" w:rsidRPr="00D05364">
              <w:t xml:space="preserve"> Ne</w:t>
            </w:r>
          </w:p>
          <w:p w14:paraId="76B063A6" w14:textId="77777777" w:rsidR="00003FA3" w:rsidRPr="00D05364" w:rsidRDefault="00000000" w:rsidP="00836B4E">
            <w:pPr>
              <w:spacing w:line="276" w:lineRule="auto"/>
              <w:rPr>
                <w:rFonts w:eastAsia="Arial"/>
              </w:rPr>
            </w:pPr>
            <w:sdt>
              <w:sdtPr>
                <w:alias w:val="Nurodykite konkrečią dieną"/>
                <w:tag w:val="Nurodykite pradžios datą"/>
                <w:id w:val="1072468416"/>
                <w:placeholder>
                  <w:docPart w:val="9B6F060867024E3EAB345B84103B5951"/>
                </w:placeholder>
                <w15:color w:val="FFCC99"/>
                <w:date w:fullDate="2024-05-02T00:00:00Z">
                  <w:dateFormat w:val="yyyy 'm.' MMMM d 'd.'"/>
                  <w:lid w:val="lt-LT"/>
                  <w:storeMappedDataAs w:val="dateTime"/>
                  <w:calendar w:val="gregorian"/>
                </w:date>
              </w:sdtPr>
              <w:sdtContent>
                <w:r w:rsidR="00003FA3">
                  <w:t>2024 m. gegužės 2 d.</w:t>
                </w:r>
              </w:sdtContent>
            </w:sdt>
          </w:p>
        </w:tc>
        <w:tc>
          <w:tcPr>
            <w:tcW w:w="5454" w:type="dxa"/>
            <w:gridSpan w:val="2"/>
          </w:tcPr>
          <w:p w14:paraId="67EBBBEE" w14:textId="77777777" w:rsidR="00003FA3" w:rsidRDefault="00003FA3" w:rsidP="00836B4E">
            <w:pPr>
              <w:spacing w:line="276" w:lineRule="auto"/>
              <w:rPr>
                <w:rFonts w:eastAsia="Arial"/>
              </w:rPr>
            </w:pPr>
            <w:r>
              <w:rPr>
                <w:rFonts w:eastAsia="Arial"/>
              </w:rPr>
              <w:t xml:space="preserve">Cemiplimabas derinyje su chemoterapija platinos pagrindu (CPP) gali būti skiriamas kaip pirmos eilės gydymui suaugusiems pacientams, sergantiems NSLPV ir nenustatytos EGFR, ALK ir ROS1 mutacijos, kai vėžys yra lokaliai pažengęs ir pacientams negali būti taikomas operacinis gydymas ar galutinė chemoradioterapija arba vėžys yra metastazavęs, </w:t>
            </w:r>
            <w:r w:rsidRPr="00715868">
              <w:rPr>
                <w:rFonts w:eastAsia="Arial"/>
              </w:rPr>
              <w:t>su apribojančiom</w:t>
            </w:r>
            <w:r>
              <w:rPr>
                <w:rFonts w:eastAsia="Arial"/>
              </w:rPr>
              <w:t>is</w:t>
            </w:r>
            <w:r w:rsidRPr="00715868">
              <w:rPr>
                <w:rFonts w:eastAsia="Arial"/>
              </w:rPr>
              <w:t xml:space="preserve"> skyrimo sąlygom</w:t>
            </w:r>
            <w:r>
              <w:rPr>
                <w:rFonts w:eastAsia="Arial"/>
              </w:rPr>
              <w:t>is:</w:t>
            </w:r>
          </w:p>
          <w:p w14:paraId="59959790" w14:textId="77777777" w:rsidR="00003FA3" w:rsidRDefault="00003FA3" w:rsidP="00003FA3">
            <w:pPr>
              <w:pStyle w:val="Sraopastraipa"/>
              <w:numPr>
                <w:ilvl w:val="0"/>
                <w:numId w:val="15"/>
              </w:numPr>
              <w:spacing w:line="276" w:lineRule="auto"/>
              <w:rPr>
                <w:rFonts w:eastAsia="Arial"/>
              </w:rPr>
            </w:pPr>
            <w:r w:rsidRPr="004125B0">
              <w:rPr>
                <w:rFonts w:eastAsia="Arial"/>
              </w:rPr>
              <w:t xml:space="preserve">gera funkcinė paciento būklė (ECOG balas 0-1), </w:t>
            </w:r>
          </w:p>
          <w:p w14:paraId="5AE4640D" w14:textId="77777777" w:rsidR="00003FA3" w:rsidRDefault="00003FA3" w:rsidP="00003FA3">
            <w:pPr>
              <w:pStyle w:val="Sraopastraipa"/>
              <w:numPr>
                <w:ilvl w:val="0"/>
                <w:numId w:val="15"/>
              </w:numPr>
              <w:spacing w:line="276" w:lineRule="auto"/>
              <w:rPr>
                <w:rFonts w:eastAsia="Arial"/>
              </w:rPr>
            </w:pPr>
            <w:r w:rsidRPr="004125B0">
              <w:rPr>
                <w:rFonts w:eastAsia="Arial"/>
              </w:rPr>
              <w:t>nėra aktyvių ar negydytų smegenų metastazių,</w:t>
            </w:r>
          </w:p>
          <w:p w14:paraId="06DF206A" w14:textId="77777777" w:rsidR="00003FA3" w:rsidRDefault="00003FA3" w:rsidP="00003FA3">
            <w:pPr>
              <w:pStyle w:val="Sraopastraipa"/>
              <w:numPr>
                <w:ilvl w:val="0"/>
                <w:numId w:val="15"/>
              </w:numPr>
              <w:spacing w:line="276" w:lineRule="auto"/>
              <w:rPr>
                <w:rFonts w:eastAsia="Arial"/>
              </w:rPr>
            </w:pPr>
            <w:r w:rsidRPr="004125B0">
              <w:rPr>
                <w:rFonts w:eastAsia="Arial"/>
              </w:rPr>
              <w:t>nebuvo taikyta anti-PD-L1 terapija paskutinius 6 mėnesius,</w:t>
            </w:r>
          </w:p>
          <w:p w14:paraId="38EB463E" w14:textId="77777777" w:rsidR="00003FA3" w:rsidRDefault="00003FA3" w:rsidP="00003FA3">
            <w:pPr>
              <w:pStyle w:val="Sraopastraipa"/>
              <w:numPr>
                <w:ilvl w:val="0"/>
                <w:numId w:val="15"/>
              </w:numPr>
              <w:spacing w:line="276" w:lineRule="auto"/>
              <w:rPr>
                <w:rFonts w:eastAsia="Arial"/>
              </w:rPr>
            </w:pPr>
            <w:r w:rsidRPr="004125B0">
              <w:rPr>
                <w:rFonts w:eastAsia="Arial"/>
              </w:rPr>
              <w:t xml:space="preserve">cemiplimabas </w:t>
            </w:r>
            <w:r>
              <w:rPr>
                <w:rFonts w:eastAsia="Arial"/>
              </w:rPr>
              <w:t>gali būti atnaujinamas pacientams, kurie turėjo tęstinį gerą atsaką į gydymą (apibrėžiama kaip stabili liga),</w:t>
            </w:r>
          </w:p>
          <w:p w14:paraId="34F29A28" w14:textId="77777777" w:rsidR="00003FA3" w:rsidRDefault="00003FA3" w:rsidP="00003FA3">
            <w:pPr>
              <w:pStyle w:val="Sraopastraipa"/>
              <w:numPr>
                <w:ilvl w:val="0"/>
                <w:numId w:val="15"/>
              </w:numPr>
              <w:spacing w:line="276" w:lineRule="auto"/>
              <w:rPr>
                <w:rFonts w:eastAsia="Arial"/>
              </w:rPr>
            </w:pPr>
            <w:r>
              <w:rPr>
                <w:rFonts w:eastAsia="Arial"/>
              </w:rPr>
              <w:t>cemiplimabas gali būti skiriamas ne ilgiau kaip 108 savaites,</w:t>
            </w:r>
          </w:p>
          <w:p w14:paraId="5A10BE01" w14:textId="77777777" w:rsidR="00003FA3" w:rsidRDefault="00003FA3" w:rsidP="00003FA3">
            <w:pPr>
              <w:pStyle w:val="Sraopastraipa"/>
              <w:numPr>
                <w:ilvl w:val="0"/>
                <w:numId w:val="15"/>
              </w:numPr>
              <w:spacing w:line="276" w:lineRule="auto"/>
              <w:rPr>
                <w:rFonts w:eastAsia="Arial"/>
              </w:rPr>
            </w:pPr>
            <w:r>
              <w:rPr>
                <w:rFonts w:eastAsia="Arial"/>
              </w:rPr>
              <w:t>cemiplimabas turi būti skiriamas tik kartu su CPP,</w:t>
            </w:r>
          </w:p>
          <w:p w14:paraId="4F562586" w14:textId="77777777" w:rsidR="00003FA3" w:rsidRPr="004125B0" w:rsidRDefault="00003FA3" w:rsidP="00003FA3">
            <w:pPr>
              <w:pStyle w:val="Sraopastraipa"/>
              <w:numPr>
                <w:ilvl w:val="0"/>
                <w:numId w:val="15"/>
              </w:numPr>
              <w:spacing w:line="276" w:lineRule="auto"/>
              <w:rPr>
                <w:rFonts w:eastAsia="Arial"/>
              </w:rPr>
            </w:pPr>
            <w:r>
              <w:rPr>
                <w:rFonts w:eastAsia="Arial"/>
              </w:rPr>
              <w:t>Cemiplimabo kaina negali viršyti pigiausio imunoterapinio preparato, skirto gydyti lokaliai išplitusį ar metastazavusį NSLPV, kai nenustatytos ALK, EGFR ar ROS1 mutacijos (ir pacientas netinkamas operaciniam gydymui ir galutinei chemradioterapijai), kainos.</w:t>
            </w:r>
          </w:p>
          <w:p w14:paraId="36EA5481" w14:textId="77777777" w:rsidR="00003FA3" w:rsidRPr="00D05364" w:rsidRDefault="00003FA3" w:rsidP="00836B4E">
            <w:pPr>
              <w:spacing w:line="276" w:lineRule="auto"/>
              <w:rPr>
                <w:rFonts w:eastAsia="Arial"/>
              </w:rPr>
            </w:pPr>
          </w:p>
        </w:tc>
      </w:tr>
      <w:tr w:rsidR="00003FA3" w:rsidRPr="00D05364" w14:paraId="0AF3DA88" w14:textId="77777777" w:rsidTr="00836B4E">
        <w:trPr>
          <w:trHeight w:val="1927"/>
        </w:trPr>
        <w:tc>
          <w:tcPr>
            <w:tcW w:w="2745" w:type="dxa"/>
          </w:tcPr>
          <w:p w14:paraId="072AEF60" w14:textId="77777777" w:rsidR="00003FA3" w:rsidRPr="00D05364" w:rsidRDefault="00003FA3" w:rsidP="00836B4E">
            <w:pPr>
              <w:spacing w:line="276" w:lineRule="auto"/>
              <w:rPr>
                <w:rFonts w:eastAsia="Arial"/>
              </w:rPr>
            </w:pPr>
            <w:r w:rsidRPr="00D05364">
              <w:rPr>
                <w:rFonts w:eastAsia="Arial"/>
              </w:rPr>
              <w:t>Nacionalinis farmakoekonomikos centras, Airija</w:t>
            </w:r>
          </w:p>
          <w:p w14:paraId="152DF365" w14:textId="77777777" w:rsidR="00003FA3" w:rsidRPr="00D05364" w:rsidRDefault="00003FA3" w:rsidP="00836B4E">
            <w:pPr>
              <w:spacing w:line="276" w:lineRule="auto"/>
              <w:rPr>
                <w:rFonts w:eastAsia="Arial"/>
              </w:rPr>
            </w:pPr>
            <w:r w:rsidRPr="00D05364">
              <w:rPr>
                <w:rFonts w:eastAsia="Arial"/>
              </w:rPr>
              <w:t>(angl.</w:t>
            </w:r>
            <w:r w:rsidRPr="00D05364">
              <w:rPr>
                <w:rFonts w:eastAsia="Arial"/>
                <w:i/>
              </w:rPr>
              <w:t xml:space="preserve"> National Centre for Pharmacoeconomics, NCPE</w:t>
            </w:r>
            <w:r w:rsidRPr="00D05364">
              <w:rPr>
                <w:rFonts w:eastAsia="Arial"/>
              </w:rPr>
              <w:t>)</w:t>
            </w:r>
          </w:p>
        </w:tc>
        <w:tc>
          <w:tcPr>
            <w:tcW w:w="1719" w:type="dxa"/>
          </w:tcPr>
          <w:p w14:paraId="1EDF220A" w14:textId="77777777" w:rsidR="00003FA3" w:rsidRPr="00D05364" w:rsidRDefault="00000000" w:rsidP="00836B4E">
            <w:sdt>
              <w:sdtPr>
                <w:rPr>
                  <w:rStyle w:val="Style2"/>
                </w:rPr>
                <w:id w:val="-1888403732"/>
                <w15:color w:val="FFCC00"/>
                <w14:checkbox>
                  <w14:checked w14:val="0"/>
                  <w14:checkedState w14:val="2612" w14:font="MS Gothic"/>
                  <w14:uncheckedState w14:val="2610" w14:font="MS Gothic"/>
                </w14:checkbox>
              </w:sdtPr>
              <w:sdtContent>
                <w:r w:rsidR="00003FA3">
                  <w:rPr>
                    <w:rStyle w:val="Style2"/>
                    <w:rFonts w:ascii="MS Gothic" w:eastAsia="MS Gothic" w:hAnsi="MS Gothic" w:hint="eastAsia"/>
                  </w:rPr>
                  <w:t>☐</w:t>
                </w:r>
              </w:sdtContent>
            </w:sdt>
            <w:r w:rsidR="00003FA3" w:rsidRPr="00D05364">
              <w:t xml:space="preserve"> Taip</w:t>
            </w:r>
          </w:p>
          <w:p w14:paraId="7129A3E2" w14:textId="77777777" w:rsidR="00003FA3" w:rsidRPr="00135D24" w:rsidRDefault="00000000" w:rsidP="00836B4E">
            <w:sdt>
              <w:sdtPr>
                <w:rPr>
                  <w:rStyle w:val="Style2"/>
                </w:rPr>
                <w:id w:val="1092201793"/>
                <w15:color w:val="FFCC00"/>
                <w14:checkbox>
                  <w14:checked w14:val="1"/>
                  <w14:checkedState w14:val="2612" w14:font="MS Gothic"/>
                  <w14:uncheckedState w14:val="2610" w14:font="MS Gothic"/>
                </w14:checkbox>
              </w:sdtPr>
              <w:sdtContent>
                <w:r w:rsidR="00003FA3">
                  <w:rPr>
                    <w:rStyle w:val="Style2"/>
                    <w:rFonts w:ascii="MS Gothic" w:eastAsia="MS Gothic" w:hAnsi="MS Gothic" w:hint="eastAsia"/>
                  </w:rPr>
                  <w:t>☒</w:t>
                </w:r>
              </w:sdtContent>
            </w:sdt>
            <w:r w:rsidR="00003FA3" w:rsidRPr="00D05364">
              <w:t xml:space="preserve"> Ne</w:t>
            </w:r>
          </w:p>
        </w:tc>
        <w:tc>
          <w:tcPr>
            <w:tcW w:w="2875" w:type="dxa"/>
          </w:tcPr>
          <w:p w14:paraId="65811587" w14:textId="77777777" w:rsidR="00003FA3" w:rsidRPr="00D05364" w:rsidRDefault="00003FA3" w:rsidP="00836B4E">
            <w:pPr>
              <w:spacing w:line="276" w:lineRule="auto"/>
              <w:rPr>
                <w:rFonts w:eastAsia="Arial"/>
              </w:rPr>
            </w:pPr>
          </w:p>
        </w:tc>
        <w:tc>
          <w:tcPr>
            <w:tcW w:w="2579" w:type="dxa"/>
          </w:tcPr>
          <w:p w14:paraId="2423C2C6" w14:textId="77777777" w:rsidR="00003FA3" w:rsidRPr="00D05364" w:rsidRDefault="00003FA3" w:rsidP="00836B4E">
            <w:pPr>
              <w:spacing w:line="276" w:lineRule="auto"/>
              <w:rPr>
                <w:rFonts w:eastAsia="Arial"/>
              </w:rPr>
            </w:pPr>
          </w:p>
        </w:tc>
      </w:tr>
      <w:tr w:rsidR="00003FA3" w:rsidRPr="00D05364" w14:paraId="41F33CC9" w14:textId="77777777" w:rsidTr="00836B4E">
        <w:trPr>
          <w:trHeight w:val="690"/>
        </w:trPr>
        <w:tc>
          <w:tcPr>
            <w:tcW w:w="2745" w:type="dxa"/>
          </w:tcPr>
          <w:p w14:paraId="48135A83" w14:textId="77777777" w:rsidR="00003FA3" w:rsidRPr="00D05364" w:rsidRDefault="00003FA3" w:rsidP="00836B4E">
            <w:pPr>
              <w:spacing w:line="276" w:lineRule="auto"/>
              <w:rPr>
                <w:rFonts w:eastAsia="Arial"/>
              </w:rPr>
            </w:pPr>
            <w:r w:rsidRPr="00D05364">
              <w:rPr>
                <w:rFonts w:eastAsia="Arial"/>
              </w:rPr>
              <w:t>Kita</w:t>
            </w:r>
          </w:p>
          <w:p w14:paraId="29843BE4" w14:textId="77777777" w:rsidR="00003FA3" w:rsidRPr="00D05364" w:rsidRDefault="00003FA3" w:rsidP="00836B4E">
            <w:pPr>
              <w:spacing w:line="276" w:lineRule="auto"/>
              <w:rPr>
                <w:rFonts w:eastAsia="Arial"/>
              </w:rPr>
            </w:pPr>
          </w:p>
        </w:tc>
        <w:tc>
          <w:tcPr>
            <w:tcW w:w="1719" w:type="dxa"/>
          </w:tcPr>
          <w:p w14:paraId="50FA6DAC" w14:textId="77777777" w:rsidR="00003FA3" w:rsidRPr="00D05364" w:rsidRDefault="00000000" w:rsidP="00836B4E">
            <w:sdt>
              <w:sdtPr>
                <w:rPr>
                  <w:rStyle w:val="Style2"/>
                </w:rPr>
                <w:id w:val="1634437882"/>
                <w15:color w:val="FFCC00"/>
                <w14:checkbox>
                  <w14:checked w14:val="0"/>
                  <w14:checkedState w14:val="2612" w14:font="MS Gothic"/>
                  <w14:uncheckedState w14:val="2610" w14:font="MS Gothic"/>
                </w14:checkbox>
              </w:sdtPr>
              <w:sdtContent>
                <w:r w:rsidR="00003FA3" w:rsidRPr="00D05364">
                  <w:rPr>
                    <w:rStyle w:val="Style2"/>
                    <w:rFonts w:ascii="Segoe UI Symbol" w:eastAsia="MS Gothic" w:hAnsi="Segoe UI Symbol" w:cs="Segoe UI Symbol"/>
                  </w:rPr>
                  <w:t>☐</w:t>
                </w:r>
              </w:sdtContent>
            </w:sdt>
            <w:r w:rsidR="00003FA3" w:rsidRPr="00D05364">
              <w:t xml:space="preserve"> Taip</w:t>
            </w:r>
          </w:p>
          <w:p w14:paraId="324E4324" w14:textId="77777777" w:rsidR="00003FA3" w:rsidRPr="00135D24" w:rsidRDefault="00000000" w:rsidP="00836B4E">
            <w:pPr>
              <w:rPr>
                <w:rStyle w:val="Style2"/>
              </w:rPr>
            </w:pPr>
            <w:sdt>
              <w:sdtPr>
                <w:rPr>
                  <w:rStyle w:val="Style2"/>
                </w:rPr>
                <w:id w:val="85655384"/>
                <w15:color w:val="FFCC00"/>
                <w14:checkbox>
                  <w14:checked w14:val="1"/>
                  <w14:checkedState w14:val="2612" w14:font="MS Gothic"/>
                  <w14:uncheckedState w14:val="2610" w14:font="MS Gothic"/>
                </w14:checkbox>
              </w:sdtPr>
              <w:sdtContent>
                <w:r w:rsidR="00003FA3">
                  <w:rPr>
                    <w:rStyle w:val="Style2"/>
                    <w:rFonts w:ascii="MS Gothic" w:eastAsia="MS Gothic" w:hAnsi="MS Gothic" w:hint="eastAsia"/>
                  </w:rPr>
                  <w:t>☒</w:t>
                </w:r>
              </w:sdtContent>
            </w:sdt>
            <w:r w:rsidR="00003FA3" w:rsidRPr="00D05364">
              <w:t xml:space="preserve"> Ne</w:t>
            </w:r>
          </w:p>
        </w:tc>
        <w:tc>
          <w:tcPr>
            <w:tcW w:w="2875" w:type="dxa"/>
          </w:tcPr>
          <w:p w14:paraId="7F7285E1" w14:textId="77777777" w:rsidR="00003FA3" w:rsidRPr="00D05364" w:rsidRDefault="00003FA3" w:rsidP="00836B4E">
            <w:pPr>
              <w:spacing w:line="276" w:lineRule="auto"/>
              <w:rPr>
                <w:rFonts w:eastAsia="Arial"/>
              </w:rPr>
            </w:pPr>
          </w:p>
        </w:tc>
        <w:tc>
          <w:tcPr>
            <w:tcW w:w="2579" w:type="dxa"/>
          </w:tcPr>
          <w:p w14:paraId="678705B7" w14:textId="77777777" w:rsidR="00003FA3" w:rsidRPr="00D05364" w:rsidRDefault="00003FA3" w:rsidP="00836B4E">
            <w:pPr>
              <w:spacing w:line="276" w:lineRule="auto"/>
              <w:rPr>
                <w:rFonts w:eastAsia="Arial"/>
              </w:rPr>
            </w:pPr>
          </w:p>
        </w:tc>
      </w:tr>
    </w:tbl>
    <w:p w14:paraId="2EB7FD31" w14:textId="4D2A8479" w:rsidR="007A2B68" w:rsidRPr="000203E1" w:rsidRDefault="007A2B68" w:rsidP="00E03C3F">
      <w:pPr>
        <w:pStyle w:val="Sraopastraipa"/>
        <w:tabs>
          <w:tab w:val="left" w:pos="426"/>
        </w:tabs>
        <w:ind w:left="0"/>
        <w:rPr>
          <w:b/>
          <w:bCs/>
          <w:caps/>
        </w:rPr>
      </w:pPr>
    </w:p>
    <w:p w14:paraId="5055E8A8" w14:textId="471A9757" w:rsidR="002E6F80" w:rsidRDefault="00CC7832" w:rsidP="00CC09D4">
      <w:pPr>
        <w:pStyle w:val="Sraopastraipa"/>
        <w:numPr>
          <w:ilvl w:val="0"/>
          <w:numId w:val="12"/>
        </w:numPr>
        <w:tabs>
          <w:tab w:val="left" w:pos="567"/>
        </w:tabs>
        <w:ind w:hanging="720"/>
        <w:rPr>
          <w:b/>
          <w:bCs/>
          <w:caps/>
        </w:rPr>
      </w:pPr>
      <w:r w:rsidRPr="00922B0F">
        <w:rPr>
          <w:b/>
          <w:bCs/>
          <w:caps/>
        </w:rPr>
        <w:t>Klinikinio vertinimo a</w:t>
      </w:r>
      <w:r w:rsidR="00D4485B" w:rsidRPr="00922B0F">
        <w:rPr>
          <w:b/>
          <w:bCs/>
          <w:caps/>
        </w:rPr>
        <w:t>pibendrinimas</w:t>
      </w:r>
    </w:p>
    <w:p w14:paraId="15430A2F" w14:textId="77777777" w:rsidR="00E46CFC" w:rsidRPr="00922B0F" w:rsidRDefault="00E46CFC" w:rsidP="00E46CFC">
      <w:pPr>
        <w:pStyle w:val="Sraopastraipa"/>
        <w:tabs>
          <w:tab w:val="left" w:pos="567"/>
        </w:tabs>
        <w:rPr>
          <w:b/>
          <w:bCs/>
          <w:caps/>
        </w:rPr>
      </w:pPr>
    </w:p>
    <w:p w14:paraId="05546A2D" w14:textId="77777777" w:rsidR="00922B0F" w:rsidRDefault="00922B0F" w:rsidP="00922B0F">
      <w:pPr>
        <w:pStyle w:val="Style1"/>
        <w:spacing w:line="276" w:lineRule="auto"/>
        <w:jc w:val="both"/>
      </w:pPr>
      <w:r>
        <w:t xml:space="preserve">Plaučių vėžys yra viena labiausiai paplitusių onkologinių ligų pasaulyje, lemianti didžiausią mirtingumą. Tarptautinės vėžio tyrimų agentūros (angl. International Agency for Research on Cancer) projekto GLOBOCAN duomenimis, 2020 m. nustatyta 2,2 mln. naujų plaučių vėžio atvejų (11,4 proc. visų naujų vėžio atvejų). Plaučių vėžys yra pagrindinė vyrų sergamumo ir mirštamumo nuo vėžio priežastis. Remiantis 2022 m. Lietuvos plaučių vėžio diagnostikos ir gydymo rekomendacijomis, rytų Europoje registruojami 49,0 atvejo 100 tūkst. gyventojų,  pietų Europoje 48,1 atvejo 100 tūkst. gyventojų.  </w:t>
      </w:r>
    </w:p>
    <w:p w14:paraId="1279E092" w14:textId="7843D396" w:rsidR="00922B0F" w:rsidRDefault="00184E44" w:rsidP="00922B0F">
      <w:pPr>
        <w:pStyle w:val="Style1"/>
        <w:spacing w:line="276" w:lineRule="auto"/>
        <w:jc w:val="both"/>
      </w:pPr>
      <w:bookmarkStart w:id="0" w:name="_Hlk193489059"/>
      <w:bookmarkStart w:id="1" w:name="_Hlk196931772"/>
      <w:r w:rsidRPr="00B74D72">
        <w:rPr>
          <w:rFonts w:eastAsia="Arial"/>
        </w:rPr>
        <w:t>Remiantis</w:t>
      </w:r>
      <w:r w:rsidRPr="00B14079">
        <w:rPr>
          <w:rFonts w:eastAsia="Arial"/>
        </w:rPr>
        <w:t xml:space="preserve"> </w:t>
      </w:r>
      <w:r w:rsidR="0014166C" w:rsidRPr="00B14079">
        <w:rPr>
          <w:rFonts w:eastAsia="Arial"/>
        </w:rPr>
        <w:t>Lietuvos Respublikos sveikatos apsaugos ministro įsakymu „</w:t>
      </w:r>
      <w:r w:rsidR="0014166C" w:rsidRPr="00477BCF">
        <w:rPr>
          <w:rFonts w:eastAsia="Arial"/>
        </w:rPr>
        <w:t>Dėl Plaučių vėžio ambulatorinio gydymo, kurio išlaidos kompensuojamos iš Privalomojo sveikatos draudimo fondo biudžeto, tvarkos aprašo patvirtinimo“</w:t>
      </w:r>
      <w:r w:rsidR="0014166C" w:rsidRPr="00B14079">
        <w:rPr>
          <w:rFonts w:eastAsia="Arial"/>
        </w:rPr>
        <w:t xml:space="preserve"> 2009-02-20, Nr. V-127 patvirtintu </w:t>
      </w:r>
      <w:bookmarkEnd w:id="0"/>
      <w:r w:rsidR="0014166C" w:rsidRPr="00B14079">
        <w:rPr>
          <w:rFonts w:eastAsia="Arial"/>
        </w:rPr>
        <w:t>Plaučių vėžio ambulatorinio gydymo, kurio išlaidos kompensuojamos iš Privalomojo sveikatos draudimo fondo biudžeto, tvarkos aprašu,</w:t>
      </w:r>
      <w:r w:rsidR="0014166C" w:rsidRPr="00B14079">
        <w:t xml:space="preserve"> diagnozavus lokaliai išplitusį arba metastazavus  nesmulki</w:t>
      </w:r>
      <w:r w:rsidR="0014166C">
        <w:t xml:space="preserve">ųjų </w:t>
      </w:r>
      <w:r w:rsidR="0014166C" w:rsidRPr="00B14079">
        <w:t>ląsteli</w:t>
      </w:r>
      <w:r w:rsidR="0014166C">
        <w:t>ų</w:t>
      </w:r>
      <w:r w:rsidR="0014166C" w:rsidRPr="00B14079">
        <w:t> </w:t>
      </w:r>
      <w:r w:rsidR="0014166C" w:rsidRPr="00477BCF">
        <w:t>plaučių vėžį</w:t>
      </w:r>
      <w:r w:rsidR="0014166C" w:rsidRPr="00B14079">
        <w:t xml:space="preserve"> (NSLPV)</w:t>
      </w:r>
      <w:r w:rsidR="00922B0F">
        <w:t>, kurio naviko programuotos ląstelių žūties baltymo ligando 1 (ang. Programmed death-ligand 1, toliau – PD-L1) raiška yra ≥ 50 proc., o EAFR receptoriaus raiška naviko mutacijų ar ALK translokacijų nenustatyta, skiriama monoterapija pembrolizumabu arba atezolizumabu. Specifinio gydymo pacientams, kuriems nustatyta PD-L1 raiška &gt;50 proc. ir nenustatyta ROS1 aberacijos Lietuvoje šiuo metu nėra.</w:t>
      </w:r>
    </w:p>
    <w:bookmarkEnd w:id="1"/>
    <w:p w14:paraId="68A8F88F" w14:textId="77777777" w:rsidR="00922B0F" w:rsidRDefault="00922B0F" w:rsidP="00922B0F">
      <w:pPr>
        <w:pStyle w:val="Style1"/>
        <w:spacing w:line="276" w:lineRule="auto"/>
        <w:jc w:val="both"/>
      </w:pPr>
      <w:r>
        <w:t>Cemiplimabas yra visiškai žmogaus imunoglobulino G4 (IgG4) monokloninis antikūnas, kuris prisijungia prie 1-ojo programuojamos ląstelės žūties (angl. programmed cell death-1) (PD-1) receptoriaus ir blokuoja jo sąveiką su jo ligandais PD-L1 ir PD-L2. Šie ligandai yra pateikiami ant antigeną pateikiančių ląstelių paviršių ir gali atsirasti ant auglio ląstelių ir (arba) kitų auglio mikroaplinkos ląstelių. Jie sukelia T ląstelių funkcijų (tokių, kaip proliferacija, citokinų išskyrimas ir citotoksinis aktyvumas) slopinimą. Cemiplimabas stiprina T ląstelių atsaką, įskaitant veikimą prieš auglį, blokuodamas PD-1 susijungimą su PD-L1 ir PD-L2 ligandais.</w:t>
      </w:r>
    </w:p>
    <w:p w14:paraId="355476A4" w14:textId="77777777" w:rsidR="00922B0F" w:rsidRDefault="00922B0F" w:rsidP="00922B0F">
      <w:pPr>
        <w:pStyle w:val="Style1"/>
        <w:spacing w:line="276" w:lineRule="auto"/>
        <w:jc w:val="both"/>
      </w:pPr>
      <w:r>
        <w:t>Cemiplimabo veiksmingumas ir saugumas lokaliai išplitusiu ar metastazavusiu NSLPV su PD-L1 raiška ≥50 proc. sergančių pacientų gydymui buvo tirtas randomizuotame, daugiacentriame, globaliame, atviro dizaino, 3 fazės tyrime EMPOWER-Lung 1 (n=710) bei netiesiogiai palygintas atliekant tinklinę meta-analizę.</w:t>
      </w:r>
    </w:p>
    <w:p w14:paraId="0458529D" w14:textId="77777777" w:rsidR="00922B0F" w:rsidRDefault="00922B0F" w:rsidP="00922B0F">
      <w:pPr>
        <w:pStyle w:val="Style1"/>
        <w:spacing w:line="276" w:lineRule="auto"/>
        <w:jc w:val="both"/>
      </w:pPr>
      <w:r>
        <w:t>Palyginamuoju gydymu tiesioginiame palyginime buvo pasirinkta chemoterapija platinos pagrindu, o netiesioginiame – pembrolizumabas.</w:t>
      </w:r>
    </w:p>
    <w:p w14:paraId="4B660D21" w14:textId="77777777" w:rsidR="00922B0F" w:rsidRDefault="00922B0F" w:rsidP="00922B0F">
      <w:pPr>
        <w:pStyle w:val="Style1"/>
        <w:spacing w:line="276" w:lineRule="auto"/>
        <w:jc w:val="both"/>
      </w:pPr>
      <w:r>
        <w:t>Įvertinus tyrimo populiaciją pagal įtraukimo ir atmetimo kriterijus, pacientai atitinka siūlomą kompensuoti terapinę indikaciją. Atsižvelgiant į įprastą klinikinę praktiką, tikėtina, kad pacientų, kuriems nustatytas lokaliai išplitęs arba metastazavęs NSLPV ir PD-L1 raiška ≥50 proc., o ALK, EAFR ir ROS1 mutacijų nėra, šiuo metu Lietuvoje gydomi pembrolizumabu.</w:t>
      </w:r>
    </w:p>
    <w:p w14:paraId="25127864" w14:textId="77777777" w:rsidR="00922B0F" w:rsidRDefault="00922B0F" w:rsidP="00922B0F">
      <w:pPr>
        <w:pStyle w:val="Style1"/>
        <w:spacing w:line="276" w:lineRule="auto"/>
        <w:jc w:val="both"/>
      </w:pPr>
      <w:r>
        <w:t>Klinikinis veiksmingumas buvo vertinamas pagal netiesioginio palyginimo klinikinių tyrimų duomenis, t.y. bendras išgyvenamumas (pagrindinė vertinamoji baigtis) gydant pembrolizumabo monoterapija (t.y. laikoma įprasta klinikine praktika Lietuvoje, kai NSLPV PD-L1 raiška ≥ 50 proc.).  EMPOWER-Lung 1 tyrime palyginamasis gydymas buvo chemoterapija platinos dubletų pagrindu, kuris yra laikomas netinkamu palyginamuoju. Dėl netinkamo palyginamojo gydymo tiesioginio palyginimo tyrimo EMPOWER-Lung 1 rezultatai (pacientų, pasiekusių klinikinę remisiją, dalis) laikomi papildoma informacija. Remiantis cemiplimabo terapine indikacija, cemiplimabo veiksmingumas ir saugumas buvo vertinamas PD-L1 ≥50 proc. populiacijoje.</w:t>
      </w:r>
    </w:p>
    <w:p w14:paraId="53EF31E7" w14:textId="77777777" w:rsidR="00E46CFC" w:rsidRDefault="00E46CFC" w:rsidP="00922B0F">
      <w:pPr>
        <w:pStyle w:val="Style1"/>
        <w:spacing w:line="276" w:lineRule="auto"/>
        <w:jc w:val="both"/>
      </w:pPr>
    </w:p>
    <w:p w14:paraId="50A16028" w14:textId="74ED7004" w:rsidR="00922B0F" w:rsidRPr="00E46CFC" w:rsidRDefault="00922B0F" w:rsidP="00922B0F">
      <w:pPr>
        <w:pStyle w:val="Style1"/>
        <w:spacing w:line="276" w:lineRule="auto"/>
        <w:jc w:val="both"/>
        <w:rPr>
          <w:i/>
          <w:iCs/>
        </w:rPr>
      </w:pPr>
      <w:r w:rsidRPr="00E46CFC">
        <w:rPr>
          <w:i/>
          <w:iCs/>
        </w:rPr>
        <w:t>Tiesioginis palyginimas</w:t>
      </w:r>
    </w:p>
    <w:p w14:paraId="59F2B17A" w14:textId="25F1EE14" w:rsidR="00922B0F" w:rsidRDefault="00922B0F" w:rsidP="00922B0F">
      <w:pPr>
        <w:pStyle w:val="Style1"/>
        <w:spacing w:line="276" w:lineRule="auto"/>
        <w:jc w:val="both"/>
      </w:pPr>
      <w:r>
        <w:t>Pirminės vertinamosios baigtys EMPOWER-Lung 1 tyime buvo bendras išgyvenamumas (laikas nuo atsitiktinės imties atrankos iki mirties dėl bet kurios priežasties) ir išgyvenamumas be ligos progresavimo (laikas nuo atsitiktinės imties iki ligos progresavimo, patvirtinto NPK pagal RECIST 1.1 kriterijus arba iki mirties nuo bet kokios priežasties). Atsižvelgiant į siūlomą kompensuoti terapinę indikaciją, BI ir IBLP rezultatai populiacijoje pacientų, kurių PD-L1 raiška ≥ 50 proc., rodo, kad gydant cemiplimabo monoterapija mirties rizika mažėja 43 proc., o ligos progresavimo rizika mažėja 46 proc. palyginus su chemoter</w:t>
      </w:r>
      <w:r w:rsidR="0014166C">
        <w:t>a</w:t>
      </w:r>
      <w:r>
        <w:t>pijos gydymu. Šie rezultatai taip pat atsispindėjo ir iš anksto numatytų pogrupių analizėje. Detaliai įvertinus pirmines vertinamąsias baigtis BI ir IBLP, iš anksto numatytuose pacientų pogrupiuose, nustatyta, kad cemiplimabas yra pranašesnis lyginant su chemoterapija, jei pacientai yra vyrai, iš Europos regiono, kurių funkcinė būklė pagal ECOG = 1 ir jiems nustatytas metastazavęs NSLPV.</w:t>
      </w:r>
    </w:p>
    <w:p w14:paraId="4E8F7215" w14:textId="42510063" w:rsidR="00922B0F" w:rsidRDefault="00922B0F" w:rsidP="00922B0F">
      <w:pPr>
        <w:pStyle w:val="Style1"/>
        <w:spacing w:line="276" w:lineRule="auto"/>
        <w:jc w:val="both"/>
      </w:pPr>
      <w:r>
        <w:t>Dėl nepageidaujamų reakcijų tyrimą nutraukusių pacientų didesnė dalis buvo cemiplimabo grupėje (6</w:t>
      </w:r>
      <w:r w:rsidR="0014166C">
        <w:t xml:space="preserve"> </w:t>
      </w:r>
      <w:r>
        <w:t>%) lyginant su chemoterapijos grupe (4</w:t>
      </w:r>
      <w:r w:rsidR="0014166C">
        <w:t xml:space="preserve"> </w:t>
      </w:r>
      <w:r>
        <w:t>%). Pacientų dalis, pranešusių apie sunkias gydymo sukeltas nepageidaujamas reakcijas ir mirčių atvejų dažnis cemiplimabo ir chemoterapijos grupėje buvo panašus. Su gydymu susijusių sunkių nepageidaujamų reakcijų dažnis cemiplimabo grupėje buvo mažesnis, o mirčių atvejų dažnis abiejose grupėse buvo panašus. Apibendrinant, cemiplimabo ir chemoterapijos saugumo duomenys yra panašūs.</w:t>
      </w:r>
    </w:p>
    <w:p w14:paraId="3BEFADDB" w14:textId="77777777" w:rsidR="00E46CFC" w:rsidRDefault="00E46CFC" w:rsidP="00922B0F">
      <w:pPr>
        <w:pStyle w:val="Style1"/>
        <w:spacing w:line="276" w:lineRule="auto"/>
        <w:jc w:val="both"/>
        <w:rPr>
          <w:i/>
          <w:iCs/>
        </w:rPr>
      </w:pPr>
    </w:p>
    <w:p w14:paraId="70186485" w14:textId="09EBF3AB" w:rsidR="00922B0F" w:rsidRPr="00E46CFC" w:rsidRDefault="00922B0F" w:rsidP="00922B0F">
      <w:pPr>
        <w:pStyle w:val="Style1"/>
        <w:spacing w:line="276" w:lineRule="auto"/>
        <w:jc w:val="both"/>
        <w:rPr>
          <w:i/>
          <w:iCs/>
        </w:rPr>
      </w:pPr>
      <w:r w:rsidRPr="00E46CFC">
        <w:rPr>
          <w:i/>
          <w:iCs/>
        </w:rPr>
        <w:t>Netiesioginis palyginimas</w:t>
      </w:r>
    </w:p>
    <w:p w14:paraId="26D36C85" w14:textId="77777777" w:rsidR="00FA0881" w:rsidRDefault="00FA0881" w:rsidP="00FA0881">
      <w:pPr>
        <w:pStyle w:val="Style1"/>
        <w:spacing w:line="276" w:lineRule="auto"/>
        <w:jc w:val="both"/>
      </w:pPr>
      <w:r>
        <w:t xml:space="preserve">Pacientų, sirgusių metastazavusiu plaučių vėžiu su PD-L1 išraiška ≥ 50% ir gydytų cemiplimabo monoterapija, išgyvenamumas be ligos progresavimo ir objektyvaus atsako </w:t>
      </w:r>
      <w:r w:rsidRPr="00FA0881">
        <w:t xml:space="preserve">dažnio  rezultatai buvo cemiplimabo naudai, </w:t>
      </w:r>
      <w:r>
        <w:t xml:space="preserve">lyginant su pembrolizumabu. </w:t>
      </w:r>
      <w:r w:rsidRPr="006D1855">
        <w:t xml:space="preserve">Remiantis TMA rezultatais, vertinant IBLP, RS buvo 0,65 (95% CI 0,50-0,86) ligos progresavimo rizika </w:t>
      </w:r>
      <w:r>
        <w:t xml:space="preserve">galimai </w:t>
      </w:r>
      <w:r w:rsidRPr="006D1855">
        <w:t xml:space="preserve">35 proc. </w:t>
      </w:r>
      <w:r>
        <w:t>mažesnė gydant cemiplimabu, nei pemb</w:t>
      </w:r>
      <w:r w:rsidRPr="006D1855">
        <w:t>rolizumabu. Tačiau vertinant BI</w:t>
      </w:r>
      <w:r>
        <w:t xml:space="preserve"> statistiškai reikšmingo skirtumo nebuvo nustatyta (</w:t>
      </w:r>
      <w:r w:rsidRPr="006D1855">
        <w:t xml:space="preserve">RS </w:t>
      </w:r>
      <w:r>
        <w:t>=</w:t>
      </w:r>
      <w:r w:rsidRPr="006D1855">
        <w:t xml:space="preserve"> 0,77 (95% CI 0,54-1,10)</w:t>
      </w:r>
      <w:r>
        <w:t xml:space="preserve"> tarp palyginamųjų grupių. Apibendrinant TMA rezultatus, daroma išvada, kad cemiplimabo veiksmingumas tikėtina neišskiria nuo pembrolizumbo, gydant pacientus, sergančius metastazavusiu plaučių vėžiu su PD-L1 išraiška ≥ 50%.</w:t>
      </w:r>
    </w:p>
    <w:p w14:paraId="17F6F8C5" w14:textId="77777777" w:rsidR="00FA0881" w:rsidRDefault="00FA0881" w:rsidP="00FA0881">
      <w:pPr>
        <w:pStyle w:val="Style1"/>
        <w:spacing w:line="276" w:lineRule="auto"/>
        <w:jc w:val="both"/>
      </w:pPr>
      <w:r>
        <w:t>Palyginamasis saugumas ir gydymo toleravimas statistiškai reikšmingai nesiskyrė, todėl daroma išvada, kad pembrolizumabo ir cemiplimabo saugumas yra panašus, gydant anksčiau negydytus, lokaliai išplitusiu arba metastazavusiu NSLPV (IIIB, IIIC arba IV stadija) sergančius suaugusius pacientus, kurių naviko PD-L1 išraiška ≥ 50% ir nebuvo nustatyta EAFR, ALK ar ROS1 aberacijų.</w:t>
      </w:r>
    </w:p>
    <w:p w14:paraId="34037861" w14:textId="292957C9" w:rsidR="00E46CFC" w:rsidRDefault="00FA0881" w:rsidP="005D367F">
      <w:pPr>
        <w:tabs>
          <w:tab w:val="left" w:pos="492"/>
        </w:tabs>
        <w:spacing w:line="276" w:lineRule="auto"/>
        <w:ind w:firstLine="425"/>
        <w:contextualSpacing/>
        <w:jc w:val="both"/>
        <w:outlineLvl w:val="1"/>
      </w:pPr>
      <w:r w:rsidRPr="00B14079">
        <w:t>Apibendrinant klinikinio veiksmingumo rezultatus bendroje pacientų, sergančių lokaliai išplitusiu arba metastazavusiu NSPLV,</w:t>
      </w:r>
      <w:r w:rsidR="00250E4E">
        <w:t xml:space="preserve"> populiacijoje,</w:t>
      </w:r>
      <w:r w:rsidRPr="00B14079">
        <w:t xml:space="preserve"> gydymas cemiplimab</w:t>
      </w:r>
      <w:r>
        <w:t>u vertinamas kaip</w:t>
      </w:r>
      <w:r w:rsidRPr="00B14079">
        <w:t xml:space="preserve"> iš esmės nesiskiria</w:t>
      </w:r>
      <w:r>
        <w:t>ntis</w:t>
      </w:r>
      <w:r w:rsidRPr="00B14079">
        <w:t xml:space="preserve"> nuo įprastos klinikinės praktikos Lietuvoje. </w:t>
      </w:r>
      <w:bookmarkStart w:id="2" w:name="_Hlk197085963"/>
    </w:p>
    <w:bookmarkEnd w:id="2"/>
    <w:p w14:paraId="37AC6341" w14:textId="77777777" w:rsidR="00D458CC" w:rsidRPr="00B14079" w:rsidRDefault="00D458CC" w:rsidP="00E46CFC">
      <w:pPr>
        <w:tabs>
          <w:tab w:val="left" w:pos="492"/>
        </w:tabs>
        <w:spacing w:line="276" w:lineRule="auto"/>
        <w:ind w:firstLine="425"/>
        <w:contextualSpacing/>
        <w:jc w:val="both"/>
        <w:outlineLvl w:val="1"/>
      </w:pPr>
    </w:p>
    <w:p w14:paraId="7DE09EB5" w14:textId="69958EFE" w:rsidR="00E03C3F" w:rsidRDefault="00CC7832" w:rsidP="00CC09D4">
      <w:pPr>
        <w:pStyle w:val="Sraopastraipa"/>
        <w:numPr>
          <w:ilvl w:val="0"/>
          <w:numId w:val="12"/>
        </w:numPr>
        <w:tabs>
          <w:tab w:val="left" w:pos="567"/>
        </w:tabs>
        <w:ind w:hanging="720"/>
        <w:rPr>
          <w:b/>
          <w:bCs/>
          <w:caps/>
        </w:rPr>
      </w:pPr>
      <w:r w:rsidRPr="008C2035">
        <w:rPr>
          <w:b/>
          <w:bCs/>
          <w:caps/>
        </w:rPr>
        <w:t xml:space="preserve">ekonominio vertinimo </w:t>
      </w:r>
      <w:r w:rsidR="002F0E4F" w:rsidRPr="008C2035">
        <w:rPr>
          <w:b/>
          <w:bCs/>
          <w:caps/>
        </w:rPr>
        <w:t>apibendrinimas</w:t>
      </w:r>
    </w:p>
    <w:p w14:paraId="299B95C5" w14:textId="7503FA48" w:rsidR="00003FA3" w:rsidRDefault="00003FA3" w:rsidP="00003FA3">
      <w:pPr>
        <w:tabs>
          <w:tab w:val="left" w:pos="567"/>
        </w:tabs>
        <w:rPr>
          <w:b/>
          <w:bCs/>
          <w:caps/>
        </w:rPr>
      </w:pPr>
    </w:p>
    <w:p w14:paraId="4105EAC0" w14:textId="77777777" w:rsidR="00003FA3" w:rsidRDefault="00003FA3" w:rsidP="00003FA3">
      <w:pPr>
        <w:spacing w:line="276" w:lineRule="auto"/>
        <w:ind w:firstLine="567"/>
        <w:jc w:val="both"/>
      </w:pPr>
      <w:r w:rsidRPr="005D291B">
        <w:t>Indikaciją su skyrimo sąlygomis atitinkančios populiacijos klinikinis veiksmingumas ir saugumas pagrįstas EMPOWER-Lung</w:t>
      </w:r>
      <w:r w:rsidRPr="005D291B">
        <w:rPr>
          <w:rFonts w:eastAsia="Arial"/>
        </w:rPr>
        <w:t>1, kuriame cemiplimabo klinikinis veiksmingumas lygintas su chemoterapijos gydymu,</w:t>
      </w:r>
      <w:r w:rsidRPr="005D291B">
        <w:rPr>
          <w:rFonts w:eastAsia="Arial"/>
          <w:b/>
        </w:rPr>
        <w:t xml:space="preserve"> </w:t>
      </w:r>
      <w:r w:rsidRPr="005D291B">
        <w:rPr>
          <w:rFonts w:eastAsia="Arial"/>
        </w:rPr>
        <w:t xml:space="preserve">populiacijoje pacientų, kuriems yra nustatytas </w:t>
      </w:r>
      <w:r w:rsidRPr="005D291B">
        <w:t>nesmulkialąstelinis plaučių vėžis (NSLPV), ekspresuojantis</w:t>
      </w:r>
      <w:r w:rsidRPr="001950C1">
        <w:t xml:space="preserve"> PD-L1 (≥ 50 % naviko ląstelių) be EAFR, ALK ar ROS1 </w:t>
      </w:r>
      <w:r>
        <w:t xml:space="preserve">ir kuriems </w:t>
      </w:r>
      <w:r w:rsidRPr="00CD534D">
        <w:t>metastazavęs</w:t>
      </w:r>
      <w:r w:rsidRPr="00CD534D">
        <w:rPr>
          <w:sz w:val="28"/>
          <w:szCs w:val="22"/>
        </w:rPr>
        <w:t xml:space="preserve"> </w:t>
      </w:r>
      <w:r w:rsidRPr="00542ACD">
        <w:t>NSLPV</w:t>
      </w:r>
      <w:r>
        <w:t xml:space="preserve"> arba l</w:t>
      </w:r>
      <w:r w:rsidRPr="00542ACD">
        <w:t>okaliai išplit</w:t>
      </w:r>
      <w:r>
        <w:t xml:space="preserve">ęs vėžys ir </w:t>
      </w:r>
      <w:r w:rsidRPr="00542ACD">
        <w:t>netinka galutinė chemoradioterapija</w:t>
      </w:r>
      <w:r>
        <w:t xml:space="preserve">. </w:t>
      </w:r>
      <w:r w:rsidRPr="005D291B">
        <w:rPr>
          <w:lang w:eastAsia="lt-LT"/>
        </w:rPr>
        <w:t>Kompensavimui teikiamos populiacijos duomenys lyginant su Lietuvoje kompensuojamu tinkamu palyginamuoju – pembrolizumabu ir kitais palyginamaisiais</w:t>
      </w:r>
      <w:r>
        <w:rPr>
          <w:lang w:eastAsia="lt-LT"/>
        </w:rPr>
        <w:t xml:space="preserve"> (atezolizumabu)</w:t>
      </w:r>
      <w:r w:rsidRPr="005D291B">
        <w:rPr>
          <w:lang w:eastAsia="lt-LT"/>
        </w:rPr>
        <w:t>, pagrįsti netiesiogine analize</w:t>
      </w:r>
      <w:r>
        <w:rPr>
          <w:lang w:eastAsia="lt-LT"/>
        </w:rPr>
        <w:t xml:space="preserve"> (TMA)</w:t>
      </w:r>
      <w:r w:rsidRPr="005D291B">
        <w:rPr>
          <w:lang w:eastAsia="lt-LT"/>
        </w:rPr>
        <w:t>.</w:t>
      </w:r>
    </w:p>
    <w:p w14:paraId="1B0B9F58" w14:textId="77777777" w:rsidR="00003FA3" w:rsidRDefault="00003FA3" w:rsidP="00003FA3">
      <w:pPr>
        <w:spacing w:line="276" w:lineRule="auto"/>
        <w:ind w:firstLine="567"/>
        <w:jc w:val="both"/>
      </w:pPr>
      <w:r w:rsidRPr="00A670E6">
        <w:rPr>
          <w:lang w:eastAsia="lt-LT"/>
        </w:rPr>
        <w:t xml:space="preserve">Apibendrinant klinikinius rezultatus, vertinama, kad cemiplimabo lyginant su </w:t>
      </w:r>
      <w:r>
        <w:rPr>
          <w:lang w:eastAsia="lt-LT"/>
        </w:rPr>
        <w:t>pagrindiniu palyginamuoju (</w:t>
      </w:r>
      <w:r w:rsidRPr="00A670E6">
        <w:rPr>
          <w:lang w:eastAsia="lt-LT"/>
        </w:rPr>
        <w:t>pembrolizumabu</w:t>
      </w:r>
      <w:r>
        <w:rPr>
          <w:lang w:eastAsia="lt-LT"/>
        </w:rPr>
        <w:t>)</w:t>
      </w:r>
      <w:r w:rsidRPr="00A670E6">
        <w:rPr>
          <w:lang w:eastAsia="lt-LT"/>
        </w:rPr>
        <w:t xml:space="preserve"> sveikatai sukuriama nauda yra panaši (plačiau detalizuojama klinikinėje dalyje) ir v</w:t>
      </w:r>
      <w:r w:rsidRPr="00A670E6">
        <w:t xml:space="preserve">adovaujantis Lietuvos Respublikos sveikatos apsaugos ministro 2002 m. balandžio 5 d. įsakymu Nr. 159 „Dėl Vaistinių preparatų ir medicinos pagalbos priemonių įrašymo į kompensavimo sąrašus ir jų keitimo tvarkos aprašo patvirtinimo“ patvirtintų „Paraiškos įrašyti vaistinį preparatą į kompensavimo sąrašus rengimo taisyklių 127 punktu“, </w:t>
      </w:r>
      <w:r w:rsidRPr="00A670E6">
        <w:rPr>
          <w:rFonts w:eastAsia="Arial"/>
        </w:rPr>
        <w:t xml:space="preserve">dėl iš esmės nesiskiriančio gydymo efektyvumo ir sukuriamos naudos pacientų sveikatai, lyginant su įprasta klinikine praktika yra atliekama kaštų mažinimo analizė (toliau – KMA), </w:t>
      </w:r>
      <w:r w:rsidRPr="00A670E6">
        <w:t xml:space="preserve">kurioje cemiplimabo ir </w:t>
      </w:r>
      <w:r>
        <w:t>palyginamojo gydymo</w:t>
      </w:r>
      <w:r w:rsidRPr="00A670E6">
        <w:rPr>
          <w:shd w:val="clear" w:color="auto" w:fill="FFFFFF"/>
        </w:rPr>
        <w:t xml:space="preserve"> kaštų lyginamoji analizė vertinama iš kaštų mažinimo perspektyvos (sveikatai sukuriama nauda yra nevertinama).</w:t>
      </w:r>
    </w:p>
    <w:p w14:paraId="27ECB369" w14:textId="77777777" w:rsidR="00003FA3" w:rsidRPr="00C0322F" w:rsidRDefault="00003FA3" w:rsidP="00003FA3">
      <w:pPr>
        <w:spacing w:line="276" w:lineRule="auto"/>
        <w:ind w:firstLine="567"/>
        <w:jc w:val="both"/>
      </w:pPr>
      <w:r w:rsidRPr="007231EA">
        <w:rPr>
          <w:iCs/>
          <w:lang w:eastAsia="lt-LT"/>
        </w:rPr>
        <w:t>Tarnyba įprastinę atvejo analizę atlieka cemiplimabo kaštus lyginant</w:t>
      </w:r>
      <w:r>
        <w:rPr>
          <w:iCs/>
          <w:lang w:eastAsia="lt-LT"/>
        </w:rPr>
        <w:t xml:space="preserve"> su</w:t>
      </w:r>
      <w:r w:rsidRPr="007231EA">
        <w:rPr>
          <w:iCs/>
          <w:lang w:eastAsia="lt-LT"/>
        </w:rPr>
        <w:t xml:space="preserve"> pembrolizumabo</w:t>
      </w:r>
      <w:r>
        <w:rPr>
          <w:iCs/>
          <w:lang w:eastAsia="lt-LT"/>
        </w:rPr>
        <w:t xml:space="preserve"> (monoterapijos) vienerių metų laikotarpiu.</w:t>
      </w:r>
      <w:r w:rsidRPr="00F00F13">
        <w:rPr>
          <w:iCs/>
          <w:lang w:eastAsia="lt-LT"/>
        </w:rPr>
        <w:t xml:space="preserve"> </w:t>
      </w:r>
      <w:r>
        <w:rPr>
          <w:iCs/>
          <w:lang w:eastAsia="lt-LT"/>
        </w:rPr>
        <w:t>A</w:t>
      </w:r>
      <w:r w:rsidRPr="00665191">
        <w:rPr>
          <w:iCs/>
          <w:lang w:eastAsia="lt-LT"/>
        </w:rPr>
        <w:t>tsižvelgiant, kad</w:t>
      </w:r>
      <w:r>
        <w:rPr>
          <w:iCs/>
          <w:lang w:eastAsia="lt-LT"/>
        </w:rPr>
        <w:t>: 1)</w:t>
      </w:r>
      <w:r w:rsidRPr="00665191">
        <w:rPr>
          <w:iCs/>
          <w:lang w:eastAsia="lt-LT"/>
        </w:rPr>
        <w:t xml:space="preserve"> pirmaisiais ir sekančiais </w:t>
      </w:r>
      <w:r>
        <w:rPr>
          <w:iCs/>
          <w:lang w:eastAsia="lt-LT"/>
        </w:rPr>
        <w:t xml:space="preserve">metais VP dozavimas nesiskiria; 2) </w:t>
      </w:r>
      <w:r w:rsidRPr="00EF34CE">
        <w:rPr>
          <w:lang w:eastAsia="lt-LT"/>
        </w:rPr>
        <w:t>gydymo trukmė cemiplimabo ir pembrolizumabo yra laikoma panašia</w:t>
      </w:r>
      <w:r>
        <w:rPr>
          <w:lang w:eastAsia="lt-LT"/>
        </w:rPr>
        <w:t xml:space="preserve"> (8.2 vs 10.3 ir 7.1</w:t>
      </w:r>
      <w:r w:rsidRPr="00EF34CE">
        <w:rPr>
          <w:lang w:eastAsia="lt-LT"/>
        </w:rPr>
        <w:t>)</w:t>
      </w:r>
      <w:r>
        <w:rPr>
          <w:lang w:eastAsia="lt-LT"/>
        </w:rPr>
        <w:t xml:space="preserve"> ir lyginant su kitais aktualiais palyginamaisiais (atezolizumabu) stebima, kad IBLP mediana taip pat panaši (8.1 mėn.); 3) visų VP IBLP medianos ne ilgesnės nei vieneri metai; yra vertinama, kad </w:t>
      </w:r>
      <w:r>
        <w:rPr>
          <w:lang w:val="en-US" w:eastAsia="lt-LT"/>
        </w:rPr>
        <w:t>5 m. laiko</w:t>
      </w:r>
      <w:r>
        <w:rPr>
          <w:lang w:eastAsia="lt-LT"/>
        </w:rPr>
        <w:t xml:space="preserve"> perspektyva nėra tikslinga ir </w:t>
      </w:r>
      <w:r w:rsidRPr="00665191">
        <w:rPr>
          <w:iCs/>
          <w:lang w:eastAsia="lt-LT"/>
        </w:rPr>
        <w:t>KMA apima vienerių metų laikotarpį.</w:t>
      </w:r>
    </w:p>
    <w:p w14:paraId="3EAB7EB7" w14:textId="77777777" w:rsidR="00003FA3" w:rsidRDefault="00003FA3" w:rsidP="00003FA3">
      <w:pPr>
        <w:spacing w:line="276" w:lineRule="auto"/>
        <w:jc w:val="both"/>
        <w:rPr>
          <w:iCs/>
          <w:lang w:eastAsia="lt-LT"/>
        </w:rPr>
      </w:pPr>
      <w:r>
        <w:rPr>
          <w:iCs/>
          <w:lang w:eastAsia="lt-LT"/>
        </w:rPr>
        <w:t xml:space="preserve">KMA įtraukiami tik skirtumus lemiantys kaštai: vaistinių preparatų įsigijimo bei dėl gydymo VP sukeliamo nepageidaujamo poveikio (dažnis pagrįstas klinikiniais tyrimais, kaštai apskaičiuoti pagal DRG </w:t>
      </w:r>
      <w:r w:rsidRPr="00A670E6">
        <w:rPr>
          <w:iCs/>
          <w:lang w:eastAsia="lt-LT"/>
        </w:rPr>
        <w:t>2024 m II pusm. įkainius ir 2023 m. atvejus</w:t>
      </w:r>
      <w:r>
        <w:rPr>
          <w:iCs/>
          <w:lang w:eastAsia="lt-LT"/>
        </w:rPr>
        <w:t>).</w:t>
      </w:r>
      <w:r w:rsidRPr="009117DC">
        <w:rPr>
          <w:iCs/>
          <w:lang w:eastAsia="lt-LT"/>
        </w:rPr>
        <w:t xml:space="preserve"> </w:t>
      </w:r>
      <w:r w:rsidRPr="00A670E6">
        <w:rPr>
          <w:iCs/>
          <w:lang w:eastAsia="lt-LT"/>
        </w:rPr>
        <w:t>Gydymo ir skyrimo kaštai neįtraukiami. Laikomasi prielaidos, kad dėl vienodo vaistų efektyvumo bei vienodo periodiškumo skyrimo (skiriama dienos stacionare) kaštai bus panašūs ir esminės įtakos KMA rezultatui neturi.</w:t>
      </w:r>
    </w:p>
    <w:p w14:paraId="5428F577" w14:textId="337EE509" w:rsidR="00003FA3" w:rsidRDefault="00003FA3" w:rsidP="00003FA3">
      <w:pPr>
        <w:spacing w:line="276" w:lineRule="auto"/>
        <w:ind w:firstLine="720"/>
        <w:jc w:val="both"/>
        <w:rPr>
          <w:iCs/>
          <w:lang w:eastAsia="lt-LT"/>
        </w:rPr>
      </w:pPr>
      <w:r>
        <w:rPr>
          <w:iCs/>
          <w:lang w:eastAsia="lt-LT"/>
        </w:rPr>
        <w:t>Tarnyba pateikia pagrindinę ekonominę analizę, kai taikoma Pareiškėjo teikiama cemiplimabo kaina (</w:t>
      </w:r>
      <w:r w:rsidRPr="00B66FDF">
        <w:rPr>
          <w:color w:val="000000"/>
          <w:lang w:eastAsia="lt-LT"/>
        </w:rPr>
        <w:t>350</w:t>
      </w:r>
      <w:r>
        <w:rPr>
          <w:color w:val="000000"/>
          <w:lang w:eastAsia="lt-LT"/>
        </w:rPr>
        <w:t xml:space="preserve">mg N1 pakuotės kaina: </w:t>
      </w:r>
      <w:r w:rsidR="00140F7C">
        <w:rPr>
          <w:color w:val="000000"/>
          <w:lang w:eastAsia="lt-LT"/>
        </w:rPr>
        <w:t>****</w:t>
      </w:r>
      <w:r>
        <w:rPr>
          <w:color w:val="000000"/>
          <w:lang w:eastAsia="lt-LT"/>
        </w:rPr>
        <w:t xml:space="preserve"> Eur) ir </w:t>
      </w:r>
      <w:r>
        <w:rPr>
          <w:color w:val="000000" w:themeColor="text1"/>
          <w:lang w:eastAsia="lt-LT"/>
        </w:rPr>
        <w:t>pagal sutartinę su VLK kainą (</w:t>
      </w:r>
      <w:r w:rsidRPr="00B66FDF">
        <w:rPr>
          <w:color w:val="000000"/>
          <w:lang w:eastAsia="lt-LT"/>
        </w:rPr>
        <w:t>350</w:t>
      </w:r>
      <w:r>
        <w:rPr>
          <w:color w:val="000000"/>
          <w:lang w:eastAsia="lt-LT"/>
        </w:rPr>
        <w:t xml:space="preserve">mg N1 pakuotės kaina: </w:t>
      </w:r>
      <w:r w:rsidR="00C656E1">
        <w:rPr>
          <w:u w:val="single"/>
        </w:rPr>
        <w:t>****</w:t>
      </w:r>
      <w:r>
        <w:rPr>
          <w:u w:val="single"/>
        </w:rPr>
        <w:t xml:space="preserve"> Eur.; </w:t>
      </w:r>
      <w:r w:rsidR="00C656E1">
        <w:t>****</w:t>
      </w:r>
      <w:r>
        <w:t xml:space="preserve"> sutarties Nr. </w:t>
      </w:r>
      <w:r w:rsidR="00C656E1">
        <w:t>****</w:t>
      </w:r>
      <w:r w:rsidR="00753871">
        <w:t xml:space="preserve"> </w:t>
      </w:r>
      <w:r>
        <w:t xml:space="preserve">pagrindu, Tarnybai </w:t>
      </w:r>
      <w:r w:rsidRPr="00176AD6">
        <w:t>pa</w:t>
      </w:r>
      <w:r>
        <w:t>teiktas patvirtinamasis kainos užtikrinimo raštas).</w:t>
      </w:r>
      <w:r>
        <w:rPr>
          <w:iCs/>
          <w:lang w:eastAsia="lt-LT"/>
        </w:rPr>
        <w:t xml:space="preserve"> </w:t>
      </w:r>
      <w:r>
        <w:t>KMA taikoma palyginamojo gydymo pembrolizumabo konfidenciali kaina (su PGS, VLK duomenys).</w:t>
      </w:r>
      <w:r>
        <w:rPr>
          <w:iCs/>
          <w:lang w:eastAsia="lt-LT"/>
        </w:rPr>
        <w:t xml:space="preserve"> </w:t>
      </w:r>
      <w:r w:rsidRPr="00A670E6">
        <w:t>Dozavimas ir gydymo trukmė ekonominėje analizėje atitinka klinikiniuose įrodymuose pateiktą informaciją. KMA taikoma pagal vaistinių preparatų charakteristikų santraukose nurodomą.</w:t>
      </w:r>
    </w:p>
    <w:p w14:paraId="41F6636C" w14:textId="152FEAA7" w:rsidR="000A3DCB" w:rsidRDefault="000A3DCB" w:rsidP="000A3DCB">
      <w:pPr>
        <w:spacing w:line="276" w:lineRule="auto"/>
        <w:ind w:firstLine="720"/>
        <w:jc w:val="both"/>
        <w:rPr>
          <w:color w:val="000000"/>
          <w:lang w:eastAsia="lt-LT"/>
        </w:rPr>
      </w:pPr>
      <w:r>
        <w:rPr>
          <w:rFonts w:eastAsia="Arial"/>
        </w:rPr>
        <w:t>Gautais KMA duomenimis</w:t>
      </w:r>
      <w:r w:rsidRPr="00A26637">
        <w:rPr>
          <w:rFonts w:eastAsia="Arial"/>
        </w:rPr>
        <w:t xml:space="preserve"> taikant cemiplimabo </w:t>
      </w:r>
      <w:r>
        <w:rPr>
          <w:rFonts w:eastAsia="Arial"/>
        </w:rPr>
        <w:t>sutartinę</w:t>
      </w:r>
      <w:r w:rsidRPr="00A26637">
        <w:rPr>
          <w:rFonts w:eastAsia="Arial"/>
        </w:rPr>
        <w:t xml:space="preserve"> kainą (</w:t>
      </w:r>
      <w:r w:rsidRPr="00B66FDF">
        <w:rPr>
          <w:color w:val="000000"/>
          <w:lang w:eastAsia="lt-LT"/>
        </w:rPr>
        <w:t xml:space="preserve">350mg N1 pakuotės kaina: </w:t>
      </w:r>
      <w:r w:rsidR="00A638AA">
        <w:rPr>
          <w:color w:val="000000"/>
          <w:u w:val="single"/>
          <w:lang w:eastAsia="lt-LT"/>
        </w:rPr>
        <w:t>****</w:t>
      </w:r>
      <w:r w:rsidRPr="00A26637">
        <w:rPr>
          <w:color w:val="000000"/>
          <w:u w:val="single"/>
          <w:lang w:eastAsia="lt-LT"/>
        </w:rPr>
        <w:t xml:space="preserve"> </w:t>
      </w:r>
      <w:r w:rsidRPr="00A26637">
        <w:rPr>
          <w:u w:val="single"/>
          <w:lang w:eastAsia="lt-LT"/>
        </w:rPr>
        <w:t>Eur</w:t>
      </w:r>
      <w:r>
        <w:rPr>
          <w:u w:val="single"/>
          <w:lang w:eastAsia="lt-LT"/>
        </w:rPr>
        <w:t>.</w:t>
      </w:r>
      <w:r>
        <w:rPr>
          <w:color w:val="000000"/>
          <w:lang w:eastAsia="lt-LT"/>
        </w:rPr>
        <w:t xml:space="preserve">) ir konfidencialią palyginamojo pembrolizumabo kainą (su PGS) </w:t>
      </w:r>
      <w:r w:rsidRPr="00B66FDF">
        <w:rPr>
          <w:color w:val="000000"/>
          <w:lang w:eastAsia="lt-LT"/>
        </w:rPr>
        <w:t>bendrųjų kaštų skirtumas per 1 metų gydymo laikotarpį</w:t>
      </w:r>
      <w:r>
        <w:rPr>
          <w:color w:val="000000"/>
          <w:lang w:eastAsia="lt-LT"/>
        </w:rPr>
        <w:t xml:space="preserve"> yra mažesnis </w:t>
      </w:r>
      <w:r w:rsidRPr="00AA1CF6">
        <w:rPr>
          <w:color w:val="000000"/>
          <w:lang w:eastAsia="lt-LT"/>
        </w:rPr>
        <w:t>(-***</w:t>
      </w:r>
      <w:r w:rsidRPr="002F424D">
        <w:rPr>
          <w:color w:val="000000"/>
          <w:lang w:eastAsia="lt-LT"/>
        </w:rPr>
        <w:t xml:space="preserve"> Eur.</w:t>
      </w:r>
      <w:r>
        <w:rPr>
          <w:color w:val="000000"/>
          <w:lang w:eastAsia="lt-LT"/>
        </w:rPr>
        <w:t xml:space="preserve">) ir yra pasiekiamas kaštų mažinimas, t.y. cemiplimabas yra pigesnė </w:t>
      </w:r>
      <w:r w:rsidRPr="00AA1CF6">
        <w:rPr>
          <w:color w:val="000000"/>
          <w:lang w:eastAsia="lt-LT"/>
        </w:rPr>
        <w:t>(-***</w:t>
      </w:r>
      <w:r>
        <w:rPr>
          <w:color w:val="000000"/>
          <w:lang w:eastAsia="lt-LT"/>
        </w:rPr>
        <w:t xml:space="preserve"> proc.) gydymo alternatyva.</w:t>
      </w:r>
    </w:p>
    <w:p w14:paraId="4BBE619B" w14:textId="77777777" w:rsidR="000A3DCB" w:rsidRPr="00003FA3" w:rsidRDefault="000A3DCB" w:rsidP="000A3DCB">
      <w:pPr>
        <w:spacing w:line="276" w:lineRule="auto"/>
        <w:ind w:firstLine="720"/>
        <w:jc w:val="both"/>
        <w:rPr>
          <w:iCs/>
          <w:lang w:eastAsia="lt-LT"/>
        </w:rPr>
      </w:pPr>
    </w:p>
    <w:p w14:paraId="42E5F5D9" w14:textId="16818E03" w:rsidR="008C2035" w:rsidRPr="00003FA3" w:rsidRDefault="008C2035" w:rsidP="008C2035">
      <w:pPr>
        <w:tabs>
          <w:tab w:val="left" w:pos="567"/>
        </w:tabs>
        <w:jc w:val="center"/>
        <w:rPr>
          <w:lang w:eastAsia="lt-LT"/>
        </w:rPr>
      </w:pPr>
      <w:r w:rsidRPr="00003FA3">
        <w:rPr>
          <w:lang w:eastAsia="lt-LT"/>
        </w:rPr>
        <w:t xml:space="preserve">Pagrindinis ekonominės analizės rezultatas, </w:t>
      </w:r>
    </w:p>
    <w:p w14:paraId="0B156F1C" w14:textId="135657D0" w:rsidR="008C2035" w:rsidRDefault="008C2035" w:rsidP="008C2035">
      <w:pPr>
        <w:tabs>
          <w:tab w:val="left" w:pos="567"/>
        </w:tabs>
        <w:jc w:val="center"/>
        <w:rPr>
          <w:u w:val="single"/>
          <w:lang w:eastAsia="lt-LT"/>
        </w:rPr>
      </w:pPr>
      <w:r w:rsidRPr="00003FA3">
        <w:rPr>
          <w:u w:val="single"/>
          <w:lang w:eastAsia="lt-LT"/>
        </w:rPr>
        <w:t>kai taikoma sutarties su VLK kaina (</w:t>
      </w:r>
      <w:r w:rsidRPr="00003FA3">
        <w:rPr>
          <w:lang w:eastAsia="lt-LT"/>
        </w:rPr>
        <w:t xml:space="preserve">cemiplimabas, </w:t>
      </w:r>
      <w:r w:rsidRPr="00003FA3">
        <w:rPr>
          <w:color w:val="000000"/>
          <w:lang w:eastAsia="lt-LT"/>
        </w:rPr>
        <w:t xml:space="preserve">350mg N1 - </w:t>
      </w:r>
      <w:r w:rsidR="00A638AA">
        <w:rPr>
          <w:color w:val="000000"/>
          <w:u w:val="single"/>
          <w:lang w:eastAsia="lt-LT"/>
        </w:rPr>
        <w:t>****</w:t>
      </w:r>
      <w:r w:rsidRPr="00003FA3">
        <w:rPr>
          <w:color w:val="000000"/>
          <w:u w:val="single"/>
          <w:lang w:eastAsia="lt-LT"/>
        </w:rPr>
        <w:t xml:space="preserve"> </w:t>
      </w:r>
      <w:r w:rsidRPr="00003FA3">
        <w:rPr>
          <w:u w:val="single"/>
          <w:lang w:eastAsia="lt-LT"/>
        </w:rPr>
        <w:t>Eur.)</w:t>
      </w:r>
    </w:p>
    <w:p w14:paraId="50544084" w14:textId="77777777" w:rsidR="008C2035" w:rsidRPr="00A26637" w:rsidRDefault="008C2035" w:rsidP="008C2035">
      <w:pPr>
        <w:tabs>
          <w:tab w:val="left" w:pos="567"/>
        </w:tabs>
        <w:jc w:val="center"/>
        <w:rPr>
          <w:i/>
          <w:iCs/>
          <w:color w:val="00B050"/>
          <w:u w:val="single"/>
          <w:lang w:eastAsia="lt-LT"/>
        </w:rPr>
      </w:pPr>
    </w:p>
    <w:tbl>
      <w:tblPr>
        <w:tblStyle w:val="Summarybox1"/>
        <w:tblW w:w="9556" w:type="dxa"/>
        <w:tblLook w:val="04A0" w:firstRow="1" w:lastRow="0" w:firstColumn="1" w:lastColumn="0" w:noHBand="0" w:noVBand="1"/>
      </w:tblPr>
      <w:tblGrid>
        <w:gridCol w:w="3381"/>
        <w:gridCol w:w="1723"/>
        <w:gridCol w:w="2226"/>
        <w:gridCol w:w="2226"/>
      </w:tblGrid>
      <w:tr w:rsidR="00003FA3" w:rsidRPr="00753871" w14:paraId="1773A0E3" w14:textId="77777777" w:rsidTr="00836B4E">
        <w:trPr>
          <w:trHeight w:val="297"/>
        </w:trPr>
        <w:tc>
          <w:tcPr>
            <w:tcW w:w="3381" w:type="dxa"/>
            <w:noWrap/>
            <w:hideMark/>
          </w:tcPr>
          <w:p w14:paraId="2C2BC669" w14:textId="77777777" w:rsidR="00003FA3" w:rsidRPr="002F424D" w:rsidRDefault="00003FA3" w:rsidP="00836B4E">
            <w:pPr>
              <w:rPr>
                <w:lang w:eastAsia="lt-LT"/>
              </w:rPr>
            </w:pPr>
            <w:r w:rsidRPr="002F424D">
              <w:rPr>
                <w:lang w:eastAsia="lt-LT"/>
              </w:rPr>
              <w:t>Kategorijos</w:t>
            </w:r>
          </w:p>
        </w:tc>
        <w:tc>
          <w:tcPr>
            <w:tcW w:w="1723" w:type="dxa"/>
            <w:noWrap/>
            <w:hideMark/>
          </w:tcPr>
          <w:p w14:paraId="266772C0" w14:textId="77777777" w:rsidR="00003FA3" w:rsidRPr="002F424D" w:rsidRDefault="00003FA3" w:rsidP="00836B4E">
            <w:pPr>
              <w:jc w:val="center"/>
              <w:rPr>
                <w:lang w:eastAsia="lt-LT"/>
              </w:rPr>
            </w:pPr>
            <w:r>
              <w:rPr>
                <w:lang w:eastAsia="lt-LT"/>
              </w:rPr>
              <w:t>Cemi</w:t>
            </w:r>
            <w:r w:rsidRPr="002F424D">
              <w:rPr>
                <w:lang w:eastAsia="lt-LT"/>
              </w:rPr>
              <w:t>plimabas</w:t>
            </w:r>
          </w:p>
        </w:tc>
        <w:tc>
          <w:tcPr>
            <w:tcW w:w="2226" w:type="dxa"/>
            <w:noWrap/>
            <w:hideMark/>
          </w:tcPr>
          <w:p w14:paraId="69AA09F6" w14:textId="77777777" w:rsidR="00003FA3" w:rsidRPr="002F424D" w:rsidRDefault="00003FA3" w:rsidP="00836B4E">
            <w:pPr>
              <w:jc w:val="center"/>
              <w:rPr>
                <w:lang w:eastAsia="lt-LT"/>
              </w:rPr>
            </w:pPr>
            <w:r>
              <w:rPr>
                <w:lang w:eastAsia="lt-LT"/>
              </w:rPr>
              <w:t>Pembrolizumabas</w:t>
            </w:r>
          </w:p>
        </w:tc>
        <w:tc>
          <w:tcPr>
            <w:tcW w:w="2226" w:type="dxa"/>
          </w:tcPr>
          <w:p w14:paraId="3B4D16E2" w14:textId="77777777" w:rsidR="00003FA3" w:rsidRDefault="00003FA3" w:rsidP="00836B4E">
            <w:pPr>
              <w:jc w:val="center"/>
              <w:rPr>
                <w:lang w:eastAsia="lt-LT"/>
              </w:rPr>
            </w:pPr>
            <w:r>
              <w:rPr>
                <w:lang w:eastAsia="lt-LT"/>
              </w:rPr>
              <w:t>Skirtumas, Eur. (proc.)</w:t>
            </w:r>
          </w:p>
        </w:tc>
      </w:tr>
      <w:tr w:rsidR="00003FA3" w:rsidRPr="002B7E6D" w14:paraId="6FA6F068" w14:textId="77777777" w:rsidTr="00836B4E">
        <w:trPr>
          <w:trHeight w:val="281"/>
        </w:trPr>
        <w:tc>
          <w:tcPr>
            <w:tcW w:w="3381" w:type="dxa"/>
            <w:noWrap/>
            <w:hideMark/>
          </w:tcPr>
          <w:p w14:paraId="49EFF490" w14:textId="77777777" w:rsidR="00003FA3" w:rsidRPr="002F424D" w:rsidRDefault="00003FA3" w:rsidP="00836B4E">
            <w:pPr>
              <w:rPr>
                <w:lang w:eastAsia="lt-LT"/>
              </w:rPr>
            </w:pPr>
            <w:r>
              <w:rPr>
                <w:lang w:eastAsia="lt-LT"/>
              </w:rPr>
              <w:t>Vaistų įsigijimo kaštai, Eur.</w:t>
            </w:r>
          </w:p>
        </w:tc>
        <w:tc>
          <w:tcPr>
            <w:tcW w:w="1723" w:type="dxa"/>
            <w:noWrap/>
            <w:vAlign w:val="center"/>
          </w:tcPr>
          <w:p w14:paraId="158618D3" w14:textId="119BAC96" w:rsidR="00003FA3" w:rsidRPr="002F424D" w:rsidRDefault="00A638AA" w:rsidP="00836B4E">
            <w:pPr>
              <w:jc w:val="center"/>
              <w:rPr>
                <w:lang w:eastAsia="lt-LT"/>
              </w:rPr>
            </w:pPr>
            <w:r>
              <w:rPr>
                <w:color w:val="000000"/>
                <w:sz w:val="20"/>
              </w:rPr>
              <w:t>****</w:t>
            </w:r>
          </w:p>
        </w:tc>
        <w:tc>
          <w:tcPr>
            <w:tcW w:w="2226" w:type="dxa"/>
            <w:noWrap/>
            <w:vAlign w:val="center"/>
          </w:tcPr>
          <w:p w14:paraId="54730854" w14:textId="466DD5F1" w:rsidR="00003FA3" w:rsidRPr="002F424D" w:rsidRDefault="000A3DCB" w:rsidP="00836B4E">
            <w:pPr>
              <w:jc w:val="center"/>
              <w:rPr>
                <w:lang w:eastAsia="lt-LT"/>
              </w:rPr>
            </w:pPr>
            <w:r w:rsidRPr="00AA1CF6">
              <w:rPr>
                <w:color w:val="000000"/>
                <w:sz w:val="20"/>
              </w:rPr>
              <w:t>***</w:t>
            </w:r>
          </w:p>
        </w:tc>
        <w:tc>
          <w:tcPr>
            <w:tcW w:w="2226" w:type="dxa"/>
            <w:vAlign w:val="center"/>
          </w:tcPr>
          <w:p w14:paraId="5C1368C3" w14:textId="33BB2B7D" w:rsidR="00003FA3" w:rsidRPr="002F424D" w:rsidRDefault="000A3DCB" w:rsidP="00836B4E">
            <w:pPr>
              <w:jc w:val="center"/>
              <w:rPr>
                <w:lang w:eastAsia="lt-LT"/>
              </w:rPr>
            </w:pPr>
            <w:r w:rsidRPr="00AA1CF6">
              <w:rPr>
                <w:color w:val="000000"/>
                <w:sz w:val="20"/>
              </w:rPr>
              <w:t>-***</w:t>
            </w:r>
          </w:p>
        </w:tc>
      </w:tr>
      <w:tr w:rsidR="00003FA3" w:rsidRPr="002B7E6D" w14:paraId="05CE64DB" w14:textId="77777777" w:rsidTr="00836B4E">
        <w:trPr>
          <w:trHeight w:val="266"/>
        </w:trPr>
        <w:tc>
          <w:tcPr>
            <w:tcW w:w="3381" w:type="dxa"/>
            <w:noWrap/>
            <w:hideMark/>
          </w:tcPr>
          <w:p w14:paraId="7261B160" w14:textId="77777777" w:rsidR="00003FA3" w:rsidRPr="00A26637" w:rsidRDefault="00003FA3" w:rsidP="00836B4E">
            <w:pPr>
              <w:rPr>
                <w:bCs/>
                <w:lang w:eastAsia="lt-LT"/>
              </w:rPr>
            </w:pPr>
            <w:r>
              <w:rPr>
                <w:bCs/>
                <w:lang w:eastAsia="lt-LT"/>
              </w:rPr>
              <w:t>Nepageidaujamo poveikio kaštai</w:t>
            </w:r>
          </w:p>
        </w:tc>
        <w:tc>
          <w:tcPr>
            <w:tcW w:w="1723" w:type="dxa"/>
            <w:noWrap/>
            <w:vAlign w:val="center"/>
          </w:tcPr>
          <w:p w14:paraId="28DEA9C9" w14:textId="77777777" w:rsidR="00003FA3" w:rsidRPr="00A26637" w:rsidRDefault="00003FA3" w:rsidP="00836B4E">
            <w:pPr>
              <w:jc w:val="center"/>
              <w:rPr>
                <w:bCs/>
                <w:lang w:eastAsia="lt-LT"/>
              </w:rPr>
            </w:pPr>
            <w:r>
              <w:rPr>
                <w:color w:val="000000"/>
                <w:sz w:val="20"/>
              </w:rPr>
              <w:t>42.00</w:t>
            </w:r>
          </w:p>
        </w:tc>
        <w:tc>
          <w:tcPr>
            <w:tcW w:w="2226" w:type="dxa"/>
            <w:noWrap/>
            <w:vAlign w:val="center"/>
          </w:tcPr>
          <w:p w14:paraId="01244BE1" w14:textId="77777777" w:rsidR="00003FA3" w:rsidRPr="00A26637" w:rsidRDefault="00003FA3" w:rsidP="00836B4E">
            <w:pPr>
              <w:jc w:val="center"/>
              <w:rPr>
                <w:bCs/>
                <w:lang w:eastAsia="lt-LT"/>
              </w:rPr>
            </w:pPr>
            <w:r>
              <w:rPr>
                <w:color w:val="000000"/>
                <w:sz w:val="20"/>
              </w:rPr>
              <w:t>62.53</w:t>
            </w:r>
          </w:p>
        </w:tc>
        <w:tc>
          <w:tcPr>
            <w:tcW w:w="2226" w:type="dxa"/>
            <w:vAlign w:val="center"/>
          </w:tcPr>
          <w:p w14:paraId="687FB1A1" w14:textId="77777777" w:rsidR="00003FA3" w:rsidRPr="00A26637" w:rsidRDefault="00003FA3" w:rsidP="00836B4E">
            <w:pPr>
              <w:jc w:val="center"/>
              <w:rPr>
                <w:bCs/>
                <w:lang w:eastAsia="lt-LT"/>
              </w:rPr>
            </w:pPr>
            <w:r>
              <w:rPr>
                <w:color w:val="000000"/>
                <w:sz w:val="20"/>
              </w:rPr>
              <w:t>-20.53</w:t>
            </w:r>
          </w:p>
        </w:tc>
      </w:tr>
      <w:tr w:rsidR="00003FA3" w:rsidRPr="002B7E6D" w14:paraId="089DF912" w14:textId="77777777" w:rsidTr="00836B4E">
        <w:trPr>
          <w:trHeight w:val="266"/>
        </w:trPr>
        <w:tc>
          <w:tcPr>
            <w:tcW w:w="3381" w:type="dxa"/>
            <w:noWrap/>
          </w:tcPr>
          <w:p w14:paraId="59FFCBB2" w14:textId="77777777" w:rsidR="00003FA3" w:rsidRPr="00A26637" w:rsidRDefault="00003FA3" w:rsidP="00836B4E">
            <w:pPr>
              <w:rPr>
                <w:bCs/>
                <w:lang w:eastAsia="lt-LT"/>
              </w:rPr>
            </w:pPr>
            <w:r w:rsidRPr="00A26637">
              <w:rPr>
                <w:bCs/>
                <w:lang w:eastAsia="lt-LT"/>
              </w:rPr>
              <w:t>Viso kaštai, Eur.</w:t>
            </w:r>
          </w:p>
        </w:tc>
        <w:tc>
          <w:tcPr>
            <w:tcW w:w="1723" w:type="dxa"/>
            <w:noWrap/>
            <w:vAlign w:val="center"/>
          </w:tcPr>
          <w:p w14:paraId="453656F6" w14:textId="763DD729" w:rsidR="00003FA3" w:rsidRDefault="00A638AA" w:rsidP="00836B4E">
            <w:pPr>
              <w:jc w:val="center"/>
              <w:rPr>
                <w:color w:val="000000"/>
                <w:sz w:val="20"/>
              </w:rPr>
            </w:pPr>
            <w:r>
              <w:rPr>
                <w:b/>
                <w:bCs/>
                <w:color w:val="000000"/>
                <w:sz w:val="20"/>
              </w:rPr>
              <w:t>****</w:t>
            </w:r>
          </w:p>
        </w:tc>
        <w:tc>
          <w:tcPr>
            <w:tcW w:w="2226" w:type="dxa"/>
            <w:noWrap/>
            <w:vAlign w:val="center"/>
          </w:tcPr>
          <w:p w14:paraId="50B2F967" w14:textId="2E8028C9" w:rsidR="00003FA3" w:rsidRDefault="000A3DCB" w:rsidP="00836B4E">
            <w:pPr>
              <w:jc w:val="center"/>
              <w:rPr>
                <w:color w:val="000000"/>
                <w:sz w:val="20"/>
              </w:rPr>
            </w:pPr>
            <w:r w:rsidRPr="00AA1CF6">
              <w:rPr>
                <w:b/>
                <w:bCs/>
                <w:color w:val="000000"/>
                <w:sz w:val="20"/>
              </w:rPr>
              <w:t>***</w:t>
            </w:r>
          </w:p>
        </w:tc>
        <w:tc>
          <w:tcPr>
            <w:tcW w:w="2226" w:type="dxa"/>
            <w:vAlign w:val="center"/>
          </w:tcPr>
          <w:p w14:paraId="04DD3D51" w14:textId="52BB89DA" w:rsidR="000A3DCB" w:rsidRDefault="000A3DCB" w:rsidP="000A3DCB">
            <w:pPr>
              <w:jc w:val="center"/>
              <w:rPr>
                <w:b/>
                <w:bCs/>
                <w:color w:val="000000"/>
                <w:sz w:val="20"/>
              </w:rPr>
            </w:pPr>
            <w:r>
              <w:rPr>
                <w:b/>
                <w:bCs/>
                <w:color w:val="000000"/>
                <w:sz w:val="20"/>
              </w:rPr>
              <w:t xml:space="preserve"> -*** Eur.</w:t>
            </w:r>
          </w:p>
          <w:p w14:paraId="6C515E5D" w14:textId="3685FD94" w:rsidR="00003FA3" w:rsidRDefault="000A3DCB" w:rsidP="000A3DCB">
            <w:pPr>
              <w:jc w:val="center"/>
              <w:rPr>
                <w:color w:val="000000"/>
                <w:sz w:val="20"/>
              </w:rPr>
            </w:pPr>
            <w:r w:rsidRPr="00AA1CF6">
              <w:rPr>
                <w:b/>
                <w:bCs/>
                <w:color w:val="000000"/>
                <w:sz w:val="20"/>
              </w:rPr>
              <w:t>- ***</w:t>
            </w:r>
            <w:r>
              <w:rPr>
                <w:b/>
                <w:bCs/>
                <w:color w:val="000000"/>
                <w:sz w:val="20"/>
              </w:rPr>
              <w:t xml:space="preserve"> proc.</w:t>
            </w:r>
          </w:p>
        </w:tc>
      </w:tr>
    </w:tbl>
    <w:p w14:paraId="234C7F22" w14:textId="77777777" w:rsidR="008C2035" w:rsidRPr="00E14E76" w:rsidRDefault="008C2035" w:rsidP="008C2035">
      <w:pPr>
        <w:spacing w:line="276" w:lineRule="auto"/>
        <w:jc w:val="both"/>
        <w:rPr>
          <w:color w:val="000000"/>
          <w:lang w:eastAsia="lt-LT"/>
        </w:rPr>
      </w:pPr>
    </w:p>
    <w:p w14:paraId="4703294A" w14:textId="77777777" w:rsidR="00003FA3" w:rsidRPr="00EF5C0C" w:rsidRDefault="00003FA3" w:rsidP="00003FA3">
      <w:pPr>
        <w:spacing w:line="276" w:lineRule="auto"/>
        <w:ind w:firstLine="720"/>
        <w:jc w:val="both"/>
        <w:rPr>
          <w:iCs/>
          <w:lang w:eastAsia="lt-LT"/>
        </w:rPr>
      </w:pPr>
      <w:r w:rsidRPr="00250ECB">
        <w:t>Vertinant atskirų analizės elementų (</w:t>
      </w:r>
      <w:r w:rsidRPr="00250ECB">
        <w:rPr>
          <w:iCs/>
          <w:lang w:eastAsia="lt-LT"/>
        </w:rPr>
        <w:t>laikotarpio (1-5 m.), nepageidaujamo poveikio kaštų)</w:t>
      </w:r>
      <w:r w:rsidRPr="00250ECB">
        <w:t xml:space="preserve"> įtaką rezultatui lyginant cemiplimabą su pembrolizumabu 1 metų laiko perspektyvoje, nesmulkialąstelinio plaučių vėžio (NSLPV), ekspresuojančio PD-L1 (≥ 50 % naviko ląstelių) be EAFR, ALK ar ROS1 aberacijų, pirmos eilės gydymui suaugusiems pacientams, sergantiems: lokaliai išplitusiu NSLPV, kuriems netinka galutinė chemoradioterapija, arba metastaziniu NSLPV, visais nagrinėtais scenarijais yra pigesnė gydymo alternatyva.</w:t>
      </w:r>
    </w:p>
    <w:p w14:paraId="3D038093" w14:textId="77777777" w:rsidR="002B50EA" w:rsidRPr="000203E1" w:rsidRDefault="002B50EA" w:rsidP="00A93AA6">
      <w:pPr>
        <w:tabs>
          <w:tab w:val="left" w:pos="426"/>
        </w:tabs>
        <w:rPr>
          <w:b/>
          <w:bCs/>
          <w:caps/>
        </w:rPr>
      </w:pPr>
    </w:p>
    <w:p w14:paraId="4FC424F9" w14:textId="4E767245" w:rsidR="00C62B36" w:rsidRPr="000203E1" w:rsidRDefault="00C62B36" w:rsidP="00CC09D4">
      <w:pPr>
        <w:pStyle w:val="Sraopastraipa"/>
        <w:numPr>
          <w:ilvl w:val="0"/>
          <w:numId w:val="12"/>
        </w:numPr>
        <w:tabs>
          <w:tab w:val="left" w:pos="567"/>
        </w:tabs>
        <w:ind w:hanging="720"/>
        <w:rPr>
          <w:b/>
          <w:bCs/>
          <w:caps/>
        </w:rPr>
      </w:pPr>
      <w:r w:rsidRPr="000203E1">
        <w:rPr>
          <w:b/>
          <w:bCs/>
          <w:caps/>
        </w:rPr>
        <w:t xml:space="preserve">Pacientų organizacijų pateikti duomenys </w:t>
      </w:r>
    </w:p>
    <w:p w14:paraId="79BCFF40" w14:textId="243CD300" w:rsidR="00937907" w:rsidRPr="000203E1"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DF5AF3">
            <w:rPr>
              <w:rStyle w:val="Style2"/>
              <w:rFonts w:ascii="MS Gothic" w:eastAsia="MS Gothic" w:hAnsi="MS Gothic" w:hint="eastAsia"/>
              <w:sz w:val="24"/>
            </w:rPr>
            <w:t>☐</w:t>
          </w:r>
        </w:sdtContent>
      </w:sdt>
      <w:r w:rsidR="00937907" w:rsidRPr="000203E1">
        <w:t xml:space="preserve"> Pacientų organizacijos pozicija pateikta. Žr. priedą.</w:t>
      </w:r>
    </w:p>
    <w:p w14:paraId="62992180" w14:textId="7BC88142" w:rsidR="00937907" w:rsidRPr="000203E1"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DF5AF3">
            <w:rPr>
              <w:rStyle w:val="Style2"/>
              <w:rFonts w:ascii="MS Gothic" w:eastAsia="MS Gothic" w:hAnsi="MS Gothic" w:hint="eastAsia"/>
              <w:sz w:val="24"/>
            </w:rPr>
            <w:t>☒</w:t>
          </w:r>
        </w:sdtContent>
      </w:sdt>
      <w:r w:rsidR="00937907" w:rsidRPr="000203E1">
        <w:t xml:space="preserve"> Pacientų organizacijos pozicija </w:t>
      </w:r>
      <w:r w:rsidR="00880A44" w:rsidRPr="000203E1">
        <w:t>ne</w:t>
      </w:r>
      <w:r w:rsidR="00937907" w:rsidRPr="000203E1">
        <w:t>pateikta.</w:t>
      </w:r>
    </w:p>
    <w:p w14:paraId="03E73D82" w14:textId="77777777" w:rsidR="00D417D2" w:rsidRPr="000203E1" w:rsidRDefault="00D417D2" w:rsidP="00937907">
      <w:pPr>
        <w:spacing w:after="120"/>
        <w:jc w:val="both"/>
      </w:pPr>
    </w:p>
    <w:p w14:paraId="3D3277FA" w14:textId="3CEEB2D2" w:rsidR="00C62B36" w:rsidRPr="000203E1" w:rsidRDefault="00C62B36" w:rsidP="00CC09D4">
      <w:pPr>
        <w:pStyle w:val="Sraopastraipa"/>
        <w:numPr>
          <w:ilvl w:val="0"/>
          <w:numId w:val="12"/>
        </w:numPr>
        <w:tabs>
          <w:tab w:val="left" w:pos="567"/>
        </w:tabs>
        <w:ind w:hanging="720"/>
        <w:rPr>
          <w:b/>
          <w:bCs/>
          <w:caps/>
        </w:rPr>
      </w:pPr>
      <w:r w:rsidRPr="000203E1">
        <w:rPr>
          <w:b/>
          <w:bCs/>
          <w:caps/>
        </w:rPr>
        <w:t>Gydytojų organizacijų pateikti duomenys</w:t>
      </w:r>
    </w:p>
    <w:p w14:paraId="389A346C" w14:textId="17184B64" w:rsidR="00937907" w:rsidRPr="000203E1" w:rsidRDefault="0000000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0203E1">
            <w:rPr>
              <w:rStyle w:val="Style2"/>
              <w:rFonts w:ascii="MS Gothic" w:eastAsia="MS Gothic" w:hAnsi="MS Gothic" w:hint="eastAsia"/>
              <w:sz w:val="24"/>
            </w:rPr>
            <w:t>☐</w:t>
          </w:r>
        </w:sdtContent>
      </w:sdt>
      <w:r w:rsidR="00662983" w:rsidRPr="000203E1">
        <w:t xml:space="preserve"> </w:t>
      </w:r>
      <w:r w:rsidR="00937907" w:rsidRPr="000203E1">
        <w:t xml:space="preserve">Gydytojų specialistų organizacijos pozicija pateikta. </w:t>
      </w:r>
      <w:r w:rsidR="00662983" w:rsidRPr="000203E1">
        <w:t>Žr. priedą</w:t>
      </w:r>
      <w:r w:rsidR="00937907" w:rsidRPr="000203E1">
        <w:t>.</w:t>
      </w:r>
    </w:p>
    <w:p w14:paraId="5D8CC48C" w14:textId="31A2C539" w:rsidR="00662983" w:rsidRPr="000203E1"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C21A99">
            <w:rPr>
              <w:rStyle w:val="Style2"/>
              <w:rFonts w:ascii="MS Gothic" w:eastAsia="MS Gothic" w:hAnsi="MS Gothic" w:hint="eastAsia"/>
              <w:sz w:val="24"/>
            </w:rPr>
            <w:t>☒</w:t>
          </w:r>
        </w:sdtContent>
      </w:sdt>
      <w:r w:rsidR="00662983" w:rsidRPr="000203E1">
        <w:t xml:space="preserve"> </w:t>
      </w:r>
      <w:r w:rsidR="00937907" w:rsidRPr="000203E1">
        <w:t xml:space="preserve">Gydytojų specialistų organizacijos pozicija </w:t>
      </w:r>
      <w:r w:rsidR="00880A44" w:rsidRPr="000203E1">
        <w:t>ne</w:t>
      </w:r>
      <w:r w:rsidR="00937907" w:rsidRPr="000203E1">
        <w:t>pateikta.</w:t>
      </w:r>
    </w:p>
    <w:p w14:paraId="3701D46A" w14:textId="77777777" w:rsidR="00A042B9" w:rsidRPr="000203E1" w:rsidRDefault="00A042B9" w:rsidP="00662983">
      <w:pPr>
        <w:spacing w:after="120"/>
        <w:jc w:val="both"/>
      </w:pPr>
    </w:p>
    <w:p w14:paraId="78F23ECB" w14:textId="23A3A002" w:rsidR="002F0E4F" w:rsidRPr="000203E1" w:rsidRDefault="002F0E4F" w:rsidP="00CC09D4">
      <w:pPr>
        <w:pStyle w:val="Sraopastraipa"/>
        <w:numPr>
          <w:ilvl w:val="0"/>
          <w:numId w:val="12"/>
        </w:numPr>
        <w:tabs>
          <w:tab w:val="left" w:pos="567"/>
        </w:tabs>
        <w:ind w:hanging="720"/>
        <w:rPr>
          <w:b/>
          <w:bCs/>
          <w:caps/>
        </w:rPr>
      </w:pPr>
      <w:r w:rsidRPr="000203E1">
        <w:rPr>
          <w:b/>
          <w:bCs/>
          <w:caps/>
        </w:rPr>
        <w:t xml:space="preserve">Išvada </w:t>
      </w:r>
    </w:p>
    <w:p w14:paraId="55E76E53" w14:textId="5437B761" w:rsidR="0064249A" w:rsidRPr="000203E1" w:rsidRDefault="0064249A" w:rsidP="0061611B">
      <w:pPr>
        <w:rPr>
          <w:i/>
          <w:szCs w:val="22"/>
        </w:rPr>
      </w:pPr>
    </w:p>
    <w:tbl>
      <w:tblPr>
        <w:tblStyle w:val="Lentelstinklelis"/>
        <w:tblW w:w="0" w:type="auto"/>
        <w:tblLook w:val="04A0" w:firstRow="1" w:lastRow="0" w:firstColumn="1" w:lastColumn="0" w:noHBand="0" w:noVBand="1"/>
      </w:tblPr>
      <w:tblGrid>
        <w:gridCol w:w="4815"/>
        <w:gridCol w:w="4814"/>
      </w:tblGrid>
      <w:tr w:rsidR="000203E1" w:rsidRPr="000203E1" w14:paraId="143A7356" w14:textId="77777777" w:rsidTr="00C16245">
        <w:trPr>
          <w:trHeight w:val="510"/>
        </w:trPr>
        <w:tc>
          <w:tcPr>
            <w:tcW w:w="9629" w:type="dxa"/>
            <w:gridSpan w:val="2"/>
            <w:vAlign w:val="center"/>
          </w:tcPr>
          <w:p w14:paraId="0AF5D6B4" w14:textId="12D1C777"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bookmarkStart w:id="3" w:name="_Hlk185374656"/>
            <w:r w:rsidRPr="000203E1">
              <w:rPr>
                <w:rStyle w:val="Style2"/>
                <w:rFonts w:eastAsia="MS Gothic"/>
                <w:b/>
                <w:bCs/>
                <w:sz w:val="24"/>
              </w:rPr>
              <w:t xml:space="preserve">Palyginamasis </w:t>
            </w:r>
            <w:r w:rsidR="001C1D94">
              <w:rPr>
                <w:rStyle w:val="Style2"/>
                <w:rFonts w:eastAsia="MS Gothic"/>
                <w:b/>
                <w:bCs/>
                <w:sz w:val="24"/>
              </w:rPr>
              <w:t>veiksmingumas</w:t>
            </w:r>
          </w:p>
        </w:tc>
      </w:tr>
      <w:tr w:rsidR="000203E1" w:rsidRPr="000203E1" w14:paraId="28A0C814" w14:textId="77777777" w:rsidTr="0061611B">
        <w:tc>
          <w:tcPr>
            <w:tcW w:w="4815" w:type="dxa"/>
          </w:tcPr>
          <w:p w14:paraId="216769B5" w14:textId="72AB8F59"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Content>
                <w:r w:rsidR="008C2035">
                  <w:rPr>
                    <w:rStyle w:val="Style2"/>
                    <w:rFonts w:ascii="MS Gothic" w:eastAsia="MS Gothic" w:hAnsi="MS Gothic" w:hint="eastAsia"/>
                    <w:sz w:val="24"/>
                  </w:rPr>
                  <w:t>☐</w:t>
                </w:r>
              </w:sdtContent>
            </w:sdt>
            <w:r w:rsidR="001C1D94">
              <w:rPr>
                <w:rStyle w:val="Style2"/>
                <w:sz w:val="24"/>
              </w:rPr>
              <w:t xml:space="preserve"> 29</w:t>
            </w:r>
            <w:r w:rsidR="00B13D65" w:rsidRPr="000203E1">
              <w:t>.1.</w:t>
            </w:r>
            <w:r w:rsidR="001C1D94">
              <w:t>1</w:t>
            </w:r>
            <w:r w:rsidR="00B13D65" w:rsidRPr="000203E1">
              <w:t xml:space="preserve"> yra didesnis</w:t>
            </w:r>
            <w:r w:rsidR="00B00959" w:rsidRPr="000203E1">
              <w:t>, lyginant su įprasta klinikine praktika</w:t>
            </w:r>
          </w:p>
          <w:p w14:paraId="3B48F372"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5CCDAA71" w:rsidR="00B13D65" w:rsidRPr="000203E1"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Content>
                <w:r w:rsidR="008C2035">
                  <w:rPr>
                    <w:rStyle w:val="Style2"/>
                    <w:rFonts w:ascii="MS Gothic" w:eastAsia="MS Gothic" w:hAnsi="MS Gothic" w:hint="eastAsia"/>
                    <w:sz w:val="24"/>
                  </w:rPr>
                  <w:t>☒</w:t>
                </w:r>
              </w:sdtContent>
            </w:sdt>
            <w:r w:rsidR="00B13D65" w:rsidRPr="000203E1">
              <w:t xml:space="preserve"> </w:t>
            </w:r>
            <w:r w:rsidR="001C1D94">
              <w:rPr>
                <w:rStyle w:val="Style2"/>
                <w:sz w:val="24"/>
              </w:rPr>
              <w:t>29</w:t>
            </w:r>
            <w:r w:rsidR="001C1D94" w:rsidRPr="000203E1">
              <w:t>.1.</w:t>
            </w:r>
            <w:r w:rsidR="001C1D94">
              <w:t xml:space="preserve">2 </w:t>
            </w:r>
            <w:r w:rsidR="00B13D65" w:rsidRPr="000203E1">
              <w:t>iš esmės nesiskiria</w:t>
            </w:r>
            <w:r w:rsidR="00B00959" w:rsidRPr="000203E1">
              <w:t>, lyginant su įprasta klinikine praktika</w:t>
            </w:r>
          </w:p>
        </w:tc>
        <w:tc>
          <w:tcPr>
            <w:tcW w:w="4814" w:type="dxa"/>
          </w:tcPr>
          <w:p w14:paraId="507828D9" w14:textId="2D47A9EF" w:rsidR="00B13D65"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w:t>
            </w:r>
            <w:r w:rsidR="001C1D94">
              <w:rPr>
                <w:rStyle w:val="Style2"/>
                <w:sz w:val="24"/>
              </w:rPr>
              <w:t>29</w:t>
            </w:r>
            <w:r w:rsidR="001C1D94" w:rsidRPr="000203E1">
              <w:t>.1.</w:t>
            </w:r>
            <w:r w:rsidR="001C1D94">
              <w:t xml:space="preserve">3 </w:t>
            </w:r>
            <w:r w:rsidR="001C1D94" w:rsidRPr="000203E1">
              <w:t>yra neįrodytas kaip didesnis</w:t>
            </w:r>
            <w:r w:rsidR="001C1D94">
              <w:t xml:space="preserve"> </w:t>
            </w:r>
            <w:r w:rsidR="001C1D94" w:rsidRPr="001C1D94">
              <w:t> ar iš esmės nesiskiriantis</w:t>
            </w:r>
            <w:r w:rsidR="001C1D94" w:rsidRPr="000203E1">
              <w:t xml:space="preserve">, lyginant su įprasta klinikine praktika </w:t>
            </w:r>
            <w:r w:rsidR="00B13D65" w:rsidRPr="000203E1">
              <w:t xml:space="preserve"> </w:t>
            </w:r>
          </w:p>
          <w:p w14:paraId="282277FB" w14:textId="77777777" w:rsidR="001C1D94" w:rsidRPr="000203E1" w:rsidRDefault="001C1D94"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912B9C4" w14:textId="1D4329EA" w:rsidR="001C1D94"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w:t>
            </w:r>
            <w:r w:rsidR="001C1D94">
              <w:rPr>
                <w:rStyle w:val="Style2"/>
                <w:sz w:val="24"/>
              </w:rPr>
              <w:t>29</w:t>
            </w:r>
            <w:r w:rsidR="001C1D94" w:rsidRPr="000203E1">
              <w:t>.1.</w:t>
            </w:r>
            <w:r w:rsidR="001C1D94">
              <w:t xml:space="preserve">4 </w:t>
            </w:r>
            <w:r w:rsidR="001C1D94" w:rsidRPr="000203E1">
              <w:t>yra mažesnis, lyginant su įprasta klinikine praktika</w:t>
            </w:r>
          </w:p>
          <w:p w14:paraId="3396544A" w14:textId="77777777" w:rsidR="001C1D94" w:rsidRDefault="001C1D94"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34F09BE7"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0203E1">
                  <w:rPr>
                    <w:rStyle w:val="Style2"/>
                    <w:rFonts w:ascii="Segoe UI Symbol" w:eastAsia="MS Gothic" w:hAnsi="Segoe UI Symbol" w:cs="Segoe UI Symbol"/>
                    <w:sz w:val="24"/>
                  </w:rPr>
                  <w:t>☐</w:t>
                </w:r>
              </w:sdtContent>
            </w:sdt>
            <w:r w:rsidR="00662983" w:rsidRPr="000203E1">
              <w:t xml:space="preserve"> </w:t>
            </w:r>
            <w:r w:rsidR="001C1D94">
              <w:t xml:space="preserve"> </w:t>
            </w:r>
            <w:r w:rsidR="001C1D94">
              <w:rPr>
                <w:rStyle w:val="Style2"/>
                <w:sz w:val="24"/>
              </w:rPr>
              <w:t>29</w:t>
            </w:r>
            <w:r w:rsidR="001C1D94" w:rsidRPr="000203E1">
              <w:t>.1.</w:t>
            </w:r>
            <w:r w:rsidR="001C1D94">
              <w:t>5</w:t>
            </w:r>
            <w:r w:rsidR="001C1D94" w:rsidRPr="000203E1">
              <w:t xml:space="preserve"> pateikti duomenys apie palyginamąjį </w:t>
            </w:r>
            <w:r w:rsidR="001C1D94">
              <w:t>veiksmingumą</w:t>
            </w:r>
            <w:r w:rsidR="001C1D94" w:rsidRPr="000203E1">
              <w:t xml:space="preserve"> yra netinkami vertinti</w:t>
            </w:r>
          </w:p>
          <w:p w14:paraId="5DDAA961" w14:textId="77777777" w:rsidR="00B13D65" w:rsidRPr="000203E1" w:rsidRDefault="00B13D65" w:rsidP="001C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0203E1" w:rsidRPr="000203E1" w14:paraId="1C75AE76" w14:textId="77777777" w:rsidTr="00C16245">
        <w:trPr>
          <w:trHeight w:val="510"/>
        </w:trPr>
        <w:tc>
          <w:tcPr>
            <w:tcW w:w="9629" w:type="dxa"/>
            <w:gridSpan w:val="2"/>
            <w:vAlign w:val="center"/>
          </w:tcPr>
          <w:p w14:paraId="0247EDAD" w14:textId="7FBBB759" w:rsidR="00B13D65" w:rsidRPr="000203E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bookmarkStart w:id="4" w:name="_Hlk185374787"/>
            <w:r w:rsidRPr="000203E1">
              <w:rPr>
                <w:rStyle w:val="Style2"/>
                <w:rFonts w:eastAsia="MS Gothic"/>
                <w:b/>
                <w:bCs/>
                <w:sz w:val="24"/>
              </w:rPr>
              <w:t>Kaštų naudingumas</w:t>
            </w:r>
          </w:p>
        </w:tc>
      </w:tr>
      <w:tr w:rsidR="00B13D65" w:rsidRPr="000203E1" w14:paraId="7091A05B" w14:textId="77777777" w:rsidTr="0061611B">
        <w:tc>
          <w:tcPr>
            <w:tcW w:w="4815" w:type="dxa"/>
          </w:tcPr>
          <w:p w14:paraId="69B2A994" w14:textId="6EC0FD25"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8C2035">
                  <w:rPr>
                    <w:rStyle w:val="Style2"/>
                    <w:rFonts w:ascii="MS Gothic" w:eastAsia="MS Gothic" w:hAnsi="MS Gothic" w:hint="eastAsia"/>
                    <w:sz w:val="24"/>
                  </w:rPr>
                  <w:t>☐</w:t>
                </w:r>
              </w:sdtContent>
            </w:sdt>
            <w:r w:rsidR="00B13D65" w:rsidRPr="000203E1">
              <w:t xml:space="preserve"> </w:t>
            </w:r>
            <w:r w:rsidR="001C1D94">
              <w:t xml:space="preserve">29.2.1 </w:t>
            </w:r>
            <w:r w:rsidR="00B13D65" w:rsidRPr="000203E1">
              <w:t>atitink</w:t>
            </w:r>
            <w:r w:rsidR="00450075">
              <w:t>a referencinę naudingumo vertę</w:t>
            </w:r>
          </w:p>
          <w:p w14:paraId="3F76F153"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5E4BD1E" w14:textId="33C42DC5" w:rsidR="00B13D65" w:rsidRPr="000203E1" w:rsidRDefault="00000000" w:rsidP="001C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1308081728"/>
                <w15:color w:val="FFCC00"/>
                <w14:checkbox>
                  <w14:checked w14:val="1"/>
                  <w14:checkedState w14:val="2612" w14:font="MS Gothic"/>
                  <w14:uncheckedState w14:val="2610" w14:font="MS Gothic"/>
                </w14:checkbox>
              </w:sdtPr>
              <w:sdtContent>
                <w:r w:rsidR="008C2035">
                  <w:rPr>
                    <w:rStyle w:val="Style2"/>
                    <w:rFonts w:ascii="MS Gothic" w:eastAsia="MS Gothic" w:hAnsi="MS Gothic" w:hint="eastAsia"/>
                    <w:sz w:val="24"/>
                  </w:rPr>
                  <w:t>☒</w:t>
                </w:r>
              </w:sdtContent>
            </w:sdt>
            <w:r w:rsidR="00B13D65" w:rsidRPr="000203E1">
              <w:t xml:space="preserve"> </w:t>
            </w:r>
            <w:r w:rsidR="001C1D94">
              <w:t xml:space="preserve">29.2.2 </w:t>
            </w:r>
            <w:r w:rsidR="00B13D65" w:rsidRPr="000203E1">
              <w:t>gydymo juo kaštai yra mažesni ar tokie patys esant iš esmės nesiskiriančiam palyginamajam efektyvumui, taikant</w:t>
            </w:r>
            <w:r w:rsidR="001C1D94">
              <w:t xml:space="preserve"> arba netaikant </w:t>
            </w:r>
            <w:r w:rsidR="00B13D65" w:rsidRPr="000203E1">
              <w:t xml:space="preserve"> </w:t>
            </w:r>
            <w:r w:rsidR="00450075">
              <w:t>PGS</w:t>
            </w:r>
          </w:p>
        </w:tc>
        <w:tc>
          <w:tcPr>
            <w:tcW w:w="4814" w:type="dxa"/>
          </w:tcPr>
          <w:p w14:paraId="53380063" w14:textId="5C8AD260" w:rsidR="00B13D65" w:rsidRPr="000203E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030C28">
                  <w:rPr>
                    <w:rStyle w:val="Style2"/>
                    <w:rFonts w:ascii="MS Gothic" w:eastAsia="MS Gothic" w:hAnsi="MS Gothic" w:hint="eastAsia"/>
                    <w:sz w:val="24"/>
                  </w:rPr>
                  <w:t>☐</w:t>
                </w:r>
              </w:sdtContent>
            </w:sdt>
            <w:r w:rsidR="00B13D65" w:rsidRPr="000203E1">
              <w:t xml:space="preserve"> </w:t>
            </w:r>
            <w:r w:rsidR="001C1D94">
              <w:t>29</w:t>
            </w:r>
            <w:r w:rsidR="00B13D65" w:rsidRPr="000203E1">
              <w:t>.</w:t>
            </w:r>
            <w:r w:rsidR="001C1D94">
              <w:t>2.</w:t>
            </w:r>
            <w:r w:rsidR="00B13D65" w:rsidRPr="000203E1">
              <w:t xml:space="preserve">3 neatitinka referencinės naudingumo vertės </w:t>
            </w:r>
            <w:r w:rsidR="001C1D94" w:rsidRPr="001C1D94">
              <w:t>taikant arba netaikant PGS</w:t>
            </w:r>
          </w:p>
          <w:p w14:paraId="229ED51A" w14:textId="77777777"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F7D76B3" w14:textId="77777777" w:rsidR="007D2CF4" w:rsidRPr="000203E1" w:rsidRDefault="00000000" w:rsidP="007D2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1135473618"/>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w:t>
            </w:r>
            <w:r w:rsidR="007D2CF4">
              <w:t>29</w:t>
            </w:r>
            <w:r w:rsidR="007D2CF4" w:rsidRPr="000203E1">
              <w:t>.</w:t>
            </w:r>
            <w:r w:rsidR="007D2CF4">
              <w:t>2.4</w:t>
            </w:r>
            <w:r w:rsidR="007D2CF4" w:rsidRPr="000203E1">
              <w:t xml:space="preserve"> </w:t>
            </w:r>
            <w:r w:rsidR="00B13D65" w:rsidRPr="000203E1">
              <w:t xml:space="preserve">gydymo juo kaštai yra didesni esant iš esmės nesiskiriančiam palyginamajam </w:t>
            </w:r>
            <w:r w:rsidR="007D2CF4">
              <w:t>veiksmingumui</w:t>
            </w:r>
            <w:r w:rsidR="00B13D65" w:rsidRPr="000203E1">
              <w:t>, taikant</w:t>
            </w:r>
            <w:r w:rsidR="00450075">
              <w:t xml:space="preserve"> </w:t>
            </w:r>
            <w:r w:rsidR="007D2CF4" w:rsidRPr="001C1D94">
              <w:t>arba netaikant PGS</w:t>
            </w:r>
          </w:p>
          <w:p w14:paraId="4A9C7D2A" w14:textId="1B3F88FF" w:rsidR="00662983" w:rsidRPr="000203E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7E2B340F" w:rsidR="00B13D65" w:rsidRPr="000203E1" w:rsidRDefault="00000000" w:rsidP="007D2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dt>
              <w:sdtPr>
                <w:rPr>
                  <w:rStyle w:val="Style2"/>
                  <w:sz w:val="24"/>
                </w:rPr>
                <w:id w:val="-2008360022"/>
                <w15:color w:val="FFCC00"/>
                <w14:checkbox>
                  <w14:checked w14:val="0"/>
                  <w14:checkedState w14:val="2612" w14:font="MS Gothic"/>
                  <w14:uncheckedState w14:val="2610" w14:font="MS Gothic"/>
                </w14:checkbox>
              </w:sdtPr>
              <w:sdtContent>
                <w:r w:rsidR="00B13D65" w:rsidRPr="000203E1">
                  <w:rPr>
                    <w:rStyle w:val="Style2"/>
                    <w:rFonts w:ascii="Segoe UI Symbol" w:eastAsia="MS Gothic" w:hAnsi="Segoe UI Symbol" w:cs="Segoe UI Symbol"/>
                    <w:sz w:val="24"/>
                  </w:rPr>
                  <w:t>☐</w:t>
                </w:r>
              </w:sdtContent>
            </w:sdt>
            <w:r w:rsidR="00B13D65" w:rsidRPr="000203E1">
              <w:t xml:space="preserve"> </w:t>
            </w:r>
            <w:r w:rsidR="007D2CF4">
              <w:t>29</w:t>
            </w:r>
            <w:r w:rsidR="007D2CF4" w:rsidRPr="000203E1">
              <w:t>.</w:t>
            </w:r>
            <w:r w:rsidR="007D2CF4">
              <w:t>2.5</w:t>
            </w:r>
            <w:r w:rsidR="00B13D65" w:rsidRPr="000203E1">
              <w:t xml:space="preserve"> pateikti duomenys apie kaštų na</w:t>
            </w:r>
            <w:r w:rsidR="00662983" w:rsidRPr="000203E1">
              <w:t>udingumą yra netinkami vertinti</w:t>
            </w:r>
          </w:p>
          <w:p w14:paraId="470A48A4" w14:textId="77777777" w:rsidR="00B13D65" w:rsidRPr="000203E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bookmarkEnd w:id="3"/>
      <w:bookmarkEnd w:id="4"/>
    </w:tbl>
    <w:p w14:paraId="29A90384" w14:textId="4772D5ED" w:rsidR="004A3A61" w:rsidRPr="000203E1" w:rsidRDefault="004A3A61" w:rsidP="00381024"/>
    <w:p w14:paraId="1B85C083" w14:textId="77777777" w:rsidR="009E44AE" w:rsidRPr="000203E1" w:rsidRDefault="009E44AE" w:rsidP="00381024"/>
    <w:p w14:paraId="3B2D1F25" w14:textId="3A80E19F" w:rsidR="000001B0" w:rsidRPr="000203E1" w:rsidRDefault="000001B0" w:rsidP="00CC09D4">
      <w:pPr>
        <w:pStyle w:val="Sraopastraipa"/>
        <w:numPr>
          <w:ilvl w:val="0"/>
          <w:numId w:val="12"/>
        </w:numPr>
        <w:ind w:left="567" w:hanging="567"/>
      </w:pPr>
      <w:r w:rsidRPr="000203E1">
        <w:rPr>
          <w:b/>
        </w:rPr>
        <w:t>REKOME</w:t>
      </w:r>
      <w:r w:rsidR="00D83182" w:rsidRPr="000203E1">
        <w:rPr>
          <w:b/>
        </w:rPr>
        <w:t>N</w:t>
      </w:r>
      <w:r w:rsidRPr="000203E1">
        <w:rPr>
          <w:b/>
        </w:rPr>
        <w:t>DACIJA</w:t>
      </w:r>
    </w:p>
    <w:p w14:paraId="7D5C6700" w14:textId="77777777" w:rsidR="00D5470B" w:rsidRPr="000203E1" w:rsidRDefault="00D5470B" w:rsidP="00C712EA">
      <w:pPr>
        <w:pStyle w:val="Sraopastraipa"/>
        <w:ind w:left="426"/>
      </w:pPr>
    </w:p>
    <w:p w14:paraId="624363FD" w14:textId="77777777" w:rsidR="00003FA3" w:rsidRPr="00001F28" w:rsidRDefault="00003FA3" w:rsidP="00003FA3">
      <w:pPr>
        <w:spacing w:line="276" w:lineRule="auto"/>
        <w:ind w:firstLine="567"/>
        <w:jc w:val="both"/>
        <w:rPr>
          <w:color w:val="000000" w:themeColor="text1"/>
        </w:rPr>
      </w:pPr>
      <w:r w:rsidRPr="00AC739B">
        <w:t>Vadovaujantis</w:t>
      </w:r>
      <w:r w:rsidRPr="00AC739B">
        <w:rPr>
          <w:color w:val="000000" w:themeColor="text1"/>
        </w:rPr>
        <w:t xml:space="preserve">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w:t>
      </w:r>
      <w:r>
        <w:rPr>
          <w:color w:val="000000" w:themeColor="text1"/>
        </w:rPr>
        <w:t>s aprašo patvirtinimo“, punktu:</w:t>
      </w:r>
    </w:p>
    <w:p w14:paraId="4E5FB8E0" w14:textId="77777777" w:rsidR="00003FA3" w:rsidRDefault="00003FA3" w:rsidP="00003FA3">
      <w:pPr>
        <w:spacing w:line="276" w:lineRule="auto"/>
        <w:jc w:val="both"/>
        <w:rPr>
          <w:color w:val="000000"/>
        </w:rPr>
      </w:pPr>
      <w:r>
        <w:rPr>
          <w:color w:val="000000"/>
        </w:rPr>
        <w:t>30</w:t>
      </w:r>
      <w:r>
        <w:rPr>
          <w:color w:val="000000"/>
          <w:vertAlign w:val="superscript"/>
        </w:rPr>
        <w:t>1</w:t>
      </w:r>
      <w:r>
        <w:rPr>
          <w:color w:val="000000"/>
        </w:rPr>
        <w:t xml:space="preserve">.1. kai vertinimo išvados atitinka Aprašo 29.1.1 ir 29.2.1 papunkčiuose numatytas sąlygas arba Aprašo 29.1.2 ir 29.2.2 papunkčiuose numatytas sąlygas, teikiama rekomendacija kompensuoti vaistinį preparatą pagal paraiškoje nurodytą indikaciją (arba </w:t>
      </w:r>
      <w:r w:rsidRPr="00430A40">
        <w:rPr>
          <w:color w:val="000000"/>
        </w:rPr>
        <w:t>jos dalį) su arba be skyrimo sąlygų,</w:t>
      </w:r>
      <w:r>
        <w:rPr>
          <w:color w:val="000000"/>
        </w:rPr>
        <w:t xml:space="preserve"> taikant PGS;</w:t>
      </w:r>
    </w:p>
    <w:p w14:paraId="49444CA8" w14:textId="77777777" w:rsidR="00003FA3" w:rsidRDefault="00003FA3" w:rsidP="00003FA3">
      <w:pPr>
        <w:jc w:val="both"/>
        <w:rPr>
          <w:color w:val="000000"/>
        </w:rPr>
      </w:pPr>
    </w:p>
    <w:p w14:paraId="28932625" w14:textId="77777777" w:rsidR="0082797D" w:rsidRDefault="00003FA3" w:rsidP="00003FA3">
      <w:pPr>
        <w:spacing w:line="276" w:lineRule="auto"/>
        <w:ind w:firstLine="540"/>
        <w:jc w:val="both"/>
        <w:rPr>
          <w:bCs/>
          <w:i/>
          <w:color w:val="000000" w:themeColor="text1"/>
          <w:u w:val="single"/>
          <w:lang w:eastAsia="lt-LT"/>
        </w:rPr>
      </w:pPr>
      <w:r w:rsidRPr="00E5556B">
        <w:rPr>
          <w:bCs/>
          <w:i/>
          <w:color w:val="000000" w:themeColor="text1"/>
          <w:u w:val="single"/>
          <w:lang w:eastAsia="lt-LT"/>
        </w:rPr>
        <w:t>Pastab</w:t>
      </w:r>
      <w:r w:rsidR="0082797D">
        <w:rPr>
          <w:bCs/>
          <w:i/>
          <w:color w:val="000000" w:themeColor="text1"/>
          <w:u w:val="single"/>
          <w:lang w:eastAsia="lt-LT"/>
        </w:rPr>
        <w:t>os</w:t>
      </w:r>
    </w:p>
    <w:p w14:paraId="69C5FA71" w14:textId="2309AFBB" w:rsidR="0082797D" w:rsidRPr="00632BB3" w:rsidRDefault="00003FA3" w:rsidP="00760483">
      <w:pPr>
        <w:pStyle w:val="Sraopastraipa"/>
        <w:numPr>
          <w:ilvl w:val="0"/>
          <w:numId w:val="16"/>
        </w:numPr>
        <w:spacing w:line="276" w:lineRule="auto"/>
        <w:jc w:val="both"/>
        <w:rPr>
          <w:rFonts w:eastAsiaTheme="minorHAnsi"/>
        </w:rPr>
      </w:pPr>
      <w:r w:rsidRPr="0082797D">
        <w:rPr>
          <w:bCs/>
          <w:color w:val="000000" w:themeColor="text1"/>
          <w:lang w:eastAsia="lt-LT"/>
        </w:rPr>
        <w:t>KMA atlikta taikant cemiplimabo kainą pagal sutartinę su VLK kainą (</w:t>
      </w:r>
      <w:r w:rsidRPr="0082797D">
        <w:rPr>
          <w:color w:val="000000"/>
          <w:lang w:eastAsia="lt-LT"/>
        </w:rPr>
        <w:t xml:space="preserve">350mg N1 pakuotės kaina: </w:t>
      </w:r>
      <w:r w:rsidR="00760483">
        <w:rPr>
          <w:u w:val="single"/>
        </w:rPr>
        <w:t>****</w:t>
      </w:r>
      <w:r w:rsidRPr="0082797D">
        <w:rPr>
          <w:u w:val="single"/>
        </w:rPr>
        <w:t xml:space="preserve"> Eur.; </w:t>
      </w:r>
      <w:r w:rsidR="00760483">
        <w:t>****</w:t>
      </w:r>
      <w:r>
        <w:t xml:space="preserve"> sutarties Nr. </w:t>
      </w:r>
      <w:r w:rsidR="00760483">
        <w:t>****</w:t>
      </w:r>
      <w:r w:rsidR="008C1DDB">
        <w:t>.</w:t>
      </w:r>
    </w:p>
    <w:p w14:paraId="06BC01EE" w14:textId="44333E0B" w:rsidR="000723FF" w:rsidRDefault="000723FF" w:rsidP="00381024"/>
    <w:p w14:paraId="0E3F88E6" w14:textId="77777777" w:rsidR="009C7351" w:rsidRPr="00B14079" w:rsidRDefault="009C7351" w:rsidP="009C7351">
      <w:pPr>
        <w:jc w:val="both"/>
        <w:rPr>
          <w:b/>
          <w:sz w:val="20"/>
        </w:rPr>
      </w:pPr>
    </w:p>
    <w:p w14:paraId="36738AA4" w14:textId="77777777" w:rsidR="009C7351" w:rsidRPr="00E33EFF" w:rsidRDefault="009C7351" w:rsidP="009C7351">
      <w:pPr>
        <w:tabs>
          <w:tab w:val="left" w:pos="567"/>
        </w:tabs>
        <w:ind w:left="567" w:hanging="567"/>
        <w:jc w:val="both"/>
        <w:rPr>
          <w:b/>
          <w:color w:val="000000"/>
          <w:lang w:eastAsia="lt-LT"/>
        </w:rPr>
      </w:pPr>
      <w:r>
        <w:rPr>
          <w:b/>
          <w:color w:val="000000"/>
          <w:lang w:eastAsia="lt-LT"/>
        </w:rPr>
        <w:t>8.</w:t>
      </w:r>
      <w:r>
        <w:rPr>
          <w:b/>
          <w:color w:val="000000"/>
          <w:lang w:eastAsia="lt-LT"/>
        </w:rPr>
        <w:tab/>
      </w:r>
      <w:r w:rsidRPr="00E33EFF">
        <w:rPr>
          <w:b/>
          <w:color w:val="000000"/>
          <w:lang w:eastAsia="lt-LT"/>
        </w:rPr>
        <w:t xml:space="preserve">SIŪLOMOS KOMPENSUOTI TERAPINĖS INDIKACIJOS IR SKYRIMO SĄLYGOS </w:t>
      </w:r>
    </w:p>
    <w:p w14:paraId="099A7A11" w14:textId="77777777" w:rsidR="009C7351" w:rsidRPr="00E33EFF" w:rsidRDefault="009C7351" w:rsidP="009C7351">
      <w:pPr>
        <w:tabs>
          <w:tab w:val="left" w:pos="426"/>
        </w:tabs>
        <w:jc w:val="both"/>
        <w:rPr>
          <w:b/>
          <w:color w:val="000000"/>
          <w:lang w:eastAsia="lt-LT"/>
        </w:rPr>
      </w:pPr>
    </w:p>
    <w:p w14:paraId="06499268" w14:textId="77777777" w:rsidR="009C7351" w:rsidRPr="00DC5BAC" w:rsidRDefault="009C7351" w:rsidP="009C7351">
      <w:pPr>
        <w:rPr>
          <w:b/>
          <w:lang w:eastAsia="lt-LT"/>
        </w:rPr>
      </w:pPr>
      <w:r w:rsidRPr="00DC5BAC">
        <w:rPr>
          <w:b/>
          <w:lang w:eastAsia="lt-LT"/>
        </w:rPr>
        <w:t>Terapinės indikacijos</w:t>
      </w:r>
    </w:p>
    <w:p w14:paraId="38F9F2CF" w14:textId="77777777" w:rsidR="00D544C5" w:rsidRPr="00D544C5" w:rsidRDefault="00000000" w:rsidP="00D544C5">
      <w:pPr>
        <w:pStyle w:val="Betarp"/>
        <w:spacing w:line="276" w:lineRule="auto"/>
        <w:rPr>
          <w:rFonts w:ascii="Times New Roman" w:hAnsi="Times New Roman"/>
          <w:sz w:val="24"/>
          <w:szCs w:val="24"/>
        </w:rPr>
      </w:pPr>
      <w:sdt>
        <w:sdtPr>
          <w:rPr>
            <w:rStyle w:val="Style2"/>
            <w:rFonts w:ascii="Times New Roman" w:hAnsi="Times New Roman"/>
            <w:sz w:val="24"/>
            <w:szCs w:val="24"/>
          </w:rPr>
          <w:id w:val="1146316688"/>
          <w15:color w:val="FFCC00"/>
          <w14:checkbox>
            <w14:checked w14:val="1"/>
            <w14:checkedState w14:val="2612" w14:font="MS Gothic"/>
            <w14:uncheckedState w14:val="2610" w14:font="MS Gothic"/>
          </w14:checkbox>
        </w:sdtPr>
        <w:sdtContent>
          <w:r w:rsidR="00D544C5" w:rsidRPr="00D544C5">
            <w:rPr>
              <w:rStyle w:val="Style2"/>
              <w:rFonts w:ascii="Segoe UI Symbol" w:eastAsia="MS Gothic" w:hAnsi="Segoe UI Symbol" w:cs="Segoe UI Symbol"/>
              <w:sz w:val="24"/>
              <w:szCs w:val="24"/>
            </w:rPr>
            <w:t>☒</w:t>
          </w:r>
        </w:sdtContent>
      </w:sdt>
      <w:r w:rsidR="00D544C5" w:rsidRPr="00D544C5">
        <w:rPr>
          <w:rFonts w:ascii="Times New Roman" w:hAnsi="Times New Roman"/>
          <w:sz w:val="24"/>
          <w:szCs w:val="24"/>
        </w:rPr>
        <w:t xml:space="preserve"> Siūloma kompensuoti Pareiškėjo teikiamą indikaciją be pakeitimų.</w:t>
      </w:r>
    </w:p>
    <w:p w14:paraId="67E4BD1F" w14:textId="77777777" w:rsidR="00D544C5" w:rsidRPr="00D544C5" w:rsidRDefault="00D544C5" w:rsidP="00D544C5">
      <w:pPr>
        <w:spacing w:line="276" w:lineRule="auto"/>
        <w:jc w:val="both"/>
      </w:pPr>
      <w:r w:rsidRPr="00D544C5">
        <w:t xml:space="preserve">LIBTAYO monoterapija skirta nesmulkialąstelinio plaučių vėžio (NSLPV), ekspresuojančio PD-L1 (≥ 50 % naviko ląstelių) be EAFR, ALK ar ROS1 aberacijų, pirmos eilės gydymui suaugusiems pacientams, sergantiems: </w:t>
      </w:r>
    </w:p>
    <w:p w14:paraId="4D384ADE" w14:textId="77777777" w:rsidR="00D544C5" w:rsidRPr="00D544C5" w:rsidRDefault="00D544C5" w:rsidP="00D544C5">
      <w:pPr>
        <w:spacing w:line="276" w:lineRule="auto"/>
        <w:jc w:val="both"/>
      </w:pPr>
      <w:r w:rsidRPr="00D544C5">
        <w:t xml:space="preserve">• lokaliai išplitusiu NSLPV, kuriems netinka galutinė chemoradioterapija, arba </w:t>
      </w:r>
    </w:p>
    <w:p w14:paraId="70EF0DBF" w14:textId="4D9CE98E" w:rsidR="009C7351" w:rsidRDefault="00D544C5" w:rsidP="00D544C5">
      <w:pPr>
        <w:spacing w:line="276" w:lineRule="auto"/>
        <w:jc w:val="both"/>
      </w:pPr>
      <w:r w:rsidRPr="00D544C5">
        <w:t xml:space="preserve">• metastaziniu NSLPV. </w:t>
      </w:r>
    </w:p>
    <w:p w14:paraId="1DEF52F9" w14:textId="77777777" w:rsidR="009C7351" w:rsidRDefault="009C7351" w:rsidP="009C7351"/>
    <w:p w14:paraId="014ED43B" w14:textId="77777777" w:rsidR="009C7351" w:rsidRDefault="009C7351" w:rsidP="009C7351">
      <w:pPr>
        <w:rPr>
          <w:b/>
        </w:rPr>
      </w:pPr>
      <w:r w:rsidRPr="00E33EFF">
        <w:rPr>
          <w:b/>
        </w:rPr>
        <w:t>Skyrimo sąlygos</w:t>
      </w:r>
    </w:p>
    <w:p w14:paraId="0F849009" w14:textId="17C9F940" w:rsidR="0082797D" w:rsidRDefault="00C95F56" w:rsidP="0082797D">
      <w:pPr>
        <w:spacing w:line="276" w:lineRule="auto"/>
        <w:jc w:val="both"/>
        <w:rPr>
          <w:bCs/>
          <w:lang w:eastAsia="lt-LT"/>
        </w:rPr>
      </w:pPr>
      <w:r>
        <w:rPr>
          <w:lang w:eastAsia="lt-LT"/>
        </w:rPr>
        <w:t>LIBTAYO s</w:t>
      </w:r>
      <w:r w:rsidRPr="007823F8">
        <w:rPr>
          <w:lang w:eastAsia="lt-LT"/>
        </w:rPr>
        <w:t xml:space="preserve">kiriamas </w:t>
      </w:r>
      <w:r>
        <w:rPr>
          <w:lang w:eastAsia="lt-LT"/>
        </w:rPr>
        <w:t xml:space="preserve">pirmos eilės gydymui suaugusiems pacientams, kuriems </w:t>
      </w:r>
      <w:r w:rsidRPr="007823F8">
        <w:rPr>
          <w:lang w:eastAsia="lt-LT"/>
        </w:rPr>
        <w:t>diagnozuotas</w:t>
      </w:r>
      <w:r>
        <w:rPr>
          <w:lang w:eastAsia="lt-LT"/>
        </w:rPr>
        <w:t xml:space="preserve">  </w:t>
      </w:r>
      <w:r w:rsidRPr="007823F8">
        <w:rPr>
          <w:lang w:eastAsia="lt-LT"/>
        </w:rPr>
        <w:t>metastazavęs</w:t>
      </w:r>
      <w:r>
        <w:rPr>
          <w:lang w:eastAsia="lt-LT"/>
        </w:rPr>
        <w:t xml:space="preserve"> arba lokaliai išplitęs nesmulkialąstelinis plaučių vėžys (NSLPV), </w:t>
      </w:r>
      <w:r w:rsidRPr="008811DB">
        <w:t>kurio PD-L1 raišk</w:t>
      </w:r>
      <w:r w:rsidR="0082797D">
        <w:t>a</w:t>
      </w:r>
      <w:r w:rsidR="00E50175">
        <w:t xml:space="preserve">  </w:t>
      </w:r>
      <w:r w:rsidRPr="008811DB">
        <w:t>≥</w:t>
      </w:r>
      <w:r>
        <w:t>50</w:t>
      </w:r>
      <w:r w:rsidRPr="008811DB">
        <w:t xml:space="preserve"> proc. ir nenustatyta EGFR mutacijų, ALK translokacijų ar ROS1 aberacijų ir kuriems netinka galutinė chemoradioterapija</w:t>
      </w:r>
      <w:r w:rsidRPr="007823F8">
        <w:rPr>
          <w:lang w:eastAsia="lt-LT"/>
        </w:rPr>
        <w:t xml:space="preserve">. </w:t>
      </w:r>
      <w:r w:rsidRPr="008811DB">
        <w:t>Gydymas tęsiamas iki nepriimtino toksi</w:t>
      </w:r>
      <w:r>
        <w:t xml:space="preserve">nio poveikio </w:t>
      </w:r>
      <w:r w:rsidR="0082797D">
        <w:t xml:space="preserve">atsiradimo </w:t>
      </w:r>
      <w:r w:rsidRPr="008811DB">
        <w:t>arba ligos progresavimo</w:t>
      </w:r>
      <w:r w:rsidR="0082797D">
        <w:t xml:space="preserve">. </w:t>
      </w:r>
      <w:r w:rsidR="0082797D">
        <w:rPr>
          <w:rFonts w:eastAsia="Calibri"/>
        </w:rPr>
        <w:t xml:space="preserve">Gydymo trukmė </w:t>
      </w:r>
      <w:r w:rsidR="0082797D" w:rsidRPr="00170B8D">
        <w:rPr>
          <w:bCs/>
          <w:lang w:eastAsia="lt-LT"/>
        </w:rPr>
        <w:t>ne ilgesnė kaip 2 metai</w:t>
      </w:r>
      <w:r w:rsidR="0082797D">
        <w:rPr>
          <w:bCs/>
          <w:lang w:eastAsia="lt-LT"/>
        </w:rPr>
        <w:t>.</w:t>
      </w:r>
    </w:p>
    <w:p w14:paraId="72127686" w14:textId="6B966EE0" w:rsidR="00C95F56" w:rsidRPr="00C95F56" w:rsidRDefault="00C95F56" w:rsidP="00C95F56">
      <w:pPr>
        <w:pStyle w:val="Betarp"/>
        <w:spacing w:line="276" w:lineRule="auto"/>
        <w:jc w:val="both"/>
        <w:rPr>
          <w:rFonts w:ascii="Times New Roman" w:hAnsi="Times New Roman"/>
          <w:sz w:val="24"/>
          <w:szCs w:val="24"/>
        </w:rPr>
      </w:pPr>
    </w:p>
    <w:p w14:paraId="72A155C3" w14:textId="77777777" w:rsidR="009C7351" w:rsidRDefault="009C7351" w:rsidP="009C7351"/>
    <w:p w14:paraId="32640F07" w14:textId="77777777" w:rsidR="009C7351" w:rsidRPr="00D65B95" w:rsidRDefault="009C7351" w:rsidP="009C7351">
      <w:pPr>
        <w:rPr>
          <w:i/>
          <w:iCs/>
        </w:rPr>
      </w:pPr>
      <w:r w:rsidRPr="00D65B95">
        <w:rPr>
          <w:i/>
          <w:iCs/>
        </w:rPr>
        <w:t>Pastaba</w:t>
      </w:r>
    </w:p>
    <w:p w14:paraId="43A15CAE" w14:textId="77777777" w:rsidR="009C7351" w:rsidRPr="005615E8" w:rsidRDefault="009C7351" w:rsidP="009C7351">
      <w:pPr>
        <w:spacing w:line="276" w:lineRule="auto"/>
        <w:jc w:val="both"/>
        <w:rPr>
          <w:rFonts w:eastAsiaTheme="minorHAnsi"/>
        </w:rPr>
      </w:pPr>
      <w:r w:rsidRPr="005615E8">
        <w:rPr>
          <w:rFonts w:eastAsiaTheme="minorHAnsi"/>
        </w:rPr>
        <w:t xml:space="preserve">Tuo atveju, jei vaistinis preparatas būtų įrašytas į kompensavimo sąrašus, būtina jį įtraukti į </w:t>
      </w:r>
      <w:r w:rsidRPr="005615E8">
        <w:rPr>
          <w:rFonts w:eastAsia="Arial"/>
        </w:rPr>
        <w:t>Lietuvos Respublikos sveikatos apsaugos ministro įsakymu „Dėl Plaučių vėžio ambulatorinio gydymo, kurio išlaidos kompensuojamos iš Privalomojo sveikatos draudimo fondo biudžeto, tvarkos aprašo patvirtinimo“ 2009-02-20, Nr. V-127 patvirtintą Plaučių vėžio ambulatorinio gydymo, kurio išlaidos kompensuojamos iš Privalomojo sveikatos draudimo fondo biudžeto, tvarkos aprašą ir skyrimo sąlygose nurodyti „</w:t>
      </w:r>
      <w:r w:rsidRPr="00E65BC7">
        <w:rPr>
          <w:lang w:eastAsia="lt-LT"/>
        </w:rPr>
        <w:t>Skiriamas sveikatos apsaugos ministro nustatyta tvarka.</w:t>
      </w:r>
      <w:r>
        <w:rPr>
          <w:lang w:eastAsia="lt-LT"/>
        </w:rPr>
        <w:t>“</w:t>
      </w:r>
    </w:p>
    <w:p w14:paraId="7C70CB98" w14:textId="77777777" w:rsidR="009C7351" w:rsidRPr="000203E1" w:rsidRDefault="009C7351" w:rsidP="00381024"/>
    <w:p w14:paraId="562A1372" w14:textId="77777777" w:rsidR="00283E59" w:rsidRDefault="00283E59" w:rsidP="00283E59">
      <w:pPr>
        <w:jc w:val="both"/>
        <w:rPr>
          <w:b/>
          <w:sz w:val="20"/>
        </w:rPr>
      </w:pPr>
    </w:p>
    <w:p w14:paraId="7CDFF220" w14:textId="58191D98" w:rsidR="000723FF" w:rsidRPr="000203E1" w:rsidRDefault="000723FF" w:rsidP="00824B92">
      <w:pPr>
        <w:rPr>
          <w:b/>
        </w:rPr>
      </w:pPr>
    </w:p>
    <w:sectPr w:rsidR="000723FF" w:rsidRPr="000203E1"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92371" w14:textId="77777777" w:rsidR="00796D12" w:rsidRDefault="00796D12">
      <w:r>
        <w:separator/>
      </w:r>
    </w:p>
  </w:endnote>
  <w:endnote w:type="continuationSeparator" w:id="0">
    <w:p w14:paraId="037444DD" w14:textId="77777777" w:rsidR="00796D12" w:rsidRDefault="00796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CDEDF" w14:textId="77777777" w:rsidR="00796D12" w:rsidRDefault="00796D12">
      <w:r>
        <w:separator/>
      </w:r>
    </w:p>
  </w:footnote>
  <w:footnote w:type="continuationSeparator" w:id="0">
    <w:p w14:paraId="06355245" w14:textId="77777777" w:rsidR="00796D12" w:rsidRDefault="00796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D5F9" w14:textId="46DA8AC4"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77D0B">
      <w:rPr>
        <w:rStyle w:val="Puslapionumeris"/>
        <w:noProof/>
      </w:rPr>
      <w:t>8</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268618CA"/>
    <w:multiLevelType w:val="hybridMultilevel"/>
    <w:tmpl w:val="4CBEA7C4"/>
    <w:lvl w:ilvl="0" w:tplc="04270001">
      <w:start w:val="1"/>
      <w:numFmt w:val="bullet"/>
      <w:lvlText w:val=""/>
      <w:lvlJc w:val="left"/>
      <w:pPr>
        <w:ind w:left="1320" w:hanging="360"/>
      </w:pPr>
      <w:rPr>
        <w:rFonts w:ascii="Symbol" w:hAnsi="Symbol"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5" w15:restartNumberingAfterBreak="0">
    <w:nsid w:val="30AE33D1"/>
    <w:multiLevelType w:val="hybridMultilevel"/>
    <w:tmpl w:val="0F8A81D2"/>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6" w15:restartNumberingAfterBreak="0">
    <w:nsid w:val="35110E32"/>
    <w:multiLevelType w:val="hybridMultilevel"/>
    <w:tmpl w:val="7C347EC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9"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335D2C"/>
    <w:multiLevelType w:val="hybridMultilevel"/>
    <w:tmpl w:val="144C1B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8C20C8"/>
    <w:multiLevelType w:val="hybridMultilevel"/>
    <w:tmpl w:val="D7C8B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59705234">
    <w:abstractNumId w:val="9"/>
  </w:num>
  <w:num w:numId="2" w16cid:durableId="978651839">
    <w:abstractNumId w:val="1"/>
  </w:num>
  <w:num w:numId="3" w16cid:durableId="1869709304">
    <w:abstractNumId w:val="12"/>
  </w:num>
  <w:num w:numId="4" w16cid:durableId="1875195534">
    <w:abstractNumId w:val="11"/>
  </w:num>
  <w:num w:numId="5" w16cid:durableId="1133906061">
    <w:abstractNumId w:val="8"/>
  </w:num>
  <w:num w:numId="6" w16cid:durableId="1868524533">
    <w:abstractNumId w:val="7"/>
  </w:num>
  <w:num w:numId="7" w16cid:durableId="1894805977">
    <w:abstractNumId w:val="3"/>
  </w:num>
  <w:num w:numId="8" w16cid:durableId="1183668901">
    <w:abstractNumId w:val="16"/>
  </w:num>
  <w:num w:numId="9" w16cid:durableId="1562328082">
    <w:abstractNumId w:val="0"/>
  </w:num>
  <w:num w:numId="10" w16cid:durableId="528569184">
    <w:abstractNumId w:val="13"/>
  </w:num>
  <w:num w:numId="11" w16cid:durableId="1039891346">
    <w:abstractNumId w:val="15"/>
  </w:num>
  <w:num w:numId="12" w16cid:durableId="931932539">
    <w:abstractNumId w:val="2"/>
  </w:num>
  <w:num w:numId="13" w16cid:durableId="725421675">
    <w:abstractNumId w:val="6"/>
  </w:num>
  <w:num w:numId="14" w16cid:durableId="1710109881">
    <w:abstractNumId w:val="14"/>
  </w:num>
  <w:num w:numId="15" w16cid:durableId="886140489">
    <w:abstractNumId w:val="10"/>
  </w:num>
  <w:num w:numId="16" w16cid:durableId="438524713">
    <w:abstractNumId w:val="4"/>
  </w:num>
  <w:num w:numId="17" w16cid:durableId="593636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03FA3"/>
    <w:rsid w:val="000114DD"/>
    <w:rsid w:val="000136F7"/>
    <w:rsid w:val="000203E1"/>
    <w:rsid w:val="0002686C"/>
    <w:rsid w:val="00030C28"/>
    <w:rsid w:val="00031D0E"/>
    <w:rsid w:val="000337E6"/>
    <w:rsid w:val="0003402E"/>
    <w:rsid w:val="00034EAE"/>
    <w:rsid w:val="00042924"/>
    <w:rsid w:val="00053975"/>
    <w:rsid w:val="00057A2B"/>
    <w:rsid w:val="000606BE"/>
    <w:rsid w:val="000723FF"/>
    <w:rsid w:val="000736B8"/>
    <w:rsid w:val="0007410A"/>
    <w:rsid w:val="0008190F"/>
    <w:rsid w:val="00081D9C"/>
    <w:rsid w:val="00082907"/>
    <w:rsid w:val="0008378D"/>
    <w:rsid w:val="00084644"/>
    <w:rsid w:val="000908A5"/>
    <w:rsid w:val="00092805"/>
    <w:rsid w:val="000A3DCB"/>
    <w:rsid w:val="000C454C"/>
    <w:rsid w:val="000D5038"/>
    <w:rsid w:val="000E29D4"/>
    <w:rsid w:val="000F2E6B"/>
    <w:rsid w:val="000F3540"/>
    <w:rsid w:val="00100491"/>
    <w:rsid w:val="00104E2E"/>
    <w:rsid w:val="00107287"/>
    <w:rsid w:val="00117406"/>
    <w:rsid w:val="00121EF0"/>
    <w:rsid w:val="00124A9E"/>
    <w:rsid w:val="00124E31"/>
    <w:rsid w:val="00130703"/>
    <w:rsid w:val="0013153F"/>
    <w:rsid w:val="001408B8"/>
    <w:rsid w:val="00140F7C"/>
    <w:rsid w:val="0014166C"/>
    <w:rsid w:val="001517E2"/>
    <w:rsid w:val="001521D9"/>
    <w:rsid w:val="001554E2"/>
    <w:rsid w:val="00164146"/>
    <w:rsid w:val="00164D64"/>
    <w:rsid w:val="0017369C"/>
    <w:rsid w:val="00175D57"/>
    <w:rsid w:val="00180C39"/>
    <w:rsid w:val="00180D96"/>
    <w:rsid w:val="00184BD3"/>
    <w:rsid w:val="00184E44"/>
    <w:rsid w:val="00185963"/>
    <w:rsid w:val="001921F3"/>
    <w:rsid w:val="001B3C5B"/>
    <w:rsid w:val="001C1D94"/>
    <w:rsid w:val="001C4F45"/>
    <w:rsid w:val="001D15C0"/>
    <w:rsid w:val="001D5B91"/>
    <w:rsid w:val="001D746F"/>
    <w:rsid w:val="001D7E38"/>
    <w:rsid w:val="001E4BBB"/>
    <w:rsid w:val="001E6304"/>
    <w:rsid w:val="0020381E"/>
    <w:rsid w:val="00213471"/>
    <w:rsid w:val="00215906"/>
    <w:rsid w:val="0022540A"/>
    <w:rsid w:val="00241CD8"/>
    <w:rsid w:val="00241D69"/>
    <w:rsid w:val="00244B09"/>
    <w:rsid w:val="002455F0"/>
    <w:rsid w:val="00250E4E"/>
    <w:rsid w:val="002519CB"/>
    <w:rsid w:val="0025697F"/>
    <w:rsid w:val="002571CB"/>
    <w:rsid w:val="00260258"/>
    <w:rsid w:val="0026588E"/>
    <w:rsid w:val="002661E3"/>
    <w:rsid w:val="00272428"/>
    <w:rsid w:val="00272948"/>
    <w:rsid w:val="00283E59"/>
    <w:rsid w:val="00292392"/>
    <w:rsid w:val="002946C7"/>
    <w:rsid w:val="002B3BF2"/>
    <w:rsid w:val="002B3CC1"/>
    <w:rsid w:val="002B50EA"/>
    <w:rsid w:val="002C09E0"/>
    <w:rsid w:val="002C1BB1"/>
    <w:rsid w:val="002C2786"/>
    <w:rsid w:val="002C3A10"/>
    <w:rsid w:val="002C4A90"/>
    <w:rsid w:val="002C4ED5"/>
    <w:rsid w:val="002D02EF"/>
    <w:rsid w:val="002E0702"/>
    <w:rsid w:val="002E57AD"/>
    <w:rsid w:val="002E6F80"/>
    <w:rsid w:val="002F0E4F"/>
    <w:rsid w:val="002F1053"/>
    <w:rsid w:val="00314816"/>
    <w:rsid w:val="00314DC6"/>
    <w:rsid w:val="00317B0E"/>
    <w:rsid w:val="00347FAA"/>
    <w:rsid w:val="0035172D"/>
    <w:rsid w:val="003556A1"/>
    <w:rsid w:val="0036187D"/>
    <w:rsid w:val="00367EDB"/>
    <w:rsid w:val="00381024"/>
    <w:rsid w:val="00386307"/>
    <w:rsid w:val="003874DE"/>
    <w:rsid w:val="00393E9F"/>
    <w:rsid w:val="0039696E"/>
    <w:rsid w:val="003A604B"/>
    <w:rsid w:val="003B211A"/>
    <w:rsid w:val="003C141F"/>
    <w:rsid w:val="003C6B0E"/>
    <w:rsid w:val="003C7257"/>
    <w:rsid w:val="003C7E35"/>
    <w:rsid w:val="003D1E99"/>
    <w:rsid w:val="003D6208"/>
    <w:rsid w:val="00404E8A"/>
    <w:rsid w:val="0040622F"/>
    <w:rsid w:val="00413F24"/>
    <w:rsid w:val="00417003"/>
    <w:rsid w:val="00422853"/>
    <w:rsid w:val="00423160"/>
    <w:rsid w:val="00426A4D"/>
    <w:rsid w:val="00450075"/>
    <w:rsid w:val="00453862"/>
    <w:rsid w:val="00453F98"/>
    <w:rsid w:val="0045469B"/>
    <w:rsid w:val="00461338"/>
    <w:rsid w:val="004677DB"/>
    <w:rsid w:val="00476256"/>
    <w:rsid w:val="0048630F"/>
    <w:rsid w:val="004947A1"/>
    <w:rsid w:val="0049482A"/>
    <w:rsid w:val="00495E82"/>
    <w:rsid w:val="004979D3"/>
    <w:rsid w:val="004A00E7"/>
    <w:rsid w:val="004A3A61"/>
    <w:rsid w:val="004B59BA"/>
    <w:rsid w:val="004B5A03"/>
    <w:rsid w:val="004C263A"/>
    <w:rsid w:val="004D2953"/>
    <w:rsid w:val="004D48A6"/>
    <w:rsid w:val="004D5BDB"/>
    <w:rsid w:val="004D7B8F"/>
    <w:rsid w:val="004E241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76CE"/>
    <w:rsid w:val="005A23D4"/>
    <w:rsid w:val="005A2D1E"/>
    <w:rsid w:val="005A4698"/>
    <w:rsid w:val="005B3756"/>
    <w:rsid w:val="005C493F"/>
    <w:rsid w:val="005C6BF7"/>
    <w:rsid w:val="005C71BF"/>
    <w:rsid w:val="005D002C"/>
    <w:rsid w:val="005D30E1"/>
    <w:rsid w:val="005D367F"/>
    <w:rsid w:val="005D6555"/>
    <w:rsid w:val="005D7BDF"/>
    <w:rsid w:val="005E41A3"/>
    <w:rsid w:val="005E4870"/>
    <w:rsid w:val="005F71D9"/>
    <w:rsid w:val="005F7602"/>
    <w:rsid w:val="006062BE"/>
    <w:rsid w:val="00613143"/>
    <w:rsid w:val="00613501"/>
    <w:rsid w:val="0061611B"/>
    <w:rsid w:val="006166A8"/>
    <w:rsid w:val="006174A1"/>
    <w:rsid w:val="0062161E"/>
    <w:rsid w:val="00621D6C"/>
    <w:rsid w:val="00633B49"/>
    <w:rsid w:val="0064249A"/>
    <w:rsid w:val="0064297F"/>
    <w:rsid w:val="00645102"/>
    <w:rsid w:val="00646CF3"/>
    <w:rsid w:val="00650959"/>
    <w:rsid w:val="00653D11"/>
    <w:rsid w:val="00662983"/>
    <w:rsid w:val="00670984"/>
    <w:rsid w:val="00675EEE"/>
    <w:rsid w:val="006834D3"/>
    <w:rsid w:val="006859A4"/>
    <w:rsid w:val="00686CC0"/>
    <w:rsid w:val="00692625"/>
    <w:rsid w:val="00695CD3"/>
    <w:rsid w:val="006A36FB"/>
    <w:rsid w:val="006A38B6"/>
    <w:rsid w:val="006B1987"/>
    <w:rsid w:val="006B5B71"/>
    <w:rsid w:val="006B5D3E"/>
    <w:rsid w:val="006B6CB0"/>
    <w:rsid w:val="006C0251"/>
    <w:rsid w:val="006C2B64"/>
    <w:rsid w:val="006D1855"/>
    <w:rsid w:val="006D1BF3"/>
    <w:rsid w:val="006D4C85"/>
    <w:rsid w:val="006D66AC"/>
    <w:rsid w:val="006E33F6"/>
    <w:rsid w:val="006F1251"/>
    <w:rsid w:val="006F1C23"/>
    <w:rsid w:val="00702C18"/>
    <w:rsid w:val="00703166"/>
    <w:rsid w:val="007127F3"/>
    <w:rsid w:val="00713C8C"/>
    <w:rsid w:val="00722F30"/>
    <w:rsid w:val="007301CF"/>
    <w:rsid w:val="007316FB"/>
    <w:rsid w:val="00737E2D"/>
    <w:rsid w:val="007410E7"/>
    <w:rsid w:val="007424D5"/>
    <w:rsid w:val="007437CB"/>
    <w:rsid w:val="00750A88"/>
    <w:rsid w:val="007523DD"/>
    <w:rsid w:val="00753871"/>
    <w:rsid w:val="00757B7E"/>
    <w:rsid w:val="00760483"/>
    <w:rsid w:val="007656B2"/>
    <w:rsid w:val="0077016F"/>
    <w:rsid w:val="007713AD"/>
    <w:rsid w:val="00795DC5"/>
    <w:rsid w:val="00796D12"/>
    <w:rsid w:val="00797005"/>
    <w:rsid w:val="00797153"/>
    <w:rsid w:val="007A21F7"/>
    <w:rsid w:val="007A2B68"/>
    <w:rsid w:val="007B0DDA"/>
    <w:rsid w:val="007D2835"/>
    <w:rsid w:val="007D2CF4"/>
    <w:rsid w:val="007D3347"/>
    <w:rsid w:val="007E5466"/>
    <w:rsid w:val="007F1949"/>
    <w:rsid w:val="007F2592"/>
    <w:rsid w:val="00800A08"/>
    <w:rsid w:val="00817A84"/>
    <w:rsid w:val="008225A4"/>
    <w:rsid w:val="00822FB1"/>
    <w:rsid w:val="00824B92"/>
    <w:rsid w:val="00826872"/>
    <w:rsid w:val="00826D5E"/>
    <w:rsid w:val="0082797D"/>
    <w:rsid w:val="00832013"/>
    <w:rsid w:val="00832DB7"/>
    <w:rsid w:val="00834732"/>
    <w:rsid w:val="0085200C"/>
    <w:rsid w:val="00857C52"/>
    <w:rsid w:val="00860D5F"/>
    <w:rsid w:val="00860ECB"/>
    <w:rsid w:val="00880A44"/>
    <w:rsid w:val="0088345E"/>
    <w:rsid w:val="0088656F"/>
    <w:rsid w:val="00891EF6"/>
    <w:rsid w:val="008A0303"/>
    <w:rsid w:val="008A5FDD"/>
    <w:rsid w:val="008C1DDB"/>
    <w:rsid w:val="008C2035"/>
    <w:rsid w:val="008C3947"/>
    <w:rsid w:val="008C467D"/>
    <w:rsid w:val="008E473B"/>
    <w:rsid w:val="008E51A6"/>
    <w:rsid w:val="008E7329"/>
    <w:rsid w:val="008F2ED5"/>
    <w:rsid w:val="00921037"/>
    <w:rsid w:val="0092297E"/>
    <w:rsid w:val="00922B0F"/>
    <w:rsid w:val="00923651"/>
    <w:rsid w:val="00927B56"/>
    <w:rsid w:val="009341BF"/>
    <w:rsid w:val="00937907"/>
    <w:rsid w:val="00941739"/>
    <w:rsid w:val="00951573"/>
    <w:rsid w:val="00963003"/>
    <w:rsid w:val="00966EEF"/>
    <w:rsid w:val="00971B28"/>
    <w:rsid w:val="009720BC"/>
    <w:rsid w:val="00983471"/>
    <w:rsid w:val="009860D1"/>
    <w:rsid w:val="009909AB"/>
    <w:rsid w:val="009B2F9C"/>
    <w:rsid w:val="009B37DB"/>
    <w:rsid w:val="009C7351"/>
    <w:rsid w:val="009C7A8C"/>
    <w:rsid w:val="009D1720"/>
    <w:rsid w:val="009D23F9"/>
    <w:rsid w:val="009D4FA8"/>
    <w:rsid w:val="009D511B"/>
    <w:rsid w:val="009E44AE"/>
    <w:rsid w:val="009E6CD6"/>
    <w:rsid w:val="009F4D66"/>
    <w:rsid w:val="00A00C3C"/>
    <w:rsid w:val="00A01091"/>
    <w:rsid w:val="00A042B9"/>
    <w:rsid w:val="00A06DBB"/>
    <w:rsid w:val="00A22ADF"/>
    <w:rsid w:val="00A23EA3"/>
    <w:rsid w:val="00A31E86"/>
    <w:rsid w:val="00A54D87"/>
    <w:rsid w:val="00A5553C"/>
    <w:rsid w:val="00A638AA"/>
    <w:rsid w:val="00A701C9"/>
    <w:rsid w:val="00A77D0B"/>
    <w:rsid w:val="00A81785"/>
    <w:rsid w:val="00A84803"/>
    <w:rsid w:val="00A84C51"/>
    <w:rsid w:val="00A86F2B"/>
    <w:rsid w:val="00A91366"/>
    <w:rsid w:val="00A91563"/>
    <w:rsid w:val="00A92F91"/>
    <w:rsid w:val="00A93AA6"/>
    <w:rsid w:val="00AA1CF6"/>
    <w:rsid w:val="00AA4E48"/>
    <w:rsid w:val="00AA6202"/>
    <w:rsid w:val="00AA7B57"/>
    <w:rsid w:val="00AB2806"/>
    <w:rsid w:val="00AC26FC"/>
    <w:rsid w:val="00AC4A99"/>
    <w:rsid w:val="00AC64D2"/>
    <w:rsid w:val="00AD02E7"/>
    <w:rsid w:val="00AD76D4"/>
    <w:rsid w:val="00AE0FE8"/>
    <w:rsid w:val="00AF60D5"/>
    <w:rsid w:val="00B00959"/>
    <w:rsid w:val="00B04415"/>
    <w:rsid w:val="00B06509"/>
    <w:rsid w:val="00B11D60"/>
    <w:rsid w:val="00B13D65"/>
    <w:rsid w:val="00B21805"/>
    <w:rsid w:val="00B3072E"/>
    <w:rsid w:val="00B36E15"/>
    <w:rsid w:val="00B37245"/>
    <w:rsid w:val="00B4017A"/>
    <w:rsid w:val="00B41380"/>
    <w:rsid w:val="00B43279"/>
    <w:rsid w:val="00B4468D"/>
    <w:rsid w:val="00B71C72"/>
    <w:rsid w:val="00B81E92"/>
    <w:rsid w:val="00B908D7"/>
    <w:rsid w:val="00B9211D"/>
    <w:rsid w:val="00B935E8"/>
    <w:rsid w:val="00B93B30"/>
    <w:rsid w:val="00B94CB5"/>
    <w:rsid w:val="00BA0DD9"/>
    <w:rsid w:val="00BA5DBC"/>
    <w:rsid w:val="00BA6584"/>
    <w:rsid w:val="00BB6312"/>
    <w:rsid w:val="00BC3D21"/>
    <w:rsid w:val="00BC4D06"/>
    <w:rsid w:val="00BD26AA"/>
    <w:rsid w:val="00BD301C"/>
    <w:rsid w:val="00BD585E"/>
    <w:rsid w:val="00BD6919"/>
    <w:rsid w:val="00BE1EA7"/>
    <w:rsid w:val="00BE7489"/>
    <w:rsid w:val="00BF2E0D"/>
    <w:rsid w:val="00BF3927"/>
    <w:rsid w:val="00BF3F8B"/>
    <w:rsid w:val="00BF76DA"/>
    <w:rsid w:val="00C07C7B"/>
    <w:rsid w:val="00C16245"/>
    <w:rsid w:val="00C21A99"/>
    <w:rsid w:val="00C21EB8"/>
    <w:rsid w:val="00C22DC5"/>
    <w:rsid w:val="00C24479"/>
    <w:rsid w:val="00C273F2"/>
    <w:rsid w:val="00C37B53"/>
    <w:rsid w:val="00C434EB"/>
    <w:rsid w:val="00C51597"/>
    <w:rsid w:val="00C517D2"/>
    <w:rsid w:val="00C5772E"/>
    <w:rsid w:val="00C62B36"/>
    <w:rsid w:val="00C656E1"/>
    <w:rsid w:val="00C7012C"/>
    <w:rsid w:val="00C712EA"/>
    <w:rsid w:val="00C74E70"/>
    <w:rsid w:val="00C95F56"/>
    <w:rsid w:val="00CA217D"/>
    <w:rsid w:val="00CB1FA4"/>
    <w:rsid w:val="00CC09D4"/>
    <w:rsid w:val="00CC668D"/>
    <w:rsid w:val="00CC7832"/>
    <w:rsid w:val="00CD488E"/>
    <w:rsid w:val="00CE5F86"/>
    <w:rsid w:val="00CF0C1C"/>
    <w:rsid w:val="00CF27FD"/>
    <w:rsid w:val="00CF5F12"/>
    <w:rsid w:val="00D00D8F"/>
    <w:rsid w:val="00D20CA7"/>
    <w:rsid w:val="00D21F3A"/>
    <w:rsid w:val="00D23808"/>
    <w:rsid w:val="00D3016A"/>
    <w:rsid w:val="00D32A7F"/>
    <w:rsid w:val="00D417D2"/>
    <w:rsid w:val="00D42960"/>
    <w:rsid w:val="00D43BD7"/>
    <w:rsid w:val="00D4485B"/>
    <w:rsid w:val="00D458CC"/>
    <w:rsid w:val="00D46CCD"/>
    <w:rsid w:val="00D4708D"/>
    <w:rsid w:val="00D4744C"/>
    <w:rsid w:val="00D521DE"/>
    <w:rsid w:val="00D544C5"/>
    <w:rsid w:val="00D5470B"/>
    <w:rsid w:val="00D63068"/>
    <w:rsid w:val="00D6498C"/>
    <w:rsid w:val="00D76A70"/>
    <w:rsid w:val="00D83182"/>
    <w:rsid w:val="00D8521E"/>
    <w:rsid w:val="00D9291C"/>
    <w:rsid w:val="00D93A97"/>
    <w:rsid w:val="00DA50E2"/>
    <w:rsid w:val="00DB1F64"/>
    <w:rsid w:val="00DC2F53"/>
    <w:rsid w:val="00DC5BAC"/>
    <w:rsid w:val="00DC6816"/>
    <w:rsid w:val="00DC76C2"/>
    <w:rsid w:val="00DD1CF2"/>
    <w:rsid w:val="00DE4484"/>
    <w:rsid w:val="00DF3EE5"/>
    <w:rsid w:val="00DF41B7"/>
    <w:rsid w:val="00DF4A4A"/>
    <w:rsid w:val="00DF583C"/>
    <w:rsid w:val="00DF5AF3"/>
    <w:rsid w:val="00E03C3F"/>
    <w:rsid w:val="00E06FD7"/>
    <w:rsid w:val="00E07417"/>
    <w:rsid w:val="00E24D45"/>
    <w:rsid w:val="00E27419"/>
    <w:rsid w:val="00E33DB8"/>
    <w:rsid w:val="00E33EFF"/>
    <w:rsid w:val="00E34387"/>
    <w:rsid w:val="00E348BA"/>
    <w:rsid w:val="00E369FE"/>
    <w:rsid w:val="00E37C6F"/>
    <w:rsid w:val="00E46CFC"/>
    <w:rsid w:val="00E475F8"/>
    <w:rsid w:val="00E50175"/>
    <w:rsid w:val="00E5102E"/>
    <w:rsid w:val="00E5721C"/>
    <w:rsid w:val="00E619C6"/>
    <w:rsid w:val="00E745A1"/>
    <w:rsid w:val="00E81529"/>
    <w:rsid w:val="00E83A1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972"/>
    <w:rsid w:val="00F42426"/>
    <w:rsid w:val="00F456BC"/>
    <w:rsid w:val="00F50666"/>
    <w:rsid w:val="00F70731"/>
    <w:rsid w:val="00F70C9E"/>
    <w:rsid w:val="00F74A74"/>
    <w:rsid w:val="00F7572C"/>
    <w:rsid w:val="00F8382C"/>
    <w:rsid w:val="00F855D7"/>
    <w:rsid w:val="00F92035"/>
    <w:rsid w:val="00F92748"/>
    <w:rsid w:val="00F950AE"/>
    <w:rsid w:val="00FA0881"/>
    <w:rsid w:val="00FA4169"/>
    <w:rsid w:val="00FB0D41"/>
    <w:rsid w:val="00FB2030"/>
    <w:rsid w:val="00FD0E46"/>
    <w:rsid w:val="00FD1CF2"/>
    <w:rsid w:val="00FD3EDF"/>
    <w:rsid w:val="00FD793C"/>
    <w:rsid w:val="00FE0FD5"/>
    <w:rsid w:val="00FE20E6"/>
    <w:rsid w:val="00FE3E3B"/>
    <w:rsid w:val="00FE4F09"/>
    <w:rsid w:val="00FF0E66"/>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Summary box,Dossier Table"/>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 List,Bullet1,Use Case List Paragraph,List Paragraph1,Body Bullet,Table Number Paragraph,Colorful List - Accent 11,List Paragraph 1,Ref,B1,Figure_name,bu1,bu1 + Before:  0 pt,After:  6 pt,Bullet for no #'s,Paragraph,lp1,Bullet 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 List Diagrama,Bullet1 Diagrama,Use Case List Paragraph Diagrama,List Paragraph1 Diagrama,Body Bullet Diagrama,Table Number Paragraph Diagrama,Colorful List - Accent 11 Diagrama,List Paragraph 1 Diagrama,Ref Diagrama"/>
    <w:basedOn w:val="Numatytasispastraiposriftas"/>
    <w:link w:val="Sraopastraipa"/>
    <w:uiPriority w:val="34"/>
    <w:rsid w:val="009B2F9C"/>
    <w:rPr>
      <w:sz w:val="24"/>
      <w:szCs w:val="24"/>
      <w:lang w:eastAsia="en-US"/>
    </w:rPr>
  </w:style>
  <w:style w:type="paragraph" w:customStyle="1" w:styleId="Style1">
    <w:name w:val="Style1"/>
    <w:basedOn w:val="prastasis"/>
    <w:qFormat/>
    <w:rsid w:val="009B2F9C"/>
    <w:pPr>
      <w:ind w:firstLine="720"/>
    </w:pPr>
    <w:rPr>
      <w:color w:val="000000"/>
    </w:rPr>
  </w:style>
  <w:style w:type="paragraph" w:customStyle="1" w:styleId="0TEXT">
    <w:name w:val="0: TEXT"/>
    <w:basedOn w:val="prastasis"/>
    <w:link w:val="0TEXTChar"/>
    <w:qFormat/>
    <w:rsid w:val="008C2035"/>
    <w:pPr>
      <w:spacing w:before="240"/>
      <w:ind w:firstLine="567"/>
      <w:jc w:val="both"/>
    </w:pPr>
    <w:rPr>
      <w:rFonts w:eastAsiaTheme="minorHAnsi"/>
      <w:bCs/>
      <w:color w:val="000000"/>
      <w:lang w:val="en-GB"/>
    </w:rPr>
  </w:style>
  <w:style w:type="character" w:customStyle="1" w:styleId="0TEXTChar">
    <w:name w:val="0: TEXT Char"/>
    <w:basedOn w:val="Numatytasispastraiposriftas"/>
    <w:link w:val="0TEXT"/>
    <w:rsid w:val="008C2035"/>
    <w:rPr>
      <w:rFonts w:eastAsiaTheme="minorHAnsi"/>
      <w:bCs/>
      <w:color w:val="000000"/>
      <w:sz w:val="24"/>
      <w:szCs w:val="24"/>
      <w:lang w:val="en-GB" w:eastAsia="en-US"/>
    </w:rPr>
  </w:style>
  <w:style w:type="table" w:customStyle="1" w:styleId="Summarybox1">
    <w:name w:val="Summary box1"/>
    <w:basedOn w:val="prastojilentel"/>
    <w:next w:val="Lentelstinklelis"/>
    <w:rsid w:val="008C2035"/>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Vietosrezervavimoenklotekstas"/>
            </w:rPr>
            <w:t>Click here to enter a date.</w:t>
          </w:r>
        </w:p>
      </w:docPartBody>
    </w:docPart>
    <w:docPart>
      <w:docPartPr>
        <w:name w:val="151896C5A8F34F6AB9076F4407CCF7B4"/>
        <w:category>
          <w:name w:val="General"/>
          <w:gallery w:val="placeholder"/>
        </w:category>
        <w:types>
          <w:type w:val="bbPlcHdr"/>
        </w:types>
        <w:behaviors>
          <w:behavior w:val="content"/>
        </w:behaviors>
        <w:guid w:val="{62C02427-0B6A-4103-9A38-F6F1E85A3E2C}"/>
      </w:docPartPr>
      <w:docPartBody>
        <w:p w:rsidR="006A54E2" w:rsidRDefault="00EA3358" w:rsidP="00EA3358">
          <w:pPr>
            <w:pStyle w:val="151896C5A8F34F6AB9076F4407CCF7B4"/>
          </w:pPr>
          <w:r>
            <w:rPr>
              <w:rStyle w:val="Vietosrezervavimoenklotekstas"/>
            </w:rPr>
            <w:t>Click here to enter a date.</w:t>
          </w:r>
        </w:p>
      </w:docPartBody>
    </w:docPart>
    <w:docPart>
      <w:docPartPr>
        <w:name w:val="4964AA6EF5EB4C229FD65B906A90AABF"/>
        <w:category>
          <w:name w:val="General"/>
          <w:gallery w:val="placeholder"/>
        </w:category>
        <w:types>
          <w:type w:val="bbPlcHdr"/>
        </w:types>
        <w:behaviors>
          <w:behavior w:val="content"/>
        </w:behaviors>
        <w:guid w:val="{3AA57E5E-D11F-4AF5-A658-3CB1B540F157}"/>
      </w:docPartPr>
      <w:docPartBody>
        <w:p w:rsidR="006A54E2" w:rsidRDefault="00EA3358" w:rsidP="00EA3358">
          <w:pPr>
            <w:pStyle w:val="4964AA6EF5EB4C229FD65B906A90AABF"/>
          </w:pPr>
          <w:r>
            <w:rPr>
              <w:rStyle w:val="Vietosrezervavimoenklotekstas"/>
            </w:rPr>
            <w:t>Click here to enter a date.</w:t>
          </w:r>
        </w:p>
      </w:docPartBody>
    </w:docPart>
    <w:docPart>
      <w:docPartPr>
        <w:name w:val="9B6F060867024E3EAB345B84103B5951"/>
        <w:category>
          <w:name w:val="General"/>
          <w:gallery w:val="placeholder"/>
        </w:category>
        <w:types>
          <w:type w:val="bbPlcHdr"/>
        </w:types>
        <w:behaviors>
          <w:behavior w:val="content"/>
        </w:behaviors>
        <w:guid w:val="{B766589D-BFF9-4DA0-8A4D-93DF237D2E4F}"/>
      </w:docPartPr>
      <w:docPartBody>
        <w:p w:rsidR="006A54E2" w:rsidRDefault="00EA3358" w:rsidP="00EA3358">
          <w:pPr>
            <w:pStyle w:val="9B6F060867024E3EAB345B84103B5951"/>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D24D4"/>
    <w:rsid w:val="00124E31"/>
    <w:rsid w:val="00142F50"/>
    <w:rsid w:val="00165F12"/>
    <w:rsid w:val="001C35A9"/>
    <w:rsid w:val="00237556"/>
    <w:rsid w:val="002455F0"/>
    <w:rsid w:val="002B3BF2"/>
    <w:rsid w:val="002B6D97"/>
    <w:rsid w:val="00314DC6"/>
    <w:rsid w:val="0039303B"/>
    <w:rsid w:val="003B158A"/>
    <w:rsid w:val="003B657B"/>
    <w:rsid w:val="004144A3"/>
    <w:rsid w:val="004160E7"/>
    <w:rsid w:val="004416C6"/>
    <w:rsid w:val="00456E96"/>
    <w:rsid w:val="004B0476"/>
    <w:rsid w:val="004D5BDB"/>
    <w:rsid w:val="004F5AB2"/>
    <w:rsid w:val="0050330F"/>
    <w:rsid w:val="005074B9"/>
    <w:rsid w:val="005C62E5"/>
    <w:rsid w:val="005E40DD"/>
    <w:rsid w:val="006A54E2"/>
    <w:rsid w:val="007219C1"/>
    <w:rsid w:val="00734BD2"/>
    <w:rsid w:val="00736E2F"/>
    <w:rsid w:val="00753462"/>
    <w:rsid w:val="00772325"/>
    <w:rsid w:val="007A2FE0"/>
    <w:rsid w:val="007B6244"/>
    <w:rsid w:val="007C0D4F"/>
    <w:rsid w:val="007C1D92"/>
    <w:rsid w:val="007C6D1D"/>
    <w:rsid w:val="007D2835"/>
    <w:rsid w:val="00805BE5"/>
    <w:rsid w:val="008152E7"/>
    <w:rsid w:val="00833EBF"/>
    <w:rsid w:val="008D21DA"/>
    <w:rsid w:val="0090074D"/>
    <w:rsid w:val="00921037"/>
    <w:rsid w:val="009860D1"/>
    <w:rsid w:val="009B3BF0"/>
    <w:rsid w:val="009D5E5E"/>
    <w:rsid w:val="009F1BB4"/>
    <w:rsid w:val="00A23EA3"/>
    <w:rsid w:val="00A91563"/>
    <w:rsid w:val="00AB6ED4"/>
    <w:rsid w:val="00B14210"/>
    <w:rsid w:val="00B22ED6"/>
    <w:rsid w:val="00B23DC0"/>
    <w:rsid w:val="00B43279"/>
    <w:rsid w:val="00B96656"/>
    <w:rsid w:val="00BC3D21"/>
    <w:rsid w:val="00BF627F"/>
    <w:rsid w:val="00C2401D"/>
    <w:rsid w:val="00C250D7"/>
    <w:rsid w:val="00C51597"/>
    <w:rsid w:val="00C53A68"/>
    <w:rsid w:val="00CA5BB4"/>
    <w:rsid w:val="00CB4BD1"/>
    <w:rsid w:val="00CD139C"/>
    <w:rsid w:val="00CE2DA9"/>
    <w:rsid w:val="00CE44BE"/>
    <w:rsid w:val="00D0142D"/>
    <w:rsid w:val="00D32A7F"/>
    <w:rsid w:val="00D4356B"/>
    <w:rsid w:val="00D67EDE"/>
    <w:rsid w:val="00D7162F"/>
    <w:rsid w:val="00DB4DB5"/>
    <w:rsid w:val="00DB661E"/>
    <w:rsid w:val="00DE4D10"/>
    <w:rsid w:val="00E44A86"/>
    <w:rsid w:val="00E522EB"/>
    <w:rsid w:val="00E60827"/>
    <w:rsid w:val="00EA3358"/>
    <w:rsid w:val="00EE0C54"/>
    <w:rsid w:val="00EF6E0C"/>
    <w:rsid w:val="00F506E0"/>
    <w:rsid w:val="00F55028"/>
    <w:rsid w:val="00F77BEF"/>
    <w:rsid w:val="00F9174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EA3358"/>
    <w:rPr>
      <w:color w:val="808080"/>
    </w:rPr>
  </w:style>
  <w:style w:type="paragraph" w:customStyle="1" w:styleId="CDB60824EC144AB3B75C05A5823BEE2D">
    <w:name w:val="CDB60824EC144AB3B75C05A5823BEE2D"/>
    <w:rsid w:val="005E40DD"/>
  </w:style>
  <w:style w:type="paragraph" w:customStyle="1" w:styleId="151896C5A8F34F6AB9076F4407CCF7B4">
    <w:name w:val="151896C5A8F34F6AB9076F4407CCF7B4"/>
    <w:rsid w:val="00EA3358"/>
  </w:style>
  <w:style w:type="paragraph" w:customStyle="1" w:styleId="4964AA6EF5EB4C229FD65B906A90AABF">
    <w:name w:val="4964AA6EF5EB4C229FD65B906A90AABF"/>
    <w:rsid w:val="00EA3358"/>
  </w:style>
  <w:style w:type="paragraph" w:customStyle="1" w:styleId="9B6F060867024E3EAB345B84103B5951">
    <w:name w:val="9B6F060867024E3EAB345B84103B5951"/>
    <w:rsid w:val="00EA33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E6AE6-E81D-4CF2-8E52-FA2FF3F27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11731</Words>
  <Characters>6687</Characters>
  <Application>Microsoft Office Word</Application>
  <DocSecurity>0</DocSecurity>
  <Lines>55</Lines>
  <Paragraphs>36</Paragraphs>
  <ScaleCrop>false</ScaleCrop>
  <Company/>
  <LinksUpToDate>false</LinksUpToDate>
  <CharactersWithSpaces>18382</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2025-05-05T17:40:00Z</dcterms:created>
  <dcterms:modified xsi:type="dcterms:W3CDTF">2025-05-12T13:04:00Z</dcterms:modified>
</cp:coreProperties>
</file>