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DE95D96" w14:textId="7B2DB0D7" w:rsidR="004537D0" w:rsidRPr="008A4E55" w:rsidRDefault="004537D0" w:rsidP="004537D0">
      <w:pPr>
        <w:spacing w:line="276" w:lineRule="auto"/>
        <w:jc w:val="center"/>
      </w:pPr>
      <w:r w:rsidRPr="008A4E55">
        <w:rPr>
          <w:b/>
        </w:rPr>
        <w:t>TRODELVY 200 mg milteliai infuzinio tirpalo koncentratui</w:t>
      </w:r>
    </w:p>
    <w:p w14:paraId="7CB83754" w14:textId="77777777" w:rsidR="004537D0" w:rsidRPr="008A4E55" w:rsidRDefault="004537D0" w:rsidP="004537D0">
      <w:pPr>
        <w:spacing w:line="276" w:lineRule="auto"/>
        <w:jc w:val="center"/>
      </w:pPr>
      <w:r w:rsidRPr="008A4E55">
        <w:t>(</w:t>
      </w:r>
      <w:proofErr w:type="spellStart"/>
      <w:r w:rsidRPr="008A4E55">
        <w:rPr>
          <w:rFonts w:eastAsia="Arial"/>
        </w:rPr>
        <w:t>Sacituzumabas</w:t>
      </w:r>
      <w:proofErr w:type="spellEnd"/>
      <w:r w:rsidRPr="008A4E55">
        <w:rPr>
          <w:rFonts w:eastAsia="Arial"/>
        </w:rPr>
        <w:t xml:space="preserve"> </w:t>
      </w:r>
      <w:proofErr w:type="spellStart"/>
      <w:r w:rsidRPr="008A4E55">
        <w:rPr>
          <w:rFonts w:eastAsia="Arial"/>
        </w:rPr>
        <w:t>govitekanas</w:t>
      </w:r>
      <w:proofErr w:type="spellEnd"/>
      <w:r w:rsidRPr="008A4E55">
        <w:t>)</w:t>
      </w:r>
    </w:p>
    <w:p w14:paraId="422F8AD3" w14:textId="77777777" w:rsidR="004537D0" w:rsidRPr="008A4E55" w:rsidRDefault="004537D0" w:rsidP="004537D0">
      <w:pPr>
        <w:spacing w:line="276" w:lineRule="auto"/>
        <w:jc w:val="center"/>
      </w:pPr>
    </w:p>
    <w:p w14:paraId="34ED9D7D" w14:textId="77777777" w:rsidR="004537D0" w:rsidRPr="008A4E55" w:rsidRDefault="004537D0" w:rsidP="004537D0">
      <w:pPr>
        <w:spacing w:line="276" w:lineRule="auto"/>
        <w:jc w:val="center"/>
        <w:rPr>
          <w:b/>
        </w:rPr>
      </w:pPr>
      <w:r w:rsidRPr="008A4E55">
        <w:rPr>
          <w:b/>
        </w:rPr>
        <w:t>Paraiškos numeris STV 188</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682CE51E" w:rsidR="00B13D65" w:rsidRPr="00E33EFF" w:rsidRDefault="004537D0" w:rsidP="00824B92">
            <w:pPr>
              <w:rPr>
                <w:rFonts w:eastAsia="Arial"/>
              </w:rPr>
            </w:pPr>
            <w:r w:rsidRPr="008A4E55">
              <w:rPr>
                <w:shd w:val="clear" w:color="auto" w:fill="FFFFFF"/>
              </w:rPr>
              <w:t xml:space="preserve">Swixx </w:t>
            </w:r>
            <w:proofErr w:type="spellStart"/>
            <w:r w:rsidRPr="008A4E55">
              <w:rPr>
                <w:shd w:val="clear" w:color="auto" w:fill="FFFFFF"/>
              </w:rPr>
              <w:t>Biopharma</w:t>
            </w:r>
            <w:proofErr w:type="spellEnd"/>
            <w:r w:rsidRPr="008A4E55">
              <w:rPr>
                <w:shd w:val="clear" w:color="auto" w:fill="FFFFFF"/>
              </w:rPr>
              <w:t xml:space="preserve"> UAB</w:t>
            </w:r>
          </w:p>
        </w:tc>
      </w:tr>
      <w:tr w:rsidR="004537D0" w:rsidRPr="00E33EFF" w14:paraId="31998B0D" w14:textId="77777777" w:rsidTr="00BE7489">
        <w:trPr>
          <w:trHeight w:val="538"/>
        </w:trPr>
        <w:tc>
          <w:tcPr>
            <w:tcW w:w="632" w:type="dxa"/>
          </w:tcPr>
          <w:p w14:paraId="2005EC67" w14:textId="662300D0" w:rsidR="004537D0" w:rsidRPr="00E33EFF" w:rsidRDefault="004537D0" w:rsidP="004537D0">
            <w:pPr>
              <w:rPr>
                <w:rFonts w:eastAsia="Arial"/>
              </w:rPr>
            </w:pPr>
            <w:r w:rsidRPr="00E33EFF">
              <w:rPr>
                <w:rFonts w:eastAsia="Arial"/>
              </w:rPr>
              <w:t>1.2</w:t>
            </w:r>
          </w:p>
        </w:tc>
        <w:tc>
          <w:tcPr>
            <w:tcW w:w="3694" w:type="dxa"/>
          </w:tcPr>
          <w:p w14:paraId="1E4AE3B1" w14:textId="77777777" w:rsidR="004537D0" w:rsidRPr="00E33EFF" w:rsidRDefault="004537D0" w:rsidP="004537D0">
            <w:pPr>
              <w:rPr>
                <w:bCs/>
                <w:color w:val="000000"/>
                <w:lang w:eastAsia="lt-LT"/>
              </w:rPr>
            </w:pPr>
            <w:r w:rsidRPr="00E33EFF">
              <w:rPr>
                <w:bCs/>
                <w:color w:val="000000"/>
                <w:lang w:eastAsia="lt-LT"/>
              </w:rPr>
              <w:t xml:space="preserve">Registracijos data </w:t>
            </w:r>
          </w:p>
          <w:p w14:paraId="3A0DC096" w14:textId="77777777" w:rsidR="004537D0" w:rsidRPr="00E33EFF" w:rsidRDefault="004537D0" w:rsidP="004537D0">
            <w:pPr>
              <w:rPr>
                <w:bCs/>
                <w:color w:val="000000"/>
                <w:lang w:eastAsia="lt-LT"/>
              </w:rPr>
            </w:pPr>
          </w:p>
        </w:tc>
        <w:tc>
          <w:tcPr>
            <w:tcW w:w="5167" w:type="dxa"/>
          </w:tcPr>
          <w:p w14:paraId="3CA218AD" w14:textId="6759564E" w:rsidR="004537D0" w:rsidRPr="00E33EFF" w:rsidRDefault="00BF679E" w:rsidP="004537D0">
            <w:pPr>
              <w:rPr>
                <w:rStyle w:val="Style2"/>
              </w:rPr>
            </w:pPr>
            <w:sdt>
              <w:sdtPr>
                <w:rPr>
                  <w:sz w:val="32"/>
                </w:rPr>
                <w:alias w:val="Nurodykite konkrečią dieną"/>
                <w:tag w:val="Nurodykite pradžios datą"/>
                <w:id w:val="423238108"/>
                <w:placeholder>
                  <w:docPart w:val="EFC9BE19A1A64C73A0291F204B8F8552"/>
                </w:placeholder>
                <w15:color w:val="FFCC99"/>
                <w:date w:fullDate="2022-11-21T00:00:00Z">
                  <w:dateFormat w:val="yyyy 'm.' MMMM d 'd.'"/>
                  <w:lid w:val="lt-LT"/>
                  <w:storeMappedDataAs w:val="dateTime"/>
                  <w:calendar w:val="gregorian"/>
                </w:date>
              </w:sdtPr>
              <w:sdtEndPr/>
              <w:sdtContent>
                <w:r w:rsidR="004537D0" w:rsidRPr="00E51E37">
                  <w:t>2022 m. lapkričio 21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BF679E"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BF679E"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BF679E"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BF679E"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BF679E"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BF679E"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BF679E"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BF679E"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BF679E"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39AB446B" w:rsidR="00AE1322" w:rsidRDefault="00AE1322" w:rsidP="00824B92">
            <w:pPr>
              <w:rPr>
                <w:bCs/>
                <w:color w:val="000000"/>
                <w:lang w:eastAsia="lt-LT"/>
              </w:rPr>
            </w:pPr>
          </w:p>
          <w:p w14:paraId="7A6C9F2C" w14:textId="6725AEFB" w:rsidR="00D970E4" w:rsidRDefault="00D970E4" w:rsidP="00824B92">
            <w:pPr>
              <w:rPr>
                <w:bCs/>
                <w:color w:val="000000"/>
                <w:lang w:eastAsia="lt-LT"/>
              </w:rPr>
            </w:pPr>
          </w:p>
          <w:p w14:paraId="150C5C6F" w14:textId="77777777" w:rsidR="00D970E4" w:rsidRDefault="00D970E4"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5600D425" w14:textId="77777777" w:rsidR="004537D0" w:rsidRDefault="004537D0" w:rsidP="004537D0">
            <w:pPr>
              <w:pStyle w:val="ListParagraph"/>
              <w:spacing w:after="120" w:line="276" w:lineRule="auto"/>
              <w:ind w:left="0"/>
              <w:contextualSpacing w:val="0"/>
              <w:jc w:val="both"/>
              <w:rPr>
                <w:rFonts w:eastAsia="Arial"/>
              </w:rPr>
            </w:pPr>
            <w:r>
              <w:rPr>
                <w:rFonts w:eastAsia="Arial"/>
              </w:rPr>
              <w:t xml:space="preserve">Trodelvy </w:t>
            </w:r>
            <w:proofErr w:type="spellStart"/>
            <w:r w:rsidRPr="0003122B">
              <w:rPr>
                <w:rFonts w:eastAsia="Arial"/>
              </w:rPr>
              <w:t>monoterapija</w:t>
            </w:r>
            <w:proofErr w:type="spellEnd"/>
            <w:r w:rsidRPr="0003122B">
              <w:rPr>
                <w:rFonts w:eastAsia="Arial"/>
              </w:rPr>
              <w:t xml:space="preserve"> skirta suaugusių pacientų, sergančių neoperuotinu ar </w:t>
            </w:r>
            <w:proofErr w:type="spellStart"/>
            <w:r w:rsidRPr="0003122B">
              <w:rPr>
                <w:rFonts w:eastAsia="Arial"/>
              </w:rPr>
              <w:t>metastazavusiu</w:t>
            </w:r>
            <w:proofErr w:type="spellEnd"/>
            <w:r w:rsidRPr="0003122B">
              <w:rPr>
                <w:rFonts w:eastAsia="Arial"/>
              </w:rPr>
              <w:t xml:space="preserve"> hormonų receptoriams (HR) teigiamu, HER2 neigiamu krūties vėžiu, gydymui, kuriems anksčiau buvo taikyta endokrininė terapija ir bent dvi papildomos sisteminės terapijos nuo išplitusio vėžio</w:t>
            </w:r>
            <w:r w:rsidRPr="00377294">
              <w:rPr>
                <w:rFonts w:eastAsia="Arial"/>
              </w:rPr>
              <w:t xml:space="preserve">. </w:t>
            </w:r>
          </w:p>
          <w:p w14:paraId="13F7DFB0" w14:textId="1268B552" w:rsidR="004537D0" w:rsidRPr="00E33EFF" w:rsidRDefault="004537D0" w:rsidP="004537D0">
            <w:pPr>
              <w:pStyle w:val="ListParagraph"/>
              <w:spacing w:after="120" w:line="276" w:lineRule="auto"/>
              <w:ind w:left="0"/>
              <w:contextualSpacing w:val="0"/>
              <w:jc w:val="both"/>
            </w:pPr>
            <w:r>
              <w:t>C50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62057D94" w14:textId="490BB3F8" w:rsidR="00413F24" w:rsidRPr="004537D0" w:rsidRDefault="007C7519" w:rsidP="00824B92">
            <w:pPr>
              <w:rPr>
                <w:bCs/>
                <w:i/>
                <w:color w:val="000000"/>
                <w:lang w:eastAsia="lt-LT"/>
              </w:rPr>
            </w:pPr>
            <w:r w:rsidRPr="007C7519">
              <w:rPr>
                <w:bCs/>
                <w:i/>
                <w:color w:val="000000"/>
                <w:lang w:eastAsia="lt-LT"/>
              </w:rPr>
              <w:t>Tiesioginis</w:t>
            </w:r>
            <w:r w:rsidR="004537D0">
              <w:rPr>
                <w:bCs/>
                <w:i/>
                <w:color w:val="000000"/>
                <w:lang w:eastAsia="lt-LT"/>
              </w:rPr>
              <w:t xml:space="preserve"> (chemoterapija)</w:t>
            </w: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20EBA467" w:rsidR="00D970E4" w:rsidRPr="00E33EFF" w:rsidRDefault="00BF679E" w:rsidP="00D970E4">
            <w:sdt>
              <w:sdtPr>
                <w:rPr>
                  <w:rStyle w:val="Style2"/>
                  <w:sz w:val="24"/>
                </w:rPr>
                <w:id w:val="-439376113"/>
                <w15:color w:val="FFCC00"/>
                <w14:checkbox>
                  <w14:checked w14:val="1"/>
                  <w14:checkedState w14:val="2612" w14:font="MS Gothic"/>
                  <w14:uncheckedState w14:val="2610" w14:font="MS Gothic"/>
                </w14:checkbox>
              </w:sdtPr>
              <w:sdtEndPr>
                <w:rPr>
                  <w:rStyle w:val="Style2"/>
                </w:rPr>
              </w:sdtEndPr>
              <w:sdtContent>
                <w:r w:rsidR="004537D0">
                  <w:rPr>
                    <w:rStyle w:val="Style2"/>
                    <w:rFonts w:ascii="MS Gothic" w:eastAsia="MS Gothic" w:hAnsi="MS Gothic" w:hint="eastAsia"/>
                    <w:sz w:val="24"/>
                  </w:rPr>
                  <w:t>☒</w:t>
                </w:r>
              </w:sdtContent>
            </w:sdt>
            <w:r w:rsidR="00D970E4" w:rsidRPr="00E33EFF">
              <w:t xml:space="preserve"> Tinkamas</w:t>
            </w:r>
          </w:p>
          <w:p w14:paraId="5481FC83" w14:textId="50852A1A" w:rsidR="007C7519" w:rsidRDefault="00BF679E" w:rsidP="00824B92">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EndPr>
                <w:rPr>
                  <w:rStyle w:val="Style2"/>
                </w:rPr>
              </w:sdtEndPr>
              <w:sdtContent>
                <w:r w:rsidR="004537D0">
                  <w:rPr>
                    <w:rStyle w:val="Style2"/>
                    <w:rFonts w:ascii="MS Gothic" w:eastAsia="MS Gothic" w:hAnsi="MS Gothic" w:hint="eastAsia"/>
                    <w:sz w:val="24"/>
                  </w:rPr>
                  <w:t>☐</w:t>
                </w:r>
              </w:sdtContent>
            </w:sdt>
            <w:r w:rsidR="00D970E4" w:rsidRPr="00E33EFF">
              <w:t xml:space="preserve"> Netinkama</w:t>
            </w:r>
            <w:r w:rsidR="00D970E4">
              <w:t>s</w:t>
            </w:r>
          </w:p>
          <w:p w14:paraId="41B44044" w14:textId="78D7629C" w:rsidR="00B13D65" w:rsidRPr="00E33EFF" w:rsidRDefault="00B13D65" w:rsidP="00824B92"/>
        </w:tc>
      </w:tr>
    </w:tbl>
    <w:p w14:paraId="108176F7" w14:textId="640C6F75" w:rsidR="00F70C9E" w:rsidRPr="00E33EFF" w:rsidRDefault="00F70C9E" w:rsidP="00E03C3F">
      <w:pPr>
        <w:pStyle w:val="ListParagraph"/>
        <w:tabs>
          <w:tab w:val="left" w:pos="426"/>
        </w:tabs>
        <w:ind w:left="0"/>
        <w:rPr>
          <w:b/>
          <w:bCs/>
          <w:caps/>
        </w:rPr>
      </w:pPr>
    </w:p>
    <w:p w14:paraId="2871CA7F" w14:textId="3996634C" w:rsidR="00F70C9E" w:rsidRPr="004537D0" w:rsidRDefault="00F70C9E" w:rsidP="004537D0">
      <w:pPr>
        <w:pStyle w:val="ListParagraph"/>
        <w:numPr>
          <w:ilvl w:val="1"/>
          <w:numId w:val="12"/>
        </w:numPr>
        <w:spacing w:line="276" w:lineRule="auto"/>
        <w:jc w:val="both"/>
        <w:rPr>
          <w:rFonts w:eastAsia="Arial"/>
          <w:b/>
        </w:rPr>
      </w:pPr>
      <w:r w:rsidRPr="004537D0">
        <w:rPr>
          <w:rFonts w:eastAsia="Arial"/>
          <w:b/>
        </w:rPr>
        <w:t xml:space="preserve">Kitų </w:t>
      </w:r>
      <w:r w:rsidR="00DF583C" w:rsidRPr="004537D0">
        <w:rPr>
          <w:rFonts w:eastAsia="Arial"/>
          <w:b/>
        </w:rPr>
        <w:t xml:space="preserve">valstybių </w:t>
      </w:r>
      <w:r w:rsidRPr="004537D0">
        <w:rPr>
          <w:rFonts w:eastAsia="Arial"/>
          <w:b/>
        </w:rPr>
        <w:t xml:space="preserve">atsakingų institucijų atlikto </w:t>
      </w:r>
      <w:r w:rsidR="00DF583C" w:rsidRPr="004537D0">
        <w:rPr>
          <w:rFonts w:eastAsia="Arial"/>
          <w:b/>
        </w:rPr>
        <w:t>Sveikatos technologijų vertinimo (toliau – STV)</w:t>
      </w:r>
      <w:r w:rsidRPr="004537D0">
        <w:rPr>
          <w:rFonts w:eastAsia="Arial"/>
          <w:b/>
        </w:rPr>
        <w:t xml:space="preserve"> išvados</w:t>
      </w:r>
    </w:p>
    <w:p w14:paraId="70B989ED" w14:textId="77777777" w:rsidR="004537D0" w:rsidRPr="00D05364" w:rsidRDefault="004537D0" w:rsidP="004537D0">
      <w:pPr>
        <w:spacing w:line="276" w:lineRule="auto"/>
        <w:jc w:val="both"/>
        <w:rPr>
          <w:rFonts w:eastAsia="Arial"/>
        </w:rPr>
      </w:pPr>
    </w:p>
    <w:tbl>
      <w:tblPr>
        <w:tblStyle w:val="TableGrid"/>
        <w:tblW w:w="9722" w:type="dxa"/>
        <w:jc w:val="center"/>
        <w:tblLook w:val="04A0" w:firstRow="1" w:lastRow="0" w:firstColumn="1" w:lastColumn="0" w:noHBand="0" w:noVBand="1"/>
      </w:tblPr>
      <w:tblGrid>
        <w:gridCol w:w="2544"/>
        <w:gridCol w:w="1795"/>
        <w:gridCol w:w="2716"/>
        <w:gridCol w:w="2667"/>
      </w:tblGrid>
      <w:tr w:rsidR="00E066F0" w:rsidRPr="00D05364" w14:paraId="1C359489" w14:textId="77777777" w:rsidTr="00EF1167">
        <w:trPr>
          <w:trHeight w:val="925"/>
          <w:jc w:val="center"/>
        </w:trPr>
        <w:tc>
          <w:tcPr>
            <w:tcW w:w="2544" w:type="dxa"/>
          </w:tcPr>
          <w:p w14:paraId="4416A49F" w14:textId="77777777" w:rsidR="00E066F0" w:rsidRPr="00D05364" w:rsidRDefault="00E066F0" w:rsidP="00364A06">
            <w:pPr>
              <w:spacing w:line="276" w:lineRule="auto"/>
              <w:jc w:val="both"/>
              <w:rPr>
                <w:rFonts w:eastAsia="Arial"/>
              </w:rPr>
            </w:pPr>
            <w:r w:rsidRPr="00D05364">
              <w:rPr>
                <w:rFonts w:eastAsia="Arial"/>
              </w:rPr>
              <w:t>STV agentūros pavadinimas, šalis</w:t>
            </w:r>
          </w:p>
        </w:tc>
        <w:tc>
          <w:tcPr>
            <w:tcW w:w="1795" w:type="dxa"/>
          </w:tcPr>
          <w:p w14:paraId="33B64DBD" w14:textId="77777777" w:rsidR="00E066F0" w:rsidRPr="00D05364" w:rsidRDefault="00E066F0" w:rsidP="00364A06">
            <w:pPr>
              <w:spacing w:line="276" w:lineRule="auto"/>
              <w:jc w:val="both"/>
              <w:rPr>
                <w:rFonts w:eastAsia="Arial"/>
              </w:rPr>
            </w:pPr>
            <w:r w:rsidRPr="00D05364">
              <w:rPr>
                <w:rFonts w:eastAsia="Arial"/>
              </w:rPr>
              <w:t>STV vertinimas atliktas</w:t>
            </w:r>
          </w:p>
        </w:tc>
        <w:tc>
          <w:tcPr>
            <w:tcW w:w="2716" w:type="dxa"/>
          </w:tcPr>
          <w:p w14:paraId="73D12DAA" w14:textId="77777777" w:rsidR="00E066F0" w:rsidRPr="00D05364" w:rsidRDefault="00E066F0" w:rsidP="00364A06">
            <w:pPr>
              <w:spacing w:line="276" w:lineRule="auto"/>
              <w:jc w:val="both"/>
              <w:rPr>
                <w:rFonts w:eastAsia="Arial"/>
              </w:rPr>
            </w:pPr>
            <w:r w:rsidRPr="00D05364">
              <w:rPr>
                <w:rFonts w:eastAsia="Arial"/>
              </w:rPr>
              <w:t>Klinikinio vertinimo išvada</w:t>
            </w:r>
          </w:p>
        </w:tc>
        <w:tc>
          <w:tcPr>
            <w:tcW w:w="2667" w:type="dxa"/>
          </w:tcPr>
          <w:p w14:paraId="3AD1C313" w14:textId="77777777" w:rsidR="00E066F0" w:rsidRPr="00D05364" w:rsidRDefault="00E066F0" w:rsidP="00364A06">
            <w:pPr>
              <w:spacing w:line="276" w:lineRule="auto"/>
              <w:jc w:val="both"/>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E066F0" w:rsidRPr="00D05364" w14:paraId="375F2D22" w14:textId="77777777" w:rsidTr="00EF1167">
        <w:trPr>
          <w:trHeight w:val="1769"/>
          <w:jc w:val="center"/>
        </w:trPr>
        <w:tc>
          <w:tcPr>
            <w:tcW w:w="2544" w:type="dxa"/>
          </w:tcPr>
          <w:p w14:paraId="4E8FFD12" w14:textId="77777777" w:rsidR="00E066F0" w:rsidRPr="00D05364" w:rsidRDefault="00E066F0" w:rsidP="00364A06">
            <w:pPr>
              <w:autoSpaceDE w:val="0"/>
              <w:autoSpaceDN w:val="0"/>
              <w:adjustRightInd w:val="0"/>
              <w:spacing w:line="276" w:lineRule="auto"/>
              <w:jc w:val="both"/>
              <w:rPr>
                <w:bCs/>
              </w:rPr>
            </w:pPr>
            <w:r w:rsidRPr="00D05364">
              <w:rPr>
                <w:bCs/>
              </w:rPr>
              <w:t>Nacionalinis sveikatos ir klinikinės kompetencijos institutas, Didžioji Britanija</w:t>
            </w:r>
          </w:p>
          <w:p w14:paraId="04EC8950" w14:textId="77777777" w:rsidR="00E066F0" w:rsidRPr="00D05364" w:rsidRDefault="00E066F0" w:rsidP="00364A06">
            <w:pPr>
              <w:spacing w:line="276" w:lineRule="auto"/>
              <w:jc w:val="both"/>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795" w:type="dxa"/>
          </w:tcPr>
          <w:p w14:paraId="015C7983" w14:textId="77777777" w:rsidR="00E066F0" w:rsidRPr="00D05364" w:rsidRDefault="00BF679E" w:rsidP="00364A06">
            <w:pPr>
              <w:spacing w:line="276" w:lineRule="auto"/>
              <w:jc w:val="both"/>
            </w:pPr>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E066F0">
                  <w:rPr>
                    <w:rStyle w:val="Style2"/>
                    <w:rFonts w:ascii="MS Gothic" w:eastAsia="MS Gothic" w:hAnsi="MS Gothic" w:hint="eastAsia"/>
                  </w:rPr>
                  <w:t>☐</w:t>
                </w:r>
              </w:sdtContent>
            </w:sdt>
            <w:r w:rsidR="00E066F0" w:rsidRPr="00D05364">
              <w:t xml:space="preserve"> Taip</w:t>
            </w:r>
          </w:p>
          <w:p w14:paraId="53AE59F3" w14:textId="77777777" w:rsidR="00E066F0" w:rsidRPr="00D05364" w:rsidRDefault="00BF679E" w:rsidP="00364A06">
            <w:pPr>
              <w:spacing w:line="276" w:lineRule="auto"/>
              <w:jc w:val="both"/>
            </w:pPr>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E066F0">
                  <w:rPr>
                    <w:rStyle w:val="Style2"/>
                    <w:rFonts w:ascii="MS Gothic" w:eastAsia="MS Gothic" w:hAnsi="MS Gothic" w:hint="eastAsia"/>
                  </w:rPr>
                  <w:t>☒</w:t>
                </w:r>
              </w:sdtContent>
            </w:sdt>
            <w:r w:rsidR="00E066F0" w:rsidRPr="00D05364">
              <w:t xml:space="preserve"> Ne</w:t>
            </w:r>
          </w:p>
          <w:p w14:paraId="62BDA46E" w14:textId="77777777" w:rsidR="00E066F0" w:rsidRPr="00D05364" w:rsidRDefault="00BF679E" w:rsidP="00364A06">
            <w:pPr>
              <w:spacing w:line="276" w:lineRule="auto"/>
              <w:jc w:val="both"/>
              <w:rPr>
                <w:rFonts w:eastAsia="Arial"/>
              </w:rPr>
            </w:pPr>
            <w:sdt>
              <w:sdtPr>
                <w:alias w:val="Nurodykite konkrečią dieną"/>
                <w:tag w:val="Nurodykite pradžios datą"/>
                <w:id w:val="922837954"/>
                <w:placeholder>
                  <w:docPart w:val="1492277C2FA54157A780655138A2AF2C"/>
                </w:placeholder>
                <w:showingPlcHdr/>
                <w15:color w:val="FFCC99"/>
                <w:date w:fullDate="2022-05-18T00:00:00Z">
                  <w:dateFormat w:val="yyyy 'm.' MMMM d 'd.'"/>
                  <w:lid w:val="lt-LT"/>
                  <w:storeMappedDataAs w:val="dateTime"/>
                  <w:calendar w:val="gregorian"/>
                </w:date>
              </w:sdtPr>
              <w:sdtEndPr/>
              <w:sdtContent>
                <w:r w:rsidR="00E066F0" w:rsidRPr="00D05364">
                  <w:rPr>
                    <w:rStyle w:val="PlaceholderText"/>
                  </w:rPr>
                  <w:t>Click here to enter a date.</w:t>
                </w:r>
              </w:sdtContent>
            </w:sdt>
          </w:p>
        </w:tc>
        <w:tc>
          <w:tcPr>
            <w:tcW w:w="5383" w:type="dxa"/>
            <w:gridSpan w:val="2"/>
          </w:tcPr>
          <w:p w14:paraId="2059FD82" w14:textId="77777777" w:rsidR="00E066F0" w:rsidRPr="00D05364" w:rsidRDefault="00E066F0" w:rsidP="00364A06">
            <w:pPr>
              <w:spacing w:line="276" w:lineRule="auto"/>
              <w:jc w:val="both"/>
              <w:rPr>
                <w:rFonts w:eastAsia="Arial"/>
              </w:rPr>
            </w:pPr>
            <w:r>
              <w:rPr>
                <w:rFonts w:eastAsia="Arial"/>
              </w:rPr>
              <w:t xml:space="preserve">Naujausiais duomenimis (2022-11-21), vertinimas vykdomas </w:t>
            </w:r>
            <w:r w:rsidRPr="000F7F24">
              <w:rPr>
                <w:rFonts w:eastAsia="Arial"/>
              </w:rPr>
              <w:t>[GID-TA10919]</w:t>
            </w:r>
          </w:p>
        </w:tc>
      </w:tr>
      <w:tr w:rsidR="00E066F0" w:rsidRPr="00D05364" w14:paraId="60614F6B" w14:textId="77777777" w:rsidTr="00EF1167">
        <w:trPr>
          <w:trHeight w:val="1551"/>
          <w:jc w:val="center"/>
        </w:trPr>
        <w:tc>
          <w:tcPr>
            <w:tcW w:w="2544" w:type="dxa"/>
          </w:tcPr>
          <w:p w14:paraId="59534113" w14:textId="77777777" w:rsidR="00E066F0" w:rsidRPr="00D05364" w:rsidRDefault="00E066F0" w:rsidP="00364A06">
            <w:pPr>
              <w:spacing w:line="276" w:lineRule="auto"/>
              <w:jc w:val="both"/>
              <w:rPr>
                <w:rFonts w:eastAsia="Arial"/>
              </w:rPr>
            </w:pPr>
            <w:r w:rsidRPr="00D05364">
              <w:rPr>
                <w:rFonts w:eastAsia="Arial"/>
              </w:rPr>
              <w:t>Kanados sveikatos technologijų agentūra</w:t>
            </w:r>
          </w:p>
          <w:p w14:paraId="69F459EE" w14:textId="77777777" w:rsidR="00E066F0" w:rsidRPr="00D05364" w:rsidRDefault="00E066F0" w:rsidP="00364A06">
            <w:pPr>
              <w:spacing w:line="276" w:lineRule="auto"/>
              <w:jc w:val="both"/>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795" w:type="dxa"/>
          </w:tcPr>
          <w:p w14:paraId="5E2AEC1B" w14:textId="77777777" w:rsidR="00E066F0" w:rsidRPr="00D05364" w:rsidRDefault="00BF679E" w:rsidP="00364A06">
            <w:pPr>
              <w:spacing w:line="276" w:lineRule="auto"/>
              <w:jc w:val="both"/>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E066F0">
                  <w:rPr>
                    <w:rStyle w:val="Style2"/>
                    <w:rFonts w:ascii="MS Gothic" w:eastAsia="MS Gothic" w:hAnsi="MS Gothic" w:hint="eastAsia"/>
                  </w:rPr>
                  <w:t>☒</w:t>
                </w:r>
              </w:sdtContent>
            </w:sdt>
            <w:r w:rsidR="00E066F0" w:rsidRPr="00D05364">
              <w:t xml:space="preserve"> Taip</w:t>
            </w:r>
          </w:p>
          <w:p w14:paraId="2FB0B02F" w14:textId="77777777" w:rsidR="00E066F0" w:rsidRPr="00D05364" w:rsidRDefault="00BF679E" w:rsidP="00364A06">
            <w:pPr>
              <w:spacing w:line="276" w:lineRule="auto"/>
              <w:jc w:val="both"/>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E066F0" w:rsidRPr="00D05364">
                  <w:rPr>
                    <w:rStyle w:val="Style2"/>
                    <w:rFonts w:ascii="Segoe UI Symbol" w:eastAsia="MS Gothic" w:hAnsi="Segoe UI Symbol" w:cs="Segoe UI Symbol"/>
                  </w:rPr>
                  <w:t>☐</w:t>
                </w:r>
              </w:sdtContent>
            </w:sdt>
            <w:r w:rsidR="00E066F0" w:rsidRPr="00D05364">
              <w:t xml:space="preserve"> Ne</w:t>
            </w:r>
          </w:p>
          <w:p w14:paraId="2863D5E4" w14:textId="77777777" w:rsidR="00E066F0" w:rsidRPr="00D05364" w:rsidRDefault="00BF679E" w:rsidP="00364A06">
            <w:pPr>
              <w:spacing w:line="276" w:lineRule="auto"/>
              <w:jc w:val="both"/>
              <w:rPr>
                <w:rFonts w:eastAsia="Arial"/>
              </w:rPr>
            </w:pPr>
            <w:sdt>
              <w:sdtPr>
                <w:alias w:val="Nurodykite konkrečią dieną"/>
                <w:tag w:val="Nurodykite pradžios datą"/>
                <w:id w:val="1072468416"/>
                <w:placeholder>
                  <w:docPart w:val="D2C5DB739DC4488FB59639FA66ACCEC7"/>
                </w:placeholder>
                <w15:color w:val="FFCC99"/>
                <w:date w:fullDate="2024-02-01T00:00:00Z">
                  <w:dateFormat w:val="yyyy 'm.' MMMM d 'd.'"/>
                  <w:lid w:val="lt-LT"/>
                  <w:storeMappedDataAs w:val="dateTime"/>
                  <w:calendar w:val="gregorian"/>
                </w:date>
              </w:sdtPr>
              <w:sdtEndPr/>
              <w:sdtContent>
                <w:r w:rsidR="00E066F0">
                  <w:t>2024 m. vasario 1 d.</w:t>
                </w:r>
              </w:sdtContent>
            </w:sdt>
          </w:p>
        </w:tc>
        <w:tc>
          <w:tcPr>
            <w:tcW w:w="5383" w:type="dxa"/>
            <w:gridSpan w:val="2"/>
          </w:tcPr>
          <w:p w14:paraId="19114500" w14:textId="77777777" w:rsidR="00E066F0" w:rsidRDefault="00E066F0" w:rsidP="00364A06">
            <w:pPr>
              <w:spacing w:line="276" w:lineRule="auto"/>
              <w:jc w:val="both"/>
              <w:rPr>
                <w:rFonts w:eastAsia="Arial"/>
              </w:rPr>
            </w:pPr>
            <w:r>
              <w:rPr>
                <w:rFonts w:eastAsia="Arial"/>
              </w:rPr>
              <w:t xml:space="preserve">CADTH rekomenduoja kompensuoti gydymą Trodelvy suaugusiems pacientams, sergantiems neoperuotinu ar </w:t>
            </w:r>
            <w:proofErr w:type="spellStart"/>
            <w:r>
              <w:rPr>
                <w:rFonts w:eastAsia="Arial"/>
              </w:rPr>
              <w:t>metastazavusiu</w:t>
            </w:r>
            <w:proofErr w:type="spellEnd"/>
            <w:r>
              <w:rPr>
                <w:rFonts w:eastAsia="Arial"/>
              </w:rPr>
              <w:t xml:space="preserve"> hormonų receptoriams (HR) teigiamu, HER2 neigiamu krūties vėžiu, kuriems taikyta endokrininė terapija ir bent 2 papildomos sisteminės terapijos, jeigu:</w:t>
            </w:r>
          </w:p>
          <w:p w14:paraId="4690DB2E" w14:textId="77777777" w:rsidR="00E066F0" w:rsidRDefault="00E066F0" w:rsidP="00E066F0">
            <w:pPr>
              <w:pStyle w:val="ListParagraph"/>
              <w:numPr>
                <w:ilvl w:val="0"/>
                <w:numId w:val="13"/>
              </w:numPr>
              <w:spacing w:line="276" w:lineRule="auto"/>
              <w:jc w:val="both"/>
              <w:rPr>
                <w:rFonts w:eastAsia="Arial"/>
              </w:rPr>
            </w:pPr>
            <w:r>
              <w:rPr>
                <w:rFonts w:eastAsia="Arial"/>
              </w:rPr>
              <w:t xml:space="preserve">Šiems pacientams anksčiau taikytas gydymas bent 1 </w:t>
            </w:r>
            <w:proofErr w:type="spellStart"/>
            <w:r>
              <w:rPr>
                <w:rFonts w:eastAsia="Arial"/>
              </w:rPr>
              <w:t>taksanu</w:t>
            </w:r>
            <w:proofErr w:type="spellEnd"/>
            <w:r>
              <w:rPr>
                <w:rFonts w:eastAsia="Arial"/>
              </w:rPr>
              <w:t xml:space="preserve">, bent 1 priešvėžiniu hormoniniu preparatu ir bent 1 nuo ciklino priklausančiu </w:t>
            </w:r>
            <w:proofErr w:type="spellStart"/>
            <w:r>
              <w:rPr>
                <w:rFonts w:eastAsia="Arial"/>
              </w:rPr>
              <w:t>kinazės</w:t>
            </w:r>
            <w:proofErr w:type="spellEnd"/>
            <w:r>
              <w:rPr>
                <w:rFonts w:eastAsia="Arial"/>
              </w:rPr>
              <w:t xml:space="preserve"> 4 ir 6 inhibitoriumi (CDK4/6), tačiau po 2-4 sisteminės chemoterapijos ciklų, taikytų dėl </w:t>
            </w:r>
            <w:proofErr w:type="spellStart"/>
            <w:r>
              <w:rPr>
                <w:rFonts w:eastAsia="Arial"/>
              </w:rPr>
              <w:t>metastazavusios</w:t>
            </w:r>
            <w:proofErr w:type="spellEnd"/>
            <w:r>
              <w:rPr>
                <w:rFonts w:eastAsia="Arial"/>
              </w:rPr>
              <w:t xml:space="preserve"> ligos, stebėtas nepakankamas gydymo efektas (atkrytis ar atsparumas gydymui)</w:t>
            </w:r>
          </w:p>
          <w:p w14:paraId="3E3546CF" w14:textId="77777777" w:rsidR="00E066F0" w:rsidRDefault="00E066F0" w:rsidP="00E066F0">
            <w:pPr>
              <w:pStyle w:val="ListParagraph"/>
              <w:numPr>
                <w:ilvl w:val="0"/>
                <w:numId w:val="13"/>
              </w:numPr>
              <w:spacing w:line="276" w:lineRule="auto"/>
              <w:jc w:val="both"/>
              <w:rPr>
                <w:rFonts w:eastAsia="Arial"/>
              </w:rPr>
            </w:pPr>
            <w:r>
              <w:rPr>
                <w:rFonts w:eastAsia="Arial"/>
              </w:rPr>
              <w:t>Šie pacientai yra geros funkcinės būklės (ECOG 0 ar 1)</w:t>
            </w:r>
          </w:p>
          <w:p w14:paraId="1CEA3789" w14:textId="77777777" w:rsidR="00E066F0" w:rsidRPr="008976F1" w:rsidRDefault="00E066F0" w:rsidP="00364A06">
            <w:pPr>
              <w:spacing w:line="276" w:lineRule="auto"/>
              <w:jc w:val="both"/>
              <w:rPr>
                <w:rFonts w:eastAsia="Arial"/>
                <w:iCs/>
              </w:rPr>
            </w:pPr>
            <w:r w:rsidRPr="008976F1">
              <w:rPr>
                <w:rFonts w:eastAsia="Arial"/>
                <w:iCs/>
              </w:rPr>
              <w:t xml:space="preserve">Reikalingas </w:t>
            </w:r>
            <w:r w:rsidRPr="001E2F20">
              <w:t>88 proc. kainos sumažinimas.</w:t>
            </w:r>
          </w:p>
        </w:tc>
      </w:tr>
      <w:tr w:rsidR="00E066F0" w:rsidRPr="00D05364" w14:paraId="7CBFC779" w14:textId="77777777" w:rsidTr="00EF1167">
        <w:trPr>
          <w:trHeight w:val="1931"/>
          <w:jc w:val="center"/>
        </w:trPr>
        <w:tc>
          <w:tcPr>
            <w:tcW w:w="2544" w:type="dxa"/>
          </w:tcPr>
          <w:p w14:paraId="1030B51C" w14:textId="77777777" w:rsidR="00E066F0" w:rsidRPr="00D05364" w:rsidRDefault="00E066F0" w:rsidP="00364A06">
            <w:pPr>
              <w:spacing w:line="276" w:lineRule="auto"/>
              <w:jc w:val="both"/>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37A0A29A" w14:textId="77777777" w:rsidR="00E066F0" w:rsidRPr="00D05364" w:rsidRDefault="00E066F0" w:rsidP="00364A06">
            <w:pPr>
              <w:spacing w:line="276" w:lineRule="auto"/>
              <w:jc w:val="both"/>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795" w:type="dxa"/>
          </w:tcPr>
          <w:p w14:paraId="288AC6F6" w14:textId="77777777" w:rsidR="00E066F0" w:rsidRPr="00D05364" w:rsidRDefault="00BF679E" w:rsidP="00364A06">
            <w:pPr>
              <w:spacing w:line="276" w:lineRule="auto"/>
              <w:jc w:val="both"/>
            </w:pPr>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E066F0" w:rsidRPr="00D05364">
                  <w:rPr>
                    <w:rStyle w:val="Style2"/>
                    <w:rFonts w:ascii="Segoe UI Symbol" w:eastAsia="MS Gothic" w:hAnsi="Segoe UI Symbol" w:cs="Segoe UI Symbol"/>
                  </w:rPr>
                  <w:t>☐</w:t>
                </w:r>
              </w:sdtContent>
            </w:sdt>
            <w:r w:rsidR="00E066F0" w:rsidRPr="00D05364">
              <w:t xml:space="preserve"> Taip</w:t>
            </w:r>
          </w:p>
          <w:p w14:paraId="6EFF9D1D" w14:textId="77777777" w:rsidR="00E066F0" w:rsidRPr="00D05364" w:rsidRDefault="00BF679E" w:rsidP="00364A06">
            <w:pPr>
              <w:spacing w:line="276" w:lineRule="auto"/>
              <w:jc w:val="both"/>
            </w:pPr>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E066F0">
                  <w:rPr>
                    <w:rStyle w:val="Style2"/>
                    <w:rFonts w:ascii="MS Gothic" w:eastAsia="MS Gothic" w:hAnsi="MS Gothic" w:hint="eastAsia"/>
                  </w:rPr>
                  <w:t>☒</w:t>
                </w:r>
              </w:sdtContent>
            </w:sdt>
            <w:r w:rsidR="00E066F0" w:rsidRPr="00D05364">
              <w:t xml:space="preserve"> Ne</w:t>
            </w:r>
          </w:p>
          <w:p w14:paraId="5F3B41E4" w14:textId="77777777" w:rsidR="00E066F0" w:rsidRPr="00D05364" w:rsidRDefault="00BF679E" w:rsidP="00364A06">
            <w:pPr>
              <w:spacing w:line="276" w:lineRule="auto"/>
              <w:jc w:val="both"/>
              <w:rPr>
                <w:rFonts w:eastAsia="Arial"/>
              </w:rPr>
            </w:pPr>
            <w:sdt>
              <w:sdtPr>
                <w:alias w:val="Nurodykite konkrečią dieną"/>
                <w:tag w:val="Nurodykite pradžios datą"/>
                <w:id w:val="-198323198"/>
                <w:placeholder>
                  <w:docPart w:val="3D5C6B04634C42059076A5397DA52671"/>
                </w:placeholder>
                <w:showingPlcHdr/>
                <w15:color w:val="FFCC99"/>
                <w:date w:fullDate="2022-05-18T00:00:00Z">
                  <w:dateFormat w:val="yyyy 'm.' MMMM d 'd.'"/>
                  <w:lid w:val="lt-LT"/>
                  <w:storeMappedDataAs w:val="dateTime"/>
                  <w:calendar w:val="gregorian"/>
                </w:date>
              </w:sdtPr>
              <w:sdtEndPr/>
              <w:sdtContent>
                <w:r w:rsidR="00E066F0" w:rsidRPr="00D05364">
                  <w:rPr>
                    <w:rStyle w:val="PlaceholderText"/>
                  </w:rPr>
                  <w:t>Click here to enter a date.</w:t>
                </w:r>
              </w:sdtContent>
            </w:sdt>
          </w:p>
        </w:tc>
        <w:tc>
          <w:tcPr>
            <w:tcW w:w="5383" w:type="dxa"/>
            <w:gridSpan w:val="2"/>
          </w:tcPr>
          <w:p w14:paraId="7F5BB871" w14:textId="77777777" w:rsidR="00E066F0" w:rsidRPr="00D05364" w:rsidRDefault="00E066F0" w:rsidP="00364A06">
            <w:pPr>
              <w:spacing w:line="276" w:lineRule="auto"/>
              <w:jc w:val="both"/>
              <w:rPr>
                <w:rFonts w:eastAsia="Arial"/>
              </w:rPr>
            </w:pPr>
            <w:r>
              <w:rPr>
                <w:rFonts w:eastAsia="Arial"/>
              </w:rPr>
              <w:t xml:space="preserve">Naujausiais duomenimis (2024-01-26) rekomenduotas pilnas STV, </w:t>
            </w:r>
            <w:proofErr w:type="spellStart"/>
            <w:r>
              <w:rPr>
                <w:rFonts w:eastAsia="Arial"/>
              </w:rPr>
              <w:t>sacituzumabo</w:t>
            </w:r>
            <w:proofErr w:type="spellEnd"/>
            <w:r>
              <w:rPr>
                <w:rFonts w:eastAsia="Arial"/>
              </w:rPr>
              <w:t xml:space="preserve"> </w:t>
            </w:r>
            <w:proofErr w:type="spellStart"/>
            <w:r>
              <w:rPr>
                <w:rFonts w:eastAsia="Arial"/>
              </w:rPr>
              <w:t>govetikano</w:t>
            </w:r>
            <w:proofErr w:type="spellEnd"/>
            <w:r>
              <w:rPr>
                <w:rFonts w:eastAsia="Arial"/>
              </w:rPr>
              <w:t xml:space="preserve"> klinikiniam ir ekonominiam efektyvumui įvertinti, lyginant su standartiniu gydymu</w:t>
            </w:r>
          </w:p>
        </w:tc>
      </w:tr>
    </w:tbl>
    <w:p w14:paraId="25F89291" w14:textId="03338545" w:rsidR="00D4485B" w:rsidRDefault="00CC7832" w:rsidP="004537D0">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3702E64" w14:textId="77777777" w:rsidR="004537D0" w:rsidRDefault="004537D0" w:rsidP="004537D0">
      <w:pPr>
        <w:tabs>
          <w:tab w:val="left" w:pos="567"/>
        </w:tabs>
        <w:rPr>
          <w:b/>
          <w:bCs/>
          <w:caps/>
        </w:rPr>
      </w:pPr>
    </w:p>
    <w:p w14:paraId="47E4DA03" w14:textId="420F133D" w:rsidR="004537D0" w:rsidRDefault="004537D0" w:rsidP="004537D0">
      <w:pPr>
        <w:tabs>
          <w:tab w:val="left" w:pos="284"/>
        </w:tabs>
        <w:spacing w:line="276" w:lineRule="auto"/>
        <w:jc w:val="both"/>
        <w:rPr>
          <w:rFonts w:eastAsia="Arial"/>
        </w:rPr>
      </w:pPr>
      <w:r>
        <w:rPr>
          <w:rFonts w:eastAsia="Arial"/>
        </w:rPr>
        <w:tab/>
      </w:r>
      <w:r w:rsidRPr="006947A1">
        <w:rPr>
          <w:rFonts w:eastAsia="Arial"/>
        </w:rPr>
        <w:t>Krūties vėžys– dažniausia moterų onkologinė liga Lietuvoje ir daugelyje Vakarų pasaulio šalių. Bet kuri moteris per gyvenimą turi apie 10 proc. riziką susirgti krūties vėžiu.</w:t>
      </w:r>
    </w:p>
    <w:p w14:paraId="318C7D0F" w14:textId="77777777" w:rsidR="004537D0" w:rsidRPr="006947A1" w:rsidRDefault="004537D0" w:rsidP="004537D0">
      <w:pPr>
        <w:tabs>
          <w:tab w:val="left" w:pos="426"/>
        </w:tabs>
        <w:spacing w:line="276" w:lineRule="auto"/>
        <w:jc w:val="both"/>
        <w:rPr>
          <w:rFonts w:eastAsia="Arial"/>
        </w:rPr>
      </w:pPr>
      <w:r>
        <w:rPr>
          <w:rFonts w:eastAsia="Arial"/>
        </w:rPr>
        <w:tab/>
      </w:r>
      <w:r w:rsidRPr="006947A1">
        <w:rPr>
          <w:rFonts w:eastAsia="Arial"/>
        </w:rPr>
        <w:t>Pagal vėžinių ląstelių molekulines savybes- hormonų (estrogeno ir progesterono) receptorių (HR) bei žmogaus epidermio augimo faktoriaus-2 receptorių (</w:t>
      </w:r>
      <w:r w:rsidRPr="006947A1">
        <w:rPr>
          <w:rFonts w:eastAsia="Arial"/>
          <w:i/>
        </w:rPr>
        <w:t xml:space="preserve">angl. </w:t>
      </w:r>
      <w:proofErr w:type="spellStart"/>
      <w:r w:rsidRPr="006947A1">
        <w:rPr>
          <w:rFonts w:eastAsia="Arial"/>
          <w:i/>
        </w:rPr>
        <w:t>human</w:t>
      </w:r>
      <w:proofErr w:type="spellEnd"/>
      <w:r w:rsidRPr="006947A1">
        <w:rPr>
          <w:rFonts w:eastAsia="Arial"/>
          <w:i/>
        </w:rPr>
        <w:t xml:space="preserve"> </w:t>
      </w:r>
      <w:proofErr w:type="spellStart"/>
      <w:r w:rsidRPr="006947A1">
        <w:rPr>
          <w:rFonts w:eastAsia="Arial"/>
          <w:i/>
        </w:rPr>
        <w:t>epidermal</w:t>
      </w:r>
      <w:proofErr w:type="spellEnd"/>
      <w:r w:rsidRPr="006947A1">
        <w:rPr>
          <w:rFonts w:eastAsia="Arial"/>
          <w:i/>
        </w:rPr>
        <w:t xml:space="preserve"> </w:t>
      </w:r>
      <w:proofErr w:type="spellStart"/>
      <w:r w:rsidRPr="006947A1">
        <w:rPr>
          <w:rFonts w:eastAsia="Arial"/>
          <w:i/>
        </w:rPr>
        <w:t>growth</w:t>
      </w:r>
      <w:proofErr w:type="spellEnd"/>
      <w:r w:rsidRPr="006947A1">
        <w:rPr>
          <w:rFonts w:eastAsia="Arial"/>
          <w:i/>
        </w:rPr>
        <w:t xml:space="preserve"> </w:t>
      </w:r>
      <w:proofErr w:type="spellStart"/>
      <w:r w:rsidRPr="006947A1">
        <w:rPr>
          <w:rFonts w:eastAsia="Arial"/>
          <w:i/>
        </w:rPr>
        <w:t>factor</w:t>
      </w:r>
      <w:proofErr w:type="spellEnd"/>
      <w:r w:rsidRPr="006947A1">
        <w:rPr>
          <w:rFonts w:eastAsia="Arial"/>
          <w:i/>
        </w:rPr>
        <w:t xml:space="preserve"> 2,  HER2</w:t>
      </w:r>
      <w:r w:rsidRPr="006947A1">
        <w:rPr>
          <w:rFonts w:eastAsia="Arial"/>
        </w:rPr>
        <w:t xml:space="preserve">) ekspresijos buvimą ar nebuvimą, išskiriami 4 skirtingi krūties vėžio tipai. Atsižvelgiant į HR ir HER2 receptorių raišką įvertinama ligos prognozė ir parenkamas gydymas. </w:t>
      </w:r>
    </w:p>
    <w:p w14:paraId="75A6655D" w14:textId="77777777" w:rsidR="004537D0" w:rsidRDefault="004537D0" w:rsidP="004537D0">
      <w:pPr>
        <w:tabs>
          <w:tab w:val="left" w:pos="284"/>
        </w:tabs>
        <w:spacing w:line="276" w:lineRule="auto"/>
        <w:jc w:val="both"/>
        <w:rPr>
          <w:rFonts w:eastAsia="Arial"/>
        </w:rPr>
      </w:pPr>
      <w:r w:rsidRPr="006947A1">
        <w:rPr>
          <w:rFonts w:eastAsia="Arial"/>
        </w:rPr>
        <w:tab/>
        <w:t xml:space="preserve">Dažniausias, HR+/HER2- potipis, sudaro apie 70 proc. visų naujai diagnozuojamų krūties vėžio atvejų. HR+/HER2- krūties vėžio diagnozės nustatymo amžiaus mediana yra 61 metai (intervalas: 51-70 metų), t. y. nustatomas vėliau, nei visų kitų potipių. Sergamumas HR+/HER2- </w:t>
      </w:r>
      <w:proofErr w:type="spellStart"/>
      <w:r w:rsidRPr="006947A1">
        <w:rPr>
          <w:rFonts w:eastAsia="Arial"/>
        </w:rPr>
        <w:t>metastazavusiu</w:t>
      </w:r>
      <w:proofErr w:type="spellEnd"/>
      <w:r w:rsidRPr="006947A1">
        <w:rPr>
          <w:rFonts w:eastAsia="Arial"/>
        </w:rPr>
        <w:t xml:space="preserve"> krūties vėžiu didėja su amžiumi, ypač po 65 metų, o vyresnio amžiaus žmonių ligos prognozė yra blogesnė.</w:t>
      </w:r>
      <w:r>
        <w:rPr>
          <w:rFonts w:eastAsia="Arial"/>
        </w:rPr>
        <w:t xml:space="preserve"> </w:t>
      </w:r>
      <w:r w:rsidRPr="006947A1">
        <w:rPr>
          <w:rFonts w:eastAsia="Arial"/>
        </w:rPr>
        <w:t xml:space="preserve">HER2- krūties vėžys patvirtinamas, kai </w:t>
      </w:r>
      <w:proofErr w:type="spellStart"/>
      <w:r w:rsidRPr="006947A1">
        <w:rPr>
          <w:rFonts w:eastAsia="Arial"/>
        </w:rPr>
        <w:t>imunohistocheminiu</w:t>
      </w:r>
      <w:proofErr w:type="spellEnd"/>
      <w:r w:rsidRPr="006947A1">
        <w:rPr>
          <w:rFonts w:eastAsia="Arial"/>
        </w:rPr>
        <w:t xml:space="preserve"> metodu (</w:t>
      </w:r>
      <w:r w:rsidRPr="006947A1">
        <w:rPr>
          <w:rFonts w:eastAsia="Arial"/>
          <w:i/>
        </w:rPr>
        <w:t xml:space="preserve">angl. </w:t>
      </w:r>
      <w:proofErr w:type="spellStart"/>
      <w:r w:rsidRPr="006947A1">
        <w:rPr>
          <w:rFonts w:eastAsia="Arial"/>
          <w:i/>
        </w:rPr>
        <w:t>immunohistochemistry</w:t>
      </w:r>
      <w:proofErr w:type="spellEnd"/>
      <w:r w:rsidRPr="006947A1">
        <w:rPr>
          <w:rFonts w:eastAsia="Arial"/>
          <w:i/>
        </w:rPr>
        <w:t>, IHC</w:t>
      </w:r>
      <w:r w:rsidRPr="006947A1">
        <w:rPr>
          <w:rFonts w:eastAsia="Arial"/>
        </w:rPr>
        <w:t xml:space="preserve">) nenustatoma HER2 raiškos (IHC 0-1+ reiškia normalų HER2 lygį, </w:t>
      </w:r>
      <w:proofErr w:type="spellStart"/>
      <w:r w:rsidRPr="006947A1">
        <w:rPr>
          <w:rFonts w:eastAsia="Arial"/>
        </w:rPr>
        <w:t>t.y</w:t>
      </w:r>
      <w:proofErr w:type="spellEnd"/>
      <w:r w:rsidRPr="006947A1">
        <w:rPr>
          <w:rFonts w:eastAsia="Arial"/>
        </w:rPr>
        <w:t xml:space="preserve">. tyrimo rezultatas- HER2 neigiamas; jei rezultatas 2+, papildomai atliekama fluorescencinė </w:t>
      </w:r>
      <w:proofErr w:type="spellStart"/>
      <w:r w:rsidRPr="006947A1">
        <w:rPr>
          <w:rFonts w:eastAsia="Arial"/>
        </w:rPr>
        <w:t>in</w:t>
      </w:r>
      <w:proofErr w:type="spellEnd"/>
      <w:r w:rsidRPr="006947A1">
        <w:rPr>
          <w:rFonts w:eastAsia="Arial"/>
        </w:rPr>
        <w:t xml:space="preserve"> </w:t>
      </w:r>
      <w:proofErr w:type="spellStart"/>
      <w:r w:rsidRPr="006947A1">
        <w:rPr>
          <w:rFonts w:eastAsia="Arial"/>
        </w:rPr>
        <w:t>situ</w:t>
      </w:r>
      <w:proofErr w:type="spellEnd"/>
      <w:r w:rsidRPr="006947A1">
        <w:rPr>
          <w:rFonts w:eastAsia="Arial"/>
        </w:rPr>
        <w:t xml:space="preserve"> hibridizacija (FISH), kurios neigiamas rezultatas reiškia, kad HER2 genų lygis normalus, patvirtinamas HER2 neigiamas tipas). </w:t>
      </w:r>
    </w:p>
    <w:p w14:paraId="0B8B947A" w14:textId="77777777" w:rsidR="004537D0" w:rsidRPr="008620FB" w:rsidRDefault="004537D0" w:rsidP="004537D0">
      <w:pPr>
        <w:tabs>
          <w:tab w:val="left" w:pos="426"/>
        </w:tabs>
        <w:spacing w:line="276" w:lineRule="auto"/>
        <w:jc w:val="both"/>
        <w:rPr>
          <w:rFonts w:eastAsia="Arial"/>
          <w:iCs/>
        </w:rPr>
      </w:pPr>
      <w:r>
        <w:rPr>
          <w:rFonts w:eastAsia="Arial"/>
        </w:rPr>
        <w:tab/>
        <w:t xml:space="preserve">Lietuvoje šiuo metu </w:t>
      </w:r>
      <w:r>
        <w:rPr>
          <w:rFonts w:eastAsia="Arial"/>
          <w:iCs/>
        </w:rPr>
        <w:t>g</w:t>
      </w:r>
      <w:r w:rsidRPr="006947A1">
        <w:rPr>
          <w:rFonts w:eastAsia="Arial"/>
          <w:iCs/>
        </w:rPr>
        <w:t xml:space="preserve">ydymas pasirenkamas atsižvelgiant į ankstesnį gydymą ir patirtą atsaką, laiką iki progresavimo, hormonų receptorių ir HER2 raišką, ligos išplitimą, menstruacijų būklę, biologinį amžių, gretutines ligas, funkcinę būklę, ligos agresyvumą (metastazių buvimą </w:t>
      </w:r>
      <w:proofErr w:type="spellStart"/>
      <w:r w:rsidRPr="006947A1">
        <w:rPr>
          <w:rFonts w:eastAsia="Arial"/>
          <w:iCs/>
        </w:rPr>
        <w:t>visceraliniuose</w:t>
      </w:r>
      <w:proofErr w:type="spellEnd"/>
      <w:r w:rsidRPr="006947A1">
        <w:rPr>
          <w:rFonts w:eastAsia="Arial"/>
          <w:iCs/>
        </w:rPr>
        <w:t xml:space="preserve"> organuose), </w:t>
      </w:r>
      <w:proofErr w:type="spellStart"/>
      <w:r w:rsidRPr="006947A1">
        <w:rPr>
          <w:rFonts w:eastAsia="Arial"/>
          <w:iCs/>
        </w:rPr>
        <w:t>socioekonominius</w:t>
      </w:r>
      <w:proofErr w:type="spellEnd"/>
      <w:r w:rsidRPr="006947A1">
        <w:rPr>
          <w:rFonts w:eastAsia="Arial"/>
          <w:iCs/>
        </w:rPr>
        <w:t xml:space="preserve"> ir psichologinius faktorius, paciento valią ir medikamentų prieinamumą. Išplitusio krūties vėžio gydymas tęsiamas tol, kol gydymas tampa neefektyvus, atsiranda toksiškumas, pasiekiama kumuliacinė </w:t>
      </w:r>
      <w:proofErr w:type="spellStart"/>
      <w:r w:rsidRPr="006947A1">
        <w:rPr>
          <w:rFonts w:eastAsia="Arial"/>
          <w:iCs/>
        </w:rPr>
        <w:t>chemopreparatų</w:t>
      </w:r>
      <w:proofErr w:type="spellEnd"/>
      <w:r w:rsidRPr="006947A1">
        <w:rPr>
          <w:rFonts w:eastAsia="Arial"/>
          <w:iCs/>
        </w:rPr>
        <w:t xml:space="preserve"> (</w:t>
      </w:r>
      <w:proofErr w:type="spellStart"/>
      <w:r w:rsidRPr="006947A1">
        <w:rPr>
          <w:rFonts w:eastAsia="Arial"/>
          <w:iCs/>
        </w:rPr>
        <w:t>antraciklinų</w:t>
      </w:r>
      <w:proofErr w:type="spellEnd"/>
      <w:r w:rsidRPr="006947A1">
        <w:rPr>
          <w:rFonts w:eastAsia="Arial"/>
          <w:iCs/>
        </w:rPr>
        <w:t>) dozė ar liga progresuoja; esant blogai funkcinei paciento būklei (</w:t>
      </w:r>
      <w:r w:rsidRPr="006947A1">
        <w:rPr>
          <w:rFonts w:eastAsia="Arial"/>
          <w:i/>
        </w:rPr>
        <w:t xml:space="preserve">angl. Eastern </w:t>
      </w:r>
      <w:proofErr w:type="spellStart"/>
      <w:r w:rsidRPr="006947A1">
        <w:rPr>
          <w:rFonts w:eastAsia="Arial"/>
          <w:i/>
        </w:rPr>
        <w:t>Cooperative</w:t>
      </w:r>
      <w:proofErr w:type="spellEnd"/>
      <w:r w:rsidRPr="006947A1">
        <w:rPr>
          <w:rFonts w:eastAsia="Arial"/>
          <w:i/>
        </w:rPr>
        <w:t xml:space="preserve"> </w:t>
      </w:r>
      <w:proofErr w:type="spellStart"/>
      <w:r w:rsidRPr="006947A1">
        <w:rPr>
          <w:rFonts w:eastAsia="Arial"/>
          <w:i/>
        </w:rPr>
        <w:t>Oncology</w:t>
      </w:r>
      <w:proofErr w:type="spellEnd"/>
      <w:r w:rsidRPr="006947A1">
        <w:rPr>
          <w:rFonts w:eastAsia="Arial"/>
          <w:i/>
        </w:rPr>
        <w:t xml:space="preserve"> Group, </w:t>
      </w:r>
      <w:r w:rsidRPr="006947A1">
        <w:rPr>
          <w:rFonts w:eastAsia="Arial"/>
          <w:iCs/>
        </w:rPr>
        <w:t xml:space="preserve">ECOG ˃ 2). </w:t>
      </w:r>
    </w:p>
    <w:p w14:paraId="04CBD12F" w14:textId="77777777" w:rsidR="004537D0" w:rsidRDefault="004537D0" w:rsidP="004537D0">
      <w:pPr>
        <w:tabs>
          <w:tab w:val="left" w:pos="284"/>
        </w:tabs>
        <w:spacing w:line="276" w:lineRule="auto"/>
        <w:jc w:val="both"/>
        <w:rPr>
          <w:rFonts w:eastAsia="Arial"/>
          <w:bCs/>
          <w:iCs/>
        </w:rPr>
      </w:pPr>
      <w:r>
        <w:rPr>
          <w:rFonts w:eastAsia="Arial"/>
        </w:rPr>
        <w:tab/>
      </w:r>
      <w:r w:rsidRPr="006947A1">
        <w:rPr>
          <w:rFonts w:eastAsia="Arial"/>
          <w:iCs/>
        </w:rPr>
        <w:t xml:space="preserve">Paraiškoje nurodoma, kad </w:t>
      </w:r>
      <w:proofErr w:type="spellStart"/>
      <w:r w:rsidRPr="006947A1">
        <w:rPr>
          <w:rFonts w:eastAsia="Arial"/>
          <w:iCs/>
        </w:rPr>
        <w:t>sacituzumabas</w:t>
      </w:r>
      <w:proofErr w:type="spellEnd"/>
      <w:r w:rsidRPr="006947A1">
        <w:rPr>
          <w:rFonts w:eastAsia="Arial"/>
          <w:iCs/>
        </w:rPr>
        <w:t xml:space="preserve"> </w:t>
      </w:r>
      <w:proofErr w:type="spellStart"/>
      <w:r w:rsidRPr="006947A1">
        <w:rPr>
          <w:rFonts w:eastAsia="Arial"/>
          <w:iCs/>
        </w:rPr>
        <w:t>govitekanas</w:t>
      </w:r>
      <w:proofErr w:type="spellEnd"/>
      <w:r w:rsidRPr="006947A1">
        <w:rPr>
          <w:rFonts w:eastAsia="Arial"/>
          <w:iCs/>
        </w:rPr>
        <w:t xml:space="preserve"> Lietuvos krūties vėžio gydymo schemoje būtų trečios eilės gydymas, taikomas po HT ir 2 sisteminių chemoterapijos kursų. Šiuo metu trečios eilės gydymui </w:t>
      </w:r>
      <w:r>
        <w:rPr>
          <w:rFonts w:eastAsia="Arial"/>
          <w:iCs/>
        </w:rPr>
        <w:t xml:space="preserve">naudojama chemoterapija. </w:t>
      </w:r>
      <w:r w:rsidRPr="006947A1">
        <w:rPr>
          <w:rFonts w:eastAsia="Arial"/>
          <w:bCs/>
          <w:iCs/>
        </w:rPr>
        <w:t xml:space="preserve">Remiantis Lietuvos Respublikos sveikatos apsaugos ministro 2010 m. birželio 30 d. įsakymo Nr. V-599 „Ligų ir kompensuojamųjų vaistų joms gydyti sąrašu“, </w:t>
      </w:r>
      <w:proofErr w:type="spellStart"/>
      <w:r w:rsidRPr="006947A1">
        <w:rPr>
          <w:rFonts w:eastAsia="Arial"/>
          <w:bCs/>
          <w:iCs/>
        </w:rPr>
        <w:t>eribulinas</w:t>
      </w:r>
      <w:proofErr w:type="spellEnd"/>
      <w:r w:rsidRPr="006947A1">
        <w:rPr>
          <w:rFonts w:eastAsia="Arial"/>
          <w:bCs/>
          <w:iCs/>
        </w:rPr>
        <w:t xml:space="preserve">, </w:t>
      </w:r>
      <w:proofErr w:type="spellStart"/>
      <w:r w:rsidRPr="006947A1">
        <w:rPr>
          <w:rFonts w:eastAsia="Arial"/>
          <w:bCs/>
          <w:iCs/>
        </w:rPr>
        <w:t>vinorelbinas</w:t>
      </w:r>
      <w:proofErr w:type="spellEnd"/>
      <w:r w:rsidRPr="006947A1">
        <w:rPr>
          <w:rFonts w:eastAsia="Arial"/>
          <w:bCs/>
          <w:iCs/>
        </w:rPr>
        <w:t xml:space="preserve">, </w:t>
      </w:r>
      <w:proofErr w:type="spellStart"/>
      <w:r w:rsidRPr="006947A1">
        <w:rPr>
          <w:rFonts w:eastAsia="Arial"/>
          <w:bCs/>
          <w:iCs/>
        </w:rPr>
        <w:t>gemcitabinas</w:t>
      </w:r>
      <w:proofErr w:type="spellEnd"/>
      <w:r w:rsidRPr="006947A1">
        <w:rPr>
          <w:rFonts w:eastAsia="Arial"/>
          <w:bCs/>
          <w:iCs/>
        </w:rPr>
        <w:t xml:space="preserve"> ir </w:t>
      </w:r>
      <w:proofErr w:type="spellStart"/>
      <w:r w:rsidRPr="006947A1">
        <w:rPr>
          <w:rFonts w:eastAsia="Arial"/>
          <w:bCs/>
          <w:iCs/>
        </w:rPr>
        <w:t>kapecitabinas</w:t>
      </w:r>
      <w:proofErr w:type="spellEnd"/>
      <w:r w:rsidRPr="006947A1">
        <w:rPr>
          <w:rFonts w:eastAsia="Arial"/>
          <w:bCs/>
          <w:iCs/>
        </w:rPr>
        <w:t xml:space="preserve"> yra kompensuojami krūties vėžiui gydyti (TLK-10 AM kodas – C50). </w:t>
      </w:r>
    </w:p>
    <w:p w14:paraId="1A24A8C8" w14:textId="77777777" w:rsidR="004537D0" w:rsidRPr="00B073A1" w:rsidRDefault="004537D0" w:rsidP="004537D0">
      <w:pPr>
        <w:tabs>
          <w:tab w:val="left" w:pos="284"/>
        </w:tabs>
        <w:spacing w:line="276" w:lineRule="auto"/>
        <w:jc w:val="both"/>
        <w:rPr>
          <w:rFonts w:eastAsia="Arial"/>
          <w:iCs/>
        </w:rPr>
      </w:pPr>
    </w:p>
    <w:p w14:paraId="0B6BB6AF" w14:textId="77777777" w:rsidR="004537D0" w:rsidRPr="007F694F" w:rsidRDefault="004537D0" w:rsidP="004537D0">
      <w:pPr>
        <w:tabs>
          <w:tab w:val="left" w:pos="284"/>
        </w:tabs>
        <w:spacing w:line="276" w:lineRule="auto"/>
        <w:jc w:val="both"/>
        <w:rPr>
          <w:rFonts w:eastAsia="Arial"/>
          <w:u w:val="single"/>
        </w:rPr>
      </w:pPr>
      <w:r>
        <w:rPr>
          <w:rFonts w:eastAsia="Arial"/>
        </w:rPr>
        <w:tab/>
      </w:r>
      <w:r w:rsidRPr="007F694F">
        <w:rPr>
          <w:rFonts w:eastAsia="Arial"/>
          <w:u w:val="single"/>
        </w:rPr>
        <w:t>Tiesioginis palyginimas.</w:t>
      </w:r>
    </w:p>
    <w:p w14:paraId="3E4C09A0" w14:textId="77777777" w:rsidR="004537D0" w:rsidRPr="006947A1" w:rsidRDefault="004537D0" w:rsidP="004537D0">
      <w:pPr>
        <w:tabs>
          <w:tab w:val="left" w:pos="284"/>
        </w:tabs>
        <w:spacing w:line="276" w:lineRule="auto"/>
        <w:jc w:val="both"/>
        <w:rPr>
          <w:rFonts w:eastAsia="Arial"/>
        </w:rPr>
      </w:pPr>
      <w:r>
        <w:rPr>
          <w:rFonts w:eastAsia="Arial"/>
        </w:rPr>
        <w:tab/>
      </w:r>
      <w:r w:rsidRPr="006947A1">
        <w:rPr>
          <w:rFonts w:eastAsia="Arial"/>
        </w:rPr>
        <w:t xml:space="preserve">Klinikinis </w:t>
      </w:r>
      <w:proofErr w:type="spellStart"/>
      <w:r w:rsidRPr="006947A1">
        <w:rPr>
          <w:rFonts w:eastAsia="Arial"/>
        </w:rPr>
        <w:t>sacituzumabo</w:t>
      </w:r>
      <w:proofErr w:type="spellEnd"/>
      <w:r w:rsidRPr="006947A1">
        <w:rPr>
          <w:rFonts w:eastAsia="Arial"/>
        </w:rPr>
        <w:t xml:space="preserve"> </w:t>
      </w:r>
      <w:proofErr w:type="spellStart"/>
      <w:r w:rsidRPr="006947A1">
        <w:rPr>
          <w:rFonts w:eastAsia="Arial"/>
        </w:rPr>
        <w:t>govitekano</w:t>
      </w:r>
      <w:proofErr w:type="spellEnd"/>
      <w:r w:rsidRPr="006947A1">
        <w:rPr>
          <w:rFonts w:eastAsia="Arial"/>
        </w:rPr>
        <w:t xml:space="preserve"> efektyvumas vertinamas remiantis paraiškoje pateikto </w:t>
      </w:r>
      <w:proofErr w:type="spellStart"/>
      <w:r w:rsidRPr="006947A1">
        <w:rPr>
          <w:rFonts w:eastAsia="Arial"/>
        </w:rPr>
        <w:t>daugiacentrio</w:t>
      </w:r>
      <w:proofErr w:type="spellEnd"/>
      <w:r w:rsidRPr="006947A1">
        <w:rPr>
          <w:rFonts w:eastAsia="Arial"/>
        </w:rPr>
        <w:t>, atviro, atsitiktinių imčių klinikinio</w:t>
      </w:r>
      <w:r>
        <w:rPr>
          <w:rFonts w:eastAsia="Arial"/>
        </w:rPr>
        <w:t xml:space="preserve"> </w:t>
      </w:r>
      <w:r w:rsidRPr="00DB3780">
        <w:rPr>
          <w:rFonts w:eastAsia="Arial"/>
          <w:u w:val="single"/>
        </w:rPr>
        <w:t>tiesioginio</w:t>
      </w:r>
      <w:r>
        <w:rPr>
          <w:rFonts w:eastAsia="Arial"/>
        </w:rPr>
        <w:t xml:space="preserve"> palyginimo</w:t>
      </w:r>
      <w:r w:rsidRPr="006947A1">
        <w:rPr>
          <w:rFonts w:eastAsia="Arial"/>
        </w:rPr>
        <w:t xml:space="preserve"> tyrimo TROPiCS-02 metu. TROPiCS-02 yra 3 fazės tyrimas</w:t>
      </w:r>
      <w:r>
        <w:rPr>
          <w:rFonts w:eastAsia="Arial"/>
        </w:rPr>
        <w:t>.</w:t>
      </w:r>
      <w:r w:rsidRPr="006947A1">
        <w:rPr>
          <w:rFonts w:eastAsia="Arial"/>
        </w:rPr>
        <w:t xml:space="preserve"> </w:t>
      </w:r>
      <w:proofErr w:type="spellStart"/>
      <w:r>
        <w:rPr>
          <w:rFonts w:eastAsia="Arial"/>
        </w:rPr>
        <w:t>S</w:t>
      </w:r>
      <w:r w:rsidRPr="006947A1">
        <w:rPr>
          <w:rFonts w:eastAsia="Arial"/>
        </w:rPr>
        <w:t>acituzumabo</w:t>
      </w:r>
      <w:proofErr w:type="spellEnd"/>
      <w:r w:rsidRPr="006947A1">
        <w:rPr>
          <w:rFonts w:eastAsia="Arial"/>
        </w:rPr>
        <w:t xml:space="preserve"> </w:t>
      </w:r>
      <w:proofErr w:type="spellStart"/>
      <w:r w:rsidRPr="006947A1">
        <w:rPr>
          <w:rFonts w:eastAsia="Arial"/>
        </w:rPr>
        <w:t>govitekano</w:t>
      </w:r>
      <w:proofErr w:type="spellEnd"/>
      <w:r w:rsidRPr="006947A1">
        <w:rPr>
          <w:rFonts w:eastAsia="Arial"/>
        </w:rPr>
        <w:t xml:space="preserve"> veiksmingumas palygintas su gydytojo pasirinktu gydymu asmenims, sergantiems HR+/HER2- </w:t>
      </w:r>
      <w:proofErr w:type="spellStart"/>
      <w:r w:rsidRPr="006947A1">
        <w:rPr>
          <w:rFonts w:eastAsia="Arial"/>
        </w:rPr>
        <w:t>metastazavusiu</w:t>
      </w:r>
      <w:proofErr w:type="spellEnd"/>
      <w:r w:rsidRPr="006947A1">
        <w:rPr>
          <w:rFonts w:eastAsia="Arial"/>
        </w:rPr>
        <w:t xml:space="preserve"> krūties vėžiu, kuris progresavo po to, kai buvo taikytas bet kuris iš šių gydymo būdų: gydymas CDK 4/6 inhibitoriumi, endokrininė terapija ir gydymas </w:t>
      </w:r>
      <w:proofErr w:type="spellStart"/>
      <w:r w:rsidRPr="006947A1">
        <w:rPr>
          <w:rFonts w:eastAsia="Arial"/>
        </w:rPr>
        <w:t>taksanu</w:t>
      </w:r>
      <w:proofErr w:type="spellEnd"/>
      <w:r w:rsidRPr="006947A1">
        <w:rPr>
          <w:rFonts w:eastAsia="Arial"/>
        </w:rPr>
        <w:t xml:space="preserve">; pacientams anksčiau buvo taikytos bent dvi chemoterapijos dėl </w:t>
      </w:r>
      <w:proofErr w:type="spellStart"/>
      <w:r w:rsidRPr="006947A1">
        <w:rPr>
          <w:rFonts w:eastAsia="Arial"/>
        </w:rPr>
        <w:t>metastazavusio</w:t>
      </w:r>
      <w:proofErr w:type="spellEnd"/>
      <w:r w:rsidRPr="006947A1">
        <w:rPr>
          <w:rFonts w:eastAsia="Arial"/>
        </w:rPr>
        <w:t xml:space="preserve"> vėžio.</w:t>
      </w:r>
    </w:p>
    <w:p w14:paraId="061A25DB" w14:textId="77777777" w:rsidR="004537D0" w:rsidRPr="006947A1" w:rsidRDefault="004537D0" w:rsidP="004537D0">
      <w:pPr>
        <w:tabs>
          <w:tab w:val="left" w:pos="426"/>
        </w:tabs>
        <w:spacing w:line="276" w:lineRule="auto"/>
        <w:ind w:firstLine="426"/>
        <w:jc w:val="both"/>
        <w:rPr>
          <w:rFonts w:eastAsia="Arial"/>
        </w:rPr>
      </w:pPr>
      <w:r w:rsidRPr="006947A1">
        <w:rPr>
          <w:rFonts w:eastAsia="Arial"/>
        </w:rPr>
        <w:t xml:space="preserve">TROPiCS-02 (IMMU-132-09) tyrimo populiacija- </w:t>
      </w:r>
      <w:r>
        <w:rPr>
          <w:rFonts w:eastAsia="Arial"/>
        </w:rPr>
        <w:t>520</w:t>
      </w:r>
      <w:r w:rsidRPr="006947A1">
        <w:rPr>
          <w:rFonts w:eastAsia="Arial"/>
        </w:rPr>
        <w:t xml:space="preserve"> pacientai, sergantys neoperuotinu lokaliai išplitusiu arba </w:t>
      </w:r>
      <w:proofErr w:type="spellStart"/>
      <w:r w:rsidRPr="006947A1">
        <w:rPr>
          <w:rFonts w:eastAsia="Arial"/>
        </w:rPr>
        <w:t>metastazavusiu</w:t>
      </w:r>
      <w:proofErr w:type="spellEnd"/>
      <w:r w:rsidRPr="006947A1">
        <w:rPr>
          <w:rFonts w:eastAsia="Arial"/>
        </w:rPr>
        <w:t xml:space="preserve"> HR teigiamu, HER2 neigiamu (IHC 0, IHC 1+, arba IHC 2+/FISH-) krūties vėžiu, kuris progresavo po to, kai buvo taikytas bet kuris iš šių gydymo būdų: gydymas CDK 4/6 inhibitoriumi, endokrininė terapija ir gydymas </w:t>
      </w:r>
      <w:proofErr w:type="spellStart"/>
      <w:r w:rsidRPr="006947A1">
        <w:rPr>
          <w:rFonts w:eastAsia="Arial"/>
        </w:rPr>
        <w:t>taksanu</w:t>
      </w:r>
      <w:proofErr w:type="spellEnd"/>
      <w:r w:rsidRPr="006947A1">
        <w:rPr>
          <w:rFonts w:eastAsia="Arial"/>
        </w:rPr>
        <w:t xml:space="preserve">; pacientams anksčiau buvo taikyta chemoterapija bent dviem sisteminiais vaistais dėl </w:t>
      </w:r>
      <w:proofErr w:type="spellStart"/>
      <w:r w:rsidRPr="006947A1">
        <w:rPr>
          <w:rFonts w:eastAsia="Arial"/>
        </w:rPr>
        <w:t>metastazavusio</w:t>
      </w:r>
      <w:proofErr w:type="spellEnd"/>
      <w:r w:rsidRPr="006947A1">
        <w:rPr>
          <w:rFonts w:eastAsia="Arial"/>
        </w:rPr>
        <w:t xml:space="preserve"> vėžio (viena iš jų galėjo </w:t>
      </w:r>
      <w:r w:rsidRPr="006947A1">
        <w:rPr>
          <w:rFonts w:eastAsia="Arial"/>
        </w:rPr>
        <w:lastRenderedPageBreak/>
        <w:t xml:space="preserve">būti </w:t>
      </w:r>
      <w:proofErr w:type="spellStart"/>
      <w:r w:rsidRPr="006947A1">
        <w:rPr>
          <w:rFonts w:eastAsia="Arial"/>
        </w:rPr>
        <w:t>neoadjuvantinė</w:t>
      </w:r>
      <w:proofErr w:type="spellEnd"/>
      <w:r w:rsidRPr="006947A1">
        <w:rPr>
          <w:rFonts w:eastAsia="Arial"/>
        </w:rPr>
        <w:t xml:space="preserve"> arba </w:t>
      </w:r>
      <w:proofErr w:type="spellStart"/>
      <w:r w:rsidRPr="006947A1">
        <w:rPr>
          <w:rFonts w:eastAsia="Arial"/>
        </w:rPr>
        <w:t>adjuvantinė</w:t>
      </w:r>
      <w:proofErr w:type="spellEnd"/>
      <w:r w:rsidRPr="006947A1">
        <w:rPr>
          <w:rFonts w:eastAsia="Arial"/>
        </w:rPr>
        <w:t>, jei užbaigus chemoterapiją liga progresavo arba pasikartojo per 12 mėnesių).</w:t>
      </w:r>
    </w:p>
    <w:p w14:paraId="342AF729" w14:textId="77777777" w:rsidR="004537D0" w:rsidRPr="009034F6" w:rsidRDefault="004537D0" w:rsidP="004537D0">
      <w:pPr>
        <w:tabs>
          <w:tab w:val="left" w:pos="426"/>
        </w:tabs>
        <w:spacing w:line="276" w:lineRule="auto"/>
        <w:ind w:firstLine="426"/>
        <w:jc w:val="both"/>
        <w:rPr>
          <w:rStyle w:val="CommentReference"/>
          <w:rFonts w:eastAsia="Arial"/>
          <w:sz w:val="24"/>
          <w:szCs w:val="20"/>
        </w:rPr>
      </w:pPr>
      <w:r w:rsidRPr="006947A1">
        <w:rPr>
          <w:rFonts w:eastAsia="Arial"/>
        </w:rPr>
        <w:t xml:space="preserve">Tyrimo pacientų populiacija atitinka numatomą Lietuvos pacientų populiaciją, numatomas </w:t>
      </w:r>
      <w:proofErr w:type="spellStart"/>
      <w:r w:rsidRPr="006947A1">
        <w:rPr>
          <w:rFonts w:eastAsia="Arial"/>
        </w:rPr>
        <w:t>sacituzumabo</w:t>
      </w:r>
      <w:proofErr w:type="spellEnd"/>
      <w:r w:rsidRPr="006947A1">
        <w:rPr>
          <w:rFonts w:eastAsia="Arial"/>
        </w:rPr>
        <w:t xml:space="preserve"> </w:t>
      </w:r>
      <w:proofErr w:type="spellStart"/>
      <w:r w:rsidRPr="006947A1">
        <w:rPr>
          <w:rFonts w:eastAsia="Arial"/>
        </w:rPr>
        <w:t>govitekano</w:t>
      </w:r>
      <w:proofErr w:type="spellEnd"/>
      <w:r w:rsidRPr="006947A1">
        <w:rPr>
          <w:rFonts w:eastAsia="Arial"/>
        </w:rPr>
        <w:t xml:space="preserve"> skyrimo indikacijas ir siūlomas skyrimo sąlygas.</w:t>
      </w:r>
      <w:r>
        <w:rPr>
          <w:rFonts w:eastAsia="Arial"/>
        </w:rPr>
        <w:t xml:space="preserve"> Palyginamasis gydymas atitinka įprastinėje klinikinėje praktikoje Lietuvoje skiriamą gydymą:</w:t>
      </w:r>
      <w:r w:rsidRPr="006947A1">
        <w:rPr>
          <w:rFonts w:eastAsia="Arial"/>
        </w:rPr>
        <w:t xml:space="preserve"> </w:t>
      </w:r>
      <w:proofErr w:type="spellStart"/>
      <w:r w:rsidRPr="006947A1">
        <w:rPr>
          <w:rFonts w:eastAsia="Arial"/>
        </w:rPr>
        <w:t>eribulin</w:t>
      </w:r>
      <w:r>
        <w:rPr>
          <w:rFonts w:eastAsia="Arial"/>
        </w:rPr>
        <w:t>ą</w:t>
      </w:r>
      <w:proofErr w:type="spellEnd"/>
      <w:r w:rsidRPr="006947A1">
        <w:rPr>
          <w:rFonts w:eastAsia="Arial"/>
        </w:rPr>
        <w:t xml:space="preserve">, </w:t>
      </w:r>
      <w:proofErr w:type="spellStart"/>
      <w:r w:rsidRPr="006947A1">
        <w:rPr>
          <w:rFonts w:eastAsia="Arial"/>
        </w:rPr>
        <w:t>vinorelbin</w:t>
      </w:r>
      <w:r>
        <w:rPr>
          <w:rFonts w:eastAsia="Arial"/>
        </w:rPr>
        <w:t>ą</w:t>
      </w:r>
      <w:proofErr w:type="spellEnd"/>
      <w:r w:rsidRPr="006947A1">
        <w:rPr>
          <w:rFonts w:eastAsia="Arial"/>
        </w:rPr>
        <w:t xml:space="preserve">, </w:t>
      </w:r>
      <w:proofErr w:type="spellStart"/>
      <w:r w:rsidRPr="006947A1">
        <w:rPr>
          <w:rFonts w:eastAsia="Arial"/>
        </w:rPr>
        <w:t>gemcitabin</w:t>
      </w:r>
      <w:r>
        <w:rPr>
          <w:rFonts w:eastAsia="Arial"/>
        </w:rPr>
        <w:t>ą</w:t>
      </w:r>
      <w:proofErr w:type="spellEnd"/>
      <w:r w:rsidRPr="006947A1">
        <w:rPr>
          <w:rFonts w:eastAsia="Arial"/>
        </w:rPr>
        <w:t xml:space="preserve"> arba </w:t>
      </w:r>
      <w:proofErr w:type="spellStart"/>
      <w:r w:rsidRPr="006947A1">
        <w:rPr>
          <w:rFonts w:eastAsia="Arial"/>
        </w:rPr>
        <w:t>kapecitabin</w:t>
      </w:r>
      <w:r>
        <w:rPr>
          <w:rFonts w:eastAsia="Arial"/>
        </w:rPr>
        <w:t>ą</w:t>
      </w:r>
      <w:proofErr w:type="spellEnd"/>
      <w:r w:rsidRPr="006947A1">
        <w:rPr>
          <w:rFonts w:eastAsia="Arial"/>
        </w:rPr>
        <w:t xml:space="preserve">. Suskirstymas atsitiktinių imčių būdu buvo </w:t>
      </w:r>
      <w:proofErr w:type="spellStart"/>
      <w:r w:rsidRPr="006947A1">
        <w:rPr>
          <w:rFonts w:eastAsia="Arial"/>
        </w:rPr>
        <w:t>stratifikuojamas</w:t>
      </w:r>
      <w:proofErr w:type="spellEnd"/>
      <w:r w:rsidRPr="006947A1">
        <w:rPr>
          <w:rFonts w:eastAsia="Arial"/>
        </w:rPr>
        <w:t xml:space="preserve"> į iš anksto numatytus pogrupius. Pacientai buvo gydyti, kol liga ėmė progresuoti arba atsirado nepriimtinas toksinis poveikis.</w:t>
      </w:r>
    </w:p>
    <w:p w14:paraId="6F58A700" w14:textId="77777777" w:rsidR="004537D0" w:rsidRPr="006947A1" w:rsidRDefault="004537D0" w:rsidP="004537D0">
      <w:pPr>
        <w:tabs>
          <w:tab w:val="left" w:pos="426"/>
        </w:tabs>
        <w:spacing w:line="276" w:lineRule="auto"/>
        <w:jc w:val="both"/>
        <w:rPr>
          <w:rFonts w:eastAsia="Arial"/>
          <w:iCs/>
        </w:rPr>
      </w:pPr>
      <w:r>
        <w:rPr>
          <w:rFonts w:eastAsia="Arial"/>
          <w:iCs/>
        </w:rPr>
        <w:tab/>
      </w:r>
      <w:r w:rsidRPr="006947A1">
        <w:rPr>
          <w:rFonts w:eastAsia="Arial"/>
          <w:iCs/>
        </w:rPr>
        <w:t>Buvo taikoma hierarchinė analizė, vertinant IBLP, pagal iš anksto suplanuotą statistinę analizę, pasiekus užsibrėžtą statistinį reikšmingumą ITT populiacijoje. Pirminė vertinamoji baigtis buvo išgyvenamumas be ligos progresavimo (IBLP), kurį įvertino nepriklausomas vertinimo komitetas (NPK) ITT populiacijoje, naudojant dvipusę 0,05 alfa reikšmę. Jei IBLP  buvo statistiškai reikšmingas, tyrimas tęsėsi vertinant bendrą išgyvenamumą (BI) ITT populiacijoje. BI buvo vertinamas skirtingais etapais: pirmoje tarpinėje analizėje (IA1), antroje tarpinėje analizėje (IA2) ir galutinėje analizėje. Jei BI rezult</w:t>
      </w:r>
      <w:r>
        <w:rPr>
          <w:rFonts w:eastAsia="Arial"/>
          <w:iCs/>
        </w:rPr>
        <w:t>at</w:t>
      </w:r>
      <w:r w:rsidRPr="006947A1">
        <w:rPr>
          <w:rFonts w:eastAsia="Arial"/>
          <w:iCs/>
        </w:rPr>
        <w:t>ai buvo reikšmingi bet kuriame etape, tyrimas tęsėsi vertinant objektyvaus atsako dažnį (OAD) pagal BICR ITT populiacijoje su dvipuse 0,05 alfa reikšme. Jei OAD rezultatai buvo reikšmingi, buvo vertinamos pacientų praneštos baigtys, pagal EORTC QLQ-C30. Jei bet kuriame etape nebuvo pasiektas statistinis reikšmingumas, tyrimas buvo sustabdytas.</w:t>
      </w:r>
    </w:p>
    <w:p w14:paraId="370B934D" w14:textId="77777777" w:rsidR="004537D0" w:rsidRPr="006947A1" w:rsidRDefault="004537D0" w:rsidP="004537D0">
      <w:pPr>
        <w:spacing w:line="276" w:lineRule="auto"/>
        <w:ind w:firstLine="426"/>
        <w:jc w:val="both"/>
        <w:rPr>
          <w:rFonts w:eastAsia="Arial"/>
        </w:rPr>
      </w:pPr>
      <w:r w:rsidRPr="00EB6342">
        <w:rPr>
          <w:rFonts w:eastAsia="Arial"/>
          <w:u w:val="single"/>
        </w:rPr>
        <w:t xml:space="preserve">Pirminė vertinamoji baigtis, IBLP, </w:t>
      </w:r>
      <w:r w:rsidRPr="006947A1">
        <w:rPr>
          <w:rFonts w:eastAsia="Arial"/>
        </w:rPr>
        <w:t>laikas nuo atsitiktinių imčių sudarymo datos iki pirmojo radiologiniu tyrimu patvirtinto ligos progresavimo ar mirties dėl bet kokios priežasties, atsižvelgiant į tai, kas įvyksta anksčiau</w:t>
      </w:r>
      <w:r>
        <w:rPr>
          <w:rFonts w:eastAsia="Arial"/>
        </w:rPr>
        <w:t xml:space="preserve">. </w:t>
      </w:r>
      <w:r w:rsidRPr="006947A1">
        <w:t>Atlikus IBLP analizę, nustatyta, kad gydymas SG, palyginti su gydymu GPVP, statistiškai reikšmingai pagerino IBLP. Rizikos santykis (RS) buvo 0,66 (</w:t>
      </w:r>
      <w:r w:rsidRPr="006947A1">
        <w:rPr>
          <w:i/>
          <w:iCs/>
        </w:rPr>
        <w:t xml:space="preserve">angl. </w:t>
      </w:r>
      <w:proofErr w:type="spellStart"/>
      <w:r w:rsidRPr="006947A1">
        <w:rPr>
          <w:i/>
          <w:iCs/>
        </w:rPr>
        <w:t>hazard</w:t>
      </w:r>
      <w:proofErr w:type="spellEnd"/>
      <w:r w:rsidRPr="006947A1">
        <w:rPr>
          <w:i/>
          <w:iCs/>
        </w:rPr>
        <w:t xml:space="preserve"> </w:t>
      </w:r>
      <w:proofErr w:type="spellStart"/>
      <w:r w:rsidRPr="006947A1">
        <w:rPr>
          <w:i/>
          <w:iCs/>
        </w:rPr>
        <w:t>ratio</w:t>
      </w:r>
      <w:proofErr w:type="spellEnd"/>
      <w:r w:rsidRPr="006947A1">
        <w:rPr>
          <w:i/>
          <w:iCs/>
        </w:rPr>
        <w:t xml:space="preserve"> </w:t>
      </w:r>
      <w:r w:rsidRPr="006947A1">
        <w:t xml:space="preserve">HR), 95 proc. </w:t>
      </w:r>
      <w:proofErr w:type="spellStart"/>
      <w:r w:rsidRPr="006947A1">
        <w:t>pasikliautinis</w:t>
      </w:r>
      <w:proofErr w:type="spellEnd"/>
      <w:r w:rsidRPr="006947A1">
        <w:t xml:space="preserve"> intervalas (PI), 0,53-0,83; P =0,0003; 329 atvejai). IBLP mediana, nustatyta NPK, buvo 5,5 mėnesio (95 proc. PI, 4,2-7,0) SG grupėje palyginti su 4,0 mėnesio (95 proc. PI, 3,1-4,4) chemoterapijos grupėje Bendroje populiacijoje gydymas SG 34 proc. statistiškai reikšmingai sumažino IBPL įvykių tikimybę (ligos progresijos ir mirties dėl bet kokios priežasties tikimybę), lyginant su gydymu chemoterapija.</w:t>
      </w:r>
    </w:p>
    <w:p w14:paraId="521EC4D1" w14:textId="77777777" w:rsidR="004537D0" w:rsidRPr="006947A1" w:rsidRDefault="004537D0" w:rsidP="004537D0">
      <w:pPr>
        <w:spacing w:line="276" w:lineRule="auto"/>
        <w:ind w:firstLine="426"/>
        <w:jc w:val="both"/>
      </w:pPr>
      <w:r w:rsidRPr="00EB6342">
        <w:rPr>
          <w:rFonts w:eastAsia="Arial"/>
          <w:u w:val="single"/>
        </w:rPr>
        <w:t xml:space="preserve">Antrinės vertinamosios baigtys, BI </w:t>
      </w:r>
      <w:r w:rsidRPr="006947A1">
        <w:rPr>
          <w:rFonts w:eastAsia="Arial"/>
        </w:rPr>
        <w:t>– laikas nuo atsitiktinės atrankos iki mirties nuo bet kokios priežasties datos; objektyvaus atsako dažnis (OAD), apibrėžtas pacientų, kuriems pasireiškė bendrasis atsakas dalis; pacientų praneštos baigtys (vertinami naudojant EORTC QLQ-C30 klausimyną). G</w:t>
      </w:r>
      <w:r w:rsidRPr="006947A1">
        <w:t xml:space="preserve">alutinė BI analizė parodė, kad gydymas </w:t>
      </w:r>
      <w:proofErr w:type="spellStart"/>
      <w:r w:rsidRPr="006947A1">
        <w:t>sacituzumabu</w:t>
      </w:r>
      <w:proofErr w:type="spellEnd"/>
      <w:r w:rsidRPr="006947A1">
        <w:t xml:space="preserve"> </w:t>
      </w:r>
      <w:proofErr w:type="spellStart"/>
      <w:r w:rsidRPr="006947A1">
        <w:t>govitekanu</w:t>
      </w:r>
      <w:proofErr w:type="spellEnd"/>
      <w:r w:rsidRPr="006947A1">
        <w:t xml:space="preserve"> reikšmingai pagerino BI palyginus su gydymu chemoterapija, BI buvo vidutiniškai 3,2 mėnesio ilgesnis SG grupėje (BI intervalas 13,0-15,7), palyginus su chemoterapijos grupe (BI intervalas 10,1-12,7), šis skirtumas laikomas statistiškai ir kliniškai reikšmingu.</w:t>
      </w:r>
    </w:p>
    <w:p w14:paraId="01716996" w14:textId="77777777" w:rsidR="004537D0" w:rsidRPr="006947A1" w:rsidRDefault="004537D0" w:rsidP="004537D0">
      <w:pPr>
        <w:spacing w:line="276" w:lineRule="auto"/>
        <w:ind w:firstLine="426"/>
        <w:jc w:val="both"/>
      </w:pPr>
      <w:r w:rsidRPr="006947A1">
        <w:t xml:space="preserve">Pogrupių analizės metu, geresni BI rezultatai taikant gydymą SG atsispindi ir pacientų, turinčių </w:t>
      </w:r>
      <w:proofErr w:type="spellStart"/>
      <w:r w:rsidRPr="006947A1">
        <w:t>visceralines</w:t>
      </w:r>
      <w:proofErr w:type="spellEnd"/>
      <w:r w:rsidRPr="006947A1">
        <w:t xml:space="preserve"> metastazes pogrupyje- šių pacientų BI SG grupėje 14,6 mėn. (BI intervalas 13,1-16,1 mėn.), tuo tarpu chemoterapijos grupėje BI 10,8 mėn. (BI intervalas 10,0-12,3 mėn.). Gydymas SG reikšmingai pagerino BI pacientams, kurie anksčiau yra gavę gydymą CDK 4/6 inhibitoriumi trumpiau nei 12 mėn., BI SG grupėje 15,2 mėn. (BI intervalas 13,1-16,9 mėn.), BI chemoterapijos grupėje 10,5 mėn. (BI intervalas 9,5-12,4 mėn.).</w:t>
      </w:r>
    </w:p>
    <w:p w14:paraId="76EC42EE" w14:textId="77777777" w:rsidR="004537D0" w:rsidRPr="006947A1" w:rsidRDefault="004537D0" w:rsidP="004537D0">
      <w:pPr>
        <w:tabs>
          <w:tab w:val="left" w:pos="284"/>
        </w:tabs>
        <w:spacing w:line="276" w:lineRule="auto"/>
        <w:jc w:val="both"/>
        <w:rPr>
          <w:rFonts w:eastAsia="Arial"/>
        </w:rPr>
      </w:pPr>
      <w:r>
        <w:tab/>
      </w:r>
      <w:r w:rsidRPr="006947A1">
        <w:rPr>
          <w:rFonts w:eastAsia="Arial"/>
        </w:rPr>
        <w:t>Vertinant nepageidaujamus reiškiniu, g</w:t>
      </w:r>
      <w:r w:rsidRPr="006947A1">
        <w:t xml:space="preserve">ydymas </w:t>
      </w:r>
      <w:proofErr w:type="spellStart"/>
      <w:r w:rsidRPr="006947A1">
        <w:t>sacituzumabu</w:t>
      </w:r>
      <w:proofErr w:type="spellEnd"/>
      <w:r w:rsidRPr="006947A1">
        <w:t xml:space="preserve"> </w:t>
      </w:r>
      <w:proofErr w:type="spellStart"/>
      <w:r w:rsidRPr="006947A1">
        <w:t>govitekanu</w:t>
      </w:r>
      <w:proofErr w:type="spellEnd"/>
      <w:r w:rsidRPr="006947A1">
        <w:t xml:space="preserve">, lyginant su chemoterapija, neparodė statistiškai reikšmingai blogesnių ar geresnių gyvenimo kokybės, skausmo ar nuovargio rodiklių, vertinant </w:t>
      </w:r>
      <w:r w:rsidRPr="00BB1563">
        <w:rPr>
          <w:u w:val="single"/>
        </w:rPr>
        <w:t>pacientų praneštas baigtis</w:t>
      </w:r>
      <w:r w:rsidRPr="006947A1">
        <w:t xml:space="preserve">. </w:t>
      </w:r>
      <w:r w:rsidRPr="006947A1">
        <w:rPr>
          <w:rFonts w:eastAsia="Arial"/>
        </w:rPr>
        <w:t xml:space="preserve">NP atitiko PCS </w:t>
      </w:r>
      <w:r w:rsidRPr="00BB1563">
        <w:rPr>
          <w:rFonts w:eastAsia="Arial"/>
          <w:u w:val="single"/>
        </w:rPr>
        <w:t>saugumo</w:t>
      </w:r>
      <w:r w:rsidRPr="006947A1">
        <w:rPr>
          <w:rFonts w:eastAsia="Arial"/>
        </w:rPr>
        <w:t xml:space="preserve"> duomenis, TROPiCS-02 esant registraciniam tyrimui.</w:t>
      </w:r>
    </w:p>
    <w:p w14:paraId="60D0A171" w14:textId="77777777" w:rsidR="004537D0" w:rsidRPr="006947A1" w:rsidRDefault="004537D0" w:rsidP="004537D0">
      <w:pPr>
        <w:spacing w:line="276" w:lineRule="auto"/>
        <w:ind w:firstLine="720"/>
        <w:jc w:val="both"/>
      </w:pPr>
      <w:r w:rsidRPr="006947A1">
        <w:rPr>
          <w:rFonts w:eastAsia="Arial"/>
        </w:rPr>
        <w:t xml:space="preserve">Apibendrinant, detalus klinikinis vertinimas, parodė, kad </w:t>
      </w:r>
      <w:proofErr w:type="spellStart"/>
      <w:r w:rsidRPr="006947A1">
        <w:rPr>
          <w:rFonts w:eastAsia="Arial"/>
        </w:rPr>
        <w:t>sacituzumas</w:t>
      </w:r>
      <w:proofErr w:type="spellEnd"/>
      <w:r w:rsidRPr="006947A1">
        <w:rPr>
          <w:rFonts w:eastAsia="Arial"/>
        </w:rPr>
        <w:t xml:space="preserve"> </w:t>
      </w:r>
      <w:proofErr w:type="spellStart"/>
      <w:r w:rsidRPr="006947A1">
        <w:rPr>
          <w:rFonts w:eastAsia="Arial"/>
        </w:rPr>
        <w:t>govitekanas</w:t>
      </w:r>
      <w:proofErr w:type="spellEnd"/>
      <w:r w:rsidRPr="006947A1">
        <w:rPr>
          <w:rFonts w:eastAsia="Arial"/>
        </w:rPr>
        <w:t xml:space="preserve">, kurio </w:t>
      </w:r>
      <w:proofErr w:type="spellStart"/>
      <w:r w:rsidRPr="006947A1">
        <w:rPr>
          <w:rFonts w:eastAsia="Arial"/>
        </w:rPr>
        <w:t>monoterapija</w:t>
      </w:r>
      <w:proofErr w:type="spellEnd"/>
      <w:r w:rsidRPr="006947A1">
        <w:rPr>
          <w:rFonts w:eastAsia="Arial"/>
        </w:rPr>
        <w:t xml:space="preserve"> skirta suaugusių pacientų, sergančių neoperuotinu ar </w:t>
      </w:r>
      <w:proofErr w:type="spellStart"/>
      <w:r w:rsidRPr="006947A1">
        <w:rPr>
          <w:rFonts w:eastAsia="Arial"/>
        </w:rPr>
        <w:t>metastazavusiu</w:t>
      </w:r>
      <w:proofErr w:type="spellEnd"/>
      <w:r w:rsidRPr="006947A1">
        <w:rPr>
          <w:rFonts w:eastAsia="Arial"/>
        </w:rPr>
        <w:t xml:space="preserve"> HR+/HER2- </w:t>
      </w:r>
      <w:r w:rsidRPr="006947A1">
        <w:rPr>
          <w:rFonts w:eastAsia="Arial"/>
        </w:rPr>
        <w:lastRenderedPageBreak/>
        <w:t>krūties vėžiu, gydymui, kuriems anksčiau buvo taikyta endokrininė terapija ir bent dvi papildomos sisteminės terapijos nuo išplitusio vėžio, lyginant su įprastiniu gydymu chemoterapija, pasižymėjo kliniškai geresniais rezultatais</w:t>
      </w:r>
      <w:r>
        <w:rPr>
          <w:rFonts w:eastAsia="Arial"/>
        </w:rPr>
        <w:t>. G</w:t>
      </w:r>
      <w:r w:rsidRPr="006947A1">
        <w:t>ydymas SG 34 proc. statistiškai reikšmingai sumažino IBPL įvykių tikimybę (ligos progresijos ir mirties dėl bet kokios priežasties tikimybę), lyginant su gydymu chemoterapija</w:t>
      </w:r>
      <w:r>
        <w:t>, o mirties rizika, taikant gydymą SG yra mažesnė 21 proc., lyginant su gydymu chemoterapija.</w:t>
      </w:r>
    </w:p>
    <w:p w14:paraId="3ECE5088" w14:textId="77777777" w:rsidR="004537D0" w:rsidRPr="00BB11EF" w:rsidRDefault="004537D0" w:rsidP="004537D0">
      <w:pPr>
        <w:spacing w:line="276" w:lineRule="auto"/>
        <w:jc w:val="both"/>
        <w:rPr>
          <w:iCs/>
        </w:rPr>
      </w:pPr>
      <w:r>
        <w:rPr>
          <w:rFonts w:eastAsia="Arial"/>
          <w:i/>
          <w:color w:val="00B050"/>
        </w:rPr>
        <w:tab/>
      </w:r>
      <w:r w:rsidRPr="00BB11EF">
        <w:rPr>
          <w:rFonts w:eastAsia="Arial"/>
          <w:iCs/>
        </w:rPr>
        <w:t xml:space="preserve">Remiantis šiais duomenimis, </w:t>
      </w:r>
      <w:proofErr w:type="spellStart"/>
      <w:r w:rsidRPr="00BB11EF">
        <w:rPr>
          <w:rFonts w:eastAsia="Arial"/>
          <w:iCs/>
        </w:rPr>
        <w:t>sacituzumabo</w:t>
      </w:r>
      <w:proofErr w:type="spellEnd"/>
      <w:r w:rsidRPr="00BB11EF">
        <w:rPr>
          <w:rFonts w:eastAsia="Arial"/>
          <w:iCs/>
        </w:rPr>
        <w:t xml:space="preserve"> </w:t>
      </w:r>
      <w:proofErr w:type="spellStart"/>
      <w:r w:rsidRPr="00BB11EF">
        <w:rPr>
          <w:rFonts w:eastAsia="Arial"/>
          <w:iCs/>
        </w:rPr>
        <w:t>govitekano</w:t>
      </w:r>
      <w:proofErr w:type="spellEnd"/>
      <w:r w:rsidRPr="00BB11EF">
        <w:rPr>
          <w:rFonts w:eastAsia="Arial"/>
          <w:iCs/>
        </w:rPr>
        <w:t xml:space="preserve"> palyginamasis efektyvumas yra įvertintas, kaip didesnis, o klinikinis veiksmingumas </w:t>
      </w:r>
      <w:r w:rsidRPr="00BB11EF">
        <w:rPr>
          <w:iCs/>
        </w:rPr>
        <w:t>yra įvertintas kaip pagrindžiantis papildomos naudos pacientų sveikatai sukūrimą, lyginant su įprasta klinikine praktika.</w:t>
      </w:r>
    </w:p>
    <w:p w14:paraId="489A2E3C" w14:textId="77777777" w:rsidR="004537D0" w:rsidRDefault="004537D0" w:rsidP="004537D0">
      <w:pPr>
        <w:tabs>
          <w:tab w:val="left" w:pos="567"/>
        </w:tabs>
        <w:rPr>
          <w:b/>
          <w:bCs/>
          <w:caps/>
        </w:rPr>
      </w:pPr>
    </w:p>
    <w:p w14:paraId="574D3486" w14:textId="77777777" w:rsidR="004537D0" w:rsidRPr="004537D0" w:rsidRDefault="004537D0" w:rsidP="004537D0">
      <w:pPr>
        <w:tabs>
          <w:tab w:val="left" w:pos="567"/>
        </w:tabs>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2FC05D7E" w14:textId="4CEDE9C7" w:rsidR="002E6F80" w:rsidRDefault="002E6F80" w:rsidP="002E6F80">
      <w:pPr>
        <w:tabs>
          <w:tab w:val="left" w:pos="284"/>
        </w:tabs>
        <w:rPr>
          <w:bCs/>
          <w:i/>
          <w:caps/>
          <w:sz w:val="22"/>
          <w:szCs w:val="22"/>
        </w:rPr>
      </w:pPr>
    </w:p>
    <w:p w14:paraId="34EE57F2" w14:textId="77777777" w:rsidR="007F2928" w:rsidRPr="003B28BF" w:rsidRDefault="007F2928" w:rsidP="007F2928">
      <w:pPr>
        <w:spacing w:line="276" w:lineRule="auto"/>
        <w:ind w:firstLine="567"/>
        <w:jc w:val="both"/>
        <w:rPr>
          <w:rFonts w:eastAsia="Arial"/>
        </w:rPr>
      </w:pPr>
      <w:r w:rsidRPr="00CD1CFC">
        <w:rPr>
          <w:rFonts w:eastAsia="Arial"/>
        </w:rPr>
        <w:t xml:space="preserve">Trodelvy </w:t>
      </w:r>
      <w:proofErr w:type="spellStart"/>
      <w:r w:rsidRPr="00CD1CFC">
        <w:rPr>
          <w:rFonts w:eastAsia="Arial"/>
        </w:rPr>
        <w:t>monoterapija</w:t>
      </w:r>
      <w:proofErr w:type="spellEnd"/>
      <w:r w:rsidRPr="00CD1CFC">
        <w:rPr>
          <w:rFonts w:eastAsia="Arial"/>
        </w:rPr>
        <w:t xml:space="preserve"> skirta suaugusių pacientų, sergančių neoperuotinu ar </w:t>
      </w:r>
      <w:proofErr w:type="spellStart"/>
      <w:r w:rsidRPr="00CD1CFC">
        <w:rPr>
          <w:rFonts w:eastAsia="Arial"/>
        </w:rPr>
        <w:t>metastazavusiu</w:t>
      </w:r>
      <w:proofErr w:type="spellEnd"/>
      <w:r w:rsidRPr="00CD1CFC">
        <w:rPr>
          <w:rFonts w:eastAsia="Arial"/>
        </w:rPr>
        <w:t xml:space="preserve"> hormonų receptoriams (HR) teigiamu, HER2 neigiamu krūties vėžiu, gydymui, kuriems anksčiau buvo taikyta endokrininė terapija ir bent dvi papildomos sisteminės terapijos nuo išplitusio vėžio (C50). </w:t>
      </w:r>
      <w:r>
        <w:rPr>
          <w:rFonts w:eastAsia="Arial"/>
        </w:rPr>
        <w:t xml:space="preserve">Indikaciją atitinkančios populiacijos </w:t>
      </w:r>
      <w:r w:rsidRPr="00CD1CFC">
        <w:rPr>
          <w:iCs/>
          <w:lang w:eastAsia="lt-LT"/>
        </w:rPr>
        <w:t>pacientų</w:t>
      </w:r>
      <w:r>
        <w:rPr>
          <w:iCs/>
          <w:lang w:eastAsia="lt-LT"/>
        </w:rPr>
        <w:t xml:space="preserve"> lygmens</w:t>
      </w:r>
      <w:r w:rsidRPr="00CD1CFC">
        <w:rPr>
          <w:iCs/>
          <w:lang w:eastAsia="lt-LT"/>
        </w:rPr>
        <w:t xml:space="preserve"> duomenys </w:t>
      </w:r>
      <w:r>
        <w:rPr>
          <w:iCs/>
          <w:lang w:eastAsia="lt-LT"/>
        </w:rPr>
        <w:t xml:space="preserve">kaštų analizėje </w:t>
      </w:r>
      <w:r w:rsidRPr="00CD1CFC">
        <w:rPr>
          <w:iCs/>
          <w:lang w:eastAsia="lt-LT"/>
        </w:rPr>
        <w:t xml:space="preserve">įtraukti </w:t>
      </w:r>
      <w:r w:rsidRPr="003B28BF">
        <w:rPr>
          <w:iCs/>
          <w:lang w:eastAsia="lt-LT"/>
        </w:rPr>
        <w:t xml:space="preserve">remiantis </w:t>
      </w:r>
      <w:r w:rsidRPr="003B28BF">
        <w:rPr>
          <w:rFonts w:eastAsia="Arial"/>
          <w:bCs/>
        </w:rPr>
        <w:t>TROPiCS-02 klinikinio tyrimo duomenimis (ITT populiacija).</w:t>
      </w:r>
    </w:p>
    <w:p w14:paraId="36B0BB3A" w14:textId="77777777" w:rsidR="007F2928" w:rsidRPr="003B28BF" w:rsidRDefault="007F2928" w:rsidP="007F2928">
      <w:pPr>
        <w:spacing w:line="276" w:lineRule="auto"/>
        <w:ind w:firstLine="567"/>
        <w:jc w:val="both"/>
        <w:rPr>
          <w:bCs/>
          <w:iCs/>
          <w:lang w:eastAsia="lt-LT"/>
        </w:rPr>
      </w:pPr>
      <w:r w:rsidRPr="003B28BF">
        <w:rPr>
          <w:bCs/>
          <w:iCs/>
          <w:lang w:eastAsia="lt-LT"/>
        </w:rPr>
        <w:t>Kaštų naudingumo analizėje (toliau – KNA) taikomas g</w:t>
      </w:r>
      <w:r w:rsidRPr="003B28BF">
        <w:rPr>
          <w:rFonts w:eastAsia="Arial"/>
          <w:bCs/>
          <w:iCs/>
        </w:rPr>
        <w:t xml:space="preserve">ydytojo pasirenkamas geriausias palyginamasis gydymas – </w:t>
      </w:r>
      <w:proofErr w:type="spellStart"/>
      <w:r w:rsidRPr="003B28BF">
        <w:rPr>
          <w:rFonts w:eastAsia="Arial"/>
          <w:bCs/>
          <w:iCs/>
        </w:rPr>
        <w:t>eribulinas</w:t>
      </w:r>
      <w:proofErr w:type="spellEnd"/>
      <w:r w:rsidRPr="003B28BF">
        <w:rPr>
          <w:rFonts w:eastAsia="Arial"/>
          <w:bCs/>
          <w:iCs/>
        </w:rPr>
        <w:t xml:space="preserve"> (remiantis klinikinės praktikos ekspertų nuomone bei atitinka įprastą gydymo praktiką Lietuvoje).</w:t>
      </w:r>
    </w:p>
    <w:p w14:paraId="350B7185" w14:textId="77777777" w:rsidR="007F2928" w:rsidRPr="003B28BF" w:rsidRDefault="007F2928" w:rsidP="007F2928">
      <w:pPr>
        <w:spacing w:line="276" w:lineRule="auto"/>
        <w:ind w:firstLine="567"/>
        <w:jc w:val="both"/>
      </w:pPr>
      <w:r w:rsidRPr="003B28BF">
        <w:rPr>
          <w:rFonts w:eastAsia="Arial"/>
          <w:bCs/>
        </w:rPr>
        <w:t xml:space="preserve">Klinikiniai </w:t>
      </w:r>
      <w:proofErr w:type="spellStart"/>
      <w:r w:rsidRPr="003B28BF">
        <w:rPr>
          <w:rFonts w:eastAsia="Arial"/>
          <w:bCs/>
        </w:rPr>
        <w:t>sacituzumabo</w:t>
      </w:r>
      <w:proofErr w:type="spellEnd"/>
      <w:r w:rsidRPr="003B28BF">
        <w:rPr>
          <w:rFonts w:eastAsia="Arial"/>
          <w:bCs/>
        </w:rPr>
        <w:t xml:space="preserve"> </w:t>
      </w:r>
      <w:proofErr w:type="spellStart"/>
      <w:r w:rsidRPr="003B28BF">
        <w:rPr>
          <w:rFonts w:eastAsia="Arial"/>
          <w:bCs/>
        </w:rPr>
        <w:t>govitekano</w:t>
      </w:r>
      <w:proofErr w:type="spellEnd"/>
      <w:r w:rsidRPr="003B28BF">
        <w:rPr>
          <w:rFonts w:eastAsia="Arial"/>
          <w:bCs/>
        </w:rPr>
        <w:t xml:space="preserve"> duomenys KNA įtraukti remiantis 3 fazės, </w:t>
      </w:r>
      <w:proofErr w:type="spellStart"/>
      <w:r w:rsidRPr="003B28BF">
        <w:rPr>
          <w:rFonts w:eastAsia="Arial"/>
          <w:bCs/>
        </w:rPr>
        <w:t>daugiacentrio</w:t>
      </w:r>
      <w:proofErr w:type="spellEnd"/>
      <w:r w:rsidRPr="003B28BF">
        <w:rPr>
          <w:rFonts w:eastAsia="Arial"/>
          <w:bCs/>
        </w:rPr>
        <w:t>, atviro, atsitiktinių imčių klinikinio tyrimo TROPiCS-02 duomenimis.</w:t>
      </w:r>
      <w:r w:rsidRPr="003B28BF">
        <w:rPr>
          <w:bCs/>
          <w:lang w:eastAsia="lt-LT"/>
        </w:rPr>
        <w:t xml:space="preserve"> Klinikiniai įrodymai, naudojami ekonominio vertinimo dalyje, atitinka teikiamus klinikinėje dalyje, kuriais remiantis:</w:t>
      </w:r>
      <w:r w:rsidRPr="003B28BF">
        <w:rPr>
          <w:rFonts w:eastAsia="Arial"/>
          <w:iCs/>
        </w:rPr>
        <w:t xml:space="preserve"> </w:t>
      </w:r>
      <w:proofErr w:type="spellStart"/>
      <w:r w:rsidRPr="003B28BF">
        <w:rPr>
          <w:rFonts w:eastAsia="Arial"/>
          <w:iCs/>
        </w:rPr>
        <w:t>sacituzumabo</w:t>
      </w:r>
      <w:proofErr w:type="spellEnd"/>
      <w:r w:rsidRPr="003B28BF">
        <w:rPr>
          <w:rFonts w:eastAsia="Arial"/>
          <w:iCs/>
        </w:rPr>
        <w:t xml:space="preserve"> </w:t>
      </w:r>
      <w:proofErr w:type="spellStart"/>
      <w:r w:rsidRPr="003B28BF">
        <w:rPr>
          <w:rFonts w:eastAsia="Arial"/>
          <w:iCs/>
        </w:rPr>
        <w:t>govitekano</w:t>
      </w:r>
      <w:proofErr w:type="spellEnd"/>
      <w:r w:rsidRPr="003B28BF">
        <w:rPr>
          <w:rFonts w:eastAsia="Arial"/>
          <w:iCs/>
        </w:rPr>
        <w:t xml:space="preserve"> palyginamasis efektyvumas yra įvertintas, kaip didesnis, o klinikinis veiksmingumas </w:t>
      </w:r>
      <w:r w:rsidRPr="003B28BF">
        <w:rPr>
          <w:iCs/>
        </w:rPr>
        <w:t>yra įvertintas kaip pagrindžiantis papildomos naudos pacientų sveikatai sukūrimą, lyginant su įprasta klinikine praktika.</w:t>
      </w:r>
    </w:p>
    <w:p w14:paraId="130EBFCE" w14:textId="16224D05" w:rsidR="007F2928" w:rsidRPr="00E61D05" w:rsidRDefault="007F2928" w:rsidP="007F2928">
      <w:pPr>
        <w:spacing w:line="276" w:lineRule="auto"/>
        <w:ind w:firstLine="567"/>
        <w:jc w:val="both"/>
        <w:rPr>
          <w:color w:val="000000"/>
          <w:lang w:eastAsia="lt-LT"/>
        </w:rPr>
      </w:pPr>
      <w:r w:rsidRPr="004A6684">
        <w:rPr>
          <w:bCs/>
          <w:lang w:eastAsia="lt-LT"/>
        </w:rPr>
        <w:t>Ekonominėje analizėje taikoma ilgesnė (</w:t>
      </w:r>
      <w:r w:rsidR="009742A1">
        <w:rPr>
          <w:bCs/>
          <w:lang w:eastAsia="lt-LT"/>
        </w:rPr>
        <w:t xml:space="preserve"> </w:t>
      </w:r>
      <w:r w:rsidR="000F458C">
        <w:rPr>
          <w:bCs/>
          <w:lang w:eastAsia="lt-LT"/>
        </w:rPr>
        <w:t>***</w:t>
      </w:r>
      <w:r w:rsidRPr="004A6684">
        <w:rPr>
          <w:bCs/>
          <w:lang w:eastAsia="lt-LT"/>
        </w:rPr>
        <w:t xml:space="preserve"> m.) laiko perspektyva, besitęsianti po klinikinio tyrimo stebėsenos pabaigos</w:t>
      </w:r>
      <w:r>
        <w:rPr>
          <w:bCs/>
          <w:lang w:eastAsia="lt-LT"/>
        </w:rPr>
        <w:t xml:space="preserve"> </w:t>
      </w:r>
      <w:r w:rsidRPr="00E61D05">
        <w:rPr>
          <w:bCs/>
          <w:lang w:eastAsia="lt-LT"/>
        </w:rPr>
        <w:t>(</w:t>
      </w:r>
      <w:r w:rsidRPr="00E61D05">
        <w:t>Tarnyba laiko, kad tai pakankamas laikotarpis sveikatai sukuriamai naudai ir kaštams užfiksuoti (bloga ligos prognozė: stebimas trumpas išgyvenamumas, po klinikinio tyrimo pabaigos maža dalis pacientų likę gyvi))</w:t>
      </w:r>
      <w:r w:rsidRPr="00E61D05">
        <w:rPr>
          <w:bCs/>
          <w:lang w:eastAsia="lt-LT"/>
        </w:rPr>
        <w:t>.</w:t>
      </w:r>
      <w:r>
        <w:rPr>
          <w:bCs/>
          <w:lang w:eastAsia="lt-LT"/>
        </w:rPr>
        <w:t xml:space="preserve"> </w:t>
      </w:r>
      <w:r w:rsidRPr="00196B92">
        <w:t xml:space="preserve">Tarnyba </w:t>
      </w:r>
      <w:r>
        <w:t xml:space="preserve">sutinka su </w:t>
      </w:r>
      <w:r w:rsidRPr="002D47DD">
        <w:t xml:space="preserve">Pareiškėju dėl </w:t>
      </w:r>
      <w:r w:rsidRPr="00E61D05">
        <w:t>IBLP (</w:t>
      </w:r>
      <w:proofErr w:type="spellStart"/>
      <w:r w:rsidRPr="00E61D05">
        <w:rPr>
          <w:color w:val="000000" w:themeColor="text1"/>
        </w:rPr>
        <w:t>Kaplan-Meyer</w:t>
      </w:r>
      <w:proofErr w:type="spellEnd"/>
      <w:r w:rsidRPr="00E61D05">
        <w:rPr>
          <w:color w:val="000000" w:themeColor="text1"/>
        </w:rPr>
        <w:t xml:space="preserve"> + </w:t>
      </w:r>
      <w:proofErr w:type="spellStart"/>
      <w:r w:rsidRPr="00E61D05">
        <w:rPr>
          <w:color w:val="000000" w:themeColor="text1"/>
        </w:rPr>
        <w:t>log-normal</w:t>
      </w:r>
      <w:proofErr w:type="spellEnd"/>
      <w:r w:rsidRPr="00E61D05">
        <w:rPr>
          <w:color w:val="000000" w:themeColor="text1"/>
        </w:rPr>
        <w:t xml:space="preserve"> (nuo </w:t>
      </w:r>
      <w:r w:rsidR="000F458C">
        <w:rPr>
          <w:color w:val="000000" w:themeColor="text1"/>
        </w:rPr>
        <w:t>***</w:t>
      </w:r>
      <w:r w:rsidRPr="00E61D05">
        <w:rPr>
          <w:color w:val="000000" w:themeColor="text1"/>
        </w:rPr>
        <w:t xml:space="preserve"> mėn.)</w:t>
      </w:r>
      <w:r>
        <w:rPr>
          <w:color w:val="000000" w:themeColor="text1"/>
        </w:rPr>
        <w:t>)</w:t>
      </w:r>
      <w:r w:rsidRPr="00E61D05">
        <w:t xml:space="preserve"> ir gydymo trukmės (KM+ eksponentinis (nuo </w:t>
      </w:r>
      <w:r w:rsidR="000F458C">
        <w:t>***</w:t>
      </w:r>
      <w:r w:rsidRPr="00E61D05">
        <w:t xml:space="preserve"> mėn.</w:t>
      </w:r>
      <w:r w:rsidRPr="002D47DD">
        <w:t xml:space="preserve"> (stebėjimo trukmė))</w:t>
      </w:r>
      <w:r>
        <w:t>)</w:t>
      </w:r>
      <w:r w:rsidRPr="002D47DD">
        <w:t xml:space="preserve"> taikomo modeliavimo, tačiau </w:t>
      </w:r>
      <w:r w:rsidRPr="002D47DD">
        <w:rPr>
          <w:color w:val="000000"/>
          <w:lang w:eastAsia="lt-LT"/>
        </w:rPr>
        <w:t xml:space="preserve">Tarnyba vertina, kad Pareiškėjo taikomos prielaidos, vertinant efektyvumo skirtumus tarp siūlomo ir palyginamojo gydymo ilgajame laikotarpyje yra nepilnai pagrįstos dėl bendrojo išgyvenamumo duomenų ekstrapoliacijos (BI nėra </w:t>
      </w:r>
      <w:proofErr w:type="spellStart"/>
      <w:r w:rsidRPr="002D47DD">
        <w:rPr>
          <w:color w:val="000000"/>
          <w:lang w:eastAsia="lt-LT"/>
        </w:rPr>
        <w:t>validuojami</w:t>
      </w:r>
      <w:proofErr w:type="spellEnd"/>
      <w:r w:rsidRPr="002D47DD">
        <w:rPr>
          <w:color w:val="000000"/>
          <w:lang w:eastAsia="lt-LT"/>
        </w:rPr>
        <w:t xml:space="preserve"> išoriniais</w:t>
      </w:r>
      <w:r>
        <w:rPr>
          <w:color w:val="000000"/>
          <w:lang w:eastAsia="lt-LT"/>
        </w:rPr>
        <w:t xml:space="preserve"> literatūros šaltiniais (ilgalaikiais klinikiniais duomenimis). Į</w:t>
      </w:r>
      <w:r w:rsidRPr="002D47DD">
        <w:rPr>
          <w:color w:val="000000"/>
          <w:lang w:eastAsia="lt-LT"/>
        </w:rPr>
        <w:t xml:space="preserve">prastinėje atvejo analizėje </w:t>
      </w:r>
      <w:r w:rsidRPr="003E1FD4">
        <w:rPr>
          <w:color w:val="000000"/>
          <w:lang w:eastAsia="lt-LT"/>
        </w:rPr>
        <w:t>BI</w:t>
      </w:r>
      <w:r>
        <w:rPr>
          <w:color w:val="000000"/>
          <w:lang w:eastAsia="lt-LT"/>
        </w:rPr>
        <w:t xml:space="preserve"> </w:t>
      </w:r>
      <w:r w:rsidRPr="002D47DD">
        <w:rPr>
          <w:color w:val="000000"/>
          <w:lang w:eastAsia="lt-LT"/>
        </w:rPr>
        <w:t>taiko</w:t>
      </w:r>
      <w:r>
        <w:rPr>
          <w:color w:val="000000"/>
          <w:lang w:eastAsia="lt-LT"/>
        </w:rPr>
        <w:t>mas</w:t>
      </w:r>
      <w:r w:rsidRPr="002D47DD">
        <w:rPr>
          <w:color w:val="000000"/>
          <w:lang w:eastAsia="lt-LT"/>
        </w:rPr>
        <w:t xml:space="preserve"> </w:t>
      </w:r>
      <w:proofErr w:type="spellStart"/>
      <w:r w:rsidRPr="002D47DD">
        <w:rPr>
          <w:color w:val="000000"/>
          <w:lang w:eastAsia="lt-LT"/>
        </w:rPr>
        <w:t>pesim</w:t>
      </w:r>
      <w:r>
        <w:rPr>
          <w:color w:val="000000"/>
          <w:lang w:eastAsia="lt-LT"/>
        </w:rPr>
        <w:t>estiškesnius</w:t>
      </w:r>
      <w:proofErr w:type="spellEnd"/>
      <w:r>
        <w:rPr>
          <w:color w:val="000000"/>
          <w:lang w:eastAsia="lt-LT"/>
        </w:rPr>
        <w:t xml:space="preserve"> rezultatus </w:t>
      </w:r>
      <w:r w:rsidRPr="00E61D05">
        <w:rPr>
          <w:color w:val="000000"/>
          <w:lang w:eastAsia="lt-LT"/>
        </w:rPr>
        <w:t xml:space="preserve">lemiantis </w:t>
      </w:r>
      <w:proofErr w:type="spellStart"/>
      <w:r w:rsidRPr="00E61D05">
        <w:rPr>
          <w:color w:val="000000"/>
          <w:lang w:eastAsia="lt-LT"/>
        </w:rPr>
        <w:t>gamma</w:t>
      </w:r>
      <w:proofErr w:type="spellEnd"/>
      <w:r w:rsidRPr="00E61D05">
        <w:rPr>
          <w:color w:val="000000"/>
          <w:lang w:eastAsia="lt-LT"/>
        </w:rPr>
        <w:t xml:space="preserve"> modeliavimas</w:t>
      </w:r>
      <w:r>
        <w:rPr>
          <w:color w:val="000000"/>
          <w:lang w:eastAsia="lt-LT"/>
        </w:rPr>
        <w:t xml:space="preserve"> (</w:t>
      </w:r>
      <w:r w:rsidRPr="002D47DD">
        <w:rPr>
          <w:color w:val="000000"/>
          <w:lang w:eastAsia="lt-LT"/>
        </w:rPr>
        <w:t>remiantis Lietuvos klinikinės praktikos ekspertų nuomone apie tikėtinus pacientų išgyvenamumo duomenis penkerių ir dešimties metų laikotarpiu</w:t>
      </w:r>
      <w:r>
        <w:rPr>
          <w:color w:val="000000"/>
          <w:lang w:eastAsia="lt-LT"/>
        </w:rPr>
        <w:t xml:space="preserve"> bei rodo didžiausią atitiktį pagal AIC/BIC informacinius kriterijus)</w:t>
      </w:r>
      <w:r w:rsidRPr="002D47DD">
        <w:rPr>
          <w:color w:val="000000"/>
          <w:lang w:eastAsia="lt-LT"/>
        </w:rPr>
        <w:t>.</w:t>
      </w:r>
      <w:r>
        <w:rPr>
          <w:color w:val="000000"/>
          <w:lang w:eastAsia="lt-LT"/>
        </w:rPr>
        <w:t xml:space="preserve"> </w:t>
      </w:r>
      <w:r w:rsidRPr="00E61D05">
        <w:rPr>
          <w:bCs/>
          <w:lang w:eastAsia="lt-LT"/>
        </w:rPr>
        <w:t xml:space="preserve">Pareiškėjo taikomas </w:t>
      </w:r>
      <w:r w:rsidRPr="00E61D05">
        <w:rPr>
          <w:lang w:eastAsia="lt-LT"/>
        </w:rPr>
        <w:t>padalintos kohortos išgyvenamumo trijų sveikatos būklių modeliavimas laikomas tinkamu ir priimtinu.</w:t>
      </w:r>
    </w:p>
    <w:p w14:paraId="37E0F610" w14:textId="77777777" w:rsidR="007F2928" w:rsidRPr="00196B92" w:rsidRDefault="007F2928" w:rsidP="007F2928">
      <w:pPr>
        <w:spacing w:line="276" w:lineRule="auto"/>
        <w:ind w:firstLine="567"/>
        <w:jc w:val="both"/>
      </w:pPr>
      <w:r>
        <w:t xml:space="preserve">KNA taikomi gyvenimo kokybės įverčiai pagrįsti </w:t>
      </w:r>
      <w:r w:rsidRPr="000F797C">
        <w:t>TROPiCS-02</w:t>
      </w:r>
      <w:r>
        <w:rPr>
          <w:spacing w:val="-1"/>
        </w:rPr>
        <w:t xml:space="preserve"> </w:t>
      </w:r>
      <w:r>
        <w:t xml:space="preserve">klinikinio tyrimo metu surinktais duomenimis. </w:t>
      </w:r>
      <w:r w:rsidRPr="000F797C">
        <w:t xml:space="preserve">Su sveikata susijusi gyvenimo kokybė (angl. </w:t>
      </w:r>
      <w:proofErr w:type="spellStart"/>
      <w:r w:rsidRPr="00E61D05">
        <w:rPr>
          <w:i/>
          <w:iCs/>
        </w:rPr>
        <w:t>Health</w:t>
      </w:r>
      <w:proofErr w:type="spellEnd"/>
      <w:r w:rsidRPr="00E61D05">
        <w:rPr>
          <w:i/>
          <w:iCs/>
        </w:rPr>
        <w:t xml:space="preserve"> </w:t>
      </w:r>
      <w:proofErr w:type="spellStart"/>
      <w:r w:rsidRPr="00E61D05">
        <w:rPr>
          <w:i/>
          <w:iCs/>
        </w:rPr>
        <w:t>realated</w:t>
      </w:r>
      <w:proofErr w:type="spellEnd"/>
      <w:r w:rsidRPr="00E61D05">
        <w:rPr>
          <w:i/>
          <w:iCs/>
        </w:rPr>
        <w:t xml:space="preserve"> </w:t>
      </w:r>
      <w:proofErr w:type="spellStart"/>
      <w:r w:rsidRPr="00E61D05">
        <w:rPr>
          <w:i/>
          <w:iCs/>
        </w:rPr>
        <w:t>quality</w:t>
      </w:r>
      <w:proofErr w:type="spellEnd"/>
      <w:r w:rsidRPr="00E61D05">
        <w:rPr>
          <w:i/>
          <w:iCs/>
        </w:rPr>
        <w:t xml:space="preserve"> </w:t>
      </w:r>
      <w:proofErr w:type="spellStart"/>
      <w:r w:rsidRPr="00E61D05">
        <w:rPr>
          <w:i/>
          <w:iCs/>
        </w:rPr>
        <w:t>of</w:t>
      </w:r>
      <w:proofErr w:type="spellEnd"/>
      <w:r w:rsidRPr="00E61D05">
        <w:rPr>
          <w:i/>
          <w:iCs/>
        </w:rPr>
        <w:t xml:space="preserve"> </w:t>
      </w:r>
      <w:proofErr w:type="spellStart"/>
      <w:r w:rsidRPr="00E61D05">
        <w:rPr>
          <w:i/>
          <w:iCs/>
        </w:rPr>
        <w:t>life</w:t>
      </w:r>
      <w:proofErr w:type="spellEnd"/>
      <w:r w:rsidRPr="00E61D05">
        <w:rPr>
          <w:i/>
          <w:iCs/>
        </w:rPr>
        <w:t xml:space="preserve">, </w:t>
      </w:r>
      <w:proofErr w:type="spellStart"/>
      <w:r w:rsidRPr="00E61D05">
        <w:rPr>
          <w:i/>
        </w:rPr>
        <w:t>HRQoL</w:t>
      </w:r>
      <w:proofErr w:type="spellEnd"/>
      <w:r w:rsidRPr="000F797C">
        <w:t>) TROPiCS-02</w:t>
      </w:r>
      <w:r w:rsidRPr="000F797C">
        <w:rPr>
          <w:spacing w:val="-1"/>
        </w:rPr>
        <w:t xml:space="preserve"> </w:t>
      </w:r>
      <w:r w:rsidRPr="000F797C">
        <w:t xml:space="preserve"> </w:t>
      </w:r>
      <w:r w:rsidRPr="003B28BF">
        <w:t xml:space="preserve">klinikiniame tyrime buvo įvertinta pagal ligai specifišką EORTC QLQ-C30 klausimyną. KNA taikomi gyvenimo kokybės koeficientai nespecifiški gydymui (angl., </w:t>
      </w:r>
      <w:proofErr w:type="spellStart"/>
      <w:r w:rsidRPr="003B28BF">
        <w:rPr>
          <w:i/>
        </w:rPr>
        <w:t>pooled</w:t>
      </w:r>
      <w:proofErr w:type="spellEnd"/>
      <w:r w:rsidRPr="003B28BF">
        <w:t xml:space="preserve">, </w:t>
      </w:r>
      <w:proofErr w:type="spellStart"/>
      <w:r w:rsidRPr="003B28BF">
        <w:t>t.y</w:t>
      </w:r>
      <w:proofErr w:type="spellEnd"/>
      <w:r w:rsidRPr="003B28BF">
        <w:t xml:space="preserve">. priklausomi tik nuo ligos progreso), adaptuojama dėl nepageidaujamo poveikio. Tarnyba vertina, kad </w:t>
      </w:r>
      <w:r w:rsidRPr="003B28BF">
        <w:lastRenderedPageBreak/>
        <w:t xml:space="preserve">gyvenimo kokybės įverčiai priklausomai nuo taikomo gydymo nesiskiria. </w:t>
      </w:r>
      <w:r w:rsidRPr="003B28BF">
        <w:rPr>
          <w:rFonts w:eastAsia="Arial"/>
          <w:bCs/>
        </w:rPr>
        <w:t xml:space="preserve">Atsižvelgiama ir į tai, kad taikomo gydymo įtaka yra įvertinama įtraukiant su gydymu susijusius gyvenimo kokybės praradimus dėl nepageidaujamų reiškinių (angl. </w:t>
      </w:r>
      <w:proofErr w:type="spellStart"/>
      <w:r w:rsidRPr="003E1FD4">
        <w:rPr>
          <w:rFonts w:eastAsia="Arial"/>
          <w:bCs/>
          <w:i/>
        </w:rPr>
        <w:t>disutilities</w:t>
      </w:r>
      <w:proofErr w:type="spellEnd"/>
      <w:r w:rsidRPr="003B28BF">
        <w:rPr>
          <w:rFonts w:eastAsia="Arial"/>
          <w:bCs/>
        </w:rPr>
        <w:t>).</w:t>
      </w:r>
    </w:p>
    <w:p w14:paraId="4C4C8E71" w14:textId="6FDE50E4" w:rsidR="007F2928" w:rsidRPr="00096D2F" w:rsidRDefault="007F2928" w:rsidP="007F2928">
      <w:pPr>
        <w:spacing w:line="276" w:lineRule="auto"/>
        <w:ind w:firstLine="567"/>
        <w:jc w:val="both"/>
        <w:rPr>
          <w:lang w:eastAsia="lt-LT"/>
        </w:rPr>
      </w:pPr>
      <w:r w:rsidRPr="00E61D05">
        <w:rPr>
          <w:iCs/>
          <w:lang w:eastAsia="lt-LT"/>
        </w:rPr>
        <w:t xml:space="preserve">Tarnyba </w:t>
      </w:r>
      <w:r w:rsidRPr="00096D2F">
        <w:rPr>
          <w:iCs/>
          <w:lang w:eastAsia="lt-LT"/>
        </w:rPr>
        <w:t xml:space="preserve">vertina, kad ne visi kaštai KNA apskaičiuoti  tinkamai: Pareiškėjas vertinant sveikatos būklių kaštus įtraukia </w:t>
      </w:r>
      <w:r w:rsidRPr="00096D2F">
        <w:rPr>
          <w:lang w:eastAsia="lt-LT"/>
        </w:rPr>
        <w:t xml:space="preserve">hospitalizacijos ir būtinosios/skubios pagalbos paslaugas, tačiau </w:t>
      </w:r>
      <w:r w:rsidRPr="00096D2F">
        <w:rPr>
          <w:iCs/>
          <w:lang w:eastAsia="lt-LT"/>
        </w:rPr>
        <w:t>duomenis neadaptuoja pagal Lietuvos sveikatos priežiūros paslaugas ir įkainius (vadovaujamasi literatūros šaltiniais).</w:t>
      </w:r>
      <w:r w:rsidRPr="00096D2F">
        <w:rPr>
          <w:lang w:eastAsia="lt-LT"/>
        </w:rPr>
        <w:t xml:space="preserve"> Įprastinėje atvejo analizėje a</w:t>
      </w:r>
      <w:r w:rsidRPr="00096D2F">
        <w:t xml:space="preserve">tnaujinami ASPP įkainiai (įskaitant DRG) ir vaistinių preparatų kainos pagal 2025 m. I </w:t>
      </w:r>
      <w:proofErr w:type="spellStart"/>
      <w:r w:rsidRPr="00096D2F">
        <w:t>pusm</w:t>
      </w:r>
      <w:proofErr w:type="spellEnd"/>
      <w:r w:rsidRPr="00096D2F">
        <w:t xml:space="preserve">. kainyno duomenis; Taikoma Pareiškėjo teikiama ir apskaičiuota faktinė bazinė </w:t>
      </w:r>
      <w:proofErr w:type="spellStart"/>
      <w:r w:rsidRPr="00096D2F">
        <w:rPr>
          <w:rFonts w:eastAsia="Arial"/>
        </w:rPr>
        <w:t>sacituzumabo</w:t>
      </w:r>
      <w:proofErr w:type="spellEnd"/>
      <w:r w:rsidRPr="00096D2F">
        <w:rPr>
          <w:rFonts w:eastAsia="Arial"/>
        </w:rPr>
        <w:t xml:space="preserve"> </w:t>
      </w:r>
      <w:proofErr w:type="spellStart"/>
      <w:r w:rsidRPr="00096D2F">
        <w:rPr>
          <w:rFonts w:eastAsia="Arial"/>
        </w:rPr>
        <w:t>govitekano</w:t>
      </w:r>
      <w:proofErr w:type="spellEnd"/>
      <w:r w:rsidRPr="00096D2F">
        <w:rPr>
          <w:rFonts w:eastAsia="Arial"/>
        </w:rPr>
        <w:t xml:space="preserve"> </w:t>
      </w:r>
      <w:r w:rsidRPr="00096D2F">
        <w:t>kaina</w:t>
      </w:r>
      <w:r w:rsidRPr="00096D2F">
        <w:rPr>
          <w:rFonts w:eastAsia="Arial"/>
        </w:rPr>
        <w:t xml:space="preserve"> (be </w:t>
      </w:r>
      <w:r w:rsidR="003F4714">
        <w:rPr>
          <w:rFonts w:eastAsia="Arial"/>
        </w:rPr>
        <w:t>***</w:t>
      </w:r>
      <w:r>
        <w:rPr>
          <w:rFonts w:eastAsia="Arial"/>
        </w:rPr>
        <w:t xml:space="preserve">) </w:t>
      </w:r>
      <w:r w:rsidRPr="00096D2F">
        <w:rPr>
          <w:rFonts w:eastAsia="Arial"/>
        </w:rPr>
        <w:t>ir konfidenciali palyginamojo kaina (VLK duomenys).</w:t>
      </w:r>
    </w:p>
    <w:p w14:paraId="30015B98" w14:textId="4DD1C801" w:rsidR="007F2928" w:rsidRDefault="007F2928" w:rsidP="007F2928">
      <w:pPr>
        <w:spacing w:line="276" w:lineRule="auto"/>
        <w:ind w:firstLine="567"/>
        <w:jc w:val="both"/>
      </w:pPr>
      <w:r>
        <w:t>Vertinant rezultatus matyti, kad</w:t>
      </w:r>
      <w:r w:rsidRPr="00096D2F">
        <w:t xml:space="preserve"> vieną didžiausių įtakų KNA</w:t>
      </w:r>
      <w:r>
        <w:t xml:space="preserve"> taikomų prielaidų turi dozės adaptavimo prielaidos: </w:t>
      </w:r>
      <w:r w:rsidRPr="00196B92">
        <w:t xml:space="preserve">Tarnyba įprastinėje atvejo analizėje taiko </w:t>
      </w:r>
      <w:r w:rsidR="001C19C5">
        <w:t>***</w:t>
      </w:r>
      <w:r w:rsidRPr="00196B92">
        <w:t xml:space="preserve"> proc. santykinį dozės intensyvumą (angl. </w:t>
      </w:r>
      <w:proofErr w:type="spellStart"/>
      <w:r w:rsidRPr="00E61D05">
        <w:rPr>
          <w:i/>
        </w:rPr>
        <w:t>relative</w:t>
      </w:r>
      <w:proofErr w:type="spellEnd"/>
      <w:r w:rsidRPr="00E61D05">
        <w:rPr>
          <w:i/>
        </w:rPr>
        <w:t xml:space="preserve"> </w:t>
      </w:r>
      <w:proofErr w:type="spellStart"/>
      <w:r w:rsidRPr="00E61D05">
        <w:rPr>
          <w:i/>
        </w:rPr>
        <w:t>dose</w:t>
      </w:r>
      <w:proofErr w:type="spellEnd"/>
      <w:r w:rsidRPr="00E61D05">
        <w:rPr>
          <w:i/>
        </w:rPr>
        <w:t xml:space="preserve"> </w:t>
      </w:r>
      <w:proofErr w:type="spellStart"/>
      <w:r w:rsidRPr="00E61D05">
        <w:rPr>
          <w:i/>
        </w:rPr>
        <w:t>intensity</w:t>
      </w:r>
      <w:proofErr w:type="spellEnd"/>
      <w:r w:rsidRPr="00E61D05">
        <w:rPr>
          <w:i/>
        </w:rPr>
        <w:t>, RDI</w:t>
      </w:r>
      <w:r w:rsidRPr="00196B92">
        <w:t>) atsižvelgiant, kad nėra duomenų, koks suvartojimas būtų skiriant Lietuvoje priklausomai nuo Lietuvos sveikatos sistemos ypatumų ir vadovau</w:t>
      </w:r>
      <w:r>
        <w:t>jantis VPCS). Taip pat netaikomos</w:t>
      </w:r>
      <w:r w:rsidRPr="00196B92">
        <w:t xml:space="preserve"> dozės buteliukų dalijimo </w:t>
      </w:r>
      <w:r>
        <w:t xml:space="preserve">(angl. </w:t>
      </w:r>
      <w:proofErr w:type="spellStart"/>
      <w:r w:rsidRPr="00E61D05">
        <w:rPr>
          <w:i/>
        </w:rPr>
        <w:t>wastage</w:t>
      </w:r>
      <w:proofErr w:type="spellEnd"/>
      <w:r w:rsidRPr="00E61D05">
        <w:rPr>
          <w:i/>
        </w:rPr>
        <w:t xml:space="preserve"> </w:t>
      </w:r>
      <w:proofErr w:type="spellStart"/>
      <w:r w:rsidRPr="00E61D05">
        <w:rPr>
          <w:i/>
        </w:rPr>
        <w:t>included</w:t>
      </w:r>
      <w:proofErr w:type="spellEnd"/>
      <w:r>
        <w:t xml:space="preserve">) ir </w:t>
      </w:r>
      <w:r>
        <w:rPr>
          <w:iCs/>
          <w:lang w:eastAsia="lt-LT"/>
        </w:rPr>
        <w:t xml:space="preserve">vaisto vartojimo atidėjimo (angl. </w:t>
      </w:r>
      <w:proofErr w:type="spellStart"/>
      <w:r w:rsidRPr="00E61D05">
        <w:rPr>
          <w:i/>
          <w:iCs/>
          <w:lang w:eastAsia="lt-LT"/>
        </w:rPr>
        <w:t>dose</w:t>
      </w:r>
      <w:proofErr w:type="spellEnd"/>
      <w:r w:rsidRPr="00E61D05">
        <w:rPr>
          <w:i/>
          <w:iCs/>
          <w:lang w:eastAsia="lt-LT"/>
        </w:rPr>
        <w:t xml:space="preserve"> </w:t>
      </w:r>
      <w:proofErr w:type="spellStart"/>
      <w:r w:rsidRPr="00E61D05">
        <w:rPr>
          <w:i/>
          <w:iCs/>
          <w:lang w:eastAsia="lt-LT"/>
        </w:rPr>
        <w:t>delay</w:t>
      </w:r>
      <w:proofErr w:type="spellEnd"/>
      <w:r>
        <w:rPr>
          <w:iCs/>
          <w:lang w:eastAsia="lt-LT"/>
        </w:rPr>
        <w:t>) prielaidos.</w:t>
      </w:r>
    </w:p>
    <w:p w14:paraId="0F7F6710" w14:textId="52F438EC" w:rsidR="00E066F0" w:rsidRDefault="00E066F0" w:rsidP="00E066F0">
      <w:pPr>
        <w:spacing w:line="276" w:lineRule="auto"/>
        <w:ind w:firstLine="567"/>
        <w:jc w:val="center"/>
        <w:rPr>
          <w:iCs/>
          <w:lang w:eastAsia="lt-LT"/>
        </w:rPr>
      </w:pPr>
    </w:p>
    <w:p w14:paraId="5830EB32" w14:textId="77777777" w:rsidR="00E066F0" w:rsidRPr="00E33EFF" w:rsidRDefault="00E066F0" w:rsidP="00E066F0">
      <w:pPr>
        <w:tabs>
          <w:tab w:val="left" w:pos="426"/>
        </w:tabs>
        <w:jc w:val="center"/>
        <w:rPr>
          <w:b/>
          <w:lang w:eastAsia="lt-LT"/>
        </w:rPr>
      </w:pPr>
      <w:r w:rsidRPr="00E33EFF">
        <w:rPr>
          <w:b/>
          <w:lang w:eastAsia="lt-LT"/>
        </w:rPr>
        <w:t>Ekonominės analizės rezultatas</w:t>
      </w:r>
    </w:p>
    <w:p w14:paraId="67BBC9BC" w14:textId="77777777" w:rsidR="00E066F0" w:rsidRPr="00E33EFF" w:rsidRDefault="00E066F0" w:rsidP="00E066F0">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E066F0" w:rsidRPr="00E33EFF" w14:paraId="1DD56254" w14:textId="77777777" w:rsidTr="00684D28">
        <w:trPr>
          <w:trHeight w:val="344"/>
          <w:jc w:val="center"/>
        </w:trPr>
        <w:tc>
          <w:tcPr>
            <w:tcW w:w="9439" w:type="dxa"/>
            <w:gridSpan w:val="2"/>
            <w:tcBorders>
              <w:top w:val="single" w:sz="12" w:space="0" w:color="auto"/>
              <w:left w:val="single" w:sz="4" w:space="0" w:color="auto"/>
              <w:right w:val="single" w:sz="4" w:space="0" w:color="auto"/>
            </w:tcBorders>
            <w:vAlign w:val="center"/>
          </w:tcPr>
          <w:p w14:paraId="2A3712B5" w14:textId="77777777" w:rsidR="00E066F0" w:rsidRPr="00E33EFF" w:rsidRDefault="00E066F0" w:rsidP="00684D28">
            <w:pPr>
              <w:tabs>
                <w:tab w:val="left" w:pos="567"/>
              </w:tabs>
              <w:jc w:val="center"/>
              <w:rPr>
                <w:b/>
                <w:bCs/>
                <w:sz w:val="26"/>
                <w:szCs w:val="26"/>
                <w:lang w:eastAsia="lt-LT"/>
              </w:rPr>
            </w:pPr>
            <w:r w:rsidRPr="00E33EFF">
              <w:rPr>
                <w:b/>
                <w:bCs/>
                <w:sz w:val="26"/>
                <w:szCs w:val="26"/>
                <w:lang w:eastAsia="lt-LT"/>
              </w:rPr>
              <w:t>Rezultatai</w:t>
            </w:r>
          </w:p>
        </w:tc>
      </w:tr>
      <w:tr w:rsidR="00E066F0" w:rsidRPr="00E33EFF" w14:paraId="1814738B" w14:textId="77777777" w:rsidTr="00E066F0">
        <w:trPr>
          <w:trHeight w:val="267"/>
          <w:jc w:val="center"/>
        </w:trPr>
        <w:tc>
          <w:tcPr>
            <w:tcW w:w="6200" w:type="dxa"/>
            <w:tcBorders>
              <w:left w:val="single" w:sz="4" w:space="0" w:color="auto"/>
            </w:tcBorders>
          </w:tcPr>
          <w:p w14:paraId="1E29E950" w14:textId="77777777" w:rsidR="00E066F0" w:rsidRPr="00E066F0" w:rsidRDefault="00E066F0" w:rsidP="00E066F0">
            <w:pPr>
              <w:tabs>
                <w:tab w:val="left" w:pos="567"/>
              </w:tabs>
              <w:jc w:val="right"/>
              <w:rPr>
                <w:iCs/>
                <w:lang w:eastAsia="lt-LT"/>
              </w:rPr>
            </w:pPr>
            <w:r w:rsidRPr="00E066F0">
              <w:rPr>
                <w:iCs/>
                <w:lang w:eastAsia="lt-LT"/>
              </w:rPr>
              <w:t>Kaštų skirtumas</w:t>
            </w:r>
          </w:p>
        </w:tc>
        <w:tc>
          <w:tcPr>
            <w:tcW w:w="3239" w:type="dxa"/>
            <w:tcBorders>
              <w:right w:val="single" w:sz="4" w:space="0" w:color="auto"/>
            </w:tcBorders>
            <w:vAlign w:val="bottom"/>
          </w:tcPr>
          <w:p w14:paraId="48E86FC3" w14:textId="4EEE701C" w:rsidR="00E066F0" w:rsidRPr="00E066F0" w:rsidRDefault="007F2928" w:rsidP="00E066F0">
            <w:pPr>
              <w:tabs>
                <w:tab w:val="left" w:pos="567"/>
              </w:tabs>
              <w:jc w:val="both"/>
              <w:rPr>
                <w:i/>
                <w:iCs/>
                <w:lang w:eastAsia="lt-LT"/>
              </w:rPr>
            </w:pPr>
            <w:r>
              <w:rPr>
                <w:color w:val="000000"/>
              </w:rPr>
              <w:t>*****</w:t>
            </w:r>
            <w:r w:rsidR="00E066F0" w:rsidRPr="00E066F0">
              <w:rPr>
                <w:color w:val="000000"/>
              </w:rPr>
              <w:t xml:space="preserve"> Eur.</w:t>
            </w:r>
          </w:p>
        </w:tc>
      </w:tr>
      <w:tr w:rsidR="00E066F0" w:rsidRPr="00E33EFF" w14:paraId="16931D83" w14:textId="77777777" w:rsidTr="00E066F0">
        <w:trPr>
          <w:trHeight w:val="267"/>
          <w:jc w:val="center"/>
        </w:trPr>
        <w:tc>
          <w:tcPr>
            <w:tcW w:w="6200" w:type="dxa"/>
            <w:tcBorders>
              <w:left w:val="single" w:sz="4" w:space="0" w:color="auto"/>
            </w:tcBorders>
          </w:tcPr>
          <w:p w14:paraId="63A15DF5" w14:textId="77777777" w:rsidR="00E066F0" w:rsidRPr="00E066F0" w:rsidRDefault="00E066F0" w:rsidP="00E066F0">
            <w:pPr>
              <w:tabs>
                <w:tab w:val="left" w:pos="567"/>
              </w:tabs>
              <w:jc w:val="right"/>
              <w:rPr>
                <w:iCs/>
                <w:lang w:eastAsia="lt-LT"/>
              </w:rPr>
            </w:pPr>
            <w:r w:rsidRPr="00E066F0">
              <w:rPr>
                <w:iCs/>
                <w:lang w:eastAsia="lt-LT"/>
              </w:rPr>
              <w:t>Papildomi gyvenimo metai (LY)</w:t>
            </w:r>
          </w:p>
        </w:tc>
        <w:tc>
          <w:tcPr>
            <w:tcW w:w="3239" w:type="dxa"/>
            <w:tcBorders>
              <w:right w:val="single" w:sz="4" w:space="0" w:color="auto"/>
            </w:tcBorders>
            <w:vAlign w:val="bottom"/>
          </w:tcPr>
          <w:p w14:paraId="409E5E44" w14:textId="6AE14253" w:rsidR="00E066F0" w:rsidRPr="00E066F0" w:rsidRDefault="001C19C5" w:rsidP="00E066F0">
            <w:pPr>
              <w:tabs>
                <w:tab w:val="left" w:pos="567"/>
              </w:tabs>
              <w:jc w:val="both"/>
              <w:rPr>
                <w:i/>
                <w:iCs/>
                <w:lang w:eastAsia="lt-LT"/>
              </w:rPr>
            </w:pPr>
            <w:r>
              <w:rPr>
                <w:i/>
                <w:iCs/>
              </w:rPr>
              <w:t>****</w:t>
            </w:r>
          </w:p>
        </w:tc>
      </w:tr>
      <w:tr w:rsidR="00E066F0" w:rsidRPr="00E33EFF" w14:paraId="05D332D1" w14:textId="77777777" w:rsidTr="00E066F0">
        <w:trPr>
          <w:trHeight w:val="267"/>
          <w:jc w:val="center"/>
        </w:trPr>
        <w:tc>
          <w:tcPr>
            <w:tcW w:w="6200" w:type="dxa"/>
            <w:tcBorders>
              <w:left w:val="single" w:sz="4" w:space="0" w:color="auto"/>
            </w:tcBorders>
          </w:tcPr>
          <w:p w14:paraId="24DFF705" w14:textId="77777777" w:rsidR="00E066F0" w:rsidRPr="00E066F0" w:rsidRDefault="00E066F0" w:rsidP="00E066F0">
            <w:pPr>
              <w:tabs>
                <w:tab w:val="left" w:pos="567"/>
              </w:tabs>
              <w:jc w:val="right"/>
              <w:rPr>
                <w:iCs/>
                <w:lang w:eastAsia="lt-LT"/>
              </w:rPr>
            </w:pPr>
            <w:r w:rsidRPr="00E066F0">
              <w:rPr>
                <w:iCs/>
                <w:lang w:eastAsia="lt-LT"/>
              </w:rPr>
              <w:t>Papildomi kokybiški gyvenimo metai (QALY)</w:t>
            </w:r>
          </w:p>
        </w:tc>
        <w:tc>
          <w:tcPr>
            <w:tcW w:w="3239" w:type="dxa"/>
            <w:tcBorders>
              <w:right w:val="single" w:sz="4" w:space="0" w:color="auto"/>
            </w:tcBorders>
            <w:vAlign w:val="bottom"/>
          </w:tcPr>
          <w:p w14:paraId="3F1438C8" w14:textId="5D145098" w:rsidR="00E066F0" w:rsidRPr="00E066F0" w:rsidRDefault="001C19C5" w:rsidP="00E066F0">
            <w:pPr>
              <w:tabs>
                <w:tab w:val="left" w:pos="567"/>
              </w:tabs>
              <w:jc w:val="both"/>
              <w:rPr>
                <w:i/>
                <w:iCs/>
                <w:lang w:eastAsia="lt-LT"/>
              </w:rPr>
            </w:pPr>
            <w:r>
              <w:rPr>
                <w:i/>
                <w:iCs/>
              </w:rPr>
              <w:t>****</w:t>
            </w:r>
          </w:p>
        </w:tc>
      </w:tr>
      <w:tr w:rsidR="00E066F0" w:rsidRPr="00E33EFF" w14:paraId="55440E96" w14:textId="77777777" w:rsidTr="00E066F0">
        <w:trPr>
          <w:trHeight w:val="267"/>
          <w:jc w:val="center"/>
        </w:trPr>
        <w:tc>
          <w:tcPr>
            <w:tcW w:w="6200" w:type="dxa"/>
            <w:tcBorders>
              <w:left w:val="single" w:sz="4" w:space="0" w:color="auto"/>
            </w:tcBorders>
          </w:tcPr>
          <w:p w14:paraId="12512D75" w14:textId="77777777" w:rsidR="00E066F0" w:rsidRPr="00E066F0" w:rsidRDefault="00E066F0" w:rsidP="00E066F0">
            <w:pPr>
              <w:tabs>
                <w:tab w:val="left" w:pos="567"/>
              </w:tabs>
              <w:jc w:val="right"/>
              <w:rPr>
                <w:iCs/>
                <w:lang w:eastAsia="lt-LT"/>
              </w:rPr>
            </w:pPr>
            <w:r w:rsidRPr="00E066F0">
              <w:rPr>
                <w:iCs/>
                <w:lang w:eastAsia="lt-LT"/>
              </w:rPr>
              <w:t>ICER už LY</w:t>
            </w:r>
          </w:p>
        </w:tc>
        <w:tc>
          <w:tcPr>
            <w:tcW w:w="3239" w:type="dxa"/>
            <w:tcBorders>
              <w:right w:val="single" w:sz="4" w:space="0" w:color="auto"/>
            </w:tcBorders>
            <w:vAlign w:val="bottom"/>
          </w:tcPr>
          <w:p w14:paraId="4F499774" w14:textId="46287B26" w:rsidR="00E066F0" w:rsidRPr="00E066F0" w:rsidRDefault="007F2928" w:rsidP="00E066F0">
            <w:pPr>
              <w:tabs>
                <w:tab w:val="left" w:pos="567"/>
              </w:tabs>
              <w:jc w:val="both"/>
              <w:rPr>
                <w:i/>
                <w:iCs/>
                <w:lang w:eastAsia="lt-LT"/>
              </w:rPr>
            </w:pPr>
            <w:r>
              <w:rPr>
                <w:color w:val="000000"/>
              </w:rPr>
              <w:t>*****</w:t>
            </w:r>
            <w:r w:rsidR="00E066F0" w:rsidRPr="00E066F0">
              <w:rPr>
                <w:color w:val="000000"/>
              </w:rPr>
              <w:t xml:space="preserve"> Eur./LY</w:t>
            </w:r>
          </w:p>
        </w:tc>
      </w:tr>
      <w:tr w:rsidR="00E066F0" w:rsidRPr="00E33EFF" w14:paraId="75F3AFCA" w14:textId="77777777" w:rsidTr="00E066F0">
        <w:trPr>
          <w:trHeight w:val="267"/>
          <w:jc w:val="center"/>
        </w:trPr>
        <w:tc>
          <w:tcPr>
            <w:tcW w:w="6200" w:type="dxa"/>
            <w:tcBorders>
              <w:left w:val="single" w:sz="4" w:space="0" w:color="auto"/>
            </w:tcBorders>
          </w:tcPr>
          <w:p w14:paraId="2EF07B57" w14:textId="77777777" w:rsidR="00E066F0" w:rsidRPr="00E066F0" w:rsidRDefault="00E066F0" w:rsidP="00E066F0">
            <w:pPr>
              <w:tabs>
                <w:tab w:val="left" w:pos="567"/>
              </w:tabs>
              <w:jc w:val="right"/>
              <w:rPr>
                <w:iCs/>
                <w:lang w:eastAsia="lt-LT"/>
              </w:rPr>
            </w:pPr>
            <w:r w:rsidRPr="00E066F0">
              <w:rPr>
                <w:iCs/>
                <w:lang w:eastAsia="lt-LT"/>
              </w:rPr>
              <w:t>ICER už QALY</w:t>
            </w:r>
          </w:p>
        </w:tc>
        <w:tc>
          <w:tcPr>
            <w:tcW w:w="3239" w:type="dxa"/>
            <w:tcBorders>
              <w:right w:val="single" w:sz="4" w:space="0" w:color="auto"/>
            </w:tcBorders>
            <w:vAlign w:val="bottom"/>
          </w:tcPr>
          <w:p w14:paraId="5AB89331" w14:textId="3A08BFC7" w:rsidR="00E066F0" w:rsidRPr="00E066F0" w:rsidRDefault="007F2928" w:rsidP="00E066F0">
            <w:pPr>
              <w:tabs>
                <w:tab w:val="left" w:pos="567"/>
              </w:tabs>
              <w:jc w:val="both"/>
              <w:rPr>
                <w:i/>
                <w:iCs/>
                <w:lang w:eastAsia="lt-LT"/>
              </w:rPr>
            </w:pPr>
            <w:r>
              <w:rPr>
                <w:b/>
                <w:bCs/>
                <w:color w:val="000000"/>
              </w:rPr>
              <w:t>*****</w:t>
            </w:r>
            <w:r w:rsidR="00D73D0B">
              <w:rPr>
                <w:b/>
                <w:bCs/>
                <w:color w:val="000000"/>
              </w:rPr>
              <w:t xml:space="preserve"> </w:t>
            </w:r>
            <w:r w:rsidR="00E066F0" w:rsidRPr="00E066F0">
              <w:rPr>
                <w:b/>
                <w:bCs/>
                <w:color w:val="000000"/>
              </w:rPr>
              <w:t>Eur./QALY</w:t>
            </w:r>
          </w:p>
        </w:tc>
      </w:tr>
      <w:tr w:rsidR="00E066F0" w:rsidRPr="00E33EFF" w14:paraId="6D7B0554" w14:textId="77777777" w:rsidTr="00E066F0">
        <w:trPr>
          <w:trHeight w:val="267"/>
          <w:jc w:val="center"/>
        </w:trPr>
        <w:tc>
          <w:tcPr>
            <w:tcW w:w="6200" w:type="dxa"/>
            <w:tcBorders>
              <w:left w:val="single" w:sz="4" w:space="0" w:color="auto"/>
              <w:bottom w:val="single" w:sz="4" w:space="0" w:color="auto"/>
              <w:right w:val="single" w:sz="4" w:space="0" w:color="auto"/>
            </w:tcBorders>
          </w:tcPr>
          <w:p w14:paraId="20ABD54A" w14:textId="77777777" w:rsidR="00E066F0" w:rsidRPr="00E066F0" w:rsidRDefault="00E066F0" w:rsidP="00684D28">
            <w:pPr>
              <w:tabs>
                <w:tab w:val="left" w:pos="567"/>
              </w:tabs>
              <w:jc w:val="right"/>
              <w:rPr>
                <w:iCs/>
                <w:lang w:eastAsia="lt-LT"/>
              </w:rPr>
            </w:pPr>
            <w:r w:rsidRPr="00E066F0">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7B2249ED" w14:textId="16FD89AC" w:rsidR="00E066F0" w:rsidRPr="00E066F0" w:rsidRDefault="00BF679E" w:rsidP="00684D28">
            <w:pPr>
              <w:tabs>
                <w:tab w:val="left" w:pos="567"/>
              </w:tabs>
              <w:jc w:val="both"/>
              <w:rPr>
                <w:i/>
                <w:iCs/>
                <w:lang w:eastAsia="lt-LT"/>
              </w:rPr>
            </w:pPr>
            <w:r>
              <w:rPr>
                <w:lang w:eastAsia="lt-LT"/>
              </w:rPr>
              <w:t>**********</w:t>
            </w:r>
            <w:r w:rsidR="00E066F0" w:rsidRPr="00E066F0">
              <w:rPr>
                <w:lang w:eastAsia="lt-LT"/>
              </w:rPr>
              <w:t xml:space="preserve"> Eur.</w:t>
            </w:r>
          </w:p>
        </w:tc>
      </w:tr>
    </w:tbl>
    <w:p w14:paraId="238847A7" w14:textId="77777777" w:rsidR="00E066F0" w:rsidRPr="00E33EFF" w:rsidRDefault="00E066F0" w:rsidP="00E066F0">
      <w:pPr>
        <w:tabs>
          <w:tab w:val="left" w:pos="567"/>
        </w:tabs>
        <w:jc w:val="both"/>
        <w:rPr>
          <w:iCs/>
          <w:sz w:val="20"/>
          <w:lang w:eastAsia="lt-LT"/>
        </w:rPr>
      </w:pPr>
      <w:r w:rsidRPr="00E33EFF">
        <w:rPr>
          <w:iCs/>
          <w:sz w:val="20"/>
          <w:lang w:eastAsia="lt-LT"/>
        </w:rPr>
        <w:t>ICER – (</w:t>
      </w:r>
      <w:r w:rsidRPr="00E33EFF">
        <w:rPr>
          <w:i/>
          <w:sz w:val="20"/>
          <w:lang w:eastAsia="lt-LT"/>
        </w:rPr>
        <w:t xml:space="preserve">angl. </w:t>
      </w:r>
      <w:proofErr w:type="spellStart"/>
      <w:r w:rsidRPr="00E33EFF">
        <w:rPr>
          <w:i/>
          <w:sz w:val="20"/>
          <w:lang w:eastAsia="lt-LT"/>
        </w:rPr>
        <w:t>incremental</w:t>
      </w:r>
      <w:proofErr w:type="spellEnd"/>
      <w:r w:rsidRPr="00E33EFF">
        <w:rPr>
          <w:i/>
          <w:sz w:val="20"/>
          <w:lang w:eastAsia="lt-LT"/>
        </w:rPr>
        <w:t xml:space="preserve"> </w:t>
      </w:r>
      <w:proofErr w:type="spellStart"/>
      <w:r w:rsidRPr="00E33EFF">
        <w:rPr>
          <w:i/>
          <w:sz w:val="20"/>
          <w:lang w:eastAsia="lt-LT"/>
        </w:rPr>
        <w:t>cost-effectiveness</w:t>
      </w:r>
      <w:proofErr w:type="spellEnd"/>
      <w:r w:rsidRPr="00E33EFF">
        <w:rPr>
          <w:i/>
          <w:sz w:val="20"/>
          <w:lang w:eastAsia="lt-LT"/>
        </w:rPr>
        <w:t xml:space="preserve"> </w:t>
      </w:r>
      <w:proofErr w:type="spellStart"/>
      <w:r w:rsidRPr="00E33EFF">
        <w:rPr>
          <w:i/>
          <w:sz w:val="20"/>
          <w:lang w:eastAsia="lt-LT"/>
        </w:rPr>
        <w:t>ratio</w:t>
      </w:r>
      <w:proofErr w:type="spellEnd"/>
      <w:r w:rsidRPr="00E33EFF">
        <w:rPr>
          <w:iCs/>
          <w:sz w:val="20"/>
          <w:lang w:eastAsia="lt-LT"/>
        </w:rPr>
        <w:t xml:space="preserve">) </w:t>
      </w:r>
      <w:proofErr w:type="spellStart"/>
      <w:r w:rsidRPr="00E33EFF">
        <w:rPr>
          <w:iCs/>
          <w:sz w:val="20"/>
          <w:lang w:eastAsia="lt-LT"/>
        </w:rPr>
        <w:t>inkrementinis</w:t>
      </w:r>
      <w:proofErr w:type="spellEnd"/>
      <w:r w:rsidRPr="00E33EFF">
        <w:rPr>
          <w:iCs/>
          <w:sz w:val="20"/>
          <w:lang w:eastAsia="lt-LT"/>
        </w:rPr>
        <w:t xml:space="preserve"> kaštų naudingumo koeficientas; LY – (</w:t>
      </w:r>
      <w:r w:rsidRPr="00E33EFF">
        <w:rPr>
          <w:i/>
          <w:sz w:val="20"/>
          <w:lang w:eastAsia="lt-LT"/>
        </w:rPr>
        <w:t xml:space="preserve">angl. </w:t>
      </w:r>
      <w:proofErr w:type="spellStart"/>
      <w:r w:rsidRPr="00E33EFF">
        <w:rPr>
          <w:i/>
          <w:sz w:val="20"/>
          <w:lang w:eastAsia="lt-LT"/>
        </w:rPr>
        <w:t>life</w:t>
      </w:r>
      <w:proofErr w:type="spellEnd"/>
      <w:r w:rsidRPr="00E33EFF">
        <w:rPr>
          <w:i/>
          <w:sz w:val="20"/>
          <w:lang w:eastAsia="lt-LT"/>
        </w:rPr>
        <w:t xml:space="preserve"> </w:t>
      </w:r>
      <w:proofErr w:type="spellStart"/>
      <w:r w:rsidRPr="00E33EFF">
        <w:rPr>
          <w:i/>
          <w:sz w:val="20"/>
          <w:lang w:eastAsia="lt-LT"/>
        </w:rPr>
        <w:t>years</w:t>
      </w:r>
      <w:proofErr w:type="spellEnd"/>
      <w:r w:rsidRPr="00E33EFF">
        <w:rPr>
          <w:iCs/>
          <w:sz w:val="20"/>
          <w:lang w:eastAsia="lt-LT"/>
        </w:rPr>
        <w:t>) gyvenimo metai; QALY- (</w:t>
      </w:r>
      <w:r w:rsidRPr="00E33EFF">
        <w:rPr>
          <w:i/>
          <w:sz w:val="20"/>
          <w:lang w:eastAsia="lt-LT"/>
        </w:rPr>
        <w:t xml:space="preserve">angl. </w:t>
      </w:r>
      <w:proofErr w:type="spellStart"/>
      <w:r w:rsidRPr="00E33EFF">
        <w:rPr>
          <w:i/>
          <w:sz w:val="20"/>
          <w:lang w:eastAsia="lt-LT"/>
        </w:rPr>
        <w:t>quality</w:t>
      </w:r>
      <w:proofErr w:type="spellEnd"/>
      <w:r w:rsidRPr="00E33EFF">
        <w:rPr>
          <w:i/>
          <w:sz w:val="20"/>
          <w:lang w:eastAsia="lt-LT"/>
        </w:rPr>
        <w:t xml:space="preserve"> </w:t>
      </w:r>
      <w:proofErr w:type="spellStart"/>
      <w:r w:rsidRPr="00E33EFF">
        <w:rPr>
          <w:i/>
          <w:sz w:val="20"/>
          <w:lang w:eastAsia="lt-LT"/>
        </w:rPr>
        <w:t>adjusted</w:t>
      </w:r>
      <w:proofErr w:type="spellEnd"/>
      <w:r w:rsidRPr="00E33EFF">
        <w:rPr>
          <w:i/>
          <w:sz w:val="20"/>
          <w:lang w:eastAsia="lt-LT"/>
        </w:rPr>
        <w:t xml:space="preserve"> </w:t>
      </w:r>
      <w:proofErr w:type="spellStart"/>
      <w:r w:rsidRPr="00E33EFF">
        <w:rPr>
          <w:i/>
          <w:sz w:val="20"/>
          <w:lang w:eastAsia="lt-LT"/>
        </w:rPr>
        <w:t>life</w:t>
      </w:r>
      <w:proofErr w:type="spellEnd"/>
      <w:r w:rsidRPr="00E33EFF">
        <w:rPr>
          <w:i/>
          <w:sz w:val="20"/>
          <w:lang w:eastAsia="lt-LT"/>
        </w:rPr>
        <w:t xml:space="preserve"> </w:t>
      </w:r>
      <w:proofErr w:type="spellStart"/>
      <w:r w:rsidRPr="00E33EFF">
        <w:rPr>
          <w:i/>
          <w:sz w:val="20"/>
          <w:lang w:eastAsia="lt-LT"/>
        </w:rPr>
        <w:t>years</w:t>
      </w:r>
      <w:proofErr w:type="spellEnd"/>
      <w:r w:rsidRPr="00E33EFF">
        <w:rPr>
          <w:i/>
          <w:sz w:val="20"/>
          <w:lang w:eastAsia="lt-LT"/>
        </w:rPr>
        <w:t xml:space="preserve">) </w:t>
      </w:r>
      <w:r w:rsidRPr="00E33EFF">
        <w:rPr>
          <w:iCs/>
          <w:sz w:val="20"/>
          <w:lang w:eastAsia="lt-LT"/>
        </w:rPr>
        <w:t>kokybiški gyvenimo metai.</w:t>
      </w:r>
    </w:p>
    <w:p w14:paraId="7E389377" w14:textId="77777777" w:rsidR="00E066F0" w:rsidRDefault="00E066F0" w:rsidP="00E066F0">
      <w:pPr>
        <w:spacing w:line="276" w:lineRule="auto"/>
        <w:ind w:firstLine="567"/>
        <w:jc w:val="both"/>
      </w:pPr>
    </w:p>
    <w:p w14:paraId="36927D5A" w14:textId="67400A41" w:rsidR="007F2928" w:rsidRDefault="007F2928" w:rsidP="007F2928">
      <w:pPr>
        <w:spacing w:line="276" w:lineRule="auto"/>
        <w:ind w:firstLine="567"/>
        <w:jc w:val="both"/>
      </w:pPr>
      <w:r>
        <w:rPr>
          <w:color w:val="000000"/>
          <w:lang w:eastAsia="lt-LT"/>
        </w:rPr>
        <w:t xml:space="preserve">Gautais ekonominės analizės rezultatais, </w:t>
      </w:r>
      <w:proofErr w:type="spellStart"/>
      <w:r w:rsidRPr="00196B92">
        <w:rPr>
          <w:rFonts w:eastAsia="Arial"/>
          <w:bCs/>
          <w:lang w:eastAsia="lt-LT"/>
        </w:rPr>
        <w:t>sacituzumabo</w:t>
      </w:r>
      <w:proofErr w:type="spellEnd"/>
      <w:r w:rsidRPr="00196B92">
        <w:rPr>
          <w:rFonts w:eastAsia="Arial"/>
          <w:bCs/>
          <w:lang w:eastAsia="lt-LT"/>
        </w:rPr>
        <w:t xml:space="preserve"> </w:t>
      </w:r>
      <w:proofErr w:type="spellStart"/>
      <w:r w:rsidRPr="00196B92">
        <w:rPr>
          <w:rFonts w:eastAsia="Arial"/>
          <w:bCs/>
          <w:lang w:eastAsia="lt-LT"/>
        </w:rPr>
        <w:t>govitekaną</w:t>
      </w:r>
      <w:proofErr w:type="spellEnd"/>
      <w:r w:rsidRPr="00900580">
        <w:rPr>
          <w:rFonts w:eastAsia="Arial"/>
        </w:rPr>
        <w:t xml:space="preserve"> </w:t>
      </w:r>
      <w:r>
        <w:rPr>
          <w:rFonts w:eastAsia="Arial"/>
        </w:rPr>
        <w:t xml:space="preserve">skiriant </w:t>
      </w:r>
      <w:r w:rsidRPr="0003122B">
        <w:rPr>
          <w:rFonts w:eastAsia="Arial"/>
        </w:rPr>
        <w:t xml:space="preserve">suaugusių pacientų, sergančių neoperuotinu ar </w:t>
      </w:r>
      <w:proofErr w:type="spellStart"/>
      <w:r w:rsidRPr="0003122B">
        <w:rPr>
          <w:rFonts w:eastAsia="Arial"/>
        </w:rPr>
        <w:t>metastazavusiu</w:t>
      </w:r>
      <w:proofErr w:type="spellEnd"/>
      <w:r w:rsidRPr="0003122B">
        <w:rPr>
          <w:rFonts w:eastAsia="Arial"/>
        </w:rPr>
        <w:t xml:space="preserve"> hormonų receptoriams (HR) teigiamu, HER2 neigiamu krūties vėžiu, gydymui, kuriems anksčiau buvo taikyta endokrininė terapija ir bent dvi papildomos sisteminės terapijos nuo išplitusio vėžio</w:t>
      </w:r>
      <w:r>
        <w:rPr>
          <w:rFonts w:eastAsia="Arial"/>
        </w:rPr>
        <w:t xml:space="preserve"> gydymui</w:t>
      </w:r>
      <w:r w:rsidRPr="00377294">
        <w:rPr>
          <w:rFonts w:eastAsia="Arial"/>
        </w:rPr>
        <w:t xml:space="preserve"> </w:t>
      </w:r>
      <w:r w:rsidRPr="00196B92">
        <w:rPr>
          <w:lang w:eastAsia="lt-LT"/>
        </w:rPr>
        <w:t xml:space="preserve">(TLK-10-AM kodas – C50) lyginant su standartiniu gydymu: </w:t>
      </w:r>
      <w:r w:rsidRPr="00196B92">
        <w:rPr>
          <w:bCs/>
          <w:iCs/>
          <w:lang w:eastAsia="lt-LT"/>
        </w:rPr>
        <w:t>gydytojo parenkamu vaistiniu preparatu (</w:t>
      </w:r>
      <w:proofErr w:type="spellStart"/>
      <w:r w:rsidRPr="00196B92">
        <w:rPr>
          <w:bCs/>
          <w:iCs/>
          <w:lang w:eastAsia="lt-LT"/>
        </w:rPr>
        <w:t>eribulinas</w:t>
      </w:r>
      <w:proofErr w:type="spellEnd"/>
      <w:r>
        <w:rPr>
          <w:bCs/>
          <w:iCs/>
          <w:lang w:eastAsia="lt-LT"/>
        </w:rPr>
        <w:t xml:space="preserve">) </w:t>
      </w:r>
      <w:r w:rsidRPr="00196B92">
        <w:rPr>
          <w:bCs/>
          <w:iCs/>
          <w:lang w:eastAsia="lt-LT"/>
        </w:rPr>
        <w:t xml:space="preserve">ir vertinant </w:t>
      </w:r>
      <w:r w:rsidR="00BF679E">
        <w:rPr>
          <w:bCs/>
          <w:iCs/>
          <w:lang w:eastAsia="lt-LT"/>
        </w:rPr>
        <w:t>***</w:t>
      </w:r>
      <w:r w:rsidRPr="00196B92">
        <w:rPr>
          <w:bCs/>
          <w:iCs/>
          <w:lang w:eastAsia="lt-LT"/>
        </w:rPr>
        <w:t xml:space="preserve"> m. laikotar</w:t>
      </w:r>
      <w:r>
        <w:rPr>
          <w:bCs/>
          <w:iCs/>
          <w:lang w:eastAsia="lt-LT"/>
        </w:rPr>
        <w:t xml:space="preserve">piu yra išsaugomi papildomi </w:t>
      </w:r>
      <w:r w:rsidR="001C19C5">
        <w:rPr>
          <w:bCs/>
          <w:iCs/>
          <w:lang w:eastAsia="lt-LT"/>
        </w:rPr>
        <w:t>****</w:t>
      </w:r>
      <w:r w:rsidRPr="00196B92">
        <w:rPr>
          <w:bCs/>
          <w:iCs/>
          <w:lang w:eastAsia="lt-LT"/>
        </w:rPr>
        <w:t xml:space="preserve"> kokybiški gyvenimo metai, kurie lemia </w:t>
      </w:r>
      <w:r>
        <w:rPr>
          <w:bCs/>
          <w:color w:val="000000"/>
          <w:lang w:eastAsia="lt-LT"/>
        </w:rPr>
        <w:t>*****</w:t>
      </w:r>
      <w:r w:rsidRPr="00196B92">
        <w:rPr>
          <w:bCs/>
          <w:color w:val="000000"/>
          <w:lang w:eastAsia="lt-LT"/>
        </w:rPr>
        <w:t xml:space="preserve"> Eur. papildomas išlaidas ir a</w:t>
      </w:r>
      <w:r w:rsidRPr="00196B92">
        <w:rPr>
          <w:rFonts w:eastAsia="Arial"/>
          <w:lang w:eastAsia="lt-LT"/>
        </w:rPr>
        <w:t>pskaičiuotas ICER (</w:t>
      </w:r>
      <w:r>
        <w:rPr>
          <w:bCs/>
          <w:color w:val="000000"/>
        </w:rPr>
        <w:t>*****</w:t>
      </w:r>
      <w:r>
        <w:rPr>
          <w:b/>
          <w:bCs/>
          <w:color w:val="000000"/>
        </w:rPr>
        <w:t xml:space="preserve"> </w:t>
      </w:r>
      <w:r w:rsidRPr="00196B92">
        <w:rPr>
          <w:bCs/>
          <w:color w:val="000000"/>
          <w:lang w:eastAsia="lt-LT"/>
        </w:rPr>
        <w:t xml:space="preserve">Eur./QALY) </w:t>
      </w:r>
      <w:r w:rsidRPr="00196B92">
        <w:rPr>
          <w:bCs/>
          <w:lang w:eastAsia="lt-LT"/>
        </w:rPr>
        <w:t>neatitinka sunkiai ligos naštai taikomos referencinės kaštų naudingumo vertės (&gt;</w:t>
      </w:r>
      <w:r w:rsidR="001C19C5">
        <w:rPr>
          <w:lang w:eastAsia="lt-LT"/>
        </w:rPr>
        <w:t>*****</w:t>
      </w:r>
      <w:r w:rsidRPr="00196B92">
        <w:rPr>
          <w:lang w:eastAsia="lt-LT"/>
        </w:rPr>
        <w:t xml:space="preserve"> Eur.).</w:t>
      </w:r>
    </w:p>
    <w:p w14:paraId="2CDFAE87" w14:textId="3974FD1C" w:rsidR="007F2928" w:rsidRPr="009A73C6" w:rsidRDefault="007F2928" w:rsidP="007F2928">
      <w:pPr>
        <w:shd w:val="clear" w:color="auto" w:fill="FFFFFF"/>
        <w:spacing w:line="276" w:lineRule="auto"/>
        <w:ind w:firstLine="360"/>
        <w:jc w:val="both"/>
        <w:rPr>
          <w:i/>
          <w:color w:val="000000"/>
          <w:lang w:eastAsia="lt-LT"/>
        </w:rPr>
      </w:pPr>
      <w:r w:rsidRPr="009A73C6">
        <w:rPr>
          <w:i/>
          <w:color w:val="000000"/>
          <w:lang w:eastAsia="lt-LT"/>
        </w:rPr>
        <w:t xml:space="preserve">Siekiant, kad atitiktų referencinę kaštų naudingumo vertę, Trodelvy pakuotės kaina (skaičiuojant nuo KNA taikomos - </w:t>
      </w:r>
      <w:r w:rsidR="001C19C5">
        <w:rPr>
          <w:i/>
          <w:u w:val="single"/>
          <w:lang w:eastAsia="lt-LT"/>
        </w:rPr>
        <w:t>*******</w:t>
      </w:r>
      <w:r w:rsidRPr="009A73C6">
        <w:rPr>
          <w:i/>
          <w:u w:val="single"/>
          <w:lang w:eastAsia="lt-LT"/>
        </w:rPr>
        <w:t xml:space="preserve"> Eur</w:t>
      </w:r>
      <w:r w:rsidRPr="009A73C6">
        <w:rPr>
          <w:i/>
          <w:lang w:eastAsia="lt-LT"/>
        </w:rPr>
        <w:t xml:space="preserve">. (be </w:t>
      </w:r>
      <w:r w:rsidR="001C19C5">
        <w:rPr>
          <w:i/>
          <w:lang w:eastAsia="lt-LT"/>
        </w:rPr>
        <w:t>***</w:t>
      </w:r>
      <w:r w:rsidRPr="009A73C6">
        <w:rPr>
          <w:i/>
          <w:lang w:eastAsia="lt-LT"/>
        </w:rPr>
        <w:t xml:space="preserve">)) </w:t>
      </w:r>
      <w:r w:rsidRPr="009A73C6">
        <w:rPr>
          <w:i/>
          <w:color w:val="000000"/>
          <w:lang w:eastAsia="lt-LT"/>
        </w:rPr>
        <w:t xml:space="preserve">turi būti sumažinta ne mažiau </w:t>
      </w:r>
      <w:r w:rsidR="001C19C5">
        <w:rPr>
          <w:i/>
          <w:color w:val="000000"/>
          <w:lang w:eastAsia="lt-LT"/>
        </w:rPr>
        <w:t>***</w:t>
      </w:r>
      <w:r w:rsidRPr="009A73C6">
        <w:rPr>
          <w:i/>
          <w:color w:val="000000"/>
          <w:lang w:eastAsia="lt-LT"/>
        </w:rPr>
        <w:t xml:space="preserve"> proc. (</w:t>
      </w:r>
      <w:proofErr w:type="spellStart"/>
      <w:r w:rsidRPr="009A73C6">
        <w:rPr>
          <w:i/>
          <w:color w:val="000000"/>
          <w:lang w:eastAsia="lt-LT"/>
        </w:rPr>
        <w:t>t.y</w:t>
      </w:r>
      <w:proofErr w:type="spellEnd"/>
      <w:r w:rsidRPr="009A73C6">
        <w:rPr>
          <w:i/>
          <w:color w:val="000000"/>
          <w:lang w:eastAsia="lt-LT"/>
        </w:rPr>
        <w:t xml:space="preserve">. </w:t>
      </w:r>
      <w:r>
        <w:rPr>
          <w:i/>
          <w:color w:val="000000"/>
          <w:lang w:eastAsia="lt-LT"/>
        </w:rPr>
        <w:t xml:space="preserve">Trodelvy, </w:t>
      </w:r>
      <w:r w:rsidRPr="009A73C6">
        <w:rPr>
          <w:i/>
        </w:rPr>
        <w:t>200 mg milteliai infuzinio tirpalo koncentratui</w:t>
      </w:r>
      <w:r w:rsidRPr="009A73C6">
        <w:rPr>
          <w:i/>
          <w:color w:val="000000"/>
          <w:lang w:eastAsia="lt-LT"/>
        </w:rPr>
        <w:t xml:space="preserve"> pakuotės kaina</w:t>
      </w:r>
      <w:r>
        <w:rPr>
          <w:i/>
          <w:color w:val="000000"/>
          <w:lang w:eastAsia="lt-LT"/>
        </w:rPr>
        <w:t xml:space="preserve"> turi būti</w:t>
      </w:r>
      <w:r w:rsidRPr="009A73C6">
        <w:rPr>
          <w:i/>
          <w:color w:val="000000"/>
          <w:lang w:eastAsia="lt-LT"/>
        </w:rPr>
        <w:t xml:space="preserve"> ne didesnė nei </w:t>
      </w:r>
      <w:r w:rsidR="001C19C5">
        <w:rPr>
          <w:i/>
          <w:color w:val="000000"/>
          <w:lang w:eastAsia="lt-LT"/>
        </w:rPr>
        <w:t>****</w:t>
      </w:r>
      <w:r w:rsidRPr="009A73C6">
        <w:rPr>
          <w:i/>
          <w:color w:val="000000"/>
          <w:lang w:eastAsia="lt-LT"/>
        </w:rPr>
        <w:t xml:space="preserve"> Eur.).</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BF679E"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21952C0" w:rsidR="00937907" w:rsidRPr="00E33EFF" w:rsidRDefault="00BF679E"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BF679E"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6A77852" w:rsidR="00662983" w:rsidRPr="00E33EFF" w:rsidRDefault="00BF679E"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552C0C1C" w14:textId="5EB37543" w:rsidR="006C5CE1" w:rsidRPr="000203E1" w:rsidRDefault="006C5CE1" w:rsidP="006C5CE1">
      <w:pPr>
        <w:rPr>
          <w:i/>
          <w:szCs w:val="22"/>
        </w:rPr>
      </w:pPr>
    </w:p>
    <w:tbl>
      <w:tblPr>
        <w:tblStyle w:val="TableGrid"/>
        <w:tblW w:w="0" w:type="auto"/>
        <w:tblLook w:val="04A0" w:firstRow="1" w:lastRow="0" w:firstColumn="1" w:lastColumn="0" w:noHBand="0" w:noVBand="1"/>
      </w:tblPr>
      <w:tblGrid>
        <w:gridCol w:w="4815"/>
        <w:gridCol w:w="4814"/>
      </w:tblGrid>
      <w:tr w:rsidR="006C5CE1" w:rsidRPr="000203E1" w14:paraId="523E3854" w14:textId="77777777" w:rsidTr="00364A06">
        <w:trPr>
          <w:trHeight w:val="510"/>
        </w:trPr>
        <w:tc>
          <w:tcPr>
            <w:tcW w:w="9629" w:type="dxa"/>
            <w:gridSpan w:val="2"/>
            <w:vAlign w:val="center"/>
          </w:tcPr>
          <w:p w14:paraId="15D973DA"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0" w:name="_Hlk185374656"/>
            <w:r w:rsidRPr="000203E1">
              <w:rPr>
                <w:rStyle w:val="Style2"/>
                <w:rFonts w:eastAsia="MS Gothic"/>
                <w:b/>
                <w:bCs/>
                <w:sz w:val="24"/>
              </w:rPr>
              <w:t xml:space="preserve">Palyginamasis </w:t>
            </w:r>
            <w:r>
              <w:rPr>
                <w:rStyle w:val="Style2"/>
                <w:rFonts w:eastAsia="MS Gothic"/>
                <w:b/>
                <w:bCs/>
                <w:sz w:val="24"/>
              </w:rPr>
              <w:t>veiksmingumas</w:t>
            </w:r>
          </w:p>
        </w:tc>
      </w:tr>
      <w:tr w:rsidR="006C5CE1" w:rsidRPr="000203E1" w14:paraId="08F494EB" w14:textId="77777777" w:rsidTr="00364A06">
        <w:tc>
          <w:tcPr>
            <w:tcW w:w="4815" w:type="dxa"/>
          </w:tcPr>
          <w:p w14:paraId="3803C8F4"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6C5CE1">
                  <w:rPr>
                    <w:rStyle w:val="Style2"/>
                    <w:rFonts w:ascii="MS Gothic" w:eastAsia="MS Gothic" w:hAnsi="MS Gothic" w:hint="eastAsia"/>
                    <w:sz w:val="24"/>
                  </w:rPr>
                  <w:t>☒</w:t>
                </w:r>
              </w:sdtContent>
            </w:sdt>
            <w:r w:rsidR="006C5CE1">
              <w:rPr>
                <w:rStyle w:val="Style2"/>
                <w:sz w:val="24"/>
              </w:rPr>
              <w:t xml:space="preserve"> 29</w:t>
            </w:r>
            <w:r w:rsidR="006C5CE1" w:rsidRPr="000203E1">
              <w:t>.1.</w:t>
            </w:r>
            <w:r w:rsidR="006C5CE1">
              <w:t>1</w:t>
            </w:r>
            <w:r w:rsidR="006C5CE1" w:rsidRPr="000203E1">
              <w:t xml:space="preserve"> yra didesnis, lyginant su įprasta klinikine praktika</w:t>
            </w:r>
          </w:p>
          <w:p w14:paraId="04411BB3"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0D05A73"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rPr>
                <w:rStyle w:val="Style2"/>
                <w:sz w:val="24"/>
              </w:rPr>
              <w:t>29</w:t>
            </w:r>
            <w:r w:rsidR="006C5CE1" w:rsidRPr="000203E1">
              <w:t>.1.</w:t>
            </w:r>
            <w:r w:rsidR="006C5CE1">
              <w:t xml:space="preserve">2 </w:t>
            </w:r>
            <w:r w:rsidR="006C5CE1" w:rsidRPr="000203E1">
              <w:t>iš esmės nesiskiria, lyginant su įprasta klinikine praktika</w:t>
            </w:r>
          </w:p>
        </w:tc>
        <w:tc>
          <w:tcPr>
            <w:tcW w:w="4814" w:type="dxa"/>
          </w:tcPr>
          <w:p w14:paraId="642ABEFF" w14:textId="77777777" w:rsidR="006C5C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rPr>
                <w:rStyle w:val="Style2"/>
                <w:sz w:val="24"/>
              </w:rPr>
              <w:t>29</w:t>
            </w:r>
            <w:r w:rsidR="006C5CE1" w:rsidRPr="000203E1">
              <w:t>.1.</w:t>
            </w:r>
            <w:r w:rsidR="006C5CE1">
              <w:t xml:space="preserve">3 </w:t>
            </w:r>
            <w:r w:rsidR="006C5CE1" w:rsidRPr="000203E1">
              <w:t>yra neįrodytas kaip didesnis</w:t>
            </w:r>
            <w:r w:rsidR="006C5CE1">
              <w:t xml:space="preserve"> </w:t>
            </w:r>
            <w:r w:rsidR="006C5CE1" w:rsidRPr="001C1D94">
              <w:t> ar iš esmės nesiskiriantis</w:t>
            </w:r>
            <w:r w:rsidR="006C5CE1" w:rsidRPr="000203E1">
              <w:t xml:space="preserve">, lyginant su įprasta klinikine praktika  </w:t>
            </w:r>
          </w:p>
          <w:p w14:paraId="56EE38F1"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C0B5C81" w14:textId="77777777" w:rsidR="006C5C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rPr>
                <w:rStyle w:val="Style2"/>
                <w:sz w:val="24"/>
              </w:rPr>
              <w:t>29</w:t>
            </w:r>
            <w:r w:rsidR="006C5CE1" w:rsidRPr="000203E1">
              <w:t>.1.</w:t>
            </w:r>
            <w:r w:rsidR="006C5CE1">
              <w:t xml:space="preserve">4 </w:t>
            </w:r>
            <w:r w:rsidR="006C5CE1" w:rsidRPr="000203E1">
              <w:t>yra mažesnis, lyginant su įprasta klinikine praktika</w:t>
            </w:r>
          </w:p>
          <w:p w14:paraId="2AE88A5F" w14:textId="77777777" w:rsidR="006C5C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111942"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t xml:space="preserve"> </w:t>
            </w:r>
            <w:r w:rsidR="006C5CE1">
              <w:rPr>
                <w:rStyle w:val="Style2"/>
                <w:sz w:val="24"/>
              </w:rPr>
              <w:t>29</w:t>
            </w:r>
            <w:r w:rsidR="006C5CE1" w:rsidRPr="000203E1">
              <w:t>.1.</w:t>
            </w:r>
            <w:r w:rsidR="006C5CE1">
              <w:t>5</w:t>
            </w:r>
            <w:r w:rsidR="006C5CE1" w:rsidRPr="000203E1">
              <w:t xml:space="preserve"> pateikti duomenys apie palyginamąjį </w:t>
            </w:r>
            <w:r w:rsidR="006C5CE1">
              <w:t>veiksmingumą</w:t>
            </w:r>
            <w:r w:rsidR="006C5CE1" w:rsidRPr="000203E1">
              <w:t xml:space="preserve"> yra netinkami vertinti</w:t>
            </w:r>
          </w:p>
          <w:p w14:paraId="4902BC0A"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6C5CE1" w:rsidRPr="000203E1" w14:paraId="1B92640B" w14:textId="77777777" w:rsidTr="00364A06">
        <w:trPr>
          <w:trHeight w:val="510"/>
        </w:trPr>
        <w:tc>
          <w:tcPr>
            <w:tcW w:w="9629" w:type="dxa"/>
            <w:gridSpan w:val="2"/>
            <w:vAlign w:val="center"/>
          </w:tcPr>
          <w:p w14:paraId="2A01A136"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1" w:name="_Hlk185374787"/>
            <w:r w:rsidRPr="000203E1">
              <w:rPr>
                <w:rStyle w:val="Style2"/>
                <w:rFonts w:eastAsia="MS Gothic"/>
                <w:b/>
                <w:bCs/>
                <w:sz w:val="24"/>
              </w:rPr>
              <w:t>Kaštų naudingumas</w:t>
            </w:r>
          </w:p>
        </w:tc>
      </w:tr>
      <w:tr w:rsidR="006C5CE1" w:rsidRPr="000203E1" w14:paraId="0D049A42" w14:textId="77777777" w:rsidTr="00364A06">
        <w:tc>
          <w:tcPr>
            <w:tcW w:w="4815" w:type="dxa"/>
          </w:tcPr>
          <w:p w14:paraId="5A14C227"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MS Gothic" w:eastAsia="MS Gothic" w:hAnsi="MS Gothic" w:hint="eastAsia"/>
                    <w:sz w:val="24"/>
                  </w:rPr>
                  <w:t>☐</w:t>
                </w:r>
              </w:sdtContent>
            </w:sdt>
            <w:r w:rsidR="006C5CE1" w:rsidRPr="000203E1">
              <w:t xml:space="preserve"> </w:t>
            </w:r>
            <w:r w:rsidR="006C5CE1">
              <w:t xml:space="preserve">29.2.1 </w:t>
            </w:r>
            <w:r w:rsidR="006C5CE1" w:rsidRPr="000203E1">
              <w:t>atitink</w:t>
            </w:r>
            <w:r w:rsidR="006C5CE1">
              <w:t>a referencinę naudingumo vertę</w:t>
            </w:r>
          </w:p>
          <w:p w14:paraId="696928EF"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543FB4"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t xml:space="preserve">29.2.2 </w:t>
            </w:r>
            <w:r w:rsidR="006C5CE1" w:rsidRPr="000203E1">
              <w:t>gydymo juo kaštai yra mažesni ar tokie patys esant iš esmės nesiskiriančiam palyginamajam efektyvumui, taikant</w:t>
            </w:r>
            <w:r w:rsidR="006C5CE1">
              <w:t xml:space="preserve"> arba netaikant </w:t>
            </w:r>
            <w:r w:rsidR="006C5CE1" w:rsidRPr="000203E1">
              <w:t xml:space="preserve"> </w:t>
            </w:r>
            <w:r w:rsidR="006C5CE1">
              <w:t>PGS</w:t>
            </w:r>
          </w:p>
        </w:tc>
        <w:tc>
          <w:tcPr>
            <w:tcW w:w="4814" w:type="dxa"/>
          </w:tcPr>
          <w:p w14:paraId="751C9EED"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6C5CE1">
                  <w:rPr>
                    <w:rStyle w:val="Style2"/>
                    <w:rFonts w:ascii="MS Gothic" w:eastAsia="MS Gothic" w:hAnsi="MS Gothic" w:hint="eastAsia"/>
                    <w:sz w:val="24"/>
                  </w:rPr>
                  <w:t>☒</w:t>
                </w:r>
              </w:sdtContent>
            </w:sdt>
            <w:r w:rsidR="006C5CE1" w:rsidRPr="000203E1">
              <w:t xml:space="preserve"> </w:t>
            </w:r>
            <w:r w:rsidR="006C5CE1">
              <w:t>29</w:t>
            </w:r>
            <w:r w:rsidR="006C5CE1" w:rsidRPr="000203E1">
              <w:t>.</w:t>
            </w:r>
            <w:r w:rsidR="006C5CE1">
              <w:t>2.</w:t>
            </w:r>
            <w:r w:rsidR="006C5CE1" w:rsidRPr="000203E1">
              <w:t xml:space="preserve">3 neatitinka referencinės naudingumo vertės </w:t>
            </w:r>
            <w:r w:rsidR="006C5CE1" w:rsidRPr="001C1D94">
              <w:t>taikant arba netaikant PGS</w:t>
            </w:r>
          </w:p>
          <w:p w14:paraId="6609CF53"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63A335"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t>29</w:t>
            </w:r>
            <w:r w:rsidR="006C5CE1" w:rsidRPr="000203E1">
              <w:t>.</w:t>
            </w:r>
            <w:r w:rsidR="006C5CE1">
              <w:t>2.4</w:t>
            </w:r>
            <w:r w:rsidR="006C5CE1" w:rsidRPr="000203E1">
              <w:t xml:space="preserve"> gydymo juo kaštai yra didesni esant iš esmės nesiskiriančiam palyginamajam </w:t>
            </w:r>
            <w:r w:rsidR="006C5CE1">
              <w:t>veiksmingumui</w:t>
            </w:r>
            <w:r w:rsidR="006C5CE1" w:rsidRPr="000203E1">
              <w:t>, taikant</w:t>
            </w:r>
            <w:r w:rsidR="006C5CE1">
              <w:t xml:space="preserve"> </w:t>
            </w:r>
            <w:r w:rsidR="006C5CE1" w:rsidRPr="001C1D94">
              <w:t>arba netaikant PGS</w:t>
            </w:r>
          </w:p>
          <w:p w14:paraId="0678EBFE"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22A8A" w14:textId="77777777" w:rsidR="006C5CE1" w:rsidRPr="000203E1" w:rsidRDefault="00BF679E"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6C5CE1" w:rsidRPr="000203E1">
                  <w:rPr>
                    <w:rStyle w:val="Style2"/>
                    <w:rFonts w:ascii="Segoe UI Symbol" w:eastAsia="MS Gothic" w:hAnsi="Segoe UI Symbol" w:cs="Segoe UI Symbol"/>
                    <w:sz w:val="24"/>
                  </w:rPr>
                  <w:t>☐</w:t>
                </w:r>
              </w:sdtContent>
            </w:sdt>
            <w:r w:rsidR="006C5CE1" w:rsidRPr="000203E1">
              <w:t xml:space="preserve"> </w:t>
            </w:r>
            <w:r w:rsidR="006C5CE1">
              <w:t>29</w:t>
            </w:r>
            <w:r w:rsidR="006C5CE1" w:rsidRPr="000203E1">
              <w:t>.</w:t>
            </w:r>
            <w:r w:rsidR="006C5CE1">
              <w:t>2.5</w:t>
            </w:r>
            <w:r w:rsidR="006C5CE1" w:rsidRPr="000203E1">
              <w:t xml:space="preserve"> pateikti duomenys apie kaštų naudingumą yra netinkami vertinti</w:t>
            </w:r>
          </w:p>
          <w:p w14:paraId="3626E3F9" w14:textId="77777777" w:rsidR="006C5CE1" w:rsidRPr="000203E1" w:rsidRDefault="006C5CE1" w:rsidP="0036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0"/>
      <w:bookmarkEnd w:id="1"/>
    </w:tbl>
    <w:p w14:paraId="4F656BD3" w14:textId="6AE94D12" w:rsidR="006C5CE1" w:rsidRPr="000203E1" w:rsidRDefault="006C5CE1" w:rsidP="006C5CE1"/>
    <w:p w14:paraId="00E64F07" w14:textId="77777777" w:rsidR="006C5CE1" w:rsidRPr="000203E1" w:rsidRDefault="006C5CE1" w:rsidP="006C5CE1">
      <w:pPr>
        <w:pStyle w:val="ListParagraph"/>
        <w:numPr>
          <w:ilvl w:val="0"/>
          <w:numId w:val="12"/>
        </w:numPr>
        <w:ind w:left="567" w:hanging="567"/>
      </w:pPr>
      <w:r w:rsidRPr="000203E1">
        <w:rPr>
          <w:b/>
        </w:rPr>
        <w:t>REKOMENDACIJA</w:t>
      </w:r>
    </w:p>
    <w:p w14:paraId="1E727D10" w14:textId="77777777" w:rsidR="006C5CE1" w:rsidRPr="000203E1" w:rsidRDefault="006C5CE1" w:rsidP="006C5CE1">
      <w:pPr>
        <w:pStyle w:val="ListParagraph"/>
        <w:ind w:left="426"/>
      </w:pPr>
    </w:p>
    <w:p w14:paraId="1D0F9A05" w14:textId="42E7EDC2" w:rsidR="006C5CE1" w:rsidRPr="006C5CE1" w:rsidRDefault="006C5CE1" w:rsidP="006C5CE1">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06BC01EE" w14:textId="44333E0B" w:rsidR="000723FF" w:rsidRPr="00E33EFF" w:rsidRDefault="000723FF" w:rsidP="00381024"/>
    <w:p w14:paraId="18B4292E" w14:textId="52B7A13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3EC16C73" w:rsidR="000723FF" w:rsidRPr="00E33EFF" w:rsidRDefault="00BF679E"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973567">
            <w:rPr>
              <w:rStyle w:val="Style2"/>
              <w:rFonts w:ascii="MS Gothic" w:eastAsia="MS Gothic" w:hAnsi="MS Gothic" w:hint="eastAsia"/>
            </w:rPr>
            <w:t>☒</w:t>
          </w:r>
        </w:sdtContent>
      </w:sdt>
      <w:r w:rsidR="000723FF" w:rsidRPr="00E33EFF">
        <w:t xml:space="preserve"> Siūloma kompensuoti Pareiškėjo teikiamą indikaciją be pakeitimų.</w:t>
      </w:r>
    </w:p>
    <w:p w14:paraId="73FA9BB8" w14:textId="77777777" w:rsidR="009122E1" w:rsidRPr="0002553B" w:rsidRDefault="009122E1" w:rsidP="001710E8">
      <w:pPr>
        <w:pStyle w:val="NoSpacing"/>
        <w:spacing w:line="276" w:lineRule="auto"/>
        <w:jc w:val="both"/>
        <w:rPr>
          <w:rFonts w:ascii="Times New Roman" w:hAnsi="Times New Roman"/>
          <w:sz w:val="24"/>
          <w:szCs w:val="24"/>
        </w:rPr>
      </w:pPr>
      <w:r w:rsidRPr="00BC511C">
        <w:rPr>
          <w:rFonts w:ascii="Times New Roman" w:hAnsi="Times New Roman"/>
          <w:i/>
          <w:iCs/>
          <w:sz w:val="24"/>
          <w:szCs w:val="24"/>
        </w:rPr>
        <w:t xml:space="preserve">Trodelvy </w:t>
      </w:r>
      <w:proofErr w:type="spellStart"/>
      <w:r w:rsidRPr="00BC511C">
        <w:rPr>
          <w:rFonts w:ascii="Times New Roman" w:hAnsi="Times New Roman"/>
          <w:i/>
          <w:iCs/>
          <w:sz w:val="24"/>
          <w:szCs w:val="24"/>
        </w:rPr>
        <w:t>monoterapija</w:t>
      </w:r>
      <w:proofErr w:type="spellEnd"/>
      <w:r w:rsidRPr="00BC511C">
        <w:rPr>
          <w:rFonts w:ascii="Times New Roman" w:hAnsi="Times New Roman"/>
          <w:i/>
          <w:iCs/>
          <w:sz w:val="24"/>
          <w:szCs w:val="24"/>
        </w:rPr>
        <w:t xml:space="preserve"> skirta suaugusių pacientų, sergančių neoperuotinu ar </w:t>
      </w:r>
      <w:proofErr w:type="spellStart"/>
      <w:r w:rsidRPr="00BC511C">
        <w:rPr>
          <w:rFonts w:ascii="Times New Roman" w:hAnsi="Times New Roman"/>
          <w:i/>
          <w:iCs/>
          <w:sz w:val="24"/>
          <w:szCs w:val="24"/>
        </w:rPr>
        <w:t>metastazavusiu</w:t>
      </w:r>
      <w:proofErr w:type="spellEnd"/>
      <w:r w:rsidRPr="00BC511C">
        <w:rPr>
          <w:rFonts w:ascii="Times New Roman" w:hAnsi="Times New Roman"/>
          <w:i/>
          <w:iCs/>
          <w:sz w:val="24"/>
          <w:szCs w:val="24"/>
        </w:rPr>
        <w:t xml:space="preserve"> hormonų receptoriams (HR) teigiamu, HER2 neigiamu krūties vėžiu, gydymui, kuriems anksčiau buvo taikyta endokrininė terapija ir bent dvi papildomos sisteminės terapijos nuo išplitusio vėžio.</w:t>
      </w:r>
      <w:r w:rsidRPr="00BC511C">
        <w:rPr>
          <w:rFonts w:ascii="Times New Roman" w:hAnsi="Times New Roman"/>
          <w:sz w:val="24"/>
          <w:szCs w:val="24"/>
        </w:rPr>
        <w:t xml:space="preserve"> </w:t>
      </w:r>
    </w:p>
    <w:p w14:paraId="7DD65F7E" w14:textId="77777777" w:rsidR="000723FF" w:rsidRPr="00E33EFF" w:rsidRDefault="000723FF" w:rsidP="00824B92"/>
    <w:p w14:paraId="241A6E6B" w14:textId="77777777" w:rsidR="000723FF" w:rsidRDefault="000723FF" w:rsidP="00824B92">
      <w:pPr>
        <w:rPr>
          <w:b/>
        </w:rPr>
      </w:pPr>
      <w:r w:rsidRPr="00E33EFF">
        <w:rPr>
          <w:b/>
        </w:rPr>
        <w:lastRenderedPageBreak/>
        <w:t>Skyrimo sąlygos</w:t>
      </w:r>
    </w:p>
    <w:p w14:paraId="408F6F0F" w14:textId="33279AF7" w:rsidR="001710E8" w:rsidRPr="001710E8" w:rsidRDefault="001710E8" w:rsidP="00824B92">
      <w:pPr>
        <w:rPr>
          <w:bCs/>
        </w:rPr>
      </w:pPr>
      <w:r w:rsidRPr="001710E8">
        <w:rPr>
          <w:bCs/>
        </w:rPr>
        <w:t xml:space="preserve">Skiriamas </w:t>
      </w:r>
      <w:proofErr w:type="spellStart"/>
      <w:r w:rsidR="00677A65">
        <w:rPr>
          <w:bCs/>
          <w:color w:val="000000"/>
        </w:rPr>
        <w:t>monoterapijai</w:t>
      </w:r>
      <w:proofErr w:type="spellEnd"/>
      <w:r w:rsidR="00677A65" w:rsidRPr="001710E8">
        <w:t xml:space="preserve"> </w:t>
      </w:r>
      <w:r w:rsidRPr="001710E8">
        <w:t>neoperuotin</w:t>
      </w:r>
      <w:r>
        <w:t>am</w:t>
      </w:r>
      <w:r w:rsidRPr="001710E8">
        <w:t xml:space="preserve"> ar </w:t>
      </w:r>
      <w:proofErr w:type="spellStart"/>
      <w:r w:rsidRPr="001710E8">
        <w:t>metastazavusi</w:t>
      </w:r>
      <w:r>
        <w:t>am</w:t>
      </w:r>
      <w:proofErr w:type="spellEnd"/>
      <w:r>
        <w:t xml:space="preserve"> krūties vėžiui gydyti, kai nustatom</w:t>
      </w:r>
      <w:r w:rsidR="00677A65">
        <w:t>i</w:t>
      </w:r>
      <w:r>
        <w:t xml:space="preserve"> </w:t>
      </w:r>
      <w:r w:rsidR="00677A65" w:rsidRPr="001F0513">
        <w:rPr>
          <w:bCs/>
          <w:color w:val="000000"/>
        </w:rPr>
        <w:t>teigiam</w:t>
      </w:r>
      <w:r w:rsidR="00677A65">
        <w:rPr>
          <w:bCs/>
          <w:color w:val="000000"/>
        </w:rPr>
        <w:t>i</w:t>
      </w:r>
      <w:r w:rsidR="00677A65" w:rsidRPr="001F0513">
        <w:rPr>
          <w:bCs/>
          <w:color w:val="000000"/>
        </w:rPr>
        <w:t xml:space="preserve"> hormonų receptori</w:t>
      </w:r>
      <w:r w:rsidR="00677A65">
        <w:rPr>
          <w:bCs/>
          <w:color w:val="000000"/>
        </w:rPr>
        <w:t>ai</w:t>
      </w:r>
      <w:r w:rsidR="00677A65" w:rsidRPr="001F0513">
        <w:rPr>
          <w:bCs/>
          <w:color w:val="000000"/>
        </w:rPr>
        <w:t xml:space="preserve"> ir žmogaus HER2 yra neigiamas, </w:t>
      </w:r>
      <w:r w:rsidR="00677A65">
        <w:rPr>
          <w:bCs/>
          <w:color w:val="000000"/>
        </w:rPr>
        <w:t xml:space="preserve">kai </w:t>
      </w:r>
      <w:r w:rsidRPr="001710E8">
        <w:t>anksčiau buvo taikyta endokrininė terapija ir bent dvi papildomos sisteminės terapijos nuo išplitusio vėžio</w:t>
      </w:r>
      <w:r w:rsidR="00677A65">
        <w:t>.</w:t>
      </w:r>
    </w:p>
    <w:p w14:paraId="3B129E60" w14:textId="77777777" w:rsidR="001710E8" w:rsidRDefault="001710E8" w:rsidP="00824B92">
      <w:pPr>
        <w:rPr>
          <w:i/>
          <w:iCs/>
        </w:rPr>
      </w:pPr>
    </w:p>
    <w:sectPr w:rsidR="001710E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AA5E" w14:textId="77777777" w:rsidR="00E22280" w:rsidRDefault="00E22280">
      <w:r>
        <w:separator/>
      </w:r>
    </w:p>
  </w:endnote>
  <w:endnote w:type="continuationSeparator" w:id="0">
    <w:p w14:paraId="08250166" w14:textId="77777777" w:rsidR="00E22280" w:rsidRDefault="00E2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D01D" w14:textId="77777777" w:rsidR="00E22280" w:rsidRDefault="00E22280">
      <w:r>
        <w:separator/>
      </w:r>
    </w:p>
  </w:footnote>
  <w:footnote w:type="continuationSeparator" w:id="0">
    <w:p w14:paraId="77622E15" w14:textId="77777777" w:rsidR="00E22280" w:rsidRDefault="00E2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14B741C2"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928">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4135996">
    <w:abstractNumId w:val="7"/>
  </w:num>
  <w:num w:numId="2" w16cid:durableId="1740325874">
    <w:abstractNumId w:val="1"/>
  </w:num>
  <w:num w:numId="3" w16cid:durableId="415253803">
    <w:abstractNumId w:val="9"/>
  </w:num>
  <w:num w:numId="4" w16cid:durableId="308941139">
    <w:abstractNumId w:val="8"/>
  </w:num>
  <w:num w:numId="5" w16cid:durableId="192887827">
    <w:abstractNumId w:val="5"/>
  </w:num>
  <w:num w:numId="6" w16cid:durableId="1311402740">
    <w:abstractNumId w:val="4"/>
  </w:num>
  <w:num w:numId="7" w16cid:durableId="1779253532">
    <w:abstractNumId w:val="3"/>
  </w:num>
  <w:num w:numId="8" w16cid:durableId="2109960445">
    <w:abstractNumId w:val="12"/>
  </w:num>
  <w:num w:numId="9" w16cid:durableId="283199314">
    <w:abstractNumId w:val="0"/>
  </w:num>
  <w:num w:numId="10" w16cid:durableId="1510440220">
    <w:abstractNumId w:val="10"/>
  </w:num>
  <w:num w:numId="11" w16cid:durableId="707923279">
    <w:abstractNumId w:val="11"/>
  </w:num>
  <w:num w:numId="12" w16cid:durableId="1626764763">
    <w:abstractNumId w:val="2"/>
  </w:num>
  <w:num w:numId="13" w16cid:durableId="1664119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0F458C"/>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10E8"/>
    <w:rsid w:val="0017369C"/>
    <w:rsid w:val="00175D57"/>
    <w:rsid w:val="00180C39"/>
    <w:rsid w:val="00180D96"/>
    <w:rsid w:val="00184BD3"/>
    <w:rsid w:val="001921F3"/>
    <w:rsid w:val="001B3C5B"/>
    <w:rsid w:val="001C19C5"/>
    <w:rsid w:val="001D746F"/>
    <w:rsid w:val="001E4BBB"/>
    <w:rsid w:val="001E6304"/>
    <w:rsid w:val="00200C53"/>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3F4714"/>
    <w:rsid w:val="00404E8A"/>
    <w:rsid w:val="0040622F"/>
    <w:rsid w:val="00413F24"/>
    <w:rsid w:val="00422853"/>
    <w:rsid w:val="00423160"/>
    <w:rsid w:val="00425088"/>
    <w:rsid w:val="00446777"/>
    <w:rsid w:val="004537D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E7BD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77A65"/>
    <w:rsid w:val="006834D3"/>
    <w:rsid w:val="00692625"/>
    <w:rsid w:val="00695CD3"/>
    <w:rsid w:val="006A38B6"/>
    <w:rsid w:val="006B1987"/>
    <w:rsid w:val="006B5B71"/>
    <w:rsid w:val="006B6CB0"/>
    <w:rsid w:val="006C0296"/>
    <w:rsid w:val="006C2B64"/>
    <w:rsid w:val="006C5CE1"/>
    <w:rsid w:val="006D4C85"/>
    <w:rsid w:val="006D66AC"/>
    <w:rsid w:val="006E33F6"/>
    <w:rsid w:val="006F1251"/>
    <w:rsid w:val="006F1C23"/>
    <w:rsid w:val="00702C18"/>
    <w:rsid w:val="00703166"/>
    <w:rsid w:val="007127F3"/>
    <w:rsid w:val="007301CF"/>
    <w:rsid w:val="007316FB"/>
    <w:rsid w:val="00734DF9"/>
    <w:rsid w:val="007374D0"/>
    <w:rsid w:val="00737E2D"/>
    <w:rsid w:val="007424D5"/>
    <w:rsid w:val="00750A88"/>
    <w:rsid w:val="007523DD"/>
    <w:rsid w:val="00757B7E"/>
    <w:rsid w:val="007656B2"/>
    <w:rsid w:val="0077016F"/>
    <w:rsid w:val="007713AD"/>
    <w:rsid w:val="00787882"/>
    <w:rsid w:val="00795DC5"/>
    <w:rsid w:val="00797153"/>
    <w:rsid w:val="007A21F7"/>
    <w:rsid w:val="007A2B68"/>
    <w:rsid w:val="007B0DDA"/>
    <w:rsid w:val="007C0875"/>
    <w:rsid w:val="007C6794"/>
    <w:rsid w:val="007C7519"/>
    <w:rsid w:val="007D3347"/>
    <w:rsid w:val="007E5466"/>
    <w:rsid w:val="007F1949"/>
    <w:rsid w:val="007F2592"/>
    <w:rsid w:val="007F2928"/>
    <w:rsid w:val="00800A08"/>
    <w:rsid w:val="00817A84"/>
    <w:rsid w:val="00820189"/>
    <w:rsid w:val="008225A4"/>
    <w:rsid w:val="00824B92"/>
    <w:rsid w:val="00826D5E"/>
    <w:rsid w:val="00832013"/>
    <w:rsid w:val="00832DB7"/>
    <w:rsid w:val="00834732"/>
    <w:rsid w:val="0085200C"/>
    <w:rsid w:val="00857C52"/>
    <w:rsid w:val="00860D5F"/>
    <w:rsid w:val="008674FE"/>
    <w:rsid w:val="00880A44"/>
    <w:rsid w:val="0088345E"/>
    <w:rsid w:val="0088656F"/>
    <w:rsid w:val="00891EF6"/>
    <w:rsid w:val="008A0303"/>
    <w:rsid w:val="008A2CD2"/>
    <w:rsid w:val="008A5FDD"/>
    <w:rsid w:val="008C3947"/>
    <w:rsid w:val="008E473B"/>
    <w:rsid w:val="008E51A6"/>
    <w:rsid w:val="008E7329"/>
    <w:rsid w:val="008F2ED5"/>
    <w:rsid w:val="008F79A5"/>
    <w:rsid w:val="009122E1"/>
    <w:rsid w:val="0092297E"/>
    <w:rsid w:val="00923651"/>
    <w:rsid w:val="00927B56"/>
    <w:rsid w:val="009341BF"/>
    <w:rsid w:val="00937907"/>
    <w:rsid w:val="00941739"/>
    <w:rsid w:val="00943E06"/>
    <w:rsid w:val="00951573"/>
    <w:rsid w:val="00963003"/>
    <w:rsid w:val="0096646F"/>
    <w:rsid w:val="00966EEF"/>
    <w:rsid w:val="00971B28"/>
    <w:rsid w:val="00973567"/>
    <w:rsid w:val="009742A1"/>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679E"/>
    <w:rsid w:val="00BF76DA"/>
    <w:rsid w:val="00C07C7B"/>
    <w:rsid w:val="00C16245"/>
    <w:rsid w:val="00C22DC5"/>
    <w:rsid w:val="00C24479"/>
    <w:rsid w:val="00C273F2"/>
    <w:rsid w:val="00C37B53"/>
    <w:rsid w:val="00C517D2"/>
    <w:rsid w:val="00C5772E"/>
    <w:rsid w:val="00C62B36"/>
    <w:rsid w:val="00C630AE"/>
    <w:rsid w:val="00C7012C"/>
    <w:rsid w:val="00C712EA"/>
    <w:rsid w:val="00CA217D"/>
    <w:rsid w:val="00CC09D4"/>
    <w:rsid w:val="00CC668D"/>
    <w:rsid w:val="00CC7832"/>
    <w:rsid w:val="00CF0C1C"/>
    <w:rsid w:val="00CF27FD"/>
    <w:rsid w:val="00CF5F12"/>
    <w:rsid w:val="00D00D8F"/>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73D0B"/>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6F0"/>
    <w:rsid w:val="00E06FD7"/>
    <w:rsid w:val="00E07417"/>
    <w:rsid w:val="00E22280"/>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EF1167"/>
    <w:rsid w:val="00F0061A"/>
    <w:rsid w:val="00F01F71"/>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qFormat/>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EFC9BE19A1A64C73A0291F204B8F8552"/>
        <w:category>
          <w:name w:val="Bendrosios nuostatos"/>
          <w:gallery w:val="placeholder"/>
        </w:category>
        <w:types>
          <w:type w:val="bbPlcHdr"/>
        </w:types>
        <w:behaviors>
          <w:behavior w:val="content"/>
        </w:behaviors>
        <w:guid w:val="{401E9441-2692-4520-B665-D98E76C909C9}"/>
      </w:docPartPr>
      <w:docPartBody>
        <w:p w:rsidR="0016720C" w:rsidRDefault="0016720C" w:rsidP="0016720C">
          <w:pPr>
            <w:pStyle w:val="EFC9BE19A1A64C73A0291F204B8F8552"/>
          </w:pPr>
          <w:r>
            <w:rPr>
              <w:rStyle w:val="PlaceholderText"/>
            </w:rPr>
            <w:t>Click here to enter a date.</w:t>
          </w:r>
        </w:p>
      </w:docPartBody>
    </w:docPart>
    <w:docPart>
      <w:docPartPr>
        <w:name w:val="1492277C2FA54157A780655138A2AF2C"/>
        <w:category>
          <w:name w:val="General"/>
          <w:gallery w:val="placeholder"/>
        </w:category>
        <w:types>
          <w:type w:val="bbPlcHdr"/>
        </w:types>
        <w:behaviors>
          <w:behavior w:val="content"/>
        </w:behaviors>
        <w:guid w:val="{D0C1CBEB-5EFA-4797-A359-CC4260338C36}"/>
      </w:docPartPr>
      <w:docPartBody>
        <w:p w:rsidR="000944A6" w:rsidRDefault="00E26D66" w:rsidP="00E26D66">
          <w:pPr>
            <w:pStyle w:val="1492277C2FA54157A780655138A2AF2C"/>
          </w:pPr>
          <w:r>
            <w:rPr>
              <w:rStyle w:val="PlaceholderText"/>
            </w:rPr>
            <w:t>Click here to enter a date.</w:t>
          </w:r>
        </w:p>
      </w:docPartBody>
    </w:docPart>
    <w:docPart>
      <w:docPartPr>
        <w:name w:val="D2C5DB739DC4488FB59639FA66ACCEC7"/>
        <w:category>
          <w:name w:val="General"/>
          <w:gallery w:val="placeholder"/>
        </w:category>
        <w:types>
          <w:type w:val="bbPlcHdr"/>
        </w:types>
        <w:behaviors>
          <w:behavior w:val="content"/>
        </w:behaviors>
        <w:guid w:val="{2E7BCAE7-AFC2-43D4-965C-BB9295C320EF}"/>
      </w:docPartPr>
      <w:docPartBody>
        <w:p w:rsidR="000944A6" w:rsidRDefault="00E26D66" w:rsidP="00E26D66">
          <w:pPr>
            <w:pStyle w:val="D2C5DB739DC4488FB59639FA66ACCEC7"/>
          </w:pPr>
          <w:r>
            <w:rPr>
              <w:rStyle w:val="PlaceholderText"/>
            </w:rPr>
            <w:t>Click here to enter a date.</w:t>
          </w:r>
        </w:p>
      </w:docPartBody>
    </w:docPart>
    <w:docPart>
      <w:docPartPr>
        <w:name w:val="3D5C6B04634C42059076A5397DA52671"/>
        <w:category>
          <w:name w:val="General"/>
          <w:gallery w:val="placeholder"/>
        </w:category>
        <w:types>
          <w:type w:val="bbPlcHdr"/>
        </w:types>
        <w:behaviors>
          <w:behavior w:val="content"/>
        </w:behaviors>
        <w:guid w:val="{A4CA7DA1-FA64-4CAC-A59F-71784F0BB124}"/>
      </w:docPartPr>
      <w:docPartBody>
        <w:p w:rsidR="000944A6" w:rsidRDefault="00E26D66" w:rsidP="00E26D66">
          <w:pPr>
            <w:pStyle w:val="3D5C6B04634C42059076A5397DA5267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81860"/>
    <w:rsid w:val="000937FE"/>
    <w:rsid w:val="000944A6"/>
    <w:rsid w:val="000A559A"/>
    <w:rsid w:val="000D24D4"/>
    <w:rsid w:val="0016720C"/>
    <w:rsid w:val="001C35A9"/>
    <w:rsid w:val="001F47C5"/>
    <w:rsid w:val="00237556"/>
    <w:rsid w:val="0039303B"/>
    <w:rsid w:val="004144A3"/>
    <w:rsid w:val="004160E7"/>
    <w:rsid w:val="00425088"/>
    <w:rsid w:val="004416C6"/>
    <w:rsid w:val="00446777"/>
    <w:rsid w:val="004F5AB2"/>
    <w:rsid w:val="005074B9"/>
    <w:rsid w:val="005E40DD"/>
    <w:rsid w:val="00715217"/>
    <w:rsid w:val="007219C1"/>
    <w:rsid w:val="0074261C"/>
    <w:rsid w:val="00753462"/>
    <w:rsid w:val="00772325"/>
    <w:rsid w:val="00787882"/>
    <w:rsid w:val="007A2FE0"/>
    <w:rsid w:val="007C6D1D"/>
    <w:rsid w:val="00820189"/>
    <w:rsid w:val="0090074D"/>
    <w:rsid w:val="0096646F"/>
    <w:rsid w:val="009B3BF0"/>
    <w:rsid w:val="009D5E5E"/>
    <w:rsid w:val="009F1BB4"/>
    <w:rsid w:val="00AB6ED4"/>
    <w:rsid w:val="00B14210"/>
    <w:rsid w:val="00B23DC0"/>
    <w:rsid w:val="00B96656"/>
    <w:rsid w:val="00BE29C1"/>
    <w:rsid w:val="00C2401D"/>
    <w:rsid w:val="00C53A68"/>
    <w:rsid w:val="00CA5BB4"/>
    <w:rsid w:val="00CB4BD1"/>
    <w:rsid w:val="00CE2DA9"/>
    <w:rsid w:val="00CE44BE"/>
    <w:rsid w:val="00D107CD"/>
    <w:rsid w:val="00D4356B"/>
    <w:rsid w:val="00D7162F"/>
    <w:rsid w:val="00E26D66"/>
    <w:rsid w:val="00E44A86"/>
    <w:rsid w:val="00E522EB"/>
    <w:rsid w:val="00E60827"/>
    <w:rsid w:val="00E73FF6"/>
    <w:rsid w:val="00E845FB"/>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6D66"/>
    <w:rPr>
      <w:color w:val="808080"/>
    </w:rPr>
  </w:style>
  <w:style w:type="paragraph" w:customStyle="1" w:styleId="CDB60824EC144AB3B75C05A5823BEE2D">
    <w:name w:val="CDB60824EC144AB3B75C05A5823BEE2D"/>
    <w:rsid w:val="005E40DD"/>
  </w:style>
  <w:style w:type="paragraph" w:customStyle="1" w:styleId="EFC9BE19A1A64C73A0291F204B8F8552">
    <w:name w:val="EFC9BE19A1A64C73A0291F204B8F8552"/>
    <w:rsid w:val="0016720C"/>
    <w:pPr>
      <w:spacing w:line="278" w:lineRule="auto"/>
    </w:pPr>
    <w:rPr>
      <w:kern w:val="2"/>
      <w:sz w:val="24"/>
      <w:szCs w:val="24"/>
      <w14:ligatures w14:val="standardContextual"/>
    </w:rPr>
  </w:style>
  <w:style w:type="paragraph" w:customStyle="1" w:styleId="1492277C2FA54157A780655138A2AF2C">
    <w:name w:val="1492277C2FA54157A780655138A2AF2C"/>
    <w:rsid w:val="00E26D66"/>
  </w:style>
  <w:style w:type="paragraph" w:customStyle="1" w:styleId="D2C5DB739DC4488FB59639FA66ACCEC7">
    <w:name w:val="D2C5DB739DC4488FB59639FA66ACCEC7"/>
    <w:rsid w:val="00E26D66"/>
  </w:style>
  <w:style w:type="paragraph" w:customStyle="1" w:styleId="3D5C6B04634C42059076A5397DA52671">
    <w:name w:val="3D5C6B04634C42059076A5397DA52671"/>
    <w:rsid w:val="00E26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540B-F167-44B4-95D9-F0FE68F9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2476</Words>
  <Characters>17781</Characters>
  <Application>Microsoft Office Word</Application>
  <DocSecurity>0</DocSecurity>
  <Lines>148</Lines>
  <Paragraphs>40</Paragraphs>
  <ScaleCrop>false</ScaleCrop>
  <Company/>
  <LinksUpToDate>false</LinksUpToDate>
  <CharactersWithSpaces>20217</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2025-05-08T06:10:00Z</dcterms:created>
  <dcterms:modified xsi:type="dcterms:W3CDTF">2025-05-13T04:04:00Z</dcterms:modified>
</cp:coreProperties>
</file>