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632BB3" w:rsidRDefault="005F7602" w:rsidP="002946C7">
      <w:pPr>
        <w:ind w:left="5529"/>
      </w:pPr>
    </w:p>
    <w:p w14:paraId="12FA4B9E" w14:textId="77777777" w:rsidR="001B3C5B" w:rsidRPr="00632BB3" w:rsidRDefault="001B3C5B" w:rsidP="001B3C5B">
      <w:pPr>
        <w:ind w:left="6096"/>
      </w:pPr>
      <w:r w:rsidRPr="00632BB3">
        <w:t>Forma patvirtinta</w:t>
      </w:r>
    </w:p>
    <w:p w14:paraId="7206970B" w14:textId="70E9BD2E" w:rsidR="004C263A" w:rsidRPr="00632BB3" w:rsidRDefault="001B3C5B" w:rsidP="001B3C5B">
      <w:pPr>
        <w:ind w:left="6096"/>
      </w:pPr>
      <w:r w:rsidRPr="00632BB3">
        <w:t>Valstybinės vaistų kontrolės tarnybos prie Lietuvos Respublikos sveikatos apsaugos ministerijos viršininko 2021 m</w:t>
      </w:r>
      <w:r w:rsidR="004C263A" w:rsidRPr="00632BB3">
        <w:t xml:space="preserve">. lapkričio 12 </w:t>
      </w:r>
      <w:r w:rsidRPr="00632BB3">
        <w:t>d. įsakymu Nr.</w:t>
      </w:r>
      <w:r w:rsidR="004C263A" w:rsidRPr="00632BB3">
        <w:t xml:space="preserve"> (1.72E)1A-1418</w:t>
      </w:r>
    </w:p>
    <w:p w14:paraId="5B219AA6" w14:textId="520B9136" w:rsidR="001B3C5B" w:rsidRPr="00632BB3" w:rsidRDefault="004C263A" w:rsidP="001B3C5B">
      <w:pPr>
        <w:ind w:left="6096"/>
      </w:pPr>
      <w:r w:rsidRPr="00632BB3">
        <w:t>(Valstybinės vaistų kontrolės tarnybos prie Lietuvos Respublikos sveikatos apsaugos ministerijos viršininko 2022 m.                         d. įsakymo Nr.                    redakcija)</w:t>
      </w:r>
    </w:p>
    <w:p w14:paraId="3336BD74" w14:textId="77777777" w:rsidR="001B3C5B" w:rsidRPr="00632BB3" w:rsidRDefault="001B3C5B" w:rsidP="00FA4169"/>
    <w:p w14:paraId="77AFB67E" w14:textId="16397257" w:rsidR="00613501" w:rsidRPr="00632BB3" w:rsidRDefault="002F0E4F" w:rsidP="003B211A">
      <w:pPr>
        <w:jc w:val="center"/>
        <w:rPr>
          <w:b/>
          <w:bCs/>
          <w:caps/>
        </w:rPr>
      </w:pPr>
      <w:r w:rsidRPr="00632BB3">
        <w:rPr>
          <w:b/>
        </w:rPr>
        <w:t xml:space="preserve">REKOMENDACIJA DĖL VAISTINIO PREPARATO </w:t>
      </w:r>
      <w:r w:rsidRPr="00632BB3">
        <w:rPr>
          <w:b/>
          <w:bCs/>
          <w:caps/>
        </w:rPr>
        <w:t>Lietuvos Respublikos Sveikatos apsaugos ministerijos vaistinių preparatų ir medicinos pagalbos priemonių kompensavimo komisijai</w:t>
      </w:r>
    </w:p>
    <w:p w14:paraId="34E4395D" w14:textId="15FB10DF" w:rsidR="00B13D65" w:rsidRPr="00632BB3" w:rsidRDefault="00B13D65" w:rsidP="003B211A">
      <w:pPr>
        <w:jc w:val="center"/>
        <w:rPr>
          <w:b/>
        </w:rPr>
      </w:pPr>
    </w:p>
    <w:p w14:paraId="1521583B" w14:textId="77777777" w:rsidR="002B1DEB" w:rsidRPr="00D05364" w:rsidRDefault="002B1DEB" w:rsidP="002B1DEB">
      <w:pPr>
        <w:jc w:val="center"/>
        <w:rPr>
          <w:b/>
        </w:rPr>
      </w:pPr>
      <w:r>
        <w:rPr>
          <w:b/>
        </w:rPr>
        <w:t>Tevimbra</w:t>
      </w:r>
      <w:r w:rsidRPr="00D05364">
        <w:rPr>
          <w:b/>
        </w:rPr>
        <w:t xml:space="preserve"> </w:t>
      </w:r>
      <w:r w:rsidRPr="00D4247C">
        <w:rPr>
          <w:b/>
        </w:rPr>
        <w:t>100 mg</w:t>
      </w:r>
      <w:r>
        <w:rPr>
          <w:b/>
        </w:rPr>
        <w:t xml:space="preserve">, </w:t>
      </w:r>
      <w:r w:rsidRPr="00D4247C">
        <w:rPr>
          <w:b/>
        </w:rPr>
        <w:t>10 ml</w:t>
      </w:r>
      <w:r>
        <w:rPr>
          <w:b/>
        </w:rPr>
        <w:t xml:space="preserve">, </w:t>
      </w:r>
      <w:r w:rsidRPr="00D4247C">
        <w:rPr>
          <w:b/>
        </w:rPr>
        <w:t>koncentratas infuziniam tirpalui</w:t>
      </w:r>
    </w:p>
    <w:p w14:paraId="3B428682" w14:textId="77777777" w:rsidR="002B1DEB" w:rsidRPr="00D05364" w:rsidRDefault="002B1DEB" w:rsidP="002B1DEB">
      <w:pPr>
        <w:jc w:val="center"/>
      </w:pPr>
    </w:p>
    <w:p w14:paraId="022EF01D" w14:textId="70C310B0" w:rsidR="002B1DEB" w:rsidRPr="00D05364" w:rsidRDefault="002B1DEB" w:rsidP="002B1DEB">
      <w:pPr>
        <w:jc w:val="center"/>
      </w:pPr>
      <w:r>
        <w:rPr>
          <w:b/>
        </w:rPr>
        <w:t>Tislelizumabas</w:t>
      </w:r>
    </w:p>
    <w:p w14:paraId="5DBE3591" w14:textId="77777777" w:rsidR="002B1DEB" w:rsidRPr="00D05364" w:rsidRDefault="002B1DEB" w:rsidP="002B1DEB">
      <w:pPr>
        <w:jc w:val="center"/>
      </w:pPr>
    </w:p>
    <w:p w14:paraId="6519DBE2" w14:textId="77777777" w:rsidR="002B1DEB" w:rsidRPr="00B43512" w:rsidRDefault="002B1DEB" w:rsidP="002B1DEB">
      <w:pPr>
        <w:jc w:val="center"/>
        <w:rPr>
          <w:b/>
          <w:lang w:val="en-US"/>
        </w:rPr>
      </w:pPr>
      <w:r>
        <w:rPr>
          <w:b/>
        </w:rPr>
        <w:t>STV-</w:t>
      </w:r>
      <w:r>
        <w:rPr>
          <w:b/>
          <w:lang w:val="en-US"/>
        </w:rPr>
        <w:t>210</w:t>
      </w:r>
    </w:p>
    <w:p w14:paraId="453197C8" w14:textId="77777777" w:rsidR="00D4708D" w:rsidRPr="00632BB3" w:rsidRDefault="00D4708D" w:rsidP="009B2F9C">
      <w:pPr>
        <w:rPr>
          <w:b/>
        </w:rPr>
      </w:pPr>
    </w:p>
    <w:p w14:paraId="78C89D1C" w14:textId="0DEFFAA5" w:rsidR="00D4485B" w:rsidRPr="00632BB3" w:rsidRDefault="00B13D65" w:rsidP="00CC09D4">
      <w:pPr>
        <w:pStyle w:val="Sraopastraipa"/>
        <w:numPr>
          <w:ilvl w:val="0"/>
          <w:numId w:val="12"/>
        </w:numPr>
        <w:tabs>
          <w:tab w:val="left" w:pos="567"/>
        </w:tabs>
        <w:ind w:left="567" w:hanging="567"/>
        <w:rPr>
          <w:b/>
          <w:bCs/>
          <w:caps/>
        </w:rPr>
      </w:pPr>
      <w:r w:rsidRPr="00632BB3">
        <w:rPr>
          <w:b/>
          <w:bCs/>
          <w:caps/>
        </w:rPr>
        <w:t>Bendroji dalis</w:t>
      </w:r>
    </w:p>
    <w:p w14:paraId="04A7C7A7" w14:textId="77777777" w:rsidR="00B13D65" w:rsidRPr="00632BB3"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8C2035" w:rsidRPr="00632BB3" w14:paraId="18A83EC2" w14:textId="77777777" w:rsidTr="00BE7489">
        <w:trPr>
          <w:trHeight w:val="538"/>
        </w:trPr>
        <w:tc>
          <w:tcPr>
            <w:tcW w:w="632" w:type="dxa"/>
          </w:tcPr>
          <w:p w14:paraId="0646FBEA" w14:textId="77777777" w:rsidR="008C2035" w:rsidRPr="00632BB3" w:rsidRDefault="008C2035" w:rsidP="008C2035">
            <w:pPr>
              <w:rPr>
                <w:rFonts w:eastAsia="Arial"/>
              </w:rPr>
            </w:pPr>
            <w:r w:rsidRPr="00632BB3">
              <w:rPr>
                <w:rFonts w:eastAsia="Arial"/>
              </w:rPr>
              <w:t>1.1</w:t>
            </w:r>
          </w:p>
        </w:tc>
        <w:tc>
          <w:tcPr>
            <w:tcW w:w="3694" w:type="dxa"/>
          </w:tcPr>
          <w:p w14:paraId="6C3AE864" w14:textId="77777777" w:rsidR="008C2035" w:rsidRPr="00632BB3" w:rsidRDefault="008C2035" w:rsidP="008C2035">
            <w:pPr>
              <w:rPr>
                <w:rFonts w:eastAsia="Arial"/>
              </w:rPr>
            </w:pPr>
            <w:r w:rsidRPr="00632BB3">
              <w:rPr>
                <w:rFonts w:eastAsia="Arial"/>
              </w:rPr>
              <w:t>Pareiškėjas</w:t>
            </w:r>
          </w:p>
          <w:p w14:paraId="2AF240DC" w14:textId="77777777" w:rsidR="008C2035" w:rsidRPr="00632BB3" w:rsidRDefault="008C2035" w:rsidP="008C2035">
            <w:pPr>
              <w:rPr>
                <w:rFonts w:eastAsia="Arial"/>
              </w:rPr>
            </w:pPr>
          </w:p>
        </w:tc>
        <w:tc>
          <w:tcPr>
            <w:tcW w:w="5167" w:type="dxa"/>
          </w:tcPr>
          <w:p w14:paraId="2AAF0D91" w14:textId="754E4619" w:rsidR="008C2035" w:rsidRPr="00632BB3" w:rsidRDefault="002B1DEB" w:rsidP="008C2035">
            <w:pPr>
              <w:rPr>
                <w:rFonts w:eastAsia="Arial"/>
              </w:rPr>
            </w:pPr>
            <w:r w:rsidRPr="00EB194D">
              <w:t>BeiGene Switzerland GmbH</w:t>
            </w:r>
          </w:p>
        </w:tc>
      </w:tr>
      <w:tr w:rsidR="008C2035" w:rsidRPr="00632BB3" w14:paraId="31998B0D" w14:textId="77777777" w:rsidTr="00BE7489">
        <w:trPr>
          <w:trHeight w:val="538"/>
        </w:trPr>
        <w:tc>
          <w:tcPr>
            <w:tcW w:w="632" w:type="dxa"/>
          </w:tcPr>
          <w:p w14:paraId="2005EC67" w14:textId="662300D0" w:rsidR="008C2035" w:rsidRPr="00632BB3" w:rsidRDefault="008C2035" w:rsidP="008C2035">
            <w:pPr>
              <w:rPr>
                <w:rFonts w:eastAsia="Arial"/>
              </w:rPr>
            </w:pPr>
            <w:r w:rsidRPr="00632BB3">
              <w:rPr>
                <w:rFonts w:eastAsia="Arial"/>
              </w:rPr>
              <w:t>1.2</w:t>
            </w:r>
          </w:p>
        </w:tc>
        <w:tc>
          <w:tcPr>
            <w:tcW w:w="3694" w:type="dxa"/>
          </w:tcPr>
          <w:p w14:paraId="1E4AE3B1" w14:textId="77777777" w:rsidR="008C2035" w:rsidRPr="00632BB3" w:rsidRDefault="008C2035" w:rsidP="008C2035">
            <w:pPr>
              <w:rPr>
                <w:bCs/>
                <w:lang w:eastAsia="lt-LT"/>
              </w:rPr>
            </w:pPr>
            <w:r w:rsidRPr="00632BB3">
              <w:rPr>
                <w:bCs/>
                <w:lang w:eastAsia="lt-LT"/>
              </w:rPr>
              <w:t xml:space="preserve">Registracijos data </w:t>
            </w:r>
          </w:p>
          <w:p w14:paraId="3A0DC096" w14:textId="77777777" w:rsidR="008C2035" w:rsidRPr="00632BB3" w:rsidRDefault="008C2035" w:rsidP="008C2035">
            <w:pPr>
              <w:rPr>
                <w:bCs/>
                <w:lang w:eastAsia="lt-LT"/>
              </w:rPr>
            </w:pPr>
          </w:p>
        </w:tc>
        <w:tc>
          <w:tcPr>
            <w:tcW w:w="5167" w:type="dxa"/>
          </w:tcPr>
          <w:p w14:paraId="3CA218AD" w14:textId="57C447F2" w:rsidR="008C2035" w:rsidRPr="00632BB3" w:rsidRDefault="002B1DEB" w:rsidP="008C2035">
            <w:pPr>
              <w:rPr>
                <w:rStyle w:val="Style2"/>
              </w:rPr>
            </w:pPr>
            <w:r w:rsidRPr="002B1DEB">
              <w:t>2023-09-15</w:t>
            </w:r>
          </w:p>
        </w:tc>
      </w:tr>
      <w:tr w:rsidR="000203E1" w:rsidRPr="00632BB3" w14:paraId="15968AE1" w14:textId="77777777" w:rsidTr="00BE7489">
        <w:trPr>
          <w:trHeight w:val="1500"/>
        </w:trPr>
        <w:tc>
          <w:tcPr>
            <w:tcW w:w="632" w:type="dxa"/>
          </w:tcPr>
          <w:p w14:paraId="6A784245" w14:textId="1E461489" w:rsidR="00B13D65" w:rsidRPr="00632BB3" w:rsidRDefault="002E0702" w:rsidP="00824B92">
            <w:pPr>
              <w:rPr>
                <w:rFonts w:eastAsia="Arial"/>
              </w:rPr>
            </w:pPr>
            <w:r w:rsidRPr="00632BB3">
              <w:rPr>
                <w:rFonts w:eastAsia="Arial"/>
              </w:rPr>
              <w:t>1.3</w:t>
            </w:r>
          </w:p>
        </w:tc>
        <w:tc>
          <w:tcPr>
            <w:tcW w:w="3694" w:type="dxa"/>
          </w:tcPr>
          <w:p w14:paraId="22933506" w14:textId="77777777" w:rsidR="00B13D65" w:rsidRPr="00632BB3" w:rsidRDefault="00B13D65" w:rsidP="00824B92">
            <w:r w:rsidRPr="00632BB3">
              <w:t xml:space="preserve">Paraiškos tipas </w:t>
            </w:r>
          </w:p>
          <w:p w14:paraId="0465E680" w14:textId="7F0A0714" w:rsidR="00B13D65" w:rsidRPr="00632BB3" w:rsidRDefault="00B13D65" w:rsidP="00824B92">
            <w:r w:rsidRPr="00632BB3">
              <w:t>(</w:t>
            </w:r>
            <w:r w:rsidR="00695CD3" w:rsidRPr="00632BB3">
              <w:t xml:space="preserve">pagal </w:t>
            </w:r>
            <w:r w:rsidR="0039696E" w:rsidRPr="00632BB3">
              <w:rPr>
                <w:shd w:val="clear" w:color="auto" w:fill="FFFFFF"/>
              </w:rPr>
              <w:t>vaistinio preparato registracijos tipą, įtvirtintą</w:t>
            </w:r>
            <w:r w:rsidR="0039696E" w:rsidRPr="00632BB3">
              <w:t xml:space="preserve"> </w:t>
            </w:r>
            <w:r w:rsidRPr="00632BB3">
              <w:t>Direktyv</w:t>
            </w:r>
            <w:r w:rsidR="00695CD3" w:rsidRPr="00632BB3">
              <w:t>os</w:t>
            </w:r>
            <w:r w:rsidRPr="00632BB3">
              <w:t xml:space="preserve"> 2001/83/EB</w:t>
            </w:r>
            <w:r w:rsidR="00695CD3" w:rsidRPr="00632BB3">
              <w:t xml:space="preserve"> straips</w:t>
            </w:r>
            <w:r w:rsidR="0039696E" w:rsidRPr="00632BB3">
              <w:t>iuose</w:t>
            </w:r>
            <w:r w:rsidRPr="00632BB3">
              <w:t>)</w:t>
            </w:r>
          </w:p>
          <w:p w14:paraId="77089D80" w14:textId="6681D72A" w:rsidR="00B13D65" w:rsidRPr="00632BB3" w:rsidRDefault="00B13D65" w:rsidP="00824B92">
            <w:pPr>
              <w:rPr>
                <w:bCs/>
                <w:lang w:eastAsia="lt-LT"/>
              </w:rPr>
            </w:pPr>
          </w:p>
        </w:tc>
        <w:tc>
          <w:tcPr>
            <w:tcW w:w="5167" w:type="dxa"/>
          </w:tcPr>
          <w:p w14:paraId="208F40EC" w14:textId="72AD270C" w:rsidR="00B13D65" w:rsidRPr="00632BB3" w:rsidRDefault="00182669" w:rsidP="00824B92">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9B2F9C" w:rsidRPr="00632BB3">
                  <w:rPr>
                    <w:rStyle w:val="Style2"/>
                    <w:rFonts w:ascii="Segoe UI Symbol" w:eastAsia="MS Gothic" w:hAnsi="Segoe UI Symbol" w:cs="Segoe UI Symbol"/>
                    <w:sz w:val="24"/>
                  </w:rPr>
                  <w:t>☒</w:t>
                </w:r>
              </w:sdtContent>
            </w:sdt>
            <w:r w:rsidR="00B13D65" w:rsidRPr="00632BB3">
              <w:t xml:space="preserve">8.3 str. (pilna byla, pagrįsta savais tyrimais) </w:t>
            </w:r>
          </w:p>
          <w:p w14:paraId="32BA564E" w14:textId="3FDA3E01" w:rsidR="00B13D65" w:rsidRPr="00632BB3" w:rsidRDefault="00182669" w:rsidP="00824B92">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CC7832" w:rsidRPr="00632BB3">
                  <w:rPr>
                    <w:rStyle w:val="Style2"/>
                    <w:rFonts w:ascii="Segoe UI Symbol" w:eastAsia="MS Gothic" w:hAnsi="Segoe UI Symbol" w:cs="Segoe UI Symbol"/>
                    <w:sz w:val="24"/>
                  </w:rPr>
                  <w:t>☐</w:t>
                </w:r>
              </w:sdtContent>
            </w:sdt>
            <w:r w:rsidR="00B13D65" w:rsidRPr="00632BB3">
              <w:t xml:space="preserve">10 a str. (pripažintas medicininis vartojimas) </w:t>
            </w:r>
          </w:p>
          <w:p w14:paraId="318DCD7F" w14:textId="32333E53" w:rsidR="00B13D65" w:rsidRPr="00632BB3" w:rsidRDefault="00182669" w:rsidP="00824B92">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CC7832" w:rsidRPr="00632BB3">
                  <w:rPr>
                    <w:rStyle w:val="Style2"/>
                    <w:rFonts w:ascii="Segoe UI Symbol" w:eastAsia="MS Gothic" w:hAnsi="Segoe UI Symbol" w:cs="Segoe UI Symbol"/>
                    <w:sz w:val="24"/>
                  </w:rPr>
                  <w:t>☐</w:t>
                </w:r>
              </w:sdtContent>
            </w:sdt>
            <w:r w:rsidR="00B13D65" w:rsidRPr="00632BB3">
              <w:t>10.1 str. (generinis)</w:t>
            </w:r>
          </w:p>
          <w:p w14:paraId="3B0A4F72" w14:textId="3F5FB073" w:rsidR="00B13D65" w:rsidRPr="00632BB3" w:rsidRDefault="00182669"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CC7832" w:rsidRPr="00632BB3">
                  <w:rPr>
                    <w:rStyle w:val="Style2"/>
                    <w:rFonts w:ascii="Segoe UI Symbol" w:eastAsia="MS Gothic" w:hAnsi="Segoe UI Symbol" w:cs="Segoe UI Symbol"/>
                    <w:sz w:val="24"/>
                  </w:rPr>
                  <w:t>☐</w:t>
                </w:r>
              </w:sdtContent>
            </w:sdt>
            <w:r w:rsidR="00B13D65" w:rsidRPr="00632BB3">
              <w:t>10.3 str. (hibridinis)</w:t>
            </w:r>
          </w:p>
        </w:tc>
      </w:tr>
      <w:tr w:rsidR="000203E1" w:rsidRPr="00632BB3" w14:paraId="310E9662" w14:textId="77777777" w:rsidTr="00BE7489">
        <w:trPr>
          <w:trHeight w:val="1442"/>
        </w:trPr>
        <w:tc>
          <w:tcPr>
            <w:tcW w:w="632" w:type="dxa"/>
          </w:tcPr>
          <w:p w14:paraId="4B5A91A2" w14:textId="561B5E5F" w:rsidR="00B13D65" w:rsidRPr="00632BB3" w:rsidRDefault="00B13D65" w:rsidP="00824B92">
            <w:pPr>
              <w:rPr>
                <w:rFonts w:eastAsia="Arial"/>
              </w:rPr>
            </w:pPr>
            <w:r w:rsidRPr="00632BB3">
              <w:rPr>
                <w:rFonts w:eastAsia="Arial"/>
              </w:rPr>
              <w:t>1.</w:t>
            </w:r>
            <w:r w:rsidR="002E0702" w:rsidRPr="00632BB3">
              <w:rPr>
                <w:rFonts w:eastAsia="Arial"/>
              </w:rPr>
              <w:t>4</w:t>
            </w:r>
          </w:p>
        </w:tc>
        <w:tc>
          <w:tcPr>
            <w:tcW w:w="3694" w:type="dxa"/>
          </w:tcPr>
          <w:p w14:paraId="483071A3" w14:textId="179210B8" w:rsidR="00B13D65" w:rsidRPr="00632BB3" w:rsidRDefault="00B13D65" w:rsidP="00824B92">
            <w:pPr>
              <w:rPr>
                <w:bCs/>
                <w:lang w:eastAsia="lt-LT"/>
              </w:rPr>
            </w:pPr>
            <w:r w:rsidRPr="00632BB3">
              <w:rPr>
                <w:bCs/>
                <w:lang w:eastAsia="lt-LT"/>
              </w:rPr>
              <w:t xml:space="preserve">Ar vaistinis preparatas įrašytas į Bendrijos retųjų vaistinių preparatų registrą? </w:t>
            </w:r>
          </w:p>
        </w:tc>
        <w:tc>
          <w:tcPr>
            <w:tcW w:w="5167" w:type="dxa"/>
          </w:tcPr>
          <w:p w14:paraId="05845C60" w14:textId="10CF4033" w:rsidR="00B13D65" w:rsidRPr="00632BB3" w:rsidRDefault="00182669"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632BB3">
                  <w:rPr>
                    <w:rStyle w:val="Style2"/>
                    <w:rFonts w:ascii="MS Gothic" w:eastAsia="MS Gothic" w:hAnsi="MS Gothic"/>
                    <w:sz w:val="24"/>
                  </w:rPr>
                  <w:t>☐</w:t>
                </w:r>
              </w:sdtContent>
            </w:sdt>
            <w:r w:rsidR="00B13D65" w:rsidRPr="00632BB3">
              <w:t xml:space="preserve"> Taip</w:t>
            </w:r>
          </w:p>
          <w:p w14:paraId="29C2CBBB" w14:textId="6E4FADEB" w:rsidR="00B13D65" w:rsidRPr="002B1DEB" w:rsidRDefault="00182669"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9B2F9C" w:rsidRPr="00632BB3">
                  <w:rPr>
                    <w:rStyle w:val="Style2"/>
                    <w:rFonts w:ascii="MS Gothic" w:eastAsia="MS Gothic" w:hAnsi="MS Gothic"/>
                    <w:sz w:val="24"/>
                  </w:rPr>
                  <w:t>☒</w:t>
                </w:r>
              </w:sdtContent>
            </w:sdt>
            <w:r w:rsidR="00B13D65" w:rsidRPr="00632BB3">
              <w:t xml:space="preserve"> Ne</w:t>
            </w:r>
          </w:p>
        </w:tc>
      </w:tr>
      <w:tr w:rsidR="000203E1" w:rsidRPr="00632BB3" w14:paraId="7841E5F8" w14:textId="77777777" w:rsidTr="00BE7489">
        <w:trPr>
          <w:trHeight w:val="476"/>
        </w:trPr>
        <w:tc>
          <w:tcPr>
            <w:tcW w:w="632" w:type="dxa"/>
          </w:tcPr>
          <w:p w14:paraId="109D2861" w14:textId="73BF27DF" w:rsidR="00D417D2" w:rsidRPr="00632BB3" w:rsidRDefault="00D417D2" w:rsidP="00824B92">
            <w:pPr>
              <w:rPr>
                <w:rFonts w:eastAsia="Arial"/>
              </w:rPr>
            </w:pPr>
            <w:r w:rsidRPr="00632BB3">
              <w:rPr>
                <w:rFonts w:eastAsia="Arial"/>
              </w:rPr>
              <w:t>1.5</w:t>
            </w:r>
          </w:p>
        </w:tc>
        <w:tc>
          <w:tcPr>
            <w:tcW w:w="3694" w:type="dxa"/>
          </w:tcPr>
          <w:p w14:paraId="7822D63E" w14:textId="68C38334" w:rsidR="00D417D2" w:rsidRPr="00632BB3" w:rsidRDefault="00D417D2" w:rsidP="00824B92">
            <w:pPr>
              <w:rPr>
                <w:bCs/>
                <w:lang w:eastAsia="lt-LT"/>
              </w:rPr>
            </w:pPr>
            <w:r w:rsidRPr="00632BB3">
              <w:t>STV paraiškos pobūdis</w:t>
            </w:r>
          </w:p>
        </w:tc>
        <w:tc>
          <w:tcPr>
            <w:tcW w:w="5167" w:type="dxa"/>
          </w:tcPr>
          <w:p w14:paraId="403461B9" w14:textId="1E4CB095" w:rsidR="00D417D2" w:rsidRPr="00632BB3" w:rsidRDefault="00182669"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sz w:val="24"/>
                  </w:rPr>
                  <w:t>☒</w:t>
                </w:r>
              </w:sdtContent>
            </w:sdt>
            <w:r w:rsidR="00D417D2" w:rsidRPr="00632BB3">
              <w:t xml:space="preserve"> Pilna paraiška</w:t>
            </w:r>
          </w:p>
          <w:p w14:paraId="6B8213E3" w14:textId="3495CDF4" w:rsidR="00D417D2" w:rsidRPr="00632BB3" w:rsidRDefault="00182669"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632BB3">
                  <w:rPr>
                    <w:rStyle w:val="Style2"/>
                    <w:rFonts w:ascii="MS Gothic" w:eastAsia="MS Gothic" w:hAnsi="MS Gothic"/>
                    <w:sz w:val="24"/>
                  </w:rPr>
                  <w:t>☐</w:t>
                </w:r>
              </w:sdtContent>
            </w:sdt>
            <w:r w:rsidR="00D417D2" w:rsidRPr="00632BB3">
              <w:t xml:space="preserve"> Supaprastinta paraiška</w:t>
            </w:r>
          </w:p>
        </w:tc>
      </w:tr>
      <w:tr w:rsidR="000203E1" w:rsidRPr="00632BB3" w14:paraId="274D1DAF" w14:textId="77777777" w:rsidTr="00030C28">
        <w:trPr>
          <w:trHeight w:val="440"/>
        </w:trPr>
        <w:tc>
          <w:tcPr>
            <w:tcW w:w="632" w:type="dxa"/>
          </w:tcPr>
          <w:p w14:paraId="17ABF217" w14:textId="14AC00D7" w:rsidR="00B13D65" w:rsidRPr="00632BB3" w:rsidRDefault="00B13D65" w:rsidP="00824B92">
            <w:pPr>
              <w:rPr>
                <w:rFonts w:eastAsia="Arial"/>
              </w:rPr>
            </w:pPr>
            <w:r w:rsidRPr="00632BB3">
              <w:rPr>
                <w:rFonts w:eastAsia="Arial"/>
              </w:rPr>
              <w:t>1.</w:t>
            </w:r>
            <w:r w:rsidR="00D417D2" w:rsidRPr="00632BB3">
              <w:rPr>
                <w:rFonts w:eastAsia="Arial"/>
              </w:rPr>
              <w:t>6</w:t>
            </w:r>
          </w:p>
        </w:tc>
        <w:tc>
          <w:tcPr>
            <w:tcW w:w="3694" w:type="dxa"/>
          </w:tcPr>
          <w:p w14:paraId="4D49DBF5" w14:textId="77777777" w:rsidR="007656B2" w:rsidRPr="00632BB3" w:rsidRDefault="00DE4484" w:rsidP="00824B92">
            <w:pPr>
              <w:rPr>
                <w:bCs/>
                <w:lang w:eastAsia="lt-LT"/>
              </w:rPr>
            </w:pPr>
            <w:r w:rsidRPr="00632BB3">
              <w:rPr>
                <w:bCs/>
                <w:lang w:eastAsia="lt-LT"/>
              </w:rPr>
              <w:t>Par</w:t>
            </w:r>
            <w:r w:rsidR="007656B2" w:rsidRPr="00632BB3">
              <w:rPr>
                <w:bCs/>
                <w:lang w:eastAsia="lt-LT"/>
              </w:rPr>
              <w:t>eiškėjo t</w:t>
            </w:r>
            <w:r w:rsidR="00B13D65" w:rsidRPr="00632BB3">
              <w:rPr>
                <w:bCs/>
                <w:lang w:eastAsia="lt-LT"/>
              </w:rPr>
              <w:t>eikiama (-os) kompensuoti vaistinio preparato indikacija (-os)</w:t>
            </w:r>
          </w:p>
          <w:p w14:paraId="6B4FEEC1" w14:textId="6A619694" w:rsidR="00B13D65" w:rsidRPr="00632BB3" w:rsidRDefault="007656B2" w:rsidP="00824B92">
            <w:pPr>
              <w:rPr>
                <w:bCs/>
                <w:lang w:eastAsia="lt-LT"/>
              </w:rPr>
            </w:pPr>
            <w:r w:rsidRPr="00632BB3">
              <w:rPr>
                <w:bCs/>
                <w:lang w:eastAsia="lt-LT"/>
              </w:rPr>
              <w:t>K</w:t>
            </w:r>
            <w:r w:rsidR="00B13D65" w:rsidRPr="00632BB3">
              <w:rPr>
                <w:bCs/>
                <w:lang w:eastAsia="lt-LT"/>
              </w:rPr>
              <w:t>odas</w:t>
            </w:r>
            <w:r w:rsidRPr="00632BB3">
              <w:rPr>
                <w:bCs/>
                <w:lang w:eastAsia="lt-LT"/>
              </w:rPr>
              <w:t xml:space="preserve"> pagal TLK-10 AM</w:t>
            </w:r>
          </w:p>
        </w:tc>
        <w:tc>
          <w:tcPr>
            <w:tcW w:w="5167" w:type="dxa"/>
          </w:tcPr>
          <w:p w14:paraId="306A4AF2" w14:textId="77777777" w:rsidR="002B1DEB" w:rsidRDefault="002B1DEB" w:rsidP="002B1DEB">
            <w:pPr>
              <w:pStyle w:val="Sraopastraipa"/>
              <w:spacing w:after="120"/>
              <w:ind w:left="21"/>
              <w:jc w:val="both"/>
            </w:pPr>
            <w:r w:rsidRPr="00EB194D">
              <w:t>Tevimbra monoterapija skirta vietiškai išplitusiu ar metastazavusiu NSLPV sergančių suaugusių pacientų gydymui po anksčiau skirtos chemoterapijos su platinos vaistiniais preparatais. Pacientams, kuriems nustatyta EGFR mutacijų arba ALK teigiamas NSLPV, prieš skiriant tislelizumabo anksčiau taip pat turėjo būti skirtas tikslinis gydymas.</w:t>
            </w:r>
          </w:p>
          <w:p w14:paraId="78C9EA05" w14:textId="77777777" w:rsidR="002B1DEB" w:rsidRPr="00EB194D" w:rsidRDefault="002B1DEB" w:rsidP="002B1DEB">
            <w:pPr>
              <w:pStyle w:val="Sraopastraipa"/>
              <w:spacing w:after="120"/>
              <w:ind w:left="21"/>
              <w:jc w:val="both"/>
            </w:pPr>
          </w:p>
          <w:p w14:paraId="13F7DFB0" w14:textId="7523C649" w:rsidR="00B13D65" w:rsidRPr="00632BB3" w:rsidRDefault="002B1DEB" w:rsidP="002B1DEB">
            <w:pPr>
              <w:spacing w:line="276" w:lineRule="auto"/>
              <w:rPr>
                <w:lang w:eastAsia="lt-LT"/>
              </w:rPr>
            </w:pPr>
            <w:r w:rsidRPr="00EB194D">
              <w:lastRenderedPageBreak/>
              <w:t>TLK-10 AM kodas – C34.</w:t>
            </w:r>
          </w:p>
        </w:tc>
      </w:tr>
      <w:tr w:rsidR="008C2035" w:rsidRPr="00632BB3" w14:paraId="2F79DC08" w14:textId="77777777" w:rsidTr="00BE7489">
        <w:trPr>
          <w:trHeight w:val="378"/>
        </w:trPr>
        <w:tc>
          <w:tcPr>
            <w:tcW w:w="632" w:type="dxa"/>
          </w:tcPr>
          <w:p w14:paraId="547885A2" w14:textId="2EE70237" w:rsidR="008C2035" w:rsidRPr="00632BB3" w:rsidRDefault="008C2035" w:rsidP="008C2035">
            <w:pPr>
              <w:rPr>
                <w:rFonts w:eastAsia="Arial"/>
              </w:rPr>
            </w:pPr>
            <w:r w:rsidRPr="00632BB3">
              <w:rPr>
                <w:rFonts w:eastAsia="Arial"/>
              </w:rPr>
              <w:lastRenderedPageBreak/>
              <w:t>1.7</w:t>
            </w:r>
          </w:p>
        </w:tc>
        <w:tc>
          <w:tcPr>
            <w:tcW w:w="3694" w:type="dxa"/>
          </w:tcPr>
          <w:p w14:paraId="2EAB877F" w14:textId="39A36941" w:rsidR="008C2035" w:rsidRPr="00632BB3" w:rsidRDefault="008C2035" w:rsidP="008C2035">
            <w:pPr>
              <w:rPr>
                <w:bCs/>
                <w:u w:val="single"/>
                <w:lang w:eastAsia="lt-LT"/>
              </w:rPr>
            </w:pPr>
            <w:r w:rsidRPr="00632BB3">
              <w:rPr>
                <w:bCs/>
                <w:lang w:eastAsia="lt-LT"/>
              </w:rPr>
              <w:t xml:space="preserve">Pareiškėjo teikiamos skyrimo sąlygos </w:t>
            </w:r>
          </w:p>
        </w:tc>
        <w:tc>
          <w:tcPr>
            <w:tcW w:w="5167" w:type="dxa"/>
          </w:tcPr>
          <w:p w14:paraId="0579DF58" w14:textId="7B6E8B10" w:rsidR="008C2035" w:rsidRPr="00632BB3" w:rsidRDefault="008C2035" w:rsidP="008C2035">
            <w:pPr>
              <w:tabs>
                <w:tab w:val="left" w:pos="3324"/>
              </w:tabs>
            </w:pPr>
            <w:r w:rsidRPr="00632BB3">
              <w:rPr>
                <w:lang w:eastAsia="lt-LT"/>
              </w:rPr>
              <w:t>Skyrimo sąlygos atitinka registruotą indikaciją.</w:t>
            </w:r>
          </w:p>
        </w:tc>
      </w:tr>
      <w:tr w:rsidR="008C2035" w:rsidRPr="00632BB3" w14:paraId="3B125269" w14:textId="77777777" w:rsidTr="00BE7489">
        <w:trPr>
          <w:trHeight w:val="378"/>
        </w:trPr>
        <w:tc>
          <w:tcPr>
            <w:tcW w:w="632" w:type="dxa"/>
          </w:tcPr>
          <w:p w14:paraId="0058E11F" w14:textId="3C0D7626" w:rsidR="008C2035" w:rsidRPr="00632BB3" w:rsidRDefault="008C2035" w:rsidP="008C2035">
            <w:pPr>
              <w:rPr>
                <w:rFonts w:eastAsia="Arial"/>
              </w:rPr>
            </w:pPr>
            <w:r w:rsidRPr="00632BB3">
              <w:rPr>
                <w:rFonts w:eastAsia="Arial"/>
              </w:rPr>
              <w:t>1.8</w:t>
            </w:r>
          </w:p>
        </w:tc>
        <w:tc>
          <w:tcPr>
            <w:tcW w:w="3694" w:type="dxa"/>
          </w:tcPr>
          <w:p w14:paraId="738E1926" w14:textId="77777777" w:rsidR="008C2035" w:rsidRPr="00632BB3" w:rsidRDefault="008C2035" w:rsidP="008C2035">
            <w:pPr>
              <w:rPr>
                <w:bCs/>
                <w:lang w:eastAsia="lt-LT"/>
              </w:rPr>
            </w:pPr>
            <w:r w:rsidRPr="00632BB3">
              <w:rPr>
                <w:bCs/>
                <w:lang w:eastAsia="lt-LT"/>
              </w:rPr>
              <w:t xml:space="preserve">Pareiškėjo teikiamas palyginamasis gydymas </w:t>
            </w:r>
          </w:p>
          <w:p w14:paraId="61EC5BBD" w14:textId="7A8BD8B4" w:rsidR="008C2035" w:rsidRPr="00632BB3" w:rsidRDefault="008C2035" w:rsidP="008C2035">
            <w:pPr>
              <w:rPr>
                <w:bCs/>
                <w:lang w:eastAsia="lt-LT"/>
              </w:rPr>
            </w:pPr>
          </w:p>
          <w:p w14:paraId="62057D94" w14:textId="77777777" w:rsidR="008C2035" w:rsidRPr="00632BB3" w:rsidRDefault="008C2035" w:rsidP="008C2035">
            <w:pPr>
              <w:rPr>
                <w:bCs/>
                <w:lang w:eastAsia="lt-LT"/>
              </w:rPr>
            </w:pPr>
          </w:p>
          <w:p w14:paraId="6CC1022E" w14:textId="2B6BCEE1" w:rsidR="008C2035" w:rsidRPr="00632BB3" w:rsidRDefault="008C2035" w:rsidP="008C2035">
            <w:pPr>
              <w:rPr>
                <w:bCs/>
                <w:lang w:eastAsia="lt-LT"/>
              </w:rPr>
            </w:pPr>
          </w:p>
        </w:tc>
        <w:tc>
          <w:tcPr>
            <w:tcW w:w="5167" w:type="dxa"/>
          </w:tcPr>
          <w:p w14:paraId="1F113AC0" w14:textId="6A81FBDA" w:rsidR="008C2035" w:rsidRPr="00632BB3" w:rsidRDefault="00182669" w:rsidP="008C2035">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sz w:val="24"/>
                  </w:rPr>
                  <w:t>☒</w:t>
                </w:r>
              </w:sdtContent>
            </w:sdt>
            <w:r w:rsidR="008C2035" w:rsidRPr="00632BB3">
              <w:t xml:space="preserve"> Tinkamas (</w:t>
            </w:r>
            <w:r w:rsidR="002B1DEB">
              <w:t>nivolumabas, atezolizumabas</w:t>
            </w:r>
            <w:r w:rsidR="008C2035" w:rsidRPr="00632BB3">
              <w:t>)</w:t>
            </w:r>
          </w:p>
          <w:p w14:paraId="41B44044" w14:textId="199BD9DF" w:rsidR="008C2035" w:rsidRPr="00632BB3" w:rsidRDefault="00182669" w:rsidP="008C2035">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sz w:val="24"/>
                  </w:rPr>
                  <w:t>☐</w:t>
                </w:r>
              </w:sdtContent>
            </w:sdt>
            <w:r w:rsidR="008C2035" w:rsidRPr="00632BB3">
              <w:t xml:space="preserve"> Netinkama</w:t>
            </w:r>
          </w:p>
        </w:tc>
      </w:tr>
    </w:tbl>
    <w:p w14:paraId="108176F7" w14:textId="640C6F75" w:rsidR="00F70C9E" w:rsidRPr="00632BB3" w:rsidRDefault="00F70C9E" w:rsidP="00E03C3F">
      <w:pPr>
        <w:pStyle w:val="Sraopastraipa"/>
        <w:tabs>
          <w:tab w:val="left" w:pos="426"/>
        </w:tabs>
        <w:ind w:left="0"/>
        <w:rPr>
          <w:b/>
          <w:bCs/>
          <w:caps/>
        </w:rPr>
      </w:pPr>
    </w:p>
    <w:p w14:paraId="2871CA7F" w14:textId="3B173597" w:rsidR="00F70C9E" w:rsidRPr="00632BB3" w:rsidRDefault="00F70C9E" w:rsidP="00880A44">
      <w:pPr>
        <w:spacing w:line="276" w:lineRule="auto"/>
        <w:jc w:val="both"/>
        <w:rPr>
          <w:rFonts w:eastAsia="Arial"/>
          <w:b/>
        </w:rPr>
      </w:pPr>
      <w:r w:rsidRPr="00632BB3">
        <w:rPr>
          <w:rFonts w:eastAsia="Arial"/>
          <w:b/>
        </w:rPr>
        <w:t>1.</w:t>
      </w:r>
      <w:r w:rsidR="00164D64" w:rsidRPr="00632BB3">
        <w:rPr>
          <w:rFonts w:eastAsia="Arial"/>
          <w:b/>
        </w:rPr>
        <w:t>9</w:t>
      </w:r>
      <w:r w:rsidRPr="00632BB3">
        <w:rPr>
          <w:rFonts w:eastAsia="Arial"/>
          <w:b/>
        </w:rPr>
        <w:t xml:space="preserve"> Kitų </w:t>
      </w:r>
      <w:r w:rsidR="00DF583C" w:rsidRPr="00632BB3">
        <w:rPr>
          <w:rFonts w:eastAsia="Arial"/>
          <w:b/>
        </w:rPr>
        <w:t xml:space="preserve">valstybių </w:t>
      </w:r>
      <w:r w:rsidRPr="00632BB3">
        <w:rPr>
          <w:rFonts w:eastAsia="Arial"/>
          <w:b/>
        </w:rPr>
        <w:t xml:space="preserve">atsakingų institucijų atlikto </w:t>
      </w:r>
      <w:r w:rsidR="00DF583C" w:rsidRPr="00632BB3">
        <w:rPr>
          <w:rFonts w:eastAsia="Arial"/>
          <w:b/>
        </w:rPr>
        <w:t>Sveikatos technologijų vertinimo (toliau – STV)</w:t>
      </w:r>
      <w:r w:rsidRPr="00632BB3">
        <w:rPr>
          <w:rFonts w:eastAsia="Arial"/>
          <w:b/>
        </w:rPr>
        <w:t xml:space="preserve"> išvados</w:t>
      </w:r>
    </w:p>
    <w:p w14:paraId="30721FDD" w14:textId="77777777" w:rsidR="00F70C9E" w:rsidRPr="00632BB3"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8C2035" w:rsidRPr="00632BB3" w14:paraId="1875FE84" w14:textId="77777777" w:rsidTr="00063726">
        <w:trPr>
          <w:trHeight w:val="924"/>
        </w:trPr>
        <w:tc>
          <w:tcPr>
            <w:tcW w:w="2927" w:type="dxa"/>
          </w:tcPr>
          <w:p w14:paraId="4C86A462" w14:textId="77777777" w:rsidR="008C2035" w:rsidRPr="00632BB3" w:rsidRDefault="008C2035" w:rsidP="00063726">
            <w:pPr>
              <w:spacing w:line="276" w:lineRule="auto"/>
              <w:rPr>
                <w:rFonts w:eastAsia="Arial"/>
              </w:rPr>
            </w:pPr>
            <w:r w:rsidRPr="00632BB3">
              <w:rPr>
                <w:rFonts w:eastAsia="Arial"/>
              </w:rPr>
              <w:t>STV agentūros pavadinimas, šalis</w:t>
            </w:r>
          </w:p>
        </w:tc>
        <w:tc>
          <w:tcPr>
            <w:tcW w:w="1915" w:type="dxa"/>
          </w:tcPr>
          <w:p w14:paraId="645D2049" w14:textId="77777777" w:rsidR="008C2035" w:rsidRPr="00632BB3" w:rsidRDefault="008C2035" w:rsidP="00063726">
            <w:pPr>
              <w:spacing w:line="276" w:lineRule="auto"/>
              <w:rPr>
                <w:rFonts w:eastAsia="Arial"/>
              </w:rPr>
            </w:pPr>
            <w:r w:rsidRPr="00632BB3">
              <w:rPr>
                <w:rFonts w:eastAsia="Arial"/>
              </w:rPr>
              <w:t>STV vertinimas atliktas</w:t>
            </w:r>
          </w:p>
        </w:tc>
        <w:tc>
          <w:tcPr>
            <w:tcW w:w="2351" w:type="dxa"/>
          </w:tcPr>
          <w:p w14:paraId="63AC84CE" w14:textId="77777777" w:rsidR="008C2035" w:rsidRPr="00632BB3" w:rsidRDefault="008C2035" w:rsidP="00063726">
            <w:pPr>
              <w:spacing w:line="276" w:lineRule="auto"/>
              <w:rPr>
                <w:rFonts w:eastAsia="Arial"/>
              </w:rPr>
            </w:pPr>
            <w:r w:rsidRPr="00632BB3">
              <w:rPr>
                <w:rFonts w:eastAsia="Arial"/>
              </w:rPr>
              <w:t>Klinikinio vertinimo išvada</w:t>
            </w:r>
          </w:p>
        </w:tc>
        <w:tc>
          <w:tcPr>
            <w:tcW w:w="2725" w:type="dxa"/>
          </w:tcPr>
          <w:p w14:paraId="6C6FCF70" w14:textId="77777777" w:rsidR="008C2035" w:rsidRPr="00632BB3" w:rsidRDefault="008C2035" w:rsidP="00063726">
            <w:pPr>
              <w:spacing w:line="276" w:lineRule="auto"/>
              <w:rPr>
                <w:rFonts w:eastAsia="Arial"/>
              </w:rPr>
            </w:pPr>
            <w:r w:rsidRPr="00632BB3">
              <w:rPr>
                <w:rFonts w:eastAsia="Arial"/>
              </w:rPr>
              <w:t>Farmakoekonominio vertinimo išvada</w:t>
            </w:r>
          </w:p>
        </w:tc>
      </w:tr>
      <w:tr w:rsidR="008C2035" w:rsidRPr="00632BB3" w14:paraId="68BF99DD" w14:textId="77777777" w:rsidTr="00063726">
        <w:trPr>
          <w:trHeight w:val="1765"/>
        </w:trPr>
        <w:tc>
          <w:tcPr>
            <w:tcW w:w="2927" w:type="dxa"/>
          </w:tcPr>
          <w:p w14:paraId="01B1C721" w14:textId="77777777" w:rsidR="008C2035" w:rsidRPr="00632BB3" w:rsidRDefault="008C2035" w:rsidP="00063726">
            <w:pPr>
              <w:autoSpaceDE w:val="0"/>
              <w:autoSpaceDN w:val="0"/>
              <w:adjustRightInd w:val="0"/>
              <w:spacing w:line="276" w:lineRule="auto"/>
              <w:rPr>
                <w:bCs/>
              </w:rPr>
            </w:pPr>
            <w:r w:rsidRPr="00632BB3">
              <w:rPr>
                <w:bCs/>
              </w:rPr>
              <w:t>Nacionalinis sveikatos ir klinikinės kompetencijos institutas, Didžioji Britanija</w:t>
            </w:r>
          </w:p>
          <w:p w14:paraId="1C30E0CE" w14:textId="77777777" w:rsidR="008C2035" w:rsidRPr="00632BB3" w:rsidRDefault="008C2035" w:rsidP="00063726">
            <w:pPr>
              <w:spacing w:line="276" w:lineRule="auto"/>
              <w:rPr>
                <w:rFonts w:eastAsia="Arial"/>
              </w:rPr>
            </w:pPr>
            <w:r w:rsidRPr="00632BB3">
              <w:rPr>
                <w:rFonts w:eastAsia="Arial"/>
              </w:rPr>
              <w:t xml:space="preserve">(angl. </w:t>
            </w:r>
            <w:r w:rsidRPr="00632BB3">
              <w:rPr>
                <w:rFonts w:eastAsia="Arial"/>
                <w:i/>
              </w:rPr>
              <w:t>National Institute for Health and Care Excellence, NICE</w:t>
            </w:r>
            <w:r w:rsidRPr="00632BB3">
              <w:rPr>
                <w:rFonts w:eastAsia="Arial"/>
              </w:rPr>
              <w:t>)</w:t>
            </w:r>
          </w:p>
        </w:tc>
        <w:tc>
          <w:tcPr>
            <w:tcW w:w="1915" w:type="dxa"/>
          </w:tcPr>
          <w:p w14:paraId="1A2D11F0" w14:textId="77777777" w:rsidR="008C2035" w:rsidRPr="00632BB3" w:rsidRDefault="00182669" w:rsidP="00063726">
            <w:pPr>
              <w:spacing w:line="276" w:lineRule="auto"/>
            </w:pPr>
            <w:sdt>
              <w:sdtPr>
                <w:rPr>
                  <w:rStyle w:val="Style2"/>
                </w:rPr>
                <w:id w:val="1558205022"/>
                <w15:color w:val="FFCC00"/>
                <w14:checkbox>
                  <w14:checked w14:val="0"/>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rPr>
                  <w:t>☐</w:t>
                </w:r>
              </w:sdtContent>
            </w:sdt>
            <w:r w:rsidR="008C2035" w:rsidRPr="00632BB3">
              <w:t xml:space="preserve"> Taip</w:t>
            </w:r>
          </w:p>
          <w:p w14:paraId="4E15D929" w14:textId="77777777" w:rsidR="008C2035" w:rsidRPr="00632BB3" w:rsidRDefault="00182669" w:rsidP="00063726">
            <w:pPr>
              <w:spacing w:line="276" w:lineRule="auto"/>
            </w:pPr>
            <w:sdt>
              <w:sdtPr>
                <w:rPr>
                  <w:rStyle w:val="Style2"/>
                </w:rPr>
                <w:id w:val="866029625"/>
                <w15:color w:val="FFCC00"/>
                <w14:checkbox>
                  <w14:checked w14:val="1"/>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rPr>
                  <w:t>☒</w:t>
                </w:r>
              </w:sdtContent>
            </w:sdt>
            <w:r w:rsidR="008C2035" w:rsidRPr="00632BB3">
              <w:t xml:space="preserve"> Ne</w:t>
            </w:r>
          </w:p>
          <w:p w14:paraId="3738E3D8" w14:textId="77777777" w:rsidR="008C2035" w:rsidRPr="00632BB3" w:rsidRDefault="008C2035" w:rsidP="00063726">
            <w:pPr>
              <w:spacing w:line="276" w:lineRule="auto"/>
              <w:rPr>
                <w:rFonts w:eastAsia="Arial"/>
              </w:rPr>
            </w:pPr>
          </w:p>
        </w:tc>
        <w:tc>
          <w:tcPr>
            <w:tcW w:w="2351" w:type="dxa"/>
          </w:tcPr>
          <w:p w14:paraId="1C89A92B" w14:textId="77777777" w:rsidR="008C2035" w:rsidRPr="00632BB3" w:rsidRDefault="008C2035" w:rsidP="00063726">
            <w:pPr>
              <w:spacing w:line="276" w:lineRule="auto"/>
              <w:rPr>
                <w:rFonts w:eastAsia="Arial"/>
              </w:rPr>
            </w:pPr>
          </w:p>
        </w:tc>
        <w:tc>
          <w:tcPr>
            <w:tcW w:w="2725" w:type="dxa"/>
          </w:tcPr>
          <w:p w14:paraId="682B85F9" w14:textId="77777777" w:rsidR="008C2035" w:rsidRPr="00632BB3" w:rsidRDefault="008C2035" w:rsidP="00063726">
            <w:pPr>
              <w:spacing w:line="276" w:lineRule="auto"/>
              <w:rPr>
                <w:rFonts w:eastAsia="Arial"/>
              </w:rPr>
            </w:pPr>
          </w:p>
        </w:tc>
      </w:tr>
      <w:tr w:rsidR="008C2035" w:rsidRPr="00632BB3" w14:paraId="358F46B3" w14:textId="77777777" w:rsidTr="00063726">
        <w:trPr>
          <w:trHeight w:val="1547"/>
        </w:trPr>
        <w:tc>
          <w:tcPr>
            <w:tcW w:w="2927" w:type="dxa"/>
          </w:tcPr>
          <w:p w14:paraId="197EAF85" w14:textId="77777777" w:rsidR="008C2035" w:rsidRPr="00632BB3" w:rsidRDefault="008C2035" w:rsidP="00063726">
            <w:pPr>
              <w:spacing w:line="276" w:lineRule="auto"/>
              <w:rPr>
                <w:rFonts w:eastAsia="Arial"/>
              </w:rPr>
            </w:pPr>
            <w:r w:rsidRPr="00632BB3">
              <w:rPr>
                <w:rFonts w:eastAsia="Arial"/>
              </w:rPr>
              <w:t>Kanados sveikatos technologijų agentūra</w:t>
            </w:r>
          </w:p>
          <w:p w14:paraId="2C203AF0" w14:textId="77777777" w:rsidR="008C2035" w:rsidRPr="00632BB3" w:rsidRDefault="008C2035" w:rsidP="00063726">
            <w:pPr>
              <w:spacing w:line="276" w:lineRule="auto"/>
              <w:rPr>
                <w:rFonts w:eastAsia="Arial"/>
              </w:rPr>
            </w:pPr>
            <w:r w:rsidRPr="00632BB3">
              <w:rPr>
                <w:rFonts w:eastAsia="Arial"/>
              </w:rPr>
              <w:t xml:space="preserve">(angl. </w:t>
            </w:r>
            <w:r w:rsidRPr="00632BB3">
              <w:rPr>
                <w:rFonts w:eastAsia="Arial"/>
                <w:i/>
              </w:rPr>
              <w:t>Canadian health Technology Assessment agency, CADTH</w:t>
            </w:r>
            <w:r w:rsidRPr="00632BB3">
              <w:rPr>
                <w:rFonts w:eastAsia="Arial"/>
              </w:rPr>
              <w:t>)</w:t>
            </w:r>
          </w:p>
        </w:tc>
        <w:tc>
          <w:tcPr>
            <w:tcW w:w="1915" w:type="dxa"/>
          </w:tcPr>
          <w:p w14:paraId="6B81D6D0" w14:textId="77777777" w:rsidR="008C2035" w:rsidRPr="00632BB3" w:rsidRDefault="00182669" w:rsidP="00063726">
            <w:pPr>
              <w:spacing w:line="276" w:lineRule="auto"/>
            </w:pPr>
            <w:sdt>
              <w:sdtPr>
                <w:rPr>
                  <w:rStyle w:val="Style2"/>
                </w:rPr>
                <w:id w:val="-372539057"/>
                <w15:color w:val="FFCC00"/>
                <w14:checkbox>
                  <w14:checked w14:val="0"/>
                  <w14:checkedState w14:val="2612" w14:font="MS Gothic"/>
                  <w14:uncheckedState w14:val="2610" w14:font="MS Gothic"/>
                </w14:checkbox>
              </w:sdtPr>
              <w:sdtEndPr>
                <w:rPr>
                  <w:rStyle w:val="Style2"/>
                </w:rPr>
              </w:sdtEndPr>
              <w:sdtContent>
                <w:r w:rsidR="008C2035" w:rsidRPr="00632BB3">
                  <w:rPr>
                    <w:rStyle w:val="Style2"/>
                    <w:rFonts w:ascii="Segoe UI Symbol" w:eastAsia="MS Gothic" w:hAnsi="Segoe UI Symbol" w:cs="Segoe UI Symbol"/>
                  </w:rPr>
                  <w:t>☐</w:t>
                </w:r>
              </w:sdtContent>
            </w:sdt>
            <w:r w:rsidR="008C2035" w:rsidRPr="00632BB3">
              <w:t xml:space="preserve"> Taip</w:t>
            </w:r>
          </w:p>
          <w:p w14:paraId="6F1ACA4B" w14:textId="77777777" w:rsidR="008C2035" w:rsidRPr="00632BB3" w:rsidRDefault="00182669" w:rsidP="00063726">
            <w:pPr>
              <w:spacing w:line="276" w:lineRule="auto"/>
            </w:pPr>
            <w:sdt>
              <w:sdtPr>
                <w:rPr>
                  <w:rStyle w:val="Style2"/>
                </w:rPr>
                <w:id w:val="594442222"/>
                <w15:color w:val="FFCC00"/>
                <w14:checkbox>
                  <w14:checked w14:val="1"/>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rPr>
                  <w:t>☒</w:t>
                </w:r>
              </w:sdtContent>
            </w:sdt>
            <w:r w:rsidR="008C2035" w:rsidRPr="00632BB3">
              <w:t xml:space="preserve"> Ne</w:t>
            </w:r>
          </w:p>
          <w:p w14:paraId="71CF8C44" w14:textId="77777777" w:rsidR="008C2035" w:rsidRPr="00632BB3" w:rsidRDefault="008C2035" w:rsidP="00063726">
            <w:pPr>
              <w:spacing w:line="276" w:lineRule="auto"/>
              <w:rPr>
                <w:rFonts w:eastAsia="Arial"/>
              </w:rPr>
            </w:pPr>
          </w:p>
        </w:tc>
        <w:tc>
          <w:tcPr>
            <w:tcW w:w="2351" w:type="dxa"/>
          </w:tcPr>
          <w:p w14:paraId="4244F1A2" w14:textId="77777777" w:rsidR="008C2035" w:rsidRPr="00632BB3" w:rsidRDefault="008C2035" w:rsidP="00063726">
            <w:pPr>
              <w:spacing w:line="276" w:lineRule="auto"/>
              <w:rPr>
                <w:rFonts w:eastAsia="Arial"/>
              </w:rPr>
            </w:pPr>
          </w:p>
        </w:tc>
        <w:tc>
          <w:tcPr>
            <w:tcW w:w="2725" w:type="dxa"/>
          </w:tcPr>
          <w:p w14:paraId="69F6A11A" w14:textId="77777777" w:rsidR="008C2035" w:rsidRPr="00632BB3" w:rsidRDefault="008C2035" w:rsidP="00063726">
            <w:pPr>
              <w:spacing w:line="276" w:lineRule="auto"/>
              <w:rPr>
                <w:rFonts w:eastAsia="Arial"/>
              </w:rPr>
            </w:pPr>
          </w:p>
        </w:tc>
      </w:tr>
      <w:tr w:rsidR="008C2035" w:rsidRPr="00632BB3" w14:paraId="094D8AB6" w14:textId="77777777" w:rsidTr="00063726">
        <w:trPr>
          <w:trHeight w:val="1927"/>
        </w:trPr>
        <w:tc>
          <w:tcPr>
            <w:tcW w:w="2927" w:type="dxa"/>
          </w:tcPr>
          <w:p w14:paraId="54981C37" w14:textId="77777777" w:rsidR="008C2035" w:rsidRPr="00632BB3" w:rsidRDefault="008C2035" w:rsidP="00063726">
            <w:pPr>
              <w:spacing w:line="276" w:lineRule="auto"/>
              <w:rPr>
                <w:rFonts w:eastAsia="Arial"/>
              </w:rPr>
            </w:pPr>
            <w:r w:rsidRPr="00632BB3">
              <w:rPr>
                <w:rFonts w:eastAsia="Arial"/>
              </w:rPr>
              <w:t>Nacionalinis farmakoekonomikos centras, Airija</w:t>
            </w:r>
          </w:p>
          <w:p w14:paraId="6A7F45FD" w14:textId="77777777" w:rsidR="008C2035" w:rsidRPr="00632BB3" w:rsidRDefault="008C2035" w:rsidP="00063726">
            <w:pPr>
              <w:spacing w:line="276" w:lineRule="auto"/>
              <w:rPr>
                <w:rFonts w:eastAsia="Arial"/>
              </w:rPr>
            </w:pPr>
            <w:r w:rsidRPr="00632BB3">
              <w:rPr>
                <w:rFonts w:eastAsia="Arial"/>
              </w:rPr>
              <w:t>(angl.</w:t>
            </w:r>
            <w:r w:rsidRPr="00632BB3">
              <w:rPr>
                <w:rFonts w:eastAsia="Arial"/>
                <w:i/>
              </w:rPr>
              <w:t xml:space="preserve"> National Centre for Pharmacoeconomics, NCPE</w:t>
            </w:r>
            <w:r w:rsidRPr="00632BB3">
              <w:rPr>
                <w:rFonts w:eastAsia="Arial"/>
              </w:rPr>
              <w:t>)</w:t>
            </w:r>
          </w:p>
        </w:tc>
        <w:tc>
          <w:tcPr>
            <w:tcW w:w="1915" w:type="dxa"/>
          </w:tcPr>
          <w:p w14:paraId="2FACFD36" w14:textId="77777777" w:rsidR="008C2035" w:rsidRPr="00632BB3" w:rsidRDefault="00182669" w:rsidP="00063726">
            <w:pPr>
              <w:spacing w:line="276" w:lineRule="auto"/>
            </w:pPr>
            <w:sdt>
              <w:sdtPr>
                <w:rPr>
                  <w:rStyle w:val="Style2"/>
                </w:rPr>
                <w:id w:val="-1888403732"/>
                <w15:color w:val="FFCC00"/>
                <w14:checkbox>
                  <w14:checked w14:val="0"/>
                  <w14:checkedState w14:val="2612" w14:font="MS Gothic"/>
                  <w14:uncheckedState w14:val="2610" w14:font="MS Gothic"/>
                </w14:checkbox>
              </w:sdtPr>
              <w:sdtEndPr>
                <w:rPr>
                  <w:rStyle w:val="Style2"/>
                </w:rPr>
              </w:sdtEndPr>
              <w:sdtContent>
                <w:r w:rsidR="008C2035" w:rsidRPr="00632BB3">
                  <w:rPr>
                    <w:rStyle w:val="Style2"/>
                    <w:rFonts w:ascii="Segoe UI Symbol" w:eastAsia="MS Gothic" w:hAnsi="Segoe UI Symbol" w:cs="Segoe UI Symbol"/>
                  </w:rPr>
                  <w:t>☐</w:t>
                </w:r>
              </w:sdtContent>
            </w:sdt>
            <w:r w:rsidR="008C2035" w:rsidRPr="00632BB3">
              <w:t xml:space="preserve"> Taip</w:t>
            </w:r>
          </w:p>
          <w:p w14:paraId="1A7AD597" w14:textId="77777777" w:rsidR="008C2035" w:rsidRPr="00632BB3" w:rsidRDefault="00182669" w:rsidP="00063726">
            <w:pPr>
              <w:spacing w:line="276" w:lineRule="auto"/>
            </w:pPr>
            <w:sdt>
              <w:sdtPr>
                <w:rPr>
                  <w:rStyle w:val="Style2"/>
                </w:rPr>
                <w:id w:val="1092201793"/>
                <w15:color w:val="FFCC00"/>
                <w14:checkbox>
                  <w14:checked w14:val="1"/>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rPr>
                  <w:t>☒</w:t>
                </w:r>
              </w:sdtContent>
            </w:sdt>
            <w:r w:rsidR="008C2035" w:rsidRPr="00632BB3">
              <w:t xml:space="preserve"> Ne</w:t>
            </w:r>
          </w:p>
        </w:tc>
        <w:tc>
          <w:tcPr>
            <w:tcW w:w="2351" w:type="dxa"/>
          </w:tcPr>
          <w:p w14:paraId="7560B494" w14:textId="77777777" w:rsidR="008C2035" w:rsidRPr="00632BB3" w:rsidRDefault="008C2035" w:rsidP="00063726">
            <w:pPr>
              <w:spacing w:line="276" w:lineRule="auto"/>
              <w:rPr>
                <w:rFonts w:eastAsia="Arial"/>
              </w:rPr>
            </w:pPr>
          </w:p>
        </w:tc>
        <w:tc>
          <w:tcPr>
            <w:tcW w:w="2725" w:type="dxa"/>
          </w:tcPr>
          <w:p w14:paraId="19FC90D9" w14:textId="77777777" w:rsidR="008C2035" w:rsidRPr="00632BB3" w:rsidRDefault="008C2035" w:rsidP="00063726">
            <w:pPr>
              <w:spacing w:line="276" w:lineRule="auto"/>
              <w:rPr>
                <w:rFonts w:eastAsia="Arial"/>
              </w:rPr>
            </w:pPr>
          </w:p>
        </w:tc>
      </w:tr>
    </w:tbl>
    <w:p w14:paraId="2EB7FD31" w14:textId="4D2A8479" w:rsidR="007A2B68" w:rsidRPr="00632BB3" w:rsidRDefault="007A2B68" w:rsidP="00E03C3F">
      <w:pPr>
        <w:pStyle w:val="Sraopastraipa"/>
        <w:tabs>
          <w:tab w:val="left" w:pos="426"/>
        </w:tabs>
        <w:ind w:left="0"/>
        <w:rPr>
          <w:b/>
          <w:bCs/>
          <w:caps/>
        </w:rPr>
      </w:pPr>
    </w:p>
    <w:p w14:paraId="5055E8A8" w14:textId="471A9757" w:rsidR="002E6F80" w:rsidRPr="00632BB3" w:rsidRDefault="00CC7832" w:rsidP="00CC09D4">
      <w:pPr>
        <w:pStyle w:val="Sraopastraipa"/>
        <w:numPr>
          <w:ilvl w:val="0"/>
          <w:numId w:val="12"/>
        </w:numPr>
        <w:tabs>
          <w:tab w:val="left" w:pos="567"/>
        </w:tabs>
        <w:ind w:hanging="720"/>
        <w:rPr>
          <w:b/>
          <w:bCs/>
          <w:caps/>
        </w:rPr>
      </w:pPr>
      <w:r w:rsidRPr="00632BB3">
        <w:rPr>
          <w:b/>
          <w:bCs/>
          <w:caps/>
        </w:rPr>
        <w:t>Klinikinio vertinimo a</w:t>
      </w:r>
      <w:r w:rsidR="00D4485B" w:rsidRPr="00632BB3">
        <w:rPr>
          <w:b/>
          <w:bCs/>
          <w:caps/>
        </w:rPr>
        <w:t>pibendrinimas</w:t>
      </w:r>
    </w:p>
    <w:p w14:paraId="0ACD4596" w14:textId="77777777" w:rsidR="00C21A99" w:rsidRPr="00632BB3" w:rsidRDefault="00C21A99" w:rsidP="00C21A99">
      <w:pPr>
        <w:pStyle w:val="Style1"/>
        <w:spacing w:line="276" w:lineRule="auto"/>
        <w:jc w:val="both"/>
      </w:pPr>
    </w:p>
    <w:p w14:paraId="2BD94DAF" w14:textId="77777777" w:rsidR="002B1DEB" w:rsidRDefault="002B1DEB" w:rsidP="002B1DEB">
      <w:pPr>
        <w:tabs>
          <w:tab w:val="left" w:pos="426"/>
        </w:tabs>
        <w:spacing w:line="276" w:lineRule="auto"/>
        <w:jc w:val="both"/>
        <w:rPr>
          <w:rFonts w:eastAsia="Arial"/>
          <w:color w:val="000000" w:themeColor="text1"/>
        </w:rPr>
      </w:pPr>
      <w:r w:rsidRPr="007C2A79">
        <w:rPr>
          <w:rFonts w:eastAsia="Arial"/>
          <w:color w:val="000000" w:themeColor="text1"/>
        </w:rPr>
        <w:t>2020 m. E</w:t>
      </w:r>
      <w:r>
        <w:rPr>
          <w:rFonts w:eastAsia="Arial"/>
          <w:color w:val="000000" w:themeColor="text1"/>
        </w:rPr>
        <w:t xml:space="preserve">uropos </w:t>
      </w:r>
      <w:r w:rsidRPr="007C2A79">
        <w:rPr>
          <w:rFonts w:eastAsia="Arial"/>
          <w:color w:val="000000" w:themeColor="text1"/>
        </w:rPr>
        <w:t>S</w:t>
      </w:r>
      <w:r>
        <w:rPr>
          <w:rFonts w:eastAsia="Arial"/>
          <w:color w:val="000000" w:themeColor="text1"/>
        </w:rPr>
        <w:t>ąjungoje</w:t>
      </w:r>
      <w:r w:rsidRPr="007C2A79">
        <w:rPr>
          <w:rFonts w:eastAsia="Arial"/>
          <w:color w:val="000000" w:themeColor="text1"/>
        </w:rPr>
        <w:t xml:space="preserve"> plaučių vėžys buvo naujai diagnozuotas</w:t>
      </w:r>
      <w:r>
        <w:rPr>
          <w:rFonts w:eastAsia="Arial"/>
          <w:color w:val="000000" w:themeColor="text1"/>
        </w:rPr>
        <w:t xml:space="preserve"> </w:t>
      </w:r>
      <w:r w:rsidRPr="007C2A79">
        <w:rPr>
          <w:rFonts w:eastAsia="Arial"/>
          <w:color w:val="000000" w:themeColor="text1"/>
        </w:rPr>
        <w:t>11,9 proc. visų naujų vėžio diagnozių ir 20,4 proc. visų mirčių dėl vėžio</w:t>
      </w:r>
      <w:r>
        <w:rPr>
          <w:rFonts w:eastAsia="Arial"/>
          <w:color w:val="000000" w:themeColor="text1"/>
        </w:rPr>
        <w:t xml:space="preserve">. </w:t>
      </w:r>
      <w:r w:rsidRPr="007C2A79">
        <w:rPr>
          <w:rFonts w:eastAsia="Arial"/>
          <w:color w:val="000000" w:themeColor="text1"/>
        </w:rPr>
        <w:t>GLOBOCAN duomenimis, Lietuvoje 2022 m. diagnozuota 1494 naujų plaučių vėžio atvejų, Higienos instituto duomenimis 2023 m. sirgo 4756, mirė – 1076 pacientai</w:t>
      </w:r>
      <w:r>
        <w:rPr>
          <w:rFonts w:eastAsia="Arial"/>
          <w:color w:val="000000" w:themeColor="text1"/>
        </w:rPr>
        <w:t xml:space="preserve">. </w:t>
      </w:r>
      <w:r w:rsidRPr="00C66848">
        <w:rPr>
          <w:rFonts w:eastAsia="Arial"/>
          <w:color w:val="000000" w:themeColor="text1"/>
        </w:rPr>
        <w:t>NSLPV</w:t>
      </w:r>
      <w:r>
        <w:rPr>
          <w:rFonts w:eastAsia="Arial"/>
          <w:color w:val="000000" w:themeColor="text1"/>
        </w:rPr>
        <w:t xml:space="preserve"> penkių metų i</w:t>
      </w:r>
      <w:r w:rsidRPr="007C2A79">
        <w:rPr>
          <w:rFonts w:eastAsia="Arial"/>
          <w:color w:val="000000" w:themeColor="text1"/>
        </w:rPr>
        <w:t>šgyvenamumo rodikliai nuo I iki IV stadijos reikšmingai mažėja dėl ligos progresavimo</w:t>
      </w:r>
      <w:r>
        <w:rPr>
          <w:rFonts w:eastAsia="Arial"/>
          <w:color w:val="000000" w:themeColor="text1"/>
        </w:rPr>
        <w:t xml:space="preserve"> - </w:t>
      </w:r>
      <w:r w:rsidRPr="007C2A79">
        <w:rPr>
          <w:rFonts w:eastAsia="Arial"/>
          <w:color w:val="000000" w:themeColor="text1"/>
        </w:rPr>
        <w:t>I stadij</w:t>
      </w:r>
      <w:r>
        <w:rPr>
          <w:rFonts w:eastAsia="Arial"/>
          <w:color w:val="000000" w:themeColor="text1"/>
        </w:rPr>
        <w:t xml:space="preserve">os </w:t>
      </w:r>
      <w:r w:rsidRPr="007C2A79">
        <w:rPr>
          <w:rFonts w:eastAsia="Arial"/>
          <w:color w:val="000000" w:themeColor="text1"/>
        </w:rPr>
        <w:t>penk</w:t>
      </w:r>
      <w:r>
        <w:rPr>
          <w:rFonts w:eastAsia="Arial"/>
          <w:color w:val="000000" w:themeColor="text1"/>
        </w:rPr>
        <w:t>ių</w:t>
      </w:r>
      <w:r w:rsidRPr="007C2A79">
        <w:rPr>
          <w:rFonts w:eastAsia="Arial"/>
          <w:color w:val="000000" w:themeColor="text1"/>
        </w:rPr>
        <w:t xml:space="preserve"> metų išgyvenamumo rodiklis siekia 47 </w:t>
      </w:r>
      <w:r>
        <w:rPr>
          <w:rFonts w:eastAsia="Arial"/>
          <w:color w:val="000000" w:themeColor="text1"/>
        </w:rPr>
        <w:t>proc.</w:t>
      </w:r>
      <w:r w:rsidRPr="007C2A79">
        <w:rPr>
          <w:rFonts w:eastAsia="Arial"/>
          <w:color w:val="000000" w:themeColor="text1"/>
        </w:rPr>
        <w:t>, II stadij</w:t>
      </w:r>
      <w:r>
        <w:rPr>
          <w:rFonts w:eastAsia="Arial"/>
          <w:color w:val="000000" w:themeColor="text1"/>
        </w:rPr>
        <w:t xml:space="preserve">os - </w:t>
      </w:r>
      <w:r w:rsidRPr="007C2A79">
        <w:rPr>
          <w:rFonts w:eastAsia="Arial"/>
          <w:color w:val="000000" w:themeColor="text1"/>
        </w:rPr>
        <w:t xml:space="preserve">30 </w:t>
      </w:r>
      <w:r>
        <w:rPr>
          <w:rFonts w:eastAsia="Arial"/>
          <w:color w:val="000000" w:themeColor="text1"/>
        </w:rPr>
        <w:t>proc.</w:t>
      </w:r>
      <w:r w:rsidRPr="007C2A79">
        <w:rPr>
          <w:rFonts w:eastAsia="Arial"/>
          <w:color w:val="000000" w:themeColor="text1"/>
        </w:rPr>
        <w:t xml:space="preserve">, </w:t>
      </w:r>
      <w:r>
        <w:rPr>
          <w:rFonts w:eastAsia="Arial"/>
          <w:color w:val="000000" w:themeColor="text1"/>
        </w:rPr>
        <w:t xml:space="preserve"> </w:t>
      </w:r>
      <w:r w:rsidRPr="007C2A79">
        <w:rPr>
          <w:rFonts w:eastAsia="Arial"/>
          <w:color w:val="000000" w:themeColor="text1"/>
        </w:rPr>
        <w:t>III stadij</w:t>
      </w:r>
      <w:r>
        <w:rPr>
          <w:rFonts w:eastAsia="Arial"/>
          <w:color w:val="000000" w:themeColor="text1"/>
        </w:rPr>
        <w:t>os</w:t>
      </w:r>
      <w:r w:rsidRPr="007C2A79">
        <w:rPr>
          <w:rFonts w:eastAsia="Arial"/>
          <w:color w:val="000000" w:themeColor="text1"/>
        </w:rPr>
        <w:t xml:space="preserve"> 10 </w:t>
      </w:r>
      <w:r>
        <w:rPr>
          <w:rFonts w:eastAsia="Arial"/>
          <w:color w:val="000000" w:themeColor="text1"/>
        </w:rPr>
        <w:t>proc.</w:t>
      </w:r>
      <w:r w:rsidRPr="007C2A79">
        <w:rPr>
          <w:rFonts w:eastAsia="Arial"/>
          <w:color w:val="000000" w:themeColor="text1"/>
        </w:rPr>
        <w:t>, IV stadij</w:t>
      </w:r>
      <w:r>
        <w:rPr>
          <w:rFonts w:eastAsia="Arial"/>
          <w:color w:val="000000" w:themeColor="text1"/>
        </w:rPr>
        <w:t>os -</w:t>
      </w:r>
      <w:r w:rsidRPr="007C2A79">
        <w:rPr>
          <w:rFonts w:eastAsia="Arial"/>
          <w:color w:val="000000" w:themeColor="text1"/>
        </w:rPr>
        <w:t xml:space="preserve"> 1 </w:t>
      </w:r>
      <w:r>
        <w:rPr>
          <w:rFonts w:eastAsia="Arial"/>
          <w:color w:val="000000" w:themeColor="text1"/>
        </w:rPr>
        <w:t>proc</w:t>
      </w:r>
      <w:r w:rsidRPr="007C2A79">
        <w:rPr>
          <w:rFonts w:eastAsia="Arial"/>
          <w:color w:val="000000" w:themeColor="text1"/>
        </w:rPr>
        <w:t xml:space="preserve">. </w:t>
      </w:r>
      <w:r>
        <w:rPr>
          <w:rFonts w:eastAsia="Arial"/>
          <w:color w:val="000000" w:themeColor="text1"/>
        </w:rPr>
        <w:t xml:space="preserve"> </w:t>
      </w:r>
    </w:p>
    <w:p w14:paraId="4A85ED78" w14:textId="77777777" w:rsidR="002B1DEB" w:rsidRDefault="002B1DEB" w:rsidP="002B1DEB">
      <w:pPr>
        <w:tabs>
          <w:tab w:val="left" w:pos="426"/>
        </w:tabs>
        <w:spacing w:line="276" w:lineRule="auto"/>
        <w:jc w:val="both"/>
        <w:rPr>
          <w:rFonts w:eastAsia="Arial"/>
          <w:b/>
          <w:bCs/>
          <w:color w:val="000000" w:themeColor="text1"/>
        </w:rPr>
      </w:pPr>
      <w:r>
        <w:rPr>
          <w:rFonts w:eastAsia="Arial"/>
          <w:color w:val="000000" w:themeColor="text1"/>
        </w:rPr>
        <w:tab/>
      </w:r>
      <w:r w:rsidRPr="00C66848">
        <w:rPr>
          <w:rFonts w:eastAsia="Arial"/>
          <w:color w:val="000000" w:themeColor="text1"/>
        </w:rPr>
        <w:t>Dažniausi NSLPV</w:t>
      </w:r>
      <w:r>
        <w:rPr>
          <w:rFonts w:eastAsia="Arial"/>
          <w:color w:val="000000" w:themeColor="text1"/>
        </w:rPr>
        <w:t xml:space="preserve"> </w:t>
      </w:r>
      <w:r w:rsidRPr="00C66848">
        <w:rPr>
          <w:rFonts w:eastAsia="Arial"/>
          <w:color w:val="000000" w:themeColor="text1"/>
        </w:rPr>
        <w:t>tipai yra</w:t>
      </w:r>
      <w:r>
        <w:rPr>
          <w:rFonts w:eastAsia="Arial"/>
          <w:color w:val="000000" w:themeColor="text1"/>
        </w:rPr>
        <w:t xml:space="preserve"> šie: </w:t>
      </w:r>
      <w:r w:rsidRPr="001F6A0E">
        <w:rPr>
          <w:rFonts w:eastAsia="Arial"/>
          <w:color w:val="000000" w:themeColor="text1"/>
        </w:rPr>
        <w:t>plokščialąstelinė karcinoma,</w:t>
      </w:r>
      <w:r>
        <w:rPr>
          <w:rFonts w:eastAsia="Arial"/>
          <w:color w:val="000000" w:themeColor="text1"/>
        </w:rPr>
        <w:t xml:space="preserve"> didelių</w:t>
      </w:r>
      <w:r w:rsidRPr="001F6A0E">
        <w:rPr>
          <w:rFonts w:eastAsia="Arial"/>
          <w:color w:val="000000" w:themeColor="text1"/>
        </w:rPr>
        <w:t xml:space="preserve"> ląstelių karcinoma </w:t>
      </w:r>
      <w:r>
        <w:rPr>
          <w:rFonts w:eastAsia="Arial"/>
          <w:color w:val="000000" w:themeColor="text1"/>
        </w:rPr>
        <w:t xml:space="preserve">bei </w:t>
      </w:r>
      <w:r w:rsidRPr="001F6A0E">
        <w:rPr>
          <w:rFonts w:eastAsia="Arial"/>
          <w:color w:val="000000" w:themeColor="text1"/>
        </w:rPr>
        <w:t xml:space="preserve">adenokarcinoma. Plokščialąstelinė karcinoma sudaro beveik pusę visų NSLPV atvejų ir dažniausiai yra siejama su rūkymu. Niekada nerūkiusiems asmenims didžiąją daugumą atvejų sudaro  adenokarcinoma. </w:t>
      </w:r>
      <w:r>
        <w:rPr>
          <w:rFonts w:eastAsia="Arial"/>
          <w:b/>
          <w:bCs/>
          <w:color w:val="000000" w:themeColor="text1"/>
        </w:rPr>
        <w:t xml:space="preserve"> </w:t>
      </w:r>
    </w:p>
    <w:p w14:paraId="0EF3E598" w14:textId="77777777" w:rsidR="002B1DEB" w:rsidRDefault="002B1DEB" w:rsidP="002B1DEB">
      <w:pPr>
        <w:tabs>
          <w:tab w:val="left" w:pos="426"/>
        </w:tabs>
        <w:spacing w:line="276" w:lineRule="auto"/>
        <w:jc w:val="both"/>
        <w:rPr>
          <w:rFonts w:eastAsia="Arial"/>
          <w:b/>
          <w:bCs/>
          <w:color w:val="000000" w:themeColor="text1"/>
        </w:rPr>
      </w:pPr>
    </w:p>
    <w:p w14:paraId="3DBBB942" w14:textId="77777777" w:rsidR="002B1DEB" w:rsidRDefault="002B1DEB" w:rsidP="002B1DEB">
      <w:pPr>
        <w:tabs>
          <w:tab w:val="left" w:pos="426"/>
        </w:tabs>
        <w:spacing w:line="276" w:lineRule="auto"/>
        <w:jc w:val="both"/>
        <w:rPr>
          <w:rFonts w:eastAsia="Arial"/>
          <w:b/>
          <w:bCs/>
          <w:color w:val="000000" w:themeColor="text1"/>
        </w:rPr>
      </w:pPr>
      <w:r>
        <w:rPr>
          <w:rFonts w:eastAsia="Arial"/>
          <w:b/>
          <w:bCs/>
          <w:color w:val="000000" w:themeColor="text1"/>
        </w:rPr>
        <w:lastRenderedPageBreak/>
        <w:tab/>
        <w:t>Palyginamasis gydymas</w:t>
      </w:r>
    </w:p>
    <w:p w14:paraId="65BEE5ED" w14:textId="77777777" w:rsidR="002B1DEB" w:rsidRDefault="002B1DEB" w:rsidP="002B1DEB">
      <w:pPr>
        <w:tabs>
          <w:tab w:val="left" w:pos="426"/>
        </w:tabs>
        <w:spacing w:line="276" w:lineRule="auto"/>
        <w:jc w:val="both"/>
        <w:rPr>
          <w:rFonts w:eastAsia="Arial"/>
          <w:b/>
          <w:bCs/>
          <w:color w:val="000000" w:themeColor="text1"/>
        </w:rPr>
      </w:pPr>
    </w:p>
    <w:p w14:paraId="6787A3D7" w14:textId="77777777" w:rsidR="002B1DEB" w:rsidRPr="00B14079" w:rsidRDefault="002B1DEB" w:rsidP="002B1DEB">
      <w:pPr>
        <w:tabs>
          <w:tab w:val="left" w:pos="426"/>
        </w:tabs>
        <w:spacing w:line="276" w:lineRule="auto"/>
        <w:ind w:firstLine="425"/>
        <w:jc w:val="both"/>
      </w:pPr>
      <w:r>
        <w:rPr>
          <w:rFonts w:eastAsia="Arial"/>
          <w:b/>
          <w:bCs/>
          <w:color w:val="000000" w:themeColor="text1"/>
        </w:rPr>
        <w:tab/>
      </w:r>
      <w:r w:rsidRPr="00B14079">
        <w:rPr>
          <w:rFonts w:eastAsia="Arial"/>
        </w:rPr>
        <w:t xml:space="preserve">Remiantis </w:t>
      </w:r>
      <w:bookmarkStart w:id="0" w:name="_Hlk193489059"/>
      <w:r w:rsidRPr="00B14079">
        <w:rPr>
          <w:rFonts w:eastAsia="Arial"/>
        </w:rPr>
        <w:t>Lietuvos Respublikos sveikatos apsaugos ministro įsakymu „</w:t>
      </w:r>
      <w:r w:rsidRPr="00D65B95">
        <w:rPr>
          <w:rFonts w:eastAsia="Arial"/>
        </w:rPr>
        <w:t>Dėl Plaučių vėžio ambulatorinio gydymo, kurio išlaidos kompensuojamos iš Privalomojo sveikatos draudimo fondo biudžeto, tvarkos aprašo patvirtinimo“</w:t>
      </w:r>
      <w:r w:rsidRPr="00B14079">
        <w:rPr>
          <w:rFonts w:eastAsia="Arial"/>
        </w:rPr>
        <w:t xml:space="preserve"> 2009-02-20, Nr. V-127 patvirtintu</w:t>
      </w:r>
      <w:r w:rsidRPr="00B14079">
        <w:rPr>
          <w:rFonts w:eastAsia="Arial"/>
          <w:b/>
          <w:bCs/>
        </w:rPr>
        <w:t xml:space="preserve"> </w:t>
      </w:r>
      <w:r w:rsidRPr="00B14079">
        <w:rPr>
          <w:rFonts w:eastAsia="Arial"/>
        </w:rPr>
        <w:t xml:space="preserve"> </w:t>
      </w:r>
      <w:bookmarkEnd w:id="0"/>
      <w:r w:rsidRPr="00B14079">
        <w:rPr>
          <w:rFonts w:eastAsia="Arial"/>
        </w:rPr>
        <w:t>Plaučių vėžio ambulatorinio gydymo, kurio išlaidos kompensuojamos iš Privalomojo sveikatos draudimo fondo biudžeto, tvarkos aprašu,</w:t>
      </w:r>
      <w:r w:rsidRPr="00B14079">
        <w:t xml:space="preserve"> diagnozavus lokaliai išplitusį arba metastazavus</w:t>
      </w:r>
      <w:r>
        <w:t>į</w:t>
      </w:r>
      <w:r w:rsidRPr="00B14079">
        <w:t xml:space="preserve">  NSLPV, o E</w:t>
      </w:r>
      <w:r>
        <w:t>G</w:t>
      </w:r>
      <w:r w:rsidRPr="00B14079">
        <w:t>FR receptoriaus raiška naviko mutacijų ar ALK translokacijų nenustatyta, galimi keli gydymo variantai, priklausomai nuo ligos išplitimo (lokaliai išplitęs arba metastazavęs) ir naviko histologinio tipo (plokščialąstelinis arba neplokščialąstelinis</w:t>
      </w:r>
      <w:r>
        <w:t xml:space="preserve">). Apibendrinus, pirmoje gydymo eilėje lokaliai išplitusiam (nemetastazavusiam) (plokščialąstelinis ir adenokarcinoma) NSLPV skiriama chemoterapija platinos pagrindu, ,etastazavusiam plokščialąstelisniam NSLPV - karboplatina, paklitakselis ir pembrolizumabas arba nivolumabas, ipilimumabas ir chemoterapija, mestazavusiam neplokščialąstelisniam NSLPV (adenokarcinoma) - platina, pemetreksedas ir pembrolizumabas arba karboplatina, paklitakselis, bevacizumabas ir atezolizumabas arba nivolumabas, ipilimumabas ir chemoterapija. Nustačius </w:t>
      </w:r>
      <w:r w:rsidRPr="008013B9">
        <w:t>EAFR tirozinkinazę aktyvinanči</w:t>
      </w:r>
      <w:r>
        <w:t xml:space="preserve">as mutacijas ar </w:t>
      </w:r>
      <w:r w:rsidRPr="008013B9">
        <w:t>ALK tirozino kinazės</w:t>
      </w:r>
      <w:r>
        <w:t xml:space="preserve"> translokaciją – skriamas tikslinis gydymas tirozino kinazės inhibitoriais. Ligai progresuojant, gali būti skiriamas docetakselis, nivolumabas, atezolizumabas. </w:t>
      </w:r>
      <w:r w:rsidRPr="00C27DB9">
        <w:t xml:space="preserve">Remiantis Lietuvos klinikine praktika bei svarstomo vaistinio preparato terapine grupe (PD-L1 inhibitorius), tinkamu palyginamuoju gydymu lokaliai išplitusiam ir metastazavusiam NSLPV po anksčiau skirtos chemoterapijos su platinos vaistiniais preparatais, o pacientams, kuriems nustatyta EGFR mutacijų arba ALK teigiamas NSLPV - skirtas tikslinis gydymas laikomi </w:t>
      </w:r>
      <w:r w:rsidRPr="00C27DB9">
        <w:rPr>
          <w:b/>
          <w:bCs/>
        </w:rPr>
        <w:t>nivolumabas ir atezolizumabas</w:t>
      </w:r>
      <w:r w:rsidRPr="00C27DB9">
        <w:t>.</w:t>
      </w:r>
    </w:p>
    <w:p w14:paraId="59A55AC7" w14:textId="77777777" w:rsidR="002B1DEB" w:rsidRDefault="002B1DEB" w:rsidP="002B1DEB">
      <w:pPr>
        <w:tabs>
          <w:tab w:val="left" w:pos="426"/>
        </w:tabs>
        <w:spacing w:line="276" w:lineRule="auto"/>
        <w:jc w:val="both"/>
        <w:rPr>
          <w:rFonts w:eastAsia="Arial"/>
          <w:color w:val="000000" w:themeColor="text1"/>
        </w:rPr>
      </w:pPr>
    </w:p>
    <w:p w14:paraId="37985ECF" w14:textId="77777777" w:rsidR="002B1DEB" w:rsidRPr="00A71CB0" w:rsidRDefault="002B1DEB" w:rsidP="002B1DEB">
      <w:pPr>
        <w:tabs>
          <w:tab w:val="left" w:pos="426"/>
        </w:tabs>
        <w:spacing w:line="276" w:lineRule="auto"/>
        <w:jc w:val="both"/>
        <w:rPr>
          <w:rFonts w:eastAsia="Arial"/>
          <w:bCs/>
        </w:rPr>
      </w:pPr>
      <w:r>
        <w:tab/>
      </w:r>
      <w:r w:rsidRPr="00B33C64">
        <w:rPr>
          <w:iCs/>
          <w:color w:val="000000" w:themeColor="text1"/>
          <w:lang w:eastAsia="lt-LT"/>
        </w:rPr>
        <w:t>Tislelizumab</w:t>
      </w:r>
      <w:r>
        <w:rPr>
          <w:iCs/>
          <w:color w:val="000000" w:themeColor="text1"/>
          <w:lang w:eastAsia="lt-LT"/>
        </w:rPr>
        <w:t>o p</w:t>
      </w:r>
      <w:r>
        <w:t>alyginamasis veiksmingumas grindžiamas netiesioginio palyginimo analize, kurioje išgyvenamumo be ligos progresavimo ir bendras išgyvenamumo  rezultatai buvo vertinami lyginant su nivolumabu ir/arba atezolizumabu. Tiesioginio palyginimo rezultatai (klinikinio tyrimo RATIONALE 303) laikomi papildoma informacija ir buvo naudojami netiesioginei analizei atlikti.</w:t>
      </w:r>
    </w:p>
    <w:p w14:paraId="6B79EEDB" w14:textId="77777777" w:rsidR="002B1DEB" w:rsidRDefault="002B1DEB" w:rsidP="002B1DEB">
      <w:pPr>
        <w:tabs>
          <w:tab w:val="left" w:pos="426"/>
        </w:tabs>
        <w:spacing w:line="276" w:lineRule="auto"/>
        <w:jc w:val="both"/>
        <w:rPr>
          <w:rFonts w:eastAsia="Arial"/>
          <w:bCs/>
        </w:rPr>
      </w:pPr>
    </w:p>
    <w:p w14:paraId="3FCD4896" w14:textId="77777777" w:rsidR="002B1DEB" w:rsidRDefault="002B1DEB" w:rsidP="002B1DEB">
      <w:pPr>
        <w:tabs>
          <w:tab w:val="left" w:pos="426"/>
        </w:tabs>
        <w:spacing w:line="276" w:lineRule="auto"/>
        <w:jc w:val="both"/>
        <w:rPr>
          <w:rFonts w:eastAsia="Arial"/>
          <w:bCs/>
          <w:i/>
          <w:iCs/>
        </w:rPr>
      </w:pPr>
      <w:r>
        <w:rPr>
          <w:rFonts w:eastAsia="Arial"/>
          <w:bCs/>
        </w:rPr>
        <w:tab/>
      </w:r>
      <w:r>
        <w:rPr>
          <w:rFonts w:eastAsia="Arial"/>
          <w:bCs/>
          <w:i/>
          <w:iCs/>
        </w:rPr>
        <w:t>Tiesioginis palyginimas</w:t>
      </w:r>
    </w:p>
    <w:p w14:paraId="41667417" w14:textId="77777777" w:rsidR="002B1DEB" w:rsidRDefault="002B1DEB" w:rsidP="002B1DEB">
      <w:pPr>
        <w:tabs>
          <w:tab w:val="left" w:pos="426"/>
        </w:tabs>
        <w:spacing w:line="276" w:lineRule="auto"/>
        <w:jc w:val="both"/>
        <w:rPr>
          <w:rFonts w:eastAsia="Arial"/>
          <w:bCs/>
          <w:i/>
          <w:iCs/>
        </w:rPr>
      </w:pPr>
    </w:p>
    <w:p w14:paraId="128068C8" w14:textId="77777777" w:rsidR="002B1DEB" w:rsidRDefault="002B1DEB" w:rsidP="002B1DEB">
      <w:pPr>
        <w:tabs>
          <w:tab w:val="left" w:pos="492"/>
        </w:tabs>
        <w:spacing w:line="276" w:lineRule="auto"/>
        <w:jc w:val="both"/>
        <w:outlineLvl w:val="1"/>
        <w:rPr>
          <w:rFonts w:eastAsia="Arial"/>
          <w:bCs/>
        </w:rPr>
      </w:pPr>
      <w:r>
        <w:tab/>
      </w:r>
      <w:r w:rsidRPr="00181BAA">
        <w:t xml:space="preserve">Klinikinis </w:t>
      </w:r>
      <w:r>
        <w:t xml:space="preserve">veiksmingumas </w:t>
      </w:r>
      <w:r w:rsidRPr="00181BAA">
        <w:t>grindžiamas klinikinio tyrimo</w:t>
      </w:r>
      <w:r>
        <w:t xml:space="preserve"> </w:t>
      </w:r>
      <w:r w:rsidRPr="00181BAA">
        <w:rPr>
          <w:iCs/>
        </w:rPr>
        <w:t>CheckMate 649</w:t>
      </w:r>
      <w:r>
        <w:rPr>
          <w:i/>
        </w:rPr>
        <w:t xml:space="preserve"> </w:t>
      </w:r>
      <w:r w:rsidRPr="00181BAA">
        <w:t>duomenimis.</w:t>
      </w:r>
      <w:r>
        <w:t xml:space="preserve"> </w:t>
      </w:r>
      <w:r w:rsidRPr="00181BAA">
        <w:rPr>
          <w:rFonts w:eastAsia="Arial"/>
          <w:bCs/>
        </w:rPr>
        <w:t>Jame įrodyta, jog 18 metų ir vyresniems geros funkcinės būklės (ECOG 0 arba 1) pacientams, kuriems nustatyta</w:t>
      </w:r>
      <w:r>
        <w:rPr>
          <w:rFonts w:eastAsia="Arial"/>
          <w:bCs/>
        </w:rPr>
        <w:t>s</w:t>
      </w:r>
      <w:r w:rsidRPr="00181BAA">
        <w:rPr>
          <w:rFonts w:eastAsia="Arial"/>
          <w:bCs/>
        </w:rPr>
        <w:t xml:space="preserve"> </w:t>
      </w:r>
      <w:r w:rsidRPr="00EF1E48">
        <w:rPr>
          <w:rFonts w:eastAsia="Arial"/>
          <w:bCs/>
        </w:rPr>
        <w:t>lokaliai išplit</w:t>
      </w:r>
      <w:r>
        <w:rPr>
          <w:rFonts w:eastAsia="Arial"/>
          <w:bCs/>
        </w:rPr>
        <w:t>ęs</w:t>
      </w:r>
      <w:r w:rsidRPr="00EF1E48">
        <w:rPr>
          <w:rFonts w:eastAsia="Arial"/>
          <w:bCs/>
        </w:rPr>
        <w:t xml:space="preserve"> arba metastazav</w:t>
      </w:r>
      <w:r>
        <w:rPr>
          <w:rFonts w:eastAsia="Arial"/>
          <w:bCs/>
        </w:rPr>
        <w:t>ęs</w:t>
      </w:r>
      <w:r w:rsidRPr="00EF1E48">
        <w:rPr>
          <w:rFonts w:eastAsia="Arial"/>
          <w:bCs/>
        </w:rPr>
        <w:t xml:space="preserve"> nesmulkialąstelini</w:t>
      </w:r>
      <w:r>
        <w:rPr>
          <w:rFonts w:eastAsia="Arial"/>
          <w:bCs/>
        </w:rPr>
        <w:t>s</w:t>
      </w:r>
      <w:r w:rsidRPr="00EF1E48">
        <w:rPr>
          <w:rFonts w:eastAsia="Arial"/>
          <w:bCs/>
        </w:rPr>
        <w:t xml:space="preserve"> plaučių vėž</w:t>
      </w:r>
      <w:r>
        <w:rPr>
          <w:rFonts w:eastAsia="Arial"/>
          <w:bCs/>
        </w:rPr>
        <w:t>ys</w:t>
      </w:r>
      <w:r w:rsidRPr="00EF1E48">
        <w:rPr>
          <w:rFonts w:eastAsia="Arial"/>
          <w:bCs/>
        </w:rPr>
        <w:t xml:space="preserve"> (plokščialąstelini</w:t>
      </w:r>
      <w:r>
        <w:rPr>
          <w:rFonts w:eastAsia="Arial"/>
          <w:bCs/>
        </w:rPr>
        <w:t>s</w:t>
      </w:r>
      <w:r w:rsidRPr="00EF1E48">
        <w:rPr>
          <w:rFonts w:eastAsia="Arial"/>
          <w:bCs/>
        </w:rPr>
        <w:t xml:space="preserve"> arba neplokščialąstelini</w:t>
      </w:r>
      <w:r>
        <w:rPr>
          <w:rFonts w:eastAsia="Arial"/>
          <w:bCs/>
        </w:rPr>
        <w:t>s</w:t>
      </w:r>
      <w:r w:rsidRPr="00EF1E48">
        <w:rPr>
          <w:rFonts w:eastAsia="Arial"/>
          <w:bCs/>
        </w:rPr>
        <w:t>)</w:t>
      </w:r>
      <w:r>
        <w:rPr>
          <w:rFonts w:eastAsia="Arial"/>
          <w:bCs/>
        </w:rPr>
        <w:t xml:space="preserve"> ir </w:t>
      </w:r>
      <w:r w:rsidRPr="00EF1E48">
        <w:rPr>
          <w:rFonts w:eastAsia="Arial"/>
          <w:bCs/>
        </w:rPr>
        <w:t>liga progresavo gydymo platinos pagrindu atlikta schema metu arba po jos</w:t>
      </w:r>
      <w:r>
        <w:rPr>
          <w:rFonts w:eastAsia="Arial"/>
          <w:bCs/>
        </w:rPr>
        <w:t xml:space="preserve"> </w:t>
      </w:r>
      <w:r w:rsidRPr="0057325F">
        <w:rPr>
          <w:rFonts w:eastAsia="Arial"/>
          <w:bCs/>
        </w:rPr>
        <w:t>vartojant tislelizumabą</w:t>
      </w:r>
      <w:r>
        <w:rPr>
          <w:rFonts w:eastAsia="Arial"/>
          <w:bCs/>
        </w:rPr>
        <w:t xml:space="preserve">. </w:t>
      </w:r>
      <w:r w:rsidRPr="0057325F">
        <w:rPr>
          <w:rFonts w:eastAsia="Arial"/>
          <w:bCs/>
        </w:rPr>
        <w:t>bendro išgyvenamumo trukmė lyginant su docetakseliu buvo reikšmingai ilgesnė</w:t>
      </w:r>
      <w:r>
        <w:rPr>
          <w:rFonts w:eastAsia="Arial"/>
          <w:bCs/>
        </w:rPr>
        <w:t xml:space="preserve">, o mirties nuo bet kokios priežasties rizika </w:t>
      </w:r>
      <w:r w:rsidRPr="00BA2E05">
        <w:rPr>
          <w:rFonts w:eastAsia="Arial"/>
          <w:bCs/>
        </w:rPr>
        <w:t>3</w:t>
      </w:r>
      <w:r>
        <w:rPr>
          <w:rFonts w:eastAsia="Arial"/>
          <w:bCs/>
        </w:rPr>
        <w:t>6 proc. mažesnė</w:t>
      </w:r>
      <w:r w:rsidRPr="0057325F">
        <w:rPr>
          <w:rFonts w:eastAsia="Arial"/>
          <w:bCs/>
        </w:rPr>
        <w:t xml:space="preserve"> (RS 0,64, 95</w:t>
      </w:r>
      <w:r>
        <w:rPr>
          <w:rFonts w:eastAsia="Arial"/>
          <w:bCs/>
        </w:rPr>
        <w:t xml:space="preserve"> proc.</w:t>
      </w:r>
      <w:r w:rsidRPr="0057325F">
        <w:rPr>
          <w:rFonts w:eastAsia="Arial"/>
          <w:bCs/>
        </w:rPr>
        <w:t xml:space="preserve"> PI 0,53-0,78; p &lt; 0,0001)</w:t>
      </w:r>
      <w:r>
        <w:rPr>
          <w:rFonts w:eastAsia="Arial"/>
          <w:bCs/>
        </w:rPr>
        <w:t xml:space="preserve"> (</w:t>
      </w:r>
      <w:r w:rsidRPr="0057325F">
        <w:rPr>
          <w:rFonts w:eastAsia="Arial"/>
          <w:bCs/>
        </w:rPr>
        <w:t>bendroje pacientų populiacijoje</w:t>
      </w:r>
      <w:r>
        <w:rPr>
          <w:rFonts w:eastAsia="Arial"/>
          <w:bCs/>
        </w:rPr>
        <w:t>, pirminė vertinamoji baigtis).</w:t>
      </w:r>
      <w:r w:rsidRPr="0057325F">
        <w:rPr>
          <w:rFonts w:eastAsia="Arial"/>
          <w:bCs/>
        </w:rPr>
        <w:t xml:space="preserve"> </w:t>
      </w:r>
      <w:r>
        <w:rPr>
          <w:rFonts w:eastAsia="Arial"/>
          <w:bCs/>
        </w:rPr>
        <w:t>P</w:t>
      </w:r>
      <w:r w:rsidRPr="0057325F">
        <w:rPr>
          <w:rFonts w:eastAsia="Arial"/>
          <w:bCs/>
        </w:rPr>
        <w:t>acientų, kuriems nu</w:t>
      </w:r>
      <w:r>
        <w:rPr>
          <w:rFonts w:eastAsia="Arial"/>
          <w:bCs/>
        </w:rPr>
        <w:t>s</w:t>
      </w:r>
      <w:r w:rsidRPr="0057325F">
        <w:rPr>
          <w:rFonts w:eastAsia="Arial"/>
          <w:bCs/>
        </w:rPr>
        <w:t>tatyta teigiama PD-L1 raiška</w:t>
      </w:r>
      <w:r>
        <w:rPr>
          <w:rFonts w:eastAsia="Arial"/>
          <w:bCs/>
        </w:rPr>
        <w:t xml:space="preserve"> </w:t>
      </w:r>
      <w:r w:rsidRPr="0057325F">
        <w:rPr>
          <w:rFonts w:eastAsia="Arial"/>
          <w:bCs/>
        </w:rPr>
        <w:t>populiacijoje</w:t>
      </w:r>
      <w:r>
        <w:rPr>
          <w:rFonts w:eastAsia="Arial"/>
          <w:bCs/>
        </w:rPr>
        <w:t xml:space="preserve">, mirties nuo bet kokios priežasties rizika vartojant tislelizumabą buvo 47 proc. mažesnė, o </w:t>
      </w:r>
      <w:r w:rsidRPr="0057325F">
        <w:rPr>
          <w:rFonts w:eastAsia="Arial"/>
          <w:bCs/>
        </w:rPr>
        <w:t>bendro išgyvenamu</w:t>
      </w:r>
      <w:r>
        <w:rPr>
          <w:rFonts w:eastAsia="Arial"/>
          <w:bCs/>
        </w:rPr>
        <w:t>mo trukmė</w:t>
      </w:r>
      <w:r w:rsidRPr="0057325F">
        <w:rPr>
          <w:rFonts w:eastAsia="Arial"/>
          <w:bCs/>
        </w:rPr>
        <w:t xml:space="preserve"> 7,8 mėn.</w:t>
      </w:r>
      <w:r>
        <w:rPr>
          <w:rFonts w:eastAsia="Arial"/>
          <w:bCs/>
        </w:rPr>
        <w:t xml:space="preserve"> ilgesnė</w:t>
      </w:r>
      <w:r w:rsidRPr="0057325F">
        <w:rPr>
          <w:rFonts w:eastAsia="Arial"/>
          <w:bCs/>
        </w:rPr>
        <w:t xml:space="preserve"> </w:t>
      </w:r>
      <w:r>
        <w:rPr>
          <w:rFonts w:eastAsia="Arial"/>
          <w:bCs/>
        </w:rPr>
        <w:t>(</w:t>
      </w:r>
      <w:r w:rsidRPr="0057325F">
        <w:rPr>
          <w:rFonts w:eastAsia="Arial"/>
          <w:bCs/>
        </w:rPr>
        <w:t>RS 0,53, 95 proc. PI 0,407, 0,702, vienpusis p&lt;0,0001)</w:t>
      </w:r>
      <w:r>
        <w:rPr>
          <w:rFonts w:eastAsia="Arial"/>
          <w:bCs/>
        </w:rPr>
        <w:t xml:space="preserve"> (pirminė vertinamoji baigtis)</w:t>
      </w:r>
      <w:r w:rsidRPr="0057325F">
        <w:rPr>
          <w:rFonts w:eastAsia="Arial"/>
          <w:bCs/>
        </w:rPr>
        <w:t xml:space="preserve">. </w:t>
      </w:r>
    </w:p>
    <w:p w14:paraId="63406CA3" w14:textId="77777777" w:rsidR="002B1DEB" w:rsidRDefault="002B1DEB" w:rsidP="002B1DEB">
      <w:pPr>
        <w:tabs>
          <w:tab w:val="left" w:pos="492"/>
        </w:tabs>
        <w:spacing w:line="276" w:lineRule="auto"/>
        <w:jc w:val="both"/>
        <w:outlineLvl w:val="1"/>
        <w:rPr>
          <w:rFonts w:eastAsia="Arial"/>
          <w:bCs/>
        </w:rPr>
      </w:pPr>
      <w:r>
        <w:rPr>
          <w:rFonts w:eastAsia="Arial"/>
          <w:bCs/>
        </w:rPr>
        <w:tab/>
      </w:r>
      <w:r w:rsidRPr="0057325F">
        <w:rPr>
          <w:rFonts w:eastAsia="Arial"/>
          <w:bCs/>
        </w:rPr>
        <w:t xml:space="preserve">Visoje pacientų populiacijoje pranašumas stebėtas ir išgyvenamumo be ligos progresavimo </w:t>
      </w:r>
      <w:r>
        <w:rPr>
          <w:rFonts w:eastAsia="Arial"/>
          <w:bCs/>
        </w:rPr>
        <w:t xml:space="preserve">trukmės tarp palyginamųjų grupių skyrėsi </w:t>
      </w:r>
      <w:r w:rsidRPr="00BA2E05">
        <w:rPr>
          <w:rFonts w:eastAsia="Arial"/>
          <w:bCs/>
        </w:rPr>
        <w:t>1,8 m</w:t>
      </w:r>
      <w:r>
        <w:rPr>
          <w:rFonts w:eastAsia="Arial"/>
          <w:bCs/>
        </w:rPr>
        <w:t xml:space="preserve">ėn., o ligos progresavimo rizika vartojant tislelizumabą buvo </w:t>
      </w:r>
      <w:r w:rsidRPr="00BA2E05">
        <w:rPr>
          <w:rFonts w:eastAsia="Arial"/>
          <w:bCs/>
        </w:rPr>
        <w:t xml:space="preserve">37 proc. </w:t>
      </w:r>
      <w:r>
        <w:rPr>
          <w:rFonts w:eastAsia="Arial"/>
          <w:bCs/>
        </w:rPr>
        <w:t xml:space="preserve">mažesnė </w:t>
      </w:r>
      <w:r w:rsidRPr="0057325F">
        <w:rPr>
          <w:rFonts w:eastAsia="Arial"/>
          <w:bCs/>
        </w:rPr>
        <w:t>(RS 0,63, 95 proc. PI 0,528, 0,745, p&lt;0,0001)</w:t>
      </w:r>
      <w:r>
        <w:rPr>
          <w:rFonts w:eastAsia="Arial"/>
          <w:bCs/>
        </w:rPr>
        <w:t xml:space="preserve">. </w:t>
      </w:r>
      <w:r>
        <w:rPr>
          <w:rFonts w:eastAsia="Arial"/>
          <w:bCs/>
        </w:rPr>
        <w:tab/>
      </w:r>
    </w:p>
    <w:p w14:paraId="39949AF5" w14:textId="77777777" w:rsidR="002B1DEB" w:rsidRDefault="002B1DEB" w:rsidP="002B1DEB">
      <w:pPr>
        <w:tabs>
          <w:tab w:val="left" w:pos="492"/>
        </w:tabs>
        <w:spacing w:line="276" w:lineRule="auto"/>
        <w:jc w:val="both"/>
        <w:outlineLvl w:val="1"/>
        <w:rPr>
          <w:rFonts w:eastAsia="Arial"/>
          <w:bCs/>
        </w:rPr>
      </w:pPr>
      <w:r>
        <w:rPr>
          <w:rFonts w:eastAsia="Arial"/>
          <w:bCs/>
        </w:rPr>
        <w:tab/>
        <w:t>Paminėtina, jog p</w:t>
      </w:r>
      <w:r w:rsidRPr="00BA2E05">
        <w:rPr>
          <w:rFonts w:eastAsia="Arial"/>
          <w:bCs/>
        </w:rPr>
        <w:t xml:space="preserve">acientai, sergantys išplitusiu ar metastazavusiu neplokščiųjų ląstelių NSLPV Lietuvoje yra tiriami dėl EGFR ir ALK geno mutacijų, kurias nustačius pirmoje gydymo skiriamas gydymas EAFR (pvz. gefitinibas, erlotinibas, afatinibas, osimertinibas) ar ALK tirozino kinazės </w:t>
      </w:r>
      <w:r w:rsidRPr="00BA2E05">
        <w:rPr>
          <w:rFonts w:eastAsia="Arial"/>
          <w:bCs/>
        </w:rPr>
        <w:lastRenderedPageBreak/>
        <w:t xml:space="preserve">inhibitoriais (pvz. alektinibas, ceritinibas, krizotinibas, brigatinibas). Kadangi šie pacientai nebuvo įtraukti į tyrimą RATIONALE 303, tai laikoma duomenų neapibrėžtumu. Atsižvelgiant į </w:t>
      </w:r>
      <w:r>
        <w:rPr>
          <w:rFonts w:eastAsia="Arial"/>
          <w:bCs/>
        </w:rPr>
        <w:t xml:space="preserve">EVA registruotą tislelizumabo indikaciją, </w:t>
      </w:r>
      <w:r w:rsidRPr="00BA2E05">
        <w:rPr>
          <w:rFonts w:eastAsia="Arial"/>
          <w:bCs/>
        </w:rPr>
        <w:t>blogą ligos prognozę bei tai, jog šiuo metu Lietuvoje šiai populiacijai kompensuojami tos pačios terapinės grupės vaistiniai preparatai tai pačiai indikacijai be apribojimų, šis neapibrėžtumas reikšmingai klinikinio vertinimo neke</w:t>
      </w:r>
      <w:r>
        <w:rPr>
          <w:rFonts w:eastAsia="Arial"/>
          <w:bCs/>
        </w:rPr>
        <w:t>itė.</w:t>
      </w:r>
    </w:p>
    <w:p w14:paraId="15097881" w14:textId="77777777" w:rsidR="002B1DEB" w:rsidRDefault="002B1DEB" w:rsidP="002B1DEB">
      <w:pPr>
        <w:tabs>
          <w:tab w:val="left" w:pos="492"/>
        </w:tabs>
        <w:spacing w:line="276" w:lineRule="auto"/>
        <w:jc w:val="both"/>
        <w:outlineLvl w:val="1"/>
        <w:rPr>
          <w:rFonts w:eastAsia="Arial"/>
          <w:bCs/>
        </w:rPr>
      </w:pPr>
      <w:r>
        <w:rPr>
          <w:rFonts w:eastAsia="Arial"/>
          <w:bCs/>
        </w:rPr>
        <w:tab/>
      </w:r>
      <w:r w:rsidRPr="00BA2E05">
        <w:rPr>
          <w:rFonts w:eastAsia="Arial"/>
          <w:bCs/>
        </w:rPr>
        <w:t>Remiantis klinikinio tyrimo RATIONALE 303 gyvenimo kokybės klausimynų rezultatais, pacientų būklė vartojant tislelizumabą išliko tendencingai geresnė lyginant su docetakseliu. Vertinant atskirus simptomus, reikšmingas skirtumas stebėtas kosulio ir periferinės neuropatijos atžvilgiu – vartojant tislelizumabą kosulys reikšmingai sumažėjo, o vartojant docetakselį stebėtas periferinės neuropatijos simptomų pablogėjimas.</w:t>
      </w:r>
    </w:p>
    <w:p w14:paraId="2760BBFD" w14:textId="77777777" w:rsidR="002B1DEB" w:rsidRPr="0070376D" w:rsidRDefault="002B1DEB" w:rsidP="002B1DEB">
      <w:pPr>
        <w:tabs>
          <w:tab w:val="left" w:pos="426"/>
        </w:tabs>
        <w:spacing w:line="276" w:lineRule="auto"/>
        <w:jc w:val="both"/>
        <w:rPr>
          <w:rFonts w:eastAsia="Arial"/>
          <w:bCs/>
        </w:rPr>
      </w:pPr>
      <w:r>
        <w:rPr>
          <w:rFonts w:eastAsia="Arial"/>
          <w:bCs/>
        </w:rPr>
        <w:tab/>
      </w:r>
      <w:r w:rsidRPr="00BA2E05">
        <w:rPr>
          <w:rFonts w:eastAsia="Arial"/>
          <w:bCs/>
        </w:rPr>
        <w:t>Remiantis klinikinio tyrimo RATIONALE 303-CT saugumo duomenimis, visų NR dažnis vartojant tislelizumabą buvo panašus kaip vartojant docetakselį, tačiau su gydymu susijusių visų ir ≥ 3 laipsnio NR pacientai, vartoję tislelizumabą, patyrė rečiau. Sunkių NR dažnis tislelizumabo ir docetakselio grupėse buvo panašus. Tislelizumabo grupėje Dažniausiai praneštos sunkios bet kokio laipsnio NR buvo pneumonija, pneumonitas, ir hemoptizė. Dažniausiai praneštos imuninės sistemos sukeltos NR buvo hipotirozė, pneumonitas, imuninis hepatitas. Mirčių dėl su gydymu susijusių nepageidaujamų reiškinių dažnis abiejose grupėse buvo panašus.</w:t>
      </w:r>
    </w:p>
    <w:p w14:paraId="4518AB8E" w14:textId="77777777" w:rsidR="002B1DEB" w:rsidRPr="00181BAA" w:rsidRDefault="002B1DEB" w:rsidP="002B1DEB">
      <w:pPr>
        <w:tabs>
          <w:tab w:val="left" w:pos="426"/>
        </w:tabs>
        <w:spacing w:line="276" w:lineRule="auto"/>
        <w:jc w:val="both"/>
        <w:rPr>
          <w:rFonts w:eastAsia="Arial"/>
          <w:bCs/>
        </w:rPr>
      </w:pPr>
    </w:p>
    <w:p w14:paraId="5E7A4DD6" w14:textId="77777777" w:rsidR="002B1DEB" w:rsidRPr="0057325F" w:rsidRDefault="002B1DEB" w:rsidP="002B1DEB">
      <w:pPr>
        <w:tabs>
          <w:tab w:val="left" w:pos="426"/>
        </w:tabs>
        <w:spacing w:line="276" w:lineRule="auto"/>
        <w:jc w:val="both"/>
        <w:rPr>
          <w:rFonts w:eastAsia="Arial"/>
          <w:bCs/>
          <w:i/>
          <w:iCs/>
        </w:rPr>
      </w:pPr>
      <w:r>
        <w:rPr>
          <w:rFonts w:eastAsia="Arial"/>
          <w:bCs/>
          <w:i/>
          <w:iCs/>
        </w:rPr>
        <w:tab/>
        <w:t xml:space="preserve">Netiesioginis palyginimas </w:t>
      </w:r>
    </w:p>
    <w:p w14:paraId="1508F020" w14:textId="77777777" w:rsidR="002B1DEB" w:rsidRPr="0057325F" w:rsidRDefault="002B1DEB" w:rsidP="002B1DEB">
      <w:pPr>
        <w:tabs>
          <w:tab w:val="left" w:pos="426"/>
        </w:tabs>
        <w:spacing w:line="276" w:lineRule="auto"/>
        <w:jc w:val="both"/>
        <w:rPr>
          <w:szCs w:val="20"/>
        </w:rPr>
      </w:pPr>
    </w:p>
    <w:p w14:paraId="12F0A5E3" w14:textId="77777777" w:rsidR="002B1DEB" w:rsidRDefault="002B1DEB" w:rsidP="002B1DEB">
      <w:pPr>
        <w:spacing w:line="276" w:lineRule="auto"/>
        <w:jc w:val="both"/>
        <w:rPr>
          <w:bCs/>
          <w:lang w:eastAsia="lt-LT"/>
        </w:rPr>
      </w:pPr>
      <w:r>
        <w:rPr>
          <w:rFonts w:eastAsia="Arial"/>
          <w:b/>
          <w:bCs/>
          <w:iCs/>
          <w:color w:val="00B050"/>
        </w:rPr>
        <w:tab/>
      </w:r>
      <w:r w:rsidRPr="00F80112">
        <w:t>Pateikt</w:t>
      </w:r>
      <w:r>
        <w:t>oje</w:t>
      </w:r>
      <w:r w:rsidRPr="00F80112">
        <w:t xml:space="preserve"> netiesioginio palyginimo analizėje palyginamasis gydymas </w:t>
      </w:r>
      <w:r>
        <w:t>buvo</w:t>
      </w:r>
      <w:r w:rsidRPr="00F80112">
        <w:t xml:space="preserve"> </w:t>
      </w:r>
      <w:r>
        <w:rPr>
          <w:rFonts w:eastAsia="Arial"/>
          <w:bCs/>
        </w:rPr>
        <w:t>tislelizumab</w:t>
      </w:r>
      <w:r>
        <w:rPr>
          <w:rFonts w:eastAsia="Arial"/>
        </w:rPr>
        <w:t>as</w:t>
      </w:r>
      <w:r>
        <w:rPr>
          <w:rFonts w:eastAsia="Arial"/>
          <w:bCs/>
        </w:rPr>
        <w:t>, nivolumab</w:t>
      </w:r>
      <w:r>
        <w:rPr>
          <w:rFonts w:eastAsia="Arial"/>
        </w:rPr>
        <w:t>as</w:t>
      </w:r>
      <w:r>
        <w:rPr>
          <w:rFonts w:eastAsia="Arial"/>
          <w:bCs/>
        </w:rPr>
        <w:t>, pembroliumab</w:t>
      </w:r>
      <w:r>
        <w:rPr>
          <w:rFonts w:eastAsia="Arial"/>
        </w:rPr>
        <w:t>as</w:t>
      </w:r>
      <w:r>
        <w:rPr>
          <w:rFonts w:eastAsia="Arial"/>
          <w:bCs/>
        </w:rPr>
        <w:t>, atezolizumab</w:t>
      </w:r>
      <w:r>
        <w:rPr>
          <w:rFonts w:eastAsia="Arial"/>
        </w:rPr>
        <w:t>as</w:t>
      </w:r>
      <w:r>
        <w:rPr>
          <w:rFonts w:eastAsia="Arial"/>
          <w:bCs/>
        </w:rPr>
        <w:t xml:space="preserve"> ir docetakseli</w:t>
      </w:r>
      <w:r>
        <w:rPr>
          <w:rFonts w:eastAsia="Arial"/>
        </w:rPr>
        <w:t>s</w:t>
      </w:r>
      <w:r>
        <w:rPr>
          <w:rFonts w:eastAsia="Arial"/>
          <w:bCs/>
        </w:rPr>
        <w:t xml:space="preserve"> antroje arba trečioje išlipitusio arba metastazavusio NSLPV gydymo eilėje</w:t>
      </w:r>
      <w:r w:rsidRPr="002D3ACB">
        <w:rPr>
          <w:rFonts w:eastAsia="Arial"/>
          <w:bCs/>
        </w:rPr>
        <w:t xml:space="preserve">. </w:t>
      </w:r>
      <w:r w:rsidRPr="002D3ACB">
        <w:rPr>
          <w:bCs/>
          <w:lang w:eastAsia="lt-LT"/>
        </w:rPr>
        <w:t>Netiesioginio palyginimo analizėje palyginamasis gydymas pembrolizumabu ir atezolizumabu atitiko įprastinę klinikinę praktiką Lietuvoje.</w:t>
      </w:r>
    </w:p>
    <w:p w14:paraId="3518BA06" w14:textId="77777777" w:rsidR="002B1DEB" w:rsidRDefault="002B1DEB" w:rsidP="002B1DEB">
      <w:pPr>
        <w:spacing w:line="276" w:lineRule="auto"/>
        <w:ind w:firstLine="720"/>
        <w:jc w:val="both"/>
        <w:rPr>
          <w:rFonts w:eastAsia="Arial"/>
          <w:bCs/>
        </w:rPr>
      </w:pPr>
      <w:r>
        <w:rPr>
          <w:rFonts w:eastAsia="Arial"/>
          <w:bCs/>
        </w:rPr>
        <w:t>Tinklinėje meta-analizėje, tislelizumabo mirties nuo bet kokios priežasties rizika lyginant su kitais PD-L</w:t>
      </w:r>
      <w:r w:rsidRPr="002D0F76">
        <w:rPr>
          <w:rFonts w:eastAsia="Arial"/>
          <w:bCs/>
        </w:rPr>
        <w:t xml:space="preserve">1 inhibitoriais reikšmingai nesiskyrė. </w:t>
      </w:r>
      <w:r>
        <w:rPr>
          <w:rFonts w:eastAsia="Arial"/>
          <w:bCs/>
          <w:lang w:val="en-US"/>
        </w:rPr>
        <w:t>Lyginant su tislelizumabu, atezolizumabo bendro išgyvemamumo vidutinis rizikos santykis buvo 1,11 (95 proc. PI 0,96-1,29), nivolumabu – 1,04 (95 proc. PI 0,90-1,20), pembrolizumabu – 1,05 (95 proc. PI 0,91-1,22)). Apskai</w:t>
      </w:r>
      <w:r>
        <w:rPr>
          <w:rFonts w:eastAsia="Arial"/>
          <w:bCs/>
        </w:rPr>
        <w:t xml:space="preserve">čiuotasis SUCRA (angl. </w:t>
      </w:r>
      <w:r>
        <w:rPr>
          <w:rFonts w:eastAsia="Arial"/>
          <w:bCs/>
          <w:i/>
          <w:iCs/>
        </w:rPr>
        <w:t>T</w:t>
      </w:r>
      <w:r w:rsidRPr="00E73161">
        <w:rPr>
          <w:rFonts w:eastAsia="Arial"/>
          <w:bCs/>
          <w:i/>
          <w:iCs/>
        </w:rPr>
        <w:t xml:space="preserve">he Surface Under </w:t>
      </w:r>
      <w:r>
        <w:rPr>
          <w:rFonts w:eastAsia="Arial"/>
          <w:bCs/>
          <w:i/>
          <w:iCs/>
        </w:rPr>
        <w:t>T</w:t>
      </w:r>
      <w:r w:rsidRPr="00E73161">
        <w:rPr>
          <w:rFonts w:eastAsia="Arial"/>
          <w:bCs/>
          <w:i/>
          <w:iCs/>
        </w:rPr>
        <w:t xml:space="preserve">he Cumulative Ranking </w:t>
      </w:r>
      <w:r>
        <w:rPr>
          <w:rFonts w:eastAsia="Arial"/>
          <w:bCs/>
          <w:i/>
          <w:iCs/>
        </w:rPr>
        <w:t>C</w:t>
      </w:r>
      <w:r w:rsidRPr="00E73161">
        <w:rPr>
          <w:rFonts w:eastAsia="Arial"/>
          <w:bCs/>
          <w:i/>
          <w:iCs/>
        </w:rPr>
        <w:t>urve</w:t>
      </w:r>
      <w:r>
        <w:rPr>
          <w:rFonts w:eastAsia="Arial"/>
          <w:bCs/>
        </w:rPr>
        <w:t>), palankiausiai išrangavo tislelizumabą (SUCRA 0,84), nivolumabą (0,</w:t>
      </w:r>
      <w:r>
        <w:rPr>
          <w:rFonts w:eastAsia="Arial"/>
          <w:bCs/>
          <w:lang w:val="en-US"/>
        </w:rPr>
        <w:t>70</w:t>
      </w:r>
      <w:r>
        <w:rPr>
          <w:rFonts w:eastAsia="Arial"/>
          <w:bCs/>
        </w:rPr>
        <w:t>), pembrolizumabą (0,62).</w:t>
      </w:r>
    </w:p>
    <w:p w14:paraId="10A559BD" w14:textId="77777777" w:rsidR="002B1DEB" w:rsidRDefault="002B1DEB" w:rsidP="002B1DEB">
      <w:pPr>
        <w:spacing w:line="276" w:lineRule="auto"/>
        <w:ind w:firstLine="720"/>
        <w:jc w:val="both"/>
        <w:rPr>
          <w:rFonts w:eastAsia="Arial"/>
          <w:bCs/>
        </w:rPr>
      </w:pPr>
      <w:r>
        <w:rPr>
          <w:rFonts w:eastAsia="Arial"/>
          <w:bCs/>
          <w:lang w:val="en-US"/>
        </w:rPr>
        <w:t>Lyginant su tislelizumabu, atezolizumabo išgyvenamumo be ligos progresavimo vidutinis rizikos santykis buvo 1,34 (95 proc. PI 1,16-1,54), nivolumabu – 1,17 (95 proc. PI 1,01-1,35), pembrolizumabu – 1,22 (95 proc. PI 1,06-1,42)). Apskai</w:t>
      </w:r>
      <w:r>
        <w:rPr>
          <w:rFonts w:eastAsia="Arial"/>
          <w:bCs/>
        </w:rPr>
        <w:t>čiuotasis SUCRA palankiausiai išrangavo tislelizumabą (SUCRA 0,99), nivolumabą (0,</w:t>
      </w:r>
      <w:r>
        <w:rPr>
          <w:rFonts w:eastAsia="Arial"/>
          <w:bCs/>
          <w:lang w:val="en-US"/>
        </w:rPr>
        <w:t>69</w:t>
      </w:r>
      <w:r>
        <w:rPr>
          <w:rFonts w:eastAsia="Arial"/>
          <w:bCs/>
        </w:rPr>
        <w:t>), pembrolizumabą (0,55).</w:t>
      </w:r>
    </w:p>
    <w:p w14:paraId="32706E2B" w14:textId="77777777" w:rsidR="002B1DEB" w:rsidRDefault="002B1DEB" w:rsidP="002B1DEB">
      <w:pPr>
        <w:spacing w:line="276" w:lineRule="auto"/>
        <w:ind w:firstLine="720"/>
        <w:jc w:val="both"/>
        <w:rPr>
          <w:rFonts w:eastAsia="Arial"/>
          <w:bCs/>
        </w:rPr>
      </w:pPr>
      <w:r w:rsidRPr="002D0F76">
        <w:rPr>
          <w:rFonts w:eastAsia="Arial"/>
          <w:bCs/>
        </w:rPr>
        <w:t>Remiantis netiesioginio palyginimo tinklin</w:t>
      </w:r>
      <w:r>
        <w:rPr>
          <w:rFonts w:eastAsia="Arial"/>
          <w:bCs/>
        </w:rPr>
        <w:t>ės meta-analizės saugumo duomenimis, tislelizumabo visų NR dažnis lyginant su nivolumabu reikšmingai nesiskyrė (vidutinis ŠS 0,</w:t>
      </w:r>
      <w:r w:rsidRPr="002D0F76">
        <w:rPr>
          <w:rFonts w:eastAsia="Arial"/>
          <w:bCs/>
        </w:rPr>
        <w:t>74, 95 proc. PI 0,74-1,81</w:t>
      </w:r>
      <w:r>
        <w:rPr>
          <w:rFonts w:eastAsia="Arial"/>
          <w:bCs/>
        </w:rPr>
        <w:t xml:space="preserve">). Lyginant su kitais PD-L1 inhibitoriais, NR dažnis vartojant tislelizumabą buvo mažesnis (lyginant su atezolizumabu ŠS </w:t>
      </w:r>
      <w:r w:rsidRPr="000538E8">
        <w:rPr>
          <w:rFonts w:eastAsia="Arial"/>
          <w:bCs/>
        </w:rPr>
        <w:t>2,</w:t>
      </w:r>
      <w:r>
        <w:rPr>
          <w:rFonts w:eastAsia="Arial"/>
          <w:bCs/>
        </w:rPr>
        <w:t xml:space="preserve">61, 95 proc. PI 1,71-4,04, pembrolizumabu – ŠS </w:t>
      </w:r>
      <w:r w:rsidRPr="00D73206">
        <w:rPr>
          <w:rFonts w:eastAsia="Arial"/>
          <w:bCs/>
        </w:rPr>
        <w:t>3,54, 95 proc. PI 2,23-5,63</w:t>
      </w:r>
      <w:r>
        <w:rPr>
          <w:rFonts w:eastAsia="Arial"/>
          <w:bCs/>
        </w:rPr>
        <w:t>).</w:t>
      </w:r>
    </w:p>
    <w:p w14:paraId="1359B1AC" w14:textId="62B61B0E" w:rsidR="002B1DEB" w:rsidRDefault="002B1DEB" w:rsidP="002B1DEB">
      <w:pPr>
        <w:spacing w:line="276" w:lineRule="auto"/>
        <w:ind w:firstLine="720"/>
        <w:jc w:val="both"/>
        <w:rPr>
          <w:rFonts w:eastAsia="Arial"/>
          <w:bCs/>
        </w:rPr>
      </w:pPr>
      <w:r w:rsidRPr="00B77F47">
        <w:rPr>
          <w:rFonts w:eastAsia="Arial"/>
          <w:bCs/>
        </w:rPr>
        <w:t xml:space="preserve">Remiantis netiesioginio palyginimo tinklinės meta-analizės bendro išgyvenamumo duomenimis, tislelizumabo BI lyginant su kitais </w:t>
      </w:r>
      <w:r>
        <w:rPr>
          <w:rFonts w:eastAsia="Arial"/>
          <w:bCs/>
        </w:rPr>
        <w:t xml:space="preserve">Lietuvos klinikinei praktikai aktualiais </w:t>
      </w:r>
      <w:r w:rsidRPr="00B77F47">
        <w:rPr>
          <w:rFonts w:eastAsia="Arial"/>
          <w:bCs/>
        </w:rPr>
        <w:t xml:space="preserve">PD-L1 inhibitoriais (t.y. atezolizumabu, nivolumabu) reikšmingai nesiskyrė. </w:t>
      </w:r>
      <w:r>
        <w:rPr>
          <w:rFonts w:eastAsia="Arial"/>
          <w:bCs/>
        </w:rPr>
        <w:t>P</w:t>
      </w:r>
      <w:r w:rsidRPr="00B77F47">
        <w:rPr>
          <w:rFonts w:eastAsia="Arial"/>
          <w:bCs/>
        </w:rPr>
        <w:t>acientų gydytų tislelizumabu išgyvenamumas be ligos progresavimo buvo reikšmingai ilgesnis lyginant su minėtais PD-L1 inhibitoriais. Tarnybos vertinimu, šie rezultatai pagrindžia nesiskiriantį palyginamųjų vaistinių preparatų efektyvumą.</w:t>
      </w:r>
    </w:p>
    <w:p w14:paraId="43822415" w14:textId="77777777" w:rsidR="002B1DEB" w:rsidRPr="002B1DEB" w:rsidRDefault="002B1DEB" w:rsidP="002B1DEB">
      <w:pPr>
        <w:spacing w:line="276" w:lineRule="auto"/>
        <w:ind w:firstLine="720"/>
        <w:jc w:val="both"/>
        <w:rPr>
          <w:rFonts w:eastAsia="Arial"/>
          <w:bCs/>
        </w:rPr>
      </w:pPr>
    </w:p>
    <w:p w14:paraId="7DE09EB5" w14:textId="69E9DD74" w:rsidR="00E03C3F" w:rsidRPr="00632BB3" w:rsidRDefault="00CC7832" w:rsidP="00CC09D4">
      <w:pPr>
        <w:pStyle w:val="Sraopastraipa"/>
        <w:numPr>
          <w:ilvl w:val="0"/>
          <w:numId w:val="12"/>
        </w:numPr>
        <w:tabs>
          <w:tab w:val="left" w:pos="567"/>
        </w:tabs>
        <w:ind w:hanging="720"/>
        <w:rPr>
          <w:b/>
          <w:bCs/>
          <w:caps/>
        </w:rPr>
      </w:pPr>
      <w:r w:rsidRPr="00632BB3">
        <w:rPr>
          <w:b/>
          <w:bCs/>
          <w:caps/>
        </w:rPr>
        <w:lastRenderedPageBreak/>
        <w:t xml:space="preserve">ekonominio vertinimo </w:t>
      </w:r>
      <w:r w:rsidR="002F0E4F" w:rsidRPr="00632BB3">
        <w:rPr>
          <w:b/>
          <w:bCs/>
          <w:caps/>
        </w:rPr>
        <w:t>apibendrinimas</w:t>
      </w:r>
    </w:p>
    <w:p w14:paraId="4801D227" w14:textId="305C909D" w:rsidR="009E44AE" w:rsidRDefault="009E44AE" w:rsidP="00A93AA6">
      <w:pPr>
        <w:tabs>
          <w:tab w:val="left" w:pos="426"/>
        </w:tabs>
        <w:rPr>
          <w:b/>
          <w:lang w:eastAsia="lt-LT"/>
        </w:rPr>
      </w:pPr>
    </w:p>
    <w:p w14:paraId="0AF23DD1" w14:textId="77777777" w:rsidR="00B34CA1" w:rsidRDefault="00B34CA1" w:rsidP="00B34CA1">
      <w:pPr>
        <w:shd w:val="clear" w:color="auto" w:fill="FFFFFF"/>
        <w:spacing w:line="276" w:lineRule="auto"/>
        <w:jc w:val="both"/>
        <w:rPr>
          <w:rFonts w:eastAsia="Arial"/>
        </w:rPr>
      </w:pPr>
      <w:r>
        <w:rPr>
          <w:rFonts w:eastAsia="Arial"/>
        </w:rPr>
        <w:t>Analizė atliekama taikant kaštų mažinimo perspektyvą, laikant, jog tislelizumabo sukuriama nauda pacientų sveikatai yra iš esmės nesiskirianti, palyginus su Lietuvos klinikine praktika – nivolumabu ar atezolizumabu, todėl analizėje lyginami tik gydymo kaštai.</w:t>
      </w:r>
    </w:p>
    <w:p w14:paraId="0A3A20B1" w14:textId="77777777" w:rsidR="00B34CA1" w:rsidRDefault="00B34CA1" w:rsidP="00B34CA1">
      <w:pPr>
        <w:shd w:val="clear" w:color="auto" w:fill="FFFFFF"/>
        <w:spacing w:line="276" w:lineRule="auto"/>
        <w:jc w:val="both"/>
        <w:rPr>
          <w:rFonts w:eastAsia="Arial"/>
        </w:rPr>
      </w:pPr>
      <w:r>
        <w:rPr>
          <w:rFonts w:eastAsia="Arial"/>
        </w:rPr>
        <w:t>Tarnyba vertina, jog dėl analizės struktūros paprastumo, pilnas STV yra nereikalingas, o sprendimą dėl vaistinio preparato kompensavimo galima priimti remiantis VLK atliekamu įtakos PSDF biudžetui vertinimu.</w:t>
      </w:r>
    </w:p>
    <w:p w14:paraId="7304EEC1" w14:textId="288C2B27" w:rsidR="00B34CA1" w:rsidRDefault="00B34CA1" w:rsidP="00B34CA1">
      <w:pPr>
        <w:shd w:val="clear" w:color="auto" w:fill="FFFFFF"/>
        <w:spacing w:line="276" w:lineRule="auto"/>
        <w:jc w:val="both"/>
        <w:rPr>
          <w:rFonts w:eastAsia="Arial"/>
        </w:rPr>
      </w:pPr>
      <w:r>
        <w:rPr>
          <w:rFonts w:eastAsia="Arial"/>
        </w:rPr>
        <w:t xml:space="preserve"> Atlikus analizės rezultato perskaičiavimą, kuriame Tarnyba pritaikė konfidencialių susitarimų su VLK ir vaistų gamintojais nustatytas kainas, įvertinta, jog gydymas tislelizumabu yra brangesnė gydymo alternatyva, nei gydymas atezolizumabu arba nivolumabu, arba taikant pacientų pasiskirstymą tarp atezolizumabo ir nivolumabo </w:t>
      </w:r>
      <w:r w:rsidR="001B180D">
        <w:rPr>
          <w:lang w:eastAsia="lt-LT"/>
        </w:rPr>
        <w:t>*****</w:t>
      </w:r>
      <w:r>
        <w:rPr>
          <w:rFonts w:eastAsia="Arial"/>
        </w:rPr>
        <w:t>.</w:t>
      </w:r>
    </w:p>
    <w:p w14:paraId="1F4854C2" w14:textId="421E44B0" w:rsidR="00B34CA1" w:rsidRDefault="00B34CA1" w:rsidP="00B34CA1">
      <w:pPr>
        <w:shd w:val="clear" w:color="auto" w:fill="FFFFFF"/>
        <w:spacing w:line="276" w:lineRule="auto"/>
        <w:jc w:val="both"/>
        <w:rPr>
          <w:rFonts w:eastAsia="Arial"/>
        </w:rPr>
      </w:pPr>
      <w:r>
        <w:rPr>
          <w:rFonts w:eastAsia="Arial"/>
        </w:rPr>
        <w:t xml:space="preserve">Įvertinta, jog reikalinga papildoma bent </w:t>
      </w:r>
      <w:r w:rsidR="00182669">
        <w:rPr>
          <w:rFonts w:eastAsia="Arial"/>
        </w:rPr>
        <w:t>*****</w:t>
      </w:r>
      <w:r>
        <w:rPr>
          <w:rFonts w:eastAsia="Arial"/>
        </w:rPr>
        <w:t xml:space="preserve"> nuolaida tislelizumabui, kad būtų taupomi </w:t>
      </w:r>
      <w:r w:rsidR="00182669">
        <w:rPr>
          <w:rFonts w:eastAsia="Arial"/>
        </w:rPr>
        <w:t>*****</w:t>
      </w:r>
      <w:r>
        <w:rPr>
          <w:rFonts w:eastAsia="Arial"/>
        </w:rPr>
        <w:t xml:space="preserve"> dabartinės Lietuvos praktikos kaštų (laikant, jog</w:t>
      </w:r>
      <w:r w:rsidR="001B180D">
        <w:rPr>
          <w:rFonts w:eastAsia="Arial"/>
        </w:rPr>
        <w:t xml:space="preserve"> </w:t>
      </w:r>
      <w:r w:rsidR="001B180D">
        <w:rPr>
          <w:lang w:eastAsia="lt-LT"/>
        </w:rPr>
        <w:t>*****</w:t>
      </w:r>
      <w:r>
        <w:rPr>
          <w:rFonts w:eastAsia="Arial"/>
        </w:rPr>
        <w:t xml:space="preserve"> pacientų vartoja nivolumabą, </w:t>
      </w:r>
      <w:r w:rsidR="001B180D">
        <w:rPr>
          <w:lang w:eastAsia="lt-LT"/>
        </w:rPr>
        <w:t xml:space="preserve">***** </w:t>
      </w:r>
      <w:r>
        <w:rPr>
          <w:rFonts w:eastAsia="Arial"/>
        </w:rPr>
        <w:t xml:space="preserve">pacientų vartoja atezolizumabą). </w:t>
      </w:r>
    </w:p>
    <w:p w14:paraId="34E846A8" w14:textId="77777777" w:rsidR="00B34CA1" w:rsidRDefault="00B34CA1" w:rsidP="00B34CA1">
      <w:pPr>
        <w:tabs>
          <w:tab w:val="left" w:pos="426"/>
        </w:tabs>
        <w:rPr>
          <w:b/>
          <w:lang w:eastAsia="lt-LT"/>
        </w:rPr>
      </w:pPr>
    </w:p>
    <w:tbl>
      <w:tblPr>
        <w:tblStyle w:val="Lentelstinklelis"/>
        <w:tblW w:w="0" w:type="auto"/>
        <w:tblLook w:val="04A0" w:firstRow="1" w:lastRow="0" w:firstColumn="1" w:lastColumn="0" w:noHBand="0" w:noVBand="1"/>
      </w:tblPr>
      <w:tblGrid>
        <w:gridCol w:w="1988"/>
        <w:gridCol w:w="1669"/>
        <w:gridCol w:w="1512"/>
        <w:gridCol w:w="1763"/>
        <w:gridCol w:w="1313"/>
        <w:gridCol w:w="1384"/>
      </w:tblGrid>
      <w:tr w:rsidR="00B34CA1" w14:paraId="071ED1CF" w14:textId="77777777" w:rsidTr="007C7A00">
        <w:tc>
          <w:tcPr>
            <w:tcW w:w="1988" w:type="dxa"/>
          </w:tcPr>
          <w:p w14:paraId="4DEB6D01" w14:textId="77777777" w:rsidR="00B34CA1" w:rsidRDefault="00B34CA1" w:rsidP="007C7A00">
            <w:pPr>
              <w:spacing w:line="280" w:lineRule="atLeast"/>
              <w:rPr>
                <w:lang w:eastAsia="lt-LT"/>
              </w:rPr>
            </w:pPr>
          </w:p>
        </w:tc>
        <w:tc>
          <w:tcPr>
            <w:tcW w:w="1669" w:type="dxa"/>
          </w:tcPr>
          <w:p w14:paraId="5BC18E43" w14:textId="77777777" w:rsidR="00B34CA1" w:rsidRDefault="00B34CA1" w:rsidP="007C7A00">
            <w:pPr>
              <w:spacing w:line="280" w:lineRule="atLeast"/>
              <w:rPr>
                <w:lang w:eastAsia="lt-LT"/>
              </w:rPr>
            </w:pPr>
            <w:r>
              <w:rPr>
                <w:lang w:eastAsia="lt-LT"/>
              </w:rPr>
              <w:t>Tislelizumabas (tevimbra)</w:t>
            </w:r>
          </w:p>
        </w:tc>
        <w:tc>
          <w:tcPr>
            <w:tcW w:w="1512" w:type="dxa"/>
          </w:tcPr>
          <w:p w14:paraId="2B7B8472" w14:textId="77777777" w:rsidR="00B34CA1" w:rsidRDefault="00B34CA1" w:rsidP="007C7A00">
            <w:pPr>
              <w:spacing w:line="280" w:lineRule="atLeast"/>
              <w:rPr>
                <w:lang w:eastAsia="lt-LT"/>
              </w:rPr>
            </w:pPr>
            <w:r>
              <w:rPr>
                <w:lang w:eastAsia="lt-LT"/>
              </w:rPr>
              <w:t xml:space="preserve">Nivolumabas (opdivo) </w:t>
            </w:r>
            <w:r w:rsidRPr="00AA3514">
              <w:rPr>
                <w:vertAlign w:val="superscript"/>
                <w:lang w:eastAsia="lt-LT"/>
              </w:rPr>
              <w:t>1</w:t>
            </w:r>
          </w:p>
        </w:tc>
        <w:tc>
          <w:tcPr>
            <w:tcW w:w="1763" w:type="dxa"/>
          </w:tcPr>
          <w:p w14:paraId="3C94D6AA" w14:textId="77777777" w:rsidR="00B34CA1" w:rsidRDefault="00B34CA1" w:rsidP="007C7A00">
            <w:pPr>
              <w:spacing w:line="280" w:lineRule="atLeast"/>
              <w:rPr>
                <w:lang w:eastAsia="lt-LT"/>
              </w:rPr>
            </w:pPr>
            <w:r>
              <w:rPr>
                <w:lang w:eastAsia="lt-LT"/>
              </w:rPr>
              <w:t xml:space="preserve">Atezolizumabas (tecentriq) </w:t>
            </w:r>
            <w:r w:rsidRPr="00AA3514">
              <w:rPr>
                <w:vertAlign w:val="superscript"/>
                <w:lang w:eastAsia="lt-LT"/>
              </w:rPr>
              <w:t>2</w:t>
            </w:r>
          </w:p>
        </w:tc>
        <w:tc>
          <w:tcPr>
            <w:tcW w:w="1313" w:type="dxa"/>
          </w:tcPr>
          <w:p w14:paraId="34FC1C03" w14:textId="77777777" w:rsidR="00B34CA1" w:rsidRPr="00AA3514" w:rsidRDefault="00B34CA1" w:rsidP="007C7A00">
            <w:pPr>
              <w:spacing w:line="280" w:lineRule="atLeast"/>
              <w:rPr>
                <w:sz w:val="18"/>
                <w:lang w:eastAsia="lt-LT"/>
              </w:rPr>
            </w:pPr>
            <w:r w:rsidRPr="00AA3514">
              <w:rPr>
                <w:sz w:val="18"/>
                <w:lang w:eastAsia="lt-LT"/>
              </w:rPr>
              <w:t>Skirtumas (</w:t>
            </w:r>
            <w:r w:rsidRPr="00AA3514">
              <w:rPr>
                <w:i/>
                <w:sz w:val="18"/>
                <w:lang w:eastAsia="lt-LT"/>
              </w:rPr>
              <w:t>vs tislelizumab</w:t>
            </w:r>
            <w:r w:rsidRPr="00AA3514">
              <w:rPr>
                <w:sz w:val="18"/>
                <w:lang w:eastAsia="lt-LT"/>
              </w:rPr>
              <w:t>)</w:t>
            </w:r>
            <w:r w:rsidRPr="00AA3514">
              <w:rPr>
                <w:sz w:val="18"/>
                <w:vertAlign w:val="superscript"/>
                <w:lang w:eastAsia="lt-LT"/>
              </w:rPr>
              <w:t xml:space="preserve"> 1</w:t>
            </w:r>
          </w:p>
        </w:tc>
        <w:tc>
          <w:tcPr>
            <w:tcW w:w="1384" w:type="dxa"/>
          </w:tcPr>
          <w:p w14:paraId="46CB7A47" w14:textId="77777777" w:rsidR="00B34CA1" w:rsidRPr="00AA3514" w:rsidRDefault="00B34CA1" w:rsidP="007C7A00">
            <w:pPr>
              <w:spacing w:line="280" w:lineRule="atLeast"/>
              <w:rPr>
                <w:sz w:val="18"/>
                <w:lang w:eastAsia="lt-LT"/>
              </w:rPr>
            </w:pPr>
            <w:r w:rsidRPr="00AA3514">
              <w:rPr>
                <w:sz w:val="18"/>
                <w:lang w:eastAsia="lt-LT"/>
              </w:rPr>
              <w:t>Skirtumas (</w:t>
            </w:r>
            <w:r w:rsidRPr="00AA3514">
              <w:rPr>
                <w:i/>
                <w:sz w:val="18"/>
                <w:lang w:eastAsia="lt-LT"/>
              </w:rPr>
              <w:t>vs tislelizumab</w:t>
            </w:r>
            <w:r w:rsidRPr="00AA3514">
              <w:rPr>
                <w:sz w:val="18"/>
                <w:lang w:eastAsia="lt-LT"/>
              </w:rPr>
              <w:t xml:space="preserve">) </w:t>
            </w:r>
            <w:r w:rsidRPr="00AA3514">
              <w:rPr>
                <w:sz w:val="18"/>
                <w:vertAlign w:val="superscript"/>
                <w:lang w:eastAsia="lt-LT"/>
              </w:rPr>
              <w:t>2</w:t>
            </w:r>
          </w:p>
        </w:tc>
      </w:tr>
      <w:tr w:rsidR="00B34CA1" w14:paraId="3550CA77" w14:textId="77777777" w:rsidTr="007C7A00">
        <w:tc>
          <w:tcPr>
            <w:tcW w:w="1988" w:type="dxa"/>
          </w:tcPr>
          <w:p w14:paraId="4463A7C6" w14:textId="77777777" w:rsidR="00B34CA1" w:rsidRDefault="00B34CA1" w:rsidP="007C7A00">
            <w:pPr>
              <w:spacing w:line="280" w:lineRule="atLeast"/>
              <w:rPr>
                <w:lang w:eastAsia="lt-LT"/>
              </w:rPr>
            </w:pPr>
            <w:r>
              <w:rPr>
                <w:lang w:eastAsia="lt-LT"/>
              </w:rPr>
              <w:t>Vaistinių preparatų įsigijimo kaštai</w:t>
            </w:r>
          </w:p>
        </w:tc>
        <w:tc>
          <w:tcPr>
            <w:tcW w:w="1669" w:type="dxa"/>
          </w:tcPr>
          <w:p w14:paraId="3E282BE6" w14:textId="2C3826E7" w:rsidR="00B34CA1" w:rsidRDefault="007113C7" w:rsidP="007C7A00">
            <w:pPr>
              <w:spacing w:line="280" w:lineRule="atLeast"/>
              <w:rPr>
                <w:lang w:eastAsia="lt-LT"/>
              </w:rPr>
            </w:pPr>
            <w:r>
              <w:rPr>
                <w:lang w:eastAsia="lt-LT"/>
              </w:rPr>
              <w:t>*****</w:t>
            </w:r>
          </w:p>
        </w:tc>
        <w:tc>
          <w:tcPr>
            <w:tcW w:w="1512" w:type="dxa"/>
          </w:tcPr>
          <w:p w14:paraId="2628EFA5" w14:textId="77777777" w:rsidR="00B34CA1" w:rsidRDefault="00B34CA1" w:rsidP="007C7A00">
            <w:pPr>
              <w:spacing w:line="280" w:lineRule="atLeast"/>
              <w:rPr>
                <w:lang w:eastAsia="lt-LT"/>
              </w:rPr>
            </w:pPr>
            <w:r w:rsidRPr="005B65C7">
              <w:rPr>
                <w:sz w:val="22"/>
                <w:szCs w:val="22"/>
              </w:rPr>
              <w:t>*****</w:t>
            </w:r>
          </w:p>
        </w:tc>
        <w:tc>
          <w:tcPr>
            <w:tcW w:w="1763" w:type="dxa"/>
          </w:tcPr>
          <w:p w14:paraId="0B7E65A9" w14:textId="77777777" w:rsidR="00B34CA1" w:rsidRDefault="00B34CA1" w:rsidP="007C7A00">
            <w:pPr>
              <w:spacing w:line="280" w:lineRule="atLeast"/>
              <w:rPr>
                <w:lang w:eastAsia="lt-LT"/>
              </w:rPr>
            </w:pPr>
            <w:r w:rsidRPr="005B65C7">
              <w:rPr>
                <w:sz w:val="22"/>
                <w:szCs w:val="22"/>
              </w:rPr>
              <w:t>*****</w:t>
            </w:r>
          </w:p>
        </w:tc>
        <w:tc>
          <w:tcPr>
            <w:tcW w:w="1313" w:type="dxa"/>
          </w:tcPr>
          <w:p w14:paraId="0B0EBA46" w14:textId="77777777" w:rsidR="00B34CA1" w:rsidRDefault="00B34CA1" w:rsidP="007C7A00">
            <w:pPr>
              <w:spacing w:line="280" w:lineRule="atLeast"/>
              <w:rPr>
                <w:lang w:eastAsia="lt-LT"/>
              </w:rPr>
            </w:pPr>
            <w:r w:rsidRPr="005B65C7">
              <w:rPr>
                <w:sz w:val="22"/>
                <w:szCs w:val="22"/>
              </w:rPr>
              <w:t>*****</w:t>
            </w:r>
          </w:p>
        </w:tc>
        <w:tc>
          <w:tcPr>
            <w:tcW w:w="1384" w:type="dxa"/>
          </w:tcPr>
          <w:p w14:paraId="4F0CB38B" w14:textId="77777777" w:rsidR="00B34CA1" w:rsidRDefault="00B34CA1" w:rsidP="007C7A00">
            <w:pPr>
              <w:spacing w:line="280" w:lineRule="atLeast"/>
              <w:rPr>
                <w:lang w:eastAsia="lt-LT"/>
              </w:rPr>
            </w:pPr>
            <w:r w:rsidRPr="005B65C7">
              <w:rPr>
                <w:sz w:val="22"/>
                <w:szCs w:val="22"/>
              </w:rPr>
              <w:t>*****</w:t>
            </w:r>
          </w:p>
        </w:tc>
      </w:tr>
      <w:tr w:rsidR="00B34CA1" w14:paraId="4869EB25" w14:textId="77777777" w:rsidTr="007C7A00">
        <w:tc>
          <w:tcPr>
            <w:tcW w:w="1988" w:type="dxa"/>
          </w:tcPr>
          <w:p w14:paraId="77741171" w14:textId="77777777" w:rsidR="00B34CA1" w:rsidRDefault="00B34CA1" w:rsidP="007C7A00">
            <w:pPr>
              <w:spacing w:line="280" w:lineRule="atLeast"/>
              <w:rPr>
                <w:lang w:eastAsia="lt-LT"/>
              </w:rPr>
            </w:pPr>
            <w:r>
              <w:rPr>
                <w:lang w:eastAsia="lt-LT"/>
              </w:rPr>
              <w:t>Vaistų vartojimo kaštai</w:t>
            </w:r>
          </w:p>
        </w:tc>
        <w:tc>
          <w:tcPr>
            <w:tcW w:w="1669" w:type="dxa"/>
          </w:tcPr>
          <w:p w14:paraId="3ACE1091" w14:textId="1496C919" w:rsidR="00B34CA1" w:rsidRDefault="007113C7" w:rsidP="007C7A00">
            <w:pPr>
              <w:spacing w:line="280" w:lineRule="atLeast"/>
              <w:rPr>
                <w:lang w:eastAsia="lt-LT"/>
              </w:rPr>
            </w:pPr>
            <w:r>
              <w:rPr>
                <w:lang w:eastAsia="lt-LT"/>
              </w:rPr>
              <w:t>*****</w:t>
            </w:r>
          </w:p>
        </w:tc>
        <w:tc>
          <w:tcPr>
            <w:tcW w:w="1512" w:type="dxa"/>
          </w:tcPr>
          <w:p w14:paraId="0E5E4F8A" w14:textId="28BE440D" w:rsidR="00B34CA1" w:rsidRDefault="007113C7" w:rsidP="007C7A00">
            <w:pPr>
              <w:spacing w:line="280" w:lineRule="atLeast"/>
              <w:rPr>
                <w:lang w:eastAsia="lt-LT"/>
              </w:rPr>
            </w:pPr>
            <w:r>
              <w:rPr>
                <w:lang w:eastAsia="lt-LT"/>
              </w:rPr>
              <w:t>*****</w:t>
            </w:r>
          </w:p>
        </w:tc>
        <w:tc>
          <w:tcPr>
            <w:tcW w:w="1763" w:type="dxa"/>
          </w:tcPr>
          <w:p w14:paraId="531E11D6" w14:textId="4E881DDA" w:rsidR="00B34CA1" w:rsidRDefault="007113C7" w:rsidP="007C7A00">
            <w:pPr>
              <w:spacing w:line="280" w:lineRule="atLeast"/>
              <w:rPr>
                <w:lang w:eastAsia="lt-LT"/>
              </w:rPr>
            </w:pPr>
            <w:r>
              <w:rPr>
                <w:lang w:eastAsia="lt-LT"/>
              </w:rPr>
              <w:t>*****</w:t>
            </w:r>
          </w:p>
        </w:tc>
        <w:tc>
          <w:tcPr>
            <w:tcW w:w="1313" w:type="dxa"/>
          </w:tcPr>
          <w:p w14:paraId="439F1B21" w14:textId="07E1E6D2" w:rsidR="00B34CA1" w:rsidRDefault="007113C7" w:rsidP="007C7A00">
            <w:pPr>
              <w:spacing w:line="280" w:lineRule="atLeast"/>
              <w:rPr>
                <w:lang w:eastAsia="lt-LT"/>
              </w:rPr>
            </w:pPr>
            <w:r>
              <w:rPr>
                <w:lang w:eastAsia="lt-LT"/>
              </w:rPr>
              <w:t>*****</w:t>
            </w:r>
          </w:p>
        </w:tc>
        <w:tc>
          <w:tcPr>
            <w:tcW w:w="1384" w:type="dxa"/>
          </w:tcPr>
          <w:p w14:paraId="49E09967" w14:textId="1B6CD2BD" w:rsidR="00B34CA1" w:rsidRDefault="007113C7" w:rsidP="007C7A00">
            <w:pPr>
              <w:spacing w:line="280" w:lineRule="atLeast"/>
              <w:rPr>
                <w:lang w:eastAsia="lt-LT"/>
              </w:rPr>
            </w:pPr>
            <w:r>
              <w:rPr>
                <w:lang w:eastAsia="lt-LT"/>
              </w:rPr>
              <w:t>*****</w:t>
            </w:r>
          </w:p>
        </w:tc>
      </w:tr>
      <w:tr w:rsidR="00B34CA1" w14:paraId="06045F7D" w14:textId="77777777" w:rsidTr="007C7A00">
        <w:tc>
          <w:tcPr>
            <w:tcW w:w="1988" w:type="dxa"/>
          </w:tcPr>
          <w:p w14:paraId="226EC568" w14:textId="77777777" w:rsidR="00B34CA1" w:rsidRDefault="00B34CA1" w:rsidP="007C7A00">
            <w:pPr>
              <w:spacing w:line="280" w:lineRule="atLeast"/>
              <w:jc w:val="right"/>
              <w:rPr>
                <w:lang w:eastAsia="lt-LT"/>
              </w:rPr>
            </w:pPr>
            <w:r>
              <w:rPr>
                <w:lang w:eastAsia="lt-LT"/>
              </w:rPr>
              <w:t>Viso:</w:t>
            </w:r>
          </w:p>
        </w:tc>
        <w:tc>
          <w:tcPr>
            <w:tcW w:w="1669" w:type="dxa"/>
          </w:tcPr>
          <w:p w14:paraId="0E97EDE4" w14:textId="572EFF55" w:rsidR="00B34CA1" w:rsidRDefault="007113C7" w:rsidP="007C7A00">
            <w:pPr>
              <w:spacing w:line="280" w:lineRule="atLeast"/>
              <w:rPr>
                <w:lang w:eastAsia="lt-LT"/>
              </w:rPr>
            </w:pPr>
            <w:r>
              <w:rPr>
                <w:lang w:eastAsia="lt-LT"/>
              </w:rPr>
              <w:t>*****</w:t>
            </w:r>
          </w:p>
        </w:tc>
        <w:tc>
          <w:tcPr>
            <w:tcW w:w="1512" w:type="dxa"/>
          </w:tcPr>
          <w:p w14:paraId="758E05C3" w14:textId="77777777" w:rsidR="00B34CA1" w:rsidRDefault="00B34CA1" w:rsidP="007C7A00">
            <w:pPr>
              <w:spacing w:line="280" w:lineRule="atLeast"/>
              <w:rPr>
                <w:lang w:eastAsia="lt-LT"/>
              </w:rPr>
            </w:pPr>
            <w:r w:rsidRPr="00B73E5B">
              <w:rPr>
                <w:sz w:val="22"/>
                <w:szCs w:val="22"/>
              </w:rPr>
              <w:t>*****</w:t>
            </w:r>
          </w:p>
        </w:tc>
        <w:tc>
          <w:tcPr>
            <w:tcW w:w="1763" w:type="dxa"/>
          </w:tcPr>
          <w:p w14:paraId="6480040C" w14:textId="77777777" w:rsidR="00B34CA1" w:rsidRDefault="00B34CA1" w:rsidP="007C7A00">
            <w:pPr>
              <w:spacing w:line="280" w:lineRule="atLeast"/>
              <w:rPr>
                <w:lang w:eastAsia="lt-LT"/>
              </w:rPr>
            </w:pPr>
            <w:r w:rsidRPr="00B73E5B">
              <w:rPr>
                <w:sz w:val="22"/>
                <w:szCs w:val="22"/>
              </w:rPr>
              <w:t>*****</w:t>
            </w:r>
          </w:p>
        </w:tc>
        <w:tc>
          <w:tcPr>
            <w:tcW w:w="1313" w:type="dxa"/>
          </w:tcPr>
          <w:p w14:paraId="1E282417" w14:textId="77777777" w:rsidR="00B34CA1" w:rsidRDefault="00B34CA1" w:rsidP="007C7A00">
            <w:pPr>
              <w:spacing w:line="280" w:lineRule="atLeast"/>
              <w:rPr>
                <w:lang w:eastAsia="lt-LT"/>
              </w:rPr>
            </w:pPr>
            <w:r w:rsidRPr="00B73E5B">
              <w:rPr>
                <w:sz w:val="22"/>
                <w:szCs w:val="22"/>
              </w:rPr>
              <w:t>*****</w:t>
            </w:r>
          </w:p>
        </w:tc>
        <w:tc>
          <w:tcPr>
            <w:tcW w:w="1384" w:type="dxa"/>
          </w:tcPr>
          <w:p w14:paraId="04FD5722" w14:textId="77777777" w:rsidR="00B34CA1" w:rsidRDefault="00B34CA1" w:rsidP="007C7A00">
            <w:pPr>
              <w:spacing w:line="280" w:lineRule="atLeast"/>
              <w:rPr>
                <w:lang w:eastAsia="lt-LT"/>
              </w:rPr>
            </w:pPr>
            <w:r w:rsidRPr="00B73E5B">
              <w:rPr>
                <w:sz w:val="22"/>
                <w:szCs w:val="22"/>
              </w:rPr>
              <w:t>*****</w:t>
            </w:r>
          </w:p>
        </w:tc>
      </w:tr>
    </w:tbl>
    <w:p w14:paraId="70CFF15C" w14:textId="77777777" w:rsidR="00B34CA1" w:rsidRPr="00632BB3" w:rsidRDefault="00B34CA1" w:rsidP="00B34CA1">
      <w:pPr>
        <w:tabs>
          <w:tab w:val="left" w:pos="426"/>
        </w:tabs>
        <w:rPr>
          <w:b/>
          <w:lang w:eastAsia="lt-LT"/>
        </w:rPr>
      </w:pPr>
    </w:p>
    <w:p w14:paraId="746B440A" w14:textId="77777777" w:rsidR="00B34CA1" w:rsidRPr="00632BB3" w:rsidRDefault="00B34CA1" w:rsidP="00B34CA1">
      <w:pPr>
        <w:pStyle w:val="Sraopastraipa"/>
        <w:numPr>
          <w:ilvl w:val="0"/>
          <w:numId w:val="12"/>
        </w:numPr>
        <w:tabs>
          <w:tab w:val="left" w:pos="567"/>
        </w:tabs>
        <w:ind w:hanging="720"/>
        <w:rPr>
          <w:b/>
          <w:bCs/>
          <w:caps/>
        </w:rPr>
      </w:pPr>
      <w:r w:rsidRPr="00632BB3">
        <w:rPr>
          <w:b/>
          <w:bCs/>
          <w:caps/>
        </w:rPr>
        <w:t xml:space="preserve">Pacientų organizacijų pateikti duomenys </w:t>
      </w:r>
    </w:p>
    <w:p w14:paraId="521E29F2" w14:textId="77777777" w:rsidR="00B34CA1" w:rsidRPr="00632BB3" w:rsidRDefault="00182669" w:rsidP="00B34CA1">
      <w:pPr>
        <w:spacing w:after="120"/>
        <w:jc w:val="both"/>
      </w:pPr>
      <w:sdt>
        <w:sdtPr>
          <w:rPr>
            <w:rStyle w:val="Style2"/>
            <w:rFonts w:ascii="MS Gothic" w:eastAsia="MS Gothic" w:hAnsi="MS Gothic"/>
            <w:sz w:val="24"/>
          </w:rPr>
          <w:id w:val="-666787359"/>
          <w15:color w:val="FFCC00"/>
          <w14:checkbox>
            <w14:checked w14:val="0"/>
            <w14:checkedState w14:val="2612" w14:font="MS Gothic"/>
            <w14:uncheckedState w14:val="2610" w14:font="MS Gothic"/>
          </w14:checkbox>
        </w:sdtPr>
        <w:sdtEndPr>
          <w:rPr>
            <w:rStyle w:val="Style2"/>
          </w:rPr>
        </w:sdtEndPr>
        <w:sdtContent>
          <w:r w:rsidR="00B34CA1" w:rsidRPr="00632BB3">
            <w:rPr>
              <w:rStyle w:val="Style2"/>
              <w:rFonts w:ascii="MS Gothic" w:eastAsia="MS Gothic" w:hAnsi="MS Gothic"/>
              <w:sz w:val="24"/>
            </w:rPr>
            <w:t>☐</w:t>
          </w:r>
        </w:sdtContent>
      </w:sdt>
      <w:r w:rsidR="00B34CA1" w:rsidRPr="00632BB3">
        <w:t xml:space="preserve"> Pacientų organizacijos pozicija pateikta. Žr. priedą.</w:t>
      </w:r>
    </w:p>
    <w:p w14:paraId="6A3BFB8F" w14:textId="77777777" w:rsidR="00B34CA1" w:rsidRPr="00632BB3" w:rsidRDefault="00182669" w:rsidP="00B34CA1">
      <w:pPr>
        <w:spacing w:after="120"/>
        <w:jc w:val="both"/>
      </w:pPr>
      <w:sdt>
        <w:sdtPr>
          <w:rPr>
            <w:rStyle w:val="Style2"/>
            <w:rFonts w:ascii="MS Gothic" w:eastAsia="MS Gothic" w:hAnsi="MS Gothic"/>
            <w:sz w:val="24"/>
          </w:rPr>
          <w:id w:val="-1911991034"/>
          <w15:color w:val="FFCC00"/>
          <w14:checkbox>
            <w14:checked w14:val="1"/>
            <w14:checkedState w14:val="2612" w14:font="MS Gothic"/>
            <w14:uncheckedState w14:val="2610" w14:font="MS Gothic"/>
          </w14:checkbox>
        </w:sdtPr>
        <w:sdtEndPr>
          <w:rPr>
            <w:rStyle w:val="Style2"/>
          </w:rPr>
        </w:sdtEndPr>
        <w:sdtContent>
          <w:r w:rsidR="00B34CA1" w:rsidRPr="00632BB3">
            <w:rPr>
              <w:rStyle w:val="Style2"/>
              <w:rFonts w:ascii="MS Gothic" w:eastAsia="MS Gothic" w:hAnsi="MS Gothic"/>
              <w:sz w:val="24"/>
            </w:rPr>
            <w:t>☒</w:t>
          </w:r>
        </w:sdtContent>
      </w:sdt>
      <w:r w:rsidR="00B34CA1" w:rsidRPr="00632BB3">
        <w:t xml:space="preserve"> Pacientų organizacijos pozicija nepateikta.</w:t>
      </w:r>
    </w:p>
    <w:p w14:paraId="1A2E8434" w14:textId="77777777" w:rsidR="00B34CA1" w:rsidRPr="00632BB3" w:rsidRDefault="00B34CA1" w:rsidP="00B34CA1">
      <w:pPr>
        <w:spacing w:after="120"/>
        <w:jc w:val="both"/>
      </w:pPr>
    </w:p>
    <w:p w14:paraId="05927DE9" w14:textId="77777777" w:rsidR="00B34CA1" w:rsidRPr="00632BB3" w:rsidRDefault="00B34CA1" w:rsidP="00B34CA1">
      <w:pPr>
        <w:pStyle w:val="Sraopastraipa"/>
        <w:numPr>
          <w:ilvl w:val="0"/>
          <w:numId w:val="12"/>
        </w:numPr>
        <w:tabs>
          <w:tab w:val="left" w:pos="567"/>
        </w:tabs>
        <w:ind w:hanging="720"/>
        <w:rPr>
          <w:b/>
          <w:bCs/>
          <w:caps/>
        </w:rPr>
      </w:pPr>
      <w:r w:rsidRPr="00632BB3">
        <w:rPr>
          <w:b/>
          <w:bCs/>
          <w:caps/>
        </w:rPr>
        <w:t>Gydytojų organizacijų pateikti duomenys</w:t>
      </w:r>
    </w:p>
    <w:p w14:paraId="5FF4FDE7" w14:textId="77777777" w:rsidR="00B34CA1" w:rsidRPr="00632BB3" w:rsidRDefault="00182669" w:rsidP="00B34CA1">
      <w:pPr>
        <w:spacing w:after="120"/>
        <w:jc w:val="both"/>
      </w:pPr>
      <w:sdt>
        <w:sdtPr>
          <w:rPr>
            <w:rStyle w:val="Style2"/>
            <w:rFonts w:ascii="MS Gothic" w:eastAsia="MS Gothic" w:hAnsi="MS Gothic"/>
            <w:sz w:val="24"/>
          </w:rPr>
          <w:id w:val="510419230"/>
          <w15:color w:val="FFCC00"/>
          <w14:checkbox>
            <w14:checked w14:val="0"/>
            <w14:checkedState w14:val="2612" w14:font="MS Gothic"/>
            <w14:uncheckedState w14:val="2610" w14:font="MS Gothic"/>
          </w14:checkbox>
        </w:sdtPr>
        <w:sdtEndPr>
          <w:rPr>
            <w:rStyle w:val="Style2"/>
          </w:rPr>
        </w:sdtEndPr>
        <w:sdtContent>
          <w:r w:rsidR="00B34CA1" w:rsidRPr="00632BB3">
            <w:rPr>
              <w:rStyle w:val="Style2"/>
              <w:rFonts w:ascii="MS Gothic" w:eastAsia="MS Gothic" w:hAnsi="MS Gothic"/>
              <w:sz w:val="24"/>
            </w:rPr>
            <w:t>☐</w:t>
          </w:r>
        </w:sdtContent>
      </w:sdt>
      <w:r w:rsidR="00B34CA1" w:rsidRPr="00632BB3">
        <w:t xml:space="preserve"> Gydytojų specialistų organizacijos pozicija pateikta. Žr. priedą.</w:t>
      </w:r>
    </w:p>
    <w:p w14:paraId="54BD71D7" w14:textId="77777777" w:rsidR="00B34CA1" w:rsidRPr="00632BB3" w:rsidRDefault="00182669" w:rsidP="00B34CA1">
      <w:pPr>
        <w:spacing w:after="120"/>
        <w:jc w:val="both"/>
      </w:pPr>
      <w:sdt>
        <w:sdtPr>
          <w:rPr>
            <w:rStyle w:val="Style2"/>
            <w:rFonts w:ascii="MS Gothic" w:eastAsia="MS Gothic" w:hAnsi="MS Gothic"/>
            <w:sz w:val="24"/>
          </w:rPr>
          <w:id w:val="23529374"/>
          <w15:color w:val="FFCC00"/>
          <w14:checkbox>
            <w14:checked w14:val="1"/>
            <w14:checkedState w14:val="2612" w14:font="MS Gothic"/>
            <w14:uncheckedState w14:val="2610" w14:font="MS Gothic"/>
          </w14:checkbox>
        </w:sdtPr>
        <w:sdtEndPr>
          <w:rPr>
            <w:rStyle w:val="Style2"/>
          </w:rPr>
        </w:sdtEndPr>
        <w:sdtContent>
          <w:r w:rsidR="00B34CA1" w:rsidRPr="00632BB3">
            <w:rPr>
              <w:rStyle w:val="Style2"/>
              <w:rFonts w:ascii="MS Gothic" w:eastAsia="MS Gothic" w:hAnsi="MS Gothic"/>
              <w:sz w:val="24"/>
            </w:rPr>
            <w:t>☒</w:t>
          </w:r>
        </w:sdtContent>
      </w:sdt>
      <w:r w:rsidR="00B34CA1" w:rsidRPr="00632BB3">
        <w:t xml:space="preserve"> Gydytojų specialistų organizacijos pozicija nepateikta.</w:t>
      </w:r>
    </w:p>
    <w:p w14:paraId="02C526AB" w14:textId="77777777" w:rsidR="00B34CA1" w:rsidRPr="00632BB3" w:rsidRDefault="00B34CA1" w:rsidP="00B34CA1">
      <w:pPr>
        <w:spacing w:after="120"/>
        <w:jc w:val="both"/>
      </w:pPr>
    </w:p>
    <w:p w14:paraId="60690E44" w14:textId="77777777" w:rsidR="00B34CA1" w:rsidRPr="00632BB3" w:rsidRDefault="00B34CA1" w:rsidP="00B34CA1">
      <w:pPr>
        <w:pStyle w:val="Sraopastraipa"/>
        <w:numPr>
          <w:ilvl w:val="0"/>
          <w:numId w:val="12"/>
        </w:numPr>
        <w:tabs>
          <w:tab w:val="left" w:pos="567"/>
        </w:tabs>
        <w:ind w:hanging="720"/>
        <w:rPr>
          <w:b/>
          <w:bCs/>
          <w:caps/>
        </w:rPr>
      </w:pPr>
      <w:r w:rsidRPr="00632BB3">
        <w:rPr>
          <w:b/>
          <w:bCs/>
          <w:caps/>
        </w:rPr>
        <w:t xml:space="preserve">Išvada </w:t>
      </w:r>
    </w:p>
    <w:p w14:paraId="39551D9F" w14:textId="77777777" w:rsidR="00B34CA1" w:rsidRPr="00632BB3" w:rsidRDefault="00B34CA1" w:rsidP="00B34CA1">
      <w:pPr>
        <w:rPr>
          <w:i/>
          <w:szCs w:val="22"/>
        </w:rPr>
      </w:pPr>
    </w:p>
    <w:tbl>
      <w:tblPr>
        <w:tblStyle w:val="Lentelstinklelis"/>
        <w:tblW w:w="0" w:type="auto"/>
        <w:tblLook w:val="04A0" w:firstRow="1" w:lastRow="0" w:firstColumn="1" w:lastColumn="0" w:noHBand="0" w:noVBand="1"/>
      </w:tblPr>
      <w:tblGrid>
        <w:gridCol w:w="4815"/>
        <w:gridCol w:w="4814"/>
      </w:tblGrid>
      <w:tr w:rsidR="00B34CA1" w:rsidRPr="00632BB3" w14:paraId="681F0F92" w14:textId="77777777" w:rsidTr="007C7A00">
        <w:trPr>
          <w:trHeight w:val="510"/>
        </w:trPr>
        <w:tc>
          <w:tcPr>
            <w:tcW w:w="9629" w:type="dxa"/>
            <w:gridSpan w:val="2"/>
            <w:vAlign w:val="center"/>
          </w:tcPr>
          <w:p w14:paraId="115E4238" w14:textId="77777777" w:rsidR="00B34CA1" w:rsidRPr="00632BB3" w:rsidRDefault="00B34CA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632BB3">
              <w:rPr>
                <w:rStyle w:val="Style2"/>
                <w:rFonts w:eastAsia="MS Gothic"/>
                <w:b/>
                <w:bCs/>
                <w:sz w:val="24"/>
              </w:rPr>
              <w:t>Palyginamasis veiksmingumas</w:t>
            </w:r>
          </w:p>
        </w:tc>
      </w:tr>
      <w:tr w:rsidR="00B34CA1" w:rsidRPr="00632BB3" w14:paraId="2021023F" w14:textId="77777777" w:rsidTr="007C7A00">
        <w:tc>
          <w:tcPr>
            <w:tcW w:w="4815" w:type="dxa"/>
          </w:tcPr>
          <w:p w14:paraId="0AA53AD8" w14:textId="77777777" w:rsidR="00B34CA1" w:rsidRPr="00632BB3" w:rsidRDefault="00182669"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109236834"/>
                <w15:color w:val="FFCC00"/>
                <w14:checkbox>
                  <w14:checked w14:val="0"/>
                  <w14:checkedState w14:val="2612" w14:font="MS Gothic"/>
                  <w14:uncheckedState w14:val="2610" w14:font="MS Gothic"/>
                </w14:checkbox>
              </w:sdtPr>
              <w:sdtEndPr>
                <w:rPr>
                  <w:rStyle w:val="Style2"/>
                </w:rPr>
              </w:sdtEndPr>
              <w:sdtContent>
                <w:r w:rsidR="00B34CA1" w:rsidRPr="00632BB3">
                  <w:rPr>
                    <w:rStyle w:val="Style2"/>
                    <w:rFonts w:ascii="MS Gothic" w:eastAsia="MS Gothic" w:hAnsi="MS Gothic"/>
                    <w:sz w:val="24"/>
                  </w:rPr>
                  <w:t>☐</w:t>
                </w:r>
              </w:sdtContent>
            </w:sdt>
            <w:r w:rsidR="00B34CA1" w:rsidRPr="00632BB3">
              <w:rPr>
                <w:rStyle w:val="Style2"/>
                <w:sz w:val="24"/>
              </w:rPr>
              <w:t xml:space="preserve"> 29</w:t>
            </w:r>
            <w:r w:rsidR="00B34CA1" w:rsidRPr="00632BB3">
              <w:t>.1.1 yra didesnis, lyginant su įprasta klinikine praktika</w:t>
            </w:r>
          </w:p>
          <w:p w14:paraId="7FCF2C08" w14:textId="77777777" w:rsidR="00B34CA1" w:rsidRPr="00632BB3" w:rsidRDefault="00B34CA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9D93E9E" w14:textId="77777777" w:rsidR="00B34CA1" w:rsidRPr="00632BB3" w:rsidRDefault="00182669"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23464352"/>
                <w15:color w:val="FFCC00"/>
                <w14:checkbox>
                  <w14:checked w14:val="1"/>
                  <w14:checkedState w14:val="2612" w14:font="MS Gothic"/>
                  <w14:uncheckedState w14:val="2610" w14:font="MS Gothic"/>
                </w14:checkbox>
              </w:sdtPr>
              <w:sdtEndPr>
                <w:rPr>
                  <w:rStyle w:val="Style2"/>
                </w:rPr>
              </w:sdtEndPr>
              <w:sdtContent>
                <w:r w:rsidR="00B34CA1" w:rsidRPr="00632BB3">
                  <w:rPr>
                    <w:rStyle w:val="Style2"/>
                    <w:rFonts w:ascii="MS Gothic" w:eastAsia="MS Gothic" w:hAnsi="MS Gothic"/>
                    <w:sz w:val="24"/>
                  </w:rPr>
                  <w:t>☒</w:t>
                </w:r>
              </w:sdtContent>
            </w:sdt>
            <w:r w:rsidR="00B34CA1" w:rsidRPr="00632BB3">
              <w:t xml:space="preserve"> </w:t>
            </w:r>
            <w:r w:rsidR="00B34CA1" w:rsidRPr="00632BB3">
              <w:rPr>
                <w:rStyle w:val="Style2"/>
                <w:sz w:val="24"/>
              </w:rPr>
              <w:t>29</w:t>
            </w:r>
            <w:r w:rsidR="00B34CA1" w:rsidRPr="00632BB3">
              <w:t>.1.2 iš esmės nesiskiria, lyginant su įprasta klinikine praktika</w:t>
            </w:r>
          </w:p>
        </w:tc>
        <w:tc>
          <w:tcPr>
            <w:tcW w:w="4814" w:type="dxa"/>
          </w:tcPr>
          <w:p w14:paraId="2E441C39" w14:textId="77777777" w:rsidR="00B34CA1" w:rsidRPr="00632BB3" w:rsidRDefault="00182669"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711806806"/>
                <w15:color w:val="FFCC00"/>
                <w14:checkbox>
                  <w14:checked w14:val="0"/>
                  <w14:checkedState w14:val="2612" w14:font="MS Gothic"/>
                  <w14:uncheckedState w14:val="2610" w14:font="MS Gothic"/>
                </w14:checkbox>
              </w:sdtPr>
              <w:sdtEndPr>
                <w:rPr>
                  <w:rStyle w:val="Style2"/>
                </w:rPr>
              </w:sdtEndPr>
              <w:sdtContent>
                <w:r w:rsidR="00B34CA1" w:rsidRPr="00632BB3">
                  <w:rPr>
                    <w:rStyle w:val="Style2"/>
                    <w:rFonts w:ascii="Segoe UI Symbol" w:eastAsia="MS Gothic" w:hAnsi="Segoe UI Symbol" w:cs="Segoe UI Symbol"/>
                    <w:sz w:val="24"/>
                  </w:rPr>
                  <w:t>☐</w:t>
                </w:r>
              </w:sdtContent>
            </w:sdt>
            <w:r w:rsidR="00B34CA1" w:rsidRPr="00632BB3">
              <w:t xml:space="preserve"> </w:t>
            </w:r>
            <w:r w:rsidR="00B34CA1" w:rsidRPr="00632BB3">
              <w:rPr>
                <w:rStyle w:val="Style2"/>
                <w:sz w:val="24"/>
              </w:rPr>
              <w:t>29</w:t>
            </w:r>
            <w:r w:rsidR="00B34CA1" w:rsidRPr="00632BB3">
              <w:t xml:space="preserve">.1.3 yra neįrodytas kaip didesnis  ar iš esmės nesiskiriantis, lyginant su įprasta klinikine praktika  </w:t>
            </w:r>
          </w:p>
          <w:p w14:paraId="05FB94F8" w14:textId="77777777" w:rsidR="00B34CA1" w:rsidRPr="00632BB3" w:rsidRDefault="00B34CA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F8EB4E7" w14:textId="77777777" w:rsidR="00B34CA1" w:rsidRPr="00632BB3" w:rsidRDefault="00182669"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623418435"/>
                <w15:color w:val="FFCC00"/>
                <w14:checkbox>
                  <w14:checked w14:val="0"/>
                  <w14:checkedState w14:val="2612" w14:font="MS Gothic"/>
                  <w14:uncheckedState w14:val="2610" w14:font="MS Gothic"/>
                </w14:checkbox>
              </w:sdtPr>
              <w:sdtEndPr>
                <w:rPr>
                  <w:rStyle w:val="Style2"/>
                </w:rPr>
              </w:sdtEndPr>
              <w:sdtContent>
                <w:r w:rsidR="00B34CA1" w:rsidRPr="00632BB3">
                  <w:rPr>
                    <w:rStyle w:val="Style2"/>
                    <w:rFonts w:ascii="Segoe UI Symbol" w:eastAsia="MS Gothic" w:hAnsi="Segoe UI Symbol" w:cs="Segoe UI Symbol"/>
                    <w:sz w:val="24"/>
                  </w:rPr>
                  <w:t>☐</w:t>
                </w:r>
              </w:sdtContent>
            </w:sdt>
            <w:r w:rsidR="00B34CA1" w:rsidRPr="00632BB3">
              <w:t xml:space="preserve"> </w:t>
            </w:r>
            <w:r w:rsidR="00B34CA1" w:rsidRPr="00632BB3">
              <w:rPr>
                <w:rStyle w:val="Style2"/>
                <w:sz w:val="24"/>
              </w:rPr>
              <w:t>29</w:t>
            </w:r>
            <w:r w:rsidR="00B34CA1" w:rsidRPr="00632BB3">
              <w:t>.1.4 yra mažesnis, lyginant su įprasta klinikine praktika</w:t>
            </w:r>
          </w:p>
          <w:p w14:paraId="40BECE58" w14:textId="77777777" w:rsidR="00B34CA1" w:rsidRPr="00632BB3" w:rsidRDefault="00B34CA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2FEEA4C" w14:textId="77777777" w:rsidR="00B34CA1" w:rsidRPr="00632BB3" w:rsidRDefault="00182669"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00943477"/>
                <w15:color w:val="FFCC00"/>
                <w14:checkbox>
                  <w14:checked w14:val="0"/>
                  <w14:checkedState w14:val="2612" w14:font="MS Gothic"/>
                  <w14:uncheckedState w14:val="2610" w14:font="MS Gothic"/>
                </w14:checkbox>
              </w:sdtPr>
              <w:sdtEndPr>
                <w:rPr>
                  <w:rStyle w:val="Style2"/>
                </w:rPr>
              </w:sdtEndPr>
              <w:sdtContent>
                <w:r w:rsidR="00B34CA1" w:rsidRPr="00632BB3">
                  <w:rPr>
                    <w:rStyle w:val="Style2"/>
                    <w:rFonts w:ascii="Segoe UI Symbol" w:eastAsia="MS Gothic" w:hAnsi="Segoe UI Symbol" w:cs="Segoe UI Symbol"/>
                    <w:sz w:val="24"/>
                  </w:rPr>
                  <w:t>☐</w:t>
                </w:r>
              </w:sdtContent>
            </w:sdt>
            <w:r w:rsidR="00B34CA1" w:rsidRPr="00632BB3">
              <w:t xml:space="preserve">  </w:t>
            </w:r>
            <w:r w:rsidR="00B34CA1" w:rsidRPr="00632BB3">
              <w:rPr>
                <w:rStyle w:val="Style2"/>
                <w:sz w:val="24"/>
              </w:rPr>
              <w:t>29</w:t>
            </w:r>
            <w:r w:rsidR="00B34CA1" w:rsidRPr="00632BB3">
              <w:t>.1.5 pateikti duomenys apie palyginamąjį veiksmingumą yra netinkami vertinti</w:t>
            </w:r>
          </w:p>
          <w:p w14:paraId="386F47C4" w14:textId="77777777" w:rsidR="00B34CA1" w:rsidRPr="00632BB3" w:rsidRDefault="00B34CA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34CA1" w:rsidRPr="00632BB3" w14:paraId="5457EB22" w14:textId="77777777" w:rsidTr="007C7A00">
        <w:trPr>
          <w:trHeight w:val="510"/>
        </w:trPr>
        <w:tc>
          <w:tcPr>
            <w:tcW w:w="9629" w:type="dxa"/>
            <w:gridSpan w:val="2"/>
            <w:vAlign w:val="center"/>
          </w:tcPr>
          <w:p w14:paraId="2D5FEEC6" w14:textId="77777777" w:rsidR="00B34CA1" w:rsidRPr="00632BB3" w:rsidRDefault="00B34CA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632BB3">
              <w:rPr>
                <w:rStyle w:val="Style2"/>
                <w:rFonts w:eastAsia="MS Gothic"/>
                <w:b/>
                <w:bCs/>
                <w:sz w:val="24"/>
              </w:rPr>
              <w:lastRenderedPageBreak/>
              <w:t>Kaštų naudingumas</w:t>
            </w:r>
          </w:p>
        </w:tc>
      </w:tr>
      <w:tr w:rsidR="00B34CA1" w:rsidRPr="00632BB3" w14:paraId="3BB91885" w14:textId="77777777" w:rsidTr="007C7A00">
        <w:tc>
          <w:tcPr>
            <w:tcW w:w="4815" w:type="dxa"/>
          </w:tcPr>
          <w:p w14:paraId="4BE462F3" w14:textId="77777777" w:rsidR="00B34CA1" w:rsidRPr="00632BB3" w:rsidRDefault="00182669"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788968025"/>
                <w15:color w:val="FFCC00"/>
                <w14:checkbox>
                  <w14:checked w14:val="0"/>
                  <w14:checkedState w14:val="2612" w14:font="MS Gothic"/>
                  <w14:uncheckedState w14:val="2610" w14:font="MS Gothic"/>
                </w14:checkbox>
              </w:sdtPr>
              <w:sdtEndPr>
                <w:rPr>
                  <w:rStyle w:val="Style2"/>
                </w:rPr>
              </w:sdtEndPr>
              <w:sdtContent>
                <w:r w:rsidR="00B34CA1" w:rsidRPr="00632BB3">
                  <w:rPr>
                    <w:rStyle w:val="Style2"/>
                    <w:rFonts w:ascii="MS Gothic" w:eastAsia="MS Gothic" w:hAnsi="MS Gothic"/>
                    <w:sz w:val="24"/>
                  </w:rPr>
                  <w:t>☐</w:t>
                </w:r>
              </w:sdtContent>
            </w:sdt>
            <w:r w:rsidR="00B34CA1" w:rsidRPr="00632BB3">
              <w:t xml:space="preserve"> 29.2.1 atitinka referencinę naudingumo vertę</w:t>
            </w:r>
          </w:p>
          <w:p w14:paraId="13B4D7D3" w14:textId="77777777" w:rsidR="00B34CA1" w:rsidRPr="00632BB3" w:rsidRDefault="00B34CA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BC88170" w14:textId="77777777" w:rsidR="00B34CA1" w:rsidRPr="00632BB3" w:rsidRDefault="00182669"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65389512"/>
                <w15:color w:val="FFCC00"/>
                <w14:checkbox>
                  <w14:checked w14:val="0"/>
                  <w14:checkedState w14:val="2612" w14:font="MS Gothic"/>
                  <w14:uncheckedState w14:val="2610" w14:font="MS Gothic"/>
                </w14:checkbox>
              </w:sdtPr>
              <w:sdtEndPr>
                <w:rPr>
                  <w:rStyle w:val="Style2"/>
                </w:rPr>
              </w:sdtEndPr>
              <w:sdtContent>
                <w:r w:rsidR="00B34CA1">
                  <w:rPr>
                    <w:rStyle w:val="Style2"/>
                    <w:rFonts w:ascii="MS Gothic" w:eastAsia="MS Gothic" w:hAnsi="MS Gothic" w:hint="eastAsia"/>
                    <w:sz w:val="24"/>
                  </w:rPr>
                  <w:t>☐</w:t>
                </w:r>
              </w:sdtContent>
            </w:sdt>
            <w:r w:rsidR="00B34CA1" w:rsidRPr="00632BB3">
              <w:t xml:space="preserve"> 29.2.2 gydymo juo kaštai yra mažesni ar tokie patys esant iš esmės nesiskiriančiam palyginamajam efektyvumui, taikant arba netaikant  PGS</w:t>
            </w:r>
          </w:p>
        </w:tc>
        <w:tc>
          <w:tcPr>
            <w:tcW w:w="4814" w:type="dxa"/>
          </w:tcPr>
          <w:p w14:paraId="761A599C" w14:textId="77777777" w:rsidR="00B34CA1" w:rsidRPr="00632BB3" w:rsidRDefault="00182669"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57341564"/>
                <w15:color w:val="FFCC00"/>
                <w14:checkbox>
                  <w14:checked w14:val="0"/>
                  <w14:checkedState w14:val="2612" w14:font="MS Gothic"/>
                  <w14:uncheckedState w14:val="2610" w14:font="MS Gothic"/>
                </w14:checkbox>
              </w:sdtPr>
              <w:sdtEndPr>
                <w:rPr>
                  <w:rStyle w:val="Style2"/>
                </w:rPr>
              </w:sdtEndPr>
              <w:sdtContent>
                <w:r w:rsidR="00B34CA1" w:rsidRPr="00632BB3">
                  <w:rPr>
                    <w:rStyle w:val="Style2"/>
                    <w:rFonts w:ascii="MS Gothic" w:eastAsia="MS Gothic" w:hAnsi="MS Gothic"/>
                    <w:sz w:val="24"/>
                  </w:rPr>
                  <w:t>☐</w:t>
                </w:r>
              </w:sdtContent>
            </w:sdt>
            <w:r w:rsidR="00B34CA1" w:rsidRPr="00632BB3">
              <w:t xml:space="preserve"> 29.2.3 neatitinka referencinės naudingumo vertės taikant arba netaikant PGS</w:t>
            </w:r>
          </w:p>
          <w:p w14:paraId="6BECB127" w14:textId="77777777" w:rsidR="00B34CA1" w:rsidRPr="00632BB3" w:rsidRDefault="00B34CA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2550C31" w14:textId="77777777" w:rsidR="00B34CA1" w:rsidRPr="00632BB3" w:rsidRDefault="00182669"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612784980"/>
                <w15:color w:val="FFCC00"/>
                <w14:checkbox>
                  <w14:checked w14:val="1"/>
                  <w14:checkedState w14:val="2612" w14:font="MS Gothic"/>
                  <w14:uncheckedState w14:val="2610" w14:font="MS Gothic"/>
                </w14:checkbox>
              </w:sdtPr>
              <w:sdtEndPr>
                <w:rPr>
                  <w:rStyle w:val="Style2"/>
                </w:rPr>
              </w:sdtEndPr>
              <w:sdtContent>
                <w:r w:rsidR="00B34CA1">
                  <w:rPr>
                    <w:rStyle w:val="Style2"/>
                    <w:rFonts w:ascii="MS Gothic" w:eastAsia="MS Gothic" w:hAnsi="MS Gothic" w:hint="eastAsia"/>
                    <w:sz w:val="24"/>
                  </w:rPr>
                  <w:t>☒</w:t>
                </w:r>
              </w:sdtContent>
            </w:sdt>
            <w:r w:rsidR="00B34CA1" w:rsidRPr="00632BB3">
              <w:t xml:space="preserve"> 29.2.4 gydymo juo kaštai yra didesni esant iš esmės nesiskiriančiam palyginamajam veiksmingumui, taikant arba netaikant PGS</w:t>
            </w:r>
          </w:p>
          <w:p w14:paraId="43C1AAB6" w14:textId="77777777" w:rsidR="00B34CA1" w:rsidRPr="00632BB3" w:rsidRDefault="00B34CA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7BEEC25" w14:textId="77777777" w:rsidR="00B34CA1" w:rsidRPr="00632BB3" w:rsidRDefault="00182669"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215629729"/>
                <w15:color w:val="FFCC00"/>
                <w14:checkbox>
                  <w14:checked w14:val="0"/>
                  <w14:checkedState w14:val="2612" w14:font="MS Gothic"/>
                  <w14:uncheckedState w14:val="2610" w14:font="MS Gothic"/>
                </w14:checkbox>
              </w:sdtPr>
              <w:sdtEndPr>
                <w:rPr>
                  <w:rStyle w:val="Style2"/>
                </w:rPr>
              </w:sdtEndPr>
              <w:sdtContent>
                <w:r w:rsidR="00B34CA1" w:rsidRPr="00632BB3">
                  <w:rPr>
                    <w:rStyle w:val="Style2"/>
                    <w:rFonts w:ascii="Segoe UI Symbol" w:eastAsia="MS Gothic" w:hAnsi="Segoe UI Symbol" w:cs="Segoe UI Symbol"/>
                    <w:sz w:val="24"/>
                  </w:rPr>
                  <w:t>☐</w:t>
                </w:r>
              </w:sdtContent>
            </w:sdt>
            <w:r w:rsidR="00B34CA1" w:rsidRPr="00632BB3">
              <w:t xml:space="preserve"> 29.2.5 pateikti duomenys apie kaštų naudingumą yra netinkami vertinti</w:t>
            </w:r>
          </w:p>
          <w:p w14:paraId="72763416" w14:textId="77777777" w:rsidR="00B34CA1" w:rsidRPr="00632BB3" w:rsidRDefault="00B34CA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46EE68C7" w14:textId="77777777" w:rsidR="00B34CA1" w:rsidRPr="00632BB3" w:rsidRDefault="00B34CA1" w:rsidP="00B34CA1"/>
    <w:p w14:paraId="4336788E" w14:textId="77777777" w:rsidR="00B34CA1" w:rsidRPr="00632BB3" w:rsidRDefault="00B34CA1" w:rsidP="00B34CA1"/>
    <w:p w14:paraId="1BBBA665" w14:textId="77777777" w:rsidR="00B34CA1" w:rsidRPr="002B1DEB" w:rsidRDefault="00B34CA1" w:rsidP="00B34CA1">
      <w:pPr>
        <w:pStyle w:val="Sraopastraipa"/>
        <w:numPr>
          <w:ilvl w:val="0"/>
          <w:numId w:val="12"/>
        </w:numPr>
        <w:ind w:left="567" w:hanging="567"/>
      </w:pPr>
      <w:r w:rsidRPr="00632BB3">
        <w:rPr>
          <w:b/>
        </w:rPr>
        <w:t>REKOMENDACIJA</w:t>
      </w:r>
    </w:p>
    <w:p w14:paraId="08EB3D1F" w14:textId="77777777" w:rsidR="00B34CA1" w:rsidRDefault="00B34CA1" w:rsidP="00B34CA1">
      <w:pPr>
        <w:widowControl w:val="0"/>
        <w:tabs>
          <w:tab w:val="left" w:pos="1418"/>
        </w:tabs>
        <w:suppressAutoHyphens/>
        <w:spacing w:line="360" w:lineRule="atLeast"/>
        <w:jc w:val="both"/>
        <w:textAlignment w:val="center"/>
      </w:pPr>
    </w:p>
    <w:p w14:paraId="43948C3A" w14:textId="77777777" w:rsidR="00B34CA1" w:rsidRDefault="00B34CA1" w:rsidP="00B34CA1">
      <w:pPr>
        <w:widowControl w:val="0"/>
        <w:tabs>
          <w:tab w:val="left" w:pos="1418"/>
        </w:tabs>
        <w:suppressAutoHyphens/>
        <w:spacing w:line="360" w:lineRule="atLeast"/>
        <w:jc w:val="both"/>
        <w:textAlignment w:val="center"/>
      </w:pPr>
      <w:r w:rsidRPr="00E33EFF">
        <w:t xml:space="preserve">Vadovaujantis Lietuvos Respublikos sveikatos apsaugos ministro </w:t>
      </w:r>
      <w:r>
        <w:t xml:space="preserve">įsakymu </w:t>
      </w:r>
      <w:r w:rsidRPr="00E33EFF">
        <w:t>„Dėl vaistinių preparatų ir medicinos pagalbos priemonių įrašymo į kompensavimo sąrašus ir jų keitimo tvarkos aprašo patvirtinimo“</w:t>
      </w:r>
      <w:r>
        <w:t xml:space="preserve"> </w:t>
      </w:r>
      <w:r w:rsidRPr="00E33EFF">
        <w:t>2002 m. balandžio 5 d. įsakym</w:t>
      </w:r>
      <w:r>
        <w:t>o</w:t>
      </w:r>
      <w:r w:rsidRPr="00E33EFF">
        <w:t xml:space="preserve"> Nr. 159</w:t>
      </w:r>
      <w:r>
        <w:t xml:space="preserve"> </w:t>
      </w:r>
    </w:p>
    <w:p w14:paraId="34D46F3A" w14:textId="77777777" w:rsidR="00B34CA1" w:rsidRDefault="00B34CA1" w:rsidP="00B34CA1">
      <w:pPr>
        <w:widowControl w:val="0"/>
        <w:tabs>
          <w:tab w:val="left" w:pos="1418"/>
        </w:tabs>
        <w:suppressAutoHyphens/>
        <w:spacing w:line="360" w:lineRule="atLeast"/>
        <w:jc w:val="both"/>
        <w:textAlignment w:val="center"/>
      </w:pPr>
      <w:r w:rsidRPr="00C92497">
        <w:rPr>
          <w:color w:val="000000"/>
          <w:lang w:eastAsia="lt-LT"/>
        </w:rPr>
        <w:t>30</w:t>
      </w:r>
      <w:r w:rsidRPr="00C92497">
        <w:rPr>
          <w:color w:val="000000"/>
          <w:vertAlign w:val="superscript"/>
          <w:lang w:eastAsia="lt-LT"/>
        </w:rPr>
        <w:t>1</w:t>
      </w:r>
      <w:r w:rsidRPr="00C92497">
        <w:rPr>
          <w:color w:val="000000"/>
          <w:lang w:eastAsia="lt-LT"/>
        </w:rPr>
        <w:t>.2. papunkčiu rekomenduojama kompensuoti vaistinį preparatą pagal paraiškoje nurodytą indikaciją (arba jos dalį) su arba be skyrimo sąlygų, jei, pateikus naują ar atnaujintą PGS, kaštai tampa tokie patys ar mažesni esant iš esmės nesiskiriančiam palyginamajam veiksmingumui, kai vertinimo išvados atitinka Aprašo 29.1.2 ir 29.2.4 papunkčiuose numatytas</w:t>
      </w:r>
      <w:r w:rsidRPr="00C92497">
        <w:rPr>
          <w:b/>
          <w:bCs/>
          <w:color w:val="000000"/>
          <w:lang w:eastAsia="lt-LT"/>
        </w:rPr>
        <w:t> </w:t>
      </w:r>
      <w:r w:rsidRPr="00C92497">
        <w:rPr>
          <w:color w:val="000000"/>
          <w:lang w:eastAsia="lt-LT"/>
        </w:rPr>
        <w:t>sąlygas.</w:t>
      </w:r>
    </w:p>
    <w:p w14:paraId="54BBDBF6" w14:textId="77777777" w:rsidR="00B34CA1" w:rsidRPr="00632BB3" w:rsidRDefault="00B34CA1" w:rsidP="00B34CA1"/>
    <w:p w14:paraId="45F248AE" w14:textId="77777777" w:rsidR="00B34CA1" w:rsidRPr="00632BB3" w:rsidRDefault="00B34CA1" w:rsidP="00B34CA1">
      <w:pPr>
        <w:jc w:val="both"/>
        <w:rPr>
          <w:b/>
          <w:sz w:val="20"/>
        </w:rPr>
      </w:pPr>
    </w:p>
    <w:p w14:paraId="7ADB0CA8" w14:textId="77777777" w:rsidR="00B34CA1" w:rsidRPr="00632BB3" w:rsidRDefault="00B34CA1" w:rsidP="00B34CA1">
      <w:pPr>
        <w:tabs>
          <w:tab w:val="left" w:pos="567"/>
        </w:tabs>
        <w:ind w:left="567" w:hanging="567"/>
        <w:jc w:val="both"/>
        <w:rPr>
          <w:b/>
          <w:color w:val="000000"/>
          <w:lang w:eastAsia="lt-LT"/>
        </w:rPr>
      </w:pPr>
      <w:r w:rsidRPr="00632BB3">
        <w:rPr>
          <w:b/>
          <w:color w:val="000000"/>
          <w:lang w:eastAsia="lt-LT"/>
        </w:rPr>
        <w:t>8.</w:t>
      </w:r>
      <w:r w:rsidRPr="00632BB3">
        <w:rPr>
          <w:b/>
          <w:color w:val="000000"/>
          <w:lang w:eastAsia="lt-LT"/>
        </w:rPr>
        <w:tab/>
        <w:t xml:space="preserve">SIŪLOMOS KOMPENSUOTI TERAPINĖS INDIKACIJOS IR SKYRIMO SĄLYGOS </w:t>
      </w:r>
    </w:p>
    <w:p w14:paraId="408173E1" w14:textId="77777777" w:rsidR="00B34CA1" w:rsidRPr="00632BB3" w:rsidRDefault="00B34CA1" w:rsidP="00B34CA1">
      <w:pPr>
        <w:tabs>
          <w:tab w:val="left" w:pos="426"/>
        </w:tabs>
        <w:jc w:val="both"/>
        <w:rPr>
          <w:b/>
          <w:color w:val="000000"/>
          <w:lang w:eastAsia="lt-LT"/>
        </w:rPr>
      </w:pPr>
    </w:p>
    <w:p w14:paraId="4147597A" w14:textId="77777777" w:rsidR="00B34CA1" w:rsidRPr="00632BB3" w:rsidRDefault="00B34CA1" w:rsidP="00B34CA1">
      <w:pPr>
        <w:rPr>
          <w:b/>
          <w:lang w:eastAsia="lt-LT"/>
        </w:rPr>
      </w:pPr>
      <w:r w:rsidRPr="00632BB3">
        <w:rPr>
          <w:b/>
          <w:lang w:eastAsia="lt-LT"/>
        </w:rPr>
        <w:t>Terapinės indikacijos</w:t>
      </w:r>
    </w:p>
    <w:p w14:paraId="694075E2" w14:textId="77777777" w:rsidR="00B34CA1" w:rsidRPr="00632BB3" w:rsidRDefault="00182669" w:rsidP="00B34CA1">
      <w:sdt>
        <w:sdtPr>
          <w:rPr>
            <w:rStyle w:val="Style2"/>
          </w:rPr>
          <w:id w:val="-1354491617"/>
          <w15:color w:val="FFCC00"/>
          <w14:checkbox>
            <w14:checked w14:val="1"/>
            <w14:checkedState w14:val="2612" w14:font="MS Gothic"/>
            <w14:uncheckedState w14:val="2610" w14:font="MS Gothic"/>
          </w14:checkbox>
        </w:sdtPr>
        <w:sdtEndPr>
          <w:rPr>
            <w:rStyle w:val="Style2"/>
          </w:rPr>
        </w:sdtEndPr>
        <w:sdtContent>
          <w:r w:rsidR="00B34CA1" w:rsidRPr="00632BB3">
            <w:rPr>
              <w:rStyle w:val="Style2"/>
              <w:rFonts w:ascii="MS Gothic" w:eastAsia="MS Gothic" w:hAnsi="MS Gothic" w:hint="eastAsia"/>
            </w:rPr>
            <w:t>☒</w:t>
          </w:r>
        </w:sdtContent>
      </w:sdt>
      <w:r w:rsidR="00B34CA1" w:rsidRPr="00632BB3">
        <w:t xml:space="preserve"> Siūloma kompensuoti Pareiškėjo teikiamą indikaciją be pakeitimų.</w:t>
      </w:r>
    </w:p>
    <w:p w14:paraId="68F753C3" w14:textId="77777777" w:rsidR="00B34CA1" w:rsidRPr="00632BB3" w:rsidRDefault="00B34CA1" w:rsidP="00B34CA1">
      <w:pPr>
        <w:pStyle w:val="Sraopastraipa"/>
        <w:spacing w:after="120" w:line="276" w:lineRule="auto"/>
        <w:ind w:left="21"/>
        <w:jc w:val="both"/>
      </w:pPr>
      <w:r w:rsidRPr="00EB194D">
        <w:t>Tevimbra monoterapija skirta vietiškai išplitusiu ar metastazavusiu NSLPV sergančių suaugusių pacientų gydymui po anksčiau skirtos chemoterapijos su platinos vaistiniais preparatais. Pacientams, kuriems nustatyta EGFR mutacijų arba ALK teigiamas NSLPV, prieš skiriant tislelizumabo anksčiau taip pat turėjo būti skirtas tikslinis gydymas.</w:t>
      </w:r>
    </w:p>
    <w:p w14:paraId="735558EC" w14:textId="77777777" w:rsidR="00B34CA1" w:rsidRPr="00632BB3" w:rsidRDefault="00B34CA1" w:rsidP="00B34CA1"/>
    <w:p w14:paraId="2C4143F5" w14:textId="77777777" w:rsidR="00B34CA1" w:rsidRPr="00632BB3" w:rsidRDefault="00B34CA1" w:rsidP="00B34CA1">
      <w:pPr>
        <w:rPr>
          <w:b/>
        </w:rPr>
      </w:pPr>
      <w:r w:rsidRPr="00632BB3">
        <w:rPr>
          <w:b/>
        </w:rPr>
        <w:t>Skyrimo sąlygos</w:t>
      </w:r>
    </w:p>
    <w:p w14:paraId="5ED8C8F9" w14:textId="77777777" w:rsidR="00B34CA1" w:rsidRPr="00632BB3" w:rsidRDefault="00B34CA1" w:rsidP="00B34CA1">
      <w:pPr>
        <w:rPr>
          <w:b/>
        </w:rPr>
      </w:pPr>
    </w:p>
    <w:p w14:paraId="3DA2D06C" w14:textId="77777777" w:rsidR="00B34CA1" w:rsidRPr="002B1DEB" w:rsidRDefault="00B34CA1" w:rsidP="00B34CA1">
      <w:pPr>
        <w:spacing w:line="276" w:lineRule="auto"/>
        <w:jc w:val="both"/>
        <w:rPr>
          <w:lang w:eastAsia="lt-LT"/>
        </w:rPr>
      </w:pPr>
      <w:r>
        <w:rPr>
          <w:lang w:eastAsia="lt-LT"/>
        </w:rPr>
        <w:t>P</w:t>
      </w:r>
      <w:r w:rsidRPr="00E65BC7">
        <w:rPr>
          <w:lang w:eastAsia="lt-LT"/>
        </w:rPr>
        <w:t xml:space="preserve">acientams, sergantiems lokaliai išplitusiu arba metastazavusiu NSLPV, gydyti, kai liga progresuoja po taikyto gydymo chemoterapija platinos pagrindu. Pacientams, kuriems nustatyta aktyvinančių EAFR mutacijų arba ALK teigiamų naviko mutacijų, prieš pradedant vartoti </w:t>
      </w:r>
      <w:r>
        <w:rPr>
          <w:lang w:eastAsia="lt-LT"/>
        </w:rPr>
        <w:t>tislelizumabą</w:t>
      </w:r>
      <w:r w:rsidRPr="00E65BC7">
        <w:rPr>
          <w:lang w:eastAsia="lt-LT"/>
        </w:rPr>
        <w:t xml:space="preserve"> taip pat turi būti skirtas tikslinis navikų gydymas</w:t>
      </w:r>
      <w:r>
        <w:rPr>
          <w:lang w:eastAsia="lt-LT"/>
        </w:rPr>
        <w:t xml:space="preserve">. Gydymas skiriamas iki ligos progresavimo arba </w:t>
      </w:r>
      <w:r w:rsidRPr="0048501A">
        <w:rPr>
          <w:bCs/>
          <w:color w:val="000000"/>
        </w:rPr>
        <w:t>nepriimtin</w:t>
      </w:r>
      <w:r>
        <w:rPr>
          <w:bCs/>
          <w:color w:val="000000"/>
        </w:rPr>
        <w:t>o toksinio poveikio atsiradimo.</w:t>
      </w:r>
    </w:p>
    <w:sectPr w:rsidR="00B34CA1" w:rsidRPr="002B1DEB"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7106" w14:textId="77777777" w:rsidR="00965405" w:rsidRPr="00632BB3" w:rsidRDefault="00965405">
      <w:r w:rsidRPr="00632BB3">
        <w:separator/>
      </w:r>
    </w:p>
  </w:endnote>
  <w:endnote w:type="continuationSeparator" w:id="0">
    <w:p w14:paraId="0DDDCC5C" w14:textId="77777777" w:rsidR="00965405" w:rsidRPr="00632BB3" w:rsidRDefault="00965405">
      <w:r w:rsidRPr="00632B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Pr="00632BB3"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694A" w14:textId="77777777" w:rsidR="00965405" w:rsidRPr="00632BB3" w:rsidRDefault="00965405">
      <w:r w:rsidRPr="00632BB3">
        <w:separator/>
      </w:r>
    </w:p>
  </w:footnote>
  <w:footnote w:type="continuationSeparator" w:id="0">
    <w:p w14:paraId="7834543A" w14:textId="77777777" w:rsidR="00965405" w:rsidRPr="00632BB3" w:rsidRDefault="00965405">
      <w:r w:rsidRPr="00632B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Pr="00632BB3" w:rsidRDefault="00347FAA">
    <w:pPr>
      <w:pStyle w:val="Antrats"/>
      <w:framePr w:wrap="around" w:vAnchor="text" w:hAnchor="margin" w:xAlign="center" w:y="1"/>
      <w:rPr>
        <w:rStyle w:val="Puslapionumeris"/>
      </w:rPr>
    </w:pPr>
    <w:r w:rsidRPr="00632BB3">
      <w:rPr>
        <w:rStyle w:val="Puslapionumeris"/>
      </w:rPr>
      <w:fldChar w:fldCharType="begin"/>
    </w:r>
    <w:r w:rsidRPr="00632BB3">
      <w:rPr>
        <w:rStyle w:val="Puslapionumeris"/>
      </w:rPr>
      <w:instrText xml:space="preserve">PAGE  </w:instrText>
    </w:r>
    <w:r w:rsidRPr="00632BB3">
      <w:rPr>
        <w:rStyle w:val="Puslapionumeris"/>
      </w:rPr>
      <w:fldChar w:fldCharType="separate"/>
    </w:r>
    <w:r w:rsidRPr="00632BB3">
      <w:rPr>
        <w:rStyle w:val="Puslapionumeris"/>
      </w:rPr>
      <w:t>1</w:t>
    </w:r>
    <w:r w:rsidRPr="00632BB3">
      <w:rPr>
        <w:rStyle w:val="Puslapionumeris"/>
      </w:rPr>
      <w:fldChar w:fldCharType="end"/>
    </w:r>
  </w:p>
  <w:p w14:paraId="3E81DB01" w14:textId="77777777" w:rsidR="00347FAA" w:rsidRPr="00632BB3"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018EF6B0" w:rsidR="00347FAA" w:rsidRPr="00632BB3" w:rsidRDefault="00347FAA">
    <w:pPr>
      <w:pStyle w:val="Antrats"/>
      <w:framePr w:wrap="around" w:vAnchor="text" w:hAnchor="margin" w:xAlign="center" w:y="1"/>
      <w:rPr>
        <w:rStyle w:val="Puslapionumeris"/>
      </w:rPr>
    </w:pPr>
    <w:r w:rsidRPr="00632BB3">
      <w:rPr>
        <w:rStyle w:val="Puslapionumeris"/>
      </w:rPr>
      <w:fldChar w:fldCharType="begin"/>
    </w:r>
    <w:r w:rsidRPr="00632BB3">
      <w:rPr>
        <w:rStyle w:val="Puslapionumeris"/>
      </w:rPr>
      <w:instrText xml:space="preserve">PAGE  </w:instrText>
    </w:r>
    <w:r w:rsidRPr="00632BB3">
      <w:rPr>
        <w:rStyle w:val="Puslapionumeris"/>
      </w:rPr>
      <w:fldChar w:fldCharType="separate"/>
    </w:r>
    <w:r w:rsidR="005E5F62">
      <w:rPr>
        <w:rStyle w:val="Puslapionumeris"/>
        <w:noProof/>
      </w:rPr>
      <w:t>6</w:t>
    </w:r>
    <w:r w:rsidRPr="00632BB3">
      <w:rPr>
        <w:rStyle w:val="Puslapionumeris"/>
      </w:rPr>
      <w:fldChar w:fldCharType="end"/>
    </w:r>
  </w:p>
  <w:p w14:paraId="13EC872E" w14:textId="77777777" w:rsidR="00347FAA" w:rsidRPr="00632BB3"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Pr="00632BB3"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0AE33D1"/>
    <w:multiLevelType w:val="hybridMultilevel"/>
    <w:tmpl w:val="0F8A81D2"/>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5" w15:restartNumberingAfterBreak="0">
    <w:nsid w:val="35110E32"/>
    <w:multiLevelType w:val="hybridMultilevel"/>
    <w:tmpl w:val="7C347EC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8C20C8"/>
    <w:multiLevelType w:val="hybridMultilevel"/>
    <w:tmpl w:val="D7C8B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1681448">
    <w:abstractNumId w:val="8"/>
  </w:num>
  <w:num w:numId="2" w16cid:durableId="534537541">
    <w:abstractNumId w:val="1"/>
  </w:num>
  <w:num w:numId="3" w16cid:durableId="817501893">
    <w:abstractNumId w:val="10"/>
  </w:num>
  <w:num w:numId="4" w16cid:durableId="1792548249">
    <w:abstractNumId w:val="9"/>
  </w:num>
  <w:num w:numId="5" w16cid:durableId="421607671">
    <w:abstractNumId w:val="7"/>
  </w:num>
  <w:num w:numId="6" w16cid:durableId="1869708944">
    <w:abstractNumId w:val="6"/>
  </w:num>
  <w:num w:numId="7" w16cid:durableId="1205411503">
    <w:abstractNumId w:val="3"/>
  </w:num>
  <w:num w:numId="8" w16cid:durableId="1065254657">
    <w:abstractNumId w:val="14"/>
  </w:num>
  <w:num w:numId="9" w16cid:durableId="1943686950">
    <w:abstractNumId w:val="0"/>
  </w:num>
  <w:num w:numId="10" w16cid:durableId="185293958">
    <w:abstractNumId w:val="11"/>
  </w:num>
  <w:num w:numId="11" w16cid:durableId="782115495">
    <w:abstractNumId w:val="13"/>
  </w:num>
  <w:num w:numId="12" w16cid:durableId="489447035">
    <w:abstractNumId w:val="2"/>
  </w:num>
  <w:num w:numId="13" w16cid:durableId="826478407">
    <w:abstractNumId w:val="5"/>
  </w:num>
  <w:num w:numId="14" w16cid:durableId="617494966">
    <w:abstractNumId w:val="12"/>
  </w:num>
  <w:num w:numId="15" w16cid:durableId="346643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17BD0"/>
    <w:rsid w:val="000203E1"/>
    <w:rsid w:val="00022B6F"/>
    <w:rsid w:val="0002686C"/>
    <w:rsid w:val="00030C28"/>
    <w:rsid w:val="00031D0E"/>
    <w:rsid w:val="000337E6"/>
    <w:rsid w:val="0003402E"/>
    <w:rsid w:val="00034EAE"/>
    <w:rsid w:val="00042924"/>
    <w:rsid w:val="00053975"/>
    <w:rsid w:val="00057A2B"/>
    <w:rsid w:val="000606BE"/>
    <w:rsid w:val="000723FF"/>
    <w:rsid w:val="000736B8"/>
    <w:rsid w:val="0007410A"/>
    <w:rsid w:val="0008190F"/>
    <w:rsid w:val="00081D9C"/>
    <w:rsid w:val="00082907"/>
    <w:rsid w:val="0008378D"/>
    <w:rsid w:val="000908A5"/>
    <w:rsid w:val="00092805"/>
    <w:rsid w:val="0009624B"/>
    <w:rsid w:val="000B7A41"/>
    <w:rsid w:val="000C39FC"/>
    <w:rsid w:val="000C451D"/>
    <w:rsid w:val="000C454C"/>
    <w:rsid w:val="000D5038"/>
    <w:rsid w:val="000E29D4"/>
    <w:rsid w:val="000F3540"/>
    <w:rsid w:val="00100491"/>
    <w:rsid w:val="00104E2E"/>
    <w:rsid w:val="00107287"/>
    <w:rsid w:val="00117406"/>
    <w:rsid w:val="00121EF0"/>
    <w:rsid w:val="001237D0"/>
    <w:rsid w:val="00124A9E"/>
    <w:rsid w:val="00124E31"/>
    <w:rsid w:val="00130703"/>
    <w:rsid w:val="0013153F"/>
    <w:rsid w:val="001408B8"/>
    <w:rsid w:val="001517E2"/>
    <w:rsid w:val="001521D9"/>
    <w:rsid w:val="001554E2"/>
    <w:rsid w:val="00164146"/>
    <w:rsid w:val="00164D64"/>
    <w:rsid w:val="0017369C"/>
    <w:rsid w:val="00175D57"/>
    <w:rsid w:val="00180C39"/>
    <w:rsid w:val="00180D96"/>
    <w:rsid w:val="00182669"/>
    <w:rsid w:val="00184BD3"/>
    <w:rsid w:val="00185963"/>
    <w:rsid w:val="001921F3"/>
    <w:rsid w:val="001B180D"/>
    <w:rsid w:val="001B3C5B"/>
    <w:rsid w:val="001C1D94"/>
    <w:rsid w:val="001C4F45"/>
    <w:rsid w:val="001D15C0"/>
    <w:rsid w:val="001D3427"/>
    <w:rsid w:val="001D5B91"/>
    <w:rsid w:val="001D746F"/>
    <w:rsid w:val="001E4BBB"/>
    <w:rsid w:val="001E6304"/>
    <w:rsid w:val="001F4D5F"/>
    <w:rsid w:val="0020381E"/>
    <w:rsid w:val="00213471"/>
    <w:rsid w:val="00215906"/>
    <w:rsid w:val="00241B70"/>
    <w:rsid w:val="00241CD8"/>
    <w:rsid w:val="00244B09"/>
    <w:rsid w:val="00246223"/>
    <w:rsid w:val="002519CB"/>
    <w:rsid w:val="0025697F"/>
    <w:rsid w:val="002579D2"/>
    <w:rsid w:val="00260258"/>
    <w:rsid w:val="0026588E"/>
    <w:rsid w:val="002661E3"/>
    <w:rsid w:val="00272428"/>
    <w:rsid w:val="00272948"/>
    <w:rsid w:val="00283E59"/>
    <w:rsid w:val="00286C23"/>
    <w:rsid w:val="00292392"/>
    <w:rsid w:val="002946C7"/>
    <w:rsid w:val="002A3C79"/>
    <w:rsid w:val="002B1DEB"/>
    <w:rsid w:val="002B3CC1"/>
    <w:rsid w:val="002B50EA"/>
    <w:rsid w:val="002C09E0"/>
    <w:rsid w:val="002C1BB1"/>
    <w:rsid w:val="002C2786"/>
    <w:rsid w:val="002C3A10"/>
    <w:rsid w:val="002C4A90"/>
    <w:rsid w:val="002C4ED5"/>
    <w:rsid w:val="002D02EF"/>
    <w:rsid w:val="002E0702"/>
    <w:rsid w:val="002E57AD"/>
    <w:rsid w:val="002E6F80"/>
    <w:rsid w:val="002F0E4F"/>
    <w:rsid w:val="002F1053"/>
    <w:rsid w:val="00314816"/>
    <w:rsid w:val="00317B0E"/>
    <w:rsid w:val="00340688"/>
    <w:rsid w:val="00347FAA"/>
    <w:rsid w:val="0035172D"/>
    <w:rsid w:val="00357421"/>
    <w:rsid w:val="0036187D"/>
    <w:rsid w:val="00367EDB"/>
    <w:rsid w:val="00381024"/>
    <w:rsid w:val="00386307"/>
    <w:rsid w:val="003874DE"/>
    <w:rsid w:val="00393E9F"/>
    <w:rsid w:val="0039696E"/>
    <w:rsid w:val="003A604B"/>
    <w:rsid w:val="003B211A"/>
    <w:rsid w:val="003C141F"/>
    <w:rsid w:val="003C6165"/>
    <w:rsid w:val="003C6B0E"/>
    <w:rsid w:val="003C7257"/>
    <w:rsid w:val="003C7E35"/>
    <w:rsid w:val="003D1E99"/>
    <w:rsid w:val="003D6208"/>
    <w:rsid w:val="003E0A12"/>
    <w:rsid w:val="00404E8A"/>
    <w:rsid w:val="0040622F"/>
    <w:rsid w:val="00407924"/>
    <w:rsid w:val="00413F24"/>
    <w:rsid w:val="00422853"/>
    <w:rsid w:val="00423160"/>
    <w:rsid w:val="00446777"/>
    <w:rsid w:val="00450075"/>
    <w:rsid w:val="00453862"/>
    <w:rsid w:val="00453F98"/>
    <w:rsid w:val="0045469B"/>
    <w:rsid w:val="00461338"/>
    <w:rsid w:val="004677DB"/>
    <w:rsid w:val="00476256"/>
    <w:rsid w:val="0048630F"/>
    <w:rsid w:val="004947A1"/>
    <w:rsid w:val="0049482A"/>
    <w:rsid w:val="004979D3"/>
    <w:rsid w:val="004A00E7"/>
    <w:rsid w:val="004A37D0"/>
    <w:rsid w:val="004A3A61"/>
    <w:rsid w:val="004B59BA"/>
    <w:rsid w:val="004B5A03"/>
    <w:rsid w:val="004C263A"/>
    <w:rsid w:val="004D2953"/>
    <w:rsid w:val="004D2D86"/>
    <w:rsid w:val="004D48A6"/>
    <w:rsid w:val="004D7B8F"/>
    <w:rsid w:val="004E241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01AE"/>
    <w:rsid w:val="005476A4"/>
    <w:rsid w:val="0055019B"/>
    <w:rsid w:val="00556E63"/>
    <w:rsid w:val="005601A4"/>
    <w:rsid w:val="005615E8"/>
    <w:rsid w:val="00566DBB"/>
    <w:rsid w:val="005767DB"/>
    <w:rsid w:val="00580AB8"/>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E5F62"/>
    <w:rsid w:val="005F71D9"/>
    <w:rsid w:val="005F7602"/>
    <w:rsid w:val="006062BE"/>
    <w:rsid w:val="00613143"/>
    <w:rsid w:val="00613501"/>
    <w:rsid w:val="0061611B"/>
    <w:rsid w:val="006166A8"/>
    <w:rsid w:val="006174A1"/>
    <w:rsid w:val="00621D6C"/>
    <w:rsid w:val="00632BB3"/>
    <w:rsid w:val="00633B49"/>
    <w:rsid w:val="0064249A"/>
    <w:rsid w:val="0064297F"/>
    <w:rsid w:val="00645102"/>
    <w:rsid w:val="00646CF3"/>
    <w:rsid w:val="00650959"/>
    <w:rsid w:val="00653D11"/>
    <w:rsid w:val="00662983"/>
    <w:rsid w:val="00670984"/>
    <w:rsid w:val="006834D3"/>
    <w:rsid w:val="006859A4"/>
    <w:rsid w:val="00692625"/>
    <w:rsid w:val="00695CD3"/>
    <w:rsid w:val="006A36FB"/>
    <w:rsid w:val="006A38B6"/>
    <w:rsid w:val="006B1987"/>
    <w:rsid w:val="006B5B71"/>
    <w:rsid w:val="006B5D3E"/>
    <w:rsid w:val="006B6CB0"/>
    <w:rsid w:val="006C0251"/>
    <w:rsid w:val="006C2B64"/>
    <w:rsid w:val="006C6CED"/>
    <w:rsid w:val="006D1BF3"/>
    <w:rsid w:val="006D4C85"/>
    <w:rsid w:val="006D66AC"/>
    <w:rsid w:val="006E33F6"/>
    <w:rsid w:val="006F1251"/>
    <w:rsid w:val="006F1C23"/>
    <w:rsid w:val="00702C18"/>
    <w:rsid w:val="00703166"/>
    <w:rsid w:val="00706820"/>
    <w:rsid w:val="007113C7"/>
    <w:rsid w:val="007127F3"/>
    <w:rsid w:val="00713C8C"/>
    <w:rsid w:val="00722F30"/>
    <w:rsid w:val="007301CF"/>
    <w:rsid w:val="007316FB"/>
    <w:rsid w:val="00737E2D"/>
    <w:rsid w:val="007424D5"/>
    <w:rsid w:val="00750A88"/>
    <w:rsid w:val="007523DD"/>
    <w:rsid w:val="00757B7E"/>
    <w:rsid w:val="007656B2"/>
    <w:rsid w:val="0077016F"/>
    <w:rsid w:val="007713AD"/>
    <w:rsid w:val="00795DC5"/>
    <w:rsid w:val="00797005"/>
    <w:rsid w:val="00797153"/>
    <w:rsid w:val="007A21F7"/>
    <w:rsid w:val="007A2B68"/>
    <w:rsid w:val="007B0DDA"/>
    <w:rsid w:val="007B2CE5"/>
    <w:rsid w:val="007D2CF4"/>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60ECB"/>
    <w:rsid w:val="008751D6"/>
    <w:rsid w:val="00880A44"/>
    <w:rsid w:val="0088345E"/>
    <w:rsid w:val="0088656F"/>
    <w:rsid w:val="00891EF6"/>
    <w:rsid w:val="008A0303"/>
    <w:rsid w:val="008A5FDD"/>
    <w:rsid w:val="008B17E4"/>
    <w:rsid w:val="008C2035"/>
    <w:rsid w:val="008C3947"/>
    <w:rsid w:val="008C467D"/>
    <w:rsid w:val="008E473B"/>
    <w:rsid w:val="008E51A6"/>
    <w:rsid w:val="008E7329"/>
    <w:rsid w:val="008F2ED5"/>
    <w:rsid w:val="008F57F8"/>
    <w:rsid w:val="0092297E"/>
    <w:rsid w:val="00923651"/>
    <w:rsid w:val="00927B56"/>
    <w:rsid w:val="009341BF"/>
    <w:rsid w:val="00937907"/>
    <w:rsid w:val="00941739"/>
    <w:rsid w:val="00951573"/>
    <w:rsid w:val="00963003"/>
    <w:rsid w:val="00965405"/>
    <w:rsid w:val="00966EEF"/>
    <w:rsid w:val="00971B28"/>
    <w:rsid w:val="009720BC"/>
    <w:rsid w:val="00983471"/>
    <w:rsid w:val="009860D1"/>
    <w:rsid w:val="009909AB"/>
    <w:rsid w:val="009B2F9C"/>
    <w:rsid w:val="009B37DB"/>
    <w:rsid w:val="009C7A8C"/>
    <w:rsid w:val="009D23F9"/>
    <w:rsid w:val="009D43E0"/>
    <w:rsid w:val="009D4FA8"/>
    <w:rsid w:val="009E44AE"/>
    <w:rsid w:val="009E4A6E"/>
    <w:rsid w:val="009E6CD6"/>
    <w:rsid w:val="009F4D66"/>
    <w:rsid w:val="00A00C3C"/>
    <w:rsid w:val="00A01091"/>
    <w:rsid w:val="00A02009"/>
    <w:rsid w:val="00A042B9"/>
    <w:rsid w:val="00A06DBB"/>
    <w:rsid w:val="00A22ADF"/>
    <w:rsid w:val="00A31E86"/>
    <w:rsid w:val="00A54D87"/>
    <w:rsid w:val="00A5553C"/>
    <w:rsid w:val="00A6620F"/>
    <w:rsid w:val="00A701C9"/>
    <w:rsid w:val="00A81785"/>
    <w:rsid w:val="00A84803"/>
    <w:rsid w:val="00A84C51"/>
    <w:rsid w:val="00A86F2B"/>
    <w:rsid w:val="00A91366"/>
    <w:rsid w:val="00A92F91"/>
    <w:rsid w:val="00A93AA6"/>
    <w:rsid w:val="00A96333"/>
    <w:rsid w:val="00AA4E48"/>
    <w:rsid w:val="00AA6202"/>
    <w:rsid w:val="00AA7B57"/>
    <w:rsid w:val="00AB2806"/>
    <w:rsid w:val="00AC26FC"/>
    <w:rsid w:val="00AC4A99"/>
    <w:rsid w:val="00AC64D2"/>
    <w:rsid w:val="00AD02E7"/>
    <w:rsid w:val="00AD0EF6"/>
    <w:rsid w:val="00AD76D4"/>
    <w:rsid w:val="00AE0FE8"/>
    <w:rsid w:val="00AF60D5"/>
    <w:rsid w:val="00B00959"/>
    <w:rsid w:val="00B04415"/>
    <w:rsid w:val="00B06509"/>
    <w:rsid w:val="00B11D60"/>
    <w:rsid w:val="00B13D65"/>
    <w:rsid w:val="00B14079"/>
    <w:rsid w:val="00B21805"/>
    <w:rsid w:val="00B3072E"/>
    <w:rsid w:val="00B34CA1"/>
    <w:rsid w:val="00B36E15"/>
    <w:rsid w:val="00B37245"/>
    <w:rsid w:val="00B4017A"/>
    <w:rsid w:val="00B419D2"/>
    <w:rsid w:val="00B4468D"/>
    <w:rsid w:val="00B71C72"/>
    <w:rsid w:val="00B81E92"/>
    <w:rsid w:val="00B908D7"/>
    <w:rsid w:val="00B935E8"/>
    <w:rsid w:val="00B93B30"/>
    <w:rsid w:val="00B94CB5"/>
    <w:rsid w:val="00BA0DD9"/>
    <w:rsid w:val="00BA5DBC"/>
    <w:rsid w:val="00BA6584"/>
    <w:rsid w:val="00BB6312"/>
    <w:rsid w:val="00BC4D06"/>
    <w:rsid w:val="00BD26AA"/>
    <w:rsid w:val="00BD585E"/>
    <w:rsid w:val="00BD6919"/>
    <w:rsid w:val="00BE1EA7"/>
    <w:rsid w:val="00BE7489"/>
    <w:rsid w:val="00BF2E0D"/>
    <w:rsid w:val="00BF3927"/>
    <w:rsid w:val="00BF3F8B"/>
    <w:rsid w:val="00BF76DA"/>
    <w:rsid w:val="00C07C7B"/>
    <w:rsid w:val="00C16245"/>
    <w:rsid w:val="00C21A99"/>
    <w:rsid w:val="00C21EB8"/>
    <w:rsid w:val="00C22DC5"/>
    <w:rsid w:val="00C24479"/>
    <w:rsid w:val="00C273F2"/>
    <w:rsid w:val="00C37B53"/>
    <w:rsid w:val="00C434EB"/>
    <w:rsid w:val="00C517D2"/>
    <w:rsid w:val="00C5772E"/>
    <w:rsid w:val="00C62B36"/>
    <w:rsid w:val="00C7012C"/>
    <w:rsid w:val="00C712EA"/>
    <w:rsid w:val="00C92497"/>
    <w:rsid w:val="00CA217D"/>
    <w:rsid w:val="00CA342D"/>
    <w:rsid w:val="00CC09D4"/>
    <w:rsid w:val="00CC668D"/>
    <w:rsid w:val="00CC7832"/>
    <w:rsid w:val="00CD488E"/>
    <w:rsid w:val="00CF0C1C"/>
    <w:rsid w:val="00CF27FD"/>
    <w:rsid w:val="00CF5F12"/>
    <w:rsid w:val="00D00D8F"/>
    <w:rsid w:val="00D20CA7"/>
    <w:rsid w:val="00D21F3A"/>
    <w:rsid w:val="00D23808"/>
    <w:rsid w:val="00D3016A"/>
    <w:rsid w:val="00D417D2"/>
    <w:rsid w:val="00D42960"/>
    <w:rsid w:val="00D43BD7"/>
    <w:rsid w:val="00D4485B"/>
    <w:rsid w:val="00D46CCD"/>
    <w:rsid w:val="00D4708D"/>
    <w:rsid w:val="00D4744C"/>
    <w:rsid w:val="00D521DE"/>
    <w:rsid w:val="00D52BC5"/>
    <w:rsid w:val="00D5470B"/>
    <w:rsid w:val="00D63068"/>
    <w:rsid w:val="00D6498C"/>
    <w:rsid w:val="00D65B95"/>
    <w:rsid w:val="00D76A70"/>
    <w:rsid w:val="00D83182"/>
    <w:rsid w:val="00D8438A"/>
    <w:rsid w:val="00D8521E"/>
    <w:rsid w:val="00D9291C"/>
    <w:rsid w:val="00D93A97"/>
    <w:rsid w:val="00DB1F64"/>
    <w:rsid w:val="00DC2F53"/>
    <w:rsid w:val="00DC5BAC"/>
    <w:rsid w:val="00DC6816"/>
    <w:rsid w:val="00DC76C2"/>
    <w:rsid w:val="00DD1CF2"/>
    <w:rsid w:val="00DE4484"/>
    <w:rsid w:val="00DF41B7"/>
    <w:rsid w:val="00DF4A4A"/>
    <w:rsid w:val="00DF583C"/>
    <w:rsid w:val="00DF5AF3"/>
    <w:rsid w:val="00E0258C"/>
    <w:rsid w:val="00E03C3F"/>
    <w:rsid w:val="00E06FD7"/>
    <w:rsid w:val="00E07417"/>
    <w:rsid w:val="00E07A36"/>
    <w:rsid w:val="00E24D45"/>
    <w:rsid w:val="00E27419"/>
    <w:rsid w:val="00E33A63"/>
    <w:rsid w:val="00E33DB8"/>
    <w:rsid w:val="00E33EFF"/>
    <w:rsid w:val="00E34387"/>
    <w:rsid w:val="00E348BA"/>
    <w:rsid w:val="00E369FE"/>
    <w:rsid w:val="00E37C6F"/>
    <w:rsid w:val="00E475F8"/>
    <w:rsid w:val="00E5102E"/>
    <w:rsid w:val="00E5721C"/>
    <w:rsid w:val="00E619C6"/>
    <w:rsid w:val="00E745A1"/>
    <w:rsid w:val="00E80840"/>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17BF4"/>
    <w:rsid w:val="00F21C28"/>
    <w:rsid w:val="00F259FC"/>
    <w:rsid w:val="00F36972"/>
    <w:rsid w:val="00F42426"/>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CF2"/>
    <w:rsid w:val="00FD3EDF"/>
    <w:rsid w:val="00FD599A"/>
    <w:rsid w:val="00FD793C"/>
    <w:rsid w:val="00FE0FD5"/>
    <w:rsid w:val="00FE20E6"/>
    <w:rsid w:val="00FE3E3B"/>
    <w:rsid w:val="00FF10C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Dossier table,Section 3- footnotes,Legemiddelverket 3,Summary Table,ASD Table,Key messages box,Tabellengitternetz 9pt"/>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 List,Bullet1,Use Case List Paragraph,List Paragraph1,Body Bullet,Table Number Paragraph,Colorful List - Accent 11,List Paragraph 1,Ref,B1,Figure_name,bu1,bu1 + Before:  0 pt,After:  6 pt,Bullet for no #'s,Paragraph,lp1,Bullet 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 List Diagrama,Bullet1 Diagrama,Use Case List Paragraph Diagrama,List Paragraph1 Diagrama,Body Bullet Diagrama,Table Number Paragraph Diagrama,Colorful List - Accent 11 Diagrama,List Paragraph 1 Diagrama,Ref Diagrama"/>
    <w:basedOn w:val="Numatytasispastraiposriftas"/>
    <w:link w:val="Sraopastraipa"/>
    <w:uiPriority w:val="34"/>
    <w:rsid w:val="009B2F9C"/>
    <w:rPr>
      <w:sz w:val="24"/>
      <w:szCs w:val="24"/>
      <w:lang w:eastAsia="en-US"/>
    </w:rPr>
  </w:style>
  <w:style w:type="paragraph" w:customStyle="1" w:styleId="Style1">
    <w:name w:val="Style1"/>
    <w:basedOn w:val="prastasis"/>
    <w:qFormat/>
    <w:rsid w:val="009B2F9C"/>
    <w:pPr>
      <w:ind w:firstLine="720"/>
    </w:pPr>
    <w:rPr>
      <w:color w:val="000000"/>
    </w:rPr>
  </w:style>
  <w:style w:type="paragraph" w:customStyle="1" w:styleId="0TEXT">
    <w:name w:val="0: TEXT"/>
    <w:basedOn w:val="prastasis"/>
    <w:link w:val="0TEXTChar"/>
    <w:qFormat/>
    <w:rsid w:val="008C2035"/>
    <w:pPr>
      <w:spacing w:before="240"/>
      <w:ind w:firstLine="567"/>
      <w:jc w:val="both"/>
    </w:pPr>
    <w:rPr>
      <w:rFonts w:eastAsiaTheme="minorHAnsi"/>
      <w:bCs/>
      <w:color w:val="000000"/>
      <w:lang w:val="en-GB"/>
    </w:rPr>
  </w:style>
  <w:style w:type="character" w:customStyle="1" w:styleId="0TEXTChar">
    <w:name w:val="0: TEXT Char"/>
    <w:basedOn w:val="Numatytasispastraiposriftas"/>
    <w:link w:val="0TEXT"/>
    <w:rsid w:val="008C2035"/>
    <w:rPr>
      <w:rFonts w:eastAsiaTheme="minorHAnsi"/>
      <w:bCs/>
      <w:color w:val="000000"/>
      <w:sz w:val="24"/>
      <w:szCs w:val="24"/>
      <w:lang w:val="en-GB" w:eastAsia="en-US"/>
    </w:rPr>
  </w:style>
  <w:style w:type="table" w:customStyle="1" w:styleId="Summarybox1">
    <w:name w:val="Summary box1"/>
    <w:basedOn w:val="prastojilentel"/>
    <w:next w:val="Lentelstinklelis"/>
    <w:rsid w:val="008C2035"/>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5043">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68181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A3AC0-3744-4695-A169-35C9312E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13172</Characters>
  <Application>Microsoft Office Word</Application>
  <DocSecurity>0</DocSecurity>
  <Lines>109</Lines>
  <Paragraphs>29</Paragraphs>
  <ScaleCrop>false</ScaleCrop>
  <Company/>
  <LinksUpToDate>false</LinksUpToDate>
  <CharactersWithSpaces>14905</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2025-05-08T06:35:00Z</dcterms:created>
  <dcterms:modified xsi:type="dcterms:W3CDTF">2025-05-20T17:23:00Z</dcterms:modified>
</cp:coreProperties>
</file>