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19D6F094" w14:textId="77777777" w:rsidR="000B44FF" w:rsidRPr="00D05364" w:rsidRDefault="000B44FF" w:rsidP="000B44FF">
      <w:pPr>
        <w:jc w:val="center"/>
        <w:rPr>
          <w:b/>
        </w:rPr>
      </w:pPr>
      <w:bookmarkStart w:id="0" w:name="_Hlk197690243"/>
      <w:r w:rsidRPr="00F344AD">
        <w:rPr>
          <w:b/>
          <w:lang w:eastAsia="lt-LT"/>
        </w:rPr>
        <w:t>Tevimbra</w:t>
      </w:r>
      <w:r>
        <w:rPr>
          <w:b/>
          <w:lang w:eastAsia="lt-LT"/>
        </w:rPr>
        <w:t xml:space="preserve"> </w:t>
      </w:r>
      <w:r w:rsidR="00F344AD" w:rsidRPr="00F344AD">
        <w:rPr>
          <w:b/>
          <w:lang w:eastAsia="lt-LT"/>
        </w:rPr>
        <w:t>100 mg</w:t>
      </w:r>
      <w:r>
        <w:rPr>
          <w:b/>
          <w:lang w:eastAsia="lt-LT"/>
        </w:rPr>
        <w:t>,</w:t>
      </w:r>
      <w:r w:rsidR="00F344AD" w:rsidRPr="00F344AD">
        <w:rPr>
          <w:b/>
          <w:lang w:eastAsia="lt-LT"/>
        </w:rPr>
        <w:t xml:space="preserve"> 10 ml </w:t>
      </w:r>
      <w:r w:rsidRPr="00D4247C">
        <w:rPr>
          <w:b/>
        </w:rPr>
        <w:t>koncentratas infuziniam tirpalui</w:t>
      </w:r>
    </w:p>
    <w:bookmarkEnd w:id="0"/>
    <w:p w14:paraId="576289D1" w14:textId="65D82698" w:rsidR="00F344AD" w:rsidRPr="00F344AD" w:rsidRDefault="00F344AD" w:rsidP="00F344AD">
      <w:pPr>
        <w:jc w:val="center"/>
        <w:rPr>
          <w:b/>
          <w:lang w:eastAsia="lt-LT"/>
        </w:rPr>
      </w:pPr>
    </w:p>
    <w:p w14:paraId="1A626928" w14:textId="38C0CB77" w:rsidR="00F344AD" w:rsidRPr="00F344AD" w:rsidRDefault="00F344AD" w:rsidP="00F344AD">
      <w:pPr>
        <w:jc w:val="center"/>
        <w:rPr>
          <w:b/>
          <w:lang w:eastAsia="lt-LT"/>
        </w:rPr>
      </w:pPr>
      <w:r w:rsidRPr="00F344AD">
        <w:rPr>
          <w:b/>
          <w:lang w:eastAsia="lt-LT"/>
        </w:rPr>
        <w:t>Tislelizumabas</w:t>
      </w:r>
    </w:p>
    <w:p w14:paraId="4C68D1E9" w14:textId="77777777" w:rsidR="00F344AD" w:rsidRPr="00F344AD" w:rsidRDefault="00F344AD" w:rsidP="00F344AD">
      <w:pPr>
        <w:jc w:val="center"/>
        <w:rPr>
          <w:b/>
          <w:lang w:eastAsia="lt-LT"/>
        </w:rPr>
      </w:pPr>
    </w:p>
    <w:p w14:paraId="5BC2EA5D" w14:textId="1561140F" w:rsidR="00937907" w:rsidRPr="00E33EFF" w:rsidRDefault="00F344AD" w:rsidP="00F344AD">
      <w:pPr>
        <w:jc w:val="center"/>
        <w:rPr>
          <w:b/>
        </w:rPr>
      </w:pPr>
      <w:r w:rsidRPr="00F344AD">
        <w:rPr>
          <w:b/>
          <w:lang w:eastAsia="lt-LT"/>
        </w:rPr>
        <w:t>STV</w:t>
      </w:r>
      <w:r w:rsidR="000B44FF">
        <w:rPr>
          <w:b/>
          <w:lang w:eastAsia="lt-LT"/>
        </w:rPr>
        <w:t>-</w:t>
      </w:r>
      <w:r w:rsidRPr="00F344AD">
        <w:rPr>
          <w:b/>
          <w:lang w:eastAsia="lt-LT"/>
        </w:rPr>
        <w:t xml:space="preserve"> 211</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0B44FF" w:rsidRDefault="00B13D65" w:rsidP="00824B92">
            <w:pPr>
              <w:rPr>
                <w:rFonts w:eastAsia="Arial"/>
              </w:rPr>
            </w:pPr>
            <w:r w:rsidRPr="000B44FF">
              <w:rPr>
                <w:rFonts w:eastAsia="Arial"/>
              </w:rPr>
              <w:t>Pareiškėjas</w:t>
            </w:r>
          </w:p>
          <w:p w14:paraId="2AF240DC" w14:textId="77777777" w:rsidR="00B13D65" w:rsidRPr="000B44FF" w:rsidRDefault="00B13D65" w:rsidP="00824B92">
            <w:pPr>
              <w:rPr>
                <w:rFonts w:eastAsia="Arial"/>
              </w:rPr>
            </w:pPr>
          </w:p>
        </w:tc>
        <w:tc>
          <w:tcPr>
            <w:tcW w:w="5167" w:type="dxa"/>
          </w:tcPr>
          <w:p w14:paraId="3AFC2FCB" w14:textId="77777777" w:rsidR="000B44FF" w:rsidRDefault="000B44FF" w:rsidP="00824B92">
            <w:pPr>
              <w:rPr>
                <w:rFonts w:eastAsia="Arial"/>
              </w:rPr>
            </w:pPr>
            <w:r>
              <w:rPr>
                <w:rFonts w:eastAsia="Arial"/>
              </w:rPr>
              <w:t>BeiGeneSwitzeland GmbH</w:t>
            </w:r>
          </w:p>
          <w:p w14:paraId="2AAF0D91" w14:textId="4EAE992F" w:rsidR="000B44FF" w:rsidRPr="000B44FF" w:rsidRDefault="000B44FF" w:rsidP="00824B92">
            <w:pPr>
              <w:rPr>
                <w:rFonts w:eastAsia="Arial"/>
              </w:rPr>
            </w:pP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74B7FCB6" w:rsidR="00B13D65" w:rsidRPr="000B44FF" w:rsidRDefault="002B11FD" w:rsidP="00824B92">
            <w:pPr>
              <w:rPr>
                <w:rStyle w:val="Style2"/>
                <w:sz w:val="24"/>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6439B2" w:rsidRPr="000B44FF">
                  <w:t>2015 m. liepos 17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E33EFF" w:rsidRDefault="002B11FD"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2B11FD"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2B11FD"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2B11FD"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5167" w:type="dxa"/>
          </w:tcPr>
          <w:p w14:paraId="001B9864" w14:textId="77777777" w:rsidR="00B205DF" w:rsidRPr="006C50C3" w:rsidRDefault="002B11FD" w:rsidP="00B205DF">
            <w:sdt>
              <w:sdtPr>
                <w:rPr>
                  <w:rStyle w:val="Style2"/>
                </w:rPr>
                <w:id w:val="2024432173"/>
                <w15:color w:val="FFCC00"/>
                <w14:checkbox>
                  <w14:checked w14:val="1"/>
                  <w14:checkedState w14:val="2612" w14:font="MS Gothic"/>
                  <w14:uncheckedState w14:val="2610" w14:font="MS Gothic"/>
                </w14:checkbox>
              </w:sdtPr>
              <w:sdtEndPr>
                <w:rPr>
                  <w:rStyle w:val="Style2"/>
                </w:rPr>
              </w:sdtEndPr>
              <w:sdtContent>
                <w:r w:rsidR="00B205DF" w:rsidRPr="006C50C3">
                  <w:rPr>
                    <w:rStyle w:val="Style2"/>
                    <w:rFonts w:ascii="MS Gothic" w:eastAsia="MS Gothic" w:hAnsi="MS Gothic"/>
                  </w:rPr>
                  <w:t>☒</w:t>
                </w:r>
              </w:sdtContent>
            </w:sdt>
            <w:r w:rsidR="00B205DF" w:rsidRPr="006C50C3">
              <w:t xml:space="preserve"> Taip</w:t>
            </w:r>
          </w:p>
          <w:p w14:paraId="3DB1EDB9" w14:textId="77777777" w:rsidR="00B205DF" w:rsidRPr="006C50C3" w:rsidRDefault="002B11FD" w:rsidP="00B205DF">
            <w:sdt>
              <w:sdtPr>
                <w:rPr>
                  <w:rStyle w:val="Style2"/>
                </w:rPr>
                <w:id w:val="-970507926"/>
                <w15:color w:val="FFCC00"/>
                <w14:checkbox>
                  <w14:checked w14:val="0"/>
                  <w14:checkedState w14:val="2612" w14:font="MS Gothic"/>
                  <w14:uncheckedState w14:val="2610" w14:font="MS Gothic"/>
                </w14:checkbox>
              </w:sdtPr>
              <w:sdtEndPr>
                <w:rPr>
                  <w:rStyle w:val="Style2"/>
                </w:rPr>
              </w:sdtEndPr>
              <w:sdtContent>
                <w:r w:rsidR="00B205DF" w:rsidRPr="006C50C3">
                  <w:rPr>
                    <w:rStyle w:val="Style2"/>
                    <w:rFonts w:ascii="MS Gothic" w:eastAsia="MS Gothic" w:hAnsi="MS Gothic"/>
                  </w:rPr>
                  <w:t>☐</w:t>
                </w:r>
              </w:sdtContent>
            </w:sdt>
            <w:r w:rsidR="00B205DF" w:rsidRPr="006C50C3">
              <w:t xml:space="preserve"> Ne</w:t>
            </w:r>
          </w:p>
          <w:p w14:paraId="29C2CBBB" w14:textId="6DF9B14A" w:rsidR="00B13D65" w:rsidRPr="00E33EFF" w:rsidRDefault="002B11FD" w:rsidP="00B205DF">
            <w:pPr>
              <w:rPr>
                <w:rFonts w:eastAsia="Arial"/>
              </w:rPr>
            </w:pPr>
            <w:sdt>
              <w:sdtPr>
                <w:alias w:val="Nurodykite konkrečią dieną"/>
                <w:tag w:val="Nurodykite pradžios datą"/>
                <w:id w:val="693498901"/>
                <w:placeholder>
                  <w:docPart w:val="7B8F19307ED1446DB2D9946258E25C7C"/>
                </w:placeholder>
                <w15:color w:val="FFCC99"/>
                <w:date w:fullDate="2023-09-23T00:00:00Z">
                  <w:dateFormat w:val="yyyy 'm.' MMMM d 'd.'"/>
                  <w:lid w:val="lt-LT"/>
                  <w:storeMappedDataAs w:val="dateTime"/>
                  <w:calendar w:val="gregorian"/>
                </w:date>
              </w:sdtPr>
              <w:sdtEndPr/>
              <w:sdtContent>
                <w:r w:rsidR="00B205DF" w:rsidRPr="006C50C3">
                  <w:t>2023 m. rugsėjo 23 d.</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2B11FD"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2B11FD"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4D1FE8" w:rsidRPr="00E33EFF" w14:paraId="274D1DAF" w14:textId="77777777" w:rsidTr="00BE7489">
        <w:trPr>
          <w:trHeight w:val="1922"/>
        </w:trPr>
        <w:tc>
          <w:tcPr>
            <w:tcW w:w="632" w:type="dxa"/>
          </w:tcPr>
          <w:p w14:paraId="17ABF217" w14:textId="14AC00D7" w:rsidR="004D1FE8" w:rsidRPr="00E33EFF" w:rsidRDefault="004D1FE8" w:rsidP="004D1FE8">
            <w:pPr>
              <w:rPr>
                <w:rFonts w:eastAsia="Arial"/>
              </w:rPr>
            </w:pPr>
            <w:r w:rsidRPr="00E33EFF">
              <w:rPr>
                <w:rFonts w:eastAsia="Arial"/>
              </w:rPr>
              <w:t>1.6</w:t>
            </w:r>
          </w:p>
        </w:tc>
        <w:tc>
          <w:tcPr>
            <w:tcW w:w="3694" w:type="dxa"/>
          </w:tcPr>
          <w:p w14:paraId="4D49DBF5" w14:textId="77777777" w:rsidR="004D1FE8" w:rsidRPr="00E33EFF" w:rsidRDefault="004D1FE8" w:rsidP="004D1FE8">
            <w:pPr>
              <w:rPr>
                <w:bCs/>
                <w:color w:val="000000"/>
                <w:lang w:eastAsia="lt-LT"/>
              </w:rPr>
            </w:pPr>
            <w:r w:rsidRPr="00E33EFF">
              <w:rPr>
                <w:bCs/>
                <w:color w:val="000000"/>
                <w:lang w:eastAsia="lt-LT"/>
              </w:rPr>
              <w:t>Pareiškėjo teikiama (-os) kompensuoti vaistinio preparato indikacija (-os)</w:t>
            </w:r>
          </w:p>
          <w:p w14:paraId="3FB07EE5" w14:textId="39AB446B" w:rsidR="004D1FE8" w:rsidRDefault="004D1FE8" w:rsidP="004D1FE8">
            <w:pPr>
              <w:rPr>
                <w:bCs/>
                <w:color w:val="000000"/>
                <w:lang w:eastAsia="lt-LT"/>
              </w:rPr>
            </w:pPr>
          </w:p>
          <w:p w14:paraId="7A6C9F2C" w14:textId="6725AEFB" w:rsidR="004D1FE8" w:rsidRDefault="004D1FE8" w:rsidP="004D1FE8">
            <w:pPr>
              <w:rPr>
                <w:bCs/>
                <w:color w:val="000000"/>
                <w:lang w:eastAsia="lt-LT"/>
              </w:rPr>
            </w:pPr>
          </w:p>
          <w:p w14:paraId="2BB6BD0F" w14:textId="16E59951" w:rsidR="004D1FE8" w:rsidRDefault="004D1FE8" w:rsidP="004D1FE8">
            <w:pPr>
              <w:rPr>
                <w:bCs/>
                <w:color w:val="000000"/>
                <w:lang w:eastAsia="lt-LT"/>
              </w:rPr>
            </w:pPr>
          </w:p>
          <w:p w14:paraId="01377C9D" w14:textId="7EBC2898" w:rsidR="004D1FE8" w:rsidRDefault="004D1FE8" w:rsidP="004D1FE8">
            <w:pPr>
              <w:rPr>
                <w:bCs/>
                <w:color w:val="000000"/>
                <w:lang w:eastAsia="lt-LT"/>
              </w:rPr>
            </w:pPr>
          </w:p>
          <w:p w14:paraId="136E50EC" w14:textId="09E9D927" w:rsidR="004D1FE8" w:rsidRDefault="004D1FE8" w:rsidP="004D1FE8">
            <w:pPr>
              <w:rPr>
                <w:bCs/>
                <w:color w:val="000000"/>
                <w:lang w:eastAsia="lt-LT"/>
              </w:rPr>
            </w:pPr>
          </w:p>
          <w:p w14:paraId="6B3C527B" w14:textId="202D84A5" w:rsidR="004D1FE8" w:rsidRDefault="004D1FE8" w:rsidP="004D1FE8">
            <w:pPr>
              <w:rPr>
                <w:bCs/>
                <w:color w:val="000000"/>
                <w:lang w:eastAsia="lt-LT"/>
              </w:rPr>
            </w:pPr>
          </w:p>
          <w:p w14:paraId="0D46828A" w14:textId="39583DB6" w:rsidR="004D1FE8" w:rsidRDefault="004D1FE8" w:rsidP="004D1FE8">
            <w:pPr>
              <w:rPr>
                <w:bCs/>
                <w:color w:val="000000"/>
                <w:lang w:eastAsia="lt-LT"/>
              </w:rPr>
            </w:pPr>
          </w:p>
          <w:p w14:paraId="09443FF8" w14:textId="4D0006A9" w:rsidR="004D1FE8" w:rsidRDefault="004D1FE8" w:rsidP="004D1FE8">
            <w:pPr>
              <w:rPr>
                <w:bCs/>
                <w:color w:val="000000"/>
                <w:lang w:eastAsia="lt-LT"/>
              </w:rPr>
            </w:pPr>
          </w:p>
          <w:p w14:paraId="150C5C6F" w14:textId="77777777" w:rsidR="004D1FE8" w:rsidRDefault="004D1FE8" w:rsidP="004D1FE8">
            <w:pPr>
              <w:rPr>
                <w:bCs/>
                <w:color w:val="000000"/>
                <w:lang w:eastAsia="lt-LT"/>
              </w:rPr>
            </w:pPr>
          </w:p>
          <w:p w14:paraId="3A6B054C" w14:textId="77777777" w:rsidR="004D1FE8" w:rsidRDefault="004D1FE8" w:rsidP="004D1FE8">
            <w:pPr>
              <w:rPr>
                <w:bCs/>
                <w:color w:val="000000"/>
                <w:lang w:eastAsia="lt-LT"/>
              </w:rPr>
            </w:pPr>
          </w:p>
          <w:p w14:paraId="6B4FEEC1" w14:textId="378668B0" w:rsidR="004D1FE8" w:rsidRPr="00E33EFF" w:rsidRDefault="004D1FE8" w:rsidP="004D1FE8">
            <w:pPr>
              <w:rPr>
                <w:bCs/>
                <w:color w:val="000000"/>
                <w:lang w:eastAsia="lt-LT"/>
              </w:rPr>
            </w:pPr>
            <w:r w:rsidRPr="00E33EFF">
              <w:rPr>
                <w:bCs/>
                <w:color w:val="000000"/>
                <w:lang w:eastAsia="lt-LT"/>
              </w:rPr>
              <w:t>Kodas pagal TLK-10 AM</w:t>
            </w:r>
          </w:p>
        </w:tc>
        <w:tc>
          <w:tcPr>
            <w:tcW w:w="5167" w:type="dxa"/>
          </w:tcPr>
          <w:p w14:paraId="2ECE18B2" w14:textId="77777777" w:rsidR="004D1FE8" w:rsidRPr="006C50C3" w:rsidRDefault="004D1FE8" w:rsidP="004D1FE8">
            <w:pPr>
              <w:spacing w:after="120"/>
              <w:jc w:val="both"/>
            </w:pPr>
            <w:r w:rsidRPr="006C50C3">
              <w:lastRenderedPageBreak/>
              <w:t>Tevimbra derinyje su pemetreksedu ir chemoterapija su platinos vaistiniais preparatais skirtas suaugusių pacientų, kuriems diagnozuotas neplokščialąstelinis NSLPV ir kurių navikai turi PD-L1 ekspresiją ≥50 % naviko ląstelių pirmos eilės gydymui, be EGFR mutacijų arba ALK mutacijų bei kai yra:</w:t>
            </w:r>
          </w:p>
          <w:p w14:paraId="33963C1B" w14:textId="77777777" w:rsidR="004D1FE8" w:rsidRPr="006C50C3" w:rsidRDefault="004D1FE8" w:rsidP="004D1FE8">
            <w:pPr>
              <w:pStyle w:val="Sraopastraipa"/>
              <w:spacing w:after="120"/>
              <w:jc w:val="both"/>
            </w:pPr>
            <w:r w:rsidRPr="006C50C3">
              <w:t xml:space="preserve">• vietiškai išplitęs NSLPV ir pacientams neketinama atlikti chirurginės rezekcijos ar </w:t>
            </w:r>
            <w:r w:rsidRPr="006C50C3">
              <w:lastRenderedPageBreak/>
              <w:t>skirti chemoradioterapijos su platinos vaistiniais preparatais, arba</w:t>
            </w:r>
          </w:p>
          <w:p w14:paraId="258CB0AD" w14:textId="77777777" w:rsidR="004D1FE8" w:rsidRPr="006C50C3" w:rsidRDefault="004D1FE8" w:rsidP="004D1FE8">
            <w:pPr>
              <w:pStyle w:val="Sraopastraipa"/>
              <w:spacing w:after="120"/>
              <w:jc w:val="both"/>
            </w:pPr>
            <w:r w:rsidRPr="006C50C3">
              <w:t>• metastazavęs NSLPV.</w:t>
            </w:r>
          </w:p>
          <w:p w14:paraId="13F7DFB0" w14:textId="73F34F46" w:rsidR="004D1FE8" w:rsidRPr="00E33EFF" w:rsidRDefault="004D1FE8" w:rsidP="004D1FE8">
            <w:pPr>
              <w:pStyle w:val="Sraopastraipa"/>
              <w:spacing w:after="120" w:line="276" w:lineRule="auto"/>
              <w:ind w:left="0"/>
              <w:contextualSpacing w:val="0"/>
              <w:jc w:val="both"/>
            </w:pPr>
            <w:r w:rsidRPr="006C50C3">
              <w:t>C34</w:t>
            </w:r>
          </w:p>
        </w:tc>
      </w:tr>
      <w:tr w:rsidR="004D1FE8" w:rsidRPr="00E33EFF" w14:paraId="2F79DC08" w14:textId="77777777" w:rsidTr="00BE7489">
        <w:trPr>
          <w:trHeight w:val="378"/>
        </w:trPr>
        <w:tc>
          <w:tcPr>
            <w:tcW w:w="632" w:type="dxa"/>
          </w:tcPr>
          <w:p w14:paraId="547885A2" w14:textId="08AA8055" w:rsidR="004D1FE8" w:rsidRPr="00E33EFF" w:rsidRDefault="004D1FE8" w:rsidP="004D1FE8">
            <w:pPr>
              <w:rPr>
                <w:rFonts w:eastAsia="Arial"/>
              </w:rPr>
            </w:pPr>
            <w:r w:rsidRPr="00E33EFF">
              <w:rPr>
                <w:rFonts w:eastAsia="Arial"/>
              </w:rPr>
              <w:lastRenderedPageBreak/>
              <w:t>1.6</w:t>
            </w:r>
          </w:p>
        </w:tc>
        <w:tc>
          <w:tcPr>
            <w:tcW w:w="3694" w:type="dxa"/>
          </w:tcPr>
          <w:p w14:paraId="2EAB877F" w14:textId="39A36941" w:rsidR="004D1FE8" w:rsidRPr="00E33EFF" w:rsidRDefault="004D1FE8" w:rsidP="004D1FE8">
            <w:pPr>
              <w:rPr>
                <w:bCs/>
                <w:color w:val="000000"/>
                <w:u w:val="single"/>
                <w:lang w:eastAsia="lt-LT"/>
              </w:rPr>
            </w:pPr>
            <w:r w:rsidRPr="00E33EFF">
              <w:rPr>
                <w:bCs/>
                <w:color w:val="000000"/>
                <w:lang w:eastAsia="lt-LT"/>
              </w:rPr>
              <w:t xml:space="preserve">Pareiškėjo teikiamos skyrimo sąlygos </w:t>
            </w:r>
          </w:p>
        </w:tc>
        <w:tc>
          <w:tcPr>
            <w:tcW w:w="5167" w:type="dxa"/>
          </w:tcPr>
          <w:p w14:paraId="0579DF58" w14:textId="4B155348" w:rsidR="004D1FE8" w:rsidRPr="00E33EFF" w:rsidRDefault="004D1FE8" w:rsidP="004D1FE8">
            <w:r>
              <w:t>Neteikiamos</w:t>
            </w:r>
          </w:p>
        </w:tc>
      </w:tr>
      <w:tr w:rsidR="004D1FE8" w:rsidRPr="00E33EFF" w14:paraId="3B125269" w14:textId="77777777" w:rsidTr="00BE7489">
        <w:trPr>
          <w:trHeight w:val="378"/>
        </w:trPr>
        <w:tc>
          <w:tcPr>
            <w:tcW w:w="632" w:type="dxa"/>
          </w:tcPr>
          <w:p w14:paraId="0058E11F" w14:textId="77777777" w:rsidR="004D1FE8" w:rsidRPr="00E33EFF" w:rsidRDefault="004D1FE8" w:rsidP="004D1FE8">
            <w:pPr>
              <w:rPr>
                <w:rFonts w:eastAsia="Arial"/>
              </w:rPr>
            </w:pPr>
            <w:r w:rsidRPr="00E33EFF">
              <w:rPr>
                <w:rFonts w:eastAsia="Arial"/>
              </w:rPr>
              <w:t>1.7</w:t>
            </w:r>
          </w:p>
        </w:tc>
        <w:tc>
          <w:tcPr>
            <w:tcW w:w="3694" w:type="dxa"/>
          </w:tcPr>
          <w:p w14:paraId="738E1926" w14:textId="50A9DC79" w:rsidR="004D1FE8" w:rsidRDefault="004D1FE8" w:rsidP="004D1FE8">
            <w:pPr>
              <w:rPr>
                <w:bCs/>
                <w:color w:val="000000"/>
                <w:lang w:eastAsia="lt-LT"/>
              </w:rPr>
            </w:pPr>
            <w:r w:rsidRPr="00E33EFF">
              <w:rPr>
                <w:bCs/>
                <w:color w:val="000000"/>
                <w:lang w:eastAsia="lt-LT"/>
              </w:rPr>
              <w:t>Pareiškėjo teikiamas palyginamasis gydymas</w:t>
            </w:r>
            <w:r>
              <w:rPr>
                <w:bCs/>
                <w:color w:val="000000"/>
                <w:lang w:eastAsia="lt-LT"/>
              </w:rPr>
              <w:t>:</w:t>
            </w:r>
            <w:r w:rsidRPr="00E33EFF">
              <w:rPr>
                <w:bCs/>
                <w:color w:val="000000"/>
                <w:lang w:eastAsia="lt-LT"/>
              </w:rPr>
              <w:t xml:space="preserve"> </w:t>
            </w:r>
          </w:p>
          <w:p w14:paraId="1F7BF92F" w14:textId="6E3AE3A9" w:rsidR="004D1FE8" w:rsidRDefault="004D1FE8" w:rsidP="004D1FE8">
            <w:pPr>
              <w:rPr>
                <w:bCs/>
                <w:i/>
                <w:color w:val="000000"/>
                <w:lang w:eastAsia="lt-LT"/>
              </w:rPr>
            </w:pPr>
            <w:r w:rsidRPr="007C7519">
              <w:rPr>
                <w:bCs/>
                <w:i/>
                <w:color w:val="000000"/>
                <w:lang w:eastAsia="lt-LT"/>
              </w:rPr>
              <w:t>Tiesioginis</w:t>
            </w:r>
          </w:p>
          <w:p w14:paraId="5B408204" w14:textId="3D9C957F" w:rsidR="00A734CF" w:rsidRDefault="00A734CF" w:rsidP="004D1FE8">
            <w:pPr>
              <w:rPr>
                <w:bCs/>
                <w:i/>
                <w:color w:val="000000"/>
                <w:lang w:eastAsia="lt-LT"/>
              </w:rPr>
            </w:pPr>
            <w:r>
              <w:rPr>
                <w:bCs/>
                <w:i/>
                <w:color w:val="000000"/>
                <w:lang w:eastAsia="lt-LT"/>
              </w:rPr>
              <w:t xml:space="preserve">(atsižvelgiant į </w:t>
            </w:r>
            <w:r w:rsidRPr="00D55146">
              <w:rPr>
                <w:rFonts w:eastAsia="Arial"/>
                <w:bCs/>
                <w:i/>
                <w:iCs/>
              </w:rPr>
              <w:t>pacientų su metastazavusia adenokarcinoma</w:t>
            </w:r>
            <w:r w:rsidR="00D55146">
              <w:rPr>
                <w:rFonts w:eastAsia="Arial"/>
                <w:bCs/>
                <w:i/>
                <w:iCs/>
              </w:rPr>
              <w:t xml:space="preserve"> (82 proc.) </w:t>
            </w:r>
            <w:r w:rsidR="00C8083D" w:rsidRPr="00D55146">
              <w:rPr>
                <w:rFonts w:eastAsia="Arial"/>
                <w:bCs/>
                <w:i/>
                <w:iCs/>
              </w:rPr>
              <w:t>populiaciją</w:t>
            </w:r>
            <w:r w:rsidR="00612723">
              <w:rPr>
                <w:rFonts w:eastAsia="Arial"/>
                <w:bCs/>
                <w:i/>
                <w:iCs/>
              </w:rPr>
              <w:t>)</w:t>
            </w:r>
            <w:r w:rsidR="00D55146">
              <w:rPr>
                <w:rFonts w:eastAsia="Arial"/>
                <w:bCs/>
                <w:i/>
                <w:iCs/>
              </w:rPr>
              <w:t xml:space="preserve"> </w:t>
            </w:r>
          </w:p>
          <w:p w14:paraId="643CC07B" w14:textId="2D7C9848" w:rsidR="004D1FE8" w:rsidRDefault="004D1FE8" w:rsidP="004D1FE8">
            <w:pPr>
              <w:rPr>
                <w:bCs/>
                <w:i/>
                <w:color w:val="000000"/>
                <w:lang w:eastAsia="lt-LT"/>
              </w:rPr>
            </w:pPr>
          </w:p>
          <w:p w14:paraId="1FEACC56" w14:textId="0E2E44A3" w:rsidR="004D1FE8" w:rsidRDefault="004D1FE8" w:rsidP="004D1FE8">
            <w:pPr>
              <w:rPr>
                <w:bCs/>
                <w:i/>
                <w:color w:val="000000"/>
                <w:lang w:eastAsia="lt-LT"/>
              </w:rPr>
            </w:pPr>
          </w:p>
          <w:p w14:paraId="6A1CCCAC" w14:textId="77777777" w:rsidR="008D7532" w:rsidRDefault="004D1FE8" w:rsidP="004D1FE8">
            <w:pPr>
              <w:rPr>
                <w:bCs/>
                <w:i/>
                <w:color w:val="000000"/>
                <w:lang w:eastAsia="lt-LT"/>
              </w:rPr>
            </w:pPr>
            <w:r>
              <w:rPr>
                <w:bCs/>
                <w:i/>
                <w:color w:val="000000"/>
                <w:lang w:eastAsia="lt-LT"/>
              </w:rPr>
              <w:t>Netiesioginis</w:t>
            </w:r>
            <w:r w:rsidR="008D7532">
              <w:rPr>
                <w:bCs/>
                <w:i/>
                <w:color w:val="000000"/>
                <w:lang w:eastAsia="lt-LT"/>
              </w:rPr>
              <w:t xml:space="preserve"> </w:t>
            </w:r>
          </w:p>
          <w:p w14:paraId="200BD3DE" w14:textId="1A1BF151" w:rsidR="004D1FE8" w:rsidRPr="007C7519" w:rsidRDefault="002F5442" w:rsidP="004D1FE8">
            <w:pPr>
              <w:rPr>
                <w:bCs/>
                <w:i/>
                <w:color w:val="000000"/>
                <w:lang w:eastAsia="lt-LT"/>
              </w:rPr>
            </w:pPr>
            <w:r>
              <w:rPr>
                <w:bCs/>
                <w:i/>
                <w:color w:val="000000"/>
              </w:rPr>
              <w:t>(</w:t>
            </w:r>
            <w:r w:rsidR="008D7532">
              <w:rPr>
                <w:bCs/>
                <w:i/>
                <w:color w:val="000000"/>
              </w:rPr>
              <w:t>Monotera</w:t>
            </w:r>
            <w:r>
              <w:rPr>
                <w:bCs/>
                <w:i/>
                <w:color w:val="000000"/>
              </w:rPr>
              <w:t xml:space="preserve">pija </w:t>
            </w:r>
            <w:r w:rsidR="008D7532" w:rsidRPr="002F5442">
              <w:rPr>
                <w:bCs/>
                <w:i/>
                <w:color w:val="000000"/>
                <w:lang w:eastAsia="lt-LT"/>
              </w:rPr>
              <w:t>pembr</w:t>
            </w:r>
            <w:r w:rsidR="00F8625A">
              <w:rPr>
                <w:bCs/>
                <w:i/>
                <w:color w:val="000000"/>
                <w:lang w:eastAsia="lt-LT"/>
              </w:rPr>
              <w:t>o</w:t>
            </w:r>
            <w:r w:rsidR="008D7532" w:rsidRPr="002F5442">
              <w:rPr>
                <w:bCs/>
                <w:i/>
                <w:color w:val="000000"/>
                <w:lang w:eastAsia="lt-LT"/>
              </w:rPr>
              <w:t>lizumabas arba atezolizumabas, arba jų deriniai su chemoterapija</w:t>
            </w:r>
            <w:r>
              <w:rPr>
                <w:bCs/>
                <w:i/>
                <w:color w:val="000000"/>
                <w:lang w:eastAsia="lt-LT"/>
              </w:rPr>
              <w:t>)</w:t>
            </w:r>
          </w:p>
          <w:p w14:paraId="62057D94" w14:textId="77777777" w:rsidR="004D1FE8" w:rsidRPr="00E33EFF" w:rsidRDefault="004D1FE8" w:rsidP="004D1FE8">
            <w:pPr>
              <w:rPr>
                <w:bCs/>
                <w:color w:val="000000"/>
                <w:lang w:eastAsia="lt-LT"/>
              </w:rPr>
            </w:pPr>
          </w:p>
          <w:p w14:paraId="6CC1022E" w14:textId="2B6BCEE1" w:rsidR="004D1FE8" w:rsidRPr="00E33EFF" w:rsidRDefault="004D1FE8" w:rsidP="004D1FE8">
            <w:pPr>
              <w:rPr>
                <w:bCs/>
                <w:color w:val="000000"/>
                <w:lang w:eastAsia="lt-LT"/>
              </w:rPr>
            </w:pPr>
          </w:p>
        </w:tc>
        <w:tc>
          <w:tcPr>
            <w:tcW w:w="5167" w:type="dxa"/>
          </w:tcPr>
          <w:p w14:paraId="3E389C70" w14:textId="22AFFC76" w:rsidR="004D1FE8" w:rsidRDefault="004D1FE8" w:rsidP="004D1FE8">
            <w:pPr>
              <w:rPr>
                <w:rStyle w:val="Style2"/>
                <w:sz w:val="24"/>
              </w:rPr>
            </w:pPr>
          </w:p>
          <w:p w14:paraId="0AC43073" w14:textId="77777777" w:rsidR="004D1FE8" w:rsidRPr="00E33EFF" w:rsidRDefault="004D1FE8" w:rsidP="004D1FE8"/>
          <w:p w14:paraId="2383573D" w14:textId="77777777" w:rsidR="004D1FE8" w:rsidRPr="00E33EFF" w:rsidRDefault="002B11FD" w:rsidP="004D1FE8">
            <w:sdt>
              <w:sdtPr>
                <w:rPr>
                  <w:rStyle w:val="Style2"/>
                  <w:sz w:val="24"/>
                </w:rPr>
                <w:id w:val="-439376113"/>
                <w15:color w:val="FFCC00"/>
                <w14:checkbox>
                  <w14:checked w14:val="0"/>
                  <w14:checkedState w14:val="2612" w14:font="MS Gothic"/>
                  <w14:uncheckedState w14:val="2610" w14:font="MS Gothic"/>
                </w14:checkbox>
              </w:sdtPr>
              <w:sdtEndPr>
                <w:rPr>
                  <w:rStyle w:val="Style2"/>
                </w:rPr>
              </w:sdtEndPr>
              <w:sdtContent>
                <w:r w:rsidR="004D1FE8">
                  <w:rPr>
                    <w:rStyle w:val="Style2"/>
                    <w:rFonts w:ascii="MS Gothic" w:eastAsia="MS Gothic" w:hAnsi="MS Gothic" w:hint="eastAsia"/>
                    <w:sz w:val="24"/>
                  </w:rPr>
                  <w:t>☐</w:t>
                </w:r>
              </w:sdtContent>
            </w:sdt>
            <w:r w:rsidR="004D1FE8" w:rsidRPr="00E33EFF">
              <w:t xml:space="preserve"> Tinkamas</w:t>
            </w:r>
          </w:p>
          <w:p w14:paraId="5474EFC4" w14:textId="00B68021" w:rsidR="004D1FE8" w:rsidRDefault="002B11FD" w:rsidP="004D1FE8">
            <w:pPr>
              <w:rPr>
                <w:rStyle w:val="Style2"/>
                <w:sz w:val="24"/>
              </w:rPr>
            </w:pPr>
            <w:sdt>
              <w:sdtPr>
                <w:rPr>
                  <w:rStyle w:val="Style2"/>
                  <w:sz w:val="24"/>
                </w:rPr>
                <w:id w:val="991603600"/>
                <w15:color w:val="FFCC00"/>
                <w14:checkbox>
                  <w14:checked w14:val="1"/>
                  <w14:checkedState w14:val="2612" w14:font="MS Gothic"/>
                  <w14:uncheckedState w14:val="2610" w14:font="MS Gothic"/>
                </w14:checkbox>
              </w:sdtPr>
              <w:sdtEndPr>
                <w:rPr>
                  <w:rStyle w:val="Style2"/>
                </w:rPr>
              </w:sdtEndPr>
              <w:sdtContent>
                <w:r w:rsidR="004D1FE8">
                  <w:rPr>
                    <w:rStyle w:val="Style2"/>
                    <w:rFonts w:ascii="MS Gothic" w:eastAsia="MS Gothic" w:hAnsi="MS Gothic" w:hint="eastAsia"/>
                    <w:sz w:val="24"/>
                  </w:rPr>
                  <w:t>☒</w:t>
                </w:r>
              </w:sdtContent>
            </w:sdt>
            <w:r w:rsidR="004D1FE8" w:rsidRPr="00E33EFF">
              <w:t xml:space="preserve"> Netinkama</w:t>
            </w:r>
            <w:r w:rsidR="004D1FE8">
              <w:t>s</w:t>
            </w:r>
          </w:p>
          <w:p w14:paraId="5481FC83" w14:textId="77777777" w:rsidR="004D1FE8" w:rsidRDefault="004D1FE8" w:rsidP="004D1FE8">
            <w:pPr>
              <w:rPr>
                <w:rStyle w:val="Style2"/>
                <w:sz w:val="24"/>
              </w:rPr>
            </w:pPr>
          </w:p>
          <w:p w14:paraId="3426B7CD" w14:textId="77777777" w:rsidR="0077271E" w:rsidRDefault="0077271E" w:rsidP="004D1FE8">
            <w:pPr>
              <w:rPr>
                <w:rStyle w:val="Style2"/>
                <w:sz w:val="24"/>
              </w:rPr>
            </w:pPr>
          </w:p>
          <w:p w14:paraId="40456F51" w14:textId="77777777" w:rsidR="0077271E" w:rsidRDefault="0077271E" w:rsidP="004D1FE8">
            <w:pPr>
              <w:rPr>
                <w:rStyle w:val="Style2"/>
                <w:sz w:val="24"/>
              </w:rPr>
            </w:pPr>
          </w:p>
          <w:p w14:paraId="34DB304B" w14:textId="77777777" w:rsidR="0077271E" w:rsidRDefault="0077271E" w:rsidP="004D1FE8">
            <w:pPr>
              <w:rPr>
                <w:rStyle w:val="Style2"/>
                <w:sz w:val="24"/>
              </w:rPr>
            </w:pPr>
          </w:p>
          <w:p w14:paraId="66741CBF" w14:textId="03099B04" w:rsidR="004D1FE8" w:rsidRPr="00E33EFF" w:rsidRDefault="002B11FD" w:rsidP="004D1FE8">
            <w:sdt>
              <w:sdtPr>
                <w:rPr>
                  <w:rStyle w:val="Style2"/>
                  <w:sz w:val="24"/>
                </w:rPr>
                <w:id w:val="-834302966"/>
                <w15:color w:val="FFCC00"/>
                <w14:checkbox>
                  <w14:checked w14:val="1"/>
                  <w14:checkedState w14:val="2612" w14:font="MS Gothic"/>
                  <w14:uncheckedState w14:val="2610" w14:font="MS Gothic"/>
                </w14:checkbox>
              </w:sdtPr>
              <w:sdtEndPr>
                <w:rPr>
                  <w:rStyle w:val="Style2"/>
                </w:rPr>
              </w:sdtEndPr>
              <w:sdtContent>
                <w:r w:rsidR="004D1FE8">
                  <w:rPr>
                    <w:rStyle w:val="Style2"/>
                    <w:rFonts w:ascii="MS Gothic" w:eastAsia="MS Gothic" w:hAnsi="MS Gothic" w:hint="eastAsia"/>
                    <w:sz w:val="24"/>
                  </w:rPr>
                  <w:t>☒</w:t>
                </w:r>
              </w:sdtContent>
            </w:sdt>
            <w:r w:rsidR="004D1FE8" w:rsidRPr="00E33EFF">
              <w:t xml:space="preserve"> Tinkamas</w:t>
            </w:r>
          </w:p>
          <w:p w14:paraId="41B44044" w14:textId="2E013ACA" w:rsidR="004D1FE8" w:rsidRPr="00E33EFF" w:rsidRDefault="002B11FD" w:rsidP="004D1FE8">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4D1FE8">
                  <w:rPr>
                    <w:rStyle w:val="Style2"/>
                    <w:rFonts w:ascii="MS Gothic" w:eastAsia="MS Gothic" w:hAnsi="MS Gothic" w:hint="eastAsia"/>
                    <w:sz w:val="24"/>
                  </w:rPr>
                  <w:t>☐</w:t>
                </w:r>
              </w:sdtContent>
            </w:sdt>
            <w:r w:rsidR="004D1FE8" w:rsidRPr="00E33EFF">
              <w:t xml:space="preserve"> Netinkama</w:t>
            </w:r>
            <w:r w:rsidR="004D1FE8">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73290081" w14:textId="55421DA3" w:rsidR="007A2B68" w:rsidRDefault="007A2B68">
      <w:pPr>
        <w:rPr>
          <w:b/>
          <w:bCs/>
          <w:caps/>
        </w:rPr>
      </w:pPr>
    </w:p>
    <w:p w14:paraId="1D6CEEE6" w14:textId="77777777" w:rsidR="00971AE3" w:rsidRPr="006C50C3" w:rsidRDefault="00971AE3" w:rsidP="00971AE3">
      <w:pPr>
        <w:spacing w:line="276" w:lineRule="auto"/>
        <w:rPr>
          <w:rFonts w:eastAsia="Arial"/>
          <w:b/>
        </w:rPr>
      </w:pPr>
    </w:p>
    <w:p w14:paraId="7715BA6E" w14:textId="77777777" w:rsidR="00971AE3" w:rsidRPr="006C50C3" w:rsidRDefault="00971AE3" w:rsidP="00971AE3">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971AE3" w:rsidRPr="006C50C3" w14:paraId="5CCAD2E5" w14:textId="77777777" w:rsidTr="006F405E">
        <w:trPr>
          <w:trHeight w:val="924"/>
        </w:trPr>
        <w:tc>
          <w:tcPr>
            <w:tcW w:w="2927" w:type="dxa"/>
          </w:tcPr>
          <w:p w14:paraId="179DF5BD" w14:textId="77777777" w:rsidR="00971AE3" w:rsidRPr="006C50C3" w:rsidRDefault="00971AE3" w:rsidP="006F405E">
            <w:pPr>
              <w:spacing w:line="276" w:lineRule="auto"/>
              <w:rPr>
                <w:rFonts w:eastAsia="Arial"/>
              </w:rPr>
            </w:pPr>
            <w:r w:rsidRPr="006C50C3">
              <w:rPr>
                <w:rFonts w:eastAsia="Arial"/>
              </w:rPr>
              <w:t>STV agentūros pavadinimas, šalis</w:t>
            </w:r>
          </w:p>
        </w:tc>
        <w:tc>
          <w:tcPr>
            <w:tcW w:w="1915" w:type="dxa"/>
          </w:tcPr>
          <w:p w14:paraId="21E91D2B" w14:textId="77777777" w:rsidR="00971AE3" w:rsidRPr="006C50C3" w:rsidRDefault="00971AE3" w:rsidP="006F405E">
            <w:pPr>
              <w:spacing w:line="276" w:lineRule="auto"/>
              <w:rPr>
                <w:rFonts w:eastAsia="Arial"/>
              </w:rPr>
            </w:pPr>
            <w:r w:rsidRPr="006C50C3">
              <w:rPr>
                <w:rFonts w:eastAsia="Arial"/>
              </w:rPr>
              <w:t>STV vertinimas atliktas</w:t>
            </w:r>
          </w:p>
        </w:tc>
        <w:tc>
          <w:tcPr>
            <w:tcW w:w="2351" w:type="dxa"/>
          </w:tcPr>
          <w:p w14:paraId="0710B55E" w14:textId="77777777" w:rsidR="00971AE3" w:rsidRPr="006C50C3" w:rsidRDefault="00971AE3" w:rsidP="006F405E">
            <w:pPr>
              <w:spacing w:line="276" w:lineRule="auto"/>
              <w:rPr>
                <w:rFonts w:eastAsia="Arial"/>
              </w:rPr>
            </w:pPr>
            <w:r w:rsidRPr="006C50C3">
              <w:rPr>
                <w:rFonts w:eastAsia="Arial"/>
              </w:rPr>
              <w:t>Klinikinio vertinimo išvada</w:t>
            </w:r>
          </w:p>
        </w:tc>
        <w:tc>
          <w:tcPr>
            <w:tcW w:w="2725" w:type="dxa"/>
          </w:tcPr>
          <w:p w14:paraId="270A9A36" w14:textId="77777777" w:rsidR="00971AE3" w:rsidRPr="006C50C3" w:rsidRDefault="00971AE3" w:rsidP="006F405E">
            <w:pPr>
              <w:spacing w:line="276" w:lineRule="auto"/>
              <w:rPr>
                <w:rFonts w:eastAsia="Arial"/>
              </w:rPr>
            </w:pPr>
            <w:r w:rsidRPr="006C50C3">
              <w:rPr>
                <w:rFonts w:eastAsia="Arial"/>
              </w:rPr>
              <w:t>Farmakoekonominio vertinimo išvada</w:t>
            </w:r>
          </w:p>
        </w:tc>
      </w:tr>
      <w:tr w:rsidR="00971AE3" w:rsidRPr="006C50C3" w14:paraId="3DC088DE" w14:textId="77777777" w:rsidTr="006F405E">
        <w:trPr>
          <w:trHeight w:val="1765"/>
        </w:trPr>
        <w:tc>
          <w:tcPr>
            <w:tcW w:w="2927" w:type="dxa"/>
          </w:tcPr>
          <w:p w14:paraId="6C098DC1" w14:textId="77777777" w:rsidR="00971AE3" w:rsidRPr="006C50C3" w:rsidRDefault="00971AE3" w:rsidP="006F405E">
            <w:pPr>
              <w:autoSpaceDE w:val="0"/>
              <w:autoSpaceDN w:val="0"/>
              <w:adjustRightInd w:val="0"/>
              <w:rPr>
                <w:bCs/>
              </w:rPr>
            </w:pPr>
            <w:r w:rsidRPr="006C50C3">
              <w:rPr>
                <w:bCs/>
              </w:rPr>
              <w:t>Nacionalinis sveikatos ir klinikinės kompetencijos institutas, Didžioji Britanija</w:t>
            </w:r>
          </w:p>
          <w:p w14:paraId="45901AE7" w14:textId="77777777" w:rsidR="00971AE3" w:rsidRPr="006C50C3" w:rsidRDefault="00971AE3" w:rsidP="006F405E">
            <w:pPr>
              <w:spacing w:line="276" w:lineRule="auto"/>
              <w:rPr>
                <w:rFonts w:eastAsia="Arial"/>
              </w:rPr>
            </w:pPr>
            <w:r w:rsidRPr="006C50C3">
              <w:rPr>
                <w:rFonts w:eastAsia="Arial"/>
              </w:rPr>
              <w:t xml:space="preserve">(angl. </w:t>
            </w:r>
            <w:r w:rsidRPr="006C50C3">
              <w:rPr>
                <w:rFonts w:eastAsia="Arial"/>
                <w:i/>
              </w:rPr>
              <w:t>National Institute for Health and Care Excellence, NICE</w:t>
            </w:r>
            <w:r w:rsidRPr="006C50C3">
              <w:rPr>
                <w:rFonts w:eastAsia="Arial"/>
              </w:rPr>
              <w:t>)</w:t>
            </w:r>
          </w:p>
        </w:tc>
        <w:tc>
          <w:tcPr>
            <w:tcW w:w="1915" w:type="dxa"/>
          </w:tcPr>
          <w:p w14:paraId="4464D813" w14:textId="77777777" w:rsidR="00971AE3" w:rsidRPr="006C50C3" w:rsidRDefault="002B11FD" w:rsidP="006F405E">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971AE3" w:rsidRPr="006C50C3">
                  <w:rPr>
                    <w:rStyle w:val="Style2"/>
                    <w:rFonts w:ascii="MS Gothic" w:eastAsia="MS Gothic" w:hAnsi="MS Gothic"/>
                  </w:rPr>
                  <w:t>☐</w:t>
                </w:r>
              </w:sdtContent>
            </w:sdt>
            <w:r w:rsidR="00971AE3" w:rsidRPr="006C50C3">
              <w:t xml:space="preserve"> Taip</w:t>
            </w:r>
          </w:p>
          <w:p w14:paraId="6BC227AB" w14:textId="77777777" w:rsidR="00971AE3" w:rsidRPr="006C50C3" w:rsidRDefault="002B11FD" w:rsidP="006F405E">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971AE3">
                  <w:rPr>
                    <w:rStyle w:val="Style2"/>
                    <w:rFonts w:ascii="MS Gothic" w:eastAsia="MS Gothic" w:hAnsi="MS Gothic" w:hint="eastAsia"/>
                  </w:rPr>
                  <w:t>☒</w:t>
                </w:r>
              </w:sdtContent>
            </w:sdt>
            <w:r w:rsidR="00971AE3" w:rsidRPr="006C50C3">
              <w:t xml:space="preserve"> Ne</w:t>
            </w:r>
          </w:p>
          <w:p w14:paraId="1278B200" w14:textId="77777777" w:rsidR="00971AE3" w:rsidRPr="006C50C3" w:rsidRDefault="002B11FD" w:rsidP="006F405E">
            <w:pPr>
              <w:rPr>
                <w:rFonts w:eastAsia="Arial"/>
              </w:rPr>
            </w:pPr>
            <w:sdt>
              <w:sdtPr>
                <w:alias w:val="Nurodykite konkrečią dieną"/>
                <w:tag w:val="Nurodykite pradžios datą"/>
                <w:id w:val="922837954"/>
                <w:placeholder>
                  <w:docPart w:val="DE15444C806347989588A5A9ED88EE62"/>
                </w:placeholder>
                <w:showingPlcHdr/>
                <w15:color w:val="FFCC99"/>
                <w:date w:fullDate="2022-05-18T00:00:00Z">
                  <w:dateFormat w:val="yyyy 'm.' MMMM d 'd.'"/>
                  <w:lid w:val="lt-LT"/>
                  <w:storeMappedDataAs w:val="dateTime"/>
                  <w:calendar w:val="gregorian"/>
                </w:date>
              </w:sdtPr>
              <w:sdtEndPr/>
              <w:sdtContent>
                <w:r w:rsidR="00971AE3" w:rsidRPr="006C50C3">
                  <w:rPr>
                    <w:rStyle w:val="Vietosrezervavimoenklotekstas"/>
                  </w:rPr>
                  <w:t>Click here to enter a date.</w:t>
                </w:r>
              </w:sdtContent>
            </w:sdt>
          </w:p>
        </w:tc>
        <w:tc>
          <w:tcPr>
            <w:tcW w:w="5076" w:type="dxa"/>
            <w:gridSpan w:val="2"/>
          </w:tcPr>
          <w:p w14:paraId="3B516C9D" w14:textId="77777777" w:rsidR="00971AE3" w:rsidRPr="006C50C3" w:rsidRDefault="00971AE3" w:rsidP="006F405E">
            <w:pPr>
              <w:spacing w:line="276" w:lineRule="auto"/>
              <w:rPr>
                <w:rFonts w:eastAsia="Arial"/>
              </w:rPr>
            </w:pPr>
            <w:r>
              <w:rPr>
                <w:rFonts w:eastAsia="Arial"/>
              </w:rPr>
              <w:t>Neįvertinta, pareiškėjas nusprendė neteikti paraiškos</w:t>
            </w:r>
          </w:p>
        </w:tc>
      </w:tr>
      <w:tr w:rsidR="00971AE3" w:rsidRPr="006C50C3" w14:paraId="65192197" w14:textId="77777777" w:rsidTr="006F405E">
        <w:trPr>
          <w:trHeight w:val="1547"/>
        </w:trPr>
        <w:tc>
          <w:tcPr>
            <w:tcW w:w="2927" w:type="dxa"/>
          </w:tcPr>
          <w:p w14:paraId="1E4F9194" w14:textId="77777777" w:rsidR="00971AE3" w:rsidRPr="006C50C3" w:rsidRDefault="00971AE3" w:rsidP="006F405E">
            <w:pPr>
              <w:spacing w:line="276" w:lineRule="auto"/>
              <w:rPr>
                <w:rFonts w:eastAsia="Arial"/>
              </w:rPr>
            </w:pPr>
            <w:r w:rsidRPr="006C50C3">
              <w:rPr>
                <w:rFonts w:eastAsia="Arial"/>
              </w:rPr>
              <w:t>Kanados sveikatos technologijų agentūra</w:t>
            </w:r>
          </w:p>
          <w:p w14:paraId="6D90A7F0" w14:textId="77777777" w:rsidR="00971AE3" w:rsidRPr="006C50C3" w:rsidRDefault="00971AE3" w:rsidP="006F405E">
            <w:pPr>
              <w:spacing w:line="276" w:lineRule="auto"/>
              <w:rPr>
                <w:rFonts w:eastAsia="Arial"/>
              </w:rPr>
            </w:pPr>
            <w:r w:rsidRPr="006C50C3">
              <w:rPr>
                <w:rFonts w:eastAsia="Arial"/>
              </w:rPr>
              <w:t xml:space="preserve">(angl. </w:t>
            </w:r>
            <w:r w:rsidRPr="006C50C3">
              <w:rPr>
                <w:rFonts w:eastAsia="Arial"/>
                <w:i/>
              </w:rPr>
              <w:t>Canadian health Technology Assessment agency, CADTH</w:t>
            </w:r>
            <w:r w:rsidRPr="006C50C3">
              <w:rPr>
                <w:rFonts w:eastAsia="Arial"/>
              </w:rPr>
              <w:t>)</w:t>
            </w:r>
          </w:p>
        </w:tc>
        <w:tc>
          <w:tcPr>
            <w:tcW w:w="1915" w:type="dxa"/>
          </w:tcPr>
          <w:p w14:paraId="6187A5D6" w14:textId="77777777" w:rsidR="00971AE3" w:rsidRPr="006C50C3" w:rsidRDefault="002B11FD" w:rsidP="006F405E">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971AE3" w:rsidRPr="006C50C3">
                  <w:rPr>
                    <w:rStyle w:val="Style2"/>
                    <w:rFonts w:ascii="Segoe UI Symbol" w:eastAsia="MS Gothic" w:hAnsi="Segoe UI Symbol" w:cs="Segoe UI Symbol"/>
                  </w:rPr>
                  <w:t>☐</w:t>
                </w:r>
              </w:sdtContent>
            </w:sdt>
            <w:r w:rsidR="00971AE3" w:rsidRPr="006C50C3">
              <w:t xml:space="preserve"> Taip</w:t>
            </w:r>
          </w:p>
          <w:p w14:paraId="2BF1E221" w14:textId="77777777" w:rsidR="00971AE3" w:rsidRPr="006C50C3" w:rsidRDefault="002B11FD" w:rsidP="006F405E">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971AE3" w:rsidRPr="006C50C3">
                  <w:rPr>
                    <w:rStyle w:val="Style2"/>
                    <w:rFonts w:ascii="Segoe UI Symbol" w:eastAsia="MS Gothic" w:hAnsi="Segoe UI Symbol" w:cs="Segoe UI Symbol"/>
                  </w:rPr>
                  <w:t>☐</w:t>
                </w:r>
              </w:sdtContent>
            </w:sdt>
            <w:r w:rsidR="00971AE3" w:rsidRPr="006C50C3">
              <w:t xml:space="preserve"> Ne</w:t>
            </w:r>
          </w:p>
          <w:p w14:paraId="797CC83A" w14:textId="77777777" w:rsidR="00971AE3" w:rsidRPr="006C50C3" w:rsidRDefault="002B11FD" w:rsidP="006F405E">
            <w:pPr>
              <w:spacing w:line="276" w:lineRule="auto"/>
              <w:rPr>
                <w:rFonts w:eastAsia="Arial"/>
              </w:rPr>
            </w:pPr>
            <w:sdt>
              <w:sdtPr>
                <w:alias w:val="Nurodykite konkrečią dieną"/>
                <w:tag w:val="Nurodykite pradžios datą"/>
                <w:id w:val="1072468416"/>
                <w:placeholder>
                  <w:docPart w:val="0213665174764CC3A9431F75AA7ABB71"/>
                </w:placeholder>
                <w:showingPlcHdr/>
                <w15:color w:val="FFCC99"/>
                <w:date w:fullDate="2022-05-18T00:00:00Z">
                  <w:dateFormat w:val="yyyy 'm.' MMMM d 'd.'"/>
                  <w:lid w:val="lt-LT"/>
                  <w:storeMappedDataAs w:val="dateTime"/>
                  <w:calendar w:val="gregorian"/>
                </w:date>
              </w:sdtPr>
              <w:sdtEndPr/>
              <w:sdtContent>
                <w:r w:rsidR="00971AE3" w:rsidRPr="006C50C3">
                  <w:rPr>
                    <w:rStyle w:val="Vietosrezervavimoenklotekstas"/>
                  </w:rPr>
                  <w:t>Click here to enter a date.</w:t>
                </w:r>
              </w:sdtContent>
            </w:sdt>
          </w:p>
        </w:tc>
        <w:tc>
          <w:tcPr>
            <w:tcW w:w="5076" w:type="dxa"/>
            <w:gridSpan w:val="2"/>
          </w:tcPr>
          <w:p w14:paraId="431A5AC5" w14:textId="77777777" w:rsidR="00971AE3" w:rsidRPr="006C50C3" w:rsidRDefault="00971AE3" w:rsidP="006F405E">
            <w:pPr>
              <w:spacing w:line="276" w:lineRule="auto"/>
              <w:rPr>
                <w:rFonts w:eastAsia="Arial"/>
              </w:rPr>
            </w:pPr>
            <w:r>
              <w:rPr>
                <w:rFonts w:eastAsia="Arial"/>
              </w:rPr>
              <w:t>Neįvertinta</w:t>
            </w:r>
          </w:p>
        </w:tc>
      </w:tr>
      <w:tr w:rsidR="00971AE3" w:rsidRPr="006C50C3" w14:paraId="129D5A12" w14:textId="77777777" w:rsidTr="006F405E">
        <w:trPr>
          <w:trHeight w:val="1927"/>
        </w:trPr>
        <w:tc>
          <w:tcPr>
            <w:tcW w:w="2927" w:type="dxa"/>
          </w:tcPr>
          <w:p w14:paraId="102A7886" w14:textId="77777777" w:rsidR="00971AE3" w:rsidRPr="006C50C3" w:rsidRDefault="00971AE3" w:rsidP="006F405E">
            <w:pPr>
              <w:spacing w:line="276" w:lineRule="auto"/>
              <w:rPr>
                <w:rFonts w:eastAsia="Arial"/>
              </w:rPr>
            </w:pPr>
            <w:r w:rsidRPr="006C50C3">
              <w:rPr>
                <w:rFonts w:eastAsia="Arial"/>
              </w:rPr>
              <w:t>Nacionalinis farmakoekonomikos centras, Airija</w:t>
            </w:r>
          </w:p>
          <w:p w14:paraId="485E57EA" w14:textId="77777777" w:rsidR="00971AE3" w:rsidRPr="006C50C3" w:rsidRDefault="00971AE3" w:rsidP="006F405E">
            <w:pPr>
              <w:spacing w:line="276" w:lineRule="auto"/>
              <w:rPr>
                <w:rFonts w:eastAsia="Arial"/>
              </w:rPr>
            </w:pPr>
            <w:r w:rsidRPr="006C50C3">
              <w:rPr>
                <w:rFonts w:eastAsia="Arial"/>
              </w:rPr>
              <w:t>(angl.</w:t>
            </w:r>
            <w:r w:rsidRPr="006C50C3">
              <w:rPr>
                <w:rFonts w:eastAsia="Arial"/>
                <w:i/>
              </w:rPr>
              <w:t xml:space="preserve"> National Centre for Pharmacoeconomics, NCPE</w:t>
            </w:r>
            <w:r w:rsidRPr="006C50C3">
              <w:rPr>
                <w:rFonts w:eastAsia="Arial"/>
              </w:rPr>
              <w:t>)</w:t>
            </w:r>
          </w:p>
        </w:tc>
        <w:tc>
          <w:tcPr>
            <w:tcW w:w="1915" w:type="dxa"/>
          </w:tcPr>
          <w:p w14:paraId="665F7E6D" w14:textId="77777777" w:rsidR="00971AE3" w:rsidRPr="006C50C3" w:rsidRDefault="002B11FD" w:rsidP="006F405E">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971AE3" w:rsidRPr="006C50C3">
                  <w:rPr>
                    <w:rStyle w:val="Style2"/>
                    <w:rFonts w:ascii="Segoe UI Symbol" w:eastAsia="MS Gothic" w:hAnsi="Segoe UI Symbol" w:cs="Segoe UI Symbol"/>
                  </w:rPr>
                  <w:t>☐</w:t>
                </w:r>
              </w:sdtContent>
            </w:sdt>
            <w:r w:rsidR="00971AE3" w:rsidRPr="006C50C3">
              <w:t xml:space="preserve"> Taip</w:t>
            </w:r>
          </w:p>
          <w:p w14:paraId="7882144E" w14:textId="77777777" w:rsidR="00971AE3" w:rsidRPr="006C50C3" w:rsidRDefault="002B11FD" w:rsidP="006F405E">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971AE3" w:rsidRPr="006C50C3">
                  <w:rPr>
                    <w:rStyle w:val="Style2"/>
                    <w:rFonts w:ascii="Segoe UI Symbol" w:eastAsia="MS Gothic" w:hAnsi="Segoe UI Symbol" w:cs="Segoe UI Symbol"/>
                  </w:rPr>
                  <w:t>☐</w:t>
                </w:r>
              </w:sdtContent>
            </w:sdt>
            <w:r w:rsidR="00971AE3" w:rsidRPr="006C50C3">
              <w:t xml:space="preserve"> Ne</w:t>
            </w:r>
          </w:p>
          <w:p w14:paraId="3151E614" w14:textId="77777777" w:rsidR="00971AE3" w:rsidRPr="006C50C3" w:rsidRDefault="002B11FD" w:rsidP="006F405E">
            <w:pPr>
              <w:spacing w:line="276" w:lineRule="auto"/>
              <w:rPr>
                <w:rFonts w:eastAsia="Arial"/>
              </w:rPr>
            </w:pPr>
            <w:sdt>
              <w:sdtPr>
                <w:alias w:val="Nurodykite konkrečią dieną"/>
                <w:tag w:val="Nurodykite pradžios datą"/>
                <w:id w:val="-198323198"/>
                <w:placeholder>
                  <w:docPart w:val="2800D32C1F0743EA9E366D9D36A3F840"/>
                </w:placeholder>
                <w:showingPlcHdr/>
                <w15:color w:val="FFCC99"/>
                <w:date w:fullDate="2022-05-18T00:00:00Z">
                  <w:dateFormat w:val="yyyy 'm.' MMMM d 'd.'"/>
                  <w:lid w:val="lt-LT"/>
                  <w:storeMappedDataAs w:val="dateTime"/>
                  <w:calendar w:val="gregorian"/>
                </w:date>
              </w:sdtPr>
              <w:sdtEndPr/>
              <w:sdtContent>
                <w:r w:rsidR="00971AE3" w:rsidRPr="006C50C3">
                  <w:rPr>
                    <w:rStyle w:val="Vietosrezervavimoenklotekstas"/>
                  </w:rPr>
                  <w:t>Click here to enter a date.</w:t>
                </w:r>
              </w:sdtContent>
            </w:sdt>
          </w:p>
        </w:tc>
        <w:tc>
          <w:tcPr>
            <w:tcW w:w="5076" w:type="dxa"/>
            <w:gridSpan w:val="2"/>
          </w:tcPr>
          <w:p w14:paraId="2DF45CEA" w14:textId="77777777" w:rsidR="00971AE3" w:rsidRPr="006C50C3" w:rsidRDefault="00971AE3" w:rsidP="006F405E">
            <w:pPr>
              <w:spacing w:line="276" w:lineRule="auto"/>
              <w:rPr>
                <w:rFonts w:eastAsia="Arial"/>
              </w:rPr>
            </w:pPr>
            <w:r>
              <w:rPr>
                <w:rFonts w:eastAsia="Arial"/>
              </w:rPr>
              <w:t>Neįvertinta</w:t>
            </w:r>
          </w:p>
        </w:tc>
      </w:tr>
    </w:tbl>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5F8C8C1B" w14:textId="77777777" w:rsidR="009E1FD7" w:rsidRDefault="009E1FD7" w:rsidP="00A93AA6">
      <w:pPr>
        <w:tabs>
          <w:tab w:val="left" w:pos="284"/>
        </w:tabs>
        <w:rPr>
          <w:iCs/>
          <w:color w:val="00B050"/>
          <w:sz w:val="22"/>
        </w:rPr>
      </w:pPr>
    </w:p>
    <w:p w14:paraId="1C8AD396" w14:textId="438C64A1" w:rsidR="007E018B" w:rsidRPr="000B44FF" w:rsidRDefault="007E018B" w:rsidP="007E018B">
      <w:pPr>
        <w:tabs>
          <w:tab w:val="left" w:pos="0"/>
        </w:tabs>
        <w:spacing w:line="276" w:lineRule="auto"/>
        <w:ind w:firstLine="851"/>
        <w:jc w:val="both"/>
        <w:rPr>
          <w:rFonts w:eastAsia="Arial"/>
          <w:color w:val="000000"/>
        </w:rPr>
      </w:pPr>
      <w:r w:rsidRPr="000B44FF">
        <w:rPr>
          <w:rFonts w:eastAsia="Arial"/>
          <w:color w:val="000000"/>
        </w:rPr>
        <w:t>Atsižvelgiant į įprastą klinikinę praktiką</w:t>
      </w:r>
      <w:r w:rsidR="0077271E" w:rsidRPr="000B44FF">
        <w:rPr>
          <w:rFonts w:eastAsia="Arial"/>
          <w:color w:val="000000"/>
        </w:rPr>
        <w:t xml:space="preserve"> Lietuvoje</w:t>
      </w:r>
      <w:r w:rsidRPr="000B44FF">
        <w:rPr>
          <w:rFonts w:eastAsia="Arial"/>
          <w:color w:val="000000"/>
        </w:rPr>
        <w:t xml:space="preserve">, kompensuojamųjų vaistų sąrašą bei pareiškėjo siūlomą kompensuoti terapinę indikaciją, </w:t>
      </w:r>
      <w:r w:rsidRPr="000B44FF">
        <w:rPr>
          <w:i/>
          <w:iCs/>
          <w:szCs w:val="20"/>
        </w:rPr>
        <w:t>tislelizumabas</w:t>
      </w:r>
      <w:r w:rsidRPr="000B44FF">
        <w:rPr>
          <w:rFonts w:eastAsia="Arial"/>
          <w:color w:val="000000"/>
        </w:rPr>
        <w:t xml:space="preserve"> kartu su pemetreksedu ir platinos </w:t>
      </w:r>
      <w:r w:rsidR="003E5F52" w:rsidRPr="000B44FF">
        <w:rPr>
          <w:rFonts w:eastAsia="Arial"/>
          <w:color w:val="000000"/>
        </w:rPr>
        <w:t xml:space="preserve">vaistiniu </w:t>
      </w:r>
      <w:r w:rsidRPr="000B44FF">
        <w:rPr>
          <w:rFonts w:eastAsia="Arial"/>
          <w:color w:val="000000"/>
        </w:rPr>
        <w:t>preparatu galėtų tapti dar vien</w:t>
      </w:r>
      <w:r w:rsidR="006A3F08" w:rsidRPr="000B44FF">
        <w:rPr>
          <w:rFonts w:eastAsia="Arial"/>
          <w:color w:val="000000"/>
        </w:rPr>
        <w:t>a</w:t>
      </w:r>
      <w:r w:rsidRPr="000B44FF">
        <w:rPr>
          <w:rFonts w:eastAsia="Arial"/>
          <w:color w:val="000000"/>
        </w:rPr>
        <w:t xml:space="preserve"> gydymo alternatyva pacientams, sergantiems metastazavusiu nesmulkialąsteliniu plaučių vėžiu (NSLPV), ekspresuojančiu PD-L1 (≥ 50 % naviko ląstelių) be EAFR, ALK mutacijų, pirmos eilės gydymui. Pacientams, sergantiems lokaliai išplitusiu nesmulkialąsteliniu plaučių vėžiu (NSLPV), jei prieš tai nebuvo </w:t>
      </w:r>
      <w:r w:rsidR="0077271E" w:rsidRPr="000B44FF">
        <w:rPr>
          <w:rFonts w:eastAsia="Arial"/>
          <w:color w:val="000000"/>
        </w:rPr>
        <w:t xml:space="preserve">taikyta </w:t>
      </w:r>
      <w:r w:rsidRPr="000B44FF">
        <w:rPr>
          <w:rFonts w:eastAsia="Arial"/>
          <w:color w:val="000000"/>
        </w:rPr>
        <w:t>chemoterapij</w:t>
      </w:r>
      <w:r w:rsidR="0077271E" w:rsidRPr="000B44FF">
        <w:rPr>
          <w:rFonts w:eastAsia="Arial"/>
          <w:color w:val="000000"/>
        </w:rPr>
        <w:t>a</w:t>
      </w:r>
      <w:r w:rsidRPr="000B44FF">
        <w:rPr>
          <w:rFonts w:eastAsia="Arial"/>
          <w:color w:val="000000"/>
        </w:rPr>
        <w:t>, gali būti skiriamas pemetreksedo ir platinos derinys.</w:t>
      </w:r>
      <w:r w:rsidRPr="000B44FF">
        <w:rPr>
          <w:rFonts w:eastAsia="Arial"/>
          <w:color w:val="000000"/>
        </w:rPr>
        <w:tab/>
      </w:r>
    </w:p>
    <w:p w14:paraId="14E3E2E8" w14:textId="22C13217" w:rsidR="007E018B" w:rsidRDefault="007E018B" w:rsidP="007E018B">
      <w:pPr>
        <w:tabs>
          <w:tab w:val="left" w:pos="492"/>
        </w:tabs>
        <w:spacing w:line="276" w:lineRule="auto"/>
        <w:jc w:val="both"/>
        <w:outlineLvl w:val="1"/>
        <w:rPr>
          <w:szCs w:val="20"/>
        </w:rPr>
      </w:pPr>
      <w:r w:rsidRPr="000B44FF">
        <w:rPr>
          <w:rFonts w:eastAsia="Arial"/>
          <w:bCs/>
        </w:rPr>
        <w:tab/>
        <w:t>Sveikatos technologij</w:t>
      </w:r>
      <w:r w:rsidR="0077271E" w:rsidRPr="000B44FF">
        <w:rPr>
          <w:rFonts w:eastAsia="Arial"/>
          <w:bCs/>
        </w:rPr>
        <w:t>ų</w:t>
      </w:r>
      <w:r w:rsidRPr="000B44FF">
        <w:rPr>
          <w:rFonts w:eastAsia="Arial"/>
          <w:bCs/>
        </w:rPr>
        <w:t xml:space="preserve"> vertinimui  pateiktas tiesioginio palyginimo 3 fazės klinikinis tyrimas RATIONALE 304, kuriame</w:t>
      </w:r>
      <w:r w:rsidRPr="000B44FF">
        <w:rPr>
          <w:i/>
          <w:iCs/>
          <w:szCs w:val="20"/>
        </w:rPr>
        <w:t xml:space="preserve"> </w:t>
      </w:r>
      <w:r w:rsidRPr="000B44FF">
        <w:rPr>
          <w:szCs w:val="20"/>
        </w:rPr>
        <w:t>vertinamas tislelizumabo</w:t>
      </w:r>
      <w:r w:rsidRPr="000B44FF">
        <w:rPr>
          <w:rFonts w:eastAsia="Arial"/>
          <w:color w:val="000000"/>
        </w:rPr>
        <w:t xml:space="preserve"> derinio su pemetreksedu ir platinos</w:t>
      </w:r>
      <w:r w:rsidR="0077271E" w:rsidRPr="000B44FF">
        <w:rPr>
          <w:rFonts w:eastAsia="Arial"/>
          <w:color w:val="000000"/>
        </w:rPr>
        <w:t xml:space="preserve"> </w:t>
      </w:r>
      <w:r w:rsidR="00DC075C" w:rsidRPr="000B44FF">
        <w:rPr>
          <w:rFonts w:eastAsia="Arial"/>
          <w:color w:val="000000"/>
        </w:rPr>
        <w:t xml:space="preserve">vaistiniais </w:t>
      </w:r>
      <w:r w:rsidR="0077271E" w:rsidRPr="000B44FF">
        <w:rPr>
          <w:rFonts w:eastAsia="Arial"/>
          <w:color w:val="000000"/>
        </w:rPr>
        <w:t>preparat</w:t>
      </w:r>
      <w:r w:rsidR="00DC075C" w:rsidRPr="000B44FF">
        <w:rPr>
          <w:rFonts w:eastAsia="Arial"/>
          <w:color w:val="000000"/>
        </w:rPr>
        <w:t>ais</w:t>
      </w:r>
      <w:r w:rsidRPr="000B44FF">
        <w:rPr>
          <w:rFonts w:eastAsia="Arial"/>
          <w:bCs/>
        </w:rPr>
        <w:t xml:space="preserve"> </w:t>
      </w:r>
      <w:r w:rsidRPr="000B44FF">
        <w:rPr>
          <w:szCs w:val="20"/>
        </w:rPr>
        <w:t>palyginamasis veiksmingumas ir saugumas</w:t>
      </w:r>
      <w:r w:rsidR="0077271E" w:rsidRPr="000B44FF">
        <w:rPr>
          <w:szCs w:val="20"/>
        </w:rPr>
        <w:t>,</w:t>
      </w:r>
      <w:r w:rsidR="00DC075C" w:rsidRPr="000B44FF">
        <w:rPr>
          <w:szCs w:val="20"/>
        </w:rPr>
        <w:t xml:space="preserve"> </w:t>
      </w:r>
      <w:r w:rsidRPr="000B44FF">
        <w:rPr>
          <w:rFonts w:eastAsia="Arial"/>
          <w:color w:val="000000"/>
        </w:rPr>
        <w:t xml:space="preserve">gydant pacientus, kuriems diagnozuotas neplokščialąstelinis NSLPV ir kurių navikai </w:t>
      </w:r>
      <w:r w:rsidR="00DC075C" w:rsidRPr="000B44FF">
        <w:rPr>
          <w:rFonts w:eastAsia="Arial"/>
          <w:color w:val="000000"/>
        </w:rPr>
        <w:t>ekspresuoja</w:t>
      </w:r>
      <w:r w:rsidRPr="000B44FF">
        <w:rPr>
          <w:rFonts w:eastAsia="Arial"/>
          <w:color w:val="000000"/>
        </w:rPr>
        <w:t xml:space="preserve"> PD-L1  </w:t>
      </w:r>
      <w:r w:rsidR="00DC075C" w:rsidRPr="000B44FF">
        <w:rPr>
          <w:rFonts w:eastAsia="Arial"/>
          <w:color w:val="000000"/>
        </w:rPr>
        <w:t>(</w:t>
      </w:r>
      <w:r w:rsidRPr="000B44FF">
        <w:rPr>
          <w:rFonts w:eastAsia="Arial"/>
          <w:color w:val="000000"/>
        </w:rPr>
        <w:t>≥50 % naviko ląstelių</w:t>
      </w:r>
      <w:r w:rsidR="00DC075C" w:rsidRPr="000B44FF">
        <w:rPr>
          <w:rFonts w:eastAsia="Arial"/>
          <w:color w:val="000000"/>
        </w:rPr>
        <w:t>)</w:t>
      </w:r>
      <w:r w:rsidRPr="000B44FF">
        <w:rPr>
          <w:rFonts w:eastAsia="Arial"/>
          <w:color w:val="000000"/>
        </w:rPr>
        <w:t>, be EGFR  arba ALK mutacijų</w:t>
      </w:r>
      <w:r w:rsidR="00DC075C" w:rsidRPr="000B44FF">
        <w:rPr>
          <w:rFonts w:eastAsia="Arial"/>
          <w:color w:val="000000"/>
        </w:rPr>
        <w:t>, pirmos eilės gydymui,</w:t>
      </w:r>
      <w:r w:rsidRPr="000B44FF">
        <w:rPr>
          <w:rFonts w:eastAsia="Arial"/>
          <w:color w:val="000000"/>
        </w:rPr>
        <w:t xml:space="preserve"> bei kai yra vietiškai išplitęs NSLPV ir pacientams neketinama atlikti chirurginės rezekcijos ar skirti chemoradioterapijos su platinos vaistiniais preparatais, arba  metastazavęs NSLPV. </w:t>
      </w:r>
      <w:r w:rsidRPr="000B44FF">
        <w:rPr>
          <w:rFonts w:eastAsia="Arial"/>
          <w:bCs/>
          <w:iCs/>
          <w:color w:val="000000"/>
        </w:rPr>
        <w:t>Klinikinio tyrimo RATIONALE 304 duomenimis, 96,4 proc. visų pacientų buvo nustatyta adenokarcinoma. Šis NSLPV potipis dažnai diagnozuojamas Lietuvoje. Remiantis pradinėmis pacientų charakteristikomis</w:t>
      </w:r>
      <w:r w:rsidR="008F66F5" w:rsidRPr="000B44FF">
        <w:rPr>
          <w:rFonts w:eastAsia="Arial"/>
          <w:bCs/>
          <w:iCs/>
          <w:color w:val="000000"/>
        </w:rPr>
        <w:t>,</w:t>
      </w:r>
      <w:r w:rsidRPr="000B44FF">
        <w:rPr>
          <w:rFonts w:eastAsia="Arial"/>
          <w:bCs/>
          <w:iCs/>
          <w:color w:val="000000"/>
        </w:rPr>
        <w:t xml:space="preserve"> dauguma pacientų (82 proc.) diagnozuotas metastazavęs NSLPV, tik 18 proc. pacientų buvo diagnozuota lokaliai išplitusi adenokarcinoma (IIIB).</w:t>
      </w:r>
      <w:r w:rsidRPr="007E018B">
        <w:rPr>
          <w:rFonts w:eastAsia="Arial"/>
          <w:bCs/>
          <w:iCs/>
          <w:color w:val="000000"/>
        </w:rPr>
        <w:t xml:space="preserve"> </w:t>
      </w:r>
      <w:r w:rsidRPr="007E018B">
        <w:rPr>
          <w:rFonts w:eastAsia="Arial"/>
          <w:color w:val="000000"/>
        </w:rPr>
        <w:t>Įvertinus šiuo metu taikomą įprastinę</w:t>
      </w:r>
      <w:r w:rsidR="008F66F5">
        <w:rPr>
          <w:rFonts w:eastAsia="Arial"/>
          <w:color w:val="000000"/>
        </w:rPr>
        <w:t xml:space="preserve"> </w:t>
      </w:r>
      <w:r w:rsidR="009D7C14">
        <w:rPr>
          <w:rFonts w:eastAsia="Arial"/>
          <w:color w:val="000000"/>
        </w:rPr>
        <w:t xml:space="preserve">klinikinę </w:t>
      </w:r>
      <w:r w:rsidRPr="007E018B">
        <w:rPr>
          <w:rFonts w:eastAsia="Arial"/>
          <w:color w:val="000000"/>
        </w:rPr>
        <w:t>praktiką Lietuvoje, pacientų populiaciją, kuri</w:t>
      </w:r>
      <w:r w:rsidR="009D7C14">
        <w:rPr>
          <w:rFonts w:eastAsia="Arial"/>
          <w:color w:val="000000"/>
        </w:rPr>
        <w:t xml:space="preserve">ai </w:t>
      </w:r>
      <w:r w:rsidR="009D7C14" w:rsidRPr="007E018B">
        <w:rPr>
          <w:rFonts w:eastAsia="Arial"/>
          <w:color w:val="000000"/>
        </w:rPr>
        <w:t xml:space="preserve">pagal registruotą terapinę indikaciją </w:t>
      </w:r>
      <w:r w:rsidR="009D7C14">
        <w:rPr>
          <w:rFonts w:eastAsia="Arial"/>
          <w:color w:val="000000"/>
        </w:rPr>
        <w:t xml:space="preserve">skirtas </w:t>
      </w:r>
      <w:r w:rsidRPr="007E018B">
        <w:rPr>
          <w:szCs w:val="20"/>
        </w:rPr>
        <w:t>tislelizumabo</w:t>
      </w:r>
      <w:r w:rsidRPr="007E018B">
        <w:rPr>
          <w:rFonts w:eastAsia="Arial"/>
          <w:color w:val="000000"/>
        </w:rPr>
        <w:t xml:space="preserve"> deriny</w:t>
      </w:r>
      <w:r w:rsidR="009D7C14">
        <w:rPr>
          <w:rFonts w:eastAsia="Arial"/>
          <w:color w:val="000000"/>
        </w:rPr>
        <w:t>s</w:t>
      </w:r>
      <w:r w:rsidRPr="007E018B">
        <w:rPr>
          <w:rFonts w:eastAsia="Arial"/>
          <w:color w:val="000000"/>
        </w:rPr>
        <w:t xml:space="preserve"> su pemetreksedu ir platinos</w:t>
      </w:r>
      <w:r w:rsidRPr="007E018B">
        <w:rPr>
          <w:rFonts w:eastAsia="Arial"/>
          <w:bCs/>
        </w:rPr>
        <w:t xml:space="preserve"> preparatu, </w:t>
      </w:r>
      <w:r w:rsidR="009D7C14">
        <w:rPr>
          <w:rFonts w:eastAsia="Arial"/>
          <w:bCs/>
        </w:rPr>
        <w:t xml:space="preserve">daroma išvada, kad </w:t>
      </w:r>
      <w:r w:rsidR="009D7C14" w:rsidRPr="007E018B">
        <w:rPr>
          <w:rFonts w:eastAsia="Arial"/>
          <w:color w:val="000000"/>
        </w:rPr>
        <w:t>klinikini</w:t>
      </w:r>
      <w:r w:rsidR="009D7C14">
        <w:rPr>
          <w:rFonts w:eastAsia="Arial"/>
          <w:color w:val="000000"/>
        </w:rPr>
        <w:t>ame</w:t>
      </w:r>
      <w:r w:rsidR="009D7C14" w:rsidRPr="007E018B">
        <w:rPr>
          <w:rFonts w:eastAsia="Arial"/>
          <w:color w:val="000000"/>
        </w:rPr>
        <w:t xml:space="preserve"> tyrim</w:t>
      </w:r>
      <w:r w:rsidR="009D7C14">
        <w:rPr>
          <w:rFonts w:eastAsia="Arial"/>
          <w:color w:val="000000"/>
        </w:rPr>
        <w:t>e</w:t>
      </w:r>
      <w:r w:rsidR="009D7C14" w:rsidRPr="007E018B">
        <w:rPr>
          <w:rFonts w:eastAsia="Arial"/>
          <w:color w:val="000000"/>
        </w:rPr>
        <w:t xml:space="preserve"> RATIONALE 304</w:t>
      </w:r>
      <w:r w:rsidR="009D7C14">
        <w:rPr>
          <w:rFonts w:eastAsia="Arial"/>
          <w:color w:val="000000"/>
        </w:rPr>
        <w:t xml:space="preserve"> </w:t>
      </w:r>
      <w:r w:rsidR="009D7C14" w:rsidRPr="007E018B">
        <w:rPr>
          <w:rFonts w:eastAsia="Arial"/>
          <w:color w:val="000000"/>
        </w:rPr>
        <w:t xml:space="preserve">daugumai pacientų </w:t>
      </w:r>
      <w:r w:rsidRPr="007E018B">
        <w:rPr>
          <w:rFonts w:eastAsia="Arial"/>
          <w:color w:val="000000"/>
        </w:rPr>
        <w:t>palyginamasis gydymas neatitinka įprast</w:t>
      </w:r>
      <w:r w:rsidR="009D7C14">
        <w:rPr>
          <w:rFonts w:eastAsia="Arial"/>
          <w:color w:val="000000"/>
        </w:rPr>
        <w:t>os</w:t>
      </w:r>
      <w:r w:rsidRPr="007E018B">
        <w:rPr>
          <w:rFonts w:eastAsia="Arial"/>
          <w:color w:val="000000"/>
        </w:rPr>
        <w:t xml:space="preserve"> klinikin</w:t>
      </w:r>
      <w:r w:rsidR="009D7C14">
        <w:rPr>
          <w:rFonts w:eastAsia="Arial"/>
          <w:color w:val="000000"/>
        </w:rPr>
        <w:t>ės</w:t>
      </w:r>
      <w:r w:rsidRPr="007E018B">
        <w:rPr>
          <w:rFonts w:eastAsia="Arial"/>
          <w:color w:val="000000"/>
        </w:rPr>
        <w:t xml:space="preserve"> praktik</w:t>
      </w:r>
      <w:r w:rsidR="009D7C14">
        <w:rPr>
          <w:rFonts w:eastAsia="Arial"/>
          <w:color w:val="000000"/>
        </w:rPr>
        <w:t>os</w:t>
      </w:r>
      <w:r w:rsidRPr="007E018B">
        <w:rPr>
          <w:rFonts w:eastAsia="Arial"/>
          <w:color w:val="000000"/>
        </w:rPr>
        <w:t xml:space="preserve"> Lietuvoje. Dėl šios priežasties sveikatos technologij</w:t>
      </w:r>
      <w:r w:rsidR="009800CA">
        <w:rPr>
          <w:rFonts w:eastAsia="Arial"/>
          <w:color w:val="000000"/>
        </w:rPr>
        <w:t>ų</w:t>
      </w:r>
      <w:r w:rsidRPr="007E018B">
        <w:rPr>
          <w:rFonts w:eastAsia="Arial"/>
          <w:color w:val="000000"/>
        </w:rPr>
        <w:t xml:space="preserve"> vertinimas bus atliktas remiantis </w:t>
      </w:r>
      <w:r w:rsidR="009D7C14">
        <w:rPr>
          <w:rFonts w:eastAsia="Arial"/>
          <w:color w:val="000000"/>
        </w:rPr>
        <w:t xml:space="preserve">paraiškoje pateikta </w:t>
      </w:r>
      <w:r w:rsidRPr="007E018B">
        <w:rPr>
          <w:rFonts w:eastAsia="Arial"/>
          <w:color w:val="000000"/>
        </w:rPr>
        <w:t>netiesioginio palyginimo analiz</w:t>
      </w:r>
      <w:r w:rsidR="009800CA">
        <w:rPr>
          <w:rFonts w:eastAsia="Arial"/>
          <w:color w:val="000000"/>
        </w:rPr>
        <w:t>e</w:t>
      </w:r>
      <w:r w:rsidR="009D7C14">
        <w:rPr>
          <w:rFonts w:eastAsia="Arial"/>
          <w:color w:val="000000"/>
        </w:rPr>
        <w:t>.</w:t>
      </w:r>
      <w:r w:rsidRPr="007E018B">
        <w:rPr>
          <w:rFonts w:eastAsia="Arial"/>
          <w:color w:val="000000"/>
        </w:rPr>
        <w:t xml:space="preserve"> Tiesioginio palyginimo tyrimo duomenys bus taikomi netiesioginiame palyginame tik iš </w:t>
      </w:r>
      <w:r w:rsidRPr="007E018B">
        <w:rPr>
          <w:szCs w:val="20"/>
        </w:rPr>
        <w:t>tislelizumab</w:t>
      </w:r>
      <w:r w:rsidR="003E5F52">
        <w:rPr>
          <w:szCs w:val="20"/>
        </w:rPr>
        <w:t>ą</w:t>
      </w:r>
      <w:r w:rsidRPr="007E018B">
        <w:rPr>
          <w:szCs w:val="20"/>
        </w:rPr>
        <w:t xml:space="preserve"> vartojusių pacientų grupės.</w:t>
      </w:r>
    </w:p>
    <w:p w14:paraId="4701206D" w14:textId="77777777" w:rsidR="009800CA" w:rsidRPr="007E018B" w:rsidRDefault="009800CA" w:rsidP="007E018B">
      <w:pPr>
        <w:tabs>
          <w:tab w:val="left" w:pos="492"/>
        </w:tabs>
        <w:spacing w:line="276" w:lineRule="auto"/>
        <w:jc w:val="both"/>
        <w:outlineLvl w:val="1"/>
        <w:rPr>
          <w:szCs w:val="20"/>
        </w:rPr>
      </w:pPr>
    </w:p>
    <w:p w14:paraId="1EF561F1" w14:textId="77777777" w:rsidR="009800CA" w:rsidRDefault="007E018B" w:rsidP="007E018B">
      <w:pPr>
        <w:tabs>
          <w:tab w:val="left" w:pos="492"/>
        </w:tabs>
        <w:spacing w:line="276" w:lineRule="auto"/>
        <w:jc w:val="both"/>
        <w:outlineLvl w:val="1"/>
        <w:rPr>
          <w:i/>
          <w:iCs/>
          <w:szCs w:val="20"/>
        </w:rPr>
      </w:pPr>
      <w:r w:rsidRPr="007E018B">
        <w:rPr>
          <w:i/>
          <w:iCs/>
          <w:szCs w:val="20"/>
        </w:rPr>
        <w:t>Tiesioginio palyginimo rezultatai</w:t>
      </w:r>
    </w:p>
    <w:p w14:paraId="0584A7B7" w14:textId="635DC257" w:rsidR="007E018B" w:rsidRPr="007E018B" w:rsidRDefault="007E018B" w:rsidP="007E018B">
      <w:pPr>
        <w:tabs>
          <w:tab w:val="left" w:pos="492"/>
        </w:tabs>
        <w:spacing w:line="276" w:lineRule="auto"/>
        <w:jc w:val="both"/>
        <w:outlineLvl w:val="1"/>
        <w:rPr>
          <w:i/>
          <w:iCs/>
          <w:szCs w:val="20"/>
        </w:rPr>
      </w:pPr>
      <w:r w:rsidRPr="007E018B">
        <w:rPr>
          <w:i/>
          <w:iCs/>
          <w:szCs w:val="20"/>
        </w:rPr>
        <w:tab/>
      </w:r>
    </w:p>
    <w:p w14:paraId="4D22CB41" w14:textId="7CA21F9E" w:rsidR="007E018B" w:rsidRPr="007E018B" w:rsidRDefault="007E018B" w:rsidP="007E018B">
      <w:pPr>
        <w:tabs>
          <w:tab w:val="left" w:pos="492"/>
        </w:tabs>
        <w:spacing w:line="276" w:lineRule="auto"/>
        <w:jc w:val="both"/>
        <w:outlineLvl w:val="1"/>
        <w:rPr>
          <w:rFonts w:eastAsia="Arial"/>
          <w:bCs/>
        </w:rPr>
      </w:pPr>
      <w:r w:rsidRPr="007E018B">
        <w:rPr>
          <w:szCs w:val="20"/>
        </w:rPr>
        <w:tab/>
      </w:r>
      <w:r w:rsidRPr="007E018B">
        <w:rPr>
          <w:rFonts w:eastAsia="Arial"/>
          <w:bCs/>
        </w:rPr>
        <w:t xml:space="preserve">RATIONALE-304 </w:t>
      </w:r>
      <w:r w:rsidR="00792597">
        <w:rPr>
          <w:rFonts w:eastAsia="Arial"/>
          <w:bCs/>
        </w:rPr>
        <w:t xml:space="preserve">yra </w:t>
      </w:r>
      <w:r w:rsidRPr="007E018B">
        <w:rPr>
          <w:rFonts w:eastAsia="Arial"/>
          <w:bCs/>
        </w:rPr>
        <w:t xml:space="preserve"> atsitiktinių imčių, atvirasis, daugiacentris, III fazės </w:t>
      </w:r>
      <w:r w:rsidR="00792597">
        <w:rPr>
          <w:rFonts w:eastAsia="Arial"/>
          <w:bCs/>
        </w:rPr>
        <w:t xml:space="preserve">klinikinis </w:t>
      </w:r>
      <w:r w:rsidRPr="007E018B">
        <w:rPr>
          <w:rFonts w:eastAsia="Arial"/>
          <w:bCs/>
        </w:rPr>
        <w:t>tyrimas, skirtas įvertinti tislelizumabo derinio su platinos vaistiniais preparatais ir pemetreksedu veiksmingumą bei saugumą, lyginant su vien platinos vaistinių preparatų ir pemetreksedo poveikiu,  skiriant</w:t>
      </w:r>
      <w:r w:rsidR="00792597">
        <w:rPr>
          <w:rFonts w:eastAsia="Arial"/>
          <w:bCs/>
        </w:rPr>
        <w:t xml:space="preserve"> juos</w:t>
      </w:r>
      <w:r w:rsidRPr="007E018B">
        <w:rPr>
          <w:rFonts w:eastAsia="Arial"/>
          <w:bCs/>
        </w:rPr>
        <w:t xml:space="preserve"> pirmos eilės gydymui vietiškai išplitusiu neplokščialąsteliniu NSLPV sirgusiems pacientams, kuriems anksčiau nebuvo skirta chemoterapija ir kuriems neketinta atlikti chirurginės rezekcijos ar skirti chemoradioterapijos su platinos vaistiniais preparatais, arba sirgusiems metastazavusiu neplokščialąsteliniu NSLPV. Įvertinus įtraukimo ir atmetimo kriterijus, nustatyta, kad klinikinio tyrimo RATIONALE-304 pacientų populiacija atitinka pacientų populiaciją Lietuvoje</w:t>
      </w:r>
      <w:r w:rsidR="00792597">
        <w:rPr>
          <w:rFonts w:eastAsia="Arial"/>
          <w:bCs/>
        </w:rPr>
        <w:t>.</w:t>
      </w:r>
      <w:r w:rsidRPr="007E018B">
        <w:rPr>
          <w:rFonts w:eastAsia="Arial"/>
          <w:bCs/>
        </w:rPr>
        <w:t xml:space="preserve"> Daroma prielaida, kad atmetimo kriterijai neturi įtakos tyrimo rezultatų pritaikomumui Lietuvos pacientų populiacij</w:t>
      </w:r>
      <w:r w:rsidR="00792597">
        <w:rPr>
          <w:rFonts w:eastAsia="Arial"/>
          <w:bCs/>
        </w:rPr>
        <w:t>ai</w:t>
      </w:r>
      <w:r w:rsidRPr="007E018B">
        <w:rPr>
          <w:rFonts w:eastAsia="Arial"/>
          <w:bCs/>
        </w:rPr>
        <w:t>. Tačiau, įtraukimo kriterijai apėmė platesn</w:t>
      </w:r>
      <w:r w:rsidR="00792597">
        <w:rPr>
          <w:rFonts w:eastAsia="Arial"/>
          <w:bCs/>
        </w:rPr>
        <w:t>ę</w:t>
      </w:r>
      <w:r w:rsidRPr="007E018B">
        <w:rPr>
          <w:rFonts w:eastAsia="Arial"/>
          <w:bCs/>
        </w:rPr>
        <w:t xml:space="preserve"> pacientų populiaciją, nei siūlomoje kompensuoti registruotoje terapinėje indikacijoje. Bendra RATIONALE-304 tyrimo populiacija apėmė pacientus su PD-L1 raiška nuo &lt;1 proc. iki ≥ 50 proc. Vertinamosios baigtys pateiktos bendroje pacientų populiacijoje bei atskiruose iš anksto numatytuose pogrupiuose pagal PD-L1 raiškos laipsnį: &lt;1 proc., ≥ 1 proc. (1-49 proc. bei  ≥ 50 proc.). Sveikatos technologij</w:t>
      </w:r>
      <w:r w:rsidR="00792597">
        <w:rPr>
          <w:rFonts w:eastAsia="Arial"/>
          <w:bCs/>
        </w:rPr>
        <w:t>ų</w:t>
      </w:r>
      <w:r w:rsidRPr="007E018B">
        <w:rPr>
          <w:rFonts w:eastAsia="Arial"/>
          <w:bCs/>
        </w:rPr>
        <w:t xml:space="preserve"> vertinimui aktualūs veiksmingumo rezultatai pacientų su PD-L1 raiška ≥ 50 proc. pogrupyje. Pagrindinė vertinamoji baigtis – IBLP – yra pakaitinė vertinamoji baigtis</w:t>
      </w:r>
      <w:r w:rsidR="00792597">
        <w:rPr>
          <w:rFonts w:eastAsia="Arial"/>
          <w:bCs/>
        </w:rPr>
        <w:t>,</w:t>
      </w:r>
      <w:r w:rsidRPr="007E018B">
        <w:rPr>
          <w:rFonts w:eastAsia="Arial"/>
          <w:bCs/>
        </w:rPr>
        <w:t xml:space="preserve"> kartu su antrine pagrindine vertinamąja baigtimi – BI – gali būti laikomos tinkam</w:t>
      </w:r>
      <w:r w:rsidR="00792597">
        <w:rPr>
          <w:rFonts w:eastAsia="Arial"/>
          <w:bCs/>
        </w:rPr>
        <w:t>omis</w:t>
      </w:r>
      <w:r w:rsidRPr="007E018B">
        <w:rPr>
          <w:rFonts w:eastAsia="Arial"/>
          <w:bCs/>
        </w:rPr>
        <w:t xml:space="preserve"> vertinamosio</w:t>
      </w:r>
      <w:r w:rsidR="00792597">
        <w:rPr>
          <w:rFonts w:eastAsia="Arial"/>
          <w:bCs/>
        </w:rPr>
        <w:t>mi</w:t>
      </w:r>
      <w:r w:rsidRPr="007E018B">
        <w:rPr>
          <w:rFonts w:eastAsia="Arial"/>
          <w:bCs/>
        </w:rPr>
        <w:t xml:space="preserve">s baigtimis, norint įrodyti vaistinio </w:t>
      </w:r>
      <w:r w:rsidRPr="007E018B">
        <w:rPr>
          <w:rFonts w:eastAsia="Arial"/>
          <w:bCs/>
        </w:rPr>
        <w:lastRenderedPageBreak/>
        <w:t xml:space="preserve">preparato efektyvumą pacientams, sergantiems lokaliai išplitusiu arba metastazavusiu </w:t>
      </w:r>
      <w:r w:rsidR="001F7E94">
        <w:rPr>
          <w:rFonts w:eastAsia="Arial"/>
          <w:bCs/>
        </w:rPr>
        <w:t>vėžiu</w:t>
      </w:r>
      <w:r w:rsidRPr="007E018B">
        <w:rPr>
          <w:rFonts w:eastAsia="Arial"/>
          <w:bCs/>
        </w:rPr>
        <w:t>, kuriems nustatyta PD-L1 raiška ≥ 50 proc.. Visos vertinamosios baigtys buvo pakankamai aiškiai apibrėžtos. Taikomi statistiniai metodai laikomi tinkamais. Galutin</w:t>
      </w:r>
      <w:r w:rsidR="00792597">
        <w:rPr>
          <w:rFonts w:eastAsia="Arial"/>
          <w:bCs/>
        </w:rPr>
        <w:t>iai</w:t>
      </w:r>
      <w:r w:rsidRPr="007E018B">
        <w:rPr>
          <w:rFonts w:eastAsia="Arial"/>
          <w:bCs/>
        </w:rPr>
        <w:t xml:space="preserve"> IBLP ir BI analizės rezultatai įrodė T-PP derinio pranašumą prieš taikomą chemoterapiją (PP) pacientams su PD-L1 raiška ≥ 50 proc. (RS=0,269; 95 proc. PI: 0,157-0,461). Tačiau, remiantis iš anksto numatytų pogrupių analizės rezultatais, </w:t>
      </w:r>
      <w:r w:rsidR="00A61F27">
        <w:rPr>
          <w:rFonts w:eastAsia="Arial"/>
          <w:bCs/>
        </w:rPr>
        <w:t xml:space="preserve">nenustatyta </w:t>
      </w:r>
      <w:r w:rsidRPr="007E018B">
        <w:rPr>
          <w:rFonts w:eastAsia="Arial"/>
          <w:bCs/>
        </w:rPr>
        <w:t>reikšmingo skirtumo tarp T-PP ir PP gydytų pacientų</w:t>
      </w:r>
      <w:r w:rsidR="00A61F27">
        <w:rPr>
          <w:rFonts w:eastAsia="Arial"/>
          <w:bCs/>
        </w:rPr>
        <w:t>, sergančių</w:t>
      </w:r>
      <w:r w:rsidRPr="007E018B">
        <w:rPr>
          <w:rFonts w:eastAsia="Arial"/>
          <w:bCs/>
        </w:rPr>
        <w:t xml:space="preserve"> IIIB ligos stadija (t.y. lokaliai išplitęs NSLPV). IBLP RS=0,593 (95 proc. PI: 0,311-1,132) ir BI RS=1,21 (95 proc. PI: 0,53-2,78).</w:t>
      </w:r>
    </w:p>
    <w:p w14:paraId="4ADC6A28" w14:textId="2D17BF05" w:rsidR="007E018B" w:rsidRPr="007E018B" w:rsidRDefault="007E018B" w:rsidP="007E018B">
      <w:pPr>
        <w:tabs>
          <w:tab w:val="left" w:pos="492"/>
        </w:tabs>
        <w:spacing w:line="276" w:lineRule="auto"/>
        <w:jc w:val="both"/>
        <w:outlineLvl w:val="1"/>
        <w:rPr>
          <w:rFonts w:eastAsia="Arial"/>
          <w:bCs/>
        </w:rPr>
      </w:pPr>
      <w:r w:rsidRPr="007E018B">
        <w:rPr>
          <w:rFonts w:eastAsia="Arial"/>
          <w:bCs/>
        </w:rPr>
        <w:t>Apibendrinus 3 fazės tyrimo RATIONALE 304 rezultatus, pateikta iš anksto numatyto pogrupio (PD-L1 ≥ 50 proc.) veiksmingumo vertinimo analizė iš dalies pagrindžia numatytus tyrimo tikslus bei registruotą terapinę indikacij</w:t>
      </w:r>
      <w:r w:rsidR="00A61F27">
        <w:rPr>
          <w:rFonts w:eastAsia="Arial"/>
          <w:bCs/>
        </w:rPr>
        <w:t>ą</w:t>
      </w:r>
      <w:r w:rsidRPr="007E018B">
        <w:rPr>
          <w:rFonts w:eastAsia="Arial"/>
          <w:bCs/>
        </w:rPr>
        <w:t xml:space="preserve"> (t.y. metastazavusia adenokarcinoma sergantiems pacientams). Šio tyrimo duomenys yra reikalingi netiesioginio palyginimo analizėje, kuri </w:t>
      </w:r>
      <w:r w:rsidR="00A61F27">
        <w:rPr>
          <w:rFonts w:eastAsia="Arial"/>
          <w:bCs/>
        </w:rPr>
        <w:t xml:space="preserve">aptarta </w:t>
      </w:r>
      <w:r w:rsidRPr="007E018B">
        <w:rPr>
          <w:rFonts w:eastAsia="Arial"/>
          <w:bCs/>
        </w:rPr>
        <w:t>šio protokolo 3.2 skyriuje. Tačiau atsižvelgiant į pirminės ir antrinės pagrindin</w:t>
      </w:r>
      <w:r w:rsidR="00A61F27">
        <w:rPr>
          <w:rFonts w:eastAsia="Arial"/>
          <w:bCs/>
        </w:rPr>
        <w:t>ių</w:t>
      </w:r>
      <w:r w:rsidRPr="007E018B">
        <w:rPr>
          <w:rFonts w:eastAsia="Arial"/>
          <w:bCs/>
        </w:rPr>
        <w:t xml:space="preserve"> baigčių rezultatus, ekspert</w:t>
      </w:r>
      <w:r w:rsidR="00A61F27">
        <w:rPr>
          <w:rFonts w:eastAsia="Arial"/>
          <w:bCs/>
        </w:rPr>
        <w:t>o</w:t>
      </w:r>
      <w:r w:rsidRPr="007E018B">
        <w:rPr>
          <w:rFonts w:eastAsia="Arial"/>
          <w:bCs/>
        </w:rPr>
        <w:t xml:space="preserve"> </w:t>
      </w:r>
      <w:r w:rsidR="00A61F27">
        <w:rPr>
          <w:rFonts w:eastAsia="Arial"/>
          <w:bCs/>
        </w:rPr>
        <w:t>nuomone</w:t>
      </w:r>
      <w:r w:rsidRPr="007E018B">
        <w:rPr>
          <w:rFonts w:eastAsia="Arial"/>
          <w:bCs/>
        </w:rPr>
        <w:t xml:space="preserve">,  gydymas T-PP nėra </w:t>
      </w:r>
      <w:r w:rsidR="00A61F27">
        <w:rPr>
          <w:rFonts w:eastAsia="Arial"/>
          <w:bCs/>
        </w:rPr>
        <w:t xml:space="preserve">efektyvesnis </w:t>
      </w:r>
      <w:r w:rsidRPr="007E018B">
        <w:rPr>
          <w:rFonts w:eastAsia="Arial"/>
          <w:bCs/>
        </w:rPr>
        <w:t>nei  gydymas pemetreksedu ir platinos preparatu, kai skiriamas pacientams su naujai diagnozuota lokaliai išplitusia adenokarcinoma (IIIB stadija, NSLPV), nesant EARF ir ALK mutacijų. Vertinant BI rezultatus šiame pogrupyje, RS buvo 1,21 (95 proc. PI: 0,53-2,78).</w:t>
      </w:r>
    </w:p>
    <w:p w14:paraId="04E16FCE" w14:textId="0307E282" w:rsidR="007E018B" w:rsidRPr="007E018B" w:rsidRDefault="007E018B" w:rsidP="007E018B">
      <w:pPr>
        <w:tabs>
          <w:tab w:val="left" w:pos="426"/>
        </w:tabs>
        <w:spacing w:line="276" w:lineRule="auto"/>
        <w:jc w:val="both"/>
        <w:rPr>
          <w:rFonts w:eastAsia="Arial"/>
          <w:bCs/>
        </w:rPr>
      </w:pPr>
      <w:r w:rsidRPr="007E018B">
        <w:rPr>
          <w:rFonts w:eastAsia="Arial"/>
          <w:bCs/>
        </w:rPr>
        <w:tab/>
        <w:t xml:space="preserve">Pacientų praneštos baigtys. Tislelizumabas derinyje su chemoterapija nepablogino pacientų bendros sveikatos būklės ir gyvenimo kokybės. Vidutinis LS balų pokytis, palyginti su pradine EOTRC QLQ-C30 balų reikšme, padidėjo vartojant T-PP, o sumažėjo vartojant vien platinos ir pemetreksedo. Simptomų balai, įvertinti naudojant QLQ-LC13, dažniausiai buvo palankūs tislelizumabo, platinos ir pemetreksedo </w:t>
      </w:r>
      <w:r w:rsidR="00A61F27">
        <w:rPr>
          <w:rFonts w:eastAsia="Arial"/>
          <w:bCs/>
        </w:rPr>
        <w:t>derinio vartojimui</w:t>
      </w:r>
      <w:r w:rsidRPr="007E018B">
        <w:rPr>
          <w:rFonts w:eastAsia="Arial"/>
          <w:bCs/>
        </w:rPr>
        <w:t>. Tačiau šis pagerėjimas nėra įvertintas kaip kliniškai reikšmingas.</w:t>
      </w:r>
    </w:p>
    <w:p w14:paraId="578ADB32" w14:textId="7684029E" w:rsidR="007E018B" w:rsidRPr="007E018B" w:rsidRDefault="007E018B" w:rsidP="007E018B">
      <w:pPr>
        <w:spacing w:line="276" w:lineRule="auto"/>
        <w:ind w:firstLine="720"/>
        <w:jc w:val="both"/>
        <w:rPr>
          <w:szCs w:val="20"/>
        </w:rPr>
      </w:pPr>
      <w:r w:rsidRPr="007E018B">
        <w:rPr>
          <w:szCs w:val="20"/>
        </w:rPr>
        <w:t>Pažymėtina, kad NR pobūdis yra ger</w:t>
      </w:r>
      <w:r w:rsidR="00A61F27">
        <w:rPr>
          <w:szCs w:val="20"/>
        </w:rPr>
        <w:t>a</w:t>
      </w:r>
      <w:r w:rsidRPr="007E018B">
        <w:rPr>
          <w:szCs w:val="20"/>
        </w:rPr>
        <w:t>i žinomas, nes tislelizumabas yra PD-L ½ blokatorius. Šiai vaistinių preparatų klasei priklauso at</w:t>
      </w:r>
      <w:r w:rsidR="00BE1EDA">
        <w:rPr>
          <w:szCs w:val="20"/>
        </w:rPr>
        <w:t>e</w:t>
      </w:r>
      <w:r w:rsidRPr="007E018B">
        <w:rPr>
          <w:szCs w:val="20"/>
        </w:rPr>
        <w:t>zolizumabas, nivolumabas ir kiti panaš</w:t>
      </w:r>
      <w:r w:rsidR="00A61F27">
        <w:rPr>
          <w:szCs w:val="20"/>
        </w:rPr>
        <w:t>ū</w:t>
      </w:r>
      <w:r w:rsidRPr="007E018B">
        <w:rPr>
          <w:szCs w:val="20"/>
        </w:rPr>
        <w:t>s vaistiniai preparatai, pvz. pembrolizumabas. Išsamesn</w:t>
      </w:r>
      <w:r w:rsidR="00A61F27">
        <w:rPr>
          <w:szCs w:val="20"/>
        </w:rPr>
        <w:t>ę</w:t>
      </w:r>
      <w:r w:rsidRPr="007E018B">
        <w:rPr>
          <w:szCs w:val="20"/>
        </w:rPr>
        <w:t xml:space="preserve"> informacij</w:t>
      </w:r>
      <w:r w:rsidR="00A61F27">
        <w:rPr>
          <w:szCs w:val="20"/>
        </w:rPr>
        <w:t>ą</w:t>
      </w:r>
      <w:r w:rsidRPr="007E018B">
        <w:rPr>
          <w:szCs w:val="20"/>
        </w:rPr>
        <w:t xml:space="preserve"> apie tikėtinus NR, kur</w:t>
      </w:r>
      <w:r w:rsidR="00A61F27">
        <w:rPr>
          <w:szCs w:val="20"/>
        </w:rPr>
        <w:t>i</w:t>
      </w:r>
      <w:r w:rsidRPr="007E018B">
        <w:rPr>
          <w:szCs w:val="20"/>
        </w:rPr>
        <w:t>uos gali sukelti gydymas tislelizumabu kartu su chemoterapija, gali</w:t>
      </w:r>
      <w:r w:rsidR="00A61F27">
        <w:rPr>
          <w:szCs w:val="20"/>
        </w:rPr>
        <w:t>ma</w:t>
      </w:r>
      <w:r w:rsidRPr="007E018B">
        <w:rPr>
          <w:szCs w:val="20"/>
        </w:rPr>
        <w:t xml:space="preserve"> rasti </w:t>
      </w:r>
      <w:r w:rsidR="00A61F27">
        <w:rPr>
          <w:szCs w:val="20"/>
        </w:rPr>
        <w:t>vaistinio</w:t>
      </w:r>
      <w:r w:rsidRPr="007E018B">
        <w:rPr>
          <w:szCs w:val="20"/>
        </w:rPr>
        <w:t xml:space="preserve"> preparato charakteristik</w:t>
      </w:r>
      <w:r w:rsidR="00A61F27">
        <w:rPr>
          <w:szCs w:val="20"/>
        </w:rPr>
        <w:t>ų</w:t>
      </w:r>
      <w:r w:rsidRPr="007E018B">
        <w:rPr>
          <w:szCs w:val="20"/>
        </w:rPr>
        <w:t xml:space="preserve"> santraukoje.</w:t>
      </w:r>
    </w:p>
    <w:p w14:paraId="0507F132" w14:textId="77777777" w:rsidR="007E018B" w:rsidRPr="007E018B" w:rsidRDefault="007E018B" w:rsidP="007E018B">
      <w:pPr>
        <w:tabs>
          <w:tab w:val="left" w:pos="492"/>
        </w:tabs>
        <w:spacing w:line="276" w:lineRule="auto"/>
        <w:jc w:val="both"/>
        <w:outlineLvl w:val="1"/>
        <w:rPr>
          <w:rFonts w:eastAsia="Arial"/>
          <w:bCs/>
        </w:rPr>
      </w:pPr>
    </w:p>
    <w:p w14:paraId="1CBCD173" w14:textId="77777777" w:rsidR="007E018B" w:rsidRDefault="007E018B" w:rsidP="007E018B">
      <w:pPr>
        <w:tabs>
          <w:tab w:val="left" w:pos="492"/>
        </w:tabs>
        <w:spacing w:line="276" w:lineRule="auto"/>
        <w:jc w:val="both"/>
        <w:outlineLvl w:val="1"/>
        <w:rPr>
          <w:rFonts w:eastAsia="Arial"/>
          <w:bCs/>
        </w:rPr>
      </w:pPr>
      <w:r w:rsidRPr="007E018B">
        <w:rPr>
          <w:rFonts w:eastAsia="Arial"/>
          <w:bCs/>
          <w:i/>
          <w:iCs/>
        </w:rPr>
        <w:t>Netiesioginio palyginimo rezultatai</w:t>
      </w:r>
      <w:r w:rsidRPr="007E018B">
        <w:rPr>
          <w:rFonts w:eastAsia="Arial"/>
          <w:bCs/>
        </w:rPr>
        <w:t>:</w:t>
      </w:r>
    </w:p>
    <w:p w14:paraId="7F82AF02" w14:textId="77777777" w:rsidR="00E63DEF" w:rsidRPr="007E018B" w:rsidRDefault="00E63DEF" w:rsidP="007E018B">
      <w:pPr>
        <w:tabs>
          <w:tab w:val="left" w:pos="492"/>
        </w:tabs>
        <w:spacing w:line="276" w:lineRule="auto"/>
        <w:jc w:val="both"/>
        <w:outlineLvl w:val="1"/>
        <w:rPr>
          <w:rFonts w:eastAsia="Arial"/>
          <w:bCs/>
        </w:rPr>
      </w:pPr>
    </w:p>
    <w:p w14:paraId="12BBEACB" w14:textId="27FF8EC4" w:rsidR="007E018B" w:rsidRPr="007E018B" w:rsidRDefault="007E018B" w:rsidP="007E018B">
      <w:pPr>
        <w:tabs>
          <w:tab w:val="left" w:pos="492"/>
        </w:tabs>
        <w:spacing w:line="276" w:lineRule="auto"/>
        <w:jc w:val="both"/>
        <w:outlineLvl w:val="1"/>
        <w:rPr>
          <w:rFonts w:eastAsia="Arial"/>
          <w:bCs/>
        </w:rPr>
      </w:pPr>
      <w:r w:rsidRPr="007E018B">
        <w:rPr>
          <w:rFonts w:eastAsia="Arial"/>
          <w:bCs/>
        </w:rPr>
        <w:tab/>
      </w:r>
      <w:r w:rsidRPr="007626E6">
        <w:rPr>
          <w:rFonts w:eastAsia="Arial"/>
          <w:bCs/>
        </w:rPr>
        <w:t>Nustačius, kad RATIONALE 304 tyrimo populiacij</w:t>
      </w:r>
      <w:r w:rsidR="00E63DEF" w:rsidRPr="007626E6">
        <w:rPr>
          <w:rFonts w:eastAsia="Arial"/>
          <w:bCs/>
        </w:rPr>
        <w:t>ą</w:t>
      </w:r>
      <w:r w:rsidRPr="007626E6">
        <w:rPr>
          <w:rFonts w:eastAsia="Arial"/>
          <w:bCs/>
        </w:rPr>
        <w:t xml:space="preserve"> sudarė apie 82 proc. pacientų s</w:t>
      </w:r>
      <w:r w:rsidR="00E63DEF" w:rsidRPr="007626E6">
        <w:rPr>
          <w:rFonts w:eastAsia="Arial"/>
          <w:bCs/>
        </w:rPr>
        <w:t>ergančių</w:t>
      </w:r>
      <w:r w:rsidRPr="007626E6">
        <w:rPr>
          <w:rFonts w:eastAsia="Arial"/>
          <w:bCs/>
        </w:rPr>
        <w:t xml:space="preserve"> metastazavusia adenokarcinoma</w:t>
      </w:r>
      <w:r w:rsidR="00E63DEF" w:rsidRPr="007626E6">
        <w:rPr>
          <w:rFonts w:eastAsia="Arial"/>
          <w:bCs/>
        </w:rPr>
        <w:t>,</w:t>
      </w:r>
      <w:r w:rsidRPr="007626E6">
        <w:rPr>
          <w:rFonts w:eastAsia="Arial"/>
          <w:bCs/>
        </w:rPr>
        <w:t xml:space="preserve"> ir tik 18 proc. – lokaliai išplitusi</w:t>
      </w:r>
      <w:r w:rsidR="00E63DEF" w:rsidRPr="007626E6">
        <w:rPr>
          <w:rFonts w:eastAsia="Arial"/>
          <w:bCs/>
        </w:rPr>
        <w:t>a</w:t>
      </w:r>
      <w:r w:rsidRPr="007626E6">
        <w:rPr>
          <w:rFonts w:eastAsia="Arial"/>
          <w:bCs/>
        </w:rPr>
        <w:t xml:space="preserve"> adenokarcinoma, klinikinis palyginamasis veiksmingumas turi būti grindžiamas netiesiogin</w:t>
      </w:r>
      <w:r w:rsidR="00E63DEF" w:rsidRPr="007626E6">
        <w:rPr>
          <w:rFonts w:eastAsia="Arial"/>
          <w:bCs/>
        </w:rPr>
        <w:t>e</w:t>
      </w:r>
      <w:r w:rsidRPr="007626E6">
        <w:rPr>
          <w:rFonts w:eastAsia="Arial"/>
          <w:bCs/>
        </w:rPr>
        <w:t xml:space="preserve"> analize, lyginant su įprastine klinikin</w:t>
      </w:r>
      <w:r w:rsidR="00E63DEF" w:rsidRPr="007626E6">
        <w:rPr>
          <w:rFonts w:eastAsia="Arial"/>
          <w:bCs/>
        </w:rPr>
        <w:t>e</w:t>
      </w:r>
      <w:r w:rsidRPr="007626E6">
        <w:rPr>
          <w:rFonts w:eastAsia="Arial"/>
          <w:bCs/>
        </w:rPr>
        <w:t xml:space="preserve"> praktika Lietuvoje: monoterapija pembr</w:t>
      </w:r>
      <w:r w:rsidR="0026032D">
        <w:rPr>
          <w:rFonts w:eastAsia="Arial"/>
          <w:bCs/>
        </w:rPr>
        <w:t>o</w:t>
      </w:r>
      <w:r w:rsidRPr="007626E6">
        <w:rPr>
          <w:rFonts w:eastAsia="Arial"/>
          <w:bCs/>
        </w:rPr>
        <w:t>lizumabu arba atezolizumabu, taip pat šių vaistų deriniai</w:t>
      </w:r>
      <w:r w:rsidR="00E63DEF" w:rsidRPr="007626E6">
        <w:rPr>
          <w:rFonts w:eastAsia="Arial"/>
          <w:bCs/>
        </w:rPr>
        <w:t>s</w:t>
      </w:r>
      <w:r w:rsidRPr="007626E6">
        <w:rPr>
          <w:rFonts w:eastAsia="Arial"/>
          <w:bCs/>
        </w:rPr>
        <w:t xml:space="preserve"> su chemoterapija. Tinkamiausiu palyginam</w:t>
      </w:r>
      <w:r w:rsidR="00E63DEF" w:rsidRPr="007626E6">
        <w:rPr>
          <w:rFonts w:eastAsia="Arial"/>
          <w:bCs/>
        </w:rPr>
        <w:t>uo</w:t>
      </w:r>
      <w:r w:rsidRPr="007626E6">
        <w:rPr>
          <w:rFonts w:eastAsia="Arial"/>
          <w:bCs/>
        </w:rPr>
        <w:t>j</w:t>
      </w:r>
      <w:r w:rsidR="00E63DEF" w:rsidRPr="007626E6">
        <w:rPr>
          <w:rFonts w:eastAsia="Arial"/>
          <w:bCs/>
        </w:rPr>
        <w:t>u</w:t>
      </w:r>
      <w:r w:rsidRPr="007626E6">
        <w:rPr>
          <w:rFonts w:eastAsia="Arial"/>
          <w:bCs/>
        </w:rPr>
        <w:t xml:space="preserve"> gydymu laikomi </w:t>
      </w:r>
      <w:r w:rsidR="002C148E" w:rsidRPr="007626E6">
        <w:rPr>
          <w:rFonts w:eastAsia="Arial"/>
          <w:bCs/>
        </w:rPr>
        <w:t xml:space="preserve">šių </w:t>
      </w:r>
      <w:r w:rsidRPr="007626E6">
        <w:rPr>
          <w:rFonts w:eastAsia="Arial"/>
          <w:bCs/>
        </w:rPr>
        <w:t>vaistų deriniai su chemoterapija.</w:t>
      </w:r>
    </w:p>
    <w:p w14:paraId="4E2B2232" w14:textId="713BA99A" w:rsidR="007E018B" w:rsidRPr="007E018B" w:rsidRDefault="007E018B" w:rsidP="007E018B">
      <w:pPr>
        <w:tabs>
          <w:tab w:val="left" w:pos="492"/>
        </w:tabs>
        <w:spacing w:line="276" w:lineRule="auto"/>
        <w:jc w:val="both"/>
        <w:outlineLvl w:val="1"/>
        <w:rPr>
          <w:rFonts w:eastAsia="Arial"/>
          <w:bCs/>
        </w:rPr>
      </w:pPr>
      <w:r w:rsidRPr="007E018B">
        <w:rPr>
          <w:rFonts w:eastAsia="Arial"/>
          <w:iCs/>
        </w:rPr>
        <w:tab/>
        <w:t xml:space="preserve">Įvertinus </w:t>
      </w:r>
      <w:r w:rsidR="00E63DEF">
        <w:rPr>
          <w:rFonts w:eastAsia="Arial"/>
          <w:iCs/>
        </w:rPr>
        <w:t xml:space="preserve">paraiškoje </w:t>
      </w:r>
      <w:r w:rsidRPr="007E018B">
        <w:rPr>
          <w:rFonts w:eastAsia="Arial"/>
          <w:iCs/>
        </w:rPr>
        <w:t>pateiktus  netiesioginės analizės duomenis, nustatyta, kad pacientų populiacija pagal histologinį naviko tipą atitinka KEYNOTE-189, IMpower150, IMpower130, ir KEYNOTE-021 klinikini</w:t>
      </w:r>
      <w:r w:rsidR="00E63DEF">
        <w:rPr>
          <w:rFonts w:eastAsia="Arial"/>
          <w:iCs/>
        </w:rPr>
        <w:t>uose</w:t>
      </w:r>
      <w:r w:rsidRPr="007E018B">
        <w:rPr>
          <w:rFonts w:eastAsia="Arial"/>
          <w:iCs/>
        </w:rPr>
        <w:t xml:space="preserve"> tyrim</w:t>
      </w:r>
      <w:r w:rsidR="00E63DEF">
        <w:rPr>
          <w:rFonts w:eastAsia="Arial"/>
          <w:iCs/>
        </w:rPr>
        <w:t>uose nagrinėtas populiacijas</w:t>
      </w:r>
      <w:r w:rsidRPr="007E018B">
        <w:rPr>
          <w:rFonts w:eastAsia="Arial"/>
          <w:iCs/>
        </w:rPr>
        <w:t>. Kituose klinikiniuose tyrimuose</w:t>
      </w:r>
      <w:r w:rsidR="00210E93">
        <w:rPr>
          <w:rFonts w:eastAsia="Arial"/>
          <w:iCs/>
        </w:rPr>
        <w:t>,</w:t>
      </w:r>
      <w:r w:rsidRPr="007E018B">
        <w:rPr>
          <w:rFonts w:eastAsia="Arial"/>
          <w:iCs/>
        </w:rPr>
        <w:t xml:space="preserve"> pacient</w:t>
      </w:r>
      <w:r w:rsidR="00E63DEF">
        <w:rPr>
          <w:rFonts w:eastAsia="Arial"/>
          <w:iCs/>
        </w:rPr>
        <w:t>ai</w:t>
      </w:r>
      <w:r w:rsidRPr="007E018B">
        <w:rPr>
          <w:rFonts w:eastAsia="Arial"/>
          <w:iCs/>
        </w:rPr>
        <w:t xml:space="preserve"> </w:t>
      </w:r>
      <w:r w:rsidR="00210E93">
        <w:rPr>
          <w:rFonts w:eastAsia="Arial"/>
          <w:iCs/>
        </w:rPr>
        <w:t>sirgo</w:t>
      </w:r>
      <w:r w:rsidRPr="007E018B">
        <w:rPr>
          <w:rFonts w:eastAsia="Arial"/>
          <w:iCs/>
        </w:rPr>
        <w:t xml:space="preserve">  ne</w:t>
      </w:r>
      <w:r w:rsidR="00210E93">
        <w:rPr>
          <w:rFonts w:eastAsia="Arial"/>
          <w:iCs/>
        </w:rPr>
        <w:t>plokščialąsteliniu</w:t>
      </w:r>
      <w:r w:rsidRPr="007E018B">
        <w:rPr>
          <w:rFonts w:eastAsia="Arial"/>
          <w:iCs/>
        </w:rPr>
        <w:t xml:space="preserve"> ir plokščialąsteliniu plaučių vėžiu. Vertinama, kad įtraukimo kriterijai minėtuose tyrimuose atitinka pacientų su metastazavusia adenokarcnoma ir PD-L1 naviko raiška ≥ 50 proc. populiacij</w:t>
      </w:r>
      <w:r w:rsidR="00210E93">
        <w:rPr>
          <w:rFonts w:eastAsia="Arial"/>
          <w:iCs/>
        </w:rPr>
        <w:t>ą</w:t>
      </w:r>
      <w:r w:rsidRPr="007E018B">
        <w:rPr>
          <w:rFonts w:eastAsia="Arial"/>
          <w:iCs/>
        </w:rPr>
        <w:t>.</w:t>
      </w:r>
      <w:r w:rsidRPr="007E018B">
        <w:rPr>
          <w:rFonts w:eastAsia="Arial"/>
          <w:bCs/>
        </w:rPr>
        <w:t xml:space="preserve"> Atlikto netiesioginio palyginimo rezultatai rodo, kad T-PP ir kitų </w:t>
      </w:r>
      <w:r w:rsidR="00210E93">
        <w:rPr>
          <w:rFonts w:eastAsia="Arial"/>
          <w:bCs/>
        </w:rPr>
        <w:t>pa</w:t>
      </w:r>
      <w:r w:rsidRPr="007E018B">
        <w:rPr>
          <w:rFonts w:eastAsia="Arial"/>
          <w:bCs/>
        </w:rPr>
        <w:t xml:space="preserve">lyginamųjų vaistų veiksmingumas pacientams, kuriems nustatytas neplokščialąstelinis plaučių vėžys, tikėtina nesiskiria. Nors pateiktų netiesioginio palyginimo BI rezultatų analizė rodo geresnes išeitis </w:t>
      </w:r>
      <w:r w:rsidR="00210E93">
        <w:rPr>
          <w:rFonts w:eastAsia="Arial"/>
          <w:bCs/>
        </w:rPr>
        <w:t>skiriant</w:t>
      </w:r>
      <w:r w:rsidR="003E5F52">
        <w:rPr>
          <w:rFonts w:eastAsia="Arial"/>
          <w:bCs/>
        </w:rPr>
        <w:t xml:space="preserve"> </w:t>
      </w:r>
      <w:r w:rsidRPr="007E018B">
        <w:rPr>
          <w:rFonts w:eastAsia="Arial"/>
          <w:bCs/>
        </w:rPr>
        <w:t>T-PP derin</w:t>
      </w:r>
      <w:r w:rsidR="00210E93">
        <w:rPr>
          <w:rFonts w:eastAsia="Arial"/>
          <w:bCs/>
        </w:rPr>
        <w:t>į</w:t>
      </w:r>
      <w:r w:rsidRPr="007E018B">
        <w:rPr>
          <w:rFonts w:eastAsia="Arial"/>
          <w:bCs/>
        </w:rPr>
        <w:t>, jie vertinami kaip nepakankamai pagr</w:t>
      </w:r>
      <w:r w:rsidR="00210E93">
        <w:rPr>
          <w:rFonts w:eastAsia="Arial"/>
          <w:bCs/>
        </w:rPr>
        <w:t>į</w:t>
      </w:r>
      <w:r w:rsidRPr="007E018B">
        <w:rPr>
          <w:rFonts w:eastAsia="Arial"/>
          <w:bCs/>
        </w:rPr>
        <w:t xml:space="preserve">sti. Neapibrėžtumą didina pacientų </w:t>
      </w:r>
      <w:r w:rsidRPr="007E018B">
        <w:rPr>
          <w:rFonts w:eastAsia="Arial"/>
          <w:bCs/>
        </w:rPr>
        <w:lastRenderedPageBreak/>
        <w:t xml:space="preserve">populiacijų skirtumai tarp palyginamųjų gydymų, t.y. galimas RATIONALE 304 tyrimo populiacijos heterogeniškumas bei RATIONALE 304 tyrimo BI rezultatų neapibrėžtumas galutinėje analizėje.  Taip pat atkreiptinas dėmėsis, kad pembrolizumabas, tislelizumabas bei atezolizumabas yra PD-1/PDL-1 (programuotos ląstelės žūties baltymo 1/programuotos ląstelės žūties baltymo ligando 1) inhibitoriai, todėl jų terapinis poveikis tikėtina yra panašus. </w:t>
      </w:r>
    </w:p>
    <w:p w14:paraId="67CBB7B2" w14:textId="1D42D628" w:rsidR="007E018B" w:rsidRPr="007E018B" w:rsidRDefault="007E018B" w:rsidP="007E018B">
      <w:pPr>
        <w:tabs>
          <w:tab w:val="left" w:pos="492"/>
        </w:tabs>
        <w:spacing w:line="276" w:lineRule="auto"/>
        <w:jc w:val="both"/>
        <w:outlineLvl w:val="1"/>
        <w:rPr>
          <w:rFonts w:eastAsia="Arial"/>
          <w:bCs/>
        </w:rPr>
      </w:pPr>
      <w:r w:rsidRPr="007E018B">
        <w:rPr>
          <w:rFonts w:eastAsia="Arial"/>
          <w:bCs/>
        </w:rPr>
        <w:tab/>
        <w:t>Nuo naviko histologijos nepriklausoma 3+ laipsnio NR analizė parodė, kad tikėtina</w:t>
      </w:r>
      <w:r w:rsidR="006B0B9D">
        <w:rPr>
          <w:rFonts w:eastAsia="Arial"/>
          <w:bCs/>
        </w:rPr>
        <w:t>s</w:t>
      </w:r>
      <w:r w:rsidRPr="007E018B">
        <w:rPr>
          <w:rFonts w:eastAsia="Arial"/>
          <w:bCs/>
        </w:rPr>
        <w:t xml:space="preserve"> T-PP derinio toksiškumas nesiskiria nuo kitų šios terapinės klasės kombinuotų gydymo būdų </w:t>
      </w:r>
      <w:r w:rsidR="007626E6">
        <w:rPr>
          <w:rFonts w:eastAsia="Arial"/>
          <w:bCs/>
        </w:rPr>
        <w:t>toks</w:t>
      </w:r>
      <w:r w:rsidR="00F02402">
        <w:rPr>
          <w:rFonts w:eastAsia="Arial"/>
          <w:bCs/>
        </w:rPr>
        <w:t>i</w:t>
      </w:r>
      <w:r w:rsidR="007626E6">
        <w:rPr>
          <w:rFonts w:eastAsia="Arial"/>
          <w:bCs/>
        </w:rPr>
        <w:t>škumo</w:t>
      </w:r>
      <w:r w:rsidRPr="007E018B">
        <w:rPr>
          <w:rFonts w:eastAsia="Arial"/>
          <w:bCs/>
        </w:rPr>
        <w:t>. Pažymėtina, kad monoterapijos (atezolizumabas, cemiplimabas, pembrolizumabas) buvo statistiškai reikšmingai saugesnės, nes tikėtina, kad monoterapija taip pat yra susijusi su mažiau toksišku saugumo profiliu.</w:t>
      </w:r>
    </w:p>
    <w:p w14:paraId="0D531836" w14:textId="7CA8ABFB" w:rsidR="007E018B" w:rsidRPr="007626E6" w:rsidRDefault="007E018B" w:rsidP="007E018B">
      <w:pPr>
        <w:tabs>
          <w:tab w:val="left" w:pos="492"/>
        </w:tabs>
        <w:spacing w:line="276" w:lineRule="auto"/>
        <w:jc w:val="both"/>
        <w:outlineLvl w:val="1"/>
        <w:rPr>
          <w:rFonts w:eastAsia="Arial"/>
          <w:bCs/>
        </w:rPr>
      </w:pPr>
      <w:r w:rsidRPr="007E018B">
        <w:rPr>
          <w:rFonts w:eastAsia="Arial"/>
          <w:bCs/>
        </w:rPr>
        <w:tab/>
        <w:t xml:space="preserve">Apibendrinant, daroma išvada apie tislelizumabo </w:t>
      </w:r>
      <w:r w:rsidR="006B0B9D">
        <w:rPr>
          <w:rFonts w:eastAsia="Arial"/>
          <w:bCs/>
        </w:rPr>
        <w:t>derinio su</w:t>
      </w:r>
      <w:r w:rsidRPr="007E018B">
        <w:rPr>
          <w:rFonts w:eastAsia="Arial"/>
          <w:bCs/>
        </w:rPr>
        <w:t xml:space="preserve"> pemetreksed</w:t>
      </w:r>
      <w:r w:rsidR="006B0B9D">
        <w:rPr>
          <w:rFonts w:eastAsia="Arial"/>
          <w:bCs/>
        </w:rPr>
        <w:t xml:space="preserve">u ir </w:t>
      </w:r>
      <w:r w:rsidRPr="007E018B">
        <w:rPr>
          <w:rFonts w:eastAsia="Arial"/>
          <w:bCs/>
        </w:rPr>
        <w:t xml:space="preserve"> platinos</w:t>
      </w:r>
      <w:r w:rsidR="006B0B9D">
        <w:rPr>
          <w:rFonts w:eastAsia="Arial"/>
          <w:bCs/>
        </w:rPr>
        <w:t xml:space="preserve"> vaistiniais preparatais,</w:t>
      </w:r>
      <w:r w:rsidRPr="007E018B">
        <w:rPr>
          <w:rFonts w:eastAsia="Arial"/>
          <w:bCs/>
        </w:rPr>
        <w:t xml:space="preserve"> nesiskiriančią naudą, palyginus su įprastine klinikine praktika Lietuvoje</w:t>
      </w:r>
      <w:r w:rsidR="006B0B9D">
        <w:rPr>
          <w:rFonts w:eastAsia="Arial"/>
          <w:bCs/>
        </w:rPr>
        <w:t>,</w:t>
      </w:r>
      <w:r w:rsidRPr="007E018B">
        <w:rPr>
          <w:rFonts w:eastAsia="Arial"/>
          <w:bCs/>
        </w:rPr>
        <w:t xml:space="preserve"> pacientams, kuriems nustatyta metastazavusi NSLPV (adenokarc</w:t>
      </w:r>
      <w:r w:rsidR="00722F85">
        <w:rPr>
          <w:rFonts w:eastAsia="Arial"/>
          <w:bCs/>
        </w:rPr>
        <w:t>i</w:t>
      </w:r>
      <w:r w:rsidRPr="007E018B">
        <w:rPr>
          <w:rFonts w:eastAsia="Arial"/>
          <w:bCs/>
        </w:rPr>
        <w:t xml:space="preserve">noma). Tačiau, atsižvelgiant į tiesioginio palyginimo pirminės ir antrinės pagrindinės baigčių rezultatus, gydymas T-PP nėra </w:t>
      </w:r>
      <w:r w:rsidR="00722F85">
        <w:rPr>
          <w:rFonts w:eastAsia="Arial"/>
          <w:bCs/>
        </w:rPr>
        <w:t>efektyvesnis</w:t>
      </w:r>
      <w:r w:rsidRPr="007E018B">
        <w:rPr>
          <w:rFonts w:eastAsia="Arial"/>
          <w:bCs/>
        </w:rPr>
        <w:t xml:space="preserve"> nei gydymas pemetreksedu ir platinos preparatu, kai skiriamas pacientams su naujai diagnozuota lokaliai išplitusia adenokarcinoma (IIIB stadija, NSLPV) ir PD-L1 raiška </w:t>
      </w:r>
      <w:r w:rsidRPr="007E018B">
        <w:rPr>
          <w:i/>
          <w:iCs/>
        </w:rPr>
        <w:t>≥50 proc.</w:t>
      </w:r>
      <w:r w:rsidRPr="007E018B">
        <w:rPr>
          <w:rFonts w:eastAsia="Arial"/>
          <w:bCs/>
        </w:rPr>
        <w:t xml:space="preserve">, nesant EARF ir ALK mutacijų. </w:t>
      </w:r>
      <w:r w:rsidRPr="007626E6">
        <w:rPr>
          <w:rFonts w:eastAsia="Arial"/>
          <w:bCs/>
        </w:rPr>
        <w:t xml:space="preserve">Todėl rekomenduojama apriboti siūlomą kompensuoti indikaciją pacientams, </w:t>
      </w:r>
      <w:r w:rsidRPr="007626E6">
        <w:t xml:space="preserve">kuriems diagnozuotas neplokščialąstelinis NSLPV ir kurių navikai turi PD-L1 ekspresiją ≥50 % naviko ląstelių pirmos eilės gydymui, be EGFR mutacijų arba ALK mutacijų bei kai yra metastazavęs NSLPV“ </w:t>
      </w:r>
      <w:r w:rsidRPr="007626E6">
        <w:rPr>
          <w:rFonts w:eastAsia="Arial"/>
          <w:bCs/>
        </w:rPr>
        <w:t>(adenokarcinoma).</w:t>
      </w:r>
    </w:p>
    <w:p w14:paraId="1A00BC8E" w14:textId="2DE7CF83" w:rsidR="00A93AA6" w:rsidRPr="00E33EFF" w:rsidRDefault="00621D6C" w:rsidP="00A93AA6">
      <w:pPr>
        <w:tabs>
          <w:tab w:val="left" w:pos="284"/>
        </w:tabs>
        <w:rPr>
          <w:bCs/>
          <w:i/>
          <w:caps/>
          <w:color w:val="00B050"/>
          <w:sz w:val="22"/>
        </w:rPr>
      </w:pPr>
      <w:r w:rsidRPr="00E33EFF">
        <w:rPr>
          <w:bCs/>
          <w:i/>
          <w:caps/>
          <w:color w:val="00B050"/>
          <w:sz w:val="22"/>
        </w:rPr>
        <w:t xml:space="preserve"> </w:t>
      </w:r>
    </w:p>
    <w:p w14:paraId="25F89291" w14:textId="5C45C8FC" w:rsidR="00D4485B" w:rsidRPr="00E33EFF" w:rsidRDefault="00D4485B"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69F1FD45" w:rsidR="00C62B36" w:rsidRDefault="00C62B36" w:rsidP="00A93AA6">
      <w:pPr>
        <w:tabs>
          <w:tab w:val="left" w:pos="426"/>
        </w:tabs>
        <w:rPr>
          <w:i/>
          <w:color w:val="00B050"/>
          <w:sz w:val="22"/>
          <w:szCs w:val="22"/>
        </w:rPr>
      </w:pPr>
    </w:p>
    <w:p w14:paraId="16618F6C" w14:textId="77777777" w:rsidR="006B1874" w:rsidRDefault="006B1874" w:rsidP="006B1874">
      <w:pPr>
        <w:shd w:val="clear" w:color="auto" w:fill="FFFFFF"/>
        <w:spacing w:line="276" w:lineRule="auto"/>
        <w:jc w:val="both"/>
        <w:rPr>
          <w:rFonts w:eastAsia="Arial"/>
        </w:rPr>
      </w:pPr>
      <w:r>
        <w:rPr>
          <w:rFonts w:eastAsia="Arial"/>
        </w:rPr>
        <w:t>Analizė atliekama taikant kaštų mažinimo perspektyvą, laikant, jog tislelizumabo derinyje su platinos chemoterapija sukuriama nauda pacientų sveikatai yra iš esmės nesiskirianti, todėl analizėje lyginami tik gydymo kaštai. Pembrolizumabas su chemoterapija bei atezolizumabas derinyje su chemoterapija yra palyginamieji gydymai.</w:t>
      </w:r>
    </w:p>
    <w:p w14:paraId="37C7ECA4" w14:textId="77777777" w:rsidR="006B1874" w:rsidRPr="00566A85" w:rsidRDefault="006B1874" w:rsidP="006B1874">
      <w:pPr>
        <w:spacing w:line="280" w:lineRule="atLeast"/>
        <w:jc w:val="both"/>
        <w:rPr>
          <w:rFonts w:eastAsia="Arial"/>
        </w:rPr>
      </w:pPr>
      <w:r>
        <w:rPr>
          <w:rFonts w:eastAsia="Arial"/>
        </w:rPr>
        <w:t>Gydymo tislelizumabo derinyje su chemoterapija kaštai viršija pembrolizumabo bei atezolizumabo (su chemoterapija) gydymo kaštus. Tarnybos atliktame analizės rezultato perskaičiavime yra taikomos kainos iš konfidencialių vaistinių preparatų gamintojų atstovų susitarimų su VLK bei taikoma bevacizumabo kaina iš paskutinio centralizuoto pirkimo.</w:t>
      </w:r>
    </w:p>
    <w:p w14:paraId="0BCE1138" w14:textId="77777777" w:rsidR="006B1874" w:rsidRDefault="006B1874" w:rsidP="006B1874">
      <w:pPr>
        <w:shd w:val="clear" w:color="auto" w:fill="FFFFFF"/>
        <w:spacing w:line="276" w:lineRule="auto"/>
        <w:jc w:val="both"/>
        <w:rPr>
          <w:rFonts w:eastAsia="Arial"/>
        </w:rPr>
      </w:pPr>
    </w:p>
    <w:p w14:paraId="7B774950" w14:textId="77777777" w:rsidR="006B1874" w:rsidRPr="00B42397" w:rsidRDefault="006B1874" w:rsidP="006B1874">
      <w:pPr>
        <w:tabs>
          <w:tab w:val="left" w:pos="567"/>
        </w:tabs>
        <w:jc w:val="both"/>
        <w:rPr>
          <w:iCs/>
          <w:lang w:eastAsia="lt-LT"/>
        </w:rPr>
      </w:pPr>
      <w:r w:rsidRPr="00414956">
        <w:rPr>
          <w:iCs/>
          <w:lang w:eastAsia="lt-LT"/>
        </w:rPr>
        <w:t xml:space="preserve">Remiantis Lietuvos Respublikos sveikatos apsaugos ministro įsakymu Nr. 159, jei taikoma kaštų minimizavimo analizė, naujojo vaisto sukeliamos Privalomojo sveikatos draudimo fondo sutaupytos lėšos turėtų sudaryti bent 5% palyginti su esamomis vaistų </w:t>
      </w:r>
      <w:r>
        <w:rPr>
          <w:iCs/>
          <w:lang w:eastAsia="lt-LT"/>
        </w:rPr>
        <w:t xml:space="preserve">išlaidomis. </w:t>
      </w:r>
    </w:p>
    <w:p w14:paraId="2A447634" w14:textId="77777777" w:rsidR="006B1874" w:rsidRDefault="006B1874" w:rsidP="006B1874">
      <w:pPr>
        <w:shd w:val="clear" w:color="auto" w:fill="FFFFFF"/>
        <w:spacing w:line="276" w:lineRule="auto"/>
        <w:jc w:val="both"/>
        <w:rPr>
          <w:rFonts w:eastAsia="Arial"/>
        </w:rPr>
      </w:pPr>
    </w:p>
    <w:p w14:paraId="1F777159" w14:textId="71B9F7C0" w:rsidR="006B1874" w:rsidRPr="00C34D30" w:rsidRDefault="006B1874" w:rsidP="006B1874">
      <w:pPr>
        <w:shd w:val="clear" w:color="auto" w:fill="FFFFFF"/>
        <w:spacing w:line="276" w:lineRule="auto"/>
        <w:jc w:val="both"/>
        <w:rPr>
          <w:rFonts w:eastAsia="Arial"/>
        </w:rPr>
      </w:pPr>
      <w:r>
        <w:rPr>
          <w:rFonts w:eastAsia="Arial"/>
        </w:rPr>
        <w:t xml:space="preserve">Reikalinga papildoma bent </w:t>
      </w:r>
      <w:r w:rsidR="009F5C9D">
        <w:rPr>
          <w:rFonts w:eastAsia="Arial"/>
        </w:rPr>
        <w:t>****</w:t>
      </w:r>
      <w:r>
        <w:rPr>
          <w:rFonts w:eastAsia="Arial"/>
        </w:rPr>
        <w:t xml:space="preserve"> nuolaida, jog tislelizumabo derinyje su chemoterapija kaštai būtų </w:t>
      </w:r>
      <w:r w:rsidR="009F5C9D">
        <w:rPr>
          <w:rFonts w:eastAsia="Arial"/>
        </w:rPr>
        <w:t>****</w:t>
      </w:r>
      <w:r>
        <w:rPr>
          <w:rFonts w:eastAsia="Arial"/>
        </w:rPr>
        <w:t xml:space="preserve"> mažesni už pembrolizumabo ir chemoterapijos kaštus. Reikalinga papildoma bent </w:t>
      </w:r>
      <w:r w:rsidR="009F5C9D">
        <w:rPr>
          <w:rFonts w:eastAsia="Arial"/>
        </w:rPr>
        <w:t>****</w:t>
      </w:r>
      <w:r>
        <w:rPr>
          <w:rFonts w:eastAsia="Arial"/>
        </w:rPr>
        <w:t xml:space="preserve"> nuolaida, jog tislelizumabo derinyje su chemoterapija kaštai būtų </w:t>
      </w:r>
      <w:r w:rsidR="009F5C9D">
        <w:rPr>
          <w:rFonts w:eastAsia="Arial"/>
        </w:rPr>
        <w:t>****</w:t>
      </w:r>
      <w:r>
        <w:rPr>
          <w:rFonts w:eastAsia="Arial"/>
        </w:rPr>
        <w:t xml:space="preserve"> mažesni už atezolizumabo ir chemoterapijos kaštus. </w:t>
      </w:r>
    </w:p>
    <w:p w14:paraId="44442F9C" w14:textId="77777777" w:rsidR="006B1874" w:rsidRPr="00E33EFF" w:rsidRDefault="006B1874" w:rsidP="006B1874">
      <w:pPr>
        <w:tabs>
          <w:tab w:val="left" w:pos="426"/>
        </w:tabs>
        <w:rPr>
          <w:b/>
          <w:bCs/>
          <w:caps/>
        </w:rPr>
      </w:pPr>
    </w:p>
    <w:p w14:paraId="06E34A11" w14:textId="77777777" w:rsidR="006B1874" w:rsidRPr="00E33EFF" w:rsidRDefault="006B1874" w:rsidP="006B1874">
      <w:pPr>
        <w:tabs>
          <w:tab w:val="left" w:pos="426"/>
        </w:tabs>
        <w:rPr>
          <w:b/>
          <w:lang w:eastAsia="lt-LT"/>
        </w:rPr>
      </w:pPr>
      <w:r w:rsidRPr="00E33EFF">
        <w:rPr>
          <w:b/>
          <w:lang w:eastAsia="lt-LT"/>
        </w:rPr>
        <w:t>Ekonominės analizės rezultatas</w:t>
      </w:r>
    </w:p>
    <w:p w14:paraId="589D3236" w14:textId="77777777" w:rsidR="006B1874" w:rsidRPr="00E33EFF" w:rsidRDefault="006B1874" w:rsidP="006B1874">
      <w:pPr>
        <w:tabs>
          <w:tab w:val="left" w:pos="426"/>
        </w:tabs>
        <w:rPr>
          <w:b/>
          <w:lang w:eastAsia="lt-LT"/>
        </w:rPr>
      </w:pPr>
    </w:p>
    <w:tbl>
      <w:tblPr>
        <w:tblStyle w:val="Lentelstinklelis"/>
        <w:tblW w:w="5000" w:type="pct"/>
        <w:tblLook w:val="04A0" w:firstRow="1" w:lastRow="0" w:firstColumn="1" w:lastColumn="0" w:noHBand="0" w:noVBand="1"/>
      </w:tblPr>
      <w:tblGrid>
        <w:gridCol w:w="2227"/>
        <w:gridCol w:w="1812"/>
        <w:gridCol w:w="1533"/>
        <w:gridCol w:w="2091"/>
        <w:gridCol w:w="1966"/>
      </w:tblGrid>
      <w:tr w:rsidR="006B1874" w:rsidRPr="00060920" w14:paraId="3D764D95" w14:textId="77777777" w:rsidTr="0023750A">
        <w:trPr>
          <w:trHeight w:val="353"/>
          <w:tblHeader/>
        </w:trPr>
        <w:tc>
          <w:tcPr>
            <w:tcW w:w="1156" w:type="pct"/>
            <w:noWrap/>
            <w:hideMark/>
          </w:tcPr>
          <w:p w14:paraId="219C18C3" w14:textId="77777777" w:rsidR="006B1874" w:rsidRPr="00060920" w:rsidRDefault="006B1874" w:rsidP="0023750A">
            <w:pPr>
              <w:rPr>
                <w:b/>
                <w:bCs/>
                <w:sz w:val="20"/>
              </w:rPr>
            </w:pPr>
            <w:r w:rsidRPr="00060920">
              <w:rPr>
                <w:b/>
                <w:bCs/>
                <w:sz w:val="20"/>
              </w:rPr>
              <w:t>Drug</w:t>
            </w:r>
          </w:p>
        </w:tc>
        <w:tc>
          <w:tcPr>
            <w:tcW w:w="941" w:type="pct"/>
            <w:hideMark/>
          </w:tcPr>
          <w:p w14:paraId="7C6EADD4" w14:textId="77777777" w:rsidR="006B1874" w:rsidRPr="00060920" w:rsidRDefault="006B1874" w:rsidP="0023750A">
            <w:pPr>
              <w:jc w:val="center"/>
              <w:rPr>
                <w:b/>
                <w:bCs/>
                <w:sz w:val="20"/>
              </w:rPr>
            </w:pPr>
            <w:r w:rsidRPr="00060920">
              <w:rPr>
                <w:b/>
                <w:bCs/>
                <w:sz w:val="20"/>
              </w:rPr>
              <w:t>Costs per dose (</w:t>
            </w:r>
            <w:r w:rsidRPr="00060920">
              <w:rPr>
                <w:sz w:val="20"/>
              </w:rPr>
              <w:t>€</w:t>
            </w:r>
            <w:r w:rsidRPr="00060920">
              <w:rPr>
                <w:b/>
                <w:bCs/>
                <w:sz w:val="20"/>
              </w:rPr>
              <w:t>)</w:t>
            </w:r>
          </w:p>
        </w:tc>
        <w:tc>
          <w:tcPr>
            <w:tcW w:w="796" w:type="pct"/>
            <w:hideMark/>
          </w:tcPr>
          <w:p w14:paraId="3D0F98AC" w14:textId="77777777" w:rsidR="006B1874" w:rsidRPr="00060920" w:rsidRDefault="006B1874" w:rsidP="0023750A">
            <w:pPr>
              <w:jc w:val="center"/>
              <w:rPr>
                <w:b/>
                <w:bCs/>
                <w:sz w:val="20"/>
              </w:rPr>
            </w:pPr>
            <w:r w:rsidRPr="00060920">
              <w:rPr>
                <w:b/>
                <w:bCs/>
                <w:sz w:val="20"/>
              </w:rPr>
              <w:t>Doses per year</w:t>
            </w:r>
          </w:p>
        </w:tc>
        <w:tc>
          <w:tcPr>
            <w:tcW w:w="1086" w:type="pct"/>
            <w:hideMark/>
          </w:tcPr>
          <w:p w14:paraId="1A60E5AA" w14:textId="77777777" w:rsidR="006B1874" w:rsidRPr="00060920" w:rsidRDefault="006B1874" w:rsidP="0023750A">
            <w:pPr>
              <w:jc w:val="center"/>
              <w:rPr>
                <w:b/>
                <w:bCs/>
                <w:sz w:val="20"/>
              </w:rPr>
            </w:pPr>
            <w:r w:rsidRPr="00060920">
              <w:rPr>
                <w:b/>
                <w:bCs/>
                <w:sz w:val="20"/>
              </w:rPr>
              <w:t>Annual costs (</w:t>
            </w:r>
            <w:r w:rsidRPr="00060920">
              <w:rPr>
                <w:sz w:val="20"/>
              </w:rPr>
              <w:t>€)</w:t>
            </w:r>
          </w:p>
        </w:tc>
        <w:tc>
          <w:tcPr>
            <w:tcW w:w="1021" w:type="pct"/>
            <w:hideMark/>
          </w:tcPr>
          <w:p w14:paraId="125762CF" w14:textId="77777777" w:rsidR="006B1874" w:rsidRPr="00060920" w:rsidRDefault="006B1874" w:rsidP="0023750A">
            <w:pPr>
              <w:jc w:val="center"/>
              <w:rPr>
                <w:b/>
                <w:bCs/>
                <w:sz w:val="20"/>
              </w:rPr>
            </w:pPr>
            <w:r w:rsidRPr="00060920">
              <w:rPr>
                <w:b/>
                <w:bCs/>
                <w:sz w:val="20"/>
              </w:rPr>
              <w:t>Cost difference (%)</w:t>
            </w:r>
          </w:p>
        </w:tc>
      </w:tr>
      <w:tr w:rsidR="006B1874" w:rsidRPr="00060920" w14:paraId="38240F24" w14:textId="77777777" w:rsidTr="0023750A">
        <w:trPr>
          <w:trHeight w:val="58"/>
          <w:tblHeader/>
        </w:trPr>
        <w:tc>
          <w:tcPr>
            <w:tcW w:w="5000" w:type="pct"/>
            <w:gridSpan w:val="5"/>
            <w:noWrap/>
          </w:tcPr>
          <w:p w14:paraId="7E8B114F" w14:textId="77777777" w:rsidR="006B1874" w:rsidRPr="00060920" w:rsidRDefault="006B1874" w:rsidP="0023750A">
            <w:pPr>
              <w:jc w:val="center"/>
              <w:rPr>
                <w:b/>
                <w:bCs/>
                <w:caps/>
                <w:sz w:val="20"/>
              </w:rPr>
            </w:pPr>
            <w:r w:rsidRPr="00060920">
              <w:rPr>
                <w:b/>
                <w:bCs/>
                <w:caps/>
                <w:sz w:val="20"/>
              </w:rPr>
              <w:t>Intervention</w:t>
            </w:r>
          </w:p>
        </w:tc>
      </w:tr>
      <w:tr w:rsidR="006B1874" w:rsidRPr="00060920" w14:paraId="0A9B13B8" w14:textId="77777777" w:rsidTr="0023750A">
        <w:trPr>
          <w:trHeight w:val="263"/>
          <w:tblHeader/>
        </w:trPr>
        <w:tc>
          <w:tcPr>
            <w:tcW w:w="5000" w:type="pct"/>
            <w:gridSpan w:val="5"/>
            <w:noWrap/>
          </w:tcPr>
          <w:p w14:paraId="5A65B344" w14:textId="77777777" w:rsidR="006B1874" w:rsidRPr="00060920" w:rsidRDefault="006B1874" w:rsidP="0023750A">
            <w:pPr>
              <w:rPr>
                <w:b/>
                <w:bCs/>
                <w:sz w:val="20"/>
              </w:rPr>
            </w:pPr>
            <w:r w:rsidRPr="00060920">
              <w:rPr>
                <w:b/>
                <w:bCs/>
                <w:sz w:val="20"/>
              </w:rPr>
              <w:t>Tislelizumab + ChT</w:t>
            </w:r>
          </w:p>
        </w:tc>
      </w:tr>
      <w:tr w:rsidR="006B1874" w:rsidRPr="00060920" w14:paraId="7AA87DBE" w14:textId="77777777" w:rsidTr="0023750A">
        <w:trPr>
          <w:trHeight w:val="283"/>
        </w:trPr>
        <w:tc>
          <w:tcPr>
            <w:tcW w:w="1156" w:type="pct"/>
            <w:tcBorders>
              <w:bottom w:val="single" w:sz="4" w:space="0" w:color="auto"/>
            </w:tcBorders>
            <w:hideMark/>
          </w:tcPr>
          <w:p w14:paraId="7A502F6A" w14:textId="77777777" w:rsidR="006B1874" w:rsidRPr="00060920" w:rsidRDefault="006B1874" w:rsidP="0023750A">
            <w:pPr>
              <w:rPr>
                <w:sz w:val="20"/>
              </w:rPr>
            </w:pPr>
            <w:r w:rsidRPr="00060920">
              <w:rPr>
                <w:sz w:val="20"/>
              </w:rPr>
              <w:t xml:space="preserve">Tislelizumab </w:t>
            </w:r>
          </w:p>
        </w:tc>
        <w:tc>
          <w:tcPr>
            <w:tcW w:w="941" w:type="pct"/>
            <w:tcBorders>
              <w:bottom w:val="single" w:sz="4" w:space="0" w:color="auto"/>
            </w:tcBorders>
            <w:hideMark/>
          </w:tcPr>
          <w:p w14:paraId="7137F0D6" w14:textId="0117A346" w:rsidR="006B1874" w:rsidRPr="00060920" w:rsidRDefault="00831B12" w:rsidP="0023750A">
            <w:pPr>
              <w:rPr>
                <w:sz w:val="20"/>
              </w:rPr>
            </w:pPr>
            <w:r>
              <w:rPr>
                <w:sz w:val="20"/>
              </w:rPr>
              <w:t>****</w:t>
            </w:r>
          </w:p>
        </w:tc>
        <w:tc>
          <w:tcPr>
            <w:tcW w:w="796" w:type="pct"/>
            <w:tcBorders>
              <w:bottom w:val="single" w:sz="4" w:space="0" w:color="auto"/>
            </w:tcBorders>
            <w:hideMark/>
          </w:tcPr>
          <w:p w14:paraId="0A1F4159" w14:textId="2F47D0DB" w:rsidR="006B1874" w:rsidRPr="00060920" w:rsidRDefault="00831B12" w:rsidP="0023750A">
            <w:pPr>
              <w:jc w:val="center"/>
              <w:rPr>
                <w:sz w:val="20"/>
              </w:rPr>
            </w:pPr>
            <w:r>
              <w:rPr>
                <w:sz w:val="20"/>
              </w:rPr>
              <w:t>****</w:t>
            </w:r>
          </w:p>
        </w:tc>
        <w:tc>
          <w:tcPr>
            <w:tcW w:w="1086" w:type="pct"/>
            <w:hideMark/>
          </w:tcPr>
          <w:p w14:paraId="6C1AB3B1" w14:textId="24DBDA5C" w:rsidR="006B1874" w:rsidRPr="00060920" w:rsidRDefault="00831B12" w:rsidP="0023750A">
            <w:pPr>
              <w:rPr>
                <w:sz w:val="20"/>
              </w:rPr>
            </w:pPr>
            <w:r>
              <w:rPr>
                <w:sz w:val="20"/>
              </w:rPr>
              <w:t>*****</w:t>
            </w:r>
          </w:p>
        </w:tc>
        <w:tc>
          <w:tcPr>
            <w:tcW w:w="1021" w:type="pct"/>
            <w:vMerge w:val="restart"/>
            <w:hideMark/>
          </w:tcPr>
          <w:p w14:paraId="576C8EA0" w14:textId="77777777" w:rsidR="006B1874" w:rsidRPr="00060920" w:rsidRDefault="006B1874" w:rsidP="0023750A">
            <w:pPr>
              <w:rPr>
                <w:sz w:val="20"/>
              </w:rPr>
            </w:pPr>
            <w:r w:rsidRPr="00060920">
              <w:rPr>
                <w:sz w:val="20"/>
              </w:rPr>
              <w:t>-</w:t>
            </w:r>
          </w:p>
        </w:tc>
      </w:tr>
      <w:tr w:rsidR="006B1874" w:rsidRPr="00060920" w14:paraId="5858E8E1" w14:textId="77777777" w:rsidTr="0023750A">
        <w:trPr>
          <w:trHeight w:val="283"/>
        </w:trPr>
        <w:tc>
          <w:tcPr>
            <w:tcW w:w="1156" w:type="pct"/>
            <w:tcBorders>
              <w:bottom w:val="single" w:sz="4" w:space="0" w:color="auto"/>
            </w:tcBorders>
          </w:tcPr>
          <w:p w14:paraId="2CECD843" w14:textId="77777777" w:rsidR="006B1874" w:rsidRPr="00060920" w:rsidRDefault="006B1874" w:rsidP="0023750A">
            <w:pPr>
              <w:rPr>
                <w:sz w:val="20"/>
              </w:rPr>
            </w:pPr>
            <w:r w:rsidRPr="00060920">
              <w:rPr>
                <w:sz w:val="20"/>
              </w:rPr>
              <w:lastRenderedPageBreak/>
              <w:t>Chemotherapy (ChT)</w:t>
            </w:r>
          </w:p>
        </w:tc>
        <w:tc>
          <w:tcPr>
            <w:tcW w:w="941" w:type="pct"/>
            <w:tcBorders>
              <w:bottom w:val="single" w:sz="4" w:space="0" w:color="auto"/>
            </w:tcBorders>
          </w:tcPr>
          <w:p w14:paraId="15314E18" w14:textId="70B05321" w:rsidR="006B1874" w:rsidRPr="00060920" w:rsidRDefault="00712FF5" w:rsidP="0023750A">
            <w:pPr>
              <w:rPr>
                <w:sz w:val="20"/>
              </w:rPr>
            </w:pPr>
            <w:r>
              <w:rPr>
                <w:sz w:val="20"/>
              </w:rPr>
              <w:t>****</w:t>
            </w:r>
          </w:p>
        </w:tc>
        <w:tc>
          <w:tcPr>
            <w:tcW w:w="796" w:type="pct"/>
            <w:tcBorders>
              <w:bottom w:val="single" w:sz="4" w:space="0" w:color="auto"/>
            </w:tcBorders>
          </w:tcPr>
          <w:p w14:paraId="1F8DBAB3" w14:textId="0D81CD00" w:rsidR="006B1874" w:rsidRPr="00060920" w:rsidRDefault="00712FF5" w:rsidP="0023750A">
            <w:pPr>
              <w:jc w:val="center"/>
              <w:rPr>
                <w:sz w:val="20"/>
              </w:rPr>
            </w:pPr>
            <w:r>
              <w:rPr>
                <w:sz w:val="20"/>
              </w:rPr>
              <w:t>****</w:t>
            </w:r>
          </w:p>
        </w:tc>
        <w:tc>
          <w:tcPr>
            <w:tcW w:w="1086" w:type="pct"/>
          </w:tcPr>
          <w:p w14:paraId="1B401F8D" w14:textId="5A281DFD" w:rsidR="006B1874" w:rsidRPr="00060920" w:rsidRDefault="00712FF5" w:rsidP="0023750A">
            <w:pPr>
              <w:rPr>
                <w:sz w:val="20"/>
              </w:rPr>
            </w:pPr>
            <w:r>
              <w:rPr>
                <w:sz w:val="20"/>
              </w:rPr>
              <w:t>****</w:t>
            </w:r>
          </w:p>
        </w:tc>
        <w:tc>
          <w:tcPr>
            <w:tcW w:w="1021" w:type="pct"/>
            <w:vMerge/>
          </w:tcPr>
          <w:p w14:paraId="06071262" w14:textId="77777777" w:rsidR="006B1874" w:rsidRPr="00060920" w:rsidRDefault="006B1874" w:rsidP="0023750A">
            <w:pPr>
              <w:rPr>
                <w:sz w:val="20"/>
              </w:rPr>
            </w:pPr>
          </w:p>
        </w:tc>
      </w:tr>
      <w:tr w:rsidR="006B1874" w:rsidRPr="00060920" w14:paraId="27EBF1A3" w14:textId="77777777" w:rsidTr="0023750A">
        <w:trPr>
          <w:trHeight w:val="221"/>
        </w:trPr>
        <w:tc>
          <w:tcPr>
            <w:tcW w:w="2893" w:type="pct"/>
            <w:gridSpan w:val="3"/>
            <w:tcBorders>
              <w:bottom w:val="single" w:sz="4" w:space="0" w:color="auto"/>
            </w:tcBorders>
          </w:tcPr>
          <w:p w14:paraId="65EAF12D" w14:textId="77777777" w:rsidR="006B1874" w:rsidRPr="00060920" w:rsidRDefault="006B1874" w:rsidP="0023750A">
            <w:pPr>
              <w:jc w:val="right"/>
              <w:rPr>
                <w:b/>
                <w:bCs/>
                <w:sz w:val="20"/>
              </w:rPr>
            </w:pPr>
            <w:r w:rsidRPr="00060920">
              <w:rPr>
                <w:b/>
                <w:bCs/>
                <w:sz w:val="20"/>
              </w:rPr>
              <w:t>Total annual costs</w:t>
            </w:r>
          </w:p>
        </w:tc>
        <w:tc>
          <w:tcPr>
            <w:tcW w:w="2107" w:type="pct"/>
            <w:gridSpan w:val="2"/>
          </w:tcPr>
          <w:p w14:paraId="01334BB4" w14:textId="4EAB505E" w:rsidR="006B1874" w:rsidRPr="00060920" w:rsidRDefault="00712FF5" w:rsidP="0023750A">
            <w:pPr>
              <w:rPr>
                <w:b/>
                <w:bCs/>
                <w:sz w:val="20"/>
              </w:rPr>
            </w:pPr>
            <w:r>
              <w:rPr>
                <w:b/>
                <w:bCs/>
                <w:sz w:val="20"/>
              </w:rPr>
              <w:t>****</w:t>
            </w:r>
          </w:p>
        </w:tc>
      </w:tr>
      <w:tr w:rsidR="006B1874" w:rsidRPr="00060920" w14:paraId="57038943" w14:textId="77777777" w:rsidTr="0023750A">
        <w:trPr>
          <w:trHeight w:val="221"/>
        </w:trPr>
        <w:tc>
          <w:tcPr>
            <w:tcW w:w="5000" w:type="pct"/>
            <w:gridSpan w:val="5"/>
            <w:tcBorders>
              <w:bottom w:val="single" w:sz="4" w:space="0" w:color="auto"/>
            </w:tcBorders>
          </w:tcPr>
          <w:p w14:paraId="21A1CB5E" w14:textId="77777777" w:rsidR="006B1874" w:rsidRPr="00060920" w:rsidRDefault="006B1874" w:rsidP="0023750A">
            <w:pPr>
              <w:jc w:val="center"/>
              <w:rPr>
                <w:b/>
                <w:bCs/>
                <w:caps/>
                <w:sz w:val="20"/>
              </w:rPr>
            </w:pPr>
            <w:r w:rsidRPr="00060920">
              <w:rPr>
                <w:b/>
                <w:bCs/>
                <w:caps/>
                <w:sz w:val="20"/>
              </w:rPr>
              <w:t>Comparators</w:t>
            </w:r>
          </w:p>
        </w:tc>
      </w:tr>
      <w:tr w:rsidR="006B1874" w:rsidRPr="00060920" w14:paraId="7C2F769B" w14:textId="77777777" w:rsidTr="0023750A">
        <w:trPr>
          <w:trHeight w:val="221"/>
        </w:trPr>
        <w:tc>
          <w:tcPr>
            <w:tcW w:w="5000" w:type="pct"/>
            <w:gridSpan w:val="5"/>
            <w:tcBorders>
              <w:bottom w:val="single" w:sz="4" w:space="0" w:color="auto"/>
            </w:tcBorders>
          </w:tcPr>
          <w:p w14:paraId="3DB5A2B3" w14:textId="77777777" w:rsidR="006B1874" w:rsidRPr="00060920" w:rsidRDefault="006B1874" w:rsidP="0023750A">
            <w:pPr>
              <w:rPr>
                <w:b/>
                <w:bCs/>
                <w:sz w:val="20"/>
              </w:rPr>
            </w:pPr>
            <w:r w:rsidRPr="00060920">
              <w:rPr>
                <w:b/>
                <w:bCs/>
                <w:sz w:val="20"/>
              </w:rPr>
              <w:t>Pembrolizumab + ChT</w:t>
            </w:r>
          </w:p>
        </w:tc>
      </w:tr>
      <w:tr w:rsidR="006B1874" w:rsidRPr="00060920" w14:paraId="156B89C8" w14:textId="77777777" w:rsidTr="0023750A">
        <w:trPr>
          <w:trHeight w:val="209"/>
        </w:trPr>
        <w:tc>
          <w:tcPr>
            <w:tcW w:w="1156" w:type="pct"/>
            <w:tcBorders>
              <w:bottom w:val="single" w:sz="4" w:space="0" w:color="auto"/>
            </w:tcBorders>
            <w:hideMark/>
          </w:tcPr>
          <w:p w14:paraId="43E60062" w14:textId="77777777" w:rsidR="006B1874" w:rsidRPr="00060920" w:rsidRDefault="006B1874" w:rsidP="0023750A">
            <w:pPr>
              <w:rPr>
                <w:sz w:val="20"/>
              </w:rPr>
            </w:pPr>
            <w:r w:rsidRPr="00060920">
              <w:rPr>
                <w:sz w:val="20"/>
              </w:rPr>
              <w:t>Pembrolizumab</w:t>
            </w:r>
          </w:p>
        </w:tc>
        <w:tc>
          <w:tcPr>
            <w:tcW w:w="941" w:type="pct"/>
            <w:tcBorders>
              <w:bottom w:val="single" w:sz="4" w:space="0" w:color="auto"/>
            </w:tcBorders>
            <w:hideMark/>
          </w:tcPr>
          <w:p w14:paraId="69A994FA" w14:textId="5FFCC12D" w:rsidR="006B1874" w:rsidRPr="0041789E" w:rsidRDefault="006B1874" w:rsidP="0023750A">
            <w:pPr>
              <w:tabs>
                <w:tab w:val="left" w:pos="567"/>
              </w:tabs>
              <w:jc w:val="both"/>
              <w:rPr>
                <w:iCs/>
                <w:lang w:eastAsia="lt-LT"/>
              </w:rPr>
            </w:pPr>
            <w:r>
              <w:rPr>
                <w:iCs/>
                <w:lang w:eastAsia="lt-LT"/>
              </w:rPr>
              <w:t>****</w:t>
            </w:r>
          </w:p>
        </w:tc>
        <w:tc>
          <w:tcPr>
            <w:tcW w:w="796" w:type="pct"/>
            <w:tcBorders>
              <w:bottom w:val="single" w:sz="4" w:space="0" w:color="auto"/>
            </w:tcBorders>
            <w:hideMark/>
          </w:tcPr>
          <w:p w14:paraId="29C531CF" w14:textId="7A18E04D" w:rsidR="006B1874" w:rsidRPr="00060920" w:rsidRDefault="00712FF5" w:rsidP="0023750A">
            <w:pPr>
              <w:jc w:val="center"/>
              <w:rPr>
                <w:sz w:val="20"/>
              </w:rPr>
            </w:pPr>
            <w:r>
              <w:rPr>
                <w:sz w:val="20"/>
              </w:rPr>
              <w:t>****</w:t>
            </w:r>
          </w:p>
        </w:tc>
        <w:tc>
          <w:tcPr>
            <w:tcW w:w="1086" w:type="pct"/>
            <w:tcBorders>
              <w:bottom w:val="single" w:sz="4" w:space="0" w:color="auto"/>
            </w:tcBorders>
            <w:hideMark/>
          </w:tcPr>
          <w:p w14:paraId="0D1496C3" w14:textId="77777777" w:rsidR="006B1874" w:rsidRPr="0041789E" w:rsidRDefault="006B1874" w:rsidP="0023750A">
            <w:pPr>
              <w:tabs>
                <w:tab w:val="left" w:pos="567"/>
              </w:tabs>
              <w:jc w:val="both"/>
              <w:rPr>
                <w:iCs/>
                <w:lang w:eastAsia="lt-LT"/>
              </w:rPr>
            </w:pPr>
            <w:r>
              <w:rPr>
                <w:iCs/>
                <w:lang w:eastAsia="lt-LT"/>
              </w:rPr>
              <w:t>*****</w:t>
            </w:r>
          </w:p>
        </w:tc>
        <w:tc>
          <w:tcPr>
            <w:tcW w:w="1021" w:type="pct"/>
            <w:vMerge w:val="restart"/>
            <w:hideMark/>
          </w:tcPr>
          <w:p w14:paraId="69E87208" w14:textId="02B4754A" w:rsidR="006B1874" w:rsidRPr="00060920" w:rsidRDefault="00712FF5" w:rsidP="0023750A">
            <w:pPr>
              <w:rPr>
                <w:sz w:val="20"/>
              </w:rPr>
            </w:pPr>
            <w:r>
              <w:rPr>
                <w:sz w:val="20"/>
              </w:rPr>
              <w:t>****</w:t>
            </w:r>
          </w:p>
        </w:tc>
      </w:tr>
      <w:tr w:rsidR="006B1874" w:rsidRPr="00060920" w14:paraId="179E7822" w14:textId="77777777" w:rsidTr="0023750A">
        <w:trPr>
          <w:trHeight w:val="240"/>
        </w:trPr>
        <w:tc>
          <w:tcPr>
            <w:tcW w:w="1156" w:type="pct"/>
            <w:tcBorders>
              <w:bottom w:val="single" w:sz="4" w:space="0" w:color="auto"/>
            </w:tcBorders>
          </w:tcPr>
          <w:p w14:paraId="59916E35" w14:textId="77777777" w:rsidR="006B1874" w:rsidRPr="00060920" w:rsidRDefault="006B1874" w:rsidP="0023750A">
            <w:pPr>
              <w:rPr>
                <w:sz w:val="20"/>
              </w:rPr>
            </w:pPr>
            <w:r w:rsidRPr="00060920">
              <w:rPr>
                <w:sz w:val="20"/>
              </w:rPr>
              <w:t>Chemotherapy (ChT)</w:t>
            </w:r>
          </w:p>
        </w:tc>
        <w:tc>
          <w:tcPr>
            <w:tcW w:w="941" w:type="pct"/>
            <w:tcBorders>
              <w:bottom w:val="single" w:sz="4" w:space="0" w:color="auto"/>
            </w:tcBorders>
          </w:tcPr>
          <w:p w14:paraId="3B3DDC11" w14:textId="258AFC46" w:rsidR="006B1874" w:rsidRPr="00060920" w:rsidRDefault="00712FF5" w:rsidP="0023750A">
            <w:pPr>
              <w:rPr>
                <w:sz w:val="20"/>
              </w:rPr>
            </w:pPr>
            <w:r>
              <w:rPr>
                <w:sz w:val="20"/>
              </w:rPr>
              <w:t>****</w:t>
            </w:r>
          </w:p>
        </w:tc>
        <w:tc>
          <w:tcPr>
            <w:tcW w:w="796" w:type="pct"/>
            <w:tcBorders>
              <w:bottom w:val="single" w:sz="4" w:space="0" w:color="auto"/>
            </w:tcBorders>
          </w:tcPr>
          <w:p w14:paraId="4F3058D5" w14:textId="1E12F163" w:rsidR="006B1874" w:rsidRPr="00060920" w:rsidRDefault="00712FF5" w:rsidP="0023750A">
            <w:pPr>
              <w:jc w:val="center"/>
              <w:rPr>
                <w:sz w:val="20"/>
              </w:rPr>
            </w:pPr>
            <w:r>
              <w:rPr>
                <w:sz w:val="20"/>
              </w:rPr>
              <w:t>****</w:t>
            </w:r>
          </w:p>
        </w:tc>
        <w:tc>
          <w:tcPr>
            <w:tcW w:w="1086" w:type="pct"/>
            <w:tcBorders>
              <w:bottom w:val="single" w:sz="4" w:space="0" w:color="auto"/>
            </w:tcBorders>
          </w:tcPr>
          <w:p w14:paraId="0CCCC95C" w14:textId="1D9D5106" w:rsidR="006B1874" w:rsidRPr="00060920" w:rsidRDefault="002B11FD" w:rsidP="0023750A">
            <w:pPr>
              <w:rPr>
                <w:sz w:val="20"/>
              </w:rPr>
            </w:pPr>
            <w:r>
              <w:rPr>
                <w:sz w:val="20"/>
              </w:rPr>
              <w:t>******</w:t>
            </w:r>
          </w:p>
        </w:tc>
        <w:tc>
          <w:tcPr>
            <w:tcW w:w="1021" w:type="pct"/>
            <w:vMerge/>
          </w:tcPr>
          <w:p w14:paraId="27558A11" w14:textId="77777777" w:rsidR="006B1874" w:rsidRPr="00060920" w:rsidRDefault="006B1874" w:rsidP="0023750A">
            <w:pPr>
              <w:rPr>
                <w:sz w:val="20"/>
              </w:rPr>
            </w:pPr>
          </w:p>
        </w:tc>
      </w:tr>
      <w:tr w:rsidR="006B1874" w:rsidRPr="00060920" w14:paraId="36A298B1" w14:textId="77777777" w:rsidTr="0023750A">
        <w:trPr>
          <w:trHeight w:val="147"/>
        </w:trPr>
        <w:tc>
          <w:tcPr>
            <w:tcW w:w="2893" w:type="pct"/>
            <w:gridSpan w:val="3"/>
            <w:tcBorders>
              <w:bottom w:val="single" w:sz="4" w:space="0" w:color="auto"/>
            </w:tcBorders>
          </w:tcPr>
          <w:p w14:paraId="35736E8B" w14:textId="77777777" w:rsidR="006B1874" w:rsidRPr="00060920" w:rsidRDefault="006B1874" w:rsidP="0023750A">
            <w:pPr>
              <w:jc w:val="right"/>
              <w:rPr>
                <w:sz w:val="20"/>
              </w:rPr>
            </w:pPr>
            <w:r w:rsidRPr="00060920">
              <w:rPr>
                <w:sz w:val="20"/>
              </w:rPr>
              <w:t>Total annual costs</w:t>
            </w:r>
          </w:p>
        </w:tc>
        <w:tc>
          <w:tcPr>
            <w:tcW w:w="2107" w:type="pct"/>
            <w:gridSpan w:val="2"/>
            <w:tcBorders>
              <w:bottom w:val="single" w:sz="4" w:space="0" w:color="auto"/>
            </w:tcBorders>
          </w:tcPr>
          <w:p w14:paraId="28649B32" w14:textId="77777777" w:rsidR="006B1874" w:rsidRPr="0041789E" w:rsidRDefault="006B1874" w:rsidP="0023750A">
            <w:pPr>
              <w:tabs>
                <w:tab w:val="left" w:pos="567"/>
              </w:tabs>
              <w:jc w:val="both"/>
              <w:rPr>
                <w:iCs/>
                <w:lang w:eastAsia="lt-LT"/>
              </w:rPr>
            </w:pPr>
            <w:r>
              <w:rPr>
                <w:iCs/>
                <w:lang w:eastAsia="lt-LT"/>
              </w:rPr>
              <w:t>*****</w:t>
            </w:r>
          </w:p>
        </w:tc>
      </w:tr>
      <w:tr w:rsidR="006B1874" w:rsidRPr="00060920" w14:paraId="290B688B" w14:textId="77777777" w:rsidTr="0023750A">
        <w:trPr>
          <w:trHeight w:val="300"/>
        </w:trPr>
        <w:tc>
          <w:tcPr>
            <w:tcW w:w="5000" w:type="pct"/>
            <w:gridSpan w:val="5"/>
            <w:tcBorders>
              <w:bottom w:val="single" w:sz="4" w:space="0" w:color="auto"/>
            </w:tcBorders>
          </w:tcPr>
          <w:p w14:paraId="16C89BBD" w14:textId="77777777" w:rsidR="006B1874" w:rsidRPr="00060920" w:rsidRDefault="006B1874" w:rsidP="0023750A">
            <w:pPr>
              <w:rPr>
                <w:b/>
                <w:bCs/>
                <w:sz w:val="20"/>
              </w:rPr>
            </w:pPr>
            <w:r w:rsidRPr="00060920">
              <w:rPr>
                <w:b/>
                <w:bCs/>
                <w:sz w:val="20"/>
              </w:rPr>
              <w:t>Atezolizumab+ChT+Bevacizumab</w:t>
            </w:r>
          </w:p>
        </w:tc>
      </w:tr>
      <w:tr w:rsidR="006B1874" w:rsidRPr="00060920" w14:paraId="4A285513" w14:textId="77777777" w:rsidTr="0023750A">
        <w:trPr>
          <w:trHeight w:val="209"/>
        </w:trPr>
        <w:tc>
          <w:tcPr>
            <w:tcW w:w="1156" w:type="pct"/>
            <w:tcBorders>
              <w:bottom w:val="single" w:sz="4" w:space="0" w:color="auto"/>
            </w:tcBorders>
            <w:hideMark/>
          </w:tcPr>
          <w:p w14:paraId="35B66FE4" w14:textId="77777777" w:rsidR="006B1874" w:rsidRPr="00060920" w:rsidRDefault="006B1874" w:rsidP="0023750A">
            <w:pPr>
              <w:rPr>
                <w:sz w:val="20"/>
              </w:rPr>
            </w:pPr>
            <w:r w:rsidRPr="00060920">
              <w:rPr>
                <w:sz w:val="20"/>
              </w:rPr>
              <w:t>Atezolizumab</w:t>
            </w:r>
          </w:p>
        </w:tc>
        <w:tc>
          <w:tcPr>
            <w:tcW w:w="941" w:type="pct"/>
            <w:tcBorders>
              <w:bottom w:val="single" w:sz="4" w:space="0" w:color="auto"/>
            </w:tcBorders>
            <w:hideMark/>
          </w:tcPr>
          <w:p w14:paraId="32EF5E0A" w14:textId="77777777" w:rsidR="006B1874" w:rsidRPr="0041789E" w:rsidRDefault="006B1874" w:rsidP="0023750A">
            <w:pPr>
              <w:tabs>
                <w:tab w:val="left" w:pos="567"/>
              </w:tabs>
              <w:jc w:val="both"/>
              <w:rPr>
                <w:iCs/>
                <w:lang w:eastAsia="lt-LT"/>
              </w:rPr>
            </w:pPr>
            <w:r>
              <w:rPr>
                <w:iCs/>
                <w:lang w:eastAsia="lt-LT"/>
              </w:rPr>
              <w:t>*****</w:t>
            </w:r>
          </w:p>
        </w:tc>
        <w:tc>
          <w:tcPr>
            <w:tcW w:w="796" w:type="pct"/>
            <w:tcBorders>
              <w:bottom w:val="single" w:sz="4" w:space="0" w:color="auto"/>
            </w:tcBorders>
            <w:hideMark/>
          </w:tcPr>
          <w:p w14:paraId="23F761CD" w14:textId="53E44136" w:rsidR="006B1874" w:rsidRPr="00060920" w:rsidRDefault="00712FF5" w:rsidP="0023750A">
            <w:pPr>
              <w:jc w:val="center"/>
              <w:rPr>
                <w:sz w:val="20"/>
              </w:rPr>
            </w:pPr>
            <w:r>
              <w:rPr>
                <w:sz w:val="20"/>
              </w:rPr>
              <w:t>****</w:t>
            </w:r>
          </w:p>
        </w:tc>
        <w:tc>
          <w:tcPr>
            <w:tcW w:w="1086" w:type="pct"/>
            <w:tcBorders>
              <w:bottom w:val="single" w:sz="4" w:space="0" w:color="auto"/>
            </w:tcBorders>
            <w:hideMark/>
          </w:tcPr>
          <w:p w14:paraId="646FC9D7" w14:textId="77777777" w:rsidR="006B1874" w:rsidRPr="0041789E" w:rsidRDefault="006B1874" w:rsidP="0023750A">
            <w:pPr>
              <w:tabs>
                <w:tab w:val="left" w:pos="567"/>
              </w:tabs>
              <w:jc w:val="both"/>
              <w:rPr>
                <w:iCs/>
                <w:lang w:eastAsia="lt-LT"/>
              </w:rPr>
            </w:pPr>
            <w:r>
              <w:rPr>
                <w:iCs/>
                <w:lang w:eastAsia="lt-LT"/>
              </w:rPr>
              <w:t>*****</w:t>
            </w:r>
          </w:p>
        </w:tc>
        <w:tc>
          <w:tcPr>
            <w:tcW w:w="1021" w:type="pct"/>
            <w:vMerge w:val="restart"/>
            <w:hideMark/>
          </w:tcPr>
          <w:p w14:paraId="2F9F2B2D" w14:textId="737A0D8F" w:rsidR="006B1874" w:rsidRDefault="00712FF5" w:rsidP="0023750A">
            <w:pPr>
              <w:rPr>
                <w:sz w:val="20"/>
              </w:rPr>
            </w:pPr>
            <w:r>
              <w:rPr>
                <w:sz w:val="20"/>
              </w:rPr>
              <w:t>****</w:t>
            </w:r>
          </w:p>
          <w:p w14:paraId="084830AC" w14:textId="77777777" w:rsidR="006B1874" w:rsidRPr="00060920" w:rsidRDefault="006B1874" w:rsidP="0023750A">
            <w:pPr>
              <w:rPr>
                <w:sz w:val="20"/>
              </w:rPr>
            </w:pPr>
          </w:p>
          <w:p w14:paraId="547FE95C" w14:textId="77777777" w:rsidR="006B1874" w:rsidRPr="00060920" w:rsidRDefault="006B1874" w:rsidP="0023750A">
            <w:pPr>
              <w:rPr>
                <w:sz w:val="20"/>
              </w:rPr>
            </w:pPr>
          </w:p>
        </w:tc>
      </w:tr>
      <w:tr w:rsidR="006B1874" w:rsidRPr="00060920" w14:paraId="4A23E133" w14:textId="77777777" w:rsidTr="0023750A">
        <w:trPr>
          <w:trHeight w:val="209"/>
        </w:trPr>
        <w:tc>
          <w:tcPr>
            <w:tcW w:w="1156" w:type="pct"/>
            <w:tcBorders>
              <w:bottom w:val="single" w:sz="4" w:space="0" w:color="auto"/>
            </w:tcBorders>
          </w:tcPr>
          <w:p w14:paraId="08548DE7" w14:textId="77777777" w:rsidR="006B1874" w:rsidRPr="00060920" w:rsidRDefault="006B1874" w:rsidP="0023750A">
            <w:pPr>
              <w:rPr>
                <w:sz w:val="20"/>
              </w:rPr>
            </w:pPr>
            <w:r w:rsidRPr="00060920">
              <w:rPr>
                <w:sz w:val="20"/>
              </w:rPr>
              <w:t>Chemotherapy (ChT)</w:t>
            </w:r>
          </w:p>
        </w:tc>
        <w:tc>
          <w:tcPr>
            <w:tcW w:w="941" w:type="pct"/>
            <w:tcBorders>
              <w:bottom w:val="single" w:sz="4" w:space="0" w:color="auto"/>
            </w:tcBorders>
          </w:tcPr>
          <w:p w14:paraId="2ED47BC9" w14:textId="14155CED" w:rsidR="006B1874" w:rsidRPr="00060920" w:rsidRDefault="00712FF5" w:rsidP="0023750A">
            <w:pPr>
              <w:rPr>
                <w:sz w:val="20"/>
              </w:rPr>
            </w:pPr>
            <w:r>
              <w:rPr>
                <w:sz w:val="20"/>
              </w:rPr>
              <w:t>*****</w:t>
            </w:r>
          </w:p>
        </w:tc>
        <w:tc>
          <w:tcPr>
            <w:tcW w:w="796" w:type="pct"/>
            <w:tcBorders>
              <w:bottom w:val="single" w:sz="4" w:space="0" w:color="auto"/>
            </w:tcBorders>
          </w:tcPr>
          <w:p w14:paraId="289D8F95" w14:textId="576138C7" w:rsidR="006B1874" w:rsidRPr="00060920" w:rsidRDefault="00712FF5" w:rsidP="0023750A">
            <w:pPr>
              <w:jc w:val="center"/>
              <w:rPr>
                <w:sz w:val="20"/>
              </w:rPr>
            </w:pPr>
            <w:r>
              <w:rPr>
                <w:sz w:val="20"/>
              </w:rPr>
              <w:t>****</w:t>
            </w:r>
          </w:p>
        </w:tc>
        <w:tc>
          <w:tcPr>
            <w:tcW w:w="1086" w:type="pct"/>
            <w:tcBorders>
              <w:bottom w:val="single" w:sz="4" w:space="0" w:color="auto"/>
            </w:tcBorders>
          </w:tcPr>
          <w:p w14:paraId="3F9A1E7F" w14:textId="03EF72D7" w:rsidR="006B1874" w:rsidRPr="00060920" w:rsidRDefault="00712FF5" w:rsidP="0023750A">
            <w:pPr>
              <w:rPr>
                <w:sz w:val="20"/>
              </w:rPr>
            </w:pPr>
            <w:r>
              <w:rPr>
                <w:sz w:val="20"/>
              </w:rPr>
              <w:t>******</w:t>
            </w:r>
          </w:p>
        </w:tc>
        <w:tc>
          <w:tcPr>
            <w:tcW w:w="1021" w:type="pct"/>
            <w:vMerge/>
          </w:tcPr>
          <w:p w14:paraId="1690C009" w14:textId="77777777" w:rsidR="006B1874" w:rsidRPr="00060920" w:rsidRDefault="006B1874" w:rsidP="0023750A">
            <w:pPr>
              <w:rPr>
                <w:sz w:val="20"/>
              </w:rPr>
            </w:pPr>
          </w:p>
        </w:tc>
      </w:tr>
      <w:tr w:rsidR="006B1874" w:rsidRPr="00060920" w14:paraId="54092124" w14:textId="77777777" w:rsidTr="0023750A">
        <w:trPr>
          <w:trHeight w:val="209"/>
        </w:trPr>
        <w:tc>
          <w:tcPr>
            <w:tcW w:w="1156" w:type="pct"/>
            <w:tcBorders>
              <w:bottom w:val="single" w:sz="4" w:space="0" w:color="auto"/>
            </w:tcBorders>
          </w:tcPr>
          <w:p w14:paraId="5D8349C0" w14:textId="77777777" w:rsidR="006B1874" w:rsidRPr="00060920" w:rsidRDefault="006B1874" w:rsidP="0023750A">
            <w:pPr>
              <w:rPr>
                <w:sz w:val="20"/>
              </w:rPr>
            </w:pPr>
            <w:r w:rsidRPr="00060920">
              <w:rPr>
                <w:sz w:val="20"/>
              </w:rPr>
              <w:t>Bevacizumab</w:t>
            </w:r>
          </w:p>
        </w:tc>
        <w:tc>
          <w:tcPr>
            <w:tcW w:w="941" w:type="pct"/>
            <w:tcBorders>
              <w:bottom w:val="single" w:sz="4" w:space="0" w:color="auto"/>
            </w:tcBorders>
          </w:tcPr>
          <w:p w14:paraId="10B13DFE" w14:textId="77777777" w:rsidR="006B1874" w:rsidRPr="0041789E" w:rsidRDefault="006B1874" w:rsidP="0023750A">
            <w:pPr>
              <w:tabs>
                <w:tab w:val="left" w:pos="567"/>
              </w:tabs>
              <w:jc w:val="both"/>
              <w:rPr>
                <w:iCs/>
                <w:lang w:eastAsia="lt-LT"/>
              </w:rPr>
            </w:pPr>
            <w:r>
              <w:rPr>
                <w:iCs/>
                <w:lang w:eastAsia="lt-LT"/>
              </w:rPr>
              <w:t>*****</w:t>
            </w:r>
          </w:p>
        </w:tc>
        <w:tc>
          <w:tcPr>
            <w:tcW w:w="796" w:type="pct"/>
            <w:tcBorders>
              <w:bottom w:val="single" w:sz="4" w:space="0" w:color="auto"/>
            </w:tcBorders>
          </w:tcPr>
          <w:p w14:paraId="7AA3FAAF" w14:textId="0142FBDF" w:rsidR="006B1874" w:rsidRPr="00060920" w:rsidRDefault="00712FF5" w:rsidP="0023750A">
            <w:pPr>
              <w:jc w:val="center"/>
              <w:rPr>
                <w:sz w:val="20"/>
              </w:rPr>
            </w:pPr>
            <w:r>
              <w:rPr>
                <w:sz w:val="20"/>
              </w:rPr>
              <w:t>****</w:t>
            </w:r>
          </w:p>
        </w:tc>
        <w:tc>
          <w:tcPr>
            <w:tcW w:w="1086" w:type="pct"/>
            <w:tcBorders>
              <w:bottom w:val="single" w:sz="4" w:space="0" w:color="auto"/>
            </w:tcBorders>
          </w:tcPr>
          <w:p w14:paraId="7FD4FB5D" w14:textId="77777777" w:rsidR="006B1874" w:rsidRPr="00060920" w:rsidRDefault="006B1874" w:rsidP="0023750A">
            <w:pPr>
              <w:rPr>
                <w:sz w:val="20"/>
              </w:rPr>
            </w:pPr>
            <w:r>
              <w:rPr>
                <w:iCs/>
                <w:lang w:eastAsia="lt-LT"/>
              </w:rPr>
              <w:t>*****</w:t>
            </w:r>
          </w:p>
        </w:tc>
        <w:tc>
          <w:tcPr>
            <w:tcW w:w="1021" w:type="pct"/>
            <w:vMerge/>
          </w:tcPr>
          <w:p w14:paraId="28BC1F4A" w14:textId="77777777" w:rsidR="006B1874" w:rsidRPr="00060920" w:rsidRDefault="006B1874" w:rsidP="0023750A">
            <w:pPr>
              <w:rPr>
                <w:sz w:val="20"/>
              </w:rPr>
            </w:pPr>
          </w:p>
        </w:tc>
      </w:tr>
      <w:tr w:rsidR="006B1874" w:rsidRPr="00060920" w14:paraId="46511401" w14:textId="77777777" w:rsidTr="0023750A">
        <w:trPr>
          <w:trHeight w:val="151"/>
        </w:trPr>
        <w:tc>
          <w:tcPr>
            <w:tcW w:w="2893" w:type="pct"/>
            <w:gridSpan w:val="3"/>
            <w:tcBorders>
              <w:bottom w:val="single" w:sz="4" w:space="0" w:color="auto"/>
            </w:tcBorders>
          </w:tcPr>
          <w:p w14:paraId="7D4931F3" w14:textId="77777777" w:rsidR="006B1874" w:rsidRPr="00060920" w:rsidRDefault="006B1874" w:rsidP="0023750A">
            <w:pPr>
              <w:jc w:val="right"/>
              <w:rPr>
                <w:sz w:val="20"/>
              </w:rPr>
            </w:pPr>
            <w:r w:rsidRPr="00060920">
              <w:rPr>
                <w:sz w:val="20"/>
              </w:rPr>
              <w:t>Total annual costs</w:t>
            </w:r>
          </w:p>
        </w:tc>
        <w:tc>
          <w:tcPr>
            <w:tcW w:w="2107" w:type="pct"/>
            <w:gridSpan w:val="2"/>
            <w:tcBorders>
              <w:bottom w:val="single" w:sz="4" w:space="0" w:color="auto"/>
            </w:tcBorders>
          </w:tcPr>
          <w:p w14:paraId="7C0E293D" w14:textId="77777777" w:rsidR="006B1874" w:rsidRPr="0041789E" w:rsidRDefault="006B1874" w:rsidP="0023750A">
            <w:pPr>
              <w:tabs>
                <w:tab w:val="left" w:pos="567"/>
              </w:tabs>
              <w:jc w:val="both"/>
              <w:rPr>
                <w:iCs/>
                <w:lang w:eastAsia="lt-LT"/>
              </w:rPr>
            </w:pPr>
            <w:r>
              <w:rPr>
                <w:iCs/>
                <w:lang w:eastAsia="lt-LT"/>
              </w:rPr>
              <w:t>*****</w:t>
            </w:r>
          </w:p>
        </w:tc>
      </w:tr>
      <w:tr w:rsidR="006B1874" w:rsidRPr="00060920" w14:paraId="5B54F919" w14:textId="77777777" w:rsidTr="0023750A">
        <w:trPr>
          <w:trHeight w:val="187"/>
        </w:trPr>
        <w:tc>
          <w:tcPr>
            <w:tcW w:w="2893" w:type="pct"/>
            <w:gridSpan w:val="3"/>
            <w:tcBorders>
              <w:bottom w:val="single" w:sz="4" w:space="0" w:color="auto"/>
            </w:tcBorders>
          </w:tcPr>
          <w:p w14:paraId="2F79342B" w14:textId="77777777" w:rsidR="006B1874" w:rsidRPr="00060920" w:rsidRDefault="006B1874" w:rsidP="0023750A">
            <w:pPr>
              <w:jc w:val="right"/>
              <w:rPr>
                <w:b/>
                <w:bCs/>
                <w:sz w:val="20"/>
              </w:rPr>
            </w:pPr>
            <w:r w:rsidRPr="00060920">
              <w:rPr>
                <w:b/>
                <w:bCs/>
                <w:sz w:val="20"/>
              </w:rPr>
              <w:t>Average annual costs (Pembrolizumab + ChT and Atezolizumab + ChT)</w:t>
            </w:r>
          </w:p>
        </w:tc>
        <w:tc>
          <w:tcPr>
            <w:tcW w:w="2107" w:type="pct"/>
            <w:gridSpan w:val="2"/>
            <w:tcBorders>
              <w:bottom w:val="single" w:sz="4" w:space="0" w:color="auto"/>
            </w:tcBorders>
          </w:tcPr>
          <w:p w14:paraId="57D32C3D" w14:textId="77777777" w:rsidR="006B1874" w:rsidRPr="0041789E" w:rsidRDefault="006B1874" w:rsidP="0023750A">
            <w:pPr>
              <w:tabs>
                <w:tab w:val="left" w:pos="567"/>
              </w:tabs>
              <w:jc w:val="both"/>
              <w:rPr>
                <w:iCs/>
                <w:lang w:eastAsia="lt-LT"/>
              </w:rPr>
            </w:pPr>
            <w:r>
              <w:rPr>
                <w:iCs/>
                <w:lang w:eastAsia="lt-LT"/>
              </w:rPr>
              <w:t>*****</w:t>
            </w:r>
          </w:p>
        </w:tc>
      </w:tr>
    </w:tbl>
    <w:p w14:paraId="65E52539" w14:textId="77777777" w:rsidR="006B1874" w:rsidRPr="00E33EFF" w:rsidRDefault="006B1874" w:rsidP="006B1874">
      <w:pPr>
        <w:tabs>
          <w:tab w:val="left" w:pos="426"/>
        </w:tabs>
        <w:rPr>
          <w:b/>
          <w:bCs/>
          <w:caps/>
        </w:rPr>
      </w:pPr>
    </w:p>
    <w:p w14:paraId="22D1E030" w14:textId="77777777" w:rsidR="006B1874" w:rsidRPr="00E33EFF" w:rsidRDefault="006B1874" w:rsidP="006B1874">
      <w:pPr>
        <w:pStyle w:val="Sraopastraipa"/>
        <w:numPr>
          <w:ilvl w:val="0"/>
          <w:numId w:val="12"/>
        </w:numPr>
        <w:tabs>
          <w:tab w:val="left" w:pos="567"/>
        </w:tabs>
        <w:ind w:hanging="720"/>
        <w:rPr>
          <w:b/>
          <w:bCs/>
          <w:caps/>
        </w:rPr>
      </w:pPr>
      <w:r w:rsidRPr="00E33EFF">
        <w:rPr>
          <w:b/>
          <w:bCs/>
          <w:caps/>
        </w:rPr>
        <w:t xml:space="preserve">Pacientų organizacijų pateikti duomenys </w:t>
      </w:r>
    </w:p>
    <w:p w14:paraId="68925B2A" w14:textId="77777777" w:rsidR="006B1874" w:rsidRPr="00E33EFF" w:rsidRDefault="002B11FD" w:rsidP="006B1874">
      <w:pPr>
        <w:spacing w:after="120"/>
        <w:jc w:val="both"/>
      </w:pPr>
      <w:sdt>
        <w:sdtPr>
          <w:rPr>
            <w:rStyle w:val="Style2"/>
            <w:rFonts w:ascii="MS Gothic" w:eastAsia="MS Gothic" w:hAnsi="MS Gothic"/>
            <w:sz w:val="24"/>
          </w:rPr>
          <w:id w:val="-1944055973"/>
          <w15:color w:val="FFCC00"/>
          <w14:checkbox>
            <w14:checked w14:val="0"/>
            <w14:checkedState w14:val="2612" w14:font="MS Gothic"/>
            <w14:uncheckedState w14:val="2610" w14:font="MS Gothic"/>
          </w14:checkbox>
        </w:sdtPr>
        <w:sdtEndPr>
          <w:rPr>
            <w:rStyle w:val="Style2"/>
          </w:rPr>
        </w:sdtEndPr>
        <w:sdtContent>
          <w:r w:rsidR="006B1874" w:rsidRPr="00E33EFF">
            <w:rPr>
              <w:rStyle w:val="Style2"/>
              <w:rFonts w:ascii="MS Gothic" w:eastAsia="MS Gothic" w:hAnsi="MS Gothic" w:hint="eastAsia"/>
              <w:sz w:val="24"/>
            </w:rPr>
            <w:t>☐</w:t>
          </w:r>
        </w:sdtContent>
      </w:sdt>
      <w:r w:rsidR="006B1874" w:rsidRPr="00E33EFF">
        <w:t xml:space="preserve"> Pacientų organizacijos pozicija pateikta. Žr. priedą.</w:t>
      </w:r>
    </w:p>
    <w:p w14:paraId="51C05045" w14:textId="77777777" w:rsidR="006B1874" w:rsidRPr="00E33EFF" w:rsidRDefault="002B11FD" w:rsidP="006B1874">
      <w:pPr>
        <w:spacing w:after="120"/>
        <w:jc w:val="both"/>
      </w:pPr>
      <w:sdt>
        <w:sdtPr>
          <w:rPr>
            <w:rStyle w:val="Style2"/>
            <w:rFonts w:ascii="MS Gothic" w:eastAsia="MS Gothic" w:hAnsi="MS Gothic"/>
            <w:sz w:val="24"/>
          </w:rPr>
          <w:id w:val="1425384276"/>
          <w15:color w:val="FFCC00"/>
          <w14:checkbox>
            <w14:checked w14:val="1"/>
            <w14:checkedState w14:val="2612" w14:font="MS Gothic"/>
            <w14:uncheckedState w14:val="2610" w14:font="MS Gothic"/>
          </w14:checkbox>
        </w:sdtPr>
        <w:sdtEndPr>
          <w:rPr>
            <w:rStyle w:val="Style2"/>
          </w:rPr>
        </w:sdtEndPr>
        <w:sdtContent>
          <w:r w:rsidR="006B1874">
            <w:rPr>
              <w:rStyle w:val="Style2"/>
              <w:rFonts w:ascii="MS Gothic" w:eastAsia="MS Gothic" w:hAnsi="MS Gothic" w:hint="eastAsia"/>
              <w:sz w:val="24"/>
            </w:rPr>
            <w:t>☒</w:t>
          </w:r>
        </w:sdtContent>
      </w:sdt>
      <w:r w:rsidR="006B1874" w:rsidRPr="00E33EFF">
        <w:t xml:space="preserve"> Pacientų organizacijos pozicija nepateikta.</w:t>
      </w:r>
    </w:p>
    <w:p w14:paraId="59D44420" w14:textId="77777777" w:rsidR="006B1874" w:rsidRPr="00E33EFF" w:rsidRDefault="006B1874" w:rsidP="006B1874">
      <w:pPr>
        <w:spacing w:after="120"/>
        <w:jc w:val="both"/>
      </w:pPr>
    </w:p>
    <w:p w14:paraId="3F467064" w14:textId="77777777" w:rsidR="006B1874" w:rsidRPr="00E33EFF" w:rsidRDefault="006B1874" w:rsidP="006B1874">
      <w:pPr>
        <w:pStyle w:val="Sraopastraipa"/>
        <w:numPr>
          <w:ilvl w:val="0"/>
          <w:numId w:val="12"/>
        </w:numPr>
        <w:tabs>
          <w:tab w:val="left" w:pos="567"/>
        </w:tabs>
        <w:ind w:hanging="720"/>
        <w:rPr>
          <w:b/>
          <w:bCs/>
          <w:caps/>
        </w:rPr>
      </w:pPr>
      <w:r w:rsidRPr="00E33EFF">
        <w:rPr>
          <w:b/>
          <w:bCs/>
          <w:caps/>
        </w:rPr>
        <w:t>Gydytojų organizacijų pateikti duomenys</w:t>
      </w:r>
    </w:p>
    <w:p w14:paraId="0C529455" w14:textId="77777777" w:rsidR="006B1874" w:rsidRPr="00E33EFF" w:rsidRDefault="002B11FD" w:rsidP="006B1874">
      <w:pPr>
        <w:spacing w:after="120"/>
        <w:jc w:val="both"/>
      </w:pPr>
      <w:sdt>
        <w:sdtPr>
          <w:rPr>
            <w:rStyle w:val="Style2"/>
            <w:rFonts w:ascii="MS Gothic" w:eastAsia="MS Gothic" w:hAnsi="MS Gothic"/>
            <w:sz w:val="24"/>
          </w:rPr>
          <w:id w:val="1041869334"/>
          <w15:color w:val="FFCC00"/>
          <w14:checkbox>
            <w14:checked w14:val="0"/>
            <w14:checkedState w14:val="2612" w14:font="MS Gothic"/>
            <w14:uncheckedState w14:val="2610" w14:font="MS Gothic"/>
          </w14:checkbox>
        </w:sdtPr>
        <w:sdtEndPr>
          <w:rPr>
            <w:rStyle w:val="Style2"/>
          </w:rPr>
        </w:sdtEndPr>
        <w:sdtContent>
          <w:r w:rsidR="006B1874" w:rsidRPr="00E33EFF">
            <w:rPr>
              <w:rStyle w:val="Style2"/>
              <w:rFonts w:ascii="MS Gothic" w:eastAsia="MS Gothic" w:hAnsi="MS Gothic" w:hint="eastAsia"/>
              <w:sz w:val="24"/>
            </w:rPr>
            <w:t>☐</w:t>
          </w:r>
        </w:sdtContent>
      </w:sdt>
      <w:r w:rsidR="006B1874" w:rsidRPr="00E33EFF">
        <w:t xml:space="preserve"> Gydytojų specialistų organizacijos pozicija pateikta. Žr. priedą.</w:t>
      </w:r>
    </w:p>
    <w:p w14:paraId="571138D9" w14:textId="77777777" w:rsidR="006B1874" w:rsidRPr="00E33EFF" w:rsidRDefault="002B11FD" w:rsidP="006B1874">
      <w:pPr>
        <w:spacing w:after="120"/>
        <w:jc w:val="both"/>
      </w:pPr>
      <w:sdt>
        <w:sdtPr>
          <w:rPr>
            <w:rStyle w:val="Style2"/>
            <w:rFonts w:ascii="MS Gothic" w:eastAsia="MS Gothic" w:hAnsi="MS Gothic"/>
            <w:sz w:val="24"/>
          </w:rPr>
          <w:id w:val="1940177652"/>
          <w15:color w:val="FFCC00"/>
          <w14:checkbox>
            <w14:checked w14:val="1"/>
            <w14:checkedState w14:val="2612" w14:font="MS Gothic"/>
            <w14:uncheckedState w14:val="2610" w14:font="MS Gothic"/>
          </w14:checkbox>
        </w:sdtPr>
        <w:sdtEndPr>
          <w:rPr>
            <w:rStyle w:val="Style2"/>
          </w:rPr>
        </w:sdtEndPr>
        <w:sdtContent>
          <w:r w:rsidR="006B1874">
            <w:rPr>
              <w:rStyle w:val="Style2"/>
              <w:rFonts w:ascii="MS Gothic" w:eastAsia="MS Gothic" w:hAnsi="MS Gothic" w:hint="eastAsia"/>
              <w:sz w:val="24"/>
            </w:rPr>
            <w:t>☒</w:t>
          </w:r>
        </w:sdtContent>
      </w:sdt>
      <w:r w:rsidR="006B1874" w:rsidRPr="00E33EFF">
        <w:t xml:space="preserve"> Gydytojų specialistų organizacijos pozicija nepateikta.</w:t>
      </w:r>
    </w:p>
    <w:p w14:paraId="4ABED0F8" w14:textId="77777777" w:rsidR="006B1874" w:rsidRPr="00E33EFF" w:rsidRDefault="006B1874" w:rsidP="006B1874">
      <w:pPr>
        <w:spacing w:after="120"/>
        <w:jc w:val="both"/>
      </w:pPr>
    </w:p>
    <w:p w14:paraId="1563A8C4" w14:textId="77777777" w:rsidR="006B1874" w:rsidRPr="00E33EFF" w:rsidRDefault="006B1874" w:rsidP="006B1874">
      <w:pPr>
        <w:pStyle w:val="Sraopastraipa"/>
        <w:numPr>
          <w:ilvl w:val="0"/>
          <w:numId w:val="12"/>
        </w:numPr>
        <w:tabs>
          <w:tab w:val="left" w:pos="567"/>
        </w:tabs>
        <w:ind w:hanging="720"/>
        <w:rPr>
          <w:b/>
          <w:bCs/>
          <w:caps/>
        </w:rPr>
      </w:pPr>
      <w:r w:rsidRPr="00E33EFF">
        <w:rPr>
          <w:b/>
          <w:bCs/>
          <w:caps/>
        </w:rPr>
        <w:t xml:space="preserve">Išvada </w:t>
      </w:r>
    </w:p>
    <w:p w14:paraId="2B4E258C" w14:textId="77777777" w:rsidR="006B1874" w:rsidRPr="009908B2" w:rsidRDefault="006B1874" w:rsidP="006B1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w:bCs/>
          <w:i/>
          <w:color w:val="00B050"/>
        </w:rPr>
      </w:pPr>
    </w:p>
    <w:tbl>
      <w:tblPr>
        <w:tblStyle w:val="Keymessagesbox1"/>
        <w:tblW w:w="0" w:type="auto"/>
        <w:tblLook w:val="04A0" w:firstRow="1" w:lastRow="0" w:firstColumn="1" w:lastColumn="0" w:noHBand="0" w:noVBand="1"/>
      </w:tblPr>
      <w:tblGrid>
        <w:gridCol w:w="4815"/>
        <w:gridCol w:w="4814"/>
      </w:tblGrid>
      <w:tr w:rsidR="006B1874" w:rsidRPr="009908B2" w14:paraId="438DEFA3" w14:textId="77777777" w:rsidTr="0023750A">
        <w:trPr>
          <w:trHeight w:val="510"/>
        </w:trPr>
        <w:tc>
          <w:tcPr>
            <w:tcW w:w="9629" w:type="dxa"/>
            <w:gridSpan w:val="2"/>
            <w:vAlign w:val="center"/>
          </w:tcPr>
          <w:p w14:paraId="70032421" w14:textId="77777777" w:rsidR="006B1874" w:rsidRPr="009908B2" w:rsidRDefault="006B1874"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rPr>
            </w:pPr>
            <w:r w:rsidRPr="009908B2">
              <w:rPr>
                <w:rFonts w:eastAsia="MS Gothic"/>
                <w:b/>
                <w:bCs/>
              </w:rPr>
              <w:t>Palyginamasis veiksmingumas</w:t>
            </w:r>
          </w:p>
        </w:tc>
      </w:tr>
      <w:tr w:rsidR="006B1874" w:rsidRPr="009908B2" w14:paraId="46344A09" w14:textId="77777777" w:rsidTr="0023750A">
        <w:tc>
          <w:tcPr>
            <w:tcW w:w="4815" w:type="dxa"/>
          </w:tcPr>
          <w:p w14:paraId="372F1E8D" w14:textId="77777777" w:rsidR="006B1874" w:rsidRPr="009908B2" w:rsidRDefault="002B11FD"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id w:val="2147309797"/>
                <w15:color w:val="FFCC00"/>
                <w14:checkbox>
                  <w14:checked w14:val="0"/>
                  <w14:checkedState w14:val="2612" w14:font="MS Gothic"/>
                  <w14:uncheckedState w14:val="2610" w14:font="MS Gothic"/>
                </w14:checkbox>
              </w:sdtPr>
              <w:sdtEndPr/>
              <w:sdtContent>
                <w:r w:rsidR="006B1874" w:rsidRPr="009908B2">
                  <w:rPr>
                    <w:rFonts w:ascii="Segoe UI Symbol" w:eastAsia="MS Gothic" w:hAnsi="Segoe UI Symbol" w:cs="Segoe UI Symbol"/>
                  </w:rPr>
                  <w:t>☐</w:t>
                </w:r>
              </w:sdtContent>
            </w:sdt>
            <w:r w:rsidR="006B1874" w:rsidRPr="009908B2">
              <w:t xml:space="preserve"> 29.1.1 yra didesnis, lyginant su įprasta klinikine praktika</w:t>
            </w:r>
          </w:p>
          <w:p w14:paraId="25B3D500" w14:textId="77777777" w:rsidR="006B1874" w:rsidRPr="009908B2" w:rsidRDefault="006B1874"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EFF294D" w14:textId="77777777" w:rsidR="006B1874" w:rsidRPr="009908B2" w:rsidRDefault="002B11FD"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id w:val="-1740395693"/>
                <w15:color w:val="FFCC00"/>
                <w14:checkbox>
                  <w14:checked w14:val="1"/>
                  <w14:checkedState w14:val="2612" w14:font="MS Gothic"/>
                  <w14:uncheckedState w14:val="2610" w14:font="MS Gothic"/>
                </w14:checkbox>
              </w:sdtPr>
              <w:sdtEndPr/>
              <w:sdtContent>
                <w:r w:rsidR="006B1874" w:rsidRPr="009908B2">
                  <w:rPr>
                    <w:rFonts w:ascii="Segoe UI Symbol" w:eastAsia="MS Gothic" w:hAnsi="Segoe UI Symbol" w:cs="Segoe UI Symbol"/>
                  </w:rPr>
                  <w:t>☒</w:t>
                </w:r>
              </w:sdtContent>
            </w:sdt>
            <w:r w:rsidR="006B1874" w:rsidRPr="009908B2">
              <w:t xml:space="preserve"> 29.1.2 iš esmės nesiskiria, lyginant su įprasta klinikine praktika</w:t>
            </w:r>
          </w:p>
        </w:tc>
        <w:tc>
          <w:tcPr>
            <w:tcW w:w="4814" w:type="dxa"/>
          </w:tcPr>
          <w:p w14:paraId="1DE07A0B" w14:textId="77777777" w:rsidR="006B1874" w:rsidRPr="009908B2" w:rsidRDefault="002B11FD"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id w:val="-422950695"/>
                <w15:color w:val="FFCC00"/>
                <w14:checkbox>
                  <w14:checked w14:val="0"/>
                  <w14:checkedState w14:val="2612" w14:font="MS Gothic"/>
                  <w14:uncheckedState w14:val="2610" w14:font="MS Gothic"/>
                </w14:checkbox>
              </w:sdtPr>
              <w:sdtEndPr/>
              <w:sdtContent>
                <w:r w:rsidR="006B1874" w:rsidRPr="009908B2">
                  <w:rPr>
                    <w:rFonts w:ascii="Segoe UI Symbol" w:eastAsia="MS Gothic" w:hAnsi="Segoe UI Symbol" w:cs="Segoe UI Symbol"/>
                  </w:rPr>
                  <w:t>☐</w:t>
                </w:r>
              </w:sdtContent>
            </w:sdt>
            <w:r w:rsidR="006B1874" w:rsidRPr="009908B2">
              <w:t xml:space="preserve"> 29.1.3 yra neįrodytas kaip didesnis  ar iš esmės nesiskiriantis, lyginant su įprasta klinikine praktika  </w:t>
            </w:r>
          </w:p>
          <w:p w14:paraId="47B6B044" w14:textId="77777777" w:rsidR="006B1874" w:rsidRPr="009908B2" w:rsidRDefault="006B1874"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6950A5A" w14:textId="77777777" w:rsidR="006B1874" w:rsidRPr="009908B2" w:rsidRDefault="002B11FD"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id w:val="-33890708"/>
                <w15:color w:val="FFCC00"/>
                <w14:checkbox>
                  <w14:checked w14:val="0"/>
                  <w14:checkedState w14:val="2612" w14:font="MS Gothic"/>
                  <w14:uncheckedState w14:val="2610" w14:font="MS Gothic"/>
                </w14:checkbox>
              </w:sdtPr>
              <w:sdtEndPr/>
              <w:sdtContent>
                <w:r w:rsidR="006B1874" w:rsidRPr="009908B2">
                  <w:rPr>
                    <w:rFonts w:ascii="Segoe UI Symbol" w:eastAsia="MS Gothic" w:hAnsi="Segoe UI Symbol" w:cs="Segoe UI Symbol"/>
                  </w:rPr>
                  <w:t>☐</w:t>
                </w:r>
              </w:sdtContent>
            </w:sdt>
            <w:r w:rsidR="006B1874" w:rsidRPr="009908B2">
              <w:t xml:space="preserve"> 29.1.4 yra mažesnis, lyginant su įprasta klinikine praktika</w:t>
            </w:r>
          </w:p>
          <w:p w14:paraId="5EBAFCE1" w14:textId="77777777" w:rsidR="006B1874" w:rsidRPr="009908B2" w:rsidRDefault="006B1874"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68429F1" w14:textId="77777777" w:rsidR="006B1874" w:rsidRPr="009908B2" w:rsidRDefault="002B11FD"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id w:val="768281663"/>
                <w15:color w:val="FFCC00"/>
                <w14:checkbox>
                  <w14:checked w14:val="0"/>
                  <w14:checkedState w14:val="2612" w14:font="MS Gothic"/>
                  <w14:uncheckedState w14:val="2610" w14:font="MS Gothic"/>
                </w14:checkbox>
              </w:sdtPr>
              <w:sdtEndPr/>
              <w:sdtContent>
                <w:r w:rsidR="006B1874" w:rsidRPr="009908B2">
                  <w:rPr>
                    <w:rFonts w:ascii="Segoe UI Symbol" w:eastAsia="MS Gothic" w:hAnsi="Segoe UI Symbol" w:cs="Segoe UI Symbol"/>
                  </w:rPr>
                  <w:t>☐</w:t>
                </w:r>
              </w:sdtContent>
            </w:sdt>
            <w:r w:rsidR="006B1874" w:rsidRPr="009908B2">
              <w:t xml:space="preserve">  29.1.5 pateikti duomenys apie palyginamąjį veiksmingumą yra netinkami vertinti</w:t>
            </w:r>
          </w:p>
          <w:p w14:paraId="5749D319" w14:textId="77777777" w:rsidR="006B1874" w:rsidRPr="009908B2" w:rsidRDefault="006B1874"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rPr>
            </w:pPr>
          </w:p>
        </w:tc>
      </w:tr>
    </w:tbl>
    <w:tbl>
      <w:tblPr>
        <w:tblStyle w:val="Lentelstinklelis"/>
        <w:tblW w:w="0" w:type="auto"/>
        <w:tblLook w:val="04A0" w:firstRow="1" w:lastRow="0" w:firstColumn="1" w:lastColumn="0" w:noHBand="0" w:noVBand="1"/>
      </w:tblPr>
      <w:tblGrid>
        <w:gridCol w:w="4815"/>
        <w:gridCol w:w="4814"/>
      </w:tblGrid>
      <w:tr w:rsidR="006B1874" w:rsidRPr="00E33EFF" w14:paraId="7C41D068" w14:textId="77777777" w:rsidTr="0023750A">
        <w:trPr>
          <w:trHeight w:val="510"/>
        </w:trPr>
        <w:tc>
          <w:tcPr>
            <w:tcW w:w="9629" w:type="dxa"/>
            <w:gridSpan w:val="2"/>
            <w:vAlign w:val="center"/>
          </w:tcPr>
          <w:p w14:paraId="5F0920F2" w14:textId="77777777" w:rsidR="006B1874" w:rsidRPr="00E33EFF" w:rsidRDefault="006B1874"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6B1874" w:rsidRPr="00E33EFF" w14:paraId="159ECA54" w14:textId="77777777" w:rsidTr="0023750A">
        <w:tc>
          <w:tcPr>
            <w:tcW w:w="4815" w:type="dxa"/>
          </w:tcPr>
          <w:p w14:paraId="03E52696" w14:textId="77777777" w:rsidR="006B1874" w:rsidRPr="001A132A" w:rsidRDefault="002B11FD"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32576600"/>
                <w15:color w:val="FFCC00"/>
                <w14:checkbox>
                  <w14:checked w14:val="0"/>
                  <w14:checkedState w14:val="2612" w14:font="MS Gothic"/>
                  <w14:uncheckedState w14:val="2610" w14:font="MS Gothic"/>
                </w14:checkbox>
              </w:sdtPr>
              <w:sdtEndPr>
                <w:rPr>
                  <w:rStyle w:val="Style2"/>
                </w:rPr>
              </w:sdtEndPr>
              <w:sdtContent>
                <w:r w:rsidR="006B1874" w:rsidRPr="001A132A">
                  <w:rPr>
                    <w:rStyle w:val="Style2"/>
                    <w:rFonts w:ascii="Segoe UI Symbol" w:eastAsia="MS Gothic" w:hAnsi="Segoe UI Symbol" w:cs="Segoe UI Symbol"/>
                    <w:sz w:val="23"/>
                    <w:szCs w:val="23"/>
                  </w:rPr>
                  <w:t>☐</w:t>
                </w:r>
              </w:sdtContent>
            </w:sdt>
            <w:r w:rsidR="006B1874" w:rsidRPr="001A132A">
              <w:rPr>
                <w:sz w:val="23"/>
                <w:szCs w:val="23"/>
              </w:rPr>
              <w:t xml:space="preserve"> 29.2.1 atitinka referencinę naudingumo vertę taikant arba netaikant</w:t>
            </w:r>
            <w:r w:rsidR="006B1874" w:rsidRPr="001A132A">
              <w:rPr>
                <w:b/>
                <w:bCs/>
                <w:sz w:val="23"/>
                <w:szCs w:val="23"/>
              </w:rPr>
              <w:t> </w:t>
            </w:r>
            <w:r w:rsidR="006B1874" w:rsidRPr="001A132A">
              <w:rPr>
                <w:sz w:val="23"/>
                <w:szCs w:val="23"/>
              </w:rPr>
              <w:t>PGS</w:t>
            </w:r>
          </w:p>
          <w:p w14:paraId="09060543" w14:textId="77777777" w:rsidR="006B1874" w:rsidRPr="001A132A" w:rsidRDefault="006B1874"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47049ABB" w14:textId="77777777" w:rsidR="006B1874" w:rsidRPr="00E33EFF" w:rsidRDefault="002B11FD"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3"/>
                  <w:szCs w:val="23"/>
                </w:rPr>
                <w:id w:val="532848852"/>
                <w15:color w:val="FFCC00"/>
                <w14:checkbox>
                  <w14:checked w14:val="0"/>
                  <w14:checkedState w14:val="2612" w14:font="MS Gothic"/>
                  <w14:uncheckedState w14:val="2610" w14:font="MS Gothic"/>
                </w14:checkbox>
              </w:sdtPr>
              <w:sdtEndPr>
                <w:rPr>
                  <w:rStyle w:val="Style2"/>
                </w:rPr>
              </w:sdtEndPr>
              <w:sdtContent>
                <w:r w:rsidR="006B1874" w:rsidRPr="001A132A">
                  <w:rPr>
                    <w:rStyle w:val="Style2"/>
                    <w:rFonts w:ascii="Segoe UI Symbol" w:eastAsia="MS Gothic" w:hAnsi="Segoe UI Symbol" w:cs="Segoe UI Symbol"/>
                    <w:sz w:val="23"/>
                    <w:szCs w:val="23"/>
                  </w:rPr>
                  <w:t>☐</w:t>
                </w:r>
              </w:sdtContent>
            </w:sdt>
            <w:r w:rsidR="006B1874" w:rsidRPr="001A132A">
              <w:rPr>
                <w:sz w:val="23"/>
                <w:szCs w:val="23"/>
              </w:rPr>
              <w:t xml:space="preserve"> 29.2.2 gydymo juo kaštai yra mažesni ar tokie patys esant iš esmės nesiskiriančiam palyginamajam efektyvumui, taikant arba netaikant  PGS</w:t>
            </w:r>
          </w:p>
        </w:tc>
        <w:tc>
          <w:tcPr>
            <w:tcW w:w="4814" w:type="dxa"/>
          </w:tcPr>
          <w:p w14:paraId="16B0C50A" w14:textId="77777777" w:rsidR="006B1874" w:rsidRPr="001A132A" w:rsidRDefault="002B11FD"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257328371"/>
                <w15:color w:val="FFCC00"/>
                <w14:checkbox>
                  <w14:checked w14:val="0"/>
                  <w14:checkedState w14:val="2612" w14:font="MS Gothic"/>
                  <w14:uncheckedState w14:val="2610" w14:font="MS Gothic"/>
                </w14:checkbox>
              </w:sdtPr>
              <w:sdtEndPr>
                <w:rPr>
                  <w:rStyle w:val="Style2"/>
                </w:rPr>
              </w:sdtEndPr>
              <w:sdtContent>
                <w:r w:rsidR="006B1874" w:rsidRPr="001A132A">
                  <w:rPr>
                    <w:rStyle w:val="Style2"/>
                    <w:rFonts w:ascii="Segoe UI Symbol" w:eastAsia="MS Gothic" w:hAnsi="Segoe UI Symbol" w:cs="Segoe UI Symbol"/>
                    <w:sz w:val="23"/>
                    <w:szCs w:val="23"/>
                  </w:rPr>
                  <w:t>☐</w:t>
                </w:r>
              </w:sdtContent>
            </w:sdt>
            <w:r w:rsidR="006B1874" w:rsidRPr="001A132A">
              <w:rPr>
                <w:sz w:val="23"/>
                <w:szCs w:val="23"/>
              </w:rPr>
              <w:t xml:space="preserve"> 29.2.3 neatitinka referencinės naudingumo vertės taikant arba netaikant PGS</w:t>
            </w:r>
          </w:p>
          <w:p w14:paraId="1683C097" w14:textId="77777777" w:rsidR="006B1874" w:rsidRPr="001A132A" w:rsidRDefault="006B1874"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7801DEC" w14:textId="77777777" w:rsidR="006B1874" w:rsidRPr="001A132A" w:rsidRDefault="002B11FD"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467321663"/>
                <w15:color w:val="FFCC00"/>
                <w14:checkbox>
                  <w14:checked w14:val="1"/>
                  <w14:checkedState w14:val="2612" w14:font="MS Gothic"/>
                  <w14:uncheckedState w14:val="2610" w14:font="MS Gothic"/>
                </w14:checkbox>
              </w:sdtPr>
              <w:sdtEndPr>
                <w:rPr>
                  <w:rStyle w:val="Style2"/>
                </w:rPr>
              </w:sdtEndPr>
              <w:sdtContent>
                <w:r w:rsidR="006B1874">
                  <w:rPr>
                    <w:rStyle w:val="Style2"/>
                    <w:rFonts w:ascii="MS Gothic" w:eastAsia="MS Gothic" w:hAnsi="MS Gothic" w:hint="eastAsia"/>
                    <w:sz w:val="23"/>
                    <w:szCs w:val="23"/>
                  </w:rPr>
                  <w:t>☒</w:t>
                </w:r>
              </w:sdtContent>
            </w:sdt>
            <w:r w:rsidR="006B1874" w:rsidRPr="001A132A">
              <w:rPr>
                <w:sz w:val="23"/>
                <w:szCs w:val="23"/>
              </w:rPr>
              <w:t xml:space="preserve"> 29.2.4 gydymo juo kaštai yra didesni esant iš esmės nesiskiriančiam palyginamajam veiksmingumui, taikant arba netaikant PGS</w:t>
            </w:r>
          </w:p>
          <w:p w14:paraId="6908C1FF" w14:textId="77777777" w:rsidR="006B1874" w:rsidRPr="001A132A" w:rsidRDefault="006B1874"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1007369F" w14:textId="77777777" w:rsidR="006B1874" w:rsidRPr="001A132A" w:rsidRDefault="002B11FD"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19371442"/>
                <w15:color w:val="FFCC00"/>
                <w14:checkbox>
                  <w14:checked w14:val="0"/>
                  <w14:checkedState w14:val="2612" w14:font="MS Gothic"/>
                  <w14:uncheckedState w14:val="2610" w14:font="MS Gothic"/>
                </w14:checkbox>
              </w:sdtPr>
              <w:sdtEndPr>
                <w:rPr>
                  <w:rStyle w:val="Style2"/>
                </w:rPr>
              </w:sdtEndPr>
              <w:sdtContent>
                <w:r w:rsidR="006B1874" w:rsidRPr="001A132A">
                  <w:rPr>
                    <w:rStyle w:val="Style2"/>
                    <w:rFonts w:ascii="Segoe UI Symbol" w:eastAsia="MS Gothic" w:hAnsi="Segoe UI Symbol" w:cs="Segoe UI Symbol"/>
                    <w:sz w:val="23"/>
                    <w:szCs w:val="23"/>
                  </w:rPr>
                  <w:t>☐</w:t>
                </w:r>
              </w:sdtContent>
            </w:sdt>
            <w:r w:rsidR="006B1874" w:rsidRPr="001A132A">
              <w:rPr>
                <w:sz w:val="23"/>
                <w:szCs w:val="23"/>
              </w:rPr>
              <w:t xml:space="preserve"> 29.2.5 pateikti duomenys apie kaštų naudingumą yra netinkami vertinti</w:t>
            </w:r>
          </w:p>
          <w:p w14:paraId="7FC72336" w14:textId="77777777" w:rsidR="006B1874" w:rsidRPr="00E33EFF" w:rsidRDefault="006B1874" w:rsidP="0023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07C4A7CD" w14:textId="77777777" w:rsidR="006B1874" w:rsidRPr="00E33EFF" w:rsidRDefault="006B1874" w:rsidP="006B1874"/>
    <w:p w14:paraId="1E660831" w14:textId="77777777" w:rsidR="006B1874" w:rsidRPr="00E33EFF" w:rsidRDefault="006B1874" w:rsidP="006B1874"/>
    <w:p w14:paraId="4B54F36D" w14:textId="77777777" w:rsidR="006B1874" w:rsidRPr="00E33EFF" w:rsidRDefault="006B1874" w:rsidP="006B1874">
      <w:pPr>
        <w:pStyle w:val="Sraopastraipa"/>
        <w:numPr>
          <w:ilvl w:val="0"/>
          <w:numId w:val="12"/>
        </w:numPr>
        <w:ind w:left="567" w:hanging="567"/>
      </w:pPr>
      <w:r w:rsidRPr="00E33EFF">
        <w:rPr>
          <w:b/>
        </w:rPr>
        <w:t>REKOMENDACIJA</w:t>
      </w:r>
    </w:p>
    <w:p w14:paraId="150B7C36" w14:textId="77777777" w:rsidR="006B1874" w:rsidRPr="00E33EFF" w:rsidRDefault="006B1874" w:rsidP="006B1874">
      <w:pPr>
        <w:pStyle w:val="Sraopastraipa"/>
        <w:ind w:left="426"/>
      </w:pPr>
    </w:p>
    <w:p w14:paraId="74A8CE66" w14:textId="77777777" w:rsidR="006B1874" w:rsidRDefault="006B1874" w:rsidP="006B1874">
      <w:pPr>
        <w:widowControl w:val="0"/>
        <w:tabs>
          <w:tab w:val="left" w:pos="1418"/>
        </w:tabs>
        <w:suppressAutoHyphens/>
        <w:spacing w:line="360" w:lineRule="atLeast"/>
        <w:jc w:val="both"/>
        <w:textAlignment w:val="center"/>
      </w:pPr>
      <w:r w:rsidRPr="00E33EFF">
        <w:t xml:space="preserve">Vadovaujantis Lietuvos Respublikos sveikatos apsaugos ministro </w:t>
      </w:r>
      <w:r>
        <w:t xml:space="preserve">įsakymu </w:t>
      </w:r>
      <w:r w:rsidRPr="00E33EFF">
        <w:t>„Dėl vaistinių preparatų ir medicinos pagalbos priemonių įrašymo į kompensavimo sąrašus ir jų keitimo tvarkos aprašo patvirtinimo“</w:t>
      </w:r>
      <w:r>
        <w:t xml:space="preserve"> </w:t>
      </w:r>
      <w:r w:rsidRPr="00E33EFF">
        <w:t>2002 m. balandžio 5 d. įsakym</w:t>
      </w:r>
      <w:r>
        <w:t>o</w:t>
      </w:r>
      <w:r w:rsidRPr="00E33EFF">
        <w:t xml:space="preserve"> Nr. 159</w:t>
      </w:r>
      <w:r>
        <w:t xml:space="preserve"> </w:t>
      </w:r>
    </w:p>
    <w:p w14:paraId="0B031465" w14:textId="77777777" w:rsidR="006B1874" w:rsidRPr="00E33EFF" w:rsidRDefault="006B1874" w:rsidP="006B1874">
      <w:pPr>
        <w:widowControl w:val="0"/>
        <w:tabs>
          <w:tab w:val="left" w:pos="1418"/>
        </w:tabs>
        <w:suppressAutoHyphens/>
        <w:spacing w:line="360" w:lineRule="atLeast"/>
        <w:jc w:val="both"/>
        <w:textAlignment w:val="center"/>
      </w:pPr>
      <w:r w:rsidRPr="00471EC6">
        <w:rPr>
          <w:color w:val="000000"/>
          <w:lang w:eastAsia="lt-LT"/>
        </w:rPr>
        <w:t>30</w:t>
      </w:r>
      <w:r w:rsidRPr="00471EC6">
        <w:rPr>
          <w:color w:val="000000"/>
          <w:vertAlign w:val="superscript"/>
          <w:lang w:eastAsia="lt-LT"/>
        </w:rPr>
        <w:t>1</w:t>
      </w:r>
      <w:r w:rsidRPr="00471EC6">
        <w:rPr>
          <w:color w:val="000000"/>
          <w:lang w:eastAsia="lt-LT"/>
        </w:rPr>
        <w:t>.2.</w:t>
      </w:r>
      <w:r>
        <w:rPr>
          <w:color w:val="000000"/>
          <w:lang w:eastAsia="lt-LT"/>
        </w:rPr>
        <w:t xml:space="preserve"> papunkčiu rekomenduojama</w:t>
      </w:r>
      <w:r w:rsidRPr="00471EC6">
        <w:rPr>
          <w:color w:val="000000"/>
          <w:lang w:eastAsia="lt-LT"/>
        </w:rPr>
        <w:t xml:space="preserve"> kompensuoti vaistinį preparatą pagal paraiškoje nurodytą indikaciją (arba jos dalį) su arba be skyrimo sąlygų, jei, pateikus naują ar atnaujintą PGS</w:t>
      </w:r>
      <w:r>
        <w:rPr>
          <w:color w:val="000000"/>
          <w:lang w:eastAsia="lt-LT"/>
        </w:rPr>
        <w:t>,</w:t>
      </w:r>
      <w:r w:rsidRPr="00471EC6">
        <w:rPr>
          <w:color w:val="000000"/>
          <w:lang w:eastAsia="lt-LT"/>
        </w:rPr>
        <w:t xml:space="preserve"> kaštai tampa tokie patys ar mažesni esant iš esmės nesiskiriančiam palyginamajam veiksmingumui</w:t>
      </w:r>
      <w:r>
        <w:rPr>
          <w:color w:val="000000"/>
          <w:lang w:eastAsia="lt-LT"/>
        </w:rPr>
        <w:t xml:space="preserve">, </w:t>
      </w:r>
      <w:r w:rsidRPr="00471EC6">
        <w:rPr>
          <w:color w:val="000000"/>
          <w:lang w:eastAsia="lt-LT"/>
        </w:rPr>
        <w:t>kai vertinimo išvados atitinka Aprašo 29.1.2 ir 29.2.4 papunkčiuose numatytas</w:t>
      </w:r>
      <w:r w:rsidRPr="00471EC6">
        <w:rPr>
          <w:b/>
          <w:bCs/>
          <w:color w:val="000000"/>
          <w:lang w:eastAsia="lt-LT"/>
        </w:rPr>
        <w:t> </w:t>
      </w:r>
      <w:r>
        <w:rPr>
          <w:color w:val="000000"/>
          <w:lang w:eastAsia="lt-LT"/>
        </w:rPr>
        <w:t>sąlygas.</w:t>
      </w:r>
    </w:p>
    <w:p w14:paraId="10322B8E" w14:textId="77777777" w:rsidR="006B1874" w:rsidRPr="003D6208" w:rsidRDefault="006B1874" w:rsidP="006B1874">
      <w:pPr>
        <w:jc w:val="both"/>
        <w:rPr>
          <w:i/>
          <w:highlight w:val="yellow"/>
        </w:rPr>
      </w:pPr>
    </w:p>
    <w:p w14:paraId="6FBD9749" w14:textId="77777777" w:rsidR="006B1874" w:rsidRPr="00E33EFF" w:rsidRDefault="006B1874" w:rsidP="006B1874"/>
    <w:p w14:paraId="5761CE45" w14:textId="77777777" w:rsidR="006B1874" w:rsidRPr="00E33EFF" w:rsidRDefault="006B1874" w:rsidP="006B1874">
      <w:pPr>
        <w:tabs>
          <w:tab w:val="left" w:pos="567"/>
        </w:tabs>
        <w:ind w:left="567" w:hanging="567"/>
        <w:jc w:val="both"/>
        <w:rPr>
          <w:b/>
          <w:color w:val="000000"/>
          <w:lang w:eastAsia="lt-LT"/>
        </w:rPr>
      </w:pPr>
      <w:r>
        <w:rPr>
          <w:b/>
          <w:color w:val="000000"/>
          <w:lang w:eastAsia="lt-LT"/>
        </w:rPr>
        <w:t>8.</w:t>
      </w:r>
      <w:r>
        <w:rPr>
          <w:b/>
          <w:color w:val="000000"/>
          <w:lang w:eastAsia="lt-LT"/>
        </w:rPr>
        <w:tab/>
      </w:r>
      <w:r w:rsidRPr="00E33EFF">
        <w:rPr>
          <w:b/>
          <w:color w:val="000000"/>
          <w:lang w:eastAsia="lt-LT"/>
        </w:rPr>
        <w:t xml:space="preserve">SIŪLOMOS KOMPENSUOTI TERAPINĖS INDIKACIJOS IR SKYRIMO SĄLYGOS </w:t>
      </w:r>
    </w:p>
    <w:p w14:paraId="5E33058E" w14:textId="77777777" w:rsidR="006B1874" w:rsidRPr="00E33EFF" w:rsidRDefault="006B1874" w:rsidP="006B1874">
      <w:pPr>
        <w:tabs>
          <w:tab w:val="left" w:pos="426"/>
        </w:tabs>
        <w:jc w:val="both"/>
        <w:rPr>
          <w:b/>
          <w:color w:val="000000"/>
          <w:lang w:eastAsia="lt-LT"/>
        </w:rPr>
      </w:pPr>
    </w:p>
    <w:p w14:paraId="085472E2" w14:textId="77777777" w:rsidR="00DD1F55" w:rsidRPr="00DC5BAC" w:rsidRDefault="00DD1F55" w:rsidP="00DD1F55">
      <w:pPr>
        <w:rPr>
          <w:b/>
          <w:lang w:eastAsia="lt-LT"/>
        </w:rPr>
      </w:pPr>
      <w:r w:rsidRPr="00DC5BAC">
        <w:rPr>
          <w:b/>
          <w:lang w:eastAsia="lt-LT"/>
        </w:rPr>
        <w:t>Terapinės indikacijos</w:t>
      </w:r>
    </w:p>
    <w:p w14:paraId="2AC7F788" w14:textId="77777777" w:rsidR="00DD1F55" w:rsidRPr="00E33EFF" w:rsidRDefault="002B11FD" w:rsidP="00DD1F55">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DD1F55">
            <w:rPr>
              <w:rStyle w:val="Style2"/>
              <w:rFonts w:ascii="MS Gothic" w:eastAsia="MS Gothic" w:hAnsi="MS Gothic" w:hint="eastAsia"/>
            </w:rPr>
            <w:t>☒</w:t>
          </w:r>
        </w:sdtContent>
      </w:sdt>
      <w:r w:rsidR="00DD1F55" w:rsidRPr="00E33EFF">
        <w:t xml:space="preserve"> Siūloma kompensuoti Pareiškėjo teikiamą indikaciją be pakeitimų.</w:t>
      </w:r>
    </w:p>
    <w:p w14:paraId="546FF56C" w14:textId="77777777" w:rsidR="00DD1F55" w:rsidRPr="00D24494" w:rsidRDefault="00DD1F55" w:rsidP="00DD1F55">
      <w:pPr>
        <w:spacing w:after="120" w:line="276" w:lineRule="auto"/>
        <w:jc w:val="both"/>
        <w:rPr>
          <w:i/>
          <w:iCs/>
        </w:rPr>
      </w:pPr>
      <w:r w:rsidRPr="00D24494">
        <w:rPr>
          <w:i/>
          <w:iCs/>
        </w:rPr>
        <w:t>Tevimbra derinyje su pemetreksedu ir chemoterapija su platinos vaistiniais preparatais skirtas suaugusių pacientų, kuriems diagnozuotas neplokščialąstelinis NSLPV ir kurių navikai turi PD-L1 ekspresiją ≥50 % naviko ląstelių pirmos eilės gydymui, be EGFR mutacijų arba ALK mutacijų bei kai yra:</w:t>
      </w:r>
    </w:p>
    <w:p w14:paraId="662701FB" w14:textId="77777777" w:rsidR="00DD1F55" w:rsidRPr="00D24494" w:rsidRDefault="00DD1F55" w:rsidP="00DD1F55">
      <w:pPr>
        <w:pStyle w:val="Sraopastraipa"/>
        <w:spacing w:after="120" w:line="276" w:lineRule="auto"/>
        <w:jc w:val="both"/>
        <w:rPr>
          <w:i/>
          <w:iCs/>
        </w:rPr>
      </w:pPr>
      <w:r w:rsidRPr="00D24494">
        <w:rPr>
          <w:i/>
          <w:iCs/>
        </w:rPr>
        <w:t>• vietiškai išplitęs NSLPV ir pacientams neketinama atlikti chirurginės rezekcijos ar skirti chemoradioterapijos su platinos vaistiniais preparatais, arba</w:t>
      </w:r>
    </w:p>
    <w:p w14:paraId="0183DA8C" w14:textId="77777777" w:rsidR="00DD1F55" w:rsidRPr="00D24494" w:rsidRDefault="00DD1F55" w:rsidP="00DD1F55">
      <w:pPr>
        <w:pStyle w:val="Sraopastraipa"/>
        <w:spacing w:after="120" w:line="276" w:lineRule="auto"/>
        <w:jc w:val="both"/>
        <w:rPr>
          <w:i/>
          <w:iCs/>
        </w:rPr>
      </w:pPr>
      <w:r w:rsidRPr="00D24494">
        <w:rPr>
          <w:i/>
          <w:iCs/>
        </w:rPr>
        <w:t>• metastazavęs NSLPV.</w:t>
      </w:r>
    </w:p>
    <w:p w14:paraId="3A63D09A" w14:textId="77777777" w:rsidR="00DD1F55" w:rsidRDefault="00DD1F55" w:rsidP="00DD1F55">
      <w:pPr>
        <w:spacing w:line="276" w:lineRule="auto"/>
        <w:rPr>
          <w:b/>
        </w:rPr>
      </w:pPr>
    </w:p>
    <w:p w14:paraId="22467013" w14:textId="77777777" w:rsidR="00DD1F55" w:rsidRPr="00E33EFF" w:rsidRDefault="00DD1F55" w:rsidP="00DD1F55">
      <w:pPr>
        <w:spacing w:line="276" w:lineRule="auto"/>
        <w:rPr>
          <w:b/>
        </w:rPr>
      </w:pPr>
      <w:r w:rsidRPr="00E33EFF">
        <w:rPr>
          <w:b/>
        </w:rPr>
        <w:t>Skyrimo sąlygos</w:t>
      </w:r>
    </w:p>
    <w:p w14:paraId="03465CD3" w14:textId="77777777" w:rsidR="00DD1F55" w:rsidRPr="00B73462" w:rsidRDefault="00DD1F55" w:rsidP="00DD1F55">
      <w:pPr>
        <w:pStyle w:val="Betarp"/>
        <w:spacing w:line="276" w:lineRule="auto"/>
        <w:rPr>
          <w:rFonts w:ascii="Times New Roman" w:hAnsi="Times New Roman"/>
          <w:sz w:val="24"/>
          <w:szCs w:val="24"/>
        </w:rPr>
      </w:pPr>
      <w:r w:rsidRPr="00B73462">
        <w:rPr>
          <w:rFonts w:ascii="Times New Roman" w:hAnsi="Times New Roman"/>
          <w:sz w:val="24"/>
          <w:szCs w:val="24"/>
        </w:rPr>
        <w:t>Sk</w:t>
      </w:r>
      <w:r>
        <w:rPr>
          <w:rFonts w:ascii="Times New Roman" w:hAnsi="Times New Roman"/>
          <w:sz w:val="24"/>
          <w:szCs w:val="24"/>
        </w:rPr>
        <w:t>i</w:t>
      </w:r>
      <w:r w:rsidRPr="00B73462">
        <w:rPr>
          <w:rFonts w:ascii="Times New Roman" w:hAnsi="Times New Roman"/>
          <w:sz w:val="24"/>
          <w:szCs w:val="24"/>
        </w:rPr>
        <w:t>riam</w:t>
      </w:r>
      <w:r>
        <w:rPr>
          <w:rFonts w:ascii="Times New Roman" w:hAnsi="Times New Roman"/>
          <w:sz w:val="24"/>
          <w:szCs w:val="24"/>
        </w:rPr>
        <w:t>a</w:t>
      </w:r>
      <w:r w:rsidRPr="00B73462">
        <w:rPr>
          <w:rFonts w:ascii="Times New Roman" w:hAnsi="Times New Roman"/>
          <w:sz w:val="24"/>
          <w:szCs w:val="24"/>
        </w:rPr>
        <w:t>s</w:t>
      </w:r>
      <w:r>
        <w:rPr>
          <w:rFonts w:ascii="Times New Roman" w:hAnsi="Times New Roman"/>
          <w:sz w:val="24"/>
          <w:szCs w:val="24"/>
        </w:rPr>
        <w:t xml:space="preserve"> pirmaeiliam</w:t>
      </w:r>
      <w:r w:rsidRPr="00B73462">
        <w:rPr>
          <w:rFonts w:ascii="Times New Roman" w:hAnsi="Times New Roman"/>
          <w:sz w:val="24"/>
          <w:szCs w:val="24"/>
        </w:rPr>
        <w:t xml:space="preserve"> pacient</w:t>
      </w:r>
      <w:r>
        <w:rPr>
          <w:rFonts w:ascii="Times New Roman" w:hAnsi="Times New Roman"/>
          <w:sz w:val="24"/>
          <w:szCs w:val="24"/>
        </w:rPr>
        <w:t>ų</w:t>
      </w:r>
      <w:r w:rsidRPr="00B73462">
        <w:rPr>
          <w:rFonts w:ascii="Times New Roman" w:hAnsi="Times New Roman"/>
          <w:sz w:val="24"/>
          <w:szCs w:val="24"/>
        </w:rPr>
        <w:t xml:space="preserve">, </w:t>
      </w:r>
      <w:r>
        <w:rPr>
          <w:rFonts w:ascii="Times New Roman" w:hAnsi="Times New Roman"/>
          <w:sz w:val="24"/>
          <w:szCs w:val="24"/>
        </w:rPr>
        <w:t>sergančių</w:t>
      </w:r>
      <w:r w:rsidRPr="00B73462">
        <w:rPr>
          <w:rFonts w:ascii="Times New Roman" w:hAnsi="Times New Roman"/>
          <w:sz w:val="24"/>
          <w:szCs w:val="24"/>
        </w:rPr>
        <w:t xml:space="preserve"> </w:t>
      </w:r>
      <w:r>
        <w:rPr>
          <w:rFonts w:ascii="Times New Roman" w:hAnsi="Times New Roman"/>
          <w:sz w:val="24"/>
          <w:szCs w:val="24"/>
        </w:rPr>
        <w:t xml:space="preserve">metastazvusiu </w:t>
      </w:r>
      <w:r w:rsidRPr="00B73462">
        <w:rPr>
          <w:rFonts w:ascii="Times New Roman" w:hAnsi="Times New Roman"/>
          <w:sz w:val="24"/>
          <w:szCs w:val="24"/>
        </w:rPr>
        <w:t>neplokščialąstelini</w:t>
      </w:r>
      <w:r>
        <w:rPr>
          <w:rFonts w:ascii="Times New Roman" w:hAnsi="Times New Roman"/>
          <w:sz w:val="24"/>
          <w:szCs w:val="24"/>
        </w:rPr>
        <w:t>u</w:t>
      </w:r>
      <w:r w:rsidRPr="00B73462">
        <w:rPr>
          <w:rFonts w:ascii="Times New Roman" w:hAnsi="Times New Roman"/>
          <w:sz w:val="24"/>
          <w:szCs w:val="24"/>
        </w:rPr>
        <w:t xml:space="preserve"> NSLPV</w:t>
      </w:r>
      <w:r>
        <w:rPr>
          <w:rFonts w:ascii="Times New Roman" w:hAnsi="Times New Roman"/>
          <w:sz w:val="24"/>
          <w:szCs w:val="24"/>
        </w:rPr>
        <w:t>,</w:t>
      </w:r>
      <w:r w:rsidRPr="00B73462">
        <w:rPr>
          <w:rFonts w:ascii="Times New Roman" w:hAnsi="Times New Roman"/>
          <w:sz w:val="24"/>
          <w:szCs w:val="24"/>
        </w:rPr>
        <w:t xml:space="preserve"> </w:t>
      </w:r>
      <w:r>
        <w:rPr>
          <w:rFonts w:ascii="Times New Roman" w:hAnsi="Times New Roman"/>
          <w:sz w:val="24"/>
          <w:szCs w:val="24"/>
        </w:rPr>
        <w:t xml:space="preserve">kai nustatyta </w:t>
      </w:r>
      <w:r w:rsidRPr="00B73462">
        <w:rPr>
          <w:rFonts w:ascii="Times New Roman" w:hAnsi="Times New Roman"/>
          <w:sz w:val="24"/>
          <w:szCs w:val="24"/>
        </w:rPr>
        <w:t xml:space="preserve">PD-L1 </w:t>
      </w:r>
      <w:r>
        <w:rPr>
          <w:rFonts w:ascii="Times New Roman" w:hAnsi="Times New Roman"/>
          <w:sz w:val="24"/>
          <w:szCs w:val="24"/>
        </w:rPr>
        <w:t xml:space="preserve">raiška naviko ląstelėse </w:t>
      </w:r>
      <w:r w:rsidRPr="00B73462">
        <w:rPr>
          <w:rFonts w:ascii="Times New Roman" w:hAnsi="Times New Roman"/>
          <w:sz w:val="24"/>
          <w:szCs w:val="24"/>
        </w:rPr>
        <w:t>≥50 %</w:t>
      </w:r>
      <w:r>
        <w:rPr>
          <w:rFonts w:ascii="Times New Roman" w:hAnsi="Times New Roman"/>
          <w:sz w:val="24"/>
          <w:szCs w:val="24"/>
        </w:rPr>
        <w:t xml:space="preserve"> ir nėra</w:t>
      </w:r>
      <w:r w:rsidRPr="00B73462">
        <w:rPr>
          <w:rFonts w:ascii="Times New Roman" w:hAnsi="Times New Roman"/>
          <w:sz w:val="24"/>
          <w:szCs w:val="24"/>
        </w:rPr>
        <w:t xml:space="preserve"> EGFR mutacijų arba ALK mutacijų</w:t>
      </w:r>
      <w:r>
        <w:rPr>
          <w:rFonts w:ascii="Times New Roman" w:hAnsi="Times New Roman"/>
          <w:sz w:val="24"/>
          <w:szCs w:val="24"/>
        </w:rPr>
        <w:t>.</w:t>
      </w:r>
    </w:p>
    <w:p w14:paraId="7CDFF220" w14:textId="58191D98" w:rsidR="000723FF" w:rsidRPr="00B73462" w:rsidRDefault="000723FF" w:rsidP="00F45E59">
      <w:pPr>
        <w:spacing w:line="276" w:lineRule="auto"/>
        <w:rPr>
          <w:b/>
        </w:rPr>
      </w:pPr>
    </w:p>
    <w:sectPr w:rsidR="000723FF" w:rsidRPr="00B73462"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0DDE" w14:textId="77777777" w:rsidR="008706A7" w:rsidRDefault="008706A7">
      <w:r>
        <w:separator/>
      </w:r>
    </w:p>
  </w:endnote>
  <w:endnote w:type="continuationSeparator" w:id="0">
    <w:p w14:paraId="48F8E179" w14:textId="77777777" w:rsidR="008706A7" w:rsidRDefault="0087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9A57" w14:textId="77777777" w:rsidR="008706A7" w:rsidRDefault="008706A7">
      <w:r>
        <w:separator/>
      </w:r>
    </w:p>
  </w:footnote>
  <w:footnote w:type="continuationSeparator" w:id="0">
    <w:p w14:paraId="33D15BF3" w14:textId="77777777" w:rsidR="008706A7" w:rsidRDefault="0087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0DF8DEC3"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40E3">
      <w:rPr>
        <w:rStyle w:val="Puslapionumeris"/>
        <w:noProof/>
      </w:rPr>
      <w:t>4</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5501745">
    <w:abstractNumId w:val="6"/>
  </w:num>
  <w:num w:numId="2" w16cid:durableId="219365189">
    <w:abstractNumId w:val="1"/>
  </w:num>
  <w:num w:numId="3" w16cid:durableId="1382947895">
    <w:abstractNumId w:val="8"/>
  </w:num>
  <w:num w:numId="4" w16cid:durableId="2100172699">
    <w:abstractNumId w:val="7"/>
  </w:num>
  <w:num w:numId="5" w16cid:durableId="637302182">
    <w:abstractNumId w:val="5"/>
  </w:num>
  <w:num w:numId="6" w16cid:durableId="341051458">
    <w:abstractNumId w:val="4"/>
  </w:num>
  <w:num w:numId="7" w16cid:durableId="2033141852">
    <w:abstractNumId w:val="3"/>
  </w:num>
  <w:num w:numId="8" w16cid:durableId="1064643488">
    <w:abstractNumId w:val="11"/>
  </w:num>
  <w:num w:numId="9" w16cid:durableId="2002806294">
    <w:abstractNumId w:val="0"/>
  </w:num>
  <w:num w:numId="10" w16cid:durableId="2138133856">
    <w:abstractNumId w:val="9"/>
  </w:num>
  <w:num w:numId="11" w16cid:durableId="951663948">
    <w:abstractNumId w:val="10"/>
  </w:num>
  <w:num w:numId="12" w16cid:durableId="940187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B44FF"/>
    <w:rsid w:val="000C454C"/>
    <w:rsid w:val="000D5038"/>
    <w:rsid w:val="000D5A45"/>
    <w:rsid w:val="000E29D4"/>
    <w:rsid w:val="000F3540"/>
    <w:rsid w:val="00100491"/>
    <w:rsid w:val="00102E10"/>
    <w:rsid w:val="00104E2E"/>
    <w:rsid w:val="00107287"/>
    <w:rsid w:val="00117406"/>
    <w:rsid w:val="00121EF0"/>
    <w:rsid w:val="00124A9E"/>
    <w:rsid w:val="00130703"/>
    <w:rsid w:val="0013153F"/>
    <w:rsid w:val="001408B8"/>
    <w:rsid w:val="001517E2"/>
    <w:rsid w:val="001521D9"/>
    <w:rsid w:val="001554E2"/>
    <w:rsid w:val="00160105"/>
    <w:rsid w:val="00161B29"/>
    <w:rsid w:val="00164146"/>
    <w:rsid w:val="0017369C"/>
    <w:rsid w:val="00175CE6"/>
    <w:rsid w:val="00175D57"/>
    <w:rsid w:val="00180C39"/>
    <w:rsid w:val="00180D96"/>
    <w:rsid w:val="00184BD3"/>
    <w:rsid w:val="001921F3"/>
    <w:rsid w:val="001A6A05"/>
    <w:rsid w:val="001B3C5B"/>
    <w:rsid w:val="001D746F"/>
    <w:rsid w:val="001E40E3"/>
    <w:rsid w:val="001E4BBB"/>
    <w:rsid w:val="001E6304"/>
    <w:rsid w:val="001F7E94"/>
    <w:rsid w:val="0020381E"/>
    <w:rsid w:val="00210E93"/>
    <w:rsid w:val="00213471"/>
    <w:rsid w:val="00214B70"/>
    <w:rsid w:val="00215906"/>
    <w:rsid w:val="00241CD8"/>
    <w:rsid w:val="00244B09"/>
    <w:rsid w:val="002519CB"/>
    <w:rsid w:val="0025697F"/>
    <w:rsid w:val="00260258"/>
    <w:rsid w:val="0026032D"/>
    <w:rsid w:val="0026588E"/>
    <w:rsid w:val="00272428"/>
    <w:rsid w:val="00272948"/>
    <w:rsid w:val="00285B90"/>
    <w:rsid w:val="00292392"/>
    <w:rsid w:val="002946C7"/>
    <w:rsid w:val="00297916"/>
    <w:rsid w:val="002B11FD"/>
    <w:rsid w:val="002B3CC1"/>
    <w:rsid w:val="002B6CFF"/>
    <w:rsid w:val="002C09E0"/>
    <w:rsid w:val="002C148E"/>
    <w:rsid w:val="002C1BB1"/>
    <w:rsid w:val="002C2786"/>
    <w:rsid w:val="002C3A10"/>
    <w:rsid w:val="002C4A90"/>
    <w:rsid w:val="002C4ED5"/>
    <w:rsid w:val="002D02EF"/>
    <w:rsid w:val="002E0702"/>
    <w:rsid w:val="002E57AD"/>
    <w:rsid w:val="002E6F80"/>
    <w:rsid w:val="002F0E4F"/>
    <w:rsid w:val="002F1053"/>
    <w:rsid w:val="002F5442"/>
    <w:rsid w:val="00311EB5"/>
    <w:rsid w:val="00317B0E"/>
    <w:rsid w:val="00347FAA"/>
    <w:rsid w:val="00351617"/>
    <w:rsid w:val="0035172D"/>
    <w:rsid w:val="0036187D"/>
    <w:rsid w:val="00367EDB"/>
    <w:rsid w:val="00381024"/>
    <w:rsid w:val="00386307"/>
    <w:rsid w:val="003874DE"/>
    <w:rsid w:val="00393E9F"/>
    <w:rsid w:val="0039696E"/>
    <w:rsid w:val="003B211A"/>
    <w:rsid w:val="003C141F"/>
    <w:rsid w:val="003C5ABF"/>
    <w:rsid w:val="003C6B0E"/>
    <w:rsid w:val="003C7257"/>
    <w:rsid w:val="003C7E35"/>
    <w:rsid w:val="003D1877"/>
    <w:rsid w:val="003D1E99"/>
    <w:rsid w:val="003D6208"/>
    <w:rsid w:val="003E5F52"/>
    <w:rsid w:val="00404E8A"/>
    <w:rsid w:val="0040622F"/>
    <w:rsid w:val="00413F24"/>
    <w:rsid w:val="00422853"/>
    <w:rsid w:val="00423160"/>
    <w:rsid w:val="0043006C"/>
    <w:rsid w:val="00453862"/>
    <w:rsid w:val="0045469B"/>
    <w:rsid w:val="00461338"/>
    <w:rsid w:val="00462F43"/>
    <w:rsid w:val="004677DB"/>
    <w:rsid w:val="0047414A"/>
    <w:rsid w:val="00476256"/>
    <w:rsid w:val="0048630F"/>
    <w:rsid w:val="00490DCD"/>
    <w:rsid w:val="004947A1"/>
    <w:rsid w:val="0049482A"/>
    <w:rsid w:val="004979D3"/>
    <w:rsid w:val="004A00E7"/>
    <w:rsid w:val="004A3A61"/>
    <w:rsid w:val="004A6A30"/>
    <w:rsid w:val="004B205D"/>
    <w:rsid w:val="004B2977"/>
    <w:rsid w:val="004B59BA"/>
    <w:rsid w:val="004B5A03"/>
    <w:rsid w:val="004C263A"/>
    <w:rsid w:val="004D1FE8"/>
    <w:rsid w:val="004D48A6"/>
    <w:rsid w:val="004D7B8F"/>
    <w:rsid w:val="004E0EAD"/>
    <w:rsid w:val="004E6458"/>
    <w:rsid w:val="004E6E7D"/>
    <w:rsid w:val="004E7441"/>
    <w:rsid w:val="004F1AAC"/>
    <w:rsid w:val="004F1AE2"/>
    <w:rsid w:val="004F34F0"/>
    <w:rsid w:val="004F3B2B"/>
    <w:rsid w:val="004F6050"/>
    <w:rsid w:val="005005EF"/>
    <w:rsid w:val="005123C2"/>
    <w:rsid w:val="0052144B"/>
    <w:rsid w:val="00524066"/>
    <w:rsid w:val="005264A5"/>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3196"/>
    <w:rsid w:val="005E4870"/>
    <w:rsid w:val="005F71D9"/>
    <w:rsid w:val="005F7602"/>
    <w:rsid w:val="006031C8"/>
    <w:rsid w:val="006062BE"/>
    <w:rsid w:val="00607DF9"/>
    <w:rsid w:val="00612723"/>
    <w:rsid w:val="00613143"/>
    <w:rsid w:val="00613501"/>
    <w:rsid w:val="0061611B"/>
    <w:rsid w:val="006166A8"/>
    <w:rsid w:val="006174A1"/>
    <w:rsid w:val="00621D6C"/>
    <w:rsid w:val="00633B49"/>
    <w:rsid w:val="0064297F"/>
    <w:rsid w:val="006439B2"/>
    <w:rsid w:val="00645102"/>
    <w:rsid w:val="00646CF3"/>
    <w:rsid w:val="00653D11"/>
    <w:rsid w:val="00662983"/>
    <w:rsid w:val="00663A2F"/>
    <w:rsid w:val="006834D3"/>
    <w:rsid w:val="00692625"/>
    <w:rsid w:val="00695CD3"/>
    <w:rsid w:val="006A38B6"/>
    <w:rsid w:val="006A3F08"/>
    <w:rsid w:val="006B0B9D"/>
    <w:rsid w:val="006B1874"/>
    <w:rsid w:val="006B1987"/>
    <w:rsid w:val="006B5B71"/>
    <w:rsid w:val="006B6CB0"/>
    <w:rsid w:val="006C0296"/>
    <w:rsid w:val="006C2B64"/>
    <w:rsid w:val="006D4C85"/>
    <w:rsid w:val="006D66AC"/>
    <w:rsid w:val="006E33F6"/>
    <w:rsid w:val="006F1251"/>
    <w:rsid w:val="006F1C23"/>
    <w:rsid w:val="00702C18"/>
    <w:rsid w:val="00703166"/>
    <w:rsid w:val="007127F3"/>
    <w:rsid w:val="00712FF5"/>
    <w:rsid w:val="00722F85"/>
    <w:rsid w:val="007301CF"/>
    <w:rsid w:val="007316FB"/>
    <w:rsid w:val="007374D0"/>
    <w:rsid w:val="00737E2D"/>
    <w:rsid w:val="00741F39"/>
    <w:rsid w:val="007424D5"/>
    <w:rsid w:val="00750A88"/>
    <w:rsid w:val="007523DD"/>
    <w:rsid w:val="00757B7E"/>
    <w:rsid w:val="007626E6"/>
    <w:rsid w:val="007656B2"/>
    <w:rsid w:val="0077016F"/>
    <w:rsid w:val="007713AD"/>
    <w:rsid w:val="0077271E"/>
    <w:rsid w:val="00792597"/>
    <w:rsid w:val="00795DC5"/>
    <w:rsid w:val="00797153"/>
    <w:rsid w:val="007A21F7"/>
    <w:rsid w:val="007A2B68"/>
    <w:rsid w:val="007B0DDA"/>
    <w:rsid w:val="007C0875"/>
    <w:rsid w:val="007C6794"/>
    <w:rsid w:val="007C7519"/>
    <w:rsid w:val="007D3347"/>
    <w:rsid w:val="007E018B"/>
    <w:rsid w:val="007E5466"/>
    <w:rsid w:val="007F1949"/>
    <w:rsid w:val="007F2592"/>
    <w:rsid w:val="00800A08"/>
    <w:rsid w:val="00816434"/>
    <w:rsid w:val="00817A84"/>
    <w:rsid w:val="008225A4"/>
    <w:rsid w:val="00824B92"/>
    <w:rsid w:val="00826D5E"/>
    <w:rsid w:val="00831B12"/>
    <w:rsid w:val="00832013"/>
    <w:rsid w:val="00832DB7"/>
    <w:rsid w:val="00834732"/>
    <w:rsid w:val="0085200C"/>
    <w:rsid w:val="00854961"/>
    <w:rsid w:val="00857C52"/>
    <w:rsid w:val="00860D5F"/>
    <w:rsid w:val="008706A7"/>
    <w:rsid w:val="00880A44"/>
    <w:rsid w:val="0088345E"/>
    <w:rsid w:val="0088656F"/>
    <w:rsid w:val="00891EF6"/>
    <w:rsid w:val="00896DFD"/>
    <w:rsid w:val="008A0303"/>
    <w:rsid w:val="008A5FDD"/>
    <w:rsid w:val="008A76DF"/>
    <w:rsid w:val="008C3947"/>
    <w:rsid w:val="008C3FEE"/>
    <w:rsid w:val="008D7532"/>
    <w:rsid w:val="008E473B"/>
    <w:rsid w:val="008E51A6"/>
    <w:rsid w:val="008E7329"/>
    <w:rsid w:val="008F2ED5"/>
    <w:rsid w:val="008F66F5"/>
    <w:rsid w:val="0092297E"/>
    <w:rsid w:val="00923651"/>
    <w:rsid w:val="00927B56"/>
    <w:rsid w:val="009341BF"/>
    <w:rsid w:val="00937907"/>
    <w:rsid w:val="00941739"/>
    <w:rsid w:val="00943E06"/>
    <w:rsid w:val="00951573"/>
    <w:rsid w:val="00963003"/>
    <w:rsid w:val="00966EEF"/>
    <w:rsid w:val="00971AE3"/>
    <w:rsid w:val="00971B28"/>
    <w:rsid w:val="009800CA"/>
    <w:rsid w:val="00983471"/>
    <w:rsid w:val="009908B2"/>
    <w:rsid w:val="009909AB"/>
    <w:rsid w:val="009A60C4"/>
    <w:rsid w:val="009B37DB"/>
    <w:rsid w:val="009C0F47"/>
    <w:rsid w:val="009C7A8C"/>
    <w:rsid w:val="009D23F9"/>
    <w:rsid w:val="009D4FA8"/>
    <w:rsid w:val="009D7C14"/>
    <w:rsid w:val="009E1FD7"/>
    <w:rsid w:val="009E44AE"/>
    <w:rsid w:val="009E6CD6"/>
    <w:rsid w:val="009F4D66"/>
    <w:rsid w:val="009F5C9D"/>
    <w:rsid w:val="00A00C3C"/>
    <w:rsid w:val="00A01091"/>
    <w:rsid w:val="00A042B9"/>
    <w:rsid w:val="00A06DBB"/>
    <w:rsid w:val="00A22ADF"/>
    <w:rsid w:val="00A31E86"/>
    <w:rsid w:val="00A54D87"/>
    <w:rsid w:val="00A5553C"/>
    <w:rsid w:val="00A61F27"/>
    <w:rsid w:val="00A701C9"/>
    <w:rsid w:val="00A731EE"/>
    <w:rsid w:val="00A734CF"/>
    <w:rsid w:val="00A74CCD"/>
    <w:rsid w:val="00A81785"/>
    <w:rsid w:val="00A84803"/>
    <w:rsid w:val="00A84C51"/>
    <w:rsid w:val="00A86F2B"/>
    <w:rsid w:val="00A91366"/>
    <w:rsid w:val="00A93AA6"/>
    <w:rsid w:val="00AA4538"/>
    <w:rsid w:val="00AA4E48"/>
    <w:rsid w:val="00AA6202"/>
    <w:rsid w:val="00AA7B57"/>
    <w:rsid w:val="00AB7BB3"/>
    <w:rsid w:val="00AC26FC"/>
    <w:rsid w:val="00AC4062"/>
    <w:rsid w:val="00AC4A99"/>
    <w:rsid w:val="00AC64D2"/>
    <w:rsid w:val="00AD02E7"/>
    <w:rsid w:val="00AD4C1E"/>
    <w:rsid w:val="00AE0FE8"/>
    <w:rsid w:val="00AE1322"/>
    <w:rsid w:val="00AF60D5"/>
    <w:rsid w:val="00B00959"/>
    <w:rsid w:val="00B04415"/>
    <w:rsid w:val="00B06509"/>
    <w:rsid w:val="00B11D60"/>
    <w:rsid w:val="00B13D65"/>
    <w:rsid w:val="00B205DF"/>
    <w:rsid w:val="00B21805"/>
    <w:rsid w:val="00B3072E"/>
    <w:rsid w:val="00B36E15"/>
    <w:rsid w:val="00B37245"/>
    <w:rsid w:val="00B4017A"/>
    <w:rsid w:val="00B4468D"/>
    <w:rsid w:val="00B71C72"/>
    <w:rsid w:val="00B728AB"/>
    <w:rsid w:val="00B73462"/>
    <w:rsid w:val="00B81E92"/>
    <w:rsid w:val="00B908D7"/>
    <w:rsid w:val="00B915AB"/>
    <w:rsid w:val="00B935E8"/>
    <w:rsid w:val="00B93B30"/>
    <w:rsid w:val="00B94CB5"/>
    <w:rsid w:val="00BA0DD9"/>
    <w:rsid w:val="00BA5DBC"/>
    <w:rsid w:val="00BB6312"/>
    <w:rsid w:val="00BC4D06"/>
    <w:rsid w:val="00BD18D3"/>
    <w:rsid w:val="00BD585E"/>
    <w:rsid w:val="00BD6919"/>
    <w:rsid w:val="00BE1EA7"/>
    <w:rsid w:val="00BE1EDA"/>
    <w:rsid w:val="00BE7489"/>
    <w:rsid w:val="00BF2E0D"/>
    <w:rsid w:val="00BF3927"/>
    <w:rsid w:val="00BF3F8B"/>
    <w:rsid w:val="00BF76DA"/>
    <w:rsid w:val="00C07C7B"/>
    <w:rsid w:val="00C16245"/>
    <w:rsid w:val="00C22DC5"/>
    <w:rsid w:val="00C24479"/>
    <w:rsid w:val="00C273F2"/>
    <w:rsid w:val="00C37B53"/>
    <w:rsid w:val="00C517D2"/>
    <w:rsid w:val="00C57027"/>
    <w:rsid w:val="00C5772E"/>
    <w:rsid w:val="00C62B36"/>
    <w:rsid w:val="00C7012C"/>
    <w:rsid w:val="00C70FB8"/>
    <w:rsid w:val="00C711B7"/>
    <w:rsid w:val="00C712EA"/>
    <w:rsid w:val="00C8083D"/>
    <w:rsid w:val="00CA217D"/>
    <w:rsid w:val="00CC09D4"/>
    <w:rsid w:val="00CC668D"/>
    <w:rsid w:val="00CC7832"/>
    <w:rsid w:val="00CF0C1C"/>
    <w:rsid w:val="00CF27FD"/>
    <w:rsid w:val="00CF5F12"/>
    <w:rsid w:val="00D00D8F"/>
    <w:rsid w:val="00D21F3A"/>
    <w:rsid w:val="00D23808"/>
    <w:rsid w:val="00D24494"/>
    <w:rsid w:val="00D3016A"/>
    <w:rsid w:val="00D417D2"/>
    <w:rsid w:val="00D42960"/>
    <w:rsid w:val="00D43BD7"/>
    <w:rsid w:val="00D4485B"/>
    <w:rsid w:val="00D4708D"/>
    <w:rsid w:val="00D4744C"/>
    <w:rsid w:val="00D521DE"/>
    <w:rsid w:val="00D5470B"/>
    <w:rsid w:val="00D55146"/>
    <w:rsid w:val="00D63068"/>
    <w:rsid w:val="00D6498C"/>
    <w:rsid w:val="00D76A70"/>
    <w:rsid w:val="00D83182"/>
    <w:rsid w:val="00D8521E"/>
    <w:rsid w:val="00D9291C"/>
    <w:rsid w:val="00D93A97"/>
    <w:rsid w:val="00D970E4"/>
    <w:rsid w:val="00DB1F64"/>
    <w:rsid w:val="00DC075C"/>
    <w:rsid w:val="00DC2F53"/>
    <w:rsid w:val="00DC5BAC"/>
    <w:rsid w:val="00DC6816"/>
    <w:rsid w:val="00DC76C2"/>
    <w:rsid w:val="00DD1CF2"/>
    <w:rsid w:val="00DD1F55"/>
    <w:rsid w:val="00DE4484"/>
    <w:rsid w:val="00DE5A9E"/>
    <w:rsid w:val="00DF41B7"/>
    <w:rsid w:val="00DF4A4A"/>
    <w:rsid w:val="00DF583C"/>
    <w:rsid w:val="00E02018"/>
    <w:rsid w:val="00E03C3F"/>
    <w:rsid w:val="00E06FD7"/>
    <w:rsid w:val="00E07417"/>
    <w:rsid w:val="00E24D45"/>
    <w:rsid w:val="00E33DB8"/>
    <w:rsid w:val="00E33EFF"/>
    <w:rsid w:val="00E34387"/>
    <w:rsid w:val="00E348BA"/>
    <w:rsid w:val="00E369FE"/>
    <w:rsid w:val="00E37C6F"/>
    <w:rsid w:val="00E475F8"/>
    <w:rsid w:val="00E5102E"/>
    <w:rsid w:val="00E5721C"/>
    <w:rsid w:val="00E60498"/>
    <w:rsid w:val="00E619C6"/>
    <w:rsid w:val="00E63DEF"/>
    <w:rsid w:val="00E745A1"/>
    <w:rsid w:val="00E81529"/>
    <w:rsid w:val="00E83A13"/>
    <w:rsid w:val="00EB6FC5"/>
    <w:rsid w:val="00EC2356"/>
    <w:rsid w:val="00EC2582"/>
    <w:rsid w:val="00EC337C"/>
    <w:rsid w:val="00ED0CFF"/>
    <w:rsid w:val="00ED31D2"/>
    <w:rsid w:val="00EE0EAC"/>
    <w:rsid w:val="00EE3322"/>
    <w:rsid w:val="00EE33CB"/>
    <w:rsid w:val="00F0061A"/>
    <w:rsid w:val="00F02402"/>
    <w:rsid w:val="00F02834"/>
    <w:rsid w:val="00F04EEB"/>
    <w:rsid w:val="00F05467"/>
    <w:rsid w:val="00F055D2"/>
    <w:rsid w:val="00F07CD7"/>
    <w:rsid w:val="00F127E9"/>
    <w:rsid w:val="00F14B5D"/>
    <w:rsid w:val="00F259FC"/>
    <w:rsid w:val="00F344AD"/>
    <w:rsid w:val="00F36972"/>
    <w:rsid w:val="00F37129"/>
    <w:rsid w:val="00F42426"/>
    <w:rsid w:val="00F456BC"/>
    <w:rsid w:val="00F45E59"/>
    <w:rsid w:val="00F50666"/>
    <w:rsid w:val="00F70C9E"/>
    <w:rsid w:val="00F74A74"/>
    <w:rsid w:val="00F7572C"/>
    <w:rsid w:val="00F8382C"/>
    <w:rsid w:val="00F855D7"/>
    <w:rsid w:val="00F8625A"/>
    <w:rsid w:val="00F92035"/>
    <w:rsid w:val="00F92748"/>
    <w:rsid w:val="00FA4169"/>
    <w:rsid w:val="00FA56A8"/>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Tabellengitternetz 9pt,Dossier table,Section 3- footnotes,Legemiddelverket 3,Summary Table,ASD Table,Key messages box"/>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qFormat/>
    <w:rsid w:val="003D1877"/>
    <w:rPr>
      <w:sz w:val="24"/>
      <w:szCs w:val="24"/>
      <w:lang w:eastAsia="en-US"/>
    </w:rPr>
  </w:style>
  <w:style w:type="table" w:customStyle="1" w:styleId="Keymessagesbox1">
    <w:name w:val="Key messages box1"/>
    <w:basedOn w:val="prastojilentel"/>
    <w:next w:val="Lentelstinklelis"/>
    <w:rsid w:val="009908B2"/>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7B8F19307ED1446DB2D9946258E25C7C"/>
        <w:category>
          <w:name w:val="General"/>
          <w:gallery w:val="placeholder"/>
        </w:category>
        <w:types>
          <w:type w:val="bbPlcHdr"/>
        </w:types>
        <w:behaviors>
          <w:behavior w:val="content"/>
        </w:behaviors>
        <w:guid w:val="{54D8BDAD-060F-441A-83CD-082C6A920AFF}"/>
      </w:docPartPr>
      <w:docPartBody>
        <w:p w:rsidR="008D4C78" w:rsidRDefault="008D4C78" w:rsidP="008D4C78">
          <w:pPr>
            <w:pStyle w:val="7B8F19307ED1446DB2D9946258E25C7C"/>
          </w:pPr>
          <w:r>
            <w:rPr>
              <w:rStyle w:val="Vietosrezervavimoenklotekstas"/>
            </w:rPr>
            <w:t>Click here to enter a date.</w:t>
          </w:r>
        </w:p>
      </w:docPartBody>
    </w:docPart>
    <w:docPart>
      <w:docPartPr>
        <w:name w:val="DE15444C806347989588A5A9ED88EE62"/>
        <w:category>
          <w:name w:val="General"/>
          <w:gallery w:val="placeholder"/>
        </w:category>
        <w:types>
          <w:type w:val="bbPlcHdr"/>
        </w:types>
        <w:behaviors>
          <w:behavior w:val="content"/>
        </w:behaviors>
        <w:guid w:val="{E586E266-8085-40EA-8847-3B836212488F}"/>
      </w:docPartPr>
      <w:docPartBody>
        <w:p w:rsidR="008D4C78" w:rsidRDefault="008D4C78" w:rsidP="008D4C78">
          <w:pPr>
            <w:pStyle w:val="DE15444C806347989588A5A9ED88EE62"/>
          </w:pPr>
          <w:r>
            <w:rPr>
              <w:rStyle w:val="Vietosrezervavimoenklotekstas"/>
            </w:rPr>
            <w:t>Click here to enter a date.</w:t>
          </w:r>
        </w:p>
      </w:docPartBody>
    </w:docPart>
    <w:docPart>
      <w:docPartPr>
        <w:name w:val="0213665174764CC3A9431F75AA7ABB71"/>
        <w:category>
          <w:name w:val="General"/>
          <w:gallery w:val="placeholder"/>
        </w:category>
        <w:types>
          <w:type w:val="bbPlcHdr"/>
        </w:types>
        <w:behaviors>
          <w:behavior w:val="content"/>
        </w:behaviors>
        <w:guid w:val="{2D03E92C-C083-4F11-BEB5-54E46DBCD78E}"/>
      </w:docPartPr>
      <w:docPartBody>
        <w:p w:rsidR="008D4C78" w:rsidRDefault="008D4C78" w:rsidP="008D4C78">
          <w:pPr>
            <w:pStyle w:val="0213665174764CC3A9431F75AA7ABB71"/>
          </w:pPr>
          <w:r>
            <w:rPr>
              <w:rStyle w:val="Vietosrezervavimoenklotekstas"/>
            </w:rPr>
            <w:t>Click here to enter a date.</w:t>
          </w:r>
        </w:p>
      </w:docPartBody>
    </w:docPart>
    <w:docPart>
      <w:docPartPr>
        <w:name w:val="2800D32C1F0743EA9E366D9D36A3F840"/>
        <w:category>
          <w:name w:val="General"/>
          <w:gallery w:val="placeholder"/>
        </w:category>
        <w:types>
          <w:type w:val="bbPlcHdr"/>
        </w:types>
        <w:behaviors>
          <w:behavior w:val="content"/>
        </w:behaviors>
        <w:guid w:val="{64C12988-163E-40AC-8EBB-718D8E20A33C}"/>
      </w:docPartPr>
      <w:docPartBody>
        <w:p w:rsidR="008D4C78" w:rsidRDefault="008D4C78" w:rsidP="008D4C78">
          <w:pPr>
            <w:pStyle w:val="2800D32C1F0743EA9E366D9D36A3F84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1FE3"/>
    <w:rsid w:val="00061157"/>
    <w:rsid w:val="000937FE"/>
    <w:rsid w:val="000A559A"/>
    <w:rsid w:val="000B0FA4"/>
    <w:rsid w:val="000D24D4"/>
    <w:rsid w:val="00161B29"/>
    <w:rsid w:val="001C35A9"/>
    <w:rsid w:val="001F47C5"/>
    <w:rsid w:val="00214B70"/>
    <w:rsid w:val="00237556"/>
    <w:rsid w:val="00285B90"/>
    <w:rsid w:val="00297916"/>
    <w:rsid w:val="002A5FD7"/>
    <w:rsid w:val="00311EB5"/>
    <w:rsid w:val="0039303B"/>
    <w:rsid w:val="003C5ABF"/>
    <w:rsid w:val="004144A3"/>
    <w:rsid w:val="004160E7"/>
    <w:rsid w:val="004416C6"/>
    <w:rsid w:val="00490DCD"/>
    <w:rsid w:val="004A6A30"/>
    <w:rsid w:val="004F5AB2"/>
    <w:rsid w:val="005074B9"/>
    <w:rsid w:val="005E40DD"/>
    <w:rsid w:val="006E328A"/>
    <w:rsid w:val="007008B7"/>
    <w:rsid w:val="007219C1"/>
    <w:rsid w:val="0074261C"/>
    <w:rsid w:val="00753462"/>
    <w:rsid w:val="00772325"/>
    <w:rsid w:val="007A2FE0"/>
    <w:rsid w:val="007C6D1D"/>
    <w:rsid w:val="00816434"/>
    <w:rsid w:val="008D4C78"/>
    <w:rsid w:val="0090074D"/>
    <w:rsid w:val="0095615F"/>
    <w:rsid w:val="009B3BF0"/>
    <w:rsid w:val="009D2788"/>
    <w:rsid w:val="009D5E5E"/>
    <w:rsid w:val="009F1BB4"/>
    <w:rsid w:val="009F381A"/>
    <w:rsid w:val="00A117FF"/>
    <w:rsid w:val="00AB6ED4"/>
    <w:rsid w:val="00AB7BB3"/>
    <w:rsid w:val="00AC4062"/>
    <w:rsid w:val="00B14210"/>
    <w:rsid w:val="00B23DC0"/>
    <w:rsid w:val="00B96656"/>
    <w:rsid w:val="00BA7EC0"/>
    <w:rsid w:val="00BE29C1"/>
    <w:rsid w:val="00C2401D"/>
    <w:rsid w:val="00C51189"/>
    <w:rsid w:val="00C53A68"/>
    <w:rsid w:val="00C70FB8"/>
    <w:rsid w:val="00C711B7"/>
    <w:rsid w:val="00CA5BB4"/>
    <w:rsid w:val="00CB4BD1"/>
    <w:rsid w:val="00CC4201"/>
    <w:rsid w:val="00CE2DA9"/>
    <w:rsid w:val="00CE44BE"/>
    <w:rsid w:val="00D107CD"/>
    <w:rsid w:val="00D4356B"/>
    <w:rsid w:val="00D7162F"/>
    <w:rsid w:val="00DE5A9E"/>
    <w:rsid w:val="00E31D0D"/>
    <w:rsid w:val="00E44A86"/>
    <w:rsid w:val="00E522EB"/>
    <w:rsid w:val="00E60498"/>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D4C78"/>
    <w:rPr>
      <w:color w:val="808080"/>
    </w:rPr>
  </w:style>
  <w:style w:type="paragraph" w:customStyle="1" w:styleId="0A1DCC42A2974C359888226B925C8FF8">
    <w:name w:val="0A1DCC42A2974C359888226B925C8FF8"/>
    <w:rsid w:val="005E40DD"/>
  </w:style>
  <w:style w:type="paragraph" w:customStyle="1" w:styleId="7B8F19307ED1446DB2D9946258E25C7C">
    <w:name w:val="7B8F19307ED1446DB2D9946258E25C7C"/>
    <w:rsid w:val="008D4C78"/>
    <w:pPr>
      <w:spacing w:line="278" w:lineRule="auto"/>
    </w:pPr>
    <w:rPr>
      <w:kern w:val="2"/>
      <w:sz w:val="24"/>
      <w:szCs w:val="24"/>
      <w14:ligatures w14:val="standardContextual"/>
    </w:rPr>
  </w:style>
  <w:style w:type="paragraph" w:customStyle="1" w:styleId="DE15444C806347989588A5A9ED88EE62">
    <w:name w:val="DE15444C806347989588A5A9ED88EE62"/>
    <w:rsid w:val="008D4C78"/>
    <w:pPr>
      <w:spacing w:line="278" w:lineRule="auto"/>
    </w:pPr>
    <w:rPr>
      <w:kern w:val="2"/>
      <w:sz w:val="24"/>
      <w:szCs w:val="24"/>
      <w14:ligatures w14:val="standardContextual"/>
    </w:rPr>
  </w:style>
  <w:style w:type="paragraph" w:customStyle="1" w:styleId="0213665174764CC3A9431F75AA7ABB71">
    <w:name w:val="0213665174764CC3A9431F75AA7ABB71"/>
    <w:rsid w:val="008D4C78"/>
    <w:pPr>
      <w:spacing w:line="278" w:lineRule="auto"/>
    </w:pPr>
    <w:rPr>
      <w:kern w:val="2"/>
      <w:sz w:val="24"/>
      <w:szCs w:val="24"/>
      <w14:ligatures w14:val="standardContextual"/>
    </w:rPr>
  </w:style>
  <w:style w:type="paragraph" w:customStyle="1" w:styleId="2800D32C1F0743EA9E366D9D36A3F840">
    <w:name w:val="2800D32C1F0743EA9E366D9D36A3F840"/>
    <w:rsid w:val="008D4C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9E5B-017F-47A7-9E0D-1FDEE2DB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2023</Words>
  <Characters>14899</Characters>
  <Application>Microsoft Office Word</Application>
  <DocSecurity>0</DocSecurity>
  <Lines>124</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16889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2025-05-11T16:09:00Z</dcterms:created>
  <dcterms:modified xsi:type="dcterms:W3CDTF">2025-05-20T17:24:00Z</dcterms:modified>
</cp:coreProperties>
</file>