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AF1A96" w:rsidRDefault="005F7602" w:rsidP="002946C7">
      <w:pPr>
        <w:ind w:left="5529"/>
      </w:pPr>
    </w:p>
    <w:p w14:paraId="12FA4B9E" w14:textId="77777777" w:rsidR="001B3C5B" w:rsidRPr="00AF1A96" w:rsidRDefault="001B3C5B" w:rsidP="001B3C5B">
      <w:pPr>
        <w:ind w:left="6096"/>
      </w:pPr>
      <w:r w:rsidRPr="00AF1A96">
        <w:t>Forma patvirtinta</w:t>
      </w:r>
    </w:p>
    <w:p w14:paraId="7206970B" w14:textId="70E9BD2E" w:rsidR="004C263A" w:rsidRPr="00AF1A96" w:rsidRDefault="001B3C5B" w:rsidP="001B3C5B">
      <w:pPr>
        <w:ind w:left="6096"/>
      </w:pPr>
      <w:r w:rsidRPr="00AF1A96">
        <w:t>Valstybinės vaistų kontrolės tarnybos prie Lietuvos Respublikos sveikatos apsaugos ministerijos viršininko 2021 m</w:t>
      </w:r>
      <w:r w:rsidR="004C263A" w:rsidRPr="00AF1A96">
        <w:t xml:space="preserve">. lapkričio 12 </w:t>
      </w:r>
      <w:r w:rsidRPr="00AF1A96">
        <w:t>d. įsakymu Nr.</w:t>
      </w:r>
      <w:r w:rsidR="004C263A" w:rsidRPr="00AF1A96">
        <w:t xml:space="preserve"> (1.72E)1A-1418</w:t>
      </w:r>
    </w:p>
    <w:p w14:paraId="5B219AA6" w14:textId="520B9136" w:rsidR="001B3C5B" w:rsidRPr="00AF1A96" w:rsidRDefault="004C263A" w:rsidP="001B3C5B">
      <w:pPr>
        <w:ind w:left="6096"/>
      </w:pPr>
      <w:r w:rsidRPr="00AF1A96">
        <w:t>(Valstybinės vaistų kontrolės tarnybos prie Lietuvos Respublikos sveikatos apsaugos ministerijos viršininko 2022 m.                         d. įsakymo Nr.                    redakcija)</w:t>
      </w:r>
    </w:p>
    <w:p w14:paraId="3336BD74" w14:textId="77777777" w:rsidR="001B3C5B" w:rsidRPr="00AF1A96" w:rsidRDefault="001B3C5B" w:rsidP="00FA4169"/>
    <w:p w14:paraId="77AFB67E" w14:textId="16397257" w:rsidR="00613501" w:rsidRPr="00AF1A96" w:rsidRDefault="002F0E4F" w:rsidP="003B211A">
      <w:pPr>
        <w:jc w:val="center"/>
        <w:rPr>
          <w:b/>
          <w:bCs/>
          <w:caps/>
        </w:rPr>
      </w:pPr>
      <w:r w:rsidRPr="00AF1A96">
        <w:rPr>
          <w:b/>
        </w:rPr>
        <w:t xml:space="preserve">REKOMENDACIJA DĖL VAISTINIO PREPARATO </w:t>
      </w:r>
      <w:r w:rsidRPr="00AF1A96">
        <w:rPr>
          <w:b/>
          <w:bCs/>
          <w:caps/>
        </w:rPr>
        <w:t>Lietuvos Respublikos Sveikatos apsaugos ministerijos vaistinių preparatų ir medicinos pagalbos priemonių kompensavimo komisijai</w:t>
      </w:r>
    </w:p>
    <w:p w14:paraId="53EF5722" w14:textId="77777777" w:rsidR="00107205" w:rsidRPr="00AF1A96" w:rsidRDefault="00107205" w:rsidP="00107205">
      <w:pPr>
        <w:spacing w:line="276" w:lineRule="auto"/>
        <w:jc w:val="center"/>
        <w:rPr>
          <w:b/>
        </w:rPr>
      </w:pPr>
    </w:p>
    <w:p w14:paraId="79B104E1" w14:textId="16D43B0F" w:rsidR="00C840C6" w:rsidRPr="00AF1A96" w:rsidRDefault="00107205" w:rsidP="00107205">
      <w:pPr>
        <w:spacing w:line="276" w:lineRule="auto"/>
        <w:jc w:val="center"/>
        <w:rPr>
          <w:b/>
        </w:rPr>
      </w:pPr>
      <w:bookmarkStart w:id="0" w:name="_Hlk197370348"/>
      <w:r w:rsidRPr="00AF1A96">
        <w:rPr>
          <w:b/>
        </w:rPr>
        <w:t>Skyrizi</w:t>
      </w:r>
      <w:r w:rsidRPr="00AF1A96">
        <w:t xml:space="preserve"> </w:t>
      </w:r>
      <w:r w:rsidRPr="00AF1A96">
        <w:rPr>
          <w:b/>
        </w:rPr>
        <w:t>180 mg injekcinis tirpalas užtaise</w:t>
      </w:r>
    </w:p>
    <w:p w14:paraId="17151743" w14:textId="66EA788D" w:rsidR="00C840C6" w:rsidRPr="00AF1A96" w:rsidRDefault="00C840C6" w:rsidP="00C840C6">
      <w:pPr>
        <w:spacing w:line="276" w:lineRule="auto"/>
        <w:jc w:val="center"/>
        <w:rPr>
          <w:b/>
        </w:rPr>
      </w:pPr>
      <w:r w:rsidRPr="00AF1A96">
        <w:rPr>
          <w:b/>
        </w:rPr>
        <w:t xml:space="preserve">Skyrizi 360 mg injekcinis tirpalas užtaise </w:t>
      </w:r>
    </w:p>
    <w:p w14:paraId="7C9B54D6" w14:textId="77777777" w:rsidR="00647F53" w:rsidRPr="00AF1A96" w:rsidRDefault="00C840C6" w:rsidP="00107205">
      <w:pPr>
        <w:spacing w:line="276" w:lineRule="auto"/>
        <w:jc w:val="center"/>
        <w:rPr>
          <w:b/>
        </w:rPr>
      </w:pPr>
      <w:r w:rsidRPr="00AF1A96">
        <w:rPr>
          <w:b/>
        </w:rPr>
        <w:t xml:space="preserve">Skyrizi </w:t>
      </w:r>
      <w:r w:rsidR="00107205" w:rsidRPr="00AF1A96">
        <w:rPr>
          <w:b/>
        </w:rPr>
        <w:t>600 mg koncentratas infuziniam tirpalui</w:t>
      </w:r>
    </w:p>
    <w:p w14:paraId="29AD1481" w14:textId="4AD53908" w:rsidR="00107205" w:rsidRPr="00AF1A96" w:rsidRDefault="00107205" w:rsidP="00107205">
      <w:pPr>
        <w:spacing w:line="276" w:lineRule="auto"/>
        <w:jc w:val="center"/>
      </w:pPr>
    </w:p>
    <w:bookmarkEnd w:id="0"/>
    <w:p w14:paraId="6FF866A3" w14:textId="77777777" w:rsidR="00107205" w:rsidRPr="00AF1A96" w:rsidRDefault="00107205" w:rsidP="00107205">
      <w:pPr>
        <w:spacing w:line="276" w:lineRule="auto"/>
        <w:jc w:val="center"/>
      </w:pPr>
      <w:r w:rsidRPr="00AF1A96">
        <w:t>(</w:t>
      </w:r>
      <w:r w:rsidRPr="00AF1A96">
        <w:rPr>
          <w:szCs w:val="28"/>
          <w:lang w:eastAsia="en-GB"/>
        </w:rPr>
        <w:t>Risankizumabas</w:t>
      </w:r>
      <w:r w:rsidRPr="00AF1A96">
        <w:t>)</w:t>
      </w:r>
    </w:p>
    <w:p w14:paraId="278669E3" w14:textId="77777777" w:rsidR="00107205" w:rsidRPr="00AF1A96" w:rsidRDefault="00107205" w:rsidP="00107205">
      <w:pPr>
        <w:spacing w:line="276" w:lineRule="auto"/>
        <w:jc w:val="center"/>
      </w:pPr>
    </w:p>
    <w:p w14:paraId="6A98E7E1" w14:textId="77777777" w:rsidR="00107205" w:rsidRPr="00AF1A96" w:rsidRDefault="00107205" w:rsidP="00107205">
      <w:pPr>
        <w:spacing w:line="276" w:lineRule="auto"/>
        <w:jc w:val="center"/>
        <w:rPr>
          <w:b/>
        </w:rPr>
      </w:pPr>
      <w:r w:rsidRPr="00AF1A96">
        <w:rPr>
          <w:b/>
        </w:rPr>
        <w:t>Paraiškos numeris STV 218</w:t>
      </w:r>
    </w:p>
    <w:p w14:paraId="453197C8" w14:textId="77777777" w:rsidR="00D4708D" w:rsidRPr="00AF1A96" w:rsidRDefault="00D4708D" w:rsidP="003B211A">
      <w:pPr>
        <w:jc w:val="center"/>
        <w:rPr>
          <w:b/>
        </w:rPr>
      </w:pPr>
    </w:p>
    <w:p w14:paraId="78C89D1C" w14:textId="0DEFFAA5" w:rsidR="00D4485B" w:rsidRPr="00AF1A96" w:rsidRDefault="00B13D65" w:rsidP="00CC09D4">
      <w:pPr>
        <w:pStyle w:val="Sraopastraipa"/>
        <w:numPr>
          <w:ilvl w:val="0"/>
          <w:numId w:val="12"/>
        </w:numPr>
        <w:tabs>
          <w:tab w:val="left" w:pos="567"/>
        </w:tabs>
        <w:ind w:left="567" w:hanging="567"/>
        <w:rPr>
          <w:b/>
          <w:bCs/>
          <w:caps/>
        </w:rPr>
      </w:pPr>
      <w:r w:rsidRPr="00AF1A96">
        <w:rPr>
          <w:b/>
          <w:bCs/>
          <w:caps/>
        </w:rPr>
        <w:t>Bendroji dalis</w:t>
      </w:r>
    </w:p>
    <w:p w14:paraId="04A7C7A7" w14:textId="77777777" w:rsidR="00B13D65" w:rsidRPr="00AF1A96"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AF1A96" w14:paraId="18A83EC2" w14:textId="77777777" w:rsidTr="00BE7489">
        <w:trPr>
          <w:trHeight w:val="538"/>
        </w:trPr>
        <w:tc>
          <w:tcPr>
            <w:tcW w:w="632" w:type="dxa"/>
          </w:tcPr>
          <w:p w14:paraId="0646FBEA" w14:textId="77777777" w:rsidR="00B13D65" w:rsidRPr="00AF1A96" w:rsidRDefault="00B13D65" w:rsidP="00824B92">
            <w:pPr>
              <w:rPr>
                <w:rFonts w:eastAsia="Arial"/>
              </w:rPr>
            </w:pPr>
            <w:r w:rsidRPr="00AF1A96">
              <w:rPr>
                <w:rFonts w:eastAsia="Arial"/>
              </w:rPr>
              <w:t>1.1</w:t>
            </w:r>
          </w:p>
        </w:tc>
        <w:tc>
          <w:tcPr>
            <w:tcW w:w="3694" w:type="dxa"/>
          </w:tcPr>
          <w:p w14:paraId="6C3AE864" w14:textId="77777777" w:rsidR="00B13D65" w:rsidRPr="00AF1A96" w:rsidRDefault="00B13D65" w:rsidP="00824B92">
            <w:pPr>
              <w:rPr>
                <w:rFonts w:eastAsia="Arial"/>
              </w:rPr>
            </w:pPr>
            <w:r w:rsidRPr="00AF1A96">
              <w:rPr>
                <w:rFonts w:eastAsia="Arial"/>
              </w:rPr>
              <w:t>Pareiškėjas</w:t>
            </w:r>
          </w:p>
          <w:p w14:paraId="2AF240DC" w14:textId="77777777" w:rsidR="00B13D65" w:rsidRPr="00AF1A96" w:rsidRDefault="00B13D65" w:rsidP="00824B92">
            <w:pPr>
              <w:rPr>
                <w:rFonts w:eastAsia="Arial"/>
              </w:rPr>
            </w:pPr>
          </w:p>
        </w:tc>
        <w:tc>
          <w:tcPr>
            <w:tcW w:w="5167" w:type="dxa"/>
          </w:tcPr>
          <w:p w14:paraId="1ABCE5DE" w14:textId="56FF0B6F" w:rsidR="00937907" w:rsidRPr="00AF1A96" w:rsidRDefault="004E2D4C" w:rsidP="00824B92">
            <w:r w:rsidRPr="00AF1A96">
              <w:t>UAB „AbbVie“</w:t>
            </w:r>
          </w:p>
          <w:p w14:paraId="2AAF0D91" w14:textId="77777777" w:rsidR="00B13D65" w:rsidRPr="00AF1A96" w:rsidRDefault="00B13D65" w:rsidP="00824B92">
            <w:pPr>
              <w:rPr>
                <w:rFonts w:eastAsia="Arial"/>
              </w:rPr>
            </w:pPr>
          </w:p>
        </w:tc>
      </w:tr>
      <w:tr w:rsidR="00B13D65" w:rsidRPr="00AF1A96" w14:paraId="31998B0D" w14:textId="77777777" w:rsidTr="00BE7489">
        <w:trPr>
          <w:trHeight w:val="538"/>
        </w:trPr>
        <w:tc>
          <w:tcPr>
            <w:tcW w:w="632" w:type="dxa"/>
          </w:tcPr>
          <w:p w14:paraId="2005EC67" w14:textId="662300D0" w:rsidR="00B13D65" w:rsidRPr="00AF1A96" w:rsidRDefault="002E0702" w:rsidP="00824B92">
            <w:pPr>
              <w:rPr>
                <w:rFonts w:eastAsia="Arial"/>
              </w:rPr>
            </w:pPr>
            <w:r w:rsidRPr="00AF1A96">
              <w:rPr>
                <w:rFonts w:eastAsia="Arial"/>
              </w:rPr>
              <w:t>1.2</w:t>
            </w:r>
          </w:p>
        </w:tc>
        <w:tc>
          <w:tcPr>
            <w:tcW w:w="3694" w:type="dxa"/>
          </w:tcPr>
          <w:p w14:paraId="1E4AE3B1" w14:textId="77777777" w:rsidR="00B13D65" w:rsidRPr="00AF1A96" w:rsidRDefault="00B13D65" w:rsidP="00824B92">
            <w:pPr>
              <w:rPr>
                <w:bCs/>
                <w:color w:val="000000"/>
                <w:lang w:eastAsia="lt-LT"/>
              </w:rPr>
            </w:pPr>
            <w:r w:rsidRPr="00AF1A96">
              <w:rPr>
                <w:bCs/>
                <w:color w:val="000000"/>
                <w:lang w:eastAsia="lt-LT"/>
              </w:rPr>
              <w:t xml:space="preserve">Registracijos data </w:t>
            </w:r>
          </w:p>
          <w:p w14:paraId="3A0DC096" w14:textId="77777777" w:rsidR="00B13D65" w:rsidRPr="00AF1A96" w:rsidRDefault="00B13D65" w:rsidP="00824B92">
            <w:pPr>
              <w:rPr>
                <w:bCs/>
                <w:color w:val="000000"/>
                <w:lang w:eastAsia="lt-LT"/>
              </w:rPr>
            </w:pPr>
          </w:p>
        </w:tc>
        <w:tc>
          <w:tcPr>
            <w:tcW w:w="5167" w:type="dxa"/>
          </w:tcPr>
          <w:p w14:paraId="3CA218AD" w14:textId="7009B905" w:rsidR="00B13D65" w:rsidRPr="00AF1A96" w:rsidRDefault="00ED3CB9" w:rsidP="00824B92">
            <w:pPr>
              <w:rPr>
                <w:rStyle w:val="Style2"/>
                <w:sz w:val="24"/>
              </w:rPr>
            </w:pPr>
            <w:sdt>
              <w:sdtPr>
                <w:rPr>
                  <w:color w:val="000000" w:themeColor="text1"/>
                  <w:sz w:val="32"/>
                  <w:shd w:val="clear" w:color="auto" w:fill="FFFFFF"/>
                  <w:lang w:eastAsia="en-GB"/>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sdtContent>
                <w:r w:rsidR="00107205" w:rsidRPr="00AF1A96">
                  <w:rPr>
                    <w:color w:val="000000" w:themeColor="text1"/>
                    <w:shd w:val="clear" w:color="auto" w:fill="FFFFFF"/>
                    <w:lang w:eastAsia="en-GB"/>
                  </w:rPr>
                  <w:t>2019 m. balandžio 26 d.</w:t>
                </w:r>
              </w:sdtContent>
            </w:sdt>
          </w:p>
        </w:tc>
      </w:tr>
      <w:tr w:rsidR="00B13D65" w:rsidRPr="00AF1A96" w14:paraId="15968AE1" w14:textId="77777777" w:rsidTr="00BE7489">
        <w:trPr>
          <w:trHeight w:val="1500"/>
        </w:trPr>
        <w:tc>
          <w:tcPr>
            <w:tcW w:w="632" w:type="dxa"/>
          </w:tcPr>
          <w:p w14:paraId="6A784245" w14:textId="1E461489" w:rsidR="00B13D65" w:rsidRPr="00AF1A96" w:rsidRDefault="002E0702" w:rsidP="00824B92">
            <w:pPr>
              <w:rPr>
                <w:rFonts w:eastAsia="Arial"/>
              </w:rPr>
            </w:pPr>
            <w:r w:rsidRPr="00AF1A96">
              <w:rPr>
                <w:rFonts w:eastAsia="Arial"/>
              </w:rPr>
              <w:t>1.3</w:t>
            </w:r>
          </w:p>
        </w:tc>
        <w:tc>
          <w:tcPr>
            <w:tcW w:w="3694" w:type="dxa"/>
          </w:tcPr>
          <w:p w14:paraId="22933506" w14:textId="77777777" w:rsidR="00B13D65" w:rsidRPr="00AF1A96" w:rsidRDefault="00B13D65" w:rsidP="00824B92">
            <w:r w:rsidRPr="00AF1A96">
              <w:t xml:space="preserve">Paraiškos tipas </w:t>
            </w:r>
          </w:p>
          <w:p w14:paraId="0465E680" w14:textId="7F0A0714" w:rsidR="00B13D65" w:rsidRPr="00AF1A96" w:rsidRDefault="00B13D65" w:rsidP="00824B92">
            <w:r w:rsidRPr="00AF1A96">
              <w:t>(</w:t>
            </w:r>
            <w:r w:rsidR="00695CD3" w:rsidRPr="00AF1A96">
              <w:t xml:space="preserve">pagal </w:t>
            </w:r>
            <w:r w:rsidR="0039696E" w:rsidRPr="00AF1A96">
              <w:rPr>
                <w:color w:val="333333"/>
                <w:shd w:val="clear" w:color="auto" w:fill="FFFFFF"/>
              </w:rPr>
              <w:t>vaistinio preparato registracijos tipą, įtvirtintą</w:t>
            </w:r>
            <w:r w:rsidR="0039696E" w:rsidRPr="00AF1A96">
              <w:t xml:space="preserve"> </w:t>
            </w:r>
            <w:r w:rsidRPr="00AF1A96">
              <w:t>Direktyv</w:t>
            </w:r>
            <w:r w:rsidR="00695CD3" w:rsidRPr="00AF1A96">
              <w:t>os</w:t>
            </w:r>
            <w:r w:rsidRPr="00AF1A96">
              <w:t xml:space="preserve"> 2001/83/EB</w:t>
            </w:r>
            <w:r w:rsidR="00695CD3" w:rsidRPr="00AF1A96">
              <w:t xml:space="preserve"> straips</w:t>
            </w:r>
            <w:r w:rsidR="0039696E" w:rsidRPr="00AF1A96">
              <w:t>iuose</w:t>
            </w:r>
            <w:r w:rsidRPr="00AF1A96">
              <w:t>)</w:t>
            </w:r>
          </w:p>
          <w:p w14:paraId="77089D80" w14:textId="6681D72A" w:rsidR="00B13D65" w:rsidRPr="00AF1A96" w:rsidRDefault="00B13D65" w:rsidP="00824B92">
            <w:pPr>
              <w:rPr>
                <w:bCs/>
                <w:color w:val="000000"/>
                <w:lang w:eastAsia="lt-LT"/>
              </w:rPr>
            </w:pPr>
          </w:p>
        </w:tc>
        <w:tc>
          <w:tcPr>
            <w:tcW w:w="5167" w:type="dxa"/>
          </w:tcPr>
          <w:p w14:paraId="208F40EC" w14:textId="683FE21F" w:rsidR="00B13D65" w:rsidRPr="00AF1A96" w:rsidRDefault="00ED3CB9"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107205" w:rsidRPr="00AF1A96">
                  <w:rPr>
                    <w:rStyle w:val="Style2"/>
                    <w:rFonts w:ascii="MS Gothic" w:eastAsia="MS Gothic" w:hAnsi="MS Gothic"/>
                    <w:sz w:val="22"/>
                    <w:szCs w:val="22"/>
                  </w:rPr>
                  <w:t>☒</w:t>
                </w:r>
              </w:sdtContent>
            </w:sdt>
            <w:r w:rsidR="00B13D65" w:rsidRPr="00AF1A96">
              <w:rPr>
                <w:sz w:val="22"/>
                <w:szCs w:val="22"/>
              </w:rPr>
              <w:t xml:space="preserve">8.3 str. (pilna </w:t>
            </w:r>
            <w:r w:rsidR="00107205" w:rsidRPr="00AF1A96">
              <w:rPr>
                <w:sz w:val="22"/>
                <w:szCs w:val="22"/>
              </w:rPr>
              <w:t>byla, pagrįsta savais tyrimais)*</w:t>
            </w:r>
          </w:p>
          <w:p w14:paraId="32BA564E" w14:textId="3FDA3E01" w:rsidR="00B13D65" w:rsidRPr="00AF1A96" w:rsidRDefault="00ED3CB9"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AF1A96">
                  <w:rPr>
                    <w:rStyle w:val="Style2"/>
                    <w:rFonts w:ascii="Segoe UI Symbol" w:eastAsia="MS Gothic" w:hAnsi="Segoe UI Symbol" w:cs="Segoe UI Symbol"/>
                    <w:sz w:val="22"/>
                    <w:szCs w:val="22"/>
                  </w:rPr>
                  <w:t>☐</w:t>
                </w:r>
              </w:sdtContent>
            </w:sdt>
            <w:r w:rsidR="00B13D65" w:rsidRPr="00AF1A96">
              <w:rPr>
                <w:sz w:val="22"/>
                <w:szCs w:val="22"/>
              </w:rPr>
              <w:t xml:space="preserve">10 a str. (pripažintas medicininis vartojimas) </w:t>
            </w:r>
          </w:p>
          <w:p w14:paraId="318DCD7F" w14:textId="32333E53" w:rsidR="00B13D65" w:rsidRPr="00AF1A96" w:rsidRDefault="00ED3CB9"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AF1A96">
                  <w:rPr>
                    <w:rStyle w:val="Style2"/>
                    <w:rFonts w:ascii="Segoe UI Symbol" w:eastAsia="MS Gothic" w:hAnsi="Segoe UI Symbol" w:cs="Segoe UI Symbol"/>
                    <w:sz w:val="22"/>
                    <w:szCs w:val="22"/>
                  </w:rPr>
                  <w:t>☐</w:t>
                </w:r>
              </w:sdtContent>
            </w:sdt>
            <w:r w:rsidR="00B13D65" w:rsidRPr="00AF1A96">
              <w:rPr>
                <w:sz w:val="22"/>
                <w:szCs w:val="22"/>
              </w:rPr>
              <w:t>10.1 str. (generinis)</w:t>
            </w:r>
          </w:p>
          <w:p w14:paraId="6C0D6D20" w14:textId="77777777" w:rsidR="00B13D65" w:rsidRPr="00AF1A96" w:rsidRDefault="00ED3CB9" w:rsidP="00824B92">
            <w:pPr>
              <w:rPr>
                <w:sz w:val="22"/>
                <w:szCs w:val="22"/>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AF1A96">
                  <w:rPr>
                    <w:rStyle w:val="Style2"/>
                    <w:rFonts w:ascii="Segoe UI Symbol" w:eastAsia="MS Gothic" w:hAnsi="Segoe UI Symbol" w:cs="Segoe UI Symbol"/>
                    <w:sz w:val="22"/>
                    <w:szCs w:val="22"/>
                  </w:rPr>
                  <w:t>☐</w:t>
                </w:r>
              </w:sdtContent>
            </w:sdt>
            <w:r w:rsidR="00B13D65" w:rsidRPr="00AF1A96">
              <w:rPr>
                <w:sz w:val="22"/>
                <w:szCs w:val="22"/>
              </w:rPr>
              <w:t>10.3 str. (hibridinis)</w:t>
            </w:r>
          </w:p>
          <w:p w14:paraId="5A204EF2" w14:textId="77777777" w:rsidR="00107205" w:rsidRPr="00AF1A96" w:rsidRDefault="00107205" w:rsidP="00107205">
            <w:pPr>
              <w:spacing w:line="276" w:lineRule="auto"/>
              <w:jc w:val="both"/>
            </w:pPr>
            <w:r w:rsidRPr="00AF1A96">
              <w:t>* vaistinis preparatas registruotas pagal Farmacijos įstatymo 11 straipsnio 4 dalį (registracijos (pilna) byla, pagrįsta savais tyrimais)</w:t>
            </w:r>
          </w:p>
          <w:p w14:paraId="3B0A4F72" w14:textId="53C29CFD" w:rsidR="00107205" w:rsidRPr="00AF1A96" w:rsidRDefault="00107205" w:rsidP="00824B92">
            <w:pPr>
              <w:rPr>
                <w:rStyle w:val="Style2"/>
                <w:sz w:val="24"/>
              </w:rPr>
            </w:pPr>
          </w:p>
        </w:tc>
      </w:tr>
      <w:tr w:rsidR="00B13D65" w:rsidRPr="00AF1A96" w14:paraId="310E9662" w14:textId="77777777" w:rsidTr="00BE7489">
        <w:trPr>
          <w:trHeight w:val="1442"/>
        </w:trPr>
        <w:tc>
          <w:tcPr>
            <w:tcW w:w="632" w:type="dxa"/>
          </w:tcPr>
          <w:p w14:paraId="4B5A91A2" w14:textId="561B5E5F" w:rsidR="00B13D65" w:rsidRPr="00AF1A96" w:rsidRDefault="00B13D65" w:rsidP="00824B92">
            <w:pPr>
              <w:rPr>
                <w:rFonts w:eastAsia="Arial"/>
              </w:rPr>
            </w:pPr>
            <w:r w:rsidRPr="00AF1A96">
              <w:rPr>
                <w:rFonts w:eastAsia="Arial"/>
              </w:rPr>
              <w:t>1.</w:t>
            </w:r>
            <w:r w:rsidR="002E0702" w:rsidRPr="00AF1A96">
              <w:rPr>
                <w:rFonts w:eastAsia="Arial"/>
              </w:rPr>
              <w:t>4</w:t>
            </w:r>
          </w:p>
        </w:tc>
        <w:tc>
          <w:tcPr>
            <w:tcW w:w="3694" w:type="dxa"/>
          </w:tcPr>
          <w:p w14:paraId="6C91E105" w14:textId="77777777" w:rsidR="00B13D65" w:rsidRPr="00AF1A96" w:rsidRDefault="00B13D65" w:rsidP="00824B92">
            <w:pPr>
              <w:rPr>
                <w:bCs/>
                <w:color w:val="000000"/>
                <w:lang w:eastAsia="lt-LT"/>
              </w:rPr>
            </w:pPr>
            <w:r w:rsidRPr="00AF1A96">
              <w:rPr>
                <w:bCs/>
                <w:color w:val="000000"/>
                <w:lang w:eastAsia="lt-LT"/>
              </w:rPr>
              <w:t xml:space="preserve">Ar vaistinis preparatas įrašytas į Bendrijos retųjų vaistinių preparatų registrą? </w:t>
            </w:r>
          </w:p>
          <w:p w14:paraId="483071A3" w14:textId="7278DD8D" w:rsidR="00B13D65" w:rsidRPr="00AF1A96" w:rsidRDefault="00B13D65" w:rsidP="00824B92">
            <w:pPr>
              <w:rPr>
                <w:bCs/>
                <w:color w:val="000000"/>
                <w:lang w:eastAsia="lt-LT"/>
              </w:rPr>
            </w:pPr>
          </w:p>
        </w:tc>
        <w:tc>
          <w:tcPr>
            <w:tcW w:w="5167" w:type="dxa"/>
          </w:tcPr>
          <w:p w14:paraId="05845C60" w14:textId="10CF4033" w:rsidR="00B13D65" w:rsidRPr="00AF1A96" w:rsidRDefault="00ED3CB9"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AF1A96">
                  <w:rPr>
                    <w:rStyle w:val="Style2"/>
                    <w:rFonts w:ascii="MS Gothic" w:eastAsia="MS Gothic" w:hAnsi="MS Gothic"/>
                    <w:sz w:val="24"/>
                  </w:rPr>
                  <w:t>☐</w:t>
                </w:r>
              </w:sdtContent>
            </w:sdt>
            <w:r w:rsidR="00B13D65" w:rsidRPr="00AF1A96">
              <w:t xml:space="preserve"> Taip</w:t>
            </w:r>
          </w:p>
          <w:p w14:paraId="41D88067" w14:textId="60D26D12" w:rsidR="00B13D65" w:rsidRPr="00AF1A96" w:rsidRDefault="00ED3CB9"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107205" w:rsidRPr="00AF1A96">
                  <w:rPr>
                    <w:rStyle w:val="Style2"/>
                    <w:rFonts w:ascii="MS Gothic" w:eastAsia="MS Gothic" w:hAnsi="MS Gothic"/>
                    <w:sz w:val="24"/>
                  </w:rPr>
                  <w:t>☒</w:t>
                </w:r>
              </w:sdtContent>
            </w:sdt>
            <w:r w:rsidR="00B13D65" w:rsidRPr="00AF1A96">
              <w:t xml:space="preserve"> Ne</w:t>
            </w:r>
          </w:p>
          <w:p w14:paraId="29C2CBBB" w14:textId="77777777" w:rsidR="00B13D65" w:rsidRPr="00AF1A96" w:rsidRDefault="00ED3CB9"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AF1A96">
                  <w:rPr>
                    <w:rStyle w:val="Vietosrezervavimoenklotekstas"/>
                  </w:rPr>
                  <w:t>Click here to enter a date.</w:t>
                </w:r>
              </w:sdtContent>
            </w:sdt>
          </w:p>
        </w:tc>
      </w:tr>
      <w:tr w:rsidR="00D417D2" w:rsidRPr="00AF1A96" w14:paraId="7841E5F8" w14:textId="77777777" w:rsidTr="00BE7489">
        <w:trPr>
          <w:trHeight w:val="476"/>
        </w:trPr>
        <w:tc>
          <w:tcPr>
            <w:tcW w:w="632" w:type="dxa"/>
          </w:tcPr>
          <w:p w14:paraId="109D2861" w14:textId="73BF27DF" w:rsidR="00D417D2" w:rsidRPr="00AF1A96" w:rsidRDefault="00D417D2" w:rsidP="00824B92">
            <w:pPr>
              <w:rPr>
                <w:rFonts w:eastAsia="Arial"/>
              </w:rPr>
            </w:pPr>
            <w:r w:rsidRPr="00AF1A96">
              <w:rPr>
                <w:rFonts w:eastAsia="Arial"/>
              </w:rPr>
              <w:t>1.5</w:t>
            </w:r>
          </w:p>
        </w:tc>
        <w:tc>
          <w:tcPr>
            <w:tcW w:w="3694" w:type="dxa"/>
          </w:tcPr>
          <w:p w14:paraId="7822D63E" w14:textId="68C38334" w:rsidR="00D417D2" w:rsidRPr="00AF1A96" w:rsidRDefault="00D417D2" w:rsidP="00824B92">
            <w:pPr>
              <w:rPr>
                <w:bCs/>
                <w:color w:val="000000"/>
                <w:lang w:eastAsia="lt-LT"/>
              </w:rPr>
            </w:pPr>
            <w:r w:rsidRPr="00AF1A96">
              <w:t>STV paraiškos pobūdis</w:t>
            </w:r>
          </w:p>
        </w:tc>
        <w:tc>
          <w:tcPr>
            <w:tcW w:w="5167" w:type="dxa"/>
          </w:tcPr>
          <w:p w14:paraId="403461B9" w14:textId="63C6F275" w:rsidR="00D417D2" w:rsidRPr="00AF1A96" w:rsidRDefault="00ED3CB9"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07205" w:rsidRPr="00AF1A96">
                  <w:rPr>
                    <w:rStyle w:val="Style2"/>
                    <w:rFonts w:ascii="MS Gothic" w:eastAsia="MS Gothic" w:hAnsi="MS Gothic"/>
                    <w:sz w:val="24"/>
                  </w:rPr>
                  <w:t>☒</w:t>
                </w:r>
              </w:sdtContent>
            </w:sdt>
            <w:r w:rsidR="00D417D2" w:rsidRPr="00AF1A96">
              <w:t xml:space="preserve"> Pilna paraiška</w:t>
            </w:r>
          </w:p>
          <w:p w14:paraId="6B8213E3" w14:textId="3495CDF4" w:rsidR="00D417D2" w:rsidRPr="00AF1A96" w:rsidRDefault="00ED3CB9"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AF1A96">
                  <w:rPr>
                    <w:rStyle w:val="Style2"/>
                    <w:rFonts w:ascii="MS Gothic" w:eastAsia="MS Gothic" w:hAnsi="MS Gothic"/>
                    <w:sz w:val="24"/>
                  </w:rPr>
                  <w:t>☐</w:t>
                </w:r>
              </w:sdtContent>
            </w:sdt>
            <w:r w:rsidR="00D417D2" w:rsidRPr="00AF1A96">
              <w:t xml:space="preserve"> Supaprastinta paraiška</w:t>
            </w:r>
          </w:p>
        </w:tc>
      </w:tr>
      <w:tr w:rsidR="00B13D65" w:rsidRPr="00AF1A96" w14:paraId="274D1DAF" w14:textId="77777777" w:rsidTr="00BE7489">
        <w:trPr>
          <w:trHeight w:val="1922"/>
        </w:trPr>
        <w:tc>
          <w:tcPr>
            <w:tcW w:w="632" w:type="dxa"/>
          </w:tcPr>
          <w:p w14:paraId="17ABF217" w14:textId="14AC00D7" w:rsidR="00B13D65" w:rsidRPr="00AF1A96" w:rsidRDefault="00B13D65" w:rsidP="00824B92">
            <w:pPr>
              <w:rPr>
                <w:rFonts w:eastAsia="Arial"/>
              </w:rPr>
            </w:pPr>
            <w:r w:rsidRPr="00AF1A96">
              <w:rPr>
                <w:rFonts w:eastAsia="Arial"/>
              </w:rPr>
              <w:lastRenderedPageBreak/>
              <w:t>1.</w:t>
            </w:r>
            <w:r w:rsidR="00D417D2" w:rsidRPr="00AF1A96">
              <w:rPr>
                <w:rFonts w:eastAsia="Arial"/>
              </w:rPr>
              <w:t>6</w:t>
            </w:r>
          </w:p>
        </w:tc>
        <w:tc>
          <w:tcPr>
            <w:tcW w:w="3694" w:type="dxa"/>
          </w:tcPr>
          <w:p w14:paraId="4D49DBF5" w14:textId="77777777" w:rsidR="007656B2" w:rsidRPr="00AF1A96" w:rsidRDefault="00DE4484" w:rsidP="00824B92">
            <w:pPr>
              <w:rPr>
                <w:bCs/>
                <w:color w:val="000000"/>
                <w:lang w:eastAsia="lt-LT"/>
              </w:rPr>
            </w:pPr>
            <w:r w:rsidRPr="00AF1A96">
              <w:rPr>
                <w:bCs/>
                <w:color w:val="000000"/>
                <w:lang w:eastAsia="lt-LT"/>
              </w:rPr>
              <w:t>Par</w:t>
            </w:r>
            <w:r w:rsidR="007656B2" w:rsidRPr="00AF1A96">
              <w:rPr>
                <w:bCs/>
                <w:color w:val="000000"/>
                <w:lang w:eastAsia="lt-LT"/>
              </w:rPr>
              <w:t>eiškėjo t</w:t>
            </w:r>
            <w:r w:rsidR="00B13D65" w:rsidRPr="00AF1A96">
              <w:rPr>
                <w:bCs/>
                <w:color w:val="000000"/>
                <w:lang w:eastAsia="lt-LT"/>
              </w:rPr>
              <w:t>eikiama (-os) kompensuoti vaistinio preparato indikacija (-os)</w:t>
            </w:r>
          </w:p>
          <w:p w14:paraId="3FB07EE5" w14:textId="77777777" w:rsidR="00AE1322" w:rsidRPr="00AF1A96" w:rsidRDefault="00AE1322" w:rsidP="00824B92">
            <w:pPr>
              <w:rPr>
                <w:bCs/>
                <w:color w:val="000000"/>
                <w:lang w:eastAsia="lt-LT"/>
              </w:rPr>
            </w:pPr>
          </w:p>
          <w:p w14:paraId="3A6B054C" w14:textId="723C0F46" w:rsidR="00AE1322" w:rsidRPr="00AF1A96" w:rsidRDefault="00AE1322" w:rsidP="00824B92">
            <w:pPr>
              <w:rPr>
                <w:bCs/>
                <w:color w:val="000000"/>
                <w:lang w:eastAsia="lt-LT"/>
              </w:rPr>
            </w:pPr>
          </w:p>
          <w:p w14:paraId="0522E83E" w14:textId="516B44D4" w:rsidR="00107205" w:rsidRPr="00AF1A96" w:rsidRDefault="00107205" w:rsidP="00824B92">
            <w:pPr>
              <w:rPr>
                <w:bCs/>
                <w:color w:val="000000"/>
                <w:lang w:eastAsia="lt-LT"/>
              </w:rPr>
            </w:pPr>
          </w:p>
          <w:p w14:paraId="1B3C59AD" w14:textId="77777777" w:rsidR="00107205" w:rsidRPr="00AF1A96" w:rsidRDefault="00107205" w:rsidP="00824B92">
            <w:pPr>
              <w:rPr>
                <w:bCs/>
                <w:color w:val="000000"/>
                <w:lang w:eastAsia="lt-LT"/>
              </w:rPr>
            </w:pPr>
          </w:p>
          <w:p w14:paraId="6B4FEEC1" w14:textId="378668B0" w:rsidR="00B13D65" w:rsidRPr="00AF1A96" w:rsidRDefault="007656B2" w:rsidP="00824B92">
            <w:pPr>
              <w:rPr>
                <w:bCs/>
                <w:color w:val="000000"/>
                <w:lang w:eastAsia="lt-LT"/>
              </w:rPr>
            </w:pPr>
            <w:r w:rsidRPr="00AF1A96">
              <w:rPr>
                <w:bCs/>
                <w:color w:val="000000"/>
                <w:lang w:eastAsia="lt-LT"/>
              </w:rPr>
              <w:t>K</w:t>
            </w:r>
            <w:r w:rsidR="00B13D65" w:rsidRPr="00AF1A96">
              <w:rPr>
                <w:bCs/>
                <w:color w:val="000000"/>
                <w:lang w:eastAsia="lt-LT"/>
              </w:rPr>
              <w:t>odas</w:t>
            </w:r>
            <w:r w:rsidRPr="00AF1A96">
              <w:rPr>
                <w:bCs/>
                <w:color w:val="000000"/>
                <w:lang w:eastAsia="lt-LT"/>
              </w:rPr>
              <w:t xml:space="preserve"> pagal TLK-10 AM</w:t>
            </w:r>
          </w:p>
        </w:tc>
        <w:tc>
          <w:tcPr>
            <w:tcW w:w="5167" w:type="dxa"/>
          </w:tcPr>
          <w:p w14:paraId="6EB93BD8" w14:textId="77777777" w:rsidR="00107205" w:rsidRPr="00AF1A96" w:rsidRDefault="00107205" w:rsidP="00107205">
            <w:pPr>
              <w:pStyle w:val="Sraopastraipa"/>
              <w:spacing w:after="120" w:line="276" w:lineRule="auto"/>
              <w:ind w:left="0"/>
              <w:contextualSpacing w:val="0"/>
              <w:jc w:val="both"/>
            </w:pPr>
            <w:r w:rsidRPr="00AF1A96">
              <w:t>Skyrizi skirtas suaugusiems pacientams, sergantiems vidutinio sunkumo ir sunkiu aktyviu opiniu kolitu, gydyti, jeigu atsakas į gydymą standartiniais arba biologiniais vaistiniais preparatais buvo nepakankamas ar prarastas, arba kai pacientai šių vaistinių preparatų netoleravo.</w:t>
            </w:r>
          </w:p>
          <w:p w14:paraId="13F7DFB0" w14:textId="620FE170" w:rsidR="00B13D65" w:rsidRPr="00AF1A96" w:rsidRDefault="00107205" w:rsidP="00824B92">
            <w:r w:rsidRPr="00AF1A96">
              <w:t>K.51</w:t>
            </w:r>
          </w:p>
        </w:tc>
      </w:tr>
      <w:tr w:rsidR="00B13D65" w:rsidRPr="00AF1A96" w14:paraId="2F79DC08" w14:textId="77777777" w:rsidTr="00BE7489">
        <w:trPr>
          <w:trHeight w:val="378"/>
        </w:trPr>
        <w:tc>
          <w:tcPr>
            <w:tcW w:w="632" w:type="dxa"/>
          </w:tcPr>
          <w:p w14:paraId="547885A2" w14:textId="08AA8055" w:rsidR="00B13D65" w:rsidRPr="00AF1A96" w:rsidRDefault="00B13D65" w:rsidP="00824B92">
            <w:pPr>
              <w:rPr>
                <w:rFonts w:eastAsia="Arial"/>
              </w:rPr>
            </w:pPr>
            <w:r w:rsidRPr="00AF1A96">
              <w:rPr>
                <w:rFonts w:eastAsia="Arial"/>
              </w:rPr>
              <w:t>1.</w:t>
            </w:r>
            <w:r w:rsidR="002E0702" w:rsidRPr="00AF1A96">
              <w:rPr>
                <w:rFonts w:eastAsia="Arial"/>
              </w:rPr>
              <w:t>6</w:t>
            </w:r>
          </w:p>
        </w:tc>
        <w:tc>
          <w:tcPr>
            <w:tcW w:w="3694" w:type="dxa"/>
          </w:tcPr>
          <w:p w14:paraId="2EAB877F" w14:textId="39A36941" w:rsidR="00B13D65" w:rsidRPr="00AF1A96" w:rsidRDefault="007656B2" w:rsidP="00824B92">
            <w:pPr>
              <w:rPr>
                <w:bCs/>
                <w:color w:val="000000"/>
                <w:u w:val="single"/>
                <w:lang w:eastAsia="lt-LT"/>
              </w:rPr>
            </w:pPr>
            <w:r w:rsidRPr="00AF1A96">
              <w:rPr>
                <w:bCs/>
                <w:color w:val="000000"/>
                <w:lang w:eastAsia="lt-LT"/>
              </w:rPr>
              <w:t>Pareiškėjo t</w:t>
            </w:r>
            <w:r w:rsidR="00B13D65" w:rsidRPr="00AF1A96">
              <w:rPr>
                <w:bCs/>
                <w:color w:val="000000"/>
                <w:lang w:eastAsia="lt-LT"/>
              </w:rPr>
              <w:t>eikiamos skyrimo sąlygos</w:t>
            </w:r>
            <w:r w:rsidR="005B3756" w:rsidRPr="00AF1A96">
              <w:rPr>
                <w:bCs/>
                <w:color w:val="000000"/>
                <w:lang w:eastAsia="lt-LT"/>
              </w:rPr>
              <w:t xml:space="preserve"> </w:t>
            </w:r>
          </w:p>
        </w:tc>
        <w:tc>
          <w:tcPr>
            <w:tcW w:w="5167" w:type="dxa"/>
          </w:tcPr>
          <w:p w14:paraId="2618AC2D" w14:textId="77777777" w:rsidR="00107205" w:rsidRPr="00AF1A96" w:rsidRDefault="00107205" w:rsidP="00C840C6">
            <w:pPr>
              <w:spacing w:after="120" w:line="276" w:lineRule="auto"/>
              <w:jc w:val="both"/>
            </w:pPr>
            <w:r w:rsidRPr="00AF1A96">
              <w:t>1.</w:t>
            </w:r>
            <w:r w:rsidRPr="00AF1A96">
              <w:tab/>
              <w:t xml:space="preserve">Skyrizi skirtas suaugusiems pacientams, sergantiems vidutinio sunkumo ir sunkiu aktyviu opiniu kolitu, gydyti, jeigu atsakas į gydymą standartiniais vaistiniais preparatais buvo nepakankamas ar prarastas, arba kai pacientai šių vaistinių preparatų netoleravo. </w:t>
            </w:r>
          </w:p>
          <w:p w14:paraId="0579DF58" w14:textId="1B920162" w:rsidR="00B13D65" w:rsidRPr="00AF1A96" w:rsidRDefault="00107205" w:rsidP="00C840C6">
            <w:pPr>
              <w:spacing w:line="276" w:lineRule="auto"/>
              <w:jc w:val="both"/>
            </w:pPr>
            <w:r w:rsidRPr="00AF1A96">
              <w:t>2.</w:t>
            </w:r>
            <w:r w:rsidRPr="00AF1A96">
              <w:tab/>
              <w:t>Skyrizi yra skiriamas suaugusiems pacientams, sergantiems vidutinio sunkumo arba sunkiu aktyviu opiniu kolitu, gydyti, kai gydymas pirmaeiliu vaistiniu preparatu sukėlė nepakankamą atsaką, atsakas išnyko arba gydymas buvo netoleruojamas.</w:t>
            </w:r>
          </w:p>
        </w:tc>
      </w:tr>
      <w:tr w:rsidR="00B13D65" w:rsidRPr="00AF1A96" w14:paraId="3B125269" w14:textId="77777777" w:rsidTr="00BE7489">
        <w:trPr>
          <w:trHeight w:val="378"/>
        </w:trPr>
        <w:tc>
          <w:tcPr>
            <w:tcW w:w="632" w:type="dxa"/>
          </w:tcPr>
          <w:p w14:paraId="0058E11F" w14:textId="77777777" w:rsidR="00B13D65" w:rsidRPr="00AF1A96" w:rsidRDefault="00B13D65" w:rsidP="00824B92">
            <w:pPr>
              <w:rPr>
                <w:rFonts w:eastAsia="Arial"/>
              </w:rPr>
            </w:pPr>
            <w:r w:rsidRPr="00AF1A96">
              <w:rPr>
                <w:rFonts w:eastAsia="Arial"/>
              </w:rPr>
              <w:t>1.7</w:t>
            </w:r>
          </w:p>
        </w:tc>
        <w:tc>
          <w:tcPr>
            <w:tcW w:w="3694" w:type="dxa"/>
          </w:tcPr>
          <w:p w14:paraId="738E1926" w14:textId="77777777" w:rsidR="00B13D65" w:rsidRPr="00AF1A96" w:rsidRDefault="007656B2" w:rsidP="00824B92">
            <w:pPr>
              <w:rPr>
                <w:bCs/>
                <w:color w:val="000000"/>
                <w:lang w:eastAsia="lt-LT"/>
              </w:rPr>
            </w:pPr>
            <w:r w:rsidRPr="00AF1A96">
              <w:rPr>
                <w:bCs/>
                <w:color w:val="000000"/>
                <w:lang w:eastAsia="lt-LT"/>
              </w:rPr>
              <w:t>Pareiškėjo teikiamas p</w:t>
            </w:r>
            <w:r w:rsidR="00B13D65" w:rsidRPr="00AF1A96">
              <w:rPr>
                <w:bCs/>
                <w:color w:val="000000"/>
                <w:lang w:eastAsia="lt-LT"/>
              </w:rPr>
              <w:t>alyginamasis</w:t>
            </w:r>
            <w:r w:rsidR="005B3756" w:rsidRPr="00AF1A96">
              <w:rPr>
                <w:bCs/>
                <w:color w:val="000000"/>
                <w:lang w:eastAsia="lt-LT"/>
              </w:rPr>
              <w:t xml:space="preserve"> </w:t>
            </w:r>
            <w:r w:rsidR="00B13D65" w:rsidRPr="00AF1A96">
              <w:rPr>
                <w:bCs/>
                <w:color w:val="000000"/>
                <w:lang w:eastAsia="lt-LT"/>
              </w:rPr>
              <w:t xml:space="preserve">gydymas </w:t>
            </w:r>
          </w:p>
          <w:p w14:paraId="61EC5BBD" w14:textId="7A8BD8B4" w:rsidR="009F4D66" w:rsidRPr="00AF1A96" w:rsidRDefault="009F4D66" w:rsidP="00824B92">
            <w:pPr>
              <w:rPr>
                <w:bCs/>
                <w:color w:val="000000"/>
                <w:lang w:eastAsia="lt-LT"/>
              </w:rPr>
            </w:pPr>
          </w:p>
          <w:p w14:paraId="3136F1FE" w14:textId="77777777" w:rsidR="000D13A2" w:rsidRPr="00DE1AA1" w:rsidRDefault="000D13A2" w:rsidP="000D13A2">
            <w:pPr>
              <w:rPr>
                <w:bCs/>
                <w:i/>
                <w:iCs/>
                <w:color w:val="000000"/>
                <w:lang w:eastAsia="lt-LT"/>
              </w:rPr>
            </w:pPr>
            <w:r w:rsidRPr="00DE1AA1">
              <w:rPr>
                <w:bCs/>
                <w:i/>
                <w:iCs/>
                <w:color w:val="000000"/>
                <w:lang w:eastAsia="lt-LT"/>
              </w:rPr>
              <w:t xml:space="preserve">Tiesioginis </w:t>
            </w:r>
          </w:p>
          <w:p w14:paraId="23EE673B" w14:textId="77777777" w:rsidR="000D13A2" w:rsidRDefault="000D13A2" w:rsidP="000D13A2">
            <w:pPr>
              <w:rPr>
                <w:bCs/>
                <w:color w:val="000000"/>
                <w:lang w:eastAsia="lt-LT"/>
              </w:rPr>
            </w:pPr>
          </w:p>
          <w:p w14:paraId="62057D94" w14:textId="0BFB00A1" w:rsidR="00413F24" w:rsidRPr="00AF1A96" w:rsidRDefault="000D13A2" w:rsidP="000D13A2">
            <w:pPr>
              <w:rPr>
                <w:bCs/>
                <w:color w:val="000000"/>
                <w:lang w:eastAsia="lt-LT"/>
              </w:rPr>
            </w:pPr>
            <w:r w:rsidRPr="00DE1AA1">
              <w:rPr>
                <w:bCs/>
                <w:i/>
                <w:iCs/>
                <w:color w:val="000000"/>
                <w:lang w:eastAsia="lt-LT"/>
              </w:rPr>
              <w:t>Netiesioginis</w:t>
            </w:r>
          </w:p>
          <w:p w14:paraId="6CC1022E" w14:textId="2B6BCEE1" w:rsidR="009F4D66" w:rsidRPr="00AF1A96" w:rsidRDefault="009F4D66" w:rsidP="00824B92">
            <w:pPr>
              <w:rPr>
                <w:bCs/>
                <w:color w:val="000000"/>
                <w:lang w:eastAsia="lt-LT"/>
              </w:rPr>
            </w:pPr>
          </w:p>
        </w:tc>
        <w:tc>
          <w:tcPr>
            <w:tcW w:w="5167" w:type="dxa"/>
          </w:tcPr>
          <w:p w14:paraId="30F214B5" w14:textId="77777777" w:rsidR="00B13D65" w:rsidRDefault="00B13D65" w:rsidP="00824B92"/>
          <w:p w14:paraId="7710A8F2" w14:textId="77777777" w:rsidR="000D13A2" w:rsidRDefault="000D13A2" w:rsidP="00824B92"/>
          <w:p w14:paraId="61CB36BD" w14:textId="77777777" w:rsidR="000D13A2" w:rsidRPr="00E33EFF" w:rsidRDefault="00ED3CB9" w:rsidP="000D13A2">
            <w:sdt>
              <w:sdtPr>
                <w:rPr>
                  <w:rStyle w:val="Style2"/>
                  <w:sz w:val="24"/>
                </w:rPr>
                <w:id w:val="-1737930831"/>
                <w15:color w:val="FFCC00"/>
                <w14:checkbox>
                  <w14:checked w14:val="1"/>
                  <w14:checkedState w14:val="2612" w14:font="MS Gothic"/>
                  <w14:uncheckedState w14:val="2610" w14:font="MS Gothic"/>
                </w14:checkbox>
              </w:sdtPr>
              <w:sdtEndPr>
                <w:rPr>
                  <w:rStyle w:val="Style2"/>
                </w:rPr>
              </w:sdtEndPr>
              <w:sdtContent>
                <w:r w:rsidR="000D13A2">
                  <w:rPr>
                    <w:rStyle w:val="Style2"/>
                    <w:rFonts w:ascii="MS Gothic" w:eastAsia="MS Gothic" w:hAnsi="MS Gothic" w:hint="eastAsia"/>
                    <w:sz w:val="24"/>
                  </w:rPr>
                  <w:t>☒</w:t>
                </w:r>
              </w:sdtContent>
            </w:sdt>
            <w:r w:rsidR="000D13A2" w:rsidRPr="00E33EFF">
              <w:t xml:space="preserve"> Tinkamas</w:t>
            </w:r>
          </w:p>
          <w:p w14:paraId="4BFFEA91" w14:textId="3A88E631" w:rsidR="000D13A2" w:rsidRDefault="00ED3CB9" w:rsidP="000D13A2">
            <w:sdt>
              <w:sdtPr>
                <w:rPr>
                  <w:rStyle w:val="Style2"/>
                  <w:sz w:val="24"/>
                </w:rPr>
                <w:id w:val="-1331984020"/>
                <w15:color w:val="FFCC00"/>
                <w14:checkbox>
                  <w14:checked w14:val="1"/>
                  <w14:checkedState w14:val="2612" w14:font="MS Gothic"/>
                  <w14:uncheckedState w14:val="2610" w14:font="MS Gothic"/>
                </w14:checkbox>
              </w:sdtPr>
              <w:sdtEndPr>
                <w:rPr>
                  <w:rStyle w:val="Style2"/>
                </w:rPr>
              </w:sdtEndPr>
              <w:sdtContent>
                <w:r w:rsidR="000D13A2">
                  <w:rPr>
                    <w:rStyle w:val="Style2"/>
                    <w:rFonts w:ascii="MS Gothic" w:eastAsia="MS Gothic" w:hAnsi="MS Gothic" w:hint="eastAsia"/>
                    <w:sz w:val="24"/>
                  </w:rPr>
                  <w:t>☒</w:t>
                </w:r>
              </w:sdtContent>
            </w:sdt>
            <w:r w:rsidR="000D13A2" w:rsidRPr="00E33EFF">
              <w:t xml:space="preserve"> Netinkama</w:t>
            </w:r>
            <w:r w:rsidR="000D13A2">
              <w:t>s</w:t>
            </w:r>
          </w:p>
          <w:p w14:paraId="33D6AAD2" w14:textId="77777777" w:rsidR="000D13A2" w:rsidRDefault="000D13A2" w:rsidP="000D13A2"/>
          <w:p w14:paraId="4D641494" w14:textId="77777777" w:rsidR="000D13A2" w:rsidRPr="00E33EFF" w:rsidRDefault="00ED3CB9" w:rsidP="000D13A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0D13A2">
                  <w:rPr>
                    <w:rStyle w:val="Style2"/>
                    <w:rFonts w:ascii="MS Gothic" w:eastAsia="MS Gothic" w:hAnsi="MS Gothic" w:hint="eastAsia"/>
                    <w:sz w:val="24"/>
                  </w:rPr>
                  <w:t>☒</w:t>
                </w:r>
              </w:sdtContent>
            </w:sdt>
            <w:r w:rsidR="000D13A2" w:rsidRPr="00E33EFF">
              <w:t xml:space="preserve"> Tinkamas</w:t>
            </w:r>
          </w:p>
          <w:p w14:paraId="41B44044" w14:textId="30F3BF0B" w:rsidR="000D13A2" w:rsidRPr="00AF1A96" w:rsidRDefault="00ED3CB9" w:rsidP="000D13A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0D13A2" w:rsidRPr="00E33EFF">
                  <w:rPr>
                    <w:rStyle w:val="Style2"/>
                    <w:rFonts w:ascii="MS Gothic" w:eastAsia="MS Gothic" w:hAnsi="MS Gothic" w:hint="eastAsia"/>
                    <w:sz w:val="24"/>
                  </w:rPr>
                  <w:t>☐</w:t>
                </w:r>
              </w:sdtContent>
            </w:sdt>
            <w:r w:rsidR="000D13A2" w:rsidRPr="00E33EFF">
              <w:t xml:space="preserve"> Netinkama</w:t>
            </w:r>
            <w:r w:rsidR="000D13A2">
              <w:t>s</w:t>
            </w:r>
          </w:p>
        </w:tc>
      </w:tr>
    </w:tbl>
    <w:p w14:paraId="108176F7" w14:textId="640C6F75" w:rsidR="00F70C9E" w:rsidRPr="00AF1A96" w:rsidRDefault="00F70C9E" w:rsidP="00E03C3F">
      <w:pPr>
        <w:pStyle w:val="Sraopastraipa"/>
        <w:tabs>
          <w:tab w:val="left" w:pos="426"/>
        </w:tabs>
        <w:ind w:left="0"/>
        <w:rPr>
          <w:b/>
          <w:bCs/>
          <w:caps/>
        </w:rPr>
      </w:pPr>
    </w:p>
    <w:p w14:paraId="2871CA7F" w14:textId="2370BDDB" w:rsidR="00F70C9E" w:rsidRPr="00AF1A96" w:rsidRDefault="00F70C9E" w:rsidP="00880A44">
      <w:pPr>
        <w:spacing w:line="276" w:lineRule="auto"/>
        <w:jc w:val="both"/>
        <w:rPr>
          <w:rFonts w:eastAsia="Arial"/>
          <w:b/>
        </w:rPr>
      </w:pPr>
      <w:r w:rsidRPr="00AF1A96">
        <w:rPr>
          <w:rFonts w:eastAsia="Arial"/>
          <w:b/>
        </w:rPr>
        <w:t xml:space="preserve">1.8 Kitų </w:t>
      </w:r>
      <w:r w:rsidR="00DF583C" w:rsidRPr="00AF1A96">
        <w:rPr>
          <w:rFonts w:eastAsia="Arial"/>
          <w:b/>
        </w:rPr>
        <w:t xml:space="preserve">valstybių </w:t>
      </w:r>
      <w:r w:rsidRPr="00AF1A96">
        <w:rPr>
          <w:rFonts w:eastAsia="Arial"/>
          <w:b/>
        </w:rPr>
        <w:t xml:space="preserve">atsakingų institucijų atlikto </w:t>
      </w:r>
      <w:r w:rsidR="00DF583C" w:rsidRPr="00AF1A96">
        <w:rPr>
          <w:rFonts w:eastAsia="Arial"/>
          <w:b/>
        </w:rPr>
        <w:t>Sveikatos technologijų vertinimo (toliau – STV)</w:t>
      </w:r>
      <w:r w:rsidRPr="00AF1A96">
        <w:rPr>
          <w:rFonts w:eastAsia="Arial"/>
          <w:b/>
        </w:rPr>
        <w:t xml:space="preserve"> išvados</w:t>
      </w:r>
    </w:p>
    <w:p w14:paraId="30721FDD" w14:textId="77777777" w:rsidR="00F70C9E" w:rsidRPr="00AF1A96"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AF1A96" w14:paraId="7E72828B" w14:textId="77777777" w:rsidTr="00BE7489">
        <w:trPr>
          <w:trHeight w:val="924"/>
        </w:trPr>
        <w:tc>
          <w:tcPr>
            <w:tcW w:w="2855" w:type="dxa"/>
          </w:tcPr>
          <w:p w14:paraId="253D1DD4" w14:textId="5B2616C0" w:rsidR="00F70C9E" w:rsidRPr="00AF1A96" w:rsidRDefault="00F70C9E" w:rsidP="00824B92">
            <w:pPr>
              <w:rPr>
                <w:rFonts w:eastAsia="Arial"/>
              </w:rPr>
            </w:pPr>
            <w:r w:rsidRPr="00AF1A96">
              <w:rPr>
                <w:rFonts w:eastAsia="Arial"/>
              </w:rPr>
              <w:t>ST</w:t>
            </w:r>
            <w:r w:rsidR="00DF583C" w:rsidRPr="00AF1A96">
              <w:rPr>
                <w:rFonts w:eastAsia="Arial"/>
              </w:rPr>
              <w:t>V</w:t>
            </w:r>
            <w:r w:rsidRPr="00AF1A96">
              <w:rPr>
                <w:rFonts w:eastAsia="Arial"/>
              </w:rPr>
              <w:t xml:space="preserve"> agentūros pavadinimas, šalis</w:t>
            </w:r>
          </w:p>
        </w:tc>
        <w:tc>
          <w:tcPr>
            <w:tcW w:w="1851" w:type="dxa"/>
          </w:tcPr>
          <w:p w14:paraId="34AE1EDD" w14:textId="77777777" w:rsidR="00F70C9E" w:rsidRPr="00AF1A96" w:rsidRDefault="00F70C9E" w:rsidP="00824B92">
            <w:pPr>
              <w:rPr>
                <w:rFonts w:eastAsia="Arial"/>
              </w:rPr>
            </w:pPr>
            <w:r w:rsidRPr="00AF1A96">
              <w:rPr>
                <w:rFonts w:eastAsia="Arial"/>
              </w:rPr>
              <w:t>STV vertinimas atliktas</w:t>
            </w:r>
          </w:p>
        </w:tc>
        <w:tc>
          <w:tcPr>
            <w:tcW w:w="2244" w:type="dxa"/>
          </w:tcPr>
          <w:p w14:paraId="16E2DDC1" w14:textId="77777777" w:rsidR="00F70C9E" w:rsidRPr="00AF1A96" w:rsidRDefault="00F70C9E" w:rsidP="00824B92">
            <w:pPr>
              <w:rPr>
                <w:rFonts w:eastAsia="Arial"/>
              </w:rPr>
            </w:pPr>
            <w:r w:rsidRPr="00AF1A96">
              <w:rPr>
                <w:rFonts w:eastAsia="Arial"/>
              </w:rPr>
              <w:t>Klinikinio vertinimo išvada</w:t>
            </w:r>
          </w:p>
        </w:tc>
        <w:tc>
          <w:tcPr>
            <w:tcW w:w="2543" w:type="dxa"/>
          </w:tcPr>
          <w:p w14:paraId="1861E3F2" w14:textId="74803B5B" w:rsidR="00F70C9E" w:rsidRPr="00AF1A96" w:rsidRDefault="00F70C9E" w:rsidP="00824B92">
            <w:pPr>
              <w:rPr>
                <w:rFonts w:eastAsia="Arial"/>
              </w:rPr>
            </w:pPr>
            <w:r w:rsidRPr="00AF1A96">
              <w:rPr>
                <w:rFonts w:eastAsia="Arial"/>
              </w:rPr>
              <w:t>Farmako</w:t>
            </w:r>
            <w:r w:rsidR="00CA217D" w:rsidRPr="00AF1A96">
              <w:rPr>
                <w:rFonts w:eastAsia="Arial"/>
              </w:rPr>
              <w:t>e</w:t>
            </w:r>
            <w:r w:rsidR="00476256" w:rsidRPr="00AF1A96">
              <w:rPr>
                <w:rFonts w:eastAsia="Arial"/>
              </w:rPr>
              <w:t>ko</w:t>
            </w:r>
            <w:r w:rsidRPr="00AF1A96">
              <w:rPr>
                <w:rFonts w:eastAsia="Arial"/>
              </w:rPr>
              <w:t>nominio vertinimo išvada</w:t>
            </w:r>
          </w:p>
        </w:tc>
      </w:tr>
      <w:tr w:rsidR="004E2D4C" w:rsidRPr="00AF1A96" w14:paraId="129FA8F6" w14:textId="77777777" w:rsidTr="00374FD3">
        <w:trPr>
          <w:trHeight w:val="2267"/>
        </w:trPr>
        <w:tc>
          <w:tcPr>
            <w:tcW w:w="2855" w:type="dxa"/>
          </w:tcPr>
          <w:p w14:paraId="0A070137" w14:textId="77777777" w:rsidR="004E2D4C" w:rsidRPr="00AF1A96" w:rsidRDefault="004E2D4C" w:rsidP="00824B92">
            <w:pPr>
              <w:rPr>
                <w:bCs/>
              </w:rPr>
            </w:pPr>
            <w:r w:rsidRPr="00AF1A96">
              <w:rPr>
                <w:bCs/>
              </w:rPr>
              <w:t>Nacionalinis sveikatos ir klinikinės kompetencijos institutas, Didžioji Britanija</w:t>
            </w:r>
          </w:p>
          <w:p w14:paraId="49C6520D" w14:textId="77777777" w:rsidR="004E2D4C" w:rsidRPr="00AF1A96" w:rsidRDefault="004E2D4C" w:rsidP="00824B92">
            <w:pPr>
              <w:rPr>
                <w:rFonts w:eastAsia="Arial"/>
              </w:rPr>
            </w:pPr>
            <w:r w:rsidRPr="00AF1A96">
              <w:rPr>
                <w:rFonts w:eastAsia="Arial"/>
              </w:rPr>
              <w:t xml:space="preserve">(angl. </w:t>
            </w:r>
            <w:r w:rsidRPr="00AF1A96">
              <w:rPr>
                <w:rFonts w:eastAsia="Arial"/>
                <w:i/>
              </w:rPr>
              <w:t>National Institute for Health and Care  Excellence, NICE</w:t>
            </w:r>
            <w:r w:rsidRPr="00AF1A96">
              <w:rPr>
                <w:rFonts w:eastAsia="Arial"/>
              </w:rPr>
              <w:t>)</w:t>
            </w:r>
          </w:p>
        </w:tc>
        <w:tc>
          <w:tcPr>
            <w:tcW w:w="1851" w:type="dxa"/>
          </w:tcPr>
          <w:p w14:paraId="5846A9F8" w14:textId="7134AD6F" w:rsidR="004E2D4C" w:rsidRPr="00AF1A96" w:rsidRDefault="00ED3CB9"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4E2D4C" w:rsidRPr="00AF1A96">
                  <w:rPr>
                    <w:rStyle w:val="Style2"/>
                    <w:rFonts w:ascii="MS Gothic" w:eastAsia="MS Gothic" w:hAnsi="MS Gothic"/>
                    <w:sz w:val="24"/>
                  </w:rPr>
                  <w:t>☒</w:t>
                </w:r>
              </w:sdtContent>
            </w:sdt>
            <w:r w:rsidR="004E2D4C" w:rsidRPr="00AF1A96">
              <w:t xml:space="preserve"> Taip</w:t>
            </w:r>
          </w:p>
          <w:p w14:paraId="29F3627E" w14:textId="77777777" w:rsidR="004E2D4C" w:rsidRPr="00AF1A96" w:rsidRDefault="00ED3CB9"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4E2D4C" w:rsidRPr="00AF1A96">
                  <w:rPr>
                    <w:rStyle w:val="Style2"/>
                    <w:rFonts w:ascii="Segoe UI Symbol" w:eastAsia="MS Gothic" w:hAnsi="Segoe UI Symbol" w:cs="Segoe UI Symbol"/>
                    <w:sz w:val="24"/>
                  </w:rPr>
                  <w:t>☐</w:t>
                </w:r>
              </w:sdtContent>
            </w:sdt>
            <w:r w:rsidR="004E2D4C" w:rsidRPr="00AF1A96">
              <w:t xml:space="preserve"> Ne</w:t>
            </w:r>
          </w:p>
          <w:p w14:paraId="7916359D" w14:textId="5422B006" w:rsidR="004E2D4C" w:rsidRPr="00AF1A96" w:rsidRDefault="00ED3CB9" w:rsidP="00824B92">
            <w:pPr>
              <w:rPr>
                <w:rFonts w:eastAsia="Arial"/>
              </w:rPr>
            </w:pPr>
            <w:sdt>
              <w:sdtPr>
                <w:alias w:val="Nurodykite konkrečią dieną"/>
                <w:tag w:val="Nurodykite pradžios datą"/>
                <w:id w:val="922837954"/>
                <w:placeholder>
                  <w:docPart w:val="FFA312B2D0AF4752831EE242D910D206"/>
                </w:placeholder>
                <w15:color w:val="FFCC99"/>
                <w:date w:fullDate="2024-08-22T00:00:00Z">
                  <w:dateFormat w:val="yyyy 'm.' MMMM d 'd.'"/>
                  <w:lid w:val="lt-LT"/>
                  <w:storeMappedDataAs w:val="dateTime"/>
                  <w:calendar w:val="gregorian"/>
                </w:date>
              </w:sdtPr>
              <w:sdtEndPr/>
              <w:sdtContent>
                <w:r w:rsidR="004E2D4C" w:rsidRPr="00AF1A96">
                  <w:t>2024 m. rugpjūčio 22 d.</w:t>
                </w:r>
              </w:sdtContent>
            </w:sdt>
          </w:p>
        </w:tc>
        <w:tc>
          <w:tcPr>
            <w:tcW w:w="4787" w:type="dxa"/>
            <w:gridSpan w:val="2"/>
          </w:tcPr>
          <w:p w14:paraId="67430EE7" w14:textId="4359887B" w:rsidR="004E2D4C" w:rsidRPr="00AF1A96" w:rsidRDefault="004E2D4C" w:rsidP="004E2D4C">
            <w:pPr>
              <w:jc w:val="both"/>
              <w:rPr>
                <w:rFonts w:eastAsia="Arial"/>
              </w:rPr>
            </w:pPr>
            <w:r w:rsidRPr="00AF1A96">
              <w:rPr>
                <w:rFonts w:eastAsia="Arial"/>
              </w:rPr>
              <w:t>Rekomenduoja kompensuoti risankizumabą kaip gydymo pasirinkimą, suaugusiems pacientams, kai konvencinis ar biologinis gydymas yra netoleruojamas ar pacientas nepatyrė pakankamo atsako į gydymą. Kompensuoti taikant komercinį susitarimą.</w:t>
            </w:r>
          </w:p>
        </w:tc>
      </w:tr>
      <w:tr w:rsidR="004E2D4C" w:rsidRPr="00AF1A96" w14:paraId="1CC31474" w14:textId="77777777" w:rsidTr="00A67105">
        <w:trPr>
          <w:trHeight w:val="1547"/>
        </w:trPr>
        <w:tc>
          <w:tcPr>
            <w:tcW w:w="2855" w:type="dxa"/>
          </w:tcPr>
          <w:p w14:paraId="12218E35" w14:textId="77777777" w:rsidR="004E2D4C" w:rsidRPr="00AF1A96" w:rsidRDefault="004E2D4C" w:rsidP="00824B92">
            <w:pPr>
              <w:rPr>
                <w:rFonts w:eastAsia="Arial"/>
              </w:rPr>
            </w:pPr>
            <w:r w:rsidRPr="00AF1A96">
              <w:rPr>
                <w:rFonts w:eastAsia="Arial"/>
              </w:rPr>
              <w:t>Kanados sveikatos technologijų agentūra</w:t>
            </w:r>
          </w:p>
          <w:p w14:paraId="2C593A82" w14:textId="77777777" w:rsidR="004E2D4C" w:rsidRPr="00AF1A96" w:rsidRDefault="004E2D4C" w:rsidP="00824B92">
            <w:pPr>
              <w:rPr>
                <w:rFonts w:eastAsia="Arial"/>
              </w:rPr>
            </w:pPr>
            <w:r w:rsidRPr="00AF1A96">
              <w:rPr>
                <w:rFonts w:eastAsia="Arial"/>
              </w:rPr>
              <w:t xml:space="preserve">(angl. </w:t>
            </w:r>
            <w:r w:rsidRPr="00AF1A96">
              <w:rPr>
                <w:rFonts w:eastAsia="Arial"/>
                <w:i/>
              </w:rPr>
              <w:t>Canadian health Technology Assessment agency, CADTH</w:t>
            </w:r>
            <w:r w:rsidRPr="00AF1A96">
              <w:rPr>
                <w:rFonts w:eastAsia="Arial"/>
              </w:rPr>
              <w:t>)</w:t>
            </w:r>
          </w:p>
        </w:tc>
        <w:tc>
          <w:tcPr>
            <w:tcW w:w="1851" w:type="dxa"/>
          </w:tcPr>
          <w:p w14:paraId="762649FE" w14:textId="6470D7B1" w:rsidR="004E2D4C" w:rsidRPr="00AF1A96" w:rsidRDefault="00ED3CB9" w:rsidP="00824B92">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4E2D4C" w:rsidRPr="00AF1A96">
                  <w:rPr>
                    <w:rStyle w:val="Style2"/>
                    <w:rFonts w:ascii="MS Gothic" w:eastAsia="MS Gothic" w:hAnsi="MS Gothic"/>
                    <w:sz w:val="24"/>
                  </w:rPr>
                  <w:t>☐</w:t>
                </w:r>
              </w:sdtContent>
            </w:sdt>
            <w:r w:rsidR="004E2D4C" w:rsidRPr="00AF1A96">
              <w:t xml:space="preserve"> Taip</w:t>
            </w:r>
          </w:p>
          <w:p w14:paraId="0C0988CC" w14:textId="2F78F98F" w:rsidR="004E2D4C" w:rsidRPr="00AF1A96" w:rsidRDefault="00ED3CB9" w:rsidP="004E2D4C">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4E2D4C" w:rsidRPr="00AF1A96">
                  <w:rPr>
                    <w:rStyle w:val="Style2"/>
                    <w:rFonts w:ascii="MS Gothic" w:eastAsia="MS Gothic" w:hAnsi="MS Gothic"/>
                    <w:sz w:val="24"/>
                  </w:rPr>
                  <w:t>☒</w:t>
                </w:r>
              </w:sdtContent>
            </w:sdt>
            <w:r w:rsidR="004E2D4C" w:rsidRPr="00AF1A96">
              <w:t xml:space="preserve"> Ne</w:t>
            </w:r>
          </w:p>
        </w:tc>
        <w:tc>
          <w:tcPr>
            <w:tcW w:w="4787" w:type="dxa"/>
            <w:gridSpan w:val="2"/>
          </w:tcPr>
          <w:p w14:paraId="5C8CB330" w14:textId="55AABA19" w:rsidR="004E2D4C" w:rsidRPr="00AF1A96" w:rsidRDefault="004E2D4C" w:rsidP="00824B92">
            <w:pPr>
              <w:rPr>
                <w:rFonts w:eastAsia="Arial"/>
              </w:rPr>
            </w:pPr>
            <w:r w:rsidRPr="00AF1A96">
              <w:rPr>
                <w:rFonts w:eastAsia="Arial"/>
              </w:rPr>
              <w:t>Šiuo metu vertinama.</w:t>
            </w:r>
          </w:p>
        </w:tc>
      </w:tr>
      <w:tr w:rsidR="004E2D4C" w:rsidRPr="00AF1A96" w14:paraId="21C94D47" w14:textId="77777777" w:rsidTr="00EA637E">
        <w:trPr>
          <w:trHeight w:val="2160"/>
        </w:trPr>
        <w:tc>
          <w:tcPr>
            <w:tcW w:w="2855" w:type="dxa"/>
          </w:tcPr>
          <w:p w14:paraId="02F45BB8" w14:textId="77777777" w:rsidR="004E2D4C" w:rsidRPr="00AF1A96" w:rsidRDefault="004E2D4C" w:rsidP="00824B92">
            <w:pPr>
              <w:rPr>
                <w:rFonts w:eastAsia="Arial"/>
              </w:rPr>
            </w:pPr>
            <w:r w:rsidRPr="00AF1A96">
              <w:rPr>
                <w:rFonts w:eastAsia="Arial"/>
              </w:rPr>
              <w:lastRenderedPageBreak/>
              <w:t>Nacionalinis farmakoekonomikos centras, Airija</w:t>
            </w:r>
          </w:p>
          <w:p w14:paraId="736F5072" w14:textId="77777777" w:rsidR="004E2D4C" w:rsidRPr="00AF1A96" w:rsidRDefault="004E2D4C" w:rsidP="00824B92">
            <w:pPr>
              <w:rPr>
                <w:rFonts w:eastAsia="Arial"/>
              </w:rPr>
            </w:pPr>
            <w:r w:rsidRPr="00AF1A96">
              <w:rPr>
                <w:rFonts w:eastAsia="Arial"/>
              </w:rPr>
              <w:t>(angl.</w:t>
            </w:r>
            <w:r w:rsidRPr="00AF1A96">
              <w:rPr>
                <w:rFonts w:eastAsia="Arial"/>
                <w:i/>
              </w:rPr>
              <w:t xml:space="preserve"> National Centre for Pharmacoeconomics, NCPE</w:t>
            </w:r>
            <w:r w:rsidRPr="00AF1A96">
              <w:rPr>
                <w:rFonts w:eastAsia="Arial"/>
              </w:rPr>
              <w:t>)</w:t>
            </w:r>
          </w:p>
        </w:tc>
        <w:tc>
          <w:tcPr>
            <w:tcW w:w="1851" w:type="dxa"/>
          </w:tcPr>
          <w:p w14:paraId="106E24DF" w14:textId="15CE7DC9" w:rsidR="004E2D4C" w:rsidRPr="00AF1A96" w:rsidRDefault="00ED3CB9" w:rsidP="00824B92">
            <w:sdt>
              <w:sdtPr>
                <w:rPr>
                  <w:rStyle w:val="Style2"/>
                  <w:sz w:val="24"/>
                </w:rPr>
                <w:id w:val="-1888403732"/>
                <w15:color w:val="FFCC00"/>
                <w14:checkbox>
                  <w14:checked w14:val="1"/>
                  <w14:checkedState w14:val="2612" w14:font="MS Gothic"/>
                  <w14:uncheckedState w14:val="2610" w14:font="MS Gothic"/>
                </w14:checkbox>
              </w:sdtPr>
              <w:sdtEndPr>
                <w:rPr>
                  <w:rStyle w:val="Style2"/>
                </w:rPr>
              </w:sdtEndPr>
              <w:sdtContent>
                <w:r w:rsidR="004E2D4C" w:rsidRPr="00AF1A96">
                  <w:rPr>
                    <w:rStyle w:val="Style2"/>
                    <w:rFonts w:ascii="MS Gothic" w:eastAsia="MS Gothic" w:hAnsi="MS Gothic"/>
                    <w:sz w:val="24"/>
                  </w:rPr>
                  <w:t>☒</w:t>
                </w:r>
              </w:sdtContent>
            </w:sdt>
            <w:r w:rsidR="004E2D4C" w:rsidRPr="00AF1A96">
              <w:t xml:space="preserve"> Taip</w:t>
            </w:r>
          </w:p>
          <w:p w14:paraId="6C89485D" w14:textId="77777777" w:rsidR="004E2D4C" w:rsidRPr="00AF1A96" w:rsidRDefault="00ED3CB9" w:rsidP="00824B92">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4E2D4C" w:rsidRPr="00AF1A96">
                  <w:rPr>
                    <w:rStyle w:val="Style2"/>
                    <w:rFonts w:ascii="Segoe UI Symbol" w:eastAsia="MS Gothic" w:hAnsi="Segoe UI Symbol" w:cs="Segoe UI Symbol"/>
                    <w:sz w:val="24"/>
                  </w:rPr>
                  <w:t>☐</w:t>
                </w:r>
              </w:sdtContent>
            </w:sdt>
            <w:r w:rsidR="004E2D4C" w:rsidRPr="00AF1A96">
              <w:t xml:space="preserve"> Ne</w:t>
            </w:r>
          </w:p>
          <w:p w14:paraId="69AA1151" w14:textId="77777777" w:rsidR="004E2D4C" w:rsidRPr="00AF1A96" w:rsidRDefault="00ED3CB9" w:rsidP="00824B92">
            <w:pPr>
              <w:rPr>
                <w:rFonts w:eastAsia="Arial"/>
              </w:rPr>
            </w:pPr>
            <w:sdt>
              <w:sdtPr>
                <w:alias w:val="Nurodykite konkrečią dieną"/>
                <w:tag w:val="Nurodykite pradžios datą"/>
                <w:id w:val="-198323198"/>
                <w:placeholder>
                  <w:docPart w:val="03F90F40AA1546D2928E74AB1FC368FA"/>
                </w:placeholder>
                <w:showingPlcHdr/>
                <w15:color w:val="FFCC99"/>
                <w:date w:fullDate="2022-05-18T00:00:00Z">
                  <w:dateFormat w:val="yyyy 'm.' MMMM d 'd.'"/>
                  <w:lid w:val="lt-LT"/>
                  <w:storeMappedDataAs w:val="dateTime"/>
                  <w:calendar w:val="gregorian"/>
                </w:date>
              </w:sdtPr>
              <w:sdtEndPr/>
              <w:sdtContent>
                <w:r w:rsidR="004E2D4C" w:rsidRPr="00AF1A96">
                  <w:rPr>
                    <w:rStyle w:val="Vietosrezervavimoenklotekstas"/>
                  </w:rPr>
                  <w:t>Click here to enter a date.</w:t>
                </w:r>
              </w:sdtContent>
            </w:sdt>
          </w:p>
        </w:tc>
        <w:tc>
          <w:tcPr>
            <w:tcW w:w="4787" w:type="dxa"/>
            <w:gridSpan w:val="2"/>
          </w:tcPr>
          <w:p w14:paraId="60651AFD" w14:textId="3C5793DC" w:rsidR="004E2D4C" w:rsidRPr="00AF1A96" w:rsidRDefault="00424422" w:rsidP="00824B92">
            <w:pPr>
              <w:rPr>
                <w:rFonts w:eastAsia="Arial"/>
              </w:rPr>
            </w:pPr>
            <w:r w:rsidRPr="00AF1A96">
              <w:rPr>
                <w:rFonts w:eastAsia="Arial"/>
              </w:rPr>
              <w:t>Pilnas STV nerekomenduojamas. NCPE rekomenduoja risankizumabo nekompensuoti su pateikt kaina.</w:t>
            </w:r>
          </w:p>
        </w:tc>
      </w:tr>
    </w:tbl>
    <w:p w14:paraId="2EB7FD31" w14:textId="4D2A8479" w:rsidR="007A2B68" w:rsidRPr="00AF1A96" w:rsidRDefault="007A2B68" w:rsidP="00E03C3F">
      <w:pPr>
        <w:pStyle w:val="Sraopastraipa"/>
        <w:tabs>
          <w:tab w:val="left" w:pos="426"/>
        </w:tabs>
        <w:ind w:left="0"/>
        <w:rPr>
          <w:b/>
          <w:bCs/>
          <w:caps/>
        </w:rPr>
      </w:pPr>
    </w:p>
    <w:p w14:paraId="73290081" w14:textId="77777777" w:rsidR="007A2B68" w:rsidRPr="00AF1A96" w:rsidRDefault="007A2B68">
      <w:pPr>
        <w:rPr>
          <w:b/>
          <w:bCs/>
          <w:caps/>
        </w:rPr>
      </w:pPr>
      <w:r w:rsidRPr="00AF1A96">
        <w:rPr>
          <w:b/>
          <w:bCs/>
          <w:caps/>
        </w:rPr>
        <w:br w:type="page"/>
      </w:r>
    </w:p>
    <w:p w14:paraId="5055E8A8" w14:textId="471A9757" w:rsidR="002E6F80" w:rsidRPr="00AF1A96" w:rsidRDefault="00CC7832" w:rsidP="00CC09D4">
      <w:pPr>
        <w:pStyle w:val="Sraopastraipa"/>
        <w:numPr>
          <w:ilvl w:val="0"/>
          <w:numId w:val="12"/>
        </w:numPr>
        <w:tabs>
          <w:tab w:val="left" w:pos="567"/>
        </w:tabs>
        <w:ind w:hanging="720"/>
        <w:rPr>
          <w:b/>
          <w:bCs/>
          <w:caps/>
        </w:rPr>
      </w:pPr>
      <w:r w:rsidRPr="00AF1A96">
        <w:rPr>
          <w:b/>
          <w:bCs/>
          <w:caps/>
        </w:rPr>
        <w:lastRenderedPageBreak/>
        <w:t>Klinikinio vertinimo a</w:t>
      </w:r>
      <w:r w:rsidR="00D4485B" w:rsidRPr="00AF1A96">
        <w:rPr>
          <w:b/>
          <w:bCs/>
          <w:caps/>
        </w:rPr>
        <w:t>pibendrinimas</w:t>
      </w:r>
    </w:p>
    <w:p w14:paraId="25F89291" w14:textId="16277280" w:rsidR="00D4485B" w:rsidRPr="00AF1A96" w:rsidRDefault="00D4485B" w:rsidP="00A93AA6">
      <w:pPr>
        <w:pStyle w:val="Sraopastraipa"/>
        <w:tabs>
          <w:tab w:val="left" w:pos="426"/>
        </w:tabs>
        <w:ind w:left="0"/>
        <w:rPr>
          <w:b/>
          <w:bCs/>
          <w:caps/>
        </w:rPr>
      </w:pPr>
    </w:p>
    <w:p w14:paraId="0A847455" w14:textId="77777777" w:rsidR="00107205" w:rsidRPr="00AF1A96" w:rsidRDefault="00107205" w:rsidP="00107205">
      <w:pPr>
        <w:spacing w:line="276" w:lineRule="auto"/>
        <w:jc w:val="both"/>
        <w:rPr>
          <w:rFonts w:eastAsia="Arial"/>
          <w:color w:val="000000" w:themeColor="text1"/>
        </w:rPr>
      </w:pPr>
      <w:r w:rsidRPr="00AF1A96">
        <w:rPr>
          <w:rFonts w:eastAsia="Arial"/>
          <w:color w:val="000000" w:themeColor="text1"/>
        </w:rPr>
        <w:t>Opinis kolitas (toliau – OK) (TLK-10 AM K51), labiausiai paplitęs uždegiminės žarnyno ligos (UŽL) potipis, yra sudėtinga lėtinė liga, kuriai būdingi progresuojantys anatominiai ir funkciniai storosios žarnos pokyčiai. Klinikinei OK eigai būdingi ligos paūmėjimai, kai pacientams pasireiškia įvairaus sunkumo ligos simptomai, ir remisijos, kai simptomų pasireiškia nedaug. Pagal ligos aktyvumą ir sunkumą remiantis klinikinių (pvz., tuštinimosi dažnis, kraujas išmatose) ir laboratorinių vertinimų rezultatais paprastai liga klasifikuojama kaip nesunki, vidutinio sunkumo arba sunki. Per pirmuosius metus po diagnozės nustatymo maždaug 40 proc. pacientų išsivysto vidutinio sunkumo ar sunki aktyvi liga.</w:t>
      </w:r>
    </w:p>
    <w:p w14:paraId="166F84EC" w14:textId="77777777" w:rsidR="00107205" w:rsidRPr="00AF1A96" w:rsidRDefault="00107205" w:rsidP="00107205">
      <w:pPr>
        <w:spacing w:line="276" w:lineRule="auto"/>
        <w:jc w:val="both"/>
        <w:rPr>
          <w:rFonts w:eastAsia="Arial"/>
          <w:color w:val="000000" w:themeColor="text1"/>
        </w:rPr>
      </w:pPr>
      <w:r w:rsidRPr="00AF1A96">
        <w:rPr>
          <w:rFonts w:eastAsia="Arial"/>
          <w:color w:val="000000" w:themeColor="text1"/>
        </w:rPr>
        <w:t>Lietuvoje OK diagnostika ir gydymas reglamentuojami Lietuvos Respublikos sveikatos apsaugos ministro įsakymu „Dėl opinio kolito diagnostikos ir gydymo vaistais, kurių įsigijimo išlaidos apmokamos privalomojo Sveikatos draudimo fondo biudžeto lėšomis, tvarkos aprašo patvirtinimo“ 2018 m. vasario 12 d. Nr. V-159 ( toliau  - Aprašas).</w:t>
      </w:r>
    </w:p>
    <w:p w14:paraId="4F4B135F" w14:textId="0F5591F2" w:rsidR="00107205" w:rsidRPr="00AF1A96" w:rsidRDefault="00C840C6" w:rsidP="00107205">
      <w:pPr>
        <w:spacing w:line="276" w:lineRule="auto"/>
        <w:jc w:val="both"/>
        <w:rPr>
          <w:rFonts w:eastAsia="Arial"/>
          <w:color w:val="000000" w:themeColor="text1"/>
        </w:rPr>
      </w:pPr>
      <w:r w:rsidRPr="00AF1A96">
        <w:rPr>
          <w:bCs/>
          <w:iCs/>
          <w:color w:val="000000" w:themeColor="text1"/>
          <w:lang w:eastAsia="lt-LT"/>
        </w:rPr>
        <w:t>R</w:t>
      </w:r>
      <w:r w:rsidR="00107205" w:rsidRPr="00AF1A96">
        <w:rPr>
          <w:bCs/>
          <w:iCs/>
          <w:color w:val="000000" w:themeColor="text1"/>
          <w:lang w:eastAsia="lt-LT"/>
        </w:rPr>
        <w:t xml:space="preserve">isankizumabas  galėtų tapti dar vienu </w:t>
      </w:r>
      <w:r w:rsidRPr="00AF1A96">
        <w:rPr>
          <w:bCs/>
          <w:iCs/>
          <w:color w:val="000000" w:themeColor="text1"/>
          <w:lang w:eastAsia="lt-LT"/>
        </w:rPr>
        <w:t xml:space="preserve">gydymo </w:t>
      </w:r>
      <w:r w:rsidR="00107205" w:rsidRPr="00AF1A96">
        <w:rPr>
          <w:bCs/>
          <w:iCs/>
          <w:color w:val="000000" w:themeColor="text1"/>
          <w:lang w:eastAsia="lt-LT"/>
        </w:rPr>
        <w:t>biologiniu vaistiniu preparatu</w:t>
      </w:r>
      <w:r w:rsidRPr="00AF1A96">
        <w:rPr>
          <w:bCs/>
          <w:iCs/>
          <w:color w:val="000000" w:themeColor="text1"/>
          <w:lang w:eastAsia="lt-LT"/>
        </w:rPr>
        <w:t xml:space="preserve"> pasirinkimu ir </w:t>
      </w:r>
      <w:r w:rsidR="00107205" w:rsidRPr="00AF1A96">
        <w:rPr>
          <w:bCs/>
          <w:iCs/>
          <w:color w:val="000000" w:themeColor="text1"/>
          <w:lang w:eastAsia="lt-LT"/>
        </w:rPr>
        <w:t xml:space="preserve"> gal</w:t>
      </w:r>
      <w:r w:rsidRPr="00AF1A96">
        <w:rPr>
          <w:bCs/>
          <w:iCs/>
          <w:color w:val="000000" w:themeColor="text1"/>
          <w:lang w:eastAsia="lt-LT"/>
        </w:rPr>
        <w:t>ėtų</w:t>
      </w:r>
      <w:r w:rsidR="00107205" w:rsidRPr="00AF1A96">
        <w:rPr>
          <w:bCs/>
          <w:iCs/>
          <w:color w:val="000000" w:themeColor="text1"/>
          <w:lang w:eastAsia="lt-LT"/>
        </w:rPr>
        <w:t xml:space="preserve"> būti skiriamas vidutinio sunkumo arba sunk</w:t>
      </w:r>
      <w:r w:rsidR="004162B5" w:rsidRPr="00AF1A96">
        <w:rPr>
          <w:bCs/>
          <w:iCs/>
          <w:color w:val="000000" w:themeColor="text1"/>
          <w:lang w:eastAsia="lt-LT"/>
        </w:rPr>
        <w:t>aus</w:t>
      </w:r>
      <w:r w:rsidR="00107205" w:rsidRPr="00AF1A96">
        <w:rPr>
          <w:bCs/>
          <w:iCs/>
          <w:color w:val="000000" w:themeColor="text1"/>
          <w:lang w:eastAsia="lt-LT"/>
        </w:rPr>
        <w:t xml:space="preserve"> opinio kolito gydymui, kai įprastinis (standartinis) gydymas arba gydymas </w:t>
      </w:r>
      <w:r w:rsidRPr="00AF1A96">
        <w:rPr>
          <w:bCs/>
          <w:iCs/>
          <w:color w:val="000000" w:themeColor="text1"/>
          <w:lang w:eastAsia="lt-LT"/>
        </w:rPr>
        <w:t xml:space="preserve">kitu </w:t>
      </w:r>
      <w:r w:rsidR="00107205" w:rsidRPr="00AF1A96">
        <w:rPr>
          <w:bCs/>
          <w:iCs/>
          <w:color w:val="000000" w:themeColor="text1"/>
          <w:lang w:eastAsia="lt-LT"/>
        </w:rPr>
        <w:t>biologiniu vaistiniu preparatu sukėlė nepakankamą atsaką, atsakas išnyko arba gydymas buvo netoleruojamas.</w:t>
      </w:r>
    </w:p>
    <w:p w14:paraId="0E3301DA" w14:textId="60CCA6C9" w:rsidR="00107205" w:rsidRPr="00AF1A96" w:rsidRDefault="00107205" w:rsidP="00107205">
      <w:pPr>
        <w:tabs>
          <w:tab w:val="left" w:pos="426"/>
        </w:tabs>
        <w:spacing w:line="276" w:lineRule="auto"/>
        <w:jc w:val="both"/>
        <w:rPr>
          <w:bCs/>
          <w:iCs/>
          <w:color w:val="000000" w:themeColor="text1"/>
          <w:lang w:eastAsia="lt-LT"/>
        </w:rPr>
      </w:pPr>
      <w:r w:rsidRPr="00AF1A96">
        <w:rPr>
          <w:bCs/>
          <w:iCs/>
          <w:color w:val="000000" w:themeColor="text1"/>
          <w:lang w:eastAsia="lt-LT"/>
        </w:rPr>
        <w:t xml:space="preserve">Vadovaujantis Lietuvos Respublikos sveikatos apsaugos ministro 2002 m. balandžio 5 d. įsakymu Nr. V-159 „Dėl vaistinių preparatų ir medicinos pagalbos priemonių įrašymo į kompensavimo sąrašus ir jų keitimo tvarkos aprašo patvirtinimo“ 116 - 119 punktais, tinkamas palyginamasis gydymas yra TNF alfa inhibitoriai, </w:t>
      </w:r>
      <w:r w:rsidRPr="00AF1A96">
        <w:rPr>
          <w:rFonts w:eastAsia="Arial"/>
          <w:color w:val="000000" w:themeColor="text1"/>
        </w:rPr>
        <w:t>tofacitinibas, ustekinumabas arba vedolizumabas</w:t>
      </w:r>
      <w:r w:rsidRPr="00AF1A96">
        <w:rPr>
          <w:bCs/>
          <w:iCs/>
          <w:color w:val="000000" w:themeColor="text1"/>
          <w:lang w:eastAsia="lt-LT"/>
        </w:rPr>
        <w:t>, nes jie atitinka įprastinę klinikinę praktiką Lietuvoje.</w:t>
      </w:r>
    </w:p>
    <w:p w14:paraId="1CFACE50" w14:textId="77777777" w:rsidR="00C840C6" w:rsidRPr="00AF1A96" w:rsidRDefault="00C840C6" w:rsidP="00107205">
      <w:pPr>
        <w:tabs>
          <w:tab w:val="left" w:pos="426"/>
        </w:tabs>
        <w:spacing w:line="276" w:lineRule="auto"/>
        <w:jc w:val="both"/>
        <w:rPr>
          <w:bCs/>
          <w:i/>
          <w:color w:val="000000" w:themeColor="text1"/>
          <w:lang w:eastAsia="lt-LT"/>
        </w:rPr>
      </w:pPr>
    </w:p>
    <w:p w14:paraId="55DAAF9B" w14:textId="1A99E534" w:rsidR="00107205" w:rsidRPr="00AF1A96" w:rsidRDefault="00107205" w:rsidP="00107205">
      <w:pPr>
        <w:tabs>
          <w:tab w:val="left" w:pos="426"/>
        </w:tabs>
        <w:spacing w:line="276" w:lineRule="auto"/>
        <w:jc w:val="both"/>
        <w:rPr>
          <w:bCs/>
          <w:i/>
          <w:color w:val="000000" w:themeColor="text1"/>
          <w:lang w:eastAsia="lt-LT"/>
        </w:rPr>
      </w:pPr>
      <w:r w:rsidRPr="00AF1A96">
        <w:rPr>
          <w:bCs/>
          <w:i/>
          <w:color w:val="000000" w:themeColor="text1"/>
          <w:lang w:eastAsia="lt-LT"/>
        </w:rPr>
        <w:t>Tiesioginis palyginimas</w:t>
      </w:r>
    </w:p>
    <w:p w14:paraId="418FBBFA" w14:textId="7025AC25" w:rsidR="00107205" w:rsidRPr="00AF1A96" w:rsidRDefault="00107205" w:rsidP="00107205">
      <w:pPr>
        <w:spacing w:line="276" w:lineRule="auto"/>
        <w:jc w:val="both"/>
        <w:rPr>
          <w:rFonts w:eastAsia="Arial"/>
          <w:color w:val="000000" w:themeColor="text1"/>
        </w:rPr>
      </w:pPr>
      <w:r w:rsidRPr="00AF1A96">
        <w:rPr>
          <w:rFonts w:eastAsia="Arial"/>
          <w:color w:val="000000" w:themeColor="text1"/>
        </w:rPr>
        <w:t>Įvertinus paraiškoje pateiktus klinikinius duomenis, nustatyta, kad risankizumabo palyginamais veiksmingumas grindžiamas tiesioginio palyginimo su placebu 2b ir 3 fazės klinikinių tyrimų INSPIRE (M16-067) ir COMMAND (M16-066) duomenimis. Placebas neatitinka įprast</w:t>
      </w:r>
      <w:r w:rsidR="00C840C6" w:rsidRPr="00AF1A96">
        <w:rPr>
          <w:rFonts w:eastAsia="Arial"/>
          <w:color w:val="000000" w:themeColor="text1"/>
        </w:rPr>
        <w:t>os</w:t>
      </w:r>
      <w:r w:rsidRPr="00AF1A96">
        <w:rPr>
          <w:rFonts w:eastAsia="Arial"/>
          <w:color w:val="000000" w:themeColor="text1"/>
        </w:rPr>
        <w:t xml:space="preserve"> klinikin</w:t>
      </w:r>
      <w:r w:rsidR="00C840C6" w:rsidRPr="00AF1A96">
        <w:rPr>
          <w:rFonts w:eastAsia="Arial"/>
          <w:color w:val="000000" w:themeColor="text1"/>
        </w:rPr>
        <w:t>ės</w:t>
      </w:r>
      <w:r w:rsidRPr="00AF1A96">
        <w:rPr>
          <w:rFonts w:eastAsia="Arial"/>
          <w:color w:val="000000" w:themeColor="text1"/>
        </w:rPr>
        <w:t xml:space="preserve"> praktik</w:t>
      </w:r>
      <w:r w:rsidR="00C840C6" w:rsidRPr="00AF1A96">
        <w:rPr>
          <w:rFonts w:eastAsia="Arial"/>
          <w:color w:val="000000" w:themeColor="text1"/>
        </w:rPr>
        <w:t>os</w:t>
      </w:r>
      <w:r w:rsidRPr="00AF1A96">
        <w:rPr>
          <w:rFonts w:eastAsia="Arial"/>
          <w:color w:val="000000" w:themeColor="text1"/>
        </w:rPr>
        <w:t xml:space="preserve"> Lietuvoje , tačiau  pacientų populiacija - pacientai, kuriems įprastinis arba biologinis gydymas sukėlė nepakankamą atsaką, atsakas išnyko arba gydymas buvo netoleruojamas – atitinka Lietuvos pacientų populiaciją. Dėl netinkamo palyginamojo gydymo tiesioginio palyginimo tyrimų INSPIRE (indukcijos gydymo fazė) ir COMMAND rezultatai (palaikomojo gydymo fazė, pacientų pasiektų klinikinės remisijos dalis) laikomi papildoma informacija ir reikalingi netiesioginio palyginimo analizėje.</w:t>
      </w:r>
    </w:p>
    <w:p w14:paraId="1158B8AF" w14:textId="77777777" w:rsidR="00C840C6" w:rsidRPr="00AF1A96" w:rsidRDefault="00C840C6" w:rsidP="00107205">
      <w:pPr>
        <w:spacing w:line="276" w:lineRule="auto"/>
        <w:jc w:val="both"/>
        <w:rPr>
          <w:rFonts w:eastAsia="Arial"/>
          <w:i/>
          <w:iCs/>
          <w:color w:val="000000" w:themeColor="text1"/>
        </w:rPr>
      </w:pPr>
    </w:p>
    <w:p w14:paraId="422B4A86" w14:textId="471F2845" w:rsidR="00107205" w:rsidRPr="00AF1A96" w:rsidRDefault="00107205" w:rsidP="00107205">
      <w:pPr>
        <w:spacing w:line="276" w:lineRule="auto"/>
        <w:jc w:val="both"/>
        <w:rPr>
          <w:rFonts w:eastAsia="Arial"/>
          <w:i/>
          <w:iCs/>
          <w:color w:val="000000" w:themeColor="text1"/>
        </w:rPr>
      </w:pPr>
      <w:r w:rsidRPr="00AF1A96">
        <w:rPr>
          <w:rFonts w:eastAsia="Arial"/>
          <w:i/>
          <w:iCs/>
          <w:color w:val="000000" w:themeColor="text1"/>
        </w:rPr>
        <w:t>Netiesioginis palyginimas</w:t>
      </w:r>
    </w:p>
    <w:p w14:paraId="11D6D551" w14:textId="5F214667" w:rsidR="00107205" w:rsidRPr="00AF1A96" w:rsidRDefault="00107205" w:rsidP="00107205">
      <w:pPr>
        <w:spacing w:line="276" w:lineRule="auto"/>
        <w:jc w:val="both"/>
        <w:rPr>
          <w:rFonts w:eastAsia="Arial"/>
          <w:iCs/>
          <w:color w:val="000000" w:themeColor="text1"/>
        </w:rPr>
      </w:pPr>
      <w:r w:rsidRPr="00AF1A96">
        <w:rPr>
          <w:iCs/>
          <w:color w:val="000000" w:themeColor="text1"/>
          <w:lang w:eastAsia="lt-LT"/>
        </w:rPr>
        <w:t xml:space="preserve">Įvertinus pateiktus duomenis, laikoma, kad </w:t>
      </w:r>
      <w:r w:rsidR="003D735C" w:rsidRPr="00AF1A96">
        <w:rPr>
          <w:iCs/>
          <w:color w:val="000000" w:themeColor="text1"/>
          <w:lang w:eastAsia="lt-LT"/>
        </w:rPr>
        <w:t xml:space="preserve">remiantis </w:t>
      </w:r>
      <w:r w:rsidR="00E521D3" w:rsidRPr="00AF1A96">
        <w:rPr>
          <w:iCs/>
          <w:color w:val="000000" w:themeColor="text1"/>
          <w:lang w:eastAsia="lt-LT"/>
        </w:rPr>
        <w:t xml:space="preserve">visų klinikinių tyrimų įtraukimo ir atmetimo kriterijais </w:t>
      </w:r>
      <w:r w:rsidRPr="00AF1A96">
        <w:rPr>
          <w:iCs/>
          <w:color w:val="000000" w:themeColor="text1"/>
          <w:lang w:eastAsia="lt-LT"/>
        </w:rPr>
        <w:t xml:space="preserve">pacientų populiacija atitinka Lietuvos pacientų populiaciją. Pagrindiniai įtraukimo ir atmetimo kriterijai nukreipti į pacientus, kuriems nustatytas vidutinio sunkumo ir sunkus opinis kolitas. Tinklinėje meta-analizėje </w:t>
      </w:r>
      <w:r w:rsidR="00C840C6" w:rsidRPr="00AF1A96">
        <w:rPr>
          <w:iCs/>
          <w:color w:val="000000" w:themeColor="text1"/>
          <w:lang w:eastAsia="lt-LT"/>
        </w:rPr>
        <w:t xml:space="preserve">(TMA) </w:t>
      </w:r>
      <w:r w:rsidRPr="00AF1A96">
        <w:rPr>
          <w:iCs/>
          <w:color w:val="000000" w:themeColor="text1"/>
          <w:lang w:eastAsia="lt-LT"/>
        </w:rPr>
        <w:t xml:space="preserve">klinikinė remisija, klinikinis atsakas į gydymą bei endoskopiškai patvirtintas opinio kolito pagėrėjimas buvo vertinami naudojant </w:t>
      </w:r>
      <w:r w:rsidR="003E0139" w:rsidRPr="00AF1A96">
        <w:rPr>
          <w:iCs/>
          <w:color w:val="000000" w:themeColor="text1"/>
          <w:lang w:eastAsia="lt-LT"/>
        </w:rPr>
        <w:t>šansų santykį</w:t>
      </w:r>
      <w:r w:rsidRPr="00AF1A96">
        <w:rPr>
          <w:iCs/>
          <w:color w:val="000000" w:themeColor="text1"/>
          <w:lang w:eastAsia="lt-LT"/>
        </w:rPr>
        <w:t xml:space="preserve"> dviejose pacientų pogrupiuose: anksčiau negydytų biologiniais vaistais pacientai ir pacientai, kuriems gydymas 1 arba daugiau biologiniais vaistais buvo neefektyvus.</w:t>
      </w:r>
    </w:p>
    <w:p w14:paraId="27D0FE1B" w14:textId="4C146E8C" w:rsidR="00A764F6" w:rsidRPr="00AF1A96" w:rsidRDefault="00A764F6" w:rsidP="002C6D76">
      <w:pPr>
        <w:spacing w:line="276" w:lineRule="auto"/>
        <w:jc w:val="both"/>
        <w:rPr>
          <w:rFonts w:eastAsia="Arial"/>
          <w:color w:val="000000" w:themeColor="text1"/>
        </w:rPr>
      </w:pPr>
      <w:bookmarkStart w:id="1" w:name="_Hlk197533918"/>
      <w:r w:rsidRPr="00AF1A96">
        <w:rPr>
          <w:rFonts w:eastAsia="Arial"/>
          <w:color w:val="000000" w:themeColor="text1"/>
        </w:rPr>
        <w:t xml:space="preserve">Risankizumabo pranašumas prieš tofacitinibą, ustekinumabą, vedolizumabą ar kitus biologinius vaistinius preparatus laikomas neįrodytu dėl </w:t>
      </w:r>
      <w:r w:rsidR="00FF2E79" w:rsidRPr="00AF1A96">
        <w:rPr>
          <w:rFonts w:eastAsia="Arial"/>
          <w:color w:val="000000" w:themeColor="text1"/>
        </w:rPr>
        <w:t xml:space="preserve">neapibrėžtumo, susijusio su pacientų populiacijų heterogeniškumu </w:t>
      </w:r>
      <w:r w:rsidRPr="00AF1A96">
        <w:rPr>
          <w:rFonts w:eastAsia="Arial"/>
          <w:color w:val="000000" w:themeColor="text1"/>
        </w:rPr>
        <w:t>netiesioginio palyginimo tyrim</w:t>
      </w:r>
      <w:r w:rsidR="00FF2E79" w:rsidRPr="00AF1A96">
        <w:rPr>
          <w:rFonts w:eastAsia="Arial"/>
          <w:color w:val="000000" w:themeColor="text1"/>
        </w:rPr>
        <w:t>ų</w:t>
      </w:r>
      <w:r w:rsidRPr="00AF1A96">
        <w:rPr>
          <w:rFonts w:eastAsia="Arial"/>
          <w:color w:val="000000" w:themeColor="text1"/>
        </w:rPr>
        <w:t xml:space="preserve"> pacientų populiacijo</w:t>
      </w:r>
      <w:r w:rsidR="00FF2E79" w:rsidRPr="00AF1A96">
        <w:rPr>
          <w:rFonts w:eastAsia="Arial"/>
          <w:color w:val="000000" w:themeColor="text1"/>
        </w:rPr>
        <w:t xml:space="preserve">se. </w:t>
      </w:r>
      <w:r w:rsidR="008A1B30" w:rsidRPr="00AF1A96">
        <w:rPr>
          <w:rFonts w:eastAsia="Arial"/>
          <w:color w:val="000000" w:themeColor="text1"/>
        </w:rPr>
        <w:t>TMA populiacij</w:t>
      </w:r>
      <w:r w:rsidR="0094375A" w:rsidRPr="00AF1A96">
        <w:rPr>
          <w:rFonts w:eastAsia="Arial"/>
          <w:color w:val="000000" w:themeColor="text1"/>
        </w:rPr>
        <w:t>ą</w:t>
      </w:r>
      <w:r w:rsidR="009F5849" w:rsidRPr="00AF1A96">
        <w:rPr>
          <w:rFonts w:eastAsia="Arial"/>
          <w:color w:val="000000" w:themeColor="text1"/>
        </w:rPr>
        <w:t xml:space="preserve"> sudarė </w:t>
      </w:r>
      <w:r w:rsidRPr="00AF1A96">
        <w:rPr>
          <w:rFonts w:eastAsia="Arial"/>
          <w:color w:val="000000" w:themeColor="text1"/>
        </w:rPr>
        <w:lastRenderedPageBreak/>
        <w:t>pacientai gydomi nuo indukcijos pradžios iki palaikomojo gydymo pabaigos</w:t>
      </w:r>
      <w:r w:rsidR="009F5849" w:rsidRPr="00AF1A96">
        <w:rPr>
          <w:rFonts w:eastAsia="Arial"/>
          <w:color w:val="000000" w:themeColor="text1"/>
        </w:rPr>
        <w:t xml:space="preserve"> ir </w:t>
      </w:r>
      <w:r w:rsidRPr="00AF1A96">
        <w:rPr>
          <w:rFonts w:eastAsia="Arial"/>
          <w:color w:val="000000" w:themeColor="text1"/>
        </w:rPr>
        <w:t>pacient</w:t>
      </w:r>
      <w:r w:rsidR="009F5849" w:rsidRPr="00AF1A96">
        <w:rPr>
          <w:rFonts w:eastAsia="Arial"/>
          <w:color w:val="000000" w:themeColor="text1"/>
        </w:rPr>
        <w:t>ai</w:t>
      </w:r>
      <w:r w:rsidRPr="00AF1A96">
        <w:rPr>
          <w:rFonts w:eastAsia="Arial"/>
          <w:color w:val="000000" w:themeColor="text1"/>
        </w:rPr>
        <w:t xml:space="preserve"> pakartotinai atsitiktinės imties būdu paskirstyti į palaikomojo gydymo grupę, pasibaigus indukcijos fazei</w:t>
      </w:r>
      <w:r w:rsidR="0082035C" w:rsidRPr="00AF1A96">
        <w:rPr>
          <w:rFonts w:eastAsia="Arial"/>
          <w:color w:val="000000" w:themeColor="text1"/>
        </w:rPr>
        <w:t>, nes buvo</w:t>
      </w:r>
      <w:r w:rsidR="002C6D76" w:rsidRPr="00AF1A96">
        <w:rPr>
          <w:rFonts w:eastAsia="Arial"/>
          <w:color w:val="000000" w:themeColor="text1"/>
        </w:rPr>
        <w:t xml:space="preserve"> daryta prielaida, kad gydymo indukcinio atsako pacientų rezultatai gali būti apytiksliai panašūs į tuos, kurie reagavo į pakartotinai atsitiktinai pasirinktą indukciją. Manoma, kad ši prielaida nėra visiškai pagrįsta</w:t>
      </w:r>
      <w:r w:rsidR="0082035C" w:rsidRPr="00AF1A96">
        <w:rPr>
          <w:rFonts w:eastAsia="Arial"/>
          <w:color w:val="000000" w:themeColor="text1"/>
        </w:rPr>
        <w:t xml:space="preserve"> ir </w:t>
      </w:r>
      <w:r w:rsidR="0094375A" w:rsidRPr="00AF1A96">
        <w:rPr>
          <w:rFonts w:eastAsia="Arial"/>
          <w:color w:val="000000" w:themeColor="text1"/>
        </w:rPr>
        <w:t xml:space="preserve">turi </w:t>
      </w:r>
      <w:r w:rsidR="0082035C" w:rsidRPr="00AF1A96">
        <w:rPr>
          <w:rFonts w:eastAsia="Arial"/>
          <w:color w:val="000000" w:themeColor="text1"/>
        </w:rPr>
        <w:t>įtako</w:t>
      </w:r>
      <w:r w:rsidR="0094375A" w:rsidRPr="00AF1A96">
        <w:rPr>
          <w:rFonts w:eastAsia="Arial"/>
          <w:color w:val="000000" w:themeColor="text1"/>
        </w:rPr>
        <w:t>s</w:t>
      </w:r>
      <w:r w:rsidR="0082035C" w:rsidRPr="00AF1A96">
        <w:rPr>
          <w:rFonts w:eastAsia="Arial"/>
          <w:color w:val="000000" w:themeColor="text1"/>
        </w:rPr>
        <w:t xml:space="preserve"> </w:t>
      </w:r>
      <w:r w:rsidR="004A756D" w:rsidRPr="00AF1A96">
        <w:rPr>
          <w:rFonts w:eastAsia="Arial"/>
          <w:color w:val="000000" w:themeColor="text1"/>
        </w:rPr>
        <w:t>TMA rezultat</w:t>
      </w:r>
      <w:r w:rsidR="0094375A" w:rsidRPr="00AF1A96">
        <w:rPr>
          <w:rFonts w:eastAsia="Arial"/>
          <w:color w:val="000000" w:themeColor="text1"/>
        </w:rPr>
        <w:t>ams</w:t>
      </w:r>
      <w:r w:rsidR="004A756D" w:rsidRPr="00AF1A96">
        <w:rPr>
          <w:rFonts w:eastAsia="Arial"/>
          <w:color w:val="000000" w:themeColor="text1"/>
        </w:rPr>
        <w:t>. Papildomai, d</w:t>
      </w:r>
      <w:r w:rsidR="002C6D76" w:rsidRPr="00AF1A96">
        <w:rPr>
          <w:rFonts w:eastAsia="Arial"/>
          <w:color w:val="000000" w:themeColor="text1"/>
        </w:rPr>
        <w:t xml:space="preserve">idelis </w:t>
      </w:r>
      <w:r w:rsidR="00747B6E" w:rsidRPr="00AF1A96">
        <w:rPr>
          <w:rFonts w:eastAsia="Arial"/>
          <w:color w:val="000000" w:themeColor="text1"/>
        </w:rPr>
        <w:t xml:space="preserve">rezultatų </w:t>
      </w:r>
      <w:r w:rsidR="002C6D76" w:rsidRPr="00AF1A96">
        <w:rPr>
          <w:rFonts w:eastAsia="Arial"/>
          <w:color w:val="000000" w:themeColor="text1"/>
        </w:rPr>
        <w:t xml:space="preserve">neapibrėžtumas taip pat  </w:t>
      </w:r>
      <w:r w:rsidR="00747B6E" w:rsidRPr="00AF1A96">
        <w:rPr>
          <w:rFonts w:eastAsia="Arial"/>
          <w:color w:val="000000" w:themeColor="text1"/>
        </w:rPr>
        <w:t>siejamas</w:t>
      </w:r>
      <w:r w:rsidR="002C6D76" w:rsidRPr="00AF1A96">
        <w:rPr>
          <w:rFonts w:eastAsia="Arial"/>
          <w:color w:val="000000" w:themeColor="text1"/>
        </w:rPr>
        <w:t xml:space="preserve"> </w:t>
      </w:r>
      <w:r w:rsidR="00747B6E" w:rsidRPr="00AF1A96">
        <w:rPr>
          <w:rFonts w:eastAsia="Arial"/>
          <w:color w:val="000000" w:themeColor="text1"/>
        </w:rPr>
        <w:t>su</w:t>
      </w:r>
      <w:r w:rsidR="002C6D76" w:rsidRPr="00AF1A96">
        <w:rPr>
          <w:rFonts w:eastAsia="Arial"/>
          <w:color w:val="000000" w:themeColor="text1"/>
        </w:rPr>
        <w:t xml:space="preserve"> </w:t>
      </w:r>
      <w:r w:rsidR="00AE2646" w:rsidRPr="00AF1A96">
        <w:rPr>
          <w:rFonts w:eastAsia="Arial"/>
          <w:color w:val="000000" w:themeColor="text1"/>
        </w:rPr>
        <w:t xml:space="preserve">placebo grupėje </w:t>
      </w:r>
      <w:r w:rsidR="002C6D76" w:rsidRPr="00AF1A96">
        <w:rPr>
          <w:rFonts w:eastAsia="Arial"/>
          <w:color w:val="000000" w:themeColor="text1"/>
        </w:rPr>
        <w:t>klinikinių duomenų (t.y. aktyvaus indukcijos atsako) perkėlim</w:t>
      </w:r>
      <w:r w:rsidR="00747B6E" w:rsidRPr="00AF1A96">
        <w:rPr>
          <w:rFonts w:eastAsia="Arial"/>
          <w:color w:val="000000" w:themeColor="text1"/>
        </w:rPr>
        <w:t>u</w:t>
      </w:r>
      <w:r w:rsidR="002C6D76" w:rsidRPr="00AF1A96">
        <w:rPr>
          <w:rFonts w:eastAsia="Arial"/>
          <w:color w:val="000000" w:themeColor="text1"/>
        </w:rPr>
        <w:t xml:space="preserve"> į palaikymo fazę analizės metu, dėl ko statistiškai reikšmingai skiriasi placebo grupės rodikliai visų baigčių tinkluose, išskyrus </w:t>
      </w:r>
      <w:r w:rsidR="00EC3126" w:rsidRPr="00AF1A96">
        <w:rPr>
          <w:rFonts w:eastAsia="Arial"/>
          <w:color w:val="000000" w:themeColor="text1"/>
        </w:rPr>
        <w:t>sunkias</w:t>
      </w:r>
      <w:r w:rsidR="002C6D76" w:rsidRPr="00AF1A96">
        <w:rPr>
          <w:rFonts w:eastAsia="Arial"/>
          <w:color w:val="000000" w:themeColor="text1"/>
        </w:rPr>
        <w:t xml:space="preserve"> infekcijas.</w:t>
      </w:r>
      <w:r w:rsidR="00A2765A" w:rsidRPr="00AF1A96">
        <w:rPr>
          <w:rFonts w:eastAsia="Arial"/>
          <w:color w:val="000000" w:themeColor="text1"/>
        </w:rPr>
        <w:t xml:space="preserve"> </w:t>
      </w:r>
      <w:r w:rsidR="00FF2E79" w:rsidRPr="00AF1A96">
        <w:rPr>
          <w:rFonts w:eastAsia="Arial"/>
          <w:color w:val="000000" w:themeColor="text1"/>
        </w:rPr>
        <w:t>Todėl</w:t>
      </w:r>
      <w:r w:rsidR="00FC4D7A" w:rsidRPr="00AF1A96">
        <w:rPr>
          <w:rFonts w:eastAsia="Arial"/>
          <w:color w:val="000000" w:themeColor="text1"/>
        </w:rPr>
        <w:t>,</w:t>
      </w:r>
      <w:r w:rsidR="008A677B" w:rsidRPr="00AF1A96">
        <w:rPr>
          <w:rFonts w:eastAsia="Arial"/>
          <w:color w:val="000000" w:themeColor="text1"/>
        </w:rPr>
        <w:t xml:space="preserve"> </w:t>
      </w:r>
      <w:r w:rsidR="00FC4D7A" w:rsidRPr="00AF1A96">
        <w:rPr>
          <w:rFonts w:eastAsia="Arial"/>
          <w:color w:val="000000" w:themeColor="text1"/>
        </w:rPr>
        <w:t>remiantis TMA rezultatai</w:t>
      </w:r>
      <w:r w:rsidR="00047C35" w:rsidRPr="00AF1A96">
        <w:rPr>
          <w:rFonts w:eastAsia="Arial"/>
          <w:color w:val="000000" w:themeColor="text1"/>
        </w:rPr>
        <w:t>s, laikoma</w:t>
      </w:r>
      <w:r w:rsidR="008A677B" w:rsidRPr="00AF1A96">
        <w:rPr>
          <w:rFonts w:eastAsia="Arial"/>
          <w:color w:val="000000" w:themeColor="text1"/>
        </w:rPr>
        <w:t xml:space="preserve">, kad </w:t>
      </w:r>
      <w:r w:rsidR="00A2765A" w:rsidRPr="00AF1A96">
        <w:rPr>
          <w:rFonts w:eastAsia="Arial"/>
          <w:color w:val="000000" w:themeColor="text1"/>
        </w:rPr>
        <w:t>risankizumabo veiksmingumas tikėtina yra panašus į kitų biologinių vaistinių preparatų vertinant pagal klinikinės remisijos, klinikinio atsako ir endoskopiškai patvirtinto opinio kolito pagerėjimą nepriklausomai nuo prieš taikyto vidutinio sunkumo arba sunkaus opinio kolito gydymo.</w:t>
      </w:r>
    </w:p>
    <w:bookmarkEnd w:id="1"/>
    <w:p w14:paraId="2D45EF4E" w14:textId="77777777" w:rsidR="00107205" w:rsidRPr="00AF1A96" w:rsidRDefault="00107205" w:rsidP="002E027D">
      <w:pPr>
        <w:spacing w:line="276" w:lineRule="auto"/>
        <w:jc w:val="both"/>
        <w:rPr>
          <w:rFonts w:eastAsia="Arial"/>
          <w:bCs/>
        </w:rPr>
      </w:pPr>
      <w:r w:rsidRPr="00AF1A96">
        <w:rPr>
          <w:rFonts w:eastAsia="Arial"/>
          <w:bCs/>
        </w:rPr>
        <w:t>Netiesioginio palyginimo TMA taip pat parodė, kad vertinant nepageidaujamų reiškinių (NR) bet kokio sunkumo, NR dėl kurių teko nutraukti gydymą, sunkių NR bei sunkių infekcijų dažnių pagal ŠS risankizumabas saugumas nesiskiria nuo kitų biologinių vaistų skiriant pacientams nepriklausomai nuo taikyto anksčiau gydymo.</w:t>
      </w:r>
    </w:p>
    <w:p w14:paraId="6EFA433F" w14:textId="0C17A4E6" w:rsidR="00107205" w:rsidRPr="00AF1A96" w:rsidRDefault="00107205" w:rsidP="00107205">
      <w:pPr>
        <w:spacing w:line="276" w:lineRule="auto"/>
        <w:jc w:val="both"/>
        <w:rPr>
          <w:rFonts w:eastAsia="Arial"/>
          <w:color w:val="000000" w:themeColor="text1"/>
        </w:rPr>
      </w:pPr>
      <w:r w:rsidRPr="00AF1A96">
        <w:rPr>
          <w:rFonts w:eastAsia="Arial"/>
          <w:color w:val="000000" w:themeColor="text1"/>
        </w:rPr>
        <w:t>Apibendrinant, risankizumabo veiksmingumas ir saugumas yra panaš</w:t>
      </w:r>
      <w:r w:rsidR="003E0139" w:rsidRPr="00AF1A96">
        <w:rPr>
          <w:rFonts w:eastAsia="Arial"/>
          <w:color w:val="000000" w:themeColor="text1"/>
        </w:rPr>
        <w:t>ū</w:t>
      </w:r>
      <w:r w:rsidRPr="00AF1A96">
        <w:rPr>
          <w:rFonts w:eastAsia="Arial"/>
          <w:color w:val="000000" w:themeColor="text1"/>
        </w:rPr>
        <w:t>s į kit</w:t>
      </w:r>
      <w:r w:rsidR="00647F53" w:rsidRPr="00AF1A96">
        <w:rPr>
          <w:rFonts w:eastAsia="Arial"/>
          <w:color w:val="000000" w:themeColor="text1"/>
        </w:rPr>
        <w:t>ų</w:t>
      </w:r>
      <w:r w:rsidRPr="00AF1A96">
        <w:rPr>
          <w:rFonts w:eastAsia="Arial"/>
          <w:color w:val="000000" w:themeColor="text1"/>
        </w:rPr>
        <w:t xml:space="preserve"> biologini</w:t>
      </w:r>
      <w:r w:rsidR="00647F53" w:rsidRPr="00AF1A96">
        <w:rPr>
          <w:rFonts w:eastAsia="Arial"/>
          <w:color w:val="000000" w:themeColor="text1"/>
        </w:rPr>
        <w:t>ų</w:t>
      </w:r>
      <w:r w:rsidRPr="00AF1A96">
        <w:rPr>
          <w:rFonts w:eastAsia="Arial"/>
          <w:color w:val="000000" w:themeColor="text1"/>
        </w:rPr>
        <w:t xml:space="preserve"> vaistini</w:t>
      </w:r>
      <w:r w:rsidR="00647F53" w:rsidRPr="00AF1A96">
        <w:rPr>
          <w:rFonts w:eastAsia="Arial"/>
          <w:color w:val="000000" w:themeColor="text1"/>
        </w:rPr>
        <w:t>ų</w:t>
      </w:r>
      <w:r w:rsidRPr="00AF1A96">
        <w:rPr>
          <w:rFonts w:eastAsia="Arial"/>
          <w:color w:val="000000" w:themeColor="text1"/>
        </w:rPr>
        <w:t xml:space="preserve"> preparat</w:t>
      </w:r>
      <w:r w:rsidR="00647F53" w:rsidRPr="00AF1A96">
        <w:rPr>
          <w:rFonts w:eastAsia="Arial"/>
          <w:color w:val="000000" w:themeColor="text1"/>
        </w:rPr>
        <w:t>ų,</w:t>
      </w:r>
      <w:r w:rsidRPr="00AF1A96">
        <w:rPr>
          <w:rFonts w:eastAsia="Arial"/>
          <w:color w:val="000000" w:themeColor="text1"/>
        </w:rPr>
        <w:t xml:space="preserve"> skirt</w:t>
      </w:r>
      <w:r w:rsidR="00647F53" w:rsidRPr="00AF1A96">
        <w:rPr>
          <w:rFonts w:eastAsia="Arial"/>
          <w:color w:val="000000" w:themeColor="text1"/>
        </w:rPr>
        <w:t>ų</w:t>
      </w:r>
      <w:r w:rsidRPr="00AF1A96">
        <w:rPr>
          <w:rFonts w:eastAsia="Arial"/>
          <w:color w:val="000000" w:themeColor="text1"/>
        </w:rPr>
        <w:t xml:space="preserve"> vidutinio sunkumo arba sunkiam opiniam kolitui gydyti Lietuvoje.</w:t>
      </w:r>
    </w:p>
    <w:p w14:paraId="026051D3" w14:textId="49FA510A" w:rsidR="00107205" w:rsidRPr="00AF1A96" w:rsidRDefault="00107205" w:rsidP="00A93AA6">
      <w:pPr>
        <w:pStyle w:val="Sraopastraipa"/>
        <w:tabs>
          <w:tab w:val="left" w:pos="426"/>
        </w:tabs>
        <w:ind w:left="0"/>
        <w:rPr>
          <w:b/>
          <w:bCs/>
          <w:caps/>
        </w:rPr>
      </w:pPr>
    </w:p>
    <w:p w14:paraId="7DE09EB5" w14:textId="69E9DD74" w:rsidR="00E03C3F" w:rsidRPr="00AF1A96" w:rsidRDefault="00CC7832" w:rsidP="00CC09D4">
      <w:pPr>
        <w:pStyle w:val="Sraopastraipa"/>
        <w:numPr>
          <w:ilvl w:val="0"/>
          <w:numId w:val="12"/>
        </w:numPr>
        <w:tabs>
          <w:tab w:val="left" w:pos="567"/>
        </w:tabs>
        <w:ind w:hanging="720"/>
        <w:rPr>
          <w:b/>
          <w:bCs/>
          <w:caps/>
        </w:rPr>
      </w:pPr>
      <w:r w:rsidRPr="00AF1A96">
        <w:rPr>
          <w:b/>
          <w:bCs/>
          <w:caps/>
        </w:rPr>
        <w:t xml:space="preserve">ekonominio vertinimo </w:t>
      </w:r>
      <w:r w:rsidR="002F0E4F" w:rsidRPr="00AF1A96">
        <w:rPr>
          <w:b/>
          <w:bCs/>
          <w:caps/>
        </w:rPr>
        <w:t>apibendrinimas</w:t>
      </w:r>
    </w:p>
    <w:p w14:paraId="1A900598" w14:textId="005BE0C3" w:rsidR="00C62B36" w:rsidRPr="00AF1A96" w:rsidRDefault="00C62B36" w:rsidP="00A93AA6">
      <w:pPr>
        <w:tabs>
          <w:tab w:val="left" w:pos="426"/>
        </w:tabs>
        <w:rPr>
          <w:i/>
          <w:color w:val="00B050"/>
          <w:sz w:val="22"/>
          <w:szCs w:val="22"/>
        </w:rPr>
      </w:pPr>
    </w:p>
    <w:p w14:paraId="1569F16F" w14:textId="77777777" w:rsidR="000C6BF6" w:rsidRDefault="000C6BF6" w:rsidP="000C6BF6">
      <w:pPr>
        <w:shd w:val="clear" w:color="auto" w:fill="FFFFFF"/>
        <w:spacing w:line="276" w:lineRule="auto"/>
        <w:jc w:val="both"/>
        <w:rPr>
          <w:rFonts w:eastAsia="Arial"/>
        </w:rPr>
      </w:pPr>
      <w:r>
        <w:rPr>
          <w:rFonts w:eastAsia="Arial"/>
        </w:rPr>
        <w:t>Vertinimui pateikta kaštų mažinimo analizė, kurioje vertinami gydymo Skyrizi (risankizumabu) kaštai, opiniu kolitu sergantiems pacientams. Analizuojami šie pacientų pogrupiai, pagal pateiktas skyrimo sąlygas:</w:t>
      </w:r>
    </w:p>
    <w:p w14:paraId="1C5FDB76" w14:textId="77777777" w:rsidR="000C6BF6" w:rsidRPr="0081492B" w:rsidRDefault="000C6BF6" w:rsidP="000C6BF6">
      <w:pPr>
        <w:spacing w:before="240"/>
        <w:ind w:firstLine="567"/>
        <w:jc w:val="both"/>
        <w:rPr>
          <w:rFonts w:eastAsia="Aptos"/>
          <w:bCs/>
          <w:color w:val="000000"/>
          <w:lang w:val="en-GB"/>
        </w:rPr>
      </w:pPr>
      <w:r>
        <w:rPr>
          <w:rFonts w:eastAsia="Aptos"/>
          <w:bCs/>
          <w:color w:val="000000"/>
          <w:lang w:val="en-GB"/>
        </w:rPr>
        <w:t>1. Sky</w:t>
      </w:r>
      <w:r w:rsidRPr="0081492B">
        <w:rPr>
          <w:rFonts w:eastAsia="Aptos"/>
          <w:bCs/>
          <w:color w:val="000000"/>
          <w:lang w:val="en-GB"/>
        </w:rPr>
        <w:t xml:space="preserve">rizi skirtas suaugusiems pacientams, sergantiems vidutinio sunkumo ir sunkiu aktyviu opiniu kolitu, gydyti, jeigu atsakas į gydymą standartiniais vaistiniais preparatais buvo nepakankamas ar prarastas, arba kai pacientai šių vaistinių preparatų netoleravo. </w:t>
      </w:r>
    </w:p>
    <w:p w14:paraId="2472F0D2" w14:textId="77777777" w:rsidR="000C6BF6" w:rsidRPr="0081492B" w:rsidRDefault="000C6BF6" w:rsidP="000C6BF6">
      <w:pPr>
        <w:spacing w:before="240"/>
        <w:ind w:firstLine="567"/>
        <w:jc w:val="both"/>
        <w:rPr>
          <w:rFonts w:eastAsia="Aptos"/>
          <w:bCs/>
          <w:color w:val="000000"/>
          <w:lang w:val="en-GB"/>
        </w:rPr>
      </w:pPr>
      <w:r w:rsidRPr="0081492B">
        <w:rPr>
          <w:rFonts w:eastAsia="Aptos"/>
          <w:bCs/>
          <w:color w:val="000000"/>
          <w:lang w:val="en-GB"/>
        </w:rPr>
        <w:t>2. Skyrizi skiriamas suaugusiems pacientams, sergantiems vidutinio sunkumo arba sunkiu aktyviu opiniu kolitu sergantiems suaugusiems pacientams gydyti, kai gydymas pirmaeiliu vaistiniu preparatu sukėlė nepakankamą atsaką, atsakas išnyko arba gydymas buvo netoleruojamas.</w:t>
      </w:r>
    </w:p>
    <w:p w14:paraId="688D6F8B" w14:textId="77777777" w:rsidR="000C6BF6" w:rsidRDefault="000C6BF6" w:rsidP="000C6BF6">
      <w:pPr>
        <w:shd w:val="clear" w:color="auto" w:fill="FFFFFF"/>
        <w:spacing w:line="276" w:lineRule="auto"/>
        <w:jc w:val="both"/>
        <w:rPr>
          <w:rFonts w:eastAsia="Arial"/>
        </w:rPr>
      </w:pPr>
    </w:p>
    <w:p w14:paraId="14FD1DBC" w14:textId="77777777" w:rsidR="000C6BF6" w:rsidRPr="00073A4F" w:rsidRDefault="000C6BF6" w:rsidP="000C6BF6">
      <w:pPr>
        <w:spacing w:line="276" w:lineRule="auto"/>
        <w:jc w:val="both"/>
        <w:rPr>
          <w:rFonts w:eastAsia="Arial"/>
          <w:bCs/>
          <w:szCs w:val="22"/>
        </w:rPr>
      </w:pPr>
      <w:r>
        <w:rPr>
          <w:rFonts w:eastAsia="Arial"/>
          <w:bCs/>
          <w:szCs w:val="22"/>
        </w:rPr>
        <w:t>Pasak pareiškėjo, pirmos eilės opinio kolito gydyme risankizumabas yra panašus į ustekinumabą ir, tikėtina, pakeistų šį vaistinį preparatą. Antros eilės ir tolimesniame gydyme, risankizumabas lyginamas su vedolizumabu. Ekonominė analizė apskaičiuota pritaikius konfidencialias Ustekinumabo ir Vedolizumabo kainas, pagal sutartį su VLK. Įvertinus analizės rezultatą nustatyta, jog gydymas risankizumabu yra pigesnis už gydymą ustekinumabu ir vedolizumabu.</w:t>
      </w:r>
    </w:p>
    <w:p w14:paraId="4D6A80E6" w14:textId="77777777" w:rsidR="000C6BF6" w:rsidRPr="00E33EFF" w:rsidRDefault="000C6BF6" w:rsidP="000C6BF6">
      <w:pPr>
        <w:tabs>
          <w:tab w:val="left" w:pos="426"/>
        </w:tabs>
        <w:rPr>
          <w:b/>
          <w:bCs/>
          <w:caps/>
        </w:rPr>
      </w:pPr>
    </w:p>
    <w:p w14:paraId="09DFDBF6" w14:textId="77777777" w:rsidR="000C6BF6" w:rsidRDefault="000C6BF6" w:rsidP="000C6BF6">
      <w:pPr>
        <w:tabs>
          <w:tab w:val="left" w:pos="426"/>
        </w:tabs>
        <w:rPr>
          <w:b/>
          <w:lang w:eastAsia="lt-LT"/>
        </w:rPr>
      </w:pPr>
      <w:r w:rsidRPr="00E33EFF">
        <w:rPr>
          <w:b/>
          <w:lang w:eastAsia="lt-LT"/>
        </w:rPr>
        <w:t>Ekonominės analizės rezultatas</w:t>
      </w:r>
    </w:p>
    <w:p w14:paraId="6C062F20" w14:textId="77777777" w:rsidR="000C6BF6" w:rsidRPr="00E33EFF" w:rsidRDefault="000C6BF6" w:rsidP="000C6BF6">
      <w:pPr>
        <w:tabs>
          <w:tab w:val="left" w:pos="426"/>
        </w:tabs>
        <w:rPr>
          <w:b/>
          <w:lang w:eastAsia="lt-LT"/>
        </w:rPr>
      </w:pPr>
    </w:p>
    <w:p w14:paraId="444AD8C2" w14:textId="77777777" w:rsidR="000C6BF6" w:rsidRPr="00107205" w:rsidRDefault="000C6BF6" w:rsidP="000C6BF6">
      <w:pPr>
        <w:tabs>
          <w:tab w:val="left" w:pos="426"/>
        </w:tabs>
        <w:rPr>
          <w:lang w:eastAsia="lt-LT"/>
        </w:rPr>
      </w:pPr>
      <w:r w:rsidRPr="00107205">
        <w:rPr>
          <w:lang w:eastAsia="lt-LT"/>
        </w:rPr>
        <w:t>Risankizumabo kaštų palyginimas su ustekinumabu</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8"/>
        <w:gridCol w:w="1776"/>
        <w:gridCol w:w="2004"/>
        <w:gridCol w:w="3470"/>
      </w:tblGrid>
      <w:tr w:rsidR="000C6BF6" w:rsidRPr="00A55B0B" w14:paraId="3B0A43ED" w14:textId="77777777" w:rsidTr="00A454B0">
        <w:trPr>
          <w:trHeight w:val="364"/>
          <w:jc w:val="center"/>
        </w:trPr>
        <w:tc>
          <w:tcPr>
            <w:tcW w:w="9908" w:type="dxa"/>
            <w:gridSpan w:val="4"/>
            <w:tcBorders>
              <w:top w:val="single" w:sz="12" w:space="0" w:color="auto"/>
              <w:bottom w:val="single" w:sz="4" w:space="0" w:color="auto"/>
            </w:tcBorders>
            <w:vAlign w:val="center"/>
          </w:tcPr>
          <w:p w14:paraId="066A6751" w14:textId="77777777" w:rsidR="000C6BF6" w:rsidRPr="00A55B0B" w:rsidRDefault="000C6BF6" w:rsidP="00A454B0">
            <w:pPr>
              <w:tabs>
                <w:tab w:val="left" w:pos="567"/>
              </w:tabs>
              <w:spacing w:line="276" w:lineRule="auto"/>
              <w:jc w:val="center"/>
              <w:rPr>
                <w:b/>
                <w:i/>
                <w:iCs/>
                <w:color w:val="00B050"/>
                <w:sz w:val="22"/>
                <w:szCs w:val="22"/>
                <w:lang w:eastAsia="lt-LT"/>
              </w:rPr>
            </w:pPr>
            <w:r w:rsidRPr="00A55B0B">
              <w:rPr>
                <w:b/>
                <w:lang w:eastAsia="lt-LT"/>
              </w:rPr>
              <w:t>Kaštai</w:t>
            </w:r>
          </w:p>
        </w:tc>
      </w:tr>
      <w:tr w:rsidR="000C6BF6" w:rsidRPr="00A55B0B" w14:paraId="230BAA7C" w14:textId="77777777" w:rsidTr="00A454B0">
        <w:trPr>
          <w:jc w:val="center"/>
        </w:trPr>
        <w:tc>
          <w:tcPr>
            <w:tcW w:w="2658" w:type="dxa"/>
            <w:tcBorders>
              <w:top w:val="single" w:sz="4" w:space="0" w:color="auto"/>
              <w:bottom w:val="single" w:sz="4" w:space="0" w:color="auto"/>
            </w:tcBorders>
          </w:tcPr>
          <w:p w14:paraId="13DCA91A" w14:textId="77777777" w:rsidR="000C6BF6" w:rsidRPr="00A55B0B" w:rsidRDefault="000C6BF6" w:rsidP="00A454B0">
            <w:pPr>
              <w:tabs>
                <w:tab w:val="left" w:pos="567"/>
              </w:tabs>
              <w:spacing w:line="276" w:lineRule="auto"/>
              <w:jc w:val="both"/>
              <w:rPr>
                <w:color w:val="00B050"/>
                <w:lang w:eastAsia="lt-LT"/>
              </w:rPr>
            </w:pPr>
          </w:p>
        </w:tc>
        <w:tc>
          <w:tcPr>
            <w:tcW w:w="1776" w:type="dxa"/>
            <w:tcBorders>
              <w:top w:val="single" w:sz="4" w:space="0" w:color="auto"/>
              <w:bottom w:val="single" w:sz="4" w:space="0" w:color="auto"/>
            </w:tcBorders>
          </w:tcPr>
          <w:p w14:paraId="1350014C" w14:textId="77777777" w:rsidR="000C6BF6" w:rsidRPr="00A55B0B" w:rsidRDefault="000C6BF6" w:rsidP="00A454B0">
            <w:pPr>
              <w:tabs>
                <w:tab w:val="left" w:pos="567"/>
              </w:tabs>
              <w:spacing w:line="276" w:lineRule="auto"/>
              <w:jc w:val="both"/>
              <w:rPr>
                <w:i/>
                <w:iCs/>
                <w:lang w:eastAsia="lt-LT"/>
              </w:rPr>
            </w:pPr>
            <w:r>
              <w:rPr>
                <w:i/>
                <w:iCs/>
                <w:lang w:eastAsia="lt-LT"/>
              </w:rPr>
              <w:t>Risankizumabas</w:t>
            </w:r>
          </w:p>
        </w:tc>
        <w:tc>
          <w:tcPr>
            <w:tcW w:w="2004" w:type="dxa"/>
            <w:tcBorders>
              <w:top w:val="single" w:sz="4" w:space="0" w:color="auto"/>
              <w:bottom w:val="single" w:sz="4" w:space="0" w:color="auto"/>
            </w:tcBorders>
          </w:tcPr>
          <w:p w14:paraId="7F4E7295" w14:textId="77777777" w:rsidR="000C6BF6" w:rsidRPr="00A55B0B" w:rsidRDefault="000C6BF6" w:rsidP="00A454B0">
            <w:pPr>
              <w:tabs>
                <w:tab w:val="left" w:pos="567"/>
              </w:tabs>
              <w:spacing w:line="276" w:lineRule="auto"/>
              <w:jc w:val="both"/>
              <w:rPr>
                <w:i/>
                <w:iCs/>
                <w:lang w:eastAsia="lt-LT"/>
              </w:rPr>
            </w:pPr>
            <w:r>
              <w:rPr>
                <w:i/>
                <w:iCs/>
                <w:lang w:eastAsia="lt-LT"/>
              </w:rPr>
              <w:t>Ustekinumabas</w:t>
            </w:r>
          </w:p>
        </w:tc>
        <w:tc>
          <w:tcPr>
            <w:tcW w:w="3470" w:type="dxa"/>
            <w:tcBorders>
              <w:top w:val="single" w:sz="4" w:space="0" w:color="auto"/>
              <w:bottom w:val="single" w:sz="4" w:space="0" w:color="auto"/>
            </w:tcBorders>
          </w:tcPr>
          <w:p w14:paraId="7F8EC43F" w14:textId="77777777" w:rsidR="000C6BF6" w:rsidRPr="00A55B0B" w:rsidRDefault="000C6BF6" w:rsidP="00A454B0">
            <w:pPr>
              <w:tabs>
                <w:tab w:val="left" w:pos="567"/>
              </w:tabs>
              <w:spacing w:line="276" w:lineRule="auto"/>
              <w:jc w:val="both"/>
              <w:rPr>
                <w:i/>
                <w:lang w:eastAsia="lt-LT"/>
              </w:rPr>
            </w:pPr>
            <w:r w:rsidRPr="00A55B0B">
              <w:rPr>
                <w:i/>
                <w:lang w:eastAsia="lt-LT"/>
              </w:rPr>
              <w:t>Skirtumas</w:t>
            </w:r>
          </w:p>
        </w:tc>
      </w:tr>
      <w:tr w:rsidR="000C6BF6" w:rsidRPr="00A55B0B" w14:paraId="4C6657EE" w14:textId="77777777" w:rsidTr="00A454B0">
        <w:trPr>
          <w:jc w:val="center"/>
        </w:trPr>
        <w:tc>
          <w:tcPr>
            <w:tcW w:w="2658" w:type="dxa"/>
            <w:tcBorders>
              <w:top w:val="single" w:sz="4" w:space="0" w:color="auto"/>
              <w:bottom w:val="single" w:sz="4" w:space="0" w:color="auto"/>
            </w:tcBorders>
          </w:tcPr>
          <w:p w14:paraId="11982BCB" w14:textId="77777777" w:rsidR="000C6BF6" w:rsidRPr="00A55B0B" w:rsidRDefault="000C6BF6" w:rsidP="00A454B0">
            <w:pPr>
              <w:tabs>
                <w:tab w:val="left" w:pos="567"/>
              </w:tabs>
              <w:spacing w:line="276" w:lineRule="auto"/>
              <w:rPr>
                <w:iCs/>
                <w:color w:val="000000"/>
                <w:lang w:eastAsia="lt-LT"/>
              </w:rPr>
            </w:pPr>
            <w:r w:rsidRPr="00A55B0B">
              <w:rPr>
                <w:iCs/>
                <w:color w:val="000000"/>
                <w:lang w:eastAsia="lt-LT"/>
              </w:rPr>
              <w:t>Vaistinių preparatų įsigijimo kaštai</w:t>
            </w:r>
          </w:p>
        </w:tc>
        <w:tc>
          <w:tcPr>
            <w:tcW w:w="1776" w:type="dxa"/>
            <w:tcBorders>
              <w:top w:val="single" w:sz="4" w:space="0" w:color="auto"/>
              <w:bottom w:val="single" w:sz="4" w:space="0" w:color="auto"/>
            </w:tcBorders>
          </w:tcPr>
          <w:p w14:paraId="15D4CEEF" w14:textId="2B4033F7"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2013658B"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c>
          <w:tcPr>
            <w:tcW w:w="3470" w:type="dxa"/>
            <w:tcBorders>
              <w:top w:val="single" w:sz="4" w:space="0" w:color="auto"/>
              <w:bottom w:val="single" w:sz="4" w:space="0" w:color="auto"/>
            </w:tcBorders>
          </w:tcPr>
          <w:p w14:paraId="232B3A3F" w14:textId="77777777" w:rsidR="000C6BF6" w:rsidRPr="00A55B0B" w:rsidRDefault="000C6BF6" w:rsidP="00A454B0">
            <w:pPr>
              <w:tabs>
                <w:tab w:val="left" w:pos="567"/>
              </w:tabs>
              <w:spacing w:line="276" w:lineRule="auto"/>
              <w:jc w:val="both"/>
              <w:rPr>
                <w:lang w:eastAsia="lt-LT"/>
              </w:rPr>
            </w:pPr>
            <w:r w:rsidRPr="004861FD">
              <w:rPr>
                <w:bCs/>
                <w:color w:val="000000"/>
                <w:lang w:eastAsia="lt-LT"/>
              </w:rPr>
              <w:t>*****</w:t>
            </w:r>
          </w:p>
        </w:tc>
      </w:tr>
      <w:tr w:rsidR="000C6BF6" w:rsidRPr="00A55B0B" w14:paraId="6B13AB2F" w14:textId="77777777" w:rsidTr="00A454B0">
        <w:trPr>
          <w:jc w:val="center"/>
        </w:trPr>
        <w:tc>
          <w:tcPr>
            <w:tcW w:w="2658" w:type="dxa"/>
            <w:tcBorders>
              <w:top w:val="single" w:sz="4" w:space="0" w:color="auto"/>
              <w:bottom w:val="single" w:sz="4" w:space="0" w:color="auto"/>
            </w:tcBorders>
          </w:tcPr>
          <w:p w14:paraId="0D482586" w14:textId="77777777" w:rsidR="000C6BF6" w:rsidRPr="00B50506" w:rsidRDefault="000C6BF6" w:rsidP="00A454B0">
            <w:pPr>
              <w:tabs>
                <w:tab w:val="left" w:pos="567"/>
              </w:tabs>
              <w:spacing w:line="276" w:lineRule="auto"/>
              <w:jc w:val="right"/>
              <w:rPr>
                <w:i/>
                <w:iCs/>
                <w:color w:val="00B050"/>
                <w:lang w:eastAsia="lt-LT"/>
              </w:rPr>
            </w:pPr>
            <w:r w:rsidRPr="00B50506">
              <w:rPr>
                <w:i/>
                <w:iCs/>
                <w:color w:val="000000"/>
                <w:lang w:eastAsia="lt-LT"/>
              </w:rPr>
              <w:t>Indukcija</w:t>
            </w:r>
          </w:p>
        </w:tc>
        <w:tc>
          <w:tcPr>
            <w:tcW w:w="1776" w:type="dxa"/>
            <w:tcBorders>
              <w:top w:val="single" w:sz="4" w:space="0" w:color="auto"/>
              <w:bottom w:val="single" w:sz="4" w:space="0" w:color="auto"/>
            </w:tcBorders>
          </w:tcPr>
          <w:p w14:paraId="23D433EA" w14:textId="470F5566"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1ED84E42"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c>
          <w:tcPr>
            <w:tcW w:w="3470" w:type="dxa"/>
            <w:tcBorders>
              <w:top w:val="single" w:sz="4" w:space="0" w:color="auto"/>
              <w:bottom w:val="single" w:sz="4" w:space="0" w:color="auto"/>
            </w:tcBorders>
          </w:tcPr>
          <w:p w14:paraId="6B3F00EE"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r>
      <w:tr w:rsidR="000C6BF6" w:rsidRPr="00A55B0B" w14:paraId="13120991" w14:textId="77777777" w:rsidTr="00A454B0">
        <w:trPr>
          <w:jc w:val="center"/>
        </w:trPr>
        <w:tc>
          <w:tcPr>
            <w:tcW w:w="2658" w:type="dxa"/>
            <w:tcBorders>
              <w:top w:val="single" w:sz="4" w:space="0" w:color="auto"/>
              <w:bottom w:val="single" w:sz="4" w:space="0" w:color="auto"/>
            </w:tcBorders>
          </w:tcPr>
          <w:p w14:paraId="6C9B2CAC" w14:textId="77777777" w:rsidR="000C6BF6" w:rsidRPr="00B50506" w:rsidRDefault="000C6BF6" w:rsidP="00A454B0">
            <w:pPr>
              <w:tabs>
                <w:tab w:val="left" w:pos="567"/>
              </w:tabs>
              <w:spacing w:line="276" w:lineRule="auto"/>
              <w:jc w:val="right"/>
              <w:rPr>
                <w:i/>
                <w:iCs/>
                <w:color w:val="000000"/>
                <w:lang w:eastAsia="lt-LT"/>
              </w:rPr>
            </w:pPr>
            <w:r w:rsidRPr="00B50506">
              <w:rPr>
                <w:i/>
                <w:iCs/>
                <w:color w:val="000000"/>
                <w:lang w:eastAsia="lt-LT"/>
              </w:rPr>
              <w:t>Palaikomasis gydymas</w:t>
            </w:r>
          </w:p>
        </w:tc>
        <w:tc>
          <w:tcPr>
            <w:tcW w:w="1776" w:type="dxa"/>
            <w:tcBorders>
              <w:top w:val="single" w:sz="4" w:space="0" w:color="auto"/>
              <w:bottom w:val="single" w:sz="4" w:space="0" w:color="auto"/>
            </w:tcBorders>
          </w:tcPr>
          <w:p w14:paraId="180DB367" w14:textId="6F9CE31B"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60A84611"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c>
          <w:tcPr>
            <w:tcW w:w="3470" w:type="dxa"/>
            <w:tcBorders>
              <w:top w:val="single" w:sz="4" w:space="0" w:color="auto"/>
              <w:bottom w:val="single" w:sz="4" w:space="0" w:color="auto"/>
            </w:tcBorders>
          </w:tcPr>
          <w:p w14:paraId="3294D73D"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r>
      <w:tr w:rsidR="000C6BF6" w:rsidRPr="00A55B0B" w14:paraId="0B2F4348" w14:textId="77777777" w:rsidTr="00A454B0">
        <w:trPr>
          <w:jc w:val="center"/>
        </w:trPr>
        <w:tc>
          <w:tcPr>
            <w:tcW w:w="2658" w:type="dxa"/>
            <w:tcBorders>
              <w:top w:val="single" w:sz="4" w:space="0" w:color="auto"/>
              <w:bottom w:val="single" w:sz="4" w:space="0" w:color="auto"/>
            </w:tcBorders>
          </w:tcPr>
          <w:p w14:paraId="3605C150" w14:textId="77777777" w:rsidR="000C6BF6" w:rsidRDefault="000C6BF6" w:rsidP="00A454B0">
            <w:pPr>
              <w:tabs>
                <w:tab w:val="left" w:pos="567"/>
              </w:tabs>
              <w:spacing w:line="276" w:lineRule="auto"/>
              <w:rPr>
                <w:iCs/>
                <w:color w:val="000000"/>
                <w:lang w:eastAsia="lt-LT"/>
              </w:rPr>
            </w:pPr>
            <w:r>
              <w:rPr>
                <w:iCs/>
                <w:color w:val="000000"/>
                <w:lang w:eastAsia="lt-LT"/>
              </w:rPr>
              <w:lastRenderedPageBreak/>
              <w:t>Vaistų vartojimas</w:t>
            </w:r>
          </w:p>
        </w:tc>
        <w:tc>
          <w:tcPr>
            <w:tcW w:w="1776" w:type="dxa"/>
            <w:tcBorders>
              <w:top w:val="single" w:sz="4" w:space="0" w:color="auto"/>
              <w:bottom w:val="single" w:sz="4" w:space="0" w:color="auto"/>
            </w:tcBorders>
          </w:tcPr>
          <w:p w14:paraId="15D5F866" w14:textId="46622EBD"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4CA72ED4"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c>
          <w:tcPr>
            <w:tcW w:w="3470" w:type="dxa"/>
            <w:tcBorders>
              <w:top w:val="single" w:sz="4" w:space="0" w:color="auto"/>
              <w:bottom w:val="single" w:sz="4" w:space="0" w:color="auto"/>
            </w:tcBorders>
          </w:tcPr>
          <w:p w14:paraId="44BC69AF"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r>
      <w:tr w:rsidR="000C6BF6" w:rsidRPr="00A55B0B" w14:paraId="2978EC93" w14:textId="77777777" w:rsidTr="00A454B0">
        <w:trPr>
          <w:jc w:val="center"/>
        </w:trPr>
        <w:tc>
          <w:tcPr>
            <w:tcW w:w="2658" w:type="dxa"/>
            <w:tcBorders>
              <w:top w:val="single" w:sz="4" w:space="0" w:color="auto"/>
              <w:bottom w:val="single" w:sz="4" w:space="0" w:color="auto"/>
            </w:tcBorders>
          </w:tcPr>
          <w:p w14:paraId="2F34D96E" w14:textId="77777777" w:rsidR="000C6BF6" w:rsidRDefault="000C6BF6" w:rsidP="00A454B0">
            <w:pPr>
              <w:tabs>
                <w:tab w:val="left" w:pos="567"/>
              </w:tabs>
              <w:spacing w:line="276" w:lineRule="auto"/>
              <w:rPr>
                <w:iCs/>
                <w:color w:val="000000"/>
                <w:lang w:eastAsia="lt-LT"/>
              </w:rPr>
            </w:pPr>
            <w:r>
              <w:rPr>
                <w:iCs/>
                <w:color w:val="000000"/>
                <w:lang w:eastAsia="lt-LT"/>
              </w:rPr>
              <w:t>Nepageidaujami reiškiniai</w:t>
            </w:r>
          </w:p>
        </w:tc>
        <w:tc>
          <w:tcPr>
            <w:tcW w:w="1776" w:type="dxa"/>
            <w:tcBorders>
              <w:top w:val="single" w:sz="4" w:space="0" w:color="auto"/>
              <w:bottom w:val="single" w:sz="4" w:space="0" w:color="auto"/>
            </w:tcBorders>
          </w:tcPr>
          <w:p w14:paraId="19861440" w14:textId="2430B6A0"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47C39312"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c>
          <w:tcPr>
            <w:tcW w:w="3470" w:type="dxa"/>
            <w:tcBorders>
              <w:top w:val="single" w:sz="4" w:space="0" w:color="auto"/>
              <w:bottom w:val="single" w:sz="4" w:space="0" w:color="auto"/>
            </w:tcBorders>
          </w:tcPr>
          <w:p w14:paraId="34EDFFBE"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r>
      <w:tr w:rsidR="000C6BF6" w:rsidRPr="00A55B0B" w14:paraId="3E937634" w14:textId="77777777" w:rsidTr="00A454B0">
        <w:trPr>
          <w:jc w:val="center"/>
        </w:trPr>
        <w:tc>
          <w:tcPr>
            <w:tcW w:w="2658" w:type="dxa"/>
            <w:tcBorders>
              <w:top w:val="single" w:sz="4" w:space="0" w:color="auto"/>
              <w:bottom w:val="single" w:sz="12" w:space="0" w:color="auto"/>
            </w:tcBorders>
          </w:tcPr>
          <w:p w14:paraId="1F1880FF" w14:textId="77777777" w:rsidR="000C6BF6" w:rsidRPr="00A55B0B" w:rsidRDefault="000C6BF6" w:rsidP="00A454B0">
            <w:pPr>
              <w:tabs>
                <w:tab w:val="left" w:pos="567"/>
              </w:tabs>
              <w:spacing w:line="276" w:lineRule="auto"/>
              <w:jc w:val="both"/>
              <w:rPr>
                <w:iCs/>
                <w:lang w:eastAsia="lt-LT"/>
              </w:rPr>
            </w:pPr>
            <w:r>
              <w:rPr>
                <w:iCs/>
                <w:lang w:eastAsia="lt-LT"/>
              </w:rPr>
              <w:t>Viso</w:t>
            </w:r>
          </w:p>
        </w:tc>
        <w:tc>
          <w:tcPr>
            <w:tcW w:w="1776" w:type="dxa"/>
            <w:tcBorders>
              <w:top w:val="single" w:sz="4" w:space="0" w:color="auto"/>
              <w:bottom w:val="single" w:sz="12" w:space="0" w:color="auto"/>
            </w:tcBorders>
          </w:tcPr>
          <w:p w14:paraId="0A1975F4" w14:textId="1753BB7F"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12" w:space="0" w:color="auto"/>
            </w:tcBorders>
          </w:tcPr>
          <w:p w14:paraId="0DCED7C7"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c>
          <w:tcPr>
            <w:tcW w:w="3470" w:type="dxa"/>
            <w:tcBorders>
              <w:top w:val="single" w:sz="4" w:space="0" w:color="auto"/>
              <w:bottom w:val="single" w:sz="12" w:space="0" w:color="auto"/>
            </w:tcBorders>
          </w:tcPr>
          <w:p w14:paraId="5338A15E" w14:textId="77777777" w:rsidR="000C6BF6" w:rsidRPr="00A55B0B" w:rsidRDefault="000C6BF6" w:rsidP="00A454B0">
            <w:pPr>
              <w:tabs>
                <w:tab w:val="left" w:pos="567"/>
              </w:tabs>
              <w:spacing w:line="276" w:lineRule="auto"/>
              <w:jc w:val="both"/>
              <w:rPr>
                <w:i/>
                <w:iCs/>
                <w:lang w:eastAsia="lt-LT"/>
              </w:rPr>
            </w:pPr>
            <w:r w:rsidRPr="004861FD">
              <w:rPr>
                <w:bCs/>
                <w:color w:val="000000"/>
                <w:lang w:eastAsia="lt-LT"/>
              </w:rPr>
              <w:t>*****</w:t>
            </w:r>
          </w:p>
        </w:tc>
      </w:tr>
    </w:tbl>
    <w:p w14:paraId="3A2A87AD" w14:textId="77777777" w:rsidR="000C6BF6" w:rsidRDefault="000C6BF6" w:rsidP="000C6BF6">
      <w:pPr>
        <w:tabs>
          <w:tab w:val="left" w:pos="426"/>
        </w:tabs>
        <w:rPr>
          <w:b/>
          <w:bCs/>
          <w:caps/>
        </w:rPr>
      </w:pPr>
    </w:p>
    <w:p w14:paraId="0CA3C913" w14:textId="77777777" w:rsidR="000C6BF6" w:rsidRPr="00107205" w:rsidRDefault="000C6BF6" w:rsidP="000C6BF6">
      <w:pPr>
        <w:tabs>
          <w:tab w:val="left" w:pos="426"/>
        </w:tabs>
        <w:rPr>
          <w:lang w:eastAsia="lt-LT"/>
        </w:rPr>
      </w:pPr>
      <w:r w:rsidRPr="00107205">
        <w:rPr>
          <w:lang w:eastAsia="lt-LT"/>
        </w:rPr>
        <w:t>Risankizumabo k</w:t>
      </w:r>
      <w:r>
        <w:rPr>
          <w:lang w:eastAsia="lt-LT"/>
        </w:rPr>
        <w:t>aštų palyginimas su vedolizumabu</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8"/>
        <w:gridCol w:w="1776"/>
        <w:gridCol w:w="2004"/>
        <w:gridCol w:w="3470"/>
      </w:tblGrid>
      <w:tr w:rsidR="000C6BF6" w:rsidRPr="00A55B0B" w14:paraId="0CF18EA3" w14:textId="77777777" w:rsidTr="00A454B0">
        <w:trPr>
          <w:trHeight w:val="364"/>
          <w:jc w:val="center"/>
        </w:trPr>
        <w:tc>
          <w:tcPr>
            <w:tcW w:w="9908" w:type="dxa"/>
            <w:gridSpan w:val="4"/>
            <w:tcBorders>
              <w:top w:val="single" w:sz="12" w:space="0" w:color="auto"/>
              <w:bottom w:val="single" w:sz="4" w:space="0" w:color="auto"/>
            </w:tcBorders>
            <w:vAlign w:val="center"/>
          </w:tcPr>
          <w:p w14:paraId="02658D7C" w14:textId="77777777" w:rsidR="000C6BF6" w:rsidRPr="00A55B0B" w:rsidRDefault="000C6BF6" w:rsidP="00A454B0">
            <w:pPr>
              <w:tabs>
                <w:tab w:val="left" w:pos="567"/>
              </w:tabs>
              <w:spacing w:line="276" w:lineRule="auto"/>
              <w:jc w:val="center"/>
              <w:rPr>
                <w:b/>
                <w:i/>
                <w:iCs/>
                <w:color w:val="00B050"/>
                <w:sz w:val="22"/>
                <w:szCs w:val="22"/>
                <w:lang w:eastAsia="lt-LT"/>
              </w:rPr>
            </w:pPr>
            <w:r w:rsidRPr="00A55B0B">
              <w:rPr>
                <w:b/>
                <w:lang w:eastAsia="lt-LT"/>
              </w:rPr>
              <w:t>Kaštai</w:t>
            </w:r>
          </w:p>
        </w:tc>
      </w:tr>
      <w:tr w:rsidR="000C6BF6" w:rsidRPr="00A55B0B" w14:paraId="72F2C3F3" w14:textId="77777777" w:rsidTr="00A454B0">
        <w:trPr>
          <w:jc w:val="center"/>
        </w:trPr>
        <w:tc>
          <w:tcPr>
            <w:tcW w:w="2658" w:type="dxa"/>
            <w:tcBorders>
              <w:top w:val="single" w:sz="4" w:space="0" w:color="auto"/>
              <w:bottom w:val="single" w:sz="4" w:space="0" w:color="auto"/>
            </w:tcBorders>
          </w:tcPr>
          <w:p w14:paraId="29F9CCB9" w14:textId="77777777" w:rsidR="000C6BF6" w:rsidRPr="00A55B0B" w:rsidRDefault="000C6BF6" w:rsidP="00A454B0">
            <w:pPr>
              <w:tabs>
                <w:tab w:val="left" w:pos="567"/>
              </w:tabs>
              <w:spacing w:line="276" w:lineRule="auto"/>
              <w:jc w:val="both"/>
              <w:rPr>
                <w:color w:val="00B050"/>
                <w:lang w:eastAsia="lt-LT"/>
              </w:rPr>
            </w:pPr>
          </w:p>
        </w:tc>
        <w:tc>
          <w:tcPr>
            <w:tcW w:w="1776" w:type="dxa"/>
            <w:tcBorders>
              <w:top w:val="single" w:sz="4" w:space="0" w:color="auto"/>
              <w:bottom w:val="single" w:sz="4" w:space="0" w:color="auto"/>
            </w:tcBorders>
          </w:tcPr>
          <w:p w14:paraId="6F2FA6F1" w14:textId="77777777" w:rsidR="000C6BF6" w:rsidRPr="00A55B0B" w:rsidRDefault="000C6BF6" w:rsidP="00A454B0">
            <w:pPr>
              <w:tabs>
                <w:tab w:val="left" w:pos="567"/>
              </w:tabs>
              <w:spacing w:line="276" w:lineRule="auto"/>
              <w:jc w:val="both"/>
              <w:rPr>
                <w:i/>
                <w:iCs/>
                <w:lang w:eastAsia="lt-LT"/>
              </w:rPr>
            </w:pPr>
            <w:r>
              <w:rPr>
                <w:i/>
                <w:iCs/>
                <w:lang w:eastAsia="lt-LT"/>
              </w:rPr>
              <w:t>Risankizumabas</w:t>
            </w:r>
          </w:p>
        </w:tc>
        <w:tc>
          <w:tcPr>
            <w:tcW w:w="2004" w:type="dxa"/>
            <w:tcBorders>
              <w:top w:val="single" w:sz="4" w:space="0" w:color="auto"/>
              <w:bottom w:val="single" w:sz="4" w:space="0" w:color="auto"/>
            </w:tcBorders>
          </w:tcPr>
          <w:p w14:paraId="12246307" w14:textId="77777777" w:rsidR="000C6BF6" w:rsidRPr="00A55B0B" w:rsidRDefault="000C6BF6" w:rsidP="00A454B0">
            <w:pPr>
              <w:tabs>
                <w:tab w:val="left" w:pos="567"/>
              </w:tabs>
              <w:spacing w:line="276" w:lineRule="auto"/>
              <w:jc w:val="both"/>
              <w:rPr>
                <w:i/>
                <w:iCs/>
                <w:lang w:eastAsia="lt-LT"/>
              </w:rPr>
            </w:pPr>
            <w:r>
              <w:rPr>
                <w:i/>
                <w:iCs/>
                <w:lang w:eastAsia="lt-LT"/>
              </w:rPr>
              <w:t>Vedolizumabas</w:t>
            </w:r>
          </w:p>
        </w:tc>
        <w:tc>
          <w:tcPr>
            <w:tcW w:w="3470" w:type="dxa"/>
            <w:tcBorders>
              <w:top w:val="single" w:sz="4" w:space="0" w:color="auto"/>
              <w:bottom w:val="single" w:sz="4" w:space="0" w:color="auto"/>
            </w:tcBorders>
          </w:tcPr>
          <w:p w14:paraId="18F7BBF7" w14:textId="77777777" w:rsidR="000C6BF6" w:rsidRPr="00A55B0B" w:rsidRDefault="000C6BF6" w:rsidP="00A454B0">
            <w:pPr>
              <w:tabs>
                <w:tab w:val="left" w:pos="567"/>
              </w:tabs>
              <w:spacing w:line="276" w:lineRule="auto"/>
              <w:jc w:val="both"/>
              <w:rPr>
                <w:i/>
                <w:lang w:eastAsia="lt-LT"/>
              </w:rPr>
            </w:pPr>
            <w:r w:rsidRPr="00A55B0B">
              <w:rPr>
                <w:i/>
                <w:lang w:eastAsia="lt-LT"/>
              </w:rPr>
              <w:t>Skirtumas</w:t>
            </w:r>
          </w:p>
        </w:tc>
      </w:tr>
      <w:tr w:rsidR="000C6BF6" w:rsidRPr="00A55B0B" w14:paraId="30F6D222" w14:textId="77777777" w:rsidTr="00A454B0">
        <w:trPr>
          <w:jc w:val="center"/>
        </w:trPr>
        <w:tc>
          <w:tcPr>
            <w:tcW w:w="2658" w:type="dxa"/>
            <w:tcBorders>
              <w:top w:val="single" w:sz="4" w:space="0" w:color="auto"/>
              <w:bottom w:val="single" w:sz="4" w:space="0" w:color="auto"/>
            </w:tcBorders>
          </w:tcPr>
          <w:p w14:paraId="66543D95" w14:textId="77777777" w:rsidR="000C6BF6" w:rsidRPr="00A55B0B" w:rsidRDefault="000C6BF6" w:rsidP="00A454B0">
            <w:pPr>
              <w:tabs>
                <w:tab w:val="left" w:pos="567"/>
              </w:tabs>
              <w:spacing w:line="276" w:lineRule="auto"/>
              <w:jc w:val="both"/>
              <w:rPr>
                <w:iCs/>
                <w:color w:val="00B050"/>
                <w:lang w:eastAsia="lt-LT"/>
              </w:rPr>
            </w:pPr>
            <w:r w:rsidRPr="00A55B0B">
              <w:rPr>
                <w:iCs/>
                <w:color w:val="000000"/>
                <w:lang w:eastAsia="lt-LT"/>
              </w:rPr>
              <w:t>Vaistinių preparatų įsigijimo kaštai</w:t>
            </w:r>
          </w:p>
        </w:tc>
        <w:tc>
          <w:tcPr>
            <w:tcW w:w="1776" w:type="dxa"/>
            <w:tcBorders>
              <w:top w:val="single" w:sz="4" w:space="0" w:color="auto"/>
              <w:bottom w:val="single" w:sz="4" w:space="0" w:color="auto"/>
            </w:tcBorders>
          </w:tcPr>
          <w:p w14:paraId="48CB6428" w14:textId="513D2616"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3DCE2301"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c>
          <w:tcPr>
            <w:tcW w:w="3470" w:type="dxa"/>
            <w:tcBorders>
              <w:top w:val="single" w:sz="4" w:space="0" w:color="auto"/>
              <w:bottom w:val="single" w:sz="4" w:space="0" w:color="auto"/>
            </w:tcBorders>
          </w:tcPr>
          <w:p w14:paraId="2821BA5A" w14:textId="77777777" w:rsidR="000C6BF6" w:rsidRPr="00A55B0B" w:rsidRDefault="000C6BF6" w:rsidP="00A454B0">
            <w:pPr>
              <w:tabs>
                <w:tab w:val="left" w:pos="567"/>
              </w:tabs>
              <w:spacing w:line="276" w:lineRule="auto"/>
              <w:jc w:val="both"/>
              <w:rPr>
                <w:lang w:eastAsia="lt-LT"/>
              </w:rPr>
            </w:pPr>
            <w:r w:rsidRPr="000019F9">
              <w:rPr>
                <w:bCs/>
                <w:color w:val="000000"/>
                <w:lang w:eastAsia="lt-LT"/>
              </w:rPr>
              <w:t>*****</w:t>
            </w:r>
          </w:p>
        </w:tc>
      </w:tr>
      <w:tr w:rsidR="000C6BF6" w:rsidRPr="00A55B0B" w14:paraId="4B6692C2" w14:textId="77777777" w:rsidTr="00A454B0">
        <w:trPr>
          <w:jc w:val="center"/>
        </w:trPr>
        <w:tc>
          <w:tcPr>
            <w:tcW w:w="2658" w:type="dxa"/>
            <w:tcBorders>
              <w:top w:val="single" w:sz="4" w:space="0" w:color="auto"/>
              <w:bottom w:val="single" w:sz="4" w:space="0" w:color="auto"/>
            </w:tcBorders>
          </w:tcPr>
          <w:p w14:paraId="07E8281D" w14:textId="77777777" w:rsidR="000C6BF6" w:rsidRPr="00A55B0B" w:rsidRDefault="000C6BF6" w:rsidP="00A454B0">
            <w:pPr>
              <w:tabs>
                <w:tab w:val="left" w:pos="567"/>
              </w:tabs>
              <w:spacing w:line="276" w:lineRule="auto"/>
              <w:jc w:val="right"/>
              <w:rPr>
                <w:iCs/>
                <w:color w:val="000000"/>
                <w:lang w:eastAsia="lt-LT"/>
              </w:rPr>
            </w:pPr>
            <w:r w:rsidRPr="00B50506">
              <w:rPr>
                <w:i/>
                <w:iCs/>
                <w:color w:val="000000"/>
                <w:lang w:eastAsia="lt-LT"/>
              </w:rPr>
              <w:t>Indukcija</w:t>
            </w:r>
          </w:p>
        </w:tc>
        <w:tc>
          <w:tcPr>
            <w:tcW w:w="1776" w:type="dxa"/>
            <w:tcBorders>
              <w:top w:val="single" w:sz="4" w:space="0" w:color="auto"/>
              <w:bottom w:val="single" w:sz="4" w:space="0" w:color="auto"/>
            </w:tcBorders>
          </w:tcPr>
          <w:p w14:paraId="70579821" w14:textId="2022BDD4"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6B7421A5"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c>
          <w:tcPr>
            <w:tcW w:w="3470" w:type="dxa"/>
            <w:tcBorders>
              <w:top w:val="single" w:sz="4" w:space="0" w:color="auto"/>
              <w:bottom w:val="single" w:sz="4" w:space="0" w:color="auto"/>
            </w:tcBorders>
          </w:tcPr>
          <w:p w14:paraId="613BBA4A" w14:textId="77777777" w:rsidR="000C6BF6" w:rsidRPr="00A55B0B" w:rsidRDefault="000C6BF6" w:rsidP="00A454B0">
            <w:pPr>
              <w:tabs>
                <w:tab w:val="left" w:pos="567"/>
              </w:tabs>
              <w:spacing w:line="276" w:lineRule="auto"/>
              <w:jc w:val="both"/>
              <w:rPr>
                <w:lang w:eastAsia="lt-LT"/>
              </w:rPr>
            </w:pPr>
            <w:r w:rsidRPr="000019F9">
              <w:rPr>
                <w:bCs/>
                <w:color w:val="000000"/>
                <w:lang w:eastAsia="lt-LT"/>
              </w:rPr>
              <w:t>*****</w:t>
            </w:r>
          </w:p>
        </w:tc>
      </w:tr>
      <w:tr w:rsidR="000C6BF6" w:rsidRPr="00A55B0B" w14:paraId="4B7CC441" w14:textId="77777777" w:rsidTr="00A454B0">
        <w:trPr>
          <w:jc w:val="center"/>
        </w:trPr>
        <w:tc>
          <w:tcPr>
            <w:tcW w:w="2658" w:type="dxa"/>
            <w:tcBorders>
              <w:top w:val="single" w:sz="4" w:space="0" w:color="auto"/>
              <w:bottom w:val="single" w:sz="4" w:space="0" w:color="auto"/>
            </w:tcBorders>
          </w:tcPr>
          <w:p w14:paraId="3918E934" w14:textId="77777777" w:rsidR="000C6BF6" w:rsidRPr="00A55B0B" w:rsidRDefault="000C6BF6" w:rsidP="00A454B0">
            <w:pPr>
              <w:tabs>
                <w:tab w:val="left" w:pos="567"/>
              </w:tabs>
              <w:spacing w:line="276" w:lineRule="auto"/>
              <w:jc w:val="right"/>
              <w:rPr>
                <w:iCs/>
                <w:color w:val="00B050"/>
                <w:lang w:eastAsia="lt-LT"/>
              </w:rPr>
            </w:pPr>
            <w:r w:rsidRPr="00B50506">
              <w:rPr>
                <w:i/>
                <w:iCs/>
                <w:color w:val="000000"/>
                <w:lang w:eastAsia="lt-LT"/>
              </w:rPr>
              <w:t>Palaikomasis gydymas</w:t>
            </w:r>
          </w:p>
        </w:tc>
        <w:tc>
          <w:tcPr>
            <w:tcW w:w="1776" w:type="dxa"/>
            <w:tcBorders>
              <w:top w:val="single" w:sz="4" w:space="0" w:color="auto"/>
              <w:bottom w:val="single" w:sz="4" w:space="0" w:color="auto"/>
            </w:tcBorders>
          </w:tcPr>
          <w:p w14:paraId="0BB749BC" w14:textId="7AA13104"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11945C9C"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c>
          <w:tcPr>
            <w:tcW w:w="3470" w:type="dxa"/>
            <w:tcBorders>
              <w:top w:val="single" w:sz="4" w:space="0" w:color="auto"/>
              <w:bottom w:val="single" w:sz="4" w:space="0" w:color="auto"/>
            </w:tcBorders>
          </w:tcPr>
          <w:p w14:paraId="03B17FB4"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r>
      <w:tr w:rsidR="000C6BF6" w:rsidRPr="00A55B0B" w14:paraId="3988EB08" w14:textId="77777777" w:rsidTr="00A454B0">
        <w:trPr>
          <w:jc w:val="center"/>
        </w:trPr>
        <w:tc>
          <w:tcPr>
            <w:tcW w:w="2658" w:type="dxa"/>
            <w:tcBorders>
              <w:top w:val="single" w:sz="4" w:space="0" w:color="auto"/>
              <w:bottom w:val="single" w:sz="4" w:space="0" w:color="auto"/>
            </w:tcBorders>
          </w:tcPr>
          <w:p w14:paraId="0C81BD5F" w14:textId="77777777" w:rsidR="000C6BF6" w:rsidRPr="00A55B0B" w:rsidRDefault="000C6BF6" w:rsidP="00A454B0">
            <w:pPr>
              <w:tabs>
                <w:tab w:val="left" w:pos="567"/>
              </w:tabs>
              <w:spacing w:line="276" w:lineRule="auto"/>
              <w:rPr>
                <w:iCs/>
                <w:color w:val="000000"/>
                <w:lang w:eastAsia="lt-LT"/>
              </w:rPr>
            </w:pPr>
            <w:r>
              <w:rPr>
                <w:iCs/>
                <w:color w:val="000000"/>
                <w:lang w:eastAsia="lt-LT"/>
              </w:rPr>
              <w:t>Vaistų vartojimas</w:t>
            </w:r>
          </w:p>
        </w:tc>
        <w:tc>
          <w:tcPr>
            <w:tcW w:w="1776" w:type="dxa"/>
            <w:tcBorders>
              <w:top w:val="single" w:sz="4" w:space="0" w:color="auto"/>
              <w:bottom w:val="single" w:sz="4" w:space="0" w:color="auto"/>
            </w:tcBorders>
          </w:tcPr>
          <w:p w14:paraId="684A8B20" w14:textId="4BE25447"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0EC82B83"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c>
          <w:tcPr>
            <w:tcW w:w="3470" w:type="dxa"/>
            <w:tcBorders>
              <w:top w:val="single" w:sz="4" w:space="0" w:color="auto"/>
              <w:bottom w:val="single" w:sz="4" w:space="0" w:color="auto"/>
            </w:tcBorders>
          </w:tcPr>
          <w:p w14:paraId="3039EEBF"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r>
      <w:tr w:rsidR="000C6BF6" w:rsidRPr="00A55B0B" w14:paraId="2DDD62F1" w14:textId="77777777" w:rsidTr="00A454B0">
        <w:trPr>
          <w:jc w:val="center"/>
        </w:trPr>
        <w:tc>
          <w:tcPr>
            <w:tcW w:w="2658" w:type="dxa"/>
            <w:tcBorders>
              <w:top w:val="single" w:sz="4" w:space="0" w:color="auto"/>
              <w:bottom w:val="single" w:sz="4" w:space="0" w:color="auto"/>
            </w:tcBorders>
          </w:tcPr>
          <w:p w14:paraId="54AD5CFC" w14:textId="77777777" w:rsidR="000C6BF6" w:rsidRPr="00A55B0B" w:rsidRDefault="000C6BF6" w:rsidP="00A454B0">
            <w:pPr>
              <w:tabs>
                <w:tab w:val="left" w:pos="567"/>
              </w:tabs>
              <w:spacing w:line="276" w:lineRule="auto"/>
              <w:rPr>
                <w:iCs/>
                <w:color w:val="000000"/>
                <w:lang w:eastAsia="lt-LT"/>
              </w:rPr>
            </w:pPr>
            <w:r>
              <w:rPr>
                <w:iCs/>
                <w:color w:val="000000"/>
                <w:lang w:eastAsia="lt-LT"/>
              </w:rPr>
              <w:t>Nepageidaujami reiškiniai</w:t>
            </w:r>
          </w:p>
        </w:tc>
        <w:tc>
          <w:tcPr>
            <w:tcW w:w="1776" w:type="dxa"/>
            <w:tcBorders>
              <w:top w:val="single" w:sz="4" w:space="0" w:color="auto"/>
              <w:bottom w:val="single" w:sz="4" w:space="0" w:color="auto"/>
            </w:tcBorders>
          </w:tcPr>
          <w:p w14:paraId="19D5098A" w14:textId="03FE0D56"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4" w:space="0" w:color="auto"/>
            </w:tcBorders>
          </w:tcPr>
          <w:p w14:paraId="1CDBAC61"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c>
          <w:tcPr>
            <w:tcW w:w="3470" w:type="dxa"/>
            <w:tcBorders>
              <w:top w:val="single" w:sz="4" w:space="0" w:color="auto"/>
              <w:bottom w:val="single" w:sz="4" w:space="0" w:color="auto"/>
            </w:tcBorders>
          </w:tcPr>
          <w:p w14:paraId="3270D663"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r>
      <w:tr w:rsidR="000C6BF6" w:rsidRPr="00A55B0B" w14:paraId="5E15FF48" w14:textId="77777777" w:rsidTr="00A454B0">
        <w:trPr>
          <w:jc w:val="center"/>
        </w:trPr>
        <w:tc>
          <w:tcPr>
            <w:tcW w:w="2658" w:type="dxa"/>
            <w:tcBorders>
              <w:top w:val="single" w:sz="4" w:space="0" w:color="auto"/>
              <w:bottom w:val="single" w:sz="12" w:space="0" w:color="auto"/>
            </w:tcBorders>
          </w:tcPr>
          <w:p w14:paraId="21297C43" w14:textId="77777777" w:rsidR="000C6BF6" w:rsidRPr="00A55B0B" w:rsidRDefault="000C6BF6" w:rsidP="00A454B0">
            <w:pPr>
              <w:tabs>
                <w:tab w:val="left" w:pos="567"/>
              </w:tabs>
              <w:spacing w:line="276" w:lineRule="auto"/>
              <w:jc w:val="both"/>
              <w:rPr>
                <w:iCs/>
                <w:lang w:eastAsia="lt-LT"/>
              </w:rPr>
            </w:pPr>
            <w:r>
              <w:rPr>
                <w:iCs/>
                <w:lang w:eastAsia="lt-LT"/>
              </w:rPr>
              <w:t>Viso</w:t>
            </w:r>
          </w:p>
        </w:tc>
        <w:tc>
          <w:tcPr>
            <w:tcW w:w="1776" w:type="dxa"/>
            <w:tcBorders>
              <w:top w:val="single" w:sz="4" w:space="0" w:color="auto"/>
              <w:bottom w:val="single" w:sz="12" w:space="0" w:color="auto"/>
            </w:tcBorders>
          </w:tcPr>
          <w:p w14:paraId="4F90DF78" w14:textId="4A40BB03" w:rsidR="000C6BF6" w:rsidRPr="00A55B0B" w:rsidRDefault="00ED3CB9" w:rsidP="00A454B0">
            <w:pPr>
              <w:tabs>
                <w:tab w:val="left" w:pos="567"/>
              </w:tabs>
              <w:spacing w:line="276" w:lineRule="auto"/>
              <w:jc w:val="both"/>
              <w:rPr>
                <w:i/>
                <w:iCs/>
                <w:lang w:eastAsia="lt-LT"/>
              </w:rPr>
            </w:pPr>
            <w:r w:rsidRPr="004861FD">
              <w:rPr>
                <w:bCs/>
                <w:color w:val="000000"/>
                <w:lang w:eastAsia="lt-LT"/>
              </w:rPr>
              <w:t>*****</w:t>
            </w:r>
          </w:p>
        </w:tc>
        <w:tc>
          <w:tcPr>
            <w:tcW w:w="2004" w:type="dxa"/>
            <w:tcBorders>
              <w:top w:val="single" w:sz="4" w:space="0" w:color="auto"/>
              <w:bottom w:val="single" w:sz="12" w:space="0" w:color="auto"/>
            </w:tcBorders>
          </w:tcPr>
          <w:p w14:paraId="03D9E33A"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c>
          <w:tcPr>
            <w:tcW w:w="3470" w:type="dxa"/>
            <w:tcBorders>
              <w:top w:val="single" w:sz="4" w:space="0" w:color="auto"/>
              <w:bottom w:val="single" w:sz="12" w:space="0" w:color="auto"/>
            </w:tcBorders>
          </w:tcPr>
          <w:p w14:paraId="58EED95F" w14:textId="77777777" w:rsidR="000C6BF6" w:rsidRPr="00A55B0B" w:rsidRDefault="000C6BF6" w:rsidP="00A454B0">
            <w:pPr>
              <w:tabs>
                <w:tab w:val="left" w:pos="567"/>
              </w:tabs>
              <w:spacing w:line="276" w:lineRule="auto"/>
              <w:jc w:val="both"/>
              <w:rPr>
                <w:i/>
                <w:iCs/>
                <w:lang w:eastAsia="lt-LT"/>
              </w:rPr>
            </w:pPr>
            <w:r w:rsidRPr="000019F9">
              <w:rPr>
                <w:bCs/>
                <w:color w:val="000000"/>
                <w:lang w:eastAsia="lt-LT"/>
              </w:rPr>
              <w:t>*****</w:t>
            </w:r>
          </w:p>
        </w:tc>
      </w:tr>
    </w:tbl>
    <w:p w14:paraId="0CEF4AF8" w14:textId="77777777" w:rsidR="000C6BF6" w:rsidRPr="00E33EFF" w:rsidRDefault="000C6BF6" w:rsidP="000C6BF6">
      <w:pPr>
        <w:tabs>
          <w:tab w:val="left" w:pos="426"/>
        </w:tabs>
        <w:rPr>
          <w:b/>
          <w:bCs/>
          <w:caps/>
        </w:rPr>
      </w:pPr>
    </w:p>
    <w:p w14:paraId="531BCF74" w14:textId="77777777" w:rsidR="000C6BF6" w:rsidRPr="00E33EFF" w:rsidRDefault="000C6BF6" w:rsidP="000C6BF6">
      <w:pPr>
        <w:pStyle w:val="Sraopastraipa"/>
        <w:numPr>
          <w:ilvl w:val="0"/>
          <w:numId w:val="12"/>
        </w:numPr>
        <w:tabs>
          <w:tab w:val="left" w:pos="567"/>
        </w:tabs>
        <w:ind w:hanging="720"/>
        <w:rPr>
          <w:b/>
          <w:bCs/>
          <w:caps/>
        </w:rPr>
      </w:pPr>
      <w:r w:rsidRPr="00E33EFF">
        <w:rPr>
          <w:b/>
          <w:bCs/>
          <w:caps/>
        </w:rPr>
        <w:t xml:space="preserve">Pacientų organizacijų pateikti duomenys </w:t>
      </w:r>
    </w:p>
    <w:p w14:paraId="6CF27A4B" w14:textId="77777777" w:rsidR="000C6BF6" w:rsidRPr="00E33EFF" w:rsidRDefault="00ED3CB9" w:rsidP="000C6BF6">
      <w:pPr>
        <w:spacing w:after="120"/>
        <w:jc w:val="both"/>
      </w:pPr>
      <w:sdt>
        <w:sdtPr>
          <w:rPr>
            <w:rStyle w:val="Style2"/>
            <w:rFonts w:ascii="MS Gothic" w:eastAsia="MS Gothic" w:hAnsi="MS Gothic"/>
            <w:sz w:val="24"/>
          </w:rPr>
          <w:id w:val="615176423"/>
          <w15:color w:val="FFCC00"/>
          <w14:checkbox>
            <w14:checked w14:val="0"/>
            <w14:checkedState w14:val="2612" w14:font="MS Gothic"/>
            <w14:uncheckedState w14:val="2610" w14:font="MS Gothic"/>
          </w14:checkbox>
        </w:sdtPr>
        <w:sdtEndPr>
          <w:rPr>
            <w:rStyle w:val="Style2"/>
          </w:rPr>
        </w:sdtEndPr>
        <w:sdtContent>
          <w:r w:rsidR="000C6BF6" w:rsidRPr="00E33EFF">
            <w:rPr>
              <w:rStyle w:val="Style2"/>
              <w:rFonts w:ascii="MS Gothic" w:eastAsia="MS Gothic" w:hAnsi="MS Gothic" w:hint="eastAsia"/>
              <w:sz w:val="24"/>
            </w:rPr>
            <w:t>☐</w:t>
          </w:r>
        </w:sdtContent>
      </w:sdt>
      <w:r w:rsidR="000C6BF6" w:rsidRPr="00E33EFF">
        <w:t xml:space="preserve"> Pacientų organizacijos pozicija pateikta. Žr. priedą.</w:t>
      </w:r>
    </w:p>
    <w:p w14:paraId="2D4A7154" w14:textId="77777777" w:rsidR="000C6BF6" w:rsidRPr="00E33EFF" w:rsidRDefault="00ED3CB9" w:rsidP="000C6BF6">
      <w:pPr>
        <w:spacing w:after="120"/>
        <w:jc w:val="both"/>
      </w:pPr>
      <w:sdt>
        <w:sdtPr>
          <w:rPr>
            <w:rStyle w:val="Style2"/>
            <w:rFonts w:ascii="MS Gothic" w:eastAsia="MS Gothic" w:hAnsi="MS Gothic"/>
            <w:sz w:val="24"/>
          </w:rPr>
          <w:id w:val="1843742520"/>
          <w15:color w:val="FFCC00"/>
          <w14:checkbox>
            <w14:checked w14:val="1"/>
            <w14:checkedState w14:val="2612" w14:font="MS Gothic"/>
            <w14:uncheckedState w14:val="2610" w14:font="MS Gothic"/>
          </w14:checkbox>
        </w:sdtPr>
        <w:sdtEndPr>
          <w:rPr>
            <w:rStyle w:val="Style2"/>
          </w:rPr>
        </w:sdtEndPr>
        <w:sdtContent>
          <w:r w:rsidR="000C6BF6">
            <w:rPr>
              <w:rStyle w:val="Style2"/>
              <w:rFonts w:ascii="MS Gothic" w:eastAsia="MS Gothic" w:hAnsi="MS Gothic" w:hint="eastAsia"/>
              <w:sz w:val="24"/>
            </w:rPr>
            <w:t>☒</w:t>
          </w:r>
        </w:sdtContent>
      </w:sdt>
      <w:r w:rsidR="000C6BF6" w:rsidRPr="00E33EFF">
        <w:t xml:space="preserve"> Pacientų organizacijos pozicija nepateikta.</w:t>
      </w:r>
    </w:p>
    <w:p w14:paraId="1BEA7484" w14:textId="77777777" w:rsidR="000C6BF6" w:rsidRPr="00E33EFF" w:rsidRDefault="000C6BF6" w:rsidP="000C6BF6">
      <w:pPr>
        <w:spacing w:after="120"/>
        <w:jc w:val="both"/>
      </w:pPr>
    </w:p>
    <w:p w14:paraId="0C84ACFF" w14:textId="77777777" w:rsidR="000C6BF6" w:rsidRPr="00E33EFF" w:rsidRDefault="000C6BF6" w:rsidP="000C6BF6">
      <w:pPr>
        <w:pStyle w:val="Sraopastraipa"/>
        <w:numPr>
          <w:ilvl w:val="0"/>
          <w:numId w:val="12"/>
        </w:numPr>
        <w:tabs>
          <w:tab w:val="left" w:pos="567"/>
        </w:tabs>
        <w:ind w:hanging="720"/>
        <w:rPr>
          <w:b/>
          <w:bCs/>
          <w:caps/>
        </w:rPr>
      </w:pPr>
      <w:r w:rsidRPr="00E33EFF">
        <w:rPr>
          <w:b/>
          <w:bCs/>
          <w:caps/>
        </w:rPr>
        <w:t>Gydytojų organizacijų pateikti duomenys</w:t>
      </w:r>
    </w:p>
    <w:p w14:paraId="58ED5939" w14:textId="77777777" w:rsidR="000C6BF6" w:rsidRPr="00E33EFF" w:rsidRDefault="00ED3CB9" w:rsidP="000C6BF6">
      <w:pPr>
        <w:spacing w:after="120"/>
        <w:jc w:val="both"/>
      </w:pPr>
      <w:sdt>
        <w:sdtPr>
          <w:rPr>
            <w:rStyle w:val="Style2"/>
            <w:rFonts w:ascii="MS Gothic" w:eastAsia="MS Gothic" w:hAnsi="MS Gothic"/>
            <w:sz w:val="24"/>
          </w:rPr>
          <w:id w:val="-1857034197"/>
          <w15:color w:val="FFCC00"/>
          <w14:checkbox>
            <w14:checked w14:val="0"/>
            <w14:checkedState w14:val="2612" w14:font="MS Gothic"/>
            <w14:uncheckedState w14:val="2610" w14:font="MS Gothic"/>
          </w14:checkbox>
        </w:sdtPr>
        <w:sdtEndPr>
          <w:rPr>
            <w:rStyle w:val="Style2"/>
          </w:rPr>
        </w:sdtEndPr>
        <w:sdtContent>
          <w:r w:rsidR="000C6BF6" w:rsidRPr="00E33EFF">
            <w:rPr>
              <w:rStyle w:val="Style2"/>
              <w:rFonts w:ascii="MS Gothic" w:eastAsia="MS Gothic" w:hAnsi="MS Gothic" w:hint="eastAsia"/>
              <w:sz w:val="24"/>
            </w:rPr>
            <w:t>☐</w:t>
          </w:r>
        </w:sdtContent>
      </w:sdt>
      <w:r w:rsidR="000C6BF6" w:rsidRPr="00E33EFF">
        <w:t xml:space="preserve"> Gydytojų specialistų organizacijos pozicija pateikta. Žr. priedą.</w:t>
      </w:r>
    </w:p>
    <w:p w14:paraId="2484CE74" w14:textId="77777777" w:rsidR="000C6BF6" w:rsidRPr="00E33EFF" w:rsidRDefault="00ED3CB9" w:rsidP="000C6BF6">
      <w:pPr>
        <w:spacing w:after="120"/>
        <w:jc w:val="both"/>
      </w:pPr>
      <w:sdt>
        <w:sdtPr>
          <w:rPr>
            <w:rStyle w:val="Style2"/>
            <w:rFonts w:ascii="MS Gothic" w:eastAsia="MS Gothic" w:hAnsi="MS Gothic"/>
            <w:sz w:val="24"/>
          </w:rPr>
          <w:id w:val="813304605"/>
          <w15:color w:val="FFCC00"/>
          <w14:checkbox>
            <w14:checked w14:val="1"/>
            <w14:checkedState w14:val="2612" w14:font="MS Gothic"/>
            <w14:uncheckedState w14:val="2610" w14:font="MS Gothic"/>
          </w14:checkbox>
        </w:sdtPr>
        <w:sdtEndPr>
          <w:rPr>
            <w:rStyle w:val="Style2"/>
          </w:rPr>
        </w:sdtEndPr>
        <w:sdtContent>
          <w:r w:rsidR="000C6BF6">
            <w:rPr>
              <w:rStyle w:val="Style2"/>
              <w:rFonts w:ascii="MS Gothic" w:eastAsia="MS Gothic" w:hAnsi="MS Gothic" w:hint="eastAsia"/>
              <w:sz w:val="24"/>
            </w:rPr>
            <w:t>☒</w:t>
          </w:r>
        </w:sdtContent>
      </w:sdt>
      <w:r w:rsidR="000C6BF6" w:rsidRPr="00E33EFF">
        <w:t xml:space="preserve"> Gydytojų specialistų organizacijos pozicija nepateikta.</w:t>
      </w:r>
    </w:p>
    <w:p w14:paraId="15F0FD74" w14:textId="77777777" w:rsidR="000C6BF6" w:rsidRPr="00E33EFF" w:rsidRDefault="000C6BF6" w:rsidP="000C6BF6">
      <w:pPr>
        <w:spacing w:after="120"/>
        <w:jc w:val="both"/>
      </w:pPr>
    </w:p>
    <w:p w14:paraId="5937FF4A" w14:textId="77777777" w:rsidR="000C6BF6" w:rsidRPr="00107205" w:rsidRDefault="000C6BF6" w:rsidP="000C6BF6">
      <w:pPr>
        <w:pStyle w:val="Sraopastraipa"/>
        <w:numPr>
          <w:ilvl w:val="0"/>
          <w:numId w:val="12"/>
        </w:numPr>
        <w:tabs>
          <w:tab w:val="left" w:pos="567"/>
        </w:tabs>
        <w:ind w:hanging="720"/>
        <w:rPr>
          <w:b/>
          <w:bCs/>
          <w:caps/>
        </w:rPr>
      </w:pPr>
      <w:r w:rsidRPr="00E33EFF">
        <w:rPr>
          <w:b/>
          <w:bCs/>
          <w:caps/>
        </w:rPr>
        <w:t xml:space="preserve">Išvada </w:t>
      </w:r>
    </w:p>
    <w:p w14:paraId="5449A3E8" w14:textId="77777777" w:rsidR="000C6BF6" w:rsidRDefault="000C6BF6" w:rsidP="000C6BF6">
      <w:pPr>
        <w:ind w:left="360"/>
        <w:rPr>
          <w:i/>
          <w:color w:val="000000" w:themeColor="text1"/>
          <w:szCs w:val="22"/>
        </w:rPr>
      </w:pPr>
    </w:p>
    <w:tbl>
      <w:tblPr>
        <w:tblStyle w:val="Lentelstinklelis"/>
        <w:tblW w:w="0" w:type="auto"/>
        <w:tblInd w:w="-5" w:type="dxa"/>
        <w:tblLook w:val="04A0" w:firstRow="1" w:lastRow="0" w:firstColumn="1" w:lastColumn="0" w:noHBand="0" w:noVBand="1"/>
      </w:tblPr>
      <w:tblGrid>
        <w:gridCol w:w="4820"/>
        <w:gridCol w:w="4814"/>
      </w:tblGrid>
      <w:tr w:rsidR="000C6BF6" w:rsidRPr="009D56BB" w14:paraId="35197683" w14:textId="77777777" w:rsidTr="00A454B0">
        <w:trPr>
          <w:trHeight w:val="510"/>
        </w:trPr>
        <w:tc>
          <w:tcPr>
            <w:tcW w:w="9629" w:type="dxa"/>
            <w:gridSpan w:val="2"/>
            <w:vAlign w:val="center"/>
          </w:tcPr>
          <w:p w14:paraId="2821D5F2" w14:textId="77777777" w:rsidR="000C6BF6" w:rsidRPr="00107205"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107205">
              <w:rPr>
                <w:rStyle w:val="Style2"/>
                <w:rFonts w:eastAsia="MS Gothic"/>
                <w:b/>
                <w:bCs/>
                <w:sz w:val="24"/>
              </w:rPr>
              <w:t>Palyginamasis veiksmingumas</w:t>
            </w:r>
          </w:p>
        </w:tc>
      </w:tr>
      <w:tr w:rsidR="000C6BF6" w:rsidRPr="009D56BB" w14:paraId="38F13C52" w14:textId="77777777" w:rsidTr="00A454B0">
        <w:tc>
          <w:tcPr>
            <w:tcW w:w="4815" w:type="dxa"/>
          </w:tcPr>
          <w:p w14:paraId="2CE45203" w14:textId="77777777" w:rsidR="000C6BF6" w:rsidRPr="00107205"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685967602"/>
                <w15:color w:val="FFCC00"/>
                <w14:checkbox>
                  <w14:checked w14:val="0"/>
                  <w14:checkedState w14:val="2612" w14:font="MS Gothic"/>
                  <w14:uncheckedState w14:val="2610" w14:font="MS Gothic"/>
                </w14:checkbox>
              </w:sdtPr>
              <w:sdtEndPr>
                <w:rPr>
                  <w:rStyle w:val="Style2"/>
                </w:rPr>
              </w:sdtEndPr>
              <w:sdtContent>
                <w:r w:rsidR="000C6BF6" w:rsidRPr="00107205">
                  <w:rPr>
                    <w:rStyle w:val="Style2"/>
                    <w:rFonts w:ascii="MS Gothic" w:eastAsia="MS Gothic" w:hAnsi="MS Gothic" w:hint="eastAsia"/>
                    <w:sz w:val="24"/>
                  </w:rPr>
                  <w:t>☐</w:t>
                </w:r>
              </w:sdtContent>
            </w:sdt>
            <w:r w:rsidR="000C6BF6" w:rsidRPr="00107205">
              <w:rPr>
                <w:rStyle w:val="Style2"/>
                <w:sz w:val="24"/>
              </w:rPr>
              <w:t xml:space="preserve"> 29</w:t>
            </w:r>
            <w:r w:rsidR="000C6BF6" w:rsidRPr="00107205">
              <w:t>.1.1 yra didesnis, lyginant su įprasta klinikine praktika</w:t>
            </w:r>
          </w:p>
          <w:p w14:paraId="4E2B0F6F" w14:textId="77777777" w:rsidR="000C6BF6" w:rsidRPr="00107205"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FC0710" w14:textId="77777777" w:rsidR="000C6BF6" w:rsidRPr="00107205"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1181044544"/>
                <w15:color w:val="FFCC00"/>
                <w14:checkbox>
                  <w14:checked w14:val="1"/>
                  <w14:checkedState w14:val="2612" w14:font="MS Gothic"/>
                  <w14:uncheckedState w14:val="2610" w14:font="MS Gothic"/>
                </w14:checkbox>
              </w:sdtPr>
              <w:sdtEndPr>
                <w:rPr>
                  <w:rStyle w:val="Style2"/>
                </w:rPr>
              </w:sdtEndPr>
              <w:sdtContent>
                <w:r w:rsidR="000C6BF6" w:rsidRPr="00107205">
                  <w:rPr>
                    <w:rStyle w:val="Style2"/>
                    <w:rFonts w:ascii="MS Gothic" w:eastAsia="MS Gothic" w:hAnsi="MS Gothic" w:hint="eastAsia"/>
                    <w:sz w:val="24"/>
                  </w:rPr>
                  <w:t>☒</w:t>
                </w:r>
              </w:sdtContent>
            </w:sdt>
            <w:r w:rsidR="000C6BF6" w:rsidRPr="00107205">
              <w:t xml:space="preserve"> </w:t>
            </w:r>
            <w:r w:rsidR="000C6BF6" w:rsidRPr="00107205">
              <w:rPr>
                <w:rStyle w:val="Style2"/>
                <w:sz w:val="24"/>
              </w:rPr>
              <w:t>29</w:t>
            </w:r>
            <w:r w:rsidR="000C6BF6" w:rsidRPr="00107205">
              <w:t>.1.2 iš esmės nesiskiria, lyginant su įprasta klinikine praktika</w:t>
            </w:r>
          </w:p>
        </w:tc>
        <w:tc>
          <w:tcPr>
            <w:tcW w:w="4814" w:type="dxa"/>
          </w:tcPr>
          <w:p w14:paraId="33A7E6AD" w14:textId="77777777" w:rsidR="000C6BF6" w:rsidRPr="00107205"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67944220"/>
                <w15:color w:val="FFCC00"/>
                <w14:checkbox>
                  <w14:checked w14:val="0"/>
                  <w14:checkedState w14:val="2612" w14:font="MS Gothic"/>
                  <w14:uncheckedState w14:val="2610" w14:font="MS Gothic"/>
                </w14:checkbox>
              </w:sdtPr>
              <w:sdtEndPr>
                <w:rPr>
                  <w:rStyle w:val="Style2"/>
                </w:rPr>
              </w:sdtEndPr>
              <w:sdtContent>
                <w:r w:rsidR="000C6BF6" w:rsidRPr="00107205">
                  <w:rPr>
                    <w:rStyle w:val="Style2"/>
                    <w:rFonts w:ascii="Segoe UI Symbol" w:eastAsia="MS Gothic" w:hAnsi="Segoe UI Symbol" w:cs="Segoe UI Symbol"/>
                    <w:sz w:val="24"/>
                  </w:rPr>
                  <w:t>☐</w:t>
                </w:r>
              </w:sdtContent>
            </w:sdt>
            <w:r w:rsidR="000C6BF6" w:rsidRPr="00107205">
              <w:t xml:space="preserve"> </w:t>
            </w:r>
            <w:r w:rsidR="000C6BF6" w:rsidRPr="00107205">
              <w:rPr>
                <w:rStyle w:val="Style2"/>
                <w:sz w:val="24"/>
              </w:rPr>
              <w:t>29</w:t>
            </w:r>
            <w:r w:rsidR="000C6BF6" w:rsidRPr="00107205">
              <w:t xml:space="preserve">.1.3 yra neįrodytas kaip didesnis  ar iš esmės nesiskiriantis, lyginant su įprasta klinikine praktika  </w:t>
            </w:r>
          </w:p>
          <w:p w14:paraId="4B4949F9" w14:textId="77777777" w:rsidR="000C6BF6" w:rsidRPr="00107205"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5A7A81A" w14:textId="77777777" w:rsidR="000C6BF6" w:rsidRPr="00107205"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78469864"/>
                <w15:color w:val="FFCC00"/>
                <w14:checkbox>
                  <w14:checked w14:val="0"/>
                  <w14:checkedState w14:val="2612" w14:font="MS Gothic"/>
                  <w14:uncheckedState w14:val="2610" w14:font="MS Gothic"/>
                </w14:checkbox>
              </w:sdtPr>
              <w:sdtEndPr>
                <w:rPr>
                  <w:rStyle w:val="Style2"/>
                </w:rPr>
              </w:sdtEndPr>
              <w:sdtContent>
                <w:r w:rsidR="000C6BF6" w:rsidRPr="00107205">
                  <w:rPr>
                    <w:rStyle w:val="Style2"/>
                    <w:rFonts w:ascii="Segoe UI Symbol" w:eastAsia="MS Gothic" w:hAnsi="Segoe UI Symbol" w:cs="Segoe UI Symbol"/>
                    <w:sz w:val="24"/>
                  </w:rPr>
                  <w:t>☐</w:t>
                </w:r>
              </w:sdtContent>
            </w:sdt>
            <w:r w:rsidR="000C6BF6" w:rsidRPr="00107205">
              <w:t xml:space="preserve"> </w:t>
            </w:r>
            <w:r w:rsidR="000C6BF6" w:rsidRPr="00107205">
              <w:rPr>
                <w:rStyle w:val="Style2"/>
                <w:sz w:val="24"/>
              </w:rPr>
              <w:t>29</w:t>
            </w:r>
            <w:r w:rsidR="000C6BF6" w:rsidRPr="00107205">
              <w:t>.1.4 yra mažesnis, lyginant su įprasta klinikine praktika</w:t>
            </w:r>
          </w:p>
          <w:p w14:paraId="1BE8D4B3" w14:textId="77777777" w:rsidR="000C6BF6" w:rsidRPr="00107205"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E34960B" w14:textId="77777777" w:rsidR="000C6BF6" w:rsidRPr="00107205"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327330579"/>
                <w15:color w:val="FFCC00"/>
                <w14:checkbox>
                  <w14:checked w14:val="0"/>
                  <w14:checkedState w14:val="2612" w14:font="MS Gothic"/>
                  <w14:uncheckedState w14:val="2610" w14:font="MS Gothic"/>
                </w14:checkbox>
              </w:sdtPr>
              <w:sdtEndPr>
                <w:rPr>
                  <w:rStyle w:val="Style2"/>
                </w:rPr>
              </w:sdtEndPr>
              <w:sdtContent>
                <w:r w:rsidR="000C6BF6" w:rsidRPr="00107205">
                  <w:rPr>
                    <w:rStyle w:val="Style2"/>
                    <w:rFonts w:ascii="Segoe UI Symbol" w:eastAsia="MS Gothic" w:hAnsi="Segoe UI Symbol" w:cs="Segoe UI Symbol"/>
                    <w:sz w:val="24"/>
                  </w:rPr>
                  <w:t>☐</w:t>
                </w:r>
              </w:sdtContent>
            </w:sdt>
            <w:r w:rsidR="000C6BF6" w:rsidRPr="00107205">
              <w:t xml:space="preserve">  </w:t>
            </w:r>
            <w:r w:rsidR="000C6BF6" w:rsidRPr="00107205">
              <w:rPr>
                <w:rStyle w:val="Style2"/>
                <w:sz w:val="24"/>
              </w:rPr>
              <w:t>29</w:t>
            </w:r>
            <w:r w:rsidR="000C6BF6" w:rsidRPr="00107205">
              <w:t>.1.5 pateikti duomenys apie palyginamąjį veiksmingumą yra netinkami vertinti</w:t>
            </w:r>
          </w:p>
          <w:p w14:paraId="526CF49E" w14:textId="77777777" w:rsidR="000C6BF6" w:rsidRPr="00107205"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C6BF6" w:rsidRPr="009300B3" w14:paraId="4254D7D7" w14:textId="77777777" w:rsidTr="00A454B0">
        <w:trPr>
          <w:trHeight w:val="510"/>
        </w:trPr>
        <w:tc>
          <w:tcPr>
            <w:tcW w:w="9634" w:type="dxa"/>
            <w:gridSpan w:val="2"/>
            <w:vAlign w:val="center"/>
          </w:tcPr>
          <w:p w14:paraId="19A3F759" w14:textId="77777777" w:rsidR="000C6BF6" w:rsidRPr="009300B3"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9300B3">
              <w:rPr>
                <w:rStyle w:val="Style2"/>
                <w:rFonts w:eastAsia="MS Gothic"/>
                <w:b/>
                <w:bCs/>
                <w:sz w:val="23"/>
                <w:szCs w:val="23"/>
              </w:rPr>
              <w:t>Kaštų naudingumas</w:t>
            </w:r>
          </w:p>
        </w:tc>
      </w:tr>
      <w:tr w:rsidR="000C6BF6" w:rsidRPr="009300B3" w14:paraId="4115B02B" w14:textId="77777777" w:rsidTr="00A454B0">
        <w:tc>
          <w:tcPr>
            <w:tcW w:w="4820" w:type="dxa"/>
          </w:tcPr>
          <w:p w14:paraId="4BE92A06" w14:textId="77777777" w:rsidR="000C6BF6" w:rsidRPr="009300B3"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688102447"/>
                <w15:color w:val="FFCC00"/>
                <w14:checkbox>
                  <w14:checked w14:val="0"/>
                  <w14:checkedState w14:val="2612" w14:font="MS Gothic"/>
                  <w14:uncheckedState w14:val="2610" w14:font="MS Gothic"/>
                </w14:checkbox>
              </w:sdtPr>
              <w:sdtEndPr>
                <w:rPr>
                  <w:rStyle w:val="Style2"/>
                </w:rPr>
              </w:sdtEndPr>
              <w:sdtContent>
                <w:r w:rsidR="000C6BF6" w:rsidRPr="009300B3">
                  <w:rPr>
                    <w:rStyle w:val="Style2"/>
                    <w:rFonts w:ascii="Segoe UI Symbol" w:eastAsia="MS Gothic" w:hAnsi="Segoe UI Symbol" w:cs="Segoe UI Symbol"/>
                    <w:sz w:val="23"/>
                    <w:szCs w:val="23"/>
                  </w:rPr>
                  <w:t>☐</w:t>
                </w:r>
              </w:sdtContent>
            </w:sdt>
            <w:r w:rsidR="000C6BF6" w:rsidRPr="009300B3">
              <w:rPr>
                <w:sz w:val="23"/>
                <w:szCs w:val="23"/>
              </w:rPr>
              <w:t xml:space="preserve"> 29.2.1 atitinka referencinę naudingumo vertę taikant arba netaikant</w:t>
            </w:r>
            <w:r w:rsidR="000C6BF6" w:rsidRPr="009300B3">
              <w:rPr>
                <w:b/>
                <w:bCs/>
                <w:sz w:val="23"/>
                <w:szCs w:val="23"/>
              </w:rPr>
              <w:t> </w:t>
            </w:r>
            <w:r w:rsidR="000C6BF6" w:rsidRPr="009300B3">
              <w:rPr>
                <w:sz w:val="23"/>
                <w:szCs w:val="23"/>
              </w:rPr>
              <w:t>PGS</w:t>
            </w:r>
          </w:p>
          <w:p w14:paraId="4AFDF6A1" w14:textId="77777777" w:rsidR="000C6BF6" w:rsidRPr="009300B3"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BEB5F26" w14:textId="77777777" w:rsidR="000C6BF6" w:rsidRPr="009300B3"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1801263980"/>
                <w15:color w:val="FFCC00"/>
                <w14:checkbox>
                  <w14:checked w14:val="1"/>
                  <w14:checkedState w14:val="2612" w14:font="MS Gothic"/>
                  <w14:uncheckedState w14:val="2610" w14:font="MS Gothic"/>
                </w14:checkbox>
              </w:sdtPr>
              <w:sdtEndPr>
                <w:rPr>
                  <w:rStyle w:val="Style2"/>
                </w:rPr>
              </w:sdtEndPr>
              <w:sdtContent>
                <w:r w:rsidR="000C6BF6">
                  <w:rPr>
                    <w:rStyle w:val="Style2"/>
                    <w:rFonts w:ascii="MS Gothic" w:eastAsia="MS Gothic" w:hAnsi="MS Gothic" w:hint="eastAsia"/>
                    <w:sz w:val="23"/>
                    <w:szCs w:val="23"/>
                  </w:rPr>
                  <w:t>☒</w:t>
                </w:r>
              </w:sdtContent>
            </w:sdt>
            <w:r w:rsidR="000C6BF6" w:rsidRPr="009300B3">
              <w:rPr>
                <w:sz w:val="23"/>
                <w:szCs w:val="23"/>
              </w:rPr>
              <w:t xml:space="preserve"> 29.2.2 gydymo juo kaštai yra mažesni ar tokie patys esant iš esmės nesiskiriančiam </w:t>
            </w:r>
            <w:r w:rsidR="000C6BF6" w:rsidRPr="009300B3">
              <w:rPr>
                <w:sz w:val="23"/>
                <w:szCs w:val="23"/>
              </w:rPr>
              <w:lastRenderedPageBreak/>
              <w:t>palyginamajam efektyvumui, taikant arba netaikant  PGS</w:t>
            </w:r>
          </w:p>
        </w:tc>
        <w:tc>
          <w:tcPr>
            <w:tcW w:w="4814" w:type="dxa"/>
          </w:tcPr>
          <w:p w14:paraId="5FADF46B" w14:textId="77777777" w:rsidR="000C6BF6" w:rsidRPr="009300B3"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15384537"/>
                <w15:color w:val="FFCC00"/>
                <w14:checkbox>
                  <w14:checked w14:val="0"/>
                  <w14:checkedState w14:val="2612" w14:font="MS Gothic"/>
                  <w14:uncheckedState w14:val="2610" w14:font="MS Gothic"/>
                </w14:checkbox>
              </w:sdtPr>
              <w:sdtEndPr>
                <w:rPr>
                  <w:rStyle w:val="Style2"/>
                </w:rPr>
              </w:sdtEndPr>
              <w:sdtContent>
                <w:r w:rsidR="000C6BF6" w:rsidRPr="009300B3">
                  <w:rPr>
                    <w:rStyle w:val="Style2"/>
                    <w:rFonts w:ascii="Segoe UI Symbol" w:eastAsia="MS Gothic" w:hAnsi="Segoe UI Symbol" w:cs="Segoe UI Symbol"/>
                    <w:sz w:val="23"/>
                    <w:szCs w:val="23"/>
                  </w:rPr>
                  <w:t>☐</w:t>
                </w:r>
              </w:sdtContent>
            </w:sdt>
            <w:r w:rsidR="000C6BF6" w:rsidRPr="009300B3">
              <w:rPr>
                <w:sz w:val="23"/>
                <w:szCs w:val="23"/>
              </w:rPr>
              <w:t xml:space="preserve"> 29.2.3 neatitinka referencinės naudingumo vertės taikant arba netaikant PGS</w:t>
            </w:r>
          </w:p>
          <w:p w14:paraId="2F868EE1" w14:textId="77777777" w:rsidR="000C6BF6" w:rsidRPr="009300B3"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82417B1" w14:textId="77777777" w:rsidR="000C6BF6" w:rsidRPr="009300B3"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03801127"/>
                <w15:color w:val="FFCC00"/>
                <w14:checkbox>
                  <w14:checked w14:val="0"/>
                  <w14:checkedState w14:val="2612" w14:font="MS Gothic"/>
                  <w14:uncheckedState w14:val="2610" w14:font="MS Gothic"/>
                </w14:checkbox>
              </w:sdtPr>
              <w:sdtEndPr>
                <w:rPr>
                  <w:rStyle w:val="Style2"/>
                </w:rPr>
              </w:sdtEndPr>
              <w:sdtContent>
                <w:r w:rsidR="000C6BF6" w:rsidRPr="009300B3">
                  <w:rPr>
                    <w:rStyle w:val="Style2"/>
                    <w:rFonts w:ascii="Segoe UI Symbol" w:eastAsia="MS Gothic" w:hAnsi="Segoe UI Symbol" w:cs="Segoe UI Symbol"/>
                    <w:sz w:val="23"/>
                    <w:szCs w:val="23"/>
                  </w:rPr>
                  <w:t>☐</w:t>
                </w:r>
              </w:sdtContent>
            </w:sdt>
            <w:r w:rsidR="000C6BF6" w:rsidRPr="009300B3">
              <w:rPr>
                <w:sz w:val="23"/>
                <w:szCs w:val="23"/>
              </w:rPr>
              <w:t xml:space="preserve"> 29.2.4 gydymo juo kaštai yra didesni esant iš esmės nesiskiriančiam palyginamajam veiksmingumui, taikant arba netaikant PGS</w:t>
            </w:r>
          </w:p>
          <w:p w14:paraId="7BADC5DA" w14:textId="77777777" w:rsidR="000C6BF6" w:rsidRPr="009300B3"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48C3341" w14:textId="77777777" w:rsidR="000C6BF6" w:rsidRPr="009300B3" w:rsidRDefault="00ED3CB9"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632213011"/>
                <w15:color w:val="FFCC00"/>
                <w14:checkbox>
                  <w14:checked w14:val="0"/>
                  <w14:checkedState w14:val="2612" w14:font="MS Gothic"/>
                  <w14:uncheckedState w14:val="2610" w14:font="MS Gothic"/>
                </w14:checkbox>
              </w:sdtPr>
              <w:sdtEndPr>
                <w:rPr>
                  <w:rStyle w:val="Style2"/>
                </w:rPr>
              </w:sdtEndPr>
              <w:sdtContent>
                <w:r w:rsidR="000C6BF6" w:rsidRPr="009300B3">
                  <w:rPr>
                    <w:rStyle w:val="Style2"/>
                    <w:rFonts w:ascii="Segoe UI Symbol" w:eastAsia="MS Gothic" w:hAnsi="Segoe UI Symbol" w:cs="Segoe UI Symbol"/>
                    <w:sz w:val="23"/>
                    <w:szCs w:val="23"/>
                  </w:rPr>
                  <w:t>☐</w:t>
                </w:r>
              </w:sdtContent>
            </w:sdt>
            <w:r w:rsidR="000C6BF6" w:rsidRPr="009300B3">
              <w:rPr>
                <w:sz w:val="23"/>
                <w:szCs w:val="23"/>
              </w:rPr>
              <w:t xml:space="preserve"> 29.2.5 pateikti duomenys apie kaštų naudingumą yra netinkami vertinti</w:t>
            </w:r>
          </w:p>
          <w:p w14:paraId="21973695" w14:textId="77777777" w:rsidR="000C6BF6" w:rsidRPr="009300B3" w:rsidRDefault="000C6BF6" w:rsidP="00A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78144ABE" w14:textId="77777777" w:rsidR="000C6BF6" w:rsidRPr="00E33EFF" w:rsidRDefault="000C6BF6" w:rsidP="000C6BF6"/>
    <w:p w14:paraId="3D845528" w14:textId="77777777" w:rsidR="000C6BF6" w:rsidRPr="00E33EFF" w:rsidRDefault="000C6BF6" w:rsidP="000C6BF6"/>
    <w:p w14:paraId="18C3BC5F" w14:textId="77777777" w:rsidR="000C6BF6" w:rsidRPr="00E33EFF" w:rsidRDefault="000C6BF6" w:rsidP="000C6BF6">
      <w:pPr>
        <w:pStyle w:val="Sraopastraipa"/>
        <w:numPr>
          <w:ilvl w:val="0"/>
          <w:numId w:val="12"/>
        </w:numPr>
        <w:ind w:left="567" w:hanging="567"/>
      </w:pPr>
      <w:r w:rsidRPr="00E33EFF">
        <w:rPr>
          <w:b/>
        </w:rPr>
        <w:t>REKOMENDACIJA</w:t>
      </w:r>
    </w:p>
    <w:p w14:paraId="281E3E03" w14:textId="77777777" w:rsidR="000C6BF6" w:rsidRPr="00E33EFF" w:rsidRDefault="000C6BF6" w:rsidP="000C6BF6">
      <w:pPr>
        <w:pStyle w:val="Sraopastraipa"/>
        <w:ind w:left="426"/>
      </w:pPr>
    </w:p>
    <w:p w14:paraId="2B3DC717" w14:textId="77777777" w:rsidR="000C6BF6" w:rsidRPr="009300B3" w:rsidRDefault="000C6BF6" w:rsidP="000C6BF6">
      <w:pPr>
        <w:jc w:val="both"/>
        <w:rPr>
          <w:i/>
          <w:color w:val="00B050"/>
        </w:rPr>
      </w:pPr>
      <w:r w:rsidRPr="009300B3">
        <w:t xml:space="preserve">Vadovaujantis Lietuvos Respublikos sveikatos apsaugos ministro įsakymu „Dėl vaistinių preparatų ir medicinos pagalbos priemonių įrašymo į kompensavimo sąrašus ir jų keitimo tvarkos aprašo patvirtinimo“ 2002 m. balandžio 5 d. įsakymo Nr. 159 </w:t>
      </w:r>
    </w:p>
    <w:p w14:paraId="7C0B9A90" w14:textId="77777777" w:rsidR="000C6BF6" w:rsidRPr="004C797D" w:rsidRDefault="000C6BF6" w:rsidP="000C6BF6">
      <w:pPr>
        <w:jc w:val="both"/>
        <w:rPr>
          <w:color w:val="000000"/>
          <w:lang w:eastAsia="lt-LT"/>
        </w:rPr>
      </w:pPr>
      <w:r w:rsidRPr="009300B3">
        <w:rPr>
          <w:color w:val="000000"/>
          <w:lang w:eastAsia="lt-LT"/>
        </w:rPr>
        <w:t>30</w:t>
      </w:r>
      <w:r w:rsidRPr="009300B3">
        <w:rPr>
          <w:color w:val="000000"/>
          <w:vertAlign w:val="superscript"/>
          <w:lang w:eastAsia="lt-LT"/>
        </w:rPr>
        <w:t>1</w:t>
      </w:r>
      <w:r w:rsidRPr="009300B3">
        <w:rPr>
          <w:color w:val="000000"/>
          <w:lang w:eastAsia="lt-LT"/>
        </w:rPr>
        <w:t xml:space="preserve">.1. papunkčiu rekomenduojama kompensuoti vaistinį preparatą pagal paraiškoje nurodytą indikaciją (arba jos dalį) su arba be skyrimo sąlygų, taikant ar netaikant PGS, </w:t>
      </w:r>
      <w:r>
        <w:rPr>
          <w:color w:val="000000"/>
          <w:lang w:eastAsia="lt-LT"/>
        </w:rPr>
        <w:t xml:space="preserve">kai vertinimo išvados atitinka </w:t>
      </w:r>
      <w:r w:rsidRPr="009300B3">
        <w:rPr>
          <w:color w:val="000000"/>
          <w:lang w:eastAsia="lt-LT"/>
        </w:rPr>
        <w:t>Aprašo 29.1.2 ir 29.2.2</w:t>
      </w:r>
      <w:r>
        <w:rPr>
          <w:color w:val="000000"/>
          <w:lang w:eastAsia="lt-LT"/>
        </w:rPr>
        <w:t xml:space="preserve"> papunkčiuose numatytas sąlygas</w:t>
      </w:r>
      <w:r w:rsidRPr="009300B3">
        <w:rPr>
          <w:color w:val="000000"/>
          <w:lang w:eastAsia="lt-LT"/>
        </w:rPr>
        <w:t>.</w:t>
      </w:r>
    </w:p>
    <w:p w14:paraId="64358504" w14:textId="77777777" w:rsidR="000C6BF6" w:rsidRPr="00E33EFF" w:rsidRDefault="000C6BF6" w:rsidP="000C6BF6"/>
    <w:p w14:paraId="743CCA49" w14:textId="77777777" w:rsidR="000C6BF6" w:rsidRPr="00E33EFF" w:rsidRDefault="000C6BF6" w:rsidP="000C6BF6">
      <w:pPr>
        <w:tabs>
          <w:tab w:val="left" w:pos="567"/>
        </w:tabs>
        <w:jc w:val="both"/>
        <w:rPr>
          <w:b/>
          <w:color w:val="000000"/>
          <w:lang w:eastAsia="lt-LT"/>
        </w:rPr>
      </w:pPr>
      <w:r>
        <w:rPr>
          <w:b/>
          <w:color w:val="000000"/>
          <w:lang w:eastAsia="lt-LT"/>
        </w:rPr>
        <w:t>8.</w:t>
      </w:r>
      <w:r>
        <w:rPr>
          <w:b/>
          <w:color w:val="000000"/>
          <w:lang w:eastAsia="lt-LT"/>
        </w:rPr>
        <w:tab/>
      </w:r>
      <w:r w:rsidRPr="00E33EFF">
        <w:rPr>
          <w:b/>
          <w:color w:val="000000"/>
          <w:lang w:eastAsia="lt-LT"/>
        </w:rPr>
        <w:t xml:space="preserve">SIŪLOMOS KOMPENSUOTI TERAPINĖS </w:t>
      </w:r>
      <w:r>
        <w:rPr>
          <w:b/>
          <w:color w:val="000000"/>
          <w:lang w:eastAsia="lt-LT"/>
        </w:rPr>
        <w:t>INDIKACIJOS IR SKYRIMO SĄLYGOS</w:t>
      </w:r>
    </w:p>
    <w:p w14:paraId="5B293892" w14:textId="77777777" w:rsidR="000C6BF6" w:rsidRPr="00E33EFF" w:rsidRDefault="000C6BF6" w:rsidP="000C6BF6">
      <w:pPr>
        <w:tabs>
          <w:tab w:val="left" w:pos="426"/>
        </w:tabs>
        <w:jc w:val="both"/>
        <w:rPr>
          <w:b/>
          <w:color w:val="000000"/>
          <w:lang w:eastAsia="lt-LT"/>
        </w:rPr>
      </w:pPr>
    </w:p>
    <w:p w14:paraId="576C222A" w14:textId="77777777" w:rsidR="000C6BF6" w:rsidRPr="00A55B0B" w:rsidRDefault="000C6BF6" w:rsidP="000C6BF6">
      <w:pPr>
        <w:pStyle w:val="Betarp"/>
        <w:spacing w:line="276" w:lineRule="auto"/>
        <w:rPr>
          <w:rFonts w:ascii="Times New Roman" w:hAnsi="Times New Roman"/>
          <w:b/>
          <w:sz w:val="24"/>
          <w:szCs w:val="24"/>
          <w:lang w:eastAsia="lt-LT"/>
        </w:rPr>
      </w:pPr>
      <w:r w:rsidRPr="00A55B0B">
        <w:rPr>
          <w:rFonts w:ascii="Times New Roman" w:hAnsi="Times New Roman"/>
          <w:b/>
          <w:sz w:val="24"/>
          <w:szCs w:val="24"/>
          <w:lang w:eastAsia="lt-LT"/>
        </w:rPr>
        <w:t>Terapinės indikacijos</w:t>
      </w:r>
    </w:p>
    <w:p w14:paraId="6A677906" w14:textId="31BF98AF" w:rsidR="000C6BF6" w:rsidRPr="00A55B0B" w:rsidRDefault="00ED3CB9" w:rsidP="000C6BF6">
      <w:pPr>
        <w:pStyle w:val="Betarp"/>
        <w:spacing w:line="276" w:lineRule="auto"/>
        <w:rPr>
          <w:rFonts w:ascii="Times New Roman" w:hAnsi="Times New Roman"/>
          <w:sz w:val="24"/>
          <w:szCs w:val="24"/>
        </w:rPr>
      </w:pPr>
      <w:sdt>
        <w:sdtPr>
          <w:rPr>
            <w:rStyle w:val="Style2"/>
            <w:rFonts w:ascii="Times New Roman" w:hAnsi="Times New Roman"/>
            <w:sz w:val="24"/>
            <w:szCs w:val="24"/>
          </w:rPr>
          <w:id w:val="1971858031"/>
          <w15:color w:val="FFCC00"/>
          <w14:checkbox>
            <w14:checked w14:val="1"/>
            <w14:checkedState w14:val="2612" w14:font="MS Gothic"/>
            <w14:uncheckedState w14:val="2610" w14:font="MS Gothic"/>
          </w14:checkbox>
        </w:sdtPr>
        <w:sdtEndPr>
          <w:rPr>
            <w:rStyle w:val="Style2"/>
          </w:rPr>
        </w:sdtEndPr>
        <w:sdtContent>
          <w:r w:rsidR="004E58BE">
            <w:rPr>
              <w:rStyle w:val="Style2"/>
              <w:rFonts w:ascii="MS Gothic" w:eastAsia="MS Gothic" w:hAnsi="MS Gothic" w:hint="eastAsia"/>
              <w:sz w:val="24"/>
              <w:szCs w:val="24"/>
            </w:rPr>
            <w:t>☒</w:t>
          </w:r>
        </w:sdtContent>
      </w:sdt>
      <w:r w:rsidR="000C6BF6" w:rsidRPr="00A55B0B">
        <w:rPr>
          <w:rFonts w:ascii="Times New Roman" w:hAnsi="Times New Roman"/>
          <w:sz w:val="24"/>
          <w:szCs w:val="24"/>
        </w:rPr>
        <w:t xml:space="preserve"> Siūloma kompensuoti Pareiškėjo teikiamą indikaciją be pakeitimų.</w:t>
      </w:r>
    </w:p>
    <w:p w14:paraId="1E9ADE3B" w14:textId="77777777" w:rsidR="000C6BF6" w:rsidRPr="005708A3" w:rsidRDefault="000C6BF6" w:rsidP="000C6BF6">
      <w:pPr>
        <w:pStyle w:val="Sraopastraipa"/>
        <w:spacing w:after="120" w:line="276" w:lineRule="auto"/>
        <w:ind w:left="0"/>
        <w:contextualSpacing w:val="0"/>
        <w:jc w:val="both"/>
        <w:rPr>
          <w:i/>
          <w:iCs/>
        </w:rPr>
      </w:pPr>
      <w:r w:rsidRPr="005708A3">
        <w:rPr>
          <w:i/>
          <w:iCs/>
        </w:rPr>
        <w:t>Skyrizi skirtas suaugusiems pacientams, sergantiems vidutinio sunkumo ir sunkiu aktyviu opiniu kolitu, gydyti, jeigu atsakas į gydymą standartiniais arba biologiniais vaistiniais preparatais buvo nepakankamas ar prarastas, arba kai pacientai šių vaistinių preparatų netoleravo.</w:t>
      </w:r>
    </w:p>
    <w:p w14:paraId="364C4B5C" w14:textId="77777777" w:rsidR="000C6BF6" w:rsidRPr="00A55B0B" w:rsidRDefault="00ED3CB9" w:rsidP="000C6BF6">
      <w:pPr>
        <w:pStyle w:val="Betarp"/>
        <w:spacing w:line="276" w:lineRule="auto"/>
        <w:rPr>
          <w:rFonts w:ascii="Times New Roman" w:hAnsi="Times New Roman"/>
          <w:sz w:val="24"/>
          <w:szCs w:val="24"/>
        </w:rPr>
      </w:pPr>
      <w:sdt>
        <w:sdtPr>
          <w:rPr>
            <w:rStyle w:val="Style2"/>
            <w:rFonts w:ascii="Times New Roman" w:hAnsi="Times New Roman"/>
            <w:sz w:val="24"/>
            <w:szCs w:val="24"/>
          </w:rPr>
          <w:id w:val="661582358"/>
          <w15:color w:val="FFCC00"/>
          <w14:checkbox>
            <w14:checked w14:val="0"/>
            <w14:checkedState w14:val="2612" w14:font="MS Gothic"/>
            <w14:uncheckedState w14:val="2610" w14:font="MS Gothic"/>
          </w14:checkbox>
        </w:sdtPr>
        <w:sdtEndPr>
          <w:rPr>
            <w:rStyle w:val="Style2"/>
          </w:rPr>
        </w:sdtEndPr>
        <w:sdtContent>
          <w:r w:rsidR="000C6BF6" w:rsidRPr="00A55B0B">
            <w:rPr>
              <w:rStyle w:val="Style2"/>
              <w:rFonts w:ascii="Segoe UI Symbol" w:eastAsia="MS Gothic" w:hAnsi="Segoe UI Symbol" w:cs="Segoe UI Symbol"/>
              <w:sz w:val="24"/>
              <w:szCs w:val="24"/>
            </w:rPr>
            <w:t>☐</w:t>
          </w:r>
        </w:sdtContent>
      </w:sdt>
      <w:r w:rsidR="000C6BF6" w:rsidRPr="00A55B0B">
        <w:rPr>
          <w:rFonts w:ascii="Times New Roman" w:hAnsi="Times New Roman"/>
          <w:sz w:val="24"/>
          <w:szCs w:val="24"/>
        </w:rPr>
        <w:t xml:space="preserve"> Siūloma kompensuoti Pareiškėjo teikiamą indikaciją su pakeitimais.</w:t>
      </w:r>
    </w:p>
    <w:p w14:paraId="27F3DEAB" w14:textId="77777777" w:rsidR="000C6BF6" w:rsidRPr="00A55B0B" w:rsidRDefault="000C6BF6" w:rsidP="000C6BF6">
      <w:pPr>
        <w:pStyle w:val="Betarp"/>
        <w:spacing w:line="276" w:lineRule="auto"/>
        <w:rPr>
          <w:rFonts w:ascii="Times New Roman" w:hAnsi="Times New Roman"/>
          <w:sz w:val="24"/>
          <w:szCs w:val="24"/>
        </w:rPr>
      </w:pPr>
    </w:p>
    <w:p w14:paraId="51B1FC38" w14:textId="77777777" w:rsidR="000C6BF6" w:rsidRPr="00A55B0B" w:rsidRDefault="000C6BF6" w:rsidP="000C6BF6">
      <w:pPr>
        <w:pStyle w:val="Betarp"/>
        <w:spacing w:line="276" w:lineRule="auto"/>
        <w:rPr>
          <w:rFonts w:ascii="Times New Roman" w:hAnsi="Times New Roman"/>
          <w:b/>
          <w:sz w:val="24"/>
          <w:szCs w:val="24"/>
        </w:rPr>
      </w:pPr>
      <w:r w:rsidRPr="00A55B0B">
        <w:rPr>
          <w:rFonts w:ascii="Times New Roman" w:hAnsi="Times New Roman"/>
          <w:b/>
          <w:sz w:val="24"/>
          <w:szCs w:val="24"/>
        </w:rPr>
        <w:t>Skyrimo sąlygos</w:t>
      </w:r>
    </w:p>
    <w:p w14:paraId="3425CFBA" w14:textId="77777777" w:rsidR="000C6BF6" w:rsidRPr="00A55B0B" w:rsidRDefault="00ED3CB9" w:rsidP="000C6BF6">
      <w:pPr>
        <w:pStyle w:val="Betarp"/>
        <w:spacing w:line="276" w:lineRule="auto"/>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EndPr>
          <w:rPr>
            <w:rStyle w:val="Style2"/>
          </w:rPr>
        </w:sdtEndPr>
        <w:sdtContent>
          <w:r w:rsidR="000C6BF6" w:rsidRPr="00A55B0B">
            <w:rPr>
              <w:rStyle w:val="Style2"/>
              <w:rFonts w:ascii="Segoe UI Symbol" w:eastAsia="MS Gothic" w:hAnsi="Segoe UI Symbol" w:cs="Segoe UI Symbol"/>
              <w:sz w:val="24"/>
              <w:szCs w:val="24"/>
            </w:rPr>
            <w:t>☐</w:t>
          </w:r>
        </w:sdtContent>
      </w:sdt>
      <w:r w:rsidR="000C6BF6" w:rsidRPr="00A55B0B">
        <w:rPr>
          <w:rFonts w:ascii="Times New Roman" w:hAnsi="Times New Roman"/>
          <w:sz w:val="24"/>
          <w:szCs w:val="24"/>
        </w:rPr>
        <w:t xml:space="preserve"> Pareiškėjo siūlomos skyrimo sąlygos priimtinos. </w:t>
      </w:r>
    </w:p>
    <w:p w14:paraId="299EF52D" w14:textId="77777777" w:rsidR="000C6BF6" w:rsidRPr="00A55B0B" w:rsidRDefault="000C6BF6" w:rsidP="000C6BF6">
      <w:pPr>
        <w:pStyle w:val="Betarp"/>
        <w:spacing w:line="276" w:lineRule="auto"/>
        <w:rPr>
          <w:rFonts w:ascii="Times New Roman" w:hAnsi="Times New Roman"/>
          <w:sz w:val="24"/>
          <w:szCs w:val="24"/>
        </w:rPr>
      </w:pPr>
      <w:r w:rsidRPr="00A55B0B">
        <w:rPr>
          <w:rFonts w:ascii="Times New Roman" w:hAnsi="Times New Roman"/>
          <w:sz w:val="24"/>
          <w:szCs w:val="24"/>
        </w:rPr>
        <w:t xml:space="preserve"> &lt;Skyrimo sąlygų formuluotė&gt;</w:t>
      </w:r>
    </w:p>
    <w:p w14:paraId="52309AAF" w14:textId="77777777" w:rsidR="000C6BF6" w:rsidRPr="00A55B0B" w:rsidRDefault="00ED3CB9" w:rsidP="000C6BF6">
      <w:pPr>
        <w:pStyle w:val="Betarp"/>
        <w:spacing w:line="276" w:lineRule="auto"/>
        <w:rPr>
          <w:rFonts w:ascii="Times New Roman" w:hAnsi="Times New Roman"/>
          <w:sz w:val="24"/>
          <w:szCs w:val="24"/>
        </w:rPr>
      </w:pPr>
      <w:sdt>
        <w:sdtPr>
          <w:rPr>
            <w:rStyle w:val="Style2"/>
            <w:rFonts w:ascii="Times New Roman" w:hAnsi="Times New Roman"/>
            <w:sz w:val="24"/>
            <w:szCs w:val="24"/>
          </w:rPr>
          <w:id w:val="-1714726926"/>
          <w15:color w:val="FFCC00"/>
          <w14:checkbox>
            <w14:checked w14:val="1"/>
            <w14:checkedState w14:val="2612" w14:font="MS Gothic"/>
            <w14:uncheckedState w14:val="2610" w14:font="MS Gothic"/>
          </w14:checkbox>
        </w:sdtPr>
        <w:sdtEndPr>
          <w:rPr>
            <w:rStyle w:val="Style2"/>
          </w:rPr>
        </w:sdtEndPr>
        <w:sdtContent>
          <w:r w:rsidR="000C6BF6">
            <w:rPr>
              <w:rStyle w:val="Style2"/>
              <w:rFonts w:ascii="MS Gothic" w:eastAsia="MS Gothic" w:hAnsi="MS Gothic" w:hint="eastAsia"/>
              <w:sz w:val="24"/>
              <w:szCs w:val="24"/>
            </w:rPr>
            <w:t>☒</w:t>
          </w:r>
        </w:sdtContent>
      </w:sdt>
      <w:r w:rsidR="000C6BF6" w:rsidRPr="00A55B0B">
        <w:rPr>
          <w:rFonts w:ascii="Times New Roman" w:hAnsi="Times New Roman"/>
          <w:sz w:val="24"/>
          <w:szCs w:val="24"/>
        </w:rPr>
        <w:t xml:space="preserve"> Pareiškėjo siūlomos skyrimo sąlygos nepriimtinos. </w:t>
      </w:r>
    </w:p>
    <w:p w14:paraId="2DAB1586" w14:textId="77777777" w:rsidR="000C6BF6" w:rsidRDefault="000C6BF6" w:rsidP="000C6BF6">
      <w:pPr>
        <w:pStyle w:val="Betarp"/>
        <w:spacing w:line="276" w:lineRule="auto"/>
        <w:rPr>
          <w:rFonts w:ascii="Times New Roman" w:hAnsi="Times New Roman"/>
          <w:sz w:val="24"/>
          <w:szCs w:val="24"/>
        </w:rPr>
      </w:pPr>
      <w:r w:rsidRPr="00A55B0B">
        <w:rPr>
          <w:rFonts w:ascii="Times New Roman" w:hAnsi="Times New Roman"/>
          <w:sz w:val="24"/>
          <w:szCs w:val="24"/>
        </w:rPr>
        <w:t>Siūloma skyrimo sąlygų formuluotė</w:t>
      </w:r>
      <w:r>
        <w:rPr>
          <w:rFonts w:ascii="Times New Roman" w:hAnsi="Times New Roman"/>
          <w:sz w:val="24"/>
          <w:szCs w:val="24"/>
        </w:rPr>
        <w:t>:</w:t>
      </w:r>
    </w:p>
    <w:p w14:paraId="17658961" w14:textId="77777777" w:rsidR="000C6BF6" w:rsidRPr="005D7B1A" w:rsidRDefault="000C6BF6" w:rsidP="000C6BF6">
      <w:pPr>
        <w:pStyle w:val="Betarp"/>
        <w:spacing w:line="276" w:lineRule="auto"/>
        <w:jc w:val="both"/>
        <w:rPr>
          <w:rFonts w:ascii="Times New Roman" w:hAnsi="Times New Roman"/>
          <w:i/>
          <w:iCs/>
          <w:sz w:val="24"/>
          <w:szCs w:val="24"/>
        </w:rPr>
      </w:pPr>
      <w:r w:rsidRPr="005D7B1A">
        <w:rPr>
          <w:rFonts w:ascii="Times New Roman" w:hAnsi="Times New Roman"/>
          <w:i/>
          <w:iCs/>
          <w:sz w:val="24"/>
          <w:szCs w:val="24"/>
        </w:rPr>
        <w:t>Skiriamas sveikatos apsaugos ministro nustatyta tvarka suaugusiems pacientams, sergantiems vidutinio sunkumo ir sunkiu aktyviu opiniu kolitu, kuriems buvo nepakankamas atsakas į įprastą gydymą̨ arba gydymą biologiniais vaistais, dingęs atsakas ar jie tokio gydymo netoleravo, arba jiems yra medicininių kontraindikacijų tokiam gydymui.</w:t>
      </w:r>
    </w:p>
    <w:p w14:paraId="2D53FD98" w14:textId="77777777" w:rsidR="000C6BF6" w:rsidRPr="000723FF" w:rsidRDefault="000C6BF6" w:rsidP="000C6BF6">
      <w:pPr>
        <w:rPr>
          <w:b/>
        </w:rPr>
      </w:pPr>
    </w:p>
    <w:p w14:paraId="7CDFF220" w14:textId="58191D98" w:rsidR="000723FF" w:rsidRPr="00AF1A96" w:rsidRDefault="000723FF" w:rsidP="00824B92">
      <w:pPr>
        <w:rPr>
          <w:b/>
        </w:rPr>
      </w:pPr>
    </w:p>
    <w:sectPr w:rsidR="000723FF" w:rsidRPr="00AF1A96"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6E47" w14:textId="77777777" w:rsidR="00E10165" w:rsidRDefault="00E10165">
      <w:r>
        <w:separator/>
      </w:r>
    </w:p>
  </w:endnote>
  <w:endnote w:type="continuationSeparator" w:id="0">
    <w:p w14:paraId="4A94F10E" w14:textId="77777777" w:rsidR="00E10165" w:rsidRDefault="00E1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65E" w14:textId="77777777" w:rsidR="00E10165" w:rsidRDefault="00E10165">
      <w:r>
        <w:separator/>
      </w:r>
    </w:p>
  </w:footnote>
  <w:footnote w:type="continuationSeparator" w:id="0">
    <w:p w14:paraId="1A4E8062" w14:textId="77777777" w:rsidR="00E10165" w:rsidRDefault="00E1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369E1D4A"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6869">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5028988">
    <w:abstractNumId w:val="6"/>
  </w:num>
  <w:num w:numId="2" w16cid:durableId="2034258501">
    <w:abstractNumId w:val="1"/>
  </w:num>
  <w:num w:numId="3" w16cid:durableId="464936405">
    <w:abstractNumId w:val="8"/>
  </w:num>
  <w:num w:numId="4" w16cid:durableId="1442068854">
    <w:abstractNumId w:val="7"/>
  </w:num>
  <w:num w:numId="5" w16cid:durableId="1097796779">
    <w:abstractNumId w:val="5"/>
  </w:num>
  <w:num w:numId="6" w16cid:durableId="2022125784">
    <w:abstractNumId w:val="4"/>
  </w:num>
  <w:num w:numId="7" w16cid:durableId="1453742148">
    <w:abstractNumId w:val="3"/>
  </w:num>
  <w:num w:numId="8" w16cid:durableId="35275789">
    <w:abstractNumId w:val="11"/>
  </w:num>
  <w:num w:numId="9" w16cid:durableId="1678802592">
    <w:abstractNumId w:val="0"/>
  </w:num>
  <w:num w:numId="10" w16cid:durableId="938952694">
    <w:abstractNumId w:val="9"/>
  </w:num>
  <w:num w:numId="11" w16cid:durableId="569003215">
    <w:abstractNumId w:val="10"/>
  </w:num>
  <w:num w:numId="12" w16cid:durableId="33457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0A"/>
    <w:rsid w:val="000001B0"/>
    <w:rsid w:val="00003F5B"/>
    <w:rsid w:val="000114DD"/>
    <w:rsid w:val="000136F7"/>
    <w:rsid w:val="00016DE1"/>
    <w:rsid w:val="0002686C"/>
    <w:rsid w:val="00031D0E"/>
    <w:rsid w:val="000337E6"/>
    <w:rsid w:val="0003402E"/>
    <w:rsid w:val="00034087"/>
    <w:rsid w:val="00034EAE"/>
    <w:rsid w:val="00042924"/>
    <w:rsid w:val="00047C35"/>
    <w:rsid w:val="00053975"/>
    <w:rsid w:val="00057A2B"/>
    <w:rsid w:val="000606BE"/>
    <w:rsid w:val="000723FF"/>
    <w:rsid w:val="000736B8"/>
    <w:rsid w:val="0008190F"/>
    <w:rsid w:val="00081D9C"/>
    <w:rsid w:val="00082907"/>
    <w:rsid w:val="0008378D"/>
    <w:rsid w:val="000908A5"/>
    <w:rsid w:val="00092805"/>
    <w:rsid w:val="000A52E5"/>
    <w:rsid w:val="000C454C"/>
    <w:rsid w:val="000C6BF6"/>
    <w:rsid w:val="000D13A2"/>
    <w:rsid w:val="000D5038"/>
    <w:rsid w:val="000E29D4"/>
    <w:rsid w:val="000F3540"/>
    <w:rsid w:val="000F4CFD"/>
    <w:rsid w:val="00100491"/>
    <w:rsid w:val="00104E2E"/>
    <w:rsid w:val="00107205"/>
    <w:rsid w:val="00107287"/>
    <w:rsid w:val="00117406"/>
    <w:rsid w:val="00120440"/>
    <w:rsid w:val="00121EF0"/>
    <w:rsid w:val="00124A9E"/>
    <w:rsid w:val="00130703"/>
    <w:rsid w:val="00131315"/>
    <w:rsid w:val="0013153F"/>
    <w:rsid w:val="001408B8"/>
    <w:rsid w:val="001517E2"/>
    <w:rsid w:val="001521D9"/>
    <w:rsid w:val="001554E2"/>
    <w:rsid w:val="00161C9D"/>
    <w:rsid w:val="00164146"/>
    <w:rsid w:val="0017369C"/>
    <w:rsid w:val="00175D57"/>
    <w:rsid w:val="00180C39"/>
    <w:rsid w:val="00180D96"/>
    <w:rsid w:val="00184BD3"/>
    <w:rsid w:val="001921F3"/>
    <w:rsid w:val="001952B3"/>
    <w:rsid w:val="001B0F4F"/>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73A1E"/>
    <w:rsid w:val="00292392"/>
    <w:rsid w:val="002946C7"/>
    <w:rsid w:val="002B3CC1"/>
    <w:rsid w:val="002C09E0"/>
    <w:rsid w:val="002C1BB1"/>
    <w:rsid w:val="002C2786"/>
    <w:rsid w:val="002C3A10"/>
    <w:rsid w:val="002C4A90"/>
    <w:rsid w:val="002C4ED5"/>
    <w:rsid w:val="002C6D76"/>
    <w:rsid w:val="002D02EF"/>
    <w:rsid w:val="002E027D"/>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3D735C"/>
    <w:rsid w:val="003E0139"/>
    <w:rsid w:val="00404E8A"/>
    <w:rsid w:val="0040622F"/>
    <w:rsid w:val="00413F24"/>
    <w:rsid w:val="004162B5"/>
    <w:rsid w:val="00422853"/>
    <w:rsid w:val="00423160"/>
    <w:rsid w:val="00424422"/>
    <w:rsid w:val="00432168"/>
    <w:rsid w:val="00453862"/>
    <w:rsid w:val="0045469B"/>
    <w:rsid w:val="00461338"/>
    <w:rsid w:val="004645FF"/>
    <w:rsid w:val="004677DB"/>
    <w:rsid w:val="004711F6"/>
    <w:rsid w:val="00476256"/>
    <w:rsid w:val="0048630F"/>
    <w:rsid w:val="004947A1"/>
    <w:rsid w:val="0049482A"/>
    <w:rsid w:val="004979D3"/>
    <w:rsid w:val="004A00E7"/>
    <w:rsid w:val="004A3A61"/>
    <w:rsid w:val="004A756D"/>
    <w:rsid w:val="004B59BA"/>
    <w:rsid w:val="004B5A03"/>
    <w:rsid w:val="004C263A"/>
    <w:rsid w:val="004D48A6"/>
    <w:rsid w:val="004D7B8F"/>
    <w:rsid w:val="004E2D4C"/>
    <w:rsid w:val="004E3787"/>
    <w:rsid w:val="004E58BE"/>
    <w:rsid w:val="004E6458"/>
    <w:rsid w:val="004E6E7D"/>
    <w:rsid w:val="004F1AAC"/>
    <w:rsid w:val="004F1AE2"/>
    <w:rsid w:val="004F34F0"/>
    <w:rsid w:val="004F3B2B"/>
    <w:rsid w:val="004F6050"/>
    <w:rsid w:val="005005EF"/>
    <w:rsid w:val="005123C2"/>
    <w:rsid w:val="0052144B"/>
    <w:rsid w:val="00524066"/>
    <w:rsid w:val="00534E11"/>
    <w:rsid w:val="0053561E"/>
    <w:rsid w:val="005378D8"/>
    <w:rsid w:val="005400D9"/>
    <w:rsid w:val="005475ED"/>
    <w:rsid w:val="005476A4"/>
    <w:rsid w:val="0055019B"/>
    <w:rsid w:val="00556E63"/>
    <w:rsid w:val="005601A4"/>
    <w:rsid w:val="00566DBB"/>
    <w:rsid w:val="00567FFE"/>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0630"/>
    <w:rsid w:val="006062BE"/>
    <w:rsid w:val="00613143"/>
    <w:rsid w:val="00613501"/>
    <w:rsid w:val="0061611B"/>
    <w:rsid w:val="006166A8"/>
    <w:rsid w:val="006174A1"/>
    <w:rsid w:val="0061778F"/>
    <w:rsid w:val="00621D6C"/>
    <w:rsid w:val="006230E7"/>
    <w:rsid w:val="00633B49"/>
    <w:rsid w:val="0064297F"/>
    <w:rsid w:val="00645102"/>
    <w:rsid w:val="00646CF3"/>
    <w:rsid w:val="00647F53"/>
    <w:rsid w:val="00653D11"/>
    <w:rsid w:val="00662983"/>
    <w:rsid w:val="006834D3"/>
    <w:rsid w:val="00692625"/>
    <w:rsid w:val="00695CD3"/>
    <w:rsid w:val="006A38B6"/>
    <w:rsid w:val="006B1987"/>
    <w:rsid w:val="006B5B71"/>
    <w:rsid w:val="006B6CB0"/>
    <w:rsid w:val="006C0296"/>
    <w:rsid w:val="006C0417"/>
    <w:rsid w:val="006C0B2D"/>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47B6E"/>
    <w:rsid w:val="00750A88"/>
    <w:rsid w:val="007523DD"/>
    <w:rsid w:val="00757B7E"/>
    <w:rsid w:val="00761BBF"/>
    <w:rsid w:val="007656B2"/>
    <w:rsid w:val="0077016F"/>
    <w:rsid w:val="007713AD"/>
    <w:rsid w:val="00795DC5"/>
    <w:rsid w:val="00797153"/>
    <w:rsid w:val="007A21F7"/>
    <w:rsid w:val="007A2B68"/>
    <w:rsid w:val="007B0DDA"/>
    <w:rsid w:val="007B7319"/>
    <w:rsid w:val="007D3347"/>
    <w:rsid w:val="007E1515"/>
    <w:rsid w:val="007E5466"/>
    <w:rsid w:val="007F1949"/>
    <w:rsid w:val="007F2592"/>
    <w:rsid w:val="00800A08"/>
    <w:rsid w:val="00807DF8"/>
    <w:rsid w:val="00817A84"/>
    <w:rsid w:val="0082035C"/>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1B30"/>
    <w:rsid w:val="008A5FDD"/>
    <w:rsid w:val="008A677B"/>
    <w:rsid w:val="008C2715"/>
    <w:rsid w:val="008C3947"/>
    <w:rsid w:val="008E473B"/>
    <w:rsid w:val="008E51A6"/>
    <w:rsid w:val="008E7329"/>
    <w:rsid w:val="008F2ED5"/>
    <w:rsid w:val="008F3081"/>
    <w:rsid w:val="0092297E"/>
    <w:rsid w:val="00923651"/>
    <w:rsid w:val="00927B56"/>
    <w:rsid w:val="009341BF"/>
    <w:rsid w:val="00937907"/>
    <w:rsid w:val="00941739"/>
    <w:rsid w:val="0094375A"/>
    <w:rsid w:val="00951573"/>
    <w:rsid w:val="00963003"/>
    <w:rsid w:val="00966EEF"/>
    <w:rsid w:val="00971B28"/>
    <w:rsid w:val="00983471"/>
    <w:rsid w:val="009909AB"/>
    <w:rsid w:val="009B1CF8"/>
    <w:rsid w:val="009B37DB"/>
    <w:rsid w:val="009C7A8C"/>
    <w:rsid w:val="009D23F9"/>
    <w:rsid w:val="009D4FA8"/>
    <w:rsid w:val="009E44AE"/>
    <w:rsid w:val="009E6CD6"/>
    <w:rsid w:val="009F4D66"/>
    <w:rsid w:val="009F5849"/>
    <w:rsid w:val="00A00C3C"/>
    <w:rsid w:val="00A01091"/>
    <w:rsid w:val="00A042B9"/>
    <w:rsid w:val="00A06DBB"/>
    <w:rsid w:val="00A22ADF"/>
    <w:rsid w:val="00A2765A"/>
    <w:rsid w:val="00A31E86"/>
    <w:rsid w:val="00A54D87"/>
    <w:rsid w:val="00A5553C"/>
    <w:rsid w:val="00A66C87"/>
    <w:rsid w:val="00A701C9"/>
    <w:rsid w:val="00A764F6"/>
    <w:rsid w:val="00A81785"/>
    <w:rsid w:val="00A84803"/>
    <w:rsid w:val="00A84C51"/>
    <w:rsid w:val="00A86F2B"/>
    <w:rsid w:val="00A91366"/>
    <w:rsid w:val="00A92B78"/>
    <w:rsid w:val="00A93AA6"/>
    <w:rsid w:val="00AA4E48"/>
    <w:rsid w:val="00AA6202"/>
    <w:rsid w:val="00AA7B57"/>
    <w:rsid w:val="00AC26FC"/>
    <w:rsid w:val="00AC4A99"/>
    <w:rsid w:val="00AC64D2"/>
    <w:rsid w:val="00AD02E7"/>
    <w:rsid w:val="00AD68B3"/>
    <w:rsid w:val="00AE0FE8"/>
    <w:rsid w:val="00AE1322"/>
    <w:rsid w:val="00AE2646"/>
    <w:rsid w:val="00AF1A96"/>
    <w:rsid w:val="00AF60D5"/>
    <w:rsid w:val="00B00959"/>
    <w:rsid w:val="00B04415"/>
    <w:rsid w:val="00B06509"/>
    <w:rsid w:val="00B07114"/>
    <w:rsid w:val="00B11D60"/>
    <w:rsid w:val="00B13D65"/>
    <w:rsid w:val="00B21805"/>
    <w:rsid w:val="00B3072E"/>
    <w:rsid w:val="00B32001"/>
    <w:rsid w:val="00B36E15"/>
    <w:rsid w:val="00B37245"/>
    <w:rsid w:val="00B4017A"/>
    <w:rsid w:val="00B4468D"/>
    <w:rsid w:val="00B71C72"/>
    <w:rsid w:val="00B81E92"/>
    <w:rsid w:val="00B908D7"/>
    <w:rsid w:val="00B915AB"/>
    <w:rsid w:val="00B935E8"/>
    <w:rsid w:val="00B93B30"/>
    <w:rsid w:val="00B94CB5"/>
    <w:rsid w:val="00BA0DD9"/>
    <w:rsid w:val="00BA328F"/>
    <w:rsid w:val="00BA5DBC"/>
    <w:rsid w:val="00BB3EC4"/>
    <w:rsid w:val="00BB6312"/>
    <w:rsid w:val="00BC4D06"/>
    <w:rsid w:val="00BC7D21"/>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840C6"/>
    <w:rsid w:val="00CA217D"/>
    <w:rsid w:val="00CC09D4"/>
    <w:rsid w:val="00CC668D"/>
    <w:rsid w:val="00CC7832"/>
    <w:rsid w:val="00CF0C1C"/>
    <w:rsid w:val="00CF27FD"/>
    <w:rsid w:val="00CF5F12"/>
    <w:rsid w:val="00D00D8F"/>
    <w:rsid w:val="00D018B7"/>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687"/>
    <w:rsid w:val="00DB1F64"/>
    <w:rsid w:val="00DB2765"/>
    <w:rsid w:val="00DC2F53"/>
    <w:rsid w:val="00DC5BAC"/>
    <w:rsid w:val="00DC6816"/>
    <w:rsid w:val="00DC76C2"/>
    <w:rsid w:val="00DD1CF2"/>
    <w:rsid w:val="00DE4484"/>
    <w:rsid w:val="00DF41B7"/>
    <w:rsid w:val="00DF4A4A"/>
    <w:rsid w:val="00DF583C"/>
    <w:rsid w:val="00E03C3F"/>
    <w:rsid w:val="00E06FD7"/>
    <w:rsid w:val="00E07417"/>
    <w:rsid w:val="00E10165"/>
    <w:rsid w:val="00E24D45"/>
    <w:rsid w:val="00E33DB8"/>
    <w:rsid w:val="00E33EFF"/>
    <w:rsid w:val="00E34387"/>
    <w:rsid w:val="00E348BA"/>
    <w:rsid w:val="00E369FE"/>
    <w:rsid w:val="00E37C6F"/>
    <w:rsid w:val="00E4625E"/>
    <w:rsid w:val="00E475F8"/>
    <w:rsid w:val="00E5102E"/>
    <w:rsid w:val="00E521D3"/>
    <w:rsid w:val="00E5721C"/>
    <w:rsid w:val="00E619C6"/>
    <w:rsid w:val="00E745A1"/>
    <w:rsid w:val="00E76869"/>
    <w:rsid w:val="00E81529"/>
    <w:rsid w:val="00E83A13"/>
    <w:rsid w:val="00EB6FC5"/>
    <w:rsid w:val="00EC2356"/>
    <w:rsid w:val="00EC2582"/>
    <w:rsid w:val="00EC3126"/>
    <w:rsid w:val="00EC337C"/>
    <w:rsid w:val="00ED0CFF"/>
    <w:rsid w:val="00ED31D2"/>
    <w:rsid w:val="00ED3CB9"/>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11B9"/>
    <w:rsid w:val="00FA4169"/>
    <w:rsid w:val="00FA5765"/>
    <w:rsid w:val="00FB0D41"/>
    <w:rsid w:val="00FB2030"/>
    <w:rsid w:val="00FC1A63"/>
    <w:rsid w:val="00FC4D7A"/>
    <w:rsid w:val="00FD0E46"/>
    <w:rsid w:val="00FD1CF2"/>
    <w:rsid w:val="00FD3EDF"/>
    <w:rsid w:val="00FD7872"/>
    <w:rsid w:val="00FD793C"/>
    <w:rsid w:val="00FE0FD5"/>
    <w:rsid w:val="00FE20E6"/>
    <w:rsid w:val="00FE3E3B"/>
    <w:rsid w:val="00FF2E79"/>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1072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FFA312B2D0AF4752831EE242D910D206"/>
        <w:category>
          <w:name w:val="General"/>
          <w:gallery w:val="placeholder"/>
        </w:category>
        <w:types>
          <w:type w:val="bbPlcHdr"/>
        </w:types>
        <w:behaviors>
          <w:behavior w:val="content"/>
        </w:behaviors>
        <w:guid w:val="{093B0D3E-23E2-4B06-8999-32C388AC99F4}"/>
      </w:docPartPr>
      <w:docPartBody>
        <w:p w:rsidR="00B53581" w:rsidRDefault="00D8186B" w:rsidP="00D8186B">
          <w:pPr>
            <w:pStyle w:val="FFA312B2D0AF4752831EE242D910D206"/>
          </w:pPr>
          <w:r>
            <w:rPr>
              <w:rStyle w:val="Vietosrezervavimoenklotekstas"/>
            </w:rPr>
            <w:t>Click here to enter a date.</w:t>
          </w:r>
        </w:p>
      </w:docPartBody>
    </w:docPart>
    <w:docPart>
      <w:docPartPr>
        <w:name w:val="03F90F40AA1546D2928E74AB1FC368FA"/>
        <w:category>
          <w:name w:val="General"/>
          <w:gallery w:val="placeholder"/>
        </w:category>
        <w:types>
          <w:type w:val="bbPlcHdr"/>
        </w:types>
        <w:behaviors>
          <w:behavior w:val="content"/>
        </w:behaviors>
        <w:guid w:val="{9877CDB4-64B2-494A-B0C8-DBE0E28916EB}"/>
      </w:docPartPr>
      <w:docPartBody>
        <w:p w:rsidR="00B53581" w:rsidRDefault="00D8186B" w:rsidP="00D8186B">
          <w:pPr>
            <w:pStyle w:val="03F90F40AA1546D2928E74AB1FC368F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4087"/>
    <w:rsid w:val="00061157"/>
    <w:rsid w:val="000937FE"/>
    <w:rsid w:val="000A559A"/>
    <w:rsid w:val="000D24D4"/>
    <w:rsid w:val="00120440"/>
    <w:rsid w:val="001952B3"/>
    <w:rsid w:val="001C35A9"/>
    <w:rsid w:val="00237556"/>
    <w:rsid w:val="00284E5B"/>
    <w:rsid w:val="0039303B"/>
    <w:rsid w:val="004144A3"/>
    <w:rsid w:val="004160E7"/>
    <w:rsid w:val="004416C6"/>
    <w:rsid w:val="00463957"/>
    <w:rsid w:val="004F5AB2"/>
    <w:rsid w:val="005074B9"/>
    <w:rsid w:val="005475ED"/>
    <w:rsid w:val="00584CA5"/>
    <w:rsid w:val="005E40DD"/>
    <w:rsid w:val="005F5EC5"/>
    <w:rsid w:val="00600630"/>
    <w:rsid w:val="006C0B2D"/>
    <w:rsid w:val="00707E46"/>
    <w:rsid w:val="007219C1"/>
    <w:rsid w:val="00753462"/>
    <w:rsid w:val="00761BBF"/>
    <w:rsid w:val="00772325"/>
    <w:rsid w:val="007A2FE0"/>
    <w:rsid w:val="007B7319"/>
    <w:rsid w:val="007C6D1D"/>
    <w:rsid w:val="007F617F"/>
    <w:rsid w:val="00827C91"/>
    <w:rsid w:val="0090074D"/>
    <w:rsid w:val="009B3BF0"/>
    <w:rsid w:val="009D5E5E"/>
    <w:rsid w:val="009F1BB4"/>
    <w:rsid w:val="00AB6ED4"/>
    <w:rsid w:val="00B14210"/>
    <w:rsid w:val="00B23DC0"/>
    <w:rsid w:val="00B53581"/>
    <w:rsid w:val="00B96656"/>
    <w:rsid w:val="00BA328F"/>
    <w:rsid w:val="00BE29C1"/>
    <w:rsid w:val="00C2401D"/>
    <w:rsid w:val="00C53A68"/>
    <w:rsid w:val="00CA5BB4"/>
    <w:rsid w:val="00CB4BD1"/>
    <w:rsid w:val="00CE2DA9"/>
    <w:rsid w:val="00CE44BE"/>
    <w:rsid w:val="00D018B7"/>
    <w:rsid w:val="00D4356B"/>
    <w:rsid w:val="00D7162F"/>
    <w:rsid w:val="00D8186B"/>
    <w:rsid w:val="00E44A86"/>
    <w:rsid w:val="00E45BD7"/>
    <w:rsid w:val="00E522EB"/>
    <w:rsid w:val="00E60827"/>
    <w:rsid w:val="00E73FF6"/>
    <w:rsid w:val="00EF6E0C"/>
    <w:rsid w:val="00F22A49"/>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8186B"/>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FFA312B2D0AF4752831EE242D910D206">
    <w:name w:val="FFA312B2D0AF4752831EE242D910D206"/>
    <w:rsid w:val="00D8186B"/>
  </w:style>
  <w:style w:type="paragraph" w:customStyle="1" w:styleId="03F90F40AA1546D2928E74AB1FC368FA">
    <w:name w:val="03F90F40AA1546D2928E74AB1FC368FA"/>
    <w:rsid w:val="00D81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1A7C-474B-4C05-B4BD-30C630B7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11835</Characters>
  <Application>Microsoft Office Word</Application>
  <DocSecurity>0</DocSecurity>
  <Lines>98</Lines>
  <Paragraphs>26</Paragraphs>
  <ScaleCrop>false</ScaleCrop>
  <Company/>
  <LinksUpToDate>false</LinksUpToDate>
  <CharactersWithSpaces>13426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2025-05-07T17:25:00Z</dcterms:created>
  <dcterms:modified xsi:type="dcterms:W3CDTF">2025-05-20T12:50:00Z</dcterms:modified>
</cp:coreProperties>
</file>