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Default="005F7602" w:rsidP="00F20C1A">
      <w:pPr>
        <w:spacing w:line="276" w:lineRule="auto"/>
        <w:ind w:left="5529"/>
      </w:pPr>
    </w:p>
    <w:p w14:paraId="12FA4B9E" w14:textId="77777777" w:rsidR="001B3C5B" w:rsidRPr="00E33EFF" w:rsidRDefault="001B3C5B" w:rsidP="00F20C1A">
      <w:pPr>
        <w:spacing w:line="276" w:lineRule="auto"/>
        <w:ind w:left="6096"/>
      </w:pPr>
      <w:r w:rsidRPr="00E33EFF">
        <w:t>Forma patvirtinta</w:t>
      </w:r>
    </w:p>
    <w:p w14:paraId="7206970B" w14:textId="70E9BD2E" w:rsidR="004C263A" w:rsidRPr="00E33EFF" w:rsidRDefault="001B3C5B" w:rsidP="00F20C1A">
      <w:pPr>
        <w:spacing w:line="276" w:lineRule="auto"/>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F20C1A">
      <w:pPr>
        <w:spacing w:line="276" w:lineRule="auto"/>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20C1A">
      <w:pPr>
        <w:spacing w:line="276" w:lineRule="auto"/>
      </w:pPr>
    </w:p>
    <w:p w14:paraId="77AFB67E" w14:textId="16397257" w:rsidR="00613501" w:rsidRPr="00E33EFF" w:rsidRDefault="002F0E4F" w:rsidP="00F20C1A">
      <w:pPr>
        <w:spacing w:line="276" w:lineRule="auto"/>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F20C1A">
      <w:pPr>
        <w:spacing w:line="276" w:lineRule="auto"/>
        <w:jc w:val="center"/>
        <w:rPr>
          <w:b/>
        </w:rPr>
      </w:pPr>
    </w:p>
    <w:p w14:paraId="576289D1" w14:textId="77777777" w:rsidR="00F344AD" w:rsidRPr="00F344AD" w:rsidRDefault="00F344AD" w:rsidP="00F20C1A">
      <w:pPr>
        <w:spacing w:line="276" w:lineRule="auto"/>
        <w:jc w:val="center"/>
        <w:rPr>
          <w:b/>
          <w:lang w:eastAsia="lt-LT"/>
        </w:rPr>
      </w:pPr>
      <w:r w:rsidRPr="00F344AD">
        <w:rPr>
          <w:b/>
          <w:lang w:eastAsia="lt-LT"/>
        </w:rPr>
        <w:t>TEVIMBRA, 100 mg – 10 ml N1, 10 ml N2</w:t>
      </w:r>
    </w:p>
    <w:p w14:paraId="7A4DEBF7" w14:textId="77777777" w:rsidR="00F344AD" w:rsidRPr="00F344AD" w:rsidRDefault="00F344AD" w:rsidP="00F20C1A">
      <w:pPr>
        <w:spacing w:line="276" w:lineRule="auto"/>
        <w:jc w:val="center"/>
        <w:rPr>
          <w:b/>
          <w:lang w:eastAsia="lt-LT"/>
        </w:rPr>
      </w:pPr>
      <w:r w:rsidRPr="00F344AD">
        <w:rPr>
          <w:b/>
          <w:lang w:eastAsia="lt-LT"/>
        </w:rPr>
        <w:t xml:space="preserve">  </w:t>
      </w:r>
    </w:p>
    <w:p w14:paraId="1A626928" w14:textId="77777777" w:rsidR="00F344AD" w:rsidRPr="00F344AD" w:rsidRDefault="00F344AD" w:rsidP="00F20C1A">
      <w:pPr>
        <w:spacing w:line="276" w:lineRule="auto"/>
        <w:jc w:val="center"/>
        <w:rPr>
          <w:b/>
          <w:lang w:eastAsia="lt-LT"/>
        </w:rPr>
      </w:pPr>
      <w:r w:rsidRPr="00F344AD">
        <w:rPr>
          <w:b/>
          <w:lang w:eastAsia="lt-LT"/>
        </w:rPr>
        <w:t>(</w:t>
      </w:r>
      <w:proofErr w:type="spellStart"/>
      <w:r w:rsidRPr="00F344AD">
        <w:rPr>
          <w:b/>
          <w:lang w:eastAsia="lt-LT"/>
        </w:rPr>
        <w:t>Tislelizumabas</w:t>
      </w:r>
      <w:proofErr w:type="spellEnd"/>
      <w:r w:rsidRPr="00F344AD">
        <w:rPr>
          <w:b/>
          <w:lang w:eastAsia="lt-LT"/>
        </w:rPr>
        <w:t>)</w:t>
      </w:r>
    </w:p>
    <w:p w14:paraId="4C68D1E9" w14:textId="77777777" w:rsidR="00F344AD" w:rsidRPr="00F344AD" w:rsidRDefault="00F344AD" w:rsidP="00F20C1A">
      <w:pPr>
        <w:spacing w:line="276" w:lineRule="auto"/>
        <w:jc w:val="center"/>
        <w:rPr>
          <w:b/>
          <w:lang w:eastAsia="lt-LT"/>
        </w:rPr>
      </w:pPr>
    </w:p>
    <w:p w14:paraId="5BC2EA5D" w14:textId="095ACB3A" w:rsidR="00937907" w:rsidRPr="00E33EFF" w:rsidRDefault="00F344AD" w:rsidP="00F20C1A">
      <w:pPr>
        <w:spacing w:line="276" w:lineRule="auto"/>
        <w:jc w:val="center"/>
        <w:rPr>
          <w:b/>
        </w:rPr>
      </w:pPr>
      <w:r w:rsidRPr="00F344AD">
        <w:rPr>
          <w:b/>
          <w:lang w:eastAsia="lt-LT"/>
        </w:rPr>
        <w:t>Paraiškos numeris STV</w:t>
      </w:r>
      <w:r w:rsidR="00DB1E6F">
        <w:rPr>
          <w:b/>
          <w:lang w:eastAsia="lt-LT"/>
        </w:rPr>
        <w:t xml:space="preserve"> - </w:t>
      </w:r>
      <w:r w:rsidRPr="00F344AD">
        <w:rPr>
          <w:b/>
          <w:lang w:eastAsia="lt-LT"/>
        </w:rPr>
        <w:t>21</w:t>
      </w:r>
      <w:r w:rsidR="008014CD">
        <w:rPr>
          <w:b/>
          <w:lang w:eastAsia="lt-LT"/>
        </w:rPr>
        <w:t>2</w:t>
      </w:r>
    </w:p>
    <w:p w14:paraId="453197C8" w14:textId="77777777" w:rsidR="00D4708D" w:rsidRPr="00E33EFF" w:rsidRDefault="00D4708D" w:rsidP="00F20C1A">
      <w:pPr>
        <w:spacing w:line="276" w:lineRule="auto"/>
        <w:jc w:val="center"/>
        <w:rPr>
          <w:b/>
        </w:rPr>
      </w:pPr>
    </w:p>
    <w:p w14:paraId="78C89D1C" w14:textId="0DEFFAA5" w:rsidR="00D4485B" w:rsidRPr="00E33EFF" w:rsidRDefault="00B13D65" w:rsidP="00F20C1A">
      <w:pPr>
        <w:pStyle w:val="Sraopastraipa"/>
        <w:numPr>
          <w:ilvl w:val="0"/>
          <w:numId w:val="12"/>
        </w:numPr>
        <w:tabs>
          <w:tab w:val="left" w:pos="567"/>
        </w:tabs>
        <w:spacing w:line="276" w:lineRule="auto"/>
        <w:ind w:left="567" w:hanging="567"/>
        <w:rPr>
          <w:b/>
          <w:bCs/>
          <w:caps/>
        </w:rPr>
      </w:pPr>
      <w:r w:rsidRPr="00E33EFF">
        <w:rPr>
          <w:b/>
          <w:bCs/>
          <w:caps/>
        </w:rPr>
        <w:t>Bendroji dalis</w:t>
      </w:r>
    </w:p>
    <w:p w14:paraId="04A7C7A7" w14:textId="77777777" w:rsidR="00B13D65" w:rsidRPr="00E33EFF" w:rsidRDefault="00B13D65" w:rsidP="00F20C1A">
      <w:pPr>
        <w:pStyle w:val="Sraopastraipa"/>
        <w:tabs>
          <w:tab w:val="left" w:pos="284"/>
        </w:tabs>
        <w:spacing w:line="276" w:lineRule="auto"/>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B13D65" w:rsidRPr="00E33EFF" w14:paraId="18A83EC2" w14:textId="77777777" w:rsidTr="00BE7489">
        <w:trPr>
          <w:trHeight w:val="538"/>
        </w:trPr>
        <w:tc>
          <w:tcPr>
            <w:tcW w:w="632" w:type="dxa"/>
          </w:tcPr>
          <w:p w14:paraId="0646FBEA" w14:textId="77777777" w:rsidR="00B13D65" w:rsidRPr="00E33EFF" w:rsidRDefault="00B13D65" w:rsidP="00F20C1A">
            <w:pPr>
              <w:spacing w:line="276" w:lineRule="auto"/>
              <w:rPr>
                <w:rFonts w:eastAsia="Arial"/>
              </w:rPr>
            </w:pPr>
            <w:r w:rsidRPr="00E33EFF">
              <w:rPr>
                <w:rFonts w:eastAsia="Arial"/>
              </w:rPr>
              <w:t>1.1</w:t>
            </w:r>
          </w:p>
        </w:tc>
        <w:tc>
          <w:tcPr>
            <w:tcW w:w="3694" w:type="dxa"/>
          </w:tcPr>
          <w:p w14:paraId="6C3AE864" w14:textId="77777777" w:rsidR="00B13D65" w:rsidRPr="00E33EFF" w:rsidRDefault="00B13D65" w:rsidP="00F20C1A">
            <w:pPr>
              <w:spacing w:line="276" w:lineRule="auto"/>
              <w:rPr>
                <w:rFonts w:eastAsia="Arial"/>
              </w:rPr>
            </w:pPr>
            <w:r w:rsidRPr="00E33EFF">
              <w:rPr>
                <w:rFonts w:eastAsia="Arial"/>
              </w:rPr>
              <w:t>Pareiškėjas</w:t>
            </w:r>
          </w:p>
          <w:p w14:paraId="2AF240DC" w14:textId="77777777" w:rsidR="00B13D65" w:rsidRPr="00E33EFF" w:rsidRDefault="00B13D65" w:rsidP="00F20C1A">
            <w:pPr>
              <w:spacing w:line="276" w:lineRule="auto"/>
              <w:rPr>
                <w:rFonts w:eastAsia="Arial"/>
              </w:rPr>
            </w:pPr>
          </w:p>
        </w:tc>
        <w:tc>
          <w:tcPr>
            <w:tcW w:w="5167" w:type="dxa"/>
          </w:tcPr>
          <w:p w14:paraId="2AAF0D91" w14:textId="02FAB666" w:rsidR="00B13D65" w:rsidRPr="00E33EFF" w:rsidRDefault="0007634E" w:rsidP="00F20C1A">
            <w:pPr>
              <w:spacing w:line="276" w:lineRule="auto"/>
              <w:rPr>
                <w:rFonts w:eastAsia="Arial"/>
              </w:rPr>
            </w:pPr>
            <w:proofErr w:type="spellStart"/>
            <w:r w:rsidRPr="00D87E61">
              <w:rPr>
                <w:color w:val="000000"/>
                <w:lang w:eastAsia="lt-LT"/>
              </w:rPr>
              <w:t>BeiGene</w:t>
            </w:r>
            <w:proofErr w:type="spellEnd"/>
            <w:r w:rsidRPr="00D87E61">
              <w:rPr>
                <w:color w:val="000000"/>
                <w:lang w:eastAsia="lt-LT"/>
              </w:rPr>
              <w:t xml:space="preserve"> </w:t>
            </w:r>
            <w:proofErr w:type="spellStart"/>
            <w:r w:rsidRPr="00D87E61">
              <w:rPr>
                <w:color w:val="000000"/>
                <w:lang w:eastAsia="lt-LT"/>
              </w:rPr>
              <w:t>Switzerland</w:t>
            </w:r>
            <w:proofErr w:type="spellEnd"/>
            <w:r w:rsidRPr="00D87E61">
              <w:rPr>
                <w:color w:val="000000"/>
                <w:lang w:eastAsia="lt-LT"/>
              </w:rPr>
              <w:t xml:space="preserve"> </w:t>
            </w:r>
            <w:proofErr w:type="spellStart"/>
            <w:r w:rsidRPr="00D87E61">
              <w:rPr>
                <w:color w:val="000000"/>
                <w:lang w:eastAsia="lt-LT"/>
              </w:rPr>
              <w:t>GmbH</w:t>
            </w:r>
            <w:proofErr w:type="spellEnd"/>
          </w:p>
        </w:tc>
      </w:tr>
      <w:tr w:rsidR="00B13D65" w:rsidRPr="00E33EFF" w14:paraId="31998B0D" w14:textId="77777777" w:rsidTr="00BE7489">
        <w:trPr>
          <w:trHeight w:val="538"/>
        </w:trPr>
        <w:tc>
          <w:tcPr>
            <w:tcW w:w="632" w:type="dxa"/>
          </w:tcPr>
          <w:p w14:paraId="2005EC67" w14:textId="662300D0" w:rsidR="00B13D65" w:rsidRPr="00E33EFF" w:rsidRDefault="002E0702" w:rsidP="00F20C1A">
            <w:pPr>
              <w:spacing w:line="276" w:lineRule="auto"/>
              <w:rPr>
                <w:rFonts w:eastAsia="Arial"/>
              </w:rPr>
            </w:pPr>
            <w:r w:rsidRPr="00E33EFF">
              <w:rPr>
                <w:rFonts w:eastAsia="Arial"/>
              </w:rPr>
              <w:t>1.2</w:t>
            </w:r>
          </w:p>
        </w:tc>
        <w:tc>
          <w:tcPr>
            <w:tcW w:w="3694" w:type="dxa"/>
          </w:tcPr>
          <w:p w14:paraId="1E4AE3B1" w14:textId="77777777" w:rsidR="00B13D65" w:rsidRPr="00E33EFF" w:rsidRDefault="00B13D65" w:rsidP="00F20C1A">
            <w:pPr>
              <w:spacing w:line="276" w:lineRule="auto"/>
              <w:rPr>
                <w:bCs/>
                <w:color w:val="000000"/>
                <w:lang w:eastAsia="lt-LT"/>
              </w:rPr>
            </w:pPr>
            <w:r w:rsidRPr="00E33EFF">
              <w:rPr>
                <w:bCs/>
                <w:color w:val="000000"/>
                <w:lang w:eastAsia="lt-LT"/>
              </w:rPr>
              <w:t xml:space="preserve">Registracijos data </w:t>
            </w:r>
          </w:p>
          <w:p w14:paraId="3A0DC096" w14:textId="77777777" w:rsidR="00B13D65" w:rsidRPr="00E33EFF" w:rsidRDefault="00B13D65" w:rsidP="00F20C1A">
            <w:pPr>
              <w:spacing w:line="276" w:lineRule="auto"/>
              <w:rPr>
                <w:bCs/>
                <w:color w:val="000000"/>
                <w:lang w:eastAsia="lt-LT"/>
              </w:rPr>
            </w:pPr>
          </w:p>
        </w:tc>
        <w:tc>
          <w:tcPr>
            <w:tcW w:w="5167" w:type="dxa"/>
          </w:tcPr>
          <w:p w14:paraId="3CA218AD" w14:textId="7BE77E1F" w:rsidR="00B13D65" w:rsidRPr="00E33EFF" w:rsidRDefault="00000000" w:rsidP="00F20C1A">
            <w:pPr>
              <w:spacing w:line="276" w:lineRule="auto"/>
              <w:rPr>
                <w:rStyle w:val="Style2"/>
              </w:rPr>
            </w:pPr>
            <w:sdt>
              <w:sdtPr>
                <w:rPr>
                  <w:sz w:val="32"/>
                </w:rPr>
                <w:alias w:val="Nurodykite konkrečią dieną"/>
                <w:tag w:val="Nurodykite pradžios datą"/>
                <w:id w:val="423238108"/>
                <w:placeholder>
                  <w:docPart w:val="0A1DCC42A2974C359888226B925C8FF8"/>
                </w:placeholder>
                <w15:color w:val="FFCC99"/>
                <w:date>
                  <w:dateFormat w:val="yyyy 'm.' MMMM d 'd.'"/>
                  <w:lid w:val="lt-LT"/>
                  <w:storeMappedDataAs w:val="dateTime"/>
                  <w:calendar w:val="gregorian"/>
                </w:date>
              </w:sdtPr>
              <w:sdtEndPr>
                <w:rPr>
                  <w:sz w:val="24"/>
                </w:rPr>
              </w:sdtEndPr>
              <w:sdtContent>
                <w:r w:rsidR="00AA4538" w:rsidRPr="00AA4538">
                  <w:t>2014 m. gruodžio 16 d.</w:t>
                </w:r>
              </w:sdtContent>
            </w:sdt>
          </w:p>
        </w:tc>
      </w:tr>
      <w:tr w:rsidR="00B13D65" w:rsidRPr="00E33EFF" w14:paraId="15968AE1" w14:textId="77777777" w:rsidTr="00BE7489">
        <w:trPr>
          <w:trHeight w:val="1500"/>
        </w:trPr>
        <w:tc>
          <w:tcPr>
            <w:tcW w:w="632" w:type="dxa"/>
          </w:tcPr>
          <w:p w14:paraId="6A784245" w14:textId="1E461489" w:rsidR="00B13D65" w:rsidRPr="00E33EFF" w:rsidRDefault="002E0702" w:rsidP="00F20C1A">
            <w:pPr>
              <w:spacing w:line="276" w:lineRule="auto"/>
              <w:rPr>
                <w:rFonts w:eastAsia="Arial"/>
              </w:rPr>
            </w:pPr>
            <w:r w:rsidRPr="00E33EFF">
              <w:rPr>
                <w:rFonts w:eastAsia="Arial"/>
              </w:rPr>
              <w:t>1.3</w:t>
            </w:r>
          </w:p>
        </w:tc>
        <w:tc>
          <w:tcPr>
            <w:tcW w:w="3694" w:type="dxa"/>
          </w:tcPr>
          <w:p w14:paraId="22933506" w14:textId="77777777" w:rsidR="00B13D65" w:rsidRPr="00E33EFF" w:rsidRDefault="00B13D65" w:rsidP="00F20C1A">
            <w:pPr>
              <w:spacing w:line="276" w:lineRule="auto"/>
            </w:pPr>
            <w:r w:rsidRPr="00E33EFF">
              <w:t xml:space="preserve">Paraiškos tipas </w:t>
            </w:r>
          </w:p>
          <w:p w14:paraId="0465E680" w14:textId="7F0A0714" w:rsidR="00B13D65" w:rsidRPr="00E33EFF" w:rsidRDefault="00B13D65" w:rsidP="00F20C1A">
            <w:pPr>
              <w:spacing w:line="276" w:lineRule="auto"/>
            </w:pPr>
            <w:r w:rsidRPr="00E33EFF">
              <w:t>(</w:t>
            </w:r>
            <w:r w:rsidR="00695CD3" w:rsidRPr="00E33EFF">
              <w:t xml:space="preserve">pagal </w:t>
            </w:r>
            <w:r w:rsidR="0039696E" w:rsidRPr="00E33EFF">
              <w:rPr>
                <w:color w:val="333333"/>
                <w:shd w:val="clear" w:color="auto" w:fill="FFFFFF"/>
              </w:rPr>
              <w:t>vaistinio preparato registracijos tipą, įtvirtintą</w:t>
            </w:r>
            <w:r w:rsidR="0039696E" w:rsidRPr="00E33EFF">
              <w:t xml:space="preserve"> </w:t>
            </w:r>
            <w:r w:rsidRPr="00E33EFF">
              <w:t>Direktyv</w:t>
            </w:r>
            <w:r w:rsidR="00695CD3" w:rsidRPr="00E33EFF">
              <w:t>os</w:t>
            </w:r>
            <w:r w:rsidRPr="00E33EFF">
              <w:t xml:space="preserve"> 2001/83/EB</w:t>
            </w:r>
            <w:r w:rsidR="00695CD3" w:rsidRPr="00E33EFF">
              <w:t xml:space="preserve"> </w:t>
            </w:r>
            <w:proofErr w:type="spellStart"/>
            <w:r w:rsidR="00695CD3" w:rsidRPr="00E33EFF">
              <w:t>straips</w:t>
            </w:r>
            <w:r w:rsidR="0039696E" w:rsidRPr="00E33EFF">
              <w:t>iuose</w:t>
            </w:r>
            <w:proofErr w:type="spellEnd"/>
            <w:r w:rsidRPr="00E33EFF">
              <w:t>)</w:t>
            </w:r>
          </w:p>
          <w:p w14:paraId="77089D80" w14:textId="6681D72A" w:rsidR="00B13D65" w:rsidRPr="00E33EFF" w:rsidRDefault="00B13D65" w:rsidP="00F20C1A">
            <w:pPr>
              <w:spacing w:line="276" w:lineRule="auto"/>
              <w:rPr>
                <w:bCs/>
                <w:color w:val="000000"/>
                <w:lang w:eastAsia="lt-LT"/>
              </w:rPr>
            </w:pPr>
          </w:p>
        </w:tc>
        <w:tc>
          <w:tcPr>
            <w:tcW w:w="5167" w:type="dxa"/>
          </w:tcPr>
          <w:p w14:paraId="208F40EC" w14:textId="2F4EA9C5" w:rsidR="00B13D65" w:rsidRPr="00E33EFF" w:rsidRDefault="00000000" w:rsidP="00F20C1A">
            <w:pPr>
              <w:spacing w:line="276" w:lineRule="auto"/>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Content>
                <w:r w:rsidR="003D1877">
                  <w:rPr>
                    <w:rStyle w:val="Style2"/>
                    <w:rFonts w:ascii="MS Gothic" w:eastAsia="MS Gothic" w:hAnsi="MS Gothic" w:hint="eastAsia"/>
                    <w:sz w:val="22"/>
                    <w:szCs w:val="22"/>
                  </w:rPr>
                  <w:t>☒</w:t>
                </w:r>
              </w:sdtContent>
            </w:sdt>
            <w:r w:rsidR="00B13D65" w:rsidRPr="00E33EFF">
              <w:rPr>
                <w:sz w:val="22"/>
                <w:szCs w:val="22"/>
              </w:rPr>
              <w:t xml:space="preserve">8.3 str. (pilna byla, pagrįsta savais tyrimais) </w:t>
            </w:r>
          </w:p>
          <w:p w14:paraId="32BA564E" w14:textId="3FDA3E01" w:rsidR="00B13D65" w:rsidRPr="00E33EFF" w:rsidRDefault="00000000" w:rsidP="00F20C1A">
            <w:pPr>
              <w:spacing w:line="276" w:lineRule="auto"/>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 xml:space="preserve">10 a str. (pripažintas medicininis vartojimas) </w:t>
            </w:r>
          </w:p>
          <w:p w14:paraId="318DCD7F" w14:textId="32333E53" w:rsidR="00B13D65" w:rsidRPr="00E33EFF" w:rsidRDefault="00000000" w:rsidP="00F20C1A">
            <w:pPr>
              <w:spacing w:line="276" w:lineRule="auto"/>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10.1 str. (</w:t>
            </w:r>
            <w:proofErr w:type="spellStart"/>
            <w:r w:rsidR="00B13D65" w:rsidRPr="00E33EFF">
              <w:rPr>
                <w:sz w:val="22"/>
                <w:szCs w:val="22"/>
              </w:rPr>
              <w:t>generinis</w:t>
            </w:r>
            <w:proofErr w:type="spellEnd"/>
            <w:r w:rsidR="00B13D65" w:rsidRPr="00E33EFF">
              <w:rPr>
                <w:sz w:val="22"/>
                <w:szCs w:val="22"/>
              </w:rPr>
              <w:t>)</w:t>
            </w:r>
          </w:p>
          <w:p w14:paraId="3B0A4F72" w14:textId="3F5FB073" w:rsidR="00B13D65" w:rsidRPr="00E33EFF" w:rsidRDefault="00000000" w:rsidP="00F20C1A">
            <w:pPr>
              <w:spacing w:line="276" w:lineRule="auto"/>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Content>
                <w:r w:rsidR="00CC7832" w:rsidRPr="00E33EFF">
                  <w:rPr>
                    <w:rStyle w:val="Style2"/>
                    <w:rFonts w:ascii="Segoe UI Symbol" w:eastAsia="MS Gothic" w:hAnsi="Segoe UI Symbol" w:cs="Segoe UI Symbol"/>
                    <w:sz w:val="22"/>
                    <w:szCs w:val="22"/>
                  </w:rPr>
                  <w:t>☐</w:t>
                </w:r>
              </w:sdtContent>
            </w:sdt>
            <w:r w:rsidR="00B13D65" w:rsidRPr="00E33EFF">
              <w:rPr>
                <w:sz w:val="22"/>
                <w:szCs w:val="22"/>
              </w:rPr>
              <w:t>10.3 str. (hibridinis)</w:t>
            </w:r>
          </w:p>
        </w:tc>
      </w:tr>
      <w:tr w:rsidR="00B13D65" w:rsidRPr="00E33EFF" w14:paraId="310E9662" w14:textId="77777777" w:rsidTr="00BE7489">
        <w:trPr>
          <w:trHeight w:val="1442"/>
        </w:trPr>
        <w:tc>
          <w:tcPr>
            <w:tcW w:w="632" w:type="dxa"/>
          </w:tcPr>
          <w:p w14:paraId="4B5A91A2" w14:textId="561B5E5F" w:rsidR="00B13D65" w:rsidRPr="00E33EFF" w:rsidRDefault="00B13D65" w:rsidP="00F20C1A">
            <w:pPr>
              <w:spacing w:line="276" w:lineRule="auto"/>
              <w:rPr>
                <w:rFonts w:eastAsia="Arial"/>
              </w:rPr>
            </w:pPr>
            <w:r w:rsidRPr="00E33EFF">
              <w:rPr>
                <w:rFonts w:eastAsia="Arial"/>
              </w:rPr>
              <w:t>1.</w:t>
            </w:r>
            <w:r w:rsidR="002E0702" w:rsidRPr="00E33EFF">
              <w:rPr>
                <w:rFonts w:eastAsia="Arial"/>
              </w:rPr>
              <w:t>4</w:t>
            </w:r>
          </w:p>
        </w:tc>
        <w:tc>
          <w:tcPr>
            <w:tcW w:w="3694" w:type="dxa"/>
          </w:tcPr>
          <w:p w14:paraId="6C91E105" w14:textId="77777777" w:rsidR="00B13D65" w:rsidRPr="00E33EFF" w:rsidRDefault="00B13D65" w:rsidP="00F20C1A">
            <w:pPr>
              <w:spacing w:line="276" w:lineRule="auto"/>
              <w:rPr>
                <w:bCs/>
                <w:color w:val="000000"/>
                <w:lang w:eastAsia="lt-LT"/>
              </w:rPr>
            </w:pPr>
            <w:r w:rsidRPr="00E33EFF">
              <w:rPr>
                <w:bCs/>
                <w:color w:val="000000"/>
                <w:lang w:eastAsia="lt-LT"/>
              </w:rPr>
              <w:t xml:space="preserve">Ar vaistinis preparatas įrašytas į Bendrijos retųjų vaistinių preparatų registrą? </w:t>
            </w:r>
          </w:p>
          <w:p w14:paraId="483071A3" w14:textId="2FEB27F0" w:rsidR="00B13D65" w:rsidRPr="00E33EFF" w:rsidRDefault="00B13D65" w:rsidP="00F20C1A">
            <w:pPr>
              <w:spacing w:line="276" w:lineRule="auto"/>
              <w:rPr>
                <w:bCs/>
                <w:color w:val="000000"/>
                <w:lang w:eastAsia="lt-LT"/>
              </w:rPr>
            </w:pPr>
          </w:p>
        </w:tc>
        <w:tc>
          <w:tcPr>
            <w:tcW w:w="5167" w:type="dxa"/>
          </w:tcPr>
          <w:p w14:paraId="05845C60" w14:textId="10CF4033" w:rsidR="00B13D65" w:rsidRPr="00E33EFF" w:rsidRDefault="00000000" w:rsidP="00F20C1A">
            <w:pPr>
              <w:spacing w:line="276" w:lineRule="auto"/>
            </w:pPr>
            <w:sdt>
              <w:sdtPr>
                <w:rPr>
                  <w:rStyle w:val="Style2"/>
                  <w:sz w:val="24"/>
                </w:rPr>
                <w:id w:val="2024432173"/>
                <w15:color w:val="FFCC00"/>
                <w14:checkbox>
                  <w14:checked w14:val="0"/>
                  <w14:checkedState w14:val="2612" w14:font="MS Gothic"/>
                  <w14:uncheckedState w14:val="2610" w14:font="MS Gothic"/>
                </w14:checkbox>
              </w:sdtPr>
              <w:sdtContent>
                <w:r w:rsidR="00D417D2" w:rsidRPr="00E33EFF">
                  <w:rPr>
                    <w:rStyle w:val="Style2"/>
                    <w:rFonts w:ascii="MS Gothic" w:eastAsia="MS Gothic" w:hAnsi="MS Gothic" w:hint="eastAsia"/>
                    <w:sz w:val="24"/>
                  </w:rPr>
                  <w:t>☐</w:t>
                </w:r>
              </w:sdtContent>
            </w:sdt>
            <w:r w:rsidR="00B13D65" w:rsidRPr="00E33EFF">
              <w:t xml:space="preserve"> Taip</w:t>
            </w:r>
          </w:p>
          <w:p w14:paraId="41D88067" w14:textId="50A2D786" w:rsidR="00B13D65" w:rsidRPr="00E33EFF" w:rsidRDefault="00000000" w:rsidP="00F20C1A">
            <w:pPr>
              <w:spacing w:line="276" w:lineRule="auto"/>
            </w:pPr>
            <w:sdt>
              <w:sdtPr>
                <w:rPr>
                  <w:rStyle w:val="Style2"/>
                  <w:sz w:val="24"/>
                </w:rPr>
                <w:id w:val="-970507926"/>
                <w15:color w:val="FFCC00"/>
                <w14:checkbox>
                  <w14:checked w14:val="1"/>
                  <w14:checkedState w14:val="2612" w14:font="MS Gothic"/>
                  <w14:uncheckedState w14:val="2610" w14:font="MS Gothic"/>
                </w14:checkbox>
              </w:sdtPr>
              <w:sdtContent>
                <w:r w:rsidR="003D1877">
                  <w:rPr>
                    <w:rStyle w:val="Style2"/>
                    <w:rFonts w:ascii="MS Gothic" w:eastAsia="MS Gothic" w:hAnsi="MS Gothic" w:hint="eastAsia"/>
                    <w:sz w:val="24"/>
                  </w:rPr>
                  <w:t>☒</w:t>
                </w:r>
              </w:sdtContent>
            </w:sdt>
            <w:r w:rsidR="00B13D65" w:rsidRPr="00E33EFF">
              <w:t xml:space="preserve"> Ne</w:t>
            </w:r>
          </w:p>
          <w:p w14:paraId="29C2CBBB" w14:textId="77777777" w:rsidR="00B13D65" w:rsidRPr="00E33EFF" w:rsidRDefault="00000000" w:rsidP="00F20C1A">
            <w:pPr>
              <w:spacing w:line="276" w:lineRule="auto"/>
              <w:rPr>
                <w:rFonts w:eastAsia="Arial"/>
              </w:rPr>
            </w:pPr>
            <w:sdt>
              <w:sdtPr>
                <w:alias w:val="Nurodykite konkrečią dieną"/>
                <w:tag w:val="Nurodykite pradžios datą"/>
                <w:id w:val="693498901"/>
                <w:placeholder>
                  <w:docPart w:val="CDB60824EC144AB3B75C05A5823BEE2D"/>
                </w:placeholder>
                <w:showingPlcHdr/>
                <w15:color w:val="FFCC99"/>
                <w:date w:fullDate="2022-05-18T00:00:00Z">
                  <w:dateFormat w:val="yyyy 'm.' MMMM d 'd.'"/>
                  <w:lid w:val="lt-LT"/>
                  <w:storeMappedDataAs w:val="dateTime"/>
                  <w:calendar w:val="gregorian"/>
                </w:date>
              </w:sdtPr>
              <w:sdtContent>
                <w:r w:rsidR="00B13D65" w:rsidRPr="00E33EFF">
                  <w:rPr>
                    <w:rStyle w:val="Vietosrezervavimoenklotekstas"/>
                  </w:rPr>
                  <w:t>Click here to enter a date.</w:t>
                </w:r>
              </w:sdtContent>
            </w:sdt>
          </w:p>
        </w:tc>
      </w:tr>
      <w:tr w:rsidR="00D417D2" w:rsidRPr="00E33EFF" w14:paraId="7841E5F8" w14:textId="77777777" w:rsidTr="00BE7489">
        <w:trPr>
          <w:trHeight w:val="476"/>
        </w:trPr>
        <w:tc>
          <w:tcPr>
            <w:tcW w:w="632" w:type="dxa"/>
          </w:tcPr>
          <w:p w14:paraId="109D2861" w14:textId="73BF27DF" w:rsidR="00D417D2" w:rsidRPr="00E33EFF" w:rsidRDefault="00D417D2" w:rsidP="00F20C1A">
            <w:pPr>
              <w:spacing w:line="276" w:lineRule="auto"/>
              <w:rPr>
                <w:rFonts w:eastAsia="Arial"/>
              </w:rPr>
            </w:pPr>
            <w:r w:rsidRPr="00E33EFF">
              <w:rPr>
                <w:rFonts w:eastAsia="Arial"/>
              </w:rPr>
              <w:t>1.5</w:t>
            </w:r>
          </w:p>
        </w:tc>
        <w:tc>
          <w:tcPr>
            <w:tcW w:w="3694" w:type="dxa"/>
          </w:tcPr>
          <w:p w14:paraId="7822D63E" w14:textId="68C38334" w:rsidR="00D417D2" w:rsidRPr="00E33EFF" w:rsidRDefault="00D417D2" w:rsidP="00F20C1A">
            <w:pPr>
              <w:spacing w:line="276" w:lineRule="auto"/>
              <w:rPr>
                <w:bCs/>
                <w:color w:val="000000"/>
                <w:lang w:eastAsia="lt-LT"/>
              </w:rPr>
            </w:pPr>
            <w:r w:rsidRPr="00E33EFF">
              <w:t>STV paraiškos pobūdis</w:t>
            </w:r>
          </w:p>
        </w:tc>
        <w:tc>
          <w:tcPr>
            <w:tcW w:w="5167" w:type="dxa"/>
          </w:tcPr>
          <w:p w14:paraId="403461B9" w14:textId="68A37216" w:rsidR="00D417D2" w:rsidRPr="00E33EFF" w:rsidRDefault="00000000" w:rsidP="00F20C1A">
            <w:pPr>
              <w:spacing w:line="276" w:lineRule="auto"/>
            </w:pPr>
            <w:sdt>
              <w:sdtPr>
                <w:rPr>
                  <w:rStyle w:val="Style2"/>
                  <w:sz w:val="24"/>
                </w:rPr>
                <w:id w:val="-468433535"/>
                <w15:color w:val="FFCC00"/>
                <w14:checkbox>
                  <w14:checked w14:val="1"/>
                  <w14:checkedState w14:val="2612" w14:font="MS Gothic"/>
                  <w14:uncheckedState w14:val="2610" w14:font="MS Gothic"/>
                </w14:checkbox>
              </w:sdtPr>
              <w:sdtContent>
                <w:r w:rsidR="003D1877">
                  <w:rPr>
                    <w:rStyle w:val="Style2"/>
                    <w:rFonts w:ascii="MS Gothic" w:eastAsia="MS Gothic" w:hAnsi="MS Gothic" w:hint="eastAsia"/>
                    <w:sz w:val="24"/>
                  </w:rPr>
                  <w:t>☒</w:t>
                </w:r>
              </w:sdtContent>
            </w:sdt>
            <w:r w:rsidR="00D417D2" w:rsidRPr="00E33EFF">
              <w:t xml:space="preserve"> Pilna paraiška</w:t>
            </w:r>
          </w:p>
          <w:p w14:paraId="6B8213E3" w14:textId="3495CDF4" w:rsidR="00D417D2" w:rsidRPr="00E33EFF" w:rsidRDefault="00000000" w:rsidP="00F20C1A">
            <w:pPr>
              <w:spacing w:line="276" w:lineRule="auto"/>
            </w:pPr>
            <w:sdt>
              <w:sdtPr>
                <w:rPr>
                  <w:rStyle w:val="Style2"/>
                  <w:sz w:val="24"/>
                </w:rPr>
                <w:id w:val="-1489014904"/>
                <w15:color w:val="FFCC00"/>
                <w14:checkbox>
                  <w14:checked w14:val="0"/>
                  <w14:checkedState w14:val="2612" w14:font="MS Gothic"/>
                  <w14:uncheckedState w14:val="2610" w14:font="MS Gothic"/>
                </w14:checkbox>
              </w:sdtPr>
              <w:sdtContent>
                <w:r w:rsidR="00D417D2" w:rsidRPr="00E33EFF">
                  <w:rPr>
                    <w:rStyle w:val="Style2"/>
                    <w:rFonts w:ascii="MS Gothic" w:eastAsia="MS Gothic" w:hAnsi="MS Gothic" w:hint="eastAsia"/>
                    <w:sz w:val="24"/>
                  </w:rPr>
                  <w:t>☐</w:t>
                </w:r>
              </w:sdtContent>
            </w:sdt>
            <w:r w:rsidR="00D417D2" w:rsidRPr="00E33EFF">
              <w:t xml:space="preserve"> Supaprastinta paraiška</w:t>
            </w:r>
          </w:p>
        </w:tc>
      </w:tr>
      <w:tr w:rsidR="00B13D65" w:rsidRPr="00E33EFF" w14:paraId="274D1DAF" w14:textId="77777777" w:rsidTr="00EC7EDF">
        <w:trPr>
          <w:trHeight w:val="1408"/>
        </w:trPr>
        <w:tc>
          <w:tcPr>
            <w:tcW w:w="632" w:type="dxa"/>
          </w:tcPr>
          <w:p w14:paraId="17ABF217" w14:textId="14AC00D7" w:rsidR="00B13D65" w:rsidRPr="00E33EFF" w:rsidRDefault="00B13D65" w:rsidP="00F20C1A">
            <w:pPr>
              <w:spacing w:line="276" w:lineRule="auto"/>
              <w:rPr>
                <w:rFonts w:eastAsia="Arial"/>
              </w:rPr>
            </w:pPr>
            <w:r w:rsidRPr="00E33EFF">
              <w:rPr>
                <w:rFonts w:eastAsia="Arial"/>
              </w:rPr>
              <w:lastRenderedPageBreak/>
              <w:t>1.</w:t>
            </w:r>
            <w:r w:rsidR="00D417D2" w:rsidRPr="00E33EFF">
              <w:rPr>
                <w:rFonts w:eastAsia="Arial"/>
              </w:rPr>
              <w:t>6</w:t>
            </w:r>
          </w:p>
        </w:tc>
        <w:tc>
          <w:tcPr>
            <w:tcW w:w="3694" w:type="dxa"/>
          </w:tcPr>
          <w:p w14:paraId="4D49DBF5" w14:textId="77777777" w:rsidR="007656B2" w:rsidRPr="00E33EFF" w:rsidRDefault="00DE4484" w:rsidP="00F20C1A">
            <w:pPr>
              <w:spacing w:line="276" w:lineRule="auto"/>
              <w:rPr>
                <w:bCs/>
                <w:color w:val="000000"/>
                <w:lang w:eastAsia="lt-LT"/>
              </w:rPr>
            </w:pPr>
            <w:r w:rsidRPr="00E33EFF">
              <w:rPr>
                <w:bCs/>
                <w:color w:val="000000"/>
                <w:lang w:eastAsia="lt-LT"/>
              </w:rPr>
              <w:t>Par</w:t>
            </w:r>
            <w:r w:rsidR="007656B2" w:rsidRPr="00E33EFF">
              <w:rPr>
                <w:bCs/>
                <w:color w:val="000000"/>
                <w:lang w:eastAsia="lt-LT"/>
              </w:rPr>
              <w:t>eiškėjo t</w:t>
            </w:r>
            <w:r w:rsidR="00B13D65" w:rsidRPr="00E33EFF">
              <w:rPr>
                <w:bCs/>
                <w:color w:val="000000"/>
                <w:lang w:eastAsia="lt-LT"/>
              </w:rPr>
              <w:t>eikiama (-</w:t>
            </w:r>
            <w:proofErr w:type="spellStart"/>
            <w:r w:rsidR="00B13D65" w:rsidRPr="00E33EFF">
              <w:rPr>
                <w:bCs/>
                <w:color w:val="000000"/>
                <w:lang w:eastAsia="lt-LT"/>
              </w:rPr>
              <w:t>os</w:t>
            </w:r>
            <w:proofErr w:type="spellEnd"/>
            <w:r w:rsidR="00B13D65" w:rsidRPr="00E33EFF">
              <w:rPr>
                <w:bCs/>
                <w:color w:val="000000"/>
                <w:lang w:eastAsia="lt-LT"/>
              </w:rPr>
              <w:t>) kompensuoti vaistinio preparato indikacija (-</w:t>
            </w:r>
            <w:proofErr w:type="spellStart"/>
            <w:r w:rsidR="00B13D65" w:rsidRPr="00E33EFF">
              <w:rPr>
                <w:bCs/>
                <w:color w:val="000000"/>
                <w:lang w:eastAsia="lt-LT"/>
              </w:rPr>
              <w:t>os</w:t>
            </w:r>
            <w:proofErr w:type="spellEnd"/>
            <w:r w:rsidR="00B13D65" w:rsidRPr="00E33EFF">
              <w:rPr>
                <w:bCs/>
                <w:color w:val="000000"/>
                <w:lang w:eastAsia="lt-LT"/>
              </w:rPr>
              <w:t>)</w:t>
            </w:r>
          </w:p>
          <w:p w14:paraId="3FB07EE5" w14:textId="39AB446B" w:rsidR="00AE1322" w:rsidRDefault="00AE1322" w:rsidP="00F20C1A">
            <w:pPr>
              <w:spacing w:line="276" w:lineRule="auto"/>
              <w:rPr>
                <w:bCs/>
                <w:color w:val="000000"/>
                <w:lang w:eastAsia="lt-LT"/>
              </w:rPr>
            </w:pPr>
          </w:p>
          <w:p w14:paraId="7A6C9F2C" w14:textId="6725AEFB" w:rsidR="00D970E4" w:rsidRDefault="00D970E4" w:rsidP="00F20C1A">
            <w:pPr>
              <w:spacing w:line="276" w:lineRule="auto"/>
              <w:rPr>
                <w:bCs/>
                <w:color w:val="000000"/>
                <w:lang w:eastAsia="lt-LT"/>
              </w:rPr>
            </w:pPr>
          </w:p>
          <w:p w14:paraId="2BB6BD0F" w14:textId="16E59951" w:rsidR="00D970E4" w:rsidRDefault="00D970E4" w:rsidP="00F20C1A">
            <w:pPr>
              <w:spacing w:line="276" w:lineRule="auto"/>
              <w:rPr>
                <w:bCs/>
                <w:color w:val="000000"/>
                <w:lang w:eastAsia="lt-LT"/>
              </w:rPr>
            </w:pPr>
          </w:p>
          <w:p w14:paraId="01377C9D" w14:textId="7EBC2898" w:rsidR="00D970E4" w:rsidRDefault="00D970E4" w:rsidP="00F20C1A">
            <w:pPr>
              <w:spacing w:line="276" w:lineRule="auto"/>
              <w:rPr>
                <w:bCs/>
                <w:color w:val="000000"/>
                <w:lang w:eastAsia="lt-LT"/>
              </w:rPr>
            </w:pPr>
          </w:p>
          <w:p w14:paraId="136E50EC" w14:textId="09E9D927" w:rsidR="00D970E4" w:rsidRDefault="00D970E4" w:rsidP="00F20C1A">
            <w:pPr>
              <w:spacing w:line="276" w:lineRule="auto"/>
              <w:rPr>
                <w:bCs/>
                <w:color w:val="000000"/>
                <w:lang w:eastAsia="lt-LT"/>
              </w:rPr>
            </w:pPr>
          </w:p>
          <w:p w14:paraId="6B3C527B" w14:textId="202D84A5" w:rsidR="00D970E4" w:rsidRDefault="00D970E4" w:rsidP="00F20C1A">
            <w:pPr>
              <w:spacing w:line="276" w:lineRule="auto"/>
              <w:rPr>
                <w:bCs/>
                <w:color w:val="000000"/>
                <w:lang w:eastAsia="lt-LT"/>
              </w:rPr>
            </w:pPr>
          </w:p>
          <w:p w14:paraId="0D46828A" w14:textId="39583DB6" w:rsidR="00D970E4" w:rsidRDefault="00D970E4" w:rsidP="00F20C1A">
            <w:pPr>
              <w:spacing w:line="276" w:lineRule="auto"/>
              <w:rPr>
                <w:bCs/>
                <w:color w:val="000000"/>
                <w:lang w:eastAsia="lt-LT"/>
              </w:rPr>
            </w:pPr>
          </w:p>
          <w:p w14:paraId="09443FF8" w14:textId="4D0006A9" w:rsidR="00D970E4" w:rsidRDefault="00D970E4" w:rsidP="00F20C1A">
            <w:pPr>
              <w:spacing w:line="276" w:lineRule="auto"/>
              <w:rPr>
                <w:bCs/>
                <w:color w:val="000000"/>
                <w:lang w:eastAsia="lt-LT"/>
              </w:rPr>
            </w:pPr>
          </w:p>
          <w:p w14:paraId="150C5C6F" w14:textId="77777777" w:rsidR="00D970E4" w:rsidRDefault="00D970E4" w:rsidP="00F20C1A">
            <w:pPr>
              <w:spacing w:line="276" w:lineRule="auto"/>
              <w:rPr>
                <w:bCs/>
                <w:color w:val="000000"/>
                <w:lang w:eastAsia="lt-LT"/>
              </w:rPr>
            </w:pPr>
          </w:p>
          <w:p w14:paraId="3A6B054C" w14:textId="77777777" w:rsidR="00AE1322" w:rsidRDefault="00AE1322" w:rsidP="00F20C1A">
            <w:pPr>
              <w:spacing w:line="276" w:lineRule="auto"/>
              <w:rPr>
                <w:bCs/>
                <w:color w:val="000000"/>
                <w:lang w:eastAsia="lt-LT"/>
              </w:rPr>
            </w:pPr>
          </w:p>
          <w:p w14:paraId="6B4FEEC1" w14:textId="378668B0" w:rsidR="00B13D65" w:rsidRPr="00E33EFF" w:rsidRDefault="007656B2" w:rsidP="00F20C1A">
            <w:pPr>
              <w:spacing w:line="276" w:lineRule="auto"/>
              <w:rPr>
                <w:bCs/>
                <w:color w:val="000000"/>
                <w:lang w:eastAsia="lt-LT"/>
              </w:rPr>
            </w:pPr>
            <w:r w:rsidRPr="00E33EFF">
              <w:rPr>
                <w:bCs/>
                <w:color w:val="000000"/>
                <w:lang w:eastAsia="lt-LT"/>
              </w:rPr>
              <w:t>K</w:t>
            </w:r>
            <w:r w:rsidR="00B13D65" w:rsidRPr="00E33EFF">
              <w:rPr>
                <w:bCs/>
                <w:color w:val="000000"/>
                <w:lang w:eastAsia="lt-LT"/>
              </w:rPr>
              <w:t>odas</w:t>
            </w:r>
            <w:r w:rsidRPr="00E33EFF">
              <w:rPr>
                <w:bCs/>
                <w:color w:val="000000"/>
                <w:lang w:eastAsia="lt-LT"/>
              </w:rPr>
              <w:t xml:space="preserve"> pagal TLK-10 AM</w:t>
            </w:r>
          </w:p>
        </w:tc>
        <w:tc>
          <w:tcPr>
            <w:tcW w:w="5167" w:type="dxa"/>
          </w:tcPr>
          <w:p w14:paraId="021ABADC" w14:textId="77777777" w:rsidR="00EC7EDF" w:rsidRPr="00D87E61" w:rsidRDefault="00EC7EDF" w:rsidP="00F20C1A">
            <w:pPr>
              <w:spacing w:line="276" w:lineRule="auto"/>
              <w:rPr>
                <w:color w:val="000000"/>
                <w:lang w:eastAsia="lt-LT"/>
              </w:rPr>
            </w:pPr>
            <w:proofErr w:type="spellStart"/>
            <w:r w:rsidRPr="00D87E61">
              <w:rPr>
                <w:color w:val="000000"/>
                <w:lang w:eastAsia="lt-LT"/>
              </w:rPr>
              <w:t>Tevimbra</w:t>
            </w:r>
            <w:proofErr w:type="spellEnd"/>
            <w:r w:rsidRPr="00D87E61">
              <w:rPr>
                <w:color w:val="000000"/>
                <w:lang w:eastAsia="lt-LT"/>
              </w:rPr>
              <w:t xml:space="preserve"> derinyje su </w:t>
            </w:r>
            <w:proofErr w:type="spellStart"/>
            <w:r w:rsidRPr="00D87E61">
              <w:rPr>
                <w:color w:val="000000"/>
                <w:lang w:eastAsia="lt-LT"/>
              </w:rPr>
              <w:t>karboplatina</w:t>
            </w:r>
            <w:proofErr w:type="spellEnd"/>
            <w:r w:rsidRPr="00D87E61">
              <w:rPr>
                <w:color w:val="000000"/>
                <w:lang w:eastAsia="lt-LT"/>
              </w:rPr>
              <w:t xml:space="preserve"> ir arba </w:t>
            </w:r>
            <w:proofErr w:type="spellStart"/>
            <w:r w:rsidRPr="00D87E61">
              <w:rPr>
                <w:color w:val="000000"/>
                <w:lang w:eastAsia="lt-LT"/>
              </w:rPr>
              <w:t>paklitakseliu</w:t>
            </w:r>
            <w:proofErr w:type="spellEnd"/>
            <w:r w:rsidRPr="00D87E61">
              <w:rPr>
                <w:color w:val="000000"/>
                <w:lang w:eastAsia="lt-LT"/>
              </w:rPr>
              <w:t xml:space="preserve">, arba </w:t>
            </w:r>
            <w:proofErr w:type="spellStart"/>
            <w:r w:rsidRPr="00D87E61">
              <w:rPr>
                <w:color w:val="000000"/>
                <w:lang w:eastAsia="lt-LT"/>
              </w:rPr>
              <w:t>nabpaklitakseliu</w:t>
            </w:r>
            <w:proofErr w:type="spellEnd"/>
            <w:r w:rsidRPr="00D87E61">
              <w:rPr>
                <w:color w:val="000000"/>
                <w:lang w:eastAsia="lt-LT"/>
              </w:rPr>
              <w:t xml:space="preserve"> skirtas suaugusių pacientų, kuriems diagnozuotas </w:t>
            </w:r>
            <w:proofErr w:type="spellStart"/>
            <w:r w:rsidRPr="00D87E61">
              <w:rPr>
                <w:color w:val="000000"/>
                <w:lang w:eastAsia="lt-LT"/>
              </w:rPr>
              <w:t>plokščialąstelinis</w:t>
            </w:r>
            <w:proofErr w:type="spellEnd"/>
            <w:r w:rsidRPr="00D87E61">
              <w:rPr>
                <w:color w:val="000000"/>
                <w:lang w:eastAsia="lt-LT"/>
              </w:rPr>
              <w:t xml:space="preserve"> NSLPV, pirmos eilės gydymui, kai yra:</w:t>
            </w:r>
          </w:p>
          <w:p w14:paraId="567F4B55" w14:textId="77777777" w:rsidR="00EC7EDF" w:rsidRPr="00D87E61" w:rsidRDefault="00EC7EDF" w:rsidP="00F20C1A">
            <w:pPr>
              <w:spacing w:line="276" w:lineRule="auto"/>
              <w:rPr>
                <w:color w:val="000000"/>
                <w:lang w:eastAsia="lt-LT"/>
              </w:rPr>
            </w:pPr>
            <w:r w:rsidRPr="00D87E61">
              <w:rPr>
                <w:color w:val="000000"/>
                <w:lang w:eastAsia="lt-LT"/>
              </w:rPr>
              <w:t>•</w:t>
            </w:r>
            <w:r w:rsidRPr="00D87E61">
              <w:rPr>
                <w:color w:val="000000"/>
                <w:lang w:eastAsia="lt-LT"/>
              </w:rPr>
              <w:tab/>
              <w:t xml:space="preserve">vietiškai išplitęs NSLPV ir pacientams neketinama atlikti chirurginės </w:t>
            </w:r>
            <w:proofErr w:type="spellStart"/>
            <w:r w:rsidRPr="00D87E61">
              <w:rPr>
                <w:color w:val="000000"/>
                <w:lang w:eastAsia="lt-LT"/>
              </w:rPr>
              <w:t>rezekcijos</w:t>
            </w:r>
            <w:proofErr w:type="spellEnd"/>
            <w:r w:rsidRPr="00D87E61">
              <w:rPr>
                <w:color w:val="000000"/>
                <w:lang w:eastAsia="lt-LT"/>
              </w:rPr>
              <w:t xml:space="preserve"> ar skirti </w:t>
            </w:r>
            <w:proofErr w:type="spellStart"/>
            <w:r w:rsidRPr="00D87E61">
              <w:rPr>
                <w:color w:val="000000"/>
                <w:lang w:eastAsia="lt-LT"/>
              </w:rPr>
              <w:t>chemoradioterapijos</w:t>
            </w:r>
            <w:proofErr w:type="spellEnd"/>
            <w:r w:rsidRPr="00D87E61">
              <w:rPr>
                <w:color w:val="000000"/>
                <w:lang w:eastAsia="lt-LT"/>
              </w:rPr>
              <w:t xml:space="preserve"> su platinos vaistiniais preparatais, arba</w:t>
            </w:r>
          </w:p>
          <w:p w14:paraId="6C79EBAC" w14:textId="77777777" w:rsidR="00EC7EDF" w:rsidRPr="00D87E61" w:rsidRDefault="00EC7EDF" w:rsidP="00F20C1A">
            <w:pPr>
              <w:spacing w:line="276" w:lineRule="auto"/>
              <w:rPr>
                <w:color w:val="000000"/>
                <w:lang w:eastAsia="lt-LT"/>
              </w:rPr>
            </w:pPr>
            <w:r w:rsidRPr="00D87E61">
              <w:rPr>
                <w:color w:val="000000"/>
                <w:lang w:eastAsia="lt-LT"/>
              </w:rPr>
              <w:t>•</w:t>
            </w:r>
            <w:r w:rsidRPr="00D87E61">
              <w:rPr>
                <w:color w:val="000000"/>
                <w:lang w:eastAsia="lt-LT"/>
              </w:rPr>
              <w:tab/>
            </w:r>
            <w:proofErr w:type="spellStart"/>
            <w:r w:rsidRPr="00D87E61">
              <w:rPr>
                <w:color w:val="000000"/>
                <w:lang w:eastAsia="lt-LT"/>
              </w:rPr>
              <w:t>metastazavęs</w:t>
            </w:r>
            <w:proofErr w:type="spellEnd"/>
            <w:r w:rsidRPr="00D87E61">
              <w:rPr>
                <w:color w:val="000000"/>
                <w:lang w:eastAsia="lt-LT"/>
              </w:rPr>
              <w:t xml:space="preserve"> NSLPV.</w:t>
            </w:r>
          </w:p>
          <w:p w14:paraId="72C250B8" w14:textId="77777777" w:rsidR="00DB1E6F" w:rsidRDefault="00DB1E6F" w:rsidP="00F20C1A">
            <w:pPr>
              <w:pStyle w:val="Sraopastraipa"/>
              <w:spacing w:after="120" w:line="276" w:lineRule="auto"/>
              <w:ind w:left="0"/>
              <w:contextualSpacing w:val="0"/>
              <w:jc w:val="both"/>
              <w:rPr>
                <w:color w:val="000000"/>
                <w:lang w:eastAsia="lt-LT"/>
              </w:rPr>
            </w:pPr>
          </w:p>
          <w:p w14:paraId="3DEE58BA" w14:textId="77777777" w:rsidR="00DB1E6F" w:rsidRDefault="00DB1E6F" w:rsidP="00F20C1A">
            <w:pPr>
              <w:pStyle w:val="Sraopastraipa"/>
              <w:spacing w:after="120" w:line="276" w:lineRule="auto"/>
              <w:ind w:left="0"/>
              <w:contextualSpacing w:val="0"/>
              <w:jc w:val="both"/>
              <w:rPr>
                <w:color w:val="000000"/>
                <w:lang w:eastAsia="lt-LT"/>
              </w:rPr>
            </w:pPr>
          </w:p>
          <w:p w14:paraId="13F7DFB0" w14:textId="239FA0F3" w:rsidR="00B13D65" w:rsidRPr="00E33EFF" w:rsidRDefault="00EC7EDF" w:rsidP="00F20C1A">
            <w:pPr>
              <w:pStyle w:val="Sraopastraipa"/>
              <w:spacing w:after="120" w:line="276" w:lineRule="auto"/>
              <w:ind w:left="0"/>
              <w:contextualSpacing w:val="0"/>
              <w:jc w:val="both"/>
            </w:pPr>
            <w:r w:rsidRPr="00D87E61">
              <w:rPr>
                <w:color w:val="000000"/>
                <w:lang w:eastAsia="lt-LT"/>
              </w:rPr>
              <w:t>TLK-10 AM kodas – C34</w:t>
            </w:r>
          </w:p>
        </w:tc>
      </w:tr>
      <w:tr w:rsidR="00B13D65" w:rsidRPr="00E33EFF" w14:paraId="2F79DC08" w14:textId="77777777" w:rsidTr="00BE7489">
        <w:trPr>
          <w:trHeight w:val="378"/>
        </w:trPr>
        <w:tc>
          <w:tcPr>
            <w:tcW w:w="632" w:type="dxa"/>
          </w:tcPr>
          <w:p w14:paraId="547885A2" w14:textId="08AA8055" w:rsidR="00B13D65" w:rsidRPr="00E33EFF" w:rsidRDefault="00B13D65" w:rsidP="00F20C1A">
            <w:pPr>
              <w:spacing w:line="276" w:lineRule="auto"/>
              <w:rPr>
                <w:rFonts w:eastAsia="Arial"/>
              </w:rPr>
            </w:pPr>
            <w:r w:rsidRPr="00E33EFF">
              <w:rPr>
                <w:rFonts w:eastAsia="Arial"/>
              </w:rPr>
              <w:t>1.</w:t>
            </w:r>
            <w:r w:rsidR="002E0702" w:rsidRPr="00E33EFF">
              <w:rPr>
                <w:rFonts w:eastAsia="Arial"/>
              </w:rPr>
              <w:t>6</w:t>
            </w:r>
          </w:p>
        </w:tc>
        <w:tc>
          <w:tcPr>
            <w:tcW w:w="3694" w:type="dxa"/>
          </w:tcPr>
          <w:p w14:paraId="2EAB877F" w14:textId="39A36941" w:rsidR="00B13D65" w:rsidRPr="00E33EFF" w:rsidRDefault="007656B2" w:rsidP="00F20C1A">
            <w:pPr>
              <w:spacing w:line="276" w:lineRule="auto"/>
              <w:rPr>
                <w:bCs/>
                <w:color w:val="000000"/>
                <w:u w:val="single"/>
                <w:lang w:eastAsia="lt-LT"/>
              </w:rPr>
            </w:pPr>
            <w:r w:rsidRPr="00E33EFF">
              <w:rPr>
                <w:bCs/>
                <w:color w:val="000000"/>
                <w:lang w:eastAsia="lt-LT"/>
              </w:rPr>
              <w:t>Pareiškėjo t</w:t>
            </w:r>
            <w:r w:rsidR="00B13D65" w:rsidRPr="00E33EFF">
              <w:rPr>
                <w:bCs/>
                <w:color w:val="000000"/>
                <w:lang w:eastAsia="lt-LT"/>
              </w:rPr>
              <w:t>eikiamos skyrimo sąlygos</w:t>
            </w:r>
            <w:r w:rsidR="005B3756" w:rsidRPr="00E33EFF">
              <w:rPr>
                <w:bCs/>
                <w:color w:val="000000"/>
                <w:lang w:eastAsia="lt-LT"/>
              </w:rPr>
              <w:t xml:space="preserve"> </w:t>
            </w:r>
          </w:p>
        </w:tc>
        <w:tc>
          <w:tcPr>
            <w:tcW w:w="5167" w:type="dxa"/>
          </w:tcPr>
          <w:p w14:paraId="0579DF58" w14:textId="4B155348" w:rsidR="00B13D65" w:rsidRPr="00E33EFF" w:rsidRDefault="0047414A" w:rsidP="00F20C1A">
            <w:pPr>
              <w:spacing w:line="276" w:lineRule="auto"/>
            </w:pPr>
            <w:r>
              <w:t>Neteikiamos</w:t>
            </w:r>
          </w:p>
        </w:tc>
      </w:tr>
      <w:tr w:rsidR="00B13D65" w:rsidRPr="00E33EFF" w14:paraId="3B125269" w14:textId="77777777" w:rsidTr="00BE7489">
        <w:trPr>
          <w:trHeight w:val="378"/>
        </w:trPr>
        <w:tc>
          <w:tcPr>
            <w:tcW w:w="632" w:type="dxa"/>
          </w:tcPr>
          <w:p w14:paraId="0058E11F" w14:textId="77777777" w:rsidR="00B13D65" w:rsidRPr="00E33EFF" w:rsidRDefault="00B13D65" w:rsidP="00F20C1A">
            <w:pPr>
              <w:spacing w:line="276" w:lineRule="auto"/>
              <w:rPr>
                <w:rFonts w:eastAsia="Arial"/>
              </w:rPr>
            </w:pPr>
            <w:r w:rsidRPr="00E33EFF">
              <w:rPr>
                <w:rFonts w:eastAsia="Arial"/>
              </w:rPr>
              <w:t>1.7</w:t>
            </w:r>
          </w:p>
        </w:tc>
        <w:tc>
          <w:tcPr>
            <w:tcW w:w="3694" w:type="dxa"/>
          </w:tcPr>
          <w:p w14:paraId="738E1926" w14:textId="50A9DC79" w:rsidR="00B13D65" w:rsidRDefault="007656B2" w:rsidP="00F20C1A">
            <w:pPr>
              <w:spacing w:line="276" w:lineRule="auto"/>
              <w:rPr>
                <w:bCs/>
                <w:color w:val="000000"/>
                <w:lang w:eastAsia="lt-LT"/>
              </w:rPr>
            </w:pPr>
            <w:r w:rsidRPr="00E33EFF">
              <w:rPr>
                <w:bCs/>
                <w:color w:val="000000"/>
                <w:lang w:eastAsia="lt-LT"/>
              </w:rPr>
              <w:t>Pareiškėjo teikiamas p</w:t>
            </w:r>
            <w:r w:rsidR="00B13D65" w:rsidRPr="00E33EFF">
              <w:rPr>
                <w:bCs/>
                <w:color w:val="000000"/>
                <w:lang w:eastAsia="lt-LT"/>
              </w:rPr>
              <w:t>alyginamasis</w:t>
            </w:r>
            <w:r w:rsidR="005B3756" w:rsidRPr="00E33EFF">
              <w:rPr>
                <w:bCs/>
                <w:color w:val="000000"/>
                <w:lang w:eastAsia="lt-LT"/>
              </w:rPr>
              <w:t xml:space="preserve"> </w:t>
            </w:r>
            <w:r w:rsidR="00B13D65" w:rsidRPr="00E33EFF">
              <w:rPr>
                <w:bCs/>
                <w:color w:val="000000"/>
                <w:lang w:eastAsia="lt-LT"/>
              </w:rPr>
              <w:t>gydymas</w:t>
            </w:r>
            <w:r w:rsidR="0047414A">
              <w:rPr>
                <w:bCs/>
                <w:color w:val="000000"/>
                <w:lang w:eastAsia="lt-LT"/>
              </w:rPr>
              <w:t>:</w:t>
            </w:r>
            <w:r w:rsidR="00B13D65" w:rsidRPr="00E33EFF">
              <w:rPr>
                <w:bCs/>
                <w:color w:val="000000"/>
                <w:lang w:eastAsia="lt-LT"/>
              </w:rPr>
              <w:t xml:space="preserve"> </w:t>
            </w:r>
          </w:p>
          <w:p w14:paraId="1F7BF92F" w14:textId="6E3AE3A9" w:rsidR="007C7519" w:rsidRDefault="007C7519" w:rsidP="00F20C1A">
            <w:pPr>
              <w:spacing w:line="276" w:lineRule="auto"/>
              <w:rPr>
                <w:bCs/>
                <w:i/>
                <w:color w:val="000000"/>
                <w:lang w:eastAsia="lt-LT"/>
              </w:rPr>
            </w:pPr>
            <w:r w:rsidRPr="007C7519">
              <w:rPr>
                <w:bCs/>
                <w:i/>
                <w:color w:val="000000"/>
                <w:lang w:eastAsia="lt-LT"/>
              </w:rPr>
              <w:t>Tiesioginis</w:t>
            </w:r>
          </w:p>
          <w:p w14:paraId="643CC07B" w14:textId="2D7C9848" w:rsidR="00D970E4" w:rsidRDefault="00D970E4" w:rsidP="00F20C1A">
            <w:pPr>
              <w:spacing w:line="276" w:lineRule="auto"/>
              <w:rPr>
                <w:bCs/>
                <w:i/>
                <w:color w:val="000000"/>
                <w:lang w:eastAsia="lt-LT"/>
              </w:rPr>
            </w:pPr>
          </w:p>
          <w:p w14:paraId="1FEACC56" w14:textId="0E2E44A3" w:rsidR="00D970E4" w:rsidRDefault="00D970E4" w:rsidP="00F20C1A">
            <w:pPr>
              <w:spacing w:line="276" w:lineRule="auto"/>
              <w:rPr>
                <w:bCs/>
                <w:i/>
                <w:color w:val="000000"/>
                <w:lang w:eastAsia="lt-LT"/>
              </w:rPr>
            </w:pPr>
          </w:p>
          <w:p w14:paraId="200BD3DE" w14:textId="15C585D5" w:rsidR="00D970E4" w:rsidRPr="007C7519" w:rsidRDefault="00D970E4" w:rsidP="00F20C1A">
            <w:pPr>
              <w:spacing w:line="276" w:lineRule="auto"/>
              <w:rPr>
                <w:bCs/>
                <w:i/>
                <w:color w:val="000000"/>
                <w:lang w:eastAsia="lt-LT"/>
              </w:rPr>
            </w:pPr>
            <w:r>
              <w:rPr>
                <w:bCs/>
                <w:i/>
                <w:color w:val="000000"/>
                <w:lang w:eastAsia="lt-LT"/>
              </w:rPr>
              <w:t>Netiesioginis</w:t>
            </w:r>
            <w:r w:rsidR="00EC7EDF">
              <w:rPr>
                <w:bCs/>
                <w:i/>
                <w:color w:val="000000"/>
                <w:lang w:eastAsia="lt-LT"/>
              </w:rPr>
              <w:t xml:space="preserve"> (</w:t>
            </w:r>
            <w:proofErr w:type="spellStart"/>
            <w:r w:rsidR="00EC7EDF">
              <w:rPr>
                <w:bCs/>
                <w:i/>
                <w:color w:val="000000"/>
                <w:lang w:eastAsia="lt-LT"/>
              </w:rPr>
              <w:t>pembrolizumabas</w:t>
            </w:r>
            <w:proofErr w:type="spellEnd"/>
            <w:r w:rsidR="00EC7EDF">
              <w:rPr>
                <w:bCs/>
                <w:i/>
                <w:color w:val="000000"/>
                <w:lang w:eastAsia="lt-LT"/>
              </w:rPr>
              <w:t xml:space="preserve"> su </w:t>
            </w:r>
            <w:proofErr w:type="spellStart"/>
            <w:r w:rsidR="00EC7EDF">
              <w:rPr>
                <w:bCs/>
                <w:i/>
                <w:color w:val="000000"/>
                <w:lang w:eastAsia="lt-LT"/>
              </w:rPr>
              <w:t>karboplatina</w:t>
            </w:r>
            <w:proofErr w:type="spellEnd"/>
            <w:r w:rsidR="00EC7EDF">
              <w:rPr>
                <w:bCs/>
                <w:i/>
                <w:color w:val="000000"/>
                <w:lang w:eastAsia="lt-LT"/>
              </w:rPr>
              <w:t xml:space="preserve"> </w:t>
            </w:r>
            <w:proofErr w:type="spellStart"/>
            <w:r w:rsidR="00EC7EDF">
              <w:rPr>
                <w:bCs/>
                <w:i/>
                <w:color w:val="000000"/>
                <w:lang w:eastAsia="lt-LT"/>
              </w:rPr>
              <w:t>iir</w:t>
            </w:r>
            <w:proofErr w:type="spellEnd"/>
            <w:r w:rsidR="00EC7EDF">
              <w:rPr>
                <w:bCs/>
                <w:i/>
                <w:color w:val="000000"/>
                <w:lang w:eastAsia="lt-LT"/>
              </w:rPr>
              <w:t xml:space="preserve"> </w:t>
            </w:r>
            <w:proofErr w:type="spellStart"/>
            <w:r w:rsidR="00EC7EDF">
              <w:rPr>
                <w:bCs/>
                <w:i/>
                <w:color w:val="000000"/>
                <w:lang w:eastAsia="lt-LT"/>
              </w:rPr>
              <w:t>paklitakseliu</w:t>
            </w:r>
            <w:proofErr w:type="spellEnd"/>
            <w:r w:rsidR="00EC7EDF">
              <w:rPr>
                <w:bCs/>
                <w:i/>
                <w:color w:val="000000"/>
                <w:lang w:eastAsia="lt-LT"/>
              </w:rPr>
              <w:t>)</w:t>
            </w:r>
          </w:p>
          <w:p w14:paraId="62057D94" w14:textId="77777777" w:rsidR="00413F24" w:rsidRPr="00E33EFF" w:rsidRDefault="00413F24" w:rsidP="00F20C1A">
            <w:pPr>
              <w:spacing w:line="276" w:lineRule="auto"/>
              <w:rPr>
                <w:bCs/>
                <w:color w:val="000000"/>
                <w:lang w:eastAsia="lt-LT"/>
              </w:rPr>
            </w:pPr>
          </w:p>
          <w:p w14:paraId="6CC1022E" w14:textId="2B6BCEE1" w:rsidR="009F4D66" w:rsidRPr="00E33EFF" w:rsidRDefault="009F4D66" w:rsidP="00F20C1A">
            <w:pPr>
              <w:spacing w:line="276" w:lineRule="auto"/>
              <w:rPr>
                <w:bCs/>
                <w:color w:val="000000"/>
                <w:lang w:eastAsia="lt-LT"/>
              </w:rPr>
            </w:pPr>
          </w:p>
        </w:tc>
        <w:tc>
          <w:tcPr>
            <w:tcW w:w="5167" w:type="dxa"/>
          </w:tcPr>
          <w:p w14:paraId="3E389C70" w14:textId="22AFFC76" w:rsidR="0047414A" w:rsidRDefault="0047414A" w:rsidP="00F20C1A">
            <w:pPr>
              <w:spacing w:line="276" w:lineRule="auto"/>
              <w:rPr>
                <w:rStyle w:val="Style2"/>
                <w:sz w:val="24"/>
              </w:rPr>
            </w:pPr>
          </w:p>
          <w:p w14:paraId="0AC43073" w14:textId="77777777" w:rsidR="00D970E4" w:rsidRPr="00E33EFF" w:rsidRDefault="00D970E4" w:rsidP="00F20C1A">
            <w:pPr>
              <w:spacing w:line="276" w:lineRule="auto"/>
            </w:pPr>
          </w:p>
          <w:p w14:paraId="2383573D" w14:textId="77777777" w:rsidR="00D970E4" w:rsidRPr="00E33EFF" w:rsidRDefault="00000000" w:rsidP="00F20C1A">
            <w:pPr>
              <w:spacing w:line="276" w:lineRule="auto"/>
            </w:pPr>
            <w:sdt>
              <w:sdtPr>
                <w:rPr>
                  <w:rStyle w:val="Style2"/>
                  <w:sz w:val="24"/>
                </w:rPr>
                <w:id w:val="-439376113"/>
                <w15:color w:val="FFCC00"/>
                <w14:checkbox>
                  <w14:checked w14:val="0"/>
                  <w14:checkedState w14:val="2612" w14:font="MS Gothic"/>
                  <w14:uncheckedState w14:val="2610" w14:font="MS Gothic"/>
                </w14:checkbox>
              </w:sdtPr>
              <w:sdtContent>
                <w:r w:rsidR="00D970E4">
                  <w:rPr>
                    <w:rStyle w:val="Style2"/>
                    <w:rFonts w:ascii="MS Gothic" w:eastAsia="MS Gothic" w:hAnsi="MS Gothic" w:hint="eastAsia"/>
                    <w:sz w:val="24"/>
                  </w:rPr>
                  <w:t>☐</w:t>
                </w:r>
              </w:sdtContent>
            </w:sdt>
            <w:r w:rsidR="00D970E4" w:rsidRPr="00E33EFF">
              <w:t xml:space="preserve"> Tinkamas</w:t>
            </w:r>
          </w:p>
          <w:p w14:paraId="5474EFC4" w14:textId="00B68021" w:rsidR="0047414A" w:rsidRDefault="00000000" w:rsidP="00F20C1A">
            <w:pPr>
              <w:spacing w:line="276" w:lineRule="auto"/>
              <w:rPr>
                <w:rStyle w:val="Style2"/>
                <w:sz w:val="24"/>
              </w:rPr>
            </w:pPr>
            <w:sdt>
              <w:sdtPr>
                <w:rPr>
                  <w:rStyle w:val="Style2"/>
                  <w:sz w:val="24"/>
                </w:rPr>
                <w:id w:val="991603600"/>
                <w15:color w:val="FFCC00"/>
                <w14:checkbox>
                  <w14:checked w14:val="1"/>
                  <w14:checkedState w14:val="2612" w14:font="MS Gothic"/>
                  <w14:uncheckedState w14:val="2610" w14:font="MS Gothic"/>
                </w14:checkbox>
              </w:sdtPr>
              <w:sdtContent>
                <w:r w:rsidR="00D970E4">
                  <w:rPr>
                    <w:rStyle w:val="Style2"/>
                    <w:rFonts w:ascii="MS Gothic" w:eastAsia="MS Gothic" w:hAnsi="MS Gothic" w:hint="eastAsia"/>
                    <w:sz w:val="24"/>
                  </w:rPr>
                  <w:t>☒</w:t>
                </w:r>
              </w:sdtContent>
            </w:sdt>
            <w:r w:rsidR="00D970E4" w:rsidRPr="00E33EFF">
              <w:t xml:space="preserve"> Netinkama</w:t>
            </w:r>
            <w:r w:rsidR="00D970E4">
              <w:t>s</w:t>
            </w:r>
          </w:p>
          <w:p w14:paraId="5481FC83" w14:textId="77777777" w:rsidR="007C7519" w:rsidRDefault="007C7519" w:rsidP="00F20C1A">
            <w:pPr>
              <w:spacing w:line="276" w:lineRule="auto"/>
              <w:rPr>
                <w:rStyle w:val="Style2"/>
                <w:sz w:val="24"/>
              </w:rPr>
            </w:pPr>
          </w:p>
          <w:p w14:paraId="66741CBF" w14:textId="03099B04" w:rsidR="0047414A" w:rsidRPr="00E33EFF" w:rsidRDefault="00000000" w:rsidP="00F20C1A">
            <w:pPr>
              <w:spacing w:line="276" w:lineRule="auto"/>
            </w:pPr>
            <w:sdt>
              <w:sdtPr>
                <w:rPr>
                  <w:rStyle w:val="Style2"/>
                  <w:sz w:val="24"/>
                </w:rPr>
                <w:id w:val="-834302966"/>
                <w15:color w:val="FFCC00"/>
                <w14:checkbox>
                  <w14:checked w14:val="1"/>
                  <w14:checkedState w14:val="2612" w14:font="MS Gothic"/>
                  <w14:uncheckedState w14:val="2610" w14:font="MS Gothic"/>
                </w14:checkbox>
              </w:sdtPr>
              <w:sdtContent>
                <w:r w:rsidR="0047414A">
                  <w:rPr>
                    <w:rStyle w:val="Style2"/>
                    <w:rFonts w:ascii="MS Gothic" w:eastAsia="MS Gothic" w:hAnsi="MS Gothic" w:hint="eastAsia"/>
                    <w:sz w:val="24"/>
                  </w:rPr>
                  <w:t>☒</w:t>
                </w:r>
              </w:sdtContent>
            </w:sdt>
            <w:r w:rsidR="0047414A" w:rsidRPr="00E33EFF">
              <w:t xml:space="preserve"> Tinkamas</w:t>
            </w:r>
          </w:p>
          <w:p w14:paraId="41B44044" w14:textId="2E013ACA" w:rsidR="00B13D65" w:rsidRPr="00E33EFF" w:rsidRDefault="00000000" w:rsidP="00F20C1A">
            <w:pPr>
              <w:spacing w:line="276" w:lineRule="auto"/>
            </w:pPr>
            <w:sdt>
              <w:sdtPr>
                <w:rPr>
                  <w:rStyle w:val="Style2"/>
                  <w:sz w:val="24"/>
                </w:rPr>
                <w:id w:val="-352420698"/>
                <w15:color w:val="FFCC00"/>
                <w14:checkbox>
                  <w14:checked w14:val="0"/>
                  <w14:checkedState w14:val="2612" w14:font="MS Gothic"/>
                  <w14:uncheckedState w14:val="2610" w14:font="MS Gothic"/>
                </w14:checkbox>
              </w:sdtPr>
              <w:sdtContent>
                <w:r w:rsidR="00D970E4">
                  <w:rPr>
                    <w:rStyle w:val="Style2"/>
                    <w:rFonts w:ascii="MS Gothic" w:eastAsia="MS Gothic" w:hAnsi="MS Gothic" w:hint="eastAsia"/>
                    <w:sz w:val="24"/>
                  </w:rPr>
                  <w:t>☐</w:t>
                </w:r>
              </w:sdtContent>
            </w:sdt>
            <w:r w:rsidR="009F4D66" w:rsidRPr="00E33EFF">
              <w:t xml:space="preserve"> Netinkama</w:t>
            </w:r>
            <w:r w:rsidR="0047414A">
              <w:t>s</w:t>
            </w:r>
          </w:p>
        </w:tc>
      </w:tr>
    </w:tbl>
    <w:p w14:paraId="108176F7" w14:textId="640C6F75" w:rsidR="00F70C9E" w:rsidRPr="00E33EFF" w:rsidRDefault="00F70C9E" w:rsidP="00F20C1A">
      <w:pPr>
        <w:pStyle w:val="Sraopastraipa"/>
        <w:tabs>
          <w:tab w:val="left" w:pos="426"/>
        </w:tabs>
        <w:spacing w:line="276" w:lineRule="auto"/>
        <w:ind w:left="0"/>
        <w:rPr>
          <w:b/>
          <w:bCs/>
          <w:caps/>
        </w:rPr>
      </w:pPr>
    </w:p>
    <w:p w14:paraId="2871CA7F" w14:textId="2370BDDB" w:rsidR="00F70C9E" w:rsidRPr="00E33EFF" w:rsidRDefault="00F70C9E" w:rsidP="00F20C1A">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30721FDD" w14:textId="77777777" w:rsidR="00F70C9E" w:rsidRPr="00E33EFF" w:rsidRDefault="00F70C9E" w:rsidP="00F20C1A">
      <w:pPr>
        <w:spacing w:line="276" w:lineRule="auto"/>
        <w:rPr>
          <w:rFonts w:eastAsia="Arial"/>
        </w:rPr>
      </w:pPr>
    </w:p>
    <w:tbl>
      <w:tblPr>
        <w:tblStyle w:val="Lentelstinklelis"/>
        <w:tblW w:w="0" w:type="auto"/>
        <w:tblLook w:val="04A0" w:firstRow="1" w:lastRow="0" w:firstColumn="1" w:lastColumn="0" w:noHBand="0" w:noVBand="1"/>
      </w:tblPr>
      <w:tblGrid>
        <w:gridCol w:w="2855"/>
        <w:gridCol w:w="1851"/>
        <w:gridCol w:w="2244"/>
        <w:gridCol w:w="2543"/>
      </w:tblGrid>
      <w:tr w:rsidR="00F70C9E" w:rsidRPr="00E33EFF" w14:paraId="7E72828B" w14:textId="77777777" w:rsidTr="00BE7489">
        <w:trPr>
          <w:trHeight w:val="924"/>
        </w:trPr>
        <w:tc>
          <w:tcPr>
            <w:tcW w:w="2855" w:type="dxa"/>
          </w:tcPr>
          <w:p w14:paraId="253D1DD4" w14:textId="5B2616C0" w:rsidR="00F70C9E" w:rsidRPr="00E33EFF" w:rsidRDefault="00F70C9E" w:rsidP="00F20C1A">
            <w:pPr>
              <w:spacing w:line="276" w:lineRule="auto"/>
              <w:rPr>
                <w:rFonts w:eastAsia="Arial"/>
              </w:rPr>
            </w:pPr>
            <w:r w:rsidRPr="00E33EFF">
              <w:rPr>
                <w:rFonts w:eastAsia="Arial"/>
              </w:rPr>
              <w:t>ST</w:t>
            </w:r>
            <w:r w:rsidR="00DF583C" w:rsidRPr="00E33EFF">
              <w:rPr>
                <w:rFonts w:eastAsia="Arial"/>
              </w:rPr>
              <w:t>V</w:t>
            </w:r>
            <w:r w:rsidRPr="00E33EFF">
              <w:rPr>
                <w:rFonts w:eastAsia="Arial"/>
              </w:rPr>
              <w:t xml:space="preserve"> agentūros pavadinimas, šalis</w:t>
            </w:r>
          </w:p>
        </w:tc>
        <w:tc>
          <w:tcPr>
            <w:tcW w:w="1851" w:type="dxa"/>
          </w:tcPr>
          <w:p w14:paraId="34AE1EDD" w14:textId="77777777" w:rsidR="00F70C9E" w:rsidRPr="00E33EFF" w:rsidRDefault="00F70C9E" w:rsidP="00F20C1A">
            <w:pPr>
              <w:spacing w:line="276" w:lineRule="auto"/>
              <w:rPr>
                <w:rFonts w:eastAsia="Arial"/>
              </w:rPr>
            </w:pPr>
            <w:r w:rsidRPr="00E33EFF">
              <w:rPr>
                <w:rFonts w:eastAsia="Arial"/>
              </w:rPr>
              <w:t>STV vertinimas atliktas</w:t>
            </w:r>
          </w:p>
        </w:tc>
        <w:tc>
          <w:tcPr>
            <w:tcW w:w="2244" w:type="dxa"/>
          </w:tcPr>
          <w:p w14:paraId="16E2DDC1" w14:textId="77777777" w:rsidR="00F70C9E" w:rsidRPr="00E33EFF" w:rsidRDefault="00F70C9E" w:rsidP="00F20C1A">
            <w:pPr>
              <w:spacing w:line="276" w:lineRule="auto"/>
              <w:rPr>
                <w:rFonts w:eastAsia="Arial"/>
              </w:rPr>
            </w:pPr>
            <w:r w:rsidRPr="00E33EFF">
              <w:rPr>
                <w:rFonts w:eastAsia="Arial"/>
              </w:rPr>
              <w:t>Klinikinio vertinimo išvada</w:t>
            </w:r>
          </w:p>
        </w:tc>
        <w:tc>
          <w:tcPr>
            <w:tcW w:w="2543" w:type="dxa"/>
          </w:tcPr>
          <w:p w14:paraId="1861E3F2" w14:textId="74803B5B" w:rsidR="00F70C9E" w:rsidRPr="00E33EFF" w:rsidRDefault="00F70C9E" w:rsidP="00F20C1A">
            <w:pPr>
              <w:spacing w:line="276" w:lineRule="auto"/>
              <w:rPr>
                <w:rFonts w:eastAsia="Arial"/>
              </w:rPr>
            </w:pPr>
            <w:proofErr w:type="spellStart"/>
            <w:r w:rsidRPr="00E33EFF">
              <w:rPr>
                <w:rFonts w:eastAsia="Arial"/>
              </w:rPr>
              <w:t>Farmako</w:t>
            </w:r>
            <w:r w:rsidR="00CA217D" w:rsidRPr="00E33EFF">
              <w:rPr>
                <w:rFonts w:eastAsia="Arial"/>
              </w:rPr>
              <w:t>e</w:t>
            </w:r>
            <w:r w:rsidR="00476256" w:rsidRPr="00E33EFF">
              <w:rPr>
                <w:rFonts w:eastAsia="Arial"/>
              </w:rPr>
              <w:t>ko</w:t>
            </w:r>
            <w:r w:rsidRPr="00E33EFF">
              <w:rPr>
                <w:rFonts w:eastAsia="Arial"/>
              </w:rPr>
              <w:t>nominio</w:t>
            </w:r>
            <w:proofErr w:type="spellEnd"/>
            <w:r w:rsidRPr="00E33EFF">
              <w:rPr>
                <w:rFonts w:eastAsia="Arial"/>
              </w:rPr>
              <w:t xml:space="preserve"> vertinimo išvada</w:t>
            </w:r>
          </w:p>
        </w:tc>
      </w:tr>
      <w:tr w:rsidR="00AE6EB5" w:rsidRPr="00E33EFF" w14:paraId="129FA8F6" w14:textId="77777777" w:rsidTr="00AD68EB">
        <w:trPr>
          <w:trHeight w:val="2267"/>
        </w:trPr>
        <w:tc>
          <w:tcPr>
            <w:tcW w:w="2855" w:type="dxa"/>
          </w:tcPr>
          <w:p w14:paraId="0A070137" w14:textId="77777777" w:rsidR="00AE6EB5" w:rsidRPr="00E33EFF" w:rsidRDefault="00AE6EB5" w:rsidP="00F20C1A">
            <w:pPr>
              <w:spacing w:line="276" w:lineRule="auto"/>
              <w:rPr>
                <w:bCs/>
              </w:rPr>
            </w:pPr>
            <w:r w:rsidRPr="00E33EFF">
              <w:rPr>
                <w:bCs/>
              </w:rPr>
              <w:t>Nacionalinis sveikatos ir klinikinės kompetencijos institutas, Didžioji Britanija</w:t>
            </w:r>
          </w:p>
          <w:p w14:paraId="49C6520D" w14:textId="77777777" w:rsidR="00AE6EB5" w:rsidRPr="00E33EFF" w:rsidRDefault="00AE6EB5" w:rsidP="00F20C1A">
            <w:pPr>
              <w:spacing w:line="276" w:lineRule="auto"/>
              <w:rPr>
                <w:rFonts w:eastAsia="Arial"/>
                <w:lang w:val="en-GB"/>
              </w:rPr>
            </w:pPr>
            <w:r w:rsidRPr="00E33EFF">
              <w:rPr>
                <w:rFonts w:eastAsia="Arial"/>
                <w:lang w:val="en-GB"/>
              </w:rPr>
              <w:t>(</w:t>
            </w:r>
            <w:proofErr w:type="spellStart"/>
            <w:r w:rsidRPr="00E33EFF">
              <w:rPr>
                <w:rFonts w:eastAsia="Arial"/>
                <w:lang w:val="en-GB"/>
              </w:rPr>
              <w:t>angl.</w:t>
            </w:r>
            <w:proofErr w:type="spellEnd"/>
            <w:r w:rsidRPr="00E33EFF">
              <w:rPr>
                <w:rFonts w:eastAsia="Arial"/>
                <w:lang w:val="en-GB"/>
              </w:rPr>
              <w:t xml:space="preserve"> </w:t>
            </w:r>
            <w:r w:rsidRPr="00E33EFF">
              <w:rPr>
                <w:rFonts w:eastAsia="Arial"/>
                <w:i/>
                <w:lang w:val="en-GB"/>
              </w:rPr>
              <w:t>National Institute for Health and Care  Excellence, NICE</w:t>
            </w:r>
            <w:r w:rsidRPr="00E33EFF">
              <w:rPr>
                <w:rFonts w:eastAsia="Arial"/>
                <w:lang w:val="en-GB"/>
              </w:rPr>
              <w:t>)</w:t>
            </w:r>
          </w:p>
        </w:tc>
        <w:tc>
          <w:tcPr>
            <w:tcW w:w="1851" w:type="dxa"/>
          </w:tcPr>
          <w:p w14:paraId="5846A9F8" w14:textId="77777777" w:rsidR="00AE6EB5" w:rsidRPr="00E33EFF" w:rsidRDefault="00000000" w:rsidP="00F20C1A">
            <w:pPr>
              <w:spacing w:line="276" w:lineRule="auto"/>
            </w:pPr>
            <w:sdt>
              <w:sdtPr>
                <w:rPr>
                  <w:rStyle w:val="Style2"/>
                  <w:sz w:val="24"/>
                </w:rPr>
                <w:id w:val="1558205022"/>
                <w15:color w:val="FFCC00"/>
                <w14:checkbox>
                  <w14:checked w14:val="0"/>
                  <w14:checkedState w14:val="2612" w14:font="MS Gothic"/>
                  <w14:uncheckedState w14:val="2610" w14:font="MS Gothic"/>
                </w14:checkbox>
              </w:sdtPr>
              <w:sdtContent>
                <w:r w:rsidR="00AE6EB5" w:rsidRPr="00E33EFF">
                  <w:rPr>
                    <w:rStyle w:val="Style2"/>
                    <w:rFonts w:ascii="Segoe UI Symbol" w:eastAsia="MS Gothic" w:hAnsi="Segoe UI Symbol" w:cs="Segoe UI Symbol"/>
                    <w:sz w:val="24"/>
                  </w:rPr>
                  <w:t>☐</w:t>
                </w:r>
              </w:sdtContent>
            </w:sdt>
            <w:r w:rsidR="00AE6EB5" w:rsidRPr="00E33EFF">
              <w:t xml:space="preserve"> Taip</w:t>
            </w:r>
          </w:p>
          <w:p w14:paraId="29F3627E" w14:textId="62BEA9DF" w:rsidR="00AE6EB5" w:rsidRPr="00E33EFF" w:rsidRDefault="00000000" w:rsidP="00F20C1A">
            <w:pPr>
              <w:spacing w:line="276" w:lineRule="auto"/>
            </w:pPr>
            <w:sdt>
              <w:sdtPr>
                <w:rPr>
                  <w:rStyle w:val="Style2"/>
                  <w:sz w:val="24"/>
                </w:rPr>
                <w:id w:val="866029625"/>
                <w15:color w:val="FFCC00"/>
                <w14:checkbox>
                  <w14:checked w14:val="1"/>
                  <w14:checkedState w14:val="2612" w14:font="MS Gothic"/>
                  <w14:uncheckedState w14:val="2610" w14:font="MS Gothic"/>
                </w14:checkbox>
              </w:sdtPr>
              <w:sdtContent>
                <w:r w:rsidR="00AE6EB5">
                  <w:rPr>
                    <w:rStyle w:val="Style2"/>
                    <w:rFonts w:ascii="MS Gothic" w:eastAsia="MS Gothic" w:hAnsi="MS Gothic" w:hint="eastAsia"/>
                    <w:sz w:val="24"/>
                  </w:rPr>
                  <w:t>☒</w:t>
                </w:r>
              </w:sdtContent>
            </w:sdt>
            <w:r w:rsidR="00AE6EB5" w:rsidRPr="00E33EFF">
              <w:t xml:space="preserve"> Ne</w:t>
            </w:r>
          </w:p>
          <w:p w14:paraId="7916359D" w14:textId="77777777" w:rsidR="00AE6EB5" w:rsidRPr="00E33EFF" w:rsidRDefault="00000000" w:rsidP="00F20C1A">
            <w:pPr>
              <w:spacing w:line="276" w:lineRule="auto"/>
              <w:rPr>
                <w:rFonts w:eastAsia="Arial"/>
              </w:rPr>
            </w:pPr>
            <w:sdt>
              <w:sdtPr>
                <w:alias w:val="Nurodykite konkrečią dieną"/>
                <w:tag w:val="Nurodykite pradžios datą"/>
                <w:id w:val="922837954"/>
                <w:placeholder>
                  <w:docPart w:val="7D2FA397FDB847E29A7728C520221232"/>
                </w:placeholder>
                <w:showingPlcHdr/>
                <w15:color w:val="FFCC99"/>
                <w:date w:fullDate="2022-05-18T00:00:00Z">
                  <w:dateFormat w:val="yyyy 'm.' MMMM d 'd.'"/>
                  <w:lid w:val="lt-LT"/>
                  <w:storeMappedDataAs w:val="dateTime"/>
                  <w:calendar w:val="gregorian"/>
                </w:date>
              </w:sdtPr>
              <w:sdtContent>
                <w:r w:rsidR="00AE6EB5" w:rsidRPr="00E33EFF">
                  <w:rPr>
                    <w:rStyle w:val="Vietosrezervavimoenklotekstas"/>
                  </w:rPr>
                  <w:t>Click here to enter a date.</w:t>
                </w:r>
              </w:sdtContent>
            </w:sdt>
          </w:p>
        </w:tc>
        <w:tc>
          <w:tcPr>
            <w:tcW w:w="4787" w:type="dxa"/>
            <w:gridSpan w:val="2"/>
          </w:tcPr>
          <w:p w14:paraId="67430EE7" w14:textId="04A93313" w:rsidR="00AE6EB5" w:rsidRPr="00E33EFF" w:rsidRDefault="00AE6EB5" w:rsidP="00F20C1A">
            <w:pPr>
              <w:spacing w:line="276" w:lineRule="auto"/>
              <w:rPr>
                <w:rFonts w:eastAsia="Arial"/>
              </w:rPr>
            </w:pPr>
            <w:r>
              <w:rPr>
                <w:rFonts w:eastAsia="Arial"/>
              </w:rPr>
              <w:t>Šiuo metu vyksta vertinimas</w:t>
            </w:r>
          </w:p>
        </w:tc>
      </w:tr>
      <w:tr w:rsidR="00F70C9E" w:rsidRPr="00E33EFF" w14:paraId="1CC31474" w14:textId="77777777" w:rsidTr="00BE7489">
        <w:trPr>
          <w:trHeight w:val="1547"/>
        </w:trPr>
        <w:tc>
          <w:tcPr>
            <w:tcW w:w="2855" w:type="dxa"/>
          </w:tcPr>
          <w:p w14:paraId="12218E35" w14:textId="77777777" w:rsidR="00F70C9E" w:rsidRPr="00E33EFF" w:rsidRDefault="00F70C9E" w:rsidP="00F20C1A">
            <w:pPr>
              <w:spacing w:line="276" w:lineRule="auto"/>
              <w:rPr>
                <w:rFonts w:eastAsia="Arial"/>
                <w:lang w:val="en-GB"/>
              </w:rPr>
            </w:pPr>
            <w:proofErr w:type="spellStart"/>
            <w:r w:rsidRPr="00E33EFF">
              <w:rPr>
                <w:rFonts w:eastAsia="Arial"/>
                <w:lang w:val="en-GB"/>
              </w:rPr>
              <w:t>Kanados</w:t>
            </w:r>
            <w:proofErr w:type="spellEnd"/>
            <w:r w:rsidRPr="00E33EFF">
              <w:rPr>
                <w:rFonts w:eastAsia="Arial"/>
                <w:lang w:val="en-GB"/>
              </w:rPr>
              <w:t xml:space="preserve"> </w:t>
            </w:r>
            <w:proofErr w:type="spellStart"/>
            <w:r w:rsidRPr="00E33EFF">
              <w:rPr>
                <w:rFonts w:eastAsia="Arial"/>
                <w:lang w:val="en-GB"/>
              </w:rPr>
              <w:t>sveikatos</w:t>
            </w:r>
            <w:proofErr w:type="spellEnd"/>
            <w:r w:rsidRPr="00E33EFF">
              <w:rPr>
                <w:rFonts w:eastAsia="Arial"/>
                <w:lang w:val="en-GB"/>
              </w:rPr>
              <w:t xml:space="preserve"> </w:t>
            </w:r>
            <w:proofErr w:type="spellStart"/>
            <w:r w:rsidRPr="00E33EFF">
              <w:rPr>
                <w:rFonts w:eastAsia="Arial"/>
                <w:lang w:val="en-GB"/>
              </w:rPr>
              <w:t>technologijų</w:t>
            </w:r>
            <w:proofErr w:type="spellEnd"/>
            <w:r w:rsidRPr="00E33EFF">
              <w:rPr>
                <w:rFonts w:eastAsia="Arial"/>
                <w:lang w:val="en-GB"/>
              </w:rPr>
              <w:t xml:space="preserve"> </w:t>
            </w:r>
            <w:proofErr w:type="spellStart"/>
            <w:r w:rsidRPr="00E33EFF">
              <w:rPr>
                <w:rFonts w:eastAsia="Arial"/>
                <w:lang w:val="en-GB"/>
              </w:rPr>
              <w:t>agentūra</w:t>
            </w:r>
            <w:proofErr w:type="spellEnd"/>
          </w:p>
          <w:p w14:paraId="2C593A82" w14:textId="77777777" w:rsidR="00F70C9E" w:rsidRPr="00E33EFF" w:rsidRDefault="00F70C9E" w:rsidP="00F20C1A">
            <w:pPr>
              <w:spacing w:line="276" w:lineRule="auto"/>
              <w:rPr>
                <w:rFonts w:eastAsia="Arial"/>
                <w:lang w:val="en-GB"/>
              </w:rPr>
            </w:pPr>
            <w:r w:rsidRPr="00E33EFF">
              <w:rPr>
                <w:rFonts w:eastAsia="Arial"/>
                <w:lang w:val="en-GB"/>
              </w:rPr>
              <w:t>(</w:t>
            </w:r>
            <w:proofErr w:type="spellStart"/>
            <w:r w:rsidRPr="00E33EFF">
              <w:rPr>
                <w:rFonts w:eastAsia="Arial"/>
                <w:lang w:val="en-GB"/>
              </w:rPr>
              <w:t>angl.</w:t>
            </w:r>
            <w:proofErr w:type="spellEnd"/>
            <w:r w:rsidRPr="00E33EFF">
              <w:rPr>
                <w:rFonts w:eastAsia="Arial"/>
                <w:lang w:val="en-GB"/>
              </w:rPr>
              <w:t xml:space="preserve"> </w:t>
            </w:r>
            <w:r w:rsidRPr="00E33EFF">
              <w:rPr>
                <w:rFonts w:eastAsia="Arial"/>
                <w:i/>
                <w:lang w:val="en-GB"/>
              </w:rPr>
              <w:t>Canadian health Technology Assessment agency, CADTH</w:t>
            </w:r>
            <w:r w:rsidRPr="00E33EFF">
              <w:rPr>
                <w:rFonts w:eastAsia="Arial"/>
                <w:lang w:val="en-GB"/>
              </w:rPr>
              <w:t>)</w:t>
            </w:r>
          </w:p>
        </w:tc>
        <w:tc>
          <w:tcPr>
            <w:tcW w:w="1851" w:type="dxa"/>
          </w:tcPr>
          <w:p w14:paraId="762649FE" w14:textId="77777777" w:rsidR="00F70C9E" w:rsidRPr="00E33EFF" w:rsidRDefault="00000000" w:rsidP="00F20C1A">
            <w:pPr>
              <w:spacing w:line="276" w:lineRule="auto"/>
            </w:pPr>
            <w:sdt>
              <w:sdtPr>
                <w:rPr>
                  <w:rStyle w:val="Style2"/>
                  <w:sz w:val="24"/>
                </w:rPr>
                <w:id w:val="-372539057"/>
                <w15:color w:val="FFCC00"/>
                <w14:checkbox>
                  <w14:checked w14:val="0"/>
                  <w14:checkedState w14:val="2612" w14:font="MS Gothic"/>
                  <w14:uncheckedState w14:val="2610" w14:font="MS Gothic"/>
                </w14:checkbox>
              </w:sdtPr>
              <w:sdtContent>
                <w:r w:rsidR="00F70C9E" w:rsidRPr="00E33EFF">
                  <w:rPr>
                    <w:rStyle w:val="Style2"/>
                    <w:rFonts w:ascii="Segoe UI Symbol" w:eastAsia="MS Gothic" w:hAnsi="Segoe UI Symbol" w:cs="Segoe UI Symbol"/>
                    <w:sz w:val="24"/>
                  </w:rPr>
                  <w:t>☐</w:t>
                </w:r>
              </w:sdtContent>
            </w:sdt>
            <w:r w:rsidR="00F70C9E" w:rsidRPr="00E33EFF">
              <w:t xml:space="preserve"> Taip</w:t>
            </w:r>
          </w:p>
          <w:p w14:paraId="35F17B07" w14:textId="5FD2D949" w:rsidR="00F70C9E" w:rsidRPr="00E33EFF" w:rsidRDefault="00000000" w:rsidP="00F20C1A">
            <w:pPr>
              <w:spacing w:line="276" w:lineRule="auto"/>
            </w:pPr>
            <w:sdt>
              <w:sdtPr>
                <w:rPr>
                  <w:rStyle w:val="Style2"/>
                  <w:sz w:val="24"/>
                </w:rPr>
                <w:id w:val="594442222"/>
                <w15:color w:val="FFCC00"/>
                <w14:checkbox>
                  <w14:checked w14:val="1"/>
                  <w14:checkedState w14:val="2612" w14:font="MS Gothic"/>
                  <w14:uncheckedState w14:val="2610" w14:font="MS Gothic"/>
                </w14:checkbox>
              </w:sdtPr>
              <w:sdtContent>
                <w:r w:rsidR="00AE6EB5">
                  <w:rPr>
                    <w:rStyle w:val="Style2"/>
                    <w:rFonts w:ascii="MS Gothic" w:eastAsia="MS Gothic" w:hAnsi="MS Gothic" w:hint="eastAsia"/>
                    <w:sz w:val="24"/>
                  </w:rPr>
                  <w:t>☒</w:t>
                </w:r>
              </w:sdtContent>
            </w:sdt>
            <w:r w:rsidR="00F70C9E" w:rsidRPr="00E33EFF">
              <w:t xml:space="preserve"> Ne</w:t>
            </w:r>
          </w:p>
          <w:p w14:paraId="0C0988CC" w14:textId="77777777" w:rsidR="00F70C9E" w:rsidRPr="00E33EFF" w:rsidRDefault="00000000" w:rsidP="00F20C1A">
            <w:pPr>
              <w:spacing w:line="276" w:lineRule="auto"/>
              <w:rPr>
                <w:rFonts w:eastAsia="Arial"/>
              </w:rPr>
            </w:pPr>
            <w:sdt>
              <w:sdtPr>
                <w:alias w:val="Nurodykite konkrečią dieną"/>
                <w:tag w:val="Nurodykite pradžios datą"/>
                <w:id w:val="1072468416"/>
                <w:placeholder>
                  <w:docPart w:val="57B9655BB938420B82BDAD6B82A66F50"/>
                </w:placeholder>
                <w:showingPlcHdr/>
                <w15:color w:val="FFCC99"/>
                <w:date w:fullDate="2022-05-18T00:00:00Z">
                  <w:dateFormat w:val="yyyy 'm.' MMMM d 'd.'"/>
                  <w:lid w:val="lt-LT"/>
                  <w:storeMappedDataAs w:val="dateTime"/>
                  <w:calendar w:val="gregorian"/>
                </w:date>
              </w:sdtPr>
              <w:sdtContent>
                <w:r w:rsidR="00F70C9E" w:rsidRPr="00E33EFF">
                  <w:rPr>
                    <w:rStyle w:val="Vietosrezervavimoenklotekstas"/>
                  </w:rPr>
                  <w:t>Click here to enter a date.</w:t>
                </w:r>
              </w:sdtContent>
            </w:sdt>
          </w:p>
        </w:tc>
        <w:tc>
          <w:tcPr>
            <w:tcW w:w="2244" w:type="dxa"/>
          </w:tcPr>
          <w:p w14:paraId="64D1B800" w14:textId="77777777" w:rsidR="00F70C9E" w:rsidRPr="00E33EFF" w:rsidRDefault="00F70C9E" w:rsidP="00F20C1A">
            <w:pPr>
              <w:spacing w:line="276" w:lineRule="auto"/>
              <w:rPr>
                <w:rFonts w:eastAsia="Arial"/>
              </w:rPr>
            </w:pPr>
          </w:p>
        </w:tc>
        <w:tc>
          <w:tcPr>
            <w:tcW w:w="2543" w:type="dxa"/>
          </w:tcPr>
          <w:p w14:paraId="5C8CB330" w14:textId="77777777" w:rsidR="00F70C9E" w:rsidRPr="00E33EFF" w:rsidRDefault="00F70C9E" w:rsidP="00F20C1A">
            <w:pPr>
              <w:spacing w:line="276" w:lineRule="auto"/>
              <w:rPr>
                <w:rFonts w:eastAsia="Arial"/>
              </w:rPr>
            </w:pPr>
          </w:p>
        </w:tc>
      </w:tr>
      <w:tr w:rsidR="00F70C9E" w:rsidRPr="00E33EFF" w14:paraId="21C94D47" w14:textId="77777777" w:rsidTr="00BE7489">
        <w:trPr>
          <w:trHeight w:val="2160"/>
        </w:trPr>
        <w:tc>
          <w:tcPr>
            <w:tcW w:w="2855" w:type="dxa"/>
          </w:tcPr>
          <w:p w14:paraId="02F45BB8" w14:textId="77777777" w:rsidR="00F70C9E" w:rsidRPr="00E33EFF" w:rsidRDefault="00F70C9E" w:rsidP="00F20C1A">
            <w:pPr>
              <w:spacing w:line="276" w:lineRule="auto"/>
              <w:rPr>
                <w:rFonts w:eastAsia="Arial"/>
              </w:rPr>
            </w:pPr>
            <w:r w:rsidRPr="00E33EFF">
              <w:rPr>
                <w:rFonts w:eastAsia="Arial"/>
              </w:rPr>
              <w:lastRenderedPageBreak/>
              <w:t xml:space="preserve">Nacionalinis </w:t>
            </w:r>
            <w:proofErr w:type="spellStart"/>
            <w:r w:rsidRPr="00E33EFF">
              <w:rPr>
                <w:rFonts w:eastAsia="Arial"/>
              </w:rPr>
              <w:t>farmakoekonomikos</w:t>
            </w:r>
            <w:proofErr w:type="spellEnd"/>
            <w:r w:rsidRPr="00E33EFF">
              <w:rPr>
                <w:rFonts w:eastAsia="Arial"/>
              </w:rPr>
              <w:t xml:space="preserve"> centras, Airija</w:t>
            </w:r>
          </w:p>
          <w:p w14:paraId="736F5072" w14:textId="77777777" w:rsidR="00F70C9E" w:rsidRPr="00E33EFF" w:rsidRDefault="00F70C9E" w:rsidP="00F20C1A">
            <w:pPr>
              <w:spacing w:line="276" w:lineRule="auto"/>
              <w:rPr>
                <w:rFonts w:eastAsia="Arial"/>
              </w:rPr>
            </w:pPr>
            <w:r w:rsidRPr="00E33EFF">
              <w:rPr>
                <w:rFonts w:eastAsia="Arial"/>
              </w:rPr>
              <w:t>(angl.</w:t>
            </w:r>
            <w:r w:rsidRPr="00E33EFF">
              <w:rPr>
                <w:rFonts w:eastAsia="Arial"/>
                <w:i/>
              </w:rPr>
              <w:t xml:space="preserve"> </w:t>
            </w:r>
            <w:proofErr w:type="spellStart"/>
            <w:r w:rsidRPr="00E33EFF">
              <w:rPr>
                <w:rFonts w:eastAsia="Arial"/>
                <w:i/>
              </w:rPr>
              <w:t>National</w:t>
            </w:r>
            <w:proofErr w:type="spellEnd"/>
            <w:r w:rsidRPr="00E33EFF">
              <w:rPr>
                <w:rFonts w:eastAsia="Arial"/>
                <w:i/>
              </w:rPr>
              <w:t xml:space="preserve"> Centre </w:t>
            </w:r>
            <w:proofErr w:type="spellStart"/>
            <w:r w:rsidRPr="00E33EFF">
              <w:rPr>
                <w:rFonts w:eastAsia="Arial"/>
                <w:i/>
              </w:rPr>
              <w:t>for</w:t>
            </w:r>
            <w:proofErr w:type="spellEnd"/>
            <w:r w:rsidRPr="00E33EFF">
              <w:rPr>
                <w:rFonts w:eastAsia="Arial"/>
                <w:i/>
              </w:rPr>
              <w:t xml:space="preserve"> </w:t>
            </w:r>
            <w:proofErr w:type="spellStart"/>
            <w:r w:rsidRPr="00E33EFF">
              <w:rPr>
                <w:rFonts w:eastAsia="Arial"/>
                <w:i/>
              </w:rPr>
              <w:t>Pharmacoeconomics</w:t>
            </w:r>
            <w:proofErr w:type="spellEnd"/>
            <w:r w:rsidRPr="00E33EFF">
              <w:rPr>
                <w:rFonts w:eastAsia="Arial"/>
                <w:i/>
              </w:rPr>
              <w:t>, NCPE</w:t>
            </w:r>
            <w:r w:rsidRPr="00E33EFF">
              <w:rPr>
                <w:rFonts w:eastAsia="Arial"/>
              </w:rPr>
              <w:t>)</w:t>
            </w:r>
          </w:p>
        </w:tc>
        <w:tc>
          <w:tcPr>
            <w:tcW w:w="1851" w:type="dxa"/>
          </w:tcPr>
          <w:p w14:paraId="106E24DF" w14:textId="77777777" w:rsidR="00F70C9E" w:rsidRPr="00E33EFF" w:rsidRDefault="00000000" w:rsidP="00F20C1A">
            <w:pPr>
              <w:spacing w:line="276" w:lineRule="auto"/>
            </w:pPr>
            <w:sdt>
              <w:sdtPr>
                <w:rPr>
                  <w:rStyle w:val="Style2"/>
                  <w:sz w:val="24"/>
                </w:rPr>
                <w:id w:val="-1888403732"/>
                <w15:color w:val="FFCC00"/>
                <w14:checkbox>
                  <w14:checked w14:val="0"/>
                  <w14:checkedState w14:val="2612" w14:font="MS Gothic"/>
                  <w14:uncheckedState w14:val="2610" w14:font="MS Gothic"/>
                </w14:checkbox>
              </w:sdtPr>
              <w:sdtContent>
                <w:r w:rsidR="00F70C9E" w:rsidRPr="00E33EFF">
                  <w:rPr>
                    <w:rStyle w:val="Style2"/>
                    <w:rFonts w:ascii="Segoe UI Symbol" w:eastAsia="MS Gothic" w:hAnsi="Segoe UI Symbol" w:cs="Segoe UI Symbol"/>
                    <w:sz w:val="24"/>
                  </w:rPr>
                  <w:t>☐</w:t>
                </w:r>
              </w:sdtContent>
            </w:sdt>
            <w:r w:rsidR="00F70C9E" w:rsidRPr="00E33EFF">
              <w:t xml:space="preserve"> Taip</w:t>
            </w:r>
          </w:p>
          <w:p w14:paraId="6C89485D" w14:textId="4B39BE8A" w:rsidR="00F70C9E" w:rsidRPr="00E33EFF" w:rsidRDefault="00000000" w:rsidP="00F20C1A">
            <w:pPr>
              <w:spacing w:line="276" w:lineRule="auto"/>
            </w:pPr>
            <w:sdt>
              <w:sdtPr>
                <w:rPr>
                  <w:rStyle w:val="Style2"/>
                  <w:sz w:val="24"/>
                </w:rPr>
                <w:id w:val="1092201793"/>
                <w15:color w:val="FFCC00"/>
                <w14:checkbox>
                  <w14:checked w14:val="1"/>
                  <w14:checkedState w14:val="2612" w14:font="MS Gothic"/>
                  <w14:uncheckedState w14:val="2610" w14:font="MS Gothic"/>
                </w14:checkbox>
              </w:sdtPr>
              <w:sdtContent>
                <w:r w:rsidR="00AE6EB5">
                  <w:rPr>
                    <w:rStyle w:val="Style2"/>
                    <w:rFonts w:ascii="MS Gothic" w:eastAsia="MS Gothic" w:hAnsi="MS Gothic" w:hint="eastAsia"/>
                    <w:sz w:val="24"/>
                  </w:rPr>
                  <w:t>☒</w:t>
                </w:r>
              </w:sdtContent>
            </w:sdt>
            <w:r w:rsidR="00F70C9E" w:rsidRPr="00E33EFF">
              <w:t xml:space="preserve"> Ne</w:t>
            </w:r>
          </w:p>
          <w:p w14:paraId="69AA1151" w14:textId="77777777" w:rsidR="00F70C9E" w:rsidRPr="00E33EFF" w:rsidRDefault="00000000" w:rsidP="00F20C1A">
            <w:pPr>
              <w:spacing w:line="276" w:lineRule="auto"/>
              <w:rPr>
                <w:rFonts w:eastAsia="Arial"/>
              </w:rPr>
            </w:pPr>
            <w:sdt>
              <w:sdtPr>
                <w:alias w:val="Nurodykite konkrečią dieną"/>
                <w:tag w:val="Nurodykite pradžios datą"/>
                <w:id w:val="-198323198"/>
                <w:placeholder>
                  <w:docPart w:val="5830794711CC4E92887B7A7DBFC23A3F"/>
                </w:placeholder>
                <w:showingPlcHdr/>
                <w15:color w:val="FFCC99"/>
                <w:date w:fullDate="2022-05-18T00:00:00Z">
                  <w:dateFormat w:val="yyyy 'm.' MMMM d 'd.'"/>
                  <w:lid w:val="lt-LT"/>
                  <w:storeMappedDataAs w:val="dateTime"/>
                  <w:calendar w:val="gregorian"/>
                </w:date>
              </w:sdtPr>
              <w:sdtContent>
                <w:r w:rsidR="00F70C9E" w:rsidRPr="00E33EFF">
                  <w:rPr>
                    <w:rStyle w:val="Vietosrezervavimoenklotekstas"/>
                  </w:rPr>
                  <w:t>Click here to enter a date.</w:t>
                </w:r>
              </w:sdtContent>
            </w:sdt>
          </w:p>
        </w:tc>
        <w:tc>
          <w:tcPr>
            <w:tcW w:w="2244" w:type="dxa"/>
          </w:tcPr>
          <w:p w14:paraId="3C67423E" w14:textId="77777777" w:rsidR="00F70C9E" w:rsidRPr="00E33EFF" w:rsidRDefault="00F70C9E" w:rsidP="00F20C1A">
            <w:pPr>
              <w:spacing w:line="276" w:lineRule="auto"/>
              <w:rPr>
                <w:rFonts w:eastAsia="Arial"/>
              </w:rPr>
            </w:pPr>
          </w:p>
        </w:tc>
        <w:tc>
          <w:tcPr>
            <w:tcW w:w="2543" w:type="dxa"/>
          </w:tcPr>
          <w:p w14:paraId="60651AFD" w14:textId="77777777" w:rsidR="00F70C9E" w:rsidRPr="00E33EFF" w:rsidRDefault="00F70C9E" w:rsidP="00F20C1A">
            <w:pPr>
              <w:spacing w:line="276" w:lineRule="auto"/>
              <w:rPr>
                <w:rFonts w:eastAsia="Arial"/>
              </w:rPr>
            </w:pPr>
          </w:p>
        </w:tc>
      </w:tr>
    </w:tbl>
    <w:p w14:paraId="2EB7FD31" w14:textId="4D2A8479" w:rsidR="007A2B68" w:rsidRDefault="007A2B68" w:rsidP="00F20C1A">
      <w:pPr>
        <w:pStyle w:val="Sraopastraipa"/>
        <w:tabs>
          <w:tab w:val="left" w:pos="426"/>
        </w:tabs>
        <w:spacing w:line="276" w:lineRule="auto"/>
        <w:ind w:left="0"/>
        <w:rPr>
          <w:b/>
          <w:bCs/>
          <w:caps/>
        </w:rPr>
      </w:pPr>
    </w:p>
    <w:p w14:paraId="73290081" w14:textId="5CB7EEB5" w:rsidR="007A2B68" w:rsidRDefault="007A2B68" w:rsidP="00F20C1A">
      <w:pPr>
        <w:spacing w:line="276" w:lineRule="auto"/>
        <w:rPr>
          <w:b/>
          <w:bCs/>
          <w:caps/>
        </w:rPr>
      </w:pPr>
    </w:p>
    <w:p w14:paraId="5055E8A8" w14:textId="471A9757" w:rsidR="002E6F80" w:rsidRPr="00E33EFF" w:rsidRDefault="00CC7832" w:rsidP="00F20C1A">
      <w:pPr>
        <w:pStyle w:val="Sraopastraipa"/>
        <w:numPr>
          <w:ilvl w:val="0"/>
          <w:numId w:val="12"/>
        </w:numPr>
        <w:tabs>
          <w:tab w:val="left" w:pos="567"/>
        </w:tabs>
        <w:spacing w:line="276" w:lineRule="auto"/>
        <w:ind w:hanging="720"/>
        <w:rPr>
          <w:b/>
          <w:bCs/>
          <w:caps/>
        </w:rPr>
      </w:pPr>
      <w:r w:rsidRPr="00E33EFF">
        <w:rPr>
          <w:b/>
          <w:bCs/>
          <w:caps/>
        </w:rPr>
        <w:t>Klinikinio vertinimo a</w:t>
      </w:r>
      <w:r w:rsidR="00D4485B" w:rsidRPr="00E33EFF">
        <w:rPr>
          <w:b/>
          <w:bCs/>
          <w:caps/>
        </w:rPr>
        <w:t>pibendrinimas</w:t>
      </w:r>
    </w:p>
    <w:p w14:paraId="0687A541" w14:textId="77777777" w:rsidR="00EC7EDF" w:rsidRDefault="00EC7EDF" w:rsidP="00F20C1A">
      <w:pPr>
        <w:tabs>
          <w:tab w:val="left" w:pos="284"/>
        </w:tabs>
        <w:spacing w:line="276" w:lineRule="auto"/>
        <w:rPr>
          <w:bCs/>
          <w:iCs/>
          <w:caps/>
          <w:sz w:val="22"/>
        </w:rPr>
      </w:pPr>
    </w:p>
    <w:p w14:paraId="41A1C70E" w14:textId="6128A00C" w:rsidR="00F20C1A" w:rsidRPr="00F20C1A" w:rsidRDefault="00621D6C" w:rsidP="00C606FA">
      <w:pPr>
        <w:pStyle w:val="Pagrindiniotekstopirmatrauka"/>
        <w:spacing w:line="276" w:lineRule="auto"/>
        <w:jc w:val="both"/>
        <w:rPr>
          <w:rFonts w:eastAsia="Arial"/>
          <w:szCs w:val="20"/>
        </w:rPr>
      </w:pPr>
      <w:bookmarkStart w:id="0" w:name="_Hlk198314827"/>
      <w:r w:rsidRPr="00E33EFF">
        <w:rPr>
          <w:bCs/>
          <w:i/>
          <w:caps/>
          <w:color w:val="00B050"/>
          <w:sz w:val="22"/>
        </w:rPr>
        <w:t xml:space="preserve"> </w:t>
      </w:r>
      <w:proofErr w:type="spellStart"/>
      <w:r w:rsidR="00F20C1A" w:rsidRPr="00F20C1A">
        <w:rPr>
          <w:rFonts w:eastAsia="Arial"/>
          <w:szCs w:val="20"/>
        </w:rPr>
        <w:t>Nesmulkialąstelinis</w:t>
      </w:r>
      <w:proofErr w:type="spellEnd"/>
      <w:r w:rsidR="00F20C1A" w:rsidRPr="00F20C1A">
        <w:rPr>
          <w:rFonts w:eastAsia="Arial"/>
          <w:szCs w:val="20"/>
        </w:rPr>
        <w:t xml:space="preserve"> plaučių vėžys (NSLPV) yra viena iš dviejų pagrindinių pirminių ląstelių plaučių vėžio formų. NSLPV sudaro 80–85 proc. plaučių vėžio atvejų. Dažniausi histologiniai potipiai - </w:t>
      </w:r>
      <w:proofErr w:type="spellStart"/>
      <w:r w:rsidR="00F20C1A" w:rsidRPr="00F20C1A">
        <w:rPr>
          <w:rFonts w:eastAsia="Arial"/>
          <w:szCs w:val="20"/>
        </w:rPr>
        <w:t>plokščialąstelinis</w:t>
      </w:r>
      <w:proofErr w:type="spellEnd"/>
      <w:r w:rsidR="00F20C1A" w:rsidRPr="00F20C1A">
        <w:rPr>
          <w:rFonts w:eastAsia="Arial"/>
          <w:szCs w:val="20"/>
        </w:rPr>
        <w:t xml:space="preserve"> ir </w:t>
      </w:r>
      <w:proofErr w:type="spellStart"/>
      <w:r w:rsidR="00F20C1A" w:rsidRPr="00F20C1A">
        <w:rPr>
          <w:rFonts w:eastAsia="Arial"/>
          <w:szCs w:val="20"/>
        </w:rPr>
        <w:t>neplokščialąstelinis</w:t>
      </w:r>
      <w:proofErr w:type="spellEnd"/>
      <w:r w:rsidR="00F20C1A" w:rsidRPr="00F20C1A">
        <w:rPr>
          <w:rFonts w:eastAsia="Arial"/>
          <w:szCs w:val="20"/>
        </w:rPr>
        <w:t xml:space="preserve"> NSLPV. Daugumai (70 %) NSLPV sergančių pacientų nustatoma </w:t>
      </w:r>
      <w:proofErr w:type="spellStart"/>
      <w:r w:rsidR="00F20C1A" w:rsidRPr="00F20C1A">
        <w:rPr>
          <w:rFonts w:eastAsia="Arial"/>
          <w:szCs w:val="20"/>
        </w:rPr>
        <w:t>neplokščialąstelinė</w:t>
      </w:r>
      <w:proofErr w:type="spellEnd"/>
      <w:r w:rsidR="00F20C1A" w:rsidRPr="00F20C1A">
        <w:rPr>
          <w:rFonts w:eastAsia="Arial"/>
          <w:szCs w:val="20"/>
        </w:rPr>
        <w:t xml:space="preserve"> histologi</w:t>
      </w:r>
      <w:r w:rsidR="00C606FA">
        <w:rPr>
          <w:rFonts w:eastAsia="Arial"/>
          <w:szCs w:val="20"/>
        </w:rPr>
        <w:t>nis tipas</w:t>
      </w:r>
      <w:r w:rsidR="00F20C1A" w:rsidRPr="00F20C1A">
        <w:rPr>
          <w:rFonts w:eastAsia="Arial"/>
          <w:szCs w:val="20"/>
        </w:rPr>
        <w:t xml:space="preserve">, o likusiems - </w:t>
      </w:r>
      <w:proofErr w:type="spellStart"/>
      <w:r w:rsidR="00F20C1A" w:rsidRPr="00F20C1A">
        <w:rPr>
          <w:rFonts w:eastAsia="Arial"/>
          <w:szCs w:val="20"/>
        </w:rPr>
        <w:t>plokščialąstelin</w:t>
      </w:r>
      <w:r w:rsidR="00C606FA">
        <w:rPr>
          <w:rFonts w:eastAsia="Arial"/>
          <w:szCs w:val="20"/>
        </w:rPr>
        <w:t>is</w:t>
      </w:r>
      <w:proofErr w:type="spellEnd"/>
      <w:r w:rsidR="00F20C1A" w:rsidRPr="00F20C1A">
        <w:rPr>
          <w:rFonts w:eastAsia="Arial"/>
          <w:szCs w:val="20"/>
        </w:rPr>
        <w:t>.</w:t>
      </w:r>
    </w:p>
    <w:p w14:paraId="765E3515" w14:textId="77777777" w:rsidR="00F20C1A" w:rsidRPr="00F20C1A" w:rsidRDefault="00F20C1A" w:rsidP="00C606FA">
      <w:pPr>
        <w:spacing w:line="276" w:lineRule="auto"/>
        <w:ind w:firstLine="360"/>
        <w:jc w:val="both"/>
        <w:rPr>
          <w:rFonts w:eastAsia="Arial"/>
          <w:szCs w:val="20"/>
        </w:rPr>
      </w:pPr>
      <w:r w:rsidRPr="00F20C1A">
        <w:rPr>
          <w:rFonts w:eastAsia="Arial"/>
          <w:szCs w:val="20"/>
        </w:rPr>
        <w:t>Plaučių vėžys yra antra dažniausiai diagnozuojama vėžio forma ir dažniausia su vėžiu susijusių mirčių priežastis visame pasaulyje. GLOBOCAN duomenimis, Lietuvoje 2022 m. diagnozuota 1494 naujų plaučių vėžio atvejų, Higienos instituto duomenimis 2023 m. sirgo 4756 pacientai, mirė – 1076 pacientai.</w:t>
      </w:r>
    </w:p>
    <w:p w14:paraId="17274E08" w14:textId="77777777" w:rsidR="00F20C1A" w:rsidRPr="00F20C1A" w:rsidRDefault="00F20C1A" w:rsidP="00F20C1A">
      <w:pPr>
        <w:spacing w:line="276" w:lineRule="auto"/>
        <w:ind w:firstLine="360"/>
        <w:jc w:val="both"/>
        <w:rPr>
          <w:rFonts w:eastAsia="Arial"/>
          <w:szCs w:val="20"/>
        </w:rPr>
      </w:pPr>
      <w:r w:rsidRPr="00F20C1A">
        <w:rPr>
          <w:rFonts w:eastAsia="Arial"/>
          <w:szCs w:val="20"/>
        </w:rPr>
        <w:t>NSLPV sergantiems pacientams dažnai diagnozuojama pažengusi ligos stadija. Su naviku susiję simptomai yra skausmingi, sekinantys ir sunkėjantys dėl ligos progresavimo, metastazių ir su naviku susijusių komplikacijų. Su NSLPV susiję simptomai daro didelį neigiamą poveikį pacientų sveikatai ir gyvenimo kokybei, yra prastai sprendžiami ir apie juos dažnai nepakankamai pranešama.</w:t>
      </w:r>
    </w:p>
    <w:p w14:paraId="59E955DB" w14:textId="77777777" w:rsidR="00F20C1A" w:rsidRPr="00F20C1A" w:rsidRDefault="00F20C1A" w:rsidP="00F20C1A">
      <w:pPr>
        <w:spacing w:line="276" w:lineRule="auto"/>
        <w:ind w:firstLine="360"/>
        <w:jc w:val="both"/>
        <w:rPr>
          <w:rFonts w:eastAsia="Arial"/>
          <w:szCs w:val="20"/>
        </w:rPr>
      </w:pPr>
      <w:proofErr w:type="spellStart"/>
      <w:r w:rsidRPr="00F20C1A">
        <w:rPr>
          <w:rFonts w:eastAsia="Arial"/>
          <w:szCs w:val="20"/>
        </w:rPr>
        <w:t>Tislelizumabas</w:t>
      </w:r>
      <w:proofErr w:type="spellEnd"/>
      <w:r w:rsidRPr="00F20C1A">
        <w:rPr>
          <w:rFonts w:eastAsia="Arial"/>
          <w:szCs w:val="20"/>
        </w:rPr>
        <w:t xml:space="preserve"> yra humanizuotas imunoglobulinų G4 (IgG4) klasės </w:t>
      </w:r>
      <w:proofErr w:type="spellStart"/>
      <w:r w:rsidRPr="00F20C1A">
        <w:rPr>
          <w:rFonts w:eastAsia="Arial"/>
          <w:szCs w:val="20"/>
        </w:rPr>
        <w:t>monokloninis</w:t>
      </w:r>
      <w:proofErr w:type="spellEnd"/>
      <w:r w:rsidRPr="00F20C1A">
        <w:rPr>
          <w:rFonts w:eastAsia="Arial"/>
          <w:szCs w:val="20"/>
        </w:rPr>
        <w:t xml:space="preserve"> antikūnas,</w:t>
      </w:r>
    </w:p>
    <w:p w14:paraId="678FA14D" w14:textId="77777777" w:rsidR="00F20C1A" w:rsidRPr="00F20C1A" w:rsidRDefault="00F20C1A" w:rsidP="00F20C1A">
      <w:pPr>
        <w:spacing w:line="276" w:lineRule="auto"/>
        <w:ind w:firstLine="360"/>
        <w:jc w:val="both"/>
        <w:rPr>
          <w:rFonts w:eastAsia="Arial"/>
          <w:szCs w:val="20"/>
        </w:rPr>
      </w:pPr>
      <w:r w:rsidRPr="00F20C1A">
        <w:rPr>
          <w:rFonts w:eastAsia="Arial"/>
          <w:szCs w:val="20"/>
        </w:rPr>
        <w:t xml:space="preserve">veikiantis PD-1 ir besijungiantis prie </w:t>
      </w:r>
      <w:proofErr w:type="spellStart"/>
      <w:r w:rsidRPr="00F20C1A">
        <w:rPr>
          <w:rFonts w:eastAsia="Arial"/>
          <w:szCs w:val="20"/>
        </w:rPr>
        <w:t>ekstraląstelinio</w:t>
      </w:r>
      <w:proofErr w:type="spellEnd"/>
      <w:r w:rsidRPr="00F20C1A">
        <w:rPr>
          <w:rFonts w:eastAsia="Arial"/>
          <w:szCs w:val="20"/>
        </w:rPr>
        <w:t xml:space="preserve"> žmogaus PD-1 domeno. Anti-PD-1 / PD-L1 pagrįstas gydymas kaip </w:t>
      </w:r>
      <w:proofErr w:type="spellStart"/>
      <w:r w:rsidRPr="00F20C1A">
        <w:rPr>
          <w:rFonts w:eastAsia="Arial"/>
          <w:szCs w:val="20"/>
        </w:rPr>
        <w:t>monoterapija</w:t>
      </w:r>
      <w:proofErr w:type="spellEnd"/>
      <w:r w:rsidRPr="00F20C1A">
        <w:rPr>
          <w:rFonts w:eastAsia="Arial"/>
          <w:szCs w:val="20"/>
        </w:rPr>
        <w:t xml:space="preserve"> arba kartu su platinos chemoterapija ir (arba) anti-CTLA-4 antikūnais yra pirmos eilės gydymo standartas pacientams, sergantiems </w:t>
      </w:r>
      <w:proofErr w:type="spellStart"/>
      <w:r w:rsidRPr="00F20C1A">
        <w:rPr>
          <w:rFonts w:eastAsia="Arial"/>
          <w:szCs w:val="20"/>
        </w:rPr>
        <w:t>nerezekuojamu</w:t>
      </w:r>
      <w:proofErr w:type="spellEnd"/>
      <w:r w:rsidRPr="00F20C1A">
        <w:rPr>
          <w:rFonts w:eastAsia="Arial"/>
          <w:szCs w:val="20"/>
        </w:rPr>
        <w:t xml:space="preserve"> lokaliai išplitusiu ar </w:t>
      </w:r>
      <w:proofErr w:type="spellStart"/>
      <w:r w:rsidRPr="00F20C1A">
        <w:rPr>
          <w:rFonts w:eastAsia="Arial"/>
          <w:szCs w:val="20"/>
        </w:rPr>
        <w:t>metastazavusiu</w:t>
      </w:r>
      <w:proofErr w:type="spellEnd"/>
      <w:r w:rsidRPr="00F20C1A">
        <w:rPr>
          <w:rFonts w:eastAsia="Arial"/>
          <w:szCs w:val="20"/>
        </w:rPr>
        <w:t xml:space="preserve"> NSLPV. </w:t>
      </w:r>
    </w:p>
    <w:p w14:paraId="0C2BF2A6" w14:textId="6A6D1ECE" w:rsidR="00F20C1A" w:rsidRPr="00F20C1A" w:rsidRDefault="00F20C1A" w:rsidP="00F20C1A">
      <w:pPr>
        <w:spacing w:line="276" w:lineRule="auto"/>
        <w:ind w:firstLine="360"/>
        <w:jc w:val="both"/>
        <w:rPr>
          <w:rFonts w:eastAsia="Arial"/>
          <w:szCs w:val="20"/>
        </w:rPr>
      </w:pPr>
      <w:proofErr w:type="spellStart"/>
      <w:r w:rsidRPr="00F20C1A">
        <w:rPr>
          <w:rFonts w:eastAsia="Arial"/>
          <w:szCs w:val="20"/>
        </w:rPr>
        <w:t>Pembrolizumabo</w:t>
      </w:r>
      <w:proofErr w:type="spellEnd"/>
      <w:r w:rsidRPr="00F20C1A">
        <w:rPr>
          <w:rFonts w:eastAsia="Arial"/>
          <w:szCs w:val="20"/>
        </w:rPr>
        <w:t xml:space="preserve">, </w:t>
      </w:r>
      <w:proofErr w:type="spellStart"/>
      <w:r w:rsidRPr="00F20C1A">
        <w:rPr>
          <w:rFonts w:eastAsia="Arial"/>
          <w:szCs w:val="20"/>
        </w:rPr>
        <w:t>karboplatinos</w:t>
      </w:r>
      <w:proofErr w:type="spellEnd"/>
      <w:r w:rsidRPr="00F20C1A">
        <w:rPr>
          <w:rFonts w:eastAsia="Arial"/>
          <w:szCs w:val="20"/>
        </w:rPr>
        <w:t xml:space="preserve"> ir </w:t>
      </w:r>
      <w:proofErr w:type="spellStart"/>
      <w:r w:rsidRPr="00F20C1A">
        <w:rPr>
          <w:rFonts w:eastAsia="Arial"/>
          <w:szCs w:val="20"/>
        </w:rPr>
        <w:t>paklitakselio</w:t>
      </w:r>
      <w:proofErr w:type="spellEnd"/>
      <w:r w:rsidRPr="00F20C1A">
        <w:rPr>
          <w:rFonts w:eastAsia="Arial"/>
          <w:szCs w:val="20"/>
        </w:rPr>
        <w:t xml:space="preserve"> derinys yra tinkamas palyginamasis gydymas. Tikėtina, kad </w:t>
      </w:r>
      <w:proofErr w:type="spellStart"/>
      <w:r w:rsidRPr="00F20C1A">
        <w:rPr>
          <w:rFonts w:eastAsia="Arial"/>
          <w:szCs w:val="20"/>
        </w:rPr>
        <w:t>tislelizumabas</w:t>
      </w:r>
      <w:proofErr w:type="spellEnd"/>
      <w:r w:rsidRPr="00F20C1A">
        <w:rPr>
          <w:rFonts w:eastAsia="Arial"/>
          <w:szCs w:val="20"/>
        </w:rPr>
        <w:t xml:space="preserve">, derinyje su </w:t>
      </w:r>
      <w:proofErr w:type="spellStart"/>
      <w:r w:rsidRPr="00F20C1A">
        <w:rPr>
          <w:rFonts w:eastAsia="Arial"/>
          <w:szCs w:val="20"/>
        </w:rPr>
        <w:t>paklitakseliu</w:t>
      </w:r>
      <w:proofErr w:type="spellEnd"/>
      <w:r w:rsidRPr="00F20C1A">
        <w:rPr>
          <w:rFonts w:eastAsia="Arial"/>
          <w:szCs w:val="20"/>
        </w:rPr>
        <w:t xml:space="preserve"> ir </w:t>
      </w:r>
      <w:proofErr w:type="spellStart"/>
      <w:r w:rsidRPr="00F20C1A">
        <w:rPr>
          <w:rFonts w:eastAsia="Arial"/>
          <w:szCs w:val="20"/>
        </w:rPr>
        <w:t>karboplatina</w:t>
      </w:r>
      <w:proofErr w:type="spellEnd"/>
      <w:r w:rsidRPr="00F20C1A">
        <w:rPr>
          <w:rFonts w:eastAsia="Arial"/>
          <w:szCs w:val="20"/>
        </w:rPr>
        <w:t xml:space="preserve">, pakeistų </w:t>
      </w:r>
      <w:proofErr w:type="spellStart"/>
      <w:r w:rsidRPr="00F20C1A">
        <w:rPr>
          <w:rFonts w:eastAsia="Arial"/>
          <w:szCs w:val="20"/>
        </w:rPr>
        <w:t>pembrolizumabo</w:t>
      </w:r>
      <w:proofErr w:type="spellEnd"/>
      <w:r w:rsidRPr="00F20C1A">
        <w:rPr>
          <w:rFonts w:eastAsia="Arial"/>
          <w:szCs w:val="20"/>
        </w:rPr>
        <w:t xml:space="preserve">, </w:t>
      </w:r>
      <w:proofErr w:type="spellStart"/>
      <w:r w:rsidRPr="00F20C1A">
        <w:rPr>
          <w:rFonts w:eastAsia="Arial"/>
          <w:szCs w:val="20"/>
        </w:rPr>
        <w:t>karboplatinos</w:t>
      </w:r>
      <w:proofErr w:type="spellEnd"/>
      <w:r w:rsidRPr="00F20C1A">
        <w:rPr>
          <w:rFonts w:eastAsia="Arial"/>
          <w:szCs w:val="20"/>
        </w:rPr>
        <w:t xml:space="preserve"> ir </w:t>
      </w:r>
      <w:proofErr w:type="spellStart"/>
      <w:r w:rsidRPr="00F20C1A">
        <w:rPr>
          <w:rFonts w:eastAsia="Arial"/>
          <w:szCs w:val="20"/>
        </w:rPr>
        <w:t>paklitakselio</w:t>
      </w:r>
      <w:proofErr w:type="spellEnd"/>
      <w:r w:rsidRPr="00F20C1A">
        <w:rPr>
          <w:rFonts w:eastAsia="Arial"/>
          <w:szCs w:val="20"/>
        </w:rPr>
        <w:t xml:space="preserve"> derinį arba būtų alternatyvus pasirinkimas, kadangi </w:t>
      </w:r>
      <w:proofErr w:type="spellStart"/>
      <w:r w:rsidRPr="00F20C1A">
        <w:rPr>
          <w:rFonts w:eastAsia="Arial"/>
          <w:szCs w:val="20"/>
        </w:rPr>
        <w:t>tislelizumabas</w:t>
      </w:r>
      <w:proofErr w:type="spellEnd"/>
      <w:r w:rsidRPr="00F20C1A">
        <w:rPr>
          <w:rFonts w:eastAsia="Arial"/>
          <w:szCs w:val="20"/>
        </w:rPr>
        <w:t xml:space="preserve"> ir </w:t>
      </w:r>
      <w:proofErr w:type="spellStart"/>
      <w:r w:rsidRPr="00F20C1A">
        <w:rPr>
          <w:rFonts w:eastAsia="Arial"/>
          <w:szCs w:val="20"/>
        </w:rPr>
        <w:t>pembrolizumabas</w:t>
      </w:r>
      <w:proofErr w:type="spellEnd"/>
      <w:r w:rsidRPr="00F20C1A">
        <w:rPr>
          <w:rFonts w:eastAsia="Arial"/>
          <w:szCs w:val="20"/>
        </w:rPr>
        <w:t xml:space="preserve"> yra tos pačios </w:t>
      </w:r>
      <w:proofErr w:type="spellStart"/>
      <w:r w:rsidRPr="00F20C1A">
        <w:rPr>
          <w:rFonts w:eastAsia="Arial"/>
          <w:szCs w:val="20"/>
        </w:rPr>
        <w:t>farmakoterapinės</w:t>
      </w:r>
      <w:proofErr w:type="spellEnd"/>
      <w:r w:rsidRPr="00F20C1A">
        <w:rPr>
          <w:rFonts w:eastAsia="Arial"/>
          <w:szCs w:val="20"/>
        </w:rPr>
        <w:t xml:space="preserve"> grupės </w:t>
      </w:r>
      <w:r w:rsidR="00C606FA">
        <w:rPr>
          <w:rFonts w:eastAsia="Arial"/>
          <w:szCs w:val="20"/>
        </w:rPr>
        <w:t xml:space="preserve">vaistiniai </w:t>
      </w:r>
      <w:r w:rsidRPr="00F20C1A">
        <w:rPr>
          <w:rFonts w:eastAsia="Arial"/>
          <w:szCs w:val="20"/>
        </w:rPr>
        <w:t xml:space="preserve">preparatai. </w:t>
      </w:r>
    </w:p>
    <w:p w14:paraId="0D087E75" w14:textId="77777777" w:rsidR="00F20C1A" w:rsidRPr="00F20C1A" w:rsidRDefault="00F20C1A" w:rsidP="00F20C1A">
      <w:pPr>
        <w:spacing w:line="276" w:lineRule="auto"/>
        <w:ind w:firstLine="360"/>
        <w:jc w:val="both"/>
        <w:rPr>
          <w:rFonts w:eastAsia="Arial"/>
          <w:szCs w:val="20"/>
        </w:rPr>
      </w:pPr>
    </w:p>
    <w:p w14:paraId="19E8122B" w14:textId="77777777" w:rsidR="00F20C1A" w:rsidRPr="00F20C1A" w:rsidRDefault="00F20C1A" w:rsidP="00F20C1A">
      <w:pPr>
        <w:spacing w:line="276" w:lineRule="auto"/>
        <w:ind w:firstLine="360"/>
        <w:jc w:val="both"/>
        <w:rPr>
          <w:rFonts w:eastAsia="Arial"/>
          <w:i/>
          <w:iCs/>
          <w:szCs w:val="20"/>
        </w:rPr>
      </w:pPr>
      <w:r w:rsidRPr="00F20C1A">
        <w:rPr>
          <w:rFonts w:eastAsia="Arial"/>
          <w:i/>
          <w:iCs/>
          <w:szCs w:val="20"/>
        </w:rPr>
        <w:t>Tiesioginis palyginimas</w:t>
      </w:r>
    </w:p>
    <w:p w14:paraId="770DAFEB" w14:textId="79D49160" w:rsidR="00F20C1A" w:rsidRPr="00F20C1A" w:rsidRDefault="00F20C1A" w:rsidP="00F20C1A">
      <w:pPr>
        <w:spacing w:line="276" w:lineRule="auto"/>
        <w:ind w:firstLine="360"/>
        <w:jc w:val="both"/>
        <w:rPr>
          <w:szCs w:val="20"/>
        </w:rPr>
      </w:pPr>
      <w:r w:rsidRPr="00F20C1A">
        <w:rPr>
          <w:rFonts w:eastAsia="Arial"/>
          <w:szCs w:val="20"/>
        </w:rPr>
        <w:t xml:space="preserve">Tiesioginiame palyginime pateiktas </w:t>
      </w:r>
      <w:r w:rsidRPr="00F20C1A">
        <w:rPr>
          <w:szCs w:val="20"/>
        </w:rPr>
        <w:t>atsitiktinių imčių, atviras</w:t>
      </w:r>
      <w:r w:rsidR="00C606FA">
        <w:rPr>
          <w:szCs w:val="20"/>
        </w:rPr>
        <w:t>is</w:t>
      </w:r>
      <w:r w:rsidRPr="00F20C1A">
        <w:rPr>
          <w:szCs w:val="20"/>
        </w:rPr>
        <w:t xml:space="preserve">, kontroliuojamas, </w:t>
      </w:r>
      <w:proofErr w:type="spellStart"/>
      <w:r w:rsidRPr="00F20C1A">
        <w:rPr>
          <w:szCs w:val="20"/>
        </w:rPr>
        <w:t>daugiacentris</w:t>
      </w:r>
      <w:proofErr w:type="spellEnd"/>
      <w:r w:rsidRPr="00F20C1A">
        <w:rPr>
          <w:szCs w:val="20"/>
        </w:rPr>
        <w:t xml:space="preserve"> III fazės tyrimas RATIONALE-307, skirtas įvertinti </w:t>
      </w:r>
      <w:proofErr w:type="spellStart"/>
      <w:r w:rsidRPr="00F20C1A">
        <w:rPr>
          <w:szCs w:val="20"/>
        </w:rPr>
        <w:t>tislelizumabo</w:t>
      </w:r>
      <w:proofErr w:type="spellEnd"/>
      <w:r w:rsidRPr="00F20C1A">
        <w:rPr>
          <w:szCs w:val="20"/>
        </w:rPr>
        <w:t xml:space="preserve"> efektyvumą skiriant kartu su </w:t>
      </w:r>
      <w:proofErr w:type="spellStart"/>
      <w:r w:rsidRPr="00F20C1A">
        <w:rPr>
          <w:szCs w:val="20"/>
        </w:rPr>
        <w:t>paklitakseliu</w:t>
      </w:r>
      <w:proofErr w:type="spellEnd"/>
      <w:r w:rsidRPr="00F20C1A">
        <w:rPr>
          <w:szCs w:val="20"/>
        </w:rPr>
        <w:t xml:space="preserve"> ir </w:t>
      </w:r>
      <w:proofErr w:type="spellStart"/>
      <w:r w:rsidRPr="00F20C1A">
        <w:rPr>
          <w:szCs w:val="20"/>
        </w:rPr>
        <w:t>karboplatina</w:t>
      </w:r>
      <w:proofErr w:type="spellEnd"/>
      <w:r w:rsidRPr="00F20C1A">
        <w:rPr>
          <w:szCs w:val="20"/>
        </w:rPr>
        <w:t xml:space="preserve">, arba </w:t>
      </w:r>
      <w:proofErr w:type="spellStart"/>
      <w:r w:rsidRPr="00F20C1A">
        <w:rPr>
          <w:szCs w:val="20"/>
        </w:rPr>
        <w:t>na</w:t>
      </w:r>
      <w:r>
        <w:rPr>
          <w:szCs w:val="20"/>
        </w:rPr>
        <w:t>b-</w:t>
      </w:r>
      <w:r w:rsidRPr="00F20C1A">
        <w:rPr>
          <w:szCs w:val="20"/>
        </w:rPr>
        <w:t>paklitakseliu</w:t>
      </w:r>
      <w:proofErr w:type="spellEnd"/>
      <w:r w:rsidRPr="00F20C1A">
        <w:rPr>
          <w:szCs w:val="20"/>
        </w:rPr>
        <w:t xml:space="preserve"> ir </w:t>
      </w:r>
      <w:proofErr w:type="spellStart"/>
      <w:r w:rsidRPr="00F20C1A">
        <w:rPr>
          <w:szCs w:val="20"/>
        </w:rPr>
        <w:t>karboplatina</w:t>
      </w:r>
      <w:proofErr w:type="spellEnd"/>
      <w:r w:rsidRPr="00F20C1A">
        <w:rPr>
          <w:szCs w:val="20"/>
        </w:rPr>
        <w:t xml:space="preserve">, pacientų sergančių pažengusiu </w:t>
      </w:r>
      <w:proofErr w:type="spellStart"/>
      <w:r w:rsidRPr="00F20C1A">
        <w:rPr>
          <w:szCs w:val="20"/>
        </w:rPr>
        <w:t>plokščialąsteliniu</w:t>
      </w:r>
      <w:proofErr w:type="spellEnd"/>
      <w:r w:rsidRPr="00F20C1A">
        <w:rPr>
          <w:szCs w:val="20"/>
        </w:rPr>
        <w:t xml:space="preserve"> nesmulkiųjų ląstelių plaučių vėžiu. </w:t>
      </w:r>
      <w:r w:rsidRPr="00F20C1A">
        <w:rPr>
          <w:rFonts w:eastAsia="Arial"/>
          <w:szCs w:val="20"/>
        </w:rPr>
        <w:t xml:space="preserve">Atsitiktinių imčių sudarymui atrinkti 360 pacientų, pacientai suskirstyti </w:t>
      </w:r>
      <w:r w:rsidRPr="00F20C1A">
        <w:rPr>
          <w:szCs w:val="20"/>
        </w:rPr>
        <w:t xml:space="preserve">1:1:1 santykiu į dvi </w:t>
      </w:r>
      <w:proofErr w:type="spellStart"/>
      <w:r w:rsidRPr="00F20C1A">
        <w:rPr>
          <w:szCs w:val="20"/>
        </w:rPr>
        <w:t>tislelizumabo</w:t>
      </w:r>
      <w:proofErr w:type="spellEnd"/>
      <w:r w:rsidRPr="00F20C1A">
        <w:rPr>
          <w:szCs w:val="20"/>
        </w:rPr>
        <w:t xml:space="preserve"> grupes ir vieną kontrolinę. </w:t>
      </w:r>
      <w:r w:rsidRPr="00F20C1A">
        <w:rPr>
          <w:rFonts w:eastAsia="Arial"/>
          <w:szCs w:val="20"/>
        </w:rPr>
        <w:t xml:space="preserve">Pacientų pradinės charakteristikos buvo subalansuotos. </w:t>
      </w:r>
      <w:r w:rsidRPr="00F20C1A">
        <w:rPr>
          <w:szCs w:val="20"/>
        </w:rPr>
        <w:t xml:space="preserve">Išgyvenamumas be įvykių buvo statistiškai reikšmingai ilgesnis </w:t>
      </w:r>
      <w:proofErr w:type="spellStart"/>
      <w:r w:rsidRPr="00F20C1A">
        <w:rPr>
          <w:szCs w:val="20"/>
        </w:rPr>
        <w:t>tislelizumabo</w:t>
      </w:r>
      <w:proofErr w:type="spellEnd"/>
      <w:r w:rsidRPr="00F20C1A">
        <w:rPr>
          <w:szCs w:val="20"/>
        </w:rPr>
        <w:t xml:space="preserve"> grupėse, lyginant su kontroline grupe (rizikos santykis (RS) 0.450 [95% </w:t>
      </w:r>
      <w:proofErr w:type="spellStart"/>
      <w:r w:rsidRPr="00F20C1A">
        <w:rPr>
          <w:szCs w:val="20"/>
        </w:rPr>
        <w:t>pasikliautinasis</w:t>
      </w:r>
      <w:proofErr w:type="spellEnd"/>
      <w:r w:rsidRPr="00F20C1A">
        <w:rPr>
          <w:szCs w:val="20"/>
        </w:rPr>
        <w:t xml:space="preserve"> intervalas (PI): 0.326, 0.619] p&lt;0,0001, ir RS: 0.428 [95% PI: 0.308, 0.595] p&lt;0,0001, atitinkamai). Bendras išgyvenamumas buvo reikšmingai ilgesnis </w:t>
      </w:r>
      <w:proofErr w:type="spellStart"/>
      <w:r w:rsidRPr="00F20C1A">
        <w:rPr>
          <w:szCs w:val="20"/>
        </w:rPr>
        <w:t>tislelizumabo</w:t>
      </w:r>
      <w:proofErr w:type="spellEnd"/>
      <w:r w:rsidRPr="00F20C1A">
        <w:rPr>
          <w:szCs w:val="20"/>
        </w:rPr>
        <w:t xml:space="preserve"> grupėse(+PK ir +NK), lyginant su kontroline grupe (+6.7 mėn., RS = 0.673 [95% PI: 0.494, 0.917], +3.9 mėn. RS = 0.817 [95% PI: 0.602, 1.109, atitinkamai). Objektyvaus atsako dažnis buvo statistiškai reikšmingai dažnesnis </w:t>
      </w:r>
      <w:proofErr w:type="spellStart"/>
      <w:r w:rsidRPr="00F20C1A">
        <w:rPr>
          <w:szCs w:val="20"/>
        </w:rPr>
        <w:t>tislelizumabo</w:t>
      </w:r>
      <w:proofErr w:type="spellEnd"/>
      <w:r w:rsidRPr="00F20C1A">
        <w:rPr>
          <w:szCs w:val="20"/>
        </w:rPr>
        <w:t xml:space="preserve"> grupėse, lyginant su kontroline grupe (74.2% (95% </w:t>
      </w:r>
      <w:r w:rsidRPr="00F20C1A">
        <w:rPr>
          <w:szCs w:val="20"/>
        </w:rPr>
        <w:lastRenderedPageBreak/>
        <w:t xml:space="preserve">PI: 65.4, 81.7) ir 73.9% (95% PI: 65.1, 81.6) </w:t>
      </w:r>
      <w:r w:rsidRPr="00F20C1A">
        <w:rPr>
          <w:i/>
          <w:iCs/>
          <w:szCs w:val="20"/>
        </w:rPr>
        <w:t>vs</w:t>
      </w:r>
      <w:r w:rsidR="00470F4F">
        <w:rPr>
          <w:i/>
          <w:iCs/>
          <w:szCs w:val="20"/>
        </w:rPr>
        <w:t>.</w:t>
      </w:r>
      <w:r w:rsidRPr="00F20C1A">
        <w:rPr>
          <w:szCs w:val="20"/>
        </w:rPr>
        <w:t xml:space="preserve"> 47.9% (95% PI: 38.8, 57.2). Atsako į gydymą trukmė buvo reikšmingai ilgesnė </w:t>
      </w:r>
      <w:proofErr w:type="spellStart"/>
      <w:r w:rsidRPr="00F20C1A">
        <w:rPr>
          <w:szCs w:val="20"/>
        </w:rPr>
        <w:t>tislelizumabo</w:t>
      </w:r>
      <w:proofErr w:type="spellEnd"/>
      <w:r w:rsidRPr="00F20C1A">
        <w:rPr>
          <w:szCs w:val="20"/>
        </w:rPr>
        <w:t xml:space="preserve"> grupėse, lyginant su kontroline grupe (8,4 mėn. (95% PI: 5.03, 15.80)), ir (8.6 mėn. (95% PI: 7.13, 12.48)) </w:t>
      </w:r>
      <w:r w:rsidRPr="00F20C1A">
        <w:rPr>
          <w:i/>
          <w:iCs/>
          <w:szCs w:val="20"/>
        </w:rPr>
        <w:t>vs</w:t>
      </w:r>
      <w:r w:rsidR="00470F4F">
        <w:rPr>
          <w:i/>
          <w:iCs/>
          <w:szCs w:val="20"/>
        </w:rPr>
        <w:t>.</w:t>
      </w:r>
      <w:r w:rsidRPr="00F20C1A">
        <w:rPr>
          <w:i/>
          <w:iCs/>
          <w:szCs w:val="20"/>
        </w:rPr>
        <w:t xml:space="preserve"> </w:t>
      </w:r>
      <w:r w:rsidRPr="00F20C1A">
        <w:rPr>
          <w:szCs w:val="20"/>
        </w:rPr>
        <w:t xml:space="preserve">4.3 mėn. (95% CI: 2.86, 5.42)). </w:t>
      </w:r>
      <w:proofErr w:type="spellStart"/>
      <w:r w:rsidRPr="00F20C1A">
        <w:rPr>
          <w:szCs w:val="20"/>
        </w:rPr>
        <w:t>Tislelizumabu</w:t>
      </w:r>
      <w:proofErr w:type="spellEnd"/>
      <w:r w:rsidRPr="00F20C1A">
        <w:rPr>
          <w:szCs w:val="20"/>
        </w:rPr>
        <w:t xml:space="preserve"> gydomi pacientai turėjo geresnę gyvenimo kokybę, lyginant su kontroline chemoterapijos grupe. Reikšmingų saugumo problemų nenustatyta.</w:t>
      </w:r>
    </w:p>
    <w:p w14:paraId="6322C254" w14:textId="77777777" w:rsidR="00F20C1A" w:rsidRPr="00F20C1A" w:rsidRDefault="00F20C1A" w:rsidP="00F20C1A">
      <w:pPr>
        <w:spacing w:line="276" w:lineRule="auto"/>
        <w:ind w:firstLine="360"/>
        <w:jc w:val="both"/>
        <w:rPr>
          <w:szCs w:val="20"/>
        </w:rPr>
      </w:pPr>
    </w:p>
    <w:p w14:paraId="47860960" w14:textId="77777777" w:rsidR="00F20C1A" w:rsidRPr="00F20C1A" w:rsidRDefault="00F20C1A" w:rsidP="00F20C1A">
      <w:pPr>
        <w:spacing w:line="276" w:lineRule="auto"/>
        <w:ind w:firstLine="360"/>
        <w:jc w:val="both"/>
        <w:rPr>
          <w:i/>
          <w:iCs/>
          <w:szCs w:val="20"/>
        </w:rPr>
      </w:pPr>
      <w:r w:rsidRPr="00F20C1A">
        <w:rPr>
          <w:i/>
          <w:iCs/>
          <w:szCs w:val="20"/>
        </w:rPr>
        <w:t>Netiesioginis palyginimas.</w:t>
      </w:r>
    </w:p>
    <w:p w14:paraId="7C228130" w14:textId="77777777" w:rsidR="00F20C1A" w:rsidRPr="00F20C1A" w:rsidRDefault="00F20C1A" w:rsidP="00F20C1A">
      <w:pPr>
        <w:spacing w:line="276" w:lineRule="auto"/>
        <w:ind w:firstLine="360"/>
        <w:jc w:val="both"/>
        <w:rPr>
          <w:rFonts w:eastAsia="Arial"/>
          <w:szCs w:val="20"/>
        </w:rPr>
      </w:pPr>
      <w:r w:rsidRPr="00F20C1A">
        <w:rPr>
          <w:rFonts w:eastAsia="Arial"/>
          <w:szCs w:val="20"/>
        </w:rPr>
        <w:t xml:space="preserve">Į netiesiogine palyginamąją analizę įtrauktų tyrimų populiacijos buvo subalansuotos ir tinkamos palyginimui. Tyrimų populiacijos atitinka vertinamą indikaciją. Netiesioginiame palyginime su </w:t>
      </w:r>
      <w:proofErr w:type="spellStart"/>
      <w:r w:rsidRPr="00F20C1A">
        <w:rPr>
          <w:rFonts w:eastAsia="Arial"/>
          <w:szCs w:val="20"/>
        </w:rPr>
        <w:t>pembrolizumabo</w:t>
      </w:r>
      <w:proofErr w:type="spellEnd"/>
      <w:r w:rsidRPr="00F20C1A">
        <w:rPr>
          <w:rFonts w:eastAsia="Arial"/>
          <w:szCs w:val="20"/>
        </w:rPr>
        <w:t xml:space="preserve">, </w:t>
      </w:r>
      <w:proofErr w:type="spellStart"/>
      <w:r w:rsidRPr="00F20C1A">
        <w:rPr>
          <w:rFonts w:eastAsia="Arial"/>
          <w:szCs w:val="20"/>
        </w:rPr>
        <w:t>karboplatinos</w:t>
      </w:r>
      <w:proofErr w:type="spellEnd"/>
      <w:r w:rsidRPr="00F20C1A">
        <w:rPr>
          <w:rFonts w:eastAsia="Arial"/>
          <w:szCs w:val="20"/>
        </w:rPr>
        <w:t xml:space="preserve"> ir </w:t>
      </w:r>
      <w:proofErr w:type="spellStart"/>
      <w:r w:rsidRPr="00F20C1A">
        <w:rPr>
          <w:rFonts w:eastAsia="Arial"/>
          <w:szCs w:val="20"/>
        </w:rPr>
        <w:t>paklitakselio</w:t>
      </w:r>
      <w:proofErr w:type="spellEnd"/>
      <w:r w:rsidRPr="00F20C1A">
        <w:rPr>
          <w:rFonts w:eastAsia="Arial"/>
          <w:szCs w:val="20"/>
        </w:rPr>
        <w:t xml:space="preserve"> deriniu statistiškai reikšmingų bendro išgyvenamumo, išgyvenamumo be ligos progresavimo ir saugumo skirtumų nebuvo (IBĮ </w:t>
      </w:r>
      <w:proofErr w:type="spellStart"/>
      <w:r w:rsidRPr="00F20C1A">
        <w:rPr>
          <w:rFonts w:eastAsia="Arial"/>
          <w:szCs w:val="20"/>
        </w:rPr>
        <w:t>pembrolizumabas</w:t>
      </w:r>
      <w:proofErr w:type="spellEnd"/>
      <w:r w:rsidRPr="00F20C1A">
        <w:rPr>
          <w:rFonts w:eastAsia="Arial"/>
          <w:szCs w:val="20"/>
        </w:rPr>
        <w:t xml:space="preserve"> </w:t>
      </w:r>
      <w:proofErr w:type="spellStart"/>
      <w:r w:rsidRPr="00F20C1A">
        <w:rPr>
          <w:rFonts w:eastAsia="Arial"/>
          <w:i/>
          <w:iCs/>
          <w:szCs w:val="20"/>
        </w:rPr>
        <w:t>vs</w:t>
      </w:r>
      <w:proofErr w:type="spellEnd"/>
      <w:r w:rsidRPr="00F20C1A">
        <w:rPr>
          <w:rFonts w:eastAsia="Arial"/>
          <w:szCs w:val="20"/>
        </w:rPr>
        <w:t xml:space="preserve"> </w:t>
      </w:r>
      <w:proofErr w:type="spellStart"/>
      <w:r w:rsidRPr="00F20C1A">
        <w:rPr>
          <w:rFonts w:eastAsia="Arial"/>
          <w:szCs w:val="20"/>
        </w:rPr>
        <w:t>tislelizumabas</w:t>
      </w:r>
      <w:proofErr w:type="spellEnd"/>
      <w:r w:rsidRPr="00F20C1A">
        <w:rPr>
          <w:rFonts w:eastAsia="Arial"/>
          <w:szCs w:val="20"/>
        </w:rPr>
        <w:t xml:space="preserve"> RS 1,25 , 95% PI (0.91, 1.72); BI </w:t>
      </w:r>
      <w:proofErr w:type="spellStart"/>
      <w:r w:rsidRPr="00F20C1A">
        <w:rPr>
          <w:rFonts w:eastAsia="Arial"/>
          <w:szCs w:val="20"/>
        </w:rPr>
        <w:t>pembrolizumabas</w:t>
      </w:r>
      <w:proofErr w:type="spellEnd"/>
      <w:r w:rsidRPr="00F20C1A">
        <w:rPr>
          <w:rFonts w:eastAsia="Arial"/>
          <w:szCs w:val="20"/>
        </w:rPr>
        <w:t xml:space="preserve"> </w:t>
      </w:r>
      <w:proofErr w:type="spellStart"/>
      <w:r w:rsidRPr="00F20C1A">
        <w:rPr>
          <w:rFonts w:eastAsia="Arial"/>
          <w:i/>
          <w:iCs/>
          <w:szCs w:val="20"/>
        </w:rPr>
        <w:t>vs</w:t>
      </w:r>
      <w:proofErr w:type="spellEnd"/>
      <w:r w:rsidRPr="00F20C1A">
        <w:rPr>
          <w:rFonts w:eastAsia="Arial"/>
          <w:szCs w:val="20"/>
        </w:rPr>
        <w:t xml:space="preserve"> </w:t>
      </w:r>
      <w:proofErr w:type="spellStart"/>
      <w:r w:rsidRPr="00F20C1A">
        <w:rPr>
          <w:rFonts w:eastAsia="Arial"/>
          <w:szCs w:val="20"/>
        </w:rPr>
        <w:t>tislelizumabas</w:t>
      </w:r>
      <w:proofErr w:type="spellEnd"/>
      <w:r w:rsidRPr="00F20C1A">
        <w:rPr>
          <w:rFonts w:eastAsia="Arial"/>
          <w:szCs w:val="20"/>
        </w:rPr>
        <w:t xml:space="preserve"> RS 0,88 , 95% PI (0.65, 1.21) – statistiškai reikšmingų skirtumų nėra.</w:t>
      </w:r>
    </w:p>
    <w:p w14:paraId="52C2FC0F" w14:textId="77777777" w:rsidR="00F20C1A" w:rsidRPr="00F20C1A" w:rsidRDefault="00F20C1A" w:rsidP="00F20C1A">
      <w:pPr>
        <w:spacing w:line="276" w:lineRule="auto"/>
        <w:ind w:firstLine="360"/>
        <w:jc w:val="both"/>
        <w:rPr>
          <w:szCs w:val="20"/>
        </w:rPr>
      </w:pPr>
    </w:p>
    <w:p w14:paraId="1D4C9B66" w14:textId="3E3D8556" w:rsidR="00F20C1A" w:rsidRPr="00F20C1A" w:rsidRDefault="00F20C1A" w:rsidP="00F20C1A">
      <w:pPr>
        <w:spacing w:line="276" w:lineRule="auto"/>
        <w:ind w:firstLine="360"/>
        <w:jc w:val="both"/>
        <w:rPr>
          <w:szCs w:val="20"/>
        </w:rPr>
      </w:pPr>
      <w:r w:rsidRPr="00F20C1A">
        <w:rPr>
          <w:szCs w:val="20"/>
        </w:rPr>
        <w:t>Šiuo metu jau esant kompensuojamam alternatyviam ir tinkamam palyginamajam</w:t>
      </w:r>
      <w:r w:rsidR="00C606FA">
        <w:rPr>
          <w:szCs w:val="20"/>
        </w:rPr>
        <w:t xml:space="preserve"> vaistiniam</w:t>
      </w:r>
      <w:r w:rsidRPr="00F20C1A">
        <w:rPr>
          <w:szCs w:val="20"/>
        </w:rPr>
        <w:t xml:space="preserve"> preparatui </w:t>
      </w:r>
      <w:proofErr w:type="spellStart"/>
      <w:r w:rsidRPr="00F20C1A">
        <w:rPr>
          <w:szCs w:val="20"/>
        </w:rPr>
        <w:t>pembrolizumabui</w:t>
      </w:r>
      <w:proofErr w:type="spellEnd"/>
      <w:r w:rsidRPr="00F20C1A">
        <w:rPr>
          <w:szCs w:val="20"/>
        </w:rPr>
        <w:t xml:space="preserve">, </w:t>
      </w:r>
      <w:proofErr w:type="spellStart"/>
      <w:r w:rsidRPr="00F20C1A">
        <w:rPr>
          <w:szCs w:val="20"/>
        </w:rPr>
        <w:t>tislelizumabo</w:t>
      </w:r>
      <w:proofErr w:type="spellEnd"/>
      <w:r w:rsidRPr="00F20C1A">
        <w:rPr>
          <w:szCs w:val="20"/>
        </w:rPr>
        <w:t xml:space="preserve"> įrašymas į kompensuojamųjų vaistų sąrašus padidintų gydymo pasirinkimo galimybę pacientams, sergantiems </w:t>
      </w:r>
      <w:proofErr w:type="spellStart"/>
      <w:r w:rsidRPr="00F20C1A">
        <w:rPr>
          <w:szCs w:val="20"/>
        </w:rPr>
        <w:t>plokščialąsteliniu</w:t>
      </w:r>
      <w:proofErr w:type="spellEnd"/>
      <w:r w:rsidRPr="00F20C1A">
        <w:rPr>
          <w:szCs w:val="20"/>
        </w:rPr>
        <w:t xml:space="preserve"> NSLPV. Remiantis pateiktu tiesioginiu palyginimu, </w:t>
      </w:r>
      <w:proofErr w:type="spellStart"/>
      <w:r w:rsidRPr="00F20C1A">
        <w:rPr>
          <w:szCs w:val="20"/>
        </w:rPr>
        <w:t>tislelizumabo</w:t>
      </w:r>
      <w:proofErr w:type="spellEnd"/>
      <w:r w:rsidRPr="00F20C1A">
        <w:rPr>
          <w:szCs w:val="20"/>
        </w:rPr>
        <w:t xml:space="preserve"> ir chemoterapijos platinos pagrind</w:t>
      </w:r>
      <w:r w:rsidR="00C606FA">
        <w:rPr>
          <w:szCs w:val="20"/>
        </w:rPr>
        <w:t>o</w:t>
      </w:r>
      <w:r w:rsidRPr="00F20C1A">
        <w:rPr>
          <w:szCs w:val="20"/>
        </w:rPr>
        <w:t xml:space="preserve"> derinys yra efektyvus vietiškai išplitusio arba </w:t>
      </w:r>
      <w:proofErr w:type="spellStart"/>
      <w:r w:rsidRPr="00F20C1A">
        <w:rPr>
          <w:szCs w:val="20"/>
        </w:rPr>
        <w:t>metastazavusio</w:t>
      </w:r>
      <w:proofErr w:type="spellEnd"/>
      <w:r w:rsidRPr="00F20C1A">
        <w:rPr>
          <w:szCs w:val="20"/>
        </w:rPr>
        <w:t xml:space="preserve"> </w:t>
      </w:r>
      <w:proofErr w:type="spellStart"/>
      <w:r w:rsidRPr="00F20C1A">
        <w:rPr>
          <w:szCs w:val="20"/>
        </w:rPr>
        <w:t>plokščialąstelinio</w:t>
      </w:r>
      <w:proofErr w:type="spellEnd"/>
      <w:r w:rsidRPr="00F20C1A">
        <w:rPr>
          <w:szCs w:val="20"/>
        </w:rPr>
        <w:t xml:space="preserve"> NSLPV gydymas. Remiantis netiesiogine palyginamąja analize daroma išvada, kad </w:t>
      </w:r>
      <w:proofErr w:type="spellStart"/>
      <w:r w:rsidRPr="00F20C1A">
        <w:rPr>
          <w:szCs w:val="20"/>
        </w:rPr>
        <w:t>tislelizumab</w:t>
      </w:r>
      <w:r w:rsidR="00C606FA">
        <w:rPr>
          <w:szCs w:val="20"/>
        </w:rPr>
        <w:t>o</w:t>
      </w:r>
      <w:proofErr w:type="spellEnd"/>
      <w:r w:rsidR="00C606FA">
        <w:rPr>
          <w:szCs w:val="20"/>
        </w:rPr>
        <w:t xml:space="preserve"> vartojamas</w:t>
      </w:r>
      <w:r w:rsidRPr="00F20C1A">
        <w:rPr>
          <w:szCs w:val="20"/>
        </w:rPr>
        <w:t xml:space="preserve"> </w:t>
      </w:r>
      <w:r w:rsidRPr="00F20C1A">
        <w:rPr>
          <w:color w:val="000000"/>
          <w:szCs w:val="20"/>
          <w:lang w:eastAsia="lt-LT"/>
        </w:rPr>
        <w:t xml:space="preserve">derinyje su </w:t>
      </w:r>
      <w:proofErr w:type="spellStart"/>
      <w:r w:rsidRPr="00F20C1A">
        <w:rPr>
          <w:color w:val="000000"/>
          <w:szCs w:val="20"/>
          <w:lang w:eastAsia="lt-LT"/>
        </w:rPr>
        <w:t>karboplatina</w:t>
      </w:r>
      <w:proofErr w:type="spellEnd"/>
      <w:r w:rsidRPr="00F20C1A">
        <w:rPr>
          <w:color w:val="000000"/>
          <w:szCs w:val="20"/>
          <w:lang w:eastAsia="lt-LT"/>
        </w:rPr>
        <w:t xml:space="preserve"> ir arba </w:t>
      </w:r>
      <w:proofErr w:type="spellStart"/>
      <w:r w:rsidRPr="00F20C1A">
        <w:rPr>
          <w:color w:val="000000"/>
          <w:szCs w:val="20"/>
          <w:lang w:eastAsia="lt-LT"/>
        </w:rPr>
        <w:t>paklitakseliu</w:t>
      </w:r>
      <w:proofErr w:type="spellEnd"/>
      <w:r w:rsidRPr="00F20C1A">
        <w:rPr>
          <w:color w:val="000000"/>
          <w:szCs w:val="20"/>
          <w:lang w:eastAsia="lt-LT"/>
        </w:rPr>
        <w:t xml:space="preserve">, arba </w:t>
      </w:r>
      <w:proofErr w:type="spellStart"/>
      <w:r w:rsidRPr="00F20C1A">
        <w:rPr>
          <w:color w:val="000000"/>
          <w:szCs w:val="20"/>
          <w:lang w:eastAsia="lt-LT"/>
        </w:rPr>
        <w:t>nabpaklitakseliu</w:t>
      </w:r>
      <w:proofErr w:type="spellEnd"/>
      <w:r w:rsidR="00C606FA">
        <w:rPr>
          <w:color w:val="000000"/>
          <w:szCs w:val="20"/>
          <w:lang w:eastAsia="lt-LT"/>
        </w:rPr>
        <w:t xml:space="preserve">, sukuria nesiskiriančią naudą pacientų sveikatai palyginus </w:t>
      </w:r>
      <w:r w:rsidRPr="00F20C1A">
        <w:rPr>
          <w:color w:val="000000"/>
          <w:szCs w:val="20"/>
          <w:lang w:eastAsia="lt-LT"/>
        </w:rPr>
        <w:t xml:space="preserve">su </w:t>
      </w:r>
      <w:r w:rsidR="00C606FA">
        <w:rPr>
          <w:color w:val="000000"/>
          <w:szCs w:val="20"/>
          <w:lang w:eastAsia="lt-LT"/>
        </w:rPr>
        <w:t xml:space="preserve">įprastinę Lietuvos </w:t>
      </w:r>
      <w:proofErr w:type="spellStart"/>
      <w:r w:rsidR="00C606FA">
        <w:rPr>
          <w:color w:val="000000"/>
          <w:szCs w:val="20"/>
          <w:lang w:eastAsia="lt-LT"/>
        </w:rPr>
        <w:t>klinininę</w:t>
      </w:r>
      <w:proofErr w:type="spellEnd"/>
      <w:r w:rsidR="00C606FA">
        <w:rPr>
          <w:color w:val="000000"/>
          <w:szCs w:val="20"/>
          <w:lang w:eastAsia="lt-LT"/>
        </w:rPr>
        <w:t xml:space="preserve"> praktiką </w:t>
      </w:r>
      <w:proofErr w:type="spellStart"/>
      <w:r w:rsidR="00C606FA">
        <w:rPr>
          <w:color w:val="000000"/>
          <w:szCs w:val="20"/>
          <w:lang w:eastAsia="lt-LT"/>
        </w:rPr>
        <w:t>atittinkamu</w:t>
      </w:r>
      <w:proofErr w:type="spellEnd"/>
      <w:r w:rsidR="00C606FA">
        <w:rPr>
          <w:color w:val="000000"/>
          <w:szCs w:val="20"/>
          <w:lang w:eastAsia="lt-LT"/>
        </w:rPr>
        <w:t xml:space="preserve"> palyginamuoju gydymu </w:t>
      </w:r>
      <w:proofErr w:type="spellStart"/>
      <w:r w:rsidRPr="00F20C1A">
        <w:rPr>
          <w:color w:val="000000"/>
          <w:szCs w:val="20"/>
          <w:lang w:eastAsia="lt-LT"/>
        </w:rPr>
        <w:t>pembrolizumabo</w:t>
      </w:r>
      <w:proofErr w:type="spellEnd"/>
      <w:r w:rsidRPr="00F20C1A">
        <w:rPr>
          <w:color w:val="000000"/>
          <w:szCs w:val="20"/>
          <w:lang w:eastAsia="lt-LT"/>
        </w:rPr>
        <w:t xml:space="preserve">, </w:t>
      </w:r>
      <w:proofErr w:type="spellStart"/>
      <w:r w:rsidRPr="00F20C1A">
        <w:rPr>
          <w:color w:val="000000"/>
          <w:szCs w:val="20"/>
          <w:lang w:eastAsia="lt-LT"/>
        </w:rPr>
        <w:t>karboplatinos</w:t>
      </w:r>
      <w:proofErr w:type="spellEnd"/>
      <w:r w:rsidRPr="00F20C1A">
        <w:rPr>
          <w:color w:val="000000"/>
          <w:szCs w:val="20"/>
          <w:lang w:eastAsia="lt-LT"/>
        </w:rPr>
        <w:t xml:space="preserve"> ir </w:t>
      </w:r>
      <w:proofErr w:type="spellStart"/>
      <w:r w:rsidRPr="00F20C1A">
        <w:rPr>
          <w:color w:val="000000"/>
          <w:szCs w:val="20"/>
          <w:lang w:eastAsia="lt-LT"/>
        </w:rPr>
        <w:t>paklitakselio</w:t>
      </w:r>
      <w:proofErr w:type="spellEnd"/>
      <w:r w:rsidRPr="00F20C1A">
        <w:rPr>
          <w:color w:val="000000"/>
          <w:szCs w:val="20"/>
          <w:lang w:eastAsia="lt-LT"/>
        </w:rPr>
        <w:t xml:space="preserve"> deriniu.</w:t>
      </w:r>
    </w:p>
    <w:bookmarkEnd w:id="0"/>
    <w:p w14:paraId="1A00BC8E" w14:textId="1EF26AA1" w:rsidR="00A93AA6" w:rsidRPr="00E33EFF" w:rsidRDefault="00A93AA6" w:rsidP="00F20C1A">
      <w:pPr>
        <w:tabs>
          <w:tab w:val="left" w:pos="284"/>
        </w:tabs>
        <w:spacing w:line="276" w:lineRule="auto"/>
        <w:rPr>
          <w:bCs/>
          <w:i/>
          <w:caps/>
          <w:color w:val="00B050"/>
          <w:sz w:val="22"/>
        </w:rPr>
      </w:pPr>
    </w:p>
    <w:p w14:paraId="25F89291" w14:textId="5C45C8FC" w:rsidR="00D4485B" w:rsidRPr="00E33EFF" w:rsidRDefault="00D4485B" w:rsidP="00F20C1A">
      <w:pPr>
        <w:pStyle w:val="Sraopastraipa"/>
        <w:tabs>
          <w:tab w:val="left" w:pos="426"/>
        </w:tabs>
        <w:spacing w:line="276" w:lineRule="auto"/>
        <w:ind w:left="0"/>
        <w:rPr>
          <w:b/>
          <w:bCs/>
          <w:caps/>
        </w:rPr>
      </w:pPr>
    </w:p>
    <w:p w14:paraId="7DE09EB5" w14:textId="69E9DD74" w:rsidR="00E03C3F" w:rsidRDefault="00CC7832" w:rsidP="00F20C1A">
      <w:pPr>
        <w:pStyle w:val="Sraopastraipa"/>
        <w:numPr>
          <w:ilvl w:val="0"/>
          <w:numId w:val="12"/>
        </w:numPr>
        <w:tabs>
          <w:tab w:val="left" w:pos="567"/>
        </w:tabs>
        <w:spacing w:line="276" w:lineRule="auto"/>
        <w:ind w:hanging="720"/>
        <w:rPr>
          <w:b/>
          <w:bCs/>
          <w:caps/>
        </w:rPr>
      </w:pPr>
      <w:r w:rsidRPr="00E33EFF">
        <w:rPr>
          <w:b/>
          <w:bCs/>
          <w:caps/>
        </w:rPr>
        <w:t xml:space="preserve">ekonominio vertinimo </w:t>
      </w:r>
      <w:r w:rsidR="002F0E4F" w:rsidRPr="00E33EFF">
        <w:rPr>
          <w:b/>
          <w:bCs/>
          <w:caps/>
        </w:rPr>
        <w:t>apibendrinimas</w:t>
      </w:r>
    </w:p>
    <w:p w14:paraId="342F9055" w14:textId="77777777" w:rsidR="00F20C1A" w:rsidRPr="00470F4F" w:rsidRDefault="00F20C1A" w:rsidP="00470F4F">
      <w:pPr>
        <w:tabs>
          <w:tab w:val="left" w:pos="567"/>
        </w:tabs>
        <w:spacing w:line="276" w:lineRule="auto"/>
        <w:rPr>
          <w:b/>
          <w:bCs/>
          <w:caps/>
        </w:rPr>
      </w:pPr>
    </w:p>
    <w:p w14:paraId="03488327" w14:textId="158EFF78" w:rsidR="00F20C1A" w:rsidRPr="00F56085" w:rsidRDefault="00F20C1A" w:rsidP="00F20C1A">
      <w:pPr>
        <w:tabs>
          <w:tab w:val="left" w:pos="567"/>
        </w:tabs>
        <w:spacing w:line="276" w:lineRule="auto"/>
        <w:rPr>
          <w:b/>
          <w:bCs/>
          <w:caps/>
        </w:rPr>
      </w:pPr>
      <w:r>
        <w:rPr>
          <w:rFonts w:eastAsia="Arial"/>
        </w:rPr>
        <w:tab/>
      </w:r>
      <w:r w:rsidRPr="00F56085">
        <w:rPr>
          <w:rFonts w:eastAsia="Arial"/>
        </w:rPr>
        <w:t xml:space="preserve">Analizė atliekama taikant kaštų mažinimo perspektyvą, laikant, jog </w:t>
      </w:r>
      <w:proofErr w:type="spellStart"/>
      <w:r w:rsidRPr="00F56085">
        <w:rPr>
          <w:rFonts w:eastAsia="Arial"/>
        </w:rPr>
        <w:t>tislelizumabo</w:t>
      </w:r>
      <w:proofErr w:type="spellEnd"/>
      <w:r w:rsidRPr="00F56085">
        <w:rPr>
          <w:rFonts w:eastAsia="Arial"/>
        </w:rPr>
        <w:t xml:space="preserve"> derinyje su platinos chemoterapija sukuriama nauda pacientų sveikatai yra iš esmės nesiskirianti, todėl analizėje lyginami tik gydymo kaštai. </w:t>
      </w:r>
      <w:proofErr w:type="spellStart"/>
      <w:r w:rsidRPr="00F56085">
        <w:rPr>
          <w:rFonts w:eastAsia="Arial"/>
        </w:rPr>
        <w:t>Pembrolizumabas</w:t>
      </w:r>
      <w:proofErr w:type="spellEnd"/>
      <w:r w:rsidRPr="00F56085">
        <w:rPr>
          <w:rFonts w:eastAsia="Arial"/>
        </w:rPr>
        <w:t xml:space="preserve"> su </w:t>
      </w:r>
      <w:proofErr w:type="spellStart"/>
      <w:r>
        <w:rPr>
          <w:rFonts w:eastAsia="Arial"/>
        </w:rPr>
        <w:t>karboplatina</w:t>
      </w:r>
      <w:proofErr w:type="spellEnd"/>
      <w:r>
        <w:rPr>
          <w:rFonts w:eastAsia="Arial"/>
        </w:rPr>
        <w:t xml:space="preserve"> bei </w:t>
      </w:r>
      <w:proofErr w:type="spellStart"/>
      <w:r>
        <w:rPr>
          <w:rFonts w:eastAsia="Arial"/>
        </w:rPr>
        <w:t>paklitakseliu</w:t>
      </w:r>
      <w:proofErr w:type="spellEnd"/>
      <w:r>
        <w:rPr>
          <w:rFonts w:eastAsia="Arial"/>
        </w:rPr>
        <w:t xml:space="preserve"> </w:t>
      </w:r>
      <w:r w:rsidRPr="00F56085">
        <w:rPr>
          <w:rFonts w:eastAsia="Arial"/>
        </w:rPr>
        <w:t>palyginam</w:t>
      </w:r>
      <w:r>
        <w:rPr>
          <w:rFonts w:eastAsia="Arial"/>
        </w:rPr>
        <w:t xml:space="preserve">asis </w:t>
      </w:r>
      <w:r w:rsidRPr="00F56085">
        <w:rPr>
          <w:rFonts w:eastAsia="Arial"/>
        </w:rPr>
        <w:t>gydyma</w:t>
      </w:r>
      <w:r>
        <w:rPr>
          <w:rFonts w:eastAsia="Arial"/>
        </w:rPr>
        <w:t>s</w:t>
      </w:r>
      <w:r w:rsidRPr="00F56085">
        <w:rPr>
          <w:rFonts w:eastAsia="Arial"/>
        </w:rPr>
        <w:t>.</w:t>
      </w:r>
    </w:p>
    <w:p w14:paraId="0977D926" w14:textId="6751FE03" w:rsidR="00F20C1A" w:rsidRPr="00F56085" w:rsidRDefault="00F20C1A" w:rsidP="00F20C1A">
      <w:pPr>
        <w:spacing w:line="276" w:lineRule="auto"/>
        <w:ind w:firstLine="720"/>
        <w:jc w:val="both"/>
        <w:rPr>
          <w:rFonts w:eastAsia="Arial"/>
        </w:rPr>
      </w:pPr>
      <w:r w:rsidRPr="00F56085">
        <w:rPr>
          <w:rFonts w:eastAsia="Arial"/>
        </w:rPr>
        <w:t xml:space="preserve">Gydymo </w:t>
      </w:r>
      <w:proofErr w:type="spellStart"/>
      <w:r w:rsidRPr="00F56085">
        <w:rPr>
          <w:rFonts w:eastAsia="Arial"/>
        </w:rPr>
        <w:t>tislelizumabo</w:t>
      </w:r>
      <w:proofErr w:type="spellEnd"/>
      <w:r w:rsidRPr="00F56085">
        <w:rPr>
          <w:rFonts w:eastAsia="Arial"/>
        </w:rPr>
        <w:t xml:space="preserve"> derinyje su chemoterapija kaštai viršija </w:t>
      </w:r>
      <w:proofErr w:type="spellStart"/>
      <w:r w:rsidRPr="00F56085">
        <w:rPr>
          <w:rFonts w:eastAsia="Arial"/>
        </w:rPr>
        <w:t>pembrolizumabo</w:t>
      </w:r>
      <w:proofErr w:type="spellEnd"/>
      <w:r w:rsidRPr="00F56085">
        <w:rPr>
          <w:rFonts w:eastAsia="Arial"/>
        </w:rPr>
        <w:t xml:space="preserve"> (su chemoterapija) gydymo kaštus. Tarnybos atliktame analizės rezultato perskaičiavime yra taikomos kainos iš konfidencialių vaistinių preparatų gamintojų atstovų susitarimų su VLK</w:t>
      </w:r>
      <w:r>
        <w:rPr>
          <w:rFonts w:eastAsia="Arial"/>
        </w:rPr>
        <w:t>.</w:t>
      </w:r>
      <w:r w:rsidRPr="00F56085">
        <w:rPr>
          <w:rFonts w:eastAsia="Arial"/>
        </w:rPr>
        <w:t xml:space="preserve"> </w:t>
      </w:r>
    </w:p>
    <w:p w14:paraId="7BF8FA80" w14:textId="29EB4D0D" w:rsidR="00F20C1A" w:rsidRPr="00F56085" w:rsidRDefault="00F20C1A" w:rsidP="00F20C1A">
      <w:pPr>
        <w:tabs>
          <w:tab w:val="left" w:pos="567"/>
        </w:tabs>
        <w:spacing w:line="276" w:lineRule="auto"/>
        <w:jc w:val="both"/>
        <w:rPr>
          <w:rFonts w:eastAsia="Arial"/>
        </w:rPr>
      </w:pPr>
      <w:r>
        <w:rPr>
          <w:iCs/>
          <w:lang w:eastAsia="lt-LT"/>
        </w:rPr>
        <w:tab/>
      </w:r>
      <w:r w:rsidRPr="00F56085">
        <w:rPr>
          <w:iCs/>
          <w:lang w:eastAsia="lt-LT"/>
        </w:rPr>
        <w:t xml:space="preserve">Remiantis Lietuvos Respublikos sveikatos apsaugos ministro įsakymu Nr. 159, jei taikoma kaštų minimizavimo analizė, naujojo vaisto sukeliamos Privalomojo sveikatos draudimo fondo sutaupytos lėšos turėtų sudaryti bent 5% palyginti su esamomis vaistų išlaidomis. </w:t>
      </w:r>
    </w:p>
    <w:p w14:paraId="19AEEE1F" w14:textId="13CDD355" w:rsidR="00F20C1A" w:rsidRDefault="00F20C1A" w:rsidP="00F20C1A">
      <w:pPr>
        <w:shd w:val="clear" w:color="auto" w:fill="FFFFFF"/>
        <w:spacing w:line="276" w:lineRule="auto"/>
        <w:jc w:val="both"/>
        <w:rPr>
          <w:rFonts w:eastAsia="Arial"/>
        </w:rPr>
      </w:pPr>
      <w:r w:rsidRPr="00F56085">
        <w:rPr>
          <w:rFonts w:eastAsia="Arial"/>
        </w:rPr>
        <w:t xml:space="preserve">Reikalinga papildoma nemažiau nei </w:t>
      </w:r>
      <w:r w:rsidR="007B75F5" w:rsidRPr="009523DD">
        <w:rPr>
          <w:i/>
          <w:iCs/>
          <w:lang w:eastAsia="lt-LT"/>
        </w:rPr>
        <w:t>***</w:t>
      </w:r>
      <w:r w:rsidR="007B75F5">
        <w:rPr>
          <w:i/>
          <w:iCs/>
          <w:lang w:eastAsia="lt-LT"/>
        </w:rPr>
        <w:t>**</w:t>
      </w:r>
      <w:r w:rsidRPr="00F56085">
        <w:rPr>
          <w:rFonts w:eastAsia="Arial"/>
        </w:rPr>
        <w:t xml:space="preserve">, jog </w:t>
      </w:r>
      <w:proofErr w:type="spellStart"/>
      <w:r w:rsidRPr="00F56085">
        <w:rPr>
          <w:rFonts w:eastAsia="Arial"/>
        </w:rPr>
        <w:t>tislelizumabo</w:t>
      </w:r>
      <w:proofErr w:type="spellEnd"/>
      <w:r w:rsidRPr="00F56085">
        <w:rPr>
          <w:rFonts w:eastAsia="Arial"/>
        </w:rPr>
        <w:t xml:space="preserve"> derinyje su chemoterapija kaštai būtų </w:t>
      </w:r>
      <w:r w:rsidR="007B75F5" w:rsidRPr="009523DD">
        <w:rPr>
          <w:i/>
          <w:iCs/>
          <w:lang w:eastAsia="lt-LT"/>
        </w:rPr>
        <w:t>***</w:t>
      </w:r>
      <w:r w:rsidR="007B75F5">
        <w:rPr>
          <w:i/>
          <w:iCs/>
          <w:lang w:eastAsia="lt-LT"/>
        </w:rPr>
        <w:t>**</w:t>
      </w:r>
      <w:r w:rsidR="00CD1FC9">
        <w:rPr>
          <w:sz w:val="22"/>
          <w:szCs w:val="22"/>
        </w:rPr>
        <w:t xml:space="preserve"> </w:t>
      </w:r>
      <w:r w:rsidRPr="00F56085">
        <w:rPr>
          <w:rFonts w:eastAsia="Arial"/>
        </w:rPr>
        <w:t xml:space="preserve">mažesni už </w:t>
      </w:r>
      <w:proofErr w:type="spellStart"/>
      <w:r w:rsidRPr="00F56085">
        <w:rPr>
          <w:rFonts w:eastAsia="Arial"/>
        </w:rPr>
        <w:t>pembrolizumabo</w:t>
      </w:r>
      <w:proofErr w:type="spellEnd"/>
      <w:r w:rsidRPr="00F56085">
        <w:rPr>
          <w:rFonts w:eastAsia="Arial"/>
        </w:rPr>
        <w:t xml:space="preserve"> ir chemoterapijos kaštus</w:t>
      </w:r>
      <w:r>
        <w:rPr>
          <w:rFonts w:eastAsia="Arial"/>
        </w:rPr>
        <w:t xml:space="preserve">. </w:t>
      </w:r>
    </w:p>
    <w:p w14:paraId="1A900598" w14:textId="4826E5DF" w:rsidR="00C62B36" w:rsidRPr="00E33EFF" w:rsidRDefault="00C62B36" w:rsidP="00F20C1A">
      <w:pPr>
        <w:tabs>
          <w:tab w:val="left" w:pos="426"/>
        </w:tabs>
        <w:spacing w:line="276" w:lineRule="auto"/>
        <w:rPr>
          <w:b/>
          <w:bCs/>
          <w:caps/>
        </w:rPr>
      </w:pPr>
    </w:p>
    <w:p w14:paraId="174D84D7" w14:textId="2A98EE7C" w:rsidR="0035172D" w:rsidRDefault="0035172D" w:rsidP="00F20C1A">
      <w:pPr>
        <w:tabs>
          <w:tab w:val="left" w:pos="426"/>
        </w:tabs>
        <w:spacing w:line="276" w:lineRule="auto"/>
        <w:rPr>
          <w:b/>
          <w:lang w:eastAsia="lt-LT"/>
        </w:rPr>
      </w:pPr>
      <w:r w:rsidRPr="00E33EFF">
        <w:rPr>
          <w:b/>
          <w:lang w:eastAsia="lt-LT"/>
        </w:rPr>
        <w:t>Ekonominės analizės rezultatas</w:t>
      </w:r>
    </w:p>
    <w:tbl>
      <w:tblPr>
        <w:tblStyle w:val="Lentelstinklelis"/>
        <w:tblW w:w="5000" w:type="pct"/>
        <w:tblLook w:val="04A0" w:firstRow="1" w:lastRow="0" w:firstColumn="1" w:lastColumn="0" w:noHBand="0" w:noVBand="1"/>
      </w:tblPr>
      <w:tblGrid>
        <w:gridCol w:w="2226"/>
        <w:gridCol w:w="1812"/>
        <w:gridCol w:w="1674"/>
        <w:gridCol w:w="1812"/>
        <w:gridCol w:w="2105"/>
      </w:tblGrid>
      <w:tr w:rsidR="00D00E06" w:rsidRPr="00A27451" w14:paraId="3315598D" w14:textId="77777777" w:rsidTr="00966F14">
        <w:trPr>
          <w:trHeight w:val="353"/>
          <w:tblHeader/>
        </w:trPr>
        <w:tc>
          <w:tcPr>
            <w:tcW w:w="1156" w:type="pct"/>
            <w:noWrap/>
            <w:hideMark/>
          </w:tcPr>
          <w:p w14:paraId="372DE4EC" w14:textId="77777777" w:rsidR="00D00E06" w:rsidRPr="00A27451" w:rsidRDefault="00D00E06" w:rsidP="00966F14">
            <w:pPr>
              <w:rPr>
                <w:b/>
                <w:bCs/>
                <w:sz w:val="22"/>
                <w:szCs w:val="22"/>
              </w:rPr>
            </w:pPr>
            <w:proofErr w:type="spellStart"/>
            <w:r w:rsidRPr="00A27451">
              <w:rPr>
                <w:b/>
                <w:bCs/>
                <w:sz w:val="22"/>
                <w:szCs w:val="22"/>
              </w:rPr>
              <w:t>Drug</w:t>
            </w:r>
            <w:proofErr w:type="spellEnd"/>
          </w:p>
        </w:tc>
        <w:tc>
          <w:tcPr>
            <w:tcW w:w="941" w:type="pct"/>
            <w:hideMark/>
          </w:tcPr>
          <w:p w14:paraId="76B40F77" w14:textId="77777777" w:rsidR="00D00E06" w:rsidRPr="00A27451" w:rsidRDefault="00D00E06" w:rsidP="00966F14">
            <w:pPr>
              <w:jc w:val="center"/>
              <w:rPr>
                <w:b/>
                <w:bCs/>
                <w:sz w:val="22"/>
                <w:szCs w:val="22"/>
              </w:rPr>
            </w:pPr>
            <w:proofErr w:type="spellStart"/>
            <w:r w:rsidRPr="00A27451">
              <w:rPr>
                <w:b/>
                <w:bCs/>
                <w:sz w:val="22"/>
                <w:szCs w:val="22"/>
              </w:rPr>
              <w:t>Costs</w:t>
            </w:r>
            <w:proofErr w:type="spellEnd"/>
            <w:r w:rsidRPr="00A27451">
              <w:rPr>
                <w:b/>
                <w:bCs/>
                <w:sz w:val="22"/>
                <w:szCs w:val="22"/>
              </w:rPr>
              <w:t xml:space="preserve"> per </w:t>
            </w:r>
            <w:proofErr w:type="spellStart"/>
            <w:r w:rsidRPr="00A27451">
              <w:rPr>
                <w:b/>
                <w:bCs/>
                <w:sz w:val="22"/>
                <w:szCs w:val="22"/>
              </w:rPr>
              <w:t>dose</w:t>
            </w:r>
            <w:proofErr w:type="spellEnd"/>
            <w:r w:rsidRPr="00A27451">
              <w:rPr>
                <w:b/>
                <w:bCs/>
                <w:sz w:val="22"/>
                <w:szCs w:val="22"/>
              </w:rPr>
              <w:t xml:space="preserve"> (</w:t>
            </w:r>
            <w:r w:rsidRPr="00A27451">
              <w:rPr>
                <w:sz w:val="22"/>
                <w:szCs w:val="22"/>
              </w:rPr>
              <w:t>€</w:t>
            </w:r>
            <w:r w:rsidRPr="00A27451">
              <w:rPr>
                <w:b/>
                <w:bCs/>
                <w:sz w:val="22"/>
                <w:szCs w:val="22"/>
              </w:rPr>
              <w:t>)</w:t>
            </w:r>
          </w:p>
        </w:tc>
        <w:tc>
          <w:tcPr>
            <w:tcW w:w="869" w:type="pct"/>
            <w:hideMark/>
          </w:tcPr>
          <w:p w14:paraId="74C25159" w14:textId="77777777" w:rsidR="00D00E06" w:rsidRPr="00A27451" w:rsidRDefault="00D00E06" w:rsidP="00966F14">
            <w:pPr>
              <w:jc w:val="center"/>
              <w:rPr>
                <w:b/>
                <w:bCs/>
                <w:sz w:val="22"/>
                <w:szCs w:val="22"/>
              </w:rPr>
            </w:pPr>
            <w:proofErr w:type="spellStart"/>
            <w:r w:rsidRPr="00A27451">
              <w:rPr>
                <w:b/>
                <w:bCs/>
                <w:sz w:val="22"/>
                <w:szCs w:val="22"/>
              </w:rPr>
              <w:t>Doses</w:t>
            </w:r>
            <w:proofErr w:type="spellEnd"/>
            <w:r w:rsidRPr="00A27451">
              <w:rPr>
                <w:b/>
                <w:bCs/>
                <w:sz w:val="22"/>
                <w:szCs w:val="22"/>
              </w:rPr>
              <w:t xml:space="preserve"> per </w:t>
            </w:r>
            <w:proofErr w:type="spellStart"/>
            <w:r w:rsidRPr="00A27451">
              <w:rPr>
                <w:b/>
                <w:bCs/>
                <w:sz w:val="22"/>
                <w:szCs w:val="22"/>
              </w:rPr>
              <w:t>year</w:t>
            </w:r>
            <w:proofErr w:type="spellEnd"/>
          </w:p>
        </w:tc>
        <w:tc>
          <w:tcPr>
            <w:tcW w:w="941" w:type="pct"/>
            <w:hideMark/>
          </w:tcPr>
          <w:p w14:paraId="5DB7ACC1" w14:textId="77777777" w:rsidR="00D00E06" w:rsidRPr="00A27451" w:rsidRDefault="00D00E06" w:rsidP="00966F14">
            <w:pPr>
              <w:jc w:val="center"/>
              <w:rPr>
                <w:b/>
                <w:bCs/>
                <w:sz w:val="22"/>
                <w:szCs w:val="22"/>
              </w:rPr>
            </w:pPr>
            <w:proofErr w:type="spellStart"/>
            <w:r w:rsidRPr="00A27451">
              <w:rPr>
                <w:b/>
                <w:bCs/>
                <w:sz w:val="22"/>
                <w:szCs w:val="22"/>
              </w:rPr>
              <w:t>Annual</w:t>
            </w:r>
            <w:proofErr w:type="spellEnd"/>
            <w:r w:rsidRPr="00A27451">
              <w:rPr>
                <w:b/>
                <w:bCs/>
                <w:sz w:val="22"/>
                <w:szCs w:val="22"/>
              </w:rPr>
              <w:t xml:space="preserve"> </w:t>
            </w:r>
            <w:proofErr w:type="spellStart"/>
            <w:r w:rsidRPr="00A27451">
              <w:rPr>
                <w:b/>
                <w:bCs/>
                <w:sz w:val="22"/>
                <w:szCs w:val="22"/>
              </w:rPr>
              <w:t>costs</w:t>
            </w:r>
            <w:proofErr w:type="spellEnd"/>
            <w:r w:rsidRPr="00A27451">
              <w:rPr>
                <w:b/>
                <w:bCs/>
                <w:sz w:val="22"/>
                <w:szCs w:val="22"/>
              </w:rPr>
              <w:t xml:space="preserve"> (</w:t>
            </w:r>
            <w:r w:rsidRPr="00A27451">
              <w:rPr>
                <w:sz w:val="22"/>
                <w:szCs w:val="22"/>
              </w:rPr>
              <w:t>€)</w:t>
            </w:r>
          </w:p>
        </w:tc>
        <w:tc>
          <w:tcPr>
            <w:tcW w:w="1093" w:type="pct"/>
            <w:hideMark/>
          </w:tcPr>
          <w:p w14:paraId="6A6B57D4" w14:textId="77777777" w:rsidR="00D00E06" w:rsidRPr="00A27451" w:rsidRDefault="00D00E06" w:rsidP="00966F14">
            <w:pPr>
              <w:jc w:val="center"/>
              <w:rPr>
                <w:b/>
                <w:bCs/>
                <w:sz w:val="22"/>
                <w:szCs w:val="22"/>
              </w:rPr>
            </w:pPr>
            <w:proofErr w:type="spellStart"/>
            <w:r w:rsidRPr="00A27451">
              <w:rPr>
                <w:b/>
                <w:bCs/>
                <w:sz w:val="22"/>
                <w:szCs w:val="22"/>
              </w:rPr>
              <w:t>Cost</w:t>
            </w:r>
            <w:proofErr w:type="spellEnd"/>
            <w:r w:rsidRPr="00A27451">
              <w:rPr>
                <w:b/>
                <w:bCs/>
                <w:sz w:val="22"/>
                <w:szCs w:val="22"/>
              </w:rPr>
              <w:t xml:space="preserve"> </w:t>
            </w:r>
            <w:proofErr w:type="spellStart"/>
            <w:r w:rsidRPr="00A27451">
              <w:rPr>
                <w:b/>
                <w:bCs/>
                <w:sz w:val="22"/>
                <w:szCs w:val="22"/>
              </w:rPr>
              <w:t>difference</w:t>
            </w:r>
            <w:proofErr w:type="spellEnd"/>
            <w:r w:rsidRPr="00A27451">
              <w:rPr>
                <w:b/>
                <w:bCs/>
                <w:sz w:val="22"/>
                <w:szCs w:val="22"/>
              </w:rPr>
              <w:t xml:space="preserve"> (%)</w:t>
            </w:r>
          </w:p>
        </w:tc>
      </w:tr>
      <w:tr w:rsidR="00D00E06" w:rsidRPr="00A27451" w14:paraId="44F3A093" w14:textId="77777777" w:rsidTr="00966F14">
        <w:trPr>
          <w:trHeight w:val="263"/>
          <w:tblHeader/>
        </w:trPr>
        <w:tc>
          <w:tcPr>
            <w:tcW w:w="5000" w:type="pct"/>
            <w:gridSpan w:val="5"/>
            <w:noWrap/>
          </w:tcPr>
          <w:p w14:paraId="55194186" w14:textId="77777777" w:rsidR="00D00E06" w:rsidRPr="00A27451" w:rsidRDefault="00D00E06" w:rsidP="00966F14">
            <w:pPr>
              <w:rPr>
                <w:b/>
                <w:bCs/>
                <w:sz w:val="22"/>
                <w:szCs w:val="22"/>
              </w:rPr>
            </w:pPr>
            <w:proofErr w:type="spellStart"/>
            <w:r w:rsidRPr="00A27451">
              <w:rPr>
                <w:b/>
                <w:bCs/>
                <w:sz w:val="22"/>
                <w:szCs w:val="22"/>
              </w:rPr>
              <w:t>Tislelizumab</w:t>
            </w:r>
            <w:proofErr w:type="spellEnd"/>
            <w:r w:rsidRPr="00A27451">
              <w:rPr>
                <w:b/>
                <w:bCs/>
                <w:sz w:val="22"/>
                <w:szCs w:val="22"/>
              </w:rPr>
              <w:t xml:space="preserve"> + </w:t>
            </w:r>
            <w:proofErr w:type="spellStart"/>
            <w:r w:rsidRPr="00A27451">
              <w:rPr>
                <w:b/>
                <w:bCs/>
                <w:sz w:val="22"/>
                <w:szCs w:val="22"/>
              </w:rPr>
              <w:t>ChT</w:t>
            </w:r>
            <w:proofErr w:type="spellEnd"/>
          </w:p>
        </w:tc>
      </w:tr>
      <w:tr w:rsidR="00D00E06" w:rsidRPr="00A27451" w14:paraId="5AD7A3A3" w14:textId="77777777" w:rsidTr="00966F14">
        <w:trPr>
          <w:trHeight w:val="283"/>
        </w:trPr>
        <w:tc>
          <w:tcPr>
            <w:tcW w:w="1156" w:type="pct"/>
            <w:tcBorders>
              <w:bottom w:val="single" w:sz="4" w:space="0" w:color="auto"/>
            </w:tcBorders>
            <w:hideMark/>
          </w:tcPr>
          <w:p w14:paraId="5163FAA6" w14:textId="77777777" w:rsidR="00D00E06" w:rsidRPr="00A27451" w:rsidRDefault="00D00E06" w:rsidP="00966F14">
            <w:pPr>
              <w:rPr>
                <w:sz w:val="22"/>
                <w:szCs w:val="22"/>
              </w:rPr>
            </w:pPr>
            <w:proofErr w:type="spellStart"/>
            <w:r w:rsidRPr="00A27451">
              <w:rPr>
                <w:sz w:val="22"/>
                <w:szCs w:val="22"/>
              </w:rPr>
              <w:t>Tislelizumab</w:t>
            </w:r>
            <w:proofErr w:type="spellEnd"/>
            <w:r w:rsidRPr="00A27451">
              <w:rPr>
                <w:sz w:val="22"/>
                <w:szCs w:val="22"/>
              </w:rPr>
              <w:t xml:space="preserve"> </w:t>
            </w:r>
          </w:p>
        </w:tc>
        <w:tc>
          <w:tcPr>
            <w:tcW w:w="941" w:type="pct"/>
            <w:tcBorders>
              <w:bottom w:val="single" w:sz="4" w:space="0" w:color="auto"/>
            </w:tcBorders>
            <w:hideMark/>
          </w:tcPr>
          <w:p w14:paraId="03938494" w14:textId="23EF0A3D" w:rsidR="00D00E06" w:rsidRPr="00A27451" w:rsidRDefault="007B75F5" w:rsidP="00966F14">
            <w:pPr>
              <w:rPr>
                <w:sz w:val="22"/>
                <w:szCs w:val="22"/>
              </w:rPr>
            </w:pPr>
            <w:r w:rsidRPr="009523DD">
              <w:rPr>
                <w:i/>
                <w:iCs/>
                <w:lang w:eastAsia="lt-LT"/>
              </w:rPr>
              <w:t>***</w:t>
            </w:r>
            <w:r>
              <w:rPr>
                <w:i/>
                <w:iCs/>
                <w:lang w:eastAsia="lt-LT"/>
              </w:rPr>
              <w:t>**</w:t>
            </w:r>
          </w:p>
        </w:tc>
        <w:tc>
          <w:tcPr>
            <w:tcW w:w="869" w:type="pct"/>
            <w:tcBorders>
              <w:bottom w:val="single" w:sz="4" w:space="0" w:color="auto"/>
            </w:tcBorders>
            <w:hideMark/>
          </w:tcPr>
          <w:p w14:paraId="4D51E62D" w14:textId="35007DD0" w:rsidR="00D00E06" w:rsidRPr="00A27451" w:rsidRDefault="007B75F5" w:rsidP="00966F14">
            <w:pPr>
              <w:jc w:val="center"/>
              <w:rPr>
                <w:sz w:val="22"/>
                <w:szCs w:val="22"/>
              </w:rPr>
            </w:pPr>
            <w:r w:rsidRPr="009523DD">
              <w:rPr>
                <w:i/>
                <w:iCs/>
                <w:lang w:eastAsia="lt-LT"/>
              </w:rPr>
              <w:t>***</w:t>
            </w:r>
            <w:r>
              <w:rPr>
                <w:i/>
                <w:iCs/>
                <w:lang w:eastAsia="lt-LT"/>
              </w:rPr>
              <w:t>**</w:t>
            </w:r>
          </w:p>
        </w:tc>
        <w:tc>
          <w:tcPr>
            <w:tcW w:w="941" w:type="pct"/>
            <w:hideMark/>
          </w:tcPr>
          <w:p w14:paraId="59F81FF7" w14:textId="187099AD" w:rsidR="00D00E06" w:rsidRPr="00A27451" w:rsidRDefault="007B75F5" w:rsidP="00966F14">
            <w:pPr>
              <w:rPr>
                <w:sz w:val="22"/>
                <w:szCs w:val="22"/>
              </w:rPr>
            </w:pPr>
            <w:r w:rsidRPr="009523DD">
              <w:rPr>
                <w:i/>
                <w:iCs/>
                <w:lang w:eastAsia="lt-LT"/>
              </w:rPr>
              <w:t>***</w:t>
            </w:r>
            <w:r>
              <w:rPr>
                <w:i/>
                <w:iCs/>
                <w:lang w:eastAsia="lt-LT"/>
              </w:rPr>
              <w:t>**</w:t>
            </w:r>
          </w:p>
        </w:tc>
        <w:tc>
          <w:tcPr>
            <w:tcW w:w="1093" w:type="pct"/>
            <w:vMerge w:val="restart"/>
            <w:hideMark/>
          </w:tcPr>
          <w:p w14:paraId="1EEF3BD9" w14:textId="77777777" w:rsidR="00D00E06" w:rsidRPr="00A27451" w:rsidRDefault="00D00E06" w:rsidP="00966F14">
            <w:pPr>
              <w:rPr>
                <w:sz w:val="22"/>
                <w:szCs w:val="22"/>
              </w:rPr>
            </w:pPr>
            <w:r w:rsidRPr="00A27451">
              <w:rPr>
                <w:sz w:val="22"/>
                <w:szCs w:val="22"/>
              </w:rPr>
              <w:t>-</w:t>
            </w:r>
          </w:p>
        </w:tc>
      </w:tr>
      <w:tr w:rsidR="00D00E06" w:rsidRPr="00A27451" w14:paraId="13E4C765" w14:textId="77777777" w:rsidTr="00966F14">
        <w:trPr>
          <w:trHeight w:val="283"/>
        </w:trPr>
        <w:tc>
          <w:tcPr>
            <w:tcW w:w="1156" w:type="pct"/>
            <w:tcBorders>
              <w:bottom w:val="single" w:sz="4" w:space="0" w:color="auto"/>
            </w:tcBorders>
          </w:tcPr>
          <w:p w14:paraId="1DAD79B6" w14:textId="77777777" w:rsidR="00D00E06" w:rsidRPr="00A27451" w:rsidRDefault="00D00E06" w:rsidP="00966F14">
            <w:pPr>
              <w:rPr>
                <w:sz w:val="22"/>
                <w:szCs w:val="22"/>
              </w:rPr>
            </w:pPr>
            <w:proofErr w:type="spellStart"/>
            <w:r w:rsidRPr="00A27451">
              <w:rPr>
                <w:sz w:val="22"/>
                <w:szCs w:val="22"/>
              </w:rPr>
              <w:t>ChT</w:t>
            </w:r>
            <w:proofErr w:type="spellEnd"/>
          </w:p>
        </w:tc>
        <w:tc>
          <w:tcPr>
            <w:tcW w:w="941" w:type="pct"/>
            <w:tcBorders>
              <w:bottom w:val="single" w:sz="4" w:space="0" w:color="auto"/>
            </w:tcBorders>
          </w:tcPr>
          <w:p w14:paraId="2322F843" w14:textId="6851205B" w:rsidR="00D00E06" w:rsidRPr="00A27451" w:rsidRDefault="007B75F5" w:rsidP="00966F14">
            <w:pPr>
              <w:rPr>
                <w:sz w:val="22"/>
                <w:szCs w:val="22"/>
              </w:rPr>
            </w:pPr>
            <w:r w:rsidRPr="009523DD">
              <w:rPr>
                <w:i/>
                <w:iCs/>
                <w:lang w:eastAsia="lt-LT"/>
              </w:rPr>
              <w:t>***</w:t>
            </w:r>
            <w:r>
              <w:rPr>
                <w:i/>
                <w:iCs/>
                <w:lang w:eastAsia="lt-LT"/>
              </w:rPr>
              <w:t>**</w:t>
            </w:r>
          </w:p>
        </w:tc>
        <w:tc>
          <w:tcPr>
            <w:tcW w:w="869" w:type="pct"/>
            <w:tcBorders>
              <w:bottom w:val="single" w:sz="4" w:space="0" w:color="auto"/>
            </w:tcBorders>
          </w:tcPr>
          <w:p w14:paraId="0F9ADE36" w14:textId="45D8E905" w:rsidR="00D00E06" w:rsidRPr="00A27451" w:rsidRDefault="007B75F5" w:rsidP="00966F14">
            <w:pPr>
              <w:jc w:val="center"/>
              <w:rPr>
                <w:sz w:val="22"/>
                <w:szCs w:val="22"/>
              </w:rPr>
            </w:pPr>
            <w:r w:rsidRPr="009523DD">
              <w:rPr>
                <w:i/>
                <w:iCs/>
                <w:lang w:eastAsia="lt-LT"/>
              </w:rPr>
              <w:t>***</w:t>
            </w:r>
            <w:r>
              <w:rPr>
                <w:i/>
                <w:iCs/>
                <w:lang w:eastAsia="lt-LT"/>
              </w:rPr>
              <w:t>**</w:t>
            </w:r>
          </w:p>
        </w:tc>
        <w:tc>
          <w:tcPr>
            <w:tcW w:w="941" w:type="pct"/>
          </w:tcPr>
          <w:p w14:paraId="434B761D" w14:textId="7D90B9FF" w:rsidR="00D00E06" w:rsidRPr="00A27451" w:rsidRDefault="007B75F5" w:rsidP="00966F14">
            <w:pPr>
              <w:rPr>
                <w:sz w:val="22"/>
                <w:szCs w:val="22"/>
              </w:rPr>
            </w:pPr>
            <w:r w:rsidRPr="009523DD">
              <w:rPr>
                <w:i/>
                <w:iCs/>
                <w:lang w:eastAsia="lt-LT"/>
              </w:rPr>
              <w:t>***</w:t>
            </w:r>
            <w:r>
              <w:rPr>
                <w:i/>
                <w:iCs/>
                <w:lang w:eastAsia="lt-LT"/>
              </w:rPr>
              <w:t>**</w:t>
            </w:r>
          </w:p>
        </w:tc>
        <w:tc>
          <w:tcPr>
            <w:tcW w:w="1093" w:type="pct"/>
            <w:vMerge/>
          </w:tcPr>
          <w:p w14:paraId="40FF0EBA" w14:textId="77777777" w:rsidR="00D00E06" w:rsidRPr="00A27451" w:rsidRDefault="00D00E06" w:rsidP="00966F14">
            <w:pPr>
              <w:rPr>
                <w:sz w:val="22"/>
                <w:szCs w:val="22"/>
              </w:rPr>
            </w:pPr>
          </w:p>
        </w:tc>
      </w:tr>
      <w:tr w:rsidR="00D00E06" w:rsidRPr="00A27451" w14:paraId="7A54CAF4" w14:textId="77777777" w:rsidTr="00966F14">
        <w:trPr>
          <w:trHeight w:val="221"/>
        </w:trPr>
        <w:tc>
          <w:tcPr>
            <w:tcW w:w="2966" w:type="pct"/>
            <w:gridSpan w:val="3"/>
            <w:tcBorders>
              <w:bottom w:val="single" w:sz="4" w:space="0" w:color="auto"/>
            </w:tcBorders>
          </w:tcPr>
          <w:p w14:paraId="4AC22EA7" w14:textId="77777777" w:rsidR="00D00E06" w:rsidRPr="00A27451" w:rsidRDefault="00D00E06" w:rsidP="00966F14">
            <w:pPr>
              <w:jc w:val="right"/>
              <w:rPr>
                <w:b/>
                <w:bCs/>
                <w:sz w:val="22"/>
                <w:szCs w:val="22"/>
              </w:rPr>
            </w:pPr>
            <w:proofErr w:type="spellStart"/>
            <w:r w:rsidRPr="00A27451">
              <w:rPr>
                <w:b/>
                <w:bCs/>
                <w:sz w:val="22"/>
                <w:szCs w:val="22"/>
              </w:rPr>
              <w:lastRenderedPageBreak/>
              <w:t>Total</w:t>
            </w:r>
            <w:proofErr w:type="spellEnd"/>
            <w:r w:rsidRPr="00A27451">
              <w:rPr>
                <w:b/>
                <w:bCs/>
                <w:sz w:val="22"/>
                <w:szCs w:val="22"/>
              </w:rPr>
              <w:t xml:space="preserve"> </w:t>
            </w:r>
            <w:proofErr w:type="spellStart"/>
            <w:r w:rsidRPr="00A27451">
              <w:rPr>
                <w:b/>
                <w:bCs/>
                <w:sz w:val="22"/>
                <w:szCs w:val="22"/>
              </w:rPr>
              <w:t>annual</w:t>
            </w:r>
            <w:proofErr w:type="spellEnd"/>
            <w:r w:rsidRPr="00A27451">
              <w:rPr>
                <w:b/>
                <w:bCs/>
                <w:sz w:val="22"/>
                <w:szCs w:val="22"/>
              </w:rPr>
              <w:t xml:space="preserve"> </w:t>
            </w:r>
            <w:proofErr w:type="spellStart"/>
            <w:r w:rsidRPr="00A27451">
              <w:rPr>
                <w:b/>
                <w:bCs/>
                <w:sz w:val="22"/>
                <w:szCs w:val="22"/>
              </w:rPr>
              <w:t>costs</w:t>
            </w:r>
            <w:proofErr w:type="spellEnd"/>
          </w:p>
        </w:tc>
        <w:tc>
          <w:tcPr>
            <w:tcW w:w="2034" w:type="pct"/>
            <w:gridSpan w:val="2"/>
          </w:tcPr>
          <w:p w14:paraId="1684A904" w14:textId="6F3486C6" w:rsidR="00D00E06" w:rsidRPr="00A27451" w:rsidRDefault="007B75F5" w:rsidP="00966F14">
            <w:pPr>
              <w:rPr>
                <w:b/>
                <w:bCs/>
                <w:sz w:val="22"/>
                <w:szCs w:val="22"/>
              </w:rPr>
            </w:pPr>
            <w:r w:rsidRPr="009523DD">
              <w:rPr>
                <w:i/>
                <w:iCs/>
                <w:lang w:eastAsia="lt-LT"/>
              </w:rPr>
              <w:t>***</w:t>
            </w:r>
            <w:r>
              <w:rPr>
                <w:i/>
                <w:iCs/>
                <w:lang w:eastAsia="lt-LT"/>
              </w:rPr>
              <w:t>**</w:t>
            </w:r>
          </w:p>
        </w:tc>
      </w:tr>
      <w:tr w:rsidR="00D00E06" w:rsidRPr="00A27451" w14:paraId="30211E39" w14:textId="77777777" w:rsidTr="00966F14">
        <w:trPr>
          <w:trHeight w:val="221"/>
        </w:trPr>
        <w:tc>
          <w:tcPr>
            <w:tcW w:w="5000" w:type="pct"/>
            <w:gridSpan w:val="5"/>
            <w:tcBorders>
              <w:bottom w:val="single" w:sz="4" w:space="0" w:color="auto"/>
            </w:tcBorders>
          </w:tcPr>
          <w:p w14:paraId="21FADDF1" w14:textId="77777777" w:rsidR="00D00E06" w:rsidRPr="00A27451" w:rsidRDefault="00D00E06" w:rsidP="00966F14">
            <w:pPr>
              <w:rPr>
                <w:b/>
                <w:bCs/>
                <w:sz w:val="22"/>
                <w:szCs w:val="22"/>
              </w:rPr>
            </w:pPr>
            <w:proofErr w:type="spellStart"/>
            <w:r w:rsidRPr="00A27451">
              <w:rPr>
                <w:b/>
                <w:bCs/>
                <w:sz w:val="22"/>
                <w:szCs w:val="22"/>
              </w:rPr>
              <w:t>Pembrolizumab</w:t>
            </w:r>
            <w:proofErr w:type="spellEnd"/>
            <w:r w:rsidRPr="00A27451">
              <w:rPr>
                <w:b/>
                <w:bCs/>
                <w:sz w:val="22"/>
                <w:szCs w:val="22"/>
              </w:rPr>
              <w:t xml:space="preserve"> + </w:t>
            </w:r>
            <w:proofErr w:type="spellStart"/>
            <w:r w:rsidRPr="00A27451">
              <w:rPr>
                <w:b/>
                <w:bCs/>
                <w:sz w:val="22"/>
                <w:szCs w:val="22"/>
              </w:rPr>
              <w:t>ChT</w:t>
            </w:r>
            <w:proofErr w:type="spellEnd"/>
          </w:p>
        </w:tc>
      </w:tr>
      <w:tr w:rsidR="00D00E06" w:rsidRPr="00A27451" w14:paraId="327694DA" w14:textId="77777777" w:rsidTr="00966F14">
        <w:trPr>
          <w:trHeight w:val="209"/>
        </w:trPr>
        <w:tc>
          <w:tcPr>
            <w:tcW w:w="1156" w:type="pct"/>
            <w:tcBorders>
              <w:bottom w:val="single" w:sz="4" w:space="0" w:color="auto"/>
            </w:tcBorders>
            <w:hideMark/>
          </w:tcPr>
          <w:p w14:paraId="019148FA" w14:textId="77777777" w:rsidR="00D00E06" w:rsidRPr="00A27451" w:rsidRDefault="00D00E06" w:rsidP="00966F14">
            <w:pPr>
              <w:rPr>
                <w:sz w:val="22"/>
                <w:szCs w:val="22"/>
              </w:rPr>
            </w:pPr>
            <w:proofErr w:type="spellStart"/>
            <w:r w:rsidRPr="00A27451">
              <w:rPr>
                <w:sz w:val="22"/>
                <w:szCs w:val="22"/>
              </w:rPr>
              <w:t>Pembrolizumab</w:t>
            </w:r>
            <w:proofErr w:type="spellEnd"/>
          </w:p>
        </w:tc>
        <w:tc>
          <w:tcPr>
            <w:tcW w:w="941" w:type="pct"/>
            <w:tcBorders>
              <w:bottom w:val="single" w:sz="4" w:space="0" w:color="auto"/>
            </w:tcBorders>
            <w:hideMark/>
          </w:tcPr>
          <w:p w14:paraId="3DA9513F" w14:textId="244B0A82" w:rsidR="00D00E06" w:rsidRPr="00A27451" w:rsidRDefault="007B75F5" w:rsidP="00966F14">
            <w:pPr>
              <w:rPr>
                <w:sz w:val="22"/>
                <w:szCs w:val="22"/>
              </w:rPr>
            </w:pPr>
            <w:r w:rsidRPr="009523DD">
              <w:rPr>
                <w:i/>
                <w:iCs/>
                <w:lang w:eastAsia="lt-LT"/>
              </w:rPr>
              <w:t>***</w:t>
            </w:r>
            <w:r>
              <w:rPr>
                <w:i/>
                <w:iCs/>
                <w:lang w:eastAsia="lt-LT"/>
              </w:rPr>
              <w:t>**</w:t>
            </w:r>
          </w:p>
        </w:tc>
        <w:tc>
          <w:tcPr>
            <w:tcW w:w="869" w:type="pct"/>
            <w:tcBorders>
              <w:bottom w:val="single" w:sz="4" w:space="0" w:color="auto"/>
            </w:tcBorders>
            <w:hideMark/>
          </w:tcPr>
          <w:p w14:paraId="239EC118" w14:textId="0F09AE3C" w:rsidR="00D00E06" w:rsidRPr="00A27451" w:rsidRDefault="007B75F5" w:rsidP="00966F14">
            <w:pPr>
              <w:jc w:val="center"/>
              <w:rPr>
                <w:sz w:val="22"/>
                <w:szCs w:val="22"/>
              </w:rPr>
            </w:pPr>
            <w:r w:rsidRPr="009523DD">
              <w:rPr>
                <w:i/>
                <w:iCs/>
                <w:lang w:eastAsia="lt-LT"/>
              </w:rPr>
              <w:t>***</w:t>
            </w:r>
            <w:r>
              <w:rPr>
                <w:i/>
                <w:iCs/>
                <w:lang w:eastAsia="lt-LT"/>
              </w:rPr>
              <w:t>**</w:t>
            </w:r>
          </w:p>
        </w:tc>
        <w:tc>
          <w:tcPr>
            <w:tcW w:w="941" w:type="pct"/>
            <w:tcBorders>
              <w:bottom w:val="single" w:sz="4" w:space="0" w:color="auto"/>
            </w:tcBorders>
            <w:hideMark/>
          </w:tcPr>
          <w:p w14:paraId="1C62878B" w14:textId="5D393A8D" w:rsidR="00D00E06" w:rsidRPr="005B7D2C" w:rsidRDefault="007B75F5" w:rsidP="00966F14">
            <w:pPr>
              <w:outlineLvl w:val="0"/>
              <w:rPr>
                <w:rFonts w:ascii="Calibri" w:hAnsi="Calibri" w:cs="Calibri"/>
                <w:color w:val="000000"/>
                <w:sz w:val="22"/>
                <w:szCs w:val="22"/>
              </w:rPr>
            </w:pPr>
            <w:r w:rsidRPr="009523DD">
              <w:rPr>
                <w:i/>
                <w:iCs/>
                <w:lang w:eastAsia="lt-LT"/>
              </w:rPr>
              <w:t>***</w:t>
            </w:r>
            <w:r>
              <w:rPr>
                <w:i/>
                <w:iCs/>
                <w:lang w:eastAsia="lt-LT"/>
              </w:rPr>
              <w:t>**</w:t>
            </w:r>
          </w:p>
        </w:tc>
        <w:tc>
          <w:tcPr>
            <w:tcW w:w="1093" w:type="pct"/>
            <w:vMerge w:val="restart"/>
            <w:hideMark/>
          </w:tcPr>
          <w:p w14:paraId="0AF6A076" w14:textId="77777777" w:rsidR="00D00E06" w:rsidRPr="00A27451" w:rsidRDefault="00D00E06" w:rsidP="00966F14">
            <w:pPr>
              <w:rPr>
                <w:sz w:val="22"/>
                <w:szCs w:val="22"/>
              </w:rPr>
            </w:pPr>
          </w:p>
        </w:tc>
      </w:tr>
      <w:tr w:rsidR="00D00E06" w:rsidRPr="00A27451" w14:paraId="7C0AA8FD" w14:textId="77777777" w:rsidTr="00966F14">
        <w:trPr>
          <w:trHeight w:val="240"/>
        </w:trPr>
        <w:tc>
          <w:tcPr>
            <w:tcW w:w="1156" w:type="pct"/>
            <w:tcBorders>
              <w:bottom w:val="single" w:sz="4" w:space="0" w:color="auto"/>
            </w:tcBorders>
          </w:tcPr>
          <w:p w14:paraId="0A393BB3" w14:textId="77777777" w:rsidR="00D00E06" w:rsidRPr="00A27451" w:rsidRDefault="00D00E06" w:rsidP="00966F14">
            <w:pPr>
              <w:rPr>
                <w:sz w:val="22"/>
                <w:szCs w:val="22"/>
              </w:rPr>
            </w:pPr>
            <w:proofErr w:type="spellStart"/>
            <w:r w:rsidRPr="00A27451">
              <w:rPr>
                <w:sz w:val="22"/>
                <w:szCs w:val="22"/>
              </w:rPr>
              <w:t>ChT</w:t>
            </w:r>
            <w:proofErr w:type="spellEnd"/>
          </w:p>
        </w:tc>
        <w:tc>
          <w:tcPr>
            <w:tcW w:w="941" w:type="pct"/>
            <w:tcBorders>
              <w:bottom w:val="single" w:sz="4" w:space="0" w:color="auto"/>
            </w:tcBorders>
          </w:tcPr>
          <w:p w14:paraId="50B406F6" w14:textId="13452757" w:rsidR="00D00E06" w:rsidRPr="00A27451" w:rsidRDefault="007B75F5" w:rsidP="00966F14">
            <w:pPr>
              <w:rPr>
                <w:sz w:val="22"/>
                <w:szCs w:val="22"/>
              </w:rPr>
            </w:pPr>
            <w:r w:rsidRPr="009523DD">
              <w:rPr>
                <w:i/>
                <w:iCs/>
                <w:lang w:eastAsia="lt-LT"/>
              </w:rPr>
              <w:t>***</w:t>
            </w:r>
            <w:r>
              <w:rPr>
                <w:i/>
                <w:iCs/>
                <w:lang w:eastAsia="lt-LT"/>
              </w:rPr>
              <w:t>**</w:t>
            </w:r>
          </w:p>
        </w:tc>
        <w:tc>
          <w:tcPr>
            <w:tcW w:w="869" w:type="pct"/>
            <w:tcBorders>
              <w:bottom w:val="single" w:sz="4" w:space="0" w:color="auto"/>
            </w:tcBorders>
          </w:tcPr>
          <w:p w14:paraId="257BE967" w14:textId="612D870C" w:rsidR="00D00E06" w:rsidRPr="00A27451" w:rsidRDefault="007B75F5" w:rsidP="00966F14">
            <w:pPr>
              <w:jc w:val="center"/>
              <w:rPr>
                <w:sz w:val="22"/>
                <w:szCs w:val="22"/>
              </w:rPr>
            </w:pPr>
            <w:r w:rsidRPr="009523DD">
              <w:rPr>
                <w:i/>
                <w:iCs/>
                <w:lang w:eastAsia="lt-LT"/>
              </w:rPr>
              <w:t>***</w:t>
            </w:r>
            <w:r>
              <w:rPr>
                <w:i/>
                <w:iCs/>
                <w:lang w:eastAsia="lt-LT"/>
              </w:rPr>
              <w:t>**</w:t>
            </w:r>
          </w:p>
        </w:tc>
        <w:tc>
          <w:tcPr>
            <w:tcW w:w="941" w:type="pct"/>
            <w:tcBorders>
              <w:bottom w:val="single" w:sz="4" w:space="0" w:color="auto"/>
            </w:tcBorders>
          </w:tcPr>
          <w:p w14:paraId="1DB5ECB0" w14:textId="24098724" w:rsidR="00D00E06" w:rsidRPr="00A27451" w:rsidRDefault="007B75F5" w:rsidP="00966F14">
            <w:pPr>
              <w:rPr>
                <w:sz w:val="22"/>
                <w:szCs w:val="22"/>
              </w:rPr>
            </w:pPr>
            <w:r w:rsidRPr="009523DD">
              <w:rPr>
                <w:i/>
                <w:iCs/>
                <w:lang w:eastAsia="lt-LT"/>
              </w:rPr>
              <w:t>***</w:t>
            </w:r>
            <w:r>
              <w:rPr>
                <w:i/>
                <w:iCs/>
                <w:lang w:eastAsia="lt-LT"/>
              </w:rPr>
              <w:t>**</w:t>
            </w:r>
          </w:p>
        </w:tc>
        <w:tc>
          <w:tcPr>
            <w:tcW w:w="1093" w:type="pct"/>
            <w:vMerge/>
          </w:tcPr>
          <w:p w14:paraId="6745CE5D" w14:textId="77777777" w:rsidR="00D00E06" w:rsidRPr="00A27451" w:rsidRDefault="00D00E06" w:rsidP="00966F14">
            <w:pPr>
              <w:rPr>
                <w:sz w:val="22"/>
                <w:szCs w:val="22"/>
              </w:rPr>
            </w:pPr>
          </w:p>
        </w:tc>
      </w:tr>
      <w:tr w:rsidR="00D00E06" w:rsidRPr="00A27451" w14:paraId="3C3D62F1" w14:textId="77777777" w:rsidTr="00966F14">
        <w:trPr>
          <w:trHeight w:val="147"/>
        </w:trPr>
        <w:tc>
          <w:tcPr>
            <w:tcW w:w="2966" w:type="pct"/>
            <w:gridSpan w:val="3"/>
            <w:tcBorders>
              <w:bottom w:val="single" w:sz="4" w:space="0" w:color="auto"/>
            </w:tcBorders>
          </w:tcPr>
          <w:p w14:paraId="4001DEA2" w14:textId="77777777" w:rsidR="00D00E06" w:rsidRPr="00A27451" w:rsidRDefault="00D00E06" w:rsidP="00966F14">
            <w:pPr>
              <w:jc w:val="right"/>
              <w:rPr>
                <w:b/>
                <w:bCs/>
                <w:sz w:val="22"/>
                <w:szCs w:val="22"/>
              </w:rPr>
            </w:pPr>
            <w:proofErr w:type="spellStart"/>
            <w:r w:rsidRPr="00A27451">
              <w:rPr>
                <w:b/>
                <w:bCs/>
                <w:sz w:val="22"/>
                <w:szCs w:val="22"/>
              </w:rPr>
              <w:t>Total</w:t>
            </w:r>
            <w:proofErr w:type="spellEnd"/>
            <w:r w:rsidRPr="00A27451">
              <w:rPr>
                <w:b/>
                <w:bCs/>
                <w:sz w:val="22"/>
                <w:szCs w:val="22"/>
              </w:rPr>
              <w:t xml:space="preserve"> </w:t>
            </w:r>
            <w:proofErr w:type="spellStart"/>
            <w:r w:rsidRPr="00A27451">
              <w:rPr>
                <w:b/>
                <w:bCs/>
                <w:sz w:val="22"/>
                <w:szCs w:val="22"/>
              </w:rPr>
              <w:t>annual</w:t>
            </w:r>
            <w:proofErr w:type="spellEnd"/>
            <w:r w:rsidRPr="00A27451">
              <w:rPr>
                <w:b/>
                <w:bCs/>
                <w:sz w:val="22"/>
                <w:szCs w:val="22"/>
              </w:rPr>
              <w:t xml:space="preserve"> </w:t>
            </w:r>
            <w:proofErr w:type="spellStart"/>
            <w:r w:rsidRPr="00A27451">
              <w:rPr>
                <w:b/>
                <w:bCs/>
                <w:sz w:val="22"/>
                <w:szCs w:val="22"/>
              </w:rPr>
              <w:t>costs</w:t>
            </w:r>
            <w:proofErr w:type="spellEnd"/>
          </w:p>
        </w:tc>
        <w:tc>
          <w:tcPr>
            <w:tcW w:w="2034" w:type="pct"/>
            <w:gridSpan w:val="2"/>
            <w:tcBorders>
              <w:bottom w:val="single" w:sz="4" w:space="0" w:color="auto"/>
            </w:tcBorders>
          </w:tcPr>
          <w:p w14:paraId="22C6B5E9" w14:textId="782FEB25" w:rsidR="00D00E06" w:rsidRPr="00A27451" w:rsidRDefault="007B75F5" w:rsidP="00966F14">
            <w:pPr>
              <w:rPr>
                <w:b/>
                <w:bCs/>
                <w:sz w:val="22"/>
                <w:szCs w:val="22"/>
              </w:rPr>
            </w:pPr>
            <w:r w:rsidRPr="009523DD">
              <w:rPr>
                <w:i/>
                <w:iCs/>
                <w:lang w:eastAsia="lt-LT"/>
              </w:rPr>
              <w:t>***</w:t>
            </w:r>
            <w:r>
              <w:rPr>
                <w:i/>
                <w:iCs/>
                <w:lang w:eastAsia="lt-LT"/>
              </w:rPr>
              <w:t>**</w:t>
            </w:r>
          </w:p>
        </w:tc>
      </w:tr>
      <w:tr w:rsidR="00D00E06" w:rsidRPr="00A27451" w14:paraId="2D1F57E7" w14:textId="77777777" w:rsidTr="00966F14">
        <w:trPr>
          <w:trHeight w:val="339"/>
        </w:trPr>
        <w:tc>
          <w:tcPr>
            <w:tcW w:w="2966" w:type="pct"/>
            <w:gridSpan w:val="3"/>
            <w:tcBorders>
              <w:top w:val="single" w:sz="4" w:space="0" w:color="auto"/>
              <w:left w:val="single" w:sz="4" w:space="0" w:color="auto"/>
              <w:bottom w:val="single" w:sz="4" w:space="0" w:color="auto"/>
              <w:right w:val="single" w:sz="4" w:space="0" w:color="auto"/>
            </w:tcBorders>
            <w:noWrap/>
            <w:hideMark/>
          </w:tcPr>
          <w:p w14:paraId="1A099357" w14:textId="77777777" w:rsidR="00D00E06" w:rsidRPr="00A27451" w:rsidRDefault="00D00E06" w:rsidP="00966F14">
            <w:pPr>
              <w:jc w:val="right"/>
              <w:rPr>
                <w:b/>
                <w:bCs/>
                <w:sz w:val="22"/>
                <w:szCs w:val="22"/>
              </w:rPr>
            </w:pPr>
            <w:proofErr w:type="spellStart"/>
            <w:r w:rsidRPr="00A27451">
              <w:rPr>
                <w:b/>
                <w:bCs/>
                <w:sz w:val="22"/>
                <w:szCs w:val="22"/>
              </w:rPr>
              <w:t>Cost</w:t>
            </w:r>
            <w:proofErr w:type="spellEnd"/>
            <w:r w:rsidRPr="00A27451">
              <w:rPr>
                <w:b/>
                <w:bCs/>
                <w:sz w:val="22"/>
                <w:szCs w:val="22"/>
              </w:rPr>
              <w:t xml:space="preserve"> </w:t>
            </w:r>
            <w:proofErr w:type="spellStart"/>
            <w:r w:rsidRPr="00A27451">
              <w:rPr>
                <w:b/>
                <w:bCs/>
                <w:sz w:val="22"/>
                <w:szCs w:val="22"/>
              </w:rPr>
              <w:t>difference</w:t>
            </w:r>
            <w:proofErr w:type="spellEnd"/>
          </w:p>
        </w:tc>
        <w:tc>
          <w:tcPr>
            <w:tcW w:w="941" w:type="pct"/>
            <w:tcBorders>
              <w:left w:val="single" w:sz="4" w:space="0" w:color="auto"/>
              <w:bottom w:val="single" w:sz="4" w:space="0" w:color="auto"/>
              <w:right w:val="single" w:sz="4" w:space="0" w:color="auto"/>
            </w:tcBorders>
            <w:noWrap/>
            <w:hideMark/>
          </w:tcPr>
          <w:p w14:paraId="7C6637A2" w14:textId="02B4F408" w:rsidR="00D00E06" w:rsidRPr="00A27451" w:rsidRDefault="007B75F5" w:rsidP="00966F14">
            <w:pPr>
              <w:rPr>
                <w:b/>
                <w:bCs/>
                <w:sz w:val="22"/>
                <w:szCs w:val="22"/>
              </w:rPr>
            </w:pPr>
            <w:r w:rsidRPr="009523DD">
              <w:rPr>
                <w:i/>
                <w:iCs/>
                <w:lang w:eastAsia="lt-LT"/>
              </w:rPr>
              <w:t>***</w:t>
            </w:r>
            <w:r>
              <w:rPr>
                <w:i/>
                <w:iCs/>
                <w:lang w:eastAsia="lt-LT"/>
              </w:rPr>
              <w:t>**</w:t>
            </w:r>
          </w:p>
        </w:tc>
        <w:tc>
          <w:tcPr>
            <w:tcW w:w="1093" w:type="pct"/>
            <w:tcBorders>
              <w:left w:val="single" w:sz="4" w:space="0" w:color="auto"/>
              <w:bottom w:val="single" w:sz="4" w:space="0" w:color="auto"/>
            </w:tcBorders>
            <w:noWrap/>
            <w:hideMark/>
          </w:tcPr>
          <w:p w14:paraId="7871498B" w14:textId="5D7CC7B5" w:rsidR="00D00E06" w:rsidRPr="00A27451" w:rsidRDefault="007B75F5" w:rsidP="00966F14">
            <w:pPr>
              <w:rPr>
                <w:b/>
                <w:bCs/>
                <w:sz w:val="22"/>
                <w:szCs w:val="22"/>
              </w:rPr>
            </w:pPr>
            <w:r w:rsidRPr="009523DD">
              <w:rPr>
                <w:i/>
                <w:iCs/>
                <w:lang w:eastAsia="lt-LT"/>
              </w:rPr>
              <w:t>***</w:t>
            </w:r>
            <w:r>
              <w:rPr>
                <w:i/>
                <w:iCs/>
                <w:lang w:eastAsia="lt-LT"/>
              </w:rPr>
              <w:t>**</w:t>
            </w:r>
          </w:p>
        </w:tc>
      </w:tr>
    </w:tbl>
    <w:p w14:paraId="513053C6" w14:textId="77777777" w:rsidR="00F70566" w:rsidRDefault="00F70566" w:rsidP="00F20C1A">
      <w:pPr>
        <w:tabs>
          <w:tab w:val="left" w:pos="426"/>
        </w:tabs>
        <w:spacing w:line="276" w:lineRule="auto"/>
        <w:rPr>
          <w:b/>
          <w:lang w:eastAsia="lt-LT"/>
        </w:rPr>
      </w:pPr>
    </w:p>
    <w:p w14:paraId="33875138" w14:textId="77777777" w:rsidR="0035172D" w:rsidRPr="00E33EFF" w:rsidRDefault="0035172D" w:rsidP="00F20C1A">
      <w:pPr>
        <w:tabs>
          <w:tab w:val="left" w:pos="426"/>
        </w:tabs>
        <w:spacing w:line="276" w:lineRule="auto"/>
        <w:rPr>
          <w:b/>
          <w:bCs/>
          <w:caps/>
        </w:rPr>
      </w:pPr>
    </w:p>
    <w:p w14:paraId="4FC424F9" w14:textId="4E767245" w:rsidR="00C62B36" w:rsidRPr="00E33EFF" w:rsidRDefault="00C62B36" w:rsidP="00F20C1A">
      <w:pPr>
        <w:pStyle w:val="Sraopastraipa"/>
        <w:numPr>
          <w:ilvl w:val="0"/>
          <w:numId w:val="12"/>
        </w:numPr>
        <w:tabs>
          <w:tab w:val="left" w:pos="567"/>
        </w:tabs>
        <w:spacing w:line="276" w:lineRule="auto"/>
        <w:ind w:hanging="720"/>
        <w:rPr>
          <w:b/>
          <w:bCs/>
          <w:caps/>
        </w:rPr>
      </w:pPr>
      <w:r w:rsidRPr="00E33EFF">
        <w:rPr>
          <w:b/>
          <w:bCs/>
          <w:caps/>
        </w:rPr>
        <w:t xml:space="preserve">Pacientų organizacijų pateikti duomenys </w:t>
      </w:r>
    </w:p>
    <w:p w14:paraId="79BCFF40" w14:textId="1992DF4A" w:rsidR="00937907" w:rsidRPr="00E33EFF" w:rsidRDefault="00000000" w:rsidP="00F20C1A">
      <w:pPr>
        <w:spacing w:after="120" w:line="276" w:lineRule="auto"/>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6D0F0D6D" w:rsidR="00937907" w:rsidRPr="00E33EFF" w:rsidRDefault="00000000" w:rsidP="00F20C1A">
      <w:pPr>
        <w:spacing w:after="120" w:line="276" w:lineRule="auto"/>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F20C1A">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F20C1A">
      <w:pPr>
        <w:spacing w:after="120" w:line="276" w:lineRule="auto"/>
        <w:jc w:val="both"/>
      </w:pPr>
    </w:p>
    <w:p w14:paraId="3D3277FA" w14:textId="3CEEB2D2" w:rsidR="00C62B36" w:rsidRPr="00E33EFF" w:rsidRDefault="00C62B36" w:rsidP="00F20C1A">
      <w:pPr>
        <w:pStyle w:val="Sraopastraipa"/>
        <w:numPr>
          <w:ilvl w:val="0"/>
          <w:numId w:val="12"/>
        </w:numPr>
        <w:tabs>
          <w:tab w:val="left" w:pos="567"/>
        </w:tabs>
        <w:spacing w:line="276" w:lineRule="auto"/>
        <w:ind w:hanging="720"/>
        <w:rPr>
          <w:b/>
          <w:bCs/>
          <w:caps/>
        </w:rPr>
      </w:pPr>
      <w:r w:rsidRPr="00E33EFF">
        <w:rPr>
          <w:b/>
          <w:bCs/>
          <w:caps/>
        </w:rPr>
        <w:t>Gydytojų organizacijų pateikti duomenys</w:t>
      </w:r>
    </w:p>
    <w:p w14:paraId="389A346C" w14:textId="17184B64" w:rsidR="00937907" w:rsidRPr="00E33EFF" w:rsidRDefault="00000000" w:rsidP="00F20C1A">
      <w:pPr>
        <w:spacing w:after="120" w:line="276" w:lineRule="auto"/>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76412E2D" w:rsidR="00662983" w:rsidRPr="00E33EFF" w:rsidRDefault="00000000" w:rsidP="00F20C1A">
      <w:pPr>
        <w:spacing w:after="120" w:line="276" w:lineRule="auto"/>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F20C1A">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F20C1A">
      <w:pPr>
        <w:spacing w:after="120" w:line="276" w:lineRule="auto"/>
        <w:jc w:val="both"/>
      </w:pPr>
    </w:p>
    <w:p w14:paraId="78F23ECB" w14:textId="23A3A002" w:rsidR="002F0E4F" w:rsidRPr="00E33EFF" w:rsidRDefault="002F0E4F" w:rsidP="00F20C1A">
      <w:pPr>
        <w:pStyle w:val="Sraopastraipa"/>
        <w:numPr>
          <w:ilvl w:val="0"/>
          <w:numId w:val="12"/>
        </w:numPr>
        <w:tabs>
          <w:tab w:val="left" w:pos="567"/>
        </w:tabs>
        <w:spacing w:line="276" w:lineRule="auto"/>
        <w:ind w:hanging="720"/>
        <w:rPr>
          <w:b/>
          <w:bCs/>
          <w:caps/>
        </w:rPr>
      </w:pPr>
      <w:r w:rsidRPr="00E33EFF">
        <w:rPr>
          <w:b/>
          <w:bCs/>
          <w:caps/>
        </w:rPr>
        <w:t xml:space="preserve">Išvada </w:t>
      </w:r>
    </w:p>
    <w:p w14:paraId="46103B50" w14:textId="77777777" w:rsidR="00F20C1A" w:rsidRPr="0073329D" w:rsidRDefault="00F20C1A" w:rsidP="00F20C1A">
      <w:pPr>
        <w:spacing w:line="276" w:lineRule="auto"/>
        <w:rPr>
          <w:rFonts w:eastAsia="Arial"/>
          <w:b/>
        </w:rPr>
      </w:pPr>
    </w:p>
    <w:tbl>
      <w:tblPr>
        <w:tblStyle w:val="Lentelstinklelis"/>
        <w:tblW w:w="9923" w:type="dxa"/>
        <w:jc w:val="center"/>
        <w:tblLook w:val="04A0" w:firstRow="1" w:lastRow="0" w:firstColumn="1" w:lastColumn="0" w:noHBand="0" w:noVBand="1"/>
      </w:tblPr>
      <w:tblGrid>
        <w:gridCol w:w="4820"/>
        <w:gridCol w:w="66"/>
        <w:gridCol w:w="5037"/>
      </w:tblGrid>
      <w:tr w:rsidR="00F20C1A" w:rsidRPr="0073329D" w14:paraId="4E53E686" w14:textId="77777777" w:rsidTr="00BB07CB">
        <w:trPr>
          <w:trHeight w:val="532"/>
          <w:jc w:val="center"/>
        </w:trPr>
        <w:tc>
          <w:tcPr>
            <w:tcW w:w="4886" w:type="dxa"/>
            <w:gridSpan w:val="2"/>
            <w:vAlign w:val="center"/>
          </w:tcPr>
          <w:p w14:paraId="77C049DF" w14:textId="77777777" w:rsidR="00F20C1A" w:rsidRPr="00F20C1A" w:rsidRDefault="00F20C1A" w:rsidP="0062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4"/>
              </w:rPr>
            </w:pPr>
            <w:r w:rsidRPr="00F20C1A">
              <w:rPr>
                <w:rStyle w:val="Style2"/>
                <w:rFonts w:eastAsia="MS Gothic"/>
                <w:b/>
                <w:bCs/>
                <w:sz w:val="24"/>
              </w:rPr>
              <w:t>Rekomenduojama kompensuoti</w:t>
            </w:r>
          </w:p>
        </w:tc>
        <w:tc>
          <w:tcPr>
            <w:tcW w:w="5037" w:type="dxa"/>
            <w:vAlign w:val="center"/>
          </w:tcPr>
          <w:p w14:paraId="26DED9BD" w14:textId="77777777" w:rsidR="00F20C1A" w:rsidRPr="00F20C1A" w:rsidRDefault="00F20C1A" w:rsidP="0062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4"/>
              </w:rPr>
            </w:pPr>
            <w:r w:rsidRPr="00F20C1A">
              <w:rPr>
                <w:rStyle w:val="Style2"/>
                <w:rFonts w:eastAsia="MS Gothic"/>
                <w:b/>
                <w:bCs/>
                <w:sz w:val="24"/>
              </w:rPr>
              <w:t>Rekomenduojama nekompensuoti</w:t>
            </w:r>
          </w:p>
        </w:tc>
      </w:tr>
      <w:tr w:rsidR="00F20C1A" w:rsidRPr="0073329D" w14:paraId="666051BC" w14:textId="77777777" w:rsidTr="00BB07CB">
        <w:trPr>
          <w:trHeight w:val="494"/>
          <w:jc w:val="center"/>
        </w:trPr>
        <w:tc>
          <w:tcPr>
            <w:tcW w:w="9923" w:type="dxa"/>
            <w:gridSpan w:val="3"/>
            <w:vAlign w:val="center"/>
          </w:tcPr>
          <w:p w14:paraId="03BF8BBC" w14:textId="77777777" w:rsidR="00F20C1A" w:rsidRPr="00F20C1A" w:rsidRDefault="00F20C1A" w:rsidP="0062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4"/>
              </w:rPr>
            </w:pPr>
            <w:r w:rsidRPr="00F20C1A">
              <w:rPr>
                <w:rStyle w:val="Style2"/>
                <w:rFonts w:eastAsia="MS Gothic"/>
                <w:b/>
                <w:bCs/>
                <w:sz w:val="24"/>
              </w:rPr>
              <w:t>Palyginamasis efektyvumas</w:t>
            </w:r>
          </w:p>
        </w:tc>
      </w:tr>
      <w:tr w:rsidR="00F20C1A" w:rsidRPr="0073329D" w14:paraId="70CE7682" w14:textId="77777777" w:rsidTr="00BB07CB">
        <w:trPr>
          <w:trHeight w:val="1546"/>
          <w:jc w:val="center"/>
        </w:trPr>
        <w:tc>
          <w:tcPr>
            <w:tcW w:w="4886" w:type="dxa"/>
            <w:gridSpan w:val="2"/>
          </w:tcPr>
          <w:p w14:paraId="182C7A1B" w14:textId="48BBFD51" w:rsidR="00F20C1A" w:rsidRPr="0073329D" w:rsidRDefault="00F20C1A" w:rsidP="0062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73329D">
              <w:rPr>
                <w:rStyle w:val="Style2"/>
                <w:rFonts w:ascii="Segoe UI Symbol" w:eastAsia="MS Gothic" w:hAnsi="Segoe UI Symbol" w:cs="Segoe UI Symbol"/>
              </w:rPr>
              <w:t>☐</w:t>
            </w:r>
            <w:r w:rsidRPr="0073329D">
              <w:t xml:space="preserve"> 32.1. yra didesnis, lyginant su įprasta klinikine praktika</w:t>
            </w:r>
          </w:p>
          <w:p w14:paraId="7D552B5B" w14:textId="77777777" w:rsidR="00F20C1A" w:rsidRPr="0073329D" w:rsidRDefault="00F20C1A" w:rsidP="0062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76D4230" w14:textId="0594A97A" w:rsidR="00F20C1A" w:rsidRPr="0073329D" w:rsidRDefault="00F20C1A" w:rsidP="0062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Pr>
            </w:pPr>
            <w:r>
              <w:rPr>
                <w:rStyle w:val="Style2"/>
                <w:rFonts w:ascii="MS Gothic" w:eastAsia="MS Gothic" w:hAnsi="MS Gothic" w:hint="eastAsia"/>
              </w:rPr>
              <w:t>☒</w:t>
            </w:r>
            <w:r w:rsidRPr="0073329D">
              <w:t xml:space="preserve"> 32.1. iš esmės nesiskiria, lyginant su įprasta klinikine praktika</w:t>
            </w:r>
          </w:p>
        </w:tc>
        <w:tc>
          <w:tcPr>
            <w:tcW w:w="5037" w:type="dxa"/>
          </w:tcPr>
          <w:p w14:paraId="4590F64A" w14:textId="0A6CD800" w:rsidR="00F20C1A" w:rsidRPr="0073329D" w:rsidRDefault="00F20C1A" w:rsidP="0062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73329D">
              <w:rPr>
                <w:rStyle w:val="Style2"/>
                <w:rFonts w:ascii="Segoe UI Symbol" w:eastAsia="MS Gothic" w:hAnsi="Segoe UI Symbol" w:cs="Segoe UI Symbol"/>
              </w:rPr>
              <w:t>☐</w:t>
            </w:r>
            <w:r w:rsidRPr="0073329D">
              <w:t xml:space="preserve"> 33.1. yra mažesnis, lyginant su įprasta klinikine praktika</w:t>
            </w:r>
          </w:p>
          <w:p w14:paraId="65456054" w14:textId="77777777" w:rsidR="00F20C1A" w:rsidRPr="0073329D" w:rsidRDefault="00F20C1A" w:rsidP="0062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18D627D" w14:textId="2E530BAA" w:rsidR="00F20C1A" w:rsidRPr="0073329D" w:rsidRDefault="00F20C1A" w:rsidP="0062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73329D">
              <w:rPr>
                <w:rStyle w:val="Style2"/>
                <w:rFonts w:ascii="Segoe UI Symbol" w:eastAsia="MS Gothic" w:hAnsi="Segoe UI Symbol" w:cs="Segoe UI Symbol"/>
              </w:rPr>
              <w:t>☐</w:t>
            </w:r>
            <w:r w:rsidRPr="0073329D">
              <w:t xml:space="preserve"> 33.1. yra neįrodytas kaip toks pat, lyginant su įprasta klinikine praktika</w:t>
            </w:r>
          </w:p>
          <w:p w14:paraId="18082570" w14:textId="77777777" w:rsidR="00F20C1A" w:rsidRPr="0073329D" w:rsidRDefault="00F20C1A" w:rsidP="0062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B90ECDE" w14:textId="26BE3FF4" w:rsidR="00F20C1A" w:rsidRPr="0073329D" w:rsidRDefault="00F20C1A" w:rsidP="0062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73329D">
              <w:rPr>
                <w:rStyle w:val="Style2"/>
                <w:rFonts w:ascii="Segoe UI Symbol" w:eastAsia="MS Gothic" w:hAnsi="Segoe UI Symbol" w:cs="Segoe UI Symbol"/>
              </w:rPr>
              <w:t>☐</w:t>
            </w:r>
            <w:r w:rsidRPr="0073329D">
              <w:t xml:space="preserve"> 33.1. yra neįrodytas kaip didesnis, lyginant su įprasta klinikine praktika</w:t>
            </w:r>
          </w:p>
          <w:p w14:paraId="51DBB672" w14:textId="77777777" w:rsidR="00F20C1A" w:rsidRPr="0073329D" w:rsidRDefault="00F20C1A" w:rsidP="0062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4F31D49" w14:textId="6BD5DCF9" w:rsidR="00F20C1A" w:rsidRPr="0073329D" w:rsidRDefault="00F20C1A" w:rsidP="0062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73329D">
              <w:rPr>
                <w:rStyle w:val="Style2"/>
                <w:rFonts w:ascii="Segoe UI Symbol" w:eastAsia="MS Gothic" w:hAnsi="Segoe UI Symbol" w:cs="Segoe UI Symbol"/>
              </w:rPr>
              <w:t>☐</w:t>
            </w:r>
            <w:r w:rsidRPr="0073329D">
              <w:t xml:space="preserve"> 33.1. pateikti duomenys apie palyginamąjį efektyvumą yra netinkami vertinti</w:t>
            </w:r>
          </w:p>
          <w:p w14:paraId="2DB76C9C" w14:textId="77777777" w:rsidR="00F20C1A" w:rsidRPr="0073329D" w:rsidRDefault="00F20C1A" w:rsidP="0062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rPr>
            </w:pPr>
          </w:p>
        </w:tc>
      </w:tr>
      <w:tr w:rsidR="00F20C1A" w:rsidRPr="001A132A" w14:paraId="73639DC1" w14:textId="77777777" w:rsidTr="00BB07CB">
        <w:tblPrEx>
          <w:jc w:val="left"/>
        </w:tblPrEx>
        <w:trPr>
          <w:trHeight w:val="510"/>
        </w:trPr>
        <w:tc>
          <w:tcPr>
            <w:tcW w:w="9918" w:type="dxa"/>
            <w:gridSpan w:val="3"/>
            <w:vAlign w:val="center"/>
          </w:tcPr>
          <w:p w14:paraId="41304213" w14:textId="77777777" w:rsidR="00F20C1A" w:rsidRPr="001A132A" w:rsidRDefault="00F20C1A" w:rsidP="0062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3"/>
                <w:szCs w:val="23"/>
              </w:rPr>
            </w:pPr>
            <w:r w:rsidRPr="001A132A">
              <w:rPr>
                <w:rStyle w:val="Style2"/>
                <w:rFonts w:eastAsia="MS Gothic"/>
                <w:b/>
                <w:bCs/>
                <w:sz w:val="23"/>
                <w:szCs w:val="23"/>
              </w:rPr>
              <w:t>Kaštų naudingumas</w:t>
            </w:r>
          </w:p>
        </w:tc>
      </w:tr>
      <w:tr w:rsidR="00F20C1A" w:rsidRPr="001A132A" w14:paraId="1F288AB7" w14:textId="77777777" w:rsidTr="00BB07CB">
        <w:tblPrEx>
          <w:jc w:val="left"/>
        </w:tblPrEx>
        <w:tc>
          <w:tcPr>
            <w:tcW w:w="4820" w:type="dxa"/>
          </w:tcPr>
          <w:p w14:paraId="4FA7E08F" w14:textId="77777777" w:rsidR="00F20C1A" w:rsidRPr="001A132A" w:rsidRDefault="00000000" w:rsidP="0062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3"/>
                <w:szCs w:val="23"/>
              </w:rPr>
            </w:pPr>
            <w:sdt>
              <w:sdtPr>
                <w:rPr>
                  <w:rStyle w:val="Style2"/>
                  <w:sz w:val="23"/>
                  <w:szCs w:val="23"/>
                </w:rPr>
                <w:id w:val="301657889"/>
                <w15:color w:val="FFCC00"/>
                <w14:checkbox>
                  <w14:checked w14:val="0"/>
                  <w14:checkedState w14:val="2612" w14:font="MS Gothic"/>
                  <w14:uncheckedState w14:val="2610" w14:font="MS Gothic"/>
                </w14:checkbox>
              </w:sdtPr>
              <w:sdtContent>
                <w:r w:rsidR="00F20C1A" w:rsidRPr="001A132A">
                  <w:rPr>
                    <w:rStyle w:val="Style2"/>
                    <w:rFonts w:ascii="Segoe UI Symbol" w:eastAsia="MS Gothic" w:hAnsi="Segoe UI Symbol" w:cs="Segoe UI Symbol"/>
                    <w:sz w:val="23"/>
                    <w:szCs w:val="23"/>
                  </w:rPr>
                  <w:t>☐</w:t>
                </w:r>
              </w:sdtContent>
            </w:sdt>
            <w:r w:rsidR="00F20C1A" w:rsidRPr="001A132A">
              <w:rPr>
                <w:sz w:val="23"/>
                <w:szCs w:val="23"/>
              </w:rPr>
              <w:t xml:space="preserve"> 29.2.1 atitinka referencinę naudingumo vertę taikant arba netaikant</w:t>
            </w:r>
            <w:r w:rsidR="00F20C1A" w:rsidRPr="001A132A">
              <w:rPr>
                <w:b/>
                <w:bCs/>
                <w:sz w:val="23"/>
                <w:szCs w:val="23"/>
              </w:rPr>
              <w:t> </w:t>
            </w:r>
            <w:r w:rsidR="00F20C1A" w:rsidRPr="001A132A">
              <w:rPr>
                <w:sz w:val="23"/>
                <w:szCs w:val="23"/>
              </w:rPr>
              <w:t>PGS</w:t>
            </w:r>
          </w:p>
          <w:p w14:paraId="765EBA11" w14:textId="77777777" w:rsidR="00F20C1A" w:rsidRPr="001A132A" w:rsidRDefault="00F20C1A" w:rsidP="0062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3"/>
                <w:szCs w:val="23"/>
              </w:rPr>
            </w:pPr>
          </w:p>
          <w:p w14:paraId="2B152280" w14:textId="77777777" w:rsidR="00F20C1A" w:rsidRPr="001A132A" w:rsidRDefault="00000000" w:rsidP="0062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3"/>
                <w:szCs w:val="23"/>
              </w:rPr>
            </w:pPr>
            <w:sdt>
              <w:sdtPr>
                <w:rPr>
                  <w:rStyle w:val="Style2"/>
                  <w:sz w:val="23"/>
                  <w:szCs w:val="23"/>
                </w:rPr>
                <w:id w:val="865947106"/>
                <w15:color w:val="FFCC00"/>
                <w14:checkbox>
                  <w14:checked w14:val="0"/>
                  <w14:checkedState w14:val="2612" w14:font="MS Gothic"/>
                  <w14:uncheckedState w14:val="2610" w14:font="MS Gothic"/>
                </w14:checkbox>
              </w:sdtPr>
              <w:sdtContent>
                <w:r w:rsidR="00F20C1A" w:rsidRPr="001A132A">
                  <w:rPr>
                    <w:rStyle w:val="Style2"/>
                    <w:rFonts w:ascii="Segoe UI Symbol" w:eastAsia="MS Gothic" w:hAnsi="Segoe UI Symbol" w:cs="Segoe UI Symbol"/>
                    <w:sz w:val="23"/>
                    <w:szCs w:val="23"/>
                  </w:rPr>
                  <w:t>☐</w:t>
                </w:r>
              </w:sdtContent>
            </w:sdt>
            <w:r w:rsidR="00F20C1A" w:rsidRPr="001A132A">
              <w:rPr>
                <w:sz w:val="23"/>
                <w:szCs w:val="23"/>
              </w:rPr>
              <w:t xml:space="preserve"> 29.2.2 gydymo juo kaštai yra mažesni ar tokie patys esant iš esmės nesiskiriančiam palyginamajam efektyvumui, taikant arba netaikant  PGS</w:t>
            </w:r>
          </w:p>
        </w:tc>
        <w:tc>
          <w:tcPr>
            <w:tcW w:w="5098" w:type="dxa"/>
            <w:gridSpan w:val="2"/>
          </w:tcPr>
          <w:p w14:paraId="64D959F2" w14:textId="77777777" w:rsidR="00F20C1A" w:rsidRPr="001A132A" w:rsidRDefault="00000000" w:rsidP="0062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3"/>
                <w:szCs w:val="23"/>
              </w:rPr>
            </w:pPr>
            <w:sdt>
              <w:sdtPr>
                <w:rPr>
                  <w:rStyle w:val="Style2"/>
                  <w:sz w:val="23"/>
                  <w:szCs w:val="23"/>
                </w:rPr>
                <w:id w:val="791860283"/>
                <w15:color w:val="FFCC00"/>
                <w14:checkbox>
                  <w14:checked w14:val="0"/>
                  <w14:checkedState w14:val="2612" w14:font="MS Gothic"/>
                  <w14:uncheckedState w14:val="2610" w14:font="MS Gothic"/>
                </w14:checkbox>
              </w:sdtPr>
              <w:sdtContent>
                <w:r w:rsidR="00F20C1A" w:rsidRPr="001A132A">
                  <w:rPr>
                    <w:rStyle w:val="Style2"/>
                    <w:rFonts w:ascii="Segoe UI Symbol" w:eastAsia="MS Gothic" w:hAnsi="Segoe UI Symbol" w:cs="Segoe UI Symbol"/>
                    <w:sz w:val="23"/>
                    <w:szCs w:val="23"/>
                  </w:rPr>
                  <w:t>☐</w:t>
                </w:r>
              </w:sdtContent>
            </w:sdt>
            <w:r w:rsidR="00F20C1A" w:rsidRPr="001A132A">
              <w:rPr>
                <w:sz w:val="23"/>
                <w:szCs w:val="23"/>
              </w:rPr>
              <w:t xml:space="preserve"> 29.2.3 neatitinka referencinės naudingumo vertės taikant arba netaikant PGS</w:t>
            </w:r>
          </w:p>
          <w:p w14:paraId="015C83C4" w14:textId="77777777" w:rsidR="00F20C1A" w:rsidRPr="001A132A" w:rsidRDefault="00F20C1A" w:rsidP="0062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3"/>
                <w:szCs w:val="23"/>
              </w:rPr>
            </w:pPr>
          </w:p>
          <w:p w14:paraId="5537AA6D" w14:textId="77777777" w:rsidR="00F20C1A" w:rsidRPr="001A132A" w:rsidRDefault="00000000" w:rsidP="0062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3"/>
                <w:szCs w:val="23"/>
              </w:rPr>
            </w:pPr>
            <w:sdt>
              <w:sdtPr>
                <w:rPr>
                  <w:rStyle w:val="Style2"/>
                  <w:sz w:val="23"/>
                  <w:szCs w:val="23"/>
                </w:rPr>
                <w:id w:val="1118650590"/>
                <w15:color w:val="FFCC00"/>
                <w14:checkbox>
                  <w14:checked w14:val="1"/>
                  <w14:checkedState w14:val="2612" w14:font="MS Gothic"/>
                  <w14:uncheckedState w14:val="2610" w14:font="MS Gothic"/>
                </w14:checkbox>
              </w:sdtPr>
              <w:sdtContent>
                <w:r w:rsidR="00F20C1A">
                  <w:rPr>
                    <w:rStyle w:val="Style2"/>
                    <w:rFonts w:ascii="MS Gothic" w:eastAsia="MS Gothic" w:hAnsi="MS Gothic" w:hint="eastAsia"/>
                    <w:sz w:val="23"/>
                    <w:szCs w:val="23"/>
                  </w:rPr>
                  <w:t>☒</w:t>
                </w:r>
              </w:sdtContent>
            </w:sdt>
            <w:r w:rsidR="00F20C1A" w:rsidRPr="001A132A">
              <w:rPr>
                <w:sz w:val="23"/>
                <w:szCs w:val="23"/>
              </w:rPr>
              <w:t xml:space="preserve"> 29.2.4 gydymo juo kaštai yra didesni esant iš esmės nesiskiriančiam palyginamajam veiksmingumui, taikant arba netaikant PGS</w:t>
            </w:r>
          </w:p>
          <w:p w14:paraId="53920897" w14:textId="77777777" w:rsidR="00F20C1A" w:rsidRPr="001A132A" w:rsidRDefault="00F20C1A" w:rsidP="0062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3"/>
                <w:szCs w:val="23"/>
              </w:rPr>
            </w:pPr>
          </w:p>
          <w:p w14:paraId="24606ADD" w14:textId="77777777" w:rsidR="00F20C1A" w:rsidRPr="001A132A" w:rsidRDefault="00000000" w:rsidP="0062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Content>
                <w:r w:rsidR="00F20C1A" w:rsidRPr="001A132A">
                  <w:rPr>
                    <w:rStyle w:val="Style2"/>
                    <w:rFonts w:ascii="Segoe UI Symbol" w:eastAsia="MS Gothic" w:hAnsi="Segoe UI Symbol" w:cs="Segoe UI Symbol"/>
                    <w:sz w:val="23"/>
                    <w:szCs w:val="23"/>
                  </w:rPr>
                  <w:t>☐</w:t>
                </w:r>
              </w:sdtContent>
            </w:sdt>
            <w:r w:rsidR="00F20C1A" w:rsidRPr="001A132A">
              <w:rPr>
                <w:sz w:val="23"/>
                <w:szCs w:val="23"/>
              </w:rPr>
              <w:t xml:space="preserve"> 29.2.5 pateikti duomenys apie kaštų naudingumą yra netinkami vertinti</w:t>
            </w:r>
          </w:p>
          <w:p w14:paraId="21F06A3E" w14:textId="77777777" w:rsidR="00F20C1A" w:rsidRPr="001A132A" w:rsidRDefault="00F20C1A" w:rsidP="0062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sz w:val="23"/>
                <w:szCs w:val="23"/>
              </w:rPr>
            </w:pPr>
          </w:p>
        </w:tc>
      </w:tr>
    </w:tbl>
    <w:p w14:paraId="715E5F2D" w14:textId="77777777" w:rsidR="00F20C1A" w:rsidRPr="0073329D" w:rsidRDefault="00F20C1A" w:rsidP="00F20C1A">
      <w:pPr>
        <w:spacing w:line="276" w:lineRule="auto"/>
      </w:pPr>
    </w:p>
    <w:p w14:paraId="4C76333D" w14:textId="77777777" w:rsidR="00F20C1A" w:rsidRPr="0073329D" w:rsidRDefault="00F20C1A" w:rsidP="00F20C1A">
      <w:pPr>
        <w:pStyle w:val="Sraopastraipa"/>
        <w:numPr>
          <w:ilvl w:val="0"/>
          <w:numId w:val="13"/>
        </w:numPr>
        <w:spacing w:line="276" w:lineRule="auto"/>
        <w:ind w:left="567" w:hanging="567"/>
        <w:rPr>
          <w:b/>
        </w:rPr>
      </w:pPr>
      <w:r w:rsidRPr="0073329D">
        <w:rPr>
          <w:b/>
        </w:rPr>
        <w:t>REKOMENDACIJA</w:t>
      </w:r>
    </w:p>
    <w:p w14:paraId="6D988898" w14:textId="77777777" w:rsidR="00F20C1A" w:rsidRPr="0073329D" w:rsidRDefault="00F20C1A" w:rsidP="00F20C1A">
      <w:pPr>
        <w:spacing w:line="276" w:lineRule="auto"/>
        <w:rPr>
          <w:b/>
        </w:rPr>
      </w:pPr>
    </w:p>
    <w:p w14:paraId="0FBD1C78" w14:textId="77777777" w:rsidR="00F20C1A" w:rsidRDefault="00F20C1A" w:rsidP="00F20C1A">
      <w:pPr>
        <w:widowControl w:val="0"/>
        <w:tabs>
          <w:tab w:val="left" w:pos="1418"/>
        </w:tabs>
        <w:suppressAutoHyphens/>
        <w:spacing w:line="276" w:lineRule="auto"/>
        <w:jc w:val="both"/>
        <w:textAlignment w:val="center"/>
      </w:pPr>
      <w:r w:rsidRPr="00E33EFF">
        <w:t xml:space="preserve">Vadovaujantis Lietuvos Respublikos sveikatos apsaugos ministro </w:t>
      </w:r>
      <w:r>
        <w:t xml:space="preserve">įsakymu </w:t>
      </w:r>
      <w:r w:rsidRPr="00E33EFF">
        <w:t>„Dėl vaistinių preparatų ir medicinos pagalbos priemonių įrašymo į kompensavimo sąrašus ir jų keitimo tvarkos aprašo patvirtinimo“</w:t>
      </w:r>
      <w:r>
        <w:t xml:space="preserve"> </w:t>
      </w:r>
      <w:r w:rsidRPr="00E33EFF">
        <w:t>2002 m. balandžio 5 d. įsakym</w:t>
      </w:r>
      <w:r>
        <w:t>o</w:t>
      </w:r>
      <w:r w:rsidRPr="00E33EFF">
        <w:t xml:space="preserve"> Nr. 159</w:t>
      </w:r>
      <w:r>
        <w:t xml:space="preserve"> </w:t>
      </w:r>
    </w:p>
    <w:p w14:paraId="64F9D4C6" w14:textId="77777777" w:rsidR="00F20C1A" w:rsidRDefault="00F20C1A" w:rsidP="00F20C1A">
      <w:pPr>
        <w:widowControl w:val="0"/>
        <w:tabs>
          <w:tab w:val="left" w:pos="1418"/>
        </w:tabs>
        <w:suppressAutoHyphens/>
        <w:spacing w:line="276" w:lineRule="auto"/>
        <w:jc w:val="both"/>
        <w:textAlignment w:val="center"/>
      </w:pPr>
      <w:r w:rsidRPr="00471EC6">
        <w:rPr>
          <w:color w:val="000000"/>
          <w:lang w:eastAsia="lt-LT"/>
        </w:rPr>
        <w:t>30</w:t>
      </w:r>
      <w:r w:rsidRPr="00471EC6">
        <w:rPr>
          <w:color w:val="000000"/>
          <w:vertAlign w:val="superscript"/>
          <w:lang w:eastAsia="lt-LT"/>
        </w:rPr>
        <w:t>1</w:t>
      </w:r>
      <w:r w:rsidRPr="00471EC6">
        <w:rPr>
          <w:color w:val="000000"/>
          <w:lang w:eastAsia="lt-LT"/>
        </w:rPr>
        <w:t>.2.</w:t>
      </w:r>
      <w:r>
        <w:rPr>
          <w:color w:val="000000"/>
          <w:lang w:eastAsia="lt-LT"/>
        </w:rPr>
        <w:t xml:space="preserve"> papunkčiu rekomenduojama</w:t>
      </w:r>
      <w:r w:rsidRPr="00471EC6">
        <w:rPr>
          <w:color w:val="000000"/>
          <w:lang w:eastAsia="lt-LT"/>
        </w:rPr>
        <w:t xml:space="preserve"> kompensuoti vaistinį preparatą pagal paraiškoje nurodytą indikaciją (arba jos dalį) su arba be skyrimo sąlygų, jei, pateikus naują ar atnaujintą PGS</w:t>
      </w:r>
      <w:r>
        <w:rPr>
          <w:color w:val="000000"/>
          <w:lang w:eastAsia="lt-LT"/>
        </w:rPr>
        <w:t>,</w:t>
      </w:r>
      <w:r w:rsidRPr="00471EC6">
        <w:rPr>
          <w:color w:val="000000"/>
          <w:lang w:eastAsia="lt-LT"/>
        </w:rPr>
        <w:t xml:space="preserve"> kaštai tampa tokie patys ar mažesni esant iš esmės nesiskiriančiam palyginamajam veiksmingumui</w:t>
      </w:r>
      <w:r>
        <w:rPr>
          <w:color w:val="000000"/>
          <w:lang w:eastAsia="lt-LT"/>
        </w:rPr>
        <w:t xml:space="preserve">, </w:t>
      </w:r>
      <w:r w:rsidRPr="00471EC6">
        <w:rPr>
          <w:color w:val="000000"/>
          <w:lang w:eastAsia="lt-LT"/>
        </w:rPr>
        <w:t>kai vertinimo išvados atitinka Aprašo 29.1.2 ir 29.2.4 papunkčiuose numatytas</w:t>
      </w:r>
      <w:r w:rsidRPr="00471EC6">
        <w:rPr>
          <w:b/>
          <w:bCs/>
          <w:color w:val="000000"/>
          <w:lang w:eastAsia="lt-LT"/>
        </w:rPr>
        <w:t> </w:t>
      </w:r>
      <w:r>
        <w:rPr>
          <w:color w:val="000000"/>
          <w:lang w:eastAsia="lt-LT"/>
        </w:rPr>
        <w:t>sąlygas.</w:t>
      </w:r>
    </w:p>
    <w:p w14:paraId="3BA55143" w14:textId="77777777" w:rsidR="00F20C1A" w:rsidRPr="0073329D" w:rsidRDefault="00F20C1A" w:rsidP="00F20C1A">
      <w:pPr>
        <w:spacing w:line="276" w:lineRule="auto"/>
        <w:rPr>
          <w:rFonts w:eastAsia="Arial"/>
        </w:rPr>
      </w:pPr>
    </w:p>
    <w:p w14:paraId="18B4292E" w14:textId="11CFB6A2" w:rsidR="000723FF" w:rsidRPr="00E33EFF" w:rsidRDefault="00CC09D4" w:rsidP="00F20C1A">
      <w:pPr>
        <w:tabs>
          <w:tab w:val="left" w:pos="567"/>
        </w:tabs>
        <w:spacing w:line="276" w:lineRule="auto"/>
        <w:ind w:left="567" w:hanging="567"/>
        <w:jc w:val="both"/>
        <w:rPr>
          <w:b/>
          <w:color w:val="000000"/>
          <w:lang w:eastAsia="lt-LT"/>
        </w:rPr>
      </w:pPr>
      <w:r>
        <w:rPr>
          <w:b/>
          <w:color w:val="000000"/>
          <w:lang w:eastAsia="lt-LT"/>
        </w:rPr>
        <w:t>8.</w:t>
      </w:r>
      <w:r>
        <w:rPr>
          <w:b/>
          <w:color w:val="000000"/>
          <w:lang w:eastAsia="lt-LT"/>
        </w:rPr>
        <w:tab/>
      </w:r>
      <w:r w:rsidR="000723FF" w:rsidRPr="00E33EFF">
        <w:rPr>
          <w:b/>
          <w:color w:val="000000"/>
          <w:lang w:eastAsia="lt-LT"/>
        </w:rPr>
        <w:t xml:space="preserve">SIŪLOMOS KOMPENSUOTI TERAPINĖS INDIKACIJOS IR SKYRIMO SĄLYGOS </w:t>
      </w:r>
    </w:p>
    <w:p w14:paraId="691340BB" w14:textId="77777777" w:rsidR="000723FF" w:rsidRPr="00E33EFF" w:rsidRDefault="000723FF" w:rsidP="00F20C1A">
      <w:pPr>
        <w:tabs>
          <w:tab w:val="left" w:pos="426"/>
        </w:tabs>
        <w:spacing w:line="276" w:lineRule="auto"/>
        <w:jc w:val="both"/>
        <w:rPr>
          <w:b/>
          <w:color w:val="000000"/>
          <w:lang w:eastAsia="lt-LT"/>
        </w:rPr>
      </w:pPr>
    </w:p>
    <w:p w14:paraId="529C92C4" w14:textId="152E5FB4" w:rsidR="000723FF" w:rsidRPr="00DC5BAC" w:rsidRDefault="000723FF" w:rsidP="00F20C1A">
      <w:pPr>
        <w:spacing w:line="276" w:lineRule="auto"/>
        <w:rPr>
          <w:b/>
          <w:lang w:eastAsia="lt-LT"/>
        </w:rPr>
      </w:pPr>
      <w:r w:rsidRPr="00DC5BAC">
        <w:rPr>
          <w:b/>
          <w:lang w:eastAsia="lt-LT"/>
        </w:rPr>
        <w:t>Terapinės indikacijos</w:t>
      </w:r>
    </w:p>
    <w:bookmarkStart w:id="1" w:name="_Hlk198318340"/>
    <w:p w14:paraId="5BB746DD" w14:textId="4289A8E1" w:rsidR="000723FF" w:rsidRPr="00E33EFF" w:rsidRDefault="00000000" w:rsidP="00F20C1A">
      <w:pPr>
        <w:spacing w:line="276" w:lineRule="auto"/>
      </w:pPr>
      <w:sdt>
        <w:sdtPr>
          <w:rPr>
            <w:rStyle w:val="Style2"/>
          </w:rPr>
          <w:id w:val="1146316688"/>
          <w15:color w:val="FFCC00"/>
          <w14:checkbox>
            <w14:checked w14:val="1"/>
            <w14:checkedState w14:val="2612" w14:font="MS Gothic"/>
            <w14:uncheckedState w14:val="2610" w14:font="MS Gothic"/>
          </w14:checkbox>
        </w:sdtPr>
        <w:sdtContent>
          <w:r w:rsidR="00BB07CB">
            <w:rPr>
              <w:rStyle w:val="Style2"/>
              <w:rFonts w:ascii="MS Gothic" w:eastAsia="MS Gothic" w:hAnsi="MS Gothic" w:hint="eastAsia"/>
            </w:rPr>
            <w:t>☒</w:t>
          </w:r>
        </w:sdtContent>
      </w:sdt>
      <w:r w:rsidR="000723FF" w:rsidRPr="00E33EFF">
        <w:t xml:space="preserve"> Siūloma kompensuoti Pareiškėjo teikiamą indikaciją </w:t>
      </w:r>
      <w:r w:rsidR="00C551AE">
        <w:t xml:space="preserve">su </w:t>
      </w:r>
      <w:r w:rsidR="000723FF" w:rsidRPr="00E33EFF">
        <w:t>pakeitim</w:t>
      </w:r>
      <w:r w:rsidR="00C551AE">
        <w:t>ais</w:t>
      </w:r>
      <w:r w:rsidR="000723FF" w:rsidRPr="00E33EFF">
        <w:t>.</w:t>
      </w:r>
    </w:p>
    <w:p w14:paraId="15F7A26C" w14:textId="7BCEB839" w:rsidR="00BB07CB" w:rsidRPr="00D87E61" w:rsidRDefault="00BB07CB" w:rsidP="00BB07CB">
      <w:pPr>
        <w:spacing w:line="276" w:lineRule="auto"/>
        <w:rPr>
          <w:color w:val="000000"/>
          <w:lang w:eastAsia="lt-LT"/>
        </w:rPr>
      </w:pPr>
      <w:proofErr w:type="spellStart"/>
      <w:r w:rsidRPr="00D87E61">
        <w:rPr>
          <w:color w:val="000000"/>
          <w:lang w:eastAsia="lt-LT"/>
        </w:rPr>
        <w:t>Tevimbra</w:t>
      </w:r>
      <w:proofErr w:type="spellEnd"/>
      <w:r w:rsidRPr="00D87E61">
        <w:rPr>
          <w:color w:val="000000"/>
          <w:lang w:eastAsia="lt-LT"/>
        </w:rPr>
        <w:t xml:space="preserve"> derinyje su </w:t>
      </w:r>
      <w:proofErr w:type="spellStart"/>
      <w:r w:rsidRPr="00D87E61">
        <w:rPr>
          <w:color w:val="000000"/>
          <w:lang w:eastAsia="lt-LT"/>
        </w:rPr>
        <w:t>karboplatina</w:t>
      </w:r>
      <w:proofErr w:type="spellEnd"/>
      <w:r w:rsidRPr="00D87E61">
        <w:rPr>
          <w:color w:val="000000"/>
          <w:lang w:eastAsia="lt-LT"/>
        </w:rPr>
        <w:t xml:space="preserve"> ir </w:t>
      </w:r>
      <w:r w:rsidR="00C551AE">
        <w:rPr>
          <w:color w:val="000000"/>
          <w:lang w:eastAsia="lt-LT"/>
        </w:rPr>
        <w:t>(</w:t>
      </w:r>
      <w:r w:rsidRPr="00D87E61">
        <w:rPr>
          <w:color w:val="000000"/>
          <w:lang w:eastAsia="lt-LT"/>
        </w:rPr>
        <w:t>arba</w:t>
      </w:r>
      <w:r w:rsidR="00C551AE">
        <w:rPr>
          <w:color w:val="000000"/>
          <w:lang w:eastAsia="lt-LT"/>
        </w:rPr>
        <w:t>)</w:t>
      </w:r>
      <w:r w:rsidRPr="00D87E61">
        <w:rPr>
          <w:color w:val="000000"/>
          <w:lang w:eastAsia="lt-LT"/>
        </w:rPr>
        <w:t xml:space="preserve"> </w:t>
      </w:r>
      <w:proofErr w:type="spellStart"/>
      <w:r w:rsidRPr="00D87E61">
        <w:rPr>
          <w:color w:val="000000"/>
          <w:lang w:eastAsia="lt-LT"/>
        </w:rPr>
        <w:t>paklitakseliu</w:t>
      </w:r>
      <w:proofErr w:type="spellEnd"/>
      <w:r w:rsidRPr="00D87E61">
        <w:rPr>
          <w:color w:val="000000"/>
          <w:lang w:eastAsia="lt-LT"/>
        </w:rPr>
        <w:t xml:space="preserve">, skirtas suaugusių pacientų, kuriems diagnozuotas </w:t>
      </w:r>
      <w:proofErr w:type="spellStart"/>
      <w:r w:rsidRPr="00D87E61">
        <w:rPr>
          <w:color w:val="000000"/>
          <w:lang w:eastAsia="lt-LT"/>
        </w:rPr>
        <w:t>plokščialąstelinis</w:t>
      </w:r>
      <w:proofErr w:type="spellEnd"/>
      <w:r w:rsidRPr="00D87E61">
        <w:rPr>
          <w:color w:val="000000"/>
          <w:lang w:eastAsia="lt-LT"/>
        </w:rPr>
        <w:t xml:space="preserve"> NSLPV, pirmos eilės gydymui, kai yra:</w:t>
      </w:r>
    </w:p>
    <w:p w14:paraId="581EB870" w14:textId="77777777" w:rsidR="00BB07CB" w:rsidRPr="00D87E61" w:rsidRDefault="00BB07CB" w:rsidP="00BB07CB">
      <w:pPr>
        <w:spacing w:line="276" w:lineRule="auto"/>
        <w:rPr>
          <w:color w:val="000000"/>
          <w:lang w:eastAsia="lt-LT"/>
        </w:rPr>
      </w:pPr>
      <w:r w:rsidRPr="00D87E61">
        <w:rPr>
          <w:color w:val="000000"/>
          <w:lang w:eastAsia="lt-LT"/>
        </w:rPr>
        <w:t>•</w:t>
      </w:r>
      <w:r w:rsidRPr="00D87E61">
        <w:rPr>
          <w:color w:val="000000"/>
          <w:lang w:eastAsia="lt-LT"/>
        </w:rPr>
        <w:tab/>
        <w:t xml:space="preserve">vietiškai išplitęs NSLPV ir pacientams neketinama atlikti chirurginės </w:t>
      </w:r>
      <w:proofErr w:type="spellStart"/>
      <w:r w:rsidRPr="00D87E61">
        <w:rPr>
          <w:color w:val="000000"/>
          <w:lang w:eastAsia="lt-LT"/>
        </w:rPr>
        <w:t>rezekcijos</w:t>
      </w:r>
      <w:proofErr w:type="spellEnd"/>
      <w:r w:rsidRPr="00D87E61">
        <w:rPr>
          <w:color w:val="000000"/>
          <w:lang w:eastAsia="lt-LT"/>
        </w:rPr>
        <w:t xml:space="preserve"> ar skirti </w:t>
      </w:r>
      <w:proofErr w:type="spellStart"/>
      <w:r w:rsidRPr="00D87E61">
        <w:rPr>
          <w:color w:val="000000"/>
          <w:lang w:eastAsia="lt-LT"/>
        </w:rPr>
        <w:t>chemoradioterapijos</w:t>
      </w:r>
      <w:proofErr w:type="spellEnd"/>
      <w:r w:rsidRPr="00D87E61">
        <w:rPr>
          <w:color w:val="000000"/>
          <w:lang w:eastAsia="lt-LT"/>
        </w:rPr>
        <w:t xml:space="preserve"> su platinos vaistiniais preparatais, arba</w:t>
      </w:r>
    </w:p>
    <w:p w14:paraId="597367EF" w14:textId="692BC641" w:rsidR="000723FF" w:rsidRPr="00E33EFF" w:rsidRDefault="00BB07CB" w:rsidP="00BB07CB">
      <w:pPr>
        <w:spacing w:line="276" w:lineRule="auto"/>
      </w:pPr>
      <w:r w:rsidRPr="00D87E61">
        <w:rPr>
          <w:color w:val="000000"/>
          <w:lang w:eastAsia="lt-LT"/>
        </w:rPr>
        <w:t>•</w:t>
      </w:r>
      <w:r w:rsidRPr="00D87E61">
        <w:rPr>
          <w:color w:val="000000"/>
          <w:lang w:eastAsia="lt-LT"/>
        </w:rPr>
        <w:tab/>
      </w:r>
      <w:proofErr w:type="spellStart"/>
      <w:r w:rsidRPr="00D87E61">
        <w:rPr>
          <w:color w:val="000000"/>
          <w:lang w:eastAsia="lt-LT"/>
        </w:rPr>
        <w:t>metastazavęs</w:t>
      </w:r>
      <w:proofErr w:type="spellEnd"/>
      <w:r w:rsidRPr="00D87E61">
        <w:rPr>
          <w:color w:val="000000"/>
          <w:lang w:eastAsia="lt-LT"/>
        </w:rPr>
        <w:t xml:space="preserve"> NSLPV</w:t>
      </w:r>
      <w:r w:rsidR="001F486B">
        <w:rPr>
          <w:color w:val="000000"/>
          <w:lang w:eastAsia="lt-LT"/>
        </w:rPr>
        <w:t xml:space="preserve">. </w:t>
      </w:r>
    </w:p>
    <w:bookmarkEnd w:id="1"/>
    <w:p w14:paraId="7DD65F7E" w14:textId="77777777" w:rsidR="000723FF" w:rsidRPr="00E33EFF" w:rsidRDefault="000723FF" w:rsidP="00F20C1A">
      <w:pPr>
        <w:spacing w:line="276" w:lineRule="auto"/>
      </w:pPr>
    </w:p>
    <w:p w14:paraId="241A6E6B" w14:textId="77777777" w:rsidR="000723FF" w:rsidRPr="00E33EFF" w:rsidRDefault="000723FF" w:rsidP="00F20C1A">
      <w:pPr>
        <w:spacing w:line="276" w:lineRule="auto"/>
        <w:rPr>
          <w:b/>
        </w:rPr>
      </w:pPr>
      <w:r w:rsidRPr="00E33EFF">
        <w:rPr>
          <w:b/>
        </w:rPr>
        <w:t>Skyrimo sąlygos</w:t>
      </w:r>
    </w:p>
    <w:p w14:paraId="0B37A580" w14:textId="249BC4F0" w:rsidR="000723FF" w:rsidRDefault="000723FF" w:rsidP="00F20C1A">
      <w:pPr>
        <w:spacing w:line="276" w:lineRule="auto"/>
      </w:pPr>
      <w:r w:rsidRPr="00E33EFF">
        <w:t>Siūloma skyrimo sąlygų formuluotė</w:t>
      </w:r>
      <w:r w:rsidR="001F486B">
        <w:t>.</w:t>
      </w:r>
    </w:p>
    <w:p w14:paraId="704B7B9B" w14:textId="00F13679" w:rsidR="00BB07CB" w:rsidRPr="00C606FA" w:rsidRDefault="00BB07CB" w:rsidP="00BB07CB">
      <w:pPr>
        <w:spacing w:line="276" w:lineRule="auto"/>
        <w:jc w:val="both"/>
        <w:rPr>
          <w:lang w:eastAsia="lt-LT"/>
        </w:rPr>
      </w:pPr>
      <w:bookmarkStart w:id="2" w:name="_Hlk198318607"/>
      <w:r w:rsidRPr="00C606FA">
        <w:t xml:space="preserve">Skiriamas </w:t>
      </w:r>
      <w:r w:rsidR="00C551AE">
        <w:t xml:space="preserve">pirmaeiliam gydymui </w:t>
      </w:r>
      <w:r w:rsidRPr="00C606FA">
        <w:t xml:space="preserve">derinyje su </w:t>
      </w:r>
      <w:proofErr w:type="spellStart"/>
      <w:r w:rsidRPr="00C606FA">
        <w:t>karboplatina</w:t>
      </w:r>
      <w:proofErr w:type="spellEnd"/>
      <w:r w:rsidRPr="00C606FA">
        <w:t xml:space="preserve"> ir </w:t>
      </w:r>
      <w:proofErr w:type="spellStart"/>
      <w:r w:rsidRPr="00C606FA">
        <w:t>paklitakseliu</w:t>
      </w:r>
      <w:proofErr w:type="spellEnd"/>
      <w:r w:rsidRPr="00C606FA">
        <w:t xml:space="preserve">, </w:t>
      </w:r>
      <w:proofErr w:type="spellStart"/>
      <w:r w:rsidR="00C551AE" w:rsidRPr="00C606FA">
        <w:t>plokščialąsteliniu</w:t>
      </w:r>
      <w:proofErr w:type="spellEnd"/>
      <w:r w:rsidR="00C551AE" w:rsidRPr="00C606FA">
        <w:t xml:space="preserve"> </w:t>
      </w:r>
      <w:r w:rsidR="00C551AE" w:rsidRPr="00C606FA">
        <w:rPr>
          <w:lang w:eastAsia="lt-LT"/>
        </w:rPr>
        <w:t xml:space="preserve">NSLPV </w:t>
      </w:r>
      <w:r w:rsidR="00C551AE">
        <w:rPr>
          <w:lang w:eastAsia="lt-LT"/>
        </w:rPr>
        <w:t xml:space="preserve">sergantiems </w:t>
      </w:r>
      <w:r w:rsidRPr="00C606FA">
        <w:rPr>
          <w:lang w:eastAsia="lt-LT"/>
        </w:rPr>
        <w:t>pacientams</w:t>
      </w:r>
      <w:r w:rsidR="00C551AE">
        <w:rPr>
          <w:lang w:eastAsia="lt-LT"/>
        </w:rPr>
        <w:t xml:space="preserve">, kai </w:t>
      </w:r>
      <w:r w:rsidR="003A21E9" w:rsidRPr="00D87E61">
        <w:rPr>
          <w:color w:val="000000"/>
          <w:lang w:eastAsia="lt-LT"/>
        </w:rPr>
        <w:t>NSLP</w:t>
      </w:r>
      <w:r w:rsidR="003A21E9">
        <w:rPr>
          <w:color w:val="000000"/>
          <w:lang w:eastAsia="lt-LT"/>
        </w:rPr>
        <w:t>V</w:t>
      </w:r>
      <w:r w:rsidRPr="00C606FA">
        <w:rPr>
          <w:lang w:eastAsia="lt-LT"/>
        </w:rPr>
        <w:t xml:space="preserve"> lokaliai išplit</w:t>
      </w:r>
      <w:r w:rsidR="003A21E9">
        <w:rPr>
          <w:lang w:eastAsia="lt-LT"/>
        </w:rPr>
        <w:t>ęs</w:t>
      </w:r>
      <w:r w:rsidR="00702336">
        <w:rPr>
          <w:lang w:eastAsia="lt-LT"/>
        </w:rPr>
        <w:t xml:space="preserve"> ir </w:t>
      </w:r>
      <w:r w:rsidR="00702336" w:rsidRPr="00D87E61">
        <w:rPr>
          <w:color w:val="000000"/>
          <w:lang w:eastAsia="lt-LT"/>
        </w:rPr>
        <w:t xml:space="preserve">neketinama atlikti chirurginės </w:t>
      </w:r>
      <w:proofErr w:type="spellStart"/>
      <w:r w:rsidR="00702336" w:rsidRPr="00D87E61">
        <w:rPr>
          <w:color w:val="000000"/>
          <w:lang w:eastAsia="lt-LT"/>
        </w:rPr>
        <w:t>rezekcijos</w:t>
      </w:r>
      <w:proofErr w:type="spellEnd"/>
      <w:r w:rsidR="00702336" w:rsidRPr="00D87E61">
        <w:rPr>
          <w:color w:val="000000"/>
          <w:lang w:eastAsia="lt-LT"/>
        </w:rPr>
        <w:t xml:space="preserve"> ar skirti </w:t>
      </w:r>
      <w:proofErr w:type="spellStart"/>
      <w:r w:rsidR="00702336" w:rsidRPr="00D87E61">
        <w:rPr>
          <w:color w:val="000000"/>
          <w:lang w:eastAsia="lt-LT"/>
        </w:rPr>
        <w:t>chemoradioterapijos</w:t>
      </w:r>
      <w:proofErr w:type="spellEnd"/>
      <w:r w:rsidR="00702336" w:rsidRPr="00D87E61">
        <w:rPr>
          <w:color w:val="000000"/>
          <w:lang w:eastAsia="lt-LT"/>
        </w:rPr>
        <w:t xml:space="preserve"> su platinos vaistiniais preparatais</w:t>
      </w:r>
      <w:r w:rsidRPr="00C606FA">
        <w:rPr>
          <w:lang w:eastAsia="lt-LT"/>
        </w:rPr>
        <w:t xml:space="preserve"> arba</w:t>
      </w:r>
      <w:r w:rsidR="00702336">
        <w:rPr>
          <w:lang w:eastAsia="lt-LT"/>
        </w:rPr>
        <w:t xml:space="preserve"> </w:t>
      </w:r>
      <w:r w:rsidR="00702336" w:rsidRPr="00D87E61">
        <w:rPr>
          <w:color w:val="000000"/>
          <w:lang w:eastAsia="lt-LT"/>
        </w:rPr>
        <w:t>NSLP</w:t>
      </w:r>
      <w:r w:rsidR="00702336">
        <w:rPr>
          <w:color w:val="000000"/>
          <w:lang w:eastAsia="lt-LT"/>
        </w:rPr>
        <w:t>V</w:t>
      </w:r>
      <w:r w:rsidR="00702336" w:rsidRPr="00C606FA">
        <w:rPr>
          <w:lang w:eastAsia="lt-LT"/>
        </w:rPr>
        <w:t xml:space="preserve"> </w:t>
      </w:r>
      <w:proofErr w:type="spellStart"/>
      <w:r w:rsidRPr="00C606FA">
        <w:rPr>
          <w:lang w:eastAsia="lt-LT"/>
        </w:rPr>
        <w:t>metastazav</w:t>
      </w:r>
      <w:r w:rsidR="00702336">
        <w:rPr>
          <w:lang w:eastAsia="lt-LT"/>
        </w:rPr>
        <w:t>ęs</w:t>
      </w:r>
      <w:proofErr w:type="spellEnd"/>
      <w:r w:rsidR="00702336">
        <w:rPr>
          <w:lang w:eastAsia="lt-LT"/>
        </w:rPr>
        <w:t>.</w:t>
      </w:r>
    </w:p>
    <w:bookmarkEnd w:id="2"/>
    <w:p w14:paraId="3BCABD30" w14:textId="77777777" w:rsidR="00BB07CB" w:rsidRDefault="00BB07CB" w:rsidP="00F20C1A">
      <w:pPr>
        <w:spacing w:line="276" w:lineRule="auto"/>
      </w:pPr>
    </w:p>
    <w:p w14:paraId="7CDFF220" w14:textId="58191D98" w:rsidR="000723FF" w:rsidRPr="000723FF" w:rsidRDefault="000723FF" w:rsidP="00F20C1A">
      <w:pPr>
        <w:spacing w:line="276" w:lineRule="auto"/>
        <w:rPr>
          <w:b/>
        </w:rPr>
      </w:pPr>
    </w:p>
    <w:sectPr w:rsidR="000723FF" w:rsidRPr="000723FF"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19814" w14:textId="77777777" w:rsidR="00E92C58" w:rsidRDefault="00E92C58">
      <w:r>
        <w:separator/>
      </w:r>
    </w:p>
  </w:endnote>
  <w:endnote w:type="continuationSeparator" w:id="0">
    <w:p w14:paraId="4C84D28E" w14:textId="77777777" w:rsidR="00E92C58" w:rsidRDefault="00E92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F73E4" w14:textId="77777777" w:rsidR="00E92C58" w:rsidRDefault="00E92C58">
      <w:r>
        <w:separator/>
      </w:r>
    </w:p>
  </w:footnote>
  <w:footnote w:type="continuationSeparator" w:id="0">
    <w:p w14:paraId="7CE42BAC" w14:textId="77777777" w:rsidR="00E92C58" w:rsidRDefault="00E92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D5F9" w14:textId="7D17A8A9"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C0875">
      <w:rPr>
        <w:rStyle w:val="Puslapionumeris"/>
        <w:noProof/>
      </w:rPr>
      <w:t>7</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1A816B09"/>
    <w:multiLevelType w:val="hybridMultilevel"/>
    <w:tmpl w:val="8FBEE17A"/>
    <w:lvl w:ilvl="0" w:tplc="0427000F">
      <w:start w:val="16"/>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79298425">
    <w:abstractNumId w:val="7"/>
  </w:num>
  <w:num w:numId="2" w16cid:durableId="64574264">
    <w:abstractNumId w:val="1"/>
  </w:num>
  <w:num w:numId="3" w16cid:durableId="1207446432">
    <w:abstractNumId w:val="9"/>
  </w:num>
  <w:num w:numId="4" w16cid:durableId="930970197">
    <w:abstractNumId w:val="8"/>
  </w:num>
  <w:num w:numId="5" w16cid:durableId="1137720233">
    <w:abstractNumId w:val="6"/>
  </w:num>
  <w:num w:numId="6" w16cid:durableId="1592279901">
    <w:abstractNumId w:val="5"/>
  </w:num>
  <w:num w:numId="7" w16cid:durableId="1773161066">
    <w:abstractNumId w:val="3"/>
  </w:num>
  <w:num w:numId="8" w16cid:durableId="1935822556">
    <w:abstractNumId w:val="12"/>
  </w:num>
  <w:num w:numId="9" w16cid:durableId="402724683">
    <w:abstractNumId w:val="0"/>
  </w:num>
  <w:num w:numId="10" w16cid:durableId="504712867">
    <w:abstractNumId w:val="10"/>
  </w:num>
  <w:num w:numId="11" w16cid:durableId="1479567116">
    <w:abstractNumId w:val="11"/>
  </w:num>
  <w:num w:numId="12" w16cid:durableId="628172005">
    <w:abstractNumId w:val="2"/>
  </w:num>
  <w:num w:numId="13" w16cid:durableId="2012485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1D0E"/>
    <w:rsid w:val="000337E6"/>
    <w:rsid w:val="0003402E"/>
    <w:rsid w:val="00034EAE"/>
    <w:rsid w:val="00042924"/>
    <w:rsid w:val="00053975"/>
    <w:rsid w:val="00057A2B"/>
    <w:rsid w:val="000606BE"/>
    <w:rsid w:val="000671AD"/>
    <w:rsid w:val="000723FF"/>
    <w:rsid w:val="000736B8"/>
    <w:rsid w:val="0007634E"/>
    <w:rsid w:val="0008190F"/>
    <w:rsid w:val="00081D9C"/>
    <w:rsid w:val="00082907"/>
    <w:rsid w:val="0008378D"/>
    <w:rsid w:val="000908A5"/>
    <w:rsid w:val="00092805"/>
    <w:rsid w:val="000C454C"/>
    <w:rsid w:val="000D5038"/>
    <w:rsid w:val="000E29D4"/>
    <w:rsid w:val="000F3540"/>
    <w:rsid w:val="00100491"/>
    <w:rsid w:val="00104E2E"/>
    <w:rsid w:val="00107287"/>
    <w:rsid w:val="00117406"/>
    <w:rsid w:val="00121EF0"/>
    <w:rsid w:val="00124A9E"/>
    <w:rsid w:val="00130703"/>
    <w:rsid w:val="0013153F"/>
    <w:rsid w:val="001408B8"/>
    <w:rsid w:val="001517E2"/>
    <w:rsid w:val="001521D9"/>
    <w:rsid w:val="001554E2"/>
    <w:rsid w:val="00160105"/>
    <w:rsid w:val="00161B29"/>
    <w:rsid w:val="00164146"/>
    <w:rsid w:val="0017369C"/>
    <w:rsid w:val="00175D57"/>
    <w:rsid w:val="00180C39"/>
    <w:rsid w:val="00180D96"/>
    <w:rsid w:val="00184BD3"/>
    <w:rsid w:val="001921F3"/>
    <w:rsid w:val="001B3C5B"/>
    <w:rsid w:val="001C3B12"/>
    <w:rsid w:val="001D746F"/>
    <w:rsid w:val="001E4BBB"/>
    <w:rsid w:val="001E6304"/>
    <w:rsid w:val="001F486B"/>
    <w:rsid w:val="0020381E"/>
    <w:rsid w:val="00213471"/>
    <w:rsid w:val="00215906"/>
    <w:rsid w:val="00241CD8"/>
    <w:rsid w:val="00244B09"/>
    <w:rsid w:val="002519CB"/>
    <w:rsid w:val="0025697F"/>
    <w:rsid w:val="00260258"/>
    <w:rsid w:val="0026588E"/>
    <w:rsid w:val="00272428"/>
    <w:rsid w:val="00272948"/>
    <w:rsid w:val="00292392"/>
    <w:rsid w:val="002946C7"/>
    <w:rsid w:val="00297916"/>
    <w:rsid w:val="002A6A51"/>
    <w:rsid w:val="002B3CC1"/>
    <w:rsid w:val="002B6CFF"/>
    <w:rsid w:val="002B7EF4"/>
    <w:rsid w:val="002C09E0"/>
    <w:rsid w:val="002C0D8F"/>
    <w:rsid w:val="002C18D2"/>
    <w:rsid w:val="002C1BB1"/>
    <w:rsid w:val="002C2786"/>
    <w:rsid w:val="002C3A10"/>
    <w:rsid w:val="002C4A90"/>
    <w:rsid w:val="002C4ED5"/>
    <w:rsid w:val="002C71E4"/>
    <w:rsid w:val="002D02EF"/>
    <w:rsid w:val="002E0702"/>
    <w:rsid w:val="002E57AD"/>
    <w:rsid w:val="002E6F80"/>
    <w:rsid w:val="002F0E4F"/>
    <w:rsid w:val="002F1053"/>
    <w:rsid w:val="00317B0E"/>
    <w:rsid w:val="00347FAA"/>
    <w:rsid w:val="0035172D"/>
    <w:rsid w:val="0036187D"/>
    <w:rsid w:val="00367EDB"/>
    <w:rsid w:val="00381024"/>
    <w:rsid w:val="00386307"/>
    <w:rsid w:val="003874DE"/>
    <w:rsid w:val="00393E9F"/>
    <w:rsid w:val="0039696E"/>
    <w:rsid w:val="003A21E9"/>
    <w:rsid w:val="003B211A"/>
    <w:rsid w:val="003C1276"/>
    <w:rsid w:val="003C141F"/>
    <w:rsid w:val="003C6B0E"/>
    <w:rsid w:val="003C7257"/>
    <w:rsid w:val="003C7E35"/>
    <w:rsid w:val="003C7FD9"/>
    <w:rsid w:val="003D1877"/>
    <w:rsid w:val="003D1E99"/>
    <w:rsid w:val="003D6208"/>
    <w:rsid w:val="00404E8A"/>
    <w:rsid w:val="0040622F"/>
    <w:rsid w:val="00413F24"/>
    <w:rsid w:val="00422853"/>
    <w:rsid w:val="00423160"/>
    <w:rsid w:val="00453862"/>
    <w:rsid w:val="0045469B"/>
    <w:rsid w:val="00461338"/>
    <w:rsid w:val="00462F43"/>
    <w:rsid w:val="004677DB"/>
    <w:rsid w:val="0047023D"/>
    <w:rsid w:val="00470F4F"/>
    <w:rsid w:val="0047414A"/>
    <w:rsid w:val="00476256"/>
    <w:rsid w:val="0048630F"/>
    <w:rsid w:val="004947A1"/>
    <w:rsid w:val="0049482A"/>
    <w:rsid w:val="004979D3"/>
    <w:rsid w:val="004A00E7"/>
    <w:rsid w:val="004A3A61"/>
    <w:rsid w:val="004B205D"/>
    <w:rsid w:val="004B59BA"/>
    <w:rsid w:val="004B5A03"/>
    <w:rsid w:val="004C263A"/>
    <w:rsid w:val="004D48A6"/>
    <w:rsid w:val="004D7B8F"/>
    <w:rsid w:val="004E0EAD"/>
    <w:rsid w:val="004E6458"/>
    <w:rsid w:val="004E6E7D"/>
    <w:rsid w:val="004F1AAC"/>
    <w:rsid w:val="004F1AE2"/>
    <w:rsid w:val="004F34F0"/>
    <w:rsid w:val="004F3B2B"/>
    <w:rsid w:val="004F6050"/>
    <w:rsid w:val="005005EF"/>
    <w:rsid w:val="005123C2"/>
    <w:rsid w:val="0052144B"/>
    <w:rsid w:val="00524066"/>
    <w:rsid w:val="00534E11"/>
    <w:rsid w:val="005378D8"/>
    <w:rsid w:val="005400D9"/>
    <w:rsid w:val="005476A4"/>
    <w:rsid w:val="0055019B"/>
    <w:rsid w:val="00556E63"/>
    <w:rsid w:val="005601A4"/>
    <w:rsid w:val="00566DBB"/>
    <w:rsid w:val="005767DB"/>
    <w:rsid w:val="005815E6"/>
    <w:rsid w:val="0058712F"/>
    <w:rsid w:val="005976CE"/>
    <w:rsid w:val="005A23D4"/>
    <w:rsid w:val="005A2D1E"/>
    <w:rsid w:val="005B3756"/>
    <w:rsid w:val="005C493F"/>
    <w:rsid w:val="005C6BF7"/>
    <w:rsid w:val="005C71BF"/>
    <w:rsid w:val="005D002C"/>
    <w:rsid w:val="005D30E1"/>
    <w:rsid w:val="005D6555"/>
    <w:rsid w:val="005D7BDF"/>
    <w:rsid w:val="005E3196"/>
    <w:rsid w:val="005E4870"/>
    <w:rsid w:val="005F71D9"/>
    <w:rsid w:val="005F7602"/>
    <w:rsid w:val="006031C8"/>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2625"/>
    <w:rsid w:val="00695CD3"/>
    <w:rsid w:val="006A38B6"/>
    <w:rsid w:val="006B1987"/>
    <w:rsid w:val="006B5B71"/>
    <w:rsid w:val="006B6CB0"/>
    <w:rsid w:val="006C0296"/>
    <w:rsid w:val="006C2B64"/>
    <w:rsid w:val="006D4C85"/>
    <w:rsid w:val="006D66AC"/>
    <w:rsid w:val="006E33F6"/>
    <w:rsid w:val="006F1251"/>
    <w:rsid w:val="006F1C23"/>
    <w:rsid w:val="00702336"/>
    <w:rsid w:val="00702C18"/>
    <w:rsid w:val="00703166"/>
    <w:rsid w:val="007127F3"/>
    <w:rsid w:val="007301CF"/>
    <w:rsid w:val="00730CDA"/>
    <w:rsid w:val="007316FB"/>
    <w:rsid w:val="007374D0"/>
    <w:rsid w:val="00737E2D"/>
    <w:rsid w:val="007424D5"/>
    <w:rsid w:val="00750A88"/>
    <w:rsid w:val="007523DD"/>
    <w:rsid w:val="00757B7E"/>
    <w:rsid w:val="007656B2"/>
    <w:rsid w:val="0077016F"/>
    <w:rsid w:val="007713AD"/>
    <w:rsid w:val="00795DC5"/>
    <w:rsid w:val="00797153"/>
    <w:rsid w:val="007A21F7"/>
    <w:rsid w:val="007A2B68"/>
    <w:rsid w:val="007B0DDA"/>
    <w:rsid w:val="007B75F5"/>
    <w:rsid w:val="007C0875"/>
    <w:rsid w:val="007C6794"/>
    <w:rsid w:val="007C7519"/>
    <w:rsid w:val="007D3347"/>
    <w:rsid w:val="007E5466"/>
    <w:rsid w:val="007F1949"/>
    <w:rsid w:val="007F2592"/>
    <w:rsid w:val="00800A08"/>
    <w:rsid w:val="008014CD"/>
    <w:rsid w:val="00817A84"/>
    <w:rsid w:val="008225A4"/>
    <w:rsid w:val="00824B92"/>
    <w:rsid w:val="00826D5E"/>
    <w:rsid w:val="00832013"/>
    <w:rsid w:val="00832DB7"/>
    <w:rsid w:val="00834732"/>
    <w:rsid w:val="0085200C"/>
    <w:rsid w:val="00857C52"/>
    <w:rsid w:val="00860D5F"/>
    <w:rsid w:val="00880A44"/>
    <w:rsid w:val="0088345E"/>
    <w:rsid w:val="0088656F"/>
    <w:rsid w:val="00891EF6"/>
    <w:rsid w:val="00896DFD"/>
    <w:rsid w:val="008A0303"/>
    <w:rsid w:val="008A5FDD"/>
    <w:rsid w:val="008C3947"/>
    <w:rsid w:val="008C3FEE"/>
    <w:rsid w:val="008E473B"/>
    <w:rsid w:val="008E51A6"/>
    <w:rsid w:val="008E7329"/>
    <w:rsid w:val="008F2ED5"/>
    <w:rsid w:val="009049C3"/>
    <w:rsid w:val="0092297E"/>
    <w:rsid w:val="00923651"/>
    <w:rsid w:val="00927B56"/>
    <w:rsid w:val="009341BF"/>
    <w:rsid w:val="00937907"/>
    <w:rsid w:val="00941739"/>
    <w:rsid w:val="00943E06"/>
    <w:rsid w:val="00951573"/>
    <w:rsid w:val="00963003"/>
    <w:rsid w:val="00966EEF"/>
    <w:rsid w:val="00971B28"/>
    <w:rsid w:val="00983471"/>
    <w:rsid w:val="009909AB"/>
    <w:rsid w:val="009B37DB"/>
    <w:rsid w:val="009C0F47"/>
    <w:rsid w:val="009C7A8C"/>
    <w:rsid w:val="009D23F9"/>
    <w:rsid w:val="009D4FA8"/>
    <w:rsid w:val="009E44AE"/>
    <w:rsid w:val="009E6CD6"/>
    <w:rsid w:val="009F4D66"/>
    <w:rsid w:val="00A00C3C"/>
    <w:rsid w:val="00A01091"/>
    <w:rsid w:val="00A042B9"/>
    <w:rsid w:val="00A06DBB"/>
    <w:rsid w:val="00A22ADF"/>
    <w:rsid w:val="00A31E86"/>
    <w:rsid w:val="00A369F3"/>
    <w:rsid w:val="00A54D87"/>
    <w:rsid w:val="00A5553C"/>
    <w:rsid w:val="00A701C9"/>
    <w:rsid w:val="00A77ECA"/>
    <w:rsid w:val="00A81785"/>
    <w:rsid w:val="00A84803"/>
    <w:rsid w:val="00A84C51"/>
    <w:rsid w:val="00A86F2B"/>
    <w:rsid w:val="00A91366"/>
    <w:rsid w:val="00A93AA6"/>
    <w:rsid w:val="00AA4538"/>
    <w:rsid w:val="00AA4E48"/>
    <w:rsid w:val="00AA6202"/>
    <w:rsid w:val="00AA7B57"/>
    <w:rsid w:val="00AB7BB3"/>
    <w:rsid w:val="00AC26FC"/>
    <w:rsid w:val="00AC4062"/>
    <w:rsid w:val="00AC4A99"/>
    <w:rsid w:val="00AC64D2"/>
    <w:rsid w:val="00AD02E7"/>
    <w:rsid w:val="00AD4C1E"/>
    <w:rsid w:val="00AE0FE8"/>
    <w:rsid w:val="00AE1322"/>
    <w:rsid w:val="00AE6EB5"/>
    <w:rsid w:val="00AF60D5"/>
    <w:rsid w:val="00B00959"/>
    <w:rsid w:val="00B02C6E"/>
    <w:rsid w:val="00B04415"/>
    <w:rsid w:val="00B06509"/>
    <w:rsid w:val="00B11D60"/>
    <w:rsid w:val="00B13D65"/>
    <w:rsid w:val="00B21805"/>
    <w:rsid w:val="00B3072E"/>
    <w:rsid w:val="00B36E15"/>
    <w:rsid w:val="00B37245"/>
    <w:rsid w:val="00B4017A"/>
    <w:rsid w:val="00B4468D"/>
    <w:rsid w:val="00B71C72"/>
    <w:rsid w:val="00B81E92"/>
    <w:rsid w:val="00B908D7"/>
    <w:rsid w:val="00B915AB"/>
    <w:rsid w:val="00B935E8"/>
    <w:rsid w:val="00B93B30"/>
    <w:rsid w:val="00B94CB5"/>
    <w:rsid w:val="00BA0DD9"/>
    <w:rsid w:val="00BA5DBC"/>
    <w:rsid w:val="00BB07CB"/>
    <w:rsid w:val="00BB6312"/>
    <w:rsid w:val="00BC4D06"/>
    <w:rsid w:val="00BC7BBF"/>
    <w:rsid w:val="00BD18D3"/>
    <w:rsid w:val="00BD585E"/>
    <w:rsid w:val="00BD6919"/>
    <w:rsid w:val="00BE1EA7"/>
    <w:rsid w:val="00BE7489"/>
    <w:rsid w:val="00BF2E0D"/>
    <w:rsid w:val="00BF3927"/>
    <w:rsid w:val="00BF3F8B"/>
    <w:rsid w:val="00BF76DA"/>
    <w:rsid w:val="00C07C7B"/>
    <w:rsid w:val="00C16245"/>
    <w:rsid w:val="00C22DC5"/>
    <w:rsid w:val="00C24479"/>
    <w:rsid w:val="00C2531F"/>
    <w:rsid w:val="00C273F2"/>
    <w:rsid w:val="00C37B53"/>
    <w:rsid w:val="00C517D2"/>
    <w:rsid w:val="00C551AE"/>
    <w:rsid w:val="00C5772E"/>
    <w:rsid w:val="00C606FA"/>
    <w:rsid w:val="00C62B36"/>
    <w:rsid w:val="00C7012C"/>
    <w:rsid w:val="00C712EA"/>
    <w:rsid w:val="00C95AD7"/>
    <w:rsid w:val="00CA217D"/>
    <w:rsid w:val="00CC09D4"/>
    <w:rsid w:val="00CC668D"/>
    <w:rsid w:val="00CC7832"/>
    <w:rsid w:val="00CD1FC9"/>
    <w:rsid w:val="00CF0C1C"/>
    <w:rsid w:val="00CF27FD"/>
    <w:rsid w:val="00CF5F12"/>
    <w:rsid w:val="00D00D8F"/>
    <w:rsid w:val="00D00E06"/>
    <w:rsid w:val="00D21F3A"/>
    <w:rsid w:val="00D23808"/>
    <w:rsid w:val="00D3016A"/>
    <w:rsid w:val="00D417D2"/>
    <w:rsid w:val="00D42960"/>
    <w:rsid w:val="00D43BD7"/>
    <w:rsid w:val="00D4485B"/>
    <w:rsid w:val="00D4708D"/>
    <w:rsid w:val="00D4744C"/>
    <w:rsid w:val="00D521DE"/>
    <w:rsid w:val="00D5470B"/>
    <w:rsid w:val="00D63068"/>
    <w:rsid w:val="00D6498C"/>
    <w:rsid w:val="00D76A70"/>
    <w:rsid w:val="00D83182"/>
    <w:rsid w:val="00D8521E"/>
    <w:rsid w:val="00D9291C"/>
    <w:rsid w:val="00D93A97"/>
    <w:rsid w:val="00D9546F"/>
    <w:rsid w:val="00D970E4"/>
    <w:rsid w:val="00DB1E6F"/>
    <w:rsid w:val="00DB1F64"/>
    <w:rsid w:val="00DC2F53"/>
    <w:rsid w:val="00DC5BAC"/>
    <w:rsid w:val="00DC6816"/>
    <w:rsid w:val="00DC76C2"/>
    <w:rsid w:val="00DD1CF2"/>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57FCA"/>
    <w:rsid w:val="00E619C6"/>
    <w:rsid w:val="00E745A1"/>
    <w:rsid w:val="00E81529"/>
    <w:rsid w:val="00E83A13"/>
    <w:rsid w:val="00E92C58"/>
    <w:rsid w:val="00EA4C1C"/>
    <w:rsid w:val="00EB6FC5"/>
    <w:rsid w:val="00EC2356"/>
    <w:rsid w:val="00EC2582"/>
    <w:rsid w:val="00EC337C"/>
    <w:rsid w:val="00EC7EDF"/>
    <w:rsid w:val="00ED0CFF"/>
    <w:rsid w:val="00ED31D2"/>
    <w:rsid w:val="00EE0EAC"/>
    <w:rsid w:val="00EE3322"/>
    <w:rsid w:val="00EE33CB"/>
    <w:rsid w:val="00F0061A"/>
    <w:rsid w:val="00F02834"/>
    <w:rsid w:val="00F04EEB"/>
    <w:rsid w:val="00F05467"/>
    <w:rsid w:val="00F055D2"/>
    <w:rsid w:val="00F07CD7"/>
    <w:rsid w:val="00F127E9"/>
    <w:rsid w:val="00F14B5D"/>
    <w:rsid w:val="00F20C1A"/>
    <w:rsid w:val="00F259FC"/>
    <w:rsid w:val="00F27C68"/>
    <w:rsid w:val="00F344AD"/>
    <w:rsid w:val="00F36972"/>
    <w:rsid w:val="00F42426"/>
    <w:rsid w:val="00F456BC"/>
    <w:rsid w:val="00F50666"/>
    <w:rsid w:val="00F70566"/>
    <w:rsid w:val="00F70C9E"/>
    <w:rsid w:val="00F74A74"/>
    <w:rsid w:val="00F7572C"/>
    <w:rsid w:val="00F8382C"/>
    <w:rsid w:val="00F855D7"/>
    <w:rsid w:val="00F92035"/>
    <w:rsid w:val="00F92748"/>
    <w:rsid w:val="00F95725"/>
    <w:rsid w:val="00FA4169"/>
    <w:rsid w:val="00FB0D41"/>
    <w:rsid w:val="00FB2030"/>
    <w:rsid w:val="00FD0E46"/>
    <w:rsid w:val="00FD1CF2"/>
    <w:rsid w:val="00FD3EDF"/>
    <w:rsid w:val="00FD437B"/>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Summary box,Dossier Table,Dossier table,Section 3- footnotes,Legemiddelverket 3,Summary Table,ASD Table,Key messages box,Tabellengitternetz 9pt"/>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Summary Bullets,Bullet 1,Bullet1,Bullet List,Section 5,List Paragraph CCT minutes,Table Legend,Bullets Points,Use Case List Paragraph,List Paragraph1,Body Bullet,Table Number Paragraph,Colorful List - Accent 11,List Paragraph 1,Ref,B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Summary Bullets Diagrama,Bullet 1 Diagrama,Bullet1 Diagrama,Bullet List Diagrama,Section 5 Diagrama,List Paragraph CCT minutes Diagrama,Table Legend Diagrama,Bullets Points Diagrama,Use Case List Paragraph Diagrama,Ref Diagrama"/>
    <w:basedOn w:val="Numatytasispastraiposriftas"/>
    <w:link w:val="Sraopastraipa"/>
    <w:uiPriority w:val="34"/>
    <w:qFormat/>
    <w:rsid w:val="003D1877"/>
    <w:rPr>
      <w:sz w:val="24"/>
      <w:szCs w:val="24"/>
      <w:lang w:eastAsia="en-US"/>
    </w:rPr>
  </w:style>
  <w:style w:type="paragraph" w:styleId="Pagrindinistekstas">
    <w:name w:val="Body Text"/>
    <w:basedOn w:val="prastasis"/>
    <w:link w:val="PagrindinistekstasDiagrama"/>
    <w:semiHidden/>
    <w:unhideWhenUsed/>
    <w:rsid w:val="00F20C1A"/>
    <w:pPr>
      <w:spacing w:after="120"/>
    </w:pPr>
  </w:style>
  <w:style w:type="character" w:customStyle="1" w:styleId="PagrindinistekstasDiagrama">
    <w:name w:val="Pagrindinis tekstas Diagrama"/>
    <w:basedOn w:val="Numatytasispastraiposriftas"/>
    <w:link w:val="Pagrindinistekstas"/>
    <w:semiHidden/>
    <w:rsid w:val="00F20C1A"/>
    <w:rPr>
      <w:sz w:val="24"/>
      <w:szCs w:val="24"/>
      <w:lang w:eastAsia="en-US"/>
    </w:rPr>
  </w:style>
  <w:style w:type="paragraph" w:styleId="Pagrindiniotekstopirmatrauka">
    <w:name w:val="Body Text First Indent"/>
    <w:basedOn w:val="Pagrindinistekstas"/>
    <w:link w:val="PagrindiniotekstopirmatraukaDiagrama"/>
    <w:rsid w:val="00F20C1A"/>
    <w:pPr>
      <w:spacing w:after="0"/>
      <w:ind w:firstLine="360"/>
    </w:pPr>
  </w:style>
  <w:style w:type="character" w:customStyle="1" w:styleId="PagrindiniotekstopirmatraukaDiagrama">
    <w:name w:val="Pagrindinio teksto pirma įtrauka Diagrama"/>
    <w:basedOn w:val="PagrindinistekstasDiagrama"/>
    <w:link w:val="Pagrindiniotekstopirmatrauka"/>
    <w:rsid w:val="00F20C1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1DCC42A2974C359888226B925C8FF8"/>
        <w:category>
          <w:name w:val="Bendrosios nuostatos"/>
          <w:gallery w:val="placeholder"/>
        </w:category>
        <w:types>
          <w:type w:val="bbPlcHdr"/>
        </w:types>
        <w:behaviors>
          <w:behavior w:val="content"/>
        </w:behaviors>
        <w:guid w:val="{DA594F7C-085F-4470-BFBE-73CE12F450B6}"/>
      </w:docPartPr>
      <w:docPartBody>
        <w:p w:rsidR="00E44A86" w:rsidRDefault="005E40DD" w:rsidP="005E40DD">
          <w:pPr>
            <w:pStyle w:val="0A1DCC42A2974C359888226B925C8FF8"/>
          </w:pPr>
          <w:r>
            <w:rPr>
              <w:rStyle w:val="Vietosrezervavimoenklotekstas"/>
            </w:rPr>
            <w:t>Click here to enter a date.</w:t>
          </w:r>
        </w:p>
      </w:docPartBody>
    </w:docPart>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Vietosrezervavimoenklotekstas"/>
            </w:rPr>
            <w:t>Click here to enter a date.</w:t>
          </w:r>
        </w:p>
      </w:docPartBody>
    </w:docPart>
    <w:docPart>
      <w:docPartPr>
        <w:name w:val="57B9655BB938420B82BDAD6B82A66F50"/>
        <w:category>
          <w:name w:val="Bendrosios nuostatos"/>
          <w:gallery w:val="placeholder"/>
        </w:category>
        <w:types>
          <w:type w:val="bbPlcHdr"/>
        </w:types>
        <w:behaviors>
          <w:behavior w:val="content"/>
        </w:behaviors>
        <w:guid w:val="{B50508B3-61AE-42C0-9ED2-473525764A20}"/>
      </w:docPartPr>
      <w:docPartBody>
        <w:p w:rsidR="004160E7" w:rsidRDefault="004144A3" w:rsidP="004144A3">
          <w:pPr>
            <w:pStyle w:val="57B9655BB938420B82BDAD6B82A66F50"/>
          </w:pPr>
          <w:r>
            <w:rPr>
              <w:rStyle w:val="Vietosrezervavimoenklotekstas"/>
            </w:rPr>
            <w:t>Click here to enter a date.</w:t>
          </w:r>
        </w:p>
      </w:docPartBody>
    </w:docPart>
    <w:docPart>
      <w:docPartPr>
        <w:name w:val="5830794711CC4E92887B7A7DBFC23A3F"/>
        <w:category>
          <w:name w:val="Bendrosios nuostatos"/>
          <w:gallery w:val="placeholder"/>
        </w:category>
        <w:types>
          <w:type w:val="bbPlcHdr"/>
        </w:types>
        <w:behaviors>
          <w:behavior w:val="content"/>
        </w:behaviors>
        <w:guid w:val="{BA4CDDB2-6993-4673-A936-90356C93B8E2}"/>
      </w:docPartPr>
      <w:docPartBody>
        <w:p w:rsidR="004160E7" w:rsidRDefault="004144A3" w:rsidP="004144A3">
          <w:pPr>
            <w:pStyle w:val="5830794711CC4E92887B7A7DBFC23A3F"/>
          </w:pPr>
          <w:r>
            <w:rPr>
              <w:rStyle w:val="Vietosrezervavimoenklotekstas"/>
            </w:rPr>
            <w:t>Click here to enter a date.</w:t>
          </w:r>
        </w:p>
      </w:docPartBody>
    </w:docPart>
    <w:docPart>
      <w:docPartPr>
        <w:name w:val="7D2FA397FDB847E29A7728C520221232"/>
        <w:category>
          <w:name w:val="General"/>
          <w:gallery w:val="placeholder"/>
        </w:category>
        <w:types>
          <w:type w:val="bbPlcHdr"/>
        </w:types>
        <w:behaviors>
          <w:behavior w:val="content"/>
        </w:behaviors>
        <w:guid w:val="{4F4C83F6-FE0B-41CD-B07D-E8C58AC54C7B}"/>
      </w:docPartPr>
      <w:docPartBody>
        <w:p w:rsidR="00B47694" w:rsidRDefault="00B47694" w:rsidP="00B47694">
          <w:pPr>
            <w:pStyle w:val="7D2FA397FDB847E29A7728C520221232"/>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43FB9"/>
    <w:rsid w:val="00061157"/>
    <w:rsid w:val="000937FE"/>
    <w:rsid w:val="000A559A"/>
    <w:rsid w:val="000D24D4"/>
    <w:rsid w:val="00161B29"/>
    <w:rsid w:val="001C35A9"/>
    <w:rsid w:val="001F47C5"/>
    <w:rsid w:val="00237556"/>
    <w:rsid w:val="00283B7B"/>
    <w:rsid w:val="00297916"/>
    <w:rsid w:val="002B7EF4"/>
    <w:rsid w:val="002C0D8F"/>
    <w:rsid w:val="002C18D2"/>
    <w:rsid w:val="002C71E4"/>
    <w:rsid w:val="0039303B"/>
    <w:rsid w:val="003C7FD9"/>
    <w:rsid w:val="004144A3"/>
    <w:rsid w:val="004160E7"/>
    <w:rsid w:val="004416C6"/>
    <w:rsid w:val="0047023D"/>
    <w:rsid w:val="004F5AB2"/>
    <w:rsid w:val="005074B9"/>
    <w:rsid w:val="005E40DD"/>
    <w:rsid w:val="006718C9"/>
    <w:rsid w:val="006E328A"/>
    <w:rsid w:val="007219C1"/>
    <w:rsid w:val="00730CDA"/>
    <w:rsid w:val="0074261C"/>
    <w:rsid w:val="00753462"/>
    <w:rsid w:val="00772325"/>
    <w:rsid w:val="007A2FE0"/>
    <w:rsid w:val="007C6D1D"/>
    <w:rsid w:val="00845A99"/>
    <w:rsid w:val="0090074D"/>
    <w:rsid w:val="0095615F"/>
    <w:rsid w:val="009B3BF0"/>
    <w:rsid w:val="009C5199"/>
    <w:rsid w:val="009D5E5E"/>
    <w:rsid w:val="009F1BB4"/>
    <w:rsid w:val="00AB6ED4"/>
    <w:rsid w:val="00AB7BB3"/>
    <w:rsid w:val="00AC4062"/>
    <w:rsid w:val="00B02C6E"/>
    <w:rsid w:val="00B14210"/>
    <w:rsid w:val="00B23DC0"/>
    <w:rsid w:val="00B47694"/>
    <w:rsid w:val="00B96656"/>
    <w:rsid w:val="00BC7BBF"/>
    <w:rsid w:val="00BE29C1"/>
    <w:rsid w:val="00C2401D"/>
    <w:rsid w:val="00C51189"/>
    <w:rsid w:val="00C53A68"/>
    <w:rsid w:val="00CA5BB4"/>
    <w:rsid w:val="00CB4BD1"/>
    <w:rsid w:val="00CC4201"/>
    <w:rsid w:val="00CE2DA9"/>
    <w:rsid w:val="00CE44BE"/>
    <w:rsid w:val="00D107CD"/>
    <w:rsid w:val="00D4356B"/>
    <w:rsid w:val="00D7162F"/>
    <w:rsid w:val="00E44A86"/>
    <w:rsid w:val="00E522EB"/>
    <w:rsid w:val="00E60827"/>
    <w:rsid w:val="00E73FF6"/>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B47694"/>
    <w:rPr>
      <w:color w:val="808080"/>
    </w:rPr>
  </w:style>
  <w:style w:type="paragraph" w:customStyle="1" w:styleId="0A1DCC42A2974C359888226B925C8FF8">
    <w:name w:val="0A1DCC42A2974C359888226B925C8FF8"/>
    <w:rsid w:val="005E40DD"/>
  </w:style>
  <w:style w:type="paragraph" w:customStyle="1" w:styleId="CDB60824EC144AB3B75C05A5823BEE2D">
    <w:name w:val="CDB60824EC144AB3B75C05A5823BEE2D"/>
    <w:rsid w:val="005E40DD"/>
  </w:style>
  <w:style w:type="paragraph" w:customStyle="1" w:styleId="57B9655BB938420B82BDAD6B82A66F50">
    <w:name w:val="57B9655BB938420B82BDAD6B82A66F50"/>
    <w:rsid w:val="004144A3"/>
  </w:style>
  <w:style w:type="paragraph" w:customStyle="1" w:styleId="5830794711CC4E92887B7A7DBFC23A3F">
    <w:name w:val="5830794711CC4E92887B7A7DBFC23A3F"/>
    <w:rsid w:val="004144A3"/>
  </w:style>
  <w:style w:type="paragraph" w:customStyle="1" w:styleId="7D2FA397FDB847E29A7728C520221232">
    <w:name w:val="7D2FA397FDB847E29A7728C520221232"/>
    <w:rsid w:val="00B4769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1DB18-5D8C-4453-8CB7-9D1599688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7466</Words>
  <Characters>4257</Characters>
  <Application>Microsoft Office Word</Application>
  <DocSecurity>0</DocSecurity>
  <Lines>35</Lines>
  <Paragraphs>23</Paragraphs>
  <ScaleCrop>false</ScaleCrop>
  <Company/>
  <LinksUpToDate>false</LinksUpToDate>
  <CharactersWithSpaces>11700</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2025-05-19T05:01:00Z</dcterms:created>
  <dcterms:modified xsi:type="dcterms:W3CDTF">2025-05-27T13:30:00Z</dcterms:modified>
</cp:coreProperties>
</file>