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091ABF9B" w14:textId="77777777" w:rsidR="00F65CE3" w:rsidRPr="00F65CE3" w:rsidRDefault="00F65CE3" w:rsidP="00F65CE3">
      <w:pPr>
        <w:spacing w:line="276" w:lineRule="auto"/>
        <w:jc w:val="center"/>
        <w:rPr>
          <w:b/>
          <w:sz w:val="26"/>
          <w:szCs w:val="26"/>
        </w:rPr>
      </w:pPr>
      <w:proofErr w:type="spellStart"/>
      <w:r w:rsidRPr="00F65CE3">
        <w:rPr>
          <w:b/>
          <w:sz w:val="26"/>
          <w:szCs w:val="26"/>
        </w:rPr>
        <w:t>Inrebic</w:t>
      </w:r>
      <w:proofErr w:type="spellEnd"/>
      <w:r w:rsidRPr="00F65CE3">
        <w:rPr>
          <w:b/>
          <w:sz w:val="26"/>
          <w:szCs w:val="26"/>
        </w:rPr>
        <w:t xml:space="preserve"> 100 mg kietosios kapsulės</w:t>
      </w:r>
    </w:p>
    <w:p w14:paraId="623558E0" w14:textId="77777777" w:rsidR="00F65CE3" w:rsidRPr="00F65CE3" w:rsidRDefault="00F65CE3" w:rsidP="00F65CE3">
      <w:pPr>
        <w:spacing w:line="276" w:lineRule="auto"/>
        <w:jc w:val="center"/>
        <w:rPr>
          <w:b/>
          <w:sz w:val="26"/>
          <w:szCs w:val="26"/>
        </w:rPr>
      </w:pPr>
    </w:p>
    <w:p w14:paraId="339F72BA" w14:textId="77777777" w:rsidR="00F65CE3" w:rsidRPr="00F65CE3" w:rsidRDefault="00F65CE3" w:rsidP="00F65CE3">
      <w:pPr>
        <w:spacing w:line="276" w:lineRule="auto"/>
        <w:jc w:val="center"/>
        <w:rPr>
          <w:b/>
          <w:sz w:val="26"/>
          <w:szCs w:val="26"/>
        </w:rPr>
      </w:pPr>
      <w:r w:rsidRPr="00F65CE3">
        <w:rPr>
          <w:b/>
          <w:sz w:val="26"/>
          <w:szCs w:val="26"/>
        </w:rPr>
        <w:t>(</w:t>
      </w:r>
      <w:proofErr w:type="spellStart"/>
      <w:r w:rsidRPr="00F65CE3">
        <w:rPr>
          <w:b/>
          <w:sz w:val="26"/>
          <w:szCs w:val="26"/>
        </w:rPr>
        <w:t>Fedratinibas</w:t>
      </w:r>
      <w:proofErr w:type="spellEnd"/>
      <w:r w:rsidRPr="00F65CE3">
        <w:rPr>
          <w:b/>
          <w:sz w:val="26"/>
          <w:szCs w:val="26"/>
        </w:rPr>
        <w:t xml:space="preserve">) </w:t>
      </w:r>
    </w:p>
    <w:p w14:paraId="07010BE3" w14:textId="77777777" w:rsidR="00F65CE3" w:rsidRPr="00F65CE3" w:rsidRDefault="00F65CE3" w:rsidP="00F65CE3">
      <w:pPr>
        <w:spacing w:line="276" w:lineRule="auto"/>
        <w:jc w:val="center"/>
        <w:rPr>
          <w:b/>
          <w:sz w:val="26"/>
          <w:szCs w:val="26"/>
        </w:rPr>
      </w:pPr>
    </w:p>
    <w:p w14:paraId="453197C8" w14:textId="0FA975BC" w:rsidR="00D4708D" w:rsidRPr="000203E1" w:rsidRDefault="00F65CE3" w:rsidP="003B211A">
      <w:pPr>
        <w:jc w:val="center"/>
        <w:rPr>
          <w:b/>
        </w:rPr>
      </w:pPr>
      <w:r w:rsidRPr="00F65CE3">
        <w:rPr>
          <w:b/>
          <w:sz w:val="26"/>
          <w:szCs w:val="26"/>
        </w:rPr>
        <w:t>STV-187</w:t>
      </w:r>
    </w:p>
    <w:p w14:paraId="78C89D1C" w14:textId="0DEFFAA5" w:rsidR="00D4485B" w:rsidRPr="000203E1" w:rsidRDefault="00B13D65" w:rsidP="00CC09D4">
      <w:pPr>
        <w:pStyle w:val="ListParagraph"/>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BC22A0" w:rsidRPr="000203E1" w14:paraId="18A83EC2" w14:textId="77777777" w:rsidTr="00BE7489">
        <w:trPr>
          <w:trHeight w:val="538"/>
        </w:trPr>
        <w:tc>
          <w:tcPr>
            <w:tcW w:w="632" w:type="dxa"/>
          </w:tcPr>
          <w:p w14:paraId="0646FBEA" w14:textId="77777777" w:rsidR="00BC22A0" w:rsidRPr="000203E1" w:rsidRDefault="00BC22A0" w:rsidP="00BC22A0">
            <w:pPr>
              <w:rPr>
                <w:rFonts w:eastAsia="Arial"/>
              </w:rPr>
            </w:pPr>
            <w:r w:rsidRPr="000203E1">
              <w:rPr>
                <w:rFonts w:eastAsia="Arial"/>
              </w:rPr>
              <w:t>1.1</w:t>
            </w:r>
          </w:p>
        </w:tc>
        <w:tc>
          <w:tcPr>
            <w:tcW w:w="3694" w:type="dxa"/>
          </w:tcPr>
          <w:p w14:paraId="6C3AE864" w14:textId="77777777" w:rsidR="00BC22A0" w:rsidRPr="000203E1" w:rsidRDefault="00BC22A0" w:rsidP="00BC22A0">
            <w:pPr>
              <w:rPr>
                <w:rFonts w:eastAsia="Arial"/>
              </w:rPr>
            </w:pPr>
            <w:r w:rsidRPr="000203E1">
              <w:rPr>
                <w:rFonts w:eastAsia="Arial"/>
              </w:rPr>
              <w:t>Pareiškėjas</w:t>
            </w:r>
          </w:p>
          <w:p w14:paraId="2AF240DC" w14:textId="77777777" w:rsidR="00BC22A0" w:rsidRPr="000203E1" w:rsidRDefault="00BC22A0" w:rsidP="00BC22A0">
            <w:pPr>
              <w:rPr>
                <w:rFonts w:eastAsia="Arial"/>
              </w:rPr>
            </w:pPr>
          </w:p>
        </w:tc>
        <w:tc>
          <w:tcPr>
            <w:tcW w:w="5167" w:type="dxa"/>
          </w:tcPr>
          <w:p w14:paraId="2AAF0D91" w14:textId="0F4ABCAA" w:rsidR="00BC22A0" w:rsidRPr="000203E1" w:rsidRDefault="00BC22A0" w:rsidP="00BC22A0">
            <w:pPr>
              <w:rPr>
                <w:rFonts w:eastAsia="Arial"/>
              </w:rPr>
            </w:pPr>
            <w:r w:rsidRPr="00B93732">
              <w:t xml:space="preserve">UAB </w:t>
            </w:r>
            <w:r>
              <w:t xml:space="preserve">Swixx </w:t>
            </w:r>
            <w:proofErr w:type="spellStart"/>
            <w:r>
              <w:t>Biopharma</w:t>
            </w:r>
            <w:proofErr w:type="spellEnd"/>
          </w:p>
        </w:tc>
      </w:tr>
      <w:tr w:rsidR="00BC22A0" w:rsidRPr="000203E1" w14:paraId="31998B0D" w14:textId="77777777" w:rsidTr="00BE7489">
        <w:trPr>
          <w:trHeight w:val="538"/>
        </w:trPr>
        <w:tc>
          <w:tcPr>
            <w:tcW w:w="632" w:type="dxa"/>
          </w:tcPr>
          <w:p w14:paraId="2005EC67" w14:textId="662300D0" w:rsidR="00BC22A0" w:rsidRPr="000203E1" w:rsidRDefault="00BC22A0" w:rsidP="00BC22A0">
            <w:pPr>
              <w:rPr>
                <w:rFonts w:eastAsia="Arial"/>
              </w:rPr>
            </w:pPr>
            <w:r w:rsidRPr="000203E1">
              <w:rPr>
                <w:rFonts w:eastAsia="Arial"/>
              </w:rPr>
              <w:t>1.2</w:t>
            </w:r>
          </w:p>
        </w:tc>
        <w:tc>
          <w:tcPr>
            <w:tcW w:w="3694" w:type="dxa"/>
          </w:tcPr>
          <w:p w14:paraId="1E4AE3B1" w14:textId="77777777" w:rsidR="00BC22A0" w:rsidRPr="000203E1" w:rsidRDefault="00BC22A0" w:rsidP="00BC22A0">
            <w:pPr>
              <w:rPr>
                <w:bCs/>
                <w:lang w:eastAsia="lt-LT"/>
              </w:rPr>
            </w:pPr>
            <w:r w:rsidRPr="000203E1">
              <w:rPr>
                <w:bCs/>
                <w:lang w:eastAsia="lt-LT"/>
              </w:rPr>
              <w:t xml:space="preserve">Registracijos data </w:t>
            </w:r>
          </w:p>
          <w:p w14:paraId="3A0DC096" w14:textId="77777777" w:rsidR="00BC22A0" w:rsidRPr="000203E1" w:rsidRDefault="00BC22A0" w:rsidP="00BC22A0">
            <w:pPr>
              <w:rPr>
                <w:bCs/>
                <w:lang w:eastAsia="lt-LT"/>
              </w:rPr>
            </w:pPr>
          </w:p>
        </w:tc>
        <w:tc>
          <w:tcPr>
            <w:tcW w:w="5167" w:type="dxa"/>
          </w:tcPr>
          <w:p w14:paraId="3CA218AD" w14:textId="12B7E5F0" w:rsidR="00BC22A0" w:rsidRPr="000203E1" w:rsidRDefault="00896D03" w:rsidP="00BC22A0">
            <w:pPr>
              <w:rPr>
                <w:rStyle w:val="Style2"/>
              </w:rPr>
            </w:pPr>
            <w:sdt>
              <w:sdtPr>
                <w:rPr>
                  <w:sz w:val="32"/>
                </w:rPr>
                <w:alias w:val="Nurodykite konkrečią dieną"/>
                <w:tag w:val="Nurodykite pradžios datą"/>
                <w:id w:val="423238108"/>
                <w:placeholder>
                  <w:docPart w:val="DEACB99EDDD94F65B91B5B309D34AD6E"/>
                </w:placeholder>
                <w:date>
                  <w:dateFormat w:val="yyyy 'm.' MMMM d 'd.'"/>
                  <w:lid w:val="lt-LT"/>
                  <w:storeMappedDataAs w:val="dateTime"/>
                  <w:calendar w:val="gregorian"/>
                </w:date>
              </w:sdtPr>
              <w:sdtEndPr/>
              <w:sdtContent>
                <w:r w:rsidR="00BC22A0">
                  <w:t>2021</w:t>
                </w:r>
                <w:r w:rsidR="00BC22A0" w:rsidRPr="00B93732">
                  <w:t xml:space="preserve"> m. </w:t>
                </w:r>
                <w:r w:rsidR="00BC22A0">
                  <w:t>vasario</w:t>
                </w:r>
                <w:r w:rsidR="00BC22A0" w:rsidRPr="00B93732">
                  <w:t xml:space="preserve"> </w:t>
                </w:r>
                <w:r w:rsidR="00BC22A0">
                  <w:t>8</w:t>
                </w:r>
                <w:r w:rsidR="00BC22A0" w:rsidRPr="00B93732">
                  <w:t xml:space="preserve"> d.</w:t>
                </w:r>
              </w:sdtContent>
            </w:sdt>
          </w:p>
        </w:tc>
      </w:tr>
      <w:tr w:rsidR="00016F32" w:rsidRPr="000203E1" w14:paraId="15968AE1" w14:textId="77777777" w:rsidTr="00BE7489">
        <w:trPr>
          <w:trHeight w:val="1500"/>
        </w:trPr>
        <w:tc>
          <w:tcPr>
            <w:tcW w:w="632" w:type="dxa"/>
          </w:tcPr>
          <w:p w14:paraId="6A784245" w14:textId="1E461489" w:rsidR="00016F32" w:rsidRPr="000203E1" w:rsidRDefault="00016F32" w:rsidP="00016F32">
            <w:pPr>
              <w:rPr>
                <w:rFonts w:eastAsia="Arial"/>
              </w:rPr>
            </w:pPr>
            <w:r w:rsidRPr="000203E1">
              <w:rPr>
                <w:rFonts w:eastAsia="Arial"/>
              </w:rPr>
              <w:t>1.3</w:t>
            </w:r>
          </w:p>
        </w:tc>
        <w:tc>
          <w:tcPr>
            <w:tcW w:w="3694" w:type="dxa"/>
          </w:tcPr>
          <w:p w14:paraId="22933506" w14:textId="77777777" w:rsidR="00016F32" w:rsidRPr="000203E1" w:rsidRDefault="00016F32" w:rsidP="00016F32">
            <w:r w:rsidRPr="000203E1">
              <w:t xml:space="preserve">Paraiškos tipas </w:t>
            </w:r>
          </w:p>
          <w:p w14:paraId="0465E680" w14:textId="7F0A0714" w:rsidR="00016F32" w:rsidRPr="000203E1" w:rsidRDefault="00016F32" w:rsidP="00016F32">
            <w:r w:rsidRPr="000203E1">
              <w:t xml:space="preserve">(pagal </w:t>
            </w:r>
            <w:r w:rsidRPr="000203E1">
              <w:rPr>
                <w:shd w:val="clear" w:color="auto" w:fill="FFFFFF"/>
              </w:rPr>
              <w:t>vaistinio preparato registracijos tipą, įtvirtintą</w:t>
            </w:r>
            <w:r w:rsidRPr="000203E1">
              <w:t xml:space="preserve"> Direktyvos 2001/83/EB </w:t>
            </w:r>
            <w:proofErr w:type="spellStart"/>
            <w:r w:rsidRPr="000203E1">
              <w:t>straipsiuose</w:t>
            </w:r>
            <w:proofErr w:type="spellEnd"/>
            <w:r w:rsidRPr="000203E1">
              <w:t>)</w:t>
            </w:r>
          </w:p>
          <w:p w14:paraId="77089D80" w14:textId="6681D72A" w:rsidR="00016F32" w:rsidRPr="000203E1" w:rsidRDefault="00016F32" w:rsidP="00016F32">
            <w:pPr>
              <w:rPr>
                <w:bCs/>
                <w:lang w:eastAsia="lt-LT"/>
              </w:rPr>
            </w:pPr>
          </w:p>
        </w:tc>
        <w:tc>
          <w:tcPr>
            <w:tcW w:w="5167" w:type="dxa"/>
          </w:tcPr>
          <w:p w14:paraId="7161AE24" w14:textId="77777777" w:rsidR="00016F32" w:rsidRPr="00D05364" w:rsidRDefault="00896D03" w:rsidP="00016F32">
            <w:sdt>
              <w:sdtPr>
                <w:rPr>
                  <w:rStyle w:val="Style2"/>
                </w:rPr>
                <w:id w:val="-366596377"/>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rPr>
                  <w:t>☒</w:t>
                </w:r>
              </w:sdtContent>
            </w:sdt>
            <w:r w:rsidR="00016F32" w:rsidRPr="00D05364">
              <w:t xml:space="preserve"> 8.3 str. (pilna byla, pagrįsta savais tyrimais) </w:t>
            </w:r>
          </w:p>
          <w:p w14:paraId="4B6285C7" w14:textId="77777777" w:rsidR="00016F32" w:rsidRPr="00D05364" w:rsidRDefault="00896D03" w:rsidP="00016F32">
            <w:sdt>
              <w:sdtPr>
                <w:rPr>
                  <w:rStyle w:val="Style2"/>
                </w:rPr>
                <w:id w:val="675462298"/>
                <w15:color w:val="FFCC00"/>
                <w14:checkbox>
                  <w14:checked w14:val="0"/>
                  <w14:checkedState w14:val="2612" w14:font="MS Gothic"/>
                  <w14:uncheckedState w14:val="2610" w14:font="MS Gothic"/>
                </w14:checkbox>
              </w:sdtPr>
              <w:sdtEndPr>
                <w:rPr>
                  <w:rStyle w:val="Style2"/>
                </w:rPr>
              </w:sdtEndPr>
              <w:sdtContent>
                <w:r w:rsidR="00016F32" w:rsidRPr="00D05364">
                  <w:rPr>
                    <w:rStyle w:val="Style2"/>
                    <w:rFonts w:ascii="Segoe UI Symbol" w:eastAsia="MS Gothic" w:hAnsi="Segoe UI Symbol" w:cs="Segoe UI Symbol"/>
                  </w:rPr>
                  <w:t>☐</w:t>
                </w:r>
              </w:sdtContent>
            </w:sdt>
            <w:r w:rsidR="00016F32" w:rsidRPr="00D05364">
              <w:t xml:space="preserve"> 10 a str. (pripažintas medicininis vartojimas) </w:t>
            </w:r>
          </w:p>
          <w:p w14:paraId="1DB2EFF2" w14:textId="77777777" w:rsidR="00016F32" w:rsidRPr="00D05364" w:rsidRDefault="00896D03" w:rsidP="00016F32">
            <w:sdt>
              <w:sdtPr>
                <w:rPr>
                  <w:rStyle w:val="Style2"/>
                </w:rPr>
                <w:id w:val="-1290435890"/>
                <w15:color w:val="FFCC00"/>
                <w14:checkbox>
                  <w14:checked w14:val="0"/>
                  <w14:checkedState w14:val="2612" w14:font="MS Gothic"/>
                  <w14:uncheckedState w14:val="2610" w14:font="MS Gothic"/>
                </w14:checkbox>
              </w:sdtPr>
              <w:sdtEndPr>
                <w:rPr>
                  <w:rStyle w:val="Style2"/>
                </w:rPr>
              </w:sdtEndPr>
              <w:sdtContent>
                <w:r w:rsidR="00016F32" w:rsidRPr="00D05364">
                  <w:rPr>
                    <w:rStyle w:val="Style2"/>
                    <w:rFonts w:ascii="MS Gothic" w:eastAsia="MS Gothic" w:hAnsi="MS Gothic" w:hint="eastAsia"/>
                  </w:rPr>
                  <w:t>☐</w:t>
                </w:r>
              </w:sdtContent>
            </w:sdt>
            <w:r w:rsidR="00016F32" w:rsidRPr="00D05364">
              <w:t xml:space="preserve"> 10.1 str. (</w:t>
            </w:r>
            <w:proofErr w:type="spellStart"/>
            <w:r w:rsidR="00016F32" w:rsidRPr="00D05364">
              <w:t>generinis</w:t>
            </w:r>
            <w:proofErr w:type="spellEnd"/>
            <w:r w:rsidR="00016F32" w:rsidRPr="00D05364">
              <w:t>)</w:t>
            </w:r>
          </w:p>
          <w:p w14:paraId="3B0A4F72" w14:textId="74ABE9C8" w:rsidR="00016F32" w:rsidRPr="000203E1" w:rsidRDefault="00896D03" w:rsidP="00016F32">
            <w:pPr>
              <w:rPr>
                <w:rStyle w:val="Style2"/>
                <w:sz w:val="24"/>
              </w:rPr>
            </w:pPr>
            <w:sdt>
              <w:sdtPr>
                <w:rPr>
                  <w:rStyle w:val="Style2"/>
                </w:rPr>
                <w:id w:val="-124545030"/>
                <w15:color w:val="FFCC00"/>
                <w14:checkbox>
                  <w14:checked w14:val="0"/>
                  <w14:checkedState w14:val="2612" w14:font="MS Gothic"/>
                  <w14:uncheckedState w14:val="2610" w14:font="MS Gothic"/>
                </w14:checkbox>
              </w:sdtPr>
              <w:sdtEndPr>
                <w:rPr>
                  <w:rStyle w:val="Style2"/>
                </w:rPr>
              </w:sdtEndPr>
              <w:sdtContent>
                <w:r w:rsidR="00016F32" w:rsidRPr="00D05364">
                  <w:rPr>
                    <w:rStyle w:val="Style2"/>
                    <w:rFonts w:ascii="Segoe UI Symbol" w:eastAsia="MS Gothic" w:hAnsi="Segoe UI Symbol" w:cs="Segoe UI Symbol"/>
                  </w:rPr>
                  <w:t>☐</w:t>
                </w:r>
              </w:sdtContent>
            </w:sdt>
            <w:r w:rsidR="00016F32" w:rsidRPr="00D05364">
              <w:t xml:space="preserve"> 10.3 str. (hibridinis)</w:t>
            </w:r>
          </w:p>
        </w:tc>
      </w:tr>
      <w:tr w:rsidR="00016F32" w:rsidRPr="000203E1" w14:paraId="310E9662" w14:textId="77777777" w:rsidTr="00BE7489">
        <w:trPr>
          <w:trHeight w:val="1442"/>
        </w:trPr>
        <w:tc>
          <w:tcPr>
            <w:tcW w:w="632" w:type="dxa"/>
          </w:tcPr>
          <w:p w14:paraId="4B5A91A2" w14:textId="561B5E5F" w:rsidR="00016F32" w:rsidRPr="000203E1" w:rsidRDefault="00016F32" w:rsidP="00016F32">
            <w:pPr>
              <w:rPr>
                <w:rFonts w:eastAsia="Arial"/>
              </w:rPr>
            </w:pPr>
            <w:r w:rsidRPr="000203E1">
              <w:rPr>
                <w:rFonts w:eastAsia="Arial"/>
              </w:rPr>
              <w:t>1.4</w:t>
            </w:r>
          </w:p>
        </w:tc>
        <w:tc>
          <w:tcPr>
            <w:tcW w:w="3694" w:type="dxa"/>
          </w:tcPr>
          <w:p w14:paraId="6C91E105" w14:textId="77777777" w:rsidR="00016F32" w:rsidRPr="000203E1" w:rsidRDefault="00016F32" w:rsidP="00016F32">
            <w:pPr>
              <w:rPr>
                <w:bCs/>
                <w:lang w:eastAsia="lt-LT"/>
              </w:rPr>
            </w:pPr>
            <w:r w:rsidRPr="000203E1">
              <w:rPr>
                <w:bCs/>
                <w:lang w:eastAsia="lt-LT"/>
              </w:rPr>
              <w:t xml:space="preserve">Ar vaistinis preparatas įrašytas į Bendrijos retųjų vaistinių preparatų registrą? </w:t>
            </w:r>
          </w:p>
          <w:p w14:paraId="33726F9C" w14:textId="77777777" w:rsidR="00016F32" w:rsidRPr="000203E1" w:rsidRDefault="00016F32" w:rsidP="00016F32">
            <w:pPr>
              <w:rPr>
                <w:bCs/>
                <w:i/>
                <w:lang w:eastAsia="lt-LT"/>
              </w:rPr>
            </w:pPr>
          </w:p>
          <w:p w14:paraId="483071A3" w14:textId="0F633FFC" w:rsidR="00016F32" w:rsidRPr="000203E1" w:rsidRDefault="00016F32" w:rsidP="00016F32">
            <w:pPr>
              <w:rPr>
                <w:bCs/>
                <w:lang w:eastAsia="lt-LT"/>
              </w:rPr>
            </w:pPr>
            <w:r w:rsidRPr="000203E1">
              <w:rPr>
                <w:bCs/>
                <w:i/>
                <w:sz w:val="20"/>
                <w:lang w:eastAsia="lt-LT"/>
              </w:rPr>
              <w:t>Jei taip, nurodykite įrašymo datą ir numerį</w:t>
            </w:r>
          </w:p>
        </w:tc>
        <w:tc>
          <w:tcPr>
            <w:tcW w:w="5167" w:type="dxa"/>
          </w:tcPr>
          <w:p w14:paraId="36FD99A7" w14:textId="619C1D67" w:rsidR="00016F32" w:rsidRPr="00D05364" w:rsidRDefault="00896D03" w:rsidP="00016F32">
            <w:sdt>
              <w:sdtPr>
                <w:rPr>
                  <w:rStyle w:val="Style2"/>
                </w:rPr>
                <w:id w:val="2024432173"/>
                <w15:color w:val="FFCC00"/>
                <w14:checkbox>
                  <w14:checked w14:val="1"/>
                  <w14:checkedState w14:val="2612" w14:font="MS Gothic"/>
                  <w14:uncheckedState w14:val="2610" w14:font="MS Gothic"/>
                </w14:checkbox>
              </w:sdtPr>
              <w:sdtEndPr>
                <w:rPr>
                  <w:rStyle w:val="Style2"/>
                </w:rPr>
              </w:sdtEndPr>
              <w:sdtContent>
                <w:r w:rsidR="00BC22A0">
                  <w:rPr>
                    <w:rStyle w:val="Style2"/>
                    <w:rFonts w:ascii="MS Gothic" w:eastAsia="MS Gothic" w:hAnsi="MS Gothic" w:hint="eastAsia"/>
                  </w:rPr>
                  <w:t>☒</w:t>
                </w:r>
              </w:sdtContent>
            </w:sdt>
            <w:r w:rsidR="00016F32" w:rsidRPr="00D05364">
              <w:t xml:space="preserve"> Taip</w:t>
            </w:r>
          </w:p>
          <w:p w14:paraId="39FC7463" w14:textId="33FD484C" w:rsidR="00016F32" w:rsidRPr="00D05364" w:rsidRDefault="00896D03" w:rsidP="00016F32">
            <w:sdt>
              <w:sdtPr>
                <w:rPr>
                  <w:rStyle w:val="Style2"/>
                </w:rPr>
                <w:id w:val="-970507926"/>
                <w15:color w:val="FFCC00"/>
                <w14:checkbox>
                  <w14:checked w14:val="0"/>
                  <w14:checkedState w14:val="2612" w14:font="MS Gothic"/>
                  <w14:uncheckedState w14:val="2610" w14:font="MS Gothic"/>
                </w14:checkbox>
              </w:sdtPr>
              <w:sdtEndPr>
                <w:rPr>
                  <w:rStyle w:val="Style2"/>
                </w:rPr>
              </w:sdtEndPr>
              <w:sdtContent>
                <w:r w:rsidR="00BC22A0">
                  <w:rPr>
                    <w:rStyle w:val="Style2"/>
                    <w:rFonts w:ascii="MS Gothic" w:eastAsia="MS Gothic" w:hAnsi="MS Gothic" w:hint="eastAsia"/>
                  </w:rPr>
                  <w:t>☐</w:t>
                </w:r>
              </w:sdtContent>
            </w:sdt>
            <w:r w:rsidR="00016F32" w:rsidRPr="00D05364">
              <w:t xml:space="preserve"> Ne</w:t>
            </w:r>
          </w:p>
          <w:p w14:paraId="29C2CBBB" w14:textId="38ED3CFF" w:rsidR="00016F32" w:rsidRPr="000203E1" w:rsidRDefault="00896D03" w:rsidP="00016F32">
            <w:pPr>
              <w:rPr>
                <w:rFonts w:eastAsia="Arial"/>
              </w:rPr>
            </w:pPr>
            <w:sdt>
              <w:sdtPr>
                <w:rPr>
                  <w:szCs w:val="20"/>
                </w:rPr>
                <w:alias w:val="Nurodykite konkrečią dieną"/>
                <w:tag w:val="Nurodykite pradžios datą"/>
                <w:id w:val="693498901"/>
                <w:placeholder>
                  <w:docPart w:val="D566CB46DD264044942D307E8C3417B9"/>
                </w:placeholder>
                <w15:color w:val="FFCC99"/>
                <w:date>
                  <w:dateFormat w:val="yyyy 'm.' MMMM d 'd.'"/>
                  <w:lid w:val="lt-LT"/>
                  <w:storeMappedDataAs w:val="dateTime"/>
                  <w:calendar w:val="gregorian"/>
                </w:date>
              </w:sdtPr>
              <w:sdtEndPr/>
              <w:sdtContent>
                <w:r w:rsidR="00BC22A0" w:rsidRPr="00BC22A0">
                  <w:rPr>
                    <w:szCs w:val="20"/>
                  </w:rPr>
                  <w:t>2010 m. lapkričio 26 d.</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671ADAEE" w:rsidR="00D417D2" w:rsidRPr="000203E1" w:rsidRDefault="00896D03" w:rsidP="00824B92">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896D03" w:rsidP="00824B92">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0203E1" w:rsidRPr="000203E1" w14:paraId="274D1DAF" w14:textId="77777777" w:rsidTr="00BE7489">
        <w:trPr>
          <w:trHeight w:val="1922"/>
        </w:trPr>
        <w:tc>
          <w:tcPr>
            <w:tcW w:w="632" w:type="dxa"/>
          </w:tcPr>
          <w:p w14:paraId="17ABF217" w14:textId="14AC00D7" w:rsidR="00B13D65" w:rsidRPr="000203E1" w:rsidRDefault="00B13D65" w:rsidP="00824B92">
            <w:pPr>
              <w:rPr>
                <w:rFonts w:eastAsia="Arial"/>
              </w:rPr>
            </w:pPr>
            <w:r w:rsidRPr="000203E1">
              <w:rPr>
                <w:rFonts w:eastAsia="Arial"/>
              </w:rPr>
              <w:t>1.</w:t>
            </w:r>
            <w:r w:rsidR="00D417D2" w:rsidRPr="000203E1">
              <w:rPr>
                <w:rFonts w:eastAsia="Arial"/>
              </w:rPr>
              <w:t>6</w:t>
            </w:r>
          </w:p>
        </w:tc>
        <w:tc>
          <w:tcPr>
            <w:tcW w:w="3694" w:type="dxa"/>
          </w:tcPr>
          <w:p w14:paraId="4D49DBF5" w14:textId="77777777" w:rsidR="007656B2" w:rsidRPr="000203E1" w:rsidRDefault="00DE4484" w:rsidP="00824B92">
            <w:pPr>
              <w:rPr>
                <w:bCs/>
                <w:lang w:eastAsia="lt-LT"/>
              </w:rPr>
            </w:pPr>
            <w:r w:rsidRPr="000203E1">
              <w:rPr>
                <w:bCs/>
                <w:lang w:eastAsia="lt-LT"/>
              </w:rPr>
              <w:t>Par</w:t>
            </w:r>
            <w:r w:rsidR="007656B2" w:rsidRPr="000203E1">
              <w:rPr>
                <w:bCs/>
                <w:lang w:eastAsia="lt-LT"/>
              </w:rPr>
              <w:t>eiškėjo t</w:t>
            </w:r>
            <w:r w:rsidR="00B13D65" w:rsidRPr="000203E1">
              <w:rPr>
                <w:bCs/>
                <w:lang w:eastAsia="lt-LT"/>
              </w:rPr>
              <w:t>eikiama (-</w:t>
            </w:r>
            <w:proofErr w:type="spellStart"/>
            <w:r w:rsidR="00B13D65" w:rsidRPr="000203E1">
              <w:rPr>
                <w:bCs/>
                <w:lang w:eastAsia="lt-LT"/>
              </w:rPr>
              <w:t>os</w:t>
            </w:r>
            <w:proofErr w:type="spellEnd"/>
            <w:r w:rsidR="00B13D65" w:rsidRPr="000203E1">
              <w:rPr>
                <w:bCs/>
                <w:lang w:eastAsia="lt-LT"/>
              </w:rPr>
              <w:t>) kompensuoti vaistinio preparato indikacija (-</w:t>
            </w:r>
            <w:proofErr w:type="spellStart"/>
            <w:r w:rsidR="00B13D65" w:rsidRPr="000203E1">
              <w:rPr>
                <w:bCs/>
                <w:lang w:eastAsia="lt-LT"/>
              </w:rPr>
              <w:t>os</w:t>
            </w:r>
            <w:proofErr w:type="spellEnd"/>
            <w:r w:rsidR="00B13D65" w:rsidRPr="000203E1">
              <w:rPr>
                <w:bCs/>
                <w:lang w:eastAsia="lt-LT"/>
              </w:rPr>
              <w:t>)</w:t>
            </w:r>
          </w:p>
          <w:p w14:paraId="6B4FEEC1" w14:textId="6A619694" w:rsidR="00B13D65" w:rsidRPr="000203E1" w:rsidRDefault="007656B2" w:rsidP="00824B92">
            <w:pPr>
              <w:rPr>
                <w:bCs/>
                <w:lang w:eastAsia="lt-LT"/>
              </w:rPr>
            </w:pPr>
            <w:r w:rsidRPr="000203E1">
              <w:rPr>
                <w:bCs/>
                <w:lang w:eastAsia="lt-LT"/>
              </w:rPr>
              <w:t>K</w:t>
            </w:r>
            <w:r w:rsidR="00B13D65" w:rsidRPr="000203E1">
              <w:rPr>
                <w:bCs/>
                <w:lang w:eastAsia="lt-LT"/>
              </w:rPr>
              <w:t>odas</w:t>
            </w:r>
            <w:r w:rsidRPr="000203E1">
              <w:rPr>
                <w:bCs/>
                <w:lang w:eastAsia="lt-LT"/>
              </w:rPr>
              <w:t xml:space="preserve"> pagal TLK-10 AM</w:t>
            </w:r>
          </w:p>
        </w:tc>
        <w:tc>
          <w:tcPr>
            <w:tcW w:w="5167" w:type="dxa"/>
          </w:tcPr>
          <w:p w14:paraId="2173717C" w14:textId="77777777" w:rsidR="00BC22A0" w:rsidRDefault="00BC22A0" w:rsidP="00BC22A0">
            <w:pPr>
              <w:spacing w:line="276" w:lineRule="auto"/>
              <w:jc w:val="both"/>
            </w:pPr>
            <w:proofErr w:type="spellStart"/>
            <w:r w:rsidRPr="00233D63">
              <w:t>Inrebic</w:t>
            </w:r>
            <w:proofErr w:type="spellEnd"/>
            <w:r w:rsidRPr="00233D63">
              <w:t xml:space="preserve"> skiriamas su liga susijusiai </w:t>
            </w:r>
            <w:proofErr w:type="spellStart"/>
            <w:r w:rsidRPr="00233D63">
              <w:t>splenomegalijai</w:t>
            </w:r>
            <w:proofErr w:type="spellEnd"/>
            <w:r w:rsidRPr="00233D63">
              <w:t xml:space="preserve"> arba suaugusiųjų pacientų, sergančių pirmine </w:t>
            </w:r>
            <w:proofErr w:type="spellStart"/>
            <w:r w:rsidRPr="00233D63">
              <w:t>mielofibroze</w:t>
            </w:r>
            <w:proofErr w:type="spellEnd"/>
            <w:r w:rsidRPr="00233D63">
              <w:t xml:space="preserve">, </w:t>
            </w:r>
            <w:proofErr w:type="spellStart"/>
            <w:r w:rsidRPr="00233D63">
              <w:t>mielofibroze</w:t>
            </w:r>
            <w:proofErr w:type="spellEnd"/>
            <w:r w:rsidRPr="00233D63">
              <w:t xml:space="preserve"> po tikrosios </w:t>
            </w:r>
            <w:proofErr w:type="spellStart"/>
            <w:r w:rsidRPr="00233D63">
              <w:t>policitemijos</w:t>
            </w:r>
            <w:proofErr w:type="spellEnd"/>
            <w:r w:rsidRPr="00233D63">
              <w:t xml:space="preserve"> arba </w:t>
            </w:r>
            <w:proofErr w:type="spellStart"/>
            <w:r w:rsidRPr="00233D63">
              <w:t>mielofibroze</w:t>
            </w:r>
            <w:proofErr w:type="spellEnd"/>
            <w:r w:rsidRPr="00233D63">
              <w:t xml:space="preserve"> po </w:t>
            </w:r>
            <w:proofErr w:type="spellStart"/>
            <w:r w:rsidRPr="00233D63">
              <w:t>esencialinės</w:t>
            </w:r>
            <w:proofErr w:type="spellEnd"/>
            <w:r w:rsidRPr="00233D63">
              <w:t xml:space="preserve"> </w:t>
            </w:r>
            <w:proofErr w:type="spellStart"/>
            <w:r w:rsidRPr="00233D63">
              <w:t>trombocitemijos</w:t>
            </w:r>
            <w:proofErr w:type="spellEnd"/>
            <w:r w:rsidRPr="00233D63">
              <w:t xml:space="preserve">, simptomams gydyti, kai jie </w:t>
            </w:r>
            <w:r>
              <w:t>b</w:t>
            </w:r>
            <w:r w:rsidRPr="00233D63">
              <w:t xml:space="preserve">uvo gydyti </w:t>
            </w:r>
            <w:proofErr w:type="spellStart"/>
            <w:r w:rsidRPr="00233D63">
              <w:t>ruksolitinibu</w:t>
            </w:r>
            <w:proofErr w:type="spellEnd"/>
            <w:r w:rsidRPr="00233D63">
              <w:t>.</w:t>
            </w:r>
          </w:p>
          <w:p w14:paraId="64D57823" w14:textId="77777777" w:rsidR="00BC22A0" w:rsidRDefault="00BC22A0" w:rsidP="00BC22A0">
            <w:pPr>
              <w:spacing w:line="276" w:lineRule="auto"/>
              <w:jc w:val="both"/>
            </w:pPr>
          </w:p>
          <w:p w14:paraId="6D166544" w14:textId="77777777" w:rsidR="00BC22A0" w:rsidRDefault="00BC22A0" w:rsidP="00BC22A0">
            <w:pPr>
              <w:spacing w:line="276" w:lineRule="auto"/>
              <w:jc w:val="both"/>
            </w:pPr>
          </w:p>
          <w:p w14:paraId="7185BA92" w14:textId="7939F0DC" w:rsidR="00BC22A0" w:rsidRDefault="00BC22A0" w:rsidP="00BC22A0">
            <w:pPr>
              <w:pStyle w:val="ListParagraph"/>
              <w:spacing w:after="120" w:line="276" w:lineRule="auto"/>
              <w:ind w:left="0"/>
              <w:jc w:val="both"/>
            </w:pPr>
            <w:bookmarkStart w:id="0" w:name="_Hlk173772609"/>
            <w:r w:rsidRPr="0033595B">
              <w:lastRenderedPageBreak/>
              <w:t>TLK-10 AM</w:t>
            </w:r>
            <w:r>
              <w:t xml:space="preserve"> kodai</w:t>
            </w:r>
            <w:r w:rsidRPr="0033595B">
              <w:t>:</w:t>
            </w:r>
          </w:p>
          <w:p w14:paraId="325354F9" w14:textId="77777777" w:rsidR="00BC22A0" w:rsidRDefault="00BC22A0" w:rsidP="00BC22A0">
            <w:pPr>
              <w:pStyle w:val="ListParagraph"/>
              <w:spacing w:after="120" w:line="276" w:lineRule="auto"/>
              <w:ind w:left="0"/>
              <w:jc w:val="both"/>
            </w:pPr>
            <w:r w:rsidRPr="00233D63">
              <w:t xml:space="preserve">D45 Tikroji </w:t>
            </w:r>
            <w:proofErr w:type="spellStart"/>
            <w:r w:rsidRPr="00233D63">
              <w:t>policitemija</w:t>
            </w:r>
            <w:proofErr w:type="spellEnd"/>
          </w:p>
          <w:p w14:paraId="5E8E8A82" w14:textId="77777777" w:rsidR="00BC22A0" w:rsidRDefault="00BC22A0" w:rsidP="00BC22A0">
            <w:pPr>
              <w:pStyle w:val="ListParagraph"/>
              <w:spacing w:after="120" w:line="276" w:lineRule="auto"/>
              <w:ind w:left="0"/>
              <w:jc w:val="both"/>
            </w:pPr>
            <w:r w:rsidRPr="00233D63">
              <w:t xml:space="preserve">D47.1 Lėtinė </w:t>
            </w:r>
            <w:proofErr w:type="spellStart"/>
            <w:r w:rsidRPr="00233D63">
              <w:t>mieloproliferacinė</w:t>
            </w:r>
            <w:proofErr w:type="spellEnd"/>
            <w:r w:rsidRPr="00233D63">
              <w:t xml:space="preserve"> liga</w:t>
            </w:r>
          </w:p>
          <w:p w14:paraId="13F7DFB0" w14:textId="03F163CE" w:rsidR="00B13D65" w:rsidRPr="000203E1" w:rsidRDefault="00BC22A0" w:rsidP="00BC22A0">
            <w:pPr>
              <w:pStyle w:val="ListParagraph"/>
              <w:spacing w:after="120" w:line="276" w:lineRule="auto"/>
              <w:ind w:left="0"/>
              <w:jc w:val="both"/>
            </w:pPr>
            <w:r w:rsidRPr="00233D63">
              <w:t>D47.3</w:t>
            </w:r>
            <w:r>
              <w:t xml:space="preserve"> </w:t>
            </w:r>
            <w:proofErr w:type="spellStart"/>
            <w:r w:rsidRPr="00233D63">
              <w:t>Esencialinė</w:t>
            </w:r>
            <w:proofErr w:type="spellEnd"/>
            <w:r w:rsidRPr="00233D63">
              <w:t xml:space="preserve"> (pirminė) (hemoraginė) </w:t>
            </w:r>
            <w:proofErr w:type="spellStart"/>
            <w:r w:rsidRPr="00233D63">
              <w:t>trombocitemija</w:t>
            </w:r>
            <w:proofErr w:type="spellEnd"/>
            <w:r w:rsidRPr="00233D63">
              <w:t xml:space="preserve">. Idiopatinė hemoraginė </w:t>
            </w:r>
            <w:proofErr w:type="spellStart"/>
            <w:r w:rsidRPr="00233D63">
              <w:t>trombocitemija</w:t>
            </w:r>
            <w:bookmarkEnd w:id="0"/>
            <w:proofErr w:type="spellEnd"/>
          </w:p>
        </w:tc>
      </w:tr>
      <w:tr w:rsidR="000203E1" w:rsidRPr="000203E1" w14:paraId="2F79DC08" w14:textId="77777777" w:rsidTr="00BE7489">
        <w:trPr>
          <w:trHeight w:val="378"/>
        </w:trPr>
        <w:tc>
          <w:tcPr>
            <w:tcW w:w="632" w:type="dxa"/>
          </w:tcPr>
          <w:p w14:paraId="547885A2" w14:textId="2EE70237" w:rsidR="00B13D65" w:rsidRPr="000203E1" w:rsidRDefault="00B13D65" w:rsidP="00164D64">
            <w:pPr>
              <w:rPr>
                <w:rFonts w:eastAsia="Arial"/>
              </w:rPr>
            </w:pPr>
            <w:r w:rsidRPr="000203E1">
              <w:rPr>
                <w:rFonts w:eastAsia="Arial"/>
              </w:rPr>
              <w:lastRenderedPageBreak/>
              <w:t>1.</w:t>
            </w:r>
            <w:r w:rsidR="00164D64">
              <w:rPr>
                <w:rFonts w:eastAsia="Arial"/>
              </w:rPr>
              <w:t>7</w:t>
            </w:r>
          </w:p>
        </w:tc>
        <w:tc>
          <w:tcPr>
            <w:tcW w:w="3694" w:type="dxa"/>
          </w:tcPr>
          <w:p w14:paraId="2EAB877F" w14:textId="39A36941" w:rsidR="00B13D65" w:rsidRPr="000203E1" w:rsidRDefault="007656B2" w:rsidP="00824B92">
            <w:pPr>
              <w:rPr>
                <w:bCs/>
                <w:u w:val="single"/>
                <w:lang w:eastAsia="lt-LT"/>
              </w:rPr>
            </w:pPr>
            <w:r w:rsidRPr="000203E1">
              <w:rPr>
                <w:bCs/>
                <w:lang w:eastAsia="lt-LT"/>
              </w:rPr>
              <w:t>Pareiškėjo t</w:t>
            </w:r>
            <w:r w:rsidR="00B13D65" w:rsidRPr="000203E1">
              <w:rPr>
                <w:bCs/>
                <w:lang w:eastAsia="lt-LT"/>
              </w:rPr>
              <w:t>eikiamos skyrimo sąlygos</w:t>
            </w:r>
            <w:r w:rsidR="005B3756" w:rsidRPr="000203E1">
              <w:rPr>
                <w:bCs/>
                <w:lang w:eastAsia="lt-LT"/>
              </w:rPr>
              <w:t xml:space="preserve"> </w:t>
            </w:r>
          </w:p>
        </w:tc>
        <w:tc>
          <w:tcPr>
            <w:tcW w:w="5167" w:type="dxa"/>
          </w:tcPr>
          <w:p w14:paraId="0579DF58" w14:textId="08C9CEEC" w:rsidR="00B13D65" w:rsidRPr="000203E1" w:rsidRDefault="00BC22A0" w:rsidP="00824B92">
            <w:r>
              <w:t>Nesiūlomos.</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74E2670B" w:rsidR="009F4D66" w:rsidRPr="000203E1" w:rsidRDefault="00896D03" w:rsidP="00824B92">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BC22A0">
                  <w:rPr>
                    <w:rStyle w:val="Style2"/>
                    <w:rFonts w:ascii="MS Gothic" w:eastAsia="MS Gothic" w:hAnsi="MS Gothic" w:hint="eastAsia"/>
                    <w:sz w:val="24"/>
                  </w:rPr>
                  <w:t>☒</w:t>
                </w:r>
              </w:sdtContent>
            </w:sdt>
            <w:r w:rsidR="009F4D66" w:rsidRPr="000203E1">
              <w:t xml:space="preserve"> Tinkamas</w:t>
            </w:r>
            <w:r w:rsidR="00BC22A0">
              <w:t xml:space="preserve"> (geriausias prieinamas gydymas)</w:t>
            </w:r>
          </w:p>
          <w:p w14:paraId="41B44044" w14:textId="1634A51D" w:rsidR="00B13D65" w:rsidRPr="000203E1" w:rsidRDefault="00896D03" w:rsidP="00824B92">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BC22A0">
                  <w:rPr>
                    <w:rStyle w:val="Style2"/>
                    <w:rFonts w:ascii="MS Gothic" w:eastAsia="MS Gothic" w:hAnsi="MS Gothic" w:hint="eastAsia"/>
                    <w:sz w:val="24"/>
                  </w:rPr>
                  <w:t>☐</w:t>
                </w:r>
              </w:sdtContent>
            </w:sdt>
            <w:r w:rsidR="009F4D66" w:rsidRPr="000203E1">
              <w:t xml:space="preserve"> Netinkama</w:t>
            </w:r>
            <w:r w:rsidR="00016F32">
              <w:t>s</w:t>
            </w:r>
          </w:p>
        </w:tc>
      </w:tr>
    </w:tbl>
    <w:p w14:paraId="108176F7" w14:textId="640C6F75" w:rsidR="00F70C9E" w:rsidRDefault="00F70C9E" w:rsidP="00E03C3F">
      <w:pPr>
        <w:pStyle w:val="ListParagraph"/>
        <w:tabs>
          <w:tab w:val="left" w:pos="426"/>
        </w:tabs>
        <w:ind w:left="0"/>
        <w:rPr>
          <w:b/>
          <w:bCs/>
          <w:caps/>
        </w:rPr>
      </w:pPr>
    </w:p>
    <w:p w14:paraId="13A0921A" w14:textId="77777777" w:rsidR="00876EF8" w:rsidRPr="00246048" w:rsidRDefault="00876EF8" w:rsidP="00876EF8">
      <w:pPr>
        <w:spacing w:line="276" w:lineRule="auto"/>
        <w:jc w:val="both"/>
        <w:rPr>
          <w:i/>
          <w:iCs/>
        </w:rPr>
      </w:pPr>
      <w:bookmarkStart w:id="1" w:name="_Hlk198716278"/>
      <w:r>
        <w:rPr>
          <w:i/>
          <w:iCs/>
          <w:lang w:val="en-US"/>
        </w:rPr>
        <w:t>*</w:t>
      </w:r>
      <w:r w:rsidRPr="00246048">
        <w:rPr>
          <w:i/>
          <w:iCs/>
        </w:rPr>
        <w:t xml:space="preserve">Vaistinis preparatas </w:t>
      </w:r>
      <w:proofErr w:type="spellStart"/>
      <w:r w:rsidRPr="00246048">
        <w:rPr>
          <w:i/>
          <w:iCs/>
        </w:rPr>
        <w:t>Inrebic</w:t>
      </w:r>
      <w:proofErr w:type="spellEnd"/>
      <w:r w:rsidRPr="00246048">
        <w:rPr>
          <w:i/>
          <w:iCs/>
        </w:rPr>
        <w:t xml:space="preserve"> registruotas tokiomis terapinėmis indikacijomis. </w:t>
      </w:r>
    </w:p>
    <w:p w14:paraId="1211B941" w14:textId="77777777" w:rsidR="00876EF8" w:rsidRPr="00246048" w:rsidRDefault="00876EF8" w:rsidP="00876EF8">
      <w:pPr>
        <w:spacing w:line="276" w:lineRule="auto"/>
        <w:jc w:val="both"/>
        <w:rPr>
          <w:i/>
          <w:iCs/>
        </w:rPr>
      </w:pPr>
      <w:r w:rsidRPr="00246048">
        <w:rPr>
          <w:i/>
          <w:iCs/>
        </w:rPr>
        <w:t>„</w:t>
      </w:r>
      <w:proofErr w:type="spellStart"/>
      <w:r w:rsidRPr="00246048">
        <w:rPr>
          <w:i/>
          <w:iCs/>
        </w:rPr>
        <w:t>Inrebic</w:t>
      </w:r>
      <w:proofErr w:type="spellEnd"/>
      <w:r w:rsidRPr="00246048">
        <w:rPr>
          <w:i/>
          <w:iCs/>
        </w:rPr>
        <w:t xml:space="preserve"> skiriamas su liga susijusiai </w:t>
      </w:r>
      <w:proofErr w:type="spellStart"/>
      <w:r w:rsidRPr="00246048">
        <w:rPr>
          <w:i/>
          <w:iCs/>
        </w:rPr>
        <w:t>splenomegalijai</w:t>
      </w:r>
      <w:proofErr w:type="spellEnd"/>
      <w:r w:rsidRPr="00246048">
        <w:rPr>
          <w:i/>
          <w:iCs/>
        </w:rPr>
        <w:t xml:space="preserve"> arba suaugusi</w:t>
      </w:r>
      <w:r w:rsidRPr="00246048">
        <w:rPr>
          <w:rFonts w:hint="eastAsia"/>
          <w:i/>
          <w:iCs/>
        </w:rPr>
        <w:t>ų</w:t>
      </w:r>
      <w:r w:rsidRPr="00246048">
        <w:rPr>
          <w:i/>
          <w:iCs/>
        </w:rPr>
        <w:t>j</w:t>
      </w:r>
      <w:r w:rsidRPr="00246048">
        <w:rPr>
          <w:rFonts w:hint="eastAsia"/>
          <w:i/>
          <w:iCs/>
        </w:rPr>
        <w:t>ų</w:t>
      </w:r>
      <w:r w:rsidRPr="00246048">
        <w:rPr>
          <w:i/>
          <w:iCs/>
        </w:rPr>
        <w:t xml:space="preserve"> pacient</w:t>
      </w:r>
      <w:r w:rsidRPr="00246048">
        <w:rPr>
          <w:rFonts w:hint="eastAsia"/>
          <w:i/>
          <w:iCs/>
        </w:rPr>
        <w:t>ų</w:t>
      </w:r>
      <w:r w:rsidRPr="00246048">
        <w:rPr>
          <w:i/>
          <w:iCs/>
        </w:rPr>
        <w:t>, sergan</w:t>
      </w:r>
      <w:r w:rsidRPr="00246048">
        <w:rPr>
          <w:rFonts w:hint="eastAsia"/>
          <w:i/>
          <w:iCs/>
        </w:rPr>
        <w:t>č</w:t>
      </w:r>
      <w:r w:rsidRPr="00246048">
        <w:rPr>
          <w:i/>
          <w:iCs/>
        </w:rPr>
        <w:t>i</w:t>
      </w:r>
      <w:r w:rsidRPr="00246048">
        <w:rPr>
          <w:rFonts w:hint="eastAsia"/>
          <w:i/>
          <w:iCs/>
        </w:rPr>
        <w:t>ų</w:t>
      </w:r>
      <w:r w:rsidRPr="00246048">
        <w:rPr>
          <w:i/>
          <w:iCs/>
        </w:rPr>
        <w:t xml:space="preserve"> pirmine</w:t>
      </w:r>
    </w:p>
    <w:p w14:paraId="4CFCA2DE" w14:textId="77777777" w:rsidR="00876EF8" w:rsidRPr="00246048" w:rsidRDefault="00876EF8" w:rsidP="00876EF8">
      <w:pPr>
        <w:spacing w:line="276" w:lineRule="auto"/>
        <w:jc w:val="both"/>
        <w:rPr>
          <w:i/>
          <w:iCs/>
        </w:rPr>
      </w:pPr>
      <w:proofErr w:type="spellStart"/>
      <w:r w:rsidRPr="00246048">
        <w:rPr>
          <w:i/>
          <w:iCs/>
        </w:rPr>
        <w:t>mielofibroze</w:t>
      </w:r>
      <w:proofErr w:type="spellEnd"/>
      <w:r w:rsidRPr="00246048">
        <w:rPr>
          <w:i/>
          <w:iCs/>
        </w:rPr>
        <w:t xml:space="preserve">, </w:t>
      </w:r>
      <w:proofErr w:type="spellStart"/>
      <w:r w:rsidRPr="00246048">
        <w:rPr>
          <w:i/>
          <w:iCs/>
        </w:rPr>
        <w:t>mielofibroze</w:t>
      </w:r>
      <w:proofErr w:type="spellEnd"/>
      <w:r w:rsidRPr="00246048">
        <w:rPr>
          <w:i/>
          <w:iCs/>
        </w:rPr>
        <w:t xml:space="preserve"> po tikrosios </w:t>
      </w:r>
      <w:proofErr w:type="spellStart"/>
      <w:r w:rsidRPr="00246048">
        <w:rPr>
          <w:i/>
          <w:iCs/>
        </w:rPr>
        <w:t>policitemijos</w:t>
      </w:r>
      <w:proofErr w:type="spellEnd"/>
      <w:r w:rsidRPr="00246048">
        <w:rPr>
          <w:i/>
          <w:iCs/>
        </w:rPr>
        <w:t xml:space="preserve"> arba </w:t>
      </w:r>
      <w:proofErr w:type="spellStart"/>
      <w:r w:rsidRPr="00246048">
        <w:rPr>
          <w:i/>
          <w:iCs/>
        </w:rPr>
        <w:t>mielofibroze</w:t>
      </w:r>
      <w:proofErr w:type="spellEnd"/>
      <w:r w:rsidRPr="00246048">
        <w:rPr>
          <w:i/>
          <w:iCs/>
        </w:rPr>
        <w:t xml:space="preserve"> po </w:t>
      </w:r>
      <w:proofErr w:type="spellStart"/>
      <w:r w:rsidRPr="00246048">
        <w:rPr>
          <w:i/>
          <w:iCs/>
        </w:rPr>
        <w:t>esencialin</w:t>
      </w:r>
      <w:r w:rsidRPr="00246048">
        <w:rPr>
          <w:rFonts w:hint="eastAsia"/>
          <w:i/>
          <w:iCs/>
        </w:rPr>
        <w:t>ė</w:t>
      </w:r>
      <w:r w:rsidRPr="00246048">
        <w:rPr>
          <w:i/>
          <w:iCs/>
        </w:rPr>
        <w:t>s</w:t>
      </w:r>
      <w:proofErr w:type="spellEnd"/>
    </w:p>
    <w:p w14:paraId="1300F797" w14:textId="77777777" w:rsidR="00876EF8" w:rsidRPr="00246048" w:rsidRDefault="00876EF8" w:rsidP="00876EF8">
      <w:pPr>
        <w:spacing w:line="276" w:lineRule="auto"/>
        <w:jc w:val="both"/>
        <w:rPr>
          <w:i/>
          <w:iCs/>
        </w:rPr>
      </w:pPr>
      <w:proofErr w:type="spellStart"/>
      <w:r w:rsidRPr="00246048">
        <w:rPr>
          <w:i/>
          <w:iCs/>
        </w:rPr>
        <w:t>trombocitemijos</w:t>
      </w:r>
      <w:proofErr w:type="spellEnd"/>
      <w:r w:rsidRPr="00246048">
        <w:rPr>
          <w:i/>
          <w:iCs/>
        </w:rPr>
        <w:t xml:space="preserve">, simptomams gydyti, kai jie nebuvo gydyti Jano </w:t>
      </w:r>
      <w:proofErr w:type="spellStart"/>
      <w:r w:rsidRPr="00246048">
        <w:rPr>
          <w:i/>
          <w:iCs/>
        </w:rPr>
        <w:t>kinaz</w:t>
      </w:r>
      <w:r w:rsidRPr="00246048">
        <w:rPr>
          <w:rFonts w:hint="eastAsia"/>
          <w:i/>
          <w:iCs/>
        </w:rPr>
        <w:t>ė</w:t>
      </w:r>
      <w:r w:rsidRPr="00246048">
        <w:rPr>
          <w:i/>
          <w:iCs/>
        </w:rPr>
        <w:t>s</w:t>
      </w:r>
      <w:proofErr w:type="spellEnd"/>
      <w:r w:rsidRPr="00246048">
        <w:rPr>
          <w:i/>
          <w:iCs/>
        </w:rPr>
        <w:t xml:space="preserve"> (JAK) inhibitoriumi arba</w:t>
      </w:r>
    </w:p>
    <w:p w14:paraId="272726A3" w14:textId="77777777" w:rsidR="00876EF8" w:rsidRPr="00246048" w:rsidRDefault="00876EF8" w:rsidP="00876EF8">
      <w:pPr>
        <w:spacing w:line="276" w:lineRule="auto"/>
        <w:jc w:val="both"/>
        <w:rPr>
          <w:i/>
          <w:iCs/>
        </w:rPr>
      </w:pPr>
      <w:r w:rsidRPr="00246048">
        <w:rPr>
          <w:i/>
          <w:iCs/>
        </w:rPr>
        <w:t xml:space="preserve">buvo gydyti </w:t>
      </w:r>
      <w:proofErr w:type="spellStart"/>
      <w:r w:rsidRPr="00246048">
        <w:rPr>
          <w:i/>
          <w:iCs/>
        </w:rPr>
        <w:t>ruksolitinibu</w:t>
      </w:r>
      <w:proofErr w:type="spellEnd"/>
      <w:r w:rsidRPr="00246048">
        <w:rPr>
          <w:i/>
          <w:iCs/>
        </w:rPr>
        <w:t>.“</w:t>
      </w:r>
    </w:p>
    <w:p w14:paraId="2401F955" w14:textId="77777777" w:rsidR="00876EF8" w:rsidRPr="00246048" w:rsidRDefault="00876EF8" w:rsidP="00876EF8">
      <w:pPr>
        <w:spacing w:line="276" w:lineRule="auto"/>
        <w:jc w:val="both"/>
        <w:rPr>
          <w:rFonts w:eastAsia="Arial"/>
          <w:i/>
          <w:iCs/>
        </w:rPr>
      </w:pPr>
      <w:r w:rsidRPr="00246048">
        <w:rPr>
          <w:rFonts w:eastAsia="Arial"/>
          <w:i/>
          <w:iCs/>
        </w:rPr>
        <w:t xml:space="preserve">Teikiamose terapinėse indikacijose </w:t>
      </w:r>
      <w:r w:rsidRPr="00246048">
        <w:rPr>
          <w:i/>
          <w:iCs/>
        </w:rPr>
        <w:t xml:space="preserve">iš registruotų terapinių indikacijų formuluotės išbraukta skyrimo sąlyga „nebuvo gydyti Jano </w:t>
      </w:r>
      <w:proofErr w:type="spellStart"/>
      <w:r w:rsidRPr="00246048">
        <w:rPr>
          <w:i/>
          <w:iCs/>
        </w:rPr>
        <w:t>kinazės</w:t>
      </w:r>
      <w:proofErr w:type="spellEnd"/>
      <w:r w:rsidRPr="00246048">
        <w:rPr>
          <w:i/>
          <w:iCs/>
        </w:rPr>
        <w:t xml:space="preserve"> (JAK) inhibitoriumi“ paliekant „buvo gydyti </w:t>
      </w:r>
      <w:proofErr w:type="spellStart"/>
      <w:r w:rsidRPr="00246048">
        <w:rPr>
          <w:i/>
          <w:iCs/>
        </w:rPr>
        <w:t>ruksolitinibu</w:t>
      </w:r>
      <w:proofErr w:type="spellEnd"/>
      <w:r w:rsidRPr="00246048">
        <w:rPr>
          <w:i/>
          <w:iCs/>
        </w:rPr>
        <w:t xml:space="preserve">“. Kompensavimui teikiama pakeista indikacijų formuluotė priimtina, nes </w:t>
      </w:r>
      <w:proofErr w:type="spellStart"/>
      <w:r w:rsidRPr="00246048">
        <w:rPr>
          <w:i/>
          <w:iCs/>
        </w:rPr>
        <w:t>ruksolitinimas</w:t>
      </w:r>
      <w:proofErr w:type="spellEnd"/>
      <w:r w:rsidRPr="00246048">
        <w:rPr>
          <w:i/>
          <w:iCs/>
        </w:rPr>
        <w:t xml:space="preserve"> yra </w:t>
      </w:r>
      <w:proofErr w:type="spellStart"/>
      <w:r w:rsidRPr="00246048">
        <w:rPr>
          <w:i/>
          <w:iCs/>
        </w:rPr>
        <w:t>vienitelis</w:t>
      </w:r>
      <w:proofErr w:type="spellEnd"/>
      <w:r w:rsidRPr="00246048">
        <w:rPr>
          <w:i/>
          <w:iCs/>
        </w:rPr>
        <w:t xml:space="preserve"> vaistinis preparatas įrašytas į Lietuvos Respublikos sveikatos apsaugos ministro 2000 m. sausio 28 d. įsakymu Nr. 49 patvirtintą L</w:t>
      </w:r>
      <w:r w:rsidRPr="00246048">
        <w:rPr>
          <w:bCs/>
          <w:i/>
          <w:iCs/>
        </w:rPr>
        <w:t>igų ir kompensuojamųjų vaistų joms gydyti sąrašą (A sąrašas) terapinėms indikacijoms t</w:t>
      </w:r>
      <w:r w:rsidRPr="00246048">
        <w:rPr>
          <w:i/>
          <w:iCs/>
        </w:rPr>
        <w:t xml:space="preserve">ikroji </w:t>
      </w:r>
      <w:proofErr w:type="spellStart"/>
      <w:r w:rsidRPr="00246048">
        <w:rPr>
          <w:i/>
          <w:iCs/>
        </w:rPr>
        <w:t>policitemija</w:t>
      </w:r>
      <w:proofErr w:type="spellEnd"/>
      <w:r w:rsidRPr="00246048">
        <w:rPr>
          <w:i/>
          <w:iCs/>
        </w:rPr>
        <w:t xml:space="preserve"> (TLK kodas D45); lėtinė </w:t>
      </w:r>
      <w:proofErr w:type="spellStart"/>
      <w:r w:rsidRPr="00246048">
        <w:rPr>
          <w:i/>
          <w:iCs/>
        </w:rPr>
        <w:t>mieloproliferacinė</w:t>
      </w:r>
      <w:proofErr w:type="spellEnd"/>
      <w:r w:rsidRPr="00246048">
        <w:rPr>
          <w:i/>
          <w:iCs/>
        </w:rPr>
        <w:t xml:space="preserve"> liga (TLK kodas D47.1) ir </w:t>
      </w:r>
      <w:proofErr w:type="spellStart"/>
      <w:r w:rsidRPr="00246048">
        <w:rPr>
          <w:i/>
          <w:iCs/>
        </w:rPr>
        <w:t>esencialinė</w:t>
      </w:r>
      <w:proofErr w:type="spellEnd"/>
      <w:r w:rsidRPr="00246048">
        <w:rPr>
          <w:i/>
          <w:iCs/>
        </w:rPr>
        <w:t xml:space="preserve"> (pirminė) (hemoraginė) </w:t>
      </w:r>
      <w:proofErr w:type="spellStart"/>
      <w:r w:rsidRPr="00246048">
        <w:rPr>
          <w:i/>
          <w:iCs/>
        </w:rPr>
        <w:t>trombocitemija</w:t>
      </w:r>
      <w:proofErr w:type="spellEnd"/>
      <w:r w:rsidRPr="00246048">
        <w:rPr>
          <w:i/>
          <w:iCs/>
        </w:rPr>
        <w:t xml:space="preserve">; idiopatinė hemoraginė </w:t>
      </w:r>
      <w:proofErr w:type="spellStart"/>
      <w:r w:rsidRPr="00246048">
        <w:rPr>
          <w:i/>
          <w:iCs/>
        </w:rPr>
        <w:t>trombocitemija</w:t>
      </w:r>
      <w:proofErr w:type="spellEnd"/>
      <w:r w:rsidRPr="00246048">
        <w:rPr>
          <w:i/>
          <w:iCs/>
        </w:rPr>
        <w:t xml:space="preserve"> (TLK kodas D47.3), todėl prielaidų, kad prieš skiriant </w:t>
      </w:r>
      <w:proofErr w:type="spellStart"/>
      <w:r w:rsidRPr="00246048">
        <w:rPr>
          <w:rFonts w:eastAsia="Arial"/>
          <w:bCs/>
          <w:i/>
          <w:iCs/>
        </w:rPr>
        <w:t>fedratinibą</w:t>
      </w:r>
      <w:proofErr w:type="spellEnd"/>
      <w:r w:rsidRPr="00246048">
        <w:rPr>
          <w:rFonts w:eastAsia="Arial"/>
          <w:bCs/>
          <w:i/>
          <w:iCs/>
        </w:rPr>
        <w:t xml:space="preserve"> (jei būtų priimtas sprendimas jį kompensuoti), būtų taikomas gydymas JAK inhibitoriumi nėra. Atsižvelgiant į teikiamas indikacijas, </w:t>
      </w:r>
      <w:proofErr w:type="spellStart"/>
      <w:r w:rsidRPr="00246048">
        <w:rPr>
          <w:rFonts w:eastAsia="Arial"/>
          <w:bCs/>
          <w:i/>
          <w:iCs/>
        </w:rPr>
        <w:t>fedratinibas</w:t>
      </w:r>
      <w:proofErr w:type="spellEnd"/>
      <w:r w:rsidRPr="00246048">
        <w:rPr>
          <w:rFonts w:eastAsia="Arial"/>
          <w:bCs/>
          <w:i/>
          <w:iCs/>
        </w:rPr>
        <w:t xml:space="preserve"> būtų skiriamas antraeiliam gydymui.</w:t>
      </w:r>
    </w:p>
    <w:bookmarkEnd w:id="1"/>
    <w:p w14:paraId="2B205D1B" w14:textId="77777777" w:rsidR="00876EF8" w:rsidRPr="000203E1" w:rsidRDefault="00876EF8" w:rsidP="00E03C3F">
      <w:pPr>
        <w:pStyle w:val="ListParagraph"/>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TableGrid"/>
        <w:tblW w:w="9142" w:type="dxa"/>
        <w:tblInd w:w="137" w:type="dxa"/>
        <w:tblLook w:val="04A0" w:firstRow="1" w:lastRow="0" w:firstColumn="1" w:lastColumn="0" w:noHBand="0" w:noVBand="1"/>
      </w:tblPr>
      <w:tblGrid>
        <w:gridCol w:w="2289"/>
        <w:gridCol w:w="2010"/>
        <w:gridCol w:w="2343"/>
        <w:gridCol w:w="2500"/>
      </w:tblGrid>
      <w:tr w:rsidR="00BC22A0" w:rsidRPr="00B93732" w14:paraId="67907FD1" w14:textId="77777777" w:rsidTr="00296C08">
        <w:trPr>
          <w:trHeight w:val="924"/>
        </w:trPr>
        <w:tc>
          <w:tcPr>
            <w:tcW w:w="1886" w:type="dxa"/>
            <w:tcBorders>
              <w:top w:val="single" w:sz="4" w:space="0" w:color="auto"/>
              <w:left w:val="single" w:sz="4" w:space="0" w:color="auto"/>
              <w:bottom w:val="single" w:sz="4" w:space="0" w:color="auto"/>
              <w:right w:val="single" w:sz="4" w:space="0" w:color="auto"/>
            </w:tcBorders>
            <w:hideMark/>
          </w:tcPr>
          <w:p w14:paraId="5E9BCE85" w14:textId="77777777" w:rsidR="00BC22A0" w:rsidRPr="00B93732" w:rsidRDefault="00BC22A0" w:rsidP="00427779">
            <w:pPr>
              <w:spacing w:line="276" w:lineRule="auto"/>
              <w:rPr>
                <w:rFonts w:eastAsia="Arial"/>
              </w:rPr>
            </w:pPr>
            <w:r w:rsidRPr="00B93732">
              <w:rPr>
                <w:rFonts w:eastAsia="Arial"/>
              </w:rPr>
              <w:t>STV agentūros pavadinimas, šalis</w:t>
            </w:r>
          </w:p>
        </w:tc>
        <w:tc>
          <w:tcPr>
            <w:tcW w:w="2153" w:type="dxa"/>
            <w:tcBorders>
              <w:top w:val="single" w:sz="4" w:space="0" w:color="auto"/>
              <w:left w:val="single" w:sz="4" w:space="0" w:color="auto"/>
              <w:bottom w:val="single" w:sz="4" w:space="0" w:color="auto"/>
              <w:right w:val="single" w:sz="4" w:space="0" w:color="auto"/>
            </w:tcBorders>
            <w:hideMark/>
          </w:tcPr>
          <w:p w14:paraId="1A4EB4DC" w14:textId="77777777" w:rsidR="00BC22A0" w:rsidRPr="00B93732" w:rsidRDefault="00BC22A0" w:rsidP="00427779">
            <w:pPr>
              <w:spacing w:line="276" w:lineRule="auto"/>
              <w:rPr>
                <w:rFonts w:eastAsia="Arial"/>
              </w:rPr>
            </w:pPr>
            <w:r w:rsidRPr="00B93732">
              <w:rPr>
                <w:rFonts w:eastAsia="Arial"/>
              </w:rPr>
              <w:t>STV vertinimas atliktas</w:t>
            </w:r>
          </w:p>
        </w:tc>
        <w:tc>
          <w:tcPr>
            <w:tcW w:w="2551" w:type="dxa"/>
            <w:tcBorders>
              <w:top w:val="single" w:sz="4" w:space="0" w:color="auto"/>
              <w:left w:val="single" w:sz="4" w:space="0" w:color="auto"/>
              <w:bottom w:val="single" w:sz="4" w:space="0" w:color="auto"/>
              <w:right w:val="single" w:sz="4" w:space="0" w:color="auto"/>
            </w:tcBorders>
            <w:hideMark/>
          </w:tcPr>
          <w:p w14:paraId="587D2F04" w14:textId="77777777" w:rsidR="00BC22A0" w:rsidRPr="00B93732" w:rsidRDefault="00BC22A0" w:rsidP="00427779">
            <w:pPr>
              <w:spacing w:line="276" w:lineRule="auto"/>
              <w:rPr>
                <w:rFonts w:eastAsia="Arial"/>
              </w:rPr>
            </w:pPr>
            <w:r w:rsidRPr="00B93732">
              <w:rPr>
                <w:rFonts w:eastAsia="Arial"/>
              </w:rPr>
              <w:t>Klinikinio vertinimo išvada</w:t>
            </w:r>
          </w:p>
        </w:tc>
        <w:tc>
          <w:tcPr>
            <w:tcW w:w="2552" w:type="dxa"/>
            <w:tcBorders>
              <w:top w:val="single" w:sz="4" w:space="0" w:color="auto"/>
              <w:left w:val="single" w:sz="4" w:space="0" w:color="auto"/>
              <w:bottom w:val="single" w:sz="4" w:space="0" w:color="auto"/>
              <w:right w:val="single" w:sz="4" w:space="0" w:color="auto"/>
            </w:tcBorders>
            <w:hideMark/>
          </w:tcPr>
          <w:p w14:paraId="55819726" w14:textId="77777777" w:rsidR="00BC22A0" w:rsidRPr="00B93732" w:rsidRDefault="00BC22A0" w:rsidP="00427779">
            <w:pPr>
              <w:spacing w:line="276" w:lineRule="auto"/>
              <w:rPr>
                <w:rFonts w:eastAsia="Arial"/>
              </w:rPr>
            </w:pPr>
            <w:proofErr w:type="spellStart"/>
            <w:r w:rsidRPr="00B93732">
              <w:rPr>
                <w:rFonts w:eastAsia="Arial"/>
              </w:rPr>
              <w:t>Farmakoekonominio</w:t>
            </w:r>
            <w:proofErr w:type="spellEnd"/>
            <w:r w:rsidRPr="00B93732">
              <w:rPr>
                <w:rFonts w:eastAsia="Arial"/>
              </w:rPr>
              <w:t xml:space="preserve"> vertinimo išvada</w:t>
            </w:r>
          </w:p>
        </w:tc>
      </w:tr>
      <w:tr w:rsidR="00BC22A0" w:rsidRPr="00B93732" w14:paraId="0AC40637" w14:textId="77777777" w:rsidTr="00296C08">
        <w:trPr>
          <w:trHeight w:val="1765"/>
        </w:trPr>
        <w:tc>
          <w:tcPr>
            <w:tcW w:w="1886" w:type="dxa"/>
            <w:tcBorders>
              <w:top w:val="single" w:sz="4" w:space="0" w:color="auto"/>
              <w:left w:val="single" w:sz="4" w:space="0" w:color="auto"/>
              <w:bottom w:val="single" w:sz="4" w:space="0" w:color="auto"/>
              <w:right w:val="single" w:sz="4" w:space="0" w:color="auto"/>
            </w:tcBorders>
            <w:hideMark/>
          </w:tcPr>
          <w:p w14:paraId="2D846E29" w14:textId="77777777" w:rsidR="00BC22A0" w:rsidRPr="00B93732" w:rsidRDefault="00BC22A0" w:rsidP="00427779">
            <w:pPr>
              <w:autoSpaceDE w:val="0"/>
              <w:autoSpaceDN w:val="0"/>
              <w:adjustRightInd w:val="0"/>
              <w:spacing w:line="276" w:lineRule="auto"/>
              <w:rPr>
                <w:bCs/>
              </w:rPr>
            </w:pPr>
            <w:r w:rsidRPr="00B93732">
              <w:rPr>
                <w:bCs/>
              </w:rPr>
              <w:t>Nacionalinis sveikatos ir klinikinės kompetencijos institutas, Didžioji Britanija</w:t>
            </w:r>
          </w:p>
          <w:p w14:paraId="4C82F0B0" w14:textId="77777777" w:rsidR="00BC22A0" w:rsidRPr="00B93732" w:rsidRDefault="00BC22A0" w:rsidP="00427779">
            <w:pPr>
              <w:spacing w:line="276" w:lineRule="auto"/>
              <w:rPr>
                <w:rFonts w:eastAsia="Arial"/>
              </w:rPr>
            </w:pPr>
            <w:r w:rsidRPr="00B93732">
              <w:rPr>
                <w:rFonts w:eastAsia="Arial"/>
              </w:rPr>
              <w:t xml:space="preserve">(angl. </w:t>
            </w:r>
            <w:proofErr w:type="spellStart"/>
            <w:r w:rsidRPr="00B93732">
              <w:rPr>
                <w:rFonts w:eastAsia="Arial"/>
                <w:i/>
              </w:rPr>
              <w:t>National</w:t>
            </w:r>
            <w:proofErr w:type="spellEnd"/>
            <w:r w:rsidRPr="00B93732">
              <w:rPr>
                <w:rFonts w:eastAsia="Arial"/>
                <w:i/>
              </w:rPr>
              <w:t xml:space="preserve"> Institute </w:t>
            </w:r>
            <w:proofErr w:type="spellStart"/>
            <w:r w:rsidRPr="00B93732">
              <w:rPr>
                <w:rFonts w:eastAsia="Arial"/>
                <w:i/>
              </w:rPr>
              <w:t>for</w:t>
            </w:r>
            <w:proofErr w:type="spellEnd"/>
            <w:r w:rsidRPr="00B93732">
              <w:rPr>
                <w:rFonts w:eastAsia="Arial"/>
                <w:i/>
              </w:rPr>
              <w:t xml:space="preserve"> </w:t>
            </w:r>
            <w:proofErr w:type="spellStart"/>
            <w:r w:rsidRPr="00B93732">
              <w:rPr>
                <w:rFonts w:eastAsia="Arial"/>
                <w:i/>
              </w:rPr>
              <w:t>Health</w:t>
            </w:r>
            <w:proofErr w:type="spellEnd"/>
            <w:r w:rsidRPr="00B93732">
              <w:rPr>
                <w:rFonts w:eastAsia="Arial"/>
                <w:i/>
              </w:rPr>
              <w:t xml:space="preserve"> </w:t>
            </w:r>
            <w:proofErr w:type="spellStart"/>
            <w:r w:rsidRPr="00B93732">
              <w:rPr>
                <w:rFonts w:eastAsia="Arial"/>
                <w:i/>
              </w:rPr>
              <w:t>and</w:t>
            </w:r>
            <w:proofErr w:type="spellEnd"/>
            <w:r w:rsidRPr="00B93732">
              <w:rPr>
                <w:rFonts w:eastAsia="Arial"/>
                <w:i/>
              </w:rPr>
              <w:t xml:space="preserve"> Care </w:t>
            </w:r>
            <w:proofErr w:type="spellStart"/>
            <w:r w:rsidRPr="00B93732">
              <w:rPr>
                <w:rFonts w:eastAsia="Arial"/>
                <w:i/>
              </w:rPr>
              <w:t>Excellence</w:t>
            </w:r>
            <w:proofErr w:type="spellEnd"/>
            <w:r w:rsidRPr="00B93732">
              <w:rPr>
                <w:rFonts w:eastAsia="Arial"/>
                <w:i/>
              </w:rPr>
              <w:t>, NICE</w:t>
            </w:r>
            <w:r w:rsidRPr="00B93732">
              <w:rPr>
                <w:rFonts w:eastAsia="Arial"/>
              </w:rPr>
              <w:t>)</w:t>
            </w:r>
          </w:p>
        </w:tc>
        <w:tc>
          <w:tcPr>
            <w:tcW w:w="2153" w:type="dxa"/>
            <w:tcBorders>
              <w:top w:val="single" w:sz="4" w:space="0" w:color="auto"/>
              <w:left w:val="single" w:sz="4" w:space="0" w:color="auto"/>
              <w:bottom w:val="single" w:sz="4" w:space="0" w:color="auto"/>
              <w:right w:val="single" w:sz="4" w:space="0" w:color="auto"/>
            </w:tcBorders>
            <w:hideMark/>
          </w:tcPr>
          <w:p w14:paraId="565868F4" w14:textId="77777777" w:rsidR="00BC22A0" w:rsidRPr="00B93732" w:rsidRDefault="00BC22A0" w:rsidP="00427779">
            <w:pPr>
              <w:pStyle w:val="ListParagraph"/>
              <w:spacing w:after="120" w:line="276" w:lineRule="auto"/>
              <w:ind w:left="0"/>
              <w:jc w:val="both"/>
            </w:pPr>
            <w:r>
              <w:rPr>
                <w:rStyle w:val="Style2"/>
                <w:rFonts w:ascii="MS Gothic" w:eastAsia="MS Gothic" w:hAnsi="MS Gothic" w:hint="eastAsia"/>
              </w:rPr>
              <w:t>☒</w:t>
            </w:r>
            <w:r w:rsidRPr="00B93732">
              <w:t xml:space="preserve"> Taip</w:t>
            </w:r>
          </w:p>
          <w:p w14:paraId="18BF2A64" w14:textId="77777777" w:rsidR="00BC22A0" w:rsidRPr="00B93732" w:rsidRDefault="00BC22A0" w:rsidP="00427779">
            <w:pPr>
              <w:pStyle w:val="ListParagraph"/>
              <w:spacing w:after="120" w:line="276" w:lineRule="auto"/>
              <w:ind w:left="0"/>
              <w:jc w:val="both"/>
            </w:pPr>
            <w:r>
              <w:rPr>
                <w:rStyle w:val="Style2"/>
                <w:rFonts w:ascii="MS Gothic" w:eastAsia="MS Gothic" w:hAnsi="MS Gothic" w:hint="eastAsia"/>
              </w:rPr>
              <w:t>☐</w:t>
            </w:r>
            <w:r w:rsidRPr="00B93732">
              <w:t xml:space="preserve"> Ne</w:t>
            </w:r>
          </w:p>
          <w:p w14:paraId="78C9F852" w14:textId="77777777" w:rsidR="00BC22A0" w:rsidRPr="00B93732" w:rsidRDefault="00896D03" w:rsidP="00427779">
            <w:pPr>
              <w:spacing w:line="276" w:lineRule="auto"/>
              <w:rPr>
                <w:rFonts w:eastAsia="Arial"/>
              </w:rPr>
            </w:pPr>
            <w:sdt>
              <w:sdtPr>
                <w:alias w:val="Nurodykite konkrečią dieną"/>
                <w:tag w:val="Nurodykite pradžios datą"/>
                <w:id w:val="922837954"/>
                <w:placeholder>
                  <w:docPart w:val="678604E3F5BB4C198744206C44D5E9F3"/>
                </w:placeholder>
                <w:date>
                  <w:dateFormat w:val="yyyy 'm.' MMMM d 'd.'"/>
                  <w:lid w:val="lt-LT"/>
                  <w:storeMappedDataAs w:val="dateTime"/>
                  <w:calendar w:val="gregorian"/>
                </w:date>
              </w:sdtPr>
              <w:sdtEndPr/>
              <w:sdtContent>
                <w:r w:rsidR="00BC22A0">
                  <w:t>2021 m. gruodžio 16 d.</w:t>
                </w:r>
              </w:sdtContent>
            </w:sdt>
          </w:p>
        </w:tc>
        <w:tc>
          <w:tcPr>
            <w:tcW w:w="5103" w:type="dxa"/>
            <w:gridSpan w:val="2"/>
            <w:tcBorders>
              <w:top w:val="single" w:sz="4" w:space="0" w:color="auto"/>
              <w:left w:val="single" w:sz="4" w:space="0" w:color="auto"/>
              <w:bottom w:val="single" w:sz="4" w:space="0" w:color="auto"/>
              <w:right w:val="single" w:sz="4" w:space="0" w:color="auto"/>
            </w:tcBorders>
          </w:tcPr>
          <w:p w14:paraId="77485241" w14:textId="77777777" w:rsidR="00BC22A0" w:rsidRDefault="00BC22A0" w:rsidP="00427779">
            <w:pPr>
              <w:spacing w:line="276" w:lineRule="auto"/>
              <w:jc w:val="both"/>
            </w:pPr>
            <w:r>
              <w:rPr>
                <w:rFonts w:eastAsia="Arial"/>
              </w:rPr>
              <w:t xml:space="preserve">Rekomenduojama kompensuoti </w:t>
            </w:r>
            <w:r w:rsidRPr="00233D63">
              <w:t xml:space="preserve">su liga susijusiai </w:t>
            </w:r>
            <w:proofErr w:type="spellStart"/>
            <w:r w:rsidRPr="00233D63">
              <w:t>splenomegalijai</w:t>
            </w:r>
            <w:proofErr w:type="spellEnd"/>
            <w:r w:rsidRPr="00233D63">
              <w:t xml:space="preserve"> arba suaugusiųjų pacientų, sergančių pirmine </w:t>
            </w:r>
            <w:proofErr w:type="spellStart"/>
            <w:r w:rsidRPr="00233D63">
              <w:t>mielofibroze</w:t>
            </w:r>
            <w:proofErr w:type="spellEnd"/>
            <w:r w:rsidRPr="00233D63">
              <w:t xml:space="preserve">, </w:t>
            </w:r>
            <w:proofErr w:type="spellStart"/>
            <w:r w:rsidRPr="00233D63">
              <w:t>mielofibroze</w:t>
            </w:r>
            <w:proofErr w:type="spellEnd"/>
            <w:r w:rsidRPr="00233D63">
              <w:t xml:space="preserve"> po tikrosios </w:t>
            </w:r>
            <w:proofErr w:type="spellStart"/>
            <w:r w:rsidRPr="00233D63">
              <w:t>policitemijos</w:t>
            </w:r>
            <w:proofErr w:type="spellEnd"/>
            <w:r w:rsidRPr="00233D63">
              <w:t xml:space="preserve"> arba </w:t>
            </w:r>
            <w:proofErr w:type="spellStart"/>
            <w:r w:rsidRPr="00233D63">
              <w:t>mielofibroze</w:t>
            </w:r>
            <w:proofErr w:type="spellEnd"/>
            <w:r w:rsidRPr="00233D63">
              <w:t xml:space="preserve"> po </w:t>
            </w:r>
            <w:proofErr w:type="spellStart"/>
            <w:r w:rsidRPr="00233D63">
              <w:t>esencialinės</w:t>
            </w:r>
            <w:proofErr w:type="spellEnd"/>
            <w:r w:rsidRPr="00233D63">
              <w:t xml:space="preserve"> </w:t>
            </w:r>
            <w:proofErr w:type="spellStart"/>
            <w:r w:rsidRPr="00233D63">
              <w:t>trombocitemijos</w:t>
            </w:r>
            <w:proofErr w:type="spellEnd"/>
            <w:r w:rsidRPr="00233D63">
              <w:t xml:space="preserve">, kai jie </w:t>
            </w:r>
            <w:r>
              <w:t>b</w:t>
            </w:r>
            <w:r w:rsidRPr="00233D63">
              <w:t xml:space="preserve">uvo gydyti </w:t>
            </w:r>
            <w:proofErr w:type="spellStart"/>
            <w:r w:rsidRPr="00233D63">
              <w:t>ruksolitinibu</w:t>
            </w:r>
            <w:proofErr w:type="spellEnd"/>
            <w:r w:rsidRPr="00233D63">
              <w:t>.</w:t>
            </w:r>
          </w:p>
          <w:p w14:paraId="2C887A2E" w14:textId="77777777" w:rsidR="00BC22A0" w:rsidRPr="0060456C" w:rsidRDefault="00BC22A0" w:rsidP="00427779">
            <w:pPr>
              <w:spacing w:line="276" w:lineRule="auto"/>
              <w:jc w:val="both"/>
              <w:rPr>
                <w:rFonts w:eastAsia="Arial"/>
              </w:rPr>
            </w:pPr>
          </w:p>
        </w:tc>
      </w:tr>
      <w:tr w:rsidR="00BC22A0" w:rsidRPr="00B93732" w14:paraId="222DD496" w14:textId="77777777" w:rsidTr="00296C08">
        <w:trPr>
          <w:trHeight w:val="1547"/>
        </w:trPr>
        <w:tc>
          <w:tcPr>
            <w:tcW w:w="1886" w:type="dxa"/>
            <w:tcBorders>
              <w:top w:val="single" w:sz="4" w:space="0" w:color="auto"/>
              <w:left w:val="single" w:sz="4" w:space="0" w:color="auto"/>
              <w:bottom w:val="single" w:sz="4" w:space="0" w:color="auto"/>
              <w:right w:val="single" w:sz="4" w:space="0" w:color="auto"/>
            </w:tcBorders>
            <w:hideMark/>
          </w:tcPr>
          <w:p w14:paraId="1D2F14BE" w14:textId="77777777" w:rsidR="00BC22A0" w:rsidRPr="00B93732" w:rsidRDefault="00BC22A0" w:rsidP="00427779">
            <w:pPr>
              <w:spacing w:line="276" w:lineRule="auto"/>
              <w:rPr>
                <w:rFonts w:eastAsia="Arial"/>
              </w:rPr>
            </w:pPr>
            <w:r w:rsidRPr="00B93732">
              <w:rPr>
                <w:rFonts w:eastAsia="Arial"/>
              </w:rPr>
              <w:lastRenderedPageBreak/>
              <w:t>Kanados sveikatos technologijų agentūra</w:t>
            </w:r>
          </w:p>
          <w:p w14:paraId="323B8FAC" w14:textId="77777777" w:rsidR="00BC22A0" w:rsidRPr="00B93732" w:rsidRDefault="00BC22A0" w:rsidP="00427779">
            <w:pPr>
              <w:spacing w:line="276" w:lineRule="auto"/>
              <w:rPr>
                <w:rFonts w:eastAsia="Arial"/>
              </w:rPr>
            </w:pPr>
            <w:r w:rsidRPr="00B93732">
              <w:rPr>
                <w:rFonts w:eastAsia="Arial"/>
              </w:rPr>
              <w:t xml:space="preserve">(angl. </w:t>
            </w:r>
            <w:proofErr w:type="spellStart"/>
            <w:r w:rsidRPr="00B93732">
              <w:rPr>
                <w:rFonts w:eastAsia="Arial"/>
                <w:i/>
              </w:rPr>
              <w:t>Canadian</w:t>
            </w:r>
            <w:proofErr w:type="spellEnd"/>
            <w:r w:rsidRPr="00B93732">
              <w:rPr>
                <w:rFonts w:eastAsia="Arial"/>
                <w:i/>
              </w:rPr>
              <w:t xml:space="preserve"> </w:t>
            </w:r>
            <w:proofErr w:type="spellStart"/>
            <w:r w:rsidRPr="00B93732">
              <w:rPr>
                <w:rFonts w:eastAsia="Arial"/>
                <w:i/>
              </w:rPr>
              <w:t>health</w:t>
            </w:r>
            <w:proofErr w:type="spellEnd"/>
            <w:r w:rsidRPr="00B93732">
              <w:rPr>
                <w:rFonts w:eastAsia="Arial"/>
                <w:i/>
              </w:rPr>
              <w:t xml:space="preserve"> </w:t>
            </w:r>
            <w:proofErr w:type="spellStart"/>
            <w:r w:rsidRPr="00B93732">
              <w:rPr>
                <w:rFonts w:eastAsia="Arial"/>
                <w:i/>
              </w:rPr>
              <w:t>Technology</w:t>
            </w:r>
            <w:proofErr w:type="spellEnd"/>
            <w:r w:rsidRPr="00B93732">
              <w:rPr>
                <w:rFonts w:eastAsia="Arial"/>
                <w:i/>
              </w:rPr>
              <w:t xml:space="preserve"> </w:t>
            </w:r>
            <w:proofErr w:type="spellStart"/>
            <w:r w:rsidRPr="00B93732">
              <w:rPr>
                <w:rFonts w:eastAsia="Arial"/>
                <w:i/>
              </w:rPr>
              <w:t>Assessment</w:t>
            </w:r>
            <w:proofErr w:type="spellEnd"/>
            <w:r w:rsidRPr="00B93732">
              <w:rPr>
                <w:rFonts w:eastAsia="Arial"/>
                <w:i/>
              </w:rPr>
              <w:t xml:space="preserve"> </w:t>
            </w:r>
            <w:proofErr w:type="spellStart"/>
            <w:r w:rsidRPr="00B93732">
              <w:rPr>
                <w:rFonts w:eastAsia="Arial"/>
                <w:i/>
              </w:rPr>
              <w:t>agency</w:t>
            </w:r>
            <w:proofErr w:type="spellEnd"/>
            <w:r w:rsidRPr="00B93732">
              <w:rPr>
                <w:rFonts w:eastAsia="Arial"/>
                <w:i/>
              </w:rPr>
              <w:t>, CADTH</w:t>
            </w:r>
            <w:r w:rsidRPr="00B93732">
              <w:rPr>
                <w:rFonts w:eastAsia="Arial"/>
              </w:rPr>
              <w:t>)</w:t>
            </w:r>
          </w:p>
        </w:tc>
        <w:tc>
          <w:tcPr>
            <w:tcW w:w="2153" w:type="dxa"/>
            <w:tcBorders>
              <w:top w:val="single" w:sz="4" w:space="0" w:color="auto"/>
              <w:left w:val="single" w:sz="4" w:space="0" w:color="auto"/>
              <w:bottom w:val="single" w:sz="4" w:space="0" w:color="auto"/>
              <w:right w:val="single" w:sz="4" w:space="0" w:color="auto"/>
            </w:tcBorders>
            <w:hideMark/>
          </w:tcPr>
          <w:p w14:paraId="32037A60" w14:textId="77777777" w:rsidR="00BC22A0" w:rsidRPr="00B93732" w:rsidRDefault="00BC22A0" w:rsidP="00427779">
            <w:pPr>
              <w:pStyle w:val="ListParagraph"/>
              <w:spacing w:after="120" w:line="276" w:lineRule="auto"/>
              <w:ind w:left="0"/>
              <w:jc w:val="both"/>
            </w:pPr>
            <w:r>
              <w:rPr>
                <w:rStyle w:val="Style2"/>
                <w:rFonts w:ascii="MS Gothic" w:eastAsia="MS Gothic" w:hAnsi="MS Gothic" w:hint="eastAsia"/>
              </w:rPr>
              <w:t>☒</w:t>
            </w:r>
            <w:r w:rsidRPr="00B93732">
              <w:t xml:space="preserve"> Taip</w:t>
            </w:r>
          </w:p>
          <w:p w14:paraId="4A7A73E4" w14:textId="77777777" w:rsidR="00BC22A0" w:rsidRPr="00B93732" w:rsidRDefault="00BC22A0" w:rsidP="00427779">
            <w:pPr>
              <w:pStyle w:val="ListParagraph"/>
              <w:spacing w:after="120" w:line="276" w:lineRule="auto"/>
              <w:ind w:left="0"/>
              <w:jc w:val="both"/>
            </w:pPr>
            <w:r w:rsidRPr="00B93732">
              <w:rPr>
                <w:rStyle w:val="Style2"/>
                <w:rFonts w:ascii="Segoe UI Symbol" w:eastAsia="MS Gothic" w:hAnsi="Segoe UI Symbol" w:cs="Segoe UI Symbol"/>
              </w:rPr>
              <w:t>☐</w:t>
            </w:r>
            <w:r w:rsidRPr="00B93732">
              <w:t xml:space="preserve"> Ne</w:t>
            </w:r>
          </w:p>
          <w:p w14:paraId="56BCC273" w14:textId="77777777" w:rsidR="00BC22A0" w:rsidRPr="00B93732" w:rsidRDefault="00896D03" w:rsidP="00427779">
            <w:pPr>
              <w:spacing w:line="276" w:lineRule="auto"/>
              <w:rPr>
                <w:rFonts w:eastAsia="Arial"/>
              </w:rPr>
            </w:pPr>
            <w:sdt>
              <w:sdtPr>
                <w:alias w:val="Nurodykite konkrečią dieną"/>
                <w:tag w:val="Nurodykite pradžios datą"/>
                <w:id w:val="1072468416"/>
                <w:placeholder>
                  <w:docPart w:val="ECF7A6B8A4134D00A862870C0274BA81"/>
                </w:placeholder>
                <w:date>
                  <w:dateFormat w:val="yyyy 'm.' MMMM d 'd.'"/>
                  <w:lid w:val="lt-LT"/>
                  <w:storeMappedDataAs w:val="dateTime"/>
                  <w:calendar w:val="gregorian"/>
                </w:date>
              </w:sdtPr>
              <w:sdtEndPr/>
              <w:sdtContent>
                <w:r w:rsidR="00BC22A0">
                  <w:t>2021 birželio 21 d.</w:t>
                </w:r>
              </w:sdtContent>
            </w:sdt>
          </w:p>
        </w:tc>
        <w:tc>
          <w:tcPr>
            <w:tcW w:w="5103" w:type="dxa"/>
            <w:gridSpan w:val="2"/>
            <w:tcBorders>
              <w:top w:val="single" w:sz="4" w:space="0" w:color="auto"/>
              <w:left w:val="single" w:sz="4" w:space="0" w:color="auto"/>
              <w:bottom w:val="single" w:sz="4" w:space="0" w:color="auto"/>
              <w:right w:val="single" w:sz="4" w:space="0" w:color="auto"/>
            </w:tcBorders>
          </w:tcPr>
          <w:p w14:paraId="227CA0B4" w14:textId="77777777" w:rsidR="00BC22A0" w:rsidRPr="002703A8" w:rsidRDefault="00BC22A0" w:rsidP="00427779">
            <w:pPr>
              <w:spacing w:line="276" w:lineRule="auto"/>
              <w:jc w:val="both"/>
            </w:pPr>
            <w:r>
              <w:rPr>
                <w:rFonts w:eastAsia="Arial"/>
              </w:rPr>
              <w:t xml:space="preserve">Rekomenduojama kompensuoti </w:t>
            </w:r>
            <w:r w:rsidRPr="00233D63">
              <w:t xml:space="preserve">su liga susijusiai </w:t>
            </w:r>
            <w:proofErr w:type="spellStart"/>
            <w:r w:rsidRPr="00233D63">
              <w:t>splenomegalijai</w:t>
            </w:r>
            <w:proofErr w:type="spellEnd"/>
            <w:r w:rsidRPr="00233D63">
              <w:t xml:space="preserve"> arba suaugusiųjų pacientų, sergančių </w:t>
            </w:r>
            <w:r>
              <w:t xml:space="preserve">tarpinės-2 ir didelės rizikos </w:t>
            </w:r>
            <w:r w:rsidRPr="00233D63">
              <w:t xml:space="preserve">pirmine </w:t>
            </w:r>
            <w:proofErr w:type="spellStart"/>
            <w:r w:rsidRPr="00233D63">
              <w:t>mielofibroze</w:t>
            </w:r>
            <w:proofErr w:type="spellEnd"/>
            <w:r w:rsidRPr="00233D63">
              <w:t xml:space="preserve">, </w:t>
            </w:r>
            <w:proofErr w:type="spellStart"/>
            <w:r w:rsidRPr="00233D63">
              <w:t>mielofibroze</w:t>
            </w:r>
            <w:proofErr w:type="spellEnd"/>
            <w:r w:rsidRPr="00233D63">
              <w:t xml:space="preserve"> po tikrosios </w:t>
            </w:r>
            <w:proofErr w:type="spellStart"/>
            <w:r w:rsidRPr="00233D63">
              <w:t>policitemijos</w:t>
            </w:r>
            <w:proofErr w:type="spellEnd"/>
            <w:r w:rsidRPr="00233D63">
              <w:t xml:space="preserve"> arba </w:t>
            </w:r>
            <w:proofErr w:type="spellStart"/>
            <w:r w:rsidRPr="00233D63">
              <w:t>mielofibroze</w:t>
            </w:r>
            <w:proofErr w:type="spellEnd"/>
            <w:r w:rsidRPr="00233D63">
              <w:t xml:space="preserve"> po </w:t>
            </w:r>
            <w:proofErr w:type="spellStart"/>
            <w:r w:rsidRPr="00233D63">
              <w:t>esencialinės</w:t>
            </w:r>
            <w:proofErr w:type="spellEnd"/>
            <w:r w:rsidRPr="00233D63">
              <w:t xml:space="preserve"> </w:t>
            </w:r>
            <w:proofErr w:type="spellStart"/>
            <w:r w:rsidRPr="00233D63">
              <w:t>trombocitemijos</w:t>
            </w:r>
            <w:proofErr w:type="spellEnd"/>
            <w:r w:rsidRPr="00233D63">
              <w:t xml:space="preserve">, kai jie </w:t>
            </w:r>
            <w:r>
              <w:t>b</w:t>
            </w:r>
            <w:r w:rsidRPr="00233D63">
              <w:t xml:space="preserve">uvo gydyti </w:t>
            </w:r>
            <w:proofErr w:type="spellStart"/>
            <w:r w:rsidRPr="00233D63">
              <w:t>ruksolitinibu</w:t>
            </w:r>
            <w:proofErr w:type="spellEnd"/>
            <w:r>
              <w:t xml:space="preserve"> (tik tais atvejais, kai pacientai netoleruoja </w:t>
            </w:r>
            <w:proofErr w:type="spellStart"/>
            <w:r>
              <w:t>ruksolitinibo</w:t>
            </w:r>
            <w:proofErr w:type="spellEnd"/>
            <w:r>
              <w:t xml:space="preserve"> arba </w:t>
            </w:r>
            <w:proofErr w:type="spellStart"/>
            <w:r>
              <w:t>kontraindikuotinas</w:t>
            </w:r>
            <w:proofErr w:type="spellEnd"/>
            <w:r>
              <w:t xml:space="preserve"> jo vartojimas)</w:t>
            </w:r>
            <w:r w:rsidRPr="00233D63">
              <w:t>.</w:t>
            </w:r>
          </w:p>
        </w:tc>
      </w:tr>
      <w:tr w:rsidR="00BC22A0" w:rsidRPr="00B93732" w14:paraId="7A3BF090" w14:textId="77777777" w:rsidTr="00296C08">
        <w:trPr>
          <w:trHeight w:val="1547"/>
        </w:trPr>
        <w:tc>
          <w:tcPr>
            <w:tcW w:w="1886" w:type="dxa"/>
            <w:tcBorders>
              <w:top w:val="single" w:sz="4" w:space="0" w:color="auto"/>
              <w:left w:val="single" w:sz="4" w:space="0" w:color="auto"/>
              <w:bottom w:val="single" w:sz="4" w:space="0" w:color="auto"/>
              <w:right w:val="single" w:sz="4" w:space="0" w:color="auto"/>
            </w:tcBorders>
          </w:tcPr>
          <w:p w14:paraId="53414500" w14:textId="77777777" w:rsidR="00BC22A0" w:rsidRPr="00B242DE" w:rsidRDefault="00BC22A0" w:rsidP="00427779">
            <w:pPr>
              <w:spacing w:line="276" w:lineRule="auto"/>
              <w:rPr>
                <w:rFonts w:eastAsia="Arial"/>
                <w:i/>
                <w:iCs/>
              </w:rPr>
            </w:pPr>
            <w:r>
              <w:rPr>
                <w:rFonts w:eastAsia="Arial"/>
              </w:rPr>
              <w:t xml:space="preserve">Airijos nacionalinis </w:t>
            </w:r>
            <w:proofErr w:type="spellStart"/>
            <w:r>
              <w:rPr>
                <w:rFonts w:eastAsia="Arial"/>
              </w:rPr>
              <w:t>farmakoekonomikos</w:t>
            </w:r>
            <w:proofErr w:type="spellEnd"/>
            <w:r>
              <w:rPr>
                <w:rFonts w:eastAsia="Arial"/>
              </w:rPr>
              <w:t xml:space="preserve"> centras (angl. </w:t>
            </w:r>
            <w:proofErr w:type="spellStart"/>
            <w:r w:rsidRPr="00B242DE">
              <w:rPr>
                <w:rFonts w:eastAsia="Arial"/>
                <w:i/>
                <w:iCs/>
              </w:rPr>
              <w:t>National</w:t>
            </w:r>
            <w:proofErr w:type="spellEnd"/>
            <w:r w:rsidRPr="00B242DE">
              <w:rPr>
                <w:rFonts w:eastAsia="Arial"/>
                <w:i/>
                <w:iCs/>
              </w:rPr>
              <w:t xml:space="preserve"> Centre </w:t>
            </w:r>
            <w:proofErr w:type="spellStart"/>
            <w:r w:rsidRPr="00B242DE">
              <w:rPr>
                <w:rFonts w:eastAsia="Arial"/>
                <w:i/>
                <w:iCs/>
              </w:rPr>
              <w:t>for</w:t>
            </w:r>
            <w:proofErr w:type="spellEnd"/>
            <w:r w:rsidRPr="00B242DE">
              <w:rPr>
                <w:rFonts w:eastAsia="Arial"/>
                <w:i/>
                <w:iCs/>
              </w:rPr>
              <w:t xml:space="preserve"> </w:t>
            </w:r>
            <w:proofErr w:type="spellStart"/>
            <w:r w:rsidRPr="00B242DE">
              <w:rPr>
                <w:rFonts w:eastAsia="Arial"/>
                <w:i/>
                <w:iCs/>
              </w:rPr>
              <w:t>Pharmacoeconomics</w:t>
            </w:r>
            <w:proofErr w:type="spellEnd"/>
            <w:r w:rsidRPr="00B242DE">
              <w:rPr>
                <w:rFonts w:eastAsia="Arial"/>
                <w:i/>
                <w:iCs/>
              </w:rPr>
              <w:t>, NCPE</w:t>
            </w:r>
            <w:r>
              <w:rPr>
                <w:rFonts w:eastAsia="Arial"/>
              </w:rPr>
              <w:t>)</w:t>
            </w:r>
          </w:p>
        </w:tc>
        <w:tc>
          <w:tcPr>
            <w:tcW w:w="2153" w:type="dxa"/>
            <w:tcBorders>
              <w:top w:val="single" w:sz="4" w:space="0" w:color="auto"/>
              <w:left w:val="single" w:sz="4" w:space="0" w:color="auto"/>
              <w:bottom w:val="single" w:sz="4" w:space="0" w:color="auto"/>
              <w:right w:val="single" w:sz="4" w:space="0" w:color="auto"/>
            </w:tcBorders>
          </w:tcPr>
          <w:p w14:paraId="0A00E7EC" w14:textId="77777777" w:rsidR="00BC22A0" w:rsidRPr="00B93732" w:rsidRDefault="00BC22A0" w:rsidP="00427779">
            <w:pPr>
              <w:pStyle w:val="ListParagraph"/>
              <w:spacing w:after="120" w:line="276" w:lineRule="auto"/>
              <w:ind w:left="0"/>
              <w:jc w:val="both"/>
            </w:pPr>
            <w:r>
              <w:rPr>
                <w:rStyle w:val="Style2"/>
                <w:rFonts w:ascii="MS Gothic" w:eastAsia="MS Gothic" w:hAnsi="MS Gothic" w:hint="eastAsia"/>
              </w:rPr>
              <w:t>☒</w:t>
            </w:r>
            <w:r w:rsidRPr="00B93732">
              <w:t xml:space="preserve"> Taip</w:t>
            </w:r>
          </w:p>
          <w:p w14:paraId="5FCDF0D2" w14:textId="77777777" w:rsidR="00BC22A0" w:rsidRPr="00B93732" w:rsidRDefault="00BC22A0" w:rsidP="00427779">
            <w:pPr>
              <w:pStyle w:val="ListParagraph"/>
              <w:spacing w:after="120" w:line="276" w:lineRule="auto"/>
              <w:ind w:left="0"/>
              <w:jc w:val="both"/>
            </w:pPr>
            <w:r w:rsidRPr="00B93732">
              <w:rPr>
                <w:rStyle w:val="Style2"/>
                <w:rFonts w:ascii="Segoe UI Symbol" w:eastAsia="MS Gothic" w:hAnsi="Segoe UI Symbol" w:cs="Segoe UI Symbol"/>
              </w:rPr>
              <w:t>☐</w:t>
            </w:r>
            <w:r w:rsidRPr="00B93732">
              <w:t xml:space="preserve"> Ne</w:t>
            </w:r>
          </w:p>
          <w:p w14:paraId="7A9C88F1" w14:textId="77777777" w:rsidR="00BC22A0" w:rsidRDefault="00896D03" w:rsidP="00427779">
            <w:pPr>
              <w:pStyle w:val="ListParagraph"/>
              <w:spacing w:after="120" w:line="276" w:lineRule="auto"/>
              <w:ind w:left="0"/>
              <w:jc w:val="both"/>
              <w:rPr>
                <w:rStyle w:val="Style2"/>
                <w:rFonts w:ascii="MS Gothic" w:eastAsia="MS Gothic" w:hAnsi="MS Gothic"/>
              </w:rPr>
            </w:pPr>
            <w:sdt>
              <w:sdtPr>
                <w:rPr>
                  <w:sz w:val="32"/>
                </w:rPr>
                <w:alias w:val="Nurodykite konkrečią dieną"/>
                <w:tag w:val="Nurodykite pradžios datą"/>
                <w:id w:val="1976092994"/>
                <w:placeholder>
                  <w:docPart w:val="62F23A57E85D4056ABA7E2565BEBDE97"/>
                </w:placeholder>
                <w:date>
                  <w:dateFormat w:val="yyyy 'm.' MMMM d 'd.'"/>
                  <w:lid w:val="lt-LT"/>
                  <w:storeMappedDataAs w:val="dateTime"/>
                  <w:calendar w:val="gregorian"/>
                </w:date>
              </w:sdtPr>
              <w:sdtEndPr/>
              <w:sdtContent>
                <w:r w:rsidR="00BC22A0">
                  <w:t>2022 m. sausio 20 d.</w:t>
                </w:r>
              </w:sdtContent>
            </w:sdt>
          </w:p>
        </w:tc>
        <w:tc>
          <w:tcPr>
            <w:tcW w:w="5103" w:type="dxa"/>
            <w:gridSpan w:val="2"/>
            <w:tcBorders>
              <w:top w:val="single" w:sz="4" w:space="0" w:color="auto"/>
              <w:left w:val="single" w:sz="4" w:space="0" w:color="auto"/>
              <w:bottom w:val="single" w:sz="4" w:space="0" w:color="auto"/>
              <w:right w:val="single" w:sz="4" w:space="0" w:color="auto"/>
            </w:tcBorders>
          </w:tcPr>
          <w:p w14:paraId="623E91E4" w14:textId="77777777" w:rsidR="00BC22A0" w:rsidRDefault="00BC22A0" w:rsidP="00427779">
            <w:pPr>
              <w:spacing w:line="276" w:lineRule="auto"/>
              <w:jc w:val="both"/>
            </w:pPr>
            <w:r>
              <w:rPr>
                <w:rFonts w:eastAsia="Arial"/>
              </w:rPr>
              <w:t xml:space="preserve">Rekomenduojamas nekompensuoti dėl per didelės kainos </w:t>
            </w:r>
            <w:r w:rsidRPr="00233D63">
              <w:t xml:space="preserve">su liga susijusiai </w:t>
            </w:r>
            <w:proofErr w:type="spellStart"/>
            <w:r w:rsidRPr="00233D63">
              <w:t>splenomegalijai</w:t>
            </w:r>
            <w:proofErr w:type="spellEnd"/>
            <w:r w:rsidRPr="00233D63">
              <w:t xml:space="preserve"> arba suaugusiųjų pacientų, sergančių pirmine </w:t>
            </w:r>
            <w:proofErr w:type="spellStart"/>
            <w:r w:rsidRPr="00233D63">
              <w:t>mielofibroze</w:t>
            </w:r>
            <w:proofErr w:type="spellEnd"/>
            <w:r w:rsidRPr="00233D63">
              <w:t xml:space="preserve">, </w:t>
            </w:r>
            <w:proofErr w:type="spellStart"/>
            <w:r w:rsidRPr="00233D63">
              <w:t>mielofibroze</w:t>
            </w:r>
            <w:proofErr w:type="spellEnd"/>
            <w:r w:rsidRPr="00233D63">
              <w:t xml:space="preserve"> po tikrosios </w:t>
            </w:r>
            <w:proofErr w:type="spellStart"/>
            <w:r w:rsidRPr="00233D63">
              <w:t>policitemijos</w:t>
            </w:r>
            <w:proofErr w:type="spellEnd"/>
            <w:r w:rsidRPr="00233D63">
              <w:t xml:space="preserve"> arba </w:t>
            </w:r>
            <w:proofErr w:type="spellStart"/>
            <w:r w:rsidRPr="00233D63">
              <w:t>mielofibroze</w:t>
            </w:r>
            <w:proofErr w:type="spellEnd"/>
            <w:r w:rsidRPr="00233D63">
              <w:t xml:space="preserve"> po </w:t>
            </w:r>
            <w:proofErr w:type="spellStart"/>
            <w:r w:rsidRPr="00233D63">
              <w:t>esencialinės</w:t>
            </w:r>
            <w:proofErr w:type="spellEnd"/>
            <w:r w:rsidRPr="00233D63">
              <w:t xml:space="preserve"> </w:t>
            </w:r>
            <w:proofErr w:type="spellStart"/>
            <w:r w:rsidRPr="00233D63">
              <w:t>trombocitemijos</w:t>
            </w:r>
            <w:proofErr w:type="spellEnd"/>
            <w:r w:rsidRPr="00233D63">
              <w:t xml:space="preserve">, kai jie </w:t>
            </w:r>
            <w:r>
              <w:t>b</w:t>
            </w:r>
            <w:r w:rsidRPr="00233D63">
              <w:t xml:space="preserve">uvo gydyti </w:t>
            </w:r>
            <w:proofErr w:type="spellStart"/>
            <w:r w:rsidRPr="00233D63">
              <w:t>ruksolitinibu</w:t>
            </w:r>
            <w:proofErr w:type="spellEnd"/>
            <w:r w:rsidRPr="00233D63">
              <w:t>.</w:t>
            </w:r>
          </w:p>
          <w:p w14:paraId="156FB9EA" w14:textId="77777777" w:rsidR="00BC22A0" w:rsidRPr="00B242DE" w:rsidRDefault="00BC22A0" w:rsidP="00427779">
            <w:pPr>
              <w:spacing w:line="276" w:lineRule="auto"/>
              <w:jc w:val="both"/>
            </w:pPr>
            <w:r>
              <w:t>2022 m. gruodžio mėn. po konfidencialių derybų priimtas vaistinį preparatą kompensuoti.</w:t>
            </w:r>
          </w:p>
        </w:tc>
      </w:tr>
    </w:tbl>
    <w:p w14:paraId="2EB7FD31" w14:textId="4D2A8479" w:rsidR="007A2B68" w:rsidRPr="000203E1" w:rsidRDefault="007A2B68" w:rsidP="00E03C3F">
      <w:pPr>
        <w:pStyle w:val="ListParagraph"/>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ListParagraph"/>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A93AA6">
      <w:pPr>
        <w:pStyle w:val="ListParagraph"/>
        <w:tabs>
          <w:tab w:val="left" w:pos="426"/>
        </w:tabs>
        <w:ind w:left="0"/>
        <w:rPr>
          <w:b/>
          <w:bCs/>
          <w:caps/>
        </w:rPr>
      </w:pPr>
    </w:p>
    <w:p w14:paraId="4C8CDAE3" w14:textId="2B1E3033" w:rsidR="00931A54" w:rsidRDefault="00931A54" w:rsidP="00931A54">
      <w:pPr>
        <w:spacing w:line="276" w:lineRule="auto"/>
        <w:ind w:firstLine="720"/>
        <w:jc w:val="both"/>
      </w:pPr>
      <w:bookmarkStart w:id="2" w:name="_Hlk198661040"/>
      <w:proofErr w:type="spellStart"/>
      <w:r w:rsidRPr="00067F3C">
        <w:t>Mielofibrozė</w:t>
      </w:r>
      <w:proofErr w:type="spellEnd"/>
      <w:r w:rsidRPr="00067F3C">
        <w:t xml:space="preserve"> (MF) yra retas hematologinis susirgimas, </w:t>
      </w:r>
      <w:r>
        <w:t>kuriai būdingos</w:t>
      </w:r>
      <w:r w:rsidRPr="00067F3C">
        <w:t xml:space="preserve"> </w:t>
      </w:r>
      <w:proofErr w:type="spellStart"/>
      <w:r w:rsidRPr="00067F3C">
        <w:t>citopenij</w:t>
      </w:r>
      <w:r>
        <w:t>os</w:t>
      </w:r>
      <w:proofErr w:type="spellEnd"/>
      <w:r w:rsidRPr="00067F3C">
        <w:t>, kaulų čiulpų fibroz</w:t>
      </w:r>
      <w:r>
        <w:t>ė</w:t>
      </w:r>
      <w:r w:rsidRPr="00067F3C">
        <w:t xml:space="preserve"> ir </w:t>
      </w:r>
      <w:proofErr w:type="spellStart"/>
      <w:r w:rsidRPr="00067F3C">
        <w:t>ekstramedulin</w:t>
      </w:r>
      <w:r>
        <w:t>ė</w:t>
      </w:r>
      <w:proofErr w:type="spellEnd"/>
      <w:r w:rsidRPr="00067F3C">
        <w:t xml:space="preserve"> </w:t>
      </w:r>
      <w:proofErr w:type="spellStart"/>
      <w:r w:rsidRPr="00067F3C">
        <w:t>hematopoez</w:t>
      </w:r>
      <w:r>
        <w:t>ė</w:t>
      </w:r>
      <w:proofErr w:type="spellEnd"/>
      <w:r w:rsidRPr="00067F3C">
        <w:t>.</w:t>
      </w:r>
    </w:p>
    <w:p w14:paraId="52B61CAB" w14:textId="5B095A3B" w:rsidR="00931A54" w:rsidRDefault="00931A54" w:rsidP="00931A54">
      <w:pPr>
        <w:spacing w:line="276" w:lineRule="auto"/>
        <w:ind w:firstLine="720"/>
        <w:jc w:val="both"/>
      </w:pPr>
      <w:r w:rsidRPr="00067F3C">
        <w:t xml:space="preserve">MF </w:t>
      </w:r>
      <w:r>
        <w:t>nustatoma</w:t>
      </w:r>
      <w:r w:rsidRPr="00067F3C">
        <w:t xml:space="preserve"> vyresnio amžiaus asmenims</w:t>
      </w:r>
      <w:r>
        <w:t xml:space="preserve"> (</w:t>
      </w:r>
      <w:r w:rsidRPr="00067F3C">
        <w:t xml:space="preserve">amžiaus mediana diagnozės nustatymo metu yra </w:t>
      </w:r>
      <w:r>
        <w:t xml:space="preserve">apie </w:t>
      </w:r>
      <w:r w:rsidRPr="00067F3C">
        <w:t>65 met</w:t>
      </w:r>
      <w:r>
        <w:t xml:space="preserve">us) ir jų ligos </w:t>
      </w:r>
      <w:r w:rsidRPr="00067F3C">
        <w:t>prognozė</w:t>
      </w:r>
      <w:r>
        <w:t xml:space="preserve"> priklauso nuo jų rizikos grupės. </w:t>
      </w:r>
      <w:r w:rsidRPr="00067F3C">
        <w:t xml:space="preserve">Maždaug 80% pacientų serga </w:t>
      </w:r>
      <w:bookmarkStart w:id="3" w:name="_Hlk198644440"/>
      <w:r w:rsidRPr="00067F3C">
        <w:t>vidutinio sunkumo (</w:t>
      </w:r>
      <w:r>
        <w:t>tarpinės</w:t>
      </w:r>
      <w:r w:rsidRPr="00067F3C">
        <w:t xml:space="preserve">)-2 </w:t>
      </w:r>
      <w:bookmarkEnd w:id="3"/>
      <w:r w:rsidRPr="00067F3C">
        <w:t>arba didelės rizikos liga</w:t>
      </w:r>
      <w:r>
        <w:t xml:space="preserve">, </w:t>
      </w:r>
      <w:r w:rsidRPr="00067F3C">
        <w:t xml:space="preserve">kurių bendrojo išgyvenamumo mediana svyruoja nuo 2,3 iki 4,0 metų pagal </w:t>
      </w:r>
      <w:r w:rsidR="00A04012">
        <w:t>tarptautinę prognostinę balų sistemą</w:t>
      </w:r>
      <w:r w:rsidR="00296C08">
        <w:t xml:space="preserve"> (angl. </w:t>
      </w:r>
      <w:r w:rsidR="00296C08">
        <w:rPr>
          <w:i/>
          <w:iCs/>
        </w:rPr>
        <w:t xml:space="preserve">International </w:t>
      </w:r>
      <w:proofErr w:type="spellStart"/>
      <w:r w:rsidR="00296C08">
        <w:rPr>
          <w:i/>
          <w:iCs/>
        </w:rPr>
        <w:t>Prognostic</w:t>
      </w:r>
      <w:proofErr w:type="spellEnd"/>
      <w:r w:rsidR="00296C08">
        <w:rPr>
          <w:i/>
          <w:iCs/>
        </w:rPr>
        <w:t xml:space="preserve"> </w:t>
      </w:r>
      <w:proofErr w:type="spellStart"/>
      <w:r w:rsidR="00296C08">
        <w:rPr>
          <w:i/>
          <w:iCs/>
        </w:rPr>
        <w:t>Scoring</w:t>
      </w:r>
      <w:proofErr w:type="spellEnd"/>
      <w:r w:rsidR="00296C08">
        <w:rPr>
          <w:i/>
          <w:iCs/>
        </w:rPr>
        <w:t xml:space="preserve"> System</w:t>
      </w:r>
      <w:r w:rsidR="00A04012" w:rsidRPr="00F65CE3">
        <w:rPr>
          <w:i/>
          <w:iCs/>
        </w:rPr>
        <w:t>, IPSS</w:t>
      </w:r>
      <w:r w:rsidR="00A04012">
        <w:t>)</w:t>
      </w:r>
      <w:r w:rsidRPr="00067F3C">
        <w:t>.</w:t>
      </w:r>
    </w:p>
    <w:p w14:paraId="2F769CAC" w14:textId="7D54D84A" w:rsidR="00931A54" w:rsidRDefault="00931A54" w:rsidP="00931A54">
      <w:pPr>
        <w:spacing w:line="276" w:lineRule="auto"/>
        <w:ind w:firstLine="720"/>
        <w:jc w:val="both"/>
      </w:pPr>
      <w:r>
        <w:t xml:space="preserve">2015 m. </w:t>
      </w:r>
      <w:bookmarkStart w:id="4" w:name="_Hlk198657336"/>
      <w:r w:rsidRPr="003B3450">
        <w:t>E</w:t>
      </w:r>
      <w:r w:rsidR="00751408">
        <w:t>uropos medicininės onkologijos draugijos gaires</w:t>
      </w:r>
      <w:bookmarkEnd w:id="4"/>
      <w:r w:rsidRPr="003B3450">
        <w:t xml:space="preserve"> </w:t>
      </w:r>
      <w:r>
        <w:t xml:space="preserve">(angl. </w:t>
      </w:r>
      <w:proofErr w:type="spellStart"/>
      <w:r>
        <w:rPr>
          <w:i/>
          <w:iCs/>
        </w:rPr>
        <w:t>European</w:t>
      </w:r>
      <w:proofErr w:type="spellEnd"/>
      <w:r>
        <w:rPr>
          <w:i/>
          <w:iCs/>
        </w:rPr>
        <w:t xml:space="preserve"> </w:t>
      </w:r>
      <w:proofErr w:type="spellStart"/>
      <w:r>
        <w:rPr>
          <w:i/>
          <w:iCs/>
        </w:rPr>
        <w:t>Society</w:t>
      </w:r>
      <w:proofErr w:type="spellEnd"/>
      <w:r>
        <w:rPr>
          <w:i/>
          <w:iCs/>
        </w:rPr>
        <w:t xml:space="preserve"> </w:t>
      </w:r>
      <w:proofErr w:type="spellStart"/>
      <w:r>
        <w:rPr>
          <w:i/>
          <w:iCs/>
        </w:rPr>
        <w:t>for</w:t>
      </w:r>
      <w:proofErr w:type="spellEnd"/>
      <w:r>
        <w:rPr>
          <w:i/>
          <w:iCs/>
        </w:rPr>
        <w:t xml:space="preserve"> </w:t>
      </w:r>
      <w:proofErr w:type="spellStart"/>
      <w:r>
        <w:rPr>
          <w:i/>
          <w:iCs/>
        </w:rPr>
        <w:t>Medical</w:t>
      </w:r>
      <w:proofErr w:type="spellEnd"/>
      <w:r>
        <w:rPr>
          <w:i/>
          <w:iCs/>
        </w:rPr>
        <w:t xml:space="preserve"> </w:t>
      </w:r>
      <w:proofErr w:type="spellStart"/>
      <w:r w:rsidRPr="00936E90">
        <w:rPr>
          <w:i/>
          <w:iCs/>
        </w:rPr>
        <w:t>Oncology</w:t>
      </w:r>
      <w:proofErr w:type="spellEnd"/>
      <w:r w:rsidR="00751408">
        <w:rPr>
          <w:i/>
          <w:iCs/>
        </w:rPr>
        <w:t>, ESMO</w:t>
      </w:r>
      <w:r>
        <w:t xml:space="preserve">) gairėse pirminės MF arba antrinės MF po tikrosios </w:t>
      </w:r>
      <w:proofErr w:type="spellStart"/>
      <w:r>
        <w:t>policitemijos</w:t>
      </w:r>
      <w:proofErr w:type="spellEnd"/>
      <w:r>
        <w:t xml:space="preserve"> (TP) arba po </w:t>
      </w:r>
      <w:proofErr w:type="spellStart"/>
      <w:r>
        <w:t>esencialinės</w:t>
      </w:r>
      <w:proofErr w:type="spellEnd"/>
      <w:r>
        <w:t xml:space="preserve"> </w:t>
      </w:r>
      <w:proofErr w:type="spellStart"/>
      <w:r>
        <w:t>trombocitemijos</w:t>
      </w:r>
      <w:proofErr w:type="spellEnd"/>
      <w:r>
        <w:t xml:space="preserve"> (ET) gydymo taktika priklauso nuo paciento IPSS rizikos skaičiuoklės rezultato. Jei pacientas priklauso mažos ar tarpinės-1 (angl. </w:t>
      </w:r>
      <w:r>
        <w:rPr>
          <w:i/>
          <w:iCs/>
        </w:rPr>
        <w:t>intermediate-1</w:t>
      </w:r>
      <w:r>
        <w:t xml:space="preserve">) rizikos grupei, vertinama, ar yra </w:t>
      </w:r>
      <w:proofErr w:type="spellStart"/>
      <w:r>
        <w:t>splenomegalija</w:t>
      </w:r>
      <w:proofErr w:type="spellEnd"/>
      <w:r>
        <w:t xml:space="preserve"> ir/ar bent vienas konstitucinis simptomas (</w:t>
      </w:r>
      <w:r w:rsidRPr="00515927">
        <w:t>kūno masės sumažėjimas &gt;10% per 6 mėnesius, naktinis prakaitavimas, karščiavimas &gt; 37,</w:t>
      </w:r>
      <w:r>
        <w:t>5</w:t>
      </w:r>
      <w:r>
        <w:rPr>
          <w:vertAlign w:val="superscript"/>
        </w:rPr>
        <w:t>o</w:t>
      </w:r>
      <w:r>
        <w:t xml:space="preserve">C): jei nėra, taikoma stebėjimo taktika, jei yra – </w:t>
      </w:r>
      <w:proofErr w:type="spellStart"/>
      <w:r>
        <w:t>ruksolitinibas</w:t>
      </w:r>
      <w:proofErr w:type="spellEnd"/>
      <w:r>
        <w:t xml:space="preserve"> arba </w:t>
      </w:r>
      <w:proofErr w:type="spellStart"/>
      <w:r>
        <w:t>hidrosikarbamidas</w:t>
      </w:r>
      <w:proofErr w:type="spellEnd"/>
      <w:r>
        <w:t xml:space="preserve"> (esant </w:t>
      </w:r>
      <w:proofErr w:type="spellStart"/>
      <w:r>
        <w:t>splenomegalijai</w:t>
      </w:r>
      <w:proofErr w:type="spellEnd"/>
      <w:r>
        <w:t xml:space="preserve">, jei negalima paskirti </w:t>
      </w:r>
      <w:proofErr w:type="spellStart"/>
      <w:r>
        <w:t>ruksolitinibo</w:t>
      </w:r>
      <w:proofErr w:type="spellEnd"/>
      <w:r>
        <w:t xml:space="preserve">). Jei pacientas priklauso tarpinės-2 (angl. </w:t>
      </w:r>
      <w:r>
        <w:rPr>
          <w:i/>
          <w:iCs/>
        </w:rPr>
        <w:t>intermediate-2</w:t>
      </w:r>
      <w:r>
        <w:t xml:space="preserve">) ir didelės rizikos grupei, vertinamas paciento tinkamumas alogeninei </w:t>
      </w:r>
      <w:proofErr w:type="spellStart"/>
      <w:r>
        <w:t>kraujotaros</w:t>
      </w:r>
      <w:proofErr w:type="spellEnd"/>
      <w:r>
        <w:t xml:space="preserve"> kamieninių ląstelių transplantacijai (KKLT): jei pacientui negalima atlikti alogeninės KKLT, </w:t>
      </w:r>
      <w:r w:rsidRPr="00156FC0">
        <w:t xml:space="preserve">rekomenduojama skirti </w:t>
      </w:r>
      <w:proofErr w:type="spellStart"/>
      <w:r w:rsidRPr="00156FC0">
        <w:t>ruksolitinibą</w:t>
      </w:r>
      <w:proofErr w:type="spellEnd"/>
      <w:r w:rsidRPr="00156FC0">
        <w:t xml:space="preserve"> (esant simptomams), gydyti anemiją </w:t>
      </w:r>
      <w:r>
        <w:t>(</w:t>
      </w:r>
      <w:proofErr w:type="spellStart"/>
      <w:r w:rsidRPr="00156FC0">
        <w:t>eritropoezę</w:t>
      </w:r>
      <w:proofErr w:type="spellEnd"/>
      <w:r w:rsidRPr="00156FC0">
        <w:t xml:space="preserve"> stimuliuojanč</w:t>
      </w:r>
      <w:r>
        <w:t xml:space="preserve">iais ir </w:t>
      </w:r>
      <w:proofErr w:type="spellStart"/>
      <w:r w:rsidRPr="00156FC0">
        <w:t>imunomoduliuojanči</w:t>
      </w:r>
      <w:r>
        <w:t>ai</w:t>
      </w:r>
      <w:r w:rsidRPr="00156FC0">
        <w:t>s</w:t>
      </w:r>
      <w:proofErr w:type="spellEnd"/>
      <w:r w:rsidRPr="00156FC0">
        <w:t xml:space="preserve"> vaistini</w:t>
      </w:r>
      <w:r>
        <w:t>ais</w:t>
      </w:r>
      <w:r w:rsidRPr="00156FC0">
        <w:t xml:space="preserve"> preparat</w:t>
      </w:r>
      <w:r>
        <w:t xml:space="preserve">ais, </w:t>
      </w:r>
      <w:r w:rsidRPr="00156FC0">
        <w:t>androgen</w:t>
      </w:r>
      <w:r>
        <w:t>ais</w:t>
      </w:r>
      <w:r w:rsidRPr="00156FC0">
        <w:t xml:space="preserve">), </w:t>
      </w:r>
      <w:proofErr w:type="spellStart"/>
      <w:r w:rsidRPr="00156FC0">
        <w:t>gliukokortikoid</w:t>
      </w:r>
      <w:r>
        <w:t>ai</w:t>
      </w:r>
      <w:r w:rsidRPr="00156FC0">
        <w:t>s</w:t>
      </w:r>
      <w:proofErr w:type="spellEnd"/>
      <w:r>
        <w:t xml:space="preserve">) </w:t>
      </w:r>
      <w:r w:rsidRPr="00156FC0">
        <w:t>ir/ar įtraukti į klinikinį tyrimą</w:t>
      </w:r>
      <w:r>
        <w:t>.</w:t>
      </w:r>
    </w:p>
    <w:p w14:paraId="639682C8" w14:textId="2E981A62" w:rsidR="007601F0" w:rsidRPr="00935B3E" w:rsidRDefault="007601F0" w:rsidP="00931A54">
      <w:pPr>
        <w:spacing w:line="276" w:lineRule="auto"/>
        <w:ind w:firstLine="720"/>
        <w:jc w:val="both"/>
      </w:pPr>
      <w:r w:rsidRPr="00B8689F">
        <w:rPr>
          <w:rFonts w:eastAsia="Arial"/>
          <w:bCs/>
        </w:rPr>
        <w:t>Atsižvelgiant į tai, jog pacienta</w:t>
      </w:r>
      <w:r>
        <w:rPr>
          <w:rFonts w:eastAsia="Arial"/>
          <w:bCs/>
        </w:rPr>
        <w:t>ms</w:t>
      </w:r>
      <w:r w:rsidRPr="00B8689F">
        <w:rPr>
          <w:rFonts w:eastAsia="Arial"/>
          <w:bCs/>
        </w:rPr>
        <w:t xml:space="preserve">, kurie </w:t>
      </w:r>
      <w:r>
        <w:rPr>
          <w:rFonts w:eastAsia="Arial"/>
          <w:bCs/>
        </w:rPr>
        <w:t xml:space="preserve">nereaguoja į </w:t>
      </w:r>
      <w:r w:rsidRPr="00B8689F">
        <w:rPr>
          <w:rFonts w:eastAsia="Arial"/>
          <w:bCs/>
        </w:rPr>
        <w:t>gydym</w:t>
      </w:r>
      <w:r>
        <w:rPr>
          <w:rFonts w:eastAsia="Arial"/>
          <w:bCs/>
        </w:rPr>
        <w:t>ą</w:t>
      </w:r>
      <w:r w:rsidRPr="00B8689F">
        <w:rPr>
          <w:rFonts w:eastAsia="Arial"/>
          <w:bCs/>
        </w:rPr>
        <w:t xml:space="preserve"> </w:t>
      </w:r>
      <w:proofErr w:type="spellStart"/>
      <w:r w:rsidRPr="00B8689F">
        <w:rPr>
          <w:rFonts w:eastAsia="Arial"/>
          <w:bCs/>
        </w:rPr>
        <w:t>ruksolitinibu</w:t>
      </w:r>
      <w:proofErr w:type="spellEnd"/>
      <w:r w:rsidRPr="00B8689F">
        <w:rPr>
          <w:rFonts w:eastAsia="Arial"/>
          <w:bCs/>
        </w:rPr>
        <w:t xml:space="preserve"> arba</w:t>
      </w:r>
      <w:r>
        <w:rPr>
          <w:rFonts w:eastAsia="Arial"/>
          <w:bCs/>
        </w:rPr>
        <w:t xml:space="preserve"> kurie jo</w:t>
      </w:r>
      <w:r w:rsidRPr="00B8689F">
        <w:rPr>
          <w:rFonts w:eastAsia="Arial"/>
          <w:bCs/>
        </w:rPr>
        <w:t xml:space="preserve"> netoleruoja, </w:t>
      </w:r>
      <w:r>
        <w:rPr>
          <w:rFonts w:eastAsia="Arial"/>
          <w:bCs/>
        </w:rPr>
        <w:t xml:space="preserve">kitų medikamentinio </w:t>
      </w:r>
      <w:r w:rsidRPr="00B8689F">
        <w:rPr>
          <w:rFonts w:eastAsia="Arial"/>
          <w:bCs/>
        </w:rPr>
        <w:t>gydymo alternatyvų iš esmės neturi</w:t>
      </w:r>
      <w:r>
        <w:rPr>
          <w:rFonts w:eastAsia="Arial"/>
          <w:bCs/>
        </w:rPr>
        <w:t xml:space="preserve">, </w:t>
      </w:r>
      <w:r w:rsidR="000F2662">
        <w:rPr>
          <w:rFonts w:eastAsia="Arial"/>
          <w:bCs/>
        </w:rPr>
        <w:t>laikoma</w:t>
      </w:r>
      <w:r w:rsidRPr="00B8689F">
        <w:rPr>
          <w:rFonts w:eastAsia="Arial"/>
          <w:bCs/>
        </w:rPr>
        <w:t xml:space="preserve">, jog gydymo poreikis </w:t>
      </w:r>
      <w:r w:rsidRPr="00935B3E">
        <w:rPr>
          <w:rFonts w:eastAsia="Arial"/>
          <w:bCs/>
        </w:rPr>
        <w:t xml:space="preserve">šioje populiacijoje yra nepatenkintas (angl. </w:t>
      </w:r>
      <w:proofErr w:type="spellStart"/>
      <w:r w:rsidRPr="00935B3E">
        <w:rPr>
          <w:rFonts w:eastAsia="Arial"/>
          <w:bCs/>
          <w:i/>
          <w:iCs/>
        </w:rPr>
        <w:t>unmet</w:t>
      </w:r>
      <w:proofErr w:type="spellEnd"/>
      <w:r w:rsidRPr="00935B3E">
        <w:rPr>
          <w:rFonts w:eastAsia="Arial"/>
          <w:bCs/>
          <w:i/>
          <w:iCs/>
        </w:rPr>
        <w:t xml:space="preserve"> </w:t>
      </w:r>
      <w:proofErr w:type="spellStart"/>
      <w:r w:rsidRPr="00935B3E">
        <w:rPr>
          <w:rFonts w:eastAsia="Arial"/>
          <w:bCs/>
          <w:i/>
          <w:iCs/>
        </w:rPr>
        <w:t>medical</w:t>
      </w:r>
      <w:proofErr w:type="spellEnd"/>
      <w:r w:rsidRPr="00935B3E">
        <w:rPr>
          <w:rFonts w:eastAsia="Arial"/>
          <w:bCs/>
          <w:i/>
          <w:iCs/>
        </w:rPr>
        <w:t xml:space="preserve"> </w:t>
      </w:r>
      <w:proofErr w:type="spellStart"/>
      <w:r w:rsidRPr="00935B3E">
        <w:rPr>
          <w:rFonts w:eastAsia="Arial"/>
          <w:bCs/>
          <w:i/>
          <w:iCs/>
        </w:rPr>
        <w:t>need</w:t>
      </w:r>
      <w:proofErr w:type="spellEnd"/>
      <w:r w:rsidRPr="00935B3E">
        <w:rPr>
          <w:rFonts w:eastAsia="Arial"/>
          <w:bCs/>
        </w:rPr>
        <w:t>).</w:t>
      </w:r>
    </w:p>
    <w:p w14:paraId="74653013" w14:textId="5E08DAA5" w:rsidR="00931A54" w:rsidRPr="00F5761C" w:rsidRDefault="00931A54" w:rsidP="00931A54">
      <w:pPr>
        <w:pStyle w:val="Tekstas"/>
        <w:spacing w:line="276" w:lineRule="auto"/>
        <w:ind w:firstLine="720"/>
      </w:pPr>
      <w:r w:rsidRPr="00935B3E">
        <w:t xml:space="preserve">Lietuvoje MF gydymui kompensuojamas </w:t>
      </w:r>
      <w:proofErr w:type="spellStart"/>
      <w:r w:rsidRPr="00935B3E">
        <w:t>ruksolitinibas</w:t>
      </w:r>
      <w:proofErr w:type="spellEnd"/>
      <w:r w:rsidRPr="00935B3E">
        <w:t xml:space="preserve"> (D45, D47.1, D47.3), </w:t>
      </w:r>
      <w:proofErr w:type="spellStart"/>
      <w:r w:rsidRPr="00935B3E">
        <w:t>hidroksikarbamidas</w:t>
      </w:r>
      <w:proofErr w:type="spellEnd"/>
      <w:r w:rsidRPr="00935B3E">
        <w:t xml:space="preserve"> (D37 – D48), </w:t>
      </w:r>
      <w:proofErr w:type="spellStart"/>
      <w:r w:rsidRPr="00935B3E">
        <w:t>gliukokortikoidai</w:t>
      </w:r>
      <w:proofErr w:type="spellEnd"/>
      <w:r w:rsidRPr="00935B3E">
        <w:t xml:space="preserve"> – prednizolonas ir </w:t>
      </w:r>
      <w:proofErr w:type="spellStart"/>
      <w:r w:rsidRPr="00935B3E">
        <w:t>deksametazonas</w:t>
      </w:r>
      <w:proofErr w:type="spellEnd"/>
      <w:r w:rsidRPr="00935B3E">
        <w:t xml:space="preserve"> (nespecifiniai TLK-10 AM kodai). </w:t>
      </w:r>
      <w:r w:rsidR="0058220E" w:rsidRPr="00935B3E">
        <w:t xml:space="preserve">Paraiškoje palyginamasis veiksmingumas grindžiamas tiesioginio palyginimo tyrimu </w:t>
      </w:r>
      <w:r w:rsidR="0058220E" w:rsidRPr="00935B3E">
        <w:rPr>
          <w:rFonts w:eastAsia="Arial"/>
          <w:bCs/>
        </w:rPr>
        <w:t xml:space="preserve">FREEDOM2 ir netiesioginio palyginimo tyrimų, kuriuose </w:t>
      </w:r>
      <w:proofErr w:type="spellStart"/>
      <w:r w:rsidR="0058220E" w:rsidRPr="00935B3E">
        <w:rPr>
          <w:rFonts w:eastAsia="Arial"/>
          <w:bCs/>
        </w:rPr>
        <w:t>fedratinibo</w:t>
      </w:r>
      <w:proofErr w:type="spellEnd"/>
      <w:r w:rsidR="0058220E" w:rsidRPr="00935B3E">
        <w:rPr>
          <w:rFonts w:eastAsia="Arial"/>
          <w:bCs/>
        </w:rPr>
        <w:t xml:space="preserve"> poveikis palygintas su geriausiu prieinamu gydymu, duomenimis. </w:t>
      </w:r>
      <w:r w:rsidRPr="00935B3E">
        <w:t xml:space="preserve">Klinikinio vertinimo metu nustatyta, jog Lietuvoje geriausias prieinamas gydymas </w:t>
      </w:r>
      <w:r w:rsidR="00E15A7F" w:rsidRPr="00935B3E">
        <w:t>(GPG) apima gydymą</w:t>
      </w:r>
      <w:r w:rsidRPr="00935B3E">
        <w:t xml:space="preserve"> </w:t>
      </w:r>
      <w:proofErr w:type="spellStart"/>
      <w:r w:rsidRPr="00935B3E">
        <w:t>ruksolitinib</w:t>
      </w:r>
      <w:r w:rsidR="00E15A7F" w:rsidRPr="00935B3E">
        <w:t>u</w:t>
      </w:r>
      <w:proofErr w:type="spellEnd"/>
      <w:r w:rsidRPr="00935B3E">
        <w:t xml:space="preserve">, </w:t>
      </w:r>
      <w:proofErr w:type="spellStart"/>
      <w:r w:rsidRPr="00935B3E">
        <w:t>hidroksikarbamid</w:t>
      </w:r>
      <w:r w:rsidR="00E15A7F" w:rsidRPr="00935B3E">
        <w:t>u</w:t>
      </w:r>
      <w:proofErr w:type="spellEnd"/>
      <w:r w:rsidRPr="00935B3E">
        <w:t>, eritrocitų masės transfuzij</w:t>
      </w:r>
      <w:r w:rsidR="00E15A7F" w:rsidRPr="00935B3E">
        <w:t>a</w:t>
      </w:r>
      <w:r w:rsidRPr="00935B3E">
        <w:t xml:space="preserve">s, </w:t>
      </w:r>
      <w:proofErr w:type="spellStart"/>
      <w:r w:rsidRPr="00935B3E">
        <w:t>gliukokortikoid</w:t>
      </w:r>
      <w:r w:rsidR="00E15A7F" w:rsidRPr="00935B3E">
        <w:t>ais</w:t>
      </w:r>
      <w:proofErr w:type="spellEnd"/>
      <w:r w:rsidR="00E15A7F" w:rsidRPr="00935B3E">
        <w:t xml:space="preserve"> ir chirurginį gydymą (</w:t>
      </w:r>
      <w:proofErr w:type="spellStart"/>
      <w:r w:rsidRPr="00935B3E">
        <w:t>splenektomija</w:t>
      </w:r>
      <w:proofErr w:type="spellEnd"/>
      <w:r w:rsidRPr="00935B3E">
        <w:t>).</w:t>
      </w:r>
      <w:r w:rsidR="00E15A7F">
        <w:t xml:space="preserve"> Klinikiniuose tyrimuose naudotas GPG, laikomas Lietuvos įprastinę praktiką atitinkančiu palyginamuoju gydymu. </w:t>
      </w:r>
    </w:p>
    <w:p w14:paraId="5FAB346C" w14:textId="77777777" w:rsidR="007601F0" w:rsidRDefault="007601F0" w:rsidP="00E15A7F">
      <w:pPr>
        <w:spacing w:line="360" w:lineRule="auto"/>
        <w:jc w:val="both"/>
        <w:rPr>
          <w:rFonts w:eastAsia="Arial"/>
          <w:bCs/>
          <w:i/>
          <w:iCs/>
        </w:rPr>
      </w:pPr>
    </w:p>
    <w:p w14:paraId="68F22E94" w14:textId="79FC508D" w:rsidR="00931A54" w:rsidRDefault="00931A54" w:rsidP="00935B3E">
      <w:pPr>
        <w:spacing w:line="360" w:lineRule="auto"/>
        <w:jc w:val="both"/>
        <w:rPr>
          <w:rFonts w:eastAsia="Arial"/>
          <w:bCs/>
          <w:i/>
          <w:iCs/>
        </w:rPr>
      </w:pPr>
      <w:r w:rsidRPr="00692AD4">
        <w:rPr>
          <w:rFonts w:eastAsia="Arial"/>
          <w:bCs/>
          <w:i/>
          <w:iCs/>
        </w:rPr>
        <w:t>Tiesioginis palyginimas</w:t>
      </w:r>
    </w:p>
    <w:p w14:paraId="2DF1D057" w14:textId="77777777" w:rsidR="00931A54" w:rsidRDefault="00931A54" w:rsidP="00931A54">
      <w:pPr>
        <w:spacing w:line="276" w:lineRule="auto"/>
        <w:jc w:val="both"/>
        <w:rPr>
          <w:rFonts w:eastAsia="Arial"/>
          <w:bCs/>
        </w:rPr>
      </w:pPr>
      <w:r>
        <w:rPr>
          <w:rFonts w:eastAsia="Arial"/>
          <w:bCs/>
        </w:rPr>
        <w:tab/>
        <w:t xml:space="preserve">Klinikinis vertinimas buvo atliktas pagal paraiškoje pateiktą FREEDOM2 tyrimą. Šiame tyrime įrodyta, jog pacientai, kuriems nustatyta tarpinės-2 arba didelės rizikos simptominė pirminė arba antrinė MF, vartojantys </w:t>
      </w:r>
      <w:proofErr w:type="spellStart"/>
      <w:r>
        <w:rPr>
          <w:rFonts w:eastAsia="Arial"/>
          <w:bCs/>
        </w:rPr>
        <w:t>fedratinibą</w:t>
      </w:r>
      <w:proofErr w:type="spellEnd"/>
      <w:r>
        <w:rPr>
          <w:rFonts w:eastAsia="Arial"/>
          <w:bCs/>
        </w:rPr>
        <w:t>, statistiškai reikšmingai dažniau pasiekė kliniškai reikšmingą (≥ 35%) blužnies sumažėjimą, lyginant su geriausiu prieinamu gydymu (GPG; 35,8% ir 6,0%; p&lt;0,0001).</w:t>
      </w:r>
    </w:p>
    <w:p w14:paraId="30D254A6" w14:textId="77777777" w:rsidR="00931A54" w:rsidRDefault="00931A54" w:rsidP="00931A54">
      <w:pPr>
        <w:spacing w:line="276" w:lineRule="auto"/>
        <w:jc w:val="both"/>
        <w:rPr>
          <w:rFonts w:eastAsia="Arial"/>
          <w:bCs/>
        </w:rPr>
      </w:pPr>
      <w:r>
        <w:rPr>
          <w:rFonts w:eastAsia="Arial"/>
          <w:bCs/>
        </w:rPr>
        <w:tab/>
        <w:t xml:space="preserve">Vertinant svarbiausias antrines baigtis, kliniškai reikšmingas (≥50%) bendros simptomų skalės balų sumažėjimas </w:t>
      </w:r>
      <w:proofErr w:type="spellStart"/>
      <w:r>
        <w:rPr>
          <w:rFonts w:eastAsia="Arial"/>
          <w:bCs/>
        </w:rPr>
        <w:t>fedratinibo</w:t>
      </w:r>
      <w:proofErr w:type="spellEnd"/>
      <w:r>
        <w:rPr>
          <w:rFonts w:eastAsia="Arial"/>
          <w:bCs/>
        </w:rPr>
        <w:t xml:space="preserve"> grupėje buvo pasiektas reikšmingai dažniau, lyginant su GPG (34,1% ir 16,9%; p=0,0033). Blužnies tūrio sumažėjimas ≥ 25% (47,0% ir 13,4%; p&lt;0,0001) ir čiuopiant (28,4% ir 7,7%) dažniau nustatytas </w:t>
      </w:r>
      <w:proofErr w:type="spellStart"/>
      <w:r>
        <w:rPr>
          <w:rFonts w:eastAsia="Arial"/>
          <w:bCs/>
        </w:rPr>
        <w:t>fedratinibo</w:t>
      </w:r>
      <w:proofErr w:type="spellEnd"/>
      <w:r>
        <w:rPr>
          <w:rFonts w:eastAsia="Arial"/>
          <w:bCs/>
        </w:rPr>
        <w:t xml:space="preserve"> grupėje. Pacientų atsakas į gydymą, išgyvenamumas be ligos progresavimo ir bendras išgyvenamumas tarp </w:t>
      </w:r>
      <w:proofErr w:type="spellStart"/>
      <w:r>
        <w:rPr>
          <w:rFonts w:eastAsia="Arial"/>
          <w:bCs/>
        </w:rPr>
        <w:t>fedratinibo</w:t>
      </w:r>
      <w:proofErr w:type="spellEnd"/>
      <w:r>
        <w:rPr>
          <w:rFonts w:eastAsia="Arial"/>
          <w:bCs/>
        </w:rPr>
        <w:t xml:space="preserve"> ir GPG nesiskyrė.</w:t>
      </w:r>
    </w:p>
    <w:p w14:paraId="1006433E" w14:textId="77777777" w:rsidR="00931A54" w:rsidRDefault="00931A54" w:rsidP="00931A54">
      <w:pPr>
        <w:spacing w:line="276" w:lineRule="auto"/>
        <w:jc w:val="both"/>
        <w:rPr>
          <w:rFonts w:eastAsia="Arial"/>
          <w:bCs/>
        </w:rPr>
      </w:pPr>
      <w:r>
        <w:rPr>
          <w:rFonts w:eastAsia="Arial"/>
          <w:bCs/>
        </w:rPr>
        <w:lastRenderedPageBreak/>
        <w:tab/>
        <w:t xml:space="preserve">Vertinant EORTC QLQ-C30 ir EQ-5D-5L klausimynų rezultatus, </w:t>
      </w:r>
      <w:proofErr w:type="spellStart"/>
      <w:r>
        <w:rPr>
          <w:rFonts w:eastAsia="Arial"/>
          <w:bCs/>
        </w:rPr>
        <w:t>fedratinibo</w:t>
      </w:r>
      <w:proofErr w:type="spellEnd"/>
      <w:r>
        <w:rPr>
          <w:rFonts w:eastAsia="Arial"/>
          <w:bCs/>
        </w:rPr>
        <w:t xml:space="preserve"> grupėje esančių pacientų gyvenimo kokybė buvo geresnė.</w:t>
      </w:r>
    </w:p>
    <w:p w14:paraId="5B4E5A51" w14:textId="12CC5842" w:rsidR="00931A54" w:rsidRPr="001C4CA2" w:rsidRDefault="00931A54" w:rsidP="00931A54">
      <w:pPr>
        <w:spacing w:line="276" w:lineRule="auto"/>
        <w:ind w:firstLine="720"/>
        <w:jc w:val="both"/>
        <w:rPr>
          <w:rFonts w:eastAsia="Arial"/>
          <w:bCs/>
        </w:rPr>
      </w:pPr>
      <w:r>
        <w:rPr>
          <w:rFonts w:eastAsia="Arial"/>
          <w:bCs/>
          <w:iCs/>
        </w:rPr>
        <w:t xml:space="preserve">Vertinant saugumo profilį, </w:t>
      </w:r>
      <w:proofErr w:type="spellStart"/>
      <w:r>
        <w:rPr>
          <w:rFonts w:eastAsia="Arial"/>
          <w:bCs/>
          <w:iCs/>
        </w:rPr>
        <w:t>fedratinibo</w:t>
      </w:r>
      <w:proofErr w:type="spellEnd"/>
      <w:r>
        <w:rPr>
          <w:rFonts w:eastAsia="Arial"/>
          <w:bCs/>
          <w:iCs/>
        </w:rPr>
        <w:t xml:space="preserve"> grupėje nustatyta daugiau su gydymu susijusių nepageidaujamų reiškinių ir mirčių dėl jų, lyginant su GPG. </w:t>
      </w:r>
      <w:r>
        <w:rPr>
          <w:rFonts w:eastAsia="Arial"/>
          <w:bCs/>
        </w:rPr>
        <w:t xml:space="preserve">Naujų, vaistinio preparato charakteristikų santraukoje nenurodytų nepageidaujamų reiškinių nenustatyta, tačiau daroma išvada, jog numatomas </w:t>
      </w:r>
      <w:proofErr w:type="spellStart"/>
      <w:r>
        <w:rPr>
          <w:rFonts w:eastAsia="Arial"/>
          <w:bCs/>
        </w:rPr>
        <w:t>fedratinibo</w:t>
      </w:r>
      <w:proofErr w:type="spellEnd"/>
      <w:r>
        <w:rPr>
          <w:rFonts w:eastAsia="Arial"/>
          <w:bCs/>
        </w:rPr>
        <w:t xml:space="preserve"> toksiškumas yra reikšmingai didesnis nei įprasta klinikinė praktika.</w:t>
      </w:r>
    </w:p>
    <w:p w14:paraId="67EBC97D" w14:textId="77777777" w:rsidR="00931A54" w:rsidRPr="00692AD4" w:rsidRDefault="00931A54" w:rsidP="00931A54">
      <w:pPr>
        <w:spacing w:line="276" w:lineRule="auto"/>
        <w:jc w:val="both"/>
        <w:rPr>
          <w:rFonts w:eastAsia="Arial"/>
          <w:bCs/>
        </w:rPr>
      </w:pPr>
    </w:p>
    <w:p w14:paraId="5B9DA81C" w14:textId="77777777" w:rsidR="00931A54" w:rsidRPr="00B54625" w:rsidRDefault="00931A54" w:rsidP="00935B3E">
      <w:pPr>
        <w:spacing w:line="360" w:lineRule="auto"/>
        <w:rPr>
          <w:rFonts w:eastAsia="Arial"/>
          <w:bCs/>
          <w:i/>
          <w:iCs/>
        </w:rPr>
      </w:pPr>
      <w:r w:rsidRPr="00B54625">
        <w:rPr>
          <w:rFonts w:eastAsia="Arial"/>
          <w:bCs/>
          <w:i/>
          <w:iCs/>
        </w:rPr>
        <w:t>Netiesioginis palyginima</w:t>
      </w:r>
      <w:r>
        <w:rPr>
          <w:rFonts w:eastAsia="Arial"/>
          <w:bCs/>
          <w:i/>
          <w:iCs/>
        </w:rPr>
        <w:t>s</w:t>
      </w:r>
    </w:p>
    <w:p w14:paraId="4A4722FF" w14:textId="77777777" w:rsidR="00931A54" w:rsidRDefault="00931A54" w:rsidP="00931A54">
      <w:pPr>
        <w:spacing w:line="276" w:lineRule="auto"/>
        <w:jc w:val="both"/>
        <w:rPr>
          <w:rFonts w:eastAsia="Arial"/>
          <w:bCs/>
        </w:rPr>
      </w:pPr>
      <w:r>
        <w:rPr>
          <w:rFonts w:eastAsia="Arial"/>
          <w:bCs/>
        </w:rPr>
        <w:tab/>
        <w:t xml:space="preserve">Paraiškoje buvo pateiktos iki FREEDOM2 tyrimo rezultatų išpublikavimo atliktos </w:t>
      </w:r>
      <w:proofErr w:type="spellStart"/>
      <w:r>
        <w:rPr>
          <w:rFonts w:eastAsia="Arial"/>
          <w:bCs/>
        </w:rPr>
        <w:t>fedratinibo</w:t>
      </w:r>
      <w:proofErr w:type="spellEnd"/>
      <w:r>
        <w:rPr>
          <w:rFonts w:eastAsia="Arial"/>
          <w:bCs/>
        </w:rPr>
        <w:t xml:space="preserve"> (JAKARTA-2) ir geriausio prieinamo gydymo (PERSIST-2 ir SIMPLIFY-2) </w:t>
      </w:r>
      <w:proofErr w:type="spellStart"/>
      <w:r w:rsidRPr="004269B5">
        <w:rPr>
          <w:rFonts w:eastAsia="Arial"/>
          <w:bCs/>
          <w:i/>
          <w:iCs/>
        </w:rPr>
        <w:t>post-hoc</w:t>
      </w:r>
      <w:proofErr w:type="spellEnd"/>
      <w:r>
        <w:rPr>
          <w:rFonts w:eastAsia="Arial"/>
          <w:bCs/>
        </w:rPr>
        <w:t xml:space="preserve"> </w:t>
      </w:r>
      <w:r w:rsidRPr="004269B5">
        <w:rPr>
          <w:rFonts w:eastAsia="Arial"/>
          <w:bCs/>
        </w:rPr>
        <w:t>netiesioginės</w:t>
      </w:r>
      <w:r>
        <w:rPr>
          <w:rFonts w:eastAsia="Arial"/>
          <w:bCs/>
        </w:rPr>
        <w:t xml:space="preserve"> sutapatintos palyginimo analizės. Įvertinus analizuojamų tyrimų dizainus ir jų populiacijas po sutapatinimo, sisteminė literatūros analizė įvertinta kaip tinkamai atlikta, tinkamai atsižvelgta į populiacijų netolygumus.</w:t>
      </w:r>
    </w:p>
    <w:p w14:paraId="26166EE6" w14:textId="206B0DCA" w:rsidR="00931A54" w:rsidRDefault="00931A54" w:rsidP="00931A54">
      <w:pPr>
        <w:spacing w:line="276" w:lineRule="auto"/>
        <w:ind w:firstLine="720"/>
        <w:jc w:val="both"/>
        <w:rPr>
          <w:rFonts w:eastAsia="Arial"/>
          <w:bCs/>
        </w:rPr>
      </w:pPr>
      <w:r>
        <w:rPr>
          <w:lang w:eastAsia="lt-LT"/>
        </w:rPr>
        <w:t xml:space="preserve">Kadangi </w:t>
      </w:r>
      <w:r w:rsidR="00F42E2E">
        <w:rPr>
          <w:lang w:eastAsia="lt-LT"/>
        </w:rPr>
        <w:t xml:space="preserve">remiantis MF prognostinių rizikos skalių kūrime ir klinikinių MF gydymo tyrimuose besispecializuojančio gydytojo nuomone </w:t>
      </w:r>
      <w:r>
        <w:rPr>
          <w:lang w:eastAsia="lt-LT"/>
        </w:rPr>
        <w:t xml:space="preserve">paraiškoje </w:t>
      </w:r>
      <w:r w:rsidR="00F42E2E">
        <w:rPr>
          <w:lang w:eastAsia="lt-LT"/>
        </w:rPr>
        <w:t xml:space="preserve">buvo </w:t>
      </w:r>
      <w:r>
        <w:rPr>
          <w:lang w:eastAsia="lt-LT"/>
        </w:rPr>
        <w:t>nurod</w:t>
      </w:r>
      <w:r w:rsidR="00F42E2E">
        <w:rPr>
          <w:lang w:eastAsia="lt-LT"/>
        </w:rPr>
        <w:t>yta</w:t>
      </w:r>
      <w:r w:rsidR="00935B3E">
        <w:rPr>
          <w:lang w:eastAsia="lt-LT"/>
        </w:rPr>
        <w:t>,</w:t>
      </w:r>
      <w:r>
        <w:rPr>
          <w:lang w:eastAsia="lt-LT"/>
        </w:rPr>
        <w:t xml:space="preserve"> jog PERSIST-2 tyrimo dėl savo populiacijos ir dizaino skirtumų į netiesioginio palyginimo analizę rekomenduoja neįtraukti, klinikinio vertinimo</w:t>
      </w:r>
      <w:r w:rsidR="00F42E2E">
        <w:rPr>
          <w:lang w:eastAsia="lt-LT"/>
        </w:rPr>
        <w:t xml:space="preserve"> išvados</w:t>
      </w:r>
      <w:r>
        <w:rPr>
          <w:lang w:eastAsia="lt-LT"/>
        </w:rPr>
        <w:t xml:space="preserve"> </w:t>
      </w:r>
      <w:r w:rsidR="00F42E2E">
        <w:rPr>
          <w:lang w:eastAsia="lt-LT"/>
        </w:rPr>
        <w:t>grindžiam</w:t>
      </w:r>
      <w:r w:rsidR="00935B3E">
        <w:rPr>
          <w:lang w:eastAsia="lt-LT"/>
        </w:rPr>
        <w:t>o</w:t>
      </w:r>
      <w:r w:rsidR="00F42E2E">
        <w:rPr>
          <w:lang w:eastAsia="lt-LT"/>
        </w:rPr>
        <w:t>s</w:t>
      </w:r>
      <w:r>
        <w:rPr>
          <w:lang w:eastAsia="lt-LT"/>
        </w:rPr>
        <w:t xml:space="preserve"> SIMPLIFY-2 ir JAKARTA-2 netiesioginio palyginimo analizės duomenims. Šioje analizėje nustatyta, jog </w:t>
      </w:r>
      <w:proofErr w:type="spellStart"/>
      <w:r>
        <w:rPr>
          <w:lang w:eastAsia="lt-LT"/>
        </w:rPr>
        <w:t>fedratinibas</w:t>
      </w:r>
      <w:proofErr w:type="spellEnd"/>
      <w:r>
        <w:rPr>
          <w:lang w:eastAsia="lt-LT"/>
        </w:rPr>
        <w:t xml:space="preserve"> dažniau </w:t>
      </w:r>
      <w:r w:rsidR="00F42E2E">
        <w:rPr>
          <w:lang w:eastAsia="lt-LT"/>
        </w:rPr>
        <w:t xml:space="preserve">sukėlė </w:t>
      </w:r>
      <w:r>
        <w:rPr>
          <w:lang w:eastAsia="lt-LT"/>
        </w:rPr>
        <w:t>kliniškai reikšming</w:t>
      </w:r>
      <w:r w:rsidR="00F42E2E">
        <w:rPr>
          <w:lang w:eastAsia="lt-LT"/>
        </w:rPr>
        <w:t>ą</w:t>
      </w:r>
      <w:r>
        <w:rPr>
          <w:lang w:eastAsia="lt-LT"/>
        </w:rPr>
        <w:t xml:space="preserve"> blužn</w:t>
      </w:r>
      <w:r w:rsidR="00F42E2E">
        <w:rPr>
          <w:lang w:eastAsia="lt-LT"/>
        </w:rPr>
        <w:t>ies sumažėjimą</w:t>
      </w:r>
      <w:r>
        <w:rPr>
          <w:lang w:eastAsia="lt-LT"/>
        </w:rPr>
        <w:t xml:space="preserve"> (12,5% [4,5 – 20,9]) ir pagerino simptomų kontrolę (17,1% [5,8 – 28,3]), lyginant su GPG.</w:t>
      </w:r>
    </w:p>
    <w:bookmarkEnd w:id="2"/>
    <w:p w14:paraId="7D46D6DB" w14:textId="77777777" w:rsidR="002736FC" w:rsidRDefault="002736FC" w:rsidP="002736FC">
      <w:pPr>
        <w:spacing w:line="276" w:lineRule="auto"/>
        <w:ind w:firstLine="720"/>
        <w:jc w:val="both"/>
        <w:rPr>
          <w:rFonts w:eastAsia="Arial"/>
          <w:bCs/>
        </w:rPr>
      </w:pPr>
      <w:r>
        <w:rPr>
          <w:rFonts w:eastAsia="Arial"/>
          <w:bCs/>
        </w:rPr>
        <w:t xml:space="preserve">Apibendrinant tiesioginio ir netiesioginio palyginimo analizėje pateiktus duomenis, </w:t>
      </w:r>
      <w:proofErr w:type="spellStart"/>
      <w:r w:rsidRPr="006343D5">
        <w:rPr>
          <w:rFonts w:eastAsia="Arial"/>
          <w:bCs/>
        </w:rPr>
        <w:t>fedratinibas</w:t>
      </w:r>
      <w:proofErr w:type="spellEnd"/>
      <w:r w:rsidRPr="006343D5">
        <w:rPr>
          <w:rFonts w:eastAsia="Arial"/>
          <w:bCs/>
        </w:rPr>
        <w:t xml:space="preserve"> užtikrina geresnę simptomų kontrolę</w:t>
      </w:r>
      <w:r>
        <w:rPr>
          <w:rFonts w:eastAsia="Arial"/>
          <w:bCs/>
        </w:rPr>
        <w:t xml:space="preserve"> ir</w:t>
      </w:r>
      <w:r w:rsidRPr="006343D5">
        <w:rPr>
          <w:rFonts w:eastAsia="Arial"/>
          <w:bCs/>
        </w:rPr>
        <w:t xml:space="preserve"> pagerina gyvenimo kokybės rodiklius</w:t>
      </w:r>
      <w:r>
        <w:rPr>
          <w:rFonts w:eastAsia="Arial"/>
          <w:bCs/>
        </w:rPr>
        <w:t xml:space="preserve">, kas vadovaujantis </w:t>
      </w:r>
      <w:r w:rsidRPr="002C419E">
        <w:rPr>
          <w:rFonts w:eastAsia="Arial"/>
          <w:bCs/>
        </w:rPr>
        <w:t xml:space="preserve">Europos </w:t>
      </w:r>
      <w:r>
        <w:rPr>
          <w:rFonts w:eastAsia="Arial"/>
          <w:bCs/>
        </w:rPr>
        <w:t>vaistų agentūros priešvėžinių vaistinių preparatų klinikinio vertinimo gydymo gairėmis</w:t>
      </w:r>
      <w:r w:rsidRPr="002C419E">
        <w:rPr>
          <w:rFonts w:eastAsia="Arial"/>
          <w:bCs/>
        </w:rPr>
        <w:t xml:space="preserve"> (</w:t>
      </w:r>
      <w:proofErr w:type="spellStart"/>
      <w:r w:rsidRPr="00935B3E">
        <w:rPr>
          <w:rFonts w:eastAsia="Arial"/>
          <w:bCs/>
          <w:i/>
          <w:iCs/>
        </w:rPr>
        <w:t>Guideline</w:t>
      </w:r>
      <w:proofErr w:type="spellEnd"/>
      <w:r w:rsidRPr="00935B3E">
        <w:rPr>
          <w:rFonts w:eastAsia="Arial"/>
          <w:bCs/>
          <w:i/>
          <w:iCs/>
        </w:rPr>
        <w:t xml:space="preserve"> </w:t>
      </w:r>
      <w:proofErr w:type="spellStart"/>
      <w:r w:rsidRPr="00935B3E">
        <w:rPr>
          <w:rFonts w:eastAsia="Arial"/>
          <w:bCs/>
          <w:i/>
          <w:iCs/>
        </w:rPr>
        <w:t>on</w:t>
      </w:r>
      <w:proofErr w:type="spellEnd"/>
      <w:r w:rsidRPr="00935B3E">
        <w:rPr>
          <w:rFonts w:eastAsia="Arial"/>
          <w:bCs/>
          <w:i/>
          <w:iCs/>
        </w:rPr>
        <w:t xml:space="preserve"> </w:t>
      </w:r>
      <w:proofErr w:type="spellStart"/>
      <w:r w:rsidRPr="00935B3E">
        <w:rPr>
          <w:rFonts w:eastAsia="Arial"/>
          <w:bCs/>
          <w:i/>
          <w:iCs/>
        </w:rPr>
        <w:t>the</w:t>
      </w:r>
      <w:proofErr w:type="spellEnd"/>
      <w:r w:rsidRPr="00935B3E">
        <w:rPr>
          <w:rFonts w:eastAsia="Arial"/>
          <w:bCs/>
          <w:i/>
          <w:iCs/>
        </w:rPr>
        <w:t xml:space="preserve"> </w:t>
      </w:r>
      <w:proofErr w:type="spellStart"/>
      <w:r w:rsidRPr="00935B3E">
        <w:rPr>
          <w:rFonts w:eastAsia="Arial"/>
          <w:bCs/>
          <w:i/>
          <w:iCs/>
        </w:rPr>
        <w:t>clinical</w:t>
      </w:r>
      <w:proofErr w:type="spellEnd"/>
      <w:r w:rsidRPr="00935B3E">
        <w:rPr>
          <w:rFonts w:eastAsia="Arial"/>
          <w:bCs/>
          <w:i/>
          <w:iCs/>
        </w:rPr>
        <w:t xml:space="preserve"> </w:t>
      </w:r>
      <w:proofErr w:type="spellStart"/>
      <w:r w:rsidRPr="00935B3E">
        <w:rPr>
          <w:rFonts w:eastAsia="Arial"/>
          <w:bCs/>
          <w:i/>
          <w:iCs/>
        </w:rPr>
        <w:t>evaluation</w:t>
      </w:r>
      <w:proofErr w:type="spellEnd"/>
      <w:r w:rsidRPr="00935B3E">
        <w:rPr>
          <w:rFonts w:eastAsia="Arial"/>
          <w:bCs/>
          <w:i/>
          <w:iCs/>
        </w:rPr>
        <w:t xml:space="preserve"> </w:t>
      </w:r>
      <w:proofErr w:type="spellStart"/>
      <w:r w:rsidRPr="00935B3E">
        <w:rPr>
          <w:rFonts w:eastAsia="Arial"/>
          <w:bCs/>
          <w:i/>
          <w:iCs/>
        </w:rPr>
        <w:t>of</w:t>
      </w:r>
      <w:proofErr w:type="spellEnd"/>
      <w:r w:rsidRPr="00935B3E">
        <w:rPr>
          <w:rFonts w:eastAsia="Arial"/>
          <w:bCs/>
          <w:i/>
          <w:iCs/>
        </w:rPr>
        <w:t xml:space="preserve"> </w:t>
      </w:r>
      <w:proofErr w:type="spellStart"/>
      <w:r w:rsidRPr="00935B3E">
        <w:rPr>
          <w:rFonts w:eastAsia="Arial"/>
          <w:bCs/>
          <w:i/>
          <w:iCs/>
        </w:rPr>
        <w:t>anticancer</w:t>
      </w:r>
      <w:proofErr w:type="spellEnd"/>
      <w:r w:rsidRPr="00935B3E">
        <w:rPr>
          <w:rFonts w:eastAsia="Arial"/>
          <w:bCs/>
          <w:i/>
          <w:iCs/>
        </w:rPr>
        <w:t xml:space="preserve"> </w:t>
      </w:r>
      <w:proofErr w:type="spellStart"/>
      <w:r w:rsidRPr="00935B3E">
        <w:rPr>
          <w:rFonts w:eastAsia="Arial"/>
          <w:bCs/>
          <w:i/>
          <w:iCs/>
        </w:rPr>
        <w:t>medicinal</w:t>
      </w:r>
      <w:proofErr w:type="spellEnd"/>
      <w:r w:rsidRPr="00935B3E">
        <w:rPr>
          <w:rFonts w:eastAsia="Arial"/>
          <w:bCs/>
          <w:i/>
          <w:iCs/>
        </w:rPr>
        <w:t xml:space="preserve"> </w:t>
      </w:r>
      <w:proofErr w:type="spellStart"/>
      <w:r w:rsidRPr="00935B3E">
        <w:rPr>
          <w:rFonts w:eastAsia="Arial"/>
          <w:bCs/>
          <w:i/>
          <w:iCs/>
        </w:rPr>
        <w:t>products</w:t>
      </w:r>
      <w:proofErr w:type="spellEnd"/>
      <w:r w:rsidRPr="00935B3E">
        <w:rPr>
          <w:rFonts w:eastAsia="Arial"/>
          <w:bCs/>
          <w:i/>
          <w:iCs/>
        </w:rPr>
        <w:t xml:space="preserve">, 18 </w:t>
      </w:r>
      <w:proofErr w:type="spellStart"/>
      <w:r w:rsidRPr="00935B3E">
        <w:rPr>
          <w:rFonts w:eastAsia="Arial"/>
          <w:bCs/>
          <w:i/>
          <w:iCs/>
        </w:rPr>
        <w:t>November</w:t>
      </w:r>
      <w:proofErr w:type="spellEnd"/>
      <w:r w:rsidRPr="00935B3E">
        <w:rPr>
          <w:rFonts w:eastAsia="Arial"/>
          <w:bCs/>
          <w:i/>
          <w:iCs/>
        </w:rPr>
        <w:t xml:space="preserve"> 2023 EMA/CHMP/205/95 Rev.6</w:t>
      </w:r>
      <w:r w:rsidRPr="002C419E">
        <w:rPr>
          <w:rFonts w:eastAsia="Arial"/>
          <w:bCs/>
        </w:rPr>
        <w:t xml:space="preserve">) </w:t>
      </w:r>
      <w:r>
        <w:rPr>
          <w:rFonts w:eastAsia="Arial"/>
          <w:bCs/>
        </w:rPr>
        <w:t xml:space="preserve">laikoma itin svarbiu veiksmingumo aspektu klinikiniuose tyrimuose, kuriuose </w:t>
      </w:r>
      <w:bookmarkStart w:id="5" w:name="_Hlk198716381"/>
      <w:r>
        <w:rPr>
          <w:rFonts w:eastAsia="Arial"/>
          <w:bCs/>
        </w:rPr>
        <w:t xml:space="preserve">tiriamasis vaistinis preparatas lyginamas </w:t>
      </w:r>
      <w:bookmarkEnd w:id="5"/>
      <w:r>
        <w:rPr>
          <w:rFonts w:eastAsia="Arial"/>
          <w:bCs/>
        </w:rPr>
        <w:t xml:space="preserve">su geriausiu palaikomuoju gydymu, todėl </w:t>
      </w:r>
      <w:proofErr w:type="spellStart"/>
      <w:r>
        <w:rPr>
          <w:rFonts w:eastAsia="Arial"/>
          <w:bCs/>
        </w:rPr>
        <w:t>fedratinibo</w:t>
      </w:r>
      <w:proofErr w:type="spellEnd"/>
      <w:r>
        <w:rPr>
          <w:rFonts w:eastAsia="Arial"/>
          <w:bCs/>
        </w:rPr>
        <w:t xml:space="preserve"> palyginamasis veiksmingumas vertinamas kaip didesnis, palyginus su įprasta klinikine praktika.</w:t>
      </w:r>
    </w:p>
    <w:p w14:paraId="2EE68526" w14:textId="77777777" w:rsidR="00D64441" w:rsidRDefault="00D64441" w:rsidP="00434D0C">
      <w:pPr>
        <w:pStyle w:val="ListParagraph"/>
        <w:tabs>
          <w:tab w:val="left" w:pos="426"/>
        </w:tabs>
        <w:spacing w:line="276" w:lineRule="auto"/>
        <w:ind w:left="0"/>
        <w:jc w:val="both"/>
        <w:rPr>
          <w:bCs/>
          <w:color w:val="000000"/>
          <w:lang w:eastAsia="lt-LT"/>
        </w:rPr>
      </w:pPr>
    </w:p>
    <w:p w14:paraId="7DE09EB5" w14:textId="69E9DD74" w:rsidR="00E03C3F" w:rsidRPr="00935B3E" w:rsidRDefault="00CC7832" w:rsidP="00434D0C">
      <w:pPr>
        <w:pStyle w:val="ListParagraph"/>
        <w:numPr>
          <w:ilvl w:val="0"/>
          <w:numId w:val="12"/>
        </w:numPr>
        <w:tabs>
          <w:tab w:val="left" w:pos="567"/>
        </w:tabs>
        <w:spacing w:line="276" w:lineRule="auto"/>
        <w:ind w:hanging="720"/>
        <w:rPr>
          <w:b/>
          <w:bCs/>
          <w:caps/>
        </w:rPr>
      </w:pPr>
      <w:r w:rsidRPr="00935B3E">
        <w:rPr>
          <w:b/>
          <w:bCs/>
          <w:caps/>
        </w:rPr>
        <w:t xml:space="preserve">ekonominio vertinimo </w:t>
      </w:r>
      <w:r w:rsidR="002F0E4F" w:rsidRPr="00935B3E">
        <w:rPr>
          <w:b/>
          <w:bCs/>
          <w:caps/>
        </w:rPr>
        <w:t>apibendrinimas</w:t>
      </w:r>
    </w:p>
    <w:p w14:paraId="33875138" w14:textId="77777777" w:rsidR="0035172D" w:rsidRDefault="0035172D" w:rsidP="00434D0C">
      <w:pPr>
        <w:tabs>
          <w:tab w:val="left" w:pos="426"/>
        </w:tabs>
        <w:spacing w:line="276" w:lineRule="auto"/>
        <w:rPr>
          <w:b/>
          <w:bCs/>
          <w:caps/>
        </w:rPr>
      </w:pPr>
    </w:p>
    <w:p w14:paraId="5AF6F6FE" w14:textId="51E7FA9F" w:rsidR="00AB6C7B" w:rsidRPr="00C645AA" w:rsidRDefault="00AB6C7B" w:rsidP="00935B3E">
      <w:pPr>
        <w:spacing w:line="276" w:lineRule="auto"/>
        <w:jc w:val="both"/>
        <w:rPr>
          <w:rFonts w:eastAsia="Arial"/>
          <w:bCs/>
          <w:szCs w:val="22"/>
        </w:rPr>
      </w:pPr>
      <w:r w:rsidRPr="00C645AA">
        <w:rPr>
          <w:iCs/>
          <w:lang w:eastAsia="lt-LT"/>
        </w:rPr>
        <w:t xml:space="preserve">Analizė atliekama siekiant įvertinti </w:t>
      </w:r>
      <w:proofErr w:type="spellStart"/>
      <w:r w:rsidR="006F7676">
        <w:rPr>
          <w:iCs/>
          <w:lang w:eastAsia="lt-LT"/>
        </w:rPr>
        <w:t>I</w:t>
      </w:r>
      <w:r w:rsidRPr="00C645AA">
        <w:rPr>
          <w:iCs/>
          <w:lang w:eastAsia="lt-LT"/>
        </w:rPr>
        <w:t>nrebic</w:t>
      </w:r>
      <w:proofErr w:type="spellEnd"/>
      <w:r w:rsidRPr="00C645AA">
        <w:rPr>
          <w:iCs/>
          <w:lang w:eastAsia="lt-LT"/>
        </w:rPr>
        <w:t xml:space="preserve"> (</w:t>
      </w:r>
      <w:proofErr w:type="spellStart"/>
      <w:r w:rsidRPr="00C645AA">
        <w:rPr>
          <w:iCs/>
          <w:lang w:eastAsia="lt-LT"/>
        </w:rPr>
        <w:t>fedratinibo</w:t>
      </w:r>
      <w:proofErr w:type="spellEnd"/>
      <w:r w:rsidRPr="00C645AA">
        <w:rPr>
          <w:iCs/>
          <w:lang w:eastAsia="lt-LT"/>
        </w:rPr>
        <w:t xml:space="preserve">) kaštų naudingumą pacientams, </w:t>
      </w:r>
      <w:r w:rsidRPr="00C645AA">
        <w:t xml:space="preserve">kuriems taikomas gydymas su liga susijusiai </w:t>
      </w:r>
      <w:proofErr w:type="spellStart"/>
      <w:r w:rsidRPr="00C645AA">
        <w:t>splenomegalijai</w:t>
      </w:r>
      <w:proofErr w:type="spellEnd"/>
      <w:r w:rsidRPr="00C645AA">
        <w:t xml:space="preserve"> arba suaugusiems pacientams, sergantiems pirmine </w:t>
      </w:r>
      <w:proofErr w:type="spellStart"/>
      <w:r w:rsidRPr="00C645AA">
        <w:t>mielofibroze</w:t>
      </w:r>
      <w:proofErr w:type="spellEnd"/>
      <w:r w:rsidRPr="00C645AA">
        <w:t xml:space="preserve">, </w:t>
      </w:r>
      <w:proofErr w:type="spellStart"/>
      <w:r w:rsidRPr="00C645AA">
        <w:t>mielofibroze</w:t>
      </w:r>
      <w:proofErr w:type="spellEnd"/>
      <w:r w:rsidRPr="00C645AA">
        <w:t xml:space="preserve"> po tikrosios </w:t>
      </w:r>
      <w:proofErr w:type="spellStart"/>
      <w:r w:rsidRPr="00C645AA">
        <w:t>policitemijos</w:t>
      </w:r>
      <w:proofErr w:type="spellEnd"/>
      <w:r w:rsidRPr="00C645AA">
        <w:t xml:space="preserve"> arba </w:t>
      </w:r>
      <w:proofErr w:type="spellStart"/>
      <w:r w:rsidRPr="00C645AA">
        <w:t>mielofibroze</w:t>
      </w:r>
      <w:proofErr w:type="spellEnd"/>
      <w:r w:rsidRPr="00C645AA">
        <w:t xml:space="preserve"> po </w:t>
      </w:r>
      <w:proofErr w:type="spellStart"/>
      <w:r w:rsidRPr="00C645AA">
        <w:t>esencialinės</w:t>
      </w:r>
      <w:proofErr w:type="spellEnd"/>
      <w:r w:rsidRPr="00C645AA">
        <w:t xml:space="preserve"> </w:t>
      </w:r>
      <w:proofErr w:type="spellStart"/>
      <w:r w:rsidRPr="00C645AA">
        <w:t>trombocitemijos</w:t>
      </w:r>
      <w:proofErr w:type="spellEnd"/>
      <w:r w:rsidRPr="00C645AA">
        <w:t xml:space="preserve">, simptomams gydyti. Pacientų populiacija atitinka JAKARTA-2 klinikinio tyrimo populiaciją. </w:t>
      </w:r>
      <w:r w:rsidRPr="00C645AA">
        <w:rPr>
          <w:rFonts w:eastAsia="Arial"/>
          <w:bCs/>
          <w:szCs w:val="22"/>
        </w:rPr>
        <w:t xml:space="preserve">Intervencinę grupę analizėje sudaro pacientai, vartoję 400 mg. </w:t>
      </w:r>
      <w:proofErr w:type="spellStart"/>
      <w:r w:rsidRPr="00C645AA">
        <w:rPr>
          <w:rFonts w:eastAsia="Arial"/>
          <w:bCs/>
          <w:szCs w:val="22"/>
        </w:rPr>
        <w:t>fedratinibo</w:t>
      </w:r>
      <w:proofErr w:type="spellEnd"/>
      <w:r w:rsidRPr="00C645AA">
        <w:rPr>
          <w:rFonts w:eastAsia="Arial"/>
          <w:bCs/>
          <w:szCs w:val="22"/>
        </w:rPr>
        <w:t xml:space="preserve"> kasdien. Palyginamasis gydymas analizėje yra </w:t>
      </w:r>
      <w:r w:rsidR="007D0A79">
        <w:rPr>
          <w:rFonts w:eastAsia="Arial"/>
          <w:bCs/>
          <w:szCs w:val="22"/>
        </w:rPr>
        <w:t xml:space="preserve">geriausias prieinamas gydymas GPG </w:t>
      </w:r>
      <w:r w:rsidRPr="00C645AA">
        <w:rPr>
          <w:rFonts w:eastAsia="Arial"/>
          <w:bCs/>
          <w:szCs w:val="22"/>
        </w:rPr>
        <w:t xml:space="preserve"> (angl. Best </w:t>
      </w:r>
      <w:proofErr w:type="spellStart"/>
      <w:r w:rsidRPr="00C645AA">
        <w:rPr>
          <w:rFonts w:eastAsia="Arial"/>
          <w:bCs/>
          <w:szCs w:val="22"/>
        </w:rPr>
        <w:t>available</w:t>
      </w:r>
      <w:proofErr w:type="spellEnd"/>
      <w:r w:rsidRPr="00C645AA">
        <w:rPr>
          <w:rFonts w:eastAsia="Arial"/>
          <w:bCs/>
          <w:szCs w:val="22"/>
        </w:rPr>
        <w:t xml:space="preserve"> </w:t>
      </w:r>
      <w:proofErr w:type="spellStart"/>
      <w:r w:rsidRPr="00C645AA">
        <w:rPr>
          <w:rFonts w:eastAsia="Arial"/>
          <w:bCs/>
          <w:szCs w:val="22"/>
        </w:rPr>
        <w:t>treatment</w:t>
      </w:r>
      <w:proofErr w:type="spellEnd"/>
      <w:r w:rsidR="007D0A79">
        <w:rPr>
          <w:rFonts w:eastAsia="Arial"/>
          <w:bCs/>
          <w:szCs w:val="22"/>
        </w:rPr>
        <w:t>, BAT</w:t>
      </w:r>
      <w:r w:rsidRPr="00C645AA">
        <w:rPr>
          <w:rFonts w:eastAsia="Arial"/>
          <w:bCs/>
          <w:szCs w:val="22"/>
        </w:rPr>
        <w:t xml:space="preserve">). Šioje analizėje apibūdinti </w:t>
      </w:r>
      <w:r w:rsidR="007D0A79">
        <w:rPr>
          <w:rFonts w:eastAsia="Arial"/>
          <w:bCs/>
          <w:szCs w:val="22"/>
        </w:rPr>
        <w:t>GPG</w:t>
      </w:r>
      <w:r w:rsidR="007D0A79" w:rsidRPr="00C645AA">
        <w:rPr>
          <w:rFonts w:eastAsia="Arial"/>
          <w:bCs/>
          <w:szCs w:val="22"/>
        </w:rPr>
        <w:t xml:space="preserve"> </w:t>
      </w:r>
      <w:r w:rsidRPr="00C645AA">
        <w:rPr>
          <w:rFonts w:eastAsia="Arial"/>
          <w:bCs/>
          <w:szCs w:val="22"/>
        </w:rPr>
        <w:t>pogrupį buvo taikomi duomenys iš PERSIST-2 klinikinio tyrimo.</w:t>
      </w:r>
    </w:p>
    <w:p w14:paraId="4F6E4C4F" w14:textId="09204AA8" w:rsidR="00AB6C7B" w:rsidRDefault="00AB6C7B" w:rsidP="00935B3E">
      <w:pPr>
        <w:spacing w:line="276" w:lineRule="auto"/>
        <w:jc w:val="both"/>
      </w:pPr>
      <w:r w:rsidRPr="00C645AA">
        <w:rPr>
          <w:rFonts w:eastAsia="Arial"/>
          <w:bCs/>
          <w:szCs w:val="22"/>
        </w:rPr>
        <w:t xml:space="preserve">Analizėje taikoma AUC (ploto po kreive) modelio schema. </w:t>
      </w:r>
      <w:r w:rsidRPr="00C645AA">
        <w:t>Sveikatos būklės modelyje yra skirstomos į: gydymo būklės ir gyvenimo pabaigos būklės. Pacientai į modelį patenka gydymo būklėse – šiose būklėse paci</w:t>
      </w:r>
      <w:r w:rsidR="006A2B30">
        <w:t xml:space="preserve">entai gauna gydymą </w:t>
      </w:r>
      <w:proofErr w:type="spellStart"/>
      <w:r w:rsidR="006A2B30">
        <w:t>JAKi</w:t>
      </w:r>
      <w:proofErr w:type="spellEnd"/>
      <w:r w:rsidR="006A2B30">
        <w:t xml:space="preserve"> arba GPG</w:t>
      </w:r>
      <w:r w:rsidRPr="00C645AA">
        <w:t xml:space="preserve">. Modelyje būklių perėjimas apskaičiuojamas pagal TTD (laiko iki gydymo nutraukimo) ir BI (bendro išgyvenamumo) kreives. Kai duomenų nepakanka, modelyje yra galimybė įtraukti išorinius duomenis ar pakoreguoti taikomas prielaidas remiantis papildomais šaltiniais analizėje. </w:t>
      </w:r>
    </w:p>
    <w:p w14:paraId="55724AF7" w14:textId="0D60EA6F" w:rsidR="00AB6C7B" w:rsidRPr="00C645AA" w:rsidRDefault="00AB6C7B" w:rsidP="00935B3E">
      <w:pPr>
        <w:spacing w:line="276" w:lineRule="auto"/>
        <w:jc w:val="both"/>
      </w:pPr>
      <w:r w:rsidRPr="00C645AA">
        <w:lastRenderedPageBreak/>
        <w:t>Atsižvelgiant į tai, jog ekonominėje analizėje vertinant kl</w:t>
      </w:r>
      <w:r>
        <w:t>inikinius duomenis yra naudojama daug skirtingų šaltinių</w:t>
      </w:r>
      <w:r w:rsidRPr="00C645AA">
        <w:t xml:space="preserve">, Tarnybai lieka neaišku ar apskaičiuotas analizės rezultatas yra </w:t>
      </w:r>
      <w:r w:rsidRPr="00FB0507">
        <w:rPr>
          <w:b/>
        </w:rPr>
        <w:t>tikslus</w:t>
      </w:r>
      <w:r w:rsidRPr="00C645AA">
        <w:t>. Pareiškėjas taiko daug skirtingų metodų, siekiant kompensuoti trūkstamus duomenis (pvz.</w:t>
      </w:r>
      <w:r w:rsidR="007D0A79">
        <w:t>,</w:t>
      </w:r>
      <w:r w:rsidRPr="00C645AA">
        <w:t xml:space="preserve"> blužnies ar simptominio atsako įvertinimas </w:t>
      </w:r>
      <w:r w:rsidR="00A57959">
        <w:rPr>
          <w:rFonts w:eastAsia="Arial"/>
          <w:bCs/>
          <w:szCs w:val="22"/>
        </w:rPr>
        <w:t>GPG</w:t>
      </w:r>
      <w:r w:rsidRPr="00C645AA">
        <w:t xml:space="preserve"> grupėje) – vis dėlto, atvejais, kai Pareiškėjas neturi svaraus pagrindimo analizėje taikomoms prielaidoms, Pareiškėjas stengiasi pagrindinio atvejo analizėje taikyti kompromisinį scenarijų – kuris nebūtų per daug optimistiškas, Tarnybai tai yra priimtina.</w:t>
      </w:r>
    </w:p>
    <w:p w14:paraId="1CB2BE86" w14:textId="21F7928E" w:rsidR="00AB6C7B" w:rsidRDefault="00A57959" w:rsidP="00935B3E">
      <w:pPr>
        <w:spacing w:line="276" w:lineRule="auto"/>
        <w:jc w:val="both"/>
      </w:pPr>
      <w:r>
        <w:t>Bendro išgyvenamumo (</w:t>
      </w:r>
      <w:r w:rsidR="00AB6C7B" w:rsidRPr="00C645AA">
        <w:t>BI</w:t>
      </w:r>
      <w:r>
        <w:t>)</w:t>
      </w:r>
      <w:r w:rsidR="00AB6C7B" w:rsidRPr="00C645AA">
        <w:t xml:space="preserve"> įvertinimas analizėje yra neapibrėžtas dėl klinikinių duomenų ribotumų. Dvejonių kelia ir skirtingi šaltiniai naudoti </w:t>
      </w:r>
      <w:r>
        <w:rPr>
          <w:rFonts w:eastAsia="Arial"/>
          <w:bCs/>
          <w:szCs w:val="22"/>
        </w:rPr>
        <w:t>GPG</w:t>
      </w:r>
      <w:r w:rsidR="00AB6C7B" w:rsidRPr="00C645AA">
        <w:t xml:space="preserve"> ir </w:t>
      </w:r>
      <w:proofErr w:type="spellStart"/>
      <w:r w:rsidR="00AB6C7B" w:rsidRPr="00C645AA">
        <w:t>JAKi</w:t>
      </w:r>
      <w:proofErr w:type="spellEnd"/>
      <w:r w:rsidR="00AB6C7B" w:rsidRPr="00C645AA">
        <w:t xml:space="preserve"> grupių BI įvertinimui. Šis neapibrėžtumas galėtų būti išsprendžiamas tik gavus papildomų tiesioginio</w:t>
      </w:r>
      <w:r w:rsidR="00AB6C7B">
        <w:t xml:space="preserve"> ar netiesioginio</w:t>
      </w:r>
      <w:r w:rsidR="00AB6C7B" w:rsidRPr="00C645AA">
        <w:t xml:space="preserve"> palyginimo klinikinių duomenų. BI įvertinimas analizėje gali būti laikomas lemia</w:t>
      </w:r>
      <w:r>
        <w:t>nčiu</w:t>
      </w:r>
      <w:r w:rsidR="00AB6C7B" w:rsidRPr="00C645AA">
        <w:t xml:space="preserve"> analizės rezultatą. Vis dėlto, atsižvelgiant į duomenų trūkumą, laikoma, jog analizės rezultatas gali būti </w:t>
      </w:r>
      <w:proofErr w:type="spellStart"/>
      <w:r w:rsidR="00AB6C7B" w:rsidRPr="00C645AA">
        <w:t>interpetuojamas</w:t>
      </w:r>
      <w:proofErr w:type="spellEnd"/>
      <w:r w:rsidR="00AB6C7B" w:rsidRPr="00C645AA">
        <w:t>. Analizėje išsamiai pateiktos prielaidų alternatyvos, kurių įtaka analizės rezultatui nagrinėjama scenarijų analizėje.</w:t>
      </w:r>
    </w:p>
    <w:p w14:paraId="1043D786" w14:textId="2E7F32E0" w:rsidR="00AB6C7B" w:rsidRPr="00C645AA" w:rsidRDefault="00AB6C7B" w:rsidP="00935B3E">
      <w:pPr>
        <w:spacing w:line="276" w:lineRule="auto"/>
        <w:jc w:val="both"/>
      </w:pPr>
      <w:r>
        <w:t xml:space="preserve">Pagrindinio atvejo analizėje Tarnyba taiko </w:t>
      </w:r>
      <w:r w:rsidR="00896D03">
        <w:rPr>
          <w:lang w:val="en-US"/>
        </w:rPr>
        <w:t>***</w:t>
      </w:r>
      <w:r>
        <w:t xml:space="preserve"> proc. RDI visoms pacientų grupėms – tai yra laikoma konservatyvia prielaida, siekiant įvertinti vaistinių preparatų įsigijimo kaštus.</w:t>
      </w:r>
    </w:p>
    <w:p w14:paraId="17A0678B" w14:textId="42535A72" w:rsidR="00931A54" w:rsidRDefault="00931A54" w:rsidP="00434D0C">
      <w:pPr>
        <w:tabs>
          <w:tab w:val="left" w:pos="426"/>
        </w:tabs>
        <w:spacing w:line="276" w:lineRule="auto"/>
        <w:rPr>
          <w:b/>
          <w:bCs/>
          <w:caps/>
        </w:rPr>
      </w:pP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97"/>
        <w:gridCol w:w="1613"/>
        <w:gridCol w:w="2019"/>
        <w:gridCol w:w="3579"/>
      </w:tblGrid>
      <w:tr w:rsidR="00AB6C7B" w:rsidRPr="00D05364" w14:paraId="54163EC4" w14:textId="77777777" w:rsidTr="008E0D5B">
        <w:trPr>
          <w:trHeight w:val="364"/>
          <w:jc w:val="center"/>
        </w:trPr>
        <w:tc>
          <w:tcPr>
            <w:tcW w:w="9908" w:type="dxa"/>
            <w:gridSpan w:val="4"/>
            <w:tcBorders>
              <w:top w:val="single" w:sz="12" w:space="0" w:color="auto"/>
              <w:bottom w:val="single" w:sz="4" w:space="0" w:color="auto"/>
            </w:tcBorders>
            <w:vAlign w:val="center"/>
          </w:tcPr>
          <w:p w14:paraId="7C6BF155" w14:textId="77777777" w:rsidR="00AB6C7B" w:rsidRPr="00D05364" w:rsidRDefault="00AB6C7B" w:rsidP="008E0D5B">
            <w:pPr>
              <w:tabs>
                <w:tab w:val="left" w:pos="567"/>
              </w:tabs>
              <w:jc w:val="center"/>
              <w:rPr>
                <w:b/>
                <w:i/>
                <w:iCs/>
                <w:color w:val="00B050"/>
                <w:sz w:val="22"/>
                <w:szCs w:val="22"/>
                <w:lang w:eastAsia="lt-LT"/>
              </w:rPr>
            </w:pPr>
            <w:r w:rsidRPr="00D05364">
              <w:rPr>
                <w:b/>
                <w:lang w:eastAsia="lt-LT"/>
              </w:rPr>
              <w:t>Kaštai</w:t>
            </w:r>
          </w:p>
        </w:tc>
      </w:tr>
      <w:tr w:rsidR="00AB6C7B" w:rsidRPr="00D05364" w14:paraId="6BEA334C" w14:textId="77777777" w:rsidTr="008E0D5B">
        <w:trPr>
          <w:jc w:val="center"/>
        </w:trPr>
        <w:tc>
          <w:tcPr>
            <w:tcW w:w="2697" w:type="dxa"/>
            <w:tcBorders>
              <w:top w:val="single" w:sz="4" w:space="0" w:color="auto"/>
              <w:bottom w:val="single" w:sz="4" w:space="0" w:color="auto"/>
            </w:tcBorders>
          </w:tcPr>
          <w:p w14:paraId="7472CCD3" w14:textId="77777777" w:rsidR="00AB6C7B" w:rsidRPr="00D05364" w:rsidRDefault="00AB6C7B" w:rsidP="008E0D5B">
            <w:pPr>
              <w:tabs>
                <w:tab w:val="left" w:pos="567"/>
              </w:tabs>
              <w:jc w:val="both"/>
              <w:rPr>
                <w:color w:val="00B050"/>
                <w:lang w:eastAsia="lt-LT"/>
              </w:rPr>
            </w:pPr>
          </w:p>
        </w:tc>
        <w:tc>
          <w:tcPr>
            <w:tcW w:w="1613" w:type="dxa"/>
            <w:tcBorders>
              <w:top w:val="single" w:sz="4" w:space="0" w:color="auto"/>
              <w:bottom w:val="single" w:sz="4" w:space="0" w:color="auto"/>
            </w:tcBorders>
          </w:tcPr>
          <w:p w14:paraId="7328C2DF" w14:textId="77777777" w:rsidR="00AB6C7B" w:rsidRPr="00D05364" w:rsidRDefault="00AB6C7B" w:rsidP="008E0D5B">
            <w:pPr>
              <w:tabs>
                <w:tab w:val="left" w:pos="567"/>
              </w:tabs>
              <w:jc w:val="both"/>
              <w:rPr>
                <w:i/>
                <w:iCs/>
                <w:lang w:eastAsia="lt-LT"/>
              </w:rPr>
            </w:pPr>
            <w:proofErr w:type="spellStart"/>
            <w:r>
              <w:rPr>
                <w:i/>
                <w:iCs/>
                <w:lang w:eastAsia="lt-LT"/>
              </w:rPr>
              <w:t>Fedratinibas</w:t>
            </w:r>
            <w:proofErr w:type="spellEnd"/>
          </w:p>
        </w:tc>
        <w:tc>
          <w:tcPr>
            <w:tcW w:w="2019" w:type="dxa"/>
            <w:tcBorders>
              <w:top w:val="single" w:sz="4" w:space="0" w:color="auto"/>
              <w:bottom w:val="single" w:sz="4" w:space="0" w:color="auto"/>
            </w:tcBorders>
          </w:tcPr>
          <w:p w14:paraId="7DC8C78A" w14:textId="77777777" w:rsidR="00AB6C7B" w:rsidRPr="00D05364" w:rsidRDefault="00AB6C7B" w:rsidP="008E0D5B">
            <w:pPr>
              <w:tabs>
                <w:tab w:val="left" w:pos="567"/>
              </w:tabs>
              <w:jc w:val="both"/>
              <w:rPr>
                <w:i/>
                <w:iCs/>
                <w:lang w:eastAsia="lt-LT"/>
              </w:rPr>
            </w:pPr>
            <w:r>
              <w:rPr>
                <w:i/>
                <w:iCs/>
                <w:lang w:eastAsia="lt-LT"/>
              </w:rPr>
              <w:t>Geriausia terapija</w:t>
            </w:r>
          </w:p>
        </w:tc>
        <w:tc>
          <w:tcPr>
            <w:tcW w:w="3579" w:type="dxa"/>
            <w:tcBorders>
              <w:top w:val="single" w:sz="4" w:space="0" w:color="auto"/>
              <w:bottom w:val="single" w:sz="4" w:space="0" w:color="auto"/>
            </w:tcBorders>
          </w:tcPr>
          <w:p w14:paraId="1A9BF3F1" w14:textId="77777777" w:rsidR="00AB6C7B" w:rsidRPr="00D05364" w:rsidRDefault="00AB6C7B" w:rsidP="008E0D5B">
            <w:pPr>
              <w:tabs>
                <w:tab w:val="left" w:pos="567"/>
              </w:tabs>
              <w:jc w:val="both"/>
              <w:rPr>
                <w:i/>
                <w:lang w:eastAsia="lt-LT"/>
              </w:rPr>
            </w:pPr>
            <w:r w:rsidRPr="00D05364">
              <w:rPr>
                <w:i/>
                <w:lang w:eastAsia="lt-LT"/>
              </w:rPr>
              <w:t>Skirtumas</w:t>
            </w:r>
          </w:p>
        </w:tc>
      </w:tr>
      <w:tr w:rsidR="006C328B" w:rsidRPr="00D05364" w14:paraId="427B19D6" w14:textId="77777777" w:rsidTr="008E0D5B">
        <w:trPr>
          <w:jc w:val="center"/>
        </w:trPr>
        <w:tc>
          <w:tcPr>
            <w:tcW w:w="2697" w:type="dxa"/>
            <w:tcBorders>
              <w:top w:val="single" w:sz="4" w:space="0" w:color="auto"/>
              <w:bottom w:val="single" w:sz="4" w:space="0" w:color="auto"/>
            </w:tcBorders>
          </w:tcPr>
          <w:p w14:paraId="12BEE725" w14:textId="77777777" w:rsidR="006C328B" w:rsidRPr="00D05364" w:rsidRDefault="006C328B" w:rsidP="006C328B">
            <w:pPr>
              <w:tabs>
                <w:tab w:val="left" w:pos="567"/>
              </w:tabs>
              <w:jc w:val="both"/>
              <w:rPr>
                <w:iCs/>
                <w:color w:val="00B050"/>
                <w:lang w:eastAsia="lt-LT"/>
              </w:rPr>
            </w:pPr>
            <w:r w:rsidRPr="00D05364">
              <w:rPr>
                <w:iCs/>
                <w:color w:val="000000"/>
                <w:lang w:eastAsia="lt-LT"/>
              </w:rPr>
              <w:t>Gydymo kaštai</w:t>
            </w:r>
          </w:p>
        </w:tc>
        <w:tc>
          <w:tcPr>
            <w:tcW w:w="1613" w:type="dxa"/>
            <w:tcBorders>
              <w:top w:val="single" w:sz="4" w:space="0" w:color="auto"/>
              <w:bottom w:val="single" w:sz="4" w:space="0" w:color="auto"/>
            </w:tcBorders>
          </w:tcPr>
          <w:p w14:paraId="40B625B9" w14:textId="2179427E" w:rsidR="006C328B" w:rsidRPr="00D05364" w:rsidRDefault="006C328B" w:rsidP="006C328B">
            <w:pPr>
              <w:tabs>
                <w:tab w:val="left" w:pos="567"/>
              </w:tabs>
              <w:jc w:val="both"/>
              <w:rPr>
                <w:i/>
                <w:iCs/>
                <w:lang w:eastAsia="lt-LT"/>
              </w:rPr>
            </w:pPr>
            <w:r w:rsidRPr="009523DD">
              <w:rPr>
                <w:i/>
                <w:iCs/>
                <w:lang w:eastAsia="lt-LT"/>
              </w:rPr>
              <w:t>***</w:t>
            </w:r>
          </w:p>
        </w:tc>
        <w:tc>
          <w:tcPr>
            <w:tcW w:w="2019" w:type="dxa"/>
            <w:tcBorders>
              <w:top w:val="single" w:sz="4" w:space="0" w:color="auto"/>
              <w:bottom w:val="single" w:sz="4" w:space="0" w:color="auto"/>
            </w:tcBorders>
          </w:tcPr>
          <w:p w14:paraId="26D1F549" w14:textId="6D276A72" w:rsidR="006C328B" w:rsidRPr="00D05364" w:rsidRDefault="006C328B" w:rsidP="006C328B">
            <w:pPr>
              <w:tabs>
                <w:tab w:val="left" w:pos="567"/>
              </w:tabs>
              <w:jc w:val="both"/>
              <w:rPr>
                <w:i/>
                <w:iCs/>
                <w:lang w:eastAsia="lt-LT"/>
              </w:rPr>
            </w:pPr>
            <w:r w:rsidRPr="009523DD">
              <w:rPr>
                <w:i/>
                <w:iCs/>
                <w:lang w:eastAsia="lt-LT"/>
              </w:rPr>
              <w:t>***</w:t>
            </w:r>
          </w:p>
        </w:tc>
        <w:tc>
          <w:tcPr>
            <w:tcW w:w="3579" w:type="dxa"/>
            <w:tcBorders>
              <w:top w:val="single" w:sz="4" w:space="0" w:color="auto"/>
              <w:bottom w:val="single" w:sz="4" w:space="0" w:color="auto"/>
            </w:tcBorders>
          </w:tcPr>
          <w:p w14:paraId="5FBBCB82" w14:textId="3F2D267D" w:rsidR="006C328B" w:rsidRPr="00D05364" w:rsidRDefault="006C328B" w:rsidP="006C328B">
            <w:pPr>
              <w:tabs>
                <w:tab w:val="left" w:pos="567"/>
              </w:tabs>
              <w:jc w:val="both"/>
              <w:rPr>
                <w:lang w:eastAsia="lt-LT"/>
              </w:rPr>
            </w:pPr>
            <w:r w:rsidRPr="009523DD">
              <w:rPr>
                <w:i/>
                <w:iCs/>
                <w:lang w:eastAsia="lt-LT"/>
              </w:rPr>
              <w:t>***</w:t>
            </w:r>
          </w:p>
        </w:tc>
      </w:tr>
      <w:tr w:rsidR="006C328B" w:rsidRPr="00D05364" w14:paraId="075A248B" w14:textId="77777777" w:rsidTr="008E0D5B">
        <w:trPr>
          <w:jc w:val="center"/>
        </w:trPr>
        <w:tc>
          <w:tcPr>
            <w:tcW w:w="2697" w:type="dxa"/>
            <w:tcBorders>
              <w:top w:val="single" w:sz="4" w:space="0" w:color="auto"/>
              <w:bottom w:val="single" w:sz="4" w:space="0" w:color="auto"/>
            </w:tcBorders>
          </w:tcPr>
          <w:p w14:paraId="079AF7E5" w14:textId="77777777" w:rsidR="006C328B" w:rsidRPr="00D05364" w:rsidRDefault="006C328B" w:rsidP="006C328B">
            <w:pPr>
              <w:tabs>
                <w:tab w:val="left" w:pos="567"/>
              </w:tabs>
              <w:rPr>
                <w:iCs/>
                <w:color w:val="000000"/>
                <w:lang w:eastAsia="lt-LT"/>
              </w:rPr>
            </w:pPr>
            <w:r w:rsidRPr="00D05364">
              <w:rPr>
                <w:iCs/>
                <w:color w:val="000000"/>
                <w:lang w:eastAsia="lt-LT"/>
              </w:rPr>
              <w:t>Vaistinių preparatų įsigijimo kaštai</w:t>
            </w:r>
          </w:p>
        </w:tc>
        <w:tc>
          <w:tcPr>
            <w:tcW w:w="1613" w:type="dxa"/>
            <w:tcBorders>
              <w:top w:val="single" w:sz="4" w:space="0" w:color="auto"/>
              <w:bottom w:val="single" w:sz="4" w:space="0" w:color="auto"/>
            </w:tcBorders>
          </w:tcPr>
          <w:p w14:paraId="5F24B4CD" w14:textId="43F8917F" w:rsidR="006C328B" w:rsidRPr="00D05364" w:rsidRDefault="006C328B" w:rsidP="006C328B">
            <w:pPr>
              <w:tabs>
                <w:tab w:val="left" w:pos="567"/>
              </w:tabs>
              <w:jc w:val="both"/>
              <w:rPr>
                <w:i/>
                <w:iCs/>
                <w:lang w:eastAsia="lt-LT"/>
              </w:rPr>
            </w:pPr>
            <w:r w:rsidRPr="009523DD">
              <w:rPr>
                <w:i/>
                <w:iCs/>
                <w:lang w:eastAsia="lt-LT"/>
              </w:rPr>
              <w:t>***</w:t>
            </w:r>
          </w:p>
        </w:tc>
        <w:tc>
          <w:tcPr>
            <w:tcW w:w="2019" w:type="dxa"/>
            <w:tcBorders>
              <w:top w:val="single" w:sz="4" w:space="0" w:color="auto"/>
              <w:bottom w:val="single" w:sz="4" w:space="0" w:color="auto"/>
            </w:tcBorders>
          </w:tcPr>
          <w:p w14:paraId="1E39078C" w14:textId="1C2B8A22" w:rsidR="006C328B" w:rsidRPr="00D05364" w:rsidRDefault="006C328B" w:rsidP="006C328B">
            <w:pPr>
              <w:tabs>
                <w:tab w:val="left" w:pos="567"/>
              </w:tabs>
              <w:jc w:val="both"/>
              <w:rPr>
                <w:i/>
                <w:iCs/>
                <w:lang w:eastAsia="lt-LT"/>
              </w:rPr>
            </w:pPr>
            <w:r w:rsidRPr="009523DD">
              <w:rPr>
                <w:i/>
                <w:iCs/>
                <w:lang w:eastAsia="lt-LT"/>
              </w:rPr>
              <w:t>***</w:t>
            </w:r>
          </w:p>
        </w:tc>
        <w:tc>
          <w:tcPr>
            <w:tcW w:w="3579" w:type="dxa"/>
            <w:tcBorders>
              <w:top w:val="single" w:sz="4" w:space="0" w:color="auto"/>
              <w:bottom w:val="single" w:sz="4" w:space="0" w:color="auto"/>
            </w:tcBorders>
          </w:tcPr>
          <w:p w14:paraId="0CE34EFE" w14:textId="422A5DC8" w:rsidR="006C328B" w:rsidRPr="00D05364" w:rsidRDefault="006C328B" w:rsidP="006C328B">
            <w:pPr>
              <w:tabs>
                <w:tab w:val="left" w:pos="567"/>
              </w:tabs>
              <w:jc w:val="both"/>
              <w:rPr>
                <w:lang w:eastAsia="lt-LT"/>
              </w:rPr>
            </w:pPr>
            <w:r w:rsidRPr="009523DD">
              <w:rPr>
                <w:i/>
                <w:iCs/>
                <w:lang w:eastAsia="lt-LT"/>
              </w:rPr>
              <w:t>***</w:t>
            </w:r>
          </w:p>
        </w:tc>
      </w:tr>
      <w:tr w:rsidR="006C328B" w:rsidRPr="00D05364" w14:paraId="50B46E5B" w14:textId="77777777" w:rsidTr="008E0D5B">
        <w:trPr>
          <w:jc w:val="center"/>
        </w:trPr>
        <w:tc>
          <w:tcPr>
            <w:tcW w:w="2697" w:type="dxa"/>
            <w:tcBorders>
              <w:top w:val="single" w:sz="4" w:space="0" w:color="auto"/>
              <w:bottom w:val="single" w:sz="4" w:space="0" w:color="auto"/>
            </w:tcBorders>
          </w:tcPr>
          <w:p w14:paraId="283899CD" w14:textId="77777777" w:rsidR="006C328B" w:rsidRPr="00D05364" w:rsidRDefault="006C328B" w:rsidP="006C328B">
            <w:pPr>
              <w:tabs>
                <w:tab w:val="left" w:pos="567"/>
              </w:tabs>
              <w:jc w:val="both"/>
              <w:rPr>
                <w:iCs/>
                <w:color w:val="00B050"/>
                <w:lang w:eastAsia="lt-LT"/>
              </w:rPr>
            </w:pPr>
            <w:r w:rsidRPr="00D05364">
              <w:rPr>
                <w:iCs/>
                <w:color w:val="000000"/>
                <w:lang w:eastAsia="lt-LT"/>
              </w:rPr>
              <w:t>Nepageidaujamų reiškinių valdymo kaštai</w:t>
            </w:r>
          </w:p>
        </w:tc>
        <w:tc>
          <w:tcPr>
            <w:tcW w:w="1613" w:type="dxa"/>
            <w:tcBorders>
              <w:top w:val="single" w:sz="4" w:space="0" w:color="auto"/>
              <w:bottom w:val="single" w:sz="4" w:space="0" w:color="auto"/>
            </w:tcBorders>
          </w:tcPr>
          <w:p w14:paraId="1E7114E2" w14:textId="31F2980B" w:rsidR="006C328B" w:rsidRPr="00D05364" w:rsidRDefault="006C328B" w:rsidP="006C328B">
            <w:pPr>
              <w:tabs>
                <w:tab w:val="left" w:pos="567"/>
              </w:tabs>
              <w:jc w:val="both"/>
              <w:rPr>
                <w:i/>
                <w:iCs/>
                <w:lang w:eastAsia="lt-LT"/>
              </w:rPr>
            </w:pPr>
            <w:r w:rsidRPr="009523DD">
              <w:rPr>
                <w:i/>
                <w:iCs/>
                <w:lang w:eastAsia="lt-LT"/>
              </w:rPr>
              <w:t>***</w:t>
            </w:r>
          </w:p>
        </w:tc>
        <w:tc>
          <w:tcPr>
            <w:tcW w:w="2019" w:type="dxa"/>
            <w:tcBorders>
              <w:top w:val="single" w:sz="4" w:space="0" w:color="auto"/>
              <w:bottom w:val="single" w:sz="4" w:space="0" w:color="auto"/>
            </w:tcBorders>
          </w:tcPr>
          <w:p w14:paraId="733AD98C" w14:textId="4D5EF16C" w:rsidR="006C328B" w:rsidRPr="00D05364" w:rsidRDefault="006C328B" w:rsidP="006C328B">
            <w:pPr>
              <w:tabs>
                <w:tab w:val="left" w:pos="567"/>
              </w:tabs>
              <w:jc w:val="both"/>
              <w:rPr>
                <w:i/>
                <w:iCs/>
                <w:lang w:eastAsia="lt-LT"/>
              </w:rPr>
            </w:pPr>
            <w:r w:rsidRPr="009523DD">
              <w:rPr>
                <w:i/>
                <w:iCs/>
                <w:lang w:eastAsia="lt-LT"/>
              </w:rPr>
              <w:t>***</w:t>
            </w:r>
          </w:p>
        </w:tc>
        <w:tc>
          <w:tcPr>
            <w:tcW w:w="3579" w:type="dxa"/>
            <w:tcBorders>
              <w:top w:val="single" w:sz="4" w:space="0" w:color="auto"/>
              <w:bottom w:val="single" w:sz="4" w:space="0" w:color="auto"/>
            </w:tcBorders>
          </w:tcPr>
          <w:p w14:paraId="33B8B996" w14:textId="6E5C895C" w:rsidR="006C328B" w:rsidRPr="00D05364" w:rsidRDefault="006C328B" w:rsidP="006C328B">
            <w:pPr>
              <w:tabs>
                <w:tab w:val="left" w:pos="567"/>
              </w:tabs>
              <w:jc w:val="both"/>
              <w:rPr>
                <w:i/>
                <w:iCs/>
                <w:lang w:eastAsia="lt-LT"/>
              </w:rPr>
            </w:pPr>
            <w:r w:rsidRPr="009523DD">
              <w:rPr>
                <w:i/>
                <w:iCs/>
                <w:lang w:eastAsia="lt-LT"/>
              </w:rPr>
              <w:t>***</w:t>
            </w:r>
          </w:p>
        </w:tc>
      </w:tr>
      <w:tr w:rsidR="006C328B" w:rsidRPr="00D05364" w14:paraId="46516E74" w14:textId="77777777" w:rsidTr="008E0D5B">
        <w:trPr>
          <w:jc w:val="center"/>
        </w:trPr>
        <w:tc>
          <w:tcPr>
            <w:tcW w:w="2697" w:type="dxa"/>
            <w:tcBorders>
              <w:top w:val="single" w:sz="4" w:space="0" w:color="auto"/>
              <w:bottom w:val="single" w:sz="4" w:space="0" w:color="auto"/>
            </w:tcBorders>
          </w:tcPr>
          <w:p w14:paraId="34FA821C" w14:textId="77777777" w:rsidR="006C328B" w:rsidRPr="00D05364" w:rsidRDefault="006C328B" w:rsidP="006C328B">
            <w:pPr>
              <w:tabs>
                <w:tab w:val="left" w:pos="567"/>
              </w:tabs>
              <w:rPr>
                <w:iCs/>
                <w:color w:val="000000"/>
                <w:lang w:eastAsia="lt-LT"/>
              </w:rPr>
            </w:pPr>
            <w:r w:rsidRPr="00D05364">
              <w:rPr>
                <w:iCs/>
                <w:color w:val="000000"/>
                <w:lang w:eastAsia="lt-LT"/>
              </w:rPr>
              <w:t xml:space="preserve">Vaistų </w:t>
            </w:r>
            <w:r>
              <w:rPr>
                <w:iCs/>
                <w:color w:val="000000"/>
                <w:lang w:eastAsia="lt-LT"/>
              </w:rPr>
              <w:t>vartojimo kaštai</w:t>
            </w:r>
          </w:p>
        </w:tc>
        <w:tc>
          <w:tcPr>
            <w:tcW w:w="1613" w:type="dxa"/>
            <w:tcBorders>
              <w:top w:val="single" w:sz="4" w:space="0" w:color="auto"/>
              <w:bottom w:val="single" w:sz="4" w:space="0" w:color="auto"/>
            </w:tcBorders>
          </w:tcPr>
          <w:p w14:paraId="095E38FA" w14:textId="42BFAED8" w:rsidR="006C328B" w:rsidRPr="00D05364" w:rsidRDefault="006C328B" w:rsidP="006C328B">
            <w:pPr>
              <w:tabs>
                <w:tab w:val="left" w:pos="567"/>
              </w:tabs>
              <w:jc w:val="both"/>
              <w:rPr>
                <w:i/>
                <w:iCs/>
                <w:lang w:eastAsia="lt-LT"/>
              </w:rPr>
            </w:pPr>
            <w:r w:rsidRPr="009523DD">
              <w:rPr>
                <w:i/>
                <w:iCs/>
                <w:lang w:eastAsia="lt-LT"/>
              </w:rPr>
              <w:t>***</w:t>
            </w:r>
          </w:p>
        </w:tc>
        <w:tc>
          <w:tcPr>
            <w:tcW w:w="2019" w:type="dxa"/>
            <w:tcBorders>
              <w:top w:val="single" w:sz="4" w:space="0" w:color="auto"/>
              <w:bottom w:val="single" w:sz="4" w:space="0" w:color="auto"/>
            </w:tcBorders>
          </w:tcPr>
          <w:p w14:paraId="7EBC8943" w14:textId="4E60A97B" w:rsidR="006C328B" w:rsidRPr="00D05364" w:rsidRDefault="006C328B" w:rsidP="006C328B">
            <w:pPr>
              <w:tabs>
                <w:tab w:val="left" w:pos="567"/>
              </w:tabs>
              <w:jc w:val="both"/>
              <w:rPr>
                <w:i/>
                <w:iCs/>
                <w:lang w:eastAsia="lt-LT"/>
              </w:rPr>
            </w:pPr>
            <w:r w:rsidRPr="009523DD">
              <w:rPr>
                <w:i/>
                <w:iCs/>
                <w:lang w:eastAsia="lt-LT"/>
              </w:rPr>
              <w:t>***</w:t>
            </w:r>
          </w:p>
        </w:tc>
        <w:tc>
          <w:tcPr>
            <w:tcW w:w="3579" w:type="dxa"/>
            <w:tcBorders>
              <w:top w:val="single" w:sz="4" w:space="0" w:color="auto"/>
              <w:bottom w:val="single" w:sz="4" w:space="0" w:color="auto"/>
            </w:tcBorders>
          </w:tcPr>
          <w:p w14:paraId="21EAC342" w14:textId="6F0E881A" w:rsidR="006C328B" w:rsidRPr="00D05364" w:rsidRDefault="006C328B" w:rsidP="006C328B">
            <w:pPr>
              <w:tabs>
                <w:tab w:val="left" w:pos="567"/>
              </w:tabs>
              <w:jc w:val="both"/>
              <w:rPr>
                <w:i/>
                <w:iCs/>
                <w:lang w:eastAsia="lt-LT"/>
              </w:rPr>
            </w:pPr>
            <w:r w:rsidRPr="009523DD">
              <w:rPr>
                <w:i/>
                <w:iCs/>
                <w:lang w:eastAsia="lt-LT"/>
              </w:rPr>
              <w:t>***</w:t>
            </w:r>
          </w:p>
        </w:tc>
      </w:tr>
      <w:tr w:rsidR="006C328B" w:rsidRPr="00D05364" w14:paraId="4AB46665" w14:textId="77777777" w:rsidTr="008E0D5B">
        <w:trPr>
          <w:jc w:val="center"/>
        </w:trPr>
        <w:tc>
          <w:tcPr>
            <w:tcW w:w="2697" w:type="dxa"/>
            <w:tcBorders>
              <w:top w:val="single" w:sz="4" w:space="0" w:color="auto"/>
              <w:bottom w:val="single" w:sz="4" w:space="0" w:color="auto"/>
            </w:tcBorders>
          </w:tcPr>
          <w:p w14:paraId="3D0729D0" w14:textId="77777777" w:rsidR="006C328B" w:rsidRPr="00D05364" w:rsidRDefault="006C328B" w:rsidP="006C328B">
            <w:pPr>
              <w:tabs>
                <w:tab w:val="left" w:pos="567"/>
              </w:tabs>
              <w:rPr>
                <w:iCs/>
                <w:color w:val="000000"/>
                <w:lang w:eastAsia="lt-LT"/>
              </w:rPr>
            </w:pPr>
            <w:r>
              <w:rPr>
                <w:iCs/>
                <w:color w:val="000000"/>
                <w:lang w:eastAsia="lt-LT"/>
              </w:rPr>
              <w:t>Gyvenimo pabaigos kaštai</w:t>
            </w:r>
          </w:p>
        </w:tc>
        <w:tc>
          <w:tcPr>
            <w:tcW w:w="1613" w:type="dxa"/>
            <w:tcBorders>
              <w:top w:val="single" w:sz="4" w:space="0" w:color="auto"/>
              <w:bottom w:val="single" w:sz="4" w:space="0" w:color="auto"/>
            </w:tcBorders>
          </w:tcPr>
          <w:p w14:paraId="56DBE9F3" w14:textId="4EA36DEF" w:rsidR="006C328B" w:rsidRDefault="006C328B" w:rsidP="006C328B">
            <w:pPr>
              <w:tabs>
                <w:tab w:val="left" w:pos="567"/>
              </w:tabs>
              <w:jc w:val="both"/>
              <w:rPr>
                <w:i/>
                <w:iCs/>
                <w:lang w:eastAsia="lt-LT"/>
              </w:rPr>
            </w:pPr>
            <w:r w:rsidRPr="009523DD">
              <w:rPr>
                <w:i/>
                <w:iCs/>
                <w:lang w:eastAsia="lt-LT"/>
              </w:rPr>
              <w:t>***</w:t>
            </w:r>
          </w:p>
        </w:tc>
        <w:tc>
          <w:tcPr>
            <w:tcW w:w="2019" w:type="dxa"/>
            <w:tcBorders>
              <w:top w:val="single" w:sz="4" w:space="0" w:color="auto"/>
              <w:bottom w:val="single" w:sz="4" w:space="0" w:color="auto"/>
            </w:tcBorders>
          </w:tcPr>
          <w:p w14:paraId="4DAB03DE" w14:textId="6D52A714" w:rsidR="006C328B" w:rsidRDefault="006C328B" w:rsidP="006C328B">
            <w:pPr>
              <w:tabs>
                <w:tab w:val="left" w:pos="567"/>
              </w:tabs>
              <w:jc w:val="both"/>
              <w:rPr>
                <w:i/>
                <w:iCs/>
                <w:lang w:eastAsia="lt-LT"/>
              </w:rPr>
            </w:pPr>
            <w:r w:rsidRPr="009523DD">
              <w:rPr>
                <w:i/>
                <w:iCs/>
                <w:lang w:eastAsia="lt-LT"/>
              </w:rPr>
              <w:t>***</w:t>
            </w:r>
          </w:p>
        </w:tc>
        <w:tc>
          <w:tcPr>
            <w:tcW w:w="3579" w:type="dxa"/>
            <w:tcBorders>
              <w:top w:val="single" w:sz="4" w:space="0" w:color="auto"/>
              <w:bottom w:val="single" w:sz="4" w:space="0" w:color="auto"/>
            </w:tcBorders>
          </w:tcPr>
          <w:p w14:paraId="34C02767" w14:textId="1B884D0D" w:rsidR="006C328B" w:rsidRDefault="006C328B" w:rsidP="006C328B">
            <w:pPr>
              <w:tabs>
                <w:tab w:val="left" w:pos="567"/>
              </w:tabs>
              <w:jc w:val="both"/>
              <w:rPr>
                <w:i/>
                <w:iCs/>
                <w:lang w:eastAsia="lt-LT"/>
              </w:rPr>
            </w:pPr>
            <w:r w:rsidRPr="009523DD">
              <w:rPr>
                <w:i/>
                <w:iCs/>
                <w:lang w:eastAsia="lt-LT"/>
              </w:rPr>
              <w:t>***</w:t>
            </w:r>
          </w:p>
        </w:tc>
      </w:tr>
      <w:tr w:rsidR="006C328B" w:rsidRPr="00D05364" w14:paraId="00C1B46B" w14:textId="77777777" w:rsidTr="008E0D5B">
        <w:trPr>
          <w:jc w:val="center"/>
        </w:trPr>
        <w:tc>
          <w:tcPr>
            <w:tcW w:w="2697" w:type="dxa"/>
            <w:tcBorders>
              <w:top w:val="single" w:sz="4" w:space="0" w:color="auto"/>
              <w:bottom w:val="single" w:sz="12" w:space="0" w:color="auto"/>
            </w:tcBorders>
          </w:tcPr>
          <w:p w14:paraId="05C91194" w14:textId="77777777" w:rsidR="006C328B" w:rsidRPr="00D05364" w:rsidRDefault="006C328B" w:rsidP="006C328B">
            <w:pPr>
              <w:tabs>
                <w:tab w:val="left" w:pos="567"/>
              </w:tabs>
              <w:jc w:val="right"/>
              <w:rPr>
                <w:iCs/>
                <w:lang w:eastAsia="lt-LT"/>
              </w:rPr>
            </w:pPr>
            <w:r>
              <w:rPr>
                <w:iCs/>
                <w:lang w:eastAsia="lt-LT"/>
              </w:rPr>
              <w:t>Viso:</w:t>
            </w:r>
          </w:p>
        </w:tc>
        <w:tc>
          <w:tcPr>
            <w:tcW w:w="1613" w:type="dxa"/>
            <w:tcBorders>
              <w:top w:val="single" w:sz="4" w:space="0" w:color="auto"/>
              <w:bottom w:val="single" w:sz="12" w:space="0" w:color="auto"/>
            </w:tcBorders>
          </w:tcPr>
          <w:p w14:paraId="0DB408ED" w14:textId="6EBD3F04" w:rsidR="006C328B" w:rsidRPr="00D05364" w:rsidRDefault="006C328B" w:rsidP="006C328B">
            <w:pPr>
              <w:tabs>
                <w:tab w:val="left" w:pos="567"/>
              </w:tabs>
              <w:jc w:val="both"/>
              <w:rPr>
                <w:i/>
                <w:iCs/>
                <w:lang w:eastAsia="lt-LT"/>
              </w:rPr>
            </w:pPr>
            <w:r w:rsidRPr="009523DD">
              <w:rPr>
                <w:i/>
                <w:iCs/>
                <w:lang w:eastAsia="lt-LT"/>
              </w:rPr>
              <w:t>***</w:t>
            </w:r>
          </w:p>
        </w:tc>
        <w:tc>
          <w:tcPr>
            <w:tcW w:w="2019" w:type="dxa"/>
            <w:tcBorders>
              <w:top w:val="single" w:sz="4" w:space="0" w:color="auto"/>
              <w:bottom w:val="single" w:sz="12" w:space="0" w:color="auto"/>
            </w:tcBorders>
          </w:tcPr>
          <w:p w14:paraId="4EC71B60" w14:textId="16E08A7A" w:rsidR="006C328B" w:rsidRPr="00D05364" w:rsidRDefault="006C328B" w:rsidP="006C328B">
            <w:pPr>
              <w:tabs>
                <w:tab w:val="left" w:pos="567"/>
              </w:tabs>
              <w:jc w:val="both"/>
              <w:rPr>
                <w:i/>
                <w:iCs/>
                <w:lang w:eastAsia="lt-LT"/>
              </w:rPr>
            </w:pPr>
            <w:r w:rsidRPr="009523DD">
              <w:rPr>
                <w:i/>
                <w:iCs/>
                <w:lang w:eastAsia="lt-LT"/>
              </w:rPr>
              <w:t>***</w:t>
            </w:r>
          </w:p>
        </w:tc>
        <w:tc>
          <w:tcPr>
            <w:tcW w:w="3579" w:type="dxa"/>
            <w:tcBorders>
              <w:top w:val="single" w:sz="4" w:space="0" w:color="auto"/>
              <w:bottom w:val="single" w:sz="12" w:space="0" w:color="auto"/>
            </w:tcBorders>
          </w:tcPr>
          <w:p w14:paraId="47722351" w14:textId="5700AC16" w:rsidR="006C328B" w:rsidRPr="00FB0507" w:rsidRDefault="006C328B" w:rsidP="006C328B">
            <w:pPr>
              <w:tabs>
                <w:tab w:val="left" w:pos="567"/>
              </w:tabs>
              <w:jc w:val="both"/>
              <w:rPr>
                <w:b/>
                <w:i/>
                <w:iCs/>
                <w:lang w:eastAsia="lt-LT"/>
              </w:rPr>
            </w:pPr>
            <w:r w:rsidRPr="009523DD">
              <w:rPr>
                <w:i/>
                <w:iCs/>
                <w:lang w:eastAsia="lt-LT"/>
              </w:rPr>
              <w:t>***</w:t>
            </w:r>
          </w:p>
        </w:tc>
      </w:tr>
      <w:tr w:rsidR="00AB6C7B" w:rsidRPr="00D05364" w14:paraId="1F4A1E0D" w14:textId="77777777" w:rsidTr="008E0D5B">
        <w:trPr>
          <w:jc w:val="center"/>
        </w:trPr>
        <w:tc>
          <w:tcPr>
            <w:tcW w:w="9908" w:type="dxa"/>
            <w:gridSpan w:val="4"/>
            <w:tcBorders>
              <w:top w:val="single" w:sz="12" w:space="0" w:color="auto"/>
              <w:bottom w:val="single" w:sz="4" w:space="0" w:color="auto"/>
            </w:tcBorders>
          </w:tcPr>
          <w:p w14:paraId="2233261E" w14:textId="77777777" w:rsidR="00AB6C7B" w:rsidRPr="00D05364" w:rsidRDefault="00AB6C7B" w:rsidP="008E0D5B">
            <w:pPr>
              <w:tabs>
                <w:tab w:val="left" w:pos="567"/>
              </w:tabs>
              <w:jc w:val="center"/>
              <w:rPr>
                <w:iCs/>
                <w:lang w:eastAsia="lt-LT"/>
              </w:rPr>
            </w:pPr>
            <w:r w:rsidRPr="00D05364">
              <w:rPr>
                <w:lang w:eastAsia="lt-LT"/>
              </w:rPr>
              <w:t>Papildomi gyvenimo metai (LY)</w:t>
            </w:r>
          </w:p>
        </w:tc>
      </w:tr>
      <w:tr w:rsidR="006C328B" w:rsidRPr="00D05364" w14:paraId="28F8CA21" w14:textId="77777777" w:rsidTr="008E0D5B">
        <w:trPr>
          <w:jc w:val="center"/>
        </w:trPr>
        <w:tc>
          <w:tcPr>
            <w:tcW w:w="2697" w:type="dxa"/>
            <w:tcBorders>
              <w:top w:val="single" w:sz="4" w:space="0" w:color="auto"/>
              <w:bottom w:val="single" w:sz="4" w:space="0" w:color="auto"/>
            </w:tcBorders>
          </w:tcPr>
          <w:p w14:paraId="796F8CD5" w14:textId="77777777" w:rsidR="006C328B" w:rsidRPr="00D05364" w:rsidRDefault="006C328B" w:rsidP="006C328B">
            <w:pPr>
              <w:tabs>
                <w:tab w:val="left" w:pos="567"/>
              </w:tabs>
              <w:jc w:val="both"/>
              <w:rPr>
                <w:lang w:eastAsia="lt-LT"/>
              </w:rPr>
            </w:pPr>
            <w:proofErr w:type="spellStart"/>
            <w:r>
              <w:rPr>
                <w:i/>
                <w:iCs/>
                <w:lang w:eastAsia="lt-LT"/>
              </w:rPr>
              <w:t>Fedratinibas</w:t>
            </w:r>
            <w:proofErr w:type="spellEnd"/>
          </w:p>
        </w:tc>
        <w:tc>
          <w:tcPr>
            <w:tcW w:w="3632" w:type="dxa"/>
            <w:gridSpan w:val="2"/>
            <w:tcBorders>
              <w:top w:val="single" w:sz="4" w:space="0" w:color="auto"/>
              <w:bottom w:val="single" w:sz="4" w:space="0" w:color="auto"/>
            </w:tcBorders>
          </w:tcPr>
          <w:p w14:paraId="477AC11A" w14:textId="4AE726DF" w:rsidR="006C328B" w:rsidRPr="00D05364" w:rsidRDefault="006C328B" w:rsidP="006C328B">
            <w:pPr>
              <w:tabs>
                <w:tab w:val="left" w:pos="567"/>
              </w:tabs>
              <w:jc w:val="both"/>
              <w:rPr>
                <w:i/>
                <w:iCs/>
                <w:lang w:eastAsia="lt-LT"/>
              </w:rPr>
            </w:pPr>
            <w:r w:rsidRPr="002133B8">
              <w:rPr>
                <w:i/>
                <w:iCs/>
                <w:lang w:eastAsia="lt-LT"/>
              </w:rPr>
              <w:t>***</w:t>
            </w:r>
          </w:p>
        </w:tc>
        <w:tc>
          <w:tcPr>
            <w:tcW w:w="3579" w:type="dxa"/>
            <w:vMerge w:val="restart"/>
            <w:tcBorders>
              <w:top w:val="single" w:sz="4" w:space="0" w:color="auto"/>
            </w:tcBorders>
          </w:tcPr>
          <w:p w14:paraId="4B4ECC19" w14:textId="36C61EA0" w:rsidR="006C328B" w:rsidRPr="00D05364" w:rsidRDefault="006C328B" w:rsidP="006C328B">
            <w:pPr>
              <w:tabs>
                <w:tab w:val="left" w:pos="567"/>
              </w:tabs>
              <w:jc w:val="both"/>
              <w:rPr>
                <w:lang w:eastAsia="lt-LT"/>
              </w:rPr>
            </w:pPr>
            <w:r w:rsidRPr="00D05364">
              <w:rPr>
                <w:lang w:eastAsia="lt-LT"/>
              </w:rPr>
              <w:t>Skirtumas:</w:t>
            </w:r>
            <w:r>
              <w:rPr>
                <w:lang w:eastAsia="lt-LT"/>
              </w:rPr>
              <w:t xml:space="preserve"> ***</w:t>
            </w:r>
          </w:p>
        </w:tc>
      </w:tr>
      <w:tr w:rsidR="006C328B" w:rsidRPr="00D05364" w14:paraId="2B790CCC" w14:textId="77777777" w:rsidTr="008E0D5B">
        <w:trPr>
          <w:jc w:val="center"/>
        </w:trPr>
        <w:tc>
          <w:tcPr>
            <w:tcW w:w="2697" w:type="dxa"/>
            <w:tcBorders>
              <w:top w:val="single" w:sz="4" w:space="0" w:color="auto"/>
              <w:bottom w:val="single" w:sz="12" w:space="0" w:color="auto"/>
            </w:tcBorders>
          </w:tcPr>
          <w:p w14:paraId="6B6F0ECE" w14:textId="77777777" w:rsidR="006C328B" w:rsidRPr="00D05364" w:rsidRDefault="006C328B" w:rsidP="006C328B">
            <w:pPr>
              <w:tabs>
                <w:tab w:val="left" w:pos="567"/>
              </w:tabs>
              <w:jc w:val="both"/>
              <w:rPr>
                <w:lang w:eastAsia="lt-LT"/>
              </w:rPr>
            </w:pPr>
            <w:r>
              <w:rPr>
                <w:i/>
                <w:iCs/>
                <w:lang w:eastAsia="lt-LT"/>
              </w:rPr>
              <w:t>Geriausia terapija</w:t>
            </w:r>
          </w:p>
        </w:tc>
        <w:tc>
          <w:tcPr>
            <w:tcW w:w="3632" w:type="dxa"/>
            <w:gridSpan w:val="2"/>
            <w:tcBorders>
              <w:top w:val="single" w:sz="4" w:space="0" w:color="auto"/>
              <w:bottom w:val="single" w:sz="12" w:space="0" w:color="auto"/>
            </w:tcBorders>
          </w:tcPr>
          <w:p w14:paraId="1E97E53B" w14:textId="2CEC20D9" w:rsidR="006C328B" w:rsidRPr="00D05364" w:rsidRDefault="006C328B" w:rsidP="006C328B">
            <w:pPr>
              <w:tabs>
                <w:tab w:val="left" w:pos="567"/>
              </w:tabs>
              <w:jc w:val="both"/>
              <w:rPr>
                <w:i/>
                <w:iCs/>
                <w:lang w:eastAsia="lt-LT"/>
              </w:rPr>
            </w:pPr>
            <w:r w:rsidRPr="002133B8">
              <w:rPr>
                <w:i/>
                <w:iCs/>
                <w:lang w:eastAsia="lt-LT"/>
              </w:rPr>
              <w:t>***</w:t>
            </w:r>
          </w:p>
        </w:tc>
        <w:tc>
          <w:tcPr>
            <w:tcW w:w="3579" w:type="dxa"/>
            <w:vMerge/>
            <w:tcBorders>
              <w:bottom w:val="single" w:sz="12" w:space="0" w:color="auto"/>
            </w:tcBorders>
          </w:tcPr>
          <w:p w14:paraId="4441CD98" w14:textId="77777777" w:rsidR="006C328B" w:rsidRPr="00D05364" w:rsidRDefault="006C328B" w:rsidP="006C328B">
            <w:pPr>
              <w:tabs>
                <w:tab w:val="left" w:pos="567"/>
              </w:tabs>
              <w:jc w:val="both"/>
              <w:rPr>
                <w:i/>
                <w:iCs/>
                <w:lang w:eastAsia="lt-LT"/>
              </w:rPr>
            </w:pPr>
          </w:p>
        </w:tc>
      </w:tr>
      <w:tr w:rsidR="00AB6C7B" w:rsidRPr="00D05364" w14:paraId="5DA8DF01" w14:textId="77777777" w:rsidTr="008E0D5B">
        <w:trPr>
          <w:jc w:val="center"/>
        </w:trPr>
        <w:tc>
          <w:tcPr>
            <w:tcW w:w="9908" w:type="dxa"/>
            <w:gridSpan w:val="4"/>
            <w:tcBorders>
              <w:top w:val="single" w:sz="12" w:space="0" w:color="auto"/>
              <w:bottom w:val="single" w:sz="4" w:space="0" w:color="auto"/>
            </w:tcBorders>
          </w:tcPr>
          <w:p w14:paraId="5DECBA03" w14:textId="77777777" w:rsidR="00AB6C7B" w:rsidRPr="00D05364" w:rsidRDefault="00AB6C7B" w:rsidP="008E0D5B">
            <w:pPr>
              <w:tabs>
                <w:tab w:val="left" w:pos="567"/>
              </w:tabs>
              <w:jc w:val="center"/>
              <w:rPr>
                <w:iCs/>
                <w:lang w:eastAsia="lt-LT"/>
              </w:rPr>
            </w:pPr>
            <w:r w:rsidRPr="00D05364">
              <w:rPr>
                <w:lang w:eastAsia="lt-LT"/>
              </w:rPr>
              <w:t>Kokybiški gyvenimo metai (QALY)</w:t>
            </w:r>
          </w:p>
        </w:tc>
      </w:tr>
      <w:tr w:rsidR="006C328B" w:rsidRPr="00D05364" w14:paraId="3444E873" w14:textId="77777777" w:rsidTr="008E0D5B">
        <w:trPr>
          <w:jc w:val="center"/>
        </w:trPr>
        <w:tc>
          <w:tcPr>
            <w:tcW w:w="2697" w:type="dxa"/>
            <w:tcBorders>
              <w:top w:val="single" w:sz="4" w:space="0" w:color="auto"/>
              <w:bottom w:val="single" w:sz="4" w:space="0" w:color="auto"/>
            </w:tcBorders>
          </w:tcPr>
          <w:p w14:paraId="32800201" w14:textId="77777777" w:rsidR="006C328B" w:rsidRPr="00D05364" w:rsidRDefault="006C328B" w:rsidP="006C328B">
            <w:pPr>
              <w:tabs>
                <w:tab w:val="left" w:pos="567"/>
              </w:tabs>
              <w:jc w:val="both"/>
              <w:rPr>
                <w:iCs/>
                <w:lang w:eastAsia="lt-LT"/>
              </w:rPr>
            </w:pPr>
            <w:proofErr w:type="spellStart"/>
            <w:r>
              <w:rPr>
                <w:i/>
                <w:iCs/>
                <w:lang w:eastAsia="lt-LT"/>
              </w:rPr>
              <w:t>Fedratinibas</w:t>
            </w:r>
            <w:proofErr w:type="spellEnd"/>
          </w:p>
        </w:tc>
        <w:tc>
          <w:tcPr>
            <w:tcW w:w="3632" w:type="dxa"/>
            <w:gridSpan w:val="2"/>
            <w:tcBorders>
              <w:top w:val="single" w:sz="4" w:space="0" w:color="auto"/>
              <w:bottom w:val="single" w:sz="4" w:space="0" w:color="auto"/>
            </w:tcBorders>
          </w:tcPr>
          <w:p w14:paraId="73D9B5A1" w14:textId="00343035" w:rsidR="006C328B" w:rsidRPr="00D05364" w:rsidRDefault="006C328B" w:rsidP="006C328B">
            <w:pPr>
              <w:tabs>
                <w:tab w:val="left" w:pos="567"/>
              </w:tabs>
              <w:jc w:val="both"/>
              <w:rPr>
                <w:i/>
                <w:iCs/>
                <w:lang w:eastAsia="lt-LT"/>
              </w:rPr>
            </w:pPr>
            <w:r w:rsidRPr="000D7014">
              <w:rPr>
                <w:i/>
                <w:iCs/>
                <w:lang w:eastAsia="lt-LT"/>
              </w:rPr>
              <w:t>***</w:t>
            </w:r>
          </w:p>
        </w:tc>
        <w:tc>
          <w:tcPr>
            <w:tcW w:w="3579" w:type="dxa"/>
            <w:vMerge w:val="restart"/>
            <w:tcBorders>
              <w:top w:val="single" w:sz="4" w:space="0" w:color="auto"/>
            </w:tcBorders>
          </w:tcPr>
          <w:p w14:paraId="0219D675" w14:textId="177B3F14" w:rsidR="006C328B" w:rsidRPr="00D05364" w:rsidRDefault="006C328B" w:rsidP="006C328B">
            <w:pPr>
              <w:tabs>
                <w:tab w:val="left" w:pos="567"/>
              </w:tabs>
              <w:jc w:val="both"/>
              <w:rPr>
                <w:lang w:eastAsia="lt-LT"/>
              </w:rPr>
            </w:pPr>
            <w:r w:rsidRPr="00D05364">
              <w:rPr>
                <w:lang w:eastAsia="lt-LT"/>
              </w:rPr>
              <w:t xml:space="preserve">Skirtumas: </w:t>
            </w:r>
            <w:r>
              <w:rPr>
                <w:lang w:eastAsia="lt-LT"/>
              </w:rPr>
              <w:t>***</w:t>
            </w:r>
          </w:p>
        </w:tc>
      </w:tr>
      <w:tr w:rsidR="006C328B" w:rsidRPr="00D05364" w14:paraId="018481B5" w14:textId="77777777" w:rsidTr="008E0D5B">
        <w:trPr>
          <w:jc w:val="center"/>
        </w:trPr>
        <w:tc>
          <w:tcPr>
            <w:tcW w:w="2697" w:type="dxa"/>
            <w:tcBorders>
              <w:top w:val="single" w:sz="4" w:space="0" w:color="auto"/>
              <w:bottom w:val="single" w:sz="12" w:space="0" w:color="auto"/>
            </w:tcBorders>
          </w:tcPr>
          <w:p w14:paraId="5296421F" w14:textId="77777777" w:rsidR="006C328B" w:rsidRPr="00D05364" w:rsidRDefault="006C328B" w:rsidP="006C328B">
            <w:pPr>
              <w:tabs>
                <w:tab w:val="left" w:pos="567"/>
              </w:tabs>
              <w:jc w:val="both"/>
              <w:rPr>
                <w:iCs/>
                <w:lang w:eastAsia="lt-LT"/>
              </w:rPr>
            </w:pPr>
            <w:r>
              <w:rPr>
                <w:i/>
                <w:iCs/>
                <w:lang w:eastAsia="lt-LT"/>
              </w:rPr>
              <w:t>Geriausia terapija</w:t>
            </w:r>
          </w:p>
        </w:tc>
        <w:tc>
          <w:tcPr>
            <w:tcW w:w="3632" w:type="dxa"/>
            <w:gridSpan w:val="2"/>
            <w:tcBorders>
              <w:top w:val="single" w:sz="4" w:space="0" w:color="auto"/>
              <w:bottom w:val="single" w:sz="12" w:space="0" w:color="auto"/>
            </w:tcBorders>
          </w:tcPr>
          <w:p w14:paraId="69736E89" w14:textId="7F7EBD3A" w:rsidR="006C328B" w:rsidRPr="00D05364" w:rsidRDefault="006C328B" w:rsidP="006C328B">
            <w:pPr>
              <w:tabs>
                <w:tab w:val="left" w:pos="567"/>
              </w:tabs>
              <w:jc w:val="both"/>
              <w:rPr>
                <w:i/>
                <w:iCs/>
                <w:lang w:eastAsia="lt-LT"/>
              </w:rPr>
            </w:pPr>
            <w:r w:rsidRPr="000D7014">
              <w:rPr>
                <w:i/>
                <w:iCs/>
                <w:lang w:eastAsia="lt-LT"/>
              </w:rPr>
              <w:t>***</w:t>
            </w:r>
          </w:p>
        </w:tc>
        <w:tc>
          <w:tcPr>
            <w:tcW w:w="3579" w:type="dxa"/>
            <w:vMerge/>
            <w:tcBorders>
              <w:bottom w:val="single" w:sz="12" w:space="0" w:color="auto"/>
            </w:tcBorders>
          </w:tcPr>
          <w:p w14:paraId="0C645E5B" w14:textId="77777777" w:rsidR="006C328B" w:rsidRPr="00D05364" w:rsidRDefault="006C328B" w:rsidP="006C328B">
            <w:pPr>
              <w:tabs>
                <w:tab w:val="left" w:pos="567"/>
              </w:tabs>
              <w:jc w:val="both"/>
              <w:rPr>
                <w:i/>
                <w:iCs/>
                <w:lang w:eastAsia="lt-LT"/>
              </w:rPr>
            </w:pPr>
          </w:p>
        </w:tc>
      </w:tr>
      <w:tr w:rsidR="00AB6C7B" w:rsidRPr="00D05364" w14:paraId="26FD03E6" w14:textId="77777777" w:rsidTr="008E0D5B">
        <w:trPr>
          <w:trHeight w:val="347"/>
          <w:jc w:val="center"/>
        </w:trPr>
        <w:tc>
          <w:tcPr>
            <w:tcW w:w="9908" w:type="dxa"/>
            <w:gridSpan w:val="4"/>
            <w:tcBorders>
              <w:top w:val="single" w:sz="12" w:space="0" w:color="auto"/>
            </w:tcBorders>
            <w:vAlign w:val="center"/>
          </w:tcPr>
          <w:p w14:paraId="5370BC84" w14:textId="77777777" w:rsidR="00AB6C7B" w:rsidRPr="00D05364" w:rsidRDefault="00AB6C7B" w:rsidP="008E0D5B">
            <w:pPr>
              <w:tabs>
                <w:tab w:val="left" w:pos="567"/>
              </w:tabs>
              <w:jc w:val="center"/>
              <w:rPr>
                <w:b/>
                <w:bCs/>
                <w:sz w:val="26"/>
                <w:szCs w:val="26"/>
                <w:lang w:eastAsia="lt-LT"/>
              </w:rPr>
            </w:pPr>
            <w:r w:rsidRPr="00D05364">
              <w:rPr>
                <w:b/>
                <w:bCs/>
                <w:sz w:val="26"/>
                <w:szCs w:val="26"/>
                <w:lang w:eastAsia="lt-LT"/>
              </w:rPr>
              <w:t>Rezultatai</w:t>
            </w:r>
          </w:p>
        </w:tc>
      </w:tr>
      <w:tr w:rsidR="00AB6C7B" w:rsidRPr="00D05364" w14:paraId="6A3B2DA6" w14:textId="77777777" w:rsidTr="008E0D5B">
        <w:trPr>
          <w:jc w:val="center"/>
        </w:trPr>
        <w:tc>
          <w:tcPr>
            <w:tcW w:w="6329" w:type="dxa"/>
            <w:gridSpan w:val="3"/>
          </w:tcPr>
          <w:p w14:paraId="538B5BBB" w14:textId="77777777" w:rsidR="00AB6C7B" w:rsidRPr="00D05364" w:rsidRDefault="00AB6C7B" w:rsidP="008E0D5B">
            <w:pPr>
              <w:tabs>
                <w:tab w:val="left" w:pos="567"/>
              </w:tabs>
              <w:jc w:val="right"/>
              <w:rPr>
                <w:iCs/>
                <w:lang w:eastAsia="lt-LT"/>
              </w:rPr>
            </w:pPr>
            <w:r w:rsidRPr="00D05364">
              <w:rPr>
                <w:iCs/>
                <w:lang w:eastAsia="lt-LT"/>
              </w:rPr>
              <w:t>ICER už LY</w:t>
            </w:r>
          </w:p>
        </w:tc>
        <w:tc>
          <w:tcPr>
            <w:tcW w:w="3579" w:type="dxa"/>
          </w:tcPr>
          <w:p w14:paraId="244AF239" w14:textId="17F698C5" w:rsidR="00AB6C7B" w:rsidRPr="00D05364" w:rsidRDefault="006C328B" w:rsidP="008E0D5B">
            <w:pPr>
              <w:tabs>
                <w:tab w:val="left" w:pos="567"/>
              </w:tabs>
              <w:jc w:val="both"/>
              <w:rPr>
                <w:i/>
                <w:iCs/>
                <w:lang w:eastAsia="lt-LT"/>
              </w:rPr>
            </w:pPr>
            <w:r>
              <w:rPr>
                <w:i/>
                <w:iCs/>
                <w:lang w:eastAsia="lt-LT"/>
              </w:rPr>
              <w:t xml:space="preserve">*** </w:t>
            </w:r>
            <w:proofErr w:type="spellStart"/>
            <w:r w:rsidR="00AB6C7B">
              <w:rPr>
                <w:i/>
                <w:iCs/>
                <w:lang w:eastAsia="lt-LT"/>
              </w:rPr>
              <w:t>eur</w:t>
            </w:r>
            <w:proofErr w:type="spellEnd"/>
            <w:r w:rsidR="00AB6C7B">
              <w:rPr>
                <w:i/>
                <w:iCs/>
                <w:lang w:eastAsia="lt-LT"/>
              </w:rPr>
              <w:t>/LY</w:t>
            </w:r>
          </w:p>
        </w:tc>
      </w:tr>
      <w:tr w:rsidR="00AB6C7B" w:rsidRPr="00D05364" w14:paraId="64399B78" w14:textId="77777777" w:rsidTr="008E0D5B">
        <w:trPr>
          <w:jc w:val="center"/>
        </w:trPr>
        <w:tc>
          <w:tcPr>
            <w:tcW w:w="6329" w:type="dxa"/>
            <w:gridSpan w:val="3"/>
          </w:tcPr>
          <w:p w14:paraId="7B533B4D" w14:textId="77777777" w:rsidR="00AB6C7B" w:rsidRPr="00D05364" w:rsidRDefault="00AB6C7B" w:rsidP="008E0D5B">
            <w:pPr>
              <w:tabs>
                <w:tab w:val="left" w:pos="567"/>
              </w:tabs>
              <w:jc w:val="right"/>
              <w:rPr>
                <w:iCs/>
                <w:lang w:eastAsia="lt-LT"/>
              </w:rPr>
            </w:pPr>
            <w:r w:rsidRPr="00D05364">
              <w:rPr>
                <w:iCs/>
                <w:lang w:eastAsia="lt-LT"/>
              </w:rPr>
              <w:t>ICER už QALY</w:t>
            </w:r>
          </w:p>
        </w:tc>
        <w:tc>
          <w:tcPr>
            <w:tcW w:w="3579" w:type="dxa"/>
          </w:tcPr>
          <w:p w14:paraId="4316FECB" w14:textId="3BEA4A71" w:rsidR="00AB6C7B" w:rsidRPr="00D05364" w:rsidRDefault="006C328B" w:rsidP="008E0D5B">
            <w:pPr>
              <w:tabs>
                <w:tab w:val="left" w:pos="567"/>
              </w:tabs>
              <w:jc w:val="both"/>
              <w:rPr>
                <w:i/>
                <w:iCs/>
                <w:lang w:eastAsia="lt-LT"/>
              </w:rPr>
            </w:pPr>
            <w:r>
              <w:rPr>
                <w:i/>
                <w:iCs/>
                <w:lang w:eastAsia="lt-LT"/>
              </w:rPr>
              <w:t xml:space="preserve">*** </w:t>
            </w:r>
            <w:proofErr w:type="spellStart"/>
            <w:r w:rsidR="00AB6C7B">
              <w:rPr>
                <w:i/>
                <w:iCs/>
                <w:lang w:eastAsia="lt-LT"/>
              </w:rPr>
              <w:t>eur</w:t>
            </w:r>
            <w:proofErr w:type="spellEnd"/>
            <w:r w:rsidR="00AB6C7B">
              <w:rPr>
                <w:i/>
                <w:iCs/>
                <w:lang w:eastAsia="lt-LT"/>
              </w:rPr>
              <w:t>/QALY</w:t>
            </w:r>
          </w:p>
        </w:tc>
      </w:tr>
      <w:tr w:rsidR="00AB6C7B" w:rsidRPr="00D05364" w14:paraId="102E9085" w14:textId="77777777" w:rsidTr="008E0D5B">
        <w:trPr>
          <w:jc w:val="center"/>
        </w:trPr>
        <w:tc>
          <w:tcPr>
            <w:tcW w:w="6329" w:type="dxa"/>
            <w:gridSpan w:val="3"/>
          </w:tcPr>
          <w:p w14:paraId="110E2FC0" w14:textId="77777777" w:rsidR="00AB6C7B" w:rsidRPr="00D05364" w:rsidRDefault="00AB6C7B" w:rsidP="008E0D5B">
            <w:pPr>
              <w:tabs>
                <w:tab w:val="left" w:pos="567"/>
              </w:tabs>
              <w:jc w:val="right"/>
              <w:rPr>
                <w:iCs/>
                <w:lang w:eastAsia="lt-LT"/>
              </w:rPr>
            </w:pPr>
            <w:r w:rsidRPr="00D05364">
              <w:rPr>
                <w:iCs/>
                <w:lang w:eastAsia="lt-LT"/>
              </w:rPr>
              <w:t>Referencinė kaštų naudingumo vertė</w:t>
            </w:r>
          </w:p>
        </w:tc>
        <w:tc>
          <w:tcPr>
            <w:tcW w:w="3579" w:type="dxa"/>
          </w:tcPr>
          <w:p w14:paraId="684A9477" w14:textId="7B21A70D" w:rsidR="00AB6C7B" w:rsidRPr="00D05364" w:rsidRDefault="006C328B" w:rsidP="008E0D5B">
            <w:pPr>
              <w:tabs>
                <w:tab w:val="left" w:pos="567"/>
              </w:tabs>
              <w:jc w:val="both"/>
              <w:rPr>
                <w:i/>
                <w:iCs/>
                <w:lang w:eastAsia="lt-LT"/>
              </w:rPr>
            </w:pPr>
            <w:r>
              <w:rPr>
                <w:i/>
                <w:iCs/>
                <w:lang w:eastAsia="lt-LT"/>
              </w:rPr>
              <w:t xml:space="preserve">*** </w:t>
            </w:r>
            <w:proofErr w:type="spellStart"/>
            <w:r w:rsidR="00AB6C7B">
              <w:rPr>
                <w:i/>
                <w:iCs/>
                <w:lang w:eastAsia="lt-LT"/>
              </w:rPr>
              <w:t>eur</w:t>
            </w:r>
            <w:proofErr w:type="spellEnd"/>
            <w:r w:rsidR="00AB6C7B">
              <w:rPr>
                <w:i/>
                <w:iCs/>
                <w:lang w:eastAsia="lt-LT"/>
              </w:rPr>
              <w:t>/QALY</w:t>
            </w:r>
          </w:p>
        </w:tc>
      </w:tr>
    </w:tbl>
    <w:p w14:paraId="12C194AB" w14:textId="6857BEC3" w:rsidR="00AB6C7B" w:rsidRDefault="00AB6C7B" w:rsidP="00434D0C">
      <w:pPr>
        <w:tabs>
          <w:tab w:val="left" w:pos="426"/>
        </w:tabs>
        <w:spacing w:line="276" w:lineRule="auto"/>
        <w:rPr>
          <w:b/>
          <w:bCs/>
          <w:caps/>
        </w:rPr>
      </w:pPr>
    </w:p>
    <w:p w14:paraId="093E1B15" w14:textId="4D990807" w:rsidR="00AB6C7B" w:rsidRPr="00AB6C7B" w:rsidRDefault="00AB6C7B" w:rsidP="00434D0C">
      <w:pPr>
        <w:tabs>
          <w:tab w:val="left" w:pos="426"/>
        </w:tabs>
        <w:spacing w:line="276" w:lineRule="auto"/>
        <w:rPr>
          <w:rStyle w:val="Emphasis"/>
          <w:i w:val="0"/>
        </w:rPr>
      </w:pPr>
      <w:r w:rsidRPr="00AB6C7B">
        <w:rPr>
          <w:rStyle w:val="Emphasis"/>
          <w:i w:val="0"/>
        </w:rPr>
        <w:t xml:space="preserve">Įvertinus analizės rezultatą, laikoma, jog </w:t>
      </w:r>
      <w:proofErr w:type="spellStart"/>
      <w:r w:rsidRPr="00AB6C7B">
        <w:rPr>
          <w:rStyle w:val="Emphasis"/>
          <w:i w:val="0"/>
        </w:rPr>
        <w:t>inrebic</w:t>
      </w:r>
      <w:proofErr w:type="spellEnd"/>
      <w:r w:rsidRPr="00AB6C7B">
        <w:rPr>
          <w:rStyle w:val="Emphasis"/>
          <w:i w:val="0"/>
        </w:rPr>
        <w:t xml:space="preserve"> (</w:t>
      </w:r>
      <w:proofErr w:type="spellStart"/>
      <w:r w:rsidRPr="00AB6C7B">
        <w:rPr>
          <w:rStyle w:val="Emphasis"/>
          <w:i w:val="0"/>
        </w:rPr>
        <w:t>fedra</w:t>
      </w:r>
      <w:r>
        <w:rPr>
          <w:rStyle w:val="Emphasis"/>
          <w:i w:val="0"/>
        </w:rPr>
        <w:t>tinibas</w:t>
      </w:r>
      <w:proofErr w:type="spellEnd"/>
      <w:r>
        <w:rPr>
          <w:rStyle w:val="Emphasis"/>
          <w:i w:val="0"/>
        </w:rPr>
        <w:t xml:space="preserve">) yra kaštams naudingas, laikant, jog ligos našta yra sunki ir referencinė kaštų naudingumo vertė yra </w:t>
      </w:r>
      <w:r w:rsidR="006C328B">
        <w:rPr>
          <w:i/>
          <w:iCs/>
          <w:lang w:eastAsia="lt-LT"/>
        </w:rPr>
        <w:t xml:space="preserve">*** </w:t>
      </w:r>
      <w:r>
        <w:rPr>
          <w:rStyle w:val="Emphasis"/>
          <w:i w:val="0"/>
        </w:rPr>
        <w:t xml:space="preserve"> BVP per </w:t>
      </w:r>
      <w:proofErr w:type="spellStart"/>
      <w:r>
        <w:rPr>
          <w:rStyle w:val="Emphasis"/>
          <w:i w:val="0"/>
        </w:rPr>
        <w:t>capita</w:t>
      </w:r>
      <w:proofErr w:type="spellEnd"/>
      <w:r>
        <w:rPr>
          <w:rStyle w:val="Emphasis"/>
          <w:i w:val="0"/>
        </w:rPr>
        <w:t xml:space="preserve"> (</w:t>
      </w:r>
      <w:r w:rsidR="006C328B">
        <w:rPr>
          <w:i/>
          <w:iCs/>
          <w:lang w:eastAsia="lt-LT"/>
        </w:rPr>
        <w:t xml:space="preserve">*** </w:t>
      </w:r>
      <w:proofErr w:type="spellStart"/>
      <w:r>
        <w:rPr>
          <w:rStyle w:val="Emphasis"/>
          <w:i w:val="0"/>
        </w:rPr>
        <w:t>eur</w:t>
      </w:r>
      <w:proofErr w:type="spellEnd"/>
      <w:r>
        <w:rPr>
          <w:rStyle w:val="Emphasis"/>
          <w:i w:val="0"/>
        </w:rPr>
        <w:t>/QALY).</w:t>
      </w:r>
    </w:p>
    <w:p w14:paraId="0A7CA11B" w14:textId="77777777" w:rsidR="00AB6C7B" w:rsidRPr="000203E1" w:rsidRDefault="00AB6C7B" w:rsidP="00434D0C">
      <w:pPr>
        <w:tabs>
          <w:tab w:val="left" w:pos="426"/>
        </w:tabs>
        <w:spacing w:line="276" w:lineRule="auto"/>
        <w:rPr>
          <w:b/>
          <w:bCs/>
          <w:caps/>
        </w:rPr>
      </w:pPr>
    </w:p>
    <w:p w14:paraId="4FC424F9" w14:textId="4E767245" w:rsidR="00C62B36" w:rsidRPr="000203E1" w:rsidRDefault="00C62B36" w:rsidP="00434D0C">
      <w:pPr>
        <w:pStyle w:val="ListParagraph"/>
        <w:numPr>
          <w:ilvl w:val="0"/>
          <w:numId w:val="12"/>
        </w:numPr>
        <w:tabs>
          <w:tab w:val="left" w:pos="567"/>
        </w:tabs>
        <w:spacing w:line="276" w:lineRule="auto"/>
        <w:ind w:hanging="720"/>
        <w:rPr>
          <w:b/>
          <w:bCs/>
          <w:caps/>
        </w:rPr>
      </w:pPr>
      <w:r w:rsidRPr="000203E1">
        <w:rPr>
          <w:b/>
          <w:bCs/>
          <w:caps/>
        </w:rPr>
        <w:t xml:space="preserve">Pacientų organizacijų pateikti duomenys </w:t>
      </w:r>
    </w:p>
    <w:p w14:paraId="79BCFF40" w14:textId="3B292590" w:rsidR="00937907" w:rsidRPr="000203E1" w:rsidRDefault="00896D03" w:rsidP="00434D0C">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w:t>
      </w:r>
      <w:r w:rsidR="00016F32">
        <w:t>.</w:t>
      </w:r>
    </w:p>
    <w:p w14:paraId="62992180" w14:textId="57C93CA1" w:rsidR="00937907" w:rsidRPr="000203E1" w:rsidRDefault="00896D03" w:rsidP="00434D0C">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434D0C">
      <w:pPr>
        <w:spacing w:after="120" w:line="276" w:lineRule="auto"/>
        <w:jc w:val="both"/>
      </w:pPr>
    </w:p>
    <w:p w14:paraId="3D3277FA" w14:textId="3CEEB2D2" w:rsidR="00C62B36" w:rsidRPr="000203E1" w:rsidRDefault="00C62B36" w:rsidP="00434D0C">
      <w:pPr>
        <w:pStyle w:val="ListParagraph"/>
        <w:numPr>
          <w:ilvl w:val="0"/>
          <w:numId w:val="12"/>
        </w:numPr>
        <w:tabs>
          <w:tab w:val="left" w:pos="567"/>
        </w:tabs>
        <w:spacing w:line="276" w:lineRule="auto"/>
        <w:ind w:hanging="720"/>
        <w:rPr>
          <w:b/>
          <w:bCs/>
          <w:caps/>
        </w:rPr>
      </w:pPr>
      <w:r w:rsidRPr="000203E1">
        <w:rPr>
          <w:b/>
          <w:bCs/>
          <w:caps/>
        </w:rPr>
        <w:lastRenderedPageBreak/>
        <w:t>Gydytojų organizacijų pateikti duomenys</w:t>
      </w:r>
    </w:p>
    <w:p w14:paraId="389A346C" w14:textId="44FE4F8C" w:rsidR="00937907" w:rsidRPr="000203E1" w:rsidRDefault="00896D03" w:rsidP="00434D0C">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937907" w:rsidRPr="000203E1">
            <w:rPr>
              <w:rStyle w:val="Style2"/>
              <w:rFonts w:ascii="MS Gothic" w:eastAsia="MS Gothic" w:hAnsi="MS Gothic" w:hint="eastAsia"/>
              <w:sz w:val="24"/>
            </w:rPr>
            <w:t>☐</w:t>
          </w:r>
        </w:sdtContent>
      </w:sdt>
      <w:r w:rsidR="00662983" w:rsidRPr="000203E1">
        <w:t xml:space="preserve"> </w:t>
      </w:r>
      <w:r w:rsidR="00937907" w:rsidRPr="000203E1">
        <w:t>Gydytojų specialistų organizacijos pozicija pateikta.</w:t>
      </w:r>
    </w:p>
    <w:p w14:paraId="5D8CC48C" w14:textId="01AC52E9" w:rsidR="00662983" w:rsidRPr="000203E1" w:rsidRDefault="00896D03" w:rsidP="00434D0C">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016F32">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3701D46A" w14:textId="77777777" w:rsidR="00A042B9" w:rsidRPr="000203E1" w:rsidRDefault="00A042B9" w:rsidP="00434D0C">
      <w:pPr>
        <w:spacing w:after="120" w:line="276" w:lineRule="auto"/>
        <w:jc w:val="both"/>
      </w:pPr>
    </w:p>
    <w:p w14:paraId="78F23ECB" w14:textId="23A3A002" w:rsidR="002F0E4F" w:rsidRPr="000203E1" w:rsidRDefault="002F0E4F" w:rsidP="00434D0C">
      <w:pPr>
        <w:pStyle w:val="ListParagraph"/>
        <w:numPr>
          <w:ilvl w:val="0"/>
          <w:numId w:val="12"/>
        </w:numPr>
        <w:tabs>
          <w:tab w:val="left" w:pos="567"/>
        </w:tabs>
        <w:spacing w:line="276" w:lineRule="auto"/>
        <w:ind w:hanging="720"/>
        <w:rPr>
          <w:b/>
          <w:bCs/>
          <w:caps/>
        </w:rPr>
      </w:pPr>
      <w:r w:rsidRPr="000203E1">
        <w:rPr>
          <w:b/>
          <w:bCs/>
          <w:caps/>
        </w:rPr>
        <w:t xml:space="preserve">Išvada </w:t>
      </w:r>
    </w:p>
    <w:p w14:paraId="08D5B3B6" w14:textId="3492CFB8" w:rsidR="0061611B" w:rsidRDefault="0061611B" w:rsidP="00045709">
      <w:pPr>
        <w:spacing w:line="276" w:lineRule="auto"/>
        <w:ind w:firstLine="720"/>
        <w:rPr>
          <w:i/>
          <w:szCs w:val="22"/>
        </w:rPr>
      </w:pPr>
    </w:p>
    <w:tbl>
      <w:tblPr>
        <w:tblStyle w:val="TableGrid"/>
        <w:tblW w:w="0" w:type="auto"/>
        <w:tblLook w:val="04A0" w:firstRow="1" w:lastRow="0" w:firstColumn="1" w:lastColumn="0" w:noHBand="0" w:noVBand="1"/>
      </w:tblPr>
      <w:tblGrid>
        <w:gridCol w:w="4815"/>
        <w:gridCol w:w="4814"/>
      </w:tblGrid>
      <w:tr w:rsidR="00931A54" w:rsidRPr="00034325" w14:paraId="5BF2B94B" w14:textId="77777777" w:rsidTr="00427779">
        <w:trPr>
          <w:trHeight w:val="510"/>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01CCD0A" w14:textId="77777777" w:rsidR="00931A54" w:rsidRPr="00034325" w:rsidRDefault="00931A54" w:rsidP="00931A54">
            <w:pPr>
              <w:spacing w:line="276" w:lineRule="auto"/>
              <w:jc w:val="center"/>
              <w:rPr>
                <w:rFonts w:eastAsia="Arial"/>
                <w:b/>
                <w:bCs/>
                <w:iCs/>
              </w:rPr>
            </w:pPr>
            <w:r w:rsidRPr="00034325">
              <w:rPr>
                <w:rFonts w:eastAsia="Arial"/>
                <w:b/>
                <w:bCs/>
                <w:iCs/>
              </w:rPr>
              <w:t>Palyginamasis veiksmingumas</w:t>
            </w:r>
          </w:p>
        </w:tc>
      </w:tr>
      <w:tr w:rsidR="00931A54" w:rsidRPr="00034325" w14:paraId="147A875A" w14:textId="77777777" w:rsidTr="00427779">
        <w:tc>
          <w:tcPr>
            <w:tcW w:w="4815" w:type="dxa"/>
            <w:tcBorders>
              <w:top w:val="single" w:sz="4" w:space="0" w:color="auto"/>
              <w:left w:val="single" w:sz="4" w:space="0" w:color="auto"/>
              <w:bottom w:val="single" w:sz="4" w:space="0" w:color="auto"/>
              <w:right w:val="single" w:sz="4" w:space="0" w:color="auto"/>
            </w:tcBorders>
          </w:tcPr>
          <w:p w14:paraId="09BB6916" w14:textId="77777777" w:rsidR="00931A54" w:rsidRPr="00034325" w:rsidRDefault="00896D03" w:rsidP="00427779">
            <w:pPr>
              <w:spacing w:line="276" w:lineRule="auto"/>
              <w:rPr>
                <w:rFonts w:eastAsia="Arial"/>
                <w:bCs/>
                <w:iCs/>
              </w:rPr>
            </w:pPr>
            <w:sdt>
              <w:sdtPr>
                <w:rPr>
                  <w:rFonts w:eastAsia="Arial"/>
                  <w:bCs/>
                  <w:iCs/>
                </w:rPr>
                <w:id w:val="1397324644"/>
                <w14:checkbox>
                  <w14:checked w14:val="1"/>
                  <w14:checkedState w14:val="2612" w14:font="MS Gothic"/>
                  <w14:uncheckedState w14:val="2610" w14:font="MS Gothic"/>
                </w14:checkbox>
              </w:sdtPr>
              <w:sdtEndPr/>
              <w:sdtContent>
                <w:r w:rsidR="00931A54">
                  <w:rPr>
                    <w:rFonts w:ascii="MS Gothic" w:eastAsia="MS Gothic" w:hAnsi="MS Gothic" w:hint="eastAsia"/>
                    <w:bCs/>
                    <w:iCs/>
                  </w:rPr>
                  <w:t>☒</w:t>
                </w:r>
              </w:sdtContent>
            </w:sdt>
            <w:r w:rsidR="00931A54" w:rsidRPr="00034325">
              <w:rPr>
                <w:rFonts w:eastAsia="Arial"/>
                <w:bCs/>
                <w:iCs/>
              </w:rPr>
              <w:t xml:space="preserve"> 29.1.1 yra didesnis, lyginant su įprasta klinikine praktika</w:t>
            </w:r>
          </w:p>
          <w:p w14:paraId="75BB279D" w14:textId="77777777" w:rsidR="00931A54" w:rsidRPr="00034325" w:rsidRDefault="00931A54" w:rsidP="00427779">
            <w:pPr>
              <w:spacing w:line="276" w:lineRule="auto"/>
              <w:rPr>
                <w:rFonts w:eastAsia="Arial"/>
                <w:bCs/>
                <w:iCs/>
              </w:rPr>
            </w:pPr>
          </w:p>
          <w:p w14:paraId="27EB9BD6" w14:textId="77777777" w:rsidR="00931A54" w:rsidRPr="00034325" w:rsidRDefault="00896D03" w:rsidP="00427779">
            <w:pPr>
              <w:spacing w:line="276" w:lineRule="auto"/>
              <w:rPr>
                <w:rFonts w:eastAsia="Arial"/>
                <w:bCs/>
                <w:iCs/>
              </w:rPr>
            </w:pPr>
            <w:sdt>
              <w:sdtPr>
                <w:rPr>
                  <w:rFonts w:eastAsia="Arial"/>
                  <w:bCs/>
                  <w:iCs/>
                </w:rPr>
                <w:id w:val="418297090"/>
                <w14:checkbox>
                  <w14:checked w14:val="0"/>
                  <w14:checkedState w14:val="2612" w14:font="MS Gothic"/>
                  <w14:uncheckedState w14:val="2610" w14:font="MS Gothic"/>
                </w14:checkbox>
              </w:sdtPr>
              <w:sdtEndPr/>
              <w:sdtContent>
                <w:r w:rsidR="00931A54">
                  <w:rPr>
                    <w:rFonts w:ascii="MS Gothic" w:eastAsia="MS Gothic" w:hAnsi="MS Gothic" w:hint="eastAsia"/>
                    <w:bCs/>
                    <w:iCs/>
                  </w:rPr>
                  <w:t>☐</w:t>
                </w:r>
              </w:sdtContent>
            </w:sdt>
            <w:r w:rsidR="00931A54" w:rsidRPr="00034325">
              <w:rPr>
                <w:rFonts w:eastAsia="Arial"/>
                <w:bCs/>
                <w:iCs/>
              </w:rPr>
              <w:t xml:space="preserve"> 29.1.2 iš esmės nesiskiria, lyginant su įprasta klinikine praktika</w:t>
            </w:r>
          </w:p>
        </w:tc>
        <w:tc>
          <w:tcPr>
            <w:tcW w:w="4814" w:type="dxa"/>
            <w:tcBorders>
              <w:top w:val="single" w:sz="4" w:space="0" w:color="auto"/>
              <w:left w:val="single" w:sz="4" w:space="0" w:color="auto"/>
              <w:bottom w:val="single" w:sz="4" w:space="0" w:color="auto"/>
              <w:right w:val="single" w:sz="4" w:space="0" w:color="auto"/>
            </w:tcBorders>
          </w:tcPr>
          <w:p w14:paraId="14C62681" w14:textId="77777777" w:rsidR="00931A54" w:rsidRPr="00034325" w:rsidRDefault="00896D03" w:rsidP="00427779">
            <w:pPr>
              <w:spacing w:line="276" w:lineRule="auto"/>
              <w:rPr>
                <w:rFonts w:eastAsia="Arial"/>
                <w:bCs/>
                <w:iCs/>
              </w:rPr>
            </w:pPr>
            <w:sdt>
              <w:sdtPr>
                <w:rPr>
                  <w:rFonts w:eastAsia="Arial"/>
                  <w:bCs/>
                  <w:iCs/>
                </w:rPr>
                <w:id w:val="-724755596"/>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29.1.3 yra neįrodytas kaip didesnis  ar iš esmės nesiskiriantis, lyginant su įprasta klinikine praktika  </w:t>
            </w:r>
          </w:p>
          <w:p w14:paraId="10BFDA77" w14:textId="77777777" w:rsidR="00931A54" w:rsidRPr="00034325" w:rsidRDefault="00931A54" w:rsidP="00427779">
            <w:pPr>
              <w:spacing w:line="276" w:lineRule="auto"/>
              <w:rPr>
                <w:rFonts w:eastAsia="Arial"/>
                <w:bCs/>
                <w:iCs/>
              </w:rPr>
            </w:pPr>
          </w:p>
          <w:p w14:paraId="2B2CB22A" w14:textId="77777777" w:rsidR="00931A54" w:rsidRPr="00034325" w:rsidRDefault="00896D03" w:rsidP="00427779">
            <w:pPr>
              <w:spacing w:line="276" w:lineRule="auto"/>
              <w:rPr>
                <w:rFonts w:eastAsia="Arial"/>
                <w:bCs/>
                <w:iCs/>
              </w:rPr>
            </w:pPr>
            <w:sdt>
              <w:sdtPr>
                <w:rPr>
                  <w:rFonts w:eastAsia="Arial"/>
                  <w:bCs/>
                  <w:iCs/>
                </w:rPr>
                <w:id w:val="1862168479"/>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29.1.4 yra mažesnis, lyginant su įprasta klinikine praktika</w:t>
            </w:r>
          </w:p>
          <w:p w14:paraId="6CBBD22B" w14:textId="77777777" w:rsidR="00931A54" w:rsidRPr="00034325" w:rsidRDefault="00931A54" w:rsidP="00427779">
            <w:pPr>
              <w:spacing w:line="276" w:lineRule="auto"/>
              <w:rPr>
                <w:rFonts w:eastAsia="Arial"/>
                <w:bCs/>
                <w:iCs/>
              </w:rPr>
            </w:pPr>
          </w:p>
          <w:p w14:paraId="7C7A9E73" w14:textId="77777777" w:rsidR="00931A54" w:rsidRPr="00034325" w:rsidRDefault="00896D03" w:rsidP="00427779">
            <w:pPr>
              <w:spacing w:line="276" w:lineRule="auto"/>
              <w:rPr>
                <w:rFonts w:eastAsia="Arial"/>
                <w:bCs/>
                <w:iCs/>
              </w:rPr>
            </w:pPr>
            <w:sdt>
              <w:sdtPr>
                <w:rPr>
                  <w:rFonts w:eastAsia="Arial"/>
                  <w:bCs/>
                  <w:iCs/>
                </w:rPr>
                <w:id w:val="-1857960180"/>
                <w14:checkbox>
                  <w14:checked w14:val="0"/>
                  <w14:checkedState w14:val="2612" w14:font="MS Gothic"/>
                  <w14:uncheckedState w14:val="2610" w14:font="MS Gothic"/>
                </w14:checkbox>
              </w:sdtPr>
              <w:sdtEnd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29.1.5 pateikti duomenys apie palyginamąjį veiksmingumą yra netinkami vertinti</w:t>
            </w:r>
          </w:p>
          <w:p w14:paraId="071D9219" w14:textId="77777777" w:rsidR="00931A54" w:rsidRPr="00034325" w:rsidRDefault="00931A54" w:rsidP="00427779">
            <w:pPr>
              <w:spacing w:line="276" w:lineRule="auto"/>
              <w:rPr>
                <w:rFonts w:eastAsia="Arial"/>
                <w:bCs/>
                <w:iCs/>
              </w:rPr>
            </w:pPr>
          </w:p>
        </w:tc>
      </w:tr>
    </w:tbl>
    <w:tbl>
      <w:tblPr>
        <w:tblStyle w:val="DossierTable1"/>
        <w:tblW w:w="0" w:type="auto"/>
        <w:tblInd w:w="-5" w:type="dxa"/>
        <w:tblLook w:val="04A0" w:firstRow="1" w:lastRow="0" w:firstColumn="1" w:lastColumn="0" w:noHBand="0" w:noVBand="1"/>
      </w:tblPr>
      <w:tblGrid>
        <w:gridCol w:w="4820"/>
        <w:gridCol w:w="4814"/>
      </w:tblGrid>
      <w:tr w:rsidR="00AB6C7B" w:rsidRPr="009300B3" w14:paraId="723C0DAD" w14:textId="77777777" w:rsidTr="008E0D5B">
        <w:trPr>
          <w:trHeight w:val="510"/>
        </w:trPr>
        <w:tc>
          <w:tcPr>
            <w:tcW w:w="9634" w:type="dxa"/>
            <w:gridSpan w:val="2"/>
            <w:vAlign w:val="center"/>
          </w:tcPr>
          <w:p w14:paraId="1DEEEE63"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3"/>
                <w:szCs w:val="23"/>
              </w:rPr>
            </w:pPr>
            <w:r w:rsidRPr="009300B3">
              <w:rPr>
                <w:rStyle w:val="Style2"/>
                <w:rFonts w:eastAsia="MS Gothic"/>
                <w:b/>
                <w:bCs/>
                <w:sz w:val="23"/>
                <w:szCs w:val="23"/>
              </w:rPr>
              <w:t>Kaštų naudingumas</w:t>
            </w:r>
          </w:p>
        </w:tc>
      </w:tr>
      <w:tr w:rsidR="00AB6C7B" w:rsidRPr="009300B3" w14:paraId="2B14E2A9" w14:textId="77777777" w:rsidTr="008E0D5B">
        <w:tc>
          <w:tcPr>
            <w:tcW w:w="4820" w:type="dxa"/>
          </w:tcPr>
          <w:p w14:paraId="04E58B28" w14:textId="77777777" w:rsidR="00AB6C7B" w:rsidRPr="009300B3" w:rsidRDefault="00896D03"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EndPr>
                <w:rPr>
                  <w:rStyle w:val="Style2"/>
                </w:rPr>
              </w:sdtEndPr>
              <w:sdtContent>
                <w:r w:rsidR="00AB6C7B">
                  <w:rPr>
                    <w:rStyle w:val="Style2"/>
                    <w:rFonts w:ascii="MS Gothic" w:eastAsia="MS Gothic" w:hAnsi="MS Gothic" w:hint="eastAsia"/>
                    <w:sz w:val="23"/>
                    <w:szCs w:val="23"/>
                  </w:rPr>
                  <w:t>☒</w:t>
                </w:r>
              </w:sdtContent>
            </w:sdt>
            <w:r w:rsidR="00AB6C7B" w:rsidRPr="009300B3">
              <w:rPr>
                <w:sz w:val="23"/>
                <w:szCs w:val="23"/>
              </w:rPr>
              <w:t xml:space="preserve"> 29.2.1 atitinka referencinę naudingumo vertę taikant arba netaikant</w:t>
            </w:r>
            <w:r w:rsidR="00AB6C7B" w:rsidRPr="009300B3">
              <w:rPr>
                <w:b/>
                <w:bCs/>
                <w:sz w:val="23"/>
                <w:szCs w:val="23"/>
              </w:rPr>
              <w:t> </w:t>
            </w:r>
            <w:r w:rsidR="00AB6C7B" w:rsidRPr="009300B3">
              <w:rPr>
                <w:sz w:val="23"/>
                <w:szCs w:val="23"/>
              </w:rPr>
              <w:t>PGS</w:t>
            </w:r>
          </w:p>
          <w:p w14:paraId="751820D2"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9B00755" w14:textId="77777777" w:rsidR="00AB6C7B" w:rsidRPr="009300B3" w:rsidRDefault="00896D03"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29.2.2 gydymo juo kaštai yra mažesni ar tokie patys esant iš esmės nesiskiriančiam palyginamajam efektyvumui, taikant arba netaikant PGS</w:t>
            </w:r>
          </w:p>
        </w:tc>
        <w:tc>
          <w:tcPr>
            <w:tcW w:w="4814" w:type="dxa"/>
          </w:tcPr>
          <w:p w14:paraId="31162936" w14:textId="77777777" w:rsidR="00AB6C7B" w:rsidRPr="009300B3" w:rsidRDefault="00896D03"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29.2.3 neatitinka referencinės naudingumo vertės taikant arba netaikant PGS</w:t>
            </w:r>
          </w:p>
          <w:p w14:paraId="3A37D495"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AE33B6A" w14:textId="77777777" w:rsidR="00AB6C7B" w:rsidRPr="009300B3" w:rsidRDefault="00896D03"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29.2.4 gydymo juo kaštai yra didesni esant iš esmės nesiskiriančiam palyginamajam veiksmingumui, taikant arba netaikant PGS</w:t>
            </w:r>
          </w:p>
          <w:p w14:paraId="4A6AF878"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4CAFED2" w14:textId="77777777" w:rsidR="00AB6C7B" w:rsidRPr="009300B3" w:rsidRDefault="00896D03"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29.2.5 pateikti duomenys apie kaštų naudingumą yra netinkami vertinti</w:t>
            </w:r>
          </w:p>
          <w:p w14:paraId="7A9E6EFD"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1B85C083" w14:textId="77777777" w:rsidR="009E44AE" w:rsidRPr="000203E1" w:rsidRDefault="009E44AE" w:rsidP="00434D0C">
      <w:pPr>
        <w:spacing w:line="276" w:lineRule="auto"/>
      </w:pPr>
    </w:p>
    <w:p w14:paraId="3B2D1F25" w14:textId="3A80E19F" w:rsidR="000001B0" w:rsidRPr="00D8151D" w:rsidRDefault="000001B0" w:rsidP="00434D0C">
      <w:pPr>
        <w:pStyle w:val="ListParagraph"/>
        <w:numPr>
          <w:ilvl w:val="0"/>
          <w:numId w:val="12"/>
        </w:numPr>
        <w:spacing w:line="276" w:lineRule="auto"/>
        <w:ind w:left="567" w:hanging="567"/>
      </w:pPr>
      <w:r w:rsidRPr="000203E1">
        <w:rPr>
          <w:b/>
        </w:rPr>
        <w:t>REKOME</w:t>
      </w:r>
      <w:r w:rsidR="00D83182" w:rsidRPr="000203E1">
        <w:rPr>
          <w:b/>
        </w:rPr>
        <w:t>N</w:t>
      </w:r>
      <w:r w:rsidRPr="000203E1">
        <w:rPr>
          <w:b/>
        </w:rPr>
        <w:t>DACIJA</w:t>
      </w:r>
    </w:p>
    <w:p w14:paraId="753C7A38" w14:textId="77777777" w:rsidR="00D8151D" w:rsidRPr="00D8151D" w:rsidRDefault="00D8151D" w:rsidP="00434D0C">
      <w:pPr>
        <w:pStyle w:val="ListParagraph"/>
        <w:spacing w:line="276" w:lineRule="auto"/>
        <w:ind w:left="567"/>
      </w:pPr>
    </w:p>
    <w:p w14:paraId="170B35FF" w14:textId="77777777" w:rsidR="00AB6C7B" w:rsidRDefault="00AB6C7B" w:rsidP="00AB6C7B">
      <w:pPr>
        <w:jc w:val="both"/>
        <w:rPr>
          <w:color w:val="000000"/>
        </w:rPr>
      </w:pPr>
      <w:bookmarkStart w:id="6" w:name="_Hlk183908864"/>
      <w:r w:rsidRPr="009300B3">
        <w:t xml:space="preserve">Vadovaujantis </w:t>
      </w:r>
      <w:r>
        <w:t xml:space="preserve">Aprašo </w:t>
      </w:r>
      <w:r w:rsidRPr="009300B3">
        <w:rPr>
          <w:color w:val="000000"/>
          <w:lang w:eastAsia="lt-LT"/>
        </w:rPr>
        <w:t>30</w:t>
      </w:r>
      <w:r w:rsidRPr="009300B3">
        <w:rPr>
          <w:color w:val="000000"/>
          <w:vertAlign w:val="superscript"/>
          <w:lang w:eastAsia="lt-LT"/>
        </w:rPr>
        <w:t>1</w:t>
      </w:r>
      <w:r w:rsidRPr="009300B3">
        <w:rPr>
          <w:color w:val="000000"/>
          <w:lang w:eastAsia="lt-LT"/>
        </w:rPr>
        <w:t xml:space="preserve">.1. papunkčiu rekomenduojama </w:t>
      </w:r>
      <w:r w:rsidRPr="00935B3E">
        <w:rPr>
          <w:i/>
          <w:iCs/>
          <w:color w:val="000000"/>
          <w:lang w:eastAsia="lt-LT"/>
        </w:rPr>
        <w:t>kompensuoti</w:t>
      </w:r>
      <w:r w:rsidRPr="009300B3">
        <w:rPr>
          <w:color w:val="000000"/>
          <w:lang w:eastAsia="lt-LT"/>
        </w:rPr>
        <w:t xml:space="preserve"> vaistinį preparatą pagal paraiškoje nurodytą indikaciją (arba jos dalį) su arba be skyrimo sąlygų, taikant ar netaikant PGS, kai vertinimo išvados atitinka Aprašo 29.1.1 ir 29.2.1 papunkčiuose numatytas sąlygas</w:t>
      </w:r>
      <w:r>
        <w:rPr>
          <w:color w:val="000000"/>
          <w:lang w:eastAsia="lt-LT"/>
        </w:rPr>
        <w:t xml:space="preserve">. </w:t>
      </w:r>
    </w:p>
    <w:bookmarkEnd w:id="6"/>
    <w:p w14:paraId="7D5C6700" w14:textId="77777777" w:rsidR="00D5470B" w:rsidRPr="000203E1" w:rsidRDefault="00D5470B" w:rsidP="00C712EA">
      <w:pPr>
        <w:pStyle w:val="ListParagraph"/>
        <w:ind w:left="426"/>
      </w:pPr>
    </w:p>
    <w:p w14:paraId="44DB245D" w14:textId="77777777" w:rsidR="00DF3A10" w:rsidRPr="00B93732" w:rsidRDefault="00DF3A10" w:rsidP="00DF3A10">
      <w:pPr>
        <w:pStyle w:val="NoSpacing"/>
        <w:spacing w:line="276" w:lineRule="auto"/>
        <w:rPr>
          <w:rFonts w:ascii="Times New Roman" w:hAnsi="Times New Roman"/>
          <w:b/>
          <w:sz w:val="24"/>
          <w:szCs w:val="24"/>
          <w:lang w:eastAsia="lt-LT"/>
        </w:rPr>
      </w:pPr>
      <w:r w:rsidRPr="00B93732">
        <w:rPr>
          <w:rFonts w:ascii="Times New Roman" w:hAnsi="Times New Roman"/>
          <w:b/>
          <w:sz w:val="24"/>
          <w:szCs w:val="24"/>
          <w:lang w:eastAsia="lt-LT"/>
        </w:rPr>
        <w:t>Terapinės indikacijos</w:t>
      </w:r>
    </w:p>
    <w:p w14:paraId="260EE38C" w14:textId="28CC0569" w:rsidR="00DF3A10" w:rsidRPr="00B93732" w:rsidRDefault="00DF3A10" w:rsidP="00DF3A10">
      <w:pPr>
        <w:pStyle w:val="NoSpacing"/>
        <w:spacing w:line="276" w:lineRule="auto"/>
        <w:rPr>
          <w:rFonts w:ascii="Times New Roman" w:hAnsi="Times New Roman"/>
          <w:sz w:val="24"/>
          <w:szCs w:val="24"/>
        </w:rPr>
      </w:pPr>
      <w:r w:rsidRPr="00B93732">
        <w:rPr>
          <w:rStyle w:val="Style2"/>
          <w:rFonts w:ascii="Segoe UI Symbol" w:eastAsia="MS Gothic" w:hAnsi="Segoe UI Symbol" w:cs="Segoe UI Symbol"/>
          <w:sz w:val="24"/>
          <w:szCs w:val="24"/>
        </w:rPr>
        <w:t>☒</w:t>
      </w:r>
      <w:r w:rsidRPr="00B93732">
        <w:rPr>
          <w:rFonts w:ascii="Times New Roman" w:hAnsi="Times New Roman"/>
          <w:sz w:val="24"/>
          <w:szCs w:val="24"/>
        </w:rPr>
        <w:t>Siūloma kompensuoti Pareiškėjo teikiamą indikaciją be pakeitimų.</w:t>
      </w:r>
    </w:p>
    <w:p w14:paraId="61094FBE" w14:textId="5B22AFE9" w:rsidR="00DF3A10" w:rsidRPr="00DF3A10" w:rsidRDefault="00DF3A10" w:rsidP="000818E9">
      <w:pPr>
        <w:pStyle w:val="NoSpacing"/>
        <w:spacing w:line="276" w:lineRule="auto"/>
        <w:jc w:val="both"/>
        <w:rPr>
          <w:rFonts w:ascii="Times New Roman" w:hAnsi="Times New Roman"/>
          <w:sz w:val="24"/>
          <w:szCs w:val="24"/>
        </w:rPr>
      </w:pPr>
      <w:bookmarkStart w:id="7" w:name="_Hlk198660959"/>
      <w:proofErr w:type="spellStart"/>
      <w:r w:rsidRPr="00935B3E">
        <w:rPr>
          <w:rFonts w:ascii="Times New Roman" w:hAnsi="Times New Roman"/>
          <w:sz w:val="24"/>
          <w:szCs w:val="24"/>
        </w:rPr>
        <w:t>Inrebic</w:t>
      </w:r>
      <w:proofErr w:type="spellEnd"/>
      <w:r w:rsidRPr="00935B3E">
        <w:rPr>
          <w:rFonts w:ascii="Times New Roman" w:hAnsi="Times New Roman"/>
          <w:sz w:val="24"/>
          <w:szCs w:val="24"/>
        </w:rPr>
        <w:t xml:space="preserve"> skiriamas su liga susijusiai </w:t>
      </w:r>
      <w:proofErr w:type="spellStart"/>
      <w:r w:rsidRPr="00935B3E">
        <w:rPr>
          <w:rFonts w:ascii="Times New Roman" w:hAnsi="Times New Roman"/>
          <w:sz w:val="24"/>
          <w:szCs w:val="24"/>
        </w:rPr>
        <w:t>splenomegalijai</w:t>
      </w:r>
      <w:proofErr w:type="spellEnd"/>
      <w:r w:rsidRPr="00935B3E">
        <w:rPr>
          <w:rFonts w:ascii="Times New Roman" w:hAnsi="Times New Roman"/>
          <w:sz w:val="24"/>
          <w:szCs w:val="24"/>
        </w:rPr>
        <w:t xml:space="preserve"> arba suaugusiųjų pacientų, sergančių pirmine </w:t>
      </w:r>
      <w:proofErr w:type="spellStart"/>
      <w:r w:rsidRPr="00935B3E">
        <w:rPr>
          <w:rFonts w:ascii="Times New Roman" w:hAnsi="Times New Roman"/>
          <w:sz w:val="24"/>
          <w:szCs w:val="24"/>
        </w:rPr>
        <w:t>mielofibroze</w:t>
      </w:r>
      <w:proofErr w:type="spellEnd"/>
      <w:r w:rsidRPr="00935B3E">
        <w:rPr>
          <w:rFonts w:ascii="Times New Roman" w:hAnsi="Times New Roman"/>
          <w:sz w:val="24"/>
          <w:szCs w:val="24"/>
        </w:rPr>
        <w:t xml:space="preserve">, </w:t>
      </w:r>
      <w:proofErr w:type="spellStart"/>
      <w:r w:rsidRPr="00935B3E">
        <w:rPr>
          <w:rFonts w:ascii="Times New Roman" w:hAnsi="Times New Roman"/>
          <w:sz w:val="24"/>
          <w:szCs w:val="24"/>
        </w:rPr>
        <w:t>mielofibroze</w:t>
      </w:r>
      <w:proofErr w:type="spellEnd"/>
      <w:r w:rsidRPr="00935B3E">
        <w:rPr>
          <w:rFonts w:ascii="Times New Roman" w:hAnsi="Times New Roman"/>
          <w:sz w:val="24"/>
          <w:szCs w:val="24"/>
        </w:rPr>
        <w:t xml:space="preserve"> po tikrosios </w:t>
      </w:r>
      <w:proofErr w:type="spellStart"/>
      <w:r w:rsidRPr="00935B3E">
        <w:rPr>
          <w:rFonts w:ascii="Times New Roman" w:hAnsi="Times New Roman"/>
          <w:sz w:val="24"/>
          <w:szCs w:val="24"/>
        </w:rPr>
        <w:t>policitemijos</w:t>
      </w:r>
      <w:proofErr w:type="spellEnd"/>
      <w:r w:rsidRPr="00935B3E">
        <w:rPr>
          <w:rFonts w:ascii="Times New Roman" w:hAnsi="Times New Roman"/>
          <w:sz w:val="24"/>
          <w:szCs w:val="24"/>
        </w:rPr>
        <w:t xml:space="preserve"> arba </w:t>
      </w:r>
      <w:proofErr w:type="spellStart"/>
      <w:r w:rsidRPr="00935B3E">
        <w:rPr>
          <w:rFonts w:ascii="Times New Roman" w:hAnsi="Times New Roman"/>
          <w:sz w:val="24"/>
          <w:szCs w:val="24"/>
        </w:rPr>
        <w:t>mielofibroze</w:t>
      </w:r>
      <w:proofErr w:type="spellEnd"/>
      <w:r w:rsidRPr="00935B3E">
        <w:rPr>
          <w:rFonts w:ascii="Times New Roman" w:hAnsi="Times New Roman"/>
          <w:sz w:val="24"/>
          <w:szCs w:val="24"/>
        </w:rPr>
        <w:t xml:space="preserve"> po </w:t>
      </w:r>
      <w:proofErr w:type="spellStart"/>
      <w:r w:rsidRPr="00935B3E">
        <w:rPr>
          <w:rFonts w:ascii="Times New Roman" w:hAnsi="Times New Roman"/>
          <w:sz w:val="24"/>
          <w:szCs w:val="24"/>
        </w:rPr>
        <w:t>esencialinės</w:t>
      </w:r>
      <w:proofErr w:type="spellEnd"/>
      <w:r w:rsidRPr="00935B3E">
        <w:rPr>
          <w:rFonts w:ascii="Times New Roman" w:hAnsi="Times New Roman"/>
          <w:sz w:val="24"/>
          <w:szCs w:val="24"/>
        </w:rPr>
        <w:t xml:space="preserve"> </w:t>
      </w:r>
      <w:proofErr w:type="spellStart"/>
      <w:r w:rsidRPr="00935B3E">
        <w:rPr>
          <w:rFonts w:ascii="Times New Roman" w:hAnsi="Times New Roman"/>
          <w:sz w:val="24"/>
          <w:szCs w:val="24"/>
        </w:rPr>
        <w:t>trombocitemijos</w:t>
      </w:r>
      <w:proofErr w:type="spellEnd"/>
      <w:r w:rsidRPr="00935B3E">
        <w:rPr>
          <w:rFonts w:ascii="Times New Roman" w:hAnsi="Times New Roman"/>
          <w:sz w:val="24"/>
          <w:szCs w:val="24"/>
        </w:rPr>
        <w:t xml:space="preserve">, simptomams gydyti, kai jie buvo gydyti </w:t>
      </w:r>
      <w:proofErr w:type="spellStart"/>
      <w:r w:rsidRPr="00935B3E">
        <w:rPr>
          <w:rFonts w:ascii="Times New Roman" w:hAnsi="Times New Roman"/>
          <w:sz w:val="24"/>
          <w:szCs w:val="24"/>
        </w:rPr>
        <w:t>ruksolitinibu</w:t>
      </w:r>
      <w:proofErr w:type="spellEnd"/>
      <w:r w:rsidR="000818E9">
        <w:rPr>
          <w:rFonts w:ascii="Times New Roman" w:hAnsi="Times New Roman"/>
          <w:sz w:val="24"/>
          <w:szCs w:val="24"/>
        </w:rPr>
        <w:t>.</w:t>
      </w:r>
    </w:p>
    <w:bookmarkEnd w:id="7"/>
    <w:p w14:paraId="482F81FB" w14:textId="77777777" w:rsidR="00DF3A10" w:rsidRPr="00B93732" w:rsidRDefault="00DF3A10" w:rsidP="00DF3A10">
      <w:pPr>
        <w:pStyle w:val="NoSpacing"/>
        <w:spacing w:line="276" w:lineRule="auto"/>
        <w:rPr>
          <w:rFonts w:ascii="Times New Roman" w:hAnsi="Times New Roman"/>
          <w:sz w:val="24"/>
          <w:szCs w:val="24"/>
        </w:rPr>
      </w:pPr>
    </w:p>
    <w:p w14:paraId="3D451479" w14:textId="77777777" w:rsidR="00DF3A10" w:rsidRPr="00B93732" w:rsidRDefault="00DF3A10" w:rsidP="00DF3A10">
      <w:pPr>
        <w:pStyle w:val="NoSpacing"/>
        <w:spacing w:line="276" w:lineRule="auto"/>
        <w:rPr>
          <w:rFonts w:ascii="Times New Roman" w:hAnsi="Times New Roman"/>
          <w:b/>
          <w:sz w:val="24"/>
          <w:szCs w:val="24"/>
        </w:rPr>
      </w:pPr>
      <w:r w:rsidRPr="00B93732">
        <w:rPr>
          <w:rFonts w:ascii="Times New Roman" w:hAnsi="Times New Roman"/>
          <w:b/>
          <w:sz w:val="24"/>
          <w:szCs w:val="24"/>
        </w:rPr>
        <w:t>Skyrimo sąlygos</w:t>
      </w:r>
    </w:p>
    <w:p w14:paraId="05ABA55D" w14:textId="73B6EC3E" w:rsidR="00DF3A10" w:rsidRPr="00935B3E" w:rsidRDefault="00DF3A10" w:rsidP="00DF3A10">
      <w:pPr>
        <w:pStyle w:val="NoSpacing"/>
        <w:spacing w:line="276" w:lineRule="auto"/>
        <w:rPr>
          <w:rFonts w:ascii="Times New Roman" w:hAnsi="Times New Roman"/>
          <w:bCs/>
          <w:sz w:val="24"/>
          <w:szCs w:val="24"/>
          <w:u w:val="single"/>
        </w:rPr>
      </w:pPr>
      <w:r w:rsidRPr="00935B3E">
        <w:rPr>
          <w:rFonts w:ascii="Times New Roman" w:hAnsi="Times New Roman"/>
          <w:bCs/>
          <w:sz w:val="24"/>
          <w:szCs w:val="24"/>
          <w:u w:val="single"/>
        </w:rPr>
        <w:t>Siūlomos skyrimo sąlygos</w:t>
      </w:r>
      <w:r w:rsidR="000818E9">
        <w:rPr>
          <w:rFonts w:ascii="Times New Roman" w:hAnsi="Times New Roman"/>
          <w:bCs/>
          <w:sz w:val="24"/>
          <w:szCs w:val="24"/>
          <w:u w:val="single"/>
        </w:rPr>
        <w:t>:</w:t>
      </w:r>
    </w:p>
    <w:p w14:paraId="24F388F3" w14:textId="29508A63" w:rsidR="00DF3A10" w:rsidRDefault="00DF3A10" w:rsidP="00DF3A10">
      <w:pPr>
        <w:tabs>
          <w:tab w:val="left" w:pos="284"/>
        </w:tabs>
        <w:spacing w:line="276" w:lineRule="auto"/>
        <w:jc w:val="both"/>
      </w:pPr>
      <w:bookmarkStart w:id="8" w:name="_Hlk198660938"/>
      <w:r w:rsidRPr="000D31DB">
        <w:lastRenderedPageBreak/>
        <w:t xml:space="preserve">Skiriamas ligos sukeltai </w:t>
      </w:r>
      <w:proofErr w:type="spellStart"/>
      <w:r w:rsidRPr="000D31DB">
        <w:t>splenomegalijai</w:t>
      </w:r>
      <w:proofErr w:type="spellEnd"/>
      <w:r w:rsidRPr="000D31DB">
        <w:t xml:space="preserve"> ir kitiems simptomams suaugusiems, kuriems</w:t>
      </w:r>
      <w:r>
        <w:t xml:space="preserve"> </w:t>
      </w:r>
      <w:r w:rsidR="007D0A79">
        <w:t xml:space="preserve">pagal </w:t>
      </w:r>
      <w:r w:rsidR="00A04012">
        <w:t xml:space="preserve">tarptautinę prognostinę balų sistemą (angl. </w:t>
      </w:r>
      <w:r w:rsidR="00A04012">
        <w:rPr>
          <w:i/>
          <w:iCs/>
        </w:rPr>
        <w:t xml:space="preserve">International </w:t>
      </w:r>
      <w:proofErr w:type="spellStart"/>
      <w:r w:rsidR="00A04012">
        <w:rPr>
          <w:i/>
          <w:iCs/>
        </w:rPr>
        <w:t>Prognostic</w:t>
      </w:r>
      <w:proofErr w:type="spellEnd"/>
      <w:r w:rsidR="00A04012">
        <w:rPr>
          <w:i/>
          <w:iCs/>
        </w:rPr>
        <w:t xml:space="preserve"> </w:t>
      </w:r>
      <w:proofErr w:type="spellStart"/>
      <w:r w:rsidR="00A04012">
        <w:rPr>
          <w:i/>
          <w:iCs/>
        </w:rPr>
        <w:t>Scoring</w:t>
      </w:r>
      <w:proofErr w:type="spellEnd"/>
      <w:r w:rsidR="00A04012">
        <w:rPr>
          <w:i/>
          <w:iCs/>
        </w:rPr>
        <w:t xml:space="preserve"> System</w:t>
      </w:r>
      <w:r w:rsidR="00A04012" w:rsidRPr="006B1DD2">
        <w:rPr>
          <w:i/>
          <w:iCs/>
        </w:rPr>
        <w:t>, IPSS</w:t>
      </w:r>
      <w:r w:rsidR="00A04012">
        <w:t>)</w:t>
      </w:r>
      <w:r w:rsidR="00935B3E">
        <w:t xml:space="preserve"> </w:t>
      </w:r>
      <w:r w:rsidR="00935B3E" w:rsidRPr="000D31DB">
        <w:t xml:space="preserve">nustatyta </w:t>
      </w:r>
      <w:r w:rsidR="00935B3E">
        <w:t>tarpinės-2 ir didelės rizikos</w:t>
      </w:r>
      <w:r w:rsidR="007D0A79" w:rsidRPr="000D31DB">
        <w:t xml:space="preserve"> </w:t>
      </w:r>
      <w:r w:rsidRPr="000D31DB">
        <w:t xml:space="preserve">pirminė </w:t>
      </w:r>
      <w:proofErr w:type="spellStart"/>
      <w:r w:rsidRPr="000D31DB">
        <w:t>mielofibrozė</w:t>
      </w:r>
      <w:proofErr w:type="spellEnd"/>
      <w:r w:rsidRPr="000D31DB">
        <w:t xml:space="preserve"> (dar vadinama lėtine idiopatine </w:t>
      </w:r>
      <w:proofErr w:type="spellStart"/>
      <w:r w:rsidRPr="000D31DB">
        <w:t>mielofibroze</w:t>
      </w:r>
      <w:proofErr w:type="spellEnd"/>
      <w:r w:rsidRPr="000D31DB">
        <w:t xml:space="preserve">), </w:t>
      </w:r>
      <w:proofErr w:type="spellStart"/>
      <w:r w:rsidRPr="000D31DB">
        <w:t>mielofibrozė</w:t>
      </w:r>
      <w:proofErr w:type="spellEnd"/>
      <w:r w:rsidRPr="000D31DB">
        <w:t xml:space="preserve"> sergant tikrąja </w:t>
      </w:r>
      <w:proofErr w:type="spellStart"/>
      <w:r w:rsidRPr="000D31DB">
        <w:t>policitemija</w:t>
      </w:r>
      <w:proofErr w:type="spellEnd"/>
      <w:r w:rsidRPr="000D31DB">
        <w:t xml:space="preserve"> arba </w:t>
      </w:r>
      <w:proofErr w:type="spellStart"/>
      <w:r w:rsidRPr="000D31DB">
        <w:t>mielofibrozė</w:t>
      </w:r>
      <w:proofErr w:type="spellEnd"/>
      <w:r w:rsidRPr="000D31DB">
        <w:t xml:space="preserve"> sergant pirmine </w:t>
      </w:r>
      <w:proofErr w:type="spellStart"/>
      <w:r w:rsidRPr="000D31DB">
        <w:t>trombocitemija</w:t>
      </w:r>
      <w:proofErr w:type="spellEnd"/>
      <w:r w:rsidRPr="000D31DB">
        <w:t>, gydyti</w:t>
      </w:r>
      <w:r>
        <w:t xml:space="preserve">, kai </w:t>
      </w:r>
      <w:r w:rsidR="00935B3E">
        <w:t xml:space="preserve">jie buvo gydyti </w:t>
      </w:r>
      <w:proofErr w:type="spellStart"/>
      <w:r w:rsidR="00935B3E">
        <w:t>ruksolitinibu</w:t>
      </w:r>
      <w:proofErr w:type="spellEnd"/>
      <w:r w:rsidR="00A04012" w:rsidRPr="00050932">
        <w:rPr>
          <w:iCs/>
        </w:rPr>
        <w:t>.</w:t>
      </w:r>
    </w:p>
    <w:bookmarkEnd w:id="8"/>
    <w:p w14:paraId="7CDFF220" w14:textId="406FD17D" w:rsidR="000723FF" w:rsidRPr="002D07FD" w:rsidRDefault="000723FF" w:rsidP="00824B92">
      <w:pPr>
        <w:rPr>
          <w:b/>
          <w:bCs/>
          <w:caps/>
        </w:rPr>
      </w:pPr>
    </w:p>
    <w:sectPr w:rsidR="000723FF" w:rsidRPr="002D07FD"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4003" w14:textId="77777777" w:rsidR="000770DE" w:rsidRDefault="000770DE">
      <w:r>
        <w:separator/>
      </w:r>
    </w:p>
  </w:endnote>
  <w:endnote w:type="continuationSeparator" w:id="0">
    <w:p w14:paraId="6D24F9C1" w14:textId="77777777" w:rsidR="000770DE" w:rsidRDefault="00077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683EB" w14:textId="77777777" w:rsidR="000770DE" w:rsidRDefault="000770DE">
      <w:r>
        <w:separator/>
      </w:r>
    </w:p>
  </w:footnote>
  <w:footnote w:type="continuationSeparator" w:id="0">
    <w:p w14:paraId="6605EA0B" w14:textId="77777777" w:rsidR="000770DE" w:rsidRDefault="00077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651656C1"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2B30">
      <w:rPr>
        <w:rStyle w:val="PageNumber"/>
        <w:noProof/>
      </w:rPr>
      <w:t>6</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5111115"/>
    <w:multiLevelType w:val="hybridMultilevel"/>
    <w:tmpl w:val="22EA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4321384">
    <w:abstractNumId w:val="6"/>
  </w:num>
  <w:num w:numId="2" w16cid:durableId="1321733345">
    <w:abstractNumId w:val="1"/>
  </w:num>
  <w:num w:numId="3" w16cid:durableId="1938366674">
    <w:abstractNumId w:val="8"/>
  </w:num>
  <w:num w:numId="4" w16cid:durableId="1139494571">
    <w:abstractNumId w:val="7"/>
  </w:num>
  <w:num w:numId="5" w16cid:durableId="595871750">
    <w:abstractNumId w:val="5"/>
  </w:num>
  <w:num w:numId="6" w16cid:durableId="1072629523">
    <w:abstractNumId w:val="4"/>
  </w:num>
  <w:num w:numId="7" w16cid:durableId="1791849949">
    <w:abstractNumId w:val="3"/>
  </w:num>
  <w:num w:numId="8" w16cid:durableId="846822045">
    <w:abstractNumId w:val="12"/>
  </w:num>
  <w:num w:numId="9" w16cid:durableId="653682459">
    <w:abstractNumId w:val="0"/>
  </w:num>
  <w:num w:numId="10" w16cid:durableId="1323389993">
    <w:abstractNumId w:val="9"/>
  </w:num>
  <w:num w:numId="11" w16cid:durableId="985626933">
    <w:abstractNumId w:val="11"/>
  </w:num>
  <w:num w:numId="12" w16cid:durableId="1331831153">
    <w:abstractNumId w:val="2"/>
  </w:num>
  <w:num w:numId="13" w16cid:durableId="252587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6F32"/>
    <w:rsid w:val="000203E1"/>
    <w:rsid w:val="0002686C"/>
    <w:rsid w:val="00031D0E"/>
    <w:rsid w:val="000337E6"/>
    <w:rsid w:val="0003402E"/>
    <w:rsid w:val="00034EAE"/>
    <w:rsid w:val="00042924"/>
    <w:rsid w:val="00045709"/>
    <w:rsid w:val="00053975"/>
    <w:rsid w:val="00057A2B"/>
    <w:rsid w:val="000606BE"/>
    <w:rsid w:val="000723FF"/>
    <w:rsid w:val="000736B8"/>
    <w:rsid w:val="000770DE"/>
    <w:rsid w:val="000818E9"/>
    <w:rsid w:val="0008190F"/>
    <w:rsid w:val="00081D9C"/>
    <w:rsid w:val="00082907"/>
    <w:rsid w:val="0008378D"/>
    <w:rsid w:val="000908A5"/>
    <w:rsid w:val="0009140B"/>
    <w:rsid w:val="00092805"/>
    <w:rsid w:val="000B1225"/>
    <w:rsid w:val="000C454C"/>
    <w:rsid w:val="000D5038"/>
    <w:rsid w:val="000E29D4"/>
    <w:rsid w:val="000F0099"/>
    <w:rsid w:val="000F2662"/>
    <w:rsid w:val="000F3540"/>
    <w:rsid w:val="00100491"/>
    <w:rsid w:val="00104E2E"/>
    <w:rsid w:val="00107287"/>
    <w:rsid w:val="00117406"/>
    <w:rsid w:val="00121EF0"/>
    <w:rsid w:val="00124A9E"/>
    <w:rsid w:val="00130703"/>
    <w:rsid w:val="0013153F"/>
    <w:rsid w:val="001408B8"/>
    <w:rsid w:val="00144C27"/>
    <w:rsid w:val="001478D2"/>
    <w:rsid w:val="001517E2"/>
    <w:rsid w:val="001521D9"/>
    <w:rsid w:val="001554E2"/>
    <w:rsid w:val="00164146"/>
    <w:rsid w:val="00164D64"/>
    <w:rsid w:val="0017369C"/>
    <w:rsid w:val="00175D57"/>
    <w:rsid w:val="00180C39"/>
    <w:rsid w:val="00180D96"/>
    <w:rsid w:val="00184BD3"/>
    <w:rsid w:val="00184F42"/>
    <w:rsid w:val="001878A4"/>
    <w:rsid w:val="001921F3"/>
    <w:rsid w:val="001A5428"/>
    <w:rsid w:val="001B3C5B"/>
    <w:rsid w:val="001D1DCA"/>
    <w:rsid w:val="001D5B91"/>
    <w:rsid w:val="001D746F"/>
    <w:rsid w:val="001E4BBB"/>
    <w:rsid w:val="001E6304"/>
    <w:rsid w:val="0020381E"/>
    <w:rsid w:val="00213471"/>
    <w:rsid w:val="00215906"/>
    <w:rsid w:val="00233DE7"/>
    <w:rsid w:val="00241CD8"/>
    <w:rsid w:val="0024312A"/>
    <w:rsid w:val="00244B09"/>
    <w:rsid w:val="002519CB"/>
    <w:rsid w:val="0025697F"/>
    <w:rsid w:val="00260258"/>
    <w:rsid w:val="0026519C"/>
    <w:rsid w:val="0026588E"/>
    <w:rsid w:val="00272428"/>
    <w:rsid w:val="00272948"/>
    <w:rsid w:val="002736FC"/>
    <w:rsid w:val="00283E59"/>
    <w:rsid w:val="00292392"/>
    <w:rsid w:val="002946C7"/>
    <w:rsid w:val="00296C08"/>
    <w:rsid w:val="002B3CC1"/>
    <w:rsid w:val="002C09E0"/>
    <w:rsid w:val="002C1BB1"/>
    <w:rsid w:val="002C2786"/>
    <w:rsid w:val="002C3A10"/>
    <w:rsid w:val="002C4A90"/>
    <w:rsid w:val="002C4ED5"/>
    <w:rsid w:val="002D02EF"/>
    <w:rsid w:val="002D07FD"/>
    <w:rsid w:val="002E0702"/>
    <w:rsid w:val="002E57AD"/>
    <w:rsid w:val="002E6F80"/>
    <w:rsid w:val="002F0E4F"/>
    <w:rsid w:val="002F1053"/>
    <w:rsid w:val="0030069A"/>
    <w:rsid w:val="00314816"/>
    <w:rsid w:val="00317B0E"/>
    <w:rsid w:val="003450D7"/>
    <w:rsid w:val="00347FAA"/>
    <w:rsid w:val="0035172D"/>
    <w:rsid w:val="0036187D"/>
    <w:rsid w:val="00367EDB"/>
    <w:rsid w:val="0037543E"/>
    <w:rsid w:val="00381024"/>
    <w:rsid w:val="00386307"/>
    <w:rsid w:val="003874DE"/>
    <w:rsid w:val="00393E9F"/>
    <w:rsid w:val="0039696E"/>
    <w:rsid w:val="003B211A"/>
    <w:rsid w:val="003C141F"/>
    <w:rsid w:val="003C6B0E"/>
    <w:rsid w:val="003C7257"/>
    <w:rsid w:val="003C7E35"/>
    <w:rsid w:val="003D1E99"/>
    <w:rsid w:val="003D6208"/>
    <w:rsid w:val="00404E8A"/>
    <w:rsid w:val="0040622F"/>
    <w:rsid w:val="00413F24"/>
    <w:rsid w:val="00422853"/>
    <w:rsid w:val="00423160"/>
    <w:rsid w:val="00434D0C"/>
    <w:rsid w:val="00453862"/>
    <w:rsid w:val="0045469B"/>
    <w:rsid w:val="00461338"/>
    <w:rsid w:val="004677DB"/>
    <w:rsid w:val="00476256"/>
    <w:rsid w:val="0048630F"/>
    <w:rsid w:val="0048680D"/>
    <w:rsid w:val="004947A1"/>
    <w:rsid w:val="0049482A"/>
    <w:rsid w:val="004979D3"/>
    <w:rsid w:val="004A00E7"/>
    <w:rsid w:val="004A3A61"/>
    <w:rsid w:val="004B59BA"/>
    <w:rsid w:val="004B5A03"/>
    <w:rsid w:val="004C263A"/>
    <w:rsid w:val="004D48A6"/>
    <w:rsid w:val="004D7B8F"/>
    <w:rsid w:val="004E241F"/>
    <w:rsid w:val="004E6458"/>
    <w:rsid w:val="004E6E7D"/>
    <w:rsid w:val="004F1AAC"/>
    <w:rsid w:val="004F1AE2"/>
    <w:rsid w:val="004F34F0"/>
    <w:rsid w:val="004F3B2B"/>
    <w:rsid w:val="004F6050"/>
    <w:rsid w:val="005005EF"/>
    <w:rsid w:val="005123C2"/>
    <w:rsid w:val="0052144B"/>
    <w:rsid w:val="00524066"/>
    <w:rsid w:val="0053001B"/>
    <w:rsid w:val="00534E11"/>
    <w:rsid w:val="005378D8"/>
    <w:rsid w:val="005400D9"/>
    <w:rsid w:val="005476A4"/>
    <w:rsid w:val="0055019B"/>
    <w:rsid w:val="00556E63"/>
    <w:rsid w:val="005601A4"/>
    <w:rsid w:val="00566DBB"/>
    <w:rsid w:val="00571D03"/>
    <w:rsid w:val="005767DB"/>
    <w:rsid w:val="005815E6"/>
    <w:rsid w:val="0058220E"/>
    <w:rsid w:val="0058712F"/>
    <w:rsid w:val="005975AE"/>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34AA"/>
    <w:rsid w:val="00633B49"/>
    <w:rsid w:val="0064297F"/>
    <w:rsid w:val="00645102"/>
    <w:rsid w:val="00646CF3"/>
    <w:rsid w:val="00653D11"/>
    <w:rsid w:val="00662983"/>
    <w:rsid w:val="0066796B"/>
    <w:rsid w:val="0067524F"/>
    <w:rsid w:val="00680D77"/>
    <w:rsid w:val="006834D3"/>
    <w:rsid w:val="00687DC7"/>
    <w:rsid w:val="00692625"/>
    <w:rsid w:val="00695CD3"/>
    <w:rsid w:val="006A2B30"/>
    <w:rsid w:val="006A38B6"/>
    <w:rsid w:val="006B1987"/>
    <w:rsid w:val="006B5B71"/>
    <w:rsid w:val="006B5D3E"/>
    <w:rsid w:val="006B6CB0"/>
    <w:rsid w:val="006C2B64"/>
    <w:rsid w:val="006C328B"/>
    <w:rsid w:val="006C6F33"/>
    <w:rsid w:val="006D1BF3"/>
    <w:rsid w:val="006D4C85"/>
    <w:rsid w:val="006D66AC"/>
    <w:rsid w:val="006E33F6"/>
    <w:rsid w:val="006F1251"/>
    <w:rsid w:val="006F1C23"/>
    <w:rsid w:val="006F7676"/>
    <w:rsid w:val="00702C18"/>
    <w:rsid w:val="00703166"/>
    <w:rsid w:val="007127F3"/>
    <w:rsid w:val="007301CF"/>
    <w:rsid w:val="007316FB"/>
    <w:rsid w:val="00737E2D"/>
    <w:rsid w:val="007424D5"/>
    <w:rsid w:val="00750A88"/>
    <w:rsid w:val="00751408"/>
    <w:rsid w:val="007523DD"/>
    <w:rsid w:val="00757B7E"/>
    <w:rsid w:val="007601F0"/>
    <w:rsid w:val="007656B2"/>
    <w:rsid w:val="0077016F"/>
    <w:rsid w:val="007713AD"/>
    <w:rsid w:val="007820BF"/>
    <w:rsid w:val="00795DC5"/>
    <w:rsid w:val="00797153"/>
    <w:rsid w:val="007A21F7"/>
    <w:rsid w:val="007A2B68"/>
    <w:rsid w:val="007B0DDA"/>
    <w:rsid w:val="007B6CE3"/>
    <w:rsid w:val="007D0A79"/>
    <w:rsid w:val="007D3347"/>
    <w:rsid w:val="007D7F03"/>
    <w:rsid w:val="007E2C2F"/>
    <w:rsid w:val="007E5466"/>
    <w:rsid w:val="007F1949"/>
    <w:rsid w:val="007F2592"/>
    <w:rsid w:val="00800A08"/>
    <w:rsid w:val="0080146E"/>
    <w:rsid w:val="00817A84"/>
    <w:rsid w:val="008225A4"/>
    <w:rsid w:val="00824B92"/>
    <w:rsid w:val="00826D5E"/>
    <w:rsid w:val="00832013"/>
    <w:rsid w:val="00832DB7"/>
    <w:rsid w:val="00834732"/>
    <w:rsid w:val="00843FB8"/>
    <w:rsid w:val="0085200C"/>
    <w:rsid w:val="00857C52"/>
    <w:rsid w:val="00860D5F"/>
    <w:rsid w:val="00876EF8"/>
    <w:rsid w:val="00880A44"/>
    <w:rsid w:val="0088345E"/>
    <w:rsid w:val="0088656F"/>
    <w:rsid w:val="00891EF6"/>
    <w:rsid w:val="00896D03"/>
    <w:rsid w:val="008A0303"/>
    <w:rsid w:val="008A5FDD"/>
    <w:rsid w:val="008C01DC"/>
    <w:rsid w:val="008C3947"/>
    <w:rsid w:val="008C7017"/>
    <w:rsid w:val="008E473B"/>
    <w:rsid w:val="008E51A6"/>
    <w:rsid w:val="008E7329"/>
    <w:rsid w:val="008F2ED5"/>
    <w:rsid w:val="0092297E"/>
    <w:rsid w:val="00923651"/>
    <w:rsid w:val="00927B56"/>
    <w:rsid w:val="00931A54"/>
    <w:rsid w:val="009341BF"/>
    <w:rsid w:val="00935B3E"/>
    <w:rsid w:val="00937907"/>
    <w:rsid w:val="00941739"/>
    <w:rsid w:val="00951573"/>
    <w:rsid w:val="00963003"/>
    <w:rsid w:val="00966EEF"/>
    <w:rsid w:val="00971B28"/>
    <w:rsid w:val="00983471"/>
    <w:rsid w:val="009909AB"/>
    <w:rsid w:val="009A33BF"/>
    <w:rsid w:val="009A69EC"/>
    <w:rsid w:val="009B37DB"/>
    <w:rsid w:val="009C7A8C"/>
    <w:rsid w:val="009D23F9"/>
    <w:rsid w:val="009D4FA8"/>
    <w:rsid w:val="009E44AE"/>
    <w:rsid w:val="009E6CD6"/>
    <w:rsid w:val="009F4D66"/>
    <w:rsid w:val="00A00C3C"/>
    <w:rsid w:val="00A01091"/>
    <w:rsid w:val="00A04012"/>
    <w:rsid w:val="00A042B9"/>
    <w:rsid w:val="00A06DBB"/>
    <w:rsid w:val="00A22ADF"/>
    <w:rsid w:val="00A237C9"/>
    <w:rsid w:val="00A31E86"/>
    <w:rsid w:val="00A54D87"/>
    <w:rsid w:val="00A5553C"/>
    <w:rsid w:val="00A57959"/>
    <w:rsid w:val="00A701C9"/>
    <w:rsid w:val="00A81785"/>
    <w:rsid w:val="00A84803"/>
    <w:rsid w:val="00A84C51"/>
    <w:rsid w:val="00A86F2B"/>
    <w:rsid w:val="00A91366"/>
    <w:rsid w:val="00A92F91"/>
    <w:rsid w:val="00A93AA6"/>
    <w:rsid w:val="00AA4E48"/>
    <w:rsid w:val="00AA6202"/>
    <w:rsid w:val="00AA7B57"/>
    <w:rsid w:val="00AB055D"/>
    <w:rsid w:val="00AB2806"/>
    <w:rsid w:val="00AB5053"/>
    <w:rsid w:val="00AB6C7B"/>
    <w:rsid w:val="00AC26FC"/>
    <w:rsid w:val="00AC4A99"/>
    <w:rsid w:val="00AC64D2"/>
    <w:rsid w:val="00AD02E7"/>
    <w:rsid w:val="00AE0FE8"/>
    <w:rsid w:val="00AE3B31"/>
    <w:rsid w:val="00AF60D5"/>
    <w:rsid w:val="00B00959"/>
    <w:rsid w:val="00B04415"/>
    <w:rsid w:val="00B06509"/>
    <w:rsid w:val="00B11D60"/>
    <w:rsid w:val="00B13D65"/>
    <w:rsid w:val="00B21805"/>
    <w:rsid w:val="00B24674"/>
    <w:rsid w:val="00B3072E"/>
    <w:rsid w:val="00B33E91"/>
    <w:rsid w:val="00B33FA8"/>
    <w:rsid w:val="00B36E15"/>
    <w:rsid w:val="00B37245"/>
    <w:rsid w:val="00B4017A"/>
    <w:rsid w:val="00B4468D"/>
    <w:rsid w:val="00B71C72"/>
    <w:rsid w:val="00B72A0A"/>
    <w:rsid w:val="00B81E92"/>
    <w:rsid w:val="00B908D7"/>
    <w:rsid w:val="00B935E8"/>
    <w:rsid w:val="00B93B30"/>
    <w:rsid w:val="00B94CB5"/>
    <w:rsid w:val="00BA0DD9"/>
    <w:rsid w:val="00BA5DBC"/>
    <w:rsid w:val="00BA6584"/>
    <w:rsid w:val="00BB6312"/>
    <w:rsid w:val="00BC22A0"/>
    <w:rsid w:val="00BC4D06"/>
    <w:rsid w:val="00BD585E"/>
    <w:rsid w:val="00BD6919"/>
    <w:rsid w:val="00BE1EA7"/>
    <w:rsid w:val="00BE7489"/>
    <w:rsid w:val="00BF2E0D"/>
    <w:rsid w:val="00BF3927"/>
    <w:rsid w:val="00BF3F8B"/>
    <w:rsid w:val="00BF76DA"/>
    <w:rsid w:val="00C07C7B"/>
    <w:rsid w:val="00C16245"/>
    <w:rsid w:val="00C1763F"/>
    <w:rsid w:val="00C22DC5"/>
    <w:rsid w:val="00C24479"/>
    <w:rsid w:val="00C273F2"/>
    <w:rsid w:val="00C37B53"/>
    <w:rsid w:val="00C434EB"/>
    <w:rsid w:val="00C517D2"/>
    <w:rsid w:val="00C5772E"/>
    <w:rsid w:val="00C62AD3"/>
    <w:rsid w:val="00C62B36"/>
    <w:rsid w:val="00C7012C"/>
    <w:rsid w:val="00C712EA"/>
    <w:rsid w:val="00C80E90"/>
    <w:rsid w:val="00CA217D"/>
    <w:rsid w:val="00CC09D4"/>
    <w:rsid w:val="00CC668D"/>
    <w:rsid w:val="00CC7832"/>
    <w:rsid w:val="00CD488E"/>
    <w:rsid w:val="00CF0C1C"/>
    <w:rsid w:val="00CF27FD"/>
    <w:rsid w:val="00CF5F12"/>
    <w:rsid w:val="00D00D8F"/>
    <w:rsid w:val="00D0272E"/>
    <w:rsid w:val="00D118FB"/>
    <w:rsid w:val="00D21F3A"/>
    <w:rsid w:val="00D23808"/>
    <w:rsid w:val="00D3016A"/>
    <w:rsid w:val="00D417D2"/>
    <w:rsid w:val="00D42960"/>
    <w:rsid w:val="00D43BD7"/>
    <w:rsid w:val="00D4485B"/>
    <w:rsid w:val="00D46CCD"/>
    <w:rsid w:val="00D4708D"/>
    <w:rsid w:val="00D4744C"/>
    <w:rsid w:val="00D521DE"/>
    <w:rsid w:val="00D5470B"/>
    <w:rsid w:val="00D63068"/>
    <w:rsid w:val="00D64441"/>
    <w:rsid w:val="00D6498C"/>
    <w:rsid w:val="00D760F7"/>
    <w:rsid w:val="00D76A70"/>
    <w:rsid w:val="00D8151D"/>
    <w:rsid w:val="00D83182"/>
    <w:rsid w:val="00D8521E"/>
    <w:rsid w:val="00D9291C"/>
    <w:rsid w:val="00D93A97"/>
    <w:rsid w:val="00DB1F64"/>
    <w:rsid w:val="00DC2F53"/>
    <w:rsid w:val="00DC5BAC"/>
    <w:rsid w:val="00DC6816"/>
    <w:rsid w:val="00DC76C2"/>
    <w:rsid w:val="00DD1CF2"/>
    <w:rsid w:val="00DD72FA"/>
    <w:rsid w:val="00DE4484"/>
    <w:rsid w:val="00DF380D"/>
    <w:rsid w:val="00DF3A10"/>
    <w:rsid w:val="00DF41B7"/>
    <w:rsid w:val="00DF4A4A"/>
    <w:rsid w:val="00DF583C"/>
    <w:rsid w:val="00E03C3F"/>
    <w:rsid w:val="00E06FD7"/>
    <w:rsid w:val="00E07417"/>
    <w:rsid w:val="00E15A7F"/>
    <w:rsid w:val="00E24D45"/>
    <w:rsid w:val="00E300BD"/>
    <w:rsid w:val="00E33DB8"/>
    <w:rsid w:val="00E33EFF"/>
    <w:rsid w:val="00E34387"/>
    <w:rsid w:val="00E348BA"/>
    <w:rsid w:val="00E36132"/>
    <w:rsid w:val="00E369FE"/>
    <w:rsid w:val="00E37C6F"/>
    <w:rsid w:val="00E475F8"/>
    <w:rsid w:val="00E5102E"/>
    <w:rsid w:val="00E549A3"/>
    <w:rsid w:val="00E5721C"/>
    <w:rsid w:val="00E619C6"/>
    <w:rsid w:val="00E745A1"/>
    <w:rsid w:val="00E81529"/>
    <w:rsid w:val="00E83A13"/>
    <w:rsid w:val="00EB6FC5"/>
    <w:rsid w:val="00EC2356"/>
    <w:rsid w:val="00EC2582"/>
    <w:rsid w:val="00EC337C"/>
    <w:rsid w:val="00ED0CFF"/>
    <w:rsid w:val="00ED1002"/>
    <w:rsid w:val="00ED2708"/>
    <w:rsid w:val="00ED31D2"/>
    <w:rsid w:val="00EE0EAC"/>
    <w:rsid w:val="00EE3322"/>
    <w:rsid w:val="00EE33CB"/>
    <w:rsid w:val="00F0061A"/>
    <w:rsid w:val="00F02834"/>
    <w:rsid w:val="00F04EEB"/>
    <w:rsid w:val="00F05467"/>
    <w:rsid w:val="00F055D2"/>
    <w:rsid w:val="00F07CD7"/>
    <w:rsid w:val="00F127E9"/>
    <w:rsid w:val="00F14B5D"/>
    <w:rsid w:val="00F167B5"/>
    <w:rsid w:val="00F259FC"/>
    <w:rsid w:val="00F36972"/>
    <w:rsid w:val="00F42426"/>
    <w:rsid w:val="00F42E2E"/>
    <w:rsid w:val="00F456BC"/>
    <w:rsid w:val="00F50666"/>
    <w:rsid w:val="00F65CE3"/>
    <w:rsid w:val="00F70731"/>
    <w:rsid w:val="00F70C9E"/>
    <w:rsid w:val="00F74A74"/>
    <w:rsid w:val="00F7572C"/>
    <w:rsid w:val="00F8382C"/>
    <w:rsid w:val="00F84245"/>
    <w:rsid w:val="00F855D7"/>
    <w:rsid w:val="00F92035"/>
    <w:rsid w:val="00F92748"/>
    <w:rsid w:val="00FA4169"/>
    <w:rsid w:val="00FB0D41"/>
    <w:rsid w:val="00FB2030"/>
    <w:rsid w:val="00FC22D9"/>
    <w:rsid w:val="00FC3102"/>
    <w:rsid w:val="00FD0E46"/>
    <w:rsid w:val="00FD182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List Paragraph CCT minutes,Bullet 1,Section 5,1. Bullet Blank,Bulleted - 2,FooterText,List Paragraph1,numbered,列出段落"/>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List Paragraph CCT minutes Char,Bullet 1 Char,Section 5 Char,1. Bullet Blank Char"/>
    <w:link w:val="ListParagraph"/>
    <w:uiPriority w:val="34"/>
    <w:locked/>
    <w:rsid w:val="00016F32"/>
    <w:rPr>
      <w:sz w:val="24"/>
      <w:szCs w:val="24"/>
      <w:lang w:eastAsia="en-US"/>
    </w:rPr>
  </w:style>
  <w:style w:type="paragraph" w:customStyle="1" w:styleId="Tekstas">
    <w:name w:val="Tekstas"/>
    <w:basedOn w:val="Normal"/>
    <w:link w:val="TekstasChar"/>
    <w:qFormat/>
    <w:rsid w:val="00931A54"/>
    <w:pPr>
      <w:spacing w:after="120"/>
      <w:jc w:val="both"/>
    </w:pPr>
  </w:style>
  <w:style w:type="character" w:customStyle="1" w:styleId="TekstasChar">
    <w:name w:val="Tekstas Char"/>
    <w:link w:val="Tekstas"/>
    <w:locked/>
    <w:rsid w:val="00931A54"/>
    <w:rPr>
      <w:sz w:val="24"/>
      <w:szCs w:val="24"/>
      <w:lang w:eastAsia="en-US"/>
    </w:rPr>
  </w:style>
  <w:style w:type="character" w:styleId="Emphasis">
    <w:name w:val="Emphasis"/>
    <w:basedOn w:val="DefaultParagraphFont"/>
    <w:qFormat/>
    <w:rsid w:val="00AB6C7B"/>
    <w:rPr>
      <w:i/>
      <w:iCs/>
    </w:rPr>
  </w:style>
  <w:style w:type="table" w:customStyle="1" w:styleId="DossierTable1">
    <w:name w:val="Dossier Table1"/>
    <w:basedOn w:val="TableNormal"/>
    <w:next w:val="TableGrid"/>
    <w:rsid w:val="00AB6C7B"/>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66CB46DD264044942D307E8C3417B9"/>
        <w:category>
          <w:name w:val="General"/>
          <w:gallery w:val="placeholder"/>
        </w:category>
        <w:types>
          <w:type w:val="bbPlcHdr"/>
        </w:types>
        <w:behaviors>
          <w:behavior w:val="content"/>
        </w:behaviors>
        <w:guid w:val="{9EBEAD4B-4595-4415-B78F-F293CE392B08}"/>
      </w:docPartPr>
      <w:docPartBody>
        <w:p w:rsidR="007F014A" w:rsidRDefault="00EF395F" w:rsidP="00EF395F">
          <w:pPr>
            <w:pStyle w:val="D566CB46DD264044942D307E8C3417B9"/>
          </w:pPr>
          <w:r>
            <w:rPr>
              <w:rStyle w:val="PlaceholderText"/>
            </w:rPr>
            <w:t>Click here to enter a date.</w:t>
          </w:r>
        </w:p>
      </w:docPartBody>
    </w:docPart>
    <w:docPart>
      <w:docPartPr>
        <w:name w:val="DEACB99EDDD94F65B91B5B309D34AD6E"/>
        <w:category>
          <w:name w:val="General"/>
          <w:gallery w:val="placeholder"/>
        </w:category>
        <w:types>
          <w:type w:val="bbPlcHdr"/>
        </w:types>
        <w:behaviors>
          <w:behavior w:val="content"/>
        </w:behaviors>
        <w:guid w:val="{87DBE7CF-D567-4649-A672-D4A877EEC924}"/>
      </w:docPartPr>
      <w:docPartBody>
        <w:p w:rsidR="00A92BBA" w:rsidRDefault="008526F7" w:rsidP="008526F7">
          <w:pPr>
            <w:pStyle w:val="DEACB99EDDD94F65B91B5B309D34AD6E"/>
          </w:pPr>
          <w:r>
            <w:rPr>
              <w:rStyle w:val="PlaceholderText"/>
            </w:rPr>
            <w:t>Click here to enter a date.</w:t>
          </w:r>
        </w:p>
      </w:docPartBody>
    </w:docPart>
    <w:docPart>
      <w:docPartPr>
        <w:name w:val="678604E3F5BB4C198744206C44D5E9F3"/>
        <w:category>
          <w:name w:val="General"/>
          <w:gallery w:val="placeholder"/>
        </w:category>
        <w:types>
          <w:type w:val="bbPlcHdr"/>
        </w:types>
        <w:behaviors>
          <w:behavior w:val="content"/>
        </w:behaviors>
        <w:guid w:val="{EC21225F-57C9-48D9-A0F1-3F3E11BB74B8}"/>
      </w:docPartPr>
      <w:docPartBody>
        <w:p w:rsidR="00A92BBA" w:rsidRDefault="008526F7" w:rsidP="008526F7">
          <w:pPr>
            <w:pStyle w:val="678604E3F5BB4C198744206C44D5E9F3"/>
          </w:pPr>
          <w:r>
            <w:rPr>
              <w:rStyle w:val="PlaceholderText"/>
            </w:rPr>
            <w:t>Click here to enter a date.</w:t>
          </w:r>
        </w:p>
      </w:docPartBody>
    </w:docPart>
    <w:docPart>
      <w:docPartPr>
        <w:name w:val="ECF7A6B8A4134D00A862870C0274BA81"/>
        <w:category>
          <w:name w:val="General"/>
          <w:gallery w:val="placeholder"/>
        </w:category>
        <w:types>
          <w:type w:val="bbPlcHdr"/>
        </w:types>
        <w:behaviors>
          <w:behavior w:val="content"/>
        </w:behaviors>
        <w:guid w:val="{25355D73-A7F2-4DC4-A34B-B6CE185B905C}"/>
      </w:docPartPr>
      <w:docPartBody>
        <w:p w:rsidR="00A92BBA" w:rsidRDefault="008526F7" w:rsidP="008526F7">
          <w:pPr>
            <w:pStyle w:val="ECF7A6B8A4134D00A862870C0274BA81"/>
          </w:pPr>
          <w:r>
            <w:rPr>
              <w:rStyle w:val="PlaceholderText"/>
            </w:rPr>
            <w:t>Click here to enter a date.</w:t>
          </w:r>
        </w:p>
      </w:docPartBody>
    </w:docPart>
    <w:docPart>
      <w:docPartPr>
        <w:name w:val="62F23A57E85D4056ABA7E2565BEBDE97"/>
        <w:category>
          <w:name w:val="General"/>
          <w:gallery w:val="placeholder"/>
        </w:category>
        <w:types>
          <w:type w:val="bbPlcHdr"/>
        </w:types>
        <w:behaviors>
          <w:behavior w:val="content"/>
        </w:behaviors>
        <w:guid w:val="{51282BCF-B633-41CA-B2B1-AE66794B26B0}"/>
      </w:docPartPr>
      <w:docPartBody>
        <w:p w:rsidR="00A92BBA" w:rsidRDefault="008526F7" w:rsidP="008526F7">
          <w:pPr>
            <w:pStyle w:val="62F23A57E85D4056ABA7E2565BEBDE9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65284"/>
    <w:rsid w:val="000937FE"/>
    <w:rsid w:val="000A559A"/>
    <w:rsid w:val="000D24D4"/>
    <w:rsid w:val="00144C27"/>
    <w:rsid w:val="001C35A9"/>
    <w:rsid w:val="001C3BD0"/>
    <w:rsid w:val="001D1DCA"/>
    <w:rsid w:val="00237556"/>
    <w:rsid w:val="003450D7"/>
    <w:rsid w:val="0039303B"/>
    <w:rsid w:val="003A0E4C"/>
    <w:rsid w:val="004144A3"/>
    <w:rsid w:val="004160E7"/>
    <w:rsid w:val="004416C6"/>
    <w:rsid w:val="00456E96"/>
    <w:rsid w:val="0048680D"/>
    <w:rsid w:val="004F5AB2"/>
    <w:rsid w:val="005074B9"/>
    <w:rsid w:val="0053001B"/>
    <w:rsid w:val="005C62E5"/>
    <w:rsid w:val="005E40DD"/>
    <w:rsid w:val="006328CD"/>
    <w:rsid w:val="00652390"/>
    <w:rsid w:val="007219C1"/>
    <w:rsid w:val="00753462"/>
    <w:rsid w:val="00772325"/>
    <w:rsid w:val="007A2FE0"/>
    <w:rsid w:val="007C6D1D"/>
    <w:rsid w:val="007C76AC"/>
    <w:rsid w:val="007D7F03"/>
    <w:rsid w:val="007F014A"/>
    <w:rsid w:val="008526F7"/>
    <w:rsid w:val="008C7017"/>
    <w:rsid w:val="008D5053"/>
    <w:rsid w:val="0090074D"/>
    <w:rsid w:val="009A33BF"/>
    <w:rsid w:val="009B3BF0"/>
    <w:rsid w:val="009D5E5E"/>
    <w:rsid w:val="009F1BB4"/>
    <w:rsid w:val="00A04FAD"/>
    <w:rsid w:val="00A237C9"/>
    <w:rsid w:val="00A92BBA"/>
    <w:rsid w:val="00AB6ED4"/>
    <w:rsid w:val="00AE3B31"/>
    <w:rsid w:val="00B14210"/>
    <w:rsid w:val="00B22ED6"/>
    <w:rsid w:val="00B23DC0"/>
    <w:rsid w:val="00B96656"/>
    <w:rsid w:val="00BE0C79"/>
    <w:rsid w:val="00BE2A5B"/>
    <w:rsid w:val="00C2401D"/>
    <w:rsid w:val="00C250D7"/>
    <w:rsid w:val="00C53A68"/>
    <w:rsid w:val="00C62AD3"/>
    <w:rsid w:val="00CA5BB4"/>
    <w:rsid w:val="00CB4BD1"/>
    <w:rsid w:val="00CD139C"/>
    <w:rsid w:val="00CE2DA9"/>
    <w:rsid w:val="00CE44BE"/>
    <w:rsid w:val="00D0142D"/>
    <w:rsid w:val="00D4356B"/>
    <w:rsid w:val="00D7162F"/>
    <w:rsid w:val="00D90870"/>
    <w:rsid w:val="00DB4DB5"/>
    <w:rsid w:val="00DE4D10"/>
    <w:rsid w:val="00E44A86"/>
    <w:rsid w:val="00E522EB"/>
    <w:rsid w:val="00E54BDA"/>
    <w:rsid w:val="00E60827"/>
    <w:rsid w:val="00EF395F"/>
    <w:rsid w:val="00EF6E0C"/>
    <w:rsid w:val="00F02A51"/>
    <w:rsid w:val="00F55028"/>
    <w:rsid w:val="00F77BEF"/>
    <w:rsid w:val="00F84245"/>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26F7"/>
  </w:style>
  <w:style w:type="paragraph" w:customStyle="1" w:styleId="D566CB46DD264044942D307E8C3417B9">
    <w:name w:val="D566CB46DD264044942D307E8C3417B9"/>
    <w:rsid w:val="00EF395F"/>
    <w:pPr>
      <w:spacing w:line="278" w:lineRule="auto"/>
    </w:pPr>
    <w:rPr>
      <w:kern w:val="2"/>
      <w:sz w:val="24"/>
      <w:szCs w:val="24"/>
      <w:lang w:val="en-GB" w:eastAsia="en-GB"/>
      <w14:ligatures w14:val="standardContextual"/>
    </w:rPr>
  </w:style>
  <w:style w:type="paragraph" w:customStyle="1" w:styleId="DEACB99EDDD94F65B91B5B309D34AD6E">
    <w:name w:val="DEACB99EDDD94F65B91B5B309D34AD6E"/>
    <w:rsid w:val="008526F7"/>
    <w:pPr>
      <w:spacing w:line="278" w:lineRule="auto"/>
    </w:pPr>
    <w:rPr>
      <w:kern w:val="2"/>
      <w:sz w:val="24"/>
      <w:szCs w:val="24"/>
      <w:lang w:val="en-US" w:eastAsia="en-US"/>
      <w14:ligatures w14:val="standardContextual"/>
    </w:rPr>
  </w:style>
  <w:style w:type="paragraph" w:customStyle="1" w:styleId="678604E3F5BB4C198744206C44D5E9F3">
    <w:name w:val="678604E3F5BB4C198744206C44D5E9F3"/>
    <w:rsid w:val="008526F7"/>
    <w:pPr>
      <w:spacing w:line="278" w:lineRule="auto"/>
    </w:pPr>
    <w:rPr>
      <w:kern w:val="2"/>
      <w:sz w:val="24"/>
      <w:szCs w:val="24"/>
      <w:lang w:val="en-US" w:eastAsia="en-US"/>
      <w14:ligatures w14:val="standardContextual"/>
    </w:rPr>
  </w:style>
  <w:style w:type="paragraph" w:customStyle="1" w:styleId="ECF7A6B8A4134D00A862870C0274BA81">
    <w:name w:val="ECF7A6B8A4134D00A862870C0274BA81"/>
    <w:rsid w:val="008526F7"/>
    <w:pPr>
      <w:spacing w:line="278" w:lineRule="auto"/>
    </w:pPr>
    <w:rPr>
      <w:kern w:val="2"/>
      <w:sz w:val="24"/>
      <w:szCs w:val="24"/>
      <w:lang w:val="en-US" w:eastAsia="en-US"/>
      <w14:ligatures w14:val="standardContextual"/>
    </w:rPr>
  </w:style>
  <w:style w:type="paragraph" w:customStyle="1" w:styleId="62F23A57E85D4056ABA7E2565BEBDE97">
    <w:name w:val="62F23A57E85D4056ABA7E2565BEBDE97"/>
    <w:rsid w:val="008526F7"/>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2477-0A8A-420D-8E2E-7370DCF3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1933</Words>
  <Characters>14458</Characters>
  <Application>Microsoft Office Word</Application>
  <DocSecurity>0</DocSecurity>
  <Lines>120</Lines>
  <Paragraphs>32</Paragraphs>
  <ScaleCrop>false</ScaleCrop>
  <Company/>
  <LinksUpToDate>false</LinksUpToDate>
  <CharactersWithSpaces>16359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2025-05-21T08:56:00Z</dcterms:created>
  <dcterms:modified xsi:type="dcterms:W3CDTF">2025-05-26T04:25:00Z</dcterms:modified>
</cp:coreProperties>
</file>