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AF51" w14:textId="77777777" w:rsidR="001D4DC0" w:rsidRDefault="001D4DC0" w:rsidP="001D4DC0">
      <w:pPr>
        <w:ind w:left="5529"/>
      </w:pPr>
    </w:p>
    <w:p w14:paraId="49DA7271" w14:textId="77777777" w:rsidR="001D4DC0" w:rsidRDefault="001D4DC0" w:rsidP="001D4DC0">
      <w:pPr>
        <w:ind w:left="6096"/>
      </w:pPr>
      <w:r>
        <w:t>Forma patvirtinta</w:t>
      </w:r>
    </w:p>
    <w:p w14:paraId="5C6545D8" w14:textId="77777777" w:rsidR="001D4DC0" w:rsidRDefault="001D4DC0" w:rsidP="001D4DC0">
      <w:pPr>
        <w:ind w:left="6096"/>
      </w:pPr>
      <w:r>
        <w:t>Valstybinės vaistų kontrolės tarnybos prie Lietuvos Respublikos sveikatos apsaugos ministerijos viršininko 2021 m. lapkričio 12 d. įsakymu Nr. (1.72E)1A-1418</w:t>
      </w:r>
    </w:p>
    <w:p w14:paraId="343565C8" w14:textId="77777777" w:rsidR="001D4DC0" w:rsidRDefault="001D4DC0" w:rsidP="001D4DC0">
      <w:pPr>
        <w:ind w:left="6096"/>
      </w:pPr>
      <w:r>
        <w:t>(Valstybinės vaistų kontrolės tarnybos prie Lietuvos Respublikos sveikatos apsaugos ministerijos viršininko 2022 m.                         d. įsakymo Nr.                    redakcija)</w:t>
      </w:r>
    </w:p>
    <w:p w14:paraId="7F8E7C39" w14:textId="77777777" w:rsidR="001D4DC0" w:rsidRPr="000A2492" w:rsidRDefault="001D4DC0" w:rsidP="001D4DC0"/>
    <w:p w14:paraId="18409D5B" w14:textId="77777777" w:rsidR="001D4DC0" w:rsidRDefault="001D4DC0" w:rsidP="001D4DC0">
      <w:pPr>
        <w:jc w:val="center"/>
        <w:rPr>
          <w:b/>
          <w:bCs/>
          <w:caps/>
        </w:rPr>
      </w:pPr>
      <w:r>
        <w:rPr>
          <w:b/>
        </w:rPr>
        <w:t xml:space="preserve">REKOMENDACIJA DĖL VAISTINIO PREPARATO </w:t>
      </w:r>
      <w:r w:rsidRPr="002F0E4F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01E16F46" w14:textId="77777777" w:rsidR="001D4DC0" w:rsidRDefault="001D4DC0" w:rsidP="001D4DC0">
      <w:pPr>
        <w:jc w:val="center"/>
        <w:rPr>
          <w:b/>
        </w:rPr>
      </w:pPr>
    </w:p>
    <w:p w14:paraId="2E8497B6" w14:textId="1257A9B2" w:rsidR="001D4DC0" w:rsidRDefault="001D4DC0" w:rsidP="001D4DC0">
      <w:pPr>
        <w:jc w:val="center"/>
        <w:rPr>
          <w:b/>
        </w:rPr>
      </w:pPr>
      <w:proofErr w:type="spellStart"/>
      <w:r>
        <w:rPr>
          <w:b/>
        </w:rPr>
        <w:t>Bra</w:t>
      </w:r>
      <w:r w:rsidR="0018354B">
        <w:rPr>
          <w:b/>
        </w:rPr>
        <w:t>f</w:t>
      </w:r>
      <w:r>
        <w:rPr>
          <w:b/>
        </w:rPr>
        <w:t>tovi</w:t>
      </w:r>
      <w:proofErr w:type="spellEnd"/>
      <w:r w:rsidRPr="006F7490">
        <w:t xml:space="preserve"> </w:t>
      </w:r>
      <w:r>
        <w:rPr>
          <w:b/>
        </w:rPr>
        <w:t>50</w:t>
      </w:r>
      <w:r w:rsidR="000F3914">
        <w:rPr>
          <w:b/>
        </w:rPr>
        <w:t xml:space="preserve"> mg </w:t>
      </w:r>
      <w:r>
        <w:rPr>
          <w:b/>
        </w:rPr>
        <w:t xml:space="preserve"> kietosios </w:t>
      </w:r>
    </w:p>
    <w:p w14:paraId="0CEBBA73" w14:textId="3080A4A6" w:rsidR="000F3914" w:rsidRDefault="000F3914" w:rsidP="000F3914">
      <w:pPr>
        <w:jc w:val="center"/>
        <w:rPr>
          <w:b/>
        </w:rPr>
      </w:pPr>
      <w:proofErr w:type="spellStart"/>
      <w:r>
        <w:rPr>
          <w:b/>
        </w:rPr>
        <w:t>Bra</w:t>
      </w:r>
      <w:r w:rsidR="0018354B">
        <w:rPr>
          <w:b/>
        </w:rPr>
        <w:t>f</w:t>
      </w:r>
      <w:r>
        <w:rPr>
          <w:b/>
        </w:rPr>
        <w:t>tovi</w:t>
      </w:r>
      <w:proofErr w:type="spellEnd"/>
      <w:r w:rsidRPr="006F7490">
        <w:t xml:space="preserve"> </w:t>
      </w:r>
      <w:r>
        <w:rPr>
          <w:b/>
        </w:rPr>
        <w:t xml:space="preserve">75 mg kietosios kapsulės </w:t>
      </w:r>
    </w:p>
    <w:p w14:paraId="2E9B6E20" w14:textId="4815D613" w:rsidR="000F3914" w:rsidRDefault="000F3914" w:rsidP="001D4DC0">
      <w:pPr>
        <w:jc w:val="center"/>
        <w:rPr>
          <w:b/>
        </w:rPr>
      </w:pPr>
      <w:proofErr w:type="spellStart"/>
      <w:r>
        <w:t>Enkorafenibas</w:t>
      </w:r>
      <w:proofErr w:type="spellEnd"/>
    </w:p>
    <w:p w14:paraId="74CD44E7" w14:textId="1E6C2F62" w:rsidR="000F3914" w:rsidRDefault="001D4DC0" w:rsidP="001D4DC0">
      <w:pPr>
        <w:jc w:val="center"/>
        <w:rPr>
          <w:b/>
        </w:rPr>
      </w:pPr>
      <w:proofErr w:type="spellStart"/>
      <w:r>
        <w:rPr>
          <w:b/>
        </w:rPr>
        <w:t>Mektovi</w:t>
      </w:r>
      <w:proofErr w:type="spellEnd"/>
      <w:r>
        <w:rPr>
          <w:b/>
        </w:rPr>
        <w:t xml:space="preserve"> 15 mg, plėvele dengtos tabletės</w:t>
      </w:r>
    </w:p>
    <w:p w14:paraId="375B6AE5" w14:textId="05BCEE48" w:rsidR="000F3914" w:rsidRPr="006F7490" w:rsidRDefault="000F3914" w:rsidP="000F3914">
      <w:pPr>
        <w:jc w:val="center"/>
      </w:pPr>
      <w:proofErr w:type="spellStart"/>
      <w:r>
        <w:rPr>
          <w:b/>
        </w:rPr>
        <w:t>Mektovi</w:t>
      </w:r>
      <w:proofErr w:type="spellEnd"/>
      <w:r>
        <w:rPr>
          <w:b/>
        </w:rPr>
        <w:t xml:space="preserve"> 45 mg plėvele dengtos tabletės</w:t>
      </w:r>
      <w:r>
        <w:t xml:space="preserve"> </w:t>
      </w:r>
      <w:r w:rsidRPr="006F7490">
        <w:t xml:space="preserve"> </w:t>
      </w:r>
    </w:p>
    <w:p w14:paraId="7C0927CF" w14:textId="2A262BAC" w:rsidR="001D4DC0" w:rsidRPr="00D05364" w:rsidRDefault="000F3914" w:rsidP="001D4DC0">
      <w:pPr>
        <w:jc w:val="center"/>
      </w:pPr>
      <w:proofErr w:type="spellStart"/>
      <w:r>
        <w:t>B</w:t>
      </w:r>
      <w:r w:rsidR="001D4DC0">
        <w:t>inimetinibas</w:t>
      </w:r>
      <w:proofErr w:type="spellEnd"/>
    </w:p>
    <w:p w14:paraId="06491C66" w14:textId="77777777" w:rsidR="001D4DC0" w:rsidRPr="00D05364" w:rsidRDefault="001D4DC0" w:rsidP="001D4DC0">
      <w:pPr>
        <w:jc w:val="center"/>
      </w:pPr>
    </w:p>
    <w:p w14:paraId="3DD3339F" w14:textId="0998FE61" w:rsidR="001D4DC0" w:rsidRPr="00D05364" w:rsidRDefault="001D4DC0" w:rsidP="001D4DC0">
      <w:pPr>
        <w:jc w:val="center"/>
        <w:rPr>
          <w:b/>
        </w:rPr>
      </w:pPr>
      <w:r>
        <w:rPr>
          <w:b/>
        </w:rPr>
        <w:t>STV</w:t>
      </w:r>
      <w:r w:rsidR="000F3914">
        <w:rPr>
          <w:b/>
        </w:rPr>
        <w:t>-</w:t>
      </w:r>
      <w:r>
        <w:rPr>
          <w:b/>
        </w:rPr>
        <w:t>220</w:t>
      </w:r>
    </w:p>
    <w:p w14:paraId="779BE19F" w14:textId="77777777" w:rsidR="001D4DC0" w:rsidRPr="004C263A" w:rsidRDefault="001D4DC0" w:rsidP="001D4DC0">
      <w:pPr>
        <w:jc w:val="center"/>
        <w:rPr>
          <w:b/>
        </w:rPr>
      </w:pPr>
    </w:p>
    <w:p w14:paraId="322B7B50" w14:textId="77777777" w:rsidR="001D4DC0" w:rsidRDefault="001D4DC0" w:rsidP="001D4DC0">
      <w:pPr>
        <w:pStyle w:val="Sraopastraipa"/>
        <w:numPr>
          <w:ilvl w:val="0"/>
          <w:numId w:val="1"/>
        </w:numPr>
        <w:tabs>
          <w:tab w:val="left" w:pos="284"/>
        </w:tabs>
        <w:rPr>
          <w:b/>
          <w:bCs/>
          <w:caps/>
        </w:rPr>
      </w:pPr>
      <w:r>
        <w:rPr>
          <w:b/>
          <w:bCs/>
          <w:caps/>
        </w:rPr>
        <w:t>.Bendroji dalis</w:t>
      </w:r>
    </w:p>
    <w:p w14:paraId="49266AED" w14:textId="77777777" w:rsidR="001D4DC0" w:rsidRDefault="001D4DC0" w:rsidP="001D4DC0">
      <w:pPr>
        <w:pStyle w:val="Sraopastraipa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Lentelstinklelis"/>
        <w:tblW w:w="9039" w:type="dxa"/>
        <w:tblLook w:val="04A0" w:firstRow="1" w:lastRow="0" w:firstColumn="1" w:lastColumn="0" w:noHBand="0" w:noVBand="1"/>
      </w:tblPr>
      <w:tblGrid>
        <w:gridCol w:w="632"/>
        <w:gridCol w:w="3694"/>
        <w:gridCol w:w="4713"/>
      </w:tblGrid>
      <w:tr w:rsidR="001D4DC0" w:rsidRPr="00AC4C49" w14:paraId="3A8F798B" w14:textId="77777777" w:rsidTr="00A21C5E">
        <w:trPr>
          <w:trHeight w:val="538"/>
        </w:trPr>
        <w:tc>
          <w:tcPr>
            <w:tcW w:w="632" w:type="dxa"/>
          </w:tcPr>
          <w:p w14:paraId="61E0EF25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r w:rsidRPr="002F6C0B">
              <w:rPr>
                <w:rFonts w:eastAsia="Arial"/>
                <w:b/>
                <w:sz w:val="22"/>
                <w:szCs w:val="22"/>
              </w:rPr>
              <w:t>1.1</w:t>
            </w:r>
          </w:p>
        </w:tc>
        <w:tc>
          <w:tcPr>
            <w:tcW w:w="3694" w:type="dxa"/>
          </w:tcPr>
          <w:p w14:paraId="0D43519C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r w:rsidRPr="002F6C0B">
              <w:rPr>
                <w:rFonts w:eastAsia="Arial"/>
                <w:b/>
                <w:sz w:val="22"/>
                <w:szCs w:val="22"/>
              </w:rPr>
              <w:t>Pareiškėjas</w:t>
            </w:r>
          </w:p>
          <w:p w14:paraId="6A9E881D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4713" w:type="dxa"/>
          </w:tcPr>
          <w:p w14:paraId="5ED8B473" w14:textId="06DA30ED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r w:rsidRPr="002F6C0B">
              <w:rPr>
                <w:sz w:val="22"/>
                <w:szCs w:val="22"/>
              </w:rPr>
              <w:t>Medis Pharma Lithuania UAB</w:t>
            </w:r>
          </w:p>
        </w:tc>
      </w:tr>
      <w:tr w:rsidR="001D4DC0" w:rsidRPr="00AC4C49" w14:paraId="707D515E" w14:textId="77777777" w:rsidTr="00A21C5E">
        <w:trPr>
          <w:trHeight w:val="538"/>
        </w:trPr>
        <w:tc>
          <w:tcPr>
            <w:tcW w:w="632" w:type="dxa"/>
          </w:tcPr>
          <w:p w14:paraId="2D369433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r w:rsidRPr="002F6C0B">
              <w:rPr>
                <w:rFonts w:eastAsia="Arial"/>
                <w:b/>
                <w:sz w:val="22"/>
                <w:szCs w:val="22"/>
              </w:rPr>
              <w:t>1.2</w:t>
            </w:r>
          </w:p>
        </w:tc>
        <w:tc>
          <w:tcPr>
            <w:tcW w:w="3694" w:type="dxa"/>
          </w:tcPr>
          <w:p w14:paraId="21E0460A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2F6C0B">
              <w:rPr>
                <w:b/>
                <w:bCs/>
                <w:color w:val="000000"/>
                <w:sz w:val="22"/>
                <w:szCs w:val="22"/>
              </w:rPr>
              <w:t xml:space="preserve">Registracijos data </w:t>
            </w:r>
          </w:p>
          <w:p w14:paraId="33EBBB7C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713" w:type="dxa"/>
          </w:tcPr>
          <w:p w14:paraId="75845351" w14:textId="5A617142" w:rsidR="001D4DC0" w:rsidRPr="002F6C0B" w:rsidRDefault="00C178F9" w:rsidP="00A21C5E">
            <w:pPr>
              <w:pStyle w:val="Sraopastraipa"/>
              <w:spacing w:after="120"/>
              <w:ind w:left="0"/>
              <w:contextualSpacing w:val="0"/>
              <w:jc w:val="both"/>
              <w:rPr>
                <w:rStyle w:val="Style2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Nurodykite konkrečią dieną"/>
                <w:tag w:val="Nurodykite pradžios datą"/>
                <w:id w:val="423238108"/>
                <w:placeholder>
                  <w:docPart w:val="25AFE65D4621124EB630429622E1153A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D4DC0" w:rsidRPr="002F6C0B">
                  <w:rPr>
                    <w:sz w:val="22"/>
                    <w:szCs w:val="22"/>
                  </w:rPr>
                  <w:t>2018 m. rugsėjo 20</w:t>
                </w:r>
                <w:r w:rsidR="00A45C5C">
                  <w:rPr>
                    <w:sz w:val="22"/>
                    <w:szCs w:val="22"/>
                  </w:rPr>
                  <w:t xml:space="preserve"> </w:t>
                </w:r>
                <w:r w:rsidR="001D4DC0" w:rsidRPr="002F6C0B">
                  <w:rPr>
                    <w:sz w:val="22"/>
                    <w:szCs w:val="22"/>
                  </w:rPr>
                  <w:t>d.</w:t>
                </w:r>
              </w:sdtContent>
            </w:sdt>
          </w:p>
        </w:tc>
      </w:tr>
      <w:tr w:rsidR="001D4DC0" w:rsidRPr="00AC4C49" w14:paraId="04F8D2E0" w14:textId="77777777" w:rsidTr="00A21C5E">
        <w:trPr>
          <w:trHeight w:val="1500"/>
        </w:trPr>
        <w:tc>
          <w:tcPr>
            <w:tcW w:w="632" w:type="dxa"/>
          </w:tcPr>
          <w:p w14:paraId="12A78899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r w:rsidRPr="002F6C0B">
              <w:rPr>
                <w:rFonts w:eastAsia="Arial"/>
                <w:b/>
                <w:sz w:val="22"/>
                <w:szCs w:val="22"/>
              </w:rPr>
              <w:t>1.3</w:t>
            </w:r>
          </w:p>
        </w:tc>
        <w:tc>
          <w:tcPr>
            <w:tcW w:w="3694" w:type="dxa"/>
          </w:tcPr>
          <w:p w14:paraId="40301C64" w14:textId="77777777" w:rsidR="001D4DC0" w:rsidRPr="002F6C0B" w:rsidRDefault="001D4DC0" w:rsidP="00A21C5E">
            <w:pPr>
              <w:pStyle w:val="Betarp"/>
              <w:rPr>
                <w:rFonts w:ascii="Times New Roman" w:hAnsi="Times New Roman"/>
                <w:b/>
              </w:rPr>
            </w:pPr>
            <w:r w:rsidRPr="002F6C0B">
              <w:rPr>
                <w:rFonts w:ascii="Times New Roman" w:hAnsi="Times New Roman"/>
                <w:b/>
              </w:rPr>
              <w:t xml:space="preserve">Paraiškos tipas </w:t>
            </w:r>
          </w:p>
          <w:p w14:paraId="10BDF4C2" w14:textId="77777777" w:rsidR="001D4DC0" w:rsidRPr="002F6C0B" w:rsidRDefault="001D4DC0" w:rsidP="00A21C5E">
            <w:pPr>
              <w:rPr>
                <w:b/>
                <w:sz w:val="22"/>
                <w:szCs w:val="22"/>
              </w:rPr>
            </w:pPr>
            <w:r w:rsidRPr="002F6C0B">
              <w:rPr>
                <w:b/>
                <w:sz w:val="22"/>
                <w:szCs w:val="22"/>
              </w:rPr>
              <w:t xml:space="preserve">(pagal </w:t>
            </w:r>
            <w:r w:rsidRPr="002F6C0B">
              <w:rPr>
                <w:b/>
                <w:color w:val="333333"/>
                <w:sz w:val="22"/>
                <w:szCs w:val="22"/>
                <w:shd w:val="clear" w:color="auto" w:fill="FFFFFF"/>
              </w:rPr>
              <w:t>vaistinio preparato registracijos tipą, įtvirtintą</w:t>
            </w:r>
            <w:r w:rsidRPr="002F6C0B">
              <w:rPr>
                <w:b/>
                <w:sz w:val="22"/>
                <w:szCs w:val="22"/>
              </w:rPr>
              <w:t xml:space="preserve"> Direktyvos 2001/83/EB </w:t>
            </w:r>
            <w:proofErr w:type="spellStart"/>
            <w:r w:rsidRPr="002F6C0B">
              <w:rPr>
                <w:b/>
                <w:sz w:val="22"/>
                <w:szCs w:val="22"/>
              </w:rPr>
              <w:t>straipsiuose</w:t>
            </w:r>
            <w:proofErr w:type="spellEnd"/>
            <w:r w:rsidRPr="002F6C0B">
              <w:rPr>
                <w:b/>
                <w:sz w:val="22"/>
                <w:szCs w:val="22"/>
              </w:rPr>
              <w:t>)</w:t>
            </w:r>
          </w:p>
          <w:p w14:paraId="62637471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3" w:type="dxa"/>
          </w:tcPr>
          <w:p w14:paraId="1C76F536" w14:textId="77777777" w:rsidR="001D4DC0" w:rsidRPr="00AC4C49" w:rsidRDefault="00C178F9" w:rsidP="00A21C5E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id w:val="52629207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 w:rsidRPr="002F6C0B">
                  <w:rPr>
                    <w:rStyle w:val="Style2"/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1D4DC0" w:rsidRPr="00AC4C49">
              <w:rPr>
                <w:sz w:val="22"/>
                <w:szCs w:val="22"/>
              </w:rPr>
              <w:t xml:space="preserve">8.3 str. (pilna byla, pagrįsta savais tyrimais) </w:t>
            </w:r>
          </w:p>
          <w:p w14:paraId="1AA9CA26" w14:textId="77777777" w:rsidR="001D4DC0" w:rsidRPr="00AC4C49" w:rsidRDefault="00C178F9" w:rsidP="00A21C5E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id w:val="-149795373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 w:rsidRPr="002F6C0B">
                  <w:rPr>
                    <w:rStyle w:val="Style2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4DC0" w:rsidRPr="00AC4C49">
              <w:rPr>
                <w:sz w:val="22"/>
                <w:szCs w:val="22"/>
              </w:rPr>
              <w:t xml:space="preserve">10 a str. (pripažintas medicininis vartojimas) </w:t>
            </w:r>
          </w:p>
          <w:p w14:paraId="7EBCC9C0" w14:textId="77777777" w:rsidR="001D4DC0" w:rsidRPr="00AC4C49" w:rsidRDefault="00C178F9" w:rsidP="00A21C5E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id w:val="2041424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 w:rsidRPr="002F6C0B">
                  <w:rPr>
                    <w:rStyle w:val="Style2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4DC0" w:rsidRPr="00AC4C49">
              <w:rPr>
                <w:sz w:val="22"/>
                <w:szCs w:val="22"/>
              </w:rPr>
              <w:t>10.1 str. (</w:t>
            </w:r>
            <w:proofErr w:type="spellStart"/>
            <w:r w:rsidR="001D4DC0" w:rsidRPr="00AC4C49">
              <w:rPr>
                <w:sz w:val="22"/>
                <w:szCs w:val="22"/>
              </w:rPr>
              <w:t>generinis</w:t>
            </w:r>
            <w:proofErr w:type="spellEnd"/>
            <w:r w:rsidR="001D4DC0" w:rsidRPr="00AC4C49">
              <w:rPr>
                <w:sz w:val="22"/>
                <w:szCs w:val="22"/>
              </w:rPr>
              <w:t>)</w:t>
            </w:r>
          </w:p>
          <w:p w14:paraId="2B94C290" w14:textId="77777777" w:rsidR="001D4DC0" w:rsidRPr="002F6C0B" w:rsidRDefault="00C178F9" w:rsidP="00A21C5E">
            <w:pPr>
              <w:pStyle w:val="Sraopastraipa"/>
              <w:spacing w:after="120"/>
              <w:ind w:left="0"/>
              <w:contextualSpacing w:val="0"/>
              <w:jc w:val="both"/>
              <w:rPr>
                <w:rStyle w:val="Style2"/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id w:val="82030510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 w:rsidRPr="002F6C0B">
                  <w:rPr>
                    <w:rStyle w:val="Style2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4DC0" w:rsidRPr="00AC4C49">
              <w:rPr>
                <w:sz w:val="22"/>
                <w:szCs w:val="22"/>
              </w:rPr>
              <w:t>10.3 str. (hibridinis)</w:t>
            </w:r>
          </w:p>
        </w:tc>
      </w:tr>
      <w:tr w:rsidR="001D4DC0" w:rsidRPr="00AC4C49" w14:paraId="1F1B6B72" w14:textId="77777777" w:rsidTr="00A21C5E">
        <w:trPr>
          <w:trHeight w:val="1442"/>
        </w:trPr>
        <w:tc>
          <w:tcPr>
            <w:tcW w:w="632" w:type="dxa"/>
          </w:tcPr>
          <w:p w14:paraId="58BE9691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r w:rsidRPr="002F6C0B">
              <w:rPr>
                <w:rFonts w:eastAsia="Arial"/>
                <w:b/>
                <w:sz w:val="22"/>
                <w:szCs w:val="22"/>
              </w:rPr>
              <w:t>1.4</w:t>
            </w:r>
          </w:p>
        </w:tc>
        <w:tc>
          <w:tcPr>
            <w:tcW w:w="3694" w:type="dxa"/>
          </w:tcPr>
          <w:p w14:paraId="22A3258C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2F6C0B">
              <w:rPr>
                <w:b/>
                <w:bCs/>
                <w:color w:val="000000"/>
                <w:sz w:val="22"/>
                <w:szCs w:val="22"/>
              </w:rPr>
              <w:t xml:space="preserve">Ar vaistinis preparatas įrašytas į Bendrijos retųjų vaistinių preparatų registrą? </w:t>
            </w:r>
          </w:p>
          <w:p w14:paraId="67E442C6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3" w:type="dxa"/>
          </w:tcPr>
          <w:p w14:paraId="3AE29ABE" w14:textId="3620CE87" w:rsidR="001D4DC0" w:rsidRPr="002F6C0B" w:rsidRDefault="00C178F9" w:rsidP="00A21C5E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id w:val="2024432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 w:rsidRPr="002F6C0B">
                  <w:rPr>
                    <w:rStyle w:val="Style2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4DC0" w:rsidRPr="002F6C0B">
              <w:rPr>
                <w:sz w:val="22"/>
                <w:szCs w:val="22"/>
              </w:rPr>
              <w:t xml:space="preserve"> Taip</w:t>
            </w:r>
          </w:p>
          <w:p w14:paraId="22574BAF" w14:textId="29C4AFC7" w:rsidR="001D4DC0" w:rsidRPr="002F6C0B" w:rsidRDefault="00C178F9" w:rsidP="00A21C5E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id w:val="-97050792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 w:rsidRPr="002F6C0B">
                  <w:rPr>
                    <w:rStyle w:val="Style2"/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1D4DC0" w:rsidRPr="002F6C0B">
              <w:rPr>
                <w:sz w:val="22"/>
                <w:szCs w:val="22"/>
              </w:rPr>
              <w:t xml:space="preserve"> Ne</w:t>
            </w:r>
          </w:p>
          <w:p w14:paraId="09FF3831" w14:textId="48113CA3" w:rsidR="001D4DC0" w:rsidRPr="002F6C0B" w:rsidRDefault="00C178F9" w:rsidP="00A21C5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fi-FI"/>
                </w:rPr>
                <w:alias w:val="Nurodykite konkrečią dieną"/>
                <w:tag w:val="Nurodykite pradžios datą"/>
                <w:id w:val="693498901"/>
                <w:placeholder>
                  <w:docPart w:val="733EECC152A2944B912C53CC88DD15F1"/>
                </w:placeholder>
                <w:showingPlcHdr/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D4DC0" w:rsidRPr="002F6C0B">
                  <w:rPr>
                    <w:rStyle w:val="Vietosrezervavimoenklotekstas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</w:tr>
      <w:tr w:rsidR="001D4DC0" w:rsidRPr="00AC4C49" w14:paraId="60408A96" w14:textId="77777777" w:rsidTr="00A21C5E">
        <w:trPr>
          <w:trHeight w:val="1922"/>
        </w:trPr>
        <w:tc>
          <w:tcPr>
            <w:tcW w:w="632" w:type="dxa"/>
          </w:tcPr>
          <w:p w14:paraId="79F5BE5D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r w:rsidRPr="002F6C0B">
              <w:rPr>
                <w:rFonts w:eastAsia="Arial"/>
                <w:b/>
                <w:sz w:val="22"/>
                <w:szCs w:val="22"/>
              </w:rPr>
              <w:t>1.5</w:t>
            </w:r>
          </w:p>
        </w:tc>
        <w:tc>
          <w:tcPr>
            <w:tcW w:w="3694" w:type="dxa"/>
          </w:tcPr>
          <w:p w14:paraId="639500B3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2F6C0B">
              <w:rPr>
                <w:b/>
                <w:bCs/>
                <w:color w:val="000000"/>
                <w:sz w:val="22"/>
                <w:szCs w:val="22"/>
              </w:rPr>
              <w:t>Teikiama (-</w:t>
            </w:r>
            <w:proofErr w:type="spellStart"/>
            <w:r w:rsidRPr="002F6C0B">
              <w:rPr>
                <w:b/>
                <w:bCs/>
                <w:color w:val="000000"/>
                <w:sz w:val="22"/>
                <w:szCs w:val="22"/>
              </w:rPr>
              <w:t>os</w:t>
            </w:r>
            <w:proofErr w:type="spellEnd"/>
            <w:r w:rsidRPr="002F6C0B">
              <w:rPr>
                <w:b/>
                <w:bCs/>
                <w:color w:val="000000"/>
                <w:sz w:val="22"/>
                <w:szCs w:val="22"/>
              </w:rPr>
              <w:t>) kompensuoti registruota (-</w:t>
            </w:r>
            <w:proofErr w:type="spellStart"/>
            <w:r w:rsidRPr="002F6C0B">
              <w:rPr>
                <w:b/>
                <w:bCs/>
                <w:color w:val="000000"/>
                <w:sz w:val="22"/>
                <w:szCs w:val="22"/>
              </w:rPr>
              <w:t>os</w:t>
            </w:r>
            <w:proofErr w:type="spellEnd"/>
            <w:r w:rsidRPr="002F6C0B">
              <w:rPr>
                <w:b/>
                <w:bCs/>
                <w:color w:val="000000"/>
                <w:sz w:val="22"/>
                <w:szCs w:val="22"/>
              </w:rPr>
              <w:t>) vaistinio preparato indikacija (-</w:t>
            </w:r>
            <w:proofErr w:type="spellStart"/>
            <w:r w:rsidRPr="002F6C0B">
              <w:rPr>
                <w:b/>
                <w:bCs/>
                <w:color w:val="000000"/>
                <w:sz w:val="22"/>
                <w:szCs w:val="22"/>
              </w:rPr>
              <w:t>os</w:t>
            </w:r>
            <w:proofErr w:type="spellEnd"/>
            <w:r w:rsidRPr="002F6C0B">
              <w:rPr>
                <w:b/>
                <w:bCs/>
                <w:color w:val="000000"/>
                <w:sz w:val="22"/>
                <w:szCs w:val="22"/>
              </w:rPr>
              <w:t xml:space="preserve">), </w:t>
            </w:r>
          </w:p>
          <w:p w14:paraId="6648CA3C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2F6C0B">
              <w:rPr>
                <w:b/>
                <w:bCs/>
                <w:color w:val="000000"/>
                <w:sz w:val="22"/>
                <w:szCs w:val="22"/>
              </w:rPr>
              <w:t>TLK kodas</w:t>
            </w:r>
          </w:p>
        </w:tc>
        <w:tc>
          <w:tcPr>
            <w:tcW w:w="4713" w:type="dxa"/>
          </w:tcPr>
          <w:p w14:paraId="55C11D18" w14:textId="77777777" w:rsidR="001D4DC0" w:rsidRPr="002F6C0B" w:rsidRDefault="001D4DC0" w:rsidP="001D4DC0">
            <w:pPr>
              <w:rPr>
                <w:sz w:val="22"/>
                <w:szCs w:val="22"/>
              </w:rPr>
            </w:pPr>
            <w:r w:rsidRPr="002F6C0B">
              <w:rPr>
                <w:sz w:val="22"/>
                <w:szCs w:val="22"/>
              </w:rPr>
              <w:t>Piktybinė odos melanoma.</w:t>
            </w:r>
          </w:p>
          <w:p w14:paraId="6C85F303" w14:textId="77777777" w:rsidR="001D4DC0" w:rsidRPr="002F6C0B" w:rsidRDefault="001D4DC0" w:rsidP="001D4DC0">
            <w:pPr>
              <w:pStyle w:val="Sraopastraipa"/>
              <w:numPr>
                <w:ilvl w:val="0"/>
                <w:numId w:val="5"/>
              </w:numPr>
              <w:spacing w:after="160" w:line="259" w:lineRule="auto"/>
              <w:rPr>
                <w:sz w:val="22"/>
                <w:szCs w:val="22"/>
              </w:rPr>
            </w:pPr>
            <w:proofErr w:type="spellStart"/>
            <w:r w:rsidRPr="002F6C0B">
              <w:rPr>
                <w:sz w:val="22"/>
                <w:szCs w:val="22"/>
              </w:rPr>
              <w:t>Enkorafenibas</w:t>
            </w:r>
            <w:proofErr w:type="spellEnd"/>
            <w:r w:rsidRPr="002F6C0B">
              <w:rPr>
                <w:sz w:val="22"/>
                <w:szCs w:val="22"/>
              </w:rPr>
              <w:t xml:space="preserve"> yra skirtas: suaugusiems pacientams, sergantiems neoperuojama arba </w:t>
            </w:r>
            <w:proofErr w:type="spellStart"/>
            <w:r w:rsidRPr="002F6C0B">
              <w:rPr>
                <w:sz w:val="22"/>
                <w:szCs w:val="22"/>
              </w:rPr>
              <w:t>metastazavusia</w:t>
            </w:r>
            <w:proofErr w:type="spellEnd"/>
            <w:r w:rsidRPr="002F6C0B">
              <w:rPr>
                <w:sz w:val="22"/>
                <w:szCs w:val="22"/>
              </w:rPr>
              <w:t xml:space="preserve"> melanoma su BRAF V600 mutacija, gydyti derinyje su </w:t>
            </w:r>
            <w:proofErr w:type="spellStart"/>
            <w:r w:rsidRPr="002F6C0B">
              <w:rPr>
                <w:sz w:val="22"/>
                <w:szCs w:val="22"/>
              </w:rPr>
              <w:t>binimetinibu</w:t>
            </w:r>
            <w:proofErr w:type="spellEnd"/>
            <w:r w:rsidRPr="002F6C0B">
              <w:rPr>
                <w:sz w:val="22"/>
                <w:szCs w:val="22"/>
              </w:rPr>
              <w:t xml:space="preserve">. </w:t>
            </w:r>
          </w:p>
          <w:p w14:paraId="69C8BD5D" w14:textId="77777777" w:rsidR="001D4DC0" w:rsidRPr="002F6C0B" w:rsidRDefault="001D4DC0" w:rsidP="001D4DC0">
            <w:pPr>
              <w:pStyle w:val="Sraopastraipa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2"/>
                <w:szCs w:val="22"/>
                <w:lang w:eastAsia="en-GB"/>
              </w:rPr>
            </w:pPr>
            <w:proofErr w:type="spellStart"/>
            <w:r w:rsidRPr="002F6C0B">
              <w:rPr>
                <w:sz w:val="22"/>
                <w:szCs w:val="22"/>
                <w:lang w:eastAsia="en-GB"/>
              </w:rPr>
              <w:t>Binimetinibas</w:t>
            </w:r>
            <w:proofErr w:type="spellEnd"/>
            <w:r w:rsidRPr="002F6C0B">
              <w:rPr>
                <w:sz w:val="22"/>
                <w:szCs w:val="22"/>
                <w:lang w:eastAsia="en-GB"/>
              </w:rPr>
              <w:t xml:space="preserve"> kartu su </w:t>
            </w:r>
            <w:proofErr w:type="spellStart"/>
            <w:r w:rsidRPr="002F6C0B">
              <w:rPr>
                <w:sz w:val="22"/>
                <w:szCs w:val="22"/>
                <w:lang w:eastAsia="en-GB"/>
              </w:rPr>
              <w:t>enkorafenibu</w:t>
            </w:r>
            <w:proofErr w:type="spellEnd"/>
            <w:r w:rsidRPr="002F6C0B">
              <w:rPr>
                <w:sz w:val="22"/>
                <w:szCs w:val="22"/>
                <w:lang w:eastAsia="en-GB"/>
              </w:rPr>
              <w:t xml:space="preserve"> skirtas suaugusių pacientų, sergančių </w:t>
            </w:r>
            <w:proofErr w:type="spellStart"/>
            <w:r w:rsidRPr="002F6C0B">
              <w:rPr>
                <w:sz w:val="22"/>
                <w:szCs w:val="22"/>
                <w:lang w:eastAsia="en-GB"/>
              </w:rPr>
              <w:t>neoperabilia</w:t>
            </w:r>
            <w:proofErr w:type="spellEnd"/>
            <w:r w:rsidRPr="002F6C0B">
              <w:rPr>
                <w:sz w:val="22"/>
                <w:szCs w:val="22"/>
                <w:lang w:eastAsia="en-GB"/>
              </w:rPr>
              <w:t xml:space="preserve"> arba </w:t>
            </w:r>
            <w:proofErr w:type="spellStart"/>
            <w:r w:rsidRPr="002F6C0B">
              <w:rPr>
                <w:sz w:val="22"/>
                <w:szCs w:val="22"/>
                <w:lang w:eastAsia="en-GB"/>
              </w:rPr>
              <w:t>metastazavusia</w:t>
            </w:r>
            <w:proofErr w:type="spellEnd"/>
            <w:r w:rsidRPr="002F6C0B">
              <w:rPr>
                <w:sz w:val="22"/>
                <w:szCs w:val="22"/>
                <w:lang w:eastAsia="en-GB"/>
              </w:rPr>
              <w:t xml:space="preserve"> </w:t>
            </w:r>
            <w:r w:rsidRPr="002F6C0B">
              <w:rPr>
                <w:sz w:val="22"/>
                <w:szCs w:val="22"/>
                <w:lang w:eastAsia="en-GB"/>
              </w:rPr>
              <w:lastRenderedPageBreak/>
              <w:t>melanoma ir turinčių BRAF V600 geno mutaciją, gydymui.</w:t>
            </w:r>
          </w:p>
          <w:p w14:paraId="55157B9D" w14:textId="77777777" w:rsidR="001D4DC0" w:rsidRPr="002F6C0B" w:rsidRDefault="001D4DC0" w:rsidP="001D4DC0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0C7ADB6D" w14:textId="34342647" w:rsidR="001D4DC0" w:rsidRPr="002F6C0B" w:rsidRDefault="001D4DC0" w:rsidP="001D4DC0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F6C0B">
              <w:rPr>
                <w:sz w:val="22"/>
                <w:szCs w:val="22"/>
              </w:rPr>
              <w:t>TLK-10 kodas: C43.</w:t>
            </w:r>
          </w:p>
        </w:tc>
      </w:tr>
      <w:tr w:rsidR="001D4DC0" w:rsidRPr="00AC4C49" w14:paraId="5D08ACCA" w14:textId="77777777" w:rsidTr="00A21C5E">
        <w:trPr>
          <w:trHeight w:val="378"/>
        </w:trPr>
        <w:tc>
          <w:tcPr>
            <w:tcW w:w="632" w:type="dxa"/>
          </w:tcPr>
          <w:p w14:paraId="271179DB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r w:rsidRPr="002F6C0B">
              <w:rPr>
                <w:rFonts w:eastAsia="Arial"/>
                <w:b/>
                <w:sz w:val="22"/>
                <w:szCs w:val="22"/>
              </w:rPr>
              <w:lastRenderedPageBreak/>
              <w:t>1.6</w:t>
            </w:r>
          </w:p>
        </w:tc>
        <w:tc>
          <w:tcPr>
            <w:tcW w:w="3694" w:type="dxa"/>
          </w:tcPr>
          <w:p w14:paraId="647C8678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bCs/>
                <w:color w:val="000000"/>
                <w:sz w:val="22"/>
                <w:szCs w:val="22"/>
                <w:u w:val="single"/>
              </w:rPr>
            </w:pPr>
            <w:r w:rsidRPr="002F6C0B">
              <w:rPr>
                <w:b/>
                <w:bCs/>
                <w:color w:val="000000"/>
                <w:sz w:val="22"/>
                <w:szCs w:val="22"/>
              </w:rPr>
              <w:t xml:space="preserve">Teikiamos skyrimo sąlygos </w:t>
            </w:r>
          </w:p>
        </w:tc>
        <w:tc>
          <w:tcPr>
            <w:tcW w:w="4713" w:type="dxa"/>
          </w:tcPr>
          <w:p w14:paraId="183FA77A" w14:textId="77777777" w:rsidR="001D4DC0" w:rsidRPr="002F6C0B" w:rsidRDefault="001D4DC0" w:rsidP="00A21C5E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F6C0B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1D4DC0" w:rsidRPr="00AC4C49" w14:paraId="0143DCC5" w14:textId="77777777" w:rsidTr="00A21C5E">
        <w:trPr>
          <w:trHeight w:val="378"/>
        </w:trPr>
        <w:tc>
          <w:tcPr>
            <w:tcW w:w="632" w:type="dxa"/>
          </w:tcPr>
          <w:p w14:paraId="30D9A770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r w:rsidRPr="002F6C0B">
              <w:rPr>
                <w:rFonts w:eastAsia="Arial"/>
                <w:b/>
                <w:sz w:val="22"/>
                <w:szCs w:val="22"/>
              </w:rPr>
              <w:t>1.7</w:t>
            </w:r>
          </w:p>
        </w:tc>
        <w:tc>
          <w:tcPr>
            <w:tcW w:w="3694" w:type="dxa"/>
          </w:tcPr>
          <w:p w14:paraId="28F9364D" w14:textId="77777777" w:rsidR="001D4DC0" w:rsidRPr="002F6C0B" w:rsidRDefault="001D4DC0" w:rsidP="00A21C5E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2F6C0B">
              <w:rPr>
                <w:b/>
                <w:bCs/>
                <w:color w:val="000000"/>
                <w:sz w:val="22"/>
                <w:szCs w:val="22"/>
              </w:rPr>
              <w:t xml:space="preserve">Palyginamasis gydymas </w:t>
            </w:r>
          </w:p>
        </w:tc>
        <w:tc>
          <w:tcPr>
            <w:tcW w:w="4713" w:type="dxa"/>
          </w:tcPr>
          <w:p w14:paraId="7BA4EDCD" w14:textId="27DEA877" w:rsidR="001D4DC0" w:rsidRPr="002F6C0B" w:rsidRDefault="001D4DC0" w:rsidP="00A21C5E">
            <w:pPr>
              <w:spacing w:after="120"/>
              <w:jc w:val="both"/>
              <w:rPr>
                <w:sz w:val="22"/>
                <w:szCs w:val="22"/>
              </w:rPr>
            </w:pPr>
            <w:r w:rsidRPr="002F6C0B">
              <w:rPr>
                <w:sz w:val="22"/>
                <w:szCs w:val="22"/>
              </w:rPr>
              <w:t>BRAF ir MEK inhibitorių kombinacijos</w:t>
            </w:r>
          </w:p>
        </w:tc>
      </w:tr>
    </w:tbl>
    <w:p w14:paraId="23791875" w14:textId="77777777" w:rsidR="001D4DC0" w:rsidRDefault="001D4DC0" w:rsidP="001D4DC0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77ABFE65" w14:textId="77777777" w:rsidR="001D4DC0" w:rsidRPr="00177C8C" w:rsidRDefault="001D4DC0" w:rsidP="001D4DC0">
      <w:pPr>
        <w:spacing w:line="276" w:lineRule="auto"/>
        <w:jc w:val="both"/>
        <w:rPr>
          <w:rFonts w:eastAsia="Arial"/>
          <w:b/>
        </w:rPr>
      </w:pPr>
      <w:r w:rsidRPr="00177C8C">
        <w:rPr>
          <w:rFonts w:eastAsia="Arial"/>
          <w:b/>
        </w:rPr>
        <w:t>1.</w:t>
      </w:r>
      <w:r>
        <w:rPr>
          <w:rFonts w:eastAsia="Arial"/>
          <w:b/>
        </w:rPr>
        <w:t>8</w:t>
      </w:r>
      <w:r w:rsidRPr="00177C8C">
        <w:rPr>
          <w:rFonts w:eastAsia="Arial"/>
          <w:b/>
        </w:rPr>
        <w:t xml:space="preserve"> Kitų </w:t>
      </w:r>
      <w:r>
        <w:rPr>
          <w:rFonts w:eastAsia="Arial"/>
          <w:b/>
        </w:rPr>
        <w:t>valstybių atsakingų institucijų atlikto Sveikatos technologijų vertinimo (toliau – STV)</w:t>
      </w:r>
      <w:r w:rsidRPr="00177C8C">
        <w:rPr>
          <w:rFonts w:eastAsia="Arial"/>
          <w:b/>
        </w:rPr>
        <w:t xml:space="preserve"> išvados</w:t>
      </w:r>
    </w:p>
    <w:p w14:paraId="1C4B4F62" w14:textId="77777777" w:rsidR="001D4DC0" w:rsidRDefault="001D4DC0" w:rsidP="001D4DC0">
      <w:pPr>
        <w:spacing w:line="276" w:lineRule="auto"/>
        <w:rPr>
          <w:rFonts w:eastAsia="Arial"/>
        </w:rPr>
      </w:pPr>
    </w:p>
    <w:tbl>
      <w:tblPr>
        <w:tblStyle w:val="Lentelstinklelis"/>
        <w:tblW w:w="9070" w:type="dxa"/>
        <w:tblLook w:val="04A0" w:firstRow="1" w:lastRow="0" w:firstColumn="1" w:lastColumn="0" w:noHBand="0" w:noVBand="1"/>
      </w:tblPr>
      <w:tblGrid>
        <w:gridCol w:w="2547"/>
        <w:gridCol w:w="1559"/>
        <w:gridCol w:w="2835"/>
        <w:gridCol w:w="2129"/>
      </w:tblGrid>
      <w:tr w:rsidR="001D4DC0" w:rsidRPr="00D05364" w14:paraId="447BC8FB" w14:textId="77777777" w:rsidTr="002F6C0B">
        <w:trPr>
          <w:trHeight w:val="924"/>
        </w:trPr>
        <w:tc>
          <w:tcPr>
            <w:tcW w:w="2547" w:type="dxa"/>
          </w:tcPr>
          <w:p w14:paraId="04DD5D5A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STV agentūros pavadinimas, šalis</w:t>
            </w:r>
          </w:p>
        </w:tc>
        <w:tc>
          <w:tcPr>
            <w:tcW w:w="1559" w:type="dxa"/>
          </w:tcPr>
          <w:p w14:paraId="3B530AB4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STV vertinimas atliktas</w:t>
            </w:r>
          </w:p>
        </w:tc>
        <w:tc>
          <w:tcPr>
            <w:tcW w:w="2835" w:type="dxa"/>
          </w:tcPr>
          <w:p w14:paraId="7BCE8064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Klinikinio vertinimo išvada</w:t>
            </w:r>
          </w:p>
        </w:tc>
        <w:tc>
          <w:tcPr>
            <w:tcW w:w="2129" w:type="dxa"/>
          </w:tcPr>
          <w:p w14:paraId="3C2076D6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proofErr w:type="spellStart"/>
            <w:r w:rsidRPr="00D05364">
              <w:rPr>
                <w:rFonts w:eastAsia="Arial"/>
                <w:szCs w:val="24"/>
              </w:rPr>
              <w:t>Farmakoekonominio</w:t>
            </w:r>
            <w:proofErr w:type="spellEnd"/>
            <w:r w:rsidRPr="00D05364">
              <w:rPr>
                <w:rFonts w:eastAsia="Arial"/>
                <w:szCs w:val="24"/>
              </w:rPr>
              <w:t xml:space="preserve"> vertinimo išvada</w:t>
            </w:r>
          </w:p>
        </w:tc>
      </w:tr>
      <w:tr w:rsidR="001D4DC0" w:rsidRPr="00D05364" w14:paraId="0588D6B5" w14:textId="77777777" w:rsidTr="002F6C0B">
        <w:trPr>
          <w:trHeight w:val="1765"/>
        </w:trPr>
        <w:tc>
          <w:tcPr>
            <w:tcW w:w="2547" w:type="dxa"/>
          </w:tcPr>
          <w:p w14:paraId="5BDA2BD5" w14:textId="77777777" w:rsidR="001D4DC0" w:rsidRPr="00D05364" w:rsidRDefault="001D4DC0" w:rsidP="00A21C5E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D05364">
              <w:rPr>
                <w:bCs/>
                <w:szCs w:val="24"/>
              </w:rPr>
              <w:t>Nacionalinis sveikatos ir klinikinės kompetencijos institutas, Didžioji Britanija</w:t>
            </w:r>
          </w:p>
          <w:p w14:paraId="5BD084BC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National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Institute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for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Health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and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Care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Excellence</w:t>
            </w:r>
            <w:proofErr w:type="spellEnd"/>
            <w:r w:rsidRPr="00D05364">
              <w:rPr>
                <w:rFonts w:eastAsia="Arial"/>
                <w:i/>
                <w:szCs w:val="24"/>
              </w:rPr>
              <w:t>, NICE</w:t>
            </w:r>
            <w:r w:rsidRPr="00D05364">
              <w:rPr>
                <w:rFonts w:eastAsia="Arial"/>
                <w:szCs w:val="24"/>
              </w:rPr>
              <w:t>)</w:t>
            </w:r>
          </w:p>
        </w:tc>
        <w:tc>
          <w:tcPr>
            <w:tcW w:w="1559" w:type="dxa"/>
          </w:tcPr>
          <w:p w14:paraId="698111E3" w14:textId="77777777" w:rsidR="001D4DC0" w:rsidRPr="00D05364" w:rsidRDefault="00C178F9" w:rsidP="00A21C5E">
            <w:sdt>
              <w:sdtPr>
                <w:rPr>
                  <w:rStyle w:val="Style2"/>
                  <w:sz w:val="24"/>
                </w:rPr>
                <w:id w:val="155820502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D4DC0" w:rsidRPr="00D05364">
              <w:t xml:space="preserve"> Taip</w:t>
            </w:r>
          </w:p>
          <w:p w14:paraId="17981965" w14:textId="77777777" w:rsidR="001D4DC0" w:rsidRPr="00D05364" w:rsidRDefault="00C178F9" w:rsidP="00A21C5E">
            <w:sdt>
              <w:sdtPr>
                <w:rPr>
                  <w:rStyle w:val="Style2"/>
                  <w:sz w:val="24"/>
                </w:rPr>
                <w:id w:val="8660296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 w:rsidRPr="00D05364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D4DC0" w:rsidRPr="00D05364">
              <w:t xml:space="preserve"> Ne</w:t>
            </w:r>
          </w:p>
          <w:p w14:paraId="4112E8B2" w14:textId="77777777" w:rsidR="001D4DC0" w:rsidRPr="00D05364" w:rsidRDefault="00C178F9" w:rsidP="00A21C5E">
            <w:pPr>
              <w:rPr>
                <w:rFonts w:eastAsia="Arial"/>
              </w:rPr>
            </w:pPr>
            <w:sdt>
              <w:sdtPr>
                <w:rPr>
                  <w:rFonts w:eastAsiaTheme="minorHAnsi"/>
                  <w:kern w:val="2"/>
                  <w:sz w:val="22"/>
                  <w:szCs w:val="22"/>
                  <w14:ligatures w14:val="standardContextual"/>
                </w:rPr>
                <w:alias w:val="Nurodykite konkrečią dieną"/>
                <w:tag w:val="Nurodykite pradžios datą"/>
                <w:id w:val="922837954"/>
                <w:placeholder>
                  <w:docPart w:val="F88398C163A513498D6786918346D7D1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D4DC0" w:rsidRPr="00BC0F46">
                  <w:rPr>
                    <w:rFonts w:eastAsiaTheme="minorHAnsi"/>
                    <w:kern w:val="2"/>
                    <w:sz w:val="22"/>
                    <w:szCs w:val="22"/>
                    <w14:ligatures w14:val="standardContextual"/>
                  </w:rPr>
                  <w:t xml:space="preserve">2019 m. vasario </w:t>
                </w:r>
                <w:proofErr w:type="spellStart"/>
                <w:r w:rsidR="001D4DC0" w:rsidRPr="00BC0F46">
                  <w:rPr>
                    <w:rFonts w:eastAsiaTheme="minorHAnsi"/>
                    <w:kern w:val="2"/>
                    <w:sz w:val="22"/>
                    <w:szCs w:val="22"/>
                    <w14:ligatures w14:val="standardContextual"/>
                  </w:rPr>
                  <w:t>mėn</w:t>
                </w:r>
                <w:proofErr w:type="spellEnd"/>
              </w:sdtContent>
            </w:sdt>
          </w:p>
        </w:tc>
        <w:tc>
          <w:tcPr>
            <w:tcW w:w="2835" w:type="dxa"/>
          </w:tcPr>
          <w:p w14:paraId="0D75C690" w14:textId="77777777" w:rsidR="001D4DC0" w:rsidRPr="00EE38B1" w:rsidRDefault="001D4DC0" w:rsidP="00A21C5E">
            <w:pPr>
              <w:spacing w:line="276" w:lineRule="auto"/>
              <w:rPr>
                <w:rFonts w:eastAsia="Arial"/>
              </w:rPr>
            </w:pPr>
            <w:r w:rsidRPr="00EE38B1">
              <w:rPr>
                <w:lang w:bidi="lt-LT"/>
              </w:rPr>
              <w:t xml:space="preserve">Klinikinių tyrimų duomenys rodo, kad, palyginti su </w:t>
            </w:r>
            <w:proofErr w:type="spellStart"/>
            <w:r w:rsidRPr="00EE38B1">
              <w:rPr>
                <w:lang w:bidi="lt-LT"/>
              </w:rPr>
              <w:t>vemurafenibu</w:t>
            </w:r>
            <w:proofErr w:type="spellEnd"/>
            <w:r w:rsidRPr="00EE38B1">
              <w:rPr>
                <w:lang w:bidi="lt-LT"/>
              </w:rPr>
              <w:t xml:space="preserve">, </w:t>
            </w:r>
            <w:proofErr w:type="spellStart"/>
            <w:r w:rsidRPr="00EE38B1">
              <w:rPr>
                <w:lang w:bidi="lt-LT"/>
              </w:rPr>
              <w:t>enkorafenibo</w:t>
            </w:r>
            <w:proofErr w:type="spellEnd"/>
            <w:r w:rsidRPr="00EE38B1">
              <w:rPr>
                <w:lang w:bidi="lt-LT"/>
              </w:rPr>
              <w:t xml:space="preserve"> derinys su </w:t>
            </w:r>
            <w:proofErr w:type="spellStart"/>
            <w:r w:rsidRPr="00EE38B1">
              <w:rPr>
                <w:lang w:bidi="lt-LT"/>
              </w:rPr>
              <w:t>binimetinibu</w:t>
            </w:r>
            <w:proofErr w:type="spellEnd"/>
            <w:r w:rsidRPr="00EE38B1">
              <w:rPr>
                <w:lang w:bidi="lt-LT"/>
              </w:rPr>
              <w:t xml:space="preserve"> pratęsia laikotarpį iki melanomos progresavimo ir taip pat pailgina gyvenimo trukmę. Tyrimų, kuriuose jis būtų tiesiogiai lyginamas su </w:t>
            </w:r>
            <w:proofErr w:type="spellStart"/>
            <w:r w:rsidRPr="00EE38B1">
              <w:rPr>
                <w:lang w:bidi="lt-LT"/>
              </w:rPr>
              <w:t>dabrafenibo</w:t>
            </w:r>
            <w:proofErr w:type="spellEnd"/>
            <w:r w:rsidRPr="00EE38B1">
              <w:rPr>
                <w:lang w:bidi="lt-LT"/>
              </w:rPr>
              <w:t xml:space="preserve"> ir </w:t>
            </w:r>
            <w:proofErr w:type="spellStart"/>
            <w:r w:rsidRPr="00EE38B1">
              <w:rPr>
                <w:lang w:bidi="lt-LT"/>
              </w:rPr>
              <w:t>trametinibo</w:t>
            </w:r>
            <w:proofErr w:type="spellEnd"/>
            <w:r w:rsidRPr="00EE38B1">
              <w:rPr>
                <w:lang w:bidi="lt-LT"/>
              </w:rPr>
              <w:t xml:space="preserve"> deriniu, nėra atlikta. Vis dėlto palyginus netiesiogi</w:t>
            </w:r>
            <w:r>
              <w:rPr>
                <w:lang w:bidi="lt-LT"/>
              </w:rPr>
              <w:t>nius tyrimus</w:t>
            </w:r>
            <w:r w:rsidRPr="00EE38B1">
              <w:rPr>
                <w:lang w:bidi="lt-LT"/>
              </w:rPr>
              <w:t xml:space="preserve"> paaiškėjo, kad </w:t>
            </w:r>
            <w:proofErr w:type="spellStart"/>
            <w:r w:rsidRPr="00EE38B1">
              <w:rPr>
                <w:lang w:bidi="lt-LT"/>
              </w:rPr>
              <w:t>enkorafenibo</w:t>
            </w:r>
            <w:proofErr w:type="spellEnd"/>
            <w:r w:rsidRPr="00EE38B1">
              <w:rPr>
                <w:lang w:bidi="lt-LT"/>
              </w:rPr>
              <w:t xml:space="preserve"> derinys su </w:t>
            </w:r>
            <w:proofErr w:type="spellStart"/>
            <w:r w:rsidRPr="00EE38B1">
              <w:rPr>
                <w:lang w:bidi="lt-LT"/>
              </w:rPr>
              <w:t>binimetinibu</w:t>
            </w:r>
            <w:proofErr w:type="spellEnd"/>
            <w:r w:rsidRPr="00EE38B1">
              <w:rPr>
                <w:lang w:bidi="lt-LT"/>
              </w:rPr>
              <w:t xml:space="preserve"> yra toks pat veiksmingas kaip </w:t>
            </w:r>
            <w:proofErr w:type="spellStart"/>
            <w:r w:rsidRPr="00EE38B1">
              <w:rPr>
                <w:lang w:bidi="lt-LT"/>
              </w:rPr>
              <w:t>dabrafenibo</w:t>
            </w:r>
            <w:proofErr w:type="spellEnd"/>
            <w:r w:rsidRPr="00EE38B1">
              <w:rPr>
                <w:lang w:bidi="lt-LT"/>
              </w:rPr>
              <w:t xml:space="preserve"> ir </w:t>
            </w:r>
            <w:proofErr w:type="spellStart"/>
            <w:r w:rsidRPr="00EE38B1">
              <w:rPr>
                <w:lang w:bidi="lt-LT"/>
              </w:rPr>
              <w:t>trametinibo</w:t>
            </w:r>
            <w:proofErr w:type="spellEnd"/>
            <w:r w:rsidRPr="00EE38B1">
              <w:rPr>
                <w:lang w:bidi="lt-LT"/>
              </w:rPr>
              <w:t xml:space="preserve"> derinys.</w:t>
            </w:r>
          </w:p>
          <w:p w14:paraId="7A4F4A3E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EE38B1">
              <w:rPr>
                <w:lang w:bidi="lt-LT"/>
              </w:rPr>
              <w:t xml:space="preserve">Atsižvelgiant į registracijos pažymėjimą, </w:t>
            </w:r>
            <w:proofErr w:type="spellStart"/>
            <w:r w:rsidRPr="00EE38B1">
              <w:rPr>
                <w:lang w:bidi="lt-LT"/>
              </w:rPr>
              <w:t>enkorafenibo</w:t>
            </w:r>
            <w:proofErr w:type="spellEnd"/>
            <w:r w:rsidRPr="00EE38B1">
              <w:rPr>
                <w:lang w:bidi="lt-LT"/>
              </w:rPr>
              <w:t xml:space="preserve"> ir </w:t>
            </w:r>
            <w:proofErr w:type="spellStart"/>
            <w:r w:rsidRPr="00EE38B1">
              <w:rPr>
                <w:lang w:bidi="lt-LT"/>
              </w:rPr>
              <w:t>binimetinibo</w:t>
            </w:r>
            <w:proofErr w:type="spellEnd"/>
            <w:r w:rsidRPr="00EE38B1">
              <w:rPr>
                <w:lang w:bidi="lt-LT"/>
              </w:rPr>
              <w:t xml:space="preserve"> derinys rekomenduojamas kaip papildomas neoperuotinos arba </w:t>
            </w:r>
            <w:proofErr w:type="spellStart"/>
            <w:r w:rsidRPr="00EE38B1">
              <w:rPr>
                <w:lang w:bidi="lt-LT"/>
              </w:rPr>
              <w:t>metastazavusios</w:t>
            </w:r>
            <w:proofErr w:type="spellEnd"/>
            <w:r w:rsidRPr="00EE38B1">
              <w:rPr>
                <w:lang w:bidi="lt-LT"/>
              </w:rPr>
              <w:t xml:space="preserve"> suaugusiųjų melanomos su BRAF V600 mutacija gydymo būdas. Jis rekomenduojamas tik tuo atveju, jei bendrovė aprūpina </w:t>
            </w:r>
            <w:proofErr w:type="spellStart"/>
            <w:r w:rsidRPr="00EE38B1">
              <w:rPr>
                <w:lang w:bidi="lt-LT"/>
              </w:rPr>
              <w:t>enkorafenibu</w:t>
            </w:r>
            <w:proofErr w:type="spellEnd"/>
            <w:r w:rsidRPr="00EE38B1">
              <w:rPr>
                <w:lang w:bidi="lt-LT"/>
              </w:rPr>
              <w:t xml:space="preserve"> ir </w:t>
            </w:r>
            <w:proofErr w:type="spellStart"/>
            <w:r w:rsidRPr="00EE38B1">
              <w:rPr>
                <w:lang w:bidi="lt-LT"/>
              </w:rPr>
              <w:t>binimetinibu</w:t>
            </w:r>
            <w:proofErr w:type="spellEnd"/>
            <w:r w:rsidRPr="00EE38B1">
              <w:rPr>
                <w:lang w:bidi="lt-LT"/>
              </w:rPr>
              <w:t xml:space="preserve"> pagal komercinius susitarimus.</w:t>
            </w:r>
          </w:p>
        </w:tc>
        <w:tc>
          <w:tcPr>
            <w:tcW w:w="2129" w:type="dxa"/>
          </w:tcPr>
          <w:p w14:paraId="4EE014C0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EE38B1">
              <w:rPr>
                <w:lang w:bidi="lt-LT"/>
              </w:rPr>
              <w:t xml:space="preserve">Atsižvelgiant į komercinius susitarimus dėl </w:t>
            </w:r>
            <w:proofErr w:type="spellStart"/>
            <w:r w:rsidRPr="00EE38B1">
              <w:rPr>
                <w:lang w:bidi="lt-LT"/>
              </w:rPr>
              <w:t>enkorafenibo</w:t>
            </w:r>
            <w:proofErr w:type="spellEnd"/>
            <w:r w:rsidRPr="00EE38B1">
              <w:rPr>
                <w:lang w:bidi="lt-LT"/>
              </w:rPr>
              <w:t xml:space="preserve">, </w:t>
            </w:r>
            <w:proofErr w:type="spellStart"/>
            <w:r w:rsidRPr="00EE38B1">
              <w:rPr>
                <w:lang w:bidi="lt-LT"/>
              </w:rPr>
              <w:t>binimetinibo</w:t>
            </w:r>
            <w:proofErr w:type="spellEnd"/>
            <w:r w:rsidRPr="00EE38B1">
              <w:rPr>
                <w:lang w:bidi="lt-LT"/>
              </w:rPr>
              <w:t xml:space="preserve">, </w:t>
            </w:r>
            <w:proofErr w:type="spellStart"/>
            <w:r w:rsidRPr="00EE38B1">
              <w:rPr>
                <w:lang w:bidi="lt-LT"/>
              </w:rPr>
              <w:t>dabrafenibo</w:t>
            </w:r>
            <w:proofErr w:type="spellEnd"/>
            <w:r w:rsidRPr="00EE38B1">
              <w:rPr>
                <w:lang w:bidi="lt-LT"/>
              </w:rPr>
              <w:t xml:space="preserve"> ir </w:t>
            </w:r>
            <w:proofErr w:type="spellStart"/>
            <w:r w:rsidRPr="00EE38B1">
              <w:rPr>
                <w:lang w:bidi="lt-LT"/>
              </w:rPr>
              <w:t>trametinibo</w:t>
            </w:r>
            <w:proofErr w:type="spellEnd"/>
            <w:r w:rsidRPr="00EE38B1">
              <w:rPr>
                <w:lang w:bidi="lt-LT"/>
              </w:rPr>
              <w:t xml:space="preserve">, </w:t>
            </w:r>
            <w:proofErr w:type="spellStart"/>
            <w:r w:rsidRPr="00EE38B1">
              <w:rPr>
                <w:lang w:bidi="lt-LT"/>
              </w:rPr>
              <w:t>enkorafenibo</w:t>
            </w:r>
            <w:proofErr w:type="spellEnd"/>
            <w:r w:rsidRPr="00EE38B1">
              <w:rPr>
                <w:lang w:bidi="lt-LT"/>
              </w:rPr>
              <w:t xml:space="preserve"> derinys su </w:t>
            </w:r>
            <w:proofErr w:type="spellStart"/>
            <w:r w:rsidRPr="00EE38B1">
              <w:rPr>
                <w:lang w:bidi="lt-LT"/>
              </w:rPr>
              <w:t>binimetinibu</w:t>
            </w:r>
            <w:proofErr w:type="spellEnd"/>
            <w:r w:rsidRPr="00EE38B1">
              <w:rPr>
                <w:lang w:bidi="lt-LT"/>
              </w:rPr>
              <w:t xml:space="preserve"> laikomas ekonomiškai efektyviu NHS (angl. </w:t>
            </w:r>
            <w:proofErr w:type="spellStart"/>
            <w:r w:rsidRPr="00EE38B1">
              <w:rPr>
                <w:i/>
                <w:lang w:bidi="lt-LT"/>
              </w:rPr>
              <w:t>National</w:t>
            </w:r>
            <w:proofErr w:type="spellEnd"/>
            <w:r w:rsidRPr="00EE38B1">
              <w:rPr>
                <w:i/>
                <w:lang w:bidi="lt-LT"/>
              </w:rPr>
              <w:t xml:space="preserve"> </w:t>
            </w:r>
            <w:proofErr w:type="spellStart"/>
            <w:r w:rsidRPr="00EE38B1">
              <w:rPr>
                <w:i/>
                <w:lang w:bidi="lt-LT"/>
              </w:rPr>
              <w:t>Health</w:t>
            </w:r>
            <w:proofErr w:type="spellEnd"/>
            <w:r w:rsidRPr="00EE38B1">
              <w:rPr>
                <w:i/>
                <w:lang w:bidi="lt-LT"/>
              </w:rPr>
              <w:t xml:space="preserve"> </w:t>
            </w:r>
            <w:proofErr w:type="spellStart"/>
            <w:r w:rsidRPr="00EE38B1">
              <w:rPr>
                <w:i/>
                <w:lang w:bidi="lt-LT"/>
              </w:rPr>
              <w:t>Service</w:t>
            </w:r>
            <w:proofErr w:type="spellEnd"/>
            <w:r w:rsidRPr="00EE38B1">
              <w:rPr>
                <w:i/>
                <w:lang w:bidi="lt-LT"/>
              </w:rPr>
              <w:t xml:space="preserve"> –</w:t>
            </w:r>
            <w:r w:rsidRPr="00EE38B1">
              <w:rPr>
                <w:lang w:bidi="lt-LT"/>
              </w:rPr>
              <w:t xml:space="preserve"> JK nacionalinės sveikatos priežiūros tarnyba) išteklių naudojimo požiūriu.</w:t>
            </w:r>
          </w:p>
        </w:tc>
      </w:tr>
      <w:tr w:rsidR="001D4DC0" w:rsidRPr="00D05364" w14:paraId="036BC068" w14:textId="77777777" w:rsidTr="002F6C0B">
        <w:trPr>
          <w:trHeight w:val="1547"/>
        </w:trPr>
        <w:tc>
          <w:tcPr>
            <w:tcW w:w="2547" w:type="dxa"/>
          </w:tcPr>
          <w:p w14:paraId="6DA17FC5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Kanados sveikatos technologijų agentūra</w:t>
            </w:r>
          </w:p>
          <w:p w14:paraId="67AF943C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Canadian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health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Technology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Assessment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agency</w:t>
            </w:r>
            <w:proofErr w:type="spellEnd"/>
            <w:r w:rsidRPr="00D05364">
              <w:rPr>
                <w:rFonts w:eastAsia="Arial"/>
                <w:i/>
                <w:szCs w:val="24"/>
              </w:rPr>
              <w:t>, CADTH</w:t>
            </w:r>
            <w:r w:rsidRPr="00D05364">
              <w:rPr>
                <w:rFonts w:eastAsia="Arial"/>
                <w:szCs w:val="24"/>
              </w:rPr>
              <w:t>)</w:t>
            </w:r>
          </w:p>
        </w:tc>
        <w:tc>
          <w:tcPr>
            <w:tcW w:w="1559" w:type="dxa"/>
          </w:tcPr>
          <w:p w14:paraId="55D6C2BF" w14:textId="77777777" w:rsidR="001D4DC0" w:rsidRPr="00D05364" w:rsidRDefault="00C178F9" w:rsidP="00A21C5E">
            <w:sdt>
              <w:sdtPr>
                <w:rPr>
                  <w:rStyle w:val="Style2"/>
                  <w:sz w:val="24"/>
                </w:rPr>
                <w:id w:val="-37253905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D4DC0" w:rsidRPr="00D05364">
              <w:t xml:space="preserve"> Taip</w:t>
            </w:r>
          </w:p>
          <w:p w14:paraId="2AFA0A61" w14:textId="77777777" w:rsidR="001D4DC0" w:rsidRPr="00D05364" w:rsidRDefault="00C178F9" w:rsidP="00A21C5E">
            <w:sdt>
              <w:sdtPr>
                <w:rPr>
                  <w:rStyle w:val="Style2"/>
                  <w:sz w:val="24"/>
                </w:rPr>
                <w:id w:val="5944422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 w:rsidRPr="00D05364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D4DC0" w:rsidRPr="00D05364">
              <w:t xml:space="preserve"> Ne</w:t>
            </w:r>
          </w:p>
          <w:p w14:paraId="556D01C8" w14:textId="77777777" w:rsidR="001D4DC0" w:rsidRPr="00D05364" w:rsidRDefault="00C178F9" w:rsidP="00A21C5E">
            <w:pPr>
              <w:spacing w:line="276" w:lineRule="auto"/>
              <w:rPr>
                <w:rFonts w:eastAsia="Arial"/>
                <w:szCs w:val="24"/>
              </w:rPr>
            </w:pPr>
            <w:sdt>
              <w:sdtPr>
                <w:rPr>
                  <w:rFonts w:eastAsiaTheme="minorHAnsi"/>
                  <w:kern w:val="2"/>
                  <w:sz w:val="22"/>
                  <w:szCs w:val="22"/>
                  <w14:ligatures w14:val="standardContextual"/>
                </w:rPr>
                <w:alias w:val="Nurodykite konkrečią dieną"/>
                <w:tag w:val="Nurodykite pradžios datą"/>
                <w:id w:val="1072468416"/>
                <w:placeholder>
                  <w:docPart w:val="899521A1EA0F684C87C0C0B3A81D88B1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D4DC0" w:rsidRPr="00BC0F46">
                  <w:rPr>
                    <w:rFonts w:eastAsiaTheme="minorHAnsi"/>
                    <w:kern w:val="2"/>
                    <w:sz w:val="22"/>
                    <w:szCs w:val="22"/>
                    <w14:ligatures w14:val="standardContextual"/>
                  </w:rPr>
                  <w:t xml:space="preserve">2021 m. liepos </w:t>
                </w:r>
                <w:proofErr w:type="spellStart"/>
                <w:r w:rsidR="001D4DC0" w:rsidRPr="00BC0F46">
                  <w:rPr>
                    <w:rFonts w:eastAsiaTheme="minorHAnsi"/>
                    <w:kern w:val="2"/>
                    <w:sz w:val="22"/>
                    <w:szCs w:val="22"/>
                    <w14:ligatures w14:val="standardContextual"/>
                  </w:rPr>
                  <w:t>mėn</w:t>
                </w:r>
                <w:proofErr w:type="spellEnd"/>
              </w:sdtContent>
            </w:sdt>
          </w:p>
        </w:tc>
        <w:tc>
          <w:tcPr>
            <w:tcW w:w="2835" w:type="dxa"/>
          </w:tcPr>
          <w:p w14:paraId="51EA27A1" w14:textId="77777777" w:rsidR="001D4DC0" w:rsidRPr="00EE38B1" w:rsidRDefault="001D4DC0" w:rsidP="00A21C5E">
            <w:pPr>
              <w:spacing w:line="276" w:lineRule="auto"/>
              <w:rPr>
                <w:rFonts w:eastAsia="Arial"/>
              </w:rPr>
            </w:pPr>
            <w:r w:rsidRPr="00EE38B1">
              <w:rPr>
                <w:lang w:bidi="lt-LT"/>
              </w:rPr>
              <w:t xml:space="preserve">Klinikinio tyrimo duomenimis, BRAFOVI derinys su MEKTOVI, palyginti su </w:t>
            </w:r>
            <w:proofErr w:type="spellStart"/>
            <w:r w:rsidRPr="00EE38B1">
              <w:rPr>
                <w:lang w:bidi="lt-LT"/>
              </w:rPr>
              <w:t>vemurafenibo</w:t>
            </w:r>
            <w:proofErr w:type="spellEnd"/>
            <w:r w:rsidRPr="00EE38B1">
              <w:rPr>
                <w:lang w:bidi="lt-LT"/>
              </w:rPr>
              <w:t xml:space="preserve"> </w:t>
            </w:r>
            <w:proofErr w:type="spellStart"/>
            <w:r w:rsidRPr="00EE38B1">
              <w:rPr>
                <w:lang w:bidi="lt-LT"/>
              </w:rPr>
              <w:t>monoterapija</w:t>
            </w:r>
            <w:proofErr w:type="spellEnd"/>
            <w:r w:rsidRPr="00EE38B1">
              <w:rPr>
                <w:lang w:bidi="lt-LT"/>
              </w:rPr>
              <w:t xml:space="preserve">, pagerino išgyvenamumą be ligos progresavimo, o jo </w:t>
            </w:r>
            <w:r w:rsidRPr="00EE38B1">
              <w:rPr>
                <w:lang w:bidi="lt-LT"/>
              </w:rPr>
              <w:lastRenderedPageBreak/>
              <w:t>šalutinis poveikis buvo valdomas.</w:t>
            </w:r>
          </w:p>
          <w:p w14:paraId="1EFF1A64" w14:textId="77777777" w:rsidR="001D4DC0" w:rsidRPr="00EE38B1" w:rsidRDefault="001D4DC0" w:rsidP="00A21C5E">
            <w:pPr>
              <w:spacing w:line="276" w:lineRule="auto"/>
              <w:rPr>
                <w:rFonts w:eastAsia="Arial"/>
              </w:rPr>
            </w:pPr>
          </w:p>
          <w:p w14:paraId="3BA42C12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EE38B1">
              <w:rPr>
                <w:lang w:bidi="lt-LT"/>
              </w:rPr>
              <w:t xml:space="preserve">Yra duomenų, kad BRAFTOVI derinys su MEKTOVI gali patenkinti pacientų poreikius ir būti alternatyvus </w:t>
            </w:r>
            <w:proofErr w:type="spellStart"/>
            <w:r w:rsidRPr="00EE38B1">
              <w:rPr>
                <w:lang w:bidi="lt-LT"/>
              </w:rPr>
              <w:t>peroralinis</w:t>
            </w:r>
            <w:proofErr w:type="spellEnd"/>
            <w:r w:rsidRPr="00EE38B1">
              <w:rPr>
                <w:lang w:bidi="lt-LT"/>
              </w:rPr>
              <w:t xml:space="preserve"> tikslinis gydymas, kuris gali pagerinti </w:t>
            </w:r>
            <w:proofErr w:type="spellStart"/>
            <w:r w:rsidRPr="00EE38B1">
              <w:rPr>
                <w:lang w:bidi="lt-LT"/>
              </w:rPr>
              <w:t>išgyvenamum</w:t>
            </w:r>
            <w:proofErr w:type="spellEnd"/>
            <w:r>
              <w:rPr>
                <w:lang w:bidi="lt-LT"/>
              </w:rPr>
              <w:t>.</w:t>
            </w:r>
          </w:p>
        </w:tc>
        <w:tc>
          <w:tcPr>
            <w:tcW w:w="2129" w:type="dxa"/>
          </w:tcPr>
          <w:p w14:paraId="243B7BCB" w14:textId="77777777" w:rsidR="001D4DC0" w:rsidRPr="00EE38B1" w:rsidRDefault="001D4DC0" w:rsidP="00A21C5E">
            <w:pPr>
              <w:spacing w:line="276" w:lineRule="auto"/>
              <w:rPr>
                <w:rFonts w:eastAsia="Arial"/>
              </w:rPr>
            </w:pPr>
            <w:r w:rsidRPr="00EE38B1">
              <w:rPr>
                <w:lang w:bidi="lt-LT"/>
              </w:rPr>
              <w:lastRenderedPageBreak/>
              <w:t xml:space="preserve">Nėra duomenų, rodančių, kad gydymas BRAFTOVI deriniu su MEKTOVI yra veiksmingesnis už kitus kompensuojamus gydymo būdus, </w:t>
            </w:r>
            <w:r w:rsidRPr="00EE38B1">
              <w:rPr>
                <w:lang w:bidi="lt-LT"/>
              </w:rPr>
              <w:lastRenderedPageBreak/>
              <w:t>taikomus nurodytai populiacijai gydyti. Todėl, siekiant užtikrinti ekonominį efektyvumą, jo kaina turėtų būti ne didesnė nei mažiausiai kainuojančio BRAF/MEK inhibitoriaus.</w:t>
            </w:r>
          </w:p>
          <w:p w14:paraId="1908D8A4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</w:p>
        </w:tc>
      </w:tr>
      <w:tr w:rsidR="001D4DC0" w:rsidRPr="00D05364" w14:paraId="00A676A5" w14:textId="77777777" w:rsidTr="002F6C0B">
        <w:trPr>
          <w:trHeight w:val="1927"/>
        </w:trPr>
        <w:tc>
          <w:tcPr>
            <w:tcW w:w="2547" w:type="dxa"/>
          </w:tcPr>
          <w:p w14:paraId="57C10B6E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lastRenderedPageBreak/>
              <w:t xml:space="preserve">Nacionalinis </w:t>
            </w:r>
            <w:proofErr w:type="spellStart"/>
            <w:r w:rsidRPr="00D05364">
              <w:rPr>
                <w:rFonts w:eastAsia="Arial"/>
                <w:szCs w:val="24"/>
              </w:rPr>
              <w:t>farmakoekonomikos</w:t>
            </w:r>
            <w:proofErr w:type="spellEnd"/>
            <w:r w:rsidRPr="00D05364">
              <w:rPr>
                <w:rFonts w:eastAsia="Arial"/>
                <w:szCs w:val="24"/>
              </w:rPr>
              <w:t xml:space="preserve"> centras, Airija</w:t>
            </w:r>
          </w:p>
          <w:p w14:paraId="23E056E6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(angl.</w:t>
            </w:r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National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Centre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for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Pharmacoeconomics</w:t>
            </w:r>
            <w:proofErr w:type="spellEnd"/>
            <w:r w:rsidRPr="00D05364">
              <w:rPr>
                <w:rFonts w:eastAsia="Arial"/>
                <w:i/>
                <w:szCs w:val="24"/>
              </w:rPr>
              <w:t>, NCPE</w:t>
            </w:r>
            <w:r w:rsidRPr="00D05364">
              <w:rPr>
                <w:rFonts w:eastAsia="Arial"/>
                <w:szCs w:val="24"/>
              </w:rPr>
              <w:t>)</w:t>
            </w:r>
          </w:p>
        </w:tc>
        <w:tc>
          <w:tcPr>
            <w:tcW w:w="1559" w:type="dxa"/>
          </w:tcPr>
          <w:p w14:paraId="70728A85" w14:textId="77777777" w:rsidR="001D4DC0" w:rsidRPr="00D05364" w:rsidRDefault="00C178F9" w:rsidP="00A21C5E">
            <w:sdt>
              <w:sdtPr>
                <w:rPr>
                  <w:rStyle w:val="Style2"/>
                  <w:sz w:val="24"/>
                </w:rPr>
                <w:id w:val="-188840373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D4DC0" w:rsidRPr="00D05364">
              <w:t xml:space="preserve"> Taip</w:t>
            </w:r>
          </w:p>
          <w:p w14:paraId="75390FC4" w14:textId="77777777" w:rsidR="001D4DC0" w:rsidRPr="00D05364" w:rsidRDefault="00C178F9" w:rsidP="00A21C5E">
            <w:sdt>
              <w:sdtPr>
                <w:rPr>
                  <w:rStyle w:val="Style2"/>
                  <w:sz w:val="24"/>
                </w:rPr>
                <w:id w:val="109220179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4DC0" w:rsidRPr="00D05364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D4DC0" w:rsidRPr="00D05364">
              <w:t xml:space="preserve"> Ne</w:t>
            </w:r>
          </w:p>
          <w:p w14:paraId="291ED15C" w14:textId="77777777" w:rsidR="001D4DC0" w:rsidRPr="00D05364" w:rsidRDefault="00C178F9" w:rsidP="00A21C5E">
            <w:pPr>
              <w:spacing w:line="276" w:lineRule="auto"/>
              <w:rPr>
                <w:rFonts w:eastAsia="Arial"/>
                <w:szCs w:val="24"/>
              </w:rPr>
            </w:pPr>
            <w:sdt>
              <w:sdtPr>
                <w:rPr>
                  <w:rFonts w:eastAsiaTheme="minorHAnsi"/>
                  <w:kern w:val="2"/>
                  <w:sz w:val="22"/>
                  <w:szCs w:val="22"/>
                  <w14:ligatures w14:val="standardContextual"/>
                </w:rPr>
                <w:alias w:val="Nurodykite konkrečią dieną"/>
                <w:tag w:val="Nurodykite pradžios datą"/>
                <w:id w:val="-198323198"/>
                <w:placeholder>
                  <w:docPart w:val="E4906A3FF2647545B2B44BB39822617C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D4DC0" w:rsidRPr="00BC0F46">
                  <w:rPr>
                    <w:rFonts w:eastAsiaTheme="minorHAnsi"/>
                    <w:kern w:val="2"/>
                    <w:sz w:val="22"/>
                    <w:szCs w:val="22"/>
                    <w14:ligatures w14:val="standardContextual"/>
                  </w:rPr>
                  <w:t xml:space="preserve">2019 m. sausio </w:t>
                </w:r>
                <w:proofErr w:type="spellStart"/>
                <w:r w:rsidR="001D4DC0" w:rsidRPr="00BC0F46">
                  <w:rPr>
                    <w:rFonts w:eastAsiaTheme="minorHAnsi"/>
                    <w:kern w:val="2"/>
                    <w:sz w:val="22"/>
                    <w:szCs w:val="22"/>
                    <w14:ligatures w14:val="standardContextual"/>
                  </w:rPr>
                  <w:t>mėn</w:t>
                </w:r>
                <w:proofErr w:type="spellEnd"/>
              </w:sdtContent>
            </w:sdt>
          </w:p>
        </w:tc>
        <w:tc>
          <w:tcPr>
            <w:tcW w:w="2835" w:type="dxa"/>
          </w:tcPr>
          <w:p w14:paraId="1E527357" w14:textId="77777777" w:rsidR="001D4DC0" w:rsidRPr="00EE38B1" w:rsidRDefault="001D4DC0" w:rsidP="00A21C5E">
            <w:pPr>
              <w:spacing w:line="276" w:lineRule="auto"/>
              <w:rPr>
                <w:rFonts w:eastAsia="Arial"/>
                <w:b/>
                <w:bCs/>
              </w:rPr>
            </w:pPr>
            <w:r w:rsidRPr="00EE38B1">
              <w:rPr>
                <w:b/>
                <w:lang w:bidi="lt-LT"/>
              </w:rPr>
              <w:t>Greitos BRAFTOVI ir MEKTOVI duomenų peržiūros rezultatai:</w:t>
            </w:r>
          </w:p>
          <w:p w14:paraId="5C1F9DEE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  <w:r w:rsidRPr="00EE38B1">
              <w:rPr>
                <w:lang w:bidi="lt-LT"/>
              </w:rPr>
              <w:t xml:space="preserve">Siekiant įvertinti </w:t>
            </w:r>
            <w:proofErr w:type="spellStart"/>
            <w:r w:rsidRPr="00EE38B1">
              <w:rPr>
                <w:lang w:bidi="lt-LT"/>
              </w:rPr>
              <w:t>enkorafenibo</w:t>
            </w:r>
            <w:proofErr w:type="spellEnd"/>
            <w:r w:rsidRPr="00EE38B1">
              <w:rPr>
                <w:lang w:bidi="lt-LT"/>
              </w:rPr>
              <w:t xml:space="preserve"> ir </w:t>
            </w:r>
            <w:proofErr w:type="spellStart"/>
            <w:r w:rsidRPr="00EE38B1">
              <w:rPr>
                <w:lang w:bidi="lt-LT"/>
              </w:rPr>
              <w:t>binimetinibo</w:t>
            </w:r>
            <w:proofErr w:type="spellEnd"/>
            <w:r w:rsidRPr="00EE38B1">
              <w:rPr>
                <w:lang w:bidi="lt-LT"/>
              </w:rPr>
              <w:t xml:space="preserve"> derinio klinikinį ir ekonominį efektyvumą, palyginti su dabartiniu standartiniu gydymu ir remiantis siūloma kaina ir su šiuo metu taikomais gydymo būdais, rekomenduojama atlikti išsamų sveikatos technologijų vertinimą.</w:t>
            </w:r>
          </w:p>
        </w:tc>
        <w:tc>
          <w:tcPr>
            <w:tcW w:w="2129" w:type="dxa"/>
          </w:tcPr>
          <w:p w14:paraId="43FA9EAF" w14:textId="77777777" w:rsidR="001D4DC0" w:rsidRPr="00D05364" w:rsidRDefault="001D4DC0" w:rsidP="00A21C5E">
            <w:pPr>
              <w:spacing w:line="276" w:lineRule="auto"/>
              <w:rPr>
                <w:rFonts w:eastAsia="Arial"/>
                <w:szCs w:val="24"/>
              </w:rPr>
            </w:pPr>
          </w:p>
        </w:tc>
      </w:tr>
    </w:tbl>
    <w:p w14:paraId="39BB8B50" w14:textId="77777777" w:rsidR="001D4DC0" w:rsidRDefault="001D4DC0" w:rsidP="001D4DC0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31C0E5A2" w14:textId="77777777" w:rsidR="000F3914" w:rsidRDefault="000F3914" w:rsidP="001D4DC0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6ADC4125" w14:textId="77777777" w:rsidR="001D4DC0" w:rsidRPr="00937907" w:rsidRDefault="001D4DC0" w:rsidP="001D4DC0">
      <w:pPr>
        <w:pStyle w:val="Sraopastraipa"/>
        <w:numPr>
          <w:ilvl w:val="0"/>
          <w:numId w:val="1"/>
        </w:numPr>
        <w:tabs>
          <w:tab w:val="left" w:pos="284"/>
        </w:tabs>
        <w:rPr>
          <w:b/>
          <w:bCs/>
          <w:caps/>
        </w:rPr>
      </w:pPr>
      <w:r w:rsidRPr="00937907">
        <w:rPr>
          <w:b/>
          <w:bCs/>
          <w:caps/>
        </w:rPr>
        <w:t>Klinikinio vertinimo apibendrinimas</w:t>
      </w:r>
    </w:p>
    <w:p w14:paraId="1EBC146A" w14:textId="77777777" w:rsidR="001D4DC0" w:rsidRDefault="001D4DC0" w:rsidP="001D4DC0">
      <w:pPr>
        <w:spacing w:line="276" w:lineRule="auto"/>
        <w:rPr>
          <w:rFonts w:eastAsia="Arial"/>
          <w:i/>
        </w:rPr>
      </w:pPr>
    </w:p>
    <w:p w14:paraId="28EFAD65" w14:textId="12920742" w:rsidR="001D4DC0" w:rsidRDefault="001D4DC0" w:rsidP="001D4DC0">
      <w:pPr>
        <w:tabs>
          <w:tab w:val="left" w:pos="426"/>
        </w:tabs>
        <w:spacing w:line="276" w:lineRule="auto"/>
        <w:ind w:firstLine="567"/>
        <w:jc w:val="both"/>
        <w:rPr>
          <w:lang w:bidi="lt-LT"/>
        </w:rPr>
      </w:pPr>
      <w:r w:rsidRPr="002F6C0B">
        <w:rPr>
          <w:bCs/>
          <w:lang w:bidi="lt-LT"/>
        </w:rPr>
        <w:t>Odos piktybinė melanoma</w:t>
      </w:r>
      <w:r w:rsidRPr="001F7234">
        <w:rPr>
          <w:b/>
          <w:lang w:bidi="lt-LT"/>
        </w:rPr>
        <w:t xml:space="preserve"> </w:t>
      </w:r>
      <w:r w:rsidRPr="001F7234">
        <w:rPr>
          <w:lang w:bidi="lt-LT"/>
        </w:rPr>
        <w:t xml:space="preserve"> </w:t>
      </w:r>
      <w:r w:rsidR="000F3914">
        <w:rPr>
          <w:lang w:bidi="lt-LT"/>
        </w:rPr>
        <w:t xml:space="preserve">- </w:t>
      </w:r>
      <w:r w:rsidRPr="001F7234">
        <w:rPr>
          <w:lang w:bidi="lt-LT"/>
        </w:rPr>
        <w:t xml:space="preserve">piktybinis navikas, kuris išsivysto iš </w:t>
      </w:r>
      <w:proofErr w:type="spellStart"/>
      <w:r w:rsidRPr="001F7234">
        <w:rPr>
          <w:lang w:bidi="lt-LT"/>
        </w:rPr>
        <w:t>melanocitų</w:t>
      </w:r>
      <w:proofErr w:type="spellEnd"/>
      <w:r w:rsidRPr="001F7234">
        <w:rPr>
          <w:lang w:bidi="lt-LT"/>
        </w:rPr>
        <w:t>, t. y. ląstelių, turinčių rudo pigmento melanino. Odoje melanoma gali atsirasti bet kurioje vietoje</w:t>
      </w:r>
      <w:r>
        <w:rPr>
          <w:lang w:bidi="lt-LT"/>
        </w:rPr>
        <w:t xml:space="preserve">. </w:t>
      </w:r>
      <w:r w:rsidRPr="001F7234">
        <w:rPr>
          <w:lang w:bidi="lt-LT"/>
        </w:rPr>
        <w:t>Ankstyvose stadijose ligos simptomai dažniausiai nepasireiškia. Sisteminiai simptomai išryškėja ligai išplitus. Nors melanoma sudaro tik apie 1 proc. susirgimo visomis odos vėžinėmis ligomis atvejų, ji yra viena agresyviausių vėžio rūšių, nes tai – pagrindinė mirties nuo odos vėžio priežastis</w:t>
      </w:r>
      <w:r>
        <w:rPr>
          <w:lang w:bidi="lt-LT"/>
        </w:rPr>
        <w:t xml:space="preserve">. </w:t>
      </w:r>
      <w:r w:rsidRPr="001F7234">
        <w:rPr>
          <w:lang w:bidi="lt-LT"/>
        </w:rPr>
        <w:t xml:space="preserve">Pacientų, sergančių išplitusia neoperuotina arba </w:t>
      </w:r>
      <w:proofErr w:type="spellStart"/>
      <w:r w:rsidRPr="001F7234">
        <w:rPr>
          <w:lang w:bidi="lt-LT"/>
        </w:rPr>
        <w:t>metastazavusia</w:t>
      </w:r>
      <w:proofErr w:type="spellEnd"/>
      <w:r w:rsidRPr="001F7234">
        <w:rPr>
          <w:lang w:bidi="lt-LT"/>
        </w:rPr>
        <w:t xml:space="preserve"> melanoma, prognozė ir išgyvenamumas yra ypač prasti. Remiantis naujausiais duomenimis, pacientų, kuriems nustatant ligos diagnozę buvo aptikta metastazių, penkerių metų išgyvenamumas siekia vos 35 proc.</w:t>
      </w:r>
    </w:p>
    <w:p w14:paraId="0DDBCA25" w14:textId="77777777" w:rsidR="001D4DC0" w:rsidRDefault="001D4DC0" w:rsidP="001D4DC0">
      <w:pPr>
        <w:tabs>
          <w:tab w:val="left" w:pos="426"/>
        </w:tabs>
        <w:spacing w:line="276" w:lineRule="auto"/>
        <w:ind w:firstLine="567"/>
        <w:jc w:val="both"/>
        <w:rPr>
          <w:lang w:bidi="lt-LT"/>
        </w:rPr>
      </w:pPr>
      <w:r w:rsidRPr="00865337">
        <w:rPr>
          <w:lang w:bidi="lt-LT"/>
        </w:rPr>
        <w:t>Odos melanomos BRAF mutacijos yra susijusios su savybėmis, būdingomis didelės rizikos lig</w:t>
      </w:r>
      <w:r>
        <w:rPr>
          <w:lang w:bidi="lt-LT"/>
        </w:rPr>
        <w:t>ai</w:t>
      </w:r>
      <w:r w:rsidRPr="001F7234">
        <w:rPr>
          <w:lang w:bidi="lt-LT"/>
        </w:rPr>
        <w:t>.</w:t>
      </w:r>
      <w:r w:rsidRPr="00DE4600">
        <w:rPr>
          <w:lang w:bidi="lt-LT"/>
        </w:rPr>
        <w:t xml:space="preserve"> </w:t>
      </w:r>
      <w:r w:rsidRPr="001F7234">
        <w:rPr>
          <w:lang w:bidi="lt-LT"/>
        </w:rPr>
        <w:t>Apskaičiuota, kad pasaulyje odos melanoma kasmet suserga apie 330 000 žmoni</w:t>
      </w:r>
      <w:r>
        <w:rPr>
          <w:lang w:bidi="lt-LT"/>
        </w:rPr>
        <w:t>ų</w:t>
      </w:r>
      <w:r w:rsidRPr="001F7234">
        <w:rPr>
          <w:lang w:bidi="lt-LT"/>
        </w:rPr>
        <w:t xml:space="preserve">. Šia liga dažniau serga baltaodžiai, gyvenantys netoli pusiaujo, kur ultravioletiniai spinduliai yra stipresni. Europoje sergamumo melanoma rodiklis – 10–25 nauji melanomos atvejai 100 000 gyventojų. Apie 10 proc. melanomos atvejų diagnozuojami esant regioninių pakitimų stadijai, o 5 proc. – atokių pakitimų stadijai. </w:t>
      </w:r>
      <w:proofErr w:type="spellStart"/>
      <w:r w:rsidRPr="001F7234">
        <w:rPr>
          <w:lang w:bidi="lt-LT"/>
        </w:rPr>
        <w:t>Metastazavusia</w:t>
      </w:r>
      <w:proofErr w:type="spellEnd"/>
      <w:r w:rsidRPr="001F7234">
        <w:rPr>
          <w:lang w:bidi="lt-LT"/>
        </w:rPr>
        <w:t xml:space="preserve"> melanoma sergantiems pacientams nustatomų BRAF V600 mutacijų dažnis Europoje yra 40–60 proc. </w:t>
      </w:r>
    </w:p>
    <w:p w14:paraId="43E6A7BC" w14:textId="77777777" w:rsidR="001D4DC0" w:rsidRDefault="001D4DC0" w:rsidP="001D4DC0">
      <w:pPr>
        <w:tabs>
          <w:tab w:val="left" w:pos="426"/>
        </w:tabs>
        <w:spacing w:line="276" w:lineRule="auto"/>
        <w:ind w:firstLine="567"/>
        <w:jc w:val="both"/>
        <w:rPr>
          <w:lang w:bidi="lt-LT"/>
        </w:rPr>
      </w:pPr>
      <w:r w:rsidRPr="001F7234">
        <w:rPr>
          <w:lang w:bidi="lt-LT"/>
        </w:rPr>
        <w:t xml:space="preserve">Paprastai sisteminis gydymas apima chemoterapiją, imunoterapiją (PD-1 ir CTLA-4 </w:t>
      </w:r>
      <w:proofErr w:type="spellStart"/>
      <w:r w:rsidRPr="001F7234">
        <w:rPr>
          <w:lang w:bidi="lt-LT"/>
        </w:rPr>
        <w:t>monokloniniai</w:t>
      </w:r>
      <w:proofErr w:type="spellEnd"/>
      <w:r w:rsidRPr="001F7234">
        <w:rPr>
          <w:lang w:bidi="lt-LT"/>
        </w:rPr>
        <w:t xml:space="preserve"> antikūnai) ir tikslinę terapiją (BRAF/MEK inhibitorių derinys, taip pat BRAF inhibitoriaus </w:t>
      </w:r>
      <w:proofErr w:type="spellStart"/>
      <w:r w:rsidRPr="001F7234">
        <w:rPr>
          <w:lang w:bidi="lt-LT"/>
        </w:rPr>
        <w:t>monoterapija</w:t>
      </w:r>
      <w:proofErr w:type="spellEnd"/>
      <w:r w:rsidRPr="001F7234">
        <w:rPr>
          <w:lang w:bidi="lt-LT"/>
        </w:rPr>
        <w:t xml:space="preserve">). Klinikinėje praktikoje imunoterapija ir BRAF/MEK inhibitoriai pagerina išgyvenamumą, palyginti su chemoterapija, ir kartu pasižymi skirtingomis terapinėmis charakteristikomis, todėl tinka skirtingoms pacientų grupėms. </w:t>
      </w:r>
      <w:r w:rsidRPr="00865337">
        <w:rPr>
          <w:lang w:bidi="lt-LT"/>
        </w:rPr>
        <w:t>Atsižvelgiant į paciento ypatybes ir gydymo eigą, BRAF/MEK inhibitoriai gali būti naudojami ir pirmaeiliam, ir antraeiliam gydymui</w:t>
      </w:r>
      <w:r>
        <w:rPr>
          <w:lang w:bidi="lt-LT"/>
        </w:rPr>
        <w:t>.</w:t>
      </w:r>
    </w:p>
    <w:p w14:paraId="02BDBD47" w14:textId="7ACB24B8" w:rsidR="001D4DC0" w:rsidRDefault="001D4DC0" w:rsidP="001D4DC0">
      <w:pPr>
        <w:tabs>
          <w:tab w:val="left" w:pos="426"/>
        </w:tabs>
        <w:spacing w:line="276" w:lineRule="auto"/>
        <w:ind w:firstLine="567"/>
        <w:jc w:val="both"/>
        <w:rPr>
          <w:lang w:eastAsia="lt-LT"/>
        </w:rPr>
      </w:pPr>
      <w:bookmarkStart w:id="0" w:name="_Hlk198736936"/>
      <w:r>
        <w:rPr>
          <w:lang w:bidi="lt-LT"/>
        </w:rPr>
        <w:lastRenderedPageBreak/>
        <w:t xml:space="preserve">Lietuvoje remiantis </w:t>
      </w:r>
      <w:r w:rsidR="00D560EE" w:rsidRPr="002F6C0B">
        <w:rPr>
          <w:iCs/>
        </w:rPr>
        <w:t>Lietuvos Respublikos sveikatos apsaugos ministro 2000 m. sausio 28 d. įsakymu Nr. 49 patvirtint</w:t>
      </w:r>
      <w:r w:rsidR="00D560EE">
        <w:rPr>
          <w:iCs/>
        </w:rPr>
        <w:t>u</w:t>
      </w:r>
      <w:r w:rsidR="00D560EE" w:rsidRPr="002F6C0B">
        <w:rPr>
          <w:iCs/>
        </w:rPr>
        <w:t xml:space="preserve"> </w:t>
      </w:r>
      <w:r>
        <w:rPr>
          <w:lang w:bidi="lt-LT"/>
        </w:rPr>
        <w:t xml:space="preserve">Ligų ir </w:t>
      </w:r>
      <w:r w:rsidR="00D560EE">
        <w:rPr>
          <w:lang w:bidi="lt-LT"/>
        </w:rPr>
        <w:t>k</w:t>
      </w:r>
      <w:r>
        <w:rPr>
          <w:lang w:bidi="lt-LT"/>
        </w:rPr>
        <w:t xml:space="preserve">ompensuojamų vaistų joms gydyti sąrašu (A sąrašu) bei </w:t>
      </w:r>
      <w:r w:rsidR="00D560EE">
        <w:rPr>
          <w:lang w:bidi="lt-LT"/>
        </w:rPr>
        <w:t xml:space="preserve">2022 m. metodinėmis rekomendacijomis </w:t>
      </w:r>
      <w:bookmarkEnd w:id="0"/>
      <w:r>
        <w:rPr>
          <w:lang w:bidi="lt-LT"/>
        </w:rPr>
        <w:t xml:space="preserve">„Odos melanomos prevencijos, diagnostikos ir gydymo metodika“ pirmaeiliam </w:t>
      </w:r>
      <w:r w:rsidRPr="001F7234">
        <w:rPr>
          <w:lang w:eastAsia="lt-LT"/>
        </w:rPr>
        <w:t>neoperuojam</w:t>
      </w:r>
      <w:r>
        <w:rPr>
          <w:lang w:eastAsia="lt-LT"/>
        </w:rPr>
        <w:t>os</w:t>
      </w:r>
      <w:r w:rsidRPr="001F7234">
        <w:rPr>
          <w:lang w:eastAsia="lt-LT"/>
        </w:rPr>
        <w:t xml:space="preserve"> arba </w:t>
      </w:r>
      <w:proofErr w:type="spellStart"/>
      <w:r w:rsidRPr="001F7234">
        <w:rPr>
          <w:lang w:eastAsia="lt-LT"/>
        </w:rPr>
        <w:t>metastazavusi</w:t>
      </w:r>
      <w:r>
        <w:rPr>
          <w:lang w:eastAsia="lt-LT"/>
        </w:rPr>
        <w:t>os</w:t>
      </w:r>
      <w:proofErr w:type="spellEnd"/>
      <w:r w:rsidRPr="001F7234">
        <w:rPr>
          <w:lang w:eastAsia="lt-LT"/>
        </w:rPr>
        <w:t xml:space="preserve"> melanom</w:t>
      </w:r>
      <w:r>
        <w:rPr>
          <w:lang w:eastAsia="lt-LT"/>
        </w:rPr>
        <w:t>os</w:t>
      </w:r>
      <w:r w:rsidRPr="001F7234">
        <w:rPr>
          <w:lang w:eastAsia="lt-LT"/>
        </w:rPr>
        <w:t xml:space="preserve"> su BRAF V600 mutacija</w:t>
      </w:r>
      <w:r>
        <w:rPr>
          <w:lang w:eastAsia="lt-LT"/>
        </w:rPr>
        <w:t xml:space="preserve"> gydymui skiriami BRAF inhibitoriai (</w:t>
      </w:r>
      <w:proofErr w:type="spellStart"/>
      <w:r>
        <w:rPr>
          <w:lang w:eastAsia="lt-LT"/>
        </w:rPr>
        <w:t>vemurafenibas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dabrafenbas</w:t>
      </w:r>
      <w:proofErr w:type="spellEnd"/>
      <w:r>
        <w:rPr>
          <w:lang w:eastAsia="lt-LT"/>
        </w:rPr>
        <w:t>) kartu su MEK inhibitoriais (</w:t>
      </w:r>
      <w:proofErr w:type="spellStart"/>
      <w:r>
        <w:rPr>
          <w:lang w:eastAsia="lt-LT"/>
        </w:rPr>
        <w:t>kobimetinibu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trametinibu</w:t>
      </w:r>
      <w:proofErr w:type="spellEnd"/>
      <w:r>
        <w:rPr>
          <w:lang w:eastAsia="lt-LT"/>
        </w:rPr>
        <w:t>). Jei pirmaeilis gydymas neefektyvus</w:t>
      </w:r>
      <w:r w:rsidR="00D560EE">
        <w:rPr>
          <w:lang w:eastAsia="lt-LT"/>
        </w:rPr>
        <w:t>,</w:t>
      </w:r>
      <w:r>
        <w:rPr>
          <w:lang w:eastAsia="lt-LT"/>
        </w:rPr>
        <w:t xml:space="preserve"> skiriamas antraeilis gydymas PD-1 inhibitoriais (</w:t>
      </w:r>
      <w:proofErr w:type="spellStart"/>
      <w:r>
        <w:rPr>
          <w:lang w:eastAsia="lt-LT"/>
        </w:rPr>
        <w:t>nivolumabu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pembrolizumabu</w:t>
      </w:r>
      <w:proofErr w:type="spellEnd"/>
      <w:r>
        <w:rPr>
          <w:lang w:eastAsia="lt-LT"/>
        </w:rPr>
        <w:t>).</w:t>
      </w:r>
    </w:p>
    <w:p w14:paraId="44130870" w14:textId="77777777" w:rsidR="001D4DC0" w:rsidRDefault="001D4DC0" w:rsidP="001D4DC0">
      <w:pPr>
        <w:tabs>
          <w:tab w:val="left" w:pos="426"/>
        </w:tabs>
        <w:spacing w:line="276" w:lineRule="auto"/>
        <w:ind w:firstLine="567"/>
        <w:jc w:val="both"/>
        <w:rPr>
          <w:lang w:eastAsia="lt-LT"/>
        </w:rPr>
      </w:pPr>
      <w:r>
        <w:rPr>
          <w:rFonts w:eastAsia="Arial"/>
          <w:color w:val="000000" w:themeColor="text1"/>
        </w:rPr>
        <w:t xml:space="preserve">Pareiškėjas, kaip palyginamąjį gydymą pasirinko </w:t>
      </w:r>
      <w:r>
        <w:rPr>
          <w:lang w:eastAsia="lt-LT"/>
        </w:rPr>
        <w:t>BRAF inhibitorius (</w:t>
      </w:r>
      <w:proofErr w:type="spellStart"/>
      <w:r>
        <w:rPr>
          <w:lang w:eastAsia="lt-LT"/>
        </w:rPr>
        <w:t>vemurafenibas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dabrafenibas</w:t>
      </w:r>
      <w:proofErr w:type="spellEnd"/>
      <w:r>
        <w:rPr>
          <w:lang w:eastAsia="lt-LT"/>
        </w:rPr>
        <w:t>) kartu su MEK inhibitoriais (</w:t>
      </w:r>
      <w:proofErr w:type="spellStart"/>
      <w:r>
        <w:rPr>
          <w:lang w:eastAsia="lt-LT"/>
        </w:rPr>
        <w:t>kobimetinibu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trametinibu</w:t>
      </w:r>
      <w:proofErr w:type="spellEnd"/>
      <w:r>
        <w:rPr>
          <w:lang w:eastAsia="lt-LT"/>
        </w:rPr>
        <w:t xml:space="preserve">). Taip pat pateikė informaciją, kad </w:t>
      </w:r>
      <w:proofErr w:type="spellStart"/>
      <w:r>
        <w:rPr>
          <w:lang w:bidi="lt-LT"/>
        </w:rPr>
        <w:t>d</w:t>
      </w:r>
      <w:r w:rsidRPr="001F7234">
        <w:rPr>
          <w:lang w:bidi="lt-LT"/>
        </w:rPr>
        <w:t>abrafenibo</w:t>
      </w:r>
      <w:proofErr w:type="spellEnd"/>
      <w:r w:rsidRPr="001F7234">
        <w:rPr>
          <w:lang w:bidi="lt-LT"/>
        </w:rPr>
        <w:t xml:space="preserve"> derinys su </w:t>
      </w:r>
      <w:proofErr w:type="spellStart"/>
      <w:r w:rsidRPr="001F7234">
        <w:rPr>
          <w:lang w:bidi="lt-LT"/>
        </w:rPr>
        <w:t>trametinibu</w:t>
      </w:r>
      <w:proofErr w:type="spellEnd"/>
      <w:r w:rsidRPr="001F7234">
        <w:rPr>
          <w:lang w:bidi="lt-LT"/>
        </w:rPr>
        <w:t xml:space="preserve"> yra pagrindinis palyginamasis gydymas, nes jis yra Lietuvoje dažniausiai skiriamas BRAF/MEK inhibitorius odos melanomai gydyti (šį derinį vartoja maždaug 90 proc. visų pacientų)</w:t>
      </w:r>
      <w:r>
        <w:rPr>
          <w:lang w:bidi="lt-LT"/>
        </w:rPr>
        <w:t>. Palyginamasis gydymas yra tinkamas.</w:t>
      </w:r>
    </w:p>
    <w:p w14:paraId="29377AA5" w14:textId="77777777" w:rsidR="001D4DC0" w:rsidRDefault="001D4DC0" w:rsidP="001D4DC0">
      <w:pPr>
        <w:tabs>
          <w:tab w:val="left" w:pos="426"/>
        </w:tabs>
        <w:spacing w:line="276" w:lineRule="auto"/>
        <w:ind w:firstLine="567"/>
        <w:jc w:val="both"/>
      </w:pPr>
      <w:r>
        <w:rPr>
          <w:rFonts w:eastAsia="Arial"/>
          <w:color w:val="000000" w:themeColor="text1"/>
        </w:rPr>
        <w:t>Odos melanomos gydymo algoritme, siūlomas vaistinių preparatų derinys (</w:t>
      </w:r>
      <w:proofErr w:type="spellStart"/>
      <w:r>
        <w:t>enkorafenibas</w:t>
      </w:r>
      <w:proofErr w:type="spellEnd"/>
      <w:r>
        <w:t xml:space="preserve"> ir </w:t>
      </w:r>
      <w:proofErr w:type="spellStart"/>
      <w:r>
        <w:t>binimetinibas</w:t>
      </w:r>
      <w:proofErr w:type="spellEnd"/>
      <w:r>
        <w:t xml:space="preserve">) būtų toje pačioje gydymo eilėje, kaip ir jau šiuo metu kompensuojami BRAF ir MEK inhibitoriai. </w:t>
      </w:r>
    </w:p>
    <w:p w14:paraId="0923821E" w14:textId="77777777" w:rsidR="00F34283" w:rsidRDefault="00F34283" w:rsidP="001D4DC0">
      <w:pPr>
        <w:tabs>
          <w:tab w:val="left" w:pos="426"/>
        </w:tabs>
        <w:spacing w:line="276" w:lineRule="auto"/>
        <w:ind w:firstLine="567"/>
        <w:jc w:val="both"/>
      </w:pPr>
    </w:p>
    <w:p w14:paraId="6CC98548" w14:textId="4F3882BA" w:rsidR="00D560EE" w:rsidRPr="002F6C0B" w:rsidRDefault="00D560EE" w:rsidP="001D4DC0">
      <w:pPr>
        <w:tabs>
          <w:tab w:val="left" w:pos="426"/>
        </w:tabs>
        <w:spacing w:line="276" w:lineRule="auto"/>
        <w:ind w:firstLine="567"/>
        <w:jc w:val="both"/>
        <w:rPr>
          <w:i/>
          <w:iCs/>
        </w:rPr>
      </w:pPr>
      <w:r w:rsidRPr="002F6C0B">
        <w:rPr>
          <w:i/>
          <w:iCs/>
        </w:rPr>
        <w:t>Tiesioginis palyginimas</w:t>
      </w:r>
    </w:p>
    <w:p w14:paraId="1E7AD579" w14:textId="5D7D9FA0" w:rsidR="00D560EE" w:rsidRDefault="00D560EE" w:rsidP="001D4DC0">
      <w:pPr>
        <w:tabs>
          <w:tab w:val="left" w:pos="426"/>
        </w:tabs>
        <w:spacing w:line="276" w:lineRule="auto"/>
        <w:ind w:firstLine="567"/>
        <w:jc w:val="both"/>
      </w:pPr>
      <w:r>
        <w:t>Tiesioginio palyginimo duomenų nepateikta.</w:t>
      </w:r>
    </w:p>
    <w:p w14:paraId="3FD930CF" w14:textId="77777777" w:rsidR="00D560EE" w:rsidRDefault="00D560EE" w:rsidP="002F6C0B">
      <w:pPr>
        <w:tabs>
          <w:tab w:val="left" w:pos="426"/>
        </w:tabs>
        <w:spacing w:line="276" w:lineRule="auto"/>
        <w:jc w:val="both"/>
      </w:pPr>
    </w:p>
    <w:p w14:paraId="31BBBEEF" w14:textId="5CA99112" w:rsidR="00D560EE" w:rsidRPr="002F6C0B" w:rsidRDefault="00D560EE" w:rsidP="001D4DC0">
      <w:pPr>
        <w:tabs>
          <w:tab w:val="left" w:pos="426"/>
        </w:tabs>
        <w:spacing w:line="276" w:lineRule="auto"/>
        <w:ind w:firstLine="567"/>
        <w:jc w:val="both"/>
        <w:rPr>
          <w:rFonts w:eastAsia="Arial"/>
          <w:i/>
          <w:iCs/>
        </w:rPr>
      </w:pPr>
      <w:r w:rsidRPr="002F6C0B">
        <w:rPr>
          <w:rFonts w:eastAsia="Arial"/>
          <w:i/>
          <w:iCs/>
        </w:rPr>
        <w:t>Netiesioginis palyginimas</w:t>
      </w:r>
    </w:p>
    <w:p w14:paraId="5068E122" w14:textId="09EC4ED0" w:rsidR="001D4DC0" w:rsidRDefault="00D560EE" w:rsidP="001D4DC0">
      <w:pPr>
        <w:tabs>
          <w:tab w:val="left" w:pos="426"/>
        </w:tabs>
        <w:spacing w:line="276" w:lineRule="auto"/>
        <w:ind w:firstLine="567"/>
        <w:jc w:val="both"/>
        <w:rPr>
          <w:rFonts w:eastAsia="Arial"/>
        </w:rPr>
      </w:pPr>
      <w:r>
        <w:rPr>
          <w:rFonts w:eastAsia="Arial"/>
        </w:rPr>
        <w:t>N</w:t>
      </w:r>
      <w:r w:rsidR="001D4DC0">
        <w:rPr>
          <w:rFonts w:eastAsia="Arial"/>
        </w:rPr>
        <w:t xml:space="preserve">esant tiesioginio palyginimo tyrimų tarp </w:t>
      </w:r>
      <w:proofErr w:type="spellStart"/>
      <w:r w:rsidR="001D4DC0">
        <w:rPr>
          <w:rFonts w:eastAsia="Arial"/>
        </w:rPr>
        <w:t>enkorefenibo</w:t>
      </w:r>
      <w:proofErr w:type="spellEnd"/>
      <w:r w:rsidR="001D4DC0">
        <w:rPr>
          <w:rFonts w:eastAsia="Arial"/>
        </w:rPr>
        <w:t xml:space="preserve"> ir </w:t>
      </w:r>
      <w:proofErr w:type="spellStart"/>
      <w:r w:rsidR="001D4DC0">
        <w:rPr>
          <w:rFonts w:eastAsia="Arial"/>
        </w:rPr>
        <w:t>binimetinibo</w:t>
      </w:r>
      <w:proofErr w:type="spellEnd"/>
      <w:r w:rsidR="001D4DC0">
        <w:rPr>
          <w:rFonts w:eastAsia="Arial"/>
        </w:rPr>
        <w:t xml:space="preserve"> derinio su kitais BRAF ir MEK inhibitorių deriniais, </w:t>
      </w:r>
      <w:r>
        <w:rPr>
          <w:rFonts w:eastAsia="Arial"/>
        </w:rPr>
        <w:t xml:space="preserve">vaistinių preparatų derinio palyginamasis veiksmingumas grindžiamas </w:t>
      </w:r>
      <w:r w:rsidR="001D4DC0">
        <w:rPr>
          <w:rFonts w:eastAsia="Arial"/>
        </w:rPr>
        <w:t xml:space="preserve"> netiesioginio palyginimo tyrim</w:t>
      </w:r>
      <w:r>
        <w:rPr>
          <w:rFonts w:eastAsia="Arial"/>
        </w:rPr>
        <w:t>o duomenimis.</w:t>
      </w:r>
      <w:r w:rsidR="001D4DC0">
        <w:rPr>
          <w:rFonts w:eastAsia="Arial"/>
        </w:rPr>
        <w:t xml:space="preserve"> </w:t>
      </w:r>
      <w:r>
        <w:rPr>
          <w:rFonts w:eastAsia="Arial"/>
        </w:rPr>
        <w:t xml:space="preserve">Netiesioginio palyginimo </w:t>
      </w:r>
      <w:r w:rsidR="001D4DC0">
        <w:rPr>
          <w:rFonts w:eastAsia="Arial"/>
        </w:rPr>
        <w:t>– tinklin</w:t>
      </w:r>
      <w:r>
        <w:rPr>
          <w:rFonts w:eastAsia="Arial"/>
        </w:rPr>
        <w:t>ės</w:t>
      </w:r>
      <w:r w:rsidR="001D4DC0">
        <w:rPr>
          <w:rFonts w:eastAsia="Arial"/>
        </w:rPr>
        <w:t xml:space="preserve"> </w:t>
      </w:r>
      <w:proofErr w:type="spellStart"/>
      <w:r w:rsidR="001D4DC0">
        <w:rPr>
          <w:rFonts w:eastAsia="Arial"/>
        </w:rPr>
        <w:t>metaanaliz</w:t>
      </w:r>
      <w:r>
        <w:rPr>
          <w:rFonts w:eastAsia="Arial"/>
        </w:rPr>
        <w:t>ės</w:t>
      </w:r>
      <w:proofErr w:type="spellEnd"/>
      <w:r w:rsidR="001D4DC0">
        <w:rPr>
          <w:rFonts w:eastAsia="Arial"/>
        </w:rPr>
        <w:t xml:space="preserve"> tikslas buvo įvertinti galimų </w:t>
      </w:r>
      <w:proofErr w:type="spellStart"/>
      <w:r w:rsidR="001D4DC0">
        <w:rPr>
          <w:rFonts w:eastAsia="Arial"/>
        </w:rPr>
        <w:t>neoperabilios</w:t>
      </w:r>
      <w:proofErr w:type="spellEnd"/>
      <w:r w:rsidR="001D4DC0">
        <w:rPr>
          <w:rFonts w:eastAsia="Arial"/>
        </w:rPr>
        <w:t xml:space="preserve"> ar </w:t>
      </w:r>
      <w:proofErr w:type="spellStart"/>
      <w:r w:rsidR="001D4DC0">
        <w:rPr>
          <w:rFonts w:eastAsia="Arial"/>
        </w:rPr>
        <w:t>metastazavusios</w:t>
      </w:r>
      <w:proofErr w:type="spellEnd"/>
      <w:r w:rsidR="001D4DC0">
        <w:rPr>
          <w:rFonts w:eastAsia="Arial"/>
        </w:rPr>
        <w:t xml:space="preserve"> melanomos su BRAF V600 mutacija pirmaeilių gydymų efektyvumą bei saugumą.</w:t>
      </w:r>
    </w:p>
    <w:p w14:paraId="6291C358" w14:textId="6EEFB589" w:rsidR="001D4DC0" w:rsidRDefault="001D4DC0" w:rsidP="001D4DC0">
      <w:pPr>
        <w:tabs>
          <w:tab w:val="left" w:pos="426"/>
        </w:tabs>
        <w:spacing w:line="276" w:lineRule="auto"/>
        <w:ind w:firstLine="567"/>
        <w:jc w:val="both"/>
        <w:rPr>
          <w:rFonts w:eastAsia="Arial"/>
          <w:color w:val="000000" w:themeColor="text1"/>
        </w:rPr>
      </w:pPr>
      <w:r w:rsidRPr="00BB6694">
        <w:rPr>
          <w:color w:val="000000" w:themeColor="text1"/>
          <w:lang w:eastAsia="lt-LT"/>
        </w:rPr>
        <w:t xml:space="preserve">Pagrindinės tyrimo vertinamosios baigtys </w:t>
      </w:r>
      <w:r w:rsidR="00AC4C49">
        <w:rPr>
          <w:color w:val="000000" w:themeColor="text1"/>
          <w:lang w:eastAsia="lt-LT"/>
        </w:rPr>
        <w:t>bendras išgyvenamumas, b</w:t>
      </w:r>
      <w:r w:rsidR="00AC4C49">
        <w:rPr>
          <w:rFonts w:eastAsia="Arial"/>
          <w:color w:val="000000" w:themeColor="text1"/>
        </w:rPr>
        <w:t xml:space="preserve">endras atsako dažnis ir išgyvenamumas be ligos progresavimo </w:t>
      </w:r>
      <w:r w:rsidRPr="00BB6694">
        <w:rPr>
          <w:color w:val="000000" w:themeColor="text1"/>
          <w:lang w:eastAsia="lt-LT"/>
        </w:rPr>
        <w:t xml:space="preserve"> buvo tiesioginės, statistiškai patikimos. Tyrimo metu didžioji dalis baigčių statistiškai reikšmingai nesiskyrė tarp </w:t>
      </w:r>
      <w:proofErr w:type="spellStart"/>
      <w:r w:rsidRPr="00BB6694">
        <w:rPr>
          <w:rFonts w:eastAsia="Arial"/>
        </w:rPr>
        <w:t>enkorafenibo</w:t>
      </w:r>
      <w:proofErr w:type="spellEnd"/>
      <w:r w:rsidRPr="00BB6694">
        <w:rPr>
          <w:rFonts w:eastAsia="Arial"/>
        </w:rPr>
        <w:t xml:space="preserve"> ir </w:t>
      </w:r>
      <w:proofErr w:type="spellStart"/>
      <w:r w:rsidRPr="00BB6694">
        <w:rPr>
          <w:rFonts w:eastAsia="Arial"/>
        </w:rPr>
        <w:t>binimetinibo</w:t>
      </w:r>
      <w:proofErr w:type="spellEnd"/>
      <w:r w:rsidRPr="00BB6694">
        <w:rPr>
          <w:rFonts w:eastAsia="Arial"/>
        </w:rPr>
        <w:t xml:space="preserve"> derinio ir </w:t>
      </w:r>
      <w:proofErr w:type="spellStart"/>
      <w:r w:rsidRPr="00BB6694">
        <w:rPr>
          <w:rFonts w:eastAsia="Arial"/>
        </w:rPr>
        <w:t>dabrafenibo</w:t>
      </w:r>
      <w:proofErr w:type="spellEnd"/>
      <w:r w:rsidRPr="00BB6694">
        <w:rPr>
          <w:rFonts w:eastAsia="Arial"/>
        </w:rPr>
        <w:t xml:space="preserve"> su </w:t>
      </w:r>
      <w:proofErr w:type="spellStart"/>
      <w:r w:rsidRPr="00BB6694">
        <w:rPr>
          <w:rFonts w:eastAsia="Arial"/>
        </w:rPr>
        <w:t>trametinibu</w:t>
      </w:r>
      <w:proofErr w:type="spellEnd"/>
      <w:r w:rsidRPr="00BB6694">
        <w:rPr>
          <w:rFonts w:eastAsia="Arial"/>
        </w:rPr>
        <w:t xml:space="preserve"> bei </w:t>
      </w:r>
      <w:proofErr w:type="spellStart"/>
      <w:r w:rsidRPr="00BB6694">
        <w:rPr>
          <w:rFonts w:eastAsia="Arial"/>
        </w:rPr>
        <w:t>vemurafenibo</w:t>
      </w:r>
      <w:proofErr w:type="spellEnd"/>
      <w:r w:rsidRPr="00BB6694">
        <w:rPr>
          <w:rFonts w:eastAsia="Arial"/>
        </w:rPr>
        <w:t xml:space="preserve"> su </w:t>
      </w:r>
      <w:proofErr w:type="spellStart"/>
      <w:r w:rsidRPr="00BB6694">
        <w:rPr>
          <w:rFonts w:eastAsia="Arial"/>
        </w:rPr>
        <w:t>kobimetinibu</w:t>
      </w:r>
      <w:proofErr w:type="spellEnd"/>
      <w:r w:rsidRPr="00BB6694">
        <w:rPr>
          <w:rFonts w:eastAsia="Arial"/>
        </w:rPr>
        <w:t xml:space="preserve">. Nors visos baigtys skaitine išraiška buvo pranašesnės </w:t>
      </w:r>
      <w:proofErr w:type="spellStart"/>
      <w:r w:rsidRPr="00BB6694">
        <w:rPr>
          <w:rFonts w:eastAsia="Arial"/>
        </w:rPr>
        <w:t>enkorafenibo</w:t>
      </w:r>
      <w:proofErr w:type="spellEnd"/>
      <w:r w:rsidRPr="00BB6694">
        <w:rPr>
          <w:rFonts w:eastAsia="Arial"/>
        </w:rPr>
        <w:t xml:space="preserve"> ir </w:t>
      </w:r>
      <w:proofErr w:type="spellStart"/>
      <w:r w:rsidRPr="00BB6694">
        <w:rPr>
          <w:rFonts w:eastAsia="Arial"/>
        </w:rPr>
        <w:t>binimetinibo</w:t>
      </w:r>
      <w:proofErr w:type="spellEnd"/>
      <w:r w:rsidRPr="00BB6694">
        <w:rPr>
          <w:rFonts w:eastAsia="Arial"/>
        </w:rPr>
        <w:t xml:space="preserve"> grupėje. Vertinant bendr</w:t>
      </w:r>
      <w:r w:rsidR="00B03CC5">
        <w:rPr>
          <w:rFonts w:eastAsia="Arial"/>
        </w:rPr>
        <w:t>ą</w:t>
      </w:r>
      <w:r w:rsidRPr="00BB6694">
        <w:rPr>
          <w:rFonts w:eastAsia="Arial"/>
        </w:rPr>
        <w:t xml:space="preserve"> išgyvenamumą naudojant skirtingus</w:t>
      </w:r>
      <w:r w:rsidRPr="00BB6694">
        <w:rPr>
          <w:rFonts w:eastAsia="Arial"/>
          <w:color w:val="000000" w:themeColor="text1"/>
        </w:rPr>
        <w:t xml:space="preserve"> BRAF/MEK inhibitorių derinius, </w:t>
      </w:r>
      <w:proofErr w:type="spellStart"/>
      <w:r w:rsidRPr="00BB6694">
        <w:rPr>
          <w:rFonts w:eastAsia="Arial"/>
          <w:color w:val="000000" w:themeColor="text1"/>
        </w:rPr>
        <w:t>enkorafenibo</w:t>
      </w:r>
      <w:proofErr w:type="spellEnd"/>
      <w:r w:rsidRPr="00BB6694">
        <w:rPr>
          <w:rFonts w:eastAsia="Arial"/>
          <w:color w:val="000000" w:themeColor="text1"/>
        </w:rPr>
        <w:t xml:space="preserve"> ir </w:t>
      </w:r>
      <w:proofErr w:type="spellStart"/>
      <w:r w:rsidRPr="00BB6694">
        <w:rPr>
          <w:rFonts w:eastAsia="Arial"/>
          <w:color w:val="000000" w:themeColor="text1"/>
        </w:rPr>
        <w:t>binimetinibo</w:t>
      </w:r>
      <w:proofErr w:type="spellEnd"/>
      <w:r w:rsidRPr="00BB6694">
        <w:rPr>
          <w:rFonts w:eastAsia="Arial"/>
          <w:color w:val="000000" w:themeColor="text1"/>
        </w:rPr>
        <w:t xml:space="preserve"> derinys buvo efektyvesnis, palyginti su </w:t>
      </w:r>
      <w:proofErr w:type="spellStart"/>
      <w:r w:rsidRPr="00BB6694">
        <w:rPr>
          <w:rFonts w:eastAsia="Arial"/>
          <w:color w:val="000000" w:themeColor="text1"/>
        </w:rPr>
        <w:t>dabrafenibo</w:t>
      </w:r>
      <w:proofErr w:type="spellEnd"/>
      <w:r w:rsidRPr="00BB6694">
        <w:rPr>
          <w:rFonts w:eastAsia="Arial"/>
          <w:color w:val="000000" w:themeColor="text1"/>
        </w:rPr>
        <w:t xml:space="preserve"> ir </w:t>
      </w:r>
      <w:proofErr w:type="spellStart"/>
      <w:r w:rsidRPr="00BB6694">
        <w:rPr>
          <w:rFonts w:eastAsia="Arial"/>
          <w:color w:val="000000" w:themeColor="text1"/>
        </w:rPr>
        <w:t>trametinibo</w:t>
      </w:r>
      <w:proofErr w:type="spellEnd"/>
      <w:r w:rsidRPr="00BB6694">
        <w:rPr>
          <w:rFonts w:eastAsia="Arial"/>
          <w:color w:val="000000" w:themeColor="text1"/>
        </w:rPr>
        <w:t xml:space="preserve"> deriniu (OR = 0,88; 95 % PI: 0,66–1,18), ir palyginti su </w:t>
      </w:r>
      <w:proofErr w:type="spellStart"/>
      <w:r w:rsidRPr="00BB6694">
        <w:rPr>
          <w:rFonts w:eastAsia="Arial"/>
          <w:color w:val="000000" w:themeColor="text1"/>
        </w:rPr>
        <w:t>vemurafenibo</w:t>
      </w:r>
      <w:proofErr w:type="spellEnd"/>
      <w:r w:rsidRPr="00BB6694">
        <w:rPr>
          <w:rFonts w:eastAsia="Arial"/>
          <w:color w:val="000000" w:themeColor="text1"/>
        </w:rPr>
        <w:t xml:space="preserve"> ir </w:t>
      </w:r>
      <w:proofErr w:type="spellStart"/>
      <w:r w:rsidRPr="00BB6694">
        <w:rPr>
          <w:rFonts w:eastAsia="Arial"/>
          <w:color w:val="000000" w:themeColor="text1"/>
        </w:rPr>
        <w:t>kobimetinibo</w:t>
      </w:r>
      <w:proofErr w:type="spellEnd"/>
      <w:r w:rsidRPr="00BB6694">
        <w:rPr>
          <w:rFonts w:eastAsia="Arial"/>
          <w:color w:val="000000" w:themeColor="text1"/>
        </w:rPr>
        <w:t xml:space="preserve"> deriniu (OR = 0,89; 95 % PI: 0,63–1,25). Pažymėtina kad palyginus su abiem deriniais PI kerta vienetą, </w:t>
      </w:r>
      <w:proofErr w:type="spellStart"/>
      <w:r w:rsidRPr="00BB6694">
        <w:rPr>
          <w:rFonts w:eastAsia="Arial"/>
          <w:color w:val="000000" w:themeColor="text1"/>
        </w:rPr>
        <w:t>t.y</w:t>
      </w:r>
      <w:proofErr w:type="spellEnd"/>
      <w:r w:rsidRPr="00BB6694">
        <w:rPr>
          <w:rFonts w:eastAsia="Arial"/>
          <w:color w:val="000000" w:themeColor="text1"/>
        </w:rPr>
        <w:t xml:space="preserve">. rezultatų skirtumas nėra statistiškai reikšmingas. </w:t>
      </w:r>
      <w:r>
        <w:rPr>
          <w:rFonts w:eastAsia="Arial"/>
          <w:color w:val="000000" w:themeColor="text1"/>
        </w:rPr>
        <w:t>Išgyvenamumo be ligos progresavimo r</w:t>
      </w:r>
      <w:r w:rsidRPr="00BB6694">
        <w:rPr>
          <w:rFonts w:eastAsia="Arial"/>
          <w:color w:val="000000" w:themeColor="text1"/>
        </w:rPr>
        <w:t xml:space="preserve">ezultatai buvo panašūs į bendro išgyvenamumo rezultatus </w:t>
      </w:r>
      <w:r>
        <w:rPr>
          <w:rFonts w:eastAsia="Arial"/>
          <w:color w:val="000000" w:themeColor="text1"/>
        </w:rPr>
        <w:t xml:space="preserve">– </w:t>
      </w:r>
      <w:proofErr w:type="spellStart"/>
      <w:r>
        <w:rPr>
          <w:rFonts w:eastAsia="Arial"/>
          <w:color w:val="000000" w:themeColor="text1"/>
        </w:rPr>
        <w:t>t.y</w:t>
      </w:r>
      <w:proofErr w:type="spellEnd"/>
      <w:r>
        <w:rPr>
          <w:rFonts w:eastAsia="Arial"/>
          <w:color w:val="000000" w:themeColor="text1"/>
        </w:rPr>
        <w:t>. rezultatai</w:t>
      </w:r>
      <w:r w:rsidRPr="00BB6694">
        <w:rPr>
          <w:rFonts w:eastAsia="Arial"/>
          <w:color w:val="000000" w:themeColor="text1"/>
        </w:rPr>
        <w:t xml:space="preserve"> buvo skaitine išraiška geresni </w:t>
      </w:r>
      <w:proofErr w:type="spellStart"/>
      <w:r w:rsidRPr="00BB6694">
        <w:rPr>
          <w:rFonts w:eastAsia="Arial"/>
          <w:color w:val="000000" w:themeColor="text1"/>
        </w:rPr>
        <w:t>enkorafenibo</w:t>
      </w:r>
      <w:proofErr w:type="spellEnd"/>
      <w:r w:rsidRPr="00BB6694">
        <w:rPr>
          <w:rFonts w:eastAsia="Arial"/>
          <w:color w:val="000000" w:themeColor="text1"/>
        </w:rPr>
        <w:t xml:space="preserve"> + </w:t>
      </w:r>
      <w:proofErr w:type="spellStart"/>
      <w:r w:rsidRPr="00BB6694">
        <w:rPr>
          <w:rFonts w:eastAsia="Arial"/>
          <w:color w:val="000000" w:themeColor="text1"/>
        </w:rPr>
        <w:t>binimetinibo</w:t>
      </w:r>
      <w:proofErr w:type="spellEnd"/>
      <w:r w:rsidRPr="00BB6694">
        <w:rPr>
          <w:rFonts w:eastAsia="Arial"/>
          <w:color w:val="000000" w:themeColor="text1"/>
        </w:rPr>
        <w:t xml:space="preserve"> grupėje nei </w:t>
      </w:r>
      <w:proofErr w:type="spellStart"/>
      <w:r w:rsidRPr="00BB6694">
        <w:rPr>
          <w:rFonts w:eastAsia="Arial"/>
          <w:color w:val="000000" w:themeColor="text1"/>
        </w:rPr>
        <w:t>dabrafenibo</w:t>
      </w:r>
      <w:proofErr w:type="spellEnd"/>
      <w:r w:rsidRPr="00BB6694">
        <w:rPr>
          <w:rFonts w:eastAsia="Arial"/>
          <w:color w:val="000000" w:themeColor="text1"/>
        </w:rPr>
        <w:t xml:space="preserve"> + </w:t>
      </w:r>
      <w:proofErr w:type="spellStart"/>
      <w:r w:rsidRPr="00BB6694">
        <w:rPr>
          <w:rFonts w:eastAsia="Arial"/>
          <w:color w:val="000000" w:themeColor="text1"/>
        </w:rPr>
        <w:t>trametinibo</w:t>
      </w:r>
      <w:proofErr w:type="spellEnd"/>
      <w:r w:rsidRPr="00BB6694">
        <w:rPr>
          <w:rFonts w:eastAsia="Arial"/>
          <w:color w:val="000000" w:themeColor="text1"/>
        </w:rPr>
        <w:t xml:space="preserve"> grupėje (OR = 0,83; 95 % PI: 0,62–1,13) ir </w:t>
      </w:r>
      <w:proofErr w:type="spellStart"/>
      <w:r w:rsidRPr="00BB6694">
        <w:rPr>
          <w:rFonts w:eastAsia="Arial"/>
          <w:color w:val="000000" w:themeColor="text1"/>
        </w:rPr>
        <w:t>vemurafenibo</w:t>
      </w:r>
      <w:proofErr w:type="spellEnd"/>
      <w:r w:rsidRPr="00BB6694">
        <w:rPr>
          <w:rFonts w:eastAsia="Arial"/>
          <w:color w:val="000000" w:themeColor="text1"/>
        </w:rPr>
        <w:t xml:space="preserve"> + </w:t>
      </w:r>
      <w:proofErr w:type="spellStart"/>
      <w:r w:rsidRPr="00BB6694">
        <w:rPr>
          <w:rFonts w:eastAsia="Arial"/>
          <w:color w:val="000000" w:themeColor="text1"/>
        </w:rPr>
        <w:t>kobimetinibo</w:t>
      </w:r>
      <w:proofErr w:type="spellEnd"/>
      <w:r w:rsidRPr="00BB6694">
        <w:rPr>
          <w:rFonts w:eastAsia="Arial"/>
          <w:color w:val="000000" w:themeColor="text1"/>
        </w:rPr>
        <w:t xml:space="preserve"> grupėje (OR = 0,90; 95 % PI: 0,64–1,26).</w:t>
      </w:r>
      <w:r>
        <w:rPr>
          <w:rFonts w:eastAsia="Arial"/>
          <w:color w:val="000000" w:themeColor="text1"/>
        </w:rPr>
        <w:t xml:space="preserve"> Tačiau </w:t>
      </w:r>
      <w:r w:rsidRPr="00BB6694">
        <w:rPr>
          <w:rFonts w:eastAsia="Arial"/>
          <w:color w:val="000000" w:themeColor="text1"/>
        </w:rPr>
        <w:t xml:space="preserve">abiem deriniais PI kerta vienetą, </w:t>
      </w:r>
      <w:proofErr w:type="spellStart"/>
      <w:r w:rsidRPr="00BB6694">
        <w:rPr>
          <w:rFonts w:eastAsia="Arial"/>
          <w:color w:val="000000" w:themeColor="text1"/>
        </w:rPr>
        <w:t>t.y</w:t>
      </w:r>
      <w:proofErr w:type="spellEnd"/>
      <w:r w:rsidRPr="00BB6694">
        <w:rPr>
          <w:rFonts w:eastAsia="Arial"/>
          <w:color w:val="000000" w:themeColor="text1"/>
        </w:rPr>
        <w:t>. rezultatų skirtumas nėra statistiškai reikšmingas.</w:t>
      </w:r>
      <w:r>
        <w:rPr>
          <w:rFonts w:eastAsia="Arial"/>
          <w:color w:val="000000" w:themeColor="text1"/>
        </w:rPr>
        <w:t xml:space="preserve"> Vertinant saugumo rezultatus – statistiškai reikšmingų skirtumų tarp BRAF ir MEK inhibitorių derinių nebuvo nustatyta.</w:t>
      </w:r>
    </w:p>
    <w:p w14:paraId="77D8860D" w14:textId="2800B242" w:rsidR="00B03CC5" w:rsidRPr="00B03CC5" w:rsidRDefault="00B03CC5" w:rsidP="00B03CC5">
      <w:pPr>
        <w:tabs>
          <w:tab w:val="left" w:pos="426"/>
        </w:tabs>
        <w:spacing w:line="276" w:lineRule="auto"/>
        <w:ind w:firstLine="567"/>
        <w:jc w:val="both"/>
        <w:rPr>
          <w:rFonts w:eastAsia="Arial"/>
          <w:bCs/>
          <w:color w:val="000000" w:themeColor="text1"/>
        </w:rPr>
      </w:pPr>
      <w:r>
        <w:rPr>
          <w:rFonts w:eastAsia="Arial"/>
          <w:color w:val="000000" w:themeColor="text1"/>
        </w:rPr>
        <w:t xml:space="preserve">Apibendrinant </w:t>
      </w:r>
      <w:r w:rsidRPr="00B03CC5">
        <w:rPr>
          <w:rFonts w:eastAsia="Arial"/>
          <w:bCs/>
          <w:color w:val="000000" w:themeColor="text1"/>
        </w:rPr>
        <w:t>netiesioginio palyginimo analizėje pateiktus duomenis</w:t>
      </w:r>
      <w:r>
        <w:rPr>
          <w:rFonts w:eastAsia="Arial"/>
          <w:bCs/>
          <w:color w:val="000000" w:themeColor="text1"/>
        </w:rPr>
        <w:t xml:space="preserve">, </w:t>
      </w:r>
      <w:proofErr w:type="spellStart"/>
      <w:r>
        <w:rPr>
          <w:rFonts w:eastAsia="Arial"/>
          <w:bCs/>
          <w:color w:val="000000" w:themeColor="text1"/>
        </w:rPr>
        <w:t>enkorafenibo</w:t>
      </w:r>
      <w:proofErr w:type="spellEnd"/>
      <w:r>
        <w:rPr>
          <w:rFonts w:eastAsia="Arial"/>
          <w:bCs/>
          <w:color w:val="000000" w:themeColor="text1"/>
        </w:rPr>
        <w:t xml:space="preserve"> ir </w:t>
      </w:r>
      <w:proofErr w:type="spellStart"/>
      <w:r>
        <w:rPr>
          <w:rFonts w:eastAsia="Arial"/>
          <w:bCs/>
          <w:color w:val="000000" w:themeColor="text1"/>
        </w:rPr>
        <w:t>binimetinibo</w:t>
      </w:r>
      <w:proofErr w:type="spellEnd"/>
      <w:r>
        <w:rPr>
          <w:rFonts w:eastAsia="Arial"/>
          <w:bCs/>
          <w:color w:val="000000" w:themeColor="text1"/>
        </w:rPr>
        <w:t xml:space="preserve"> </w:t>
      </w:r>
      <w:proofErr w:type="spellStart"/>
      <w:r>
        <w:rPr>
          <w:rFonts w:eastAsia="Arial"/>
          <w:bCs/>
          <w:color w:val="000000" w:themeColor="text1"/>
        </w:rPr>
        <w:t>pa</w:t>
      </w:r>
      <w:r w:rsidRPr="00B03CC5">
        <w:rPr>
          <w:rFonts w:eastAsia="Arial"/>
          <w:bCs/>
          <w:color w:val="000000" w:themeColor="text1"/>
        </w:rPr>
        <w:t>palyginamasis</w:t>
      </w:r>
      <w:proofErr w:type="spellEnd"/>
      <w:r w:rsidRPr="00B03CC5">
        <w:rPr>
          <w:rFonts w:eastAsia="Arial"/>
          <w:bCs/>
          <w:color w:val="000000" w:themeColor="text1"/>
        </w:rPr>
        <w:t xml:space="preserve"> veiksmingumas </w:t>
      </w:r>
      <w:r>
        <w:rPr>
          <w:rFonts w:eastAsia="Arial"/>
          <w:bCs/>
          <w:color w:val="000000" w:themeColor="text1"/>
        </w:rPr>
        <w:t xml:space="preserve">vertinamas kaip </w:t>
      </w:r>
      <w:r w:rsidRPr="009300B3">
        <w:rPr>
          <w:sz w:val="23"/>
          <w:szCs w:val="23"/>
        </w:rPr>
        <w:t>iš esmės nesiskiria</w:t>
      </w:r>
      <w:r>
        <w:rPr>
          <w:sz w:val="23"/>
          <w:szCs w:val="23"/>
        </w:rPr>
        <w:t>ntis</w:t>
      </w:r>
      <w:r w:rsidRPr="009300B3">
        <w:rPr>
          <w:sz w:val="23"/>
          <w:szCs w:val="23"/>
        </w:rPr>
        <w:t xml:space="preserve"> lyginant su įprasta klinikine praktika</w:t>
      </w:r>
      <w:r>
        <w:rPr>
          <w:sz w:val="23"/>
          <w:szCs w:val="23"/>
        </w:rPr>
        <w:t>.</w:t>
      </w:r>
    </w:p>
    <w:p w14:paraId="5D2ECCBD" w14:textId="77777777" w:rsidR="00F34283" w:rsidRDefault="00F34283" w:rsidP="001D4DC0">
      <w:pPr>
        <w:pStyle w:val="Pagrindinistekstas"/>
        <w:spacing w:line="276" w:lineRule="auto"/>
        <w:jc w:val="both"/>
      </w:pPr>
    </w:p>
    <w:p w14:paraId="4B88D047" w14:textId="77777777" w:rsidR="00F34283" w:rsidRPr="00A648AF" w:rsidRDefault="00F34283" w:rsidP="001D4DC0">
      <w:pPr>
        <w:pStyle w:val="Pagrindinistekstas"/>
        <w:spacing w:line="276" w:lineRule="auto"/>
        <w:jc w:val="both"/>
      </w:pPr>
    </w:p>
    <w:p w14:paraId="2835D8B1" w14:textId="77777777" w:rsidR="001D4DC0" w:rsidRPr="00A93AA6" w:rsidRDefault="001D4DC0" w:rsidP="001D4DC0">
      <w:pPr>
        <w:pStyle w:val="Sraopastraipa"/>
        <w:numPr>
          <w:ilvl w:val="0"/>
          <w:numId w:val="1"/>
        </w:numPr>
        <w:tabs>
          <w:tab w:val="left" w:pos="426"/>
        </w:tabs>
        <w:rPr>
          <w:b/>
          <w:bCs/>
          <w:caps/>
        </w:rPr>
      </w:pPr>
      <w:r w:rsidRPr="00A93AA6">
        <w:rPr>
          <w:b/>
          <w:bCs/>
          <w:caps/>
        </w:rPr>
        <w:lastRenderedPageBreak/>
        <w:t>Farmakoekonomin</w:t>
      </w:r>
      <w:r>
        <w:rPr>
          <w:b/>
          <w:bCs/>
          <w:caps/>
        </w:rPr>
        <w:t>io</w:t>
      </w:r>
      <w:r w:rsidRPr="00A93AA6">
        <w:rPr>
          <w:b/>
          <w:bCs/>
          <w:caps/>
        </w:rPr>
        <w:t xml:space="preserve"> vert</w:t>
      </w:r>
      <w:r>
        <w:rPr>
          <w:b/>
          <w:bCs/>
          <w:caps/>
        </w:rPr>
        <w:t xml:space="preserve">inimo </w:t>
      </w:r>
      <w:r w:rsidRPr="00A93AA6">
        <w:rPr>
          <w:b/>
          <w:bCs/>
          <w:caps/>
        </w:rPr>
        <w:t>apibendrinimas</w:t>
      </w:r>
    </w:p>
    <w:p w14:paraId="34C6BAC5" w14:textId="77777777" w:rsidR="001D4DC0" w:rsidRDefault="001D4DC0" w:rsidP="001D4DC0">
      <w:pPr>
        <w:tabs>
          <w:tab w:val="left" w:pos="426"/>
        </w:tabs>
        <w:rPr>
          <w:i/>
          <w:color w:val="00B050"/>
          <w:sz w:val="22"/>
          <w:szCs w:val="22"/>
        </w:rPr>
      </w:pPr>
    </w:p>
    <w:p w14:paraId="0826120B" w14:textId="77777777" w:rsidR="00633F94" w:rsidRDefault="00633F94" w:rsidP="002F6C0B">
      <w:pPr>
        <w:spacing w:line="276" w:lineRule="auto"/>
        <w:ind w:firstLine="360"/>
        <w:jc w:val="both"/>
      </w:pPr>
      <w:r w:rsidRPr="0016737A">
        <w:rPr>
          <w:iCs/>
          <w:lang w:eastAsia="lt-LT"/>
        </w:rPr>
        <w:t xml:space="preserve">Analizė atliekama iš kaštų mažinimo perspektyvos, taikant prielaidą, </w:t>
      </w:r>
      <w:r w:rsidRPr="0016737A">
        <w:t>jog tiriamojo ir palyginamojo derinių sukuriama nauda pacientų sveikatai nesiskiria. Ši prielaida yra pa</w:t>
      </w:r>
      <w:r>
        <w:t xml:space="preserve">grįsta klinikiniais duomenimis. Analizėje lyginami tik vaistinių preparatų įsigijimo kaštai ir laikoma, jog analizuojamų vaistinių preparatų derinių saugumas yra panašus ir į Lietuvos klinikinę praktiką įtraukus </w:t>
      </w:r>
      <w:proofErr w:type="spellStart"/>
      <w:r>
        <w:t>Braftovi+Mektovi</w:t>
      </w:r>
      <w:proofErr w:type="spellEnd"/>
      <w:r>
        <w:t xml:space="preserve"> nebus patiriamos papildomos išlaidos nepageidaujamų reakcijų valdymui. </w:t>
      </w:r>
    </w:p>
    <w:p w14:paraId="378EF472" w14:textId="77777777" w:rsidR="00633F94" w:rsidRDefault="00633F94" w:rsidP="002F6C0B">
      <w:pPr>
        <w:spacing w:line="276" w:lineRule="auto"/>
        <w:jc w:val="both"/>
      </w:pPr>
      <w:r>
        <w:t>Atsižvelgiant į analizės struktūros paprastumą, pilnas STV nėra rekomenduojamas ir sprendimą dėl vaisto kompensavimo galima priimti remiantis VLK atliekamu įtakos PSDF biudžetui vertinimu.</w:t>
      </w:r>
    </w:p>
    <w:p w14:paraId="02447D57" w14:textId="77777777" w:rsidR="00633F94" w:rsidRDefault="00633F94" w:rsidP="002F6C0B">
      <w:pPr>
        <w:tabs>
          <w:tab w:val="left" w:pos="567"/>
        </w:tabs>
        <w:spacing w:line="276" w:lineRule="auto"/>
        <w:jc w:val="both"/>
      </w:pPr>
      <w:r>
        <w:t xml:space="preserve">Atsižvelgiant į tai, jog vaistinių preparatų derinių sukuriama nauda pacientų sveikatai yra panaši, o gydymo trukmė PCS apibrėžiama kaip: gydymas turi būti </w:t>
      </w:r>
      <w:r w:rsidRPr="00C704F3">
        <w:rPr>
          <w:b/>
        </w:rPr>
        <w:t>tęsiamas tol, kol pacientas nebegaus naudos arba kol išsivystys netoleruotinos toksinės reakcijos</w:t>
      </w:r>
      <w:r>
        <w:t>. Dėl šios priežasties, analizėje lyginami 1 metų gydymo kaštai.</w:t>
      </w:r>
    </w:p>
    <w:p w14:paraId="18892C27" w14:textId="77777777" w:rsidR="00633F94" w:rsidRDefault="00633F94" w:rsidP="002F6C0B">
      <w:pPr>
        <w:spacing w:line="276" w:lineRule="auto"/>
        <w:jc w:val="both"/>
      </w:pPr>
    </w:p>
    <w:p w14:paraId="616F9AD3" w14:textId="77777777" w:rsidR="00633F94" w:rsidRPr="0016737A" w:rsidRDefault="00633F94" w:rsidP="002F6C0B">
      <w:pPr>
        <w:spacing w:line="276" w:lineRule="auto"/>
        <w:jc w:val="both"/>
      </w:pPr>
      <w:r>
        <w:t xml:space="preserve">Tarnyba pabrėžia, jog VLK su </w:t>
      </w:r>
      <w:proofErr w:type="spellStart"/>
      <w:r>
        <w:t>dabrafenibo</w:t>
      </w:r>
      <w:proofErr w:type="spellEnd"/>
      <w:r>
        <w:t xml:space="preserve"> ir </w:t>
      </w:r>
      <w:proofErr w:type="spellStart"/>
      <w:r>
        <w:t>trametinibo</w:t>
      </w:r>
      <w:proofErr w:type="spellEnd"/>
      <w:r>
        <w:t xml:space="preserve"> gamintojų atstovais yra sudarę konfidencialius kainos susitarimus, todėl Tarnyba perskaičiuodama analizės rezultatą, taiko konfidencialias palyginamojo gydymo kainas.</w:t>
      </w:r>
    </w:p>
    <w:p w14:paraId="11938C83" w14:textId="5CEC04D5" w:rsidR="00633F94" w:rsidRDefault="00633F94" w:rsidP="00B03CC5">
      <w:pPr>
        <w:shd w:val="clear" w:color="auto" w:fill="FFFFFF"/>
        <w:spacing w:line="276" w:lineRule="auto"/>
        <w:rPr>
          <w:rFonts w:eastAsia="Arial"/>
        </w:rPr>
      </w:pPr>
      <w:r>
        <w:rPr>
          <w:rFonts w:eastAsia="Arial"/>
        </w:rPr>
        <w:t xml:space="preserve">Siekiant, jog būtų taupomi 5 proc. kaštų reikalinga papildoma </w:t>
      </w:r>
      <w:r w:rsidR="00C178F9">
        <w:rPr>
          <w:rFonts w:eastAsia="Arial"/>
        </w:rPr>
        <w:t>*****</w:t>
      </w:r>
      <w:r>
        <w:rPr>
          <w:rFonts w:eastAsia="Arial"/>
        </w:rPr>
        <w:t xml:space="preserve"> nuolaida gydymui </w:t>
      </w:r>
      <w:proofErr w:type="spellStart"/>
      <w:r>
        <w:rPr>
          <w:rFonts w:eastAsia="Arial"/>
        </w:rPr>
        <w:t>Braftovi</w:t>
      </w:r>
      <w:proofErr w:type="spellEnd"/>
      <w:r>
        <w:rPr>
          <w:rFonts w:eastAsia="Arial"/>
        </w:rPr>
        <w:t xml:space="preserve"> + </w:t>
      </w:r>
      <w:proofErr w:type="spellStart"/>
      <w:r>
        <w:rPr>
          <w:rFonts w:eastAsia="Arial"/>
        </w:rPr>
        <w:t>Mektovi</w:t>
      </w:r>
      <w:proofErr w:type="spellEnd"/>
      <w:r>
        <w:rPr>
          <w:rFonts w:eastAsia="Arial"/>
        </w:rPr>
        <w:t>.</w:t>
      </w:r>
    </w:p>
    <w:p w14:paraId="46F7E172" w14:textId="3F8ADB19" w:rsidR="001D4DC0" w:rsidRDefault="001D4DC0" w:rsidP="001D4DC0">
      <w:pPr>
        <w:tabs>
          <w:tab w:val="left" w:pos="426"/>
        </w:tabs>
        <w:rPr>
          <w:b/>
          <w:bCs/>
          <w:caps/>
          <w:color w:val="FF0000"/>
        </w:rPr>
      </w:pPr>
    </w:p>
    <w:tbl>
      <w:tblPr>
        <w:tblStyle w:val="Lentelstinklelis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3"/>
        <w:gridCol w:w="1938"/>
        <w:gridCol w:w="2016"/>
        <w:gridCol w:w="3341"/>
      </w:tblGrid>
      <w:tr w:rsidR="00633F94" w:rsidRPr="00D05364" w14:paraId="7067A5FC" w14:textId="77777777" w:rsidTr="00E47504">
        <w:trPr>
          <w:trHeight w:val="364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836932" w14:textId="77777777" w:rsidR="00633F94" w:rsidRPr="00D05364" w:rsidRDefault="00633F94" w:rsidP="00E47504">
            <w:pPr>
              <w:tabs>
                <w:tab w:val="left" w:pos="567"/>
              </w:tabs>
              <w:jc w:val="center"/>
              <w:rPr>
                <w:b/>
                <w:i/>
                <w:iCs/>
                <w:color w:val="00B050"/>
                <w:sz w:val="22"/>
                <w:szCs w:val="22"/>
              </w:rPr>
            </w:pPr>
            <w:r w:rsidRPr="00D05364">
              <w:rPr>
                <w:b/>
                <w:szCs w:val="24"/>
              </w:rPr>
              <w:t>Kaštai</w:t>
            </w:r>
          </w:p>
        </w:tc>
      </w:tr>
      <w:tr w:rsidR="00633F94" w:rsidRPr="00D05364" w14:paraId="67B45FB1" w14:textId="77777777" w:rsidTr="00E47504">
        <w:trPr>
          <w:jc w:val="center"/>
        </w:trPr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</w:tcPr>
          <w:p w14:paraId="5357BA71" w14:textId="77777777" w:rsidR="00633F94" w:rsidRPr="00D05364" w:rsidRDefault="00633F94" w:rsidP="00E47504">
            <w:pPr>
              <w:tabs>
                <w:tab w:val="left" w:pos="567"/>
              </w:tabs>
              <w:jc w:val="both"/>
              <w:rPr>
                <w:color w:val="00B050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679871AA" w14:textId="77777777" w:rsidR="00633F94" w:rsidRPr="00D05364" w:rsidRDefault="00633F94" w:rsidP="00E4750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szCs w:val="24"/>
              </w:rPr>
              <w:t>Braftovi+Mektovi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5E4D872F" w14:textId="77777777" w:rsidR="00633F94" w:rsidRPr="00D05364" w:rsidRDefault="00633F94" w:rsidP="00E4750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szCs w:val="24"/>
              </w:rPr>
              <w:t>Tafinlar+Mekinist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5F47FCA6" w14:textId="77777777" w:rsidR="00633F94" w:rsidRPr="00D05364" w:rsidRDefault="00633F94" w:rsidP="00E47504">
            <w:pPr>
              <w:tabs>
                <w:tab w:val="left" w:pos="567"/>
              </w:tabs>
              <w:jc w:val="both"/>
              <w:rPr>
                <w:i/>
                <w:szCs w:val="24"/>
              </w:rPr>
            </w:pPr>
            <w:r w:rsidRPr="00D05364">
              <w:rPr>
                <w:i/>
                <w:szCs w:val="24"/>
              </w:rPr>
              <w:t>Skirtumas</w:t>
            </w:r>
          </w:p>
        </w:tc>
      </w:tr>
      <w:tr w:rsidR="00564EF8" w:rsidRPr="00D05364" w14:paraId="4521305B" w14:textId="77777777" w:rsidTr="00E47504">
        <w:trPr>
          <w:jc w:val="center"/>
        </w:trPr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</w:tcPr>
          <w:p w14:paraId="0DC7FF04" w14:textId="77777777" w:rsidR="00564EF8" w:rsidRPr="00D05364" w:rsidRDefault="00564EF8" w:rsidP="00564EF8">
            <w:pPr>
              <w:tabs>
                <w:tab w:val="left" w:pos="567"/>
              </w:tabs>
              <w:rPr>
                <w:iCs/>
                <w:color w:val="000000"/>
                <w:szCs w:val="24"/>
              </w:rPr>
            </w:pPr>
            <w:r w:rsidRPr="00D05364">
              <w:rPr>
                <w:iCs/>
                <w:color w:val="000000"/>
                <w:szCs w:val="24"/>
              </w:rPr>
              <w:t>Vaistinių preparatų įsigijimo kaštai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4C8EFDA4" w14:textId="51116B8E" w:rsidR="00564EF8" w:rsidRPr="00D05364" w:rsidRDefault="00C26744" w:rsidP="00564EF8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*****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24A55778" w14:textId="25CB5CCE" w:rsidR="00564EF8" w:rsidRPr="005C32B2" w:rsidRDefault="00564EF8" w:rsidP="00564EF8">
            <w:pPr>
              <w:tabs>
                <w:tab w:val="left" w:pos="567"/>
              </w:tabs>
              <w:jc w:val="both"/>
              <w:rPr>
                <w:i/>
                <w:iCs/>
                <w:color w:val="FF0000"/>
                <w:szCs w:val="24"/>
              </w:rPr>
            </w:pPr>
            <w:r w:rsidRPr="003B0AC7">
              <w:rPr>
                <w:rFonts w:cs="Calibri"/>
              </w:rPr>
              <w:t xml:space="preserve">***** 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761956BB" w14:textId="653B9437" w:rsidR="00564EF8" w:rsidRPr="005C32B2" w:rsidRDefault="00564EF8" w:rsidP="00564EF8">
            <w:pPr>
              <w:tabs>
                <w:tab w:val="left" w:pos="567"/>
              </w:tabs>
              <w:jc w:val="both"/>
              <w:rPr>
                <w:color w:val="FF0000"/>
                <w:szCs w:val="24"/>
              </w:rPr>
            </w:pPr>
            <w:r w:rsidRPr="003B0AC7">
              <w:rPr>
                <w:rFonts w:cs="Calibri"/>
              </w:rPr>
              <w:t xml:space="preserve">***** </w:t>
            </w:r>
          </w:p>
        </w:tc>
      </w:tr>
    </w:tbl>
    <w:p w14:paraId="4D041B55" w14:textId="77777777" w:rsidR="00633F94" w:rsidRPr="006D52FA" w:rsidRDefault="00633F94" w:rsidP="001D4DC0">
      <w:pPr>
        <w:tabs>
          <w:tab w:val="left" w:pos="426"/>
        </w:tabs>
        <w:rPr>
          <w:b/>
          <w:bCs/>
          <w:caps/>
          <w:color w:val="FF0000"/>
        </w:rPr>
      </w:pPr>
    </w:p>
    <w:p w14:paraId="2E90B000" w14:textId="77777777" w:rsidR="001D4DC0" w:rsidRPr="006D52FA" w:rsidRDefault="001D4DC0" w:rsidP="001D4DC0">
      <w:pPr>
        <w:pStyle w:val="Sraopastraipa"/>
        <w:numPr>
          <w:ilvl w:val="0"/>
          <w:numId w:val="1"/>
        </w:numPr>
        <w:tabs>
          <w:tab w:val="left" w:pos="284"/>
        </w:tabs>
        <w:rPr>
          <w:b/>
          <w:bCs/>
          <w:caps/>
        </w:rPr>
      </w:pPr>
      <w:r w:rsidRPr="006D52FA">
        <w:rPr>
          <w:b/>
          <w:bCs/>
          <w:caps/>
        </w:rPr>
        <w:t xml:space="preserve">Pacientų organizacijų pateikti duomenys </w:t>
      </w:r>
    </w:p>
    <w:p w14:paraId="7FBCC4D1" w14:textId="77777777" w:rsidR="001D4DC0" w:rsidRPr="002F6C0B" w:rsidRDefault="00C178F9" w:rsidP="001D4DC0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1D4DC0" w:rsidRPr="002F6C0B">
            <w:rPr>
              <w:rStyle w:val="Style2"/>
              <w:rFonts w:ascii="MS Gothic" w:eastAsia="MS Gothic" w:hAnsi="MS Gothic"/>
            </w:rPr>
            <w:t>☐</w:t>
          </w:r>
        </w:sdtContent>
      </w:sdt>
      <w:r w:rsidR="001D4DC0" w:rsidRPr="002F6C0B">
        <w:t xml:space="preserve"> Pacientų organizacijos pozicija pateikta. Žr. priedą.</w:t>
      </w:r>
    </w:p>
    <w:p w14:paraId="07D77772" w14:textId="4B0ABE79" w:rsidR="001D4DC0" w:rsidRPr="002F6C0B" w:rsidRDefault="00C178F9" w:rsidP="001D4DC0">
      <w:pPr>
        <w:spacing w:after="120"/>
        <w:jc w:val="both"/>
        <w:rPr>
          <w:lang w:val="en-US"/>
        </w:rPr>
      </w:pPr>
      <w:sdt>
        <w:sdtPr>
          <w:rPr>
            <w:rStyle w:val="Style2"/>
            <w:rFonts w:ascii="MS Gothic" w:eastAsia="MS Gothic" w:hAnsi="MS Gothic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2F6C0B" w:rsidRPr="002F6C0B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1D4DC0" w:rsidRPr="002F6C0B">
        <w:t xml:space="preserve"> Pacientų organizacijos pozicija nepateikta.</w:t>
      </w:r>
    </w:p>
    <w:p w14:paraId="700E0B15" w14:textId="77777777" w:rsidR="001D4DC0" w:rsidRPr="002F6C0B" w:rsidRDefault="001D4DC0" w:rsidP="001D4DC0">
      <w:pPr>
        <w:pStyle w:val="Sraopastraipa"/>
        <w:numPr>
          <w:ilvl w:val="0"/>
          <w:numId w:val="1"/>
        </w:numPr>
        <w:tabs>
          <w:tab w:val="left" w:pos="426"/>
        </w:tabs>
        <w:rPr>
          <w:b/>
          <w:bCs/>
          <w:caps/>
        </w:rPr>
      </w:pPr>
      <w:r w:rsidRPr="002F6C0B">
        <w:rPr>
          <w:b/>
          <w:bCs/>
          <w:caps/>
        </w:rPr>
        <w:t>Gydytojų organizacijų pateikti duomenys</w:t>
      </w:r>
    </w:p>
    <w:p w14:paraId="65CC0715" w14:textId="32A56F34" w:rsidR="001D4DC0" w:rsidRPr="002F6C0B" w:rsidRDefault="00C178F9" w:rsidP="001D4DC0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16138627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1D4DC0" w:rsidRPr="002F6C0B">
            <w:rPr>
              <w:rStyle w:val="Style2"/>
              <w:rFonts w:ascii="MS Gothic" w:eastAsia="MS Gothic" w:hAnsi="MS Gothic"/>
            </w:rPr>
            <w:t>☐</w:t>
          </w:r>
        </w:sdtContent>
      </w:sdt>
      <w:r w:rsidR="001D4DC0" w:rsidRPr="002F6C0B">
        <w:t xml:space="preserve"> Gydytojų specialistų organizacijos pozicija pateikta. Žr. priedą.</w:t>
      </w:r>
    </w:p>
    <w:p w14:paraId="5F38A48B" w14:textId="0DCB7595" w:rsidR="001D4DC0" w:rsidRPr="006D52FA" w:rsidRDefault="00C178F9" w:rsidP="001D4DC0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-41988141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2F6C0B" w:rsidRPr="002F6C0B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1D4DC0" w:rsidRPr="002F6C0B">
        <w:t xml:space="preserve"> Gydytojų specialistų organizacijos pozicija nepateikta.</w:t>
      </w:r>
    </w:p>
    <w:p w14:paraId="1B0D4243" w14:textId="77777777" w:rsidR="001D4DC0" w:rsidRPr="006D52FA" w:rsidRDefault="001D4DC0" w:rsidP="001D4DC0">
      <w:pPr>
        <w:pStyle w:val="Sraopastraipa"/>
        <w:numPr>
          <w:ilvl w:val="0"/>
          <w:numId w:val="1"/>
        </w:numPr>
        <w:tabs>
          <w:tab w:val="left" w:pos="426"/>
        </w:tabs>
        <w:rPr>
          <w:b/>
          <w:bCs/>
          <w:caps/>
        </w:rPr>
      </w:pPr>
      <w:r w:rsidRPr="006D52FA">
        <w:rPr>
          <w:b/>
          <w:bCs/>
          <w:caps/>
        </w:rPr>
        <w:t xml:space="preserve">Išvada </w:t>
      </w:r>
    </w:p>
    <w:p w14:paraId="66B3CF0B" w14:textId="77777777" w:rsidR="001D4DC0" w:rsidRPr="00797153" w:rsidRDefault="001D4DC0" w:rsidP="001D4DC0">
      <w:pPr>
        <w:tabs>
          <w:tab w:val="left" w:pos="426"/>
        </w:tabs>
        <w:rPr>
          <w:b/>
          <w:bCs/>
          <w:caps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633F94" w:rsidRPr="009300B3" w14:paraId="2D4FDCB6" w14:textId="77777777" w:rsidTr="00E47504">
        <w:trPr>
          <w:trHeight w:val="510"/>
        </w:trPr>
        <w:tc>
          <w:tcPr>
            <w:tcW w:w="9629" w:type="dxa"/>
            <w:gridSpan w:val="2"/>
            <w:vAlign w:val="center"/>
          </w:tcPr>
          <w:p w14:paraId="4F5FE7E3" w14:textId="77777777" w:rsidR="00633F94" w:rsidRPr="009300B3" w:rsidRDefault="00633F94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b/>
                <w:bCs/>
                <w:sz w:val="23"/>
                <w:szCs w:val="23"/>
              </w:rPr>
            </w:pPr>
            <w:bookmarkStart w:id="1" w:name="_Hlk185430554"/>
            <w:bookmarkStart w:id="2" w:name="_Hlk186227929"/>
            <w:r w:rsidRPr="009300B3">
              <w:rPr>
                <w:rStyle w:val="Style2"/>
                <w:rFonts w:eastAsia="MS Gothic"/>
                <w:b/>
                <w:bCs/>
                <w:sz w:val="23"/>
                <w:szCs w:val="23"/>
              </w:rPr>
              <w:t>Palyginamasis veiksmingumas</w:t>
            </w:r>
          </w:p>
        </w:tc>
      </w:tr>
      <w:tr w:rsidR="00633F94" w:rsidRPr="009300B3" w14:paraId="3081783C" w14:textId="77777777" w:rsidTr="00E47504">
        <w:tc>
          <w:tcPr>
            <w:tcW w:w="4815" w:type="dxa"/>
          </w:tcPr>
          <w:p w14:paraId="6BD30583" w14:textId="77777777" w:rsidR="00633F94" w:rsidRPr="009300B3" w:rsidRDefault="00C178F9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3973246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33F94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33F94" w:rsidRPr="009300B3">
              <w:rPr>
                <w:rStyle w:val="Style2"/>
                <w:sz w:val="23"/>
                <w:szCs w:val="23"/>
              </w:rPr>
              <w:t xml:space="preserve"> 29</w:t>
            </w:r>
            <w:r w:rsidR="00633F94" w:rsidRPr="009300B3">
              <w:rPr>
                <w:sz w:val="23"/>
                <w:szCs w:val="23"/>
              </w:rPr>
              <w:t>.1.1 yra didesnis, lyginant su įprasta klinikine praktika</w:t>
            </w:r>
          </w:p>
          <w:p w14:paraId="198752CD" w14:textId="77777777" w:rsidR="00633F94" w:rsidRPr="009300B3" w:rsidRDefault="00633F94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77803EA3" w14:textId="6AB5FE58" w:rsidR="00633F94" w:rsidRPr="009300B3" w:rsidRDefault="00C178F9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41829709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33F94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633F94" w:rsidRPr="009300B3">
              <w:rPr>
                <w:sz w:val="23"/>
                <w:szCs w:val="23"/>
              </w:rPr>
              <w:t xml:space="preserve"> </w:t>
            </w:r>
            <w:r w:rsidR="00633F94" w:rsidRPr="009300B3">
              <w:rPr>
                <w:rStyle w:val="Style2"/>
                <w:sz w:val="23"/>
                <w:szCs w:val="23"/>
              </w:rPr>
              <w:t>29</w:t>
            </w:r>
            <w:r w:rsidR="00633F94" w:rsidRPr="009300B3">
              <w:rPr>
                <w:sz w:val="23"/>
                <w:szCs w:val="23"/>
              </w:rPr>
              <w:t>.1.2 iš esmės nesiskiria, lyginant su įprasta klinikine praktika</w:t>
            </w:r>
          </w:p>
        </w:tc>
        <w:tc>
          <w:tcPr>
            <w:tcW w:w="4814" w:type="dxa"/>
          </w:tcPr>
          <w:p w14:paraId="0DEFEDF3" w14:textId="77777777" w:rsidR="00633F94" w:rsidRPr="009300B3" w:rsidRDefault="00C178F9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7247555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33F94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33F94" w:rsidRPr="009300B3">
              <w:rPr>
                <w:sz w:val="23"/>
                <w:szCs w:val="23"/>
              </w:rPr>
              <w:t xml:space="preserve"> </w:t>
            </w:r>
            <w:r w:rsidR="00633F94" w:rsidRPr="009300B3">
              <w:rPr>
                <w:rStyle w:val="Style2"/>
                <w:sz w:val="23"/>
                <w:szCs w:val="23"/>
              </w:rPr>
              <w:t>29</w:t>
            </w:r>
            <w:r w:rsidR="00633F94" w:rsidRPr="009300B3">
              <w:rPr>
                <w:sz w:val="23"/>
                <w:szCs w:val="23"/>
              </w:rPr>
              <w:t xml:space="preserve">.1.3 yra neįrodytas kaip didesnis  ar iš esmės nesiskiriantis, lyginant su įprasta klinikine praktika  </w:t>
            </w:r>
          </w:p>
          <w:p w14:paraId="48884B22" w14:textId="77777777" w:rsidR="00633F94" w:rsidRPr="009300B3" w:rsidRDefault="00633F94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2FB7389C" w14:textId="77777777" w:rsidR="00633F94" w:rsidRPr="009300B3" w:rsidRDefault="00C178F9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86216847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33F94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33F94" w:rsidRPr="009300B3">
              <w:rPr>
                <w:sz w:val="23"/>
                <w:szCs w:val="23"/>
              </w:rPr>
              <w:t xml:space="preserve"> </w:t>
            </w:r>
            <w:r w:rsidR="00633F94" w:rsidRPr="009300B3">
              <w:rPr>
                <w:rStyle w:val="Style2"/>
                <w:sz w:val="23"/>
                <w:szCs w:val="23"/>
              </w:rPr>
              <w:t>29</w:t>
            </w:r>
            <w:r w:rsidR="00633F94" w:rsidRPr="009300B3">
              <w:rPr>
                <w:sz w:val="23"/>
                <w:szCs w:val="23"/>
              </w:rPr>
              <w:t>.1.4 yra mažesnis, lyginant su įprasta klinikine praktika</w:t>
            </w:r>
          </w:p>
          <w:p w14:paraId="230389AC" w14:textId="77777777" w:rsidR="00633F94" w:rsidRPr="009300B3" w:rsidRDefault="00633F94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59C54C85" w14:textId="77777777" w:rsidR="00633F94" w:rsidRPr="009300B3" w:rsidRDefault="00C178F9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18579601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33F94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33F94" w:rsidRPr="009300B3">
              <w:rPr>
                <w:sz w:val="23"/>
                <w:szCs w:val="23"/>
              </w:rPr>
              <w:t xml:space="preserve"> </w:t>
            </w:r>
            <w:r w:rsidR="00633F94" w:rsidRPr="009300B3">
              <w:rPr>
                <w:rStyle w:val="Style2"/>
                <w:sz w:val="23"/>
                <w:szCs w:val="23"/>
              </w:rPr>
              <w:t>29</w:t>
            </w:r>
            <w:r w:rsidR="00633F94" w:rsidRPr="009300B3">
              <w:rPr>
                <w:sz w:val="23"/>
                <w:szCs w:val="23"/>
              </w:rPr>
              <w:t>.1.5 pateikti duomenys apie palyginamąjį veiksmingumą yra netinkami vertinti</w:t>
            </w:r>
          </w:p>
          <w:p w14:paraId="01157DA3" w14:textId="77777777" w:rsidR="00633F94" w:rsidRPr="009300B3" w:rsidRDefault="00633F94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</w:tr>
      <w:bookmarkEnd w:id="1"/>
      <w:tr w:rsidR="00633F94" w:rsidRPr="009300B3" w14:paraId="602A00D2" w14:textId="77777777" w:rsidTr="00E47504">
        <w:trPr>
          <w:trHeight w:val="510"/>
        </w:trPr>
        <w:tc>
          <w:tcPr>
            <w:tcW w:w="9634" w:type="dxa"/>
            <w:gridSpan w:val="2"/>
            <w:vAlign w:val="center"/>
          </w:tcPr>
          <w:p w14:paraId="71EE5B1B" w14:textId="77777777" w:rsidR="00633F94" w:rsidRPr="009300B3" w:rsidRDefault="00633F94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b/>
                <w:bCs/>
                <w:sz w:val="23"/>
                <w:szCs w:val="23"/>
              </w:rPr>
            </w:pPr>
            <w:r w:rsidRPr="009300B3">
              <w:rPr>
                <w:rStyle w:val="Style2"/>
                <w:rFonts w:eastAsia="MS Gothic"/>
                <w:b/>
                <w:bCs/>
                <w:sz w:val="23"/>
                <w:szCs w:val="23"/>
              </w:rPr>
              <w:lastRenderedPageBreak/>
              <w:t>Kaštų naudingumas</w:t>
            </w:r>
          </w:p>
        </w:tc>
      </w:tr>
      <w:tr w:rsidR="00633F94" w:rsidRPr="009300B3" w14:paraId="4848F207" w14:textId="77777777" w:rsidTr="00E47504">
        <w:tc>
          <w:tcPr>
            <w:tcW w:w="4820" w:type="dxa"/>
          </w:tcPr>
          <w:p w14:paraId="466E7100" w14:textId="77777777" w:rsidR="00633F94" w:rsidRPr="009300B3" w:rsidRDefault="00C178F9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30165788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33F94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33F94" w:rsidRPr="009300B3">
              <w:rPr>
                <w:sz w:val="23"/>
                <w:szCs w:val="23"/>
              </w:rPr>
              <w:t xml:space="preserve"> 29.2.1 atitinka referencinę naudingumo vertę taikant arba netaikant</w:t>
            </w:r>
            <w:r w:rsidR="00633F94" w:rsidRPr="009300B3">
              <w:rPr>
                <w:b/>
                <w:bCs/>
                <w:sz w:val="23"/>
                <w:szCs w:val="23"/>
              </w:rPr>
              <w:t> </w:t>
            </w:r>
            <w:r w:rsidR="00633F94" w:rsidRPr="009300B3">
              <w:rPr>
                <w:sz w:val="23"/>
                <w:szCs w:val="23"/>
              </w:rPr>
              <w:t>PGS</w:t>
            </w:r>
          </w:p>
          <w:p w14:paraId="15F1D861" w14:textId="77777777" w:rsidR="00633F94" w:rsidRPr="009300B3" w:rsidRDefault="00633F94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7A06D0BC" w14:textId="77777777" w:rsidR="00633F94" w:rsidRPr="009300B3" w:rsidRDefault="00C178F9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86594710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33F94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33F94" w:rsidRPr="009300B3">
              <w:rPr>
                <w:sz w:val="23"/>
                <w:szCs w:val="23"/>
              </w:rPr>
              <w:t xml:space="preserve"> 29.2.2 gydymo juo kaštai yra mažesni ar tokie patys esant iš esmės nesiskiriančiam palyginamajam efektyvumui, taikant arba netaikant PGS</w:t>
            </w:r>
          </w:p>
        </w:tc>
        <w:tc>
          <w:tcPr>
            <w:tcW w:w="4814" w:type="dxa"/>
          </w:tcPr>
          <w:p w14:paraId="7282B1C8" w14:textId="77777777" w:rsidR="00633F94" w:rsidRPr="009300B3" w:rsidRDefault="00C178F9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79186028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33F94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33F94" w:rsidRPr="009300B3">
              <w:rPr>
                <w:sz w:val="23"/>
                <w:szCs w:val="23"/>
              </w:rPr>
              <w:t xml:space="preserve"> 29.2.3 neatitinka referencinės naudingumo vertės taikant arba netaikant PGS</w:t>
            </w:r>
          </w:p>
          <w:p w14:paraId="1AEB3EAB" w14:textId="77777777" w:rsidR="00633F94" w:rsidRPr="009300B3" w:rsidRDefault="00633F94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  <w:p w14:paraId="4DCFE715" w14:textId="156E343D" w:rsidR="00633F94" w:rsidRPr="009300B3" w:rsidRDefault="00C178F9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11865059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33F94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633F94" w:rsidRPr="009300B3">
              <w:rPr>
                <w:sz w:val="23"/>
                <w:szCs w:val="23"/>
              </w:rPr>
              <w:t xml:space="preserve"> 29.2.4 gydymo juo kaštai yra didesni esant iš esmės nesiskiriančiam palyginamajam veiksmingumui, taikant arba netaikant PGS</w:t>
            </w:r>
          </w:p>
          <w:p w14:paraId="3BE0FCFA" w14:textId="77777777" w:rsidR="00633F94" w:rsidRPr="009300B3" w:rsidRDefault="00633F94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  <w:p w14:paraId="4155CF53" w14:textId="77777777" w:rsidR="00633F94" w:rsidRPr="009300B3" w:rsidRDefault="00C178F9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9438498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33F94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33F94" w:rsidRPr="009300B3">
              <w:rPr>
                <w:sz w:val="23"/>
                <w:szCs w:val="23"/>
              </w:rPr>
              <w:t xml:space="preserve"> 29.2.5 pateikti duomenys apie kaštų naudingumą yra netinkami vertinti</w:t>
            </w:r>
          </w:p>
          <w:p w14:paraId="13FF6817" w14:textId="77777777" w:rsidR="00633F94" w:rsidRPr="009300B3" w:rsidRDefault="00633F94" w:rsidP="00E47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</w:tr>
      <w:bookmarkEnd w:id="2"/>
    </w:tbl>
    <w:p w14:paraId="0BA28422" w14:textId="77777777" w:rsidR="001D4DC0" w:rsidRDefault="001D4DC0" w:rsidP="001D4DC0">
      <w:pPr>
        <w:pStyle w:val="Sraopastraipa"/>
        <w:shd w:val="clear" w:color="auto" w:fill="FFFFFF"/>
        <w:tabs>
          <w:tab w:val="left" w:pos="284"/>
        </w:tabs>
        <w:spacing w:line="276" w:lineRule="auto"/>
        <w:rPr>
          <w:rFonts w:eastAsia="Arial"/>
          <w:b/>
        </w:rPr>
      </w:pPr>
    </w:p>
    <w:p w14:paraId="74B3C179" w14:textId="77777777" w:rsidR="001D4DC0" w:rsidRPr="00253CF8" w:rsidRDefault="001D4DC0" w:rsidP="001D4DC0">
      <w:pPr>
        <w:pStyle w:val="Sraopastraipa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rPr>
          <w:rFonts w:eastAsia="Arial"/>
          <w:b/>
        </w:rPr>
      </w:pPr>
      <w:r w:rsidRPr="00253CF8">
        <w:rPr>
          <w:rFonts w:eastAsia="Arial"/>
          <w:b/>
        </w:rPr>
        <w:t>REKOMENDACIJA</w:t>
      </w:r>
    </w:p>
    <w:p w14:paraId="2F1236D8" w14:textId="77777777" w:rsidR="001D4DC0" w:rsidRPr="005F26B1" w:rsidRDefault="001D4DC0" w:rsidP="001D4DC0">
      <w:pPr>
        <w:pStyle w:val="Sraopastraipa"/>
        <w:shd w:val="clear" w:color="auto" w:fill="FFFFFF"/>
        <w:tabs>
          <w:tab w:val="left" w:pos="284"/>
        </w:tabs>
        <w:spacing w:line="276" w:lineRule="auto"/>
        <w:ind w:left="426"/>
        <w:rPr>
          <w:rFonts w:eastAsia="Arial"/>
          <w:b/>
        </w:rPr>
      </w:pPr>
    </w:p>
    <w:p w14:paraId="2B90DDD2" w14:textId="27EEFBD0" w:rsidR="00633F94" w:rsidRDefault="00633F94" w:rsidP="00633F94">
      <w:pPr>
        <w:jc w:val="both"/>
        <w:rPr>
          <w:color w:val="000000"/>
        </w:rPr>
      </w:pPr>
      <w:r w:rsidRPr="009300B3">
        <w:t xml:space="preserve">Vadovaujantis </w:t>
      </w:r>
      <w:r>
        <w:t xml:space="preserve">Aprašo </w:t>
      </w:r>
      <w:r w:rsidRPr="009300B3">
        <w:rPr>
          <w:color w:val="000000"/>
          <w:lang w:eastAsia="lt-LT"/>
        </w:rPr>
        <w:t>30</w:t>
      </w:r>
      <w:r w:rsidRPr="009300B3">
        <w:rPr>
          <w:color w:val="000000"/>
          <w:vertAlign w:val="superscript"/>
          <w:lang w:eastAsia="lt-LT"/>
        </w:rPr>
        <w:t>1</w:t>
      </w:r>
      <w:r w:rsidRPr="009300B3">
        <w:rPr>
          <w:color w:val="000000"/>
          <w:lang w:eastAsia="lt-LT"/>
        </w:rPr>
        <w:t>.4. papunkčiu rekomenduojama nekompensuoti vaistinio preparato pagal paraiškoje nurodytą indikaciją (arba jos dalį) su arba be skyrimo sąly</w:t>
      </w:r>
      <w:r>
        <w:rPr>
          <w:color w:val="000000"/>
          <w:lang w:eastAsia="lt-LT"/>
        </w:rPr>
        <w:t>gų, taikant arba netaikant PGS</w:t>
      </w:r>
      <w:r w:rsidRPr="009300B3">
        <w:rPr>
          <w:color w:val="000000"/>
          <w:lang w:eastAsia="lt-LT"/>
        </w:rPr>
        <w:t>, kai vertinimo išvados atitinka Aprašo 29.2.</w:t>
      </w:r>
      <w:r>
        <w:rPr>
          <w:color w:val="000000"/>
          <w:lang w:eastAsia="lt-LT"/>
        </w:rPr>
        <w:t>4</w:t>
      </w:r>
      <w:r w:rsidRPr="009300B3">
        <w:rPr>
          <w:color w:val="000000"/>
          <w:lang w:eastAsia="lt-LT"/>
        </w:rPr>
        <w:t xml:space="preserve"> papunk</w:t>
      </w:r>
      <w:r>
        <w:rPr>
          <w:color w:val="000000"/>
          <w:lang w:eastAsia="lt-LT"/>
        </w:rPr>
        <w:t>tyje</w:t>
      </w:r>
      <w:r w:rsidRPr="009300B3">
        <w:rPr>
          <w:color w:val="000000"/>
          <w:lang w:eastAsia="lt-LT"/>
        </w:rPr>
        <w:t xml:space="preserve"> numatyt</w:t>
      </w:r>
      <w:r>
        <w:rPr>
          <w:color w:val="000000"/>
          <w:lang w:eastAsia="lt-LT"/>
        </w:rPr>
        <w:t>ą</w:t>
      </w:r>
      <w:r w:rsidRPr="009300B3">
        <w:rPr>
          <w:color w:val="000000"/>
          <w:lang w:eastAsia="lt-LT"/>
        </w:rPr>
        <w:t xml:space="preserve"> sąlyg</w:t>
      </w:r>
      <w:r>
        <w:rPr>
          <w:color w:val="000000"/>
          <w:lang w:eastAsia="lt-LT"/>
        </w:rPr>
        <w:t>ą.</w:t>
      </w:r>
    </w:p>
    <w:p w14:paraId="5FD87F33" w14:textId="77777777" w:rsidR="001D4DC0" w:rsidRDefault="001D4DC0" w:rsidP="001D4DC0"/>
    <w:p w14:paraId="068D54E8" w14:textId="5DF19175" w:rsidR="00873F30" w:rsidRPr="002F6C0B" w:rsidRDefault="00B03CC5">
      <w:pPr>
        <w:rPr>
          <w:b/>
          <w:bCs/>
        </w:rPr>
      </w:pPr>
      <w:r w:rsidRPr="002F6C0B">
        <w:rPr>
          <w:b/>
          <w:bCs/>
        </w:rPr>
        <w:t xml:space="preserve">Indikacijos </w:t>
      </w:r>
    </w:p>
    <w:p w14:paraId="3D1D7DBE" w14:textId="77777777" w:rsidR="00B03CC5" w:rsidRPr="002F6C0B" w:rsidRDefault="00B03CC5"/>
    <w:p w14:paraId="51C4318F" w14:textId="77777777" w:rsidR="00D92263" w:rsidRPr="00395D12" w:rsidRDefault="00D92263" w:rsidP="002F6C0B">
      <w:pPr>
        <w:spacing w:after="160" w:line="259" w:lineRule="auto"/>
      </w:pPr>
      <w:proofErr w:type="spellStart"/>
      <w:r w:rsidRPr="00395D12">
        <w:t>Enkorafenibas</w:t>
      </w:r>
      <w:proofErr w:type="spellEnd"/>
      <w:r w:rsidRPr="00395D12">
        <w:t xml:space="preserve"> yra skirtas: suaugusiems pacientams, sergantiems neoperuojama arba </w:t>
      </w:r>
      <w:proofErr w:type="spellStart"/>
      <w:r w:rsidRPr="00395D12">
        <w:t>metastazavusia</w:t>
      </w:r>
      <w:proofErr w:type="spellEnd"/>
      <w:r w:rsidRPr="00395D12">
        <w:t xml:space="preserve"> melanoma su BRAF V600 mutacija, gydyti derinyje su </w:t>
      </w:r>
      <w:proofErr w:type="spellStart"/>
      <w:r w:rsidRPr="00395D12">
        <w:t>binimetinibu</w:t>
      </w:r>
      <w:proofErr w:type="spellEnd"/>
      <w:r w:rsidRPr="00395D12">
        <w:t xml:space="preserve">. </w:t>
      </w:r>
    </w:p>
    <w:p w14:paraId="6EAE1769" w14:textId="77777777" w:rsidR="00D92263" w:rsidRPr="00395D12" w:rsidRDefault="00D92263" w:rsidP="002F6C0B">
      <w:pPr>
        <w:spacing w:after="160" w:line="259" w:lineRule="auto"/>
        <w:jc w:val="both"/>
        <w:rPr>
          <w:lang w:eastAsia="en-GB"/>
        </w:rPr>
      </w:pPr>
      <w:proofErr w:type="spellStart"/>
      <w:r w:rsidRPr="00395D12">
        <w:rPr>
          <w:lang w:eastAsia="en-GB"/>
        </w:rPr>
        <w:t>Binimetinibas</w:t>
      </w:r>
      <w:proofErr w:type="spellEnd"/>
      <w:r w:rsidRPr="00395D12">
        <w:rPr>
          <w:lang w:eastAsia="en-GB"/>
        </w:rPr>
        <w:t xml:space="preserve"> kartu su </w:t>
      </w:r>
      <w:proofErr w:type="spellStart"/>
      <w:r w:rsidRPr="00395D12">
        <w:rPr>
          <w:lang w:eastAsia="en-GB"/>
        </w:rPr>
        <w:t>enkorafenibu</w:t>
      </w:r>
      <w:proofErr w:type="spellEnd"/>
      <w:r w:rsidRPr="00395D12">
        <w:rPr>
          <w:lang w:eastAsia="en-GB"/>
        </w:rPr>
        <w:t xml:space="preserve"> skirtas suaugusių pacientų, sergančių </w:t>
      </w:r>
      <w:proofErr w:type="spellStart"/>
      <w:r w:rsidRPr="00395D12">
        <w:rPr>
          <w:lang w:eastAsia="en-GB"/>
        </w:rPr>
        <w:t>neoperabilia</w:t>
      </w:r>
      <w:proofErr w:type="spellEnd"/>
      <w:r w:rsidRPr="00395D12">
        <w:rPr>
          <w:lang w:eastAsia="en-GB"/>
        </w:rPr>
        <w:t xml:space="preserve"> arba </w:t>
      </w:r>
      <w:proofErr w:type="spellStart"/>
      <w:r w:rsidRPr="00395D12">
        <w:rPr>
          <w:lang w:eastAsia="en-GB"/>
        </w:rPr>
        <w:t>metastazavusia</w:t>
      </w:r>
      <w:proofErr w:type="spellEnd"/>
      <w:r w:rsidRPr="00395D12">
        <w:rPr>
          <w:lang w:eastAsia="en-GB"/>
        </w:rPr>
        <w:t xml:space="preserve"> melanoma ir turinčių BRAF V600 geno mutaciją, gydymui.</w:t>
      </w:r>
    </w:p>
    <w:p w14:paraId="5DF168A1" w14:textId="77777777" w:rsidR="00B03CC5" w:rsidRPr="002F6C0B" w:rsidRDefault="00B03CC5"/>
    <w:p w14:paraId="3553B9DE" w14:textId="5429AD7D" w:rsidR="00B03CC5" w:rsidRPr="002F6C0B" w:rsidRDefault="00B03CC5">
      <w:pPr>
        <w:rPr>
          <w:b/>
          <w:bCs/>
        </w:rPr>
      </w:pPr>
      <w:r w:rsidRPr="002F6C0B">
        <w:rPr>
          <w:b/>
          <w:bCs/>
        </w:rPr>
        <w:t>Skyrimo sąlygos</w:t>
      </w:r>
    </w:p>
    <w:p w14:paraId="5381DD76" w14:textId="7E32AC4F" w:rsidR="00D92263" w:rsidRPr="00395D12" w:rsidRDefault="00D92263" w:rsidP="00EE503C">
      <w:pPr>
        <w:jc w:val="both"/>
        <w:rPr>
          <w:rFonts w:eastAsia="Calibri"/>
        </w:rPr>
      </w:pPr>
      <w:bookmarkStart w:id="3" w:name="_Hlk198737325"/>
      <w:proofErr w:type="spellStart"/>
      <w:r w:rsidRPr="00395D12">
        <w:rPr>
          <w:rFonts w:eastAsia="Calibri"/>
        </w:rPr>
        <w:t>Enkorafenibas</w:t>
      </w:r>
      <w:proofErr w:type="spellEnd"/>
      <w:r w:rsidRPr="00395D12">
        <w:rPr>
          <w:rFonts w:eastAsia="Calibri"/>
        </w:rPr>
        <w:t>/</w:t>
      </w:r>
      <w:proofErr w:type="spellStart"/>
      <w:r w:rsidRPr="00395D12">
        <w:rPr>
          <w:rFonts w:eastAsia="Calibri"/>
        </w:rPr>
        <w:t>binimetinibas</w:t>
      </w:r>
      <w:proofErr w:type="spellEnd"/>
    </w:p>
    <w:p w14:paraId="5DA2203C" w14:textId="5D2A23B0" w:rsidR="00EE503C" w:rsidRPr="00E65BC7" w:rsidRDefault="00D92263" w:rsidP="00EE503C">
      <w:pPr>
        <w:jc w:val="both"/>
        <w:rPr>
          <w:rFonts w:eastAsia="Calibri"/>
        </w:rPr>
      </w:pPr>
      <w:r w:rsidRPr="00395D12">
        <w:rPr>
          <w:rFonts w:eastAsia="Calibri"/>
        </w:rPr>
        <w:t xml:space="preserve">Derinant su </w:t>
      </w:r>
      <w:proofErr w:type="spellStart"/>
      <w:r w:rsidRPr="00395D12">
        <w:rPr>
          <w:rFonts w:eastAsia="Calibri"/>
        </w:rPr>
        <w:t>binimetinibu</w:t>
      </w:r>
      <w:proofErr w:type="spellEnd"/>
      <w:r w:rsidRPr="00395D12">
        <w:rPr>
          <w:rFonts w:eastAsia="Calibri"/>
        </w:rPr>
        <w:t xml:space="preserve"> s</w:t>
      </w:r>
      <w:r w:rsidR="00EE503C" w:rsidRPr="00395D12">
        <w:rPr>
          <w:rFonts w:eastAsia="Calibri"/>
        </w:rPr>
        <w:t xml:space="preserve">kiriamas </w:t>
      </w:r>
      <w:r w:rsidR="00395D12" w:rsidRPr="00395D12">
        <w:rPr>
          <w:rFonts w:eastAsia="Calibri"/>
        </w:rPr>
        <w:t xml:space="preserve">pirmaeiliam </w:t>
      </w:r>
      <w:r w:rsidR="00EE503C" w:rsidRPr="00395D12">
        <w:rPr>
          <w:rFonts w:eastAsia="Calibri"/>
        </w:rPr>
        <w:t xml:space="preserve">suaugusių pacientų, kuriems yra diagnozuota neoperuotina ar </w:t>
      </w:r>
      <w:proofErr w:type="spellStart"/>
      <w:r w:rsidR="00EE503C" w:rsidRPr="00395D12">
        <w:rPr>
          <w:rFonts w:eastAsia="Calibri"/>
        </w:rPr>
        <w:t>metastazavusi</w:t>
      </w:r>
      <w:proofErr w:type="spellEnd"/>
      <w:r w:rsidR="00EE503C" w:rsidRPr="00395D12">
        <w:rPr>
          <w:rFonts w:eastAsia="Calibri"/>
        </w:rPr>
        <w:t xml:space="preserve"> melanoma su BRAF V600 mutacija, gydymui.</w:t>
      </w:r>
    </w:p>
    <w:bookmarkEnd w:id="3"/>
    <w:p w14:paraId="1287ABC8" w14:textId="77777777" w:rsidR="00B03CC5" w:rsidRDefault="00B03CC5"/>
    <w:sectPr w:rsidR="00B03CC5" w:rsidSect="005D30E1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6139" w14:textId="77777777" w:rsidR="00790FA1" w:rsidRDefault="00790FA1">
      <w:r>
        <w:separator/>
      </w:r>
    </w:p>
  </w:endnote>
  <w:endnote w:type="continuationSeparator" w:id="0">
    <w:p w14:paraId="00A17912" w14:textId="77777777" w:rsidR="00790FA1" w:rsidRDefault="0079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6D10" w14:textId="77777777" w:rsidR="00873F30" w:rsidRDefault="00873F30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2875" w14:textId="77777777" w:rsidR="00790FA1" w:rsidRDefault="00790FA1">
      <w:r>
        <w:separator/>
      </w:r>
    </w:p>
  </w:footnote>
  <w:footnote w:type="continuationSeparator" w:id="0">
    <w:p w14:paraId="10B2399D" w14:textId="77777777" w:rsidR="00790FA1" w:rsidRDefault="0079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B8E6" w14:textId="77777777" w:rsidR="00873F30" w:rsidRDefault="001D4D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785FC36" w14:textId="77777777" w:rsidR="00873F30" w:rsidRDefault="00873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321B" w14:textId="15CDE133" w:rsidR="00873F30" w:rsidRDefault="001D4D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4E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A1084D" w14:textId="77777777" w:rsidR="00873F30" w:rsidRDefault="00873F3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DAED" w14:textId="77777777" w:rsidR="00873F30" w:rsidRDefault="00873F30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80"/>
    <w:multiLevelType w:val="hybridMultilevel"/>
    <w:tmpl w:val="3358F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7A2E"/>
    <w:multiLevelType w:val="hybridMultilevel"/>
    <w:tmpl w:val="2B54A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7A28"/>
    <w:multiLevelType w:val="multilevel"/>
    <w:tmpl w:val="E9702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D2E58"/>
    <w:multiLevelType w:val="hybridMultilevel"/>
    <w:tmpl w:val="74F0AF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747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5001062">
    <w:abstractNumId w:val="3"/>
  </w:num>
  <w:num w:numId="2" w16cid:durableId="1481651188">
    <w:abstractNumId w:val="1"/>
  </w:num>
  <w:num w:numId="3" w16cid:durableId="1051809979">
    <w:abstractNumId w:val="4"/>
  </w:num>
  <w:num w:numId="4" w16cid:durableId="1400177665">
    <w:abstractNumId w:val="2"/>
  </w:num>
  <w:num w:numId="5" w16cid:durableId="12327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C0"/>
    <w:rsid w:val="00025E44"/>
    <w:rsid w:val="00080DB9"/>
    <w:rsid w:val="0008300E"/>
    <w:rsid w:val="000C217D"/>
    <w:rsid w:val="000D345D"/>
    <w:rsid w:val="000F3914"/>
    <w:rsid w:val="001137F1"/>
    <w:rsid w:val="00132A0D"/>
    <w:rsid w:val="0018354B"/>
    <w:rsid w:val="00197042"/>
    <w:rsid w:val="001A465F"/>
    <w:rsid w:val="001B4AC1"/>
    <w:rsid w:val="001D4DC0"/>
    <w:rsid w:val="001D516F"/>
    <w:rsid w:val="002A0C91"/>
    <w:rsid w:val="002A4216"/>
    <w:rsid w:val="002C0709"/>
    <w:rsid w:val="002F6C0B"/>
    <w:rsid w:val="0030743D"/>
    <w:rsid w:val="00312BC5"/>
    <w:rsid w:val="003607DF"/>
    <w:rsid w:val="0038441A"/>
    <w:rsid w:val="00395D12"/>
    <w:rsid w:val="004039B0"/>
    <w:rsid w:val="00436DF6"/>
    <w:rsid w:val="004A479F"/>
    <w:rsid w:val="004C47BC"/>
    <w:rsid w:val="004D1F5A"/>
    <w:rsid w:val="004D2016"/>
    <w:rsid w:val="004E2B3F"/>
    <w:rsid w:val="00563FAC"/>
    <w:rsid w:val="00564EF8"/>
    <w:rsid w:val="00595C48"/>
    <w:rsid w:val="00613362"/>
    <w:rsid w:val="00622897"/>
    <w:rsid w:val="00633F94"/>
    <w:rsid w:val="006C5650"/>
    <w:rsid w:val="006C6423"/>
    <w:rsid w:val="006F64F1"/>
    <w:rsid w:val="006F7769"/>
    <w:rsid w:val="006F7D17"/>
    <w:rsid w:val="00790FA1"/>
    <w:rsid w:val="007D62AA"/>
    <w:rsid w:val="007F376F"/>
    <w:rsid w:val="00855912"/>
    <w:rsid w:val="00873F30"/>
    <w:rsid w:val="00892F58"/>
    <w:rsid w:val="0091634E"/>
    <w:rsid w:val="00954853"/>
    <w:rsid w:val="009F06B7"/>
    <w:rsid w:val="00A45C5C"/>
    <w:rsid w:val="00A5176A"/>
    <w:rsid w:val="00A72C58"/>
    <w:rsid w:val="00A94D2C"/>
    <w:rsid w:val="00AC4C49"/>
    <w:rsid w:val="00AF15D3"/>
    <w:rsid w:val="00B03CC5"/>
    <w:rsid w:val="00BF7848"/>
    <w:rsid w:val="00C04EDE"/>
    <w:rsid w:val="00C178F9"/>
    <w:rsid w:val="00C26744"/>
    <w:rsid w:val="00C8188B"/>
    <w:rsid w:val="00CF7088"/>
    <w:rsid w:val="00D030A5"/>
    <w:rsid w:val="00D46E0B"/>
    <w:rsid w:val="00D560EE"/>
    <w:rsid w:val="00D66618"/>
    <w:rsid w:val="00D92263"/>
    <w:rsid w:val="00DF2DB6"/>
    <w:rsid w:val="00E45D37"/>
    <w:rsid w:val="00E75EED"/>
    <w:rsid w:val="00EC0FC7"/>
    <w:rsid w:val="00ED2A89"/>
    <w:rsid w:val="00EE503C"/>
    <w:rsid w:val="00EF5063"/>
    <w:rsid w:val="00F34283"/>
    <w:rsid w:val="00FF2746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69AF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4DC0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D4DC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1D4DC0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1D4DC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4DC0"/>
    <w:rPr>
      <w:rFonts w:ascii="Times New Roman" w:eastAsia="Times New Roman" w:hAnsi="Times New Roman" w:cs="Times New Roman"/>
      <w:lang w:val="lt-LT"/>
    </w:rPr>
  </w:style>
  <w:style w:type="character" w:styleId="Puslapionumeris">
    <w:name w:val="page number"/>
    <w:basedOn w:val="Numatytasispastraiposriftas"/>
    <w:rsid w:val="001D4DC0"/>
  </w:style>
  <w:style w:type="table" w:styleId="Lentelstinklelis">
    <w:name w:val="Table Grid"/>
    <w:basedOn w:val="prastojilentel"/>
    <w:rsid w:val="001D4DC0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List,Bullet1,Use Case List Paragraph,List Paragraph1,Body Bullet,Table Number Paragraph,Colorful List - Accent 11,List Paragraph 1,Ref,B1,Figure_name,bu1,bu1 + Before:  0 pt,After:  6 pt,Bullet for no #'s,Paragraph,lp1"/>
    <w:basedOn w:val="prastasis"/>
    <w:link w:val="SraopastraipaDiagrama"/>
    <w:uiPriority w:val="34"/>
    <w:qFormat/>
    <w:rsid w:val="001D4DC0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1D4DC0"/>
    <w:rPr>
      <w:sz w:val="32"/>
    </w:rPr>
  </w:style>
  <w:style w:type="paragraph" w:styleId="Betarp">
    <w:name w:val="No Spacing"/>
    <w:uiPriority w:val="1"/>
    <w:qFormat/>
    <w:rsid w:val="001D4DC0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SraopastraipaDiagrama">
    <w:name w:val="Sąrašo pastraipa Diagrama"/>
    <w:aliases w:val="Bullet List Diagrama,Bullet1 Diagrama,Use Case List Paragraph Diagrama,List Paragraph1 Diagrama,Body Bullet Diagrama,Table Number Paragraph Diagrama,Colorful List - Accent 11 Diagrama,List Paragraph 1 Diagrama,Ref Diagrama"/>
    <w:basedOn w:val="Numatytasispastraiposriftas"/>
    <w:link w:val="Sraopastraipa"/>
    <w:uiPriority w:val="34"/>
    <w:qFormat/>
    <w:rsid w:val="001D4DC0"/>
    <w:rPr>
      <w:rFonts w:ascii="Times New Roman" w:eastAsia="Times New Roman" w:hAnsi="Times New Roman" w:cs="Times New Roman"/>
      <w:lang w:val="lt-LT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1D4DC0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D4DC0"/>
    <w:rPr>
      <w:rFonts w:ascii="Times New Roman" w:eastAsia="Times New Roman" w:hAnsi="Times New Roman" w:cs="Times New Roman"/>
      <w:szCs w:val="20"/>
      <w:lang w:val="lt-LT"/>
    </w:rPr>
  </w:style>
  <w:style w:type="paragraph" w:customStyle="1" w:styleId="TableHeading">
    <w:name w:val="Table Heading"/>
    <w:basedOn w:val="prastasis"/>
    <w:next w:val="prastasis"/>
    <w:link w:val="TableHeadingChar"/>
    <w:qFormat/>
    <w:rsid w:val="001D4DC0"/>
    <w:pPr>
      <w:keepNext/>
      <w:keepLines/>
      <w:spacing w:before="40" w:after="40" w:line="288" w:lineRule="auto"/>
    </w:pPr>
    <w:rPr>
      <w:rFonts w:ascii="Verdana" w:eastAsiaTheme="minorHAnsi" w:hAnsi="Verdana" w:cstheme="minorBidi"/>
      <w:b/>
      <w:color w:val="F8F8F8"/>
      <w:sz w:val="20"/>
      <w:lang w:val="en-GB"/>
    </w:rPr>
  </w:style>
  <w:style w:type="character" w:customStyle="1" w:styleId="TableHeadingChar">
    <w:name w:val="Table Heading Char"/>
    <w:basedOn w:val="Numatytasispastraiposriftas"/>
    <w:link w:val="TableHeading"/>
    <w:rsid w:val="001D4DC0"/>
    <w:rPr>
      <w:rFonts w:ascii="Verdana" w:hAnsi="Verdana"/>
      <w:b/>
      <w:color w:val="F8F8F8"/>
      <w:sz w:val="20"/>
    </w:rPr>
  </w:style>
  <w:style w:type="character" w:styleId="Vietosrezervavimoenklotekstas">
    <w:name w:val="Placeholder Text"/>
    <w:basedOn w:val="Numatytasispastraiposriftas"/>
    <w:uiPriority w:val="99"/>
    <w:rsid w:val="001D4DC0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1D4D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D4DC0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0F3914"/>
    <w:rPr>
      <w:rFonts w:ascii="Times New Roman" w:eastAsia="Times New Roman" w:hAnsi="Times New Roman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03C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03CC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03CC5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03C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3CC5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AFE65D4621124EB630429622E11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A3EC-1D24-3C41-A7F1-74C15BAFE097}"/>
      </w:docPartPr>
      <w:docPartBody>
        <w:p w:rsidR="006A2C84" w:rsidRDefault="00C5276A" w:rsidP="00C5276A">
          <w:pPr>
            <w:pStyle w:val="25AFE65D4621124EB630429622E1153A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733EECC152A2944B912C53CC88DD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17688-CE03-C44C-8E8D-1D7149D739A0}"/>
      </w:docPartPr>
      <w:docPartBody>
        <w:p w:rsidR="006A2C84" w:rsidRDefault="00C5276A" w:rsidP="00C5276A">
          <w:pPr>
            <w:pStyle w:val="733EECC152A2944B912C53CC88DD15F1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F88398C163A513498D6786918346D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089A-12B3-C449-901E-6043AFFE5A50}"/>
      </w:docPartPr>
      <w:docPartBody>
        <w:p w:rsidR="006A2C84" w:rsidRDefault="00C5276A" w:rsidP="00C5276A">
          <w:pPr>
            <w:pStyle w:val="F88398C163A513498D6786918346D7D1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899521A1EA0F684C87C0C0B3A81D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D197-F149-BE4F-900E-064D614F5031}"/>
      </w:docPartPr>
      <w:docPartBody>
        <w:p w:rsidR="006A2C84" w:rsidRDefault="00C5276A" w:rsidP="00C5276A">
          <w:pPr>
            <w:pStyle w:val="899521A1EA0F684C87C0C0B3A81D88B1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E4906A3FF2647545B2B44BB398226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A6205-17BE-F24B-A883-56D635FCE1FA}"/>
      </w:docPartPr>
      <w:docPartBody>
        <w:p w:rsidR="006A2C84" w:rsidRDefault="00C5276A" w:rsidP="00C5276A">
          <w:pPr>
            <w:pStyle w:val="E4906A3FF2647545B2B44BB39822617C"/>
          </w:pPr>
          <w:r>
            <w:rPr>
              <w:rStyle w:val="Vietosrezervavimoenkloteksta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6A"/>
    <w:rsid w:val="000C217D"/>
    <w:rsid w:val="000F3C41"/>
    <w:rsid w:val="00232702"/>
    <w:rsid w:val="0036189B"/>
    <w:rsid w:val="00436DF6"/>
    <w:rsid w:val="004C0FF0"/>
    <w:rsid w:val="006A2C84"/>
    <w:rsid w:val="0089094D"/>
    <w:rsid w:val="00A24249"/>
    <w:rsid w:val="00A428D4"/>
    <w:rsid w:val="00A5176A"/>
    <w:rsid w:val="00A90681"/>
    <w:rsid w:val="00BF7848"/>
    <w:rsid w:val="00C04EDE"/>
    <w:rsid w:val="00C5276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C5276A"/>
    <w:rPr>
      <w:color w:val="808080"/>
    </w:rPr>
  </w:style>
  <w:style w:type="paragraph" w:customStyle="1" w:styleId="25AFE65D4621124EB630429622E1153A">
    <w:name w:val="25AFE65D4621124EB630429622E1153A"/>
    <w:rsid w:val="00C5276A"/>
  </w:style>
  <w:style w:type="paragraph" w:customStyle="1" w:styleId="733EECC152A2944B912C53CC88DD15F1">
    <w:name w:val="733EECC152A2944B912C53CC88DD15F1"/>
    <w:rsid w:val="00C5276A"/>
  </w:style>
  <w:style w:type="paragraph" w:customStyle="1" w:styleId="F88398C163A513498D6786918346D7D1">
    <w:name w:val="F88398C163A513498D6786918346D7D1"/>
    <w:rsid w:val="00C5276A"/>
  </w:style>
  <w:style w:type="paragraph" w:customStyle="1" w:styleId="899521A1EA0F684C87C0C0B3A81D88B1">
    <w:name w:val="899521A1EA0F684C87C0C0B3A81D88B1"/>
    <w:rsid w:val="00C5276A"/>
  </w:style>
  <w:style w:type="paragraph" w:customStyle="1" w:styleId="E4906A3FF2647545B2B44BB39822617C">
    <w:name w:val="E4906A3FF2647545B2B44BB39822617C"/>
    <w:rsid w:val="00C52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8507</Words>
  <Characters>4849</Characters>
  <Application>Microsoft Office Word</Application>
  <DocSecurity>0</DocSecurity>
  <Lines>40</Lines>
  <Paragraphs>26</Paragraphs>
  <ScaleCrop>false</ScaleCrop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2025-05-23T10:21:00Z</dcterms:created>
  <dcterms:modified xsi:type="dcterms:W3CDTF">2025-06-02T13:14:00Z</dcterms:modified>
</cp:coreProperties>
</file>