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D81" w14:textId="77777777" w:rsidR="00D40B99" w:rsidRDefault="00D40B99" w:rsidP="00D40B99">
      <w:pPr>
        <w:ind w:left="5529"/>
      </w:pPr>
    </w:p>
    <w:p w14:paraId="676E94E3" w14:textId="77777777" w:rsidR="00D40B99" w:rsidRDefault="00D40B99" w:rsidP="00D40B99">
      <w:pPr>
        <w:ind w:left="6096"/>
      </w:pPr>
      <w:r>
        <w:t>Forma patvirtinta</w:t>
      </w:r>
    </w:p>
    <w:p w14:paraId="1852BF4E" w14:textId="77777777" w:rsidR="00D40B99" w:rsidRDefault="00D40B99" w:rsidP="00D40B99">
      <w:pPr>
        <w:ind w:left="6096"/>
      </w:pPr>
      <w:r>
        <w:t>Valstybinės vaistų kontrolės tarnybos prie Lietuvos Respublikos sveikatos apsaugos ministerijos viršininko 2021 m. lapkričio 12 d. įsakymu Nr. (1.72E)1A-1418</w:t>
      </w:r>
    </w:p>
    <w:p w14:paraId="3981C9F6" w14:textId="77777777" w:rsidR="00D40B99" w:rsidRDefault="00D40B99" w:rsidP="00D40B99">
      <w:pPr>
        <w:ind w:left="6096"/>
      </w:pPr>
      <w:r>
        <w:t>(Valstybinės vaistų kontrolės tarnybos prie Lietuvos Respublikos sveikatos apsaugos ministerijos viršininko 2022 m.                         d. įsakymo Nr.                    redakcija)</w:t>
      </w:r>
    </w:p>
    <w:p w14:paraId="432DA5CE" w14:textId="77777777" w:rsidR="00D40B99" w:rsidRPr="000A2492" w:rsidRDefault="00D40B99" w:rsidP="00D40B99"/>
    <w:p w14:paraId="493E9598" w14:textId="77777777" w:rsidR="00D40B99" w:rsidRDefault="00D40B99" w:rsidP="00D40B99">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00FDC62F" w14:textId="77777777" w:rsidR="00D40B99" w:rsidRDefault="00D40B99" w:rsidP="00D40B99">
      <w:pPr>
        <w:jc w:val="center"/>
        <w:rPr>
          <w:b/>
        </w:rPr>
      </w:pPr>
    </w:p>
    <w:p w14:paraId="45B20F1E" w14:textId="77777777" w:rsidR="00814591" w:rsidRPr="0073329D" w:rsidRDefault="00814591" w:rsidP="00814591">
      <w:pPr>
        <w:jc w:val="center"/>
      </w:pPr>
      <w:proofErr w:type="spellStart"/>
      <w:r>
        <w:rPr>
          <w:b/>
        </w:rPr>
        <w:t>Epidyolex</w:t>
      </w:r>
      <w:proofErr w:type="spellEnd"/>
      <w:r w:rsidRPr="003062C2">
        <w:rPr>
          <w:b/>
        </w:rPr>
        <w:t xml:space="preserve"> </w:t>
      </w:r>
      <w:r>
        <w:rPr>
          <w:b/>
        </w:rPr>
        <w:t>100 mg/ml</w:t>
      </w:r>
      <w:r w:rsidRPr="003062C2">
        <w:rPr>
          <w:b/>
        </w:rPr>
        <w:t xml:space="preserve"> </w:t>
      </w:r>
      <w:r>
        <w:rPr>
          <w:b/>
        </w:rPr>
        <w:t>geriamasis tirpalas</w:t>
      </w:r>
    </w:p>
    <w:p w14:paraId="5AFAD853" w14:textId="77777777" w:rsidR="00814591" w:rsidRPr="0073329D" w:rsidRDefault="00814591" w:rsidP="00814591">
      <w:pPr>
        <w:jc w:val="center"/>
      </w:pPr>
      <w:r w:rsidRPr="0073329D">
        <w:t>(</w:t>
      </w:r>
      <w:proofErr w:type="spellStart"/>
      <w:r>
        <w:rPr>
          <w:b/>
        </w:rPr>
        <w:t>Kanabidiolis</w:t>
      </w:r>
      <w:proofErr w:type="spellEnd"/>
      <w:r w:rsidRPr="0073329D">
        <w:t>)</w:t>
      </w:r>
    </w:p>
    <w:p w14:paraId="6449CD9A" w14:textId="77777777" w:rsidR="00814591" w:rsidRPr="0073329D" w:rsidRDefault="00814591" w:rsidP="00814591">
      <w:pPr>
        <w:jc w:val="center"/>
      </w:pPr>
    </w:p>
    <w:p w14:paraId="7E618AE5" w14:textId="77777777" w:rsidR="00814591" w:rsidRPr="0073329D" w:rsidRDefault="00814591" w:rsidP="00814591">
      <w:pPr>
        <w:jc w:val="center"/>
        <w:rPr>
          <w:b/>
        </w:rPr>
      </w:pPr>
      <w:r>
        <w:rPr>
          <w:b/>
        </w:rPr>
        <w:t>STV- 192</w:t>
      </w:r>
    </w:p>
    <w:p w14:paraId="052FEF0D" w14:textId="77777777" w:rsidR="00D40B99" w:rsidRPr="004C263A" w:rsidRDefault="00D40B99" w:rsidP="00D40B99">
      <w:pPr>
        <w:jc w:val="center"/>
        <w:rPr>
          <w:b/>
        </w:rPr>
      </w:pPr>
    </w:p>
    <w:p w14:paraId="1AF28005" w14:textId="77777777" w:rsidR="00D40B99" w:rsidRDefault="00D40B99" w:rsidP="00D40B99">
      <w:pPr>
        <w:pStyle w:val="ListParagraph"/>
        <w:numPr>
          <w:ilvl w:val="0"/>
          <w:numId w:val="1"/>
        </w:numPr>
        <w:tabs>
          <w:tab w:val="left" w:pos="284"/>
        </w:tabs>
        <w:rPr>
          <w:b/>
          <w:bCs/>
          <w:caps/>
        </w:rPr>
      </w:pPr>
      <w:r>
        <w:rPr>
          <w:b/>
          <w:bCs/>
          <w:caps/>
        </w:rPr>
        <w:t>.Bendroji dalis</w:t>
      </w:r>
    </w:p>
    <w:p w14:paraId="6425FF6E" w14:textId="77777777" w:rsidR="00D40B99" w:rsidRDefault="00D40B99" w:rsidP="00D40B99">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D40B99" w:rsidRPr="00FA77CC" w14:paraId="2BD99C48" w14:textId="77777777" w:rsidTr="00621006">
        <w:trPr>
          <w:trHeight w:val="538"/>
        </w:trPr>
        <w:tc>
          <w:tcPr>
            <w:tcW w:w="632" w:type="dxa"/>
          </w:tcPr>
          <w:p w14:paraId="20C500F8"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1.1</w:t>
            </w:r>
          </w:p>
        </w:tc>
        <w:tc>
          <w:tcPr>
            <w:tcW w:w="3694" w:type="dxa"/>
          </w:tcPr>
          <w:p w14:paraId="40C2F40C"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Pareiškėjas</w:t>
            </w:r>
          </w:p>
          <w:p w14:paraId="121954EB" w14:textId="77777777" w:rsidR="00D40B99" w:rsidRPr="00FA77CC" w:rsidRDefault="00D40B99" w:rsidP="00621006">
            <w:pPr>
              <w:tabs>
                <w:tab w:val="left" w:pos="284"/>
              </w:tabs>
              <w:spacing w:line="280" w:lineRule="atLeast"/>
              <w:rPr>
                <w:rFonts w:eastAsia="Arial"/>
                <w:b/>
                <w:sz w:val="24"/>
                <w:szCs w:val="24"/>
              </w:rPr>
            </w:pPr>
          </w:p>
        </w:tc>
        <w:tc>
          <w:tcPr>
            <w:tcW w:w="4713" w:type="dxa"/>
          </w:tcPr>
          <w:p w14:paraId="70DB65B4" w14:textId="5BE04002" w:rsidR="00D40B99" w:rsidRPr="00FA77CC" w:rsidRDefault="00237279" w:rsidP="00621006">
            <w:pPr>
              <w:tabs>
                <w:tab w:val="left" w:pos="284"/>
              </w:tabs>
              <w:spacing w:line="280" w:lineRule="atLeast"/>
              <w:rPr>
                <w:rFonts w:eastAsia="Arial"/>
                <w:b/>
                <w:sz w:val="24"/>
                <w:szCs w:val="24"/>
              </w:rPr>
            </w:pPr>
            <w:r w:rsidRPr="00FA77CC">
              <w:rPr>
                <w:sz w:val="24"/>
                <w:szCs w:val="24"/>
              </w:rPr>
              <w:t xml:space="preserve">Swixx </w:t>
            </w:r>
            <w:proofErr w:type="spellStart"/>
            <w:r w:rsidRPr="00FA77CC">
              <w:rPr>
                <w:sz w:val="24"/>
                <w:szCs w:val="24"/>
              </w:rPr>
              <w:t>Biopharma</w:t>
            </w:r>
            <w:proofErr w:type="spellEnd"/>
            <w:r w:rsidRPr="00FA77CC">
              <w:rPr>
                <w:sz w:val="24"/>
                <w:szCs w:val="24"/>
              </w:rPr>
              <w:t>, UAB</w:t>
            </w:r>
          </w:p>
        </w:tc>
      </w:tr>
      <w:tr w:rsidR="00D40B99" w:rsidRPr="00FA77CC" w14:paraId="562D7876" w14:textId="77777777" w:rsidTr="00621006">
        <w:trPr>
          <w:trHeight w:val="538"/>
        </w:trPr>
        <w:tc>
          <w:tcPr>
            <w:tcW w:w="632" w:type="dxa"/>
          </w:tcPr>
          <w:p w14:paraId="564D5397"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1.2</w:t>
            </w:r>
          </w:p>
        </w:tc>
        <w:tc>
          <w:tcPr>
            <w:tcW w:w="3694" w:type="dxa"/>
          </w:tcPr>
          <w:p w14:paraId="6F8CB519" w14:textId="77777777" w:rsidR="00D40B99" w:rsidRPr="00FA77CC" w:rsidRDefault="00D40B99" w:rsidP="00621006">
            <w:pPr>
              <w:tabs>
                <w:tab w:val="left" w:pos="284"/>
              </w:tabs>
              <w:spacing w:line="280" w:lineRule="atLeast"/>
              <w:rPr>
                <w:b/>
                <w:bCs/>
                <w:color w:val="000000"/>
                <w:sz w:val="24"/>
                <w:szCs w:val="24"/>
              </w:rPr>
            </w:pPr>
            <w:r w:rsidRPr="00FA77CC">
              <w:rPr>
                <w:b/>
                <w:bCs/>
                <w:color w:val="000000"/>
                <w:sz w:val="24"/>
                <w:szCs w:val="24"/>
              </w:rPr>
              <w:t xml:space="preserve">Registracijos data </w:t>
            </w:r>
          </w:p>
          <w:p w14:paraId="040C79D8" w14:textId="77777777" w:rsidR="00D40B99" w:rsidRPr="00FA77CC" w:rsidRDefault="00D40B99" w:rsidP="00621006">
            <w:pPr>
              <w:tabs>
                <w:tab w:val="left" w:pos="284"/>
              </w:tabs>
              <w:spacing w:line="280" w:lineRule="atLeast"/>
              <w:rPr>
                <w:bCs/>
                <w:color w:val="000000"/>
                <w:sz w:val="24"/>
                <w:szCs w:val="24"/>
              </w:rPr>
            </w:pPr>
          </w:p>
        </w:tc>
        <w:tc>
          <w:tcPr>
            <w:tcW w:w="4713" w:type="dxa"/>
          </w:tcPr>
          <w:p w14:paraId="6DAB0D63" w14:textId="70A53044" w:rsidR="00D40B99" w:rsidRPr="00FA77CC" w:rsidRDefault="00E060AC" w:rsidP="00621006">
            <w:pPr>
              <w:pStyle w:val="ListParagraph"/>
              <w:spacing w:after="120"/>
              <w:ind w:left="0"/>
              <w:contextualSpacing w:val="0"/>
              <w:jc w:val="both"/>
              <w:rPr>
                <w:rStyle w:val="Style2"/>
                <w:sz w:val="24"/>
                <w:szCs w:val="24"/>
              </w:rPr>
            </w:pPr>
            <w:sdt>
              <w:sdtPr>
                <w:rPr>
                  <w:color w:val="333333"/>
                  <w:sz w:val="32"/>
                  <w:shd w:val="clear" w:color="auto" w:fill="FFFFFF"/>
                  <w:lang w:val="en-US"/>
                </w:rPr>
                <w:alias w:val="Nurodykite konkrečią dieną"/>
                <w:tag w:val="Nurodykite pradžios datą"/>
                <w:id w:val="423238108"/>
                <w:placeholder>
                  <w:docPart w:val="B251EAB4E0D06D4B8A76912AA2CC3A86"/>
                </w:placeholder>
                <w15:color w:val="FFCC99"/>
                <w:date>
                  <w:dateFormat w:val="yyyy 'm.' MMMM d 'd.'"/>
                  <w:lid w:val="lt-LT"/>
                  <w:storeMappedDataAs w:val="dateTime"/>
                  <w:calendar w:val="gregorian"/>
                </w:date>
              </w:sdtPr>
              <w:sdtEndPr/>
              <w:sdtContent>
                <w:r w:rsidR="00D40B99" w:rsidRPr="00FA77CC">
                  <w:rPr>
                    <w:color w:val="333333"/>
                    <w:sz w:val="24"/>
                    <w:szCs w:val="24"/>
                    <w:shd w:val="clear" w:color="auto" w:fill="FFFFFF"/>
                  </w:rPr>
                  <w:t xml:space="preserve">2019 m. </w:t>
                </w:r>
                <w:r w:rsidR="00237279" w:rsidRPr="00FA77CC">
                  <w:rPr>
                    <w:color w:val="333333"/>
                    <w:sz w:val="24"/>
                    <w:szCs w:val="24"/>
                    <w:shd w:val="clear" w:color="auto" w:fill="FFFFFF"/>
                  </w:rPr>
                  <w:t>rugsėjo 19</w:t>
                </w:r>
                <w:r w:rsidR="00D40B99" w:rsidRPr="00FA77CC">
                  <w:rPr>
                    <w:color w:val="333333"/>
                    <w:sz w:val="24"/>
                    <w:szCs w:val="24"/>
                    <w:shd w:val="clear" w:color="auto" w:fill="FFFFFF"/>
                  </w:rPr>
                  <w:t xml:space="preserve"> d.</w:t>
                </w:r>
              </w:sdtContent>
            </w:sdt>
          </w:p>
        </w:tc>
      </w:tr>
      <w:tr w:rsidR="00D40B99" w:rsidRPr="00FA77CC" w14:paraId="7B9D10D2" w14:textId="77777777" w:rsidTr="00621006">
        <w:trPr>
          <w:trHeight w:val="1500"/>
        </w:trPr>
        <w:tc>
          <w:tcPr>
            <w:tcW w:w="632" w:type="dxa"/>
          </w:tcPr>
          <w:p w14:paraId="29733D7B"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1.3</w:t>
            </w:r>
          </w:p>
        </w:tc>
        <w:tc>
          <w:tcPr>
            <w:tcW w:w="3694" w:type="dxa"/>
          </w:tcPr>
          <w:p w14:paraId="450A5FC4" w14:textId="77777777" w:rsidR="00D40B99" w:rsidRPr="00FA77CC" w:rsidRDefault="00D40B99" w:rsidP="00621006">
            <w:pPr>
              <w:pStyle w:val="NoSpacing"/>
              <w:rPr>
                <w:rFonts w:ascii="Times New Roman" w:hAnsi="Times New Roman"/>
                <w:b/>
                <w:sz w:val="24"/>
                <w:szCs w:val="24"/>
              </w:rPr>
            </w:pPr>
            <w:r w:rsidRPr="00FA77CC">
              <w:rPr>
                <w:rFonts w:ascii="Times New Roman" w:hAnsi="Times New Roman"/>
                <w:b/>
                <w:sz w:val="24"/>
                <w:szCs w:val="24"/>
              </w:rPr>
              <w:t xml:space="preserve">Paraiškos tipas </w:t>
            </w:r>
          </w:p>
          <w:p w14:paraId="3A08B201" w14:textId="77777777" w:rsidR="00D40B99" w:rsidRPr="00FA77CC" w:rsidRDefault="00D40B99" w:rsidP="00621006">
            <w:pPr>
              <w:rPr>
                <w:b/>
                <w:sz w:val="24"/>
                <w:szCs w:val="24"/>
              </w:rPr>
            </w:pPr>
            <w:r w:rsidRPr="00FA77CC">
              <w:rPr>
                <w:b/>
                <w:sz w:val="24"/>
                <w:szCs w:val="24"/>
              </w:rPr>
              <w:t xml:space="preserve">(pagal </w:t>
            </w:r>
            <w:r w:rsidRPr="00FA77CC">
              <w:rPr>
                <w:b/>
                <w:color w:val="333333"/>
                <w:sz w:val="24"/>
                <w:szCs w:val="24"/>
                <w:shd w:val="clear" w:color="auto" w:fill="FFFFFF"/>
              </w:rPr>
              <w:t>vaistinio preparato registracijos tipą, įtvirtintą</w:t>
            </w:r>
            <w:r w:rsidRPr="00FA77CC">
              <w:rPr>
                <w:b/>
                <w:sz w:val="24"/>
                <w:szCs w:val="24"/>
              </w:rPr>
              <w:t xml:space="preserve"> Direktyvos 2001/83/EB </w:t>
            </w:r>
            <w:proofErr w:type="spellStart"/>
            <w:r w:rsidRPr="00FA77CC">
              <w:rPr>
                <w:b/>
                <w:sz w:val="24"/>
                <w:szCs w:val="24"/>
              </w:rPr>
              <w:t>straipsiuose</w:t>
            </w:r>
            <w:proofErr w:type="spellEnd"/>
            <w:r w:rsidRPr="00FA77CC">
              <w:rPr>
                <w:b/>
                <w:sz w:val="24"/>
                <w:szCs w:val="24"/>
              </w:rPr>
              <w:t>)</w:t>
            </w:r>
          </w:p>
          <w:p w14:paraId="7AA194FF" w14:textId="77777777" w:rsidR="00D40B99" w:rsidRPr="00FA77CC" w:rsidRDefault="00D40B99" w:rsidP="00621006">
            <w:pPr>
              <w:tabs>
                <w:tab w:val="left" w:pos="284"/>
              </w:tabs>
              <w:spacing w:line="280" w:lineRule="atLeast"/>
              <w:rPr>
                <w:b/>
                <w:bCs/>
                <w:color w:val="000000"/>
                <w:sz w:val="24"/>
                <w:szCs w:val="24"/>
              </w:rPr>
            </w:pPr>
          </w:p>
        </w:tc>
        <w:tc>
          <w:tcPr>
            <w:tcW w:w="4713" w:type="dxa"/>
          </w:tcPr>
          <w:p w14:paraId="23DDE32A" w14:textId="77777777" w:rsidR="00D40B99" w:rsidRPr="00FA77CC" w:rsidRDefault="00E060AC" w:rsidP="00621006">
            <w:pPr>
              <w:pStyle w:val="ListParagraph"/>
              <w:spacing w:after="120"/>
              <w:ind w:left="0"/>
              <w:contextualSpacing w:val="0"/>
              <w:jc w:val="both"/>
              <w:rPr>
                <w:sz w:val="24"/>
                <w:szCs w:val="24"/>
              </w:rPr>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D40B99" w:rsidRPr="00FA77CC">
                  <w:rPr>
                    <w:rStyle w:val="Style2"/>
                    <w:rFonts w:ascii="Segoe UI Symbol" w:eastAsia="MS Gothic" w:hAnsi="Segoe UI Symbol" w:cs="Segoe UI Symbol"/>
                    <w:sz w:val="24"/>
                    <w:szCs w:val="24"/>
                  </w:rPr>
                  <w:t>☒</w:t>
                </w:r>
              </w:sdtContent>
            </w:sdt>
            <w:r w:rsidR="00D40B99" w:rsidRPr="00FA77CC">
              <w:rPr>
                <w:sz w:val="24"/>
                <w:szCs w:val="24"/>
              </w:rPr>
              <w:t xml:space="preserve">8.3 str. (pilna byla, pagrįsta savais tyrimais) </w:t>
            </w:r>
          </w:p>
          <w:p w14:paraId="126084B9" w14:textId="77777777" w:rsidR="00D40B99" w:rsidRPr="00FA77CC" w:rsidRDefault="00E060AC" w:rsidP="00621006">
            <w:pPr>
              <w:pStyle w:val="ListParagraph"/>
              <w:spacing w:after="120"/>
              <w:ind w:left="0"/>
              <w:contextualSpacing w:val="0"/>
              <w:jc w:val="both"/>
              <w:rPr>
                <w:sz w:val="24"/>
                <w:szCs w:val="24"/>
              </w:rPr>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D40B99" w:rsidRPr="00FA77CC">
                  <w:rPr>
                    <w:rStyle w:val="Style2"/>
                    <w:rFonts w:ascii="Segoe UI Symbol" w:eastAsia="MS Gothic" w:hAnsi="Segoe UI Symbol" w:cs="Segoe UI Symbol"/>
                    <w:sz w:val="24"/>
                    <w:szCs w:val="24"/>
                  </w:rPr>
                  <w:t>☐</w:t>
                </w:r>
              </w:sdtContent>
            </w:sdt>
            <w:r w:rsidR="00D40B99" w:rsidRPr="00FA77CC">
              <w:rPr>
                <w:sz w:val="24"/>
                <w:szCs w:val="24"/>
              </w:rPr>
              <w:t xml:space="preserve">10 a str. (pripažintas medicininis vartojimas) </w:t>
            </w:r>
          </w:p>
          <w:p w14:paraId="1BD0651B" w14:textId="77777777" w:rsidR="00D40B99" w:rsidRPr="00FA77CC" w:rsidRDefault="00E060AC" w:rsidP="00621006">
            <w:pPr>
              <w:pStyle w:val="ListParagraph"/>
              <w:spacing w:after="120"/>
              <w:ind w:left="0"/>
              <w:contextualSpacing w:val="0"/>
              <w:jc w:val="both"/>
              <w:rPr>
                <w:sz w:val="24"/>
                <w:szCs w:val="24"/>
              </w:rPr>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D40B99" w:rsidRPr="00FA77CC">
                  <w:rPr>
                    <w:rStyle w:val="Style2"/>
                    <w:rFonts w:ascii="Segoe UI Symbol" w:eastAsia="MS Gothic" w:hAnsi="Segoe UI Symbol" w:cs="Segoe UI Symbol"/>
                    <w:sz w:val="24"/>
                    <w:szCs w:val="24"/>
                  </w:rPr>
                  <w:t>☐</w:t>
                </w:r>
              </w:sdtContent>
            </w:sdt>
            <w:r w:rsidR="00D40B99" w:rsidRPr="00FA77CC">
              <w:rPr>
                <w:sz w:val="24"/>
                <w:szCs w:val="24"/>
              </w:rPr>
              <w:t>10.1 str. (</w:t>
            </w:r>
            <w:proofErr w:type="spellStart"/>
            <w:r w:rsidR="00D40B99" w:rsidRPr="00FA77CC">
              <w:rPr>
                <w:sz w:val="24"/>
                <w:szCs w:val="24"/>
              </w:rPr>
              <w:t>generinis</w:t>
            </w:r>
            <w:proofErr w:type="spellEnd"/>
            <w:r w:rsidR="00D40B99" w:rsidRPr="00FA77CC">
              <w:rPr>
                <w:sz w:val="24"/>
                <w:szCs w:val="24"/>
              </w:rPr>
              <w:t>)</w:t>
            </w:r>
          </w:p>
          <w:p w14:paraId="24C3839E" w14:textId="77777777" w:rsidR="00D40B99" w:rsidRPr="00FA77CC" w:rsidRDefault="00E060AC" w:rsidP="00621006">
            <w:pPr>
              <w:pStyle w:val="ListParagraph"/>
              <w:spacing w:after="120"/>
              <w:ind w:left="0"/>
              <w:contextualSpacing w:val="0"/>
              <w:jc w:val="both"/>
              <w:rPr>
                <w:rStyle w:val="Style2"/>
                <w:sz w:val="24"/>
                <w:szCs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D40B99" w:rsidRPr="00FA77CC">
                  <w:rPr>
                    <w:rStyle w:val="Style2"/>
                    <w:rFonts w:ascii="Segoe UI Symbol" w:eastAsia="MS Gothic" w:hAnsi="Segoe UI Symbol" w:cs="Segoe UI Symbol"/>
                    <w:sz w:val="24"/>
                    <w:szCs w:val="24"/>
                  </w:rPr>
                  <w:t>☐</w:t>
                </w:r>
              </w:sdtContent>
            </w:sdt>
            <w:r w:rsidR="00D40B99" w:rsidRPr="00FA77CC">
              <w:rPr>
                <w:sz w:val="24"/>
                <w:szCs w:val="24"/>
              </w:rPr>
              <w:t>10.3 str. (hibridinis)</w:t>
            </w:r>
          </w:p>
        </w:tc>
      </w:tr>
      <w:tr w:rsidR="00D40B99" w:rsidRPr="00FA77CC" w14:paraId="2F8EE7CC" w14:textId="77777777" w:rsidTr="00621006">
        <w:trPr>
          <w:trHeight w:val="1442"/>
        </w:trPr>
        <w:tc>
          <w:tcPr>
            <w:tcW w:w="632" w:type="dxa"/>
          </w:tcPr>
          <w:p w14:paraId="539B52FB"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1.4</w:t>
            </w:r>
          </w:p>
        </w:tc>
        <w:tc>
          <w:tcPr>
            <w:tcW w:w="3694" w:type="dxa"/>
          </w:tcPr>
          <w:p w14:paraId="08CB496B" w14:textId="77777777" w:rsidR="00D40B99" w:rsidRPr="00FA77CC" w:rsidRDefault="00D40B99" w:rsidP="00621006">
            <w:pPr>
              <w:tabs>
                <w:tab w:val="left" w:pos="284"/>
              </w:tabs>
              <w:spacing w:line="280" w:lineRule="atLeast"/>
              <w:rPr>
                <w:b/>
                <w:bCs/>
                <w:color w:val="000000"/>
                <w:sz w:val="24"/>
                <w:szCs w:val="24"/>
              </w:rPr>
            </w:pPr>
            <w:r w:rsidRPr="00FA77CC">
              <w:rPr>
                <w:b/>
                <w:bCs/>
                <w:color w:val="000000"/>
                <w:sz w:val="24"/>
                <w:szCs w:val="24"/>
              </w:rPr>
              <w:t xml:space="preserve">Ar vaistinis preparatas įrašytas į Bendrijos retųjų vaistinių preparatų registrą? </w:t>
            </w:r>
          </w:p>
          <w:p w14:paraId="79CC465D" w14:textId="77777777" w:rsidR="00D40B99" w:rsidRPr="00FA77CC" w:rsidRDefault="00D40B99" w:rsidP="00621006">
            <w:pPr>
              <w:tabs>
                <w:tab w:val="left" w:pos="284"/>
              </w:tabs>
              <w:spacing w:line="280" w:lineRule="atLeast"/>
              <w:rPr>
                <w:b/>
                <w:bCs/>
                <w:color w:val="000000"/>
                <w:sz w:val="24"/>
                <w:szCs w:val="24"/>
              </w:rPr>
            </w:pPr>
          </w:p>
        </w:tc>
        <w:tc>
          <w:tcPr>
            <w:tcW w:w="4713" w:type="dxa"/>
          </w:tcPr>
          <w:p w14:paraId="2CB45C57" w14:textId="17CDCDD4" w:rsidR="00D40B99" w:rsidRPr="00FA77CC" w:rsidRDefault="00E060AC" w:rsidP="00621006">
            <w:pPr>
              <w:pStyle w:val="ListParagraph"/>
              <w:spacing w:after="120"/>
              <w:ind w:left="0"/>
              <w:contextualSpacing w:val="0"/>
              <w:jc w:val="both"/>
              <w:rPr>
                <w:sz w:val="24"/>
                <w:szCs w:val="24"/>
              </w:rPr>
            </w:pPr>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237279" w:rsidRPr="00FA77CC">
                  <w:rPr>
                    <w:rStyle w:val="Style2"/>
                    <w:rFonts w:ascii="Segoe UI Symbol" w:eastAsia="MS Gothic" w:hAnsi="Segoe UI Symbol" w:cs="Segoe UI Symbol"/>
                    <w:sz w:val="24"/>
                    <w:szCs w:val="24"/>
                  </w:rPr>
                  <w:t>☒</w:t>
                </w:r>
              </w:sdtContent>
            </w:sdt>
            <w:r w:rsidR="00D40B99" w:rsidRPr="00FA77CC">
              <w:rPr>
                <w:sz w:val="24"/>
                <w:szCs w:val="24"/>
              </w:rPr>
              <w:t xml:space="preserve"> Taip</w:t>
            </w:r>
          </w:p>
          <w:p w14:paraId="1E474781" w14:textId="0E799B48" w:rsidR="00237279" w:rsidRPr="00FA77CC" w:rsidRDefault="00E060AC" w:rsidP="00621006">
            <w:pPr>
              <w:pStyle w:val="ListParagraph"/>
              <w:spacing w:after="120"/>
              <w:ind w:left="0"/>
              <w:contextualSpacing w:val="0"/>
              <w:jc w:val="both"/>
              <w:rPr>
                <w:sz w:val="24"/>
                <w:szCs w:val="24"/>
              </w:rPr>
            </w:pPr>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237279" w:rsidRPr="00FA77CC">
                  <w:rPr>
                    <w:rStyle w:val="Style2"/>
                    <w:rFonts w:ascii="Segoe UI Symbol" w:eastAsia="MS Gothic" w:hAnsi="Segoe UI Symbol" w:cs="Segoe UI Symbol"/>
                    <w:sz w:val="24"/>
                    <w:szCs w:val="24"/>
                  </w:rPr>
                  <w:t>☐</w:t>
                </w:r>
              </w:sdtContent>
            </w:sdt>
            <w:r w:rsidR="00D40B99" w:rsidRPr="00FA77CC">
              <w:rPr>
                <w:sz w:val="24"/>
                <w:szCs w:val="24"/>
              </w:rPr>
              <w:t xml:space="preserve"> Ne</w:t>
            </w:r>
          </w:p>
          <w:p w14:paraId="6A46DADE" w14:textId="6D97514A" w:rsidR="00D40B99" w:rsidRPr="00FA77CC" w:rsidRDefault="00E060AC" w:rsidP="00237279">
            <w:pPr>
              <w:rPr>
                <w:sz w:val="24"/>
                <w:szCs w:val="24"/>
              </w:rPr>
            </w:pPr>
            <w:sdt>
              <w:sdtPr>
                <w:rPr>
                  <w:lang w:val="fi-FI"/>
                </w:rPr>
                <w:alias w:val="Nurodykite konkrečią dieną"/>
                <w:tag w:val="Nurodykite pradžios datą"/>
                <w:id w:val="693498901"/>
                <w:placeholder>
                  <w:docPart w:val="C8311907EBC6F747BE6E579547F7C299"/>
                </w:placeholder>
                <w15:color w:val="FFCC99"/>
                <w:date>
                  <w:dateFormat w:val="yyyy 'm.' MMMM d 'd.'"/>
                  <w:lid w:val="lt-LT"/>
                  <w:storeMappedDataAs w:val="dateTime"/>
                  <w:calendar w:val="gregorian"/>
                </w:date>
              </w:sdtPr>
              <w:sdtEndPr/>
              <w:sdtContent>
                <w:r w:rsidR="00237279" w:rsidRPr="00FA77CC">
                  <w:rPr>
                    <w:sz w:val="24"/>
                    <w:szCs w:val="24"/>
                    <w:lang w:val="fi-FI"/>
                  </w:rPr>
                  <w:t>2014 m. spalio 15 d. (EU/3/14/1339)</w:t>
                </w:r>
              </w:sdtContent>
            </w:sdt>
          </w:p>
        </w:tc>
      </w:tr>
      <w:tr w:rsidR="00D40B99" w:rsidRPr="00FA77CC" w14:paraId="3DD045E9" w14:textId="77777777" w:rsidTr="00621006">
        <w:trPr>
          <w:trHeight w:val="1922"/>
        </w:trPr>
        <w:tc>
          <w:tcPr>
            <w:tcW w:w="632" w:type="dxa"/>
          </w:tcPr>
          <w:p w14:paraId="185F3EF9"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1.5</w:t>
            </w:r>
          </w:p>
        </w:tc>
        <w:tc>
          <w:tcPr>
            <w:tcW w:w="3694" w:type="dxa"/>
          </w:tcPr>
          <w:p w14:paraId="18FFA356" w14:textId="77777777" w:rsidR="00D40B99" w:rsidRPr="00FA77CC" w:rsidRDefault="00D40B99" w:rsidP="00621006">
            <w:pPr>
              <w:tabs>
                <w:tab w:val="left" w:pos="284"/>
              </w:tabs>
              <w:spacing w:line="280" w:lineRule="atLeast"/>
              <w:rPr>
                <w:b/>
                <w:bCs/>
                <w:color w:val="000000"/>
                <w:sz w:val="24"/>
                <w:szCs w:val="24"/>
              </w:rPr>
            </w:pPr>
            <w:r w:rsidRPr="00FA77CC">
              <w:rPr>
                <w:b/>
                <w:bCs/>
                <w:color w:val="000000"/>
                <w:sz w:val="24"/>
                <w:szCs w:val="24"/>
              </w:rPr>
              <w:t>Teikiama (-</w:t>
            </w:r>
            <w:proofErr w:type="spellStart"/>
            <w:r w:rsidRPr="00FA77CC">
              <w:rPr>
                <w:b/>
                <w:bCs/>
                <w:color w:val="000000"/>
                <w:sz w:val="24"/>
                <w:szCs w:val="24"/>
              </w:rPr>
              <w:t>os</w:t>
            </w:r>
            <w:proofErr w:type="spellEnd"/>
            <w:r w:rsidRPr="00FA77CC">
              <w:rPr>
                <w:b/>
                <w:bCs/>
                <w:color w:val="000000"/>
                <w:sz w:val="24"/>
                <w:szCs w:val="24"/>
              </w:rPr>
              <w:t>) kompensuoti registruota (-</w:t>
            </w:r>
            <w:proofErr w:type="spellStart"/>
            <w:r w:rsidRPr="00FA77CC">
              <w:rPr>
                <w:b/>
                <w:bCs/>
                <w:color w:val="000000"/>
                <w:sz w:val="24"/>
                <w:szCs w:val="24"/>
              </w:rPr>
              <w:t>os</w:t>
            </w:r>
            <w:proofErr w:type="spellEnd"/>
            <w:r w:rsidRPr="00FA77CC">
              <w:rPr>
                <w:b/>
                <w:bCs/>
                <w:color w:val="000000"/>
                <w:sz w:val="24"/>
                <w:szCs w:val="24"/>
              </w:rPr>
              <w:t>) vaistinio preparato indikacija (-</w:t>
            </w:r>
            <w:proofErr w:type="spellStart"/>
            <w:r w:rsidRPr="00FA77CC">
              <w:rPr>
                <w:b/>
                <w:bCs/>
                <w:color w:val="000000"/>
                <w:sz w:val="24"/>
                <w:szCs w:val="24"/>
              </w:rPr>
              <w:t>os</w:t>
            </w:r>
            <w:proofErr w:type="spellEnd"/>
            <w:r w:rsidRPr="00FA77CC">
              <w:rPr>
                <w:b/>
                <w:bCs/>
                <w:color w:val="000000"/>
                <w:sz w:val="24"/>
                <w:szCs w:val="24"/>
              </w:rPr>
              <w:t xml:space="preserve">), </w:t>
            </w:r>
          </w:p>
          <w:p w14:paraId="2229DBA8" w14:textId="77777777" w:rsidR="00D40B99" w:rsidRPr="00FA77CC" w:rsidRDefault="00D40B99" w:rsidP="00621006">
            <w:pPr>
              <w:tabs>
                <w:tab w:val="left" w:pos="284"/>
              </w:tabs>
              <w:spacing w:line="280" w:lineRule="atLeast"/>
              <w:rPr>
                <w:b/>
                <w:bCs/>
                <w:color w:val="000000"/>
                <w:sz w:val="24"/>
                <w:szCs w:val="24"/>
              </w:rPr>
            </w:pPr>
            <w:r w:rsidRPr="00FA77CC">
              <w:rPr>
                <w:b/>
                <w:bCs/>
                <w:color w:val="000000"/>
                <w:sz w:val="24"/>
                <w:szCs w:val="24"/>
              </w:rPr>
              <w:t>TLK kodas</w:t>
            </w:r>
          </w:p>
        </w:tc>
        <w:tc>
          <w:tcPr>
            <w:tcW w:w="4713" w:type="dxa"/>
          </w:tcPr>
          <w:p w14:paraId="09721BE3" w14:textId="77777777" w:rsidR="00814591" w:rsidRPr="00FA77CC" w:rsidRDefault="00814591" w:rsidP="00814591">
            <w:pPr>
              <w:rPr>
                <w:sz w:val="24"/>
                <w:szCs w:val="24"/>
              </w:rPr>
            </w:pPr>
            <w:proofErr w:type="spellStart"/>
            <w:r w:rsidRPr="00FA77CC">
              <w:rPr>
                <w:sz w:val="24"/>
                <w:szCs w:val="24"/>
              </w:rPr>
              <w:t>Epidyolex</w:t>
            </w:r>
            <w:proofErr w:type="spellEnd"/>
            <w:r w:rsidRPr="00FA77CC">
              <w:rPr>
                <w:sz w:val="24"/>
                <w:szCs w:val="24"/>
              </w:rPr>
              <w:t xml:space="preserve"> skirtas vartoti kartu su </w:t>
            </w:r>
            <w:proofErr w:type="spellStart"/>
            <w:r w:rsidRPr="00FA77CC">
              <w:rPr>
                <w:sz w:val="24"/>
                <w:szCs w:val="24"/>
              </w:rPr>
              <w:t>klobazamu</w:t>
            </w:r>
            <w:proofErr w:type="spellEnd"/>
            <w:r w:rsidRPr="00FA77CC">
              <w:rPr>
                <w:sz w:val="24"/>
                <w:szCs w:val="24"/>
              </w:rPr>
              <w:t xml:space="preserve"> kaip papildoma priemonė gydyti traukulius, susijusius su </w:t>
            </w:r>
            <w:proofErr w:type="spellStart"/>
            <w:r w:rsidRPr="00FA77CC">
              <w:rPr>
                <w:sz w:val="24"/>
                <w:szCs w:val="24"/>
              </w:rPr>
              <w:t>Lenokso-Gasto</w:t>
            </w:r>
            <w:proofErr w:type="spellEnd"/>
            <w:r w:rsidRPr="00FA77CC">
              <w:rPr>
                <w:sz w:val="24"/>
                <w:szCs w:val="24"/>
              </w:rPr>
              <w:t xml:space="preserve"> (</w:t>
            </w:r>
            <w:proofErr w:type="spellStart"/>
            <w:r w:rsidRPr="00FA77CC">
              <w:rPr>
                <w:sz w:val="24"/>
                <w:szCs w:val="24"/>
              </w:rPr>
              <w:t>Lennox-Gastaut</w:t>
            </w:r>
            <w:proofErr w:type="spellEnd"/>
            <w:r w:rsidRPr="00FA77CC">
              <w:rPr>
                <w:sz w:val="24"/>
                <w:szCs w:val="24"/>
              </w:rPr>
              <w:t>) sindromu (LGS), 2 metų ir vyresniems pacientams.</w:t>
            </w:r>
          </w:p>
          <w:p w14:paraId="79A47C86" w14:textId="77777777" w:rsidR="00814591" w:rsidRPr="00FA77CC" w:rsidRDefault="00814591" w:rsidP="00814591">
            <w:pPr>
              <w:rPr>
                <w:sz w:val="24"/>
                <w:szCs w:val="24"/>
              </w:rPr>
            </w:pPr>
          </w:p>
          <w:p w14:paraId="38F8DA02" w14:textId="364A0F33" w:rsidR="00D40B99" w:rsidRPr="00FA77CC" w:rsidRDefault="00814591" w:rsidP="00814591">
            <w:pPr>
              <w:pStyle w:val="ListParagraph"/>
              <w:spacing w:after="120"/>
              <w:ind w:left="0"/>
              <w:contextualSpacing w:val="0"/>
              <w:jc w:val="both"/>
              <w:rPr>
                <w:sz w:val="24"/>
                <w:szCs w:val="24"/>
              </w:rPr>
            </w:pPr>
            <w:r w:rsidRPr="00FA77CC">
              <w:rPr>
                <w:sz w:val="24"/>
                <w:szCs w:val="24"/>
                <w:lang w:val="en-GB"/>
              </w:rPr>
              <w:t>TLK-10:  G40.41</w:t>
            </w:r>
          </w:p>
        </w:tc>
      </w:tr>
      <w:tr w:rsidR="00D40B99" w:rsidRPr="00FA77CC" w14:paraId="6B3D7932" w14:textId="77777777" w:rsidTr="00621006">
        <w:trPr>
          <w:trHeight w:val="378"/>
        </w:trPr>
        <w:tc>
          <w:tcPr>
            <w:tcW w:w="632" w:type="dxa"/>
          </w:tcPr>
          <w:p w14:paraId="7A16C48C"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1.6</w:t>
            </w:r>
          </w:p>
        </w:tc>
        <w:tc>
          <w:tcPr>
            <w:tcW w:w="3694" w:type="dxa"/>
          </w:tcPr>
          <w:p w14:paraId="567F24F2" w14:textId="77777777" w:rsidR="00D40B99" w:rsidRPr="00FA77CC" w:rsidRDefault="00D40B99" w:rsidP="00621006">
            <w:pPr>
              <w:tabs>
                <w:tab w:val="left" w:pos="284"/>
              </w:tabs>
              <w:spacing w:line="280" w:lineRule="atLeast"/>
              <w:rPr>
                <w:bCs/>
                <w:color w:val="000000"/>
                <w:sz w:val="24"/>
                <w:szCs w:val="24"/>
                <w:u w:val="single"/>
              </w:rPr>
            </w:pPr>
            <w:r w:rsidRPr="00FA77CC">
              <w:rPr>
                <w:b/>
                <w:bCs/>
                <w:color w:val="000000"/>
                <w:sz w:val="24"/>
                <w:szCs w:val="24"/>
              </w:rPr>
              <w:t xml:space="preserve">Teikiamos skyrimo sąlygos </w:t>
            </w:r>
          </w:p>
        </w:tc>
        <w:tc>
          <w:tcPr>
            <w:tcW w:w="4713" w:type="dxa"/>
          </w:tcPr>
          <w:p w14:paraId="66B93BF1" w14:textId="0AC6336F" w:rsidR="00D40B99" w:rsidRPr="00FA77CC" w:rsidRDefault="00237279" w:rsidP="00621006">
            <w:pPr>
              <w:pStyle w:val="ListParagraph"/>
              <w:spacing w:after="120"/>
              <w:ind w:left="0"/>
              <w:contextualSpacing w:val="0"/>
              <w:jc w:val="both"/>
              <w:rPr>
                <w:sz w:val="24"/>
                <w:szCs w:val="24"/>
              </w:rPr>
            </w:pPr>
            <w:r w:rsidRPr="00FA77CC">
              <w:rPr>
                <w:sz w:val="24"/>
                <w:szCs w:val="24"/>
                <w:shd w:val="clear" w:color="auto" w:fill="FFFFFF"/>
              </w:rPr>
              <w:t>-</w:t>
            </w:r>
          </w:p>
        </w:tc>
      </w:tr>
      <w:tr w:rsidR="00D40B99" w:rsidRPr="00FA77CC" w14:paraId="2E20B5D9" w14:textId="77777777" w:rsidTr="00621006">
        <w:trPr>
          <w:trHeight w:val="378"/>
        </w:trPr>
        <w:tc>
          <w:tcPr>
            <w:tcW w:w="632" w:type="dxa"/>
          </w:tcPr>
          <w:p w14:paraId="305F5B8A" w14:textId="77777777" w:rsidR="00D40B99" w:rsidRPr="00FA77CC" w:rsidRDefault="00D40B99" w:rsidP="00621006">
            <w:pPr>
              <w:tabs>
                <w:tab w:val="left" w:pos="284"/>
              </w:tabs>
              <w:spacing w:line="280" w:lineRule="atLeast"/>
              <w:rPr>
                <w:rFonts w:eastAsia="Arial"/>
                <w:b/>
                <w:sz w:val="24"/>
                <w:szCs w:val="24"/>
              </w:rPr>
            </w:pPr>
            <w:r w:rsidRPr="00FA77CC">
              <w:rPr>
                <w:rFonts w:eastAsia="Arial"/>
                <w:b/>
                <w:sz w:val="24"/>
                <w:szCs w:val="24"/>
              </w:rPr>
              <w:t>1.7</w:t>
            </w:r>
          </w:p>
        </w:tc>
        <w:tc>
          <w:tcPr>
            <w:tcW w:w="3694" w:type="dxa"/>
          </w:tcPr>
          <w:p w14:paraId="55479805" w14:textId="77777777" w:rsidR="00D40B99" w:rsidRPr="00FA77CC" w:rsidRDefault="00D40B99" w:rsidP="00621006">
            <w:pPr>
              <w:tabs>
                <w:tab w:val="left" w:pos="284"/>
              </w:tabs>
              <w:spacing w:line="280" w:lineRule="atLeast"/>
              <w:rPr>
                <w:b/>
                <w:bCs/>
                <w:color w:val="000000"/>
                <w:sz w:val="24"/>
                <w:szCs w:val="24"/>
              </w:rPr>
            </w:pPr>
            <w:r w:rsidRPr="00FA77CC">
              <w:rPr>
                <w:b/>
                <w:bCs/>
                <w:color w:val="000000"/>
                <w:sz w:val="24"/>
                <w:szCs w:val="24"/>
              </w:rPr>
              <w:t xml:space="preserve">Palyginamasis gydymas </w:t>
            </w:r>
          </w:p>
        </w:tc>
        <w:tc>
          <w:tcPr>
            <w:tcW w:w="4713" w:type="dxa"/>
          </w:tcPr>
          <w:p w14:paraId="369FDE52" w14:textId="04E8DF53" w:rsidR="00D40B99" w:rsidRPr="00FA77CC" w:rsidRDefault="00237279" w:rsidP="00621006">
            <w:pPr>
              <w:spacing w:after="120"/>
              <w:jc w:val="both"/>
              <w:rPr>
                <w:sz w:val="24"/>
                <w:szCs w:val="24"/>
              </w:rPr>
            </w:pPr>
            <w:r w:rsidRPr="00FA77CC">
              <w:rPr>
                <w:sz w:val="24"/>
                <w:szCs w:val="24"/>
              </w:rPr>
              <w:t xml:space="preserve">Įprastinė priežiūra </w:t>
            </w:r>
            <w:r w:rsidRPr="00FA77CC">
              <w:rPr>
                <w:sz w:val="24"/>
                <w:szCs w:val="24"/>
                <w:lang w:val="en-US"/>
              </w:rPr>
              <w:t xml:space="preserve">+ </w:t>
            </w:r>
            <w:proofErr w:type="spellStart"/>
            <w:r w:rsidRPr="00FA77CC">
              <w:rPr>
                <w:sz w:val="24"/>
                <w:szCs w:val="24"/>
                <w:lang w:val="en-US"/>
              </w:rPr>
              <w:t>placebas</w:t>
            </w:r>
            <w:proofErr w:type="spellEnd"/>
            <w:r w:rsidRPr="00FA77CC">
              <w:rPr>
                <w:sz w:val="24"/>
                <w:szCs w:val="24"/>
              </w:rPr>
              <w:t xml:space="preserve"> (tinkamas)</w:t>
            </w:r>
          </w:p>
        </w:tc>
      </w:tr>
    </w:tbl>
    <w:p w14:paraId="37ED194E" w14:textId="77777777" w:rsidR="00D40B99" w:rsidRDefault="00D40B99" w:rsidP="00D40B99">
      <w:pPr>
        <w:pStyle w:val="ListParagraph"/>
        <w:tabs>
          <w:tab w:val="left" w:pos="426"/>
        </w:tabs>
        <w:ind w:left="0"/>
        <w:rPr>
          <w:b/>
          <w:bCs/>
          <w:caps/>
        </w:rPr>
      </w:pPr>
    </w:p>
    <w:p w14:paraId="1DF08627" w14:textId="77777777" w:rsidR="00D40B99" w:rsidRPr="00177C8C" w:rsidRDefault="00D40B99" w:rsidP="00D40B99">
      <w:pPr>
        <w:spacing w:line="276" w:lineRule="auto"/>
        <w:jc w:val="both"/>
        <w:rPr>
          <w:rFonts w:eastAsia="Arial"/>
          <w:b/>
        </w:rPr>
      </w:pPr>
      <w:r w:rsidRPr="00177C8C">
        <w:rPr>
          <w:rFonts w:eastAsia="Arial"/>
          <w:b/>
        </w:rPr>
        <w:lastRenderedPageBreak/>
        <w:t>1.</w:t>
      </w:r>
      <w:r>
        <w:rPr>
          <w:rFonts w:eastAsia="Arial"/>
          <w:b/>
        </w:rPr>
        <w:t>8</w:t>
      </w:r>
      <w:r w:rsidRPr="00177C8C">
        <w:rPr>
          <w:rFonts w:eastAsia="Arial"/>
          <w:b/>
        </w:rPr>
        <w:t xml:space="preserve"> Kitų </w:t>
      </w:r>
      <w:r>
        <w:rPr>
          <w:rFonts w:eastAsia="Arial"/>
          <w:b/>
        </w:rPr>
        <w:t>valstybių atsakingų institucijų atlikto Sveikatos technologijų vertinimo (toliau – STV)</w:t>
      </w:r>
      <w:r w:rsidRPr="00177C8C">
        <w:rPr>
          <w:rFonts w:eastAsia="Arial"/>
          <w:b/>
        </w:rPr>
        <w:t xml:space="preserve"> išvados</w:t>
      </w:r>
    </w:p>
    <w:p w14:paraId="2F573E37" w14:textId="77777777" w:rsidR="00D40B99" w:rsidRDefault="00D40B99" w:rsidP="00D40B99">
      <w:pPr>
        <w:spacing w:line="276" w:lineRule="auto"/>
        <w:rPr>
          <w:rFonts w:eastAsia="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915"/>
        <w:gridCol w:w="2351"/>
        <w:gridCol w:w="2441"/>
      </w:tblGrid>
      <w:tr w:rsidR="00814591" w:rsidRPr="00E06ADC" w14:paraId="37030F7B" w14:textId="77777777" w:rsidTr="00621006">
        <w:trPr>
          <w:trHeight w:val="924"/>
        </w:trPr>
        <w:tc>
          <w:tcPr>
            <w:tcW w:w="2927" w:type="dxa"/>
          </w:tcPr>
          <w:p w14:paraId="384EE0D4" w14:textId="77777777" w:rsidR="00814591" w:rsidRPr="00E06ADC" w:rsidRDefault="00814591" w:rsidP="00621006">
            <w:pPr>
              <w:jc w:val="both"/>
              <w:rPr>
                <w:rFonts w:eastAsia="Arial"/>
              </w:rPr>
            </w:pPr>
            <w:r w:rsidRPr="00E06ADC">
              <w:rPr>
                <w:rFonts w:eastAsia="Arial"/>
              </w:rPr>
              <w:t>Sveikatos technologijų vertinimo (toliau – STV) agentūros ir šalies, kurioje ji įsteigta, pavadinimai</w:t>
            </w:r>
          </w:p>
        </w:tc>
        <w:tc>
          <w:tcPr>
            <w:tcW w:w="1915" w:type="dxa"/>
          </w:tcPr>
          <w:p w14:paraId="4513F989" w14:textId="77777777" w:rsidR="00814591" w:rsidRPr="00E06ADC" w:rsidRDefault="00814591" w:rsidP="00621006">
            <w:pPr>
              <w:rPr>
                <w:rFonts w:eastAsia="Arial"/>
              </w:rPr>
            </w:pPr>
            <w:r w:rsidRPr="00E06ADC">
              <w:rPr>
                <w:rFonts w:eastAsia="Arial"/>
              </w:rPr>
              <w:t>STV vertinimas atliktas</w:t>
            </w:r>
          </w:p>
        </w:tc>
        <w:tc>
          <w:tcPr>
            <w:tcW w:w="2351" w:type="dxa"/>
          </w:tcPr>
          <w:p w14:paraId="2A58D26A" w14:textId="77777777" w:rsidR="00814591" w:rsidRPr="00E06ADC" w:rsidRDefault="00814591" w:rsidP="00621006">
            <w:pPr>
              <w:rPr>
                <w:rFonts w:eastAsia="Arial"/>
              </w:rPr>
            </w:pPr>
            <w:r w:rsidRPr="00E06ADC">
              <w:rPr>
                <w:rFonts w:eastAsia="Arial"/>
              </w:rPr>
              <w:t>Klinikinio vertinimo išvada</w:t>
            </w:r>
          </w:p>
        </w:tc>
        <w:tc>
          <w:tcPr>
            <w:tcW w:w="2441" w:type="dxa"/>
          </w:tcPr>
          <w:p w14:paraId="2C8CF796" w14:textId="77777777" w:rsidR="00814591" w:rsidRPr="00E06ADC" w:rsidRDefault="00814591" w:rsidP="00621006">
            <w:pPr>
              <w:rPr>
                <w:rFonts w:eastAsia="Arial"/>
              </w:rPr>
            </w:pPr>
            <w:proofErr w:type="spellStart"/>
            <w:r w:rsidRPr="00E06ADC">
              <w:rPr>
                <w:rFonts w:eastAsia="Arial"/>
              </w:rPr>
              <w:t>Farmakoekonominio</w:t>
            </w:r>
            <w:proofErr w:type="spellEnd"/>
            <w:r w:rsidRPr="00E06ADC">
              <w:rPr>
                <w:rFonts w:eastAsia="Arial"/>
              </w:rPr>
              <w:t xml:space="preserve"> vertinimo išvada</w:t>
            </w:r>
          </w:p>
        </w:tc>
      </w:tr>
      <w:tr w:rsidR="00814591" w:rsidRPr="00E06ADC" w14:paraId="1B073B00" w14:textId="77777777" w:rsidTr="00621006">
        <w:trPr>
          <w:trHeight w:val="1765"/>
        </w:trPr>
        <w:tc>
          <w:tcPr>
            <w:tcW w:w="2927" w:type="dxa"/>
          </w:tcPr>
          <w:p w14:paraId="0B75C14C" w14:textId="77777777" w:rsidR="00814591" w:rsidRPr="00E06ADC" w:rsidRDefault="00814591" w:rsidP="00621006">
            <w:r w:rsidRPr="00E06ADC">
              <w:t>Nacionalinis sveikatos ir klinikinės kompetencijos institutas, Jungtinė Karalystė</w:t>
            </w:r>
          </w:p>
          <w:p w14:paraId="3F852B65" w14:textId="77777777" w:rsidR="00814591" w:rsidRPr="00E06ADC" w:rsidRDefault="00814591" w:rsidP="00621006">
            <w:pPr>
              <w:spacing w:line="276" w:lineRule="auto"/>
              <w:rPr>
                <w:rFonts w:eastAsia="Arial"/>
              </w:rPr>
            </w:pPr>
            <w:r w:rsidRPr="00E06ADC">
              <w:rPr>
                <w:rFonts w:eastAsia="Arial"/>
              </w:rPr>
              <w:t xml:space="preserve">(angl. </w:t>
            </w:r>
            <w:proofErr w:type="spellStart"/>
            <w:r w:rsidRPr="00E06ADC">
              <w:rPr>
                <w:rFonts w:eastAsia="Arial"/>
                <w:i/>
              </w:rPr>
              <w:t>National</w:t>
            </w:r>
            <w:proofErr w:type="spellEnd"/>
            <w:r w:rsidRPr="00E06ADC">
              <w:rPr>
                <w:rFonts w:eastAsia="Arial"/>
                <w:i/>
              </w:rPr>
              <w:t xml:space="preserve"> Institute </w:t>
            </w:r>
            <w:proofErr w:type="spellStart"/>
            <w:r w:rsidRPr="00E06ADC">
              <w:rPr>
                <w:rFonts w:eastAsia="Arial"/>
                <w:i/>
              </w:rPr>
              <w:t>for</w:t>
            </w:r>
            <w:proofErr w:type="spellEnd"/>
            <w:r w:rsidRPr="00E06ADC">
              <w:rPr>
                <w:rFonts w:eastAsia="Arial"/>
                <w:i/>
              </w:rPr>
              <w:t xml:space="preserve"> </w:t>
            </w:r>
            <w:proofErr w:type="spellStart"/>
            <w:r w:rsidRPr="00E06ADC">
              <w:rPr>
                <w:rFonts w:eastAsia="Arial"/>
                <w:i/>
              </w:rPr>
              <w:t>Health</w:t>
            </w:r>
            <w:proofErr w:type="spellEnd"/>
            <w:r w:rsidRPr="00E06ADC">
              <w:rPr>
                <w:rFonts w:eastAsia="Arial"/>
                <w:i/>
              </w:rPr>
              <w:t xml:space="preserve"> </w:t>
            </w:r>
            <w:proofErr w:type="spellStart"/>
            <w:r w:rsidRPr="00E06ADC">
              <w:rPr>
                <w:rFonts w:eastAsia="Arial"/>
                <w:i/>
              </w:rPr>
              <w:t>and</w:t>
            </w:r>
            <w:proofErr w:type="spellEnd"/>
            <w:r w:rsidRPr="00E06ADC">
              <w:rPr>
                <w:rFonts w:eastAsia="Arial"/>
                <w:i/>
              </w:rPr>
              <w:t xml:space="preserve"> Care </w:t>
            </w:r>
            <w:proofErr w:type="spellStart"/>
            <w:r w:rsidRPr="00E06ADC">
              <w:rPr>
                <w:rFonts w:eastAsia="Arial"/>
                <w:i/>
              </w:rPr>
              <w:t>Excellence</w:t>
            </w:r>
            <w:proofErr w:type="spellEnd"/>
            <w:r w:rsidRPr="00E06ADC">
              <w:rPr>
                <w:rFonts w:eastAsia="Arial"/>
                <w:i/>
              </w:rPr>
              <w:t>, NICE</w:t>
            </w:r>
            <w:r w:rsidRPr="00E06ADC">
              <w:rPr>
                <w:rFonts w:eastAsia="Arial"/>
              </w:rPr>
              <w:t>)</w:t>
            </w:r>
          </w:p>
        </w:tc>
        <w:tc>
          <w:tcPr>
            <w:tcW w:w="1915" w:type="dxa"/>
          </w:tcPr>
          <w:p w14:paraId="72DE90AA" w14:textId="77777777" w:rsidR="00814591" w:rsidRPr="00E06ADC" w:rsidRDefault="00814591" w:rsidP="00621006">
            <w:r w:rsidRPr="00E06ADC">
              <w:rPr>
                <w:rFonts w:ascii="Segoe UI Symbol" w:hAnsi="Segoe UI Symbol"/>
              </w:rPr>
              <w:t>⌧</w:t>
            </w:r>
            <w:r w:rsidRPr="00E06ADC">
              <w:t xml:space="preserve"> Taip</w:t>
            </w:r>
          </w:p>
          <w:p w14:paraId="5F60B4D4" w14:textId="77777777" w:rsidR="00814591" w:rsidRPr="00E06ADC" w:rsidRDefault="00814591" w:rsidP="00621006">
            <w:r w:rsidRPr="00E06ADC">
              <w:rPr>
                <w:rFonts w:ascii="MS Gothic" w:eastAsia="MS Gothic" w:hAnsi="MS Gothic"/>
              </w:rPr>
              <w:t>☐</w:t>
            </w:r>
            <w:r w:rsidRPr="00E06ADC">
              <w:t xml:space="preserve"> Ne</w:t>
            </w:r>
          </w:p>
          <w:p w14:paraId="1C061896" w14:textId="77777777" w:rsidR="00814591" w:rsidRPr="00E06ADC" w:rsidRDefault="00814591" w:rsidP="00621006"/>
          <w:p w14:paraId="30E9F7BA" w14:textId="77777777" w:rsidR="00814591" w:rsidRPr="00E06ADC" w:rsidRDefault="00814591" w:rsidP="00621006">
            <w:pPr>
              <w:rPr>
                <w:rFonts w:eastAsia="Arial"/>
              </w:rPr>
            </w:pPr>
            <w:r w:rsidRPr="00E06ADC">
              <w:rPr>
                <w:rFonts w:eastAsia="Arial"/>
              </w:rPr>
              <w:t>2019.12.19</w:t>
            </w:r>
          </w:p>
        </w:tc>
        <w:tc>
          <w:tcPr>
            <w:tcW w:w="4792" w:type="dxa"/>
            <w:gridSpan w:val="2"/>
          </w:tcPr>
          <w:p w14:paraId="1AD16E1E" w14:textId="77777777" w:rsidR="00814591" w:rsidRPr="00E06ADC" w:rsidRDefault="00814591" w:rsidP="00621006">
            <w:pPr>
              <w:spacing w:line="276" w:lineRule="auto"/>
              <w:jc w:val="both"/>
              <w:rPr>
                <w:rFonts w:eastAsia="Arial"/>
              </w:rPr>
            </w:pPr>
            <w:proofErr w:type="spellStart"/>
            <w:r w:rsidRPr="00E06ADC">
              <w:rPr>
                <w:rFonts w:eastAsia="Arial"/>
              </w:rPr>
              <w:t>Kanabidiolis</w:t>
            </w:r>
            <w:proofErr w:type="spellEnd"/>
            <w:r w:rsidRPr="00E06ADC">
              <w:rPr>
                <w:rFonts w:eastAsia="Arial"/>
              </w:rPr>
              <w:t xml:space="preserve"> su </w:t>
            </w:r>
            <w:proofErr w:type="spellStart"/>
            <w:r w:rsidRPr="00E06ADC">
              <w:rPr>
                <w:rFonts w:eastAsia="Arial"/>
              </w:rPr>
              <w:t>klobazamu</w:t>
            </w:r>
            <w:proofErr w:type="spellEnd"/>
            <w:r w:rsidRPr="00E06ADC">
              <w:rPr>
                <w:rFonts w:eastAsia="Arial"/>
              </w:rPr>
              <w:t xml:space="preserve"> rekomenduojamas kaip alternatyva gydant su </w:t>
            </w:r>
            <w:proofErr w:type="spellStart"/>
            <w:r w:rsidRPr="00E06ADC">
              <w:rPr>
                <w:rFonts w:eastAsia="Arial"/>
              </w:rPr>
              <w:t>Lennox-Gastaut</w:t>
            </w:r>
            <w:proofErr w:type="spellEnd"/>
            <w:r w:rsidRPr="00E06ADC">
              <w:rPr>
                <w:rFonts w:eastAsia="Arial"/>
              </w:rPr>
              <w:t xml:space="preserve"> sindromu (LGS) susijusius priepuolius 2-jų metų ir vyresniems </w:t>
            </w:r>
            <w:proofErr w:type="spellStart"/>
            <w:r w:rsidRPr="00E06ADC">
              <w:rPr>
                <w:rFonts w:eastAsia="Arial"/>
              </w:rPr>
              <w:t>pacienatms</w:t>
            </w:r>
            <w:proofErr w:type="spellEnd"/>
            <w:r w:rsidRPr="00E06ADC">
              <w:rPr>
                <w:rFonts w:eastAsia="Arial"/>
              </w:rPr>
              <w:t xml:space="preserve">, tik jei: </w:t>
            </w:r>
          </w:p>
          <w:p w14:paraId="6F7A3CAD" w14:textId="77777777" w:rsidR="00814591" w:rsidRPr="00E06ADC" w:rsidRDefault="00814591" w:rsidP="00814591">
            <w:pPr>
              <w:pStyle w:val="ListParagraph"/>
              <w:numPr>
                <w:ilvl w:val="0"/>
                <w:numId w:val="7"/>
              </w:numPr>
              <w:spacing w:after="160" w:line="276" w:lineRule="auto"/>
              <w:jc w:val="both"/>
              <w:rPr>
                <w:rFonts w:eastAsia="Arial"/>
              </w:rPr>
            </w:pPr>
            <w:r w:rsidRPr="00E06ADC">
              <w:rPr>
                <w:rFonts w:eastAsia="Arial"/>
              </w:rPr>
              <w:t xml:space="preserve">kas 6 mėnesius tikrinamas konvulsinių priepuolių dažnis ir </w:t>
            </w:r>
            <w:proofErr w:type="spellStart"/>
            <w:r w:rsidRPr="00E06ADC">
              <w:rPr>
                <w:rFonts w:eastAsia="Arial"/>
              </w:rPr>
              <w:t>kanabidiolio</w:t>
            </w:r>
            <w:proofErr w:type="spellEnd"/>
            <w:r w:rsidRPr="00E06ADC">
              <w:rPr>
                <w:rFonts w:eastAsia="Arial"/>
              </w:rPr>
              <w:t xml:space="preserve"> vartojimas nutraukiamas, jei priepuolių dažnis nesumažėja bent 30 %, palyginti su 6 mėnesiais prieš pradedant gydymą </w:t>
            </w:r>
          </w:p>
          <w:p w14:paraId="3F76B980" w14:textId="77777777" w:rsidR="00814591" w:rsidRPr="00E06ADC" w:rsidRDefault="00814591" w:rsidP="00814591">
            <w:pPr>
              <w:pStyle w:val="ListParagraph"/>
              <w:numPr>
                <w:ilvl w:val="0"/>
                <w:numId w:val="7"/>
              </w:numPr>
              <w:spacing w:after="160" w:line="276" w:lineRule="auto"/>
              <w:jc w:val="both"/>
              <w:rPr>
                <w:rFonts w:eastAsia="Arial"/>
              </w:rPr>
            </w:pPr>
            <w:r w:rsidRPr="00E06ADC">
              <w:rPr>
                <w:rFonts w:eastAsia="Arial"/>
              </w:rPr>
              <w:t xml:space="preserve">įmonė teikia </w:t>
            </w:r>
            <w:proofErr w:type="spellStart"/>
            <w:r w:rsidRPr="00E06ADC">
              <w:rPr>
                <w:rFonts w:eastAsia="Arial"/>
              </w:rPr>
              <w:t>kanabidiolį</w:t>
            </w:r>
            <w:proofErr w:type="spellEnd"/>
            <w:r w:rsidRPr="00E06ADC">
              <w:rPr>
                <w:rFonts w:eastAsia="Arial"/>
              </w:rPr>
              <w:t xml:space="preserve"> pagal komercinį susitarimą.</w:t>
            </w:r>
          </w:p>
          <w:p w14:paraId="48B738B1" w14:textId="77777777" w:rsidR="00814591" w:rsidRPr="002D6829" w:rsidRDefault="00814591" w:rsidP="00621006">
            <w:pPr>
              <w:spacing w:line="276" w:lineRule="auto"/>
              <w:jc w:val="both"/>
              <w:rPr>
                <w:rFonts w:eastAsia="Arial"/>
              </w:rPr>
            </w:pPr>
            <w:r w:rsidRPr="002D6829">
              <w:rPr>
                <w:rFonts w:eastAsia="Arial"/>
              </w:rPr>
              <w:t xml:space="preserve">LGS sergantiems žmonėms </w:t>
            </w:r>
            <w:proofErr w:type="spellStart"/>
            <w:r w:rsidRPr="002D6829">
              <w:rPr>
                <w:rFonts w:eastAsia="Arial"/>
              </w:rPr>
              <w:t>kanabidiolis</w:t>
            </w:r>
            <w:proofErr w:type="spellEnd"/>
            <w:r w:rsidRPr="002D6829">
              <w:rPr>
                <w:rFonts w:eastAsia="Arial"/>
              </w:rPr>
              <w:t xml:space="preserve"> būtų skiriamas kartu su </w:t>
            </w:r>
            <w:proofErr w:type="spellStart"/>
            <w:r w:rsidRPr="002D6829">
              <w:rPr>
                <w:rFonts w:eastAsia="Arial"/>
              </w:rPr>
              <w:t>klobazamu</w:t>
            </w:r>
            <w:proofErr w:type="spellEnd"/>
            <w:r w:rsidRPr="002D6829">
              <w:rPr>
                <w:rFonts w:eastAsia="Arial"/>
              </w:rPr>
              <w:t xml:space="preserve">, jei išbandžius 2 ar daugiau </w:t>
            </w:r>
            <w:proofErr w:type="spellStart"/>
            <w:r w:rsidRPr="002D6829">
              <w:rPr>
                <w:rFonts w:eastAsia="Arial"/>
              </w:rPr>
              <w:t>antiepilepsinių</w:t>
            </w:r>
            <w:proofErr w:type="spellEnd"/>
            <w:r w:rsidRPr="002D6829">
              <w:rPr>
                <w:rFonts w:eastAsia="Arial"/>
              </w:rPr>
              <w:t xml:space="preserve"> vaistų jų priepuoliai nėra pakankamai gerai kontroliuojami.</w:t>
            </w:r>
          </w:p>
          <w:p w14:paraId="3806CC4C" w14:textId="77777777" w:rsidR="00814591" w:rsidRPr="002D6829" w:rsidRDefault="00814591" w:rsidP="00621006">
            <w:pPr>
              <w:spacing w:line="276" w:lineRule="auto"/>
              <w:jc w:val="both"/>
              <w:rPr>
                <w:rFonts w:eastAsia="Arial"/>
              </w:rPr>
            </w:pPr>
            <w:r w:rsidRPr="002D6829">
              <w:rPr>
                <w:rFonts w:eastAsia="Arial"/>
              </w:rPr>
              <w:t xml:space="preserve">Klinikiniais tyrimais įrodyta, kad </w:t>
            </w:r>
            <w:proofErr w:type="spellStart"/>
            <w:r w:rsidRPr="002D6829">
              <w:rPr>
                <w:rFonts w:eastAsia="Arial"/>
              </w:rPr>
              <w:t>kanabidiolis</w:t>
            </w:r>
            <w:proofErr w:type="spellEnd"/>
            <w:r w:rsidRPr="002D6829">
              <w:rPr>
                <w:rFonts w:eastAsia="Arial"/>
              </w:rPr>
              <w:t xml:space="preserve"> sumažina priepuolių skaičių, palyginti su įprasta priežiūra.</w:t>
            </w:r>
          </w:p>
          <w:p w14:paraId="77D84BF5" w14:textId="77777777" w:rsidR="00814591" w:rsidRPr="00E06ADC" w:rsidRDefault="00814591" w:rsidP="00621006">
            <w:pPr>
              <w:spacing w:line="276" w:lineRule="auto"/>
              <w:jc w:val="both"/>
              <w:rPr>
                <w:rFonts w:eastAsia="Arial"/>
              </w:rPr>
            </w:pPr>
            <w:proofErr w:type="spellStart"/>
            <w:r w:rsidRPr="00E06ADC">
              <w:rPr>
                <w:rFonts w:eastAsia="Arial"/>
              </w:rPr>
              <w:t>Kanabidiolis</w:t>
            </w:r>
            <w:proofErr w:type="spellEnd"/>
            <w:r w:rsidRPr="00E06ADC">
              <w:rPr>
                <w:rFonts w:eastAsia="Arial"/>
              </w:rPr>
              <w:t xml:space="preserve"> laikomas tinkamu NHS išteklių naudojimu ir rekomenduojamas kaip alternatyva LGS gydant NHS. </w:t>
            </w:r>
          </w:p>
          <w:p w14:paraId="3FE6F9BA" w14:textId="77777777" w:rsidR="00814591" w:rsidRPr="00E06ADC" w:rsidRDefault="00814591" w:rsidP="00621006">
            <w:pPr>
              <w:spacing w:line="276" w:lineRule="auto"/>
              <w:jc w:val="both"/>
              <w:rPr>
                <w:rFonts w:eastAsia="Arial"/>
              </w:rPr>
            </w:pPr>
            <w:r w:rsidRPr="00E06ADC">
              <w:rPr>
                <w:rFonts w:eastAsia="Arial"/>
              </w:rPr>
              <w:t xml:space="preserve">Į ekonominio efektyvumo įvertinimus neįtraukta nauda, kurią duoda ne kritimo priepuolių skaičiaus mažinimas ir LGS sergančių žmonių brolių ir seserų gyvenimo kokybės gerinimas. Tačiau </w:t>
            </w:r>
            <w:proofErr w:type="spellStart"/>
            <w:r w:rsidRPr="00E06ADC">
              <w:rPr>
                <w:rFonts w:eastAsia="Arial"/>
              </w:rPr>
              <w:t>kanabidiolio</w:t>
            </w:r>
            <w:proofErr w:type="spellEnd"/>
            <w:r w:rsidRPr="00E06ADC">
              <w:rPr>
                <w:rFonts w:eastAsia="Arial"/>
              </w:rPr>
              <w:t xml:space="preserve"> ekonominio efektyvumo įvertinimai yra neaiškūs dėl kai kurių bendrovės modelio prielaidų. Įvertinus tiek neapibrėžtumus, tiek neapskaičiuotą naudą, rekomenduojama </w:t>
            </w:r>
            <w:proofErr w:type="spellStart"/>
            <w:r w:rsidRPr="00E06ADC">
              <w:rPr>
                <w:rFonts w:eastAsia="Arial"/>
              </w:rPr>
              <w:t>kanabidiolį</w:t>
            </w:r>
            <w:proofErr w:type="spellEnd"/>
            <w:r w:rsidRPr="00E06ADC">
              <w:rPr>
                <w:rFonts w:eastAsia="Arial"/>
              </w:rPr>
              <w:t xml:space="preserve"> kompensuoti.</w:t>
            </w:r>
          </w:p>
        </w:tc>
      </w:tr>
      <w:tr w:rsidR="00814591" w:rsidRPr="00E06ADC" w14:paraId="59CA57A3" w14:textId="77777777" w:rsidTr="00621006">
        <w:trPr>
          <w:trHeight w:val="1547"/>
        </w:trPr>
        <w:tc>
          <w:tcPr>
            <w:tcW w:w="2927" w:type="dxa"/>
          </w:tcPr>
          <w:p w14:paraId="7F6F2E16" w14:textId="77777777" w:rsidR="00814591" w:rsidRPr="00E06ADC" w:rsidRDefault="00814591" w:rsidP="00621006">
            <w:pPr>
              <w:spacing w:line="276" w:lineRule="auto"/>
              <w:rPr>
                <w:rFonts w:eastAsia="Arial"/>
              </w:rPr>
            </w:pPr>
            <w:r w:rsidRPr="00E06ADC">
              <w:rPr>
                <w:rFonts w:eastAsia="Arial"/>
              </w:rPr>
              <w:t>Kanados sveikatos technologijų agentūra, Kanada</w:t>
            </w:r>
          </w:p>
          <w:p w14:paraId="6747FFF2" w14:textId="77777777" w:rsidR="00814591" w:rsidRPr="00E06ADC" w:rsidRDefault="00814591" w:rsidP="00621006">
            <w:pPr>
              <w:spacing w:line="276" w:lineRule="auto"/>
              <w:rPr>
                <w:rFonts w:eastAsia="Arial"/>
              </w:rPr>
            </w:pPr>
            <w:r w:rsidRPr="00E06ADC">
              <w:rPr>
                <w:rFonts w:eastAsia="Arial"/>
              </w:rPr>
              <w:t xml:space="preserve">(angl. </w:t>
            </w:r>
            <w:proofErr w:type="spellStart"/>
            <w:r w:rsidRPr="00E06ADC">
              <w:rPr>
                <w:rFonts w:eastAsia="Arial"/>
                <w:i/>
              </w:rPr>
              <w:t>Canadian</w:t>
            </w:r>
            <w:proofErr w:type="spellEnd"/>
            <w:r w:rsidRPr="00E06ADC">
              <w:rPr>
                <w:rFonts w:eastAsia="Arial"/>
                <w:i/>
              </w:rPr>
              <w:t xml:space="preserve"> </w:t>
            </w:r>
            <w:proofErr w:type="spellStart"/>
            <w:r w:rsidRPr="00E06ADC">
              <w:rPr>
                <w:rFonts w:eastAsia="Arial"/>
                <w:i/>
              </w:rPr>
              <w:t>health</w:t>
            </w:r>
            <w:proofErr w:type="spellEnd"/>
            <w:r w:rsidRPr="00E06ADC">
              <w:rPr>
                <w:rFonts w:eastAsia="Arial"/>
                <w:i/>
              </w:rPr>
              <w:t xml:space="preserve"> </w:t>
            </w:r>
            <w:proofErr w:type="spellStart"/>
            <w:r w:rsidRPr="00E06ADC">
              <w:rPr>
                <w:rFonts w:eastAsia="Arial"/>
                <w:i/>
              </w:rPr>
              <w:t>Technology</w:t>
            </w:r>
            <w:proofErr w:type="spellEnd"/>
            <w:r w:rsidRPr="00E06ADC">
              <w:rPr>
                <w:rFonts w:eastAsia="Arial"/>
                <w:i/>
              </w:rPr>
              <w:t xml:space="preserve"> </w:t>
            </w:r>
            <w:proofErr w:type="spellStart"/>
            <w:r w:rsidRPr="00E06ADC">
              <w:rPr>
                <w:rFonts w:eastAsia="Arial"/>
                <w:i/>
              </w:rPr>
              <w:t>Assessment</w:t>
            </w:r>
            <w:proofErr w:type="spellEnd"/>
            <w:r w:rsidRPr="00E06ADC">
              <w:rPr>
                <w:rFonts w:eastAsia="Arial"/>
                <w:i/>
              </w:rPr>
              <w:t xml:space="preserve"> </w:t>
            </w:r>
            <w:proofErr w:type="spellStart"/>
            <w:r w:rsidRPr="00E06ADC">
              <w:rPr>
                <w:rFonts w:eastAsia="Arial"/>
                <w:i/>
              </w:rPr>
              <w:t>agency</w:t>
            </w:r>
            <w:proofErr w:type="spellEnd"/>
            <w:r w:rsidRPr="00E06ADC">
              <w:rPr>
                <w:rFonts w:eastAsia="Arial"/>
                <w:i/>
              </w:rPr>
              <w:t>, CADTH</w:t>
            </w:r>
            <w:r w:rsidRPr="00E06ADC">
              <w:rPr>
                <w:rFonts w:eastAsia="Arial"/>
              </w:rPr>
              <w:t>)</w:t>
            </w:r>
          </w:p>
        </w:tc>
        <w:tc>
          <w:tcPr>
            <w:tcW w:w="1915" w:type="dxa"/>
          </w:tcPr>
          <w:p w14:paraId="5032CDCA" w14:textId="77777777" w:rsidR="00814591" w:rsidRPr="00E06ADC" w:rsidRDefault="00814591" w:rsidP="00621006">
            <w:r w:rsidRPr="00E06ADC">
              <w:rPr>
                <w:rFonts w:ascii="Segoe UI Symbol" w:hAnsi="Segoe UI Symbol"/>
              </w:rPr>
              <w:t>⌧</w:t>
            </w:r>
            <w:r w:rsidRPr="00E06ADC">
              <w:t xml:space="preserve"> Taip</w:t>
            </w:r>
          </w:p>
          <w:p w14:paraId="480DA748" w14:textId="77777777" w:rsidR="00814591" w:rsidRPr="00E06ADC" w:rsidRDefault="00814591" w:rsidP="00621006">
            <w:r w:rsidRPr="00E06ADC">
              <w:rPr>
                <w:rFonts w:ascii="Segoe UI Symbol" w:eastAsia="MS Gothic" w:hAnsi="Segoe UI Symbol" w:cs="Segoe UI Symbol"/>
              </w:rPr>
              <w:t>☐</w:t>
            </w:r>
            <w:r w:rsidRPr="00E06ADC">
              <w:t xml:space="preserve"> Ne</w:t>
            </w:r>
          </w:p>
          <w:p w14:paraId="4ED75A62" w14:textId="77777777" w:rsidR="00814591" w:rsidRPr="00E06ADC" w:rsidRDefault="00814591" w:rsidP="00621006">
            <w:pPr>
              <w:spacing w:line="276" w:lineRule="auto"/>
            </w:pPr>
          </w:p>
          <w:p w14:paraId="36B34AA7" w14:textId="77777777" w:rsidR="00814591" w:rsidRPr="00E06ADC" w:rsidRDefault="00814591" w:rsidP="00621006">
            <w:pPr>
              <w:spacing w:line="276" w:lineRule="auto"/>
              <w:rPr>
                <w:rFonts w:eastAsia="Arial"/>
              </w:rPr>
            </w:pPr>
            <w:r w:rsidRPr="00E06ADC">
              <w:rPr>
                <w:rFonts w:eastAsia="Arial"/>
              </w:rPr>
              <w:t>2024.03.21</w:t>
            </w:r>
          </w:p>
        </w:tc>
        <w:tc>
          <w:tcPr>
            <w:tcW w:w="4792" w:type="dxa"/>
            <w:gridSpan w:val="2"/>
          </w:tcPr>
          <w:p w14:paraId="1743B579" w14:textId="77777777" w:rsidR="00814591" w:rsidRPr="00E06ADC" w:rsidRDefault="00814591" w:rsidP="00621006">
            <w:pPr>
              <w:spacing w:line="276" w:lineRule="auto"/>
              <w:jc w:val="both"/>
              <w:rPr>
                <w:rFonts w:eastAsia="Arial"/>
              </w:rPr>
            </w:pPr>
            <w:proofErr w:type="spellStart"/>
            <w:r w:rsidRPr="00E06ADC">
              <w:rPr>
                <w:rFonts w:eastAsia="Arial"/>
              </w:rPr>
              <w:t>Kanabidiolį</w:t>
            </w:r>
            <w:proofErr w:type="spellEnd"/>
            <w:r w:rsidRPr="00E06ADC">
              <w:rPr>
                <w:rFonts w:eastAsia="Arial"/>
              </w:rPr>
              <w:t xml:space="preserve"> (</w:t>
            </w:r>
            <w:proofErr w:type="spellStart"/>
            <w:r w:rsidRPr="00E06ADC">
              <w:rPr>
                <w:rFonts w:eastAsia="Arial"/>
              </w:rPr>
              <w:t>Epidyolex</w:t>
            </w:r>
            <w:proofErr w:type="spellEnd"/>
            <w:r w:rsidRPr="00E06ADC">
              <w:rPr>
                <w:rFonts w:eastAsia="Arial"/>
              </w:rPr>
              <w:t>) rekomenduojama kompensuoti kaip papildomą gydymą su LGS susijusiems priepuoliams gydyti 2-jų metų ir vyresniems pacientams tik tuo atveju, jei tenkinamos šios sąlygos:</w:t>
            </w:r>
          </w:p>
          <w:p w14:paraId="1B959D67" w14:textId="77777777" w:rsidR="00814591" w:rsidRPr="00E06ADC" w:rsidRDefault="00814591" w:rsidP="00621006">
            <w:pPr>
              <w:spacing w:line="276" w:lineRule="auto"/>
              <w:ind w:left="296"/>
              <w:jc w:val="both"/>
              <w:rPr>
                <w:rFonts w:eastAsia="Arial"/>
              </w:rPr>
            </w:pPr>
            <w:r w:rsidRPr="00E06ADC">
              <w:rPr>
                <w:rFonts w:eastAsia="Arial"/>
              </w:rPr>
              <w:t>1.</w:t>
            </w:r>
            <w:r w:rsidRPr="00E06ADC">
              <w:rPr>
                <w:rFonts w:eastAsia="Arial"/>
              </w:rPr>
              <w:tab/>
              <w:t xml:space="preserve">Gydymas </w:t>
            </w:r>
            <w:proofErr w:type="spellStart"/>
            <w:r w:rsidRPr="00E06ADC">
              <w:rPr>
                <w:rFonts w:eastAsia="Arial"/>
              </w:rPr>
              <w:t>kanabidioliu</w:t>
            </w:r>
            <w:proofErr w:type="spellEnd"/>
            <w:r w:rsidRPr="00E06ADC">
              <w:rPr>
                <w:rFonts w:eastAsia="Arial"/>
              </w:rPr>
              <w:t xml:space="preserve"> turi būti pradėtas pacientams, kuriems yra su LGS susijusių priepuolių ir kurie atitinka toliau nurodytus kriterijus: </w:t>
            </w:r>
          </w:p>
          <w:p w14:paraId="55C445F8" w14:textId="77777777" w:rsidR="00814591" w:rsidRPr="00E06ADC" w:rsidRDefault="00814591" w:rsidP="00621006">
            <w:pPr>
              <w:spacing w:line="276" w:lineRule="auto"/>
              <w:ind w:left="296"/>
              <w:jc w:val="both"/>
              <w:rPr>
                <w:rFonts w:eastAsia="Arial"/>
              </w:rPr>
            </w:pPr>
            <w:r w:rsidRPr="00E06ADC">
              <w:rPr>
                <w:rFonts w:eastAsia="Arial"/>
              </w:rPr>
              <w:t>1.1.</w:t>
            </w:r>
            <w:r w:rsidRPr="00E06ADC">
              <w:rPr>
                <w:rFonts w:eastAsia="Arial"/>
              </w:rPr>
              <w:tab/>
              <w:t>2-jų metų ir vyresni.</w:t>
            </w:r>
          </w:p>
          <w:p w14:paraId="65BD14DB" w14:textId="77777777" w:rsidR="00814591" w:rsidRPr="00E06ADC" w:rsidRDefault="00814591" w:rsidP="00621006">
            <w:pPr>
              <w:spacing w:line="276" w:lineRule="auto"/>
              <w:ind w:left="296"/>
              <w:jc w:val="both"/>
              <w:rPr>
                <w:rFonts w:eastAsia="Arial"/>
              </w:rPr>
            </w:pPr>
            <w:r w:rsidRPr="00E06ADC">
              <w:rPr>
                <w:rFonts w:eastAsia="Arial"/>
              </w:rPr>
              <w:t>1.2.</w:t>
            </w:r>
            <w:r w:rsidRPr="00E06ADC">
              <w:rPr>
                <w:rFonts w:eastAsia="Arial"/>
              </w:rPr>
              <w:tab/>
              <w:t>Šiuo metu vartojantys 1 ar daugiau ASM (</w:t>
            </w:r>
            <w:proofErr w:type="spellStart"/>
            <w:r w:rsidRPr="00E06ADC">
              <w:rPr>
                <w:rFonts w:eastAsia="Arial"/>
              </w:rPr>
              <w:t>anti-seizure</w:t>
            </w:r>
            <w:proofErr w:type="spellEnd"/>
            <w:r w:rsidRPr="00E06ADC">
              <w:rPr>
                <w:rFonts w:eastAsia="Arial"/>
              </w:rPr>
              <w:t xml:space="preserve"> </w:t>
            </w:r>
            <w:proofErr w:type="spellStart"/>
            <w:r w:rsidRPr="00E06ADC">
              <w:rPr>
                <w:rFonts w:eastAsia="Arial"/>
              </w:rPr>
              <w:t>medication</w:t>
            </w:r>
            <w:proofErr w:type="spellEnd"/>
            <w:r w:rsidRPr="00E06ADC">
              <w:rPr>
                <w:rFonts w:eastAsia="Arial"/>
              </w:rPr>
              <w:t>) stabiliomis dozėmis bent 4 savaites iki gydymo pradžios.</w:t>
            </w:r>
          </w:p>
          <w:p w14:paraId="21D606A1" w14:textId="77777777" w:rsidR="00814591" w:rsidRPr="00E06ADC" w:rsidRDefault="00814591" w:rsidP="00621006">
            <w:pPr>
              <w:spacing w:line="276" w:lineRule="auto"/>
              <w:ind w:left="296"/>
              <w:jc w:val="both"/>
              <w:rPr>
                <w:rFonts w:eastAsia="Arial"/>
              </w:rPr>
            </w:pPr>
            <w:r w:rsidRPr="00E06ADC">
              <w:rPr>
                <w:rFonts w:eastAsia="Arial"/>
              </w:rPr>
              <w:t>2.</w:t>
            </w:r>
            <w:r w:rsidRPr="00E06ADC">
              <w:rPr>
                <w:rFonts w:eastAsia="Arial"/>
              </w:rPr>
              <w:tab/>
              <w:t>Pacientai turi turėti toliau išvardytus požymius:</w:t>
            </w:r>
          </w:p>
          <w:p w14:paraId="2AC905A3" w14:textId="77777777" w:rsidR="00814591" w:rsidRPr="00E06ADC" w:rsidRDefault="00814591" w:rsidP="00621006">
            <w:pPr>
              <w:spacing w:line="276" w:lineRule="auto"/>
              <w:ind w:left="296"/>
              <w:jc w:val="both"/>
              <w:rPr>
                <w:rFonts w:eastAsia="Arial"/>
              </w:rPr>
            </w:pPr>
            <w:r w:rsidRPr="00E06ADC">
              <w:rPr>
                <w:rFonts w:eastAsia="Arial"/>
              </w:rPr>
              <w:t>2.1.</w:t>
            </w:r>
            <w:r w:rsidRPr="00E06ADC">
              <w:rPr>
                <w:rFonts w:eastAsia="Arial"/>
              </w:rPr>
              <w:tab/>
              <w:t xml:space="preserve">Bent 2 lašiniai priepuoliai per savaitę per 28 dienų laikotarpį iki </w:t>
            </w:r>
            <w:proofErr w:type="spellStart"/>
            <w:r w:rsidRPr="00E06ADC">
              <w:rPr>
                <w:rFonts w:eastAsia="Arial"/>
              </w:rPr>
              <w:t>kanabidiolio</w:t>
            </w:r>
            <w:proofErr w:type="spellEnd"/>
            <w:r w:rsidRPr="00E06ADC">
              <w:rPr>
                <w:rFonts w:eastAsia="Arial"/>
              </w:rPr>
              <w:t xml:space="preserve"> vartojimo pradžios.</w:t>
            </w:r>
          </w:p>
          <w:p w14:paraId="7CEA0C10" w14:textId="77777777" w:rsidR="00814591" w:rsidRPr="00E06ADC" w:rsidRDefault="00814591" w:rsidP="00621006">
            <w:pPr>
              <w:spacing w:line="276" w:lineRule="auto"/>
              <w:ind w:left="296"/>
              <w:jc w:val="both"/>
              <w:rPr>
                <w:rFonts w:eastAsia="Arial"/>
              </w:rPr>
            </w:pPr>
            <w:r w:rsidRPr="00E06ADC">
              <w:rPr>
                <w:rFonts w:eastAsia="Arial"/>
              </w:rPr>
              <w:t>2.2.</w:t>
            </w:r>
            <w:r w:rsidRPr="00E06ADC">
              <w:rPr>
                <w:rFonts w:eastAsia="Arial"/>
              </w:rPr>
              <w:tab/>
              <w:t>Patyrę gydymo nesėkmę mažiausiai 2 ASM.</w:t>
            </w:r>
          </w:p>
          <w:p w14:paraId="39DDB773" w14:textId="77777777" w:rsidR="00814591" w:rsidRPr="00E06ADC" w:rsidRDefault="00814591" w:rsidP="00621006">
            <w:pPr>
              <w:spacing w:line="276" w:lineRule="auto"/>
              <w:ind w:left="296"/>
              <w:jc w:val="both"/>
              <w:rPr>
                <w:rFonts w:eastAsia="Arial"/>
              </w:rPr>
            </w:pPr>
            <w:r w:rsidRPr="00E06ADC">
              <w:rPr>
                <w:rFonts w:eastAsia="Arial"/>
              </w:rPr>
              <w:t>3.</w:t>
            </w:r>
            <w:r w:rsidRPr="00E06ADC">
              <w:rPr>
                <w:rFonts w:eastAsia="Arial"/>
              </w:rPr>
              <w:tab/>
              <w:t>Ilgiausia pirminio leidimo trukmė - 6 mėnesiai. Norint pratęsti leidimą po pirminio leidimo, prašydamas pratęsti kompensavimą, gydytojas turi pateikti teigiamo klinikinio poveikio įrodymą.</w:t>
            </w:r>
          </w:p>
          <w:p w14:paraId="09D39783" w14:textId="77777777" w:rsidR="00814591" w:rsidRPr="00E06ADC" w:rsidRDefault="00814591" w:rsidP="00621006">
            <w:pPr>
              <w:spacing w:line="276" w:lineRule="auto"/>
              <w:ind w:left="296"/>
              <w:jc w:val="both"/>
              <w:rPr>
                <w:rFonts w:eastAsia="Arial"/>
              </w:rPr>
            </w:pPr>
            <w:r w:rsidRPr="00E06ADC">
              <w:rPr>
                <w:rFonts w:eastAsia="Arial"/>
              </w:rPr>
              <w:t>4.</w:t>
            </w:r>
            <w:r w:rsidRPr="00E06ADC">
              <w:rPr>
                <w:rFonts w:eastAsia="Arial"/>
              </w:rPr>
              <w:tab/>
              <w:t xml:space="preserve">Gydymas </w:t>
            </w:r>
            <w:proofErr w:type="spellStart"/>
            <w:r w:rsidRPr="00E06ADC">
              <w:rPr>
                <w:rFonts w:eastAsia="Arial"/>
              </w:rPr>
              <w:t>kanabidioliu</w:t>
            </w:r>
            <w:proofErr w:type="spellEnd"/>
            <w:r w:rsidRPr="00E06ADC">
              <w:rPr>
                <w:rFonts w:eastAsia="Arial"/>
              </w:rPr>
              <w:t xml:space="preserve"> turi būti nutrauktas pasireiškus sunkiam toksiškumui, nesant teigiamo gydymo poveikio arba netoleruojant.</w:t>
            </w:r>
          </w:p>
          <w:p w14:paraId="1568432D" w14:textId="77777777" w:rsidR="00814591" w:rsidRPr="00E06ADC" w:rsidRDefault="00814591" w:rsidP="00621006">
            <w:pPr>
              <w:spacing w:line="276" w:lineRule="auto"/>
              <w:ind w:left="296"/>
              <w:jc w:val="both"/>
              <w:rPr>
                <w:rFonts w:eastAsia="Arial"/>
              </w:rPr>
            </w:pPr>
            <w:r w:rsidRPr="00E06ADC">
              <w:rPr>
                <w:rFonts w:eastAsia="Arial"/>
              </w:rPr>
              <w:t>5.</w:t>
            </w:r>
            <w:r w:rsidRPr="00E06ADC">
              <w:rPr>
                <w:rFonts w:eastAsia="Arial"/>
              </w:rPr>
              <w:tab/>
            </w:r>
            <w:proofErr w:type="spellStart"/>
            <w:r w:rsidRPr="00E06ADC">
              <w:rPr>
                <w:rFonts w:eastAsia="Arial"/>
              </w:rPr>
              <w:t>Kanabidiolio</w:t>
            </w:r>
            <w:proofErr w:type="spellEnd"/>
            <w:r w:rsidRPr="00E06ADC">
              <w:rPr>
                <w:rFonts w:eastAsia="Arial"/>
              </w:rPr>
              <w:t xml:space="preserve"> skyrimą ir stebėseną LGS gydyti turėtų vykdyti tik suaugusiųjų ir vaikų neurologai, turintys patirties diagnozuojant ir gydant LGS sergančius pacientus.</w:t>
            </w:r>
          </w:p>
          <w:p w14:paraId="5BE5CCDE" w14:textId="77777777" w:rsidR="00814591" w:rsidRPr="00E06ADC" w:rsidRDefault="00814591" w:rsidP="00621006">
            <w:pPr>
              <w:spacing w:line="276" w:lineRule="auto"/>
              <w:ind w:left="296"/>
              <w:jc w:val="both"/>
              <w:rPr>
                <w:rFonts w:eastAsia="Arial"/>
              </w:rPr>
            </w:pPr>
            <w:r w:rsidRPr="00E06ADC">
              <w:rPr>
                <w:rFonts w:eastAsia="Arial"/>
              </w:rPr>
              <w:t>6.</w:t>
            </w:r>
            <w:r w:rsidRPr="00E06ADC">
              <w:rPr>
                <w:rFonts w:eastAsia="Arial"/>
              </w:rPr>
              <w:tab/>
            </w:r>
            <w:proofErr w:type="spellStart"/>
            <w:r w:rsidRPr="00E06ADC">
              <w:rPr>
                <w:rFonts w:eastAsia="Arial"/>
              </w:rPr>
              <w:t>Kanabidiolis</w:t>
            </w:r>
            <w:proofErr w:type="spellEnd"/>
            <w:r w:rsidRPr="00E06ADC">
              <w:rPr>
                <w:rFonts w:eastAsia="Arial"/>
              </w:rPr>
              <w:t xml:space="preserve"> neturėtų būti kompensuojamas pacientams, kartu vartojantiems kanapių produktus ar kitus </w:t>
            </w:r>
            <w:proofErr w:type="spellStart"/>
            <w:r w:rsidRPr="00E06ADC">
              <w:rPr>
                <w:rFonts w:eastAsia="Arial"/>
              </w:rPr>
              <w:t>kanabinoidų</w:t>
            </w:r>
            <w:proofErr w:type="spellEnd"/>
            <w:r w:rsidRPr="00E06ADC">
              <w:rPr>
                <w:rFonts w:eastAsia="Arial"/>
              </w:rPr>
              <w:t xml:space="preserve"> pagrindu pagamintus vaistus.</w:t>
            </w:r>
          </w:p>
          <w:p w14:paraId="19F15158" w14:textId="77777777" w:rsidR="00814591" w:rsidRPr="00E06ADC" w:rsidRDefault="00814591" w:rsidP="00621006">
            <w:pPr>
              <w:spacing w:line="276" w:lineRule="auto"/>
              <w:ind w:left="296"/>
              <w:jc w:val="both"/>
              <w:rPr>
                <w:rFonts w:eastAsia="Arial"/>
              </w:rPr>
            </w:pPr>
            <w:r w:rsidRPr="00E06ADC">
              <w:rPr>
                <w:rFonts w:eastAsia="Arial"/>
              </w:rPr>
              <w:t>7.</w:t>
            </w:r>
            <w:r w:rsidRPr="00E06ADC">
              <w:rPr>
                <w:rFonts w:eastAsia="Arial"/>
              </w:rPr>
              <w:tab/>
              <w:t>Kainos sumažinimas.</w:t>
            </w:r>
          </w:p>
        </w:tc>
      </w:tr>
      <w:tr w:rsidR="00814591" w:rsidRPr="00E06ADC" w14:paraId="029FB8B7" w14:textId="77777777" w:rsidTr="00621006">
        <w:trPr>
          <w:trHeight w:val="1927"/>
        </w:trPr>
        <w:tc>
          <w:tcPr>
            <w:tcW w:w="2927" w:type="dxa"/>
          </w:tcPr>
          <w:p w14:paraId="4290EAAC" w14:textId="77777777" w:rsidR="00814591" w:rsidRPr="00E06ADC" w:rsidRDefault="00814591" w:rsidP="00621006">
            <w:pPr>
              <w:spacing w:line="276" w:lineRule="auto"/>
              <w:rPr>
                <w:rFonts w:eastAsia="Arial"/>
              </w:rPr>
            </w:pPr>
            <w:r w:rsidRPr="00E06ADC">
              <w:rPr>
                <w:rFonts w:eastAsia="Arial"/>
              </w:rPr>
              <w:t xml:space="preserve">Nacionalinis </w:t>
            </w:r>
            <w:proofErr w:type="spellStart"/>
            <w:r w:rsidRPr="00E06ADC">
              <w:rPr>
                <w:rFonts w:eastAsia="Arial"/>
              </w:rPr>
              <w:t>farmakoekonomikos</w:t>
            </w:r>
            <w:proofErr w:type="spellEnd"/>
            <w:r w:rsidRPr="00E06ADC">
              <w:rPr>
                <w:rFonts w:eastAsia="Arial"/>
              </w:rPr>
              <w:t xml:space="preserve"> centras, Airijos Respublika</w:t>
            </w:r>
          </w:p>
          <w:p w14:paraId="4C8795E3" w14:textId="77777777" w:rsidR="00814591" w:rsidRPr="00E06ADC" w:rsidRDefault="00814591" w:rsidP="00621006">
            <w:pPr>
              <w:spacing w:line="276" w:lineRule="auto"/>
              <w:rPr>
                <w:rFonts w:eastAsia="Arial"/>
              </w:rPr>
            </w:pPr>
            <w:r w:rsidRPr="00E06ADC">
              <w:rPr>
                <w:rFonts w:eastAsia="Arial"/>
              </w:rPr>
              <w:t>(angl.</w:t>
            </w:r>
            <w:r w:rsidRPr="00E06ADC">
              <w:rPr>
                <w:rFonts w:eastAsia="Arial"/>
                <w:i/>
              </w:rPr>
              <w:t xml:space="preserve"> </w:t>
            </w:r>
            <w:proofErr w:type="spellStart"/>
            <w:r w:rsidRPr="00E06ADC">
              <w:rPr>
                <w:rFonts w:eastAsia="Arial"/>
                <w:i/>
              </w:rPr>
              <w:t>National</w:t>
            </w:r>
            <w:proofErr w:type="spellEnd"/>
            <w:r w:rsidRPr="00E06ADC">
              <w:rPr>
                <w:rFonts w:eastAsia="Arial"/>
                <w:i/>
              </w:rPr>
              <w:t xml:space="preserve"> Centre </w:t>
            </w:r>
            <w:proofErr w:type="spellStart"/>
            <w:r w:rsidRPr="00E06ADC">
              <w:rPr>
                <w:rFonts w:eastAsia="Arial"/>
                <w:i/>
              </w:rPr>
              <w:t>for</w:t>
            </w:r>
            <w:proofErr w:type="spellEnd"/>
            <w:r w:rsidRPr="00E06ADC">
              <w:rPr>
                <w:rFonts w:eastAsia="Arial"/>
                <w:i/>
              </w:rPr>
              <w:t xml:space="preserve"> </w:t>
            </w:r>
            <w:proofErr w:type="spellStart"/>
            <w:r w:rsidRPr="00E06ADC">
              <w:rPr>
                <w:rFonts w:eastAsia="Arial"/>
                <w:i/>
              </w:rPr>
              <w:t>Pharmacoeconomics</w:t>
            </w:r>
            <w:proofErr w:type="spellEnd"/>
            <w:r w:rsidRPr="00E06ADC">
              <w:rPr>
                <w:rFonts w:eastAsia="Arial"/>
                <w:i/>
              </w:rPr>
              <w:t>, NCPE</w:t>
            </w:r>
            <w:r w:rsidRPr="00E06ADC">
              <w:rPr>
                <w:rFonts w:eastAsia="Arial"/>
              </w:rPr>
              <w:t>)</w:t>
            </w:r>
          </w:p>
        </w:tc>
        <w:tc>
          <w:tcPr>
            <w:tcW w:w="1915" w:type="dxa"/>
          </w:tcPr>
          <w:p w14:paraId="088DF14C" w14:textId="77777777" w:rsidR="00814591" w:rsidRPr="00E06ADC" w:rsidRDefault="00814591" w:rsidP="00621006">
            <w:r w:rsidRPr="00E06ADC">
              <w:rPr>
                <w:rFonts w:ascii="Segoe UI Symbol" w:hAnsi="Segoe UI Symbol"/>
              </w:rPr>
              <w:t>⌧</w:t>
            </w:r>
            <w:r w:rsidRPr="00E06ADC">
              <w:t xml:space="preserve"> Taip</w:t>
            </w:r>
          </w:p>
          <w:p w14:paraId="486E9D31" w14:textId="77777777" w:rsidR="00814591" w:rsidRPr="00E06ADC" w:rsidRDefault="00814591" w:rsidP="00621006">
            <w:r w:rsidRPr="00E06ADC">
              <w:rPr>
                <w:rFonts w:ascii="Segoe UI Symbol" w:eastAsia="MS Gothic" w:hAnsi="Segoe UI Symbol" w:cs="Segoe UI Symbol"/>
              </w:rPr>
              <w:t>☐</w:t>
            </w:r>
            <w:r w:rsidRPr="00E06ADC">
              <w:t xml:space="preserve"> Ne</w:t>
            </w:r>
          </w:p>
          <w:p w14:paraId="56913D90" w14:textId="77777777" w:rsidR="00814591" w:rsidRPr="00E06ADC" w:rsidRDefault="00814591" w:rsidP="00621006">
            <w:pPr>
              <w:spacing w:line="276" w:lineRule="auto"/>
            </w:pPr>
          </w:p>
          <w:p w14:paraId="1CF39235" w14:textId="77777777" w:rsidR="00814591" w:rsidRPr="00E06ADC" w:rsidRDefault="00814591" w:rsidP="00621006">
            <w:pPr>
              <w:spacing w:line="276" w:lineRule="auto"/>
              <w:rPr>
                <w:rFonts w:eastAsia="Arial"/>
              </w:rPr>
            </w:pPr>
            <w:r w:rsidRPr="00E06ADC">
              <w:rPr>
                <w:rFonts w:eastAsia="Arial"/>
              </w:rPr>
              <w:t>2021.03.08</w:t>
            </w:r>
          </w:p>
        </w:tc>
        <w:tc>
          <w:tcPr>
            <w:tcW w:w="4792" w:type="dxa"/>
            <w:gridSpan w:val="2"/>
          </w:tcPr>
          <w:p w14:paraId="473CCD60" w14:textId="77777777" w:rsidR="00814591" w:rsidRPr="00E06ADC" w:rsidRDefault="00814591" w:rsidP="00621006">
            <w:pPr>
              <w:tabs>
                <w:tab w:val="left" w:pos="1816"/>
              </w:tabs>
              <w:spacing w:line="276" w:lineRule="auto"/>
              <w:jc w:val="both"/>
              <w:rPr>
                <w:rFonts w:eastAsia="Arial"/>
              </w:rPr>
            </w:pPr>
            <w:r w:rsidRPr="00E06ADC">
              <w:rPr>
                <w:rFonts w:eastAsia="Arial"/>
              </w:rPr>
              <w:t xml:space="preserve">HSE patvirtino </w:t>
            </w:r>
            <w:proofErr w:type="spellStart"/>
            <w:r w:rsidRPr="00E06ADC">
              <w:rPr>
                <w:rFonts w:eastAsia="Arial"/>
              </w:rPr>
              <w:t>kanabidiolio</w:t>
            </w:r>
            <w:proofErr w:type="spellEnd"/>
            <w:r w:rsidRPr="00E06ADC">
              <w:rPr>
                <w:rFonts w:eastAsia="Arial"/>
              </w:rPr>
              <w:t xml:space="preserve"> (</w:t>
            </w:r>
            <w:proofErr w:type="spellStart"/>
            <w:r w:rsidRPr="00E06ADC">
              <w:rPr>
                <w:rFonts w:eastAsia="Arial"/>
              </w:rPr>
              <w:t>Epidyolex</w:t>
            </w:r>
            <w:proofErr w:type="spellEnd"/>
            <w:r w:rsidRPr="00E06ADC">
              <w:rPr>
                <w:rFonts w:eastAsia="Arial"/>
              </w:rPr>
              <w:t>) kompensavimą po konfidencialių derybų dėl kainos 2021 m. gruodžio mėn.</w:t>
            </w:r>
          </w:p>
        </w:tc>
      </w:tr>
      <w:tr w:rsidR="00814591" w:rsidRPr="00E06ADC" w14:paraId="55561977" w14:textId="77777777" w:rsidTr="00621006">
        <w:trPr>
          <w:trHeight w:val="690"/>
        </w:trPr>
        <w:tc>
          <w:tcPr>
            <w:tcW w:w="2927" w:type="dxa"/>
          </w:tcPr>
          <w:p w14:paraId="447DF9FB" w14:textId="77777777" w:rsidR="00814591" w:rsidRPr="00E06ADC" w:rsidRDefault="00814591" w:rsidP="00621006">
            <w:pPr>
              <w:spacing w:line="276" w:lineRule="auto"/>
              <w:rPr>
                <w:rFonts w:eastAsia="Arial"/>
              </w:rPr>
            </w:pPr>
            <w:proofErr w:type="spellStart"/>
            <w:r w:rsidRPr="00E06ADC">
              <w:rPr>
                <w:rFonts w:eastAsia="Arial"/>
              </w:rPr>
              <w:t>The</w:t>
            </w:r>
            <w:proofErr w:type="spellEnd"/>
            <w:r w:rsidRPr="00E06ADC">
              <w:rPr>
                <w:rFonts w:eastAsia="Arial"/>
              </w:rPr>
              <w:t xml:space="preserve"> </w:t>
            </w:r>
            <w:proofErr w:type="spellStart"/>
            <w:r w:rsidRPr="00E06ADC">
              <w:rPr>
                <w:rFonts w:eastAsia="Arial"/>
              </w:rPr>
              <w:t>Independent</w:t>
            </w:r>
            <w:proofErr w:type="spellEnd"/>
            <w:r w:rsidRPr="00E06ADC">
              <w:rPr>
                <w:rFonts w:eastAsia="Arial"/>
              </w:rPr>
              <w:t xml:space="preserve"> Institute </w:t>
            </w:r>
            <w:proofErr w:type="spellStart"/>
            <w:r w:rsidRPr="00E06ADC">
              <w:rPr>
                <w:rFonts w:eastAsia="Arial"/>
              </w:rPr>
              <w:t>for</w:t>
            </w:r>
            <w:proofErr w:type="spellEnd"/>
            <w:r w:rsidRPr="00E06ADC">
              <w:rPr>
                <w:rFonts w:eastAsia="Arial"/>
              </w:rPr>
              <w:t xml:space="preserve"> </w:t>
            </w:r>
            <w:proofErr w:type="spellStart"/>
            <w:r w:rsidRPr="00E06ADC">
              <w:rPr>
                <w:rFonts w:eastAsia="Arial"/>
              </w:rPr>
              <w:t>Quality</w:t>
            </w:r>
            <w:proofErr w:type="spellEnd"/>
            <w:r w:rsidRPr="00E06ADC">
              <w:rPr>
                <w:rFonts w:eastAsia="Arial"/>
              </w:rPr>
              <w:t xml:space="preserve"> </w:t>
            </w:r>
            <w:proofErr w:type="spellStart"/>
            <w:r w:rsidRPr="00E06ADC">
              <w:rPr>
                <w:rFonts w:eastAsia="Arial"/>
              </w:rPr>
              <w:t>and</w:t>
            </w:r>
            <w:proofErr w:type="spellEnd"/>
            <w:r w:rsidRPr="00E06ADC">
              <w:rPr>
                <w:rFonts w:eastAsia="Arial"/>
              </w:rPr>
              <w:t xml:space="preserve"> </w:t>
            </w:r>
            <w:proofErr w:type="spellStart"/>
            <w:r w:rsidRPr="00E06ADC">
              <w:rPr>
                <w:rFonts w:eastAsia="Arial"/>
              </w:rPr>
              <w:t>Efficiency</w:t>
            </w:r>
            <w:proofErr w:type="spellEnd"/>
            <w:r w:rsidRPr="00E06ADC">
              <w:rPr>
                <w:rFonts w:eastAsia="Arial"/>
              </w:rPr>
              <w:t xml:space="preserve"> </w:t>
            </w:r>
            <w:proofErr w:type="spellStart"/>
            <w:r w:rsidRPr="00E06ADC">
              <w:rPr>
                <w:rFonts w:eastAsia="Arial"/>
              </w:rPr>
              <w:t>in</w:t>
            </w:r>
            <w:proofErr w:type="spellEnd"/>
            <w:r w:rsidRPr="00E06ADC">
              <w:rPr>
                <w:rFonts w:eastAsia="Arial"/>
              </w:rPr>
              <w:t xml:space="preserve"> </w:t>
            </w:r>
            <w:proofErr w:type="spellStart"/>
            <w:r w:rsidRPr="00E06ADC">
              <w:rPr>
                <w:rFonts w:eastAsia="Arial"/>
              </w:rPr>
              <w:t>Health</w:t>
            </w:r>
            <w:proofErr w:type="spellEnd"/>
            <w:r w:rsidRPr="00E06ADC">
              <w:rPr>
                <w:rFonts w:eastAsia="Arial"/>
              </w:rPr>
              <w:t xml:space="preserve"> Care, Germany</w:t>
            </w:r>
          </w:p>
          <w:p w14:paraId="2FEBE030" w14:textId="77777777" w:rsidR="00814591" w:rsidRPr="00E06ADC" w:rsidRDefault="00814591" w:rsidP="00621006">
            <w:pPr>
              <w:spacing w:line="276" w:lineRule="auto"/>
              <w:rPr>
                <w:rFonts w:eastAsia="Arial"/>
              </w:rPr>
            </w:pPr>
            <w:r w:rsidRPr="00E06ADC">
              <w:rPr>
                <w:rFonts w:eastAsia="Arial"/>
                <w:i/>
              </w:rPr>
              <w:t>(</w:t>
            </w:r>
            <w:r w:rsidRPr="00E06ADC">
              <w:rPr>
                <w:rFonts w:eastAsia="Arial"/>
                <w:iCs/>
              </w:rPr>
              <w:t>de.</w:t>
            </w:r>
            <w:r w:rsidRPr="00E06ADC">
              <w:t xml:space="preserve"> </w:t>
            </w:r>
            <w:proofErr w:type="spellStart"/>
            <w:r w:rsidRPr="00E06ADC">
              <w:rPr>
                <w:rFonts w:eastAsia="Arial"/>
                <w:i/>
              </w:rPr>
              <w:t>Institut</w:t>
            </w:r>
            <w:proofErr w:type="spellEnd"/>
            <w:r w:rsidRPr="00E06ADC">
              <w:rPr>
                <w:rFonts w:eastAsia="Arial"/>
                <w:i/>
              </w:rPr>
              <w:t xml:space="preserve"> </w:t>
            </w:r>
            <w:proofErr w:type="spellStart"/>
            <w:r w:rsidRPr="00E06ADC">
              <w:rPr>
                <w:rFonts w:eastAsia="Arial"/>
                <w:i/>
              </w:rPr>
              <w:t>für</w:t>
            </w:r>
            <w:proofErr w:type="spellEnd"/>
            <w:r w:rsidRPr="00E06ADC">
              <w:rPr>
                <w:rFonts w:eastAsia="Arial"/>
                <w:i/>
              </w:rPr>
              <w:t xml:space="preserve"> </w:t>
            </w:r>
            <w:proofErr w:type="spellStart"/>
            <w:r w:rsidRPr="00E06ADC">
              <w:rPr>
                <w:rFonts w:eastAsia="Arial"/>
                <w:i/>
              </w:rPr>
              <w:t>Qualität</w:t>
            </w:r>
            <w:proofErr w:type="spellEnd"/>
            <w:r w:rsidRPr="00E06ADC">
              <w:rPr>
                <w:rFonts w:eastAsia="Arial"/>
                <w:i/>
              </w:rPr>
              <w:t xml:space="preserve"> und </w:t>
            </w:r>
            <w:proofErr w:type="spellStart"/>
            <w:r w:rsidRPr="00E06ADC">
              <w:rPr>
                <w:rFonts w:eastAsia="Arial"/>
                <w:i/>
              </w:rPr>
              <w:t>Wirtschaftlichkeit</w:t>
            </w:r>
            <w:proofErr w:type="spellEnd"/>
            <w:r w:rsidRPr="00E06ADC">
              <w:rPr>
                <w:rFonts w:eastAsia="Arial"/>
                <w:i/>
              </w:rPr>
              <w:t xml:space="preserve"> </w:t>
            </w:r>
            <w:proofErr w:type="spellStart"/>
            <w:r w:rsidRPr="00E06ADC">
              <w:rPr>
                <w:rFonts w:eastAsia="Arial"/>
                <w:i/>
              </w:rPr>
              <w:t>im</w:t>
            </w:r>
            <w:proofErr w:type="spellEnd"/>
            <w:r w:rsidRPr="00E06ADC">
              <w:rPr>
                <w:rFonts w:eastAsia="Arial"/>
                <w:i/>
              </w:rPr>
              <w:t xml:space="preserve"> </w:t>
            </w:r>
            <w:proofErr w:type="spellStart"/>
            <w:r w:rsidRPr="00E06ADC">
              <w:rPr>
                <w:rFonts w:eastAsia="Arial"/>
                <w:i/>
              </w:rPr>
              <w:t>Gesundheitswesen</w:t>
            </w:r>
            <w:proofErr w:type="spellEnd"/>
            <w:r w:rsidRPr="00E06ADC">
              <w:rPr>
                <w:rFonts w:eastAsia="Arial"/>
                <w:i/>
              </w:rPr>
              <w:t xml:space="preserve">/ </w:t>
            </w:r>
            <w:proofErr w:type="spellStart"/>
            <w:r w:rsidRPr="00E06ADC">
              <w:rPr>
                <w:rFonts w:eastAsia="Arial"/>
                <w:i/>
              </w:rPr>
              <w:t>Gemeinsamen</w:t>
            </w:r>
            <w:proofErr w:type="spellEnd"/>
            <w:r w:rsidRPr="00E06ADC">
              <w:rPr>
                <w:rFonts w:eastAsia="Arial"/>
                <w:i/>
              </w:rPr>
              <w:t xml:space="preserve"> </w:t>
            </w:r>
            <w:proofErr w:type="spellStart"/>
            <w:r w:rsidRPr="00E06ADC">
              <w:rPr>
                <w:rFonts w:eastAsia="Arial"/>
                <w:i/>
              </w:rPr>
              <w:t>Bundesausschusses</w:t>
            </w:r>
            <w:proofErr w:type="spellEnd"/>
            <w:r w:rsidRPr="00E06ADC">
              <w:rPr>
                <w:rFonts w:eastAsia="Arial"/>
                <w:i/>
              </w:rPr>
              <w:t xml:space="preserve">, </w:t>
            </w:r>
            <w:proofErr w:type="spellStart"/>
            <w:r w:rsidRPr="00E06ADC">
              <w:rPr>
                <w:color w:val="000000"/>
                <w:lang w:eastAsia="lt-LT"/>
              </w:rPr>
              <w:t>IQWiG</w:t>
            </w:r>
            <w:proofErr w:type="spellEnd"/>
            <w:r w:rsidRPr="00E06ADC">
              <w:rPr>
                <w:color w:val="000000"/>
                <w:lang w:eastAsia="lt-LT"/>
              </w:rPr>
              <w:t>/G-BA</w:t>
            </w:r>
            <w:r w:rsidRPr="00E06ADC">
              <w:rPr>
                <w:rFonts w:eastAsia="Arial"/>
                <w:i/>
              </w:rPr>
              <w:t>)</w:t>
            </w:r>
          </w:p>
        </w:tc>
        <w:tc>
          <w:tcPr>
            <w:tcW w:w="1915" w:type="dxa"/>
          </w:tcPr>
          <w:p w14:paraId="07045F4B" w14:textId="77777777" w:rsidR="00814591" w:rsidRPr="00E06ADC" w:rsidRDefault="00814591" w:rsidP="00621006">
            <w:r w:rsidRPr="00E06ADC">
              <w:rPr>
                <w:rFonts w:ascii="Segoe UI Symbol" w:hAnsi="Segoe UI Symbol"/>
              </w:rPr>
              <w:t>⌧</w:t>
            </w:r>
            <w:r w:rsidRPr="00E06ADC">
              <w:t xml:space="preserve"> Taip</w:t>
            </w:r>
          </w:p>
          <w:p w14:paraId="4DC86928" w14:textId="77777777" w:rsidR="00814591" w:rsidRPr="00E06ADC" w:rsidRDefault="00814591" w:rsidP="00621006">
            <w:r w:rsidRPr="00E06ADC">
              <w:rPr>
                <w:rFonts w:ascii="Segoe UI Symbol" w:eastAsia="MS Gothic" w:hAnsi="Segoe UI Symbol" w:cs="Segoe UI Symbol"/>
              </w:rPr>
              <w:t>☐</w:t>
            </w:r>
            <w:r w:rsidRPr="00E06ADC">
              <w:t xml:space="preserve"> Ne</w:t>
            </w:r>
          </w:p>
          <w:p w14:paraId="1C77041E" w14:textId="77777777" w:rsidR="00814591" w:rsidRPr="00E06ADC" w:rsidRDefault="00814591" w:rsidP="00621006"/>
          <w:p w14:paraId="1CE5AB8C" w14:textId="77777777" w:rsidR="00814591" w:rsidRPr="00E06ADC" w:rsidRDefault="00814591" w:rsidP="00621006">
            <w:pPr>
              <w:jc w:val="both"/>
            </w:pPr>
            <w:r w:rsidRPr="00E06ADC">
              <w:t>2021.04.15</w:t>
            </w:r>
          </w:p>
        </w:tc>
        <w:tc>
          <w:tcPr>
            <w:tcW w:w="4792" w:type="dxa"/>
            <w:gridSpan w:val="2"/>
          </w:tcPr>
          <w:p w14:paraId="31F2D9A0" w14:textId="77777777" w:rsidR="00814591" w:rsidRPr="00E06ADC" w:rsidRDefault="00814591" w:rsidP="00621006">
            <w:pPr>
              <w:spacing w:line="276" w:lineRule="auto"/>
              <w:jc w:val="both"/>
              <w:rPr>
                <w:rFonts w:eastAsia="Arial"/>
              </w:rPr>
            </w:pPr>
            <w:r w:rsidRPr="00E06ADC">
              <w:rPr>
                <w:rFonts w:eastAsia="Arial"/>
              </w:rPr>
              <w:t xml:space="preserve">G-BA paskelbė teigiamą nuomonę dėl </w:t>
            </w:r>
            <w:proofErr w:type="spellStart"/>
            <w:r w:rsidRPr="00E06ADC">
              <w:rPr>
                <w:rFonts w:eastAsia="Arial"/>
              </w:rPr>
              <w:t>kanabidiolio</w:t>
            </w:r>
            <w:proofErr w:type="spellEnd"/>
            <w:r w:rsidRPr="00E06ADC">
              <w:rPr>
                <w:rFonts w:eastAsia="Arial"/>
              </w:rPr>
              <w:t xml:space="preserve">, skirto 2-jų metų ir vyresniems pacientams gydyti LGS kartu su </w:t>
            </w:r>
            <w:proofErr w:type="spellStart"/>
            <w:r w:rsidRPr="00E06ADC">
              <w:rPr>
                <w:rFonts w:eastAsia="Arial"/>
              </w:rPr>
              <w:t>klobazamu</w:t>
            </w:r>
            <w:proofErr w:type="spellEnd"/>
            <w:r w:rsidRPr="00E06ADC">
              <w:rPr>
                <w:rFonts w:eastAsia="Arial"/>
              </w:rPr>
              <w:t>, finansavimo.</w:t>
            </w:r>
          </w:p>
          <w:p w14:paraId="4C9398B4" w14:textId="77777777" w:rsidR="00814591" w:rsidRPr="00E06ADC" w:rsidRDefault="00814591" w:rsidP="00621006">
            <w:pPr>
              <w:spacing w:line="276" w:lineRule="auto"/>
              <w:jc w:val="both"/>
              <w:rPr>
                <w:rFonts w:eastAsia="Arial"/>
              </w:rPr>
            </w:pPr>
            <w:r w:rsidRPr="00E06ADC">
              <w:rPr>
                <w:rFonts w:eastAsia="Arial"/>
              </w:rPr>
              <w:t xml:space="preserve">Dėl </w:t>
            </w:r>
            <w:proofErr w:type="spellStart"/>
            <w:r w:rsidRPr="00E06ADC">
              <w:rPr>
                <w:rFonts w:eastAsia="Arial"/>
              </w:rPr>
              <w:t>kanabidiolio</w:t>
            </w:r>
            <w:proofErr w:type="spellEnd"/>
            <w:r w:rsidRPr="00E06ADC">
              <w:rPr>
                <w:rFonts w:eastAsia="Arial"/>
              </w:rPr>
              <w:t xml:space="preserve"> terapinės indikacijos - papildomo su LGS susijusių traukulių gydymo 2-jų metų ir vyresniems pacientams - yra užuominų apie didelę papildomą naudą.</w:t>
            </w:r>
          </w:p>
        </w:tc>
      </w:tr>
      <w:tr w:rsidR="00814591" w:rsidRPr="00E06ADC" w14:paraId="1AF0F8E7" w14:textId="77777777" w:rsidTr="00621006">
        <w:trPr>
          <w:trHeight w:val="690"/>
        </w:trPr>
        <w:tc>
          <w:tcPr>
            <w:tcW w:w="2927" w:type="dxa"/>
          </w:tcPr>
          <w:p w14:paraId="631BCF88" w14:textId="77777777" w:rsidR="00814591" w:rsidRPr="00E06ADC" w:rsidRDefault="00814591" w:rsidP="00621006">
            <w:pPr>
              <w:spacing w:line="276" w:lineRule="auto"/>
              <w:rPr>
                <w:rFonts w:eastAsia="Arial"/>
              </w:rPr>
            </w:pPr>
            <w:proofErr w:type="spellStart"/>
            <w:r w:rsidRPr="00E06ADC">
              <w:rPr>
                <w:rFonts w:eastAsia="Arial"/>
              </w:rPr>
              <w:t>The</w:t>
            </w:r>
            <w:proofErr w:type="spellEnd"/>
            <w:r w:rsidRPr="00E06ADC">
              <w:rPr>
                <w:rFonts w:eastAsia="Arial"/>
              </w:rPr>
              <w:t xml:space="preserve"> </w:t>
            </w:r>
            <w:proofErr w:type="spellStart"/>
            <w:r w:rsidRPr="00E06ADC">
              <w:rPr>
                <w:rFonts w:eastAsia="Arial"/>
              </w:rPr>
              <w:t>Agency</w:t>
            </w:r>
            <w:proofErr w:type="spellEnd"/>
            <w:r w:rsidRPr="00E06ADC">
              <w:rPr>
                <w:rFonts w:eastAsia="Arial"/>
              </w:rPr>
              <w:t xml:space="preserve"> </w:t>
            </w:r>
            <w:proofErr w:type="spellStart"/>
            <w:r w:rsidRPr="00E06ADC">
              <w:rPr>
                <w:rFonts w:eastAsia="Arial"/>
              </w:rPr>
              <w:t>for</w:t>
            </w:r>
            <w:proofErr w:type="spellEnd"/>
            <w:r w:rsidRPr="00E06ADC">
              <w:rPr>
                <w:rFonts w:eastAsia="Arial"/>
              </w:rPr>
              <w:t xml:space="preserve"> </w:t>
            </w:r>
            <w:proofErr w:type="spellStart"/>
            <w:r w:rsidRPr="00E06ADC">
              <w:rPr>
                <w:rFonts w:eastAsia="Arial"/>
              </w:rPr>
              <w:t>Health</w:t>
            </w:r>
            <w:proofErr w:type="spellEnd"/>
            <w:r w:rsidRPr="00E06ADC">
              <w:rPr>
                <w:rFonts w:eastAsia="Arial"/>
              </w:rPr>
              <w:t xml:space="preserve"> </w:t>
            </w:r>
            <w:proofErr w:type="spellStart"/>
            <w:r w:rsidRPr="00E06ADC">
              <w:rPr>
                <w:rFonts w:eastAsia="Arial"/>
              </w:rPr>
              <w:t>Technology</w:t>
            </w:r>
            <w:proofErr w:type="spellEnd"/>
            <w:r w:rsidRPr="00E06ADC">
              <w:rPr>
                <w:rFonts w:eastAsia="Arial"/>
              </w:rPr>
              <w:t xml:space="preserve"> </w:t>
            </w:r>
            <w:proofErr w:type="spellStart"/>
            <w:r w:rsidRPr="00E06ADC">
              <w:rPr>
                <w:rFonts w:eastAsia="Arial"/>
              </w:rPr>
              <w:t>Assessment</w:t>
            </w:r>
            <w:proofErr w:type="spellEnd"/>
            <w:r w:rsidRPr="00E06ADC">
              <w:rPr>
                <w:rFonts w:eastAsia="Arial"/>
              </w:rPr>
              <w:t xml:space="preserve"> </w:t>
            </w:r>
            <w:proofErr w:type="spellStart"/>
            <w:r w:rsidRPr="00E06ADC">
              <w:rPr>
                <w:rFonts w:eastAsia="Arial"/>
              </w:rPr>
              <w:t>and</w:t>
            </w:r>
            <w:proofErr w:type="spellEnd"/>
            <w:r w:rsidRPr="00E06ADC">
              <w:rPr>
                <w:rFonts w:eastAsia="Arial"/>
              </w:rPr>
              <w:t xml:space="preserve"> </w:t>
            </w:r>
            <w:proofErr w:type="spellStart"/>
            <w:r w:rsidRPr="00E06ADC">
              <w:rPr>
                <w:rFonts w:eastAsia="Arial"/>
              </w:rPr>
              <w:t>Tariff</w:t>
            </w:r>
            <w:proofErr w:type="spellEnd"/>
            <w:r w:rsidRPr="00E06ADC">
              <w:rPr>
                <w:rFonts w:eastAsia="Arial"/>
              </w:rPr>
              <w:t xml:space="preserve"> System, </w:t>
            </w:r>
            <w:proofErr w:type="spellStart"/>
            <w:r w:rsidRPr="00E06ADC">
              <w:rPr>
                <w:rFonts w:eastAsia="Arial"/>
              </w:rPr>
              <w:t>Poland</w:t>
            </w:r>
            <w:proofErr w:type="spellEnd"/>
          </w:p>
          <w:p w14:paraId="3CF5846D" w14:textId="77777777" w:rsidR="00814591" w:rsidRPr="00E06ADC" w:rsidRDefault="00814591" w:rsidP="00621006">
            <w:pPr>
              <w:spacing w:line="276" w:lineRule="auto"/>
              <w:rPr>
                <w:rFonts w:eastAsia="Arial"/>
              </w:rPr>
            </w:pPr>
            <w:r w:rsidRPr="00E06ADC">
              <w:rPr>
                <w:rFonts w:eastAsia="Arial"/>
                <w:iCs/>
              </w:rPr>
              <w:t>(pl</w:t>
            </w:r>
            <w:r w:rsidRPr="00E06ADC">
              <w:rPr>
                <w:rFonts w:eastAsia="Arial"/>
                <w:i/>
              </w:rPr>
              <w:t xml:space="preserve">. </w:t>
            </w:r>
            <w:proofErr w:type="spellStart"/>
            <w:r w:rsidRPr="00E06ADC">
              <w:rPr>
                <w:i/>
                <w:iCs/>
                <w:color w:val="000000"/>
                <w:lang w:eastAsia="lt-LT"/>
              </w:rPr>
              <w:t>Agencja</w:t>
            </w:r>
            <w:proofErr w:type="spellEnd"/>
            <w:r w:rsidRPr="00E06ADC">
              <w:rPr>
                <w:i/>
                <w:iCs/>
                <w:color w:val="000000"/>
                <w:lang w:eastAsia="lt-LT"/>
              </w:rPr>
              <w:t xml:space="preserve"> </w:t>
            </w:r>
            <w:proofErr w:type="spellStart"/>
            <w:r w:rsidRPr="00E06ADC">
              <w:rPr>
                <w:i/>
                <w:iCs/>
                <w:color w:val="000000"/>
                <w:lang w:eastAsia="lt-LT"/>
              </w:rPr>
              <w:t>Oceny</w:t>
            </w:r>
            <w:proofErr w:type="spellEnd"/>
            <w:r w:rsidRPr="00E06ADC">
              <w:rPr>
                <w:i/>
                <w:iCs/>
                <w:color w:val="000000"/>
                <w:lang w:eastAsia="lt-LT"/>
              </w:rPr>
              <w:t xml:space="preserve"> </w:t>
            </w:r>
            <w:proofErr w:type="spellStart"/>
            <w:r w:rsidRPr="00E06ADC">
              <w:rPr>
                <w:i/>
                <w:iCs/>
                <w:color w:val="000000"/>
                <w:lang w:eastAsia="lt-LT"/>
              </w:rPr>
              <w:t>Technologii</w:t>
            </w:r>
            <w:proofErr w:type="spellEnd"/>
            <w:r w:rsidRPr="00E06ADC">
              <w:rPr>
                <w:i/>
                <w:iCs/>
                <w:color w:val="000000"/>
                <w:lang w:eastAsia="lt-LT"/>
              </w:rPr>
              <w:t xml:space="preserve"> </w:t>
            </w:r>
            <w:proofErr w:type="spellStart"/>
            <w:r w:rsidRPr="00E06ADC">
              <w:rPr>
                <w:i/>
                <w:iCs/>
                <w:color w:val="000000"/>
                <w:lang w:eastAsia="lt-LT"/>
              </w:rPr>
              <w:t>Medycznych</w:t>
            </w:r>
            <w:proofErr w:type="spellEnd"/>
            <w:r w:rsidRPr="00E06ADC">
              <w:rPr>
                <w:i/>
                <w:iCs/>
                <w:color w:val="000000"/>
                <w:lang w:eastAsia="lt-LT"/>
              </w:rPr>
              <w:t xml:space="preserve"> i </w:t>
            </w:r>
            <w:proofErr w:type="spellStart"/>
            <w:r w:rsidRPr="00E06ADC">
              <w:rPr>
                <w:i/>
                <w:iCs/>
                <w:color w:val="000000"/>
                <w:lang w:eastAsia="lt-LT"/>
              </w:rPr>
              <w:t>Taryfikacji</w:t>
            </w:r>
            <w:proofErr w:type="spellEnd"/>
            <w:r w:rsidRPr="00E06ADC">
              <w:rPr>
                <w:i/>
                <w:iCs/>
                <w:color w:val="000000"/>
                <w:lang w:eastAsia="lt-LT"/>
              </w:rPr>
              <w:t xml:space="preserve">, </w:t>
            </w:r>
            <w:proofErr w:type="spellStart"/>
            <w:r w:rsidRPr="00E06ADC">
              <w:rPr>
                <w:rFonts w:eastAsia="Arial"/>
              </w:rPr>
              <w:t>AOTMiT</w:t>
            </w:r>
            <w:proofErr w:type="spellEnd"/>
            <w:r w:rsidRPr="00E06ADC">
              <w:rPr>
                <w:i/>
                <w:iCs/>
                <w:color w:val="000000"/>
                <w:lang w:eastAsia="lt-LT"/>
              </w:rPr>
              <w:t>)</w:t>
            </w:r>
          </w:p>
        </w:tc>
        <w:tc>
          <w:tcPr>
            <w:tcW w:w="1915" w:type="dxa"/>
          </w:tcPr>
          <w:p w14:paraId="31E61247" w14:textId="77777777" w:rsidR="00814591" w:rsidRPr="00E06ADC" w:rsidRDefault="00814591" w:rsidP="00621006">
            <w:r w:rsidRPr="00E06ADC">
              <w:rPr>
                <w:rFonts w:ascii="Segoe UI Symbol" w:hAnsi="Segoe UI Symbol"/>
              </w:rPr>
              <w:t>⌧</w:t>
            </w:r>
            <w:r w:rsidRPr="00E06ADC">
              <w:t xml:space="preserve"> Taip</w:t>
            </w:r>
          </w:p>
          <w:p w14:paraId="62580EF9" w14:textId="77777777" w:rsidR="00814591" w:rsidRPr="00E06ADC" w:rsidRDefault="00814591" w:rsidP="00621006">
            <w:r w:rsidRPr="00E06ADC">
              <w:rPr>
                <w:rFonts w:ascii="Segoe UI Symbol" w:eastAsia="MS Gothic" w:hAnsi="Segoe UI Symbol" w:cs="Segoe UI Symbol"/>
              </w:rPr>
              <w:t>☐</w:t>
            </w:r>
            <w:r w:rsidRPr="00E06ADC">
              <w:t xml:space="preserve"> Ne</w:t>
            </w:r>
          </w:p>
          <w:p w14:paraId="674356D9" w14:textId="77777777" w:rsidR="00814591" w:rsidRPr="00E06ADC" w:rsidRDefault="00814591" w:rsidP="00621006"/>
          <w:p w14:paraId="1D67AE5B" w14:textId="77777777" w:rsidR="00814591" w:rsidRPr="00E06ADC" w:rsidRDefault="00814591" w:rsidP="00621006">
            <w:pPr>
              <w:jc w:val="both"/>
            </w:pPr>
            <w:r w:rsidRPr="00E06ADC">
              <w:t>2023.08.04</w:t>
            </w:r>
          </w:p>
        </w:tc>
        <w:tc>
          <w:tcPr>
            <w:tcW w:w="4792" w:type="dxa"/>
            <w:gridSpan w:val="2"/>
          </w:tcPr>
          <w:p w14:paraId="2D98A5A3" w14:textId="77777777" w:rsidR="00814591" w:rsidRPr="00E06ADC" w:rsidRDefault="00814591" w:rsidP="00621006">
            <w:pPr>
              <w:spacing w:line="276" w:lineRule="auto"/>
              <w:jc w:val="both"/>
              <w:rPr>
                <w:rFonts w:eastAsia="Arial"/>
              </w:rPr>
            </w:pPr>
            <w:r w:rsidRPr="00E06ADC">
              <w:rPr>
                <w:rFonts w:eastAsia="Arial"/>
              </w:rPr>
              <w:t xml:space="preserve">Rekomenduojama kompensuoti vaistinio preparato </w:t>
            </w:r>
            <w:proofErr w:type="spellStart"/>
            <w:r w:rsidRPr="00E06ADC">
              <w:rPr>
                <w:rFonts w:eastAsia="Arial"/>
              </w:rPr>
              <w:t>Epidyolex</w:t>
            </w:r>
            <w:proofErr w:type="spellEnd"/>
            <w:r w:rsidRPr="00E06ADC">
              <w:rPr>
                <w:rFonts w:eastAsia="Arial"/>
              </w:rPr>
              <w:t xml:space="preserve"> (</w:t>
            </w:r>
            <w:proofErr w:type="spellStart"/>
            <w:r w:rsidRPr="00E06ADC">
              <w:rPr>
                <w:rFonts w:eastAsia="Arial"/>
              </w:rPr>
              <w:t>kanabidiolis</w:t>
            </w:r>
            <w:proofErr w:type="spellEnd"/>
            <w:r w:rsidRPr="00E06ADC">
              <w:rPr>
                <w:rFonts w:eastAsia="Arial"/>
              </w:rPr>
              <w:t xml:space="preserve">) pagal vaistų programą „Pacientų, sergančių </w:t>
            </w:r>
            <w:proofErr w:type="spellStart"/>
            <w:r w:rsidRPr="00E06ADC">
              <w:rPr>
                <w:rFonts w:eastAsia="Arial"/>
              </w:rPr>
              <w:t>Lennox</w:t>
            </w:r>
            <w:proofErr w:type="spellEnd"/>
            <w:r w:rsidRPr="00E06ADC">
              <w:rPr>
                <w:rFonts w:eastAsia="Arial"/>
              </w:rPr>
              <w:t xml:space="preserve"> </w:t>
            </w:r>
            <w:proofErr w:type="spellStart"/>
            <w:r w:rsidRPr="00E06ADC">
              <w:rPr>
                <w:rFonts w:eastAsia="Arial"/>
              </w:rPr>
              <w:t>Gastaut</w:t>
            </w:r>
            <w:proofErr w:type="spellEnd"/>
            <w:r w:rsidRPr="00E06ADC">
              <w:rPr>
                <w:rFonts w:eastAsia="Arial"/>
              </w:rPr>
              <w:t xml:space="preserve"> sindromu arba </w:t>
            </w:r>
            <w:proofErr w:type="spellStart"/>
            <w:r w:rsidRPr="00E06ADC">
              <w:rPr>
                <w:rFonts w:eastAsia="Arial"/>
              </w:rPr>
              <w:t>Dravet</w:t>
            </w:r>
            <w:proofErr w:type="spellEnd"/>
            <w:r w:rsidRPr="00E06ADC">
              <w:rPr>
                <w:rFonts w:eastAsia="Arial"/>
              </w:rPr>
              <w:t xml:space="preserve"> sindromu (TLK-10: G40.4), sergančių pacientų gydymas“, jeigu bus sumažinta kaina arba įdiegtas rizikos pasidalijimo mechanizmas, kuris sumažins gydymo išlaidas. </w:t>
            </w:r>
            <w:proofErr w:type="spellStart"/>
            <w:r w:rsidRPr="00E06ADC">
              <w:rPr>
                <w:rFonts w:eastAsia="Arial"/>
              </w:rPr>
              <w:t>Kanabidiolio</w:t>
            </w:r>
            <w:proofErr w:type="spellEnd"/>
            <w:r w:rsidRPr="00E06ADC">
              <w:rPr>
                <w:rFonts w:eastAsia="Arial"/>
              </w:rPr>
              <w:t xml:space="preserve"> vartojimo sąlyga taip pat yra </w:t>
            </w:r>
            <w:proofErr w:type="spellStart"/>
            <w:r w:rsidRPr="00E06ADC">
              <w:rPr>
                <w:rFonts w:eastAsia="Arial"/>
              </w:rPr>
              <w:t>klobazamo</w:t>
            </w:r>
            <w:proofErr w:type="spellEnd"/>
            <w:r w:rsidRPr="00E06ADC">
              <w:rPr>
                <w:rFonts w:eastAsia="Arial"/>
              </w:rPr>
              <w:t xml:space="preserve"> prieinamumas.</w:t>
            </w:r>
          </w:p>
          <w:p w14:paraId="54172A1E" w14:textId="77777777" w:rsidR="00814591" w:rsidRPr="00E06ADC" w:rsidRDefault="00814591" w:rsidP="00621006">
            <w:pPr>
              <w:spacing w:line="276" w:lineRule="auto"/>
              <w:jc w:val="both"/>
              <w:rPr>
                <w:rFonts w:eastAsia="Arial"/>
              </w:rPr>
            </w:pPr>
            <w:proofErr w:type="spellStart"/>
            <w:r w:rsidRPr="00E06ADC">
              <w:rPr>
                <w:rFonts w:eastAsia="Arial"/>
              </w:rPr>
              <w:t>Epidyolex</w:t>
            </w:r>
            <w:proofErr w:type="spellEnd"/>
            <w:r w:rsidRPr="00E06ADC">
              <w:rPr>
                <w:rFonts w:eastAsia="Arial"/>
              </w:rPr>
              <w:t xml:space="preserve"> yra skirtas vartoti kaip papildomas su LGS susijusių priepuolių gydymas:</w:t>
            </w:r>
          </w:p>
          <w:p w14:paraId="17B79AD1" w14:textId="77777777" w:rsidR="00814591" w:rsidRPr="00E06ADC" w:rsidRDefault="00814591" w:rsidP="00814591">
            <w:pPr>
              <w:pStyle w:val="ListParagraph"/>
              <w:numPr>
                <w:ilvl w:val="0"/>
                <w:numId w:val="8"/>
              </w:numPr>
              <w:spacing w:after="160" w:line="276" w:lineRule="auto"/>
              <w:jc w:val="both"/>
              <w:rPr>
                <w:rFonts w:eastAsia="Arial"/>
              </w:rPr>
            </w:pPr>
            <w:r w:rsidRPr="00E06ADC">
              <w:rPr>
                <w:rFonts w:eastAsia="Arial"/>
              </w:rPr>
              <w:t>≥ 2-jų metų amžiaus pacientams</w:t>
            </w:r>
          </w:p>
          <w:p w14:paraId="79BAF633" w14:textId="77777777" w:rsidR="00814591" w:rsidRPr="00E06ADC" w:rsidRDefault="00814591" w:rsidP="00814591">
            <w:pPr>
              <w:pStyle w:val="ListParagraph"/>
              <w:numPr>
                <w:ilvl w:val="0"/>
                <w:numId w:val="8"/>
              </w:numPr>
              <w:spacing w:after="160" w:line="276" w:lineRule="auto"/>
              <w:jc w:val="both"/>
              <w:rPr>
                <w:rFonts w:eastAsia="Arial"/>
                <w:lang w:val="fi-FI"/>
              </w:rPr>
            </w:pPr>
            <w:r w:rsidRPr="00E06ADC">
              <w:rPr>
                <w:rFonts w:eastAsia="Arial"/>
                <w:lang w:val="fi-FI"/>
              </w:rPr>
              <w:t>klinikinė LGS diagnozė, kai priepuoliai nėra visiškai kontroliuojami esamais vaistais nuo epilepsijos</w:t>
            </w:r>
          </w:p>
          <w:p w14:paraId="1483FE29" w14:textId="77777777" w:rsidR="00814591" w:rsidRPr="00E06ADC" w:rsidRDefault="00814591" w:rsidP="00814591">
            <w:pPr>
              <w:pStyle w:val="ListParagraph"/>
              <w:numPr>
                <w:ilvl w:val="0"/>
                <w:numId w:val="8"/>
              </w:numPr>
              <w:spacing w:after="160" w:line="276" w:lineRule="auto"/>
              <w:jc w:val="both"/>
              <w:rPr>
                <w:rFonts w:eastAsia="Arial"/>
              </w:rPr>
            </w:pPr>
            <w:r w:rsidRPr="00E06ADC">
              <w:rPr>
                <w:rFonts w:eastAsia="Arial"/>
              </w:rPr>
              <w:t xml:space="preserve">kartu su </w:t>
            </w:r>
            <w:proofErr w:type="spellStart"/>
            <w:r w:rsidRPr="00E06ADC">
              <w:rPr>
                <w:rFonts w:eastAsia="Arial"/>
              </w:rPr>
              <w:t>klobazamu</w:t>
            </w:r>
            <w:proofErr w:type="spellEnd"/>
          </w:p>
          <w:p w14:paraId="26BA39A5" w14:textId="77777777" w:rsidR="00814591" w:rsidRPr="00E06ADC" w:rsidRDefault="00814591" w:rsidP="00814591">
            <w:pPr>
              <w:pStyle w:val="ListParagraph"/>
              <w:numPr>
                <w:ilvl w:val="0"/>
                <w:numId w:val="8"/>
              </w:numPr>
              <w:spacing w:after="160" w:line="276" w:lineRule="auto"/>
              <w:jc w:val="both"/>
              <w:rPr>
                <w:rFonts w:eastAsia="Arial"/>
                <w:lang w:val="fi-FI"/>
              </w:rPr>
            </w:pPr>
            <w:r w:rsidRPr="00E06ADC">
              <w:rPr>
                <w:rFonts w:eastAsia="Arial"/>
                <w:lang w:val="fi-FI"/>
              </w:rPr>
              <w:t>gydymo linijos apribojimas: 4-oji gydymo linija</w:t>
            </w:r>
          </w:p>
          <w:p w14:paraId="5142451C" w14:textId="77777777" w:rsidR="00814591" w:rsidRPr="00E06ADC" w:rsidRDefault="00814591" w:rsidP="00814591">
            <w:pPr>
              <w:pStyle w:val="ListParagraph"/>
              <w:numPr>
                <w:ilvl w:val="0"/>
                <w:numId w:val="8"/>
              </w:numPr>
              <w:spacing w:after="160" w:line="276" w:lineRule="auto"/>
              <w:jc w:val="both"/>
              <w:rPr>
                <w:rFonts w:eastAsia="Arial"/>
                <w:lang w:val="fi-FI"/>
              </w:rPr>
            </w:pPr>
            <w:r w:rsidRPr="00E06ADC">
              <w:rPr>
                <w:rFonts w:eastAsia="Arial"/>
                <w:lang w:val="fi-FI"/>
              </w:rPr>
              <w:t>epilepsijos priepuolių dienoraščio pildymas mažiausiai 6 mėnesius iki gydymo pradžios.</w:t>
            </w:r>
          </w:p>
          <w:p w14:paraId="766218A9" w14:textId="77777777" w:rsidR="00814591" w:rsidRPr="00E06ADC" w:rsidRDefault="00814591" w:rsidP="00814591">
            <w:pPr>
              <w:pStyle w:val="ListParagraph"/>
              <w:numPr>
                <w:ilvl w:val="0"/>
                <w:numId w:val="8"/>
              </w:numPr>
              <w:spacing w:after="160" w:line="276" w:lineRule="auto"/>
              <w:jc w:val="both"/>
              <w:rPr>
                <w:rFonts w:eastAsia="Arial"/>
              </w:rPr>
            </w:pPr>
            <w:r w:rsidRPr="00E06ADC">
              <w:rPr>
                <w:rFonts w:eastAsia="Arial"/>
              </w:rPr>
              <w:t xml:space="preserve">Tęsimo kriterijai: </w:t>
            </w:r>
          </w:p>
          <w:p w14:paraId="2C591544" w14:textId="77777777" w:rsidR="00814591" w:rsidRPr="00E06ADC" w:rsidRDefault="00814591" w:rsidP="00814591">
            <w:pPr>
              <w:pStyle w:val="ListParagraph"/>
              <w:numPr>
                <w:ilvl w:val="0"/>
                <w:numId w:val="8"/>
              </w:numPr>
              <w:spacing w:after="160" w:line="276" w:lineRule="auto"/>
              <w:jc w:val="both"/>
              <w:rPr>
                <w:rFonts w:eastAsia="Arial"/>
              </w:rPr>
            </w:pPr>
            <w:r w:rsidRPr="00E06ADC">
              <w:rPr>
                <w:rFonts w:eastAsia="Arial"/>
              </w:rPr>
              <w:t>Gydymo pradžios kriterijai: ≥ 30 % sumažėjęs mėnesinis priepuolių skaičius 4-ąjį gydymo mėnesį, palyginti su 6 mėnesių prieš pat gydymo pradžią mėnesio vidurkiu</w:t>
            </w:r>
          </w:p>
          <w:p w14:paraId="70918D91" w14:textId="77777777" w:rsidR="00814591" w:rsidRPr="00E06ADC" w:rsidRDefault="00814591" w:rsidP="00814591">
            <w:pPr>
              <w:pStyle w:val="ListParagraph"/>
              <w:numPr>
                <w:ilvl w:val="0"/>
                <w:numId w:val="8"/>
              </w:numPr>
              <w:spacing w:after="160" w:line="276" w:lineRule="auto"/>
              <w:jc w:val="both"/>
              <w:rPr>
                <w:rFonts w:eastAsia="Arial"/>
              </w:rPr>
            </w:pPr>
            <w:r w:rsidRPr="00E06ADC">
              <w:rPr>
                <w:rFonts w:eastAsia="Arial"/>
              </w:rPr>
              <w:t>- ≥ 30 % sumažėjęs mėnesinis priepuolių skaičius per paskutinius 3 gydymo mėnesius, palyginti su 6 mėnesių prieš pat gydymo pradžią mėnesiniu vidurkiu.</w:t>
            </w:r>
          </w:p>
        </w:tc>
      </w:tr>
      <w:tr w:rsidR="00814591" w:rsidRPr="00E06ADC" w14:paraId="7FBA6004" w14:textId="77777777" w:rsidTr="00621006">
        <w:trPr>
          <w:trHeight w:val="690"/>
        </w:trPr>
        <w:tc>
          <w:tcPr>
            <w:tcW w:w="2927" w:type="dxa"/>
          </w:tcPr>
          <w:p w14:paraId="298967E6" w14:textId="77777777" w:rsidR="00814591" w:rsidRPr="00E06ADC" w:rsidRDefault="00814591" w:rsidP="00621006">
            <w:pPr>
              <w:spacing w:line="276" w:lineRule="auto"/>
              <w:rPr>
                <w:rFonts w:eastAsia="Arial"/>
                <w:i/>
              </w:rPr>
            </w:pPr>
            <w:proofErr w:type="spellStart"/>
            <w:r w:rsidRPr="00E06ADC">
              <w:rPr>
                <w:rFonts w:eastAsia="Arial"/>
              </w:rPr>
              <w:t>High</w:t>
            </w:r>
            <w:proofErr w:type="spellEnd"/>
            <w:r w:rsidRPr="00E06ADC">
              <w:rPr>
                <w:rFonts w:eastAsia="Arial"/>
              </w:rPr>
              <w:t xml:space="preserve"> </w:t>
            </w:r>
            <w:proofErr w:type="spellStart"/>
            <w:r w:rsidRPr="00E06ADC">
              <w:rPr>
                <w:rFonts w:eastAsia="Arial"/>
              </w:rPr>
              <w:t>Health</w:t>
            </w:r>
            <w:proofErr w:type="spellEnd"/>
            <w:r w:rsidRPr="00E06ADC">
              <w:rPr>
                <w:rFonts w:eastAsia="Arial"/>
              </w:rPr>
              <w:t xml:space="preserve"> </w:t>
            </w:r>
            <w:proofErr w:type="spellStart"/>
            <w:r w:rsidRPr="00E06ADC">
              <w:rPr>
                <w:rFonts w:eastAsia="Arial"/>
              </w:rPr>
              <w:t>Authority</w:t>
            </w:r>
            <w:proofErr w:type="spellEnd"/>
            <w:r w:rsidRPr="00E06ADC">
              <w:rPr>
                <w:rFonts w:eastAsia="Arial"/>
              </w:rPr>
              <w:t xml:space="preserve">, France </w:t>
            </w:r>
            <w:r w:rsidRPr="00E06ADC">
              <w:rPr>
                <w:rFonts w:eastAsia="Arial"/>
                <w:i/>
              </w:rPr>
              <w:t>(</w:t>
            </w:r>
            <w:proofErr w:type="spellStart"/>
            <w:r w:rsidRPr="00E06ADC">
              <w:rPr>
                <w:rFonts w:eastAsia="Arial"/>
                <w:iCs/>
              </w:rPr>
              <w:t>fr</w:t>
            </w:r>
            <w:proofErr w:type="spellEnd"/>
            <w:r w:rsidRPr="00E06ADC">
              <w:rPr>
                <w:rFonts w:eastAsia="Arial"/>
                <w:iCs/>
              </w:rPr>
              <w:t xml:space="preserve">. </w:t>
            </w:r>
            <w:proofErr w:type="spellStart"/>
            <w:r w:rsidRPr="00E06ADC">
              <w:rPr>
                <w:rFonts w:eastAsia="Arial"/>
                <w:i/>
              </w:rPr>
              <w:t>Haute</w:t>
            </w:r>
            <w:proofErr w:type="spellEnd"/>
            <w:r w:rsidRPr="00E06ADC">
              <w:rPr>
                <w:rFonts w:eastAsia="Arial"/>
                <w:i/>
              </w:rPr>
              <w:t xml:space="preserve"> </w:t>
            </w:r>
            <w:proofErr w:type="spellStart"/>
            <w:r w:rsidRPr="00E06ADC">
              <w:rPr>
                <w:rFonts w:eastAsia="Arial"/>
                <w:i/>
              </w:rPr>
              <w:t>Autorité</w:t>
            </w:r>
            <w:proofErr w:type="spellEnd"/>
            <w:r w:rsidRPr="00E06ADC">
              <w:rPr>
                <w:rFonts w:eastAsia="Arial"/>
                <w:i/>
              </w:rPr>
              <w:t xml:space="preserve"> de </w:t>
            </w:r>
            <w:proofErr w:type="spellStart"/>
            <w:r w:rsidRPr="00E06ADC">
              <w:rPr>
                <w:rFonts w:eastAsia="Arial"/>
                <w:i/>
              </w:rPr>
              <w:t>Santé</w:t>
            </w:r>
            <w:proofErr w:type="spellEnd"/>
            <w:r w:rsidRPr="00E06ADC">
              <w:rPr>
                <w:rFonts w:eastAsia="Arial"/>
                <w:i/>
              </w:rPr>
              <w:t xml:space="preserve">, </w:t>
            </w:r>
            <w:r w:rsidRPr="00E06ADC">
              <w:rPr>
                <w:rFonts w:eastAsia="Arial"/>
                <w:iCs/>
              </w:rPr>
              <w:t>HAS)</w:t>
            </w:r>
          </w:p>
        </w:tc>
        <w:tc>
          <w:tcPr>
            <w:tcW w:w="1915" w:type="dxa"/>
          </w:tcPr>
          <w:p w14:paraId="17639BF4" w14:textId="77777777" w:rsidR="00814591" w:rsidRPr="00E06ADC" w:rsidRDefault="00814591" w:rsidP="00621006">
            <w:r w:rsidRPr="00E06ADC">
              <w:rPr>
                <w:rFonts w:ascii="Segoe UI Symbol" w:hAnsi="Segoe UI Symbol"/>
              </w:rPr>
              <w:t>⌧</w:t>
            </w:r>
            <w:r w:rsidRPr="00E06ADC">
              <w:t xml:space="preserve"> Taip</w:t>
            </w:r>
          </w:p>
          <w:p w14:paraId="6362985C" w14:textId="77777777" w:rsidR="00814591" w:rsidRPr="00E06ADC" w:rsidRDefault="00814591" w:rsidP="00621006">
            <w:r w:rsidRPr="00E06ADC">
              <w:rPr>
                <w:rFonts w:ascii="Segoe UI Symbol" w:eastAsia="MS Gothic" w:hAnsi="Segoe UI Symbol" w:cs="Segoe UI Symbol"/>
              </w:rPr>
              <w:t>☐</w:t>
            </w:r>
            <w:r w:rsidRPr="00E06ADC">
              <w:t xml:space="preserve"> Ne</w:t>
            </w:r>
          </w:p>
          <w:p w14:paraId="587BEE84" w14:textId="77777777" w:rsidR="00814591" w:rsidRPr="00E06ADC" w:rsidRDefault="00814591" w:rsidP="00621006"/>
          <w:p w14:paraId="257A29C7" w14:textId="77777777" w:rsidR="00814591" w:rsidRPr="00E06ADC" w:rsidRDefault="00814591" w:rsidP="00621006">
            <w:pPr>
              <w:jc w:val="both"/>
            </w:pPr>
            <w:r w:rsidRPr="00E06ADC">
              <w:t>2020.05.13</w:t>
            </w:r>
          </w:p>
        </w:tc>
        <w:tc>
          <w:tcPr>
            <w:tcW w:w="4792" w:type="dxa"/>
            <w:gridSpan w:val="2"/>
          </w:tcPr>
          <w:p w14:paraId="5AA17961" w14:textId="77777777" w:rsidR="00814591" w:rsidRPr="00E06ADC" w:rsidRDefault="00814591" w:rsidP="00621006">
            <w:pPr>
              <w:spacing w:line="276" w:lineRule="auto"/>
              <w:jc w:val="both"/>
              <w:rPr>
                <w:rFonts w:eastAsia="Arial"/>
              </w:rPr>
            </w:pPr>
            <w:r w:rsidRPr="00E06ADC">
              <w:rPr>
                <w:rFonts w:eastAsia="Arial"/>
              </w:rPr>
              <w:t xml:space="preserve">Palanki nuomonė dėl kompensavimo kaip papildomo gydymo nuo priepuolių, susijusių su LGS, kartu su </w:t>
            </w:r>
            <w:proofErr w:type="spellStart"/>
            <w:r w:rsidRPr="00E06ADC">
              <w:rPr>
                <w:rFonts w:eastAsia="Arial"/>
              </w:rPr>
              <w:t>klobazamu</w:t>
            </w:r>
            <w:proofErr w:type="spellEnd"/>
            <w:r w:rsidRPr="00E06ADC">
              <w:rPr>
                <w:rFonts w:eastAsia="Arial"/>
              </w:rPr>
              <w:t xml:space="preserve"> 2-jų metų ir vyresniems pacientams.</w:t>
            </w:r>
          </w:p>
        </w:tc>
      </w:tr>
      <w:tr w:rsidR="00814591" w:rsidRPr="00E06ADC" w14:paraId="2B39DE50" w14:textId="77777777" w:rsidTr="00621006">
        <w:trPr>
          <w:trHeight w:val="690"/>
        </w:trPr>
        <w:tc>
          <w:tcPr>
            <w:tcW w:w="2927" w:type="dxa"/>
          </w:tcPr>
          <w:p w14:paraId="2C027B3B" w14:textId="77777777" w:rsidR="00814591" w:rsidRPr="00E06ADC" w:rsidRDefault="00814591" w:rsidP="00621006">
            <w:pPr>
              <w:spacing w:line="276" w:lineRule="auto"/>
              <w:rPr>
                <w:rFonts w:eastAsia="Arial"/>
              </w:rPr>
            </w:pPr>
            <w:proofErr w:type="spellStart"/>
            <w:r w:rsidRPr="00E06ADC">
              <w:rPr>
                <w:rFonts w:eastAsia="Arial"/>
              </w:rPr>
              <w:t>The</w:t>
            </w:r>
            <w:proofErr w:type="spellEnd"/>
            <w:r w:rsidRPr="00E06ADC">
              <w:rPr>
                <w:rFonts w:eastAsia="Arial"/>
              </w:rPr>
              <w:t xml:space="preserve"> </w:t>
            </w:r>
            <w:proofErr w:type="spellStart"/>
            <w:r w:rsidRPr="00E06ADC">
              <w:rPr>
                <w:rFonts w:eastAsia="Arial"/>
              </w:rPr>
              <w:t>Spanish</w:t>
            </w:r>
            <w:proofErr w:type="spellEnd"/>
            <w:r w:rsidRPr="00E06ADC">
              <w:rPr>
                <w:rFonts w:eastAsia="Arial"/>
              </w:rPr>
              <w:t xml:space="preserve"> </w:t>
            </w:r>
            <w:proofErr w:type="spellStart"/>
            <w:r w:rsidRPr="00E06ADC">
              <w:rPr>
                <w:rFonts w:eastAsia="Arial"/>
              </w:rPr>
              <w:t>Agency</w:t>
            </w:r>
            <w:proofErr w:type="spellEnd"/>
            <w:r w:rsidRPr="00E06ADC">
              <w:rPr>
                <w:rFonts w:eastAsia="Arial"/>
              </w:rPr>
              <w:t xml:space="preserve"> </w:t>
            </w:r>
            <w:proofErr w:type="spellStart"/>
            <w:r w:rsidRPr="00E06ADC">
              <w:rPr>
                <w:rFonts w:eastAsia="Arial"/>
              </w:rPr>
              <w:t>of</w:t>
            </w:r>
            <w:proofErr w:type="spellEnd"/>
            <w:r w:rsidRPr="00E06ADC">
              <w:rPr>
                <w:rFonts w:eastAsia="Arial"/>
              </w:rPr>
              <w:t xml:space="preserve"> </w:t>
            </w:r>
            <w:proofErr w:type="spellStart"/>
            <w:r w:rsidRPr="00E06ADC">
              <w:rPr>
                <w:rFonts w:eastAsia="Arial"/>
              </w:rPr>
              <w:t>Medicines</w:t>
            </w:r>
            <w:proofErr w:type="spellEnd"/>
            <w:r w:rsidRPr="00E06ADC">
              <w:rPr>
                <w:rFonts w:eastAsia="Arial"/>
              </w:rPr>
              <w:t xml:space="preserve"> </w:t>
            </w:r>
            <w:proofErr w:type="spellStart"/>
            <w:r w:rsidRPr="00E06ADC">
              <w:rPr>
                <w:rFonts w:eastAsia="Arial"/>
              </w:rPr>
              <w:t>and</w:t>
            </w:r>
            <w:proofErr w:type="spellEnd"/>
            <w:r w:rsidRPr="00E06ADC">
              <w:rPr>
                <w:rFonts w:eastAsia="Arial"/>
              </w:rPr>
              <w:t xml:space="preserve"> </w:t>
            </w:r>
            <w:proofErr w:type="spellStart"/>
            <w:r w:rsidRPr="00E06ADC">
              <w:rPr>
                <w:rFonts w:eastAsia="Arial"/>
              </w:rPr>
              <w:t>Medical</w:t>
            </w:r>
            <w:proofErr w:type="spellEnd"/>
            <w:r w:rsidRPr="00E06ADC">
              <w:rPr>
                <w:rFonts w:eastAsia="Arial"/>
              </w:rPr>
              <w:t xml:space="preserve"> </w:t>
            </w:r>
            <w:proofErr w:type="spellStart"/>
            <w:r w:rsidRPr="00E06ADC">
              <w:rPr>
                <w:rFonts w:eastAsia="Arial"/>
              </w:rPr>
              <w:t>Devices</w:t>
            </w:r>
            <w:proofErr w:type="spellEnd"/>
            <w:r w:rsidRPr="00E06ADC">
              <w:rPr>
                <w:rFonts w:eastAsia="Arial"/>
              </w:rPr>
              <w:t xml:space="preserve">, </w:t>
            </w:r>
            <w:proofErr w:type="spellStart"/>
            <w:r w:rsidRPr="00E06ADC">
              <w:rPr>
                <w:rFonts w:eastAsia="Arial"/>
              </w:rPr>
              <w:t>Spain</w:t>
            </w:r>
            <w:proofErr w:type="spellEnd"/>
            <w:r w:rsidRPr="00E06ADC">
              <w:rPr>
                <w:rFonts w:eastAsia="Arial"/>
              </w:rPr>
              <w:t xml:space="preserve"> </w:t>
            </w:r>
          </w:p>
          <w:p w14:paraId="763E50FC" w14:textId="77777777" w:rsidR="00814591" w:rsidRPr="00E06ADC" w:rsidRDefault="00814591" w:rsidP="00621006">
            <w:pPr>
              <w:spacing w:line="276" w:lineRule="auto"/>
              <w:rPr>
                <w:rFonts w:eastAsia="Arial"/>
                <w:i/>
              </w:rPr>
            </w:pPr>
            <w:r w:rsidRPr="00E06ADC">
              <w:rPr>
                <w:rFonts w:eastAsia="Arial"/>
                <w:iCs/>
              </w:rPr>
              <w:t>(</w:t>
            </w:r>
            <w:proofErr w:type="spellStart"/>
            <w:r w:rsidRPr="00E06ADC">
              <w:rPr>
                <w:rFonts w:eastAsia="Arial"/>
                <w:iCs/>
              </w:rPr>
              <w:t>es</w:t>
            </w:r>
            <w:proofErr w:type="spellEnd"/>
            <w:r w:rsidRPr="00E06ADC">
              <w:rPr>
                <w:rFonts w:eastAsia="Arial"/>
                <w:i/>
              </w:rPr>
              <w:t xml:space="preserve">. </w:t>
            </w:r>
            <w:proofErr w:type="spellStart"/>
            <w:r w:rsidRPr="00E06ADC">
              <w:rPr>
                <w:rFonts w:eastAsia="Arial"/>
                <w:i/>
              </w:rPr>
              <w:t>Agencia</w:t>
            </w:r>
            <w:proofErr w:type="spellEnd"/>
            <w:r w:rsidRPr="00E06ADC">
              <w:rPr>
                <w:rFonts w:eastAsia="Arial"/>
                <w:i/>
              </w:rPr>
              <w:t xml:space="preserve"> </w:t>
            </w:r>
            <w:proofErr w:type="spellStart"/>
            <w:r w:rsidRPr="00E06ADC">
              <w:rPr>
                <w:rFonts w:eastAsia="Arial"/>
                <w:i/>
              </w:rPr>
              <w:t>Española</w:t>
            </w:r>
            <w:proofErr w:type="spellEnd"/>
            <w:r w:rsidRPr="00E06ADC">
              <w:rPr>
                <w:rFonts w:eastAsia="Arial"/>
                <w:i/>
              </w:rPr>
              <w:t xml:space="preserve"> de </w:t>
            </w:r>
            <w:proofErr w:type="spellStart"/>
            <w:r w:rsidRPr="00E06ADC">
              <w:rPr>
                <w:rFonts w:eastAsia="Arial"/>
                <w:i/>
              </w:rPr>
              <w:t>Medicamentos</w:t>
            </w:r>
            <w:proofErr w:type="spellEnd"/>
            <w:r w:rsidRPr="00E06ADC">
              <w:rPr>
                <w:rFonts w:eastAsia="Arial"/>
                <w:i/>
              </w:rPr>
              <w:t xml:space="preserve"> y </w:t>
            </w:r>
            <w:proofErr w:type="spellStart"/>
            <w:r w:rsidRPr="00E06ADC">
              <w:rPr>
                <w:rFonts w:eastAsia="Arial"/>
                <w:i/>
              </w:rPr>
              <w:t>Productos</w:t>
            </w:r>
            <w:proofErr w:type="spellEnd"/>
            <w:r w:rsidRPr="00E06ADC">
              <w:rPr>
                <w:rFonts w:eastAsia="Arial"/>
                <w:i/>
              </w:rPr>
              <w:t xml:space="preserve"> </w:t>
            </w:r>
            <w:proofErr w:type="spellStart"/>
            <w:r w:rsidRPr="00E06ADC">
              <w:rPr>
                <w:rFonts w:eastAsia="Arial"/>
                <w:i/>
              </w:rPr>
              <w:t>Sanitarios</w:t>
            </w:r>
            <w:proofErr w:type="spellEnd"/>
            <w:r w:rsidRPr="00E06ADC">
              <w:rPr>
                <w:rFonts w:eastAsia="Arial"/>
                <w:i/>
              </w:rPr>
              <w:t>,</w:t>
            </w:r>
            <w:r w:rsidRPr="00E06ADC">
              <w:rPr>
                <w:rFonts w:eastAsia="Arial"/>
              </w:rPr>
              <w:t xml:space="preserve"> AEMPS</w:t>
            </w:r>
            <w:r w:rsidRPr="00E06ADC">
              <w:rPr>
                <w:rFonts w:eastAsia="Arial"/>
                <w:i/>
              </w:rPr>
              <w:t xml:space="preserve">) </w:t>
            </w:r>
          </w:p>
        </w:tc>
        <w:tc>
          <w:tcPr>
            <w:tcW w:w="1915" w:type="dxa"/>
          </w:tcPr>
          <w:p w14:paraId="4FB5C97C" w14:textId="77777777" w:rsidR="00814591" w:rsidRPr="00E06ADC" w:rsidRDefault="00814591" w:rsidP="00621006">
            <w:r w:rsidRPr="00E06ADC">
              <w:rPr>
                <w:rFonts w:ascii="Segoe UI Symbol" w:hAnsi="Segoe UI Symbol"/>
              </w:rPr>
              <w:t>⌧</w:t>
            </w:r>
            <w:r w:rsidRPr="00E06ADC">
              <w:t xml:space="preserve"> Taip</w:t>
            </w:r>
          </w:p>
          <w:p w14:paraId="0BFF704B" w14:textId="77777777" w:rsidR="00814591" w:rsidRPr="00E06ADC" w:rsidRDefault="00814591" w:rsidP="00621006">
            <w:r w:rsidRPr="00E06ADC">
              <w:rPr>
                <w:rFonts w:ascii="Segoe UI Symbol" w:eastAsia="MS Gothic" w:hAnsi="Segoe UI Symbol" w:cs="Segoe UI Symbol"/>
              </w:rPr>
              <w:t>☐</w:t>
            </w:r>
            <w:r w:rsidRPr="00E06ADC">
              <w:t xml:space="preserve"> Ne</w:t>
            </w:r>
          </w:p>
          <w:p w14:paraId="6183A358" w14:textId="77777777" w:rsidR="00814591" w:rsidRPr="00E06ADC" w:rsidRDefault="00814591" w:rsidP="00621006">
            <w:pPr>
              <w:jc w:val="both"/>
            </w:pPr>
          </w:p>
          <w:p w14:paraId="121E465B" w14:textId="77777777" w:rsidR="00814591" w:rsidRPr="00E06ADC" w:rsidRDefault="00814591" w:rsidP="00621006">
            <w:pPr>
              <w:jc w:val="both"/>
            </w:pPr>
            <w:r w:rsidRPr="00E06ADC">
              <w:t>2021.10.08</w:t>
            </w:r>
          </w:p>
        </w:tc>
        <w:tc>
          <w:tcPr>
            <w:tcW w:w="4792" w:type="dxa"/>
            <w:gridSpan w:val="2"/>
          </w:tcPr>
          <w:p w14:paraId="2E7DCD4D" w14:textId="77777777" w:rsidR="00814591" w:rsidRPr="00E06ADC" w:rsidRDefault="00814591" w:rsidP="00621006">
            <w:pPr>
              <w:spacing w:line="276" w:lineRule="auto"/>
              <w:jc w:val="both"/>
              <w:rPr>
                <w:rFonts w:eastAsia="Arial"/>
              </w:rPr>
            </w:pPr>
            <w:proofErr w:type="spellStart"/>
            <w:r w:rsidRPr="00E06ADC">
              <w:rPr>
                <w:rFonts w:eastAsia="Arial"/>
              </w:rPr>
              <w:t>Kanabidiolis</w:t>
            </w:r>
            <w:proofErr w:type="spellEnd"/>
            <w:r w:rsidRPr="00E06ADC">
              <w:rPr>
                <w:rFonts w:eastAsia="Arial"/>
              </w:rPr>
              <w:t xml:space="preserve"> rekomenduojamas kaip papildoma su LGS susijusių priepuolių gydymo priemonė kartu su </w:t>
            </w:r>
            <w:proofErr w:type="spellStart"/>
            <w:r w:rsidRPr="00E06ADC">
              <w:rPr>
                <w:rFonts w:eastAsia="Arial"/>
              </w:rPr>
              <w:t>klobazamu</w:t>
            </w:r>
            <w:proofErr w:type="spellEnd"/>
            <w:r w:rsidRPr="00E06ADC">
              <w:rPr>
                <w:rFonts w:eastAsia="Arial"/>
              </w:rPr>
              <w:t xml:space="preserve"> pacientams nuo 2-jų metų amžiaus, kurių priepuoliai nekontroliuojami 2 ar daugiau kitų vaistų nuo priepuolių.</w:t>
            </w:r>
          </w:p>
        </w:tc>
      </w:tr>
      <w:tr w:rsidR="00814591" w:rsidRPr="00E06ADC" w14:paraId="48DFE982" w14:textId="77777777" w:rsidTr="00621006">
        <w:trPr>
          <w:trHeight w:val="690"/>
        </w:trPr>
        <w:tc>
          <w:tcPr>
            <w:tcW w:w="2927" w:type="dxa"/>
          </w:tcPr>
          <w:p w14:paraId="661266A5" w14:textId="77777777" w:rsidR="00814591" w:rsidRPr="00E06ADC" w:rsidRDefault="00814591" w:rsidP="00621006">
            <w:pPr>
              <w:spacing w:line="276" w:lineRule="auto"/>
              <w:rPr>
                <w:rFonts w:eastAsia="Arial"/>
              </w:rPr>
            </w:pPr>
            <w:proofErr w:type="spellStart"/>
            <w:r w:rsidRPr="00E06ADC">
              <w:rPr>
                <w:rFonts w:eastAsia="Arial"/>
              </w:rPr>
              <w:t>National</w:t>
            </w:r>
            <w:proofErr w:type="spellEnd"/>
            <w:r w:rsidRPr="00E06ADC">
              <w:rPr>
                <w:rFonts w:eastAsia="Arial"/>
              </w:rPr>
              <w:t xml:space="preserve"> institute </w:t>
            </w:r>
            <w:proofErr w:type="spellStart"/>
            <w:r w:rsidRPr="00E06ADC">
              <w:rPr>
                <w:rFonts w:eastAsia="Arial"/>
              </w:rPr>
              <w:t>for</w:t>
            </w:r>
            <w:proofErr w:type="spellEnd"/>
            <w:r w:rsidRPr="00E06ADC">
              <w:rPr>
                <w:rFonts w:eastAsia="Arial"/>
              </w:rPr>
              <w:t xml:space="preserve"> </w:t>
            </w:r>
            <w:proofErr w:type="spellStart"/>
            <w:r w:rsidRPr="00E06ADC">
              <w:rPr>
                <w:rFonts w:eastAsia="Arial"/>
              </w:rPr>
              <w:t>Value</w:t>
            </w:r>
            <w:proofErr w:type="spellEnd"/>
            <w:r w:rsidRPr="00E06ADC">
              <w:rPr>
                <w:rFonts w:eastAsia="Arial"/>
              </w:rPr>
              <w:t xml:space="preserve"> </w:t>
            </w:r>
            <w:proofErr w:type="spellStart"/>
            <w:r w:rsidRPr="00E06ADC">
              <w:rPr>
                <w:rFonts w:eastAsia="Arial"/>
              </w:rPr>
              <w:t>and</w:t>
            </w:r>
            <w:proofErr w:type="spellEnd"/>
            <w:r w:rsidRPr="00E06ADC">
              <w:rPr>
                <w:rFonts w:eastAsia="Arial"/>
              </w:rPr>
              <w:t xml:space="preserve"> Technologies </w:t>
            </w:r>
            <w:proofErr w:type="spellStart"/>
            <w:r w:rsidRPr="00E06ADC">
              <w:rPr>
                <w:rFonts w:eastAsia="Arial"/>
              </w:rPr>
              <w:t>in</w:t>
            </w:r>
            <w:proofErr w:type="spellEnd"/>
            <w:r w:rsidRPr="00E06ADC">
              <w:rPr>
                <w:rFonts w:eastAsia="Arial"/>
              </w:rPr>
              <w:t xml:space="preserve"> </w:t>
            </w:r>
            <w:proofErr w:type="spellStart"/>
            <w:r w:rsidRPr="00E06ADC">
              <w:rPr>
                <w:rFonts w:eastAsia="Arial"/>
              </w:rPr>
              <w:t>Healthcare</w:t>
            </w:r>
            <w:proofErr w:type="spellEnd"/>
            <w:r w:rsidRPr="00E06ADC">
              <w:rPr>
                <w:rFonts w:eastAsia="Arial"/>
              </w:rPr>
              <w:t xml:space="preserve">, </w:t>
            </w:r>
            <w:proofErr w:type="spellStart"/>
            <w:r w:rsidRPr="00E06ADC">
              <w:rPr>
                <w:rFonts w:eastAsia="Arial"/>
              </w:rPr>
              <w:t>Slovakia</w:t>
            </w:r>
            <w:proofErr w:type="spellEnd"/>
            <w:r w:rsidRPr="00E06ADC">
              <w:rPr>
                <w:rFonts w:eastAsia="Arial"/>
              </w:rPr>
              <w:t xml:space="preserve"> </w:t>
            </w:r>
          </w:p>
          <w:p w14:paraId="6AF8C1FF" w14:textId="77777777" w:rsidR="00814591" w:rsidRPr="00E06ADC" w:rsidRDefault="00814591" w:rsidP="00621006">
            <w:pPr>
              <w:spacing w:line="276" w:lineRule="auto"/>
              <w:rPr>
                <w:rFonts w:eastAsia="Arial"/>
                <w:i/>
              </w:rPr>
            </w:pPr>
            <w:r w:rsidRPr="00E06ADC">
              <w:rPr>
                <w:rFonts w:eastAsia="Arial"/>
                <w:iCs/>
              </w:rPr>
              <w:t>(sk</w:t>
            </w:r>
            <w:r w:rsidRPr="00E06ADC">
              <w:rPr>
                <w:rFonts w:eastAsia="Arial"/>
                <w:i/>
              </w:rPr>
              <w:t xml:space="preserve">. </w:t>
            </w:r>
            <w:proofErr w:type="spellStart"/>
            <w:r w:rsidRPr="00E06ADC">
              <w:rPr>
                <w:rFonts w:eastAsia="Arial"/>
                <w:i/>
              </w:rPr>
              <w:t>Národný</w:t>
            </w:r>
            <w:proofErr w:type="spellEnd"/>
            <w:r w:rsidRPr="00E06ADC">
              <w:rPr>
                <w:rFonts w:eastAsia="Arial"/>
                <w:i/>
              </w:rPr>
              <w:t xml:space="preserve"> </w:t>
            </w:r>
            <w:proofErr w:type="spellStart"/>
            <w:r w:rsidRPr="00E06ADC">
              <w:rPr>
                <w:rFonts w:eastAsia="Arial"/>
                <w:i/>
              </w:rPr>
              <w:t>inštitút</w:t>
            </w:r>
            <w:proofErr w:type="spellEnd"/>
            <w:r w:rsidRPr="00E06ADC">
              <w:rPr>
                <w:rFonts w:eastAsia="Arial"/>
                <w:i/>
              </w:rPr>
              <w:t xml:space="preserve"> </w:t>
            </w:r>
            <w:proofErr w:type="spellStart"/>
            <w:r w:rsidRPr="00E06ADC">
              <w:rPr>
                <w:rFonts w:eastAsia="Arial"/>
                <w:i/>
              </w:rPr>
              <w:t>pre</w:t>
            </w:r>
            <w:proofErr w:type="spellEnd"/>
            <w:r w:rsidRPr="00E06ADC">
              <w:rPr>
                <w:rFonts w:eastAsia="Arial"/>
                <w:i/>
              </w:rPr>
              <w:t xml:space="preserve"> </w:t>
            </w:r>
            <w:proofErr w:type="spellStart"/>
            <w:r w:rsidRPr="00E06ADC">
              <w:rPr>
                <w:rFonts w:eastAsia="Arial"/>
                <w:i/>
              </w:rPr>
              <w:t>hodnotu</w:t>
            </w:r>
            <w:proofErr w:type="spellEnd"/>
            <w:r w:rsidRPr="00E06ADC">
              <w:rPr>
                <w:rFonts w:eastAsia="Arial"/>
                <w:i/>
              </w:rPr>
              <w:t xml:space="preserve"> a </w:t>
            </w:r>
            <w:proofErr w:type="spellStart"/>
            <w:r w:rsidRPr="00E06ADC">
              <w:rPr>
                <w:rFonts w:eastAsia="Arial"/>
                <w:i/>
              </w:rPr>
              <w:t>technológie</w:t>
            </w:r>
            <w:proofErr w:type="spellEnd"/>
            <w:r w:rsidRPr="00E06ADC">
              <w:rPr>
                <w:rFonts w:eastAsia="Arial"/>
                <w:i/>
              </w:rPr>
              <w:t xml:space="preserve"> v </w:t>
            </w:r>
            <w:proofErr w:type="spellStart"/>
            <w:r w:rsidRPr="00E06ADC">
              <w:rPr>
                <w:rFonts w:eastAsia="Arial"/>
                <w:i/>
              </w:rPr>
              <w:t>zdravotníctve</w:t>
            </w:r>
            <w:proofErr w:type="spellEnd"/>
            <w:r w:rsidRPr="00E06ADC">
              <w:rPr>
                <w:rFonts w:eastAsia="Arial"/>
                <w:i/>
              </w:rPr>
              <w:t>,</w:t>
            </w:r>
            <w:r w:rsidRPr="00E06ADC">
              <w:rPr>
                <w:rFonts w:eastAsia="Arial"/>
              </w:rPr>
              <w:t xml:space="preserve"> NIHO</w:t>
            </w:r>
            <w:r w:rsidRPr="00E06ADC">
              <w:rPr>
                <w:rFonts w:eastAsia="Arial"/>
                <w:iCs/>
              </w:rPr>
              <w:t>)</w:t>
            </w:r>
          </w:p>
        </w:tc>
        <w:tc>
          <w:tcPr>
            <w:tcW w:w="1915" w:type="dxa"/>
          </w:tcPr>
          <w:p w14:paraId="64374FB7" w14:textId="77777777" w:rsidR="00814591" w:rsidRPr="00E06ADC" w:rsidRDefault="00814591" w:rsidP="00621006">
            <w:r w:rsidRPr="00E06ADC">
              <w:rPr>
                <w:rFonts w:ascii="Segoe UI Symbol" w:hAnsi="Segoe UI Symbol"/>
              </w:rPr>
              <w:t>⌧</w:t>
            </w:r>
            <w:r w:rsidRPr="00E06ADC">
              <w:t xml:space="preserve"> Taip</w:t>
            </w:r>
          </w:p>
          <w:p w14:paraId="38FA17E4" w14:textId="77777777" w:rsidR="00814591" w:rsidRPr="00E06ADC" w:rsidRDefault="00814591" w:rsidP="00621006">
            <w:r w:rsidRPr="00E06ADC">
              <w:rPr>
                <w:rFonts w:ascii="Segoe UI Symbol" w:eastAsia="MS Gothic" w:hAnsi="Segoe UI Symbol" w:cs="Segoe UI Symbol"/>
              </w:rPr>
              <w:t>☐</w:t>
            </w:r>
            <w:r w:rsidRPr="00E06ADC">
              <w:t xml:space="preserve"> Ne</w:t>
            </w:r>
          </w:p>
          <w:p w14:paraId="6D735BB2" w14:textId="77777777" w:rsidR="00814591" w:rsidRPr="00E06ADC" w:rsidRDefault="00814591" w:rsidP="00621006">
            <w:pPr>
              <w:jc w:val="both"/>
            </w:pPr>
          </w:p>
          <w:p w14:paraId="7D919BA5" w14:textId="77777777" w:rsidR="00814591" w:rsidRPr="00E06ADC" w:rsidRDefault="00814591" w:rsidP="00621006">
            <w:pPr>
              <w:jc w:val="both"/>
            </w:pPr>
            <w:r w:rsidRPr="00E06ADC">
              <w:t>2023.07.13</w:t>
            </w:r>
          </w:p>
        </w:tc>
        <w:tc>
          <w:tcPr>
            <w:tcW w:w="4792" w:type="dxa"/>
            <w:gridSpan w:val="2"/>
          </w:tcPr>
          <w:p w14:paraId="560CFD01" w14:textId="77777777" w:rsidR="00814591" w:rsidRPr="00E06ADC" w:rsidRDefault="00814591" w:rsidP="00621006">
            <w:pPr>
              <w:spacing w:line="276" w:lineRule="auto"/>
              <w:jc w:val="both"/>
              <w:rPr>
                <w:rFonts w:eastAsia="Arial"/>
              </w:rPr>
            </w:pPr>
            <w:proofErr w:type="spellStart"/>
            <w:r w:rsidRPr="00E06ADC">
              <w:rPr>
                <w:rFonts w:eastAsia="Arial"/>
              </w:rPr>
              <w:t>Epidyolex</w:t>
            </w:r>
            <w:proofErr w:type="spellEnd"/>
            <w:r w:rsidRPr="00E06ADC">
              <w:rPr>
                <w:rFonts w:eastAsia="Arial"/>
              </w:rPr>
              <w:t xml:space="preserve"> (</w:t>
            </w:r>
            <w:proofErr w:type="spellStart"/>
            <w:r w:rsidRPr="00E06ADC">
              <w:rPr>
                <w:rFonts w:eastAsia="Arial"/>
              </w:rPr>
              <w:t>kanabidiolis</w:t>
            </w:r>
            <w:proofErr w:type="spellEnd"/>
            <w:r w:rsidRPr="00E06ADC">
              <w:rPr>
                <w:rFonts w:eastAsia="Arial"/>
              </w:rPr>
              <w:t xml:space="preserve">) kartu su </w:t>
            </w:r>
            <w:proofErr w:type="spellStart"/>
            <w:r w:rsidRPr="00E06ADC">
              <w:rPr>
                <w:rFonts w:eastAsia="Arial"/>
              </w:rPr>
              <w:t>klobazamu</w:t>
            </w:r>
            <w:proofErr w:type="spellEnd"/>
            <w:r w:rsidRPr="00E06ADC">
              <w:rPr>
                <w:rFonts w:eastAsia="Arial"/>
              </w:rPr>
              <w:t xml:space="preserve"> skirtas su LGS susijusiems priepuoliams gydyti pacientams nuo 2-jų metų amžiaus, kuriems gydymas mažiausiai dviem ankstesniais vaistais nuo epilepsijos buvo nepakankamas.</w:t>
            </w:r>
          </w:p>
          <w:p w14:paraId="4B52F723" w14:textId="77777777" w:rsidR="00814591" w:rsidRPr="00E06ADC" w:rsidRDefault="00814591" w:rsidP="00621006">
            <w:pPr>
              <w:spacing w:line="276" w:lineRule="auto"/>
              <w:jc w:val="both"/>
              <w:rPr>
                <w:rFonts w:eastAsia="Arial"/>
              </w:rPr>
            </w:pPr>
            <w:r w:rsidRPr="00E06ADC">
              <w:rPr>
                <w:rFonts w:eastAsia="Arial"/>
              </w:rPr>
              <w:t>Rekomenduojama papildyti apribojimą sakiniu: „Gydymo veiksmingumas vertinamas kas 6 mėnesius; gydymas nutraukiamas, nebent pacientui, remiantis gydančio gydytojo vertinimu, jis nebegauna naudos (pvz., sumažėjus priepuolių dažniui ar intensyvumui, palyginti su vertėmis prieš gydymą).“</w:t>
            </w:r>
          </w:p>
        </w:tc>
      </w:tr>
      <w:tr w:rsidR="00814591" w:rsidRPr="00E06ADC" w14:paraId="54864486" w14:textId="77777777" w:rsidTr="00621006">
        <w:trPr>
          <w:trHeight w:val="690"/>
        </w:trPr>
        <w:tc>
          <w:tcPr>
            <w:tcW w:w="2927" w:type="dxa"/>
          </w:tcPr>
          <w:p w14:paraId="510DFA5D" w14:textId="77777777" w:rsidR="00814591" w:rsidRPr="00E06ADC" w:rsidRDefault="00814591" w:rsidP="00621006">
            <w:pPr>
              <w:spacing w:line="276" w:lineRule="auto"/>
              <w:rPr>
                <w:rFonts w:eastAsia="Arial"/>
                <w:i/>
              </w:rPr>
            </w:pPr>
            <w:proofErr w:type="spellStart"/>
            <w:r w:rsidRPr="00E06ADC">
              <w:rPr>
                <w:rFonts w:eastAsia="Arial"/>
              </w:rPr>
              <w:t>Italian</w:t>
            </w:r>
            <w:proofErr w:type="spellEnd"/>
            <w:r w:rsidRPr="00E06ADC">
              <w:rPr>
                <w:rFonts w:eastAsia="Arial"/>
              </w:rPr>
              <w:t xml:space="preserve"> </w:t>
            </w:r>
            <w:proofErr w:type="spellStart"/>
            <w:r w:rsidRPr="00E06ADC">
              <w:rPr>
                <w:rFonts w:eastAsia="Arial"/>
              </w:rPr>
              <w:t>Medicines</w:t>
            </w:r>
            <w:proofErr w:type="spellEnd"/>
            <w:r w:rsidRPr="00E06ADC">
              <w:rPr>
                <w:rFonts w:eastAsia="Arial"/>
              </w:rPr>
              <w:t xml:space="preserve"> </w:t>
            </w:r>
            <w:proofErr w:type="spellStart"/>
            <w:r w:rsidRPr="00E06ADC">
              <w:rPr>
                <w:rFonts w:eastAsia="Arial"/>
              </w:rPr>
              <w:t>Agency</w:t>
            </w:r>
            <w:proofErr w:type="spellEnd"/>
            <w:r w:rsidRPr="00E06ADC">
              <w:rPr>
                <w:rFonts w:eastAsia="Arial"/>
              </w:rPr>
              <w:t xml:space="preserve">, </w:t>
            </w:r>
            <w:proofErr w:type="spellStart"/>
            <w:r w:rsidRPr="00E06ADC">
              <w:rPr>
                <w:rFonts w:eastAsia="Arial"/>
              </w:rPr>
              <w:t>Italy</w:t>
            </w:r>
            <w:proofErr w:type="spellEnd"/>
            <w:r w:rsidRPr="00E06ADC">
              <w:rPr>
                <w:rFonts w:eastAsia="Arial"/>
              </w:rPr>
              <w:t xml:space="preserve"> </w:t>
            </w:r>
            <w:r w:rsidRPr="00E06ADC">
              <w:rPr>
                <w:rFonts w:eastAsia="Arial"/>
                <w:iCs/>
              </w:rPr>
              <w:t>(it</w:t>
            </w:r>
            <w:r w:rsidRPr="00E06ADC">
              <w:rPr>
                <w:rFonts w:eastAsia="Arial"/>
                <w:i/>
              </w:rPr>
              <w:t xml:space="preserve">. </w:t>
            </w:r>
            <w:proofErr w:type="spellStart"/>
            <w:r w:rsidRPr="00E06ADC">
              <w:rPr>
                <w:rFonts w:eastAsia="Arial"/>
                <w:i/>
              </w:rPr>
              <w:t>Agenzia</w:t>
            </w:r>
            <w:proofErr w:type="spellEnd"/>
            <w:r w:rsidRPr="00E06ADC">
              <w:rPr>
                <w:rFonts w:eastAsia="Arial"/>
                <w:i/>
              </w:rPr>
              <w:t xml:space="preserve"> </w:t>
            </w:r>
            <w:proofErr w:type="spellStart"/>
            <w:r w:rsidRPr="00E06ADC">
              <w:rPr>
                <w:rFonts w:eastAsia="Arial"/>
                <w:i/>
              </w:rPr>
              <w:t>Italiana</w:t>
            </w:r>
            <w:proofErr w:type="spellEnd"/>
            <w:r w:rsidRPr="00E06ADC">
              <w:rPr>
                <w:rFonts w:eastAsia="Arial"/>
                <w:i/>
              </w:rPr>
              <w:t xml:space="preserve"> </w:t>
            </w:r>
            <w:proofErr w:type="spellStart"/>
            <w:r w:rsidRPr="00E06ADC">
              <w:rPr>
                <w:rFonts w:eastAsia="Arial"/>
                <w:i/>
              </w:rPr>
              <w:t>del</w:t>
            </w:r>
            <w:proofErr w:type="spellEnd"/>
            <w:r w:rsidRPr="00E06ADC">
              <w:rPr>
                <w:rFonts w:eastAsia="Arial"/>
                <w:i/>
              </w:rPr>
              <w:t xml:space="preserve"> </w:t>
            </w:r>
            <w:proofErr w:type="spellStart"/>
            <w:r w:rsidRPr="00E06ADC">
              <w:rPr>
                <w:rFonts w:eastAsia="Arial"/>
                <w:i/>
              </w:rPr>
              <w:t>Farmaco</w:t>
            </w:r>
            <w:proofErr w:type="spellEnd"/>
            <w:r w:rsidRPr="00E06ADC">
              <w:rPr>
                <w:rFonts w:eastAsia="Arial"/>
                <w:i/>
              </w:rPr>
              <w:t xml:space="preserve">, </w:t>
            </w:r>
            <w:r w:rsidRPr="00E06ADC">
              <w:rPr>
                <w:rFonts w:eastAsia="Arial"/>
                <w:iCs/>
              </w:rPr>
              <w:t>AIFA)</w:t>
            </w:r>
          </w:p>
        </w:tc>
        <w:tc>
          <w:tcPr>
            <w:tcW w:w="1915" w:type="dxa"/>
          </w:tcPr>
          <w:p w14:paraId="204AAF55" w14:textId="77777777" w:rsidR="00814591" w:rsidRPr="00E06ADC" w:rsidRDefault="00814591" w:rsidP="00621006">
            <w:r w:rsidRPr="00E06ADC">
              <w:rPr>
                <w:rFonts w:ascii="Segoe UI Symbol" w:hAnsi="Segoe UI Symbol"/>
              </w:rPr>
              <w:t>⌧</w:t>
            </w:r>
            <w:r w:rsidRPr="00E06ADC">
              <w:t xml:space="preserve"> Taip</w:t>
            </w:r>
          </w:p>
          <w:p w14:paraId="6C3518C8" w14:textId="77777777" w:rsidR="00814591" w:rsidRPr="00E06ADC" w:rsidRDefault="00814591" w:rsidP="00621006">
            <w:r w:rsidRPr="00E06ADC">
              <w:rPr>
                <w:rFonts w:ascii="Segoe UI Symbol" w:eastAsia="MS Gothic" w:hAnsi="Segoe UI Symbol" w:cs="Segoe UI Symbol"/>
              </w:rPr>
              <w:t>☐</w:t>
            </w:r>
            <w:r w:rsidRPr="00E06ADC">
              <w:t xml:space="preserve"> Ne</w:t>
            </w:r>
          </w:p>
          <w:p w14:paraId="4C04A6BE" w14:textId="77777777" w:rsidR="00814591" w:rsidRPr="00E06ADC" w:rsidRDefault="00814591" w:rsidP="00621006">
            <w:pPr>
              <w:jc w:val="both"/>
            </w:pPr>
            <w:r w:rsidRPr="00E06ADC">
              <w:t>2020.04</w:t>
            </w:r>
          </w:p>
        </w:tc>
        <w:tc>
          <w:tcPr>
            <w:tcW w:w="4792" w:type="dxa"/>
            <w:gridSpan w:val="2"/>
          </w:tcPr>
          <w:p w14:paraId="697DAB0D" w14:textId="77777777" w:rsidR="00814591" w:rsidRPr="00E06ADC" w:rsidRDefault="00814591" w:rsidP="00621006">
            <w:pPr>
              <w:spacing w:line="276" w:lineRule="auto"/>
              <w:jc w:val="both"/>
              <w:rPr>
                <w:rFonts w:eastAsia="Arial"/>
              </w:rPr>
            </w:pPr>
            <w:proofErr w:type="spellStart"/>
            <w:r w:rsidRPr="00E06ADC">
              <w:rPr>
                <w:rFonts w:eastAsia="Arial"/>
              </w:rPr>
              <w:t>Epidyolex</w:t>
            </w:r>
            <w:proofErr w:type="spellEnd"/>
            <w:r w:rsidRPr="00E06ADC">
              <w:rPr>
                <w:rFonts w:eastAsia="Arial"/>
              </w:rPr>
              <w:t xml:space="preserve"> rekomenduojama vartoti kaip papildomą gydymą kartu su </w:t>
            </w:r>
            <w:proofErr w:type="spellStart"/>
            <w:r w:rsidRPr="00E06ADC">
              <w:rPr>
                <w:rFonts w:eastAsia="Arial"/>
              </w:rPr>
              <w:t>klobazamu</w:t>
            </w:r>
            <w:proofErr w:type="spellEnd"/>
            <w:r w:rsidRPr="00E06ADC">
              <w:rPr>
                <w:rFonts w:eastAsia="Arial"/>
              </w:rPr>
              <w:t>, gydant su LGS susijusius traukulius pacientams nuo 2-jų metų amžiaus.</w:t>
            </w:r>
          </w:p>
          <w:p w14:paraId="1517FE5F" w14:textId="77777777" w:rsidR="00814591" w:rsidRPr="00E06ADC" w:rsidRDefault="00814591" w:rsidP="00621006">
            <w:pPr>
              <w:spacing w:line="276" w:lineRule="auto"/>
              <w:jc w:val="both"/>
              <w:rPr>
                <w:rFonts w:eastAsia="Arial"/>
              </w:rPr>
            </w:pPr>
            <w:r w:rsidRPr="00E06ADC">
              <w:rPr>
                <w:rFonts w:eastAsia="Arial"/>
              </w:rPr>
              <w:t xml:space="preserve">Atsižvelgiant į svarbų terapinį poreikį, vidutinę pridėtinę terapinę vertę ir žemą įrodymų kokybę (priimtina retajam vaistui), </w:t>
            </w:r>
            <w:proofErr w:type="spellStart"/>
            <w:r w:rsidRPr="00E06ADC">
              <w:rPr>
                <w:rFonts w:eastAsia="Arial"/>
              </w:rPr>
              <w:t>kanabidioliui</w:t>
            </w:r>
            <w:proofErr w:type="spellEnd"/>
            <w:r w:rsidRPr="00E06ADC">
              <w:rPr>
                <w:rFonts w:eastAsia="Arial"/>
              </w:rPr>
              <w:t xml:space="preserve"> pagal šią indikaciją teikiama sąlyginė rekomendacija.</w:t>
            </w:r>
          </w:p>
        </w:tc>
      </w:tr>
      <w:tr w:rsidR="00814591" w:rsidRPr="002D5F12" w14:paraId="0E5C5A01" w14:textId="77777777" w:rsidTr="00621006">
        <w:trPr>
          <w:trHeight w:val="690"/>
        </w:trPr>
        <w:tc>
          <w:tcPr>
            <w:tcW w:w="2927" w:type="dxa"/>
          </w:tcPr>
          <w:p w14:paraId="3DFFA37E" w14:textId="77777777" w:rsidR="00814591" w:rsidRPr="00E06ADC" w:rsidRDefault="00814591" w:rsidP="00621006">
            <w:pPr>
              <w:spacing w:line="276" w:lineRule="auto"/>
              <w:rPr>
                <w:rFonts w:eastAsia="Arial"/>
                <w:i/>
              </w:rPr>
            </w:pPr>
            <w:proofErr w:type="spellStart"/>
            <w:r w:rsidRPr="00E06ADC">
              <w:rPr>
                <w:rFonts w:eastAsia="Arial"/>
              </w:rPr>
              <w:t>The</w:t>
            </w:r>
            <w:proofErr w:type="spellEnd"/>
            <w:r w:rsidRPr="00E06ADC">
              <w:rPr>
                <w:rFonts w:eastAsia="Arial"/>
              </w:rPr>
              <w:t xml:space="preserve"> </w:t>
            </w:r>
            <w:proofErr w:type="spellStart"/>
            <w:r w:rsidRPr="00E06ADC">
              <w:rPr>
                <w:rFonts w:eastAsia="Arial"/>
              </w:rPr>
              <w:t>National</w:t>
            </w:r>
            <w:proofErr w:type="spellEnd"/>
            <w:r w:rsidRPr="00E06ADC">
              <w:rPr>
                <w:rFonts w:eastAsia="Arial"/>
              </w:rPr>
              <w:t xml:space="preserve"> </w:t>
            </w:r>
            <w:proofErr w:type="spellStart"/>
            <w:r w:rsidRPr="00E06ADC">
              <w:rPr>
                <w:rFonts w:eastAsia="Arial"/>
              </w:rPr>
              <w:t>Health</w:t>
            </w:r>
            <w:proofErr w:type="spellEnd"/>
            <w:r w:rsidRPr="00E06ADC">
              <w:rPr>
                <w:rFonts w:eastAsia="Arial"/>
              </w:rPr>
              <w:t xml:space="preserve"> Care Institute, </w:t>
            </w:r>
            <w:proofErr w:type="spellStart"/>
            <w:r w:rsidRPr="00E06ADC">
              <w:rPr>
                <w:rFonts w:eastAsia="Arial"/>
              </w:rPr>
              <w:t>Nederland</w:t>
            </w:r>
            <w:proofErr w:type="spellEnd"/>
            <w:r w:rsidRPr="00E06ADC">
              <w:rPr>
                <w:rFonts w:eastAsia="Arial"/>
              </w:rPr>
              <w:t xml:space="preserve"> </w:t>
            </w:r>
            <w:r w:rsidRPr="00E06ADC">
              <w:rPr>
                <w:rFonts w:eastAsia="Arial"/>
                <w:iCs/>
              </w:rPr>
              <w:t>(</w:t>
            </w:r>
            <w:proofErr w:type="spellStart"/>
            <w:r w:rsidRPr="00E06ADC">
              <w:rPr>
                <w:rFonts w:eastAsia="Arial"/>
                <w:iCs/>
              </w:rPr>
              <w:t>nl</w:t>
            </w:r>
            <w:proofErr w:type="spellEnd"/>
            <w:r w:rsidRPr="00E06ADC">
              <w:rPr>
                <w:rFonts w:eastAsia="Arial"/>
                <w:iCs/>
              </w:rPr>
              <w:t>.</w:t>
            </w:r>
            <w:r w:rsidRPr="00E06ADC">
              <w:rPr>
                <w:rFonts w:eastAsia="Arial"/>
                <w:i/>
              </w:rPr>
              <w:t xml:space="preserve"> </w:t>
            </w:r>
            <w:proofErr w:type="spellStart"/>
            <w:r w:rsidRPr="00E06ADC">
              <w:rPr>
                <w:rFonts w:eastAsia="Arial"/>
                <w:i/>
              </w:rPr>
              <w:t>Zorginstituut</w:t>
            </w:r>
            <w:proofErr w:type="spellEnd"/>
            <w:r w:rsidRPr="00E06ADC">
              <w:rPr>
                <w:rFonts w:eastAsia="Arial"/>
                <w:i/>
              </w:rPr>
              <w:t xml:space="preserve"> </w:t>
            </w:r>
            <w:proofErr w:type="spellStart"/>
            <w:r w:rsidRPr="00E06ADC">
              <w:rPr>
                <w:rFonts w:eastAsia="Arial"/>
                <w:i/>
              </w:rPr>
              <w:t>Nederland</w:t>
            </w:r>
            <w:proofErr w:type="spellEnd"/>
            <w:r w:rsidRPr="00E06ADC">
              <w:rPr>
                <w:rFonts w:eastAsia="Arial"/>
                <w:i/>
              </w:rPr>
              <w:t xml:space="preserve">, </w:t>
            </w:r>
            <w:r w:rsidRPr="00E06ADC">
              <w:rPr>
                <w:rFonts w:eastAsia="Arial"/>
                <w:iCs/>
              </w:rPr>
              <w:t>ZIN)</w:t>
            </w:r>
          </w:p>
        </w:tc>
        <w:tc>
          <w:tcPr>
            <w:tcW w:w="1915" w:type="dxa"/>
          </w:tcPr>
          <w:p w14:paraId="132FF84F" w14:textId="77777777" w:rsidR="00814591" w:rsidRPr="00E06ADC" w:rsidRDefault="00814591" w:rsidP="00621006">
            <w:r w:rsidRPr="00E06ADC">
              <w:rPr>
                <w:rFonts w:ascii="Segoe UI Symbol" w:hAnsi="Segoe UI Symbol"/>
              </w:rPr>
              <w:t>⌧</w:t>
            </w:r>
            <w:r w:rsidRPr="00E06ADC">
              <w:t xml:space="preserve"> Taip</w:t>
            </w:r>
          </w:p>
          <w:p w14:paraId="3255B8E1" w14:textId="77777777" w:rsidR="00814591" w:rsidRPr="00E06ADC" w:rsidRDefault="00814591" w:rsidP="00621006">
            <w:r w:rsidRPr="00E06ADC">
              <w:rPr>
                <w:rFonts w:ascii="Segoe UI Symbol" w:eastAsia="MS Gothic" w:hAnsi="Segoe UI Symbol" w:cs="Segoe UI Symbol"/>
              </w:rPr>
              <w:t>☐</w:t>
            </w:r>
            <w:r w:rsidRPr="00E06ADC">
              <w:t xml:space="preserve"> Ne</w:t>
            </w:r>
          </w:p>
          <w:p w14:paraId="1DA262D6" w14:textId="77777777" w:rsidR="00814591" w:rsidRPr="00E06ADC" w:rsidRDefault="00814591" w:rsidP="00621006"/>
          <w:p w14:paraId="79B67013" w14:textId="77777777" w:rsidR="00814591" w:rsidRPr="00E06ADC" w:rsidRDefault="00814591" w:rsidP="00621006">
            <w:pPr>
              <w:jc w:val="both"/>
            </w:pPr>
            <w:r w:rsidRPr="00E06ADC">
              <w:t>2022.07.04</w:t>
            </w:r>
          </w:p>
        </w:tc>
        <w:tc>
          <w:tcPr>
            <w:tcW w:w="4792" w:type="dxa"/>
            <w:gridSpan w:val="2"/>
          </w:tcPr>
          <w:p w14:paraId="66F67BEA" w14:textId="77777777" w:rsidR="00814591" w:rsidRPr="00E06ADC" w:rsidRDefault="00814591" w:rsidP="00621006">
            <w:pPr>
              <w:spacing w:line="276" w:lineRule="auto"/>
              <w:jc w:val="both"/>
              <w:rPr>
                <w:rFonts w:eastAsia="Arial"/>
              </w:rPr>
            </w:pPr>
            <w:proofErr w:type="spellStart"/>
            <w:r w:rsidRPr="00E06ADC">
              <w:rPr>
                <w:rFonts w:eastAsia="Arial"/>
              </w:rPr>
              <w:t>Kanabidiolį</w:t>
            </w:r>
            <w:proofErr w:type="spellEnd"/>
            <w:r w:rsidRPr="00E06ADC">
              <w:rPr>
                <w:rFonts w:eastAsia="Arial"/>
              </w:rPr>
              <w:t xml:space="preserve"> (</w:t>
            </w:r>
            <w:proofErr w:type="spellStart"/>
            <w:r w:rsidRPr="00E06ADC">
              <w:rPr>
                <w:rFonts w:eastAsia="Arial"/>
              </w:rPr>
              <w:t>Epidyolex</w:t>
            </w:r>
            <w:proofErr w:type="spellEnd"/>
            <w:r w:rsidRPr="00E06ADC">
              <w:rPr>
                <w:rFonts w:eastAsia="Arial"/>
              </w:rPr>
              <w:t xml:space="preserve">) kartu su </w:t>
            </w:r>
            <w:proofErr w:type="spellStart"/>
            <w:r w:rsidRPr="00E06ADC">
              <w:rPr>
                <w:rFonts w:eastAsia="Arial"/>
              </w:rPr>
              <w:t>klobazamu</w:t>
            </w:r>
            <w:proofErr w:type="spellEnd"/>
            <w:r w:rsidRPr="00E06ADC">
              <w:rPr>
                <w:rFonts w:eastAsia="Arial"/>
              </w:rPr>
              <w:t xml:space="preserve"> rekomenduojama naudoti kaip papildomą gydymą 2-jų metų ir vyresniems pacientams, sergantiems gydymui atsparia LGS. </w:t>
            </w:r>
          </w:p>
          <w:p w14:paraId="18FCB952" w14:textId="77777777" w:rsidR="00814591" w:rsidRPr="00E06ADC" w:rsidRDefault="00814591" w:rsidP="00621006">
            <w:pPr>
              <w:spacing w:line="276" w:lineRule="auto"/>
              <w:jc w:val="both"/>
              <w:rPr>
                <w:rFonts w:eastAsia="Arial"/>
              </w:rPr>
            </w:pPr>
            <w:r w:rsidRPr="00E06ADC">
              <w:rPr>
                <w:rFonts w:eastAsia="Arial"/>
              </w:rPr>
              <w:t>Gydymas neturėtų būti tęsiamas, jei po 6 mėnesių gydymo priepuolių dažnis nesumažėja 30 % ar daugiau.</w:t>
            </w:r>
          </w:p>
          <w:p w14:paraId="325E3530" w14:textId="77777777" w:rsidR="00814591" w:rsidRPr="00E06ADC" w:rsidRDefault="00814591" w:rsidP="00621006">
            <w:pPr>
              <w:spacing w:line="276" w:lineRule="auto"/>
              <w:jc w:val="both"/>
              <w:rPr>
                <w:rFonts w:eastAsia="Arial"/>
              </w:rPr>
            </w:pPr>
            <w:r w:rsidRPr="00E06ADC">
              <w:rPr>
                <w:rFonts w:eastAsia="Arial"/>
              </w:rPr>
              <w:t xml:space="preserve">Padaryta išvada, kad </w:t>
            </w:r>
            <w:proofErr w:type="spellStart"/>
            <w:r w:rsidRPr="00E06ADC">
              <w:rPr>
                <w:rFonts w:eastAsia="Arial"/>
              </w:rPr>
              <w:t>kanabidiolio</w:t>
            </w:r>
            <w:proofErr w:type="spellEnd"/>
            <w:r w:rsidRPr="00E06ADC">
              <w:rPr>
                <w:rFonts w:eastAsia="Arial"/>
              </w:rPr>
              <w:t xml:space="preserve"> kartu su </w:t>
            </w:r>
            <w:proofErr w:type="spellStart"/>
            <w:r w:rsidRPr="00E06ADC">
              <w:rPr>
                <w:rFonts w:eastAsia="Arial"/>
              </w:rPr>
              <w:t>klobazamu</w:t>
            </w:r>
            <w:proofErr w:type="spellEnd"/>
            <w:r w:rsidRPr="00E06ADC">
              <w:rPr>
                <w:rFonts w:eastAsia="Arial"/>
              </w:rPr>
              <w:t xml:space="preserve"> pridėjimas prie standartinio gydymo turi pridėtinės vertės, palyginti su vien tik standartiniu gydymu. Vis dar neaišku, koks bus ilgalaikis poveikis.</w:t>
            </w:r>
          </w:p>
          <w:p w14:paraId="632B4754" w14:textId="77777777" w:rsidR="00814591" w:rsidRPr="00E06ADC" w:rsidRDefault="00814591" w:rsidP="00621006">
            <w:pPr>
              <w:spacing w:line="276" w:lineRule="auto"/>
              <w:jc w:val="both"/>
              <w:rPr>
                <w:rFonts w:eastAsia="Arial"/>
              </w:rPr>
            </w:pPr>
            <w:r w:rsidRPr="00E06ADC">
              <w:rPr>
                <w:rFonts w:eastAsia="Arial"/>
              </w:rPr>
              <w:t>Taip pat neaišku dėl ekonominio efektyvumo.</w:t>
            </w:r>
          </w:p>
        </w:tc>
      </w:tr>
    </w:tbl>
    <w:p w14:paraId="13DC8A44" w14:textId="77777777" w:rsidR="00D40B99" w:rsidRDefault="00D40B99" w:rsidP="00D40B99">
      <w:pPr>
        <w:pStyle w:val="ListParagraph"/>
        <w:tabs>
          <w:tab w:val="left" w:pos="426"/>
        </w:tabs>
        <w:ind w:left="0"/>
        <w:rPr>
          <w:b/>
          <w:bCs/>
          <w:caps/>
        </w:rPr>
      </w:pPr>
    </w:p>
    <w:p w14:paraId="0EB0FCAB" w14:textId="77777777" w:rsidR="00D40B99" w:rsidRPr="00937907" w:rsidRDefault="00D40B99" w:rsidP="00D40B99">
      <w:pPr>
        <w:pStyle w:val="ListParagraph"/>
        <w:numPr>
          <w:ilvl w:val="0"/>
          <w:numId w:val="1"/>
        </w:numPr>
        <w:tabs>
          <w:tab w:val="left" w:pos="284"/>
        </w:tabs>
        <w:rPr>
          <w:b/>
          <w:bCs/>
          <w:caps/>
        </w:rPr>
      </w:pPr>
      <w:r w:rsidRPr="00937907">
        <w:rPr>
          <w:b/>
          <w:bCs/>
          <w:caps/>
        </w:rPr>
        <w:t>Klinikinio vertinimo apibendrinimas</w:t>
      </w:r>
    </w:p>
    <w:p w14:paraId="36D9D4CF" w14:textId="77777777" w:rsidR="00D40B99" w:rsidRDefault="00D40B99" w:rsidP="00D40B99">
      <w:pPr>
        <w:spacing w:line="276" w:lineRule="auto"/>
        <w:rPr>
          <w:rFonts w:eastAsia="Arial"/>
          <w:i/>
        </w:rPr>
      </w:pPr>
    </w:p>
    <w:p w14:paraId="6CABA39C" w14:textId="77777777" w:rsidR="00814591" w:rsidRPr="0098755A" w:rsidRDefault="00814591" w:rsidP="00814591">
      <w:pPr>
        <w:tabs>
          <w:tab w:val="left" w:pos="1134"/>
        </w:tabs>
        <w:spacing w:line="276" w:lineRule="auto"/>
        <w:ind w:firstLine="709"/>
        <w:jc w:val="both"/>
        <w:rPr>
          <w:szCs w:val="20"/>
        </w:rPr>
      </w:pPr>
      <w:proofErr w:type="spellStart"/>
      <w:r w:rsidRPr="007F3A74">
        <w:rPr>
          <w:szCs w:val="20"/>
        </w:rPr>
        <w:t>Lennox-Gastaut</w:t>
      </w:r>
      <w:proofErr w:type="spellEnd"/>
      <w:r w:rsidRPr="007F3A74">
        <w:rPr>
          <w:szCs w:val="20"/>
        </w:rPr>
        <w:t xml:space="preserve"> sindromas (LGS) yra reta, niokojanti ir visą gyvenimą trunkanti epilepsijos forma, pasireiškianti ankstyvoje vaikystėje. </w:t>
      </w:r>
      <w:r w:rsidRPr="0098755A">
        <w:rPr>
          <w:szCs w:val="20"/>
        </w:rPr>
        <w:t xml:space="preserve">Tai sudėtingas epilepsijos sindromas, susijęs su </w:t>
      </w:r>
      <w:proofErr w:type="spellStart"/>
      <w:r w:rsidRPr="0098755A">
        <w:rPr>
          <w:szCs w:val="20"/>
        </w:rPr>
        <w:t>refrakteriniais</w:t>
      </w:r>
      <w:proofErr w:type="spellEnd"/>
      <w:r w:rsidRPr="0098755A">
        <w:rPr>
          <w:szCs w:val="20"/>
        </w:rPr>
        <w:t xml:space="preserve"> priepuoliais ir bloga baigtimi suaugus. LGS paprastai apibūdinama klinikinių požymių triada: </w:t>
      </w:r>
    </w:p>
    <w:p w14:paraId="0FB07F27" w14:textId="35C613A8" w:rsidR="00814591" w:rsidRPr="0098755A" w:rsidRDefault="00814591" w:rsidP="00814591">
      <w:pPr>
        <w:pStyle w:val="ListParagraph"/>
        <w:numPr>
          <w:ilvl w:val="0"/>
          <w:numId w:val="9"/>
        </w:numPr>
        <w:tabs>
          <w:tab w:val="left" w:pos="1134"/>
        </w:tabs>
        <w:spacing w:line="276" w:lineRule="auto"/>
        <w:jc w:val="both"/>
        <w:rPr>
          <w:szCs w:val="20"/>
        </w:rPr>
      </w:pPr>
      <w:r w:rsidRPr="0098755A">
        <w:rPr>
          <w:szCs w:val="20"/>
        </w:rPr>
        <w:t xml:space="preserve">kelių tipų priepuoliai (daugiausia toniniai, </w:t>
      </w:r>
      <w:proofErr w:type="spellStart"/>
      <w:r w:rsidRPr="0098755A">
        <w:rPr>
          <w:szCs w:val="20"/>
        </w:rPr>
        <w:t>atoniniai</w:t>
      </w:r>
      <w:proofErr w:type="spellEnd"/>
      <w:r w:rsidRPr="0098755A">
        <w:rPr>
          <w:szCs w:val="20"/>
        </w:rPr>
        <w:t xml:space="preserve"> ir toniniai-</w:t>
      </w:r>
      <w:proofErr w:type="spellStart"/>
      <w:r w:rsidRPr="0098755A">
        <w:rPr>
          <w:szCs w:val="20"/>
        </w:rPr>
        <w:t>kloniniai</w:t>
      </w:r>
      <w:proofErr w:type="spellEnd"/>
      <w:r w:rsidRPr="0098755A">
        <w:rPr>
          <w:szCs w:val="20"/>
        </w:rPr>
        <w:t xml:space="preserve"> priepuoliai, bendrai vadinami „kritimo priepuoliais“)</w:t>
      </w:r>
      <w:r w:rsidR="00551811">
        <w:rPr>
          <w:szCs w:val="20"/>
        </w:rPr>
        <w:t>;</w:t>
      </w:r>
      <w:r w:rsidRPr="0098755A">
        <w:rPr>
          <w:szCs w:val="20"/>
        </w:rPr>
        <w:t xml:space="preserve"> </w:t>
      </w:r>
    </w:p>
    <w:p w14:paraId="010AA8CE" w14:textId="3B6BF858" w:rsidR="00814591" w:rsidRPr="0098755A" w:rsidRDefault="00551811" w:rsidP="00814591">
      <w:pPr>
        <w:pStyle w:val="ListParagraph"/>
        <w:numPr>
          <w:ilvl w:val="0"/>
          <w:numId w:val="9"/>
        </w:numPr>
        <w:tabs>
          <w:tab w:val="left" w:pos="1134"/>
        </w:tabs>
        <w:spacing w:line="276" w:lineRule="auto"/>
        <w:jc w:val="both"/>
        <w:rPr>
          <w:szCs w:val="20"/>
        </w:rPr>
      </w:pPr>
      <w:r>
        <w:rPr>
          <w:szCs w:val="20"/>
        </w:rPr>
        <w:t>p</w:t>
      </w:r>
      <w:r w:rsidR="00814591">
        <w:rPr>
          <w:szCs w:val="20"/>
        </w:rPr>
        <w:t xml:space="preserve">akitimai </w:t>
      </w:r>
      <w:proofErr w:type="spellStart"/>
      <w:r w:rsidR="00814591" w:rsidRPr="0098755A">
        <w:rPr>
          <w:szCs w:val="20"/>
        </w:rPr>
        <w:t>elektroencefalogramo</w:t>
      </w:r>
      <w:r w:rsidR="00814591">
        <w:rPr>
          <w:szCs w:val="20"/>
        </w:rPr>
        <w:t>je</w:t>
      </w:r>
      <w:proofErr w:type="spellEnd"/>
      <w:r w:rsidR="00814591" w:rsidRPr="0098755A">
        <w:rPr>
          <w:szCs w:val="20"/>
        </w:rPr>
        <w:t xml:space="preserve"> (EEG)</w:t>
      </w:r>
      <w:r w:rsidR="00814591">
        <w:rPr>
          <w:szCs w:val="20"/>
        </w:rPr>
        <w:t xml:space="preserve"> - </w:t>
      </w:r>
      <w:r w:rsidR="00814591" w:rsidRPr="0098755A">
        <w:rPr>
          <w:szCs w:val="20"/>
        </w:rPr>
        <w:t xml:space="preserve">lėtųjų smailių bangų (SSW) kompleksai (&lt; 3 Hz) budrumo metu ir </w:t>
      </w:r>
      <w:proofErr w:type="spellStart"/>
      <w:r w:rsidR="00814591" w:rsidRPr="0098755A">
        <w:rPr>
          <w:szCs w:val="20"/>
        </w:rPr>
        <w:t>generalizuoti</w:t>
      </w:r>
      <w:proofErr w:type="spellEnd"/>
      <w:r w:rsidR="00814591" w:rsidRPr="0098755A">
        <w:rPr>
          <w:szCs w:val="20"/>
        </w:rPr>
        <w:t xml:space="preserve"> greiti ritmai (≥ 10 Hz) miego metu</w:t>
      </w:r>
      <w:r>
        <w:rPr>
          <w:szCs w:val="20"/>
        </w:rPr>
        <w:t>;</w:t>
      </w:r>
      <w:r w:rsidR="00814591" w:rsidRPr="0098755A">
        <w:rPr>
          <w:szCs w:val="20"/>
        </w:rPr>
        <w:t xml:space="preserve"> </w:t>
      </w:r>
    </w:p>
    <w:p w14:paraId="10FA8BB4" w14:textId="77777777" w:rsidR="00814591" w:rsidRPr="0098755A" w:rsidRDefault="00814591" w:rsidP="00814591">
      <w:pPr>
        <w:pStyle w:val="ListParagraph"/>
        <w:numPr>
          <w:ilvl w:val="0"/>
          <w:numId w:val="9"/>
        </w:numPr>
        <w:tabs>
          <w:tab w:val="left" w:pos="1134"/>
        </w:tabs>
        <w:spacing w:line="276" w:lineRule="auto"/>
        <w:jc w:val="both"/>
        <w:rPr>
          <w:szCs w:val="20"/>
        </w:rPr>
      </w:pPr>
      <w:r w:rsidRPr="0098755A">
        <w:rPr>
          <w:szCs w:val="20"/>
        </w:rPr>
        <w:t xml:space="preserve">vidutinio sunkumo arba sunkus pažinimo sutrikimas. </w:t>
      </w:r>
    </w:p>
    <w:p w14:paraId="76CE39F3" w14:textId="77777777" w:rsidR="00814591" w:rsidRPr="0098755A" w:rsidRDefault="00814591" w:rsidP="00814591">
      <w:pPr>
        <w:tabs>
          <w:tab w:val="left" w:pos="1134"/>
        </w:tabs>
        <w:spacing w:line="276" w:lineRule="auto"/>
        <w:ind w:firstLine="709"/>
        <w:jc w:val="both"/>
        <w:rPr>
          <w:szCs w:val="20"/>
        </w:rPr>
      </w:pPr>
      <w:r w:rsidRPr="0098755A">
        <w:rPr>
          <w:szCs w:val="20"/>
        </w:rPr>
        <w:t xml:space="preserve">Pacientams, sergantiems LGS, būdingi dažni ir įvairūs traukulių priepuoliai, dažnai pasitaiko staigaus kritimo priepuoliai. Jiems taip pat pasireiškia kognityviniai sutrikimai ir padidėja ankstyvos mirties rizika. Todėl LGS yra didžiulė našta pacientams ir jų globėjams (šeimai). </w:t>
      </w:r>
    </w:p>
    <w:p w14:paraId="60922882" w14:textId="38231944" w:rsidR="00814591" w:rsidRDefault="00814591" w:rsidP="00814591">
      <w:pPr>
        <w:tabs>
          <w:tab w:val="left" w:pos="1134"/>
        </w:tabs>
        <w:spacing w:line="276" w:lineRule="auto"/>
        <w:ind w:firstLine="709"/>
        <w:jc w:val="both"/>
        <w:rPr>
          <w:szCs w:val="20"/>
        </w:rPr>
      </w:pPr>
      <w:r w:rsidRPr="00F37D04">
        <w:rPr>
          <w:szCs w:val="20"/>
        </w:rPr>
        <w:t xml:space="preserve">LGS yra reta liga. LGS sudaro apie 2-10 proc. visų vaikų </w:t>
      </w:r>
      <w:proofErr w:type="spellStart"/>
      <w:r w:rsidRPr="00F37D04">
        <w:rPr>
          <w:szCs w:val="20"/>
        </w:rPr>
        <w:t>epilepsijų</w:t>
      </w:r>
      <w:proofErr w:type="spellEnd"/>
      <w:r w:rsidRPr="00F37D04">
        <w:rPr>
          <w:szCs w:val="20"/>
        </w:rPr>
        <w:t>, tačiau ji lemia apie 10 proc. epilepsijos atvejų, pasireiškiančių iki penkerių metų amžiaus.</w:t>
      </w:r>
      <w:r>
        <w:rPr>
          <w:szCs w:val="20"/>
        </w:rPr>
        <w:t xml:space="preserve"> </w:t>
      </w:r>
      <w:r w:rsidRPr="00F37D04">
        <w:rPr>
          <w:szCs w:val="20"/>
        </w:rPr>
        <w:t>Europos vaistų agentūra nurod</w:t>
      </w:r>
      <w:r w:rsidR="00493735">
        <w:rPr>
          <w:szCs w:val="20"/>
        </w:rPr>
        <w:t>o</w:t>
      </w:r>
      <w:r w:rsidRPr="00F37D04">
        <w:rPr>
          <w:szCs w:val="20"/>
        </w:rPr>
        <w:t xml:space="preserve">, kad LGS paplitimas yra apie 20/100 000 gyventojų. </w:t>
      </w:r>
    </w:p>
    <w:p w14:paraId="6228E3CF" w14:textId="2658A4D8" w:rsidR="00814591" w:rsidRPr="002D16A6" w:rsidRDefault="009E67E7" w:rsidP="00814591">
      <w:pPr>
        <w:tabs>
          <w:tab w:val="left" w:pos="1134"/>
        </w:tabs>
        <w:spacing w:line="276" w:lineRule="auto"/>
        <w:ind w:firstLine="709"/>
        <w:jc w:val="both"/>
      </w:pPr>
      <w:r>
        <w:t xml:space="preserve">Remiantis </w:t>
      </w:r>
      <w:r w:rsidRPr="00CD0E78">
        <w:t>Lietuvos</w:t>
      </w:r>
      <w:r>
        <w:t xml:space="preserve"> gydytojų, besispecializuojančių vaiskų epilepsijos gydymo srityje</w:t>
      </w:r>
      <w:r w:rsidRPr="00CD0E78">
        <w:t>,</w:t>
      </w:r>
      <w:r>
        <w:t xml:space="preserve"> nuomone LGS</w:t>
      </w:r>
      <w:r w:rsidRPr="00CD0E78">
        <w:t xml:space="preserve"> </w:t>
      </w:r>
      <w:r>
        <w:t xml:space="preserve">gydomas </w:t>
      </w:r>
      <w:r w:rsidRPr="00CD0E78">
        <w:t>vadovauja</w:t>
      </w:r>
      <w:r>
        <w:t>ntis</w:t>
      </w:r>
      <w:r w:rsidRPr="00CD0E78">
        <w:t xml:space="preserve"> Sveikatos apsaugos ministro </w:t>
      </w:r>
      <w:bookmarkStart w:id="0" w:name="_Hlk199188858"/>
      <w:r w:rsidRPr="004B68F3">
        <w:t>2019 m. gruodžio 18 d. Nr. V-1477</w:t>
      </w:r>
      <w:r w:rsidRPr="004B68F3" w:rsidDel="004B68F3">
        <w:t xml:space="preserve"> </w:t>
      </w:r>
      <w:r w:rsidRPr="00F13BA8">
        <w:t>„</w:t>
      </w:r>
      <w:r>
        <w:t>D</w:t>
      </w:r>
      <w:r w:rsidRPr="00F13BA8">
        <w:t>ėl epilepsijos ambulatorinio</w:t>
      </w:r>
      <w:r w:rsidRPr="004B68F3">
        <w:rPr>
          <w:b/>
          <w:bCs/>
        </w:rPr>
        <w:t xml:space="preserve"> </w:t>
      </w:r>
      <w:r w:rsidRPr="00F13BA8">
        <w:t>gydymo kompensuojamaisiais vaistais tvarkos aprašo patvirtinimo</w:t>
      </w:r>
      <w:r w:rsidRPr="004B68F3">
        <w:t>“ pakeitimo</w:t>
      </w:r>
      <w:r>
        <w:t xml:space="preserve"> patvirtintu „E</w:t>
      </w:r>
      <w:r w:rsidRPr="00F13BA8">
        <w:t>pilepsijos diagnostikos ir gydymo vaistais, kurių įsigijimo išlaidos apmokamos privalomojo sveikatos draudimo fondo biudžeto lėšomis, tvarkos apraš</w:t>
      </w:r>
      <w:r>
        <w:t>u“</w:t>
      </w:r>
      <w:bookmarkEnd w:id="0"/>
      <w:r>
        <w:t xml:space="preserve"> (toliau – Aprašas) ir </w:t>
      </w:r>
      <w:r w:rsidRPr="00CD0E78">
        <w:t>ES gydymo rekomendacijomis</w:t>
      </w:r>
      <w:r>
        <w:t>.</w:t>
      </w:r>
      <w:r w:rsidRPr="00CD0E78" w:rsidDel="004B68F3">
        <w:t xml:space="preserve"> </w:t>
      </w:r>
      <w:r>
        <w:t>Remiantis Aprašu</w:t>
      </w:r>
      <w:r>
        <w:rPr>
          <w:color w:val="000000"/>
        </w:rPr>
        <w:t xml:space="preserve">, </w:t>
      </w:r>
      <w:r w:rsidR="00814591" w:rsidRPr="00F2610B">
        <w:rPr>
          <w:color w:val="000000"/>
        </w:rPr>
        <w:t xml:space="preserve">Lietuvoje </w:t>
      </w:r>
      <w:r w:rsidR="00814591">
        <w:rPr>
          <w:color w:val="000000"/>
        </w:rPr>
        <w:t xml:space="preserve"> </w:t>
      </w:r>
      <w:r w:rsidR="00814591">
        <w:rPr>
          <w:szCs w:val="20"/>
        </w:rPr>
        <w:t>LGS</w:t>
      </w:r>
      <w:r w:rsidR="00814591" w:rsidRPr="00FF4824">
        <w:rPr>
          <w:szCs w:val="20"/>
        </w:rPr>
        <w:t xml:space="preserve"> gydym</w:t>
      </w:r>
      <w:r w:rsidR="00814591">
        <w:rPr>
          <w:szCs w:val="20"/>
        </w:rPr>
        <w:t xml:space="preserve">ui </w:t>
      </w:r>
      <w:r w:rsidR="00814591" w:rsidRPr="00E06ADC">
        <w:rPr>
          <w:rFonts w:eastAsia="Arial"/>
        </w:rPr>
        <w:t xml:space="preserve">skiriami šie vaistai: </w:t>
      </w:r>
      <w:proofErr w:type="spellStart"/>
      <w:r w:rsidR="00814591" w:rsidRPr="00E06ADC">
        <w:rPr>
          <w:rFonts w:eastAsia="Arial"/>
        </w:rPr>
        <w:t>valproatas</w:t>
      </w:r>
      <w:proofErr w:type="spellEnd"/>
      <w:r w:rsidR="00814591" w:rsidRPr="00E06ADC">
        <w:rPr>
          <w:rFonts w:eastAsia="Arial"/>
        </w:rPr>
        <w:t xml:space="preserve">, </w:t>
      </w:r>
      <w:proofErr w:type="spellStart"/>
      <w:r w:rsidR="00814591" w:rsidRPr="00E06ADC">
        <w:rPr>
          <w:rFonts w:eastAsia="Arial"/>
        </w:rPr>
        <w:t>lamotriginas</w:t>
      </w:r>
      <w:proofErr w:type="spellEnd"/>
      <w:r w:rsidR="00814591" w:rsidRPr="00E06ADC">
        <w:rPr>
          <w:rFonts w:eastAsia="Arial"/>
        </w:rPr>
        <w:t xml:space="preserve">, </w:t>
      </w:r>
      <w:proofErr w:type="spellStart"/>
      <w:r w:rsidR="00814591" w:rsidRPr="00E06ADC">
        <w:rPr>
          <w:rFonts w:eastAsia="Arial"/>
        </w:rPr>
        <w:t>topiramatas</w:t>
      </w:r>
      <w:proofErr w:type="spellEnd"/>
      <w:r w:rsidR="00814591" w:rsidRPr="00E06ADC">
        <w:rPr>
          <w:rFonts w:eastAsia="Arial"/>
        </w:rPr>
        <w:t xml:space="preserve">, </w:t>
      </w:r>
      <w:proofErr w:type="spellStart"/>
      <w:r w:rsidR="00814591" w:rsidRPr="00E06ADC">
        <w:rPr>
          <w:rFonts w:eastAsia="Arial"/>
        </w:rPr>
        <w:t>klonazepamas</w:t>
      </w:r>
      <w:proofErr w:type="spellEnd"/>
      <w:r w:rsidR="00814591" w:rsidRPr="00E06ADC">
        <w:rPr>
          <w:rFonts w:eastAsia="Arial"/>
        </w:rPr>
        <w:t xml:space="preserve">, </w:t>
      </w:r>
      <w:proofErr w:type="spellStart"/>
      <w:r w:rsidR="00814591" w:rsidRPr="00E06ADC">
        <w:rPr>
          <w:rFonts w:eastAsia="Arial"/>
        </w:rPr>
        <w:t>diazepamas</w:t>
      </w:r>
      <w:proofErr w:type="spellEnd"/>
      <w:r w:rsidR="00814591" w:rsidRPr="00E06ADC">
        <w:rPr>
          <w:rFonts w:eastAsia="Arial"/>
        </w:rPr>
        <w:t xml:space="preserve">, </w:t>
      </w:r>
      <w:proofErr w:type="spellStart"/>
      <w:r w:rsidR="00814591" w:rsidRPr="00E06ADC">
        <w:rPr>
          <w:rFonts w:eastAsia="Arial"/>
        </w:rPr>
        <w:t>etosuksimidas</w:t>
      </w:r>
      <w:proofErr w:type="spellEnd"/>
      <w:r w:rsidR="00814591" w:rsidRPr="00E06ADC">
        <w:rPr>
          <w:rFonts w:eastAsia="Arial"/>
        </w:rPr>
        <w:t xml:space="preserve">, </w:t>
      </w:r>
      <w:proofErr w:type="spellStart"/>
      <w:r w:rsidR="00814591" w:rsidRPr="00E06ADC">
        <w:rPr>
          <w:rFonts w:eastAsia="Arial"/>
        </w:rPr>
        <w:t>levetiracetamas</w:t>
      </w:r>
      <w:proofErr w:type="spellEnd"/>
      <w:r w:rsidR="00814591" w:rsidRPr="00E06ADC">
        <w:rPr>
          <w:rFonts w:eastAsia="Arial"/>
        </w:rPr>
        <w:t xml:space="preserve">, </w:t>
      </w:r>
      <w:proofErr w:type="spellStart"/>
      <w:r w:rsidR="00814591" w:rsidRPr="00E06ADC">
        <w:rPr>
          <w:rFonts w:eastAsia="Arial"/>
        </w:rPr>
        <w:t>klonazepamas</w:t>
      </w:r>
      <w:proofErr w:type="spellEnd"/>
      <w:r w:rsidR="00814591" w:rsidRPr="00E06ADC">
        <w:rPr>
          <w:rFonts w:eastAsia="Arial"/>
        </w:rPr>
        <w:t xml:space="preserve">. Kai reikalingas kombinuotas gydymas, Lietuvos klinikinėje praktikoje taikomi šie vaistai: </w:t>
      </w:r>
      <w:proofErr w:type="spellStart"/>
      <w:r w:rsidR="00814591" w:rsidRPr="00E06ADC">
        <w:rPr>
          <w:rFonts w:eastAsia="Arial"/>
        </w:rPr>
        <w:t>valproatas</w:t>
      </w:r>
      <w:proofErr w:type="spellEnd"/>
      <w:r w:rsidR="00814591" w:rsidRPr="00E06ADC">
        <w:rPr>
          <w:rFonts w:eastAsia="Arial"/>
        </w:rPr>
        <w:t xml:space="preserve">, </w:t>
      </w:r>
      <w:proofErr w:type="spellStart"/>
      <w:r w:rsidR="00814591" w:rsidRPr="00E06ADC">
        <w:rPr>
          <w:rFonts w:eastAsia="Arial"/>
        </w:rPr>
        <w:t>lamotriginas</w:t>
      </w:r>
      <w:proofErr w:type="spellEnd"/>
      <w:r w:rsidR="00814591" w:rsidRPr="00E06ADC">
        <w:rPr>
          <w:rFonts w:eastAsia="Arial"/>
        </w:rPr>
        <w:t xml:space="preserve">, </w:t>
      </w:r>
      <w:proofErr w:type="spellStart"/>
      <w:r w:rsidR="00814591" w:rsidRPr="00E06ADC">
        <w:rPr>
          <w:rFonts w:eastAsia="Arial"/>
        </w:rPr>
        <w:t>topiramatas</w:t>
      </w:r>
      <w:proofErr w:type="spellEnd"/>
      <w:r w:rsidR="00814591" w:rsidRPr="00E06ADC">
        <w:rPr>
          <w:rFonts w:eastAsia="Arial"/>
        </w:rPr>
        <w:t xml:space="preserve">, </w:t>
      </w:r>
      <w:proofErr w:type="spellStart"/>
      <w:r w:rsidR="00814591" w:rsidRPr="00E06ADC">
        <w:rPr>
          <w:rFonts w:eastAsia="Arial"/>
        </w:rPr>
        <w:t>klonazepamas</w:t>
      </w:r>
      <w:proofErr w:type="spellEnd"/>
      <w:r w:rsidR="00814591" w:rsidRPr="00E06ADC">
        <w:rPr>
          <w:rFonts w:eastAsia="Arial"/>
        </w:rPr>
        <w:t xml:space="preserve">, </w:t>
      </w:r>
      <w:proofErr w:type="spellStart"/>
      <w:r w:rsidR="00814591" w:rsidRPr="00E06ADC">
        <w:rPr>
          <w:rFonts w:eastAsia="Arial"/>
        </w:rPr>
        <w:t>diazepamas</w:t>
      </w:r>
      <w:proofErr w:type="spellEnd"/>
      <w:r w:rsidR="00814591" w:rsidRPr="00E06ADC">
        <w:rPr>
          <w:rFonts w:eastAsia="Arial"/>
        </w:rPr>
        <w:t xml:space="preserve">, </w:t>
      </w:r>
      <w:proofErr w:type="spellStart"/>
      <w:r w:rsidR="00814591" w:rsidRPr="00E06ADC">
        <w:rPr>
          <w:rFonts w:eastAsia="Arial"/>
        </w:rPr>
        <w:t>etosuksimidas</w:t>
      </w:r>
      <w:proofErr w:type="spellEnd"/>
      <w:r w:rsidR="00814591" w:rsidRPr="00E06ADC">
        <w:rPr>
          <w:rFonts w:eastAsia="Arial"/>
        </w:rPr>
        <w:t xml:space="preserve">, </w:t>
      </w:r>
      <w:proofErr w:type="spellStart"/>
      <w:r w:rsidR="00814591" w:rsidRPr="00E06ADC">
        <w:rPr>
          <w:rFonts w:eastAsia="Arial"/>
        </w:rPr>
        <w:t>levetiracetamas</w:t>
      </w:r>
      <w:proofErr w:type="spellEnd"/>
      <w:r w:rsidR="00814591">
        <w:rPr>
          <w:rFonts w:eastAsia="Arial"/>
        </w:rPr>
        <w:t xml:space="preserve">. Taip pat skiriamas </w:t>
      </w:r>
      <w:proofErr w:type="spellStart"/>
      <w:r w:rsidR="00814591">
        <w:rPr>
          <w:rFonts w:eastAsia="Arial"/>
        </w:rPr>
        <w:t>klobazamas</w:t>
      </w:r>
      <w:proofErr w:type="spellEnd"/>
      <w:r w:rsidR="00814591">
        <w:rPr>
          <w:rFonts w:eastAsia="Arial"/>
        </w:rPr>
        <w:t xml:space="preserve"> (kaip vardinis vaistinis preparatas).</w:t>
      </w:r>
    </w:p>
    <w:p w14:paraId="55B85B35" w14:textId="0E4ADA80" w:rsidR="00814591" w:rsidRPr="005051B7" w:rsidRDefault="00814591" w:rsidP="00814591">
      <w:pPr>
        <w:tabs>
          <w:tab w:val="left" w:pos="1134"/>
        </w:tabs>
        <w:spacing w:line="276" w:lineRule="auto"/>
        <w:ind w:firstLine="709"/>
        <w:jc w:val="both"/>
        <w:rPr>
          <w:szCs w:val="20"/>
        </w:rPr>
      </w:pPr>
      <w:r w:rsidRPr="00FF4824">
        <w:rPr>
          <w:szCs w:val="20"/>
        </w:rPr>
        <w:t xml:space="preserve">Dabartinis </w:t>
      </w:r>
      <w:r>
        <w:rPr>
          <w:szCs w:val="20"/>
        </w:rPr>
        <w:t>LGS</w:t>
      </w:r>
      <w:r w:rsidRPr="00FF4824">
        <w:rPr>
          <w:szCs w:val="20"/>
        </w:rPr>
        <w:t xml:space="preserve"> sergančių pacientų gydymo tikslas - siekti optimalios priepuolių kontrolės, o tai reiškia derinti šalutinį gydymo poveikį su paciento gyvenimo kokybe, o ne siekti visiško priepuolių išnykimo. </w:t>
      </w:r>
      <w:r w:rsidRPr="00E06ADC">
        <w:rPr>
          <w:rFonts w:eastAsia="Arial"/>
        </w:rPr>
        <w:t>Užkirtus kelią priepuoliams arba juos kontroliuojant gali pagerėti kognityvinė neurologinė raida ir gyvenimo kokybė. LGS gydymas apima medikamentinį, dietinį ir chirurginį gydymą. LGS sergančių pacientų traukulių priepuoliai iš pradžių gali būti palyginti gerai kontroliuojami naudojant</w:t>
      </w:r>
      <w:r w:rsidR="00646737">
        <w:rPr>
          <w:rFonts w:eastAsia="Arial"/>
        </w:rPr>
        <w:t xml:space="preserve"> </w:t>
      </w:r>
      <w:proofErr w:type="spellStart"/>
      <w:r w:rsidR="00493735">
        <w:rPr>
          <w:rFonts w:eastAsia="Arial"/>
        </w:rPr>
        <w:t>prieštraukulinius</w:t>
      </w:r>
      <w:proofErr w:type="spellEnd"/>
      <w:r w:rsidR="00493735">
        <w:rPr>
          <w:rFonts w:eastAsia="Arial"/>
        </w:rPr>
        <w:t xml:space="preserve"> vaistinius preparatus</w:t>
      </w:r>
      <w:r w:rsidRPr="00E06ADC">
        <w:rPr>
          <w:rFonts w:eastAsia="Arial"/>
        </w:rPr>
        <w:t xml:space="preserve">, tačiau paprastai greitai išsivysto atsparumas </w:t>
      </w:r>
      <w:r w:rsidR="00493735">
        <w:rPr>
          <w:rFonts w:eastAsia="Arial"/>
        </w:rPr>
        <w:t xml:space="preserve">šiems </w:t>
      </w:r>
      <w:r w:rsidRPr="00E06ADC">
        <w:rPr>
          <w:rFonts w:eastAsia="Arial"/>
        </w:rPr>
        <w:t xml:space="preserve">vaistams. Dėl LGS sergančių pacientų traukulių sunkiai </w:t>
      </w:r>
      <w:r w:rsidR="00493735">
        <w:rPr>
          <w:rFonts w:eastAsia="Arial"/>
        </w:rPr>
        <w:t xml:space="preserve">kontroliuojamų </w:t>
      </w:r>
      <w:r w:rsidRPr="00E06ADC">
        <w:rPr>
          <w:rFonts w:eastAsia="Arial"/>
        </w:rPr>
        <w:t xml:space="preserve">priepuolių pacientai </w:t>
      </w:r>
      <w:r w:rsidR="00493735">
        <w:rPr>
          <w:rFonts w:eastAsia="Arial"/>
        </w:rPr>
        <w:t>yra gydomi keliais</w:t>
      </w:r>
      <w:r w:rsidR="009E67E7">
        <w:rPr>
          <w:rFonts w:eastAsia="Arial"/>
        </w:rPr>
        <w:t xml:space="preserve"> </w:t>
      </w:r>
      <w:proofErr w:type="spellStart"/>
      <w:r w:rsidR="009E67E7">
        <w:rPr>
          <w:rFonts w:eastAsia="Arial"/>
        </w:rPr>
        <w:t>prieštraukuliniais</w:t>
      </w:r>
      <w:proofErr w:type="spellEnd"/>
      <w:r w:rsidR="009E67E7">
        <w:rPr>
          <w:rFonts w:eastAsia="Arial"/>
        </w:rPr>
        <w:t xml:space="preserve"> vaistais,</w:t>
      </w:r>
      <w:r w:rsidRPr="00E06ADC">
        <w:rPr>
          <w:rFonts w:eastAsia="Arial"/>
        </w:rPr>
        <w:t xml:space="preserve"> o </w:t>
      </w:r>
      <w:proofErr w:type="spellStart"/>
      <w:r w:rsidRPr="00E06ADC">
        <w:rPr>
          <w:rFonts w:eastAsia="Arial"/>
        </w:rPr>
        <w:t>polifarmaci</w:t>
      </w:r>
      <w:r w:rsidR="00493735">
        <w:rPr>
          <w:rFonts w:eastAsia="Arial"/>
        </w:rPr>
        <w:t>nis</w:t>
      </w:r>
      <w:proofErr w:type="spellEnd"/>
      <w:r w:rsidR="00493735">
        <w:rPr>
          <w:rFonts w:eastAsia="Arial"/>
        </w:rPr>
        <w:t xml:space="preserve"> gydymas</w:t>
      </w:r>
      <w:r w:rsidRPr="00E06ADC">
        <w:rPr>
          <w:rFonts w:eastAsia="Arial"/>
        </w:rPr>
        <w:t xml:space="preserve"> dažnai sukelia nepageidaujamų reiškinių, tokių kaip </w:t>
      </w:r>
      <w:proofErr w:type="spellStart"/>
      <w:r w:rsidRPr="00E06ADC">
        <w:rPr>
          <w:rFonts w:eastAsia="Arial"/>
        </w:rPr>
        <w:t>somnolencija</w:t>
      </w:r>
      <w:proofErr w:type="spellEnd"/>
      <w:r w:rsidRPr="00E06ADC">
        <w:rPr>
          <w:rFonts w:eastAsia="Arial"/>
        </w:rPr>
        <w:t xml:space="preserve">, nuovargis, pykinimas ir </w:t>
      </w:r>
      <w:proofErr w:type="spellStart"/>
      <w:r w:rsidRPr="00E06ADC">
        <w:rPr>
          <w:rFonts w:eastAsia="Arial"/>
        </w:rPr>
        <w:t>ataksija</w:t>
      </w:r>
      <w:proofErr w:type="spellEnd"/>
      <w:r w:rsidRPr="00E06ADC">
        <w:rPr>
          <w:rFonts w:eastAsia="Arial"/>
        </w:rPr>
        <w:t xml:space="preserve">. </w:t>
      </w:r>
    </w:p>
    <w:p w14:paraId="1C8FE662" w14:textId="3FACDDA7" w:rsidR="00814591" w:rsidRPr="005051B7" w:rsidRDefault="00814591" w:rsidP="00814591">
      <w:pPr>
        <w:tabs>
          <w:tab w:val="left" w:pos="1134"/>
        </w:tabs>
        <w:spacing w:line="276" w:lineRule="auto"/>
        <w:ind w:firstLine="709"/>
        <w:jc w:val="both"/>
        <w:rPr>
          <w:szCs w:val="20"/>
        </w:rPr>
      </w:pPr>
      <w:r w:rsidRPr="005051B7">
        <w:rPr>
          <w:szCs w:val="20"/>
        </w:rPr>
        <w:t xml:space="preserve">Pagal tarptautines rekomendacijas </w:t>
      </w:r>
      <w:r w:rsidR="00493735">
        <w:rPr>
          <w:szCs w:val="20"/>
        </w:rPr>
        <w:t xml:space="preserve">(angl. </w:t>
      </w:r>
      <w:proofErr w:type="spellStart"/>
      <w:r w:rsidR="00646737" w:rsidRPr="00646737">
        <w:rPr>
          <w:i/>
        </w:rPr>
        <w:t>Expert</w:t>
      </w:r>
      <w:proofErr w:type="spellEnd"/>
      <w:r w:rsidR="00646737" w:rsidRPr="00646737">
        <w:rPr>
          <w:i/>
        </w:rPr>
        <w:t xml:space="preserve"> </w:t>
      </w:r>
      <w:proofErr w:type="spellStart"/>
      <w:r w:rsidR="00646737" w:rsidRPr="00646737">
        <w:rPr>
          <w:i/>
        </w:rPr>
        <w:t>opinion</w:t>
      </w:r>
      <w:proofErr w:type="spellEnd"/>
      <w:r w:rsidR="00646737" w:rsidRPr="00646737">
        <w:rPr>
          <w:i/>
        </w:rPr>
        <w:t xml:space="preserve"> </w:t>
      </w:r>
      <w:proofErr w:type="spellStart"/>
      <w:r w:rsidR="00646737" w:rsidRPr="00646737">
        <w:rPr>
          <w:i/>
        </w:rPr>
        <w:t>on</w:t>
      </w:r>
      <w:proofErr w:type="spellEnd"/>
      <w:r w:rsidR="00646737" w:rsidRPr="00646737">
        <w:rPr>
          <w:i/>
        </w:rPr>
        <w:t xml:space="preserve"> </w:t>
      </w:r>
      <w:proofErr w:type="spellStart"/>
      <w:r w:rsidR="00646737" w:rsidRPr="00646737">
        <w:rPr>
          <w:i/>
        </w:rPr>
        <w:t>the</w:t>
      </w:r>
      <w:proofErr w:type="spellEnd"/>
      <w:r w:rsidR="00646737" w:rsidRPr="00646737">
        <w:rPr>
          <w:i/>
        </w:rPr>
        <w:t xml:space="preserve"> </w:t>
      </w:r>
      <w:proofErr w:type="spellStart"/>
      <w:r w:rsidR="00646737" w:rsidRPr="00646737">
        <w:rPr>
          <w:i/>
        </w:rPr>
        <w:t>management</w:t>
      </w:r>
      <w:proofErr w:type="spellEnd"/>
      <w:r w:rsidR="00646737" w:rsidRPr="00646737">
        <w:rPr>
          <w:i/>
        </w:rPr>
        <w:t xml:space="preserve"> </w:t>
      </w:r>
      <w:proofErr w:type="spellStart"/>
      <w:r w:rsidR="00646737" w:rsidRPr="00646737">
        <w:rPr>
          <w:i/>
        </w:rPr>
        <w:t>of</w:t>
      </w:r>
      <w:proofErr w:type="spellEnd"/>
      <w:r w:rsidR="00646737" w:rsidRPr="00646737">
        <w:rPr>
          <w:i/>
        </w:rPr>
        <w:t xml:space="preserve"> </w:t>
      </w:r>
      <w:proofErr w:type="spellStart"/>
      <w:r w:rsidR="00646737" w:rsidRPr="00646737">
        <w:rPr>
          <w:i/>
        </w:rPr>
        <w:t>Lennox-Gastaut</w:t>
      </w:r>
      <w:proofErr w:type="spellEnd"/>
      <w:r w:rsidR="00646737" w:rsidRPr="00646737">
        <w:rPr>
          <w:i/>
        </w:rPr>
        <w:t xml:space="preserve"> </w:t>
      </w:r>
      <w:proofErr w:type="spellStart"/>
      <w:r w:rsidR="00646737" w:rsidRPr="00646737">
        <w:rPr>
          <w:i/>
        </w:rPr>
        <w:t>syndrome</w:t>
      </w:r>
      <w:proofErr w:type="spellEnd"/>
      <w:r w:rsidR="00646737" w:rsidRPr="00646737">
        <w:rPr>
          <w:i/>
        </w:rPr>
        <w:t xml:space="preserve">: </w:t>
      </w:r>
      <w:proofErr w:type="spellStart"/>
      <w:r w:rsidR="00646737" w:rsidRPr="00646737">
        <w:rPr>
          <w:i/>
        </w:rPr>
        <w:t>Treatment</w:t>
      </w:r>
      <w:proofErr w:type="spellEnd"/>
      <w:r w:rsidR="00646737" w:rsidRPr="00646737">
        <w:rPr>
          <w:i/>
        </w:rPr>
        <w:t xml:space="preserve"> </w:t>
      </w:r>
      <w:proofErr w:type="spellStart"/>
      <w:r w:rsidR="00646737" w:rsidRPr="00646737">
        <w:rPr>
          <w:i/>
        </w:rPr>
        <w:t>algorithms</w:t>
      </w:r>
      <w:proofErr w:type="spellEnd"/>
      <w:r w:rsidR="00646737" w:rsidRPr="00646737">
        <w:rPr>
          <w:i/>
        </w:rPr>
        <w:t xml:space="preserve"> </w:t>
      </w:r>
      <w:proofErr w:type="spellStart"/>
      <w:r w:rsidR="00646737" w:rsidRPr="00646737">
        <w:rPr>
          <w:i/>
        </w:rPr>
        <w:t>and</w:t>
      </w:r>
      <w:proofErr w:type="spellEnd"/>
      <w:r w:rsidR="00646737" w:rsidRPr="00646737">
        <w:rPr>
          <w:i/>
        </w:rPr>
        <w:t xml:space="preserve"> </w:t>
      </w:r>
      <w:proofErr w:type="spellStart"/>
      <w:r w:rsidR="00646737" w:rsidRPr="00646737">
        <w:rPr>
          <w:i/>
        </w:rPr>
        <w:t>practical</w:t>
      </w:r>
      <w:proofErr w:type="spellEnd"/>
      <w:r w:rsidR="00646737" w:rsidRPr="00646737">
        <w:rPr>
          <w:i/>
        </w:rPr>
        <w:t xml:space="preserve"> </w:t>
      </w:r>
      <w:proofErr w:type="spellStart"/>
      <w:r w:rsidR="00646737" w:rsidRPr="00646737">
        <w:rPr>
          <w:i/>
        </w:rPr>
        <w:t>considerations</w:t>
      </w:r>
      <w:proofErr w:type="spellEnd"/>
      <w:r w:rsidR="00646737">
        <w:rPr>
          <w:i/>
          <w:iCs/>
          <w:szCs w:val="20"/>
          <w:lang w:val="en"/>
        </w:rPr>
        <w:t>)</w:t>
      </w:r>
      <w:r w:rsidR="00493735">
        <w:rPr>
          <w:szCs w:val="20"/>
        </w:rPr>
        <w:t xml:space="preserve"> </w:t>
      </w:r>
      <w:r w:rsidRPr="005051B7">
        <w:rPr>
          <w:szCs w:val="20"/>
        </w:rPr>
        <w:t xml:space="preserve">LGS sergantiems pacientams pirmos eilės gydymui turėtų būti skiriamas natrio </w:t>
      </w:r>
      <w:proofErr w:type="spellStart"/>
      <w:r w:rsidRPr="005051B7">
        <w:rPr>
          <w:szCs w:val="20"/>
        </w:rPr>
        <w:t>valproatas</w:t>
      </w:r>
      <w:proofErr w:type="spellEnd"/>
      <w:r w:rsidRPr="005051B7">
        <w:rPr>
          <w:szCs w:val="20"/>
        </w:rPr>
        <w:t xml:space="preserve">, </w:t>
      </w:r>
      <w:proofErr w:type="spellStart"/>
      <w:r w:rsidRPr="005051B7">
        <w:rPr>
          <w:szCs w:val="20"/>
        </w:rPr>
        <w:t>lamotriginas</w:t>
      </w:r>
      <w:proofErr w:type="spellEnd"/>
      <w:r w:rsidRPr="005051B7">
        <w:rPr>
          <w:szCs w:val="20"/>
        </w:rPr>
        <w:t xml:space="preserve">, o vėliau - </w:t>
      </w:r>
      <w:proofErr w:type="spellStart"/>
      <w:r w:rsidRPr="005051B7">
        <w:rPr>
          <w:szCs w:val="20"/>
        </w:rPr>
        <w:t>rufinamidas</w:t>
      </w:r>
      <w:proofErr w:type="spellEnd"/>
      <w:r w:rsidRPr="005051B7">
        <w:rPr>
          <w:szCs w:val="20"/>
        </w:rPr>
        <w:t xml:space="preserve">. </w:t>
      </w:r>
      <w:r>
        <w:rPr>
          <w:szCs w:val="20"/>
        </w:rPr>
        <w:t xml:space="preserve">Taip pat gali būti skiriami </w:t>
      </w:r>
      <w:proofErr w:type="spellStart"/>
      <w:r>
        <w:rPr>
          <w:szCs w:val="20"/>
        </w:rPr>
        <w:t>klobazamas</w:t>
      </w:r>
      <w:proofErr w:type="spellEnd"/>
      <w:r>
        <w:rPr>
          <w:szCs w:val="20"/>
        </w:rPr>
        <w:t xml:space="preserve">, </w:t>
      </w:r>
      <w:proofErr w:type="spellStart"/>
      <w:r>
        <w:rPr>
          <w:szCs w:val="20"/>
        </w:rPr>
        <w:t>felbamatas</w:t>
      </w:r>
      <w:proofErr w:type="spellEnd"/>
      <w:r>
        <w:rPr>
          <w:szCs w:val="20"/>
        </w:rPr>
        <w:t xml:space="preserve"> ir </w:t>
      </w:r>
      <w:proofErr w:type="spellStart"/>
      <w:r>
        <w:rPr>
          <w:szCs w:val="20"/>
        </w:rPr>
        <w:t>kanabidiolis</w:t>
      </w:r>
      <w:proofErr w:type="spellEnd"/>
      <w:r>
        <w:rPr>
          <w:szCs w:val="20"/>
        </w:rPr>
        <w:t>.</w:t>
      </w:r>
      <w:r w:rsidR="009E67E7">
        <w:rPr>
          <w:szCs w:val="20"/>
        </w:rPr>
        <w:t xml:space="preserve"> </w:t>
      </w:r>
      <w:proofErr w:type="spellStart"/>
      <w:r w:rsidR="009E67E7">
        <w:rPr>
          <w:szCs w:val="20"/>
        </w:rPr>
        <w:t>Prieštraukuliniai</w:t>
      </w:r>
      <w:proofErr w:type="spellEnd"/>
      <w:r w:rsidR="009E67E7">
        <w:rPr>
          <w:szCs w:val="20"/>
        </w:rPr>
        <w:t xml:space="preserve"> vaistai,</w:t>
      </w:r>
      <w:r w:rsidRPr="005051B7">
        <w:rPr>
          <w:szCs w:val="20"/>
        </w:rPr>
        <w:t xml:space="preserve"> kurie gali sustiprinti LGS sergančių pacientų traukulius, yra šie: </w:t>
      </w:r>
      <w:proofErr w:type="spellStart"/>
      <w:r w:rsidRPr="005051B7">
        <w:rPr>
          <w:szCs w:val="20"/>
        </w:rPr>
        <w:t>karbamazepinas</w:t>
      </w:r>
      <w:proofErr w:type="spellEnd"/>
      <w:r w:rsidRPr="005051B7">
        <w:rPr>
          <w:szCs w:val="20"/>
        </w:rPr>
        <w:t xml:space="preserve">, </w:t>
      </w:r>
      <w:proofErr w:type="spellStart"/>
      <w:r w:rsidRPr="005051B7">
        <w:rPr>
          <w:szCs w:val="20"/>
        </w:rPr>
        <w:t>esli</w:t>
      </w:r>
      <w:r w:rsidR="00646737">
        <w:rPr>
          <w:szCs w:val="20"/>
        </w:rPr>
        <w:t>k</w:t>
      </w:r>
      <w:r w:rsidRPr="005051B7">
        <w:rPr>
          <w:szCs w:val="20"/>
        </w:rPr>
        <w:t>arbazepinas</w:t>
      </w:r>
      <w:proofErr w:type="spellEnd"/>
      <w:r w:rsidRPr="005051B7">
        <w:rPr>
          <w:szCs w:val="20"/>
        </w:rPr>
        <w:t xml:space="preserve">, </w:t>
      </w:r>
      <w:proofErr w:type="spellStart"/>
      <w:r w:rsidRPr="005051B7">
        <w:rPr>
          <w:szCs w:val="20"/>
        </w:rPr>
        <w:t>okskarbazepinas</w:t>
      </w:r>
      <w:proofErr w:type="spellEnd"/>
      <w:r w:rsidRPr="005051B7">
        <w:rPr>
          <w:szCs w:val="20"/>
        </w:rPr>
        <w:t xml:space="preserve">, </w:t>
      </w:r>
      <w:proofErr w:type="spellStart"/>
      <w:r w:rsidRPr="005051B7">
        <w:rPr>
          <w:szCs w:val="20"/>
        </w:rPr>
        <w:t>gabapentinas</w:t>
      </w:r>
      <w:proofErr w:type="spellEnd"/>
      <w:r w:rsidRPr="005051B7">
        <w:rPr>
          <w:szCs w:val="20"/>
        </w:rPr>
        <w:t xml:space="preserve">, </w:t>
      </w:r>
      <w:proofErr w:type="spellStart"/>
      <w:r w:rsidRPr="005051B7">
        <w:rPr>
          <w:szCs w:val="20"/>
        </w:rPr>
        <w:t>vigabatrinas</w:t>
      </w:r>
      <w:proofErr w:type="spellEnd"/>
      <w:r w:rsidRPr="005051B7">
        <w:rPr>
          <w:szCs w:val="20"/>
        </w:rPr>
        <w:t xml:space="preserve">, </w:t>
      </w:r>
      <w:proofErr w:type="spellStart"/>
      <w:r w:rsidRPr="005051B7">
        <w:rPr>
          <w:szCs w:val="20"/>
        </w:rPr>
        <w:t>fenitoinas</w:t>
      </w:r>
      <w:proofErr w:type="spellEnd"/>
      <w:r w:rsidRPr="005051B7">
        <w:rPr>
          <w:szCs w:val="20"/>
        </w:rPr>
        <w:t xml:space="preserve">, </w:t>
      </w:r>
      <w:proofErr w:type="spellStart"/>
      <w:r w:rsidRPr="005051B7">
        <w:rPr>
          <w:szCs w:val="20"/>
        </w:rPr>
        <w:t>pregabalinas</w:t>
      </w:r>
      <w:proofErr w:type="spellEnd"/>
      <w:r w:rsidRPr="005051B7">
        <w:rPr>
          <w:szCs w:val="20"/>
        </w:rPr>
        <w:t xml:space="preserve"> ir </w:t>
      </w:r>
      <w:proofErr w:type="spellStart"/>
      <w:r w:rsidRPr="005051B7">
        <w:rPr>
          <w:szCs w:val="20"/>
        </w:rPr>
        <w:t>tiagabinas</w:t>
      </w:r>
      <w:proofErr w:type="spellEnd"/>
      <w:r w:rsidRPr="005051B7">
        <w:rPr>
          <w:szCs w:val="20"/>
        </w:rPr>
        <w:t xml:space="preserve">. </w:t>
      </w:r>
    </w:p>
    <w:p w14:paraId="5786072E" w14:textId="24B1962A" w:rsidR="00814591" w:rsidRDefault="00814591" w:rsidP="00814591">
      <w:pPr>
        <w:tabs>
          <w:tab w:val="left" w:pos="1134"/>
        </w:tabs>
        <w:spacing w:line="276" w:lineRule="auto"/>
        <w:ind w:firstLine="709"/>
        <w:jc w:val="both"/>
        <w:rPr>
          <w:szCs w:val="20"/>
        </w:rPr>
      </w:pPr>
      <w:r w:rsidRPr="005051B7">
        <w:rPr>
          <w:szCs w:val="20"/>
        </w:rPr>
        <w:t xml:space="preserve">Greta medikamentinio gydymo gali būti svarstomos nefarmakologinės intervencijos (pvz., </w:t>
      </w:r>
      <w:proofErr w:type="spellStart"/>
      <w:r w:rsidRPr="005051B7">
        <w:rPr>
          <w:szCs w:val="20"/>
        </w:rPr>
        <w:t>ketogeninė</w:t>
      </w:r>
      <w:proofErr w:type="spellEnd"/>
      <w:r w:rsidRPr="005051B7">
        <w:rPr>
          <w:szCs w:val="20"/>
        </w:rPr>
        <w:t xml:space="preserve"> dieta arba klajoklio nervo stimuliacija), o kai kuriems pacientams gali būti svarstoma invazinė smegenų operacija</w:t>
      </w:r>
      <w:r>
        <w:rPr>
          <w:szCs w:val="20"/>
        </w:rPr>
        <w:t xml:space="preserve">. </w:t>
      </w:r>
    </w:p>
    <w:p w14:paraId="496466CE" w14:textId="0DD437FC" w:rsidR="00646737" w:rsidRDefault="00646737" w:rsidP="00646737">
      <w:pPr>
        <w:tabs>
          <w:tab w:val="left" w:pos="1134"/>
        </w:tabs>
        <w:spacing w:line="276" w:lineRule="auto"/>
        <w:ind w:firstLine="709"/>
        <w:jc w:val="both"/>
      </w:pPr>
      <w:r>
        <w:t>LGS</w:t>
      </w:r>
      <w:r w:rsidRPr="00CD0E78">
        <w:t xml:space="preserve"> sergantys pacientai dažniausiai yra atsparūs </w:t>
      </w:r>
      <w:bookmarkStart w:id="1" w:name="_Hlk199184881"/>
      <w:r>
        <w:t>šiuolaikiniams</w:t>
      </w:r>
      <w:bookmarkEnd w:id="1"/>
      <w:r w:rsidRPr="00CD0E78">
        <w:t xml:space="preserve"> vaistams nuo epilepsijos ir kartu vartoja įvairi</w:t>
      </w:r>
      <w:r>
        <w:t>ų</w:t>
      </w:r>
      <w:r w:rsidRPr="00CD0E78">
        <w:t xml:space="preserve"> vaist</w:t>
      </w:r>
      <w:r>
        <w:t>ų</w:t>
      </w:r>
      <w:r w:rsidRPr="00CD0E78">
        <w:t xml:space="preserve">. Atsižvelgiant į </w:t>
      </w:r>
      <w:r>
        <w:t>tai, kad LGS yra reta liga</w:t>
      </w:r>
      <w:r w:rsidRPr="00CD0E78">
        <w:t xml:space="preserve"> ir </w:t>
      </w:r>
      <w:r>
        <w:t xml:space="preserve">kad LGS pacientų populiacija gali būti gydoma įvairiais </w:t>
      </w:r>
      <w:proofErr w:type="spellStart"/>
      <w:r>
        <w:t>prieštraukuliniais</w:t>
      </w:r>
      <w:proofErr w:type="spellEnd"/>
      <w:r>
        <w:t xml:space="preserve"> vaistais ir jų deriniais</w:t>
      </w:r>
      <w:r w:rsidRPr="00CD0E78">
        <w:t xml:space="preserve">, nėra </w:t>
      </w:r>
      <w:r>
        <w:t xml:space="preserve">racionalu </w:t>
      </w:r>
      <w:proofErr w:type="spellStart"/>
      <w:r>
        <w:t>kanabidiolio</w:t>
      </w:r>
      <w:proofErr w:type="spellEnd"/>
      <w:r>
        <w:t xml:space="preserve"> veiksmingumą lyginti </w:t>
      </w:r>
      <w:r w:rsidRPr="00CD0E78">
        <w:t xml:space="preserve">su atskirais ar konkrečiais </w:t>
      </w:r>
      <w:proofErr w:type="spellStart"/>
      <w:r>
        <w:t>prieštraukulinių</w:t>
      </w:r>
      <w:proofErr w:type="spellEnd"/>
      <w:r>
        <w:t xml:space="preserve"> vaistų</w:t>
      </w:r>
      <w:r w:rsidRPr="00CD0E78">
        <w:t xml:space="preserve"> deriniais. Todėl vienintelis palyginamasis </w:t>
      </w:r>
      <w:r>
        <w:t xml:space="preserve">gydymas </w:t>
      </w:r>
      <w:r w:rsidRPr="00CD0E78">
        <w:t>yra įprastinė priežiūra</w:t>
      </w:r>
      <w:r>
        <w:t xml:space="preserve">, </w:t>
      </w:r>
      <w:r w:rsidRPr="00CD0E78">
        <w:t>kurią sudaro įvairūs</w:t>
      </w:r>
      <w:r>
        <w:t xml:space="preserve"> </w:t>
      </w:r>
      <w:proofErr w:type="spellStart"/>
      <w:r>
        <w:t>prieštraukuliniai</w:t>
      </w:r>
      <w:proofErr w:type="spellEnd"/>
      <w:r>
        <w:t xml:space="preserve"> vaistai</w:t>
      </w:r>
      <w:r w:rsidRPr="00CD0E78">
        <w:t xml:space="preserve">, įskaitant </w:t>
      </w:r>
      <w:proofErr w:type="spellStart"/>
      <w:r w:rsidRPr="00CD0E78">
        <w:t>klobazamą</w:t>
      </w:r>
      <w:proofErr w:type="spellEnd"/>
      <w:r w:rsidRPr="00CD0E78">
        <w:t>.</w:t>
      </w:r>
    </w:p>
    <w:p w14:paraId="460A9F53" w14:textId="14D5A5A1" w:rsidR="00814591" w:rsidRDefault="000659A8" w:rsidP="00814591">
      <w:pPr>
        <w:tabs>
          <w:tab w:val="left" w:pos="1134"/>
        </w:tabs>
        <w:spacing w:line="276" w:lineRule="auto"/>
        <w:ind w:firstLine="709"/>
        <w:jc w:val="both"/>
      </w:pPr>
      <w:r>
        <w:rPr>
          <w:color w:val="000000"/>
        </w:rPr>
        <w:t>Pažymėtina, kad vadovaujantis</w:t>
      </w:r>
      <w:r w:rsidR="00814591">
        <w:rPr>
          <w:color w:val="000000"/>
        </w:rPr>
        <w:t xml:space="preserve"> registruoto</w:t>
      </w:r>
      <w:r>
        <w:rPr>
          <w:color w:val="000000"/>
        </w:rPr>
        <w:t>mis vaistinio preparato</w:t>
      </w:r>
      <w:r w:rsidR="00814591">
        <w:rPr>
          <w:color w:val="000000"/>
        </w:rPr>
        <w:t xml:space="preserve"> </w:t>
      </w:r>
      <w:proofErr w:type="spellStart"/>
      <w:r w:rsidR="00814591">
        <w:rPr>
          <w:color w:val="000000"/>
        </w:rPr>
        <w:t>Epidyolex</w:t>
      </w:r>
      <w:proofErr w:type="spellEnd"/>
      <w:r w:rsidR="00814591">
        <w:rPr>
          <w:color w:val="000000"/>
        </w:rPr>
        <w:t xml:space="preserve"> indikacijo</w:t>
      </w:r>
      <w:r>
        <w:rPr>
          <w:color w:val="000000"/>
        </w:rPr>
        <w:t>mis</w:t>
      </w:r>
      <w:r w:rsidR="00814591">
        <w:rPr>
          <w:color w:val="000000"/>
        </w:rPr>
        <w:t xml:space="preserve"> </w:t>
      </w:r>
      <w:r>
        <w:rPr>
          <w:color w:val="000000"/>
        </w:rPr>
        <w:t xml:space="preserve">LGS gydyti </w:t>
      </w:r>
      <w:proofErr w:type="spellStart"/>
      <w:r w:rsidR="00814591">
        <w:rPr>
          <w:color w:val="000000"/>
        </w:rPr>
        <w:t>Epidyolex</w:t>
      </w:r>
      <w:proofErr w:type="spellEnd"/>
      <w:r w:rsidR="00814591">
        <w:rPr>
          <w:color w:val="000000"/>
        </w:rPr>
        <w:t xml:space="preserve"> turi būti skiriamas kartu su </w:t>
      </w:r>
      <w:proofErr w:type="spellStart"/>
      <w:r w:rsidR="00814591">
        <w:rPr>
          <w:color w:val="000000"/>
        </w:rPr>
        <w:t>klobazamu</w:t>
      </w:r>
      <w:proofErr w:type="spellEnd"/>
      <w:r>
        <w:rPr>
          <w:color w:val="000000"/>
        </w:rPr>
        <w:t>, kuris</w:t>
      </w:r>
      <w:r w:rsidR="00814591">
        <w:rPr>
          <w:color w:val="000000"/>
        </w:rPr>
        <w:t xml:space="preserve"> Lietuvoje yra skiriamas kaip vardinis vaistinis preparatas. Visuose paraiškoje pateiktuose tyrimuose </w:t>
      </w:r>
      <w:proofErr w:type="spellStart"/>
      <w:r w:rsidR="00814591">
        <w:rPr>
          <w:color w:val="000000"/>
        </w:rPr>
        <w:t>Epidyolex</w:t>
      </w:r>
      <w:proofErr w:type="spellEnd"/>
      <w:r w:rsidR="00814591">
        <w:rPr>
          <w:color w:val="000000"/>
        </w:rPr>
        <w:t xml:space="preserve"> skirtas kartu su </w:t>
      </w:r>
      <w:proofErr w:type="spellStart"/>
      <w:r w:rsidR="00814591">
        <w:rPr>
          <w:color w:val="000000"/>
        </w:rPr>
        <w:t>klobazamu</w:t>
      </w:r>
      <w:proofErr w:type="spellEnd"/>
      <w:r w:rsidR="00814591">
        <w:rPr>
          <w:color w:val="000000"/>
        </w:rPr>
        <w:t>.</w:t>
      </w:r>
    </w:p>
    <w:p w14:paraId="208EFCCF" w14:textId="618AFDB6" w:rsidR="00814591" w:rsidRDefault="00814591" w:rsidP="00814591">
      <w:pPr>
        <w:tabs>
          <w:tab w:val="left" w:pos="1134"/>
        </w:tabs>
        <w:spacing w:line="276" w:lineRule="auto"/>
        <w:ind w:firstLine="709"/>
        <w:jc w:val="both"/>
        <w:rPr>
          <w:color w:val="000000"/>
        </w:rPr>
      </w:pPr>
      <w:r>
        <w:rPr>
          <w:color w:val="000000"/>
        </w:rPr>
        <w:t xml:space="preserve">Lietuvos </w:t>
      </w:r>
      <w:r w:rsidR="000659A8">
        <w:t>gydytojų, besispecializuojančių vaikų epilepsijos gydymo srityje</w:t>
      </w:r>
      <w:r w:rsidR="000659A8">
        <w:rPr>
          <w:color w:val="000000"/>
        </w:rPr>
        <w:t xml:space="preserve"> nuomone,</w:t>
      </w:r>
      <w:r>
        <w:rPr>
          <w:color w:val="000000"/>
        </w:rPr>
        <w:t xml:space="preserve"> gydymas </w:t>
      </w:r>
      <w:proofErr w:type="spellStart"/>
      <w:r>
        <w:rPr>
          <w:color w:val="000000"/>
        </w:rPr>
        <w:t>klobazamu</w:t>
      </w:r>
      <w:proofErr w:type="spellEnd"/>
      <w:r>
        <w:rPr>
          <w:color w:val="000000"/>
        </w:rPr>
        <w:t xml:space="preserve"> yra skiriamas LGS sergantiems pacientams, ypatingai kai traukuliai yra sunkiai kontroliuojami įprastų</w:t>
      </w:r>
      <w:r w:rsidR="009E67E7">
        <w:rPr>
          <w:color w:val="000000"/>
        </w:rPr>
        <w:t xml:space="preserve"> </w:t>
      </w:r>
      <w:proofErr w:type="spellStart"/>
      <w:r w:rsidR="009E67E7">
        <w:rPr>
          <w:color w:val="000000"/>
        </w:rPr>
        <w:t>prieštraukulinių</w:t>
      </w:r>
      <w:proofErr w:type="spellEnd"/>
      <w:r w:rsidR="009E67E7">
        <w:rPr>
          <w:color w:val="000000"/>
        </w:rPr>
        <w:t xml:space="preserve"> vaistų.</w:t>
      </w:r>
    </w:p>
    <w:p w14:paraId="135D901F" w14:textId="245B58D4" w:rsidR="000659A8" w:rsidRDefault="000659A8" w:rsidP="00814591">
      <w:pPr>
        <w:tabs>
          <w:tab w:val="left" w:pos="1134"/>
        </w:tabs>
        <w:spacing w:line="276" w:lineRule="auto"/>
        <w:ind w:firstLine="709"/>
        <w:jc w:val="both"/>
        <w:rPr>
          <w:rFonts w:eastAsia="Arial"/>
          <w:iCs/>
        </w:rPr>
      </w:pPr>
      <w:r w:rsidRPr="004E172B">
        <w:rPr>
          <w:rFonts w:eastAsia="Arial"/>
          <w:i/>
        </w:rPr>
        <w:t>Tiesioginis palyginimas</w:t>
      </w:r>
    </w:p>
    <w:p w14:paraId="288559E2" w14:textId="2A3FB58D" w:rsidR="00814591" w:rsidRDefault="000659A8" w:rsidP="00814591">
      <w:pPr>
        <w:tabs>
          <w:tab w:val="left" w:pos="1134"/>
        </w:tabs>
        <w:spacing w:line="276" w:lineRule="auto"/>
        <w:ind w:firstLine="709"/>
        <w:jc w:val="both"/>
        <w:rPr>
          <w:color w:val="000000"/>
        </w:rPr>
      </w:pPr>
      <w:bookmarkStart w:id="2" w:name="_Hlk199188320"/>
      <w:r>
        <w:rPr>
          <w:rFonts w:eastAsia="Arial"/>
          <w:iCs/>
        </w:rPr>
        <w:t xml:space="preserve">Palyginamasis </w:t>
      </w:r>
      <w:proofErr w:type="spellStart"/>
      <w:r>
        <w:rPr>
          <w:rFonts w:eastAsia="Arial"/>
          <w:iCs/>
        </w:rPr>
        <w:t>kanabidiolio</w:t>
      </w:r>
      <w:proofErr w:type="spellEnd"/>
      <w:r>
        <w:rPr>
          <w:rFonts w:eastAsia="Arial"/>
          <w:iCs/>
        </w:rPr>
        <w:t xml:space="preserve"> veiksmingumas grindžiamas dviejų tiesioginio palyginimo tyrimų </w:t>
      </w:r>
      <w:bookmarkEnd w:id="2"/>
      <w:r>
        <w:rPr>
          <w:rFonts w:eastAsia="Arial"/>
          <w:iCs/>
        </w:rPr>
        <w:t>(</w:t>
      </w:r>
      <w:r w:rsidRPr="00DB7F72">
        <w:rPr>
          <w:color w:val="000000"/>
        </w:rPr>
        <w:t>GWPCARE</w:t>
      </w:r>
      <w:r>
        <w:rPr>
          <w:color w:val="000000"/>
        </w:rPr>
        <w:t xml:space="preserve">3 ir </w:t>
      </w:r>
      <w:r w:rsidRPr="00DB7F72">
        <w:rPr>
          <w:color w:val="000000"/>
        </w:rPr>
        <w:t>GWPCARE</w:t>
      </w:r>
      <w:r>
        <w:rPr>
          <w:color w:val="000000"/>
        </w:rPr>
        <w:t>4) duomenimis.</w:t>
      </w:r>
      <w:r>
        <w:rPr>
          <w:rFonts w:eastAsia="Arial"/>
          <w:iCs/>
        </w:rPr>
        <w:t xml:space="preserve"> </w:t>
      </w:r>
      <w:r w:rsidRPr="00DB7F72">
        <w:rPr>
          <w:color w:val="000000"/>
        </w:rPr>
        <w:t>GWPCARE</w:t>
      </w:r>
      <w:r>
        <w:rPr>
          <w:color w:val="000000"/>
        </w:rPr>
        <w:t xml:space="preserve">3 ir </w:t>
      </w:r>
      <w:r w:rsidRPr="00DB7F72">
        <w:rPr>
          <w:color w:val="000000"/>
        </w:rPr>
        <w:t>GWPCARE</w:t>
      </w:r>
      <w:r>
        <w:rPr>
          <w:color w:val="000000"/>
        </w:rPr>
        <w:t xml:space="preserve">4 </w:t>
      </w:r>
      <w:r w:rsidR="00814591">
        <w:rPr>
          <w:rFonts w:eastAsia="Arial"/>
          <w:iCs/>
        </w:rPr>
        <w:t xml:space="preserve"> 3 fazės, dvigubai koduoti, placeb</w:t>
      </w:r>
      <w:r>
        <w:rPr>
          <w:rFonts w:eastAsia="Arial"/>
          <w:iCs/>
        </w:rPr>
        <w:t>u</w:t>
      </w:r>
      <w:r w:rsidR="00814591">
        <w:rPr>
          <w:rFonts w:eastAsia="Arial"/>
          <w:iCs/>
        </w:rPr>
        <w:t xml:space="preserve"> kontroliuojami, </w:t>
      </w:r>
      <w:proofErr w:type="spellStart"/>
      <w:r w:rsidR="00814591">
        <w:rPr>
          <w:rFonts w:eastAsia="Arial"/>
          <w:iCs/>
        </w:rPr>
        <w:t>daugiacentriai</w:t>
      </w:r>
      <w:proofErr w:type="spellEnd"/>
      <w:r w:rsidR="00814591">
        <w:rPr>
          <w:rFonts w:eastAsia="Arial"/>
          <w:iCs/>
        </w:rPr>
        <w:t xml:space="preserve"> tyrimai</w:t>
      </w:r>
      <w:r w:rsidR="00814591">
        <w:rPr>
          <w:color w:val="000000"/>
        </w:rPr>
        <w:t xml:space="preserve">, kuriuose tirtas </w:t>
      </w:r>
      <w:proofErr w:type="spellStart"/>
      <w:r w:rsidR="00814591">
        <w:rPr>
          <w:color w:val="000000"/>
        </w:rPr>
        <w:t>kanabidiolio</w:t>
      </w:r>
      <w:proofErr w:type="spellEnd"/>
      <w:r w:rsidR="00814591">
        <w:rPr>
          <w:color w:val="000000"/>
        </w:rPr>
        <w:t xml:space="preserve"> saugumas ir veiksmingumas, 2-jų metų ir vyresniems pacientams, sergantiems </w:t>
      </w:r>
      <w:proofErr w:type="spellStart"/>
      <w:r w:rsidR="00814591" w:rsidRPr="00537B40">
        <w:rPr>
          <w:lang w:eastAsia="lt-LT"/>
        </w:rPr>
        <w:t>Lenokso-Gasto</w:t>
      </w:r>
      <w:proofErr w:type="spellEnd"/>
      <w:r w:rsidR="00814591" w:rsidRPr="00537B40">
        <w:rPr>
          <w:lang w:eastAsia="lt-LT"/>
        </w:rPr>
        <w:t xml:space="preserve"> (</w:t>
      </w:r>
      <w:proofErr w:type="spellStart"/>
      <w:r w:rsidR="00814591" w:rsidRPr="00537B40">
        <w:rPr>
          <w:lang w:eastAsia="lt-LT"/>
        </w:rPr>
        <w:t>Lennox-Gastaut</w:t>
      </w:r>
      <w:proofErr w:type="spellEnd"/>
      <w:r w:rsidR="00814591" w:rsidRPr="00537B40">
        <w:rPr>
          <w:lang w:eastAsia="lt-LT"/>
        </w:rPr>
        <w:t>)</w:t>
      </w:r>
      <w:r w:rsidR="00814591">
        <w:rPr>
          <w:lang w:eastAsia="lt-LT"/>
        </w:rPr>
        <w:t xml:space="preserve"> sindromu</w:t>
      </w:r>
      <w:r w:rsidR="00814591">
        <w:rPr>
          <w:color w:val="000000"/>
        </w:rPr>
        <w:t xml:space="preserve">, kuriems gydymas kitais </w:t>
      </w:r>
      <w:proofErr w:type="spellStart"/>
      <w:r w:rsidR="00814591">
        <w:rPr>
          <w:color w:val="000000"/>
        </w:rPr>
        <w:t>prieštraukuliniais</w:t>
      </w:r>
      <w:proofErr w:type="spellEnd"/>
      <w:r w:rsidR="00814591">
        <w:rPr>
          <w:color w:val="000000"/>
        </w:rPr>
        <w:t xml:space="preserve"> vaistais buvo neveiksmingas.</w:t>
      </w:r>
      <w:r w:rsidR="00646737">
        <w:rPr>
          <w:color w:val="000000"/>
        </w:rPr>
        <w:t xml:space="preserve"> Palyginamasis gydymas buvo „įprastinė priežiūra“ su </w:t>
      </w:r>
      <w:proofErr w:type="spellStart"/>
      <w:r w:rsidR="00646737">
        <w:rPr>
          <w:color w:val="000000"/>
        </w:rPr>
        <w:t>klobazamu</w:t>
      </w:r>
      <w:proofErr w:type="spellEnd"/>
      <w:r w:rsidR="00646737">
        <w:rPr>
          <w:color w:val="000000"/>
        </w:rPr>
        <w:t xml:space="preserve">. </w:t>
      </w:r>
    </w:p>
    <w:p w14:paraId="1ED5EDEC" w14:textId="32E96580" w:rsidR="00814591" w:rsidRPr="007F3A74" w:rsidRDefault="00814591" w:rsidP="00814591">
      <w:pPr>
        <w:tabs>
          <w:tab w:val="left" w:pos="1134"/>
        </w:tabs>
        <w:spacing w:line="276" w:lineRule="auto"/>
        <w:ind w:firstLine="709"/>
        <w:jc w:val="both"/>
        <w:rPr>
          <w:color w:val="000000"/>
        </w:rPr>
      </w:pPr>
      <w:r w:rsidRPr="001A5303">
        <w:rPr>
          <w:rFonts w:eastAsia="Arial"/>
        </w:rPr>
        <w:t xml:space="preserve">Dviejuose atsitiktinių imčių kontroliuojamuose </w:t>
      </w:r>
      <w:proofErr w:type="spellStart"/>
      <w:r w:rsidRPr="001A5303">
        <w:rPr>
          <w:rFonts w:eastAsia="Arial"/>
        </w:rPr>
        <w:t>kanabidiolio</w:t>
      </w:r>
      <w:proofErr w:type="spellEnd"/>
      <w:r w:rsidRPr="001A5303">
        <w:rPr>
          <w:rFonts w:eastAsia="Arial"/>
        </w:rPr>
        <w:t xml:space="preserve"> tyrimuose su </w:t>
      </w:r>
      <w:r>
        <w:rPr>
          <w:rFonts w:eastAsia="Arial"/>
        </w:rPr>
        <w:t>LG</w:t>
      </w:r>
      <w:r w:rsidRPr="001A5303">
        <w:rPr>
          <w:rFonts w:eastAsia="Arial"/>
        </w:rPr>
        <w:t xml:space="preserve">S buvo įtraukti pacientai, kurių priepuoliai buvo nepakankamai kontroliuojami naudojant </w:t>
      </w:r>
      <w:r>
        <w:rPr>
          <w:rFonts w:eastAsia="Arial"/>
        </w:rPr>
        <w:t>2-</w:t>
      </w:r>
      <w:r w:rsidRPr="001A5303">
        <w:rPr>
          <w:rFonts w:eastAsia="Arial"/>
        </w:rPr>
        <w:t>3</w:t>
      </w:r>
      <w:r w:rsidR="009E67E7">
        <w:rPr>
          <w:rFonts w:eastAsia="Arial"/>
        </w:rPr>
        <w:t xml:space="preserve"> </w:t>
      </w:r>
      <w:proofErr w:type="spellStart"/>
      <w:r w:rsidR="009E67E7">
        <w:rPr>
          <w:rFonts w:eastAsia="Arial"/>
        </w:rPr>
        <w:t>prieštraukulinių</w:t>
      </w:r>
      <w:proofErr w:type="spellEnd"/>
      <w:r w:rsidR="009E67E7">
        <w:rPr>
          <w:rFonts w:eastAsia="Arial"/>
        </w:rPr>
        <w:t xml:space="preserve"> vaistų</w:t>
      </w:r>
      <w:r w:rsidRPr="001A5303">
        <w:rPr>
          <w:rFonts w:eastAsia="Arial"/>
        </w:rPr>
        <w:t xml:space="preserve"> derinį ir kurie praeityje </w:t>
      </w:r>
      <w:r w:rsidR="000659A8">
        <w:rPr>
          <w:rFonts w:eastAsia="Arial"/>
        </w:rPr>
        <w:t>buvo gydyti</w:t>
      </w:r>
      <w:r w:rsidR="000659A8" w:rsidRPr="001A5303">
        <w:rPr>
          <w:rFonts w:eastAsia="Arial"/>
        </w:rPr>
        <w:t xml:space="preserve"> </w:t>
      </w:r>
      <w:r w:rsidRPr="001A5303">
        <w:rPr>
          <w:rFonts w:eastAsia="Arial"/>
        </w:rPr>
        <w:t xml:space="preserve">vidutiniškai </w:t>
      </w:r>
      <w:r>
        <w:rPr>
          <w:rFonts w:eastAsia="Arial"/>
        </w:rPr>
        <w:t>5</w:t>
      </w:r>
      <w:r w:rsidRPr="001A5303">
        <w:rPr>
          <w:rFonts w:eastAsia="Arial"/>
        </w:rPr>
        <w:t xml:space="preserve"> kit</w:t>
      </w:r>
      <w:r w:rsidR="000659A8">
        <w:rPr>
          <w:rFonts w:eastAsia="Arial"/>
        </w:rPr>
        <w:t>ais</w:t>
      </w:r>
      <w:r w:rsidR="009E67E7">
        <w:rPr>
          <w:rFonts w:eastAsia="Arial"/>
        </w:rPr>
        <w:t xml:space="preserve"> </w:t>
      </w:r>
      <w:proofErr w:type="spellStart"/>
      <w:r w:rsidR="009E67E7">
        <w:rPr>
          <w:rFonts w:eastAsia="Arial"/>
        </w:rPr>
        <w:t>prieštraukuliniais</w:t>
      </w:r>
      <w:proofErr w:type="spellEnd"/>
      <w:r w:rsidR="009E67E7">
        <w:rPr>
          <w:rFonts w:eastAsia="Arial"/>
        </w:rPr>
        <w:t xml:space="preserve"> vaistais.</w:t>
      </w:r>
      <w:r w:rsidRPr="001A5303">
        <w:rPr>
          <w:rFonts w:eastAsia="Arial"/>
        </w:rPr>
        <w:t xml:space="preserve"> </w:t>
      </w:r>
      <w:r>
        <w:rPr>
          <w:rFonts w:eastAsia="Arial"/>
        </w:rPr>
        <w:t>LG</w:t>
      </w:r>
      <w:r w:rsidRPr="001A5303">
        <w:rPr>
          <w:rFonts w:eastAsia="Arial"/>
        </w:rPr>
        <w:t xml:space="preserve">S </w:t>
      </w:r>
      <w:r>
        <w:rPr>
          <w:rFonts w:eastAsia="Arial"/>
        </w:rPr>
        <w:t>t</w:t>
      </w:r>
      <w:r w:rsidRPr="001A5303">
        <w:rPr>
          <w:rFonts w:eastAsia="Arial"/>
        </w:rPr>
        <w:t>yrimų metu pacient</w:t>
      </w:r>
      <w:r>
        <w:rPr>
          <w:rFonts w:eastAsia="Arial"/>
        </w:rPr>
        <w:t>ams</w:t>
      </w:r>
      <w:r w:rsidRPr="001A5303">
        <w:rPr>
          <w:rFonts w:eastAsia="Arial"/>
        </w:rPr>
        <w:t>, vartojus</w:t>
      </w:r>
      <w:r>
        <w:rPr>
          <w:rFonts w:eastAsia="Arial"/>
        </w:rPr>
        <w:t>iems</w:t>
      </w:r>
      <w:r w:rsidRPr="001A5303">
        <w:rPr>
          <w:rFonts w:eastAsia="Arial"/>
        </w:rPr>
        <w:t xml:space="preserve"> </w:t>
      </w:r>
      <w:proofErr w:type="spellStart"/>
      <w:r w:rsidRPr="001A5303">
        <w:rPr>
          <w:rFonts w:eastAsia="Arial"/>
        </w:rPr>
        <w:t>klobazam</w:t>
      </w:r>
      <w:r>
        <w:rPr>
          <w:rFonts w:eastAsia="Arial"/>
        </w:rPr>
        <w:t>ą</w:t>
      </w:r>
      <w:proofErr w:type="spellEnd"/>
      <w:r w:rsidRPr="001A5303">
        <w:rPr>
          <w:rFonts w:eastAsia="Arial"/>
        </w:rPr>
        <w:t xml:space="preserve"> </w:t>
      </w:r>
      <w:r>
        <w:rPr>
          <w:rFonts w:eastAsia="Arial"/>
        </w:rPr>
        <w:t xml:space="preserve">ir </w:t>
      </w:r>
      <w:proofErr w:type="spellStart"/>
      <w:r w:rsidRPr="001A5303">
        <w:rPr>
          <w:rFonts w:eastAsia="Arial"/>
        </w:rPr>
        <w:t>kanabidiolį</w:t>
      </w:r>
      <w:proofErr w:type="spellEnd"/>
      <w:r w:rsidRPr="001A5303">
        <w:rPr>
          <w:rFonts w:eastAsia="Arial"/>
        </w:rPr>
        <w:t>, kliniškai ir statistiškai reikšmingai sumaž</w:t>
      </w:r>
      <w:r>
        <w:rPr>
          <w:rFonts w:eastAsia="Arial"/>
        </w:rPr>
        <w:t>ėjo</w:t>
      </w:r>
      <w:r w:rsidRPr="001A5303">
        <w:rPr>
          <w:rFonts w:eastAsia="Arial"/>
        </w:rPr>
        <w:t xml:space="preserve"> </w:t>
      </w:r>
      <w:r>
        <w:rPr>
          <w:rFonts w:eastAsia="Arial"/>
        </w:rPr>
        <w:t xml:space="preserve">bendras </w:t>
      </w:r>
      <w:r w:rsidRPr="001A5303">
        <w:rPr>
          <w:rFonts w:eastAsia="Arial"/>
        </w:rPr>
        <w:t>traukulių priepuolių dažn</w:t>
      </w:r>
      <w:r>
        <w:rPr>
          <w:rFonts w:eastAsia="Arial"/>
        </w:rPr>
        <w:t>is</w:t>
      </w:r>
      <w:r w:rsidRPr="001A5303">
        <w:rPr>
          <w:rFonts w:eastAsia="Arial"/>
        </w:rPr>
        <w:t xml:space="preserve"> ir </w:t>
      </w:r>
      <w:r>
        <w:rPr>
          <w:rFonts w:eastAsia="Arial"/>
        </w:rPr>
        <w:t xml:space="preserve">vidutinis </w:t>
      </w:r>
      <w:r w:rsidRPr="001A5303">
        <w:rPr>
          <w:rFonts w:eastAsia="Arial"/>
        </w:rPr>
        <w:t>priepuoli</w:t>
      </w:r>
      <w:r>
        <w:rPr>
          <w:rFonts w:eastAsia="Arial"/>
        </w:rPr>
        <w:t>ų</w:t>
      </w:r>
      <w:r w:rsidRPr="001A5303">
        <w:rPr>
          <w:rFonts w:eastAsia="Arial"/>
        </w:rPr>
        <w:t xml:space="preserve"> dažn</w:t>
      </w:r>
      <w:r>
        <w:rPr>
          <w:rFonts w:eastAsia="Arial"/>
        </w:rPr>
        <w:t>is</w:t>
      </w:r>
      <w:r w:rsidRPr="001A5303">
        <w:rPr>
          <w:rFonts w:eastAsia="Arial"/>
        </w:rPr>
        <w:t>, palyginti su „įprasta priežiūra“.</w:t>
      </w:r>
      <w:r>
        <w:rPr>
          <w:color w:val="000000"/>
        </w:rPr>
        <w:t xml:space="preserve"> </w:t>
      </w:r>
      <w:r>
        <w:rPr>
          <w:rFonts w:eastAsia="Arial"/>
        </w:rPr>
        <w:t>P</w:t>
      </w:r>
      <w:r w:rsidRPr="001A5303">
        <w:rPr>
          <w:rFonts w:eastAsia="Arial"/>
        </w:rPr>
        <w:t xml:space="preserve">apildoma terapija </w:t>
      </w:r>
      <w:proofErr w:type="spellStart"/>
      <w:r w:rsidRPr="001A5303">
        <w:rPr>
          <w:rFonts w:eastAsia="Arial"/>
        </w:rPr>
        <w:t>kanabidioliu</w:t>
      </w:r>
      <w:proofErr w:type="spellEnd"/>
      <w:r w:rsidRPr="001A5303">
        <w:rPr>
          <w:rFonts w:eastAsia="Arial"/>
        </w:rPr>
        <w:t xml:space="preserve"> žymiai sumažino traukulių ir bendrų priepuolių dažnį, palyginti su dabartiniu klinikiniu gydymu, ir daug daugiau pacientų/</w:t>
      </w:r>
      <w:r>
        <w:rPr>
          <w:rFonts w:eastAsia="Arial"/>
        </w:rPr>
        <w:t>globėjų</w:t>
      </w:r>
      <w:r w:rsidRPr="001A5303">
        <w:rPr>
          <w:rFonts w:eastAsia="Arial"/>
        </w:rPr>
        <w:t xml:space="preserve"> pranešė, kad bendra paciento būklė pagerėjo vartojant </w:t>
      </w:r>
      <w:proofErr w:type="spellStart"/>
      <w:r w:rsidRPr="001A5303">
        <w:rPr>
          <w:rFonts w:eastAsia="Arial"/>
        </w:rPr>
        <w:t>kanabidiolį</w:t>
      </w:r>
      <w:proofErr w:type="spellEnd"/>
      <w:r w:rsidRPr="001A5303">
        <w:rPr>
          <w:rFonts w:eastAsia="Arial"/>
        </w:rPr>
        <w:t xml:space="preserve"> (naudojant S/CGIC skalę).</w:t>
      </w:r>
    </w:p>
    <w:p w14:paraId="101540C4" w14:textId="18D6E8F7" w:rsidR="00814591" w:rsidRPr="007F3A74" w:rsidRDefault="00814591" w:rsidP="00814591">
      <w:pPr>
        <w:spacing w:line="276" w:lineRule="auto"/>
        <w:ind w:firstLine="720"/>
        <w:jc w:val="both"/>
        <w:rPr>
          <w:lang w:eastAsia="lt-LT"/>
        </w:rPr>
      </w:pPr>
      <w:r>
        <w:t>Par</w:t>
      </w:r>
      <w:r w:rsidR="000659A8">
        <w:t xml:space="preserve">aiškoje buvo pateikti </w:t>
      </w:r>
      <w:r>
        <w:t xml:space="preserve"> tęstinio tyrimo </w:t>
      </w:r>
      <w:r w:rsidRPr="00DB7F72">
        <w:rPr>
          <w:lang w:val="en-GB" w:eastAsia="lt-LT"/>
        </w:rPr>
        <w:t>GWPCARE5</w:t>
      </w:r>
      <w:r>
        <w:rPr>
          <w:lang w:val="en-GB" w:eastAsia="lt-LT"/>
        </w:rPr>
        <w:t xml:space="preserve"> </w:t>
      </w:r>
      <w:proofErr w:type="spellStart"/>
      <w:r>
        <w:rPr>
          <w:lang w:val="en-GB" w:eastAsia="lt-LT"/>
        </w:rPr>
        <w:t>rezultat</w:t>
      </w:r>
      <w:r w:rsidR="000659A8">
        <w:rPr>
          <w:lang w:val="en-GB" w:eastAsia="lt-LT"/>
        </w:rPr>
        <w:t>ai</w:t>
      </w:r>
      <w:proofErr w:type="spellEnd"/>
      <w:r>
        <w:rPr>
          <w:lang w:val="en-GB" w:eastAsia="lt-LT"/>
        </w:rPr>
        <w:t xml:space="preserve">. </w:t>
      </w:r>
      <w:r w:rsidRPr="00097506">
        <w:rPr>
          <w:lang w:val="en-GB" w:eastAsia="lt-LT"/>
        </w:rPr>
        <w:t xml:space="preserve">GWPCARE5 </w:t>
      </w:r>
      <w:proofErr w:type="spellStart"/>
      <w:r w:rsidRPr="00097506">
        <w:rPr>
          <w:lang w:val="en-GB" w:eastAsia="lt-LT"/>
        </w:rPr>
        <w:t>buvo</w:t>
      </w:r>
      <w:proofErr w:type="spellEnd"/>
      <w:r w:rsidRPr="00097506">
        <w:rPr>
          <w:lang w:val="en-GB" w:eastAsia="lt-LT"/>
        </w:rPr>
        <w:t xml:space="preserve"> </w:t>
      </w:r>
      <w:proofErr w:type="spellStart"/>
      <w:r w:rsidRPr="00097506">
        <w:rPr>
          <w:lang w:val="en-GB" w:eastAsia="lt-LT"/>
        </w:rPr>
        <w:t>atviras</w:t>
      </w:r>
      <w:proofErr w:type="spellEnd"/>
      <w:r w:rsidRPr="00097506">
        <w:rPr>
          <w:lang w:val="en-GB" w:eastAsia="lt-LT"/>
        </w:rPr>
        <w:t xml:space="preserve"> GWPCARE1 (DS), GWPCARE2 (DS), GWPCARE3 (LGS) </w:t>
      </w:r>
      <w:proofErr w:type="spellStart"/>
      <w:r w:rsidRPr="00097506">
        <w:rPr>
          <w:lang w:val="en-GB" w:eastAsia="lt-LT"/>
        </w:rPr>
        <w:t>ir</w:t>
      </w:r>
      <w:proofErr w:type="spellEnd"/>
      <w:r w:rsidRPr="00097506">
        <w:rPr>
          <w:lang w:val="en-GB" w:eastAsia="lt-LT"/>
        </w:rPr>
        <w:t xml:space="preserve"> GWPCARE4 (LGS) </w:t>
      </w:r>
      <w:proofErr w:type="spellStart"/>
      <w:r>
        <w:rPr>
          <w:lang w:val="en-GB" w:eastAsia="lt-LT"/>
        </w:rPr>
        <w:t>tęstinis</w:t>
      </w:r>
      <w:proofErr w:type="spellEnd"/>
      <w:r>
        <w:rPr>
          <w:lang w:val="en-GB" w:eastAsia="lt-LT"/>
        </w:rPr>
        <w:t xml:space="preserve"> </w:t>
      </w:r>
      <w:proofErr w:type="spellStart"/>
      <w:r>
        <w:rPr>
          <w:lang w:val="en-GB" w:eastAsia="lt-LT"/>
        </w:rPr>
        <w:t>tyrimas</w:t>
      </w:r>
      <w:proofErr w:type="spellEnd"/>
      <w:r w:rsidRPr="00097506">
        <w:rPr>
          <w:lang w:val="en-GB" w:eastAsia="lt-LT"/>
        </w:rPr>
        <w:t xml:space="preserve">, </w:t>
      </w:r>
      <w:proofErr w:type="spellStart"/>
      <w:r w:rsidRPr="00097506">
        <w:rPr>
          <w:lang w:val="en-GB" w:eastAsia="lt-LT"/>
        </w:rPr>
        <w:t>skirtas</w:t>
      </w:r>
      <w:proofErr w:type="spellEnd"/>
      <w:r w:rsidRPr="00097506">
        <w:rPr>
          <w:lang w:val="en-GB" w:eastAsia="lt-LT"/>
        </w:rPr>
        <w:t xml:space="preserve"> </w:t>
      </w:r>
      <w:proofErr w:type="spellStart"/>
      <w:r w:rsidRPr="00097506">
        <w:rPr>
          <w:lang w:val="en-GB" w:eastAsia="lt-LT"/>
        </w:rPr>
        <w:t>ištirti</w:t>
      </w:r>
      <w:proofErr w:type="spellEnd"/>
      <w:r w:rsidRPr="00097506">
        <w:rPr>
          <w:lang w:val="en-GB" w:eastAsia="lt-LT"/>
        </w:rPr>
        <w:t xml:space="preserve"> </w:t>
      </w:r>
      <w:proofErr w:type="spellStart"/>
      <w:r w:rsidRPr="00097506">
        <w:rPr>
          <w:lang w:val="en-GB" w:eastAsia="lt-LT"/>
        </w:rPr>
        <w:t>ilgalaikį</w:t>
      </w:r>
      <w:proofErr w:type="spellEnd"/>
      <w:r w:rsidRPr="00097506">
        <w:rPr>
          <w:lang w:val="en-GB" w:eastAsia="lt-LT"/>
        </w:rPr>
        <w:t xml:space="preserve"> </w:t>
      </w:r>
      <w:proofErr w:type="spellStart"/>
      <w:r w:rsidRPr="00097506">
        <w:rPr>
          <w:lang w:val="en-GB" w:eastAsia="lt-LT"/>
        </w:rPr>
        <w:t>kanabidiolio</w:t>
      </w:r>
      <w:proofErr w:type="spellEnd"/>
      <w:r w:rsidRPr="00097506">
        <w:rPr>
          <w:lang w:val="en-GB" w:eastAsia="lt-LT"/>
        </w:rPr>
        <w:t xml:space="preserve"> </w:t>
      </w:r>
      <w:proofErr w:type="spellStart"/>
      <w:r w:rsidRPr="00097506">
        <w:rPr>
          <w:lang w:val="en-GB" w:eastAsia="lt-LT"/>
        </w:rPr>
        <w:t>saugumą</w:t>
      </w:r>
      <w:proofErr w:type="spellEnd"/>
      <w:r w:rsidRPr="00097506">
        <w:rPr>
          <w:lang w:val="en-GB" w:eastAsia="lt-LT"/>
        </w:rPr>
        <w:t xml:space="preserve"> </w:t>
      </w:r>
      <w:proofErr w:type="spellStart"/>
      <w:r w:rsidRPr="00097506">
        <w:rPr>
          <w:lang w:val="en-GB" w:eastAsia="lt-LT"/>
        </w:rPr>
        <w:t>ir</w:t>
      </w:r>
      <w:proofErr w:type="spellEnd"/>
      <w:r w:rsidRPr="00097506">
        <w:rPr>
          <w:lang w:val="en-GB" w:eastAsia="lt-LT"/>
        </w:rPr>
        <w:t xml:space="preserve"> </w:t>
      </w:r>
      <w:proofErr w:type="spellStart"/>
      <w:r w:rsidRPr="00097506">
        <w:rPr>
          <w:lang w:val="en-GB" w:eastAsia="lt-LT"/>
        </w:rPr>
        <w:t>veiksmingumą</w:t>
      </w:r>
      <w:proofErr w:type="spellEnd"/>
      <w:r w:rsidRPr="00097506">
        <w:rPr>
          <w:lang w:val="en-GB" w:eastAsia="lt-LT"/>
        </w:rPr>
        <w:t xml:space="preserve"> </w:t>
      </w:r>
      <w:proofErr w:type="spellStart"/>
      <w:r w:rsidRPr="00097506">
        <w:rPr>
          <w:lang w:val="en-GB" w:eastAsia="lt-LT"/>
        </w:rPr>
        <w:t>vaikams</w:t>
      </w:r>
      <w:proofErr w:type="spellEnd"/>
      <w:r w:rsidRPr="00097506">
        <w:rPr>
          <w:lang w:val="en-GB" w:eastAsia="lt-LT"/>
        </w:rPr>
        <w:t xml:space="preserve"> </w:t>
      </w:r>
      <w:proofErr w:type="spellStart"/>
      <w:r w:rsidRPr="00097506">
        <w:rPr>
          <w:lang w:val="en-GB" w:eastAsia="lt-LT"/>
        </w:rPr>
        <w:t>ir</w:t>
      </w:r>
      <w:proofErr w:type="spellEnd"/>
      <w:r w:rsidRPr="00097506">
        <w:rPr>
          <w:lang w:val="en-GB" w:eastAsia="lt-LT"/>
        </w:rPr>
        <w:t xml:space="preserve"> </w:t>
      </w:r>
      <w:proofErr w:type="spellStart"/>
      <w:r w:rsidRPr="00097506">
        <w:rPr>
          <w:lang w:val="en-GB" w:eastAsia="lt-LT"/>
        </w:rPr>
        <w:t>suaugusiems</w:t>
      </w:r>
      <w:proofErr w:type="spellEnd"/>
      <w:r w:rsidRPr="00097506">
        <w:rPr>
          <w:lang w:val="en-GB" w:eastAsia="lt-LT"/>
        </w:rPr>
        <w:t xml:space="preserve">, </w:t>
      </w:r>
      <w:proofErr w:type="spellStart"/>
      <w:r w:rsidRPr="00097506">
        <w:rPr>
          <w:lang w:val="en-GB" w:eastAsia="lt-LT"/>
        </w:rPr>
        <w:t>kuriems</w:t>
      </w:r>
      <w:proofErr w:type="spellEnd"/>
      <w:r w:rsidRPr="00097506">
        <w:rPr>
          <w:lang w:val="en-GB" w:eastAsia="lt-LT"/>
        </w:rPr>
        <w:t xml:space="preserve"> </w:t>
      </w:r>
      <w:proofErr w:type="spellStart"/>
      <w:r w:rsidRPr="00097506">
        <w:rPr>
          <w:lang w:val="en-GB" w:eastAsia="lt-LT"/>
        </w:rPr>
        <w:t>yra</w:t>
      </w:r>
      <w:proofErr w:type="spellEnd"/>
      <w:r w:rsidRPr="00097506">
        <w:rPr>
          <w:lang w:val="en-GB" w:eastAsia="lt-LT"/>
        </w:rPr>
        <w:t xml:space="preserve"> </w:t>
      </w:r>
      <w:proofErr w:type="spellStart"/>
      <w:r w:rsidRPr="00097506">
        <w:rPr>
          <w:lang w:val="en-GB" w:eastAsia="lt-LT"/>
        </w:rPr>
        <w:t>nepakankamai</w:t>
      </w:r>
      <w:proofErr w:type="spellEnd"/>
      <w:r w:rsidRPr="00097506">
        <w:rPr>
          <w:lang w:val="en-GB" w:eastAsia="lt-LT"/>
        </w:rPr>
        <w:t xml:space="preserve"> </w:t>
      </w:r>
      <w:proofErr w:type="spellStart"/>
      <w:r w:rsidRPr="00097506">
        <w:rPr>
          <w:lang w:val="en-GB" w:eastAsia="lt-LT"/>
        </w:rPr>
        <w:t>kontroliuojamas</w:t>
      </w:r>
      <w:proofErr w:type="spellEnd"/>
      <w:r w:rsidRPr="00097506">
        <w:rPr>
          <w:lang w:val="en-GB" w:eastAsia="lt-LT"/>
        </w:rPr>
        <w:t xml:space="preserve"> </w:t>
      </w:r>
      <w:proofErr w:type="spellStart"/>
      <w:r w:rsidRPr="004C2042">
        <w:rPr>
          <w:i/>
          <w:iCs/>
          <w:lang w:val="en-GB" w:eastAsia="lt-LT"/>
        </w:rPr>
        <w:t>Lenaux-Gastaut</w:t>
      </w:r>
      <w:proofErr w:type="spellEnd"/>
      <w:r>
        <w:rPr>
          <w:lang w:val="en-GB" w:eastAsia="lt-LT"/>
        </w:rPr>
        <w:t xml:space="preserve"> </w:t>
      </w:r>
      <w:proofErr w:type="spellStart"/>
      <w:r>
        <w:rPr>
          <w:lang w:val="en-GB" w:eastAsia="lt-LT"/>
        </w:rPr>
        <w:t>sindromas</w:t>
      </w:r>
      <w:proofErr w:type="spellEnd"/>
      <w:r>
        <w:rPr>
          <w:lang w:val="en-GB" w:eastAsia="lt-LT"/>
        </w:rPr>
        <w:t xml:space="preserve"> (</w:t>
      </w:r>
      <w:r w:rsidRPr="00097506">
        <w:rPr>
          <w:lang w:val="en-GB" w:eastAsia="lt-LT"/>
        </w:rPr>
        <w:t>LGS</w:t>
      </w:r>
      <w:r>
        <w:rPr>
          <w:lang w:val="en-GB" w:eastAsia="lt-LT"/>
        </w:rPr>
        <w:t>)</w:t>
      </w:r>
      <w:r w:rsidRPr="00097506">
        <w:rPr>
          <w:lang w:val="en-GB" w:eastAsia="lt-LT"/>
        </w:rPr>
        <w:t xml:space="preserve"> </w:t>
      </w:r>
      <w:proofErr w:type="spellStart"/>
      <w:r w:rsidRPr="00097506">
        <w:rPr>
          <w:lang w:val="en-GB" w:eastAsia="lt-LT"/>
        </w:rPr>
        <w:t>arba</w:t>
      </w:r>
      <w:proofErr w:type="spellEnd"/>
      <w:r w:rsidRPr="00097506">
        <w:rPr>
          <w:lang w:val="en-GB" w:eastAsia="lt-LT"/>
        </w:rPr>
        <w:t xml:space="preserve"> DS</w:t>
      </w:r>
      <w:r>
        <w:rPr>
          <w:lang w:val="en-GB" w:eastAsia="lt-LT"/>
        </w:rPr>
        <w:t xml:space="preserve"> </w:t>
      </w:r>
      <w:proofErr w:type="spellStart"/>
      <w:r>
        <w:rPr>
          <w:lang w:val="en-GB" w:eastAsia="lt-LT"/>
        </w:rPr>
        <w:t>ir</w:t>
      </w:r>
      <w:proofErr w:type="spellEnd"/>
      <w:r>
        <w:rPr>
          <w:lang w:val="en-GB" w:eastAsia="lt-LT"/>
        </w:rPr>
        <w:t xml:space="preserve"> </w:t>
      </w:r>
      <w:proofErr w:type="spellStart"/>
      <w:r>
        <w:rPr>
          <w:lang w:val="en-GB" w:eastAsia="lt-LT"/>
        </w:rPr>
        <w:t>kurie</w:t>
      </w:r>
      <w:proofErr w:type="spellEnd"/>
      <w:r>
        <w:rPr>
          <w:lang w:val="en-GB" w:eastAsia="lt-LT"/>
        </w:rPr>
        <w:t xml:space="preserve"> </w:t>
      </w:r>
      <w:proofErr w:type="spellStart"/>
      <w:r w:rsidRPr="00097506">
        <w:rPr>
          <w:lang w:val="en-GB" w:eastAsia="lt-LT"/>
        </w:rPr>
        <w:t>anksčiau</w:t>
      </w:r>
      <w:proofErr w:type="spellEnd"/>
      <w:r w:rsidRPr="00097506">
        <w:rPr>
          <w:lang w:val="en-GB" w:eastAsia="lt-LT"/>
        </w:rPr>
        <w:t xml:space="preserve"> </w:t>
      </w:r>
      <w:proofErr w:type="spellStart"/>
      <w:r w:rsidRPr="00097506">
        <w:rPr>
          <w:lang w:val="en-GB" w:eastAsia="lt-LT"/>
        </w:rPr>
        <w:t>dalyvavo</w:t>
      </w:r>
      <w:proofErr w:type="spellEnd"/>
      <w:r w:rsidRPr="00097506">
        <w:rPr>
          <w:lang w:val="en-GB" w:eastAsia="lt-LT"/>
        </w:rPr>
        <w:t xml:space="preserve"> </w:t>
      </w:r>
      <w:proofErr w:type="spellStart"/>
      <w:r w:rsidRPr="00097506">
        <w:rPr>
          <w:lang w:val="en-GB" w:eastAsia="lt-LT"/>
        </w:rPr>
        <w:t>viename</w:t>
      </w:r>
      <w:proofErr w:type="spellEnd"/>
      <w:r w:rsidRPr="00097506">
        <w:rPr>
          <w:lang w:val="en-GB" w:eastAsia="lt-LT"/>
        </w:rPr>
        <w:t xml:space="preserve"> </w:t>
      </w:r>
      <w:proofErr w:type="spellStart"/>
      <w:r w:rsidRPr="00097506">
        <w:rPr>
          <w:lang w:val="en-GB" w:eastAsia="lt-LT"/>
        </w:rPr>
        <w:t>iš</w:t>
      </w:r>
      <w:proofErr w:type="spellEnd"/>
      <w:r w:rsidRPr="00097506">
        <w:rPr>
          <w:lang w:val="en-GB" w:eastAsia="lt-LT"/>
        </w:rPr>
        <w:t xml:space="preserve"> </w:t>
      </w:r>
      <w:proofErr w:type="spellStart"/>
      <w:r w:rsidRPr="00097506">
        <w:rPr>
          <w:lang w:val="en-GB" w:eastAsia="lt-LT"/>
        </w:rPr>
        <w:t>keturių</w:t>
      </w:r>
      <w:proofErr w:type="spellEnd"/>
      <w:r w:rsidRPr="00097506">
        <w:rPr>
          <w:lang w:val="en-GB" w:eastAsia="lt-LT"/>
        </w:rPr>
        <w:t xml:space="preserve"> </w:t>
      </w:r>
      <w:proofErr w:type="spellStart"/>
      <w:r>
        <w:rPr>
          <w:lang w:val="en-GB" w:eastAsia="lt-LT"/>
        </w:rPr>
        <w:t>tyrimų</w:t>
      </w:r>
      <w:proofErr w:type="spellEnd"/>
      <w:r w:rsidRPr="00097506">
        <w:rPr>
          <w:lang w:val="en-GB" w:eastAsia="lt-LT"/>
        </w:rPr>
        <w:t>.</w:t>
      </w:r>
      <w:r>
        <w:rPr>
          <w:lang w:val="en-GB" w:eastAsia="lt-LT"/>
        </w:rPr>
        <w:t xml:space="preserve"> </w:t>
      </w:r>
      <w:r>
        <w:rPr>
          <w:rFonts w:eastAsia="Arial"/>
        </w:rPr>
        <w:t xml:space="preserve">Įvertinus pateiktą tyrimą, galima teigti, kad yra stebimas ilgalaikis </w:t>
      </w:r>
      <w:proofErr w:type="spellStart"/>
      <w:r>
        <w:rPr>
          <w:rFonts w:eastAsia="Arial"/>
        </w:rPr>
        <w:t>kanabidiolio</w:t>
      </w:r>
      <w:proofErr w:type="spellEnd"/>
      <w:r>
        <w:rPr>
          <w:rFonts w:eastAsia="Arial"/>
        </w:rPr>
        <w:t xml:space="preserve"> poveikis iki 3 metų nuo pradėto gydymo ir viso stebėjimo laikotarpiu mažėja traukulių pasireiškimo dažnis. Tačiau reikia įvertinti šio tyrimo trūkumus: stebėjimas</w:t>
      </w:r>
      <w:r w:rsidR="000659A8">
        <w:rPr>
          <w:rFonts w:eastAsia="Arial"/>
        </w:rPr>
        <w:t xml:space="preserve"> truko</w:t>
      </w:r>
      <w:r>
        <w:rPr>
          <w:rFonts w:eastAsia="Arial"/>
        </w:rPr>
        <w:t xml:space="preserve"> tik iki 3 metų, be to dalis pacientų buvo gavę didesnę </w:t>
      </w:r>
      <w:proofErr w:type="spellStart"/>
      <w:r>
        <w:rPr>
          <w:rFonts w:eastAsia="Arial"/>
        </w:rPr>
        <w:t>kanabidiolio</w:t>
      </w:r>
      <w:proofErr w:type="spellEnd"/>
      <w:r>
        <w:rPr>
          <w:rFonts w:eastAsia="Arial"/>
        </w:rPr>
        <w:t xml:space="preserve"> dozę, nei yra rekomenduojama preparatų charakteristikos santraukoje.</w:t>
      </w:r>
    </w:p>
    <w:p w14:paraId="4EEF8167" w14:textId="28BFCDEC" w:rsidR="00D40B99" w:rsidRDefault="00814591" w:rsidP="004C2042">
      <w:pPr>
        <w:pStyle w:val="BodyText"/>
        <w:spacing w:line="276" w:lineRule="auto"/>
        <w:ind w:firstLine="360"/>
        <w:jc w:val="both"/>
      </w:pPr>
      <w:r>
        <w:t xml:space="preserve">GWPCARE3 ir GWPCARE4 tyrimuose buvo registruotos nepageidaujamos reakcijos, apie kurias pranešė pacientai ar globėjai. Dauguma </w:t>
      </w:r>
      <w:r w:rsidR="000659A8">
        <w:t>nepageidaujamų reakcijų</w:t>
      </w:r>
      <w:r>
        <w:t xml:space="preserve"> buvo lengv</w:t>
      </w:r>
      <w:r w:rsidR="000659A8">
        <w:t>os</w:t>
      </w:r>
      <w:r>
        <w:t xml:space="preserve"> arba vidutinio sunkumo. Dauguma jų pasireiškė gydymo pradžioje (2–4 savaites), buvo trumpalaik</w:t>
      </w:r>
      <w:r w:rsidR="000659A8">
        <w:t>ės</w:t>
      </w:r>
      <w:r>
        <w:t xml:space="preserve"> ir išnyko iki tyrimo pabaigos. </w:t>
      </w:r>
      <w:r w:rsidR="00646737" w:rsidRPr="00F2610B">
        <w:t>Nebuvo duomenų apie reikšmingus saugumo charakteristikų skirtumus</w:t>
      </w:r>
      <w:r w:rsidR="00646737">
        <w:t xml:space="preserve"> tarp </w:t>
      </w:r>
      <w:proofErr w:type="spellStart"/>
      <w:r w:rsidR="00646737">
        <w:t>kanabidiolio</w:t>
      </w:r>
      <w:proofErr w:type="spellEnd"/>
      <w:r w:rsidR="00646737">
        <w:t xml:space="preserve"> ir placebo grupių</w:t>
      </w:r>
      <w:r w:rsidR="00646737" w:rsidRPr="00F2610B">
        <w:t xml:space="preserve">, </w:t>
      </w:r>
      <w:r w:rsidR="00646737">
        <w:t>vertinant visas įmanomas nepageidaujamas reakcijas.</w:t>
      </w:r>
    </w:p>
    <w:p w14:paraId="03CD1DA6" w14:textId="04514A64" w:rsidR="000659A8" w:rsidRPr="00BB11EF" w:rsidRDefault="000659A8" w:rsidP="000659A8">
      <w:pPr>
        <w:spacing w:line="276" w:lineRule="auto"/>
        <w:jc w:val="both"/>
        <w:rPr>
          <w:iCs/>
        </w:rPr>
      </w:pPr>
      <w:r>
        <w:tab/>
      </w:r>
      <w:bookmarkStart w:id="3" w:name="_Hlk199188669"/>
      <w:r>
        <w:t xml:space="preserve">Remiantis tiesioginio palyginimo tyrimų </w:t>
      </w:r>
      <w:r w:rsidRPr="00DB7F72">
        <w:rPr>
          <w:color w:val="000000"/>
        </w:rPr>
        <w:t>GWPCARE</w:t>
      </w:r>
      <w:r>
        <w:rPr>
          <w:color w:val="000000"/>
        </w:rPr>
        <w:t xml:space="preserve">3 ir </w:t>
      </w:r>
      <w:r w:rsidRPr="00DB7F72">
        <w:rPr>
          <w:color w:val="000000"/>
        </w:rPr>
        <w:t>GWPCARE</w:t>
      </w:r>
      <w:r>
        <w:rPr>
          <w:color w:val="000000"/>
        </w:rPr>
        <w:t xml:space="preserve">4 ir tęstinio tyrimo </w:t>
      </w:r>
      <w:r w:rsidRPr="004C2042">
        <w:rPr>
          <w:lang w:eastAsia="lt-LT"/>
        </w:rPr>
        <w:t xml:space="preserve">GWPCARE5 duomenimis, </w:t>
      </w:r>
      <w:r w:rsidRPr="00BB11EF">
        <w:rPr>
          <w:rFonts w:eastAsia="Arial"/>
          <w:iCs/>
        </w:rPr>
        <w:t xml:space="preserve">palyginamasis veiksmingumas </w:t>
      </w:r>
      <w:r>
        <w:rPr>
          <w:rFonts w:eastAsia="Arial"/>
          <w:iCs/>
        </w:rPr>
        <w:t>vertinamas,</w:t>
      </w:r>
      <w:r w:rsidRPr="00BB11EF">
        <w:rPr>
          <w:iCs/>
        </w:rPr>
        <w:t xml:space="preserve"> kaip</w:t>
      </w:r>
      <w:r>
        <w:rPr>
          <w:iCs/>
        </w:rPr>
        <w:t xml:space="preserve"> didesnis</w:t>
      </w:r>
      <w:r w:rsidRPr="00BB11EF">
        <w:rPr>
          <w:iCs/>
        </w:rPr>
        <w:t xml:space="preserve"> lyginant su įprasta klinikine praktika.</w:t>
      </w:r>
    </w:p>
    <w:bookmarkEnd w:id="3"/>
    <w:p w14:paraId="10606148" w14:textId="77777777" w:rsidR="000659A8" w:rsidRPr="00A648AF" w:rsidRDefault="000659A8" w:rsidP="00814591">
      <w:pPr>
        <w:pStyle w:val="BodyText"/>
        <w:spacing w:line="276" w:lineRule="auto"/>
        <w:jc w:val="both"/>
      </w:pPr>
    </w:p>
    <w:p w14:paraId="554435FE" w14:textId="77777777" w:rsidR="00D40B99" w:rsidRPr="00A93AA6" w:rsidRDefault="00D40B99" w:rsidP="00D40B99">
      <w:pPr>
        <w:pStyle w:val="ListParagraph"/>
        <w:numPr>
          <w:ilvl w:val="0"/>
          <w:numId w:val="1"/>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Pr="00A93AA6">
        <w:rPr>
          <w:b/>
          <w:bCs/>
          <w:caps/>
        </w:rPr>
        <w:t>apibendrinimas</w:t>
      </w:r>
    </w:p>
    <w:p w14:paraId="34D8287E" w14:textId="77777777" w:rsidR="00D40B99" w:rsidRDefault="00D40B99" w:rsidP="00D40B99">
      <w:pPr>
        <w:tabs>
          <w:tab w:val="left" w:pos="426"/>
        </w:tabs>
        <w:rPr>
          <w:i/>
          <w:color w:val="00B050"/>
          <w:sz w:val="22"/>
          <w:szCs w:val="22"/>
        </w:rPr>
      </w:pPr>
    </w:p>
    <w:p w14:paraId="7BE2F5D6" w14:textId="77777777" w:rsidR="006F7854" w:rsidRPr="001F2790" w:rsidRDefault="006F7854" w:rsidP="006F7854">
      <w:pPr>
        <w:spacing w:line="276" w:lineRule="auto"/>
        <w:ind w:firstLine="360"/>
        <w:jc w:val="both"/>
        <w:rPr>
          <w:lang w:eastAsia="lt-LT"/>
        </w:rPr>
      </w:pPr>
      <w:r>
        <w:rPr>
          <w:lang w:eastAsia="lt-LT"/>
        </w:rPr>
        <w:t xml:space="preserve">Kaštų naudingumo analizėje (KNA) įtraukta populiacija atitinka registruotą ir kompensavimui teikiamos indikacijos populiaciją: </w:t>
      </w:r>
      <w:proofErr w:type="spellStart"/>
      <w:r>
        <w:rPr>
          <w:lang w:eastAsia="lt-LT"/>
        </w:rPr>
        <w:t>t.y</w:t>
      </w:r>
      <w:proofErr w:type="spellEnd"/>
      <w:r>
        <w:rPr>
          <w:lang w:eastAsia="lt-LT"/>
        </w:rPr>
        <w:t>. susijusiems</w:t>
      </w:r>
      <w:r w:rsidRPr="00537B40">
        <w:rPr>
          <w:lang w:eastAsia="lt-LT"/>
        </w:rPr>
        <w:t xml:space="preserve"> su </w:t>
      </w:r>
      <w:proofErr w:type="spellStart"/>
      <w:r w:rsidRPr="00537B40">
        <w:rPr>
          <w:lang w:eastAsia="lt-LT"/>
        </w:rPr>
        <w:t>Lenokso-Gasto</w:t>
      </w:r>
      <w:proofErr w:type="spellEnd"/>
      <w:r w:rsidRPr="00537B40">
        <w:rPr>
          <w:lang w:eastAsia="lt-LT"/>
        </w:rPr>
        <w:t xml:space="preserve"> (</w:t>
      </w:r>
      <w:proofErr w:type="spellStart"/>
      <w:r w:rsidRPr="004C2042">
        <w:rPr>
          <w:i/>
          <w:iCs/>
          <w:lang w:eastAsia="lt-LT"/>
        </w:rPr>
        <w:t>Lennox-Gastaut</w:t>
      </w:r>
      <w:proofErr w:type="spellEnd"/>
      <w:r w:rsidRPr="00537B40">
        <w:rPr>
          <w:lang w:eastAsia="lt-LT"/>
        </w:rPr>
        <w:t xml:space="preserve">) sindromu (LGS), 2 metų ir vyresniems pacientams kaip papildoma priemonė </w:t>
      </w:r>
      <w:r>
        <w:rPr>
          <w:lang w:eastAsia="lt-LT"/>
        </w:rPr>
        <w:t xml:space="preserve">gydyti traukulius (skiriama </w:t>
      </w:r>
      <w:r w:rsidRPr="00DB7F72">
        <w:rPr>
          <w:lang w:eastAsia="lt-LT"/>
        </w:rPr>
        <w:t xml:space="preserve">vartoti kartu su </w:t>
      </w:r>
      <w:proofErr w:type="spellStart"/>
      <w:r w:rsidRPr="00DB7F72">
        <w:rPr>
          <w:lang w:eastAsia="lt-LT"/>
        </w:rPr>
        <w:t>klobazamu</w:t>
      </w:r>
      <w:proofErr w:type="spellEnd"/>
      <w:r>
        <w:rPr>
          <w:lang w:eastAsia="lt-LT"/>
        </w:rPr>
        <w:t xml:space="preserve"> (TLK-10</w:t>
      </w:r>
      <w:r w:rsidRPr="00DB7F72">
        <w:rPr>
          <w:lang w:eastAsia="lt-LT"/>
        </w:rPr>
        <w:t xml:space="preserve">: </w:t>
      </w:r>
      <w:r w:rsidRPr="004C2042">
        <w:rPr>
          <w:lang w:eastAsia="lt-LT"/>
        </w:rPr>
        <w:t>G40.41</w:t>
      </w:r>
      <w:r>
        <w:rPr>
          <w:lang w:eastAsia="lt-LT"/>
        </w:rPr>
        <w:t>)</w:t>
      </w:r>
    </w:p>
    <w:p w14:paraId="4CFE19C3" w14:textId="77777777" w:rsidR="006F7854" w:rsidRDefault="006F7854" w:rsidP="006F7854">
      <w:pPr>
        <w:spacing w:line="276" w:lineRule="auto"/>
        <w:ind w:firstLine="360"/>
        <w:jc w:val="both"/>
        <w:rPr>
          <w:color w:val="000000"/>
        </w:rPr>
      </w:pPr>
      <w:r>
        <w:rPr>
          <w:lang w:eastAsia="lt-LT"/>
        </w:rPr>
        <w:t xml:space="preserve">Ekonominėje analizėje </w:t>
      </w:r>
      <w:proofErr w:type="spellStart"/>
      <w:r>
        <w:rPr>
          <w:lang w:eastAsia="lt-LT"/>
        </w:rPr>
        <w:t>populiaciniai</w:t>
      </w:r>
      <w:proofErr w:type="spellEnd"/>
      <w:r>
        <w:rPr>
          <w:lang w:eastAsia="lt-LT"/>
        </w:rPr>
        <w:t xml:space="preserve"> duomenys pagrįsti tiesioginio palyginimo </w:t>
      </w:r>
      <w:r>
        <w:rPr>
          <w:rFonts w:eastAsia="Arial"/>
          <w:iCs/>
        </w:rPr>
        <w:t xml:space="preserve">dviem 3 fazės, dvigubai koduotais, placebo kontroliuojamais, </w:t>
      </w:r>
      <w:proofErr w:type="spellStart"/>
      <w:r>
        <w:rPr>
          <w:rFonts w:eastAsia="Arial"/>
          <w:iCs/>
        </w:rPr>
        <w:t>daugiacentriais</w:t>
      </w:r>
      <w:proofErr w:type="spellEnd"/>
      <w:r>
        <w:rPr>
          <w:rFonts w:eastAsia="Arial"/>
          <w:iCs/>
        </w:rPr>
        <w:t xml:space="preserve"> tyrimais </w:t>
      </w:r>
      <w:r w:rsidRPr="00DB7F72">
        <w:rPr>
          <w:color w:val="000000"/>
        </w:rPr>
        <w:t>GWPCARE</w:t>
      </w:r>
      <w:r>
        <w:rPr>
          <w:color w:val="000000"/>
        </w:rPr>
        <w:t xml:space="preserve">3 ir </w:t>
      </w:r>
      <w:r w:rsidRPr="00DB7F72">
        <w:rPr>
          <w:color w:val="000000"/>
        </w:rPr>
        <w:t>GWPCARE</w:t>
      </w:r>
      <w:r>
        <w:rPr>
          <w:color w:val="000000"/>
        </w:rPr>
        <w:t xml:space="preserve">4, kuriuose tirtas </w:t>
      </w:r>
      <w:proofErr w:type="spellStart"/>
      <w:r>
        <w:rPr>
          <w:color w:val="000000"/>
        </w:rPr>
        <w:t>kanabidiolio</w:t>
      </w:r>
      <w:proofErr w:type="spellEnd"/>
      <w:r>
        <w:rPr>
          <w:color w:val="000000"/>
        </w:rPr>
        <w:t xml:space="preserve"> saugumas ir veiksmingumas, 2-jų metų ir vyresniems pacientams, sergantiems </w:t>
      </w:r>
      <w:proofErr w:type="spellStart"/>
      <w:r w:rsidRPr="00537B40">
        <w:rPr>
          <w:lang w:eastAsia="lt-LT"/>
        </w:rPr>
        <w:t>Lenokso-Gasto</w:t>
      </w:r>
      <w:proofErr w:type="spellEnd"/>
      <w:r w:rsidRPr="00537B40">
        <w:rPr>
          <w:lang w:eastAsia="lt-LT"/>
        </w:rPr>
        <w:t xml:space="preserve"> (</w:t>
      </w:r>
      <w:proofErr w:type="spellStart"/>
      <w:r w:rsidRPr="004C2042">
        <w:rPr>
          <w:i/>
          <w:iCs/>
          <w:lang w:eastAsia="lt-LT"/>
        </w:rPr>
        <w:t>Lennox-Gastaut</w:t>
      </w:r>
      <w:proofErr w:type="spellEnd"/>
      <w:r w:rsidRPr="00537B40">
        <w:rPr>
          <w:lang w:eastAsia="lt-LT"/>
        </w:rPr>
        <w:t>)</w:t>
      </w:r>
      <w:r>
        <w:rPr>
          <w:lang w:eastAsia="lt-LT"/>
        </w:rPr>
        <w:t xml:space="preserve"> sindromu</w:t>
      </w:r>
      <w:r>
        <w:rPr>
          <w:color w:val="000000"/>
        </w:rPr>
        <w:t xml:space="preserve">, kuriems gydymas kitais </w:t>
      </w:r>
      <w:proofErr w:type="spellStart"/>
      <w:r>
        <w:rPr>
          <w:color w:val="000000"/>
        </w:rPr>
        <w:t>prieštraukuliniais</w:t>
      </w:r>
      <w:proofErr w:type="spellEnd"/>
      <w:r>
        <w:rPr>
          <w:color w:val="000000"/>
        </w:rPr>
        <w:t xml:space="preserve"> vaistais buvo neveiksmingas.</w:t>
      </w:r>
    </w:p>
    <w:p w14:paraId="4B2F33F7" w14:textId="03DEEEB6" w:rsidR="006F7854" w:rsidRPr="00937F3A" w:rsidRDefault="006F7854" w:rsidP="009E67E7">
      <w:pPr>
        <w:spacing w:line="276" w:lineRule="auto"/>
        <w:ind w:firstLine="450"/>
        <w:jc w:val="both"/>
      </w:pPr>
      <w:r>
        <w:t>Remiantis šiuo metu Lietuvoje galiojančiu epilepsijos gydymo aprašu</w:t>
      </w:r>
      <w:r w:rsidR="004E6480">
        <w:t xml:space="preserve">, </w:t>
      </w:r>
      <w:bookmarkStart w:id="4" w:name="_Hlk199189000"/>
      <w:r w:rsidR="004E6480">
        <w:t xml:space="preserve">patvirtintu Lietuvos Respublikos sveikatos pasaugos ministro </w:t>
      </w:r>
      <w:r w:rsidR="004E6480" w:rsidRPr="004B68F3">
        <w:t xml:space="preserve">2019 m. gruodžio 18 d. </w:t>
      </w:r>
      <w:r w:rsidR="004E6480">
        <w:t xml:space="preserve">įsakymu </w:t>
      </w:r>
      <w:r w:rsidR="004E6480" w:rsidRPr="004B68F3">
        <w:t>Nr. V-1477</w:t>
      </w:r>
      <w:r w:rsidR="004E6480" w:rsidRPr="004B68F3" w:rsidDel="004B68F3">
        <w:t xml:space="preserve"> </w:t>
      </w:r>
      <w:r w:rsidR="004E6480" w:rsidRPr="004E172B">
        <w:t>„</w:t>
      </w:r>
      <w:r w:rsidR="004E6480">
        <w:t>D</w:t>
      </w:r>
      <w:r w:rsidR="004E6480" w:rsidRPr="004E172B">
        <w:t>ėl epilepsijos ambulatorinio</w:t>
      </w:r>
      <w:r w:rsidR="004E6480" w:rsidRPr="004B68F3">
        <w:rPr>
          <w:b/>
          <w:bCs/>
        </w:rPr>
        <w:t xml:space="preserve"> </w:t>
      </w:r>
      <w:r w:rsidR="004E6480" w:rsidRPr="004E172B">
        <w:t>gydymo kompensuojamaisiais vaistais tvarkos aprašo patvirtinimo</w:t>
      </w:r>
      <w:r w:rsidR="004E6480" w:rsidRPr="004B68F3">
        <w:t>“ pakeitimo</w:t>
      </w:r>
      <w:r w:rsidR="004E6480">
        <w:t xml:space="preserve"> </w:t>
      </w:r>
      <w:bookmarkEnd w:id="4"/>
      <w:r>
        <w:t xml:space="preserve">ir tarptautinėmis gydymo gairėmis, LGS gali būti gydomas skirtingais </w:t>
      </w:r>
      <w:proofErr w:type="spellStart"/>
      <w:r>
        <w:t>prieštraukuliniais</w:t>
      </w:r>
      <w:proofErr w:type="spellEnd"/>
      <w:r>
        <w:t xml:space="preserve"> vaistais ir jų deriniais, todėl Pareiškėjo pasirinktas palyginamasis gydymas (įprastinė priežiūra, kurią sudaro įvairūs</w:t>
      </w:r>
      <w:r w:rsidR="009E67E7">
        <w:t xml:space="preserve"> </w:t>
      </w:r>
      <w:proofErr w:type="spellStart"/>
      <w:r w:rsidR="009E67E7">
        <w:t>prieštraukuliniai</w:t>
      </w:r>
      <w:proofErr w:type="spellEnd"/>
      <w:r w:rsidR="009E67E7">
        <w:t xml:space="preserve"> vaistai,</w:t>
      </w:r>
      <w:r>
        <w:t xml:space="preserve"> su placebo) yra tinkamas palyginamasis gydymas</w:t>
      </w:r>
      <w:r w:rsidRPr="001F2790">
        <w:t>.</w:t>
      </w:r>
      <w:r w:rsidRPr="001F2790">
        <w:rPr>
          <w:color w:val="000000"/>
        </w:rPr>
        <w:t xml:space="preserve"> Tarnyba pabrėžia, kad registruotoje </w:t>
      </w:r>
      <w:proofErr w:type="spellStart"/>
      <w:r w:rsidRPr="001F2790">
        <w:rPr>
          <w:color w:val="000000"/>
        </w:rPr>
        <w:t>Epidyolex</w:t>
      </w:r>
      <w:proofErr w:type="spellEnd"/>
      <w:r w:rsidRPr="001F2790">
        <w:rPr>
          <w:color w:val="000000"/>
        </w:rPr>
        <w:t xml:space="preserve"> indikacijoje yra nurodoma, kad </w:t>
      </w:r>
      <w:proofErr w:type="spellStart"/>
      <w:r w:rsidRPr="001F2790">
        <w:rPr>
          <w:color w:val="000000"/>
        </w:rPr>
        <w:t>Epidyolex</w:t>
      </w:r>
      <w:proofErr w:type="spellEnd"/>
      <w:r w:rsidRPr="001F2790">
        <w:rPr>
          <w:color w:val="000000"/>
        </w:rPr>
        <w:t xml:space="preserve"> turi būti skiriamas kartu su </w:t>
      </w:r>
      <w:proofErr w:type="spellStart"/>
      <w:r w:rsidRPr="001F2790">
        <w:rPr>
          <w:color w:val="000000"/>
        </w:rPr>
        <w:t>klobazamu</w:t>
      </w:r>
      <w:proofErr w:type="spellEnd"/>
      <w:r w:rsidRPr="001F2790">
        <w:rPr>
          <w:color w:val="000000"/>
        </w:rPr>
        <w:t xml:space="preserve"> </w:t>
      </w:r>
      <w:r>
        <w:rPr>
          <w:color w:val="000000"/>
        </w:rPr>
        <w:t>LGS</w:t>
      </w:r>
      <w:r w:rsidRPr="001F2790">
        <w:rPr>
          <w:color w:val="000000"/>
        </w:rPr>
        <w:t xml:space="preserve"> gydyti. Lietuvoje </w:t>
      </w:r>
      <w:proofErr w:type="spellStart"/>
      <w:r w:rsidRPr="001F2790">
        <w:rPr>
          <w:color w:val="000000"/>
        </w:rPr>
        <w:t>klobazamas</w:t>
      </w:r>
      <w:proofErr w:type="spellEnd"/>
      <w:r w:rsidRPr="001F2790">
        <w:rPr>
          <w:color w:val="000000"/>
        </w:rPr>
        <w:t xml:space="preserve"> yra skiriamas kaip vardinis vaistinis preparatas ir nėra kompensuojamas iš PSDF biudžeto lėšų, todėl </w:t>
      </w:r>
      <w:proofErr w:type="spellStart"/>
      <w:r w:rsidRPr="001F2790">
        <w:rPr>
          <w:color w:val="000000"/>
        </w:rPr>
        <w:t>klobazamo</w:t>
      </w:r>
      <w:proofErr w:type="spellEnd"/>
      <w:r w:rsidRPr="001F2790">
        <w:rPr>
          <w:color w:val="000000"/>
        </w:rPr>
        <w:t xml:space="preserve"> kaštai kaštų naudingumo analizėje nėra įtraukiami. </w:t>
      </w:r>
      <w:r w:rsidRPr="001F2790">
        <w:rPr>
          <w:iCs/>
        </w:rPr>
        <w:t xml:space="preserve">KNA taikomas įprastinis gydymas (krepšelis) pritaikomas Lietuvos klinikinei praktikai, </w:t>
      </w:r>
      <w:proofErr w:type="spellStart"/>
      <w:r w:rsidRPr="001F2790">
        <w:rPr>
          <w:iCs/>
        </w:rPr>
        <w:t>t.y</w:t>
      </w:r>
      <w:proofErr w:type="spellEnd"/>
      <w:r w:rsidRPr="001F2790">
        <w:rPr>
          <w:iCs/>
        </w:rPr>
        <w:t xml:space="preserve">. atsižvelgiama, kad ne visi VP yra kompensuojami (indikacijoje nurodomas derinyje skiriamas </w:t>
      </w:r>
      <w:proofErr w:type="spellStart"/>
      <w:r w:rsidRPr="001F2790">
        <w:rPr>
          <w:iCs/>
        </w:rPr>
        <w:t>klobazamas</w:t>
      </w:r>
      <w:proofErr w:type="spellEnd"/>
      <w:r w:rsidRPr="001F2790">
        <w:rPr>
          <w:iCs/>
        </w:rPr>
        <w:t xml:space="preserve"> Lietuvoje nėra kompensuojamas), tačiau VP procentinis pasiskirstymas pagrįstas klinikinio tyrimo duomenimis (ne LT praktika). Kainos atnaujinamos pagal 2025 m. kainyno I </w:t>
      </w:r>
      <w:proofErr w:type="spellStart"/>
      <w:r w:rsidRPr="001F2790">
        <w:rPr>
          <w:iCs/>
        </w:rPr>
        <w:t>pusm</w:t>
      </w:r>
      <w:proofErr w:type="spellEnd"/>
      <w:r w:rsidRPr="001F2790">
        <w:rPr>
          <w:iCs/>
        </w:rPr>
        <w:t>. kainyną.</w:t>
      </w:r>
    </w:p>
    <w:p w14:paraId="6CE97AAC" w14:textId="5F0F3C64" w:rsidR="006F7854" w:rsidRDefault="006F7854" w:rsidP="006F7854">
      <w:pPr>
        <w:spacing w:line="276" w:lineRule="auto"/>
        <w:ind w:firstLine="360"/>
        <w:jc w:val="both"/>
        <w:rPr>
          <w:color w:val="000000"/>
        </w:rPr>
      </w:pPr>
      <w:r>
        <w:rPr>
          <w:lang w:eastAsia="lt-LT"/>
        </w:rPr>
        <w:t>Tarnyba vertina, kad LGS</w:t>
      </w:r>
      <w:r w:rsidRPr="001F2790">
        <w:rPr>
          <w:lang w:eastAsia="lt-LT"/>
        </w:rPr>
        <w:t xml:space="preserve"> pacientų kaštų naudingumo analizei taikoma </w:t>
      </w:r>
      <w:proofErr w:type="spellStart"/>
      <w:r w:rsidRPr="001F2790">
        <w:rPr>
          <w:lang w:eastAsia="lt-LT"/>
        </w:rPr>
        <w:t>Markovo</w:t>
      </w:r>
      <w:proofErr w:type="spellEnd"/>
      <w:r w:rsidRPr="001F2790">
        <w:rPr>
          <w:lang w:eastAsia="lt-LT"/>
        </w:rPr>
        <w:t xml:space="preserve"> modelio struktūra yra priimtina.</w:t>
      </w:r>
      <w:r>
        <w:t xml:space="preserve"> </w:t>
      </w:r>
      <w:r w:rsidRPr="001F2790">
        <w:rPr>
          <w:lang w:eastAsia="lt-LT"/>
        </w:rPr>
        <w:t xml:space="preserve">Pareiškėjas taiko </w:t>
      </w:r>
      <w:r w:rsidR="00AA6E0F">
        <w:rPr>
          <w:lang w:eastAsia="lt-LT"/>
        </w:rPr>
        <w:t xml:space="preserve">*** </w:t>
      </w:r>
      <w:r w:rsidRPr="001F2790">
        <w:rPr>
          <w:lang w:eastAsia="lt-LT"/>
        </w:rPr>
        <w:t>laiko perspektyvą (</w:t>
      </w:r>
      <w:r w:rsidR="00AA6E0F">
        <w:rPr>
          <w:lang w:eastAsia="lt-LT"/>
        </w:rPr>
        <w:t>***</w:t>
      </w:r>
      <w:r w:rsidRPr="001F2790">
        <w:rPr>
          <w:lang w:eastAsia="lt-LT"/>
        </w:rPr>
        <w:t xml:space="preserve"> m.). Tarnyba vertina, kad pasirinkta</w:t>
      </w:r>
      <w:r>
        <w:rPr>
          <w:lang w:eastAsia="lt-LT"/>
        </w:rPr>
        <w:t xml:space="preserve"> </w:t>
      </w:r>
      <w:r w:rsidRPr="001F2790">
        <w:rPr>
          <w:lang w:eastAsia="lt-LT"/>
        </w:rPr>
        <w:t>laiko perspektyva yra tinkama siekiant, kad laikotarpis būtų pakankamas sveikatai sukuriamai naudai ir patiriamiems kaštams užfiksuoti (v</w:t>
      </w:r>
      <w:r>
        <w:rPr>
          <w:lang w:eastAsia="lt-LT"/>
        </w:rPr>
        <w:t>idutinis LGS pacientų amžius –</w:t>
      </w:r>
      <w:r w:rsidR="00864124">
        <w:rPr>
          <w:lang w:eastAsia="lt-LT"/>
        </w:rPr>
        <w:t xml:space="preserve"> ***</w:t>
      </w:r>
      <w:r w:rsidRPr="001F2790">
        <w:rPr>
          <w:lang w:eastAsia="lt-LT"/>
        </w:rPr>
        <w:t xml:space="preserve"> m.).</w:t>
      </w:r>
    </w:p>
    <w:p w14:paraId="5414008F" w14:textId="12DE1468" w:rsidR="006F7854" w:rsidRDefault="006F7854" w:rsidP="006F7854">
      <w:pPr>
        <w:spacing w:line="276" w:lineRule="auto"/>
        <w:ind w:firstLine="360"/>
        <w:jc w:val="both"/>
      </w:pPr>
      <w:r w:rsidRPr="001F2790">
        <w:t xml:space="preserve">Analizė atlikta iš PSDF biudžeto perspektyvos, </w:t>
      </w:r>
      <w:r w:rsidR="00864124">
        <w:t>***</w:t>
      </w:r>
      <w:r w:rsidRPr="001F2790">
        <w:t xml:space="preserve"> tiesiogiai su sveikatos sistema susiję kaštai. Tai atitinka teisės aktuose nustatytus paraiškos rengimo taisyklių reikalavimus. </w:t>
      </w:r>
      <w:r w:rsidRPr="001F2790">
        <w:rPr>
          <w:bCs/>
          <w:lang w:eastAsia="lt-LT"/>
        </w:rPr>
        <w:t xml:space="preserve">Apibendrinant KNA įtraukiamus kaštus ir išteklius, Tarnyba vertina, kad </w:t>
      </w:r>
      <w:r w:rsidRPr="001F2790">
        <w:t>įtraukti</w:t>
      </w:r>
      <w:r>
        <w:t xml:space="preserve"> </w:t>
      </w:r>
      <w:r w:rsidR="00864124">
        <w:t xml:space="preserve">*** </w:t>
      </w:r>
      <w:r w:rsidRPr="001F2790">
        <w:t xml:space="preserve">su sveikatos sistema susiję kaštai, tačiau šaltiniai, kuriais pagrįstas paslaugų poreikis/dažnis lieka </w:t>
      </w:r>
      <w:r w:rsidR="00864124">
        <w:t xml:space="preserve">*** </w:t>
      </w:r>
      <w:r w:rsidRPr="001F2790">
        <w:t>(</w:t>
      </w:r>
      <w:proofErr w:type="spellStart"/>
      <w:r w:rsidRPr="001F2790">
        <w:t>t.y</w:t>
      </w:r>
      <w:proofErr w:type="spellEnd"/>
      <w:r w:rsidRPr="001F2790">
        <w:t xml:space="preserve">. </w:t>
      </w:r>
      <w:r>
        <w:t xml:space="preserve">grindžiami </w:t>
      </w:r>
      <w:r w:rsidR="00C90612">
        <w:rPr>
          <w:lang w:val="en-US"/>
        </w:rPr>
        <w:t xml:space="preserve">*** </w:t>
      </w:r>
      <w:r>
        <w:t>klinikinių ekspertų nuomone yra</w:t>
      </w:r>
      <w:r w:rsidR="00864124">
        <w:t xml:space="preserve"> ***</w:t>
      </w:r>
      <w:r w:rsidRPr="001F2790">
        <w:t xml:space="preserve"> Lietuvos klinikinei praktikai).</w:t>
      </w:r>
    </w:p>
    <w:p w14:paraId="1E665354" w14:textId="1FB04F04" w:rsidR="006F7854" w:rsidRDefault="006F7854" w:rsidP="006F7854">
      <w:pPr>
        <w:spacing w:line="276" w:lineRule="auto"/>
        <w:ind w:firstLine="360"/>
        <w:jc w:val="both"/>
      </w:pPr>
      <w:r w:rsidRPr="001F2790">
        <w:t>Tarnyba KNA atlieka vertinant sveikatai sukuriamą naudą ir kaštus tik tiesiogiai vertinamai indika</w:t>
      </w:r>
      <w:r>
        <w:t>cijai teikiamai populiacijai - LG</w:t>
      </w:r>
      <w:r w:rsidRPr="001F2790">
        <w:t xml:space="preserve">S pacientams, todėl įprastinėje atvejo analizėje Tarnyba gyvenimo kokybės įverčių dėl artimųjų patiriamo gyvenimo kokybės </w:t>
      </w:r>
      <w:r w:rsidR="000B599C">
        <w:t>*****</w:t>
      </w:r>
      <w:r w:rsidRPr="001F2790">
        <w:t xml:space="preserve">. </w:t>
      </w:r>
    </w:p>
    <w:p w14:paraId="56978E23" w14:textId="225C5B76" w:rsidR="006F7854" w:rsidRDefault="006F7854" w:rsidP="006F7854">
      <w:pPr>
        <w:spacing w:line="276" w:lineRule="auto"/>
        <w:ind w:firstLine="360"/>
        <w:jc w:val="both"/>
      </w:pPr>
      <w:r>
        <w:t xml:space="preserve">Nors </w:t>
      </w:r>
      <w:r w:rsidRPr="003522EA">
        <w:t>Tarnyba sutinka, kad Pareiškėjo taikomas šaltinis (</w:t>
      </w:r>
      <w:proofErr w:type="spellStart"/>
      <w:r w:rsidRPr="003522EA">
        <w:t>Lo</w:t>
      </w:r>
      <w:proofErr w:type="spellEnd"/>
      <w:r w:rsidRPr="003522EA">
        <w:t xml:space="preserve"> 2021) gyvenimo kokybės įverčiams nustatyti, kai taikomas laiko mainų metodas (TTO) lyginant su vizualine analogine skale (VAS) yra tinkamesnis, tačiau atsižvelgiant, kad tam tikrose sveikatos būklėse gyvenimo kokybės įverčiai yra </w:t>
      </w:r>
      <w:r w:rsidR="000B599C">
        <w:t xml:space="preserve">*** </w:t>
      </w:r>
      <w:r w:rsidRPr="003522EA">
        <w:t xml:space="preserve"> (nuo – </w:t>
      </w:r>
      <w:r w:rsidR="000B599C">
        <w:t>***</w:t>
      </w:r>
      <w:r w:rsidRPr="003522EA">
        <w:t>), Tarnyba vertina, kad nėra tikėtina, jog pacientai patiriantys daug priepuolių gyvenimo kokybę vertins prasčiau nei mirtį (mirtis=0), dėl ko įverčiai laikomi</w:t>
      </w:r>
      <w:r w:rsidR="00C83548">
        <w:t xml:space="preserve">  ****</w:t>
      </w:r>
      <w:r w:rsidRPr="003522EA">
        <w:t>. Įprastinėje atvejo analizėje Tarnyba taiko alternatyviai Pareiškėjo teikiamo šaltinio (</w:t>
      </w:r>
      <w:proofErr w:type="spellStart"/>
      <w:r w:rsidRPr="003522EA">
        <w:t>vignette</w:t>
      </w:r>
      <w:proofErr w:type="spellEnd"/>
      <w:r w:rsidRPr="003522EA">
        <w:t xml:space="preserve"> </w:t>
      </w:r>
      <w:proofErr w:type="spellStart"/>
      <w:r w:rsidRPr="003522EA">
        <w:t>study</w:t>
      </w:r>
      <w:proofErr w:type="spellEnd"/>
      <w:r w:rsidRPr="003522EA">
        <w:t>) gyvenimo kokybės įverčius.</w:t>
      </w:r>
      <w:r w:rsidRPr="004451A1">
        <w:t xml:space="preserve"> </w:t>
      </w:r>
      <w:r>
        <w:t xml:space="preserve">Tarnyba </w:t>
      </w:r>
      <w:r w:rsidRPr="008968AB">
        <w:t>vertina, kad Pareiškėjo taikomi gyvenimo kokybės įverčiai pasižymi</w:t>
      </w:r>
      <w:r w:rsidR="00CB0D56">
        <w:t xml:space="preserve">  ****</w:t>
      </w:r>
      <w:r w:rsidRPr="008968AB">
        <w:t xml:space="preserve">, kadangi </w:t>
      </w:r>
      <w:r w:rsidR="00CB0D56">
        <w:t>***</w:t>
      </w:r>
      <w:r w:rsidRPr="008968AB">
        <w:t xml:space="preserve"> surinkti klinikinio tyrimo metu, </w:t>
      </w:r>
      <w:r w:rsidR="00CB0D56">
        <w:t xml:space="preserve">*** </w:t>
      </w:r>
      <w:r w:rsidRPr="008968AB">
        <w:t xml:space="preserve">taikomi standartiniai (EQ-5D) ar specifiniai ligai klausimynai kaip įprasta STV praktikoje, tyrimas vykdytas finansuojant kompanijos bendrojoje </w:t>
      </w:r>
      <w:r w:rsidR="00593BEF">
        <w:t>***</w:t>
      </w:r>
      <w:r w:rsidR="00593BEF">
        <w:t xml:space="preserve"> </w:t>
      </w:r>
      <w:r w:rsidRPr="008968AB">
        <w:t xml:space="preserve">ir </w:t>
      </w:r>
      <w:r w:rsidR="00593BEF">
        <w:t>***</w:t>
      </w:r>
      <w:r w:rsidR="00593BEF">
        <w:t xml:space="preserve"> </w:t>
      </w:r>
      <w:r w:rsidRPr="008968AB">
        <w:t>populiacijoje</w:t>
      </w:r>
      <w:r>
        <w:t>, elektroninėje aplinkoje ir kt.</w:t>
      </w:r>
    </w:p>
    <w:p w14:paraId="0F34BFA4" w14:textId="7094DEA2" w:rsidR="006F7854" w:rsidRDefault="006F7854" w:rsidP="006F7854">
      <w:pPr>
        <w:spacing w:line="276" w:lineRule="auto"/>
        <w:ind w:firstLine="360"/>
        <w:jc w:val="both"/>
        <w:rPr>
          <w:rFonts w:eastAsia="Calibri"/>
        </w:rPr>
      </w:pPr>
      <w:r>
        <w:t xml:space="preserve">Tarnyba įprastinėje atvejo analizėje keičia Pareiškėjo taikomą </w:t>
      </w:r>
      <w:proofErr w:type="spellStart"/>
      <w:r>
        <w:t>kanabidiolio</w:t>
      </w:r>
      <w:proofErr w:type="spellEnd"/>
      <w:r>
        <w:t xml:space="preserve"> vidutinę dozę (</w:t>
      </w:r>
      <w:r w:rsidR="00CB0D56">
        <w:t>**</w:t>
      </w:r>
      <w:r>
        <w:t xml:space="preserve"> mg/kg/d) į </w:t>
      </w:r>
      <w:r w:rsidR="00CB0D56">
        <w:rPr>
          <w:bCs/>
          <w:lang w:eastAsia="lt-LT"/>
        </w:rPr>
        <w:t>**</w:t>
      </w:r>
      <w:r>
        <w:rPr>
          <w:bCs/>
          <w:lang w:eastAsia="lt-LT"/>
        </w:rPr>
        <w:t xml:space="preserve"> mg/kg/d. T</w:t>
      </w:r>
      <w:r w:rsidRPr="001F2790">
        <w:rPr>
          <w:rFonts w:eastAsia="Calibri"/>
        </w:rPr>
        <w:t xml:space="preserve">arnyba atsižvelgiant, kad daliai pacientų bus reikalinga didesnė nei </w:t>
      </w:r>
      <w:r w:rsidR="00CB0D56">
        <w:rPr>
          <w:rFonts w:eastAsia="Calibri"/>
        </w:rPr>
        <w:t>**</w:t>
      </w:r>
      <w:r w:rsidRPr="001F2790">
        <w:rPr>
          <w:rFonts w:eastAsia="Calibri"/>
        </w:rPr>
        <w:t xml:space="preserve"> mg/kg/d dozė, tačiau trūkstant duomenų apie pacientų pasiskirstymą Lietuvos klinikinėje praktikoje, kuriems reikia didesnės (arba maksimalios) dozės, įprastinėje atvejo analizėje Tarnyba taiko Kanados CADTH STV agentūros vertinimo metu taikytą prielaidą ir klinikinių ekspertų išreikštą poziciją, kad</w:t>
      </w:r>
      <w:r w:rsidR="00CB0D56">
        <w:rPr>
          <w:rFonts w:eastAsia="Calibri"/>
        </w:rPr>
        <w:t xml:space="preserve"> **</w:t>
      </w:r>
      <w:r w:rsidRPr="001F2790">
        <w:rPr>
          <w:rFonts w:eastAsia="Calibri"/>
        </w:rPr>
        <w:t xml:space="preserve"> proc. pacientų gaus didesnę dozę nei </w:t>
      </w:r>
      <w:r w:rsidR="00CB0D56">
        <w:rPr>
          <w:rFonts w:eastAsia="Calibri"/>
        </w:rPr>
        <w:t>**</w:t>
      </w:r>
      <w:r w:rsidRPr="001F2790">
        <w:rPr>
          <w:rFonts w:eastAsia="Calibri"/>
        </w:rPr>
        <w:t xml:space="preserve"> mg/kg/d ir apibendrinant KNA taikomas </w:t>
      </w:r>
      <w:r w:rsidR="00CB0D56">
        <w:rPr>
          <w:rFonts w:eastAsia="Calibri"/>
        </w:rPr>
        <w:t>**</w:t>
      </w:r>
      <w:r w:rsidRPr="001F2790">
        <w:rPr>
          <w:rFonts w:eastAsia="Calibri"/>
        </w:rPr>
        <w:t xml:space="preserve"> mg/kg/d. dozavimas.</w:t>
      </w:r>
    </w:p>
    <w:p w14:paraId="75A8B1C5" w14:textId="66F8E93B" w:rsidR="006F7854" w:rsidRDefault="006F7854" w:rsidP="006F7854">
      <w:pPr>
        <w:spacing w:line="276" w:lineRule="auto"/>
        <w:ind w:firstLine="360"/>
        <w:jc w:val="both"/>
        <w:rPr>
          <w:bCs/>
          <w:lang w:eastAsia="lt-LT"/>
        </w:rPr>
      </w:pPr>
      <w:r w:rsidRPr="001F2790">
        <w:rPr>
          <w:bCs/>
          <w:lang w:eastAsia="lt-LT"/>
        </w:rPr>
        <w:t xml:space="preserve">Nors pagal VPCS nėra rekomendacijų gydymą </w:t>
      </w:r>
      <w:proofErr w:type="spellStart"/>
      <w:r w:rsidRPr="001F2790">
        <w:rPr>
          <w:bCs/>
          <w:lang w:eastAsia="lt-LT"/>
        </w:rPr>
        <w:t>kanabidioliu</w:t>
      </w:r>
      <w:proofErr w:type="spellEnd"/>
      <w:r w:rsidRPr="001F2790">
        <w:rPr>
          <w:bCs/>
          <w:lang w:eastAsia="lt-LT"/>
        </w:rPr>
        <w:t xml:space="preserve"> tęsti ir nutraukti tam tikru laiko momentu, Tarnyba atsižvelgia į klinikinę praktiką ir vertina, kad nėra tikėtina, jog </w:t>
      </w:r>
      <w:proofErr w:type="spellStart"/>
      <w:r w:rsidRPr="001F2790">
        <w:rPr>
          <w:bCs/>
          <w:lang w:eastAsia="lt-LT"/>
        </w:rPr>
        <w:t>kanabidiolis</w:t>
      </w:r>
      <w:proofErr w:type="spellEnd"/>
      <w:r w:rsidRPr="001F2790">
        <w:rPr>
          <w:bCs/>
          <w:lang w:eastAsia="lt-LT"/>
        </w:rPr>
        <w:t xml:space="preserve"> būtų skiriamas nenutraukiamai. Atsižvelgiant, kad pagal rekomendacijas yra atliekamas gydymo efektyvumo vertinimas po </w:t>
      </w:r>
      <w:r w:rsidR="00CB0D56">
        <w:rPr>
          <w:bCs/>
          <w:lang w:eastAsia="lt-LT"/>
        </w:rPr>
        <w:t>**</w:t>
      </w:r>
      <w:r w:rsidRPr="001F2790">
        <w:rPr>
          <w:bCs/>
          <w:lang w:eastAsia="lt-LT"/>
        </w:rPr>
        <w:t xml:space="preserve"> mėn., Tarnyba sutinka su Pareiškėjo taikoma prielaida, kad dalis pacientų nutrauks gydymą po </w:t>
      </w:r>
      <w:r w:rsidR="00CB0D56">
        <w:rPr>
          <w:bCs/>
          <w:lang w:eastAsia="lt-LT"/>
        </w:rPr>
        <w:t>***</w:t>
      </w:r>
      <w:r w:rsidRPr="001F2790">
        <w:rPr>
          <w:bCs/>
          <w:lang w:eastAsia="lt-LT"/>
        </w:rPr>
        <w:t xml:space="preserve"> mėn., </w:t>
      </w:r>
      <w:r w:rsidR="00CB0D56">
        <w:rPr>
          <w:bCs/>
          <w:lang w:eastAsia="lt-LT"/>
        </w:rPr>
        <w:t xml:space="preserve">*** </w:t>
      </w:r>
      <w:r w:rsidRPr="001F2790">
        <w:rPr>
          <w:bCs/>
          <w:lang w:eastAsia="lt-LT"/>
        </w:rPr>
        <w:t xml:space="preserve"> ir </w:t>
      </w:r>
      <w:r w:rsidR="00CB0D56">
        <w:rPr>
          <w:bCs/>
          <w:lang w:eastAsia="lt-LT"/>
        </w:rPr>
        <w:t>***</w:t>
      </w:r>
      <w:r w:rsidRPr="001F2790">
        <w:rPr>
          <w:bCs/>
          <w:lang w:eastAsia="lt-LT"/>
        </w:rPr>
        <w:t xml:space="preserve"> metų.</w:t>
      </w:r>
    </w:p>
    <w:p w14:paraId="63B8BF6F" w14:textId="1123C391" w:rsidR="006F7854" w:rsidRDefault="006F7854" w:rsidP="006F7854">
      <w:pPr>
        <w:spacing w:line="276" w:lineRule="auto"/>
        <w:ind w:firstLine="360"/>
        <w:jc w:val="both"/>
        <w:rPr>
          <w:color w:val="000000"/>
          <w:lang w:eastAsia="lt-LT"/>
        </w:rPr>
      </w:pPr>
      <w:r w:rsidRPr="001F2790">
        <w:rPr>
          <w:color w:val="000000"/>
          <w:lang w:eastAsia="lt-LT"/>
        </w:rPr>
        <w:t xml:space="preserve">Vertinant efektyvumo skirtumus tarp siūlomo ir palyginamojo gydymo ilgajame laikotarpyje prielaidos yra laikomos pagrįstomis, tačiau </w:t>
      </w:r>
      <w:r>
        <w:rPr>
          <w:color w:val="000000"/>
          <w:lang w:eastAsia="lt-LT"/>
        </w:rPr>
        <w:t>sveikatos būklėje be priepuolių</w:t>
      </w:r>
      <w:r w:rsidRPr="001F2790">
        <w:rPr>
          <w:color w:val="000000"/>
          <w:lang w:eastAsia="lt-LT"/>
        </w:rPr>
        <w:t xml:space="preserve"> gydymo nutraukimo dažnio </w:t>
      </w:r>
      <w:r>
        <w:rPr>
          <w:color w:val="000000"/>
          <w:lang w:eastAsia="lt-LT"/>
        </w:rPr>
        <w:t>ir rizikos įtraukimo dėl mirčių taikomos prielaidos yra</w:t>
      </w:r>
      <w:r w:rsidR="00CB0D56">
        <w:rPr>
          <w:color w:val="000000"/>
          <w:lang w:eastAsia="lt-LT"/>
        </w:rPr>
        <w:t xml:space="preserve">  ***</w:t>
      </w:r>
      <w:r>
        <w:rPr>
          <w:color w:val="000000"/>
          <w:lang w:eastAsia="lt-LT"/>
        </w:rPr>
        <w:t>.</w:t>
      </w:r>
    </w:p>
    <w:p w14:paraId="282D3F25" w14:textId="0B543FB8" w:rsidR="00FB224B" w:rsidRPr="00164D64" w:rsidRDefault="00FB224B" w:rsidP="00FB224B">
      <w:pPr>
        <w:tabs>
          <w:tab w:val="left" w:pos="426"/>
        </w:tabs>
        <w:rPr>
          <w:b/>
          <w:bCs/>
          <w:caps/>
        </w:rPr>
      </w:pPr>
    </w:p>
    <w:p w14:paraId="6ADC413C" w14:textId="77777777" w:rsidR="00FB224B" w:rsidRPr="000203E1" w:rsidRDefault="00FB224B" w:rsidP="00FB224B">
      <w:pPr>
        <w:tabs>
          <w:tab w:val="left" w:pos="426"/>
        </w:tabs>
        <w:jc w:val="center"/>
        <w:rPr>
          <w:b/>
          <w:lang w:eastAsia="lt-LT"/>
        </w:rPr>
      </w:pPr>
      <w:r>
        <w:rPr>
          <w:b/>
          <w:lang w:eastAsia="lt-LT"/>
        </w:rPr>
        <w:t xml:space="preserve">3.1 </w:t>
      </w:r>
      <w:r w:rsidRPr="000203E1">
        <w:rPr>
          <w:b/>
          <w:lang w:eastAsia="lt-LT"/>
        </w:rPr>
        <w:t>Ekonominės analizės rezultatas</w:t>
      </w:r>
    </w:p>
    <w:p w14:paraId="1EBF8FFD" w14:textId="77777777" w:rsidR="00FB224B" w:rsidRPr="000203E1" w:rsidRDefault="00FB224B" w:rsidP="00FB224B">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FB224B" w:rsidRPr="000203E1" w14:paraId="424571F2" w14:textId="77777777" w:rsidTr="00AF0EEE">
        <w:trPr>
          <w:trHeight w:val="344"/>
          <w:jc w:val="center"/>
        </w:trPr>
        <w:tc>
          <w:tcPr>
            <w:tcW w:w="9439" w:type="dxa"/>
            <w:gridSpan w:val="2"/>
            <w:tcBorders>
              <w:top w:val="single" w:sz="12" w:space="0" w:color="auto"/>
              <w:left w:val="single" w:sz="4" w:space="0" w:color="auto"/>
              <w:right w:val="single" w:sz="4" w:space="0" w:color="auto"/>
            </w:tcBorders>
            <w:vAlign w:val="center"/>
          </w:tcPr>
          <w:p w14:paraId="360393AF" w14:textId="77777777" w:rsidR="00FB224B" w:rsidRPr="000203E1" w:rsidRDefault="00FB224B" w:rsidP="00AF0EEE">
            <w:pPr>
              <w:tabs>
                <w:tab w:val="left" w:pos="567"/>
              </w:tabs>
              <w:jc w:val="center"/>
              <w:rPr>
                <w:b/>
                <w:bCs/>
                <w:sz w:val="26"/>
                <w:szCs w:val="26"/>
                <w:lang w:eastAsia="lt-LT"/>
              </w:rPr>
            </w:pPr>
            <w:r w:rsidRPr="000203E1">
              <w:rPr>
                <w:b/>
                <w:bCs/>
                <w:sz w:val="26"/>
                <w:szCs w:val="26"/>
                <w:lang w:eastAsia="lt-LT"/>
              </w:rPr>
              <w:t>Rezultatai</w:t>
            </w:r>
          </w:p>
        </w:tc>
      </w:tr>
      <w:tr w:rsidR="00FB224B" w:rsidRPr="000203E1" w14:paraId="51DA08C2" w14:textId="77777777" w:rsidTr="00FB224B">
        <w:trPr>
          <w:trHeight w:val="267"/>
          <w:jc w:val="center"/>
        </w:trPr>
        <w:tc>
          <w:tcPr>
            <w:tcW w:w="6200" w:type="dxa"/>
            <w:tcBorders>
              <w:left w:val="single" w:sz="4" w:space="0" w:color="auto"/>
            </w:tcBorders>
          </w:tcPr>
          <w:p w14:paraId="7D3134CA" w14:textId="77777777" w:rsidR="00FB224B" w:rsidRPr="000203E1" w:rsidRDefault="00FB224B" w:rsidP="00AF0EEE">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63C32E74" w14:textId="7029B276" w:rsidR="00FB224B" w:rsidRPr="002B50EA" w:rsidRDefault="00CB0D56" w:rsidP="00AF0EEE">
            <w:pPr>
              <w:tabs>
                <w:tab w:val="left" w:pos="567"/>
              </w:tabs>
              <w:jc w:val="both"/>
              <w:rPr>
                <w:iCs/>
                <w:lang w:eastAsia="lt-LT"/>
              </w:rPr>
            </w:pPr>
            <w:r>
              <w:rPr>
                <w:iCs/>
                <w:lang w:eastAsia="lt-LT"/>
              </w:rPr>
              <w:t>***</w:t>
            </w:r>
          </w:p>
        </w:tc>
      </w:tr>
      <w:tr w:rsidR="00FB224B" w:rsidRPr="000203E1" w14:paraId="54FB4B24" w14:textId="77777777" w:rsidTr="00FB224B">
        <w:trPr>
          <w:trHeight w:val="267"/>
          <w:jc w:val="center"/>
        </w:trPr>
        <w:tc>
          <w:tcPr>
            <w:tcW w:w="6200" w:type="dxa"/>
            <w:tcBorders>
              <w:left w:val="single" w:sz="4" w:space="0" w:color="auto"/>
            </w:tcBorders>
          </w:tcPr>
          <w:p w14:paraId="348ED48B" w14:textId="77777777" w:rsidR="00FB224B" w:rsidRPr="000203E1" w:rsidRDefault="00FB224B" w:rsidP="00AF0EEE">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667C98B5" w14:textId="46BAE3A5" w:rsidR="00FB224B" w:rsidRPr="00E27419" w:rsidRDefault="00CB0D56" w:rsidP="00AF0EEE">
            <w:pPr>
              <w:jc w:val="both"/>
            </w:pPr>
            <w:r>
              <w:t>***</w:t>
            </w:r>
          </w:p>
        </w:tc>
      </w:tr>
      <w:tr w:rsidR="00FB224B" w:rsidRPr="000203E1" w14:paraId="22C2C8B7" w14:textId="77777777" w:rsidTr="00FB224B">
        <w:trPr>
          <w:trHeight w:val="267"/>
          <w:jc w:val="center"/>
        </w:trPr>
        <w:tc>
          <w:tcPr>
            <w:tcW w:w="6200" w:type="dxa"/>
            <w:tcBorders>
              <w:left w:val="single" w:sz="4" w:space="0" w:color="auto"/>
            </w:tcBorders>
          </w:tcPr>
          <w:p w14:paraId="477E99CA" w14:textId="77777777" w:rsidR="00FB224B" w:rsidRPr="000203E1" w:rsidRDefault="00FB224B" w:rsidP="00AF0EEE">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5EDEC1EF" w14:textId="0ABC00D2" w:rsidR="00FB224B" w:rsidRPr="00FB224B" w:rsidRDefault="00CB0D56" w:rsidP="00FB224B">
            <w:r>
              <w:t>***</w:t>
            </w:r>
          </w:p>
        </w:tc>
      </w:tr>
      <w:tr w:rsidR="00CB0D56" w:rsidRPr="000203E1" w14:paraId="674254C2" w14:textId="77777777" w:rsidTr="00FB224B">
        <w:trPr>
          <w:trHeight w:val="267"/>
          <w:jc w:val="center"/>
        </w:trPr>
        <w:tc>
          <w:tcPr>
            <w:tcW w:w="6200" w:type="dxa"/>
            <w:tcBorders>
              <w:left w:val="single" w:sz="4" w:space="0" w:color="auto"/>
            </w:tcBorders>
          </w:tcPr>
          <w:p w14:paraId="259AD49F" w14:textId="77777777" w:rsidR="00CB0D56" w:rsidRPr="000203E1" w:rsidRDefault="00CB0D56" w:rsidP="00CB0D56">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3FDB9DD2" w14:textId="5FDA2569" w:rsidR="00CB0D56" w:rsidRPr="002B50EA" w:rsidRDefault="00CB0D56" w:rsidP="00CB0D56">
            <w:pPr>
              <w:tabs>
                <w:tab w:val="left" w:pos="567"/>
              </w:tabs>
              <w:jc w:val="both"/>
              <w:rPr>
                <w:iCs/>
                <w:lang w:eastAsia="lt-LT"/>
              </w:rPr>
            </w:pPr>
            <w:r w:rsidRPr="004445E1">
              <w:t>***</w:t>
            </w:r>
          </w:p>
        </w:tc>
      </w:tr>
      <w:tr w:rsidR="00CB0D56" w:rsidRPr="000203E1" w14:paraId="41872A02" w14:textId="77777777" w:rsidTr="00FB224B">
        <w:trPr>
          <w:trHeight w:val="267"/>
          <w:jc w:val="center"/>
        </w:trPr>
        <w:tc>
          <w:tcPr>
            <w:tcW w:w="6200" w:type="dxa"/>
            <w:tcBorders>
              <w:left w:val="single" w:sz="4" w:space="0" w:color="auto"/>
            </w:tcBorders>
          </w:tcPr>
          <w:p w14:paraId="76BA7DA6" w14:textId="77777777" w:rsidR="00CB0D56" w:rsidRPr="000203E1" w:rsidRDefault="00CB0D56" w:rsidP="00CB0D56">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6B734E13" w14:textId="21331637" w:rsidR="00CB0D56" w:rsidRPr="002B50EA" w:rsidRDefault="00CB0D56" w:rsidP="00CB0D56">
            <w:pPr>
              <w:tabs>
                <w:tab w:val="left" w:pos="567"/>
              </w:tabs>
              <w:jc w:val="both"/>
              <w:rPr>
                <w:iCs/>
                <w:lang w:eastAsia="lt-LT"/>
              </w:rPr>
            </w:pPr>
            <w:r w:rsidRPr="004445E1">
              <w:t>***</w:t>
            </w:r>
          </w:p>
        </w:tc>
      </w:tr>
      <w:tr w:rsidR="00CB0D56" w:rsidRPr="000203E1" w14:paraId="5FE05B61" w14:textId="77777777" w:rsidTr="00FB224B">
        <w:trPr>
          <w:trHeight w:val="267"/>
          <w:jc w:val="center"/>
        </w:trPr>
        <w:tc>
          <w:tcPr>
            <w:tcW w:w="6200" w:type="dxa"/>
            <w:tcBorders>
              <w:left w:val="single" w:sz="4" w:space="0" w:color="auto"/>
              <w:bottom w:val="single" w:sz="4" w:space="0" w:color="auto"/>
              <w:right w:val="single" w:sz="4" w:space="0" w:color="auto"/>
            </w:tcBorders>
          </w:tcPr>
          <w:p w14:paraId="79637959" w14:textId="77777777" w:rsidR="00CB0D56" w:rsidRPr="000203E1" w:rsidRDefault="00CB0D56" w:rsidP="00CB0D56">
            <w:pPr>
              <w:tabs>
                <w:tab w:val="left" w:pos="567"/>
              </w:tabs>
              <w:jc w:val="right"/>
              <w:rPr>
                <w:iCs/>
                <w:lang w:eastAsia="lt-LT"/>
              </w:rPr>
            </w:pPr>
            <w:r w:rsidRPr="000203E1">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78333760" w14:textId="43554516" w:rsidR="00CB0D56" w:rsidRPr="002B50EA" w:rsidRDefault="00CB0D56" w:rsidP="00CB0D56">
            <w:pPr>
              <w:tabs>
                <w:tab w:val="left" w:pos="567"/>
              </w:tabs>
              <w:jc w:val="both"/>
              <w:rPr>
                <w:iCs/>
                <w:lang w:eastAsia="lt-LT"/>
              </w:rPr>
            </w:pPr>
            <w:r w:rsidRPr="004445E1">
              <w:t>***</w:t>
            </w:r>
          </w:p>
        </w:tc>
      </w:tr>
    </w:tbl>
    <w:p w14:paraId="3D1E7BAB" w14:textId="77777777" w:rsidR="00FB224B" w:rsidRPr="000203E1" w:rsidRDefault="00FB224B" w:rsidP="00FB224B">
      <w:pPr>
        <w:tabs>
          <w:tab w:val="left" w:pos="567"/>
        </w:tabs>
        <w:jc w:val="both"/>
        <w:rPr>
          <w:iCs/>
          <w:sz w:val="20"/>
          <w:lang w:eastAsia="lt-LT"/>
        </w:rPr>
      </w:pPr>
      <w:r w:rsidRPr="000203E1">
        <w:rPr>
          <w:iCs/>
          <w:sz w:val="20"/>
          <w:lang w:eastAsia="lt-LT"/>
        </w:rPr>
        <w:t>ICER – (</w:t>
      </w:r>
      <w:r w:rsidRPr="000203E1">
        <w:rPr>
          <w:i/>
          <w:sz w:val="20"/>
          <w:lang w:eastAsia="lt-LT"/>
        </w:rPr>
        <w:t xml:space="preserve">angl. </w:t>
      </w:r>
      <w:proofErr w:type="spellStart"/>
      <w:r w:rsidRPr="000203E1">
        <w:rPr>
          <w:i/>
          <w:sz w:val="20"/>
          <w:lang w:eastAsia="lt-LT"/>
        </w:rPr>
        <w:t>incremental</w:t>
      </w:r>
      <w:proofErr w:type="spellEnd"/>
      <w:r w:rsidRPr="000203E1">
        <w:rPr>
          <w:i/>
          <w:sz w:val="20"/>
          <w:lang w:eastAsia="lt-LT"/>
        </w:rPr>
        <w:t xml:space="preserve"> </w:t>
      </w:r>
      <w:proofErr w:type="spellStart"/>
      <w:r w:rsidRPr="000203E1">
        <w:rPr>
          <w:i/>
          <w:sz w:val="20"/>
          <w:lang w:eastAsia="lt-LT"/>
        </w:rPr>
        <w:t>cost-effectiveness</w:t>
      </w:r>
      <w:proofErr w:type="spellEnd"/>
      <w:r w:rsidRPr="000203E1">
        <w:rPr>
          <w:i/>
          <w:sz w:val="20"/>
          <w:lang w:eastAsia="lt-LT"/>
        </w:rPr>
        <w:t xml:space="preserve"> </w:t>
      </w:r>
      <w:proofErr w:type="spellStart"/>
      <w:r w:rsidRPr="000203E1">
        <w:rPr>
          <w:i/>
          <w:sz w:val="20"/>
          <w:lang w:eastAsia="lt-LT"/>
        </w:rPr>
        <w:t>ratio</w:t>
      </w:r>
      <w:proofErr w:type="spellEnd"/>
      <w:r w:rsidRPr="000203E1">
        <w:rPr>
          <w:iCs/>
          <w:sz w:val="20"/>
          <w:lang w:eastAsia="lt-LT"/>
        </w:rPr>
        <w:t xml:space="preserve">) </w:t>
      </w:r>
      <w:proofErr w:type="spellStart"/>
      <w:r w:rsidRPr="000203E1">
        <w:rPr>
          <w:iCs/>
          <w:sz w:val="20"/>
          <w:lang w:eastAsia="lt-LT"/>
        </w:rPr>
        <w:t>inkrementinis</w:t>
      </w:r>
      <w:proofErr w:type="spellEnd"/>
      <w:r w:rsidRPr="000203E1">
        <w:rPr>
          <w:iCs/>
          <w:sz w:val="20"/>
          <w:lang w:eastAsia="lt-LT"/>
        </w:rPr>
        <w:t xml:space="preserve"> kaštų naudingumo koeficientas; LY – (</w:t>
      </w:r>
      <w:r w:rsidRPr="000203E1">
        <w:rPr>
          <w:i/>
          <w:sz w:val="20"/>
          <w:lang w:eastAsia="lt-LT"/>
        </w:rPr>
        <w:t xml:space="preserve">angl.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Cs/>
          <w:sz w:val="20"/>
          <w:lang w:eastAsia="lt-LT"/>
        </w:rPr>
        <w:t>) gyvenimo metai; QALY- (</w:t>
      </w:r>
      <w:r w:rsidRPr="000203E1">
        <w:rPr>
          <w:i/>
          <w:sz w:val="20"/>
          <w:lang w:eastAsia="lt-LT"/>
        </w:rPr>
        <w:t xml:space="preserve">angl. </w:t>
      </w:r>
      <w:proofErr w:type="spellStart"/>
      <w:r w:rsidRPr="000203E1">
        <w:rPr>
          <w:i/>
          <w:sz w:val="20"/>
          <w:lang w:eastAsia="lt-LT"/>
        </w:rPr>
        <w:t>quality</w:t>
      </w:r>
      <w:proofErr w:type="spellEnd"/>
      <w:r w:rsidRPr="000203E1">
        <w:rPr>
          <w:i/>
          <w:sz w:val="20"/>
          <w:lang w:eastAsia="lt-LT"/>
        </w:rPr>
        <w:t xml:space="preserve"> </w:t>
      </w:r>
      <w:proofErr w:type="spellStart"/>
      <w:r w:rsidRPr="000203E1">
        <w:rPr>
          <w:i/>
          <w:sz w:val="20"/>
          <w:lang w:eastAsia="lt-LT"/>
        </w:rPr>
        <w:t>adjusted</w:t>
      </w:r>
      <w:proofErr w:type="spellEnd"/>
      <w:r w:rsidRPr="000203E1">
        <w:rPr>
          <w:i/>
          <w:sz w:val="20"/>
          <w:lang w:eastAsia="lt-LT"/>
        </w:rPr>
        <w:t xml:space="preserve">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
          <w:sz w:val="20"/>
          <w:lang w:eastAsia="lt-LT"/>
        </w:rPr>
        <w:t xml:space="preserve">) </w:t>
      </w:r>
      <w:r w:rsidRPr="000203E1">
        <w:rPr>
          <w:iCs/>
          <w:sz w:val="20"/>
          <w:lang w:eastAsia="lt-LT"/>
        </w:rPr>
        <w:t>kokybiški gyvenimo metai.</w:t>
      </w:r>
    </w:p>
    <w:p w14:paraId="522B4A2C" w14:textId="77777777" w:rsidR="00FB224B" w:rsidRDefault="00FB224B" w:rsidP="006F7854">
      <w:pPr>
        <w:spacing w:line="276" w:lineRule="auto"/>
        <w:ind w:firstLine="360"/>
        <w:jc w:val="both"/>
        <w:rPr>
          <w:color w:val="000000"/>
        </w:rPr>
      </w:pPr>
    </w:p>
    <w:p w14:paraId="419502AE" w14:textId="17CC5451" w:rsidR="006F7854" w:rsidRDefault="006F7854" w:rsidP="006F7854">
      <w:pPr>
        <w:spacing w:line="276" w:lineRule="auto"/>
        <w:ind w:firstLine="360"/>
        <w:jc w:val="both"/>
        <w:rPr>
          <w:rFonts w:eastAsia="Arial"/>
        </w:rPr>
      </w:pPr>
      <w:r w:rsidRPr="00B21A20">
        <w:rPr>
          <w:rFonts w:eastAsia="Arial"/>
        </w:rPr>
        <w:t xml:space="preserve">Iš </w:t>
      </w:r>
      <w:r>
        <w:rPr>
          <w:rFonts w:eastAsia="Arial"/>
        </w:rPr>
        <w:t xml:space="preserve">galutinių </w:t>
      </w:r>
      <w:r w:rsidRPr="00B21A20">
        <w:rPr>
          <w:rFonts w:eastAsia="Arial"/>
        </w:rPr>
        <w:t xml:space="preserve">ekonominės analizės rezultatų matyti, kad </w:t>
      </w:r>
      <w:proofErr w:type="spellStart"/>
      <w:r>
        <w:rPr>
          <w:rFonts w:eastAsia="Arial"/>
        </w:rPr>
        <w:t>kanabidiolį</w:t>
      </w:r>
      <w:proofErr w:type="spellEnd"/>
      <w:r>
        <w:rPr>
          <w:rFonts w:eastAsia="Arial"/>
        </w:rPr>
        <w:t xml:space="preserve"> skiriant su įprastu gydymu lyginant su įprastu gydymu sveikatai sukuriama nauda (</w:t>
      </w:r>
      <w:proofErr w:type="spellStart"/>
      <w:r>
        <w:rPr>
          <w:rFonts w:eastAsia="Arial"/>
        </w:rPr>
        <w:t>inkrementiniai</w:t>
      </w:r>
      <w:proofErr w:type="spellEnd"/>
      <w:r>
        <w:rPr>
          <w:rFonts w:eastAsia="Arial"/>
        </w:rPr>
        <w:t xml:space="preserve"> QALYS) - </w:t>
      </w:r>
      <w:r w:rsidR="00CB0D56">
        <w:t>***</w:t>
      </w:r>
      <w:r>
        <w:rPr>
          <w:rFonts w:eastAsia="Arial"/>
        </w:rPr>
        <w:t xml:space="preserve">, </w:t>
      </w:r>
      <w:r w:rsidRPr="00B21A20">
        <w:t xml:space="preserve">o gydymo </w:t>
      </w:r>
      <w:proofErr w:type="spellStart"/>
      <w:r>
        <w:t>kanabidioliu</w:t>
      </w:r>
      <w:proofErr w:type="spellEnd"/>
      <w:r w:rsidRPr="00B21A20">
        <w:t xml:space="preserve"> ka</w:t>
      </w:r>
      <w:r>
        <w:t xml:space="preserve">štai yra </w:t>
      </w:r>
      <w:r w:rsidR="00CB0D56">
        <w:t>***</w:t>
      </w:r>
      <w:r>
        <w:t xml:space="preserve"> </w:t>
      </w:r>
      <w:r w:rsidRPr="00B21A20">
        <w:rPr>
          <w:lang w:eastAsia="lt-LT"/>
        </w:rPr>
        <w:t xml:space="preserve">Eur. </w:t>
      </w:r>
      <w:r w:rsidRPr="00B21A20">
        <w:t>didesni nei standartinio šiuo metu Lietuvoje taikomo gydymo.</w:t>
      </w:r>
      <w:r>
        <w:rPr>
          <w:lang w:eastAsia="lt-LT"/>
        </w:rPr>
        <w:t xml:space="preserve"> Apskaičiuotas ICER – </w:t>
      </w:r>
      <w:r w:rsidR="00CB0D56">
        <w:t>***</w:t>
      </w:r>
      <w:r>
        <w:rPr>
          <w:lang w:eastAsia="lt-LT"/>
        </w:rPr>
        <w:t xml:space="preserve"> </w:t>
      </w:r>
      <w:r w:rsidRPr="00B21A20">
        <w:rPr>
          <w:color w:val="000000"/>
        </w:rPr>
        <w:t>Eur./QALY</w:t>
      </w:r>
      <w:r>
        <w:rPr>
          <w:color w:val="000000"/>
          <w:lang w:eastAsia="lt-LT"/>
        </w:rPr>
        <w:t xml:space="preserve"> (lentelė 18.1.1) </w:t>
      </w:r>
      <w:r w:rsidR="00CB0D56">
        <w:t>***</w:t>
      </w:r>
      <w:r>
        <w:rPr>
          <w:lang w:eastAsia="lt-LT"/>
        </w:rPr>
        <w:t xml:space="preserve"> </w:t>
      </w:r>
      <w:r w:rsidR="00E060AC">
        <w:t>***</w:t>
      </w:r>
      <w:r w:rsidR="00E060AC">
        <w:t xml:space="preserve"> </w:t>
      </w:r>
      <w:r>
        <w:rPr>
          <w:lang w:eastAsia="lt-LT"/>
        </w:rPr>
        <w:t xml:space="preserve"> ligos naštai taikomą referencinę kaštų naudingumo vertę</w:t>
      </w:r>
      <w:r w:rsidR="00CB0D56">
        <w:rPr>
          <w:lang w:eastAsia="lt-LT"/>
        </w:rPr>
        <w:t xml:space="preserve"> (</w:t>
      </w:r>
      <w:r w:rsidR="00CB0D56">
        <w:t>***</w:t>
      </w:r>
      <w:r w:rsidRPr="00B4298C">
        <w:rPr>
          <w:color w:val="000000"/>
          <w:lang w:eastAsia="lt-LT"/>
        </w:rPr>
        <w:t>Eur</w:t>
      </w:r>
      <w:r>
        <w:rPr>
          <w:color w:val="000000"/>
          <w:lang w:eastAsia="lt-LT"/>
        </w:rPr>
        <w:t>.)</w:t>
      </w:r>
      <w:r>
        <w:rPr>
          <w:lang w:eastAsia="lt-LT"/>
        </w:rPr>
        <w:t>.</w:t>
      </w:r>
    </w:p>
    <w:p w14:paraId="0C94A2A2" w14:textId="2A15DBE5" w:rsidR="006F7854" w:rsidRPr="00C4392F" w:rsidRDefault="006F7854" w:rsidP="006F7854">
      <w:pPr>
        <w:spacing w:line="276" w:lineRule="auto"/>
        <w:ind w:firstLine="360"/>
        <w:jc w:val="both"/>
      </w:pPr>
      <w:r w:rsidRPr="00C4392F">
        <w:rPr>
          <w:color w:val="000000"/>
          <w:lang w:eastAsia="lt-LT"/>
        </w:rPr>
        <w:t xml:space="preserve">Iš scenarijų analizės matyti, kad keičiamos prielaidos turi reikšmingos įtakos galutiniam ekonominės analizės rezultatui, pvz.: taikant prielaidą, kai KNA yra </w:t>
      </w:r>
      <w:r w:rsidRPr="00C4392F">
        <w:t xml:space="preserve">taikomas kitas gyvenimo kokybės įverčių šaltinis (TTO </w:t>
      </w:r>
      <w:proofErr w:type="spellStart"/>
      <w:r w:rsidRPr="00C4392F">
        <w:t>Vignette</w:t>
      </w:r>
      <w:proofErr w:type="spellEnd"/>
      <w:r w:rsidRPr="00C4392F">
        <w:t xml:space="preserve"> </w:t>
      </w:r>
      <w:proofErr w:type="spellStart"/>
      <w:r w:rsidRPr="00C4392F">
        <w:t>study</w:t>
      </w:r>
      <w:proofErr w:type="spellEnd"/>
      <w:r w:rsidRPr="00C4392F">
        <w:t xml:space="preserve">), apskaičiuotas ICER - </w:t>
      </w:r>
      <w:r w:rsidR="00CB5DEA">
        <w:t>***</w:t>
      </w:r>
      <w:r w:rsidRPr="00C4392F">
        <w:t xml:space="preserve"> Eur./QALY (</w:t>
      </w:r>
      <w:r w:rsidR="00CB5DEA">
        <w:t>***</w:t>
      </w:r>
      <w:r w:rsidRPr="00C4392F">
        <w:t xml:space="preserve">proc.). Tarnyba vertina, jog </w:t>
      </w:r>
      <w:r w:rsidR="00CB5DEA">
        <w:t>***</w:t>
      </w:r>
      <w:r w:rsidRPr="00C4392F">
        <w:t xml:space="preserve"> rezultato (ICER) variacija priklausomai nuo keičiamų prielaidų rodo </w:t>
      </w:r>
      <w:r w:rsidR="00CB5DEA">
        <w:t xml:space="preserve">*** </w:t>
      </w:r>
      <w:r w:rsidRPr="00C4392F">
        <w:t>modelio tvarumą.</w:t>
      </w:r>
    </w:p>
    <w:p w14:paraId="3D2FD706" w14:textId="38A1AC87" w:rsidR="006F7854" w:rsidRPr="009357DE" w:rsidRDefault="006F7854" w:rsidP="006F7854">
      <w:pPr>
        <w:spacing w:line="276" w:lineRule="auto"/>
        <w:ind w:firstLine="360"/>
        <w:jc w:val="both"/>
        <w:rPr>
          <w:i/>
        </w:rPr>
      </w:pPr>
      <w:r w:rsidRPr="00D20E5E">
        <w:rPr>
          <w:i/>
        </w:rPr>
        <w:t xml:space="preserve">Siekiant, kad apskaičiuotas galutinis ekonominės analizės rezultatas (ICER) atitiktų </w:t>
      </w:r>
      <w:r w:rsidR="00CB5DEA">
        <w:t>***</w:t>
      </w:r>
      <w:r w:rsidRPr="00D20E5E">
        <w:rPr>
          <w:i/>
        </w:rPr>
        <w:t xml:space="preserve"> ligos naštai taikomą referencinę kaštų naudingumo vertę </w:t>
      </w:r>
      <w:r w:rsidR="00CB5DEA">
        <w:t>***</w:t>
      </w:r>
      <w:r w:rsidRPr="00D20E5E">
        <w:rPr>
          <w:color w:val="000000"/>
          <w:lang w:eastAsia="lt-LT"/>
        </w:rPr>
        <w:t>Eur.)</w:t>
      </w:r>
      <w:r w:rsidRPr="00D20E5E">
        <w:rPr>
          <w:i/>
        </w:rPr>
        <w:t xml:space="preserve">, </w:t>
      </w:r>
      <w:proofErr w:type="spellStart"/>
      <w:r w:rsidRPr="00D20E5E">
        <w:rPr>
          <w:i/>
        </w:rPr>
        <w:t>kanabidiolio</w:t>
      </w:r>
      <w:proofErr w:type="spellEnd"/>
      <w:r w:rsidRPr="00D20E5E">
        <w:rPr>
          <w:i/>
        </w:rPr>
        <w:t xml:space="preserve"> (</w:t>
      </w:r>
      <w:proofErr w:type="spellStart"/>
      <w:r w:rsidRPr="00D20E5E">
        <w:rPr>
          <w:i/>
        </w:rPr>
        <w:t>Epidyolex</w:t>
      </w:r>
      <w:proofErr w:type="spellEnd"/>
      <w:r w:rsidRPr="00D20E5E">
        <w:rPr>
          <w:i/>
        </w:rPr>
        <w:t>) bazinę kainą (</w:t>
      </w:r>
      <w:r w:rsidRPr="00D20E5E">
        <w:rPr>
          <w:i/>
          <w:sz w:val="22"/>
          <w:szCs w:val="22"/>
        </w:rPr>
        <w:t xml:space="preserve">100 mg/ml geriamasis tirpalas 100ml N1, </w:t>
      </w:r>
      <w:r w:rsidR="00CB5DEA">
        <w:t>***</w:t>
      </w:r>
      <w:r w:rsidRPr="00D20E5E">
        <w:rPr>
          <w:i/>
          <w:sz w:val="22"/>
          <w:szCs w:val="22"/>
        </w:rPr>
        <w:t>Eur.)</w:t>
      </w:r>
      <w:r w:rsidRPr="00D20E5E">
        <w:rPr>
          <w:i/>
        </w:rPr>
        <w:t xml:space="preserve"> reikalinga </w:t>
      </w:r>
      <w:r w:rsidR="00CB5DEA">
        <w:t>***</w:t>
      </w:r>
      <w:r w:rsidRPr="00D20E5E">
        <w:rPr>
          <w:i/>
        </w:rPr>
        <w:t xml:space="preserve"> ~ </w:t>
      </w:r>
      <w:r w:rsidR="00CB5DEA">
        <w:t>***</w:t>
      </w:r>
      <w:r w:rsidRPr="00D20E5E">
        <w:rPr>
          <w:i/>
        </w:rPr>
        <w:t xml:space="preserve"> proc., kad </w:t>
      </w:r>
      <w:r w:rsidR="001C08D3" w:rsidRPr="001C08D3">
        <w:rPr>
          <w:i/>
        </w:rPr>
        <w:t>***</w:t>
      </w:r>
      <w:r w:rsidR="001C08D3">
        <w:rPr>
          <w:i/>
        </w:rPr>
        <w:t xml:space="preserve"> </w:t>
      </w:r>
      <w:r w:rsidRPr="009357DE">
        <w:rPr>
          <w:i/>
        </w:rPr>
        <w:t xml:space="preserve">faktinė bazinė </w:t>
      </w:r>
      <w:proofErr w:type="spellStart"/>
      <w:r>
        <w:rPr>
          <w:i/>
        </w:rPr>
        <w:t>kanabidiolio</w:t>
      </w:r>
      <w:proofErr w:type="spellEnd"/>
      <w:r>
        <w:rPr>
          <w:i/>
        </w:rPr>
        <w:t xml:space="preserve"> pakuotės </w:t>
      </w:r>
      <w:r w:rsidRPr="009357DE">
        <w:rPr>
          <w:i/>
        </w:rPr>
        <w:t xml:space="preserve">Lietuvai taikoma kaina būtų </w:t>
      </w:r>
      <w:r w:rsidR="00CB5DEA">
        <w:t>***</w:t>
      </w:r>
      <w:r w:rsidRPr="009357DE">
        <w:rPr>
          <w:i/>
        </w:rPr>
        <w:t>Eur.</w:t>
      </w:r>
    </w:p>
    <w:p w14:paraId="63962DBB" w14:textId="77777777" w:rsidR="00D40B99" w:rsidRPr="006D52FA" w:rsidRDefault="00D40B99" w:rsidP="00D40B99">
      <w:pPr>
        <w:tabs>
          <w:tab w:val="left" w:pos="426"/>
        </w:tabs>
        <w:rPr>
          <w:b/>
          <w:bCs/>
          <w:caps/>
          <w:color w:val="FF0000"/>
        </w:rPr>
      </w:pPr>
    </w:p>
    <w:p w14:paraId="13655579" w14:textId="77777777" w:rsidR="00D40B99" w:rsidRPr="006D52FA" w:rsidRDefault="00D40B99" w:rsidP="00D40B99">
      <w:pPr>
        <w:pStyle w:val="ListParagraph"/>
        <w:numPr>
          <w:ilvl w:val="0"/>
          <w:numId w:val="1"/>
        </w:numPr>
        <w:tabs>
          <w:tab w:val="left" w:pos="284"/>
        </w:tabs>
        <w:rPr>
          <w:b/>
          <w:bCs/>
          <w:caps/>
        </w:rPr>
      </w:pPr>
      <w:r w:rsidRPr="006D52FA">
        <w:rPr>
          <w:b/>
          <w:bCs/>
          <w:caps/>
        </w:rPr>
        <w:t xml:space="preserve">Pacientų organizacijų pateikti duomenys </w:t>
      </w:r>
    </w:p>
    <w:p w14:paraId="318CC412" w14:textId="77777777" w:rsidR="00D40B99" w:rsidRPr="006D52FA" w:rsidRDefault="00E060AC" w:rsidP="00D40B99">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D40B99" w:rsidRPr="006D52FA">
            <w:rPr>
              <w:rStyle w:val="Style2"/>
              <w:rFonts w:ascii="MS Gothic" w:eastAsia="MS Gothic" w:hAnsi="MS Gothic" w:hint="eastAsia"/>
            </w:rPr>
            <w:t>☐</w:t>
          </w:r>
        </w:sdtContent>
      </w:sdt>
      <w:r w:rsidR="00D40B99" w:rsidRPr="006D52FA">
        <w:t xml:space="preserve"> Pacientų organizacijos pozicija pateikta. Žr. priedą.</w:t>
      </w:r>
    </w:p>
    <w:p w14:paraId="004ABA77" w14:textId="77777777" w:rsidR="00D40B99" w:rsidRPr="006D52FA" w:rsidRDefault="00E060AC" w:rsidP="00D40B99">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D40B99" w:rsidRPr="006D52FA">
            <w:rPr>
              <w:rStyle w:val="Style2"/>
              <w:rFonts w:ascii="MS Gothic" w:eastAsia="MS Gothic" w:hAnsi="MS Gothic" w:hint="eastAsia"/>
            </w:rPr>
            <w:t>☒</w:t>
          </w:r>
        </w:sdtContent>
      </w:sdt>
      <w:r w:rsidR="00D40B99" w:rsidRPr="006D52FA">
        <w:t xml:space="preserve"> Pacientų organizacijos pozicija nepateikta.</w:t>
      </w:r>
    </w:p>
    <w:p w14:paraId="4DE00520" w14:textId="77777777" w:rsidR="00D40B99" w:rsidRPr="006D52FA" w:rsidRDefault="00D40B99" w:rsidP="00D40B99">
      <w:pPr>
        <w:pStyle w:val="ListParagraph"/>
        <w:numPr>
          <w:ilvl w:val="0"/>
          <w:numId w:val="1"/>
        </w:numPr>
        <w:tabs>
          <w:tab w:val="left" w:pos="426"/>
        </w:tabs>
        <w:rPr>
          <w:b/>
          <w:bCs/>
          <w:caps/>
        </w:rPr>
      </w:pPr>
      <w:r w:rsidRPr="006D52FA">
        <w:rPr>
          <w:b/>
          <w:bCs/>
          <w:caps/>
        </w:rPr>
        <w:t>Gydytojų organizacijų pateikti duomenys</w:t>
      </w:r>
    </w:p>
    <w:p w14:paraId="263188AD" w14:textId="3F99DE11" w:rsidR="00D40B99" w:rsidRPr="006D52FA" w:rsidRDefault="00E060AC" w:rsidP="00D40B99">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D40B99">
            <w:rPr>
              <w:rStyle w:val="Style2"/>
              <w:rFonts w:ascii="MS Gothic" w:eastAsia="MS Gothic" w:hAnsi="MS Gothic" w:hint="eastAsia"/>
            </w:rPr>
            <w:t>☒</w:t>
          </w:r>
        </w:sdtContent>
      </w:sdt>
      <w:r w:rsidR="00D40B99" w:rsidRPr="006D52FA">
        <w:t xml:space="preserve"> Gydytojų specialistų organizacijos pozicija pateikta. Žr. priedą.</w:t>
      </w:r>
    </w:p>
    <w:p w14:paraId="555513DD" w14:textId="428B8EE6" w:rsidR="00D40B99" w:rsidRPr="006D52FA" w:rsidRDefault="00E060AC" w:rsidP="00D40B99">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D40B99">
            <w:rPr>
              <w:rStyle w:val="Style2"/>
              <w:rFonts w:ascii="MS Gothic" w:eastAsia="MS Gothic" w:hAnsi="MS Gothic" w:hint="eastAsia"/>
            </w:rPr>
            <w:t>☐</w:t>
          </w:r>
        </w:sdtContent>
      </w:sdt>
      <w:r w:rsidR="00D40B99" w:rsidRPr="006D52FA">
        <w:t xml:space="preserve"> Gydytojų specialistų organizacijos pozicija nepateikta.</w:t>
      </w:r>
    </w:p>
    <w:p w14:paraId="3BE7D5E9" w14:textId="77777777" w:rsidR="00D40B99" w:rsidRPr="006D52FA" w:rsidRDefault="00D40B99" w:rsidP="00D40B99">
      <w:pPr>
        <w:pStyle w:val="ListParagraph"/>
        <w:numPr>
          <w:ilvl w:val="0"/>
          <w:numId w:val="1"/>
        </w:numPr>
        <w:tabs>
          <w:tab w:val="left" w:pos="426"/>
        </w:tabs>
        <w:rPr>
          <w:b/>
          <w:bCs/>
          <w:caps/>
        </w:rPr>
      </w:pPr>
      <w:r w:rsidRPr="006D52FA">
        <w:rPr>
          <w:b/>
          <w:bCs/>
          <w:caps/>
        </w:rPr>
        <w:t xml:space="preserve">Išvada </w:t>
      </w:r>
    </w:p>
    <w:p w14:paraId="48061034" w14:textId="77777777" w:rsidR="00D40B99" w:rsidRPr="00797153" w:rsidRDefault="00D40B99" w:rsidP="00D40B99">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6F7854" w:rsidRPr="00EA0893" w14:paraId="7144B0C1" w14:textId="77777777" w:rsidTr="00AF0EEE">
        <w:trPr>
          <w:trHeight w:val="510"/>
        </w:trPr>
        <w:tc>
          <w:tcPr>
            <w:tcW w:w="9629" w:type="dxa"/>
            <w:gridSpan w:val="2"/>
            <w:vAlign w:val="center"/>
          </w:tcPr>
          <w:p w14:paraId="627D0564"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5" w:name="_Hlk185374656"/>
            <w:r w:rsidRPr="00EA0893">
              <w:rPr>
                <w:rStyle w:val="Style2"/>
                <w:rFonts w:eastAsia="MS Gothic"/>
                <w:b/>
                <w:bCs/>
                <w:sz w:val="24"/>
                <w:szCs w:val="24"/>
              </w:rPr>
              <w:t>Palyginamasis veiksmingumas</w:t>
            </w:r>
          </w:p>
        </w:tc>
      </w:tr>
      <w:tr w:rsidR="006F7854" w:rsidRPr="00EA0893" w14:paraId="107D6586" w14:textId="77777777" w:rsidTr="00AF0EEE">
        <w:tc>
          <w:tcPr>
            <w:tcW w:w="4815" w:type="dxa"/>
          </w:tcPr>
          <w:p w14:paraId="733DDDBD"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rStyle w:val="Style2"/>
                <w:sz w:val="24"/>
                <w:szCs w:val="24"/>
              </w:rPr>
              <w:t xml:space="preserve"> 29</w:t>
            </w:r>
            <w:r w:rsidR="006F7854" w:rsidRPr="00EA0893">
              <w:rPr>
                <w:sz w:val="24"/>
                <w:szCs w:val="24"/>
              </w:rPr>
              <w:t>.1.1 yra didesnis, lyginant su įprasta klinikine praktika</w:t>
            </w:r>
          </w:p>
          <w:p w14:paraId="27707ECB"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1BCF136"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w:t>
            </w:r>
            <w:r w:rsidR="006F7854" w:rsidRPr="00EA0893">
              <w:rPr>
                <w:rStyle w:val="Style2"/>
                <w:sz w:val="24"/>
                <w:szCs w:val="24"/>
              </w:rPr>
              <w:t>29</w:t>
            </w:r>
            <w:r w:rsidR="006F7854" w:rsidRPr="00EA0893">
              <w:rPr>
                <w:sz w:val="24"/>
                <w:szCs w:val="24"/>
              </w:rPr>
              <w:t>.1.2 iš esmės nesiskiria, lyginant su įprasta klinikine praktika</w:t>
            </w:r>
          </w:p>
        </w:tc>
        <w:tc>
          <w:tcPr>
            <w:tcW w:w="4814" w:type="dxa"/>
          </w:tcPr>
          <w:p w14:paraId="687E78AF"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w:t>
            </w:r>
            <w:r w:rsidR="006F7854" w:rsidRPr="00EA0893">
              <w:rPr>
                <w:rStyle w:val="Style2"/>
                <w:sz w:val="24"/>
                <w:szCs w:val="24"/>
              </w:rPr>
              <w:t>29</w:t>
            </w:r>
            <w:r w:rsidR="006F7854" w:rsidRPr="00EA0893">
              <w:rPr>
                <w:sz w:val="24"/>
                <w:szCs w:val="24"/>
              </w:rPr>
              <w:t xml:space="preserve">.1.3 yra neįrodytas kaip didesnis  ar iš esmės nesiskiriantis, lyginant su įprasta klinikine praktika  </w:t>
            </w:r>
          </w:p>
          <w:p w14:paraId="56E8CA22"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B9F5E28"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w:t>
            </w:r>
            <w:r w:rsidR="006F7854" w:rsidRPr="00EA0893">
              <w:rPr>
                <w:rStyle w:val="Style2"/>
                <w:sz w:val="24"/>
                <w:szCs w:val="24"/>
              </w:rPr>
              <w:t>29</w:t>
            </w:r>
            <w:r w:rsidR="006F7854" w:rsidRPr="00EA0893">
              <w:rPr>
                <w:sz w:val="24"/>
                <w:szCs w:val="24"/>
              </w:rPr>
              <w:t>.1.4 yra mažesnis, lyginant su įprasta klinikine praktika</w:t>
            </w:r>
          </w:p>
          <w:p w14:paraId="6BEBFC45"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739D7CE"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w:t>
            </w:r>
            <w:r w:rsidR="006F7854" w:rsidRPr="00EA0893">
              <w:rPr>
                <w:rStyle w:val="Style2"/>
                <w:sz w:val="24"/>
                <w:szCs w:val="24"/>
              </w:rPr>
              <w:t>29</w:t>
            </w:r>
            <w:r w:rsidR="006F7854" w:rsidRPr="00EA0893">
              <w:rPr>
                <w:sz w:val="24"/>
                <w:szCs w:val="24"/>
              </w:rPr>
              <w:t>.1.5 pateikti duomenys apie palyginamąjį veiksmingumą yra netinkami vertinti</w:t>
            </w:r>
          </w:p>
          <w:p w14:paraId="6118D3AC"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6F7854" w:rsidRPr="00EA0893" w14:paraId="349F85FB" w14:textId="77777777" w:rsidTr="00AF0EEE">
        <w:trPr>
          <w:trHeight w:val="510"/>
        </w:trPr>
        <w:tc>
          <w:tcPr>
            <w:tcW w:w="9629" w:type="dxa"/>
            <w:gridSpan w:val="2"/>
            <w:vAlign w:val="center"/>
          </w:tcPr>
          <w:p w14:paraId="35AC78B5"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6" w:name="_Hlk185374787"/>
            <w:r w:rsidRPr="00EA0893">
              <w:rPr>
                <w:rStyle w:val="Style2"/>
                <w:rFonts w:eastAsia="MS Gothic"/>
                <w:b/>
                <w:bCs/>
                <w:sz w:val="24"/>
                <w:szCs w:val="24"/>
              </w:rPr>
              <w:t>Kaštų naudingumas</w:t>
            </w:r>
          </w:p>
        </w:tc>
      </w:tr>
      <w:tr w:rsidR="006F7854" w:rsidRPr="00EA0893" w14:paraId="4E0B06B5" w14:textId="77777777" w:rsidTr="00AF0EEE">
        <w:tc>
          <w:tcPr>
            <w:tcW w:w="4815" w:type="dxa"/>
          </w:tcPr>
          <w:p w14:paraId="66E3B9EF"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29.2.1 atitinka referencinę naudingumo vertę</w:t>
            </w:r>
          </w:p>
          <w:p w14:paraId="4960F82A"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81D4424"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29.2.2 gydymo juo kaštai yra mažesni ar tokie patys esant iš esmės nesiskiriančiam palyginamajam efektyvumui, taikant arba netaikant  PGS</w:t>
            </w:r>
          </w:p>
        </w:tc>
        <w:tc>
          <w:tcPr>
            <w:tcW w:w="4814" w:type="dxa"/>
          </w:tcPr>
          <w:p w14:paraId="05CBED9A"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29.2.3 neatitinka referencinės naudingumo vertės taikant arba netaikant PGS</w:t>
            </w:r>
          </w:p>
          <w:p w14:paraId="7B66DC39"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41B6826"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29.2.4 gydymo juo kaštai yra didesni esant iš esmės nesiskiriančiam palyginamajam veiksmingumui, taikant arba netaikant PGS</w:t>
            </w:r>
          </w:p>
          <w:p w14:paraId="1A7753F2"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EDC3218" w14:textId="77777777" w:rsidR="006F7854" w:rsidRPr="00EA0893" w:rsidRDefault="00E060AC"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6F7854" w:rsidRPr="00EA0893">
                  <w:rPr>
                    <w:rStyle w:val="Style2"/>
                    <w:rFonts w:ascii="Segoe UI Symbol" w:eastAsia="MS Gothic" w:hAnsi="Segoe UI Symbol" w:cs="Segoe UI Symbol"/>
                    <w:sz w:val="24"/>
                    <w:szCs w:val="24"/>
                  </w:rPr>
                  <w:t>☐</w:t>
                </w:r>
              </w:sdtContent>
            </w:sdt>
            <w:r w:rsidR="006F7854" w:rsidRPr="00EA0893">
              <w:rPr>
                <w:sz w:val="24"/>
                <w:szCs w:val="24"/>
              </w:rPr>
              <w:t xml:space="preserve"> 29.2.5 pateikti duomenys apie kaštų naudingumą yra netinkami vertinti</w:t>
            </w:r>
          </w:p>
          <w:p w14:paraId="107AB1FE" w14:textId="77777777" w:rsidR="006F7854" w:rsidRPr="00EA0893" w:rsidRDefault="006F7854" w:rsidP="00AF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bookmarkEnd w:id="5"/>
      <w:bookmarkEnd w:id="6"/>
    </w:tbl>
    <w:p w14:paraId="180D38C1" w14:textId="77777777" w:rsidR="006F7854" w:rsidRDefault="006F7854" w:rsidP="006F7854">
      <w:pPr>
        <w:pStyle w:val="ListParagraph"/>
        <w:shd w:val="clear" w:color="auto" w:fill="FFFFFF"/>
        <w:tabs>
          <w:tab w:val="left" w:pos="284"/>
        </w:tabs>
        <w:spacing w:line="276" w:lineRule="auto"/>
        <w:rPr>
          <w:rFonts w:eastAsia="Arial"/>
          <w:b/>
        </w:rPr>
      </w:pPr>
    </w:p>
    <w:p w14:paraId="4E470646" w14:textId="77777777" w:rsidR="006F7854" w:rsidRPr="00253CF8" w:rsidRDefault="006F7854" w:rsidP="006F7854">
      <w:pPr>
        <w:pStyle w:val="ListParagraph"/>
        <w:numPr>
          <w:ilvl w:val="0"/>
          <w:numId w:val="10"/>
        </w:numPr>
        <w:shd w:val="clear" w:color="auto" w:fill="FFFFFF"/>
        <w:tabs>
          <w:tab w:val="left" w:pos="284"/>
        </w:tabs>
        <w:spacing w:line="276" w:lineRule="auto"/>
        <w:rPr>
          <w:rFonts w:eastAsia="Arial"/>
          <w:b/>
        </w:rPr>
      </w:pPr>
      <w:r w:rsidRPr="00253CF8">
        <w:rPr>
          <w:rFonts w:eastAsia="Arial"/>
          <w:b/>
        </w:rPr>
        <w:t>REKOMENDACIJA</w:t>
      </w:r>
    </w:p>
    <w:p w14:paraId="15C8942F" w14:textId="77777777" w:rsidR="006F7854" w:rsidRDefault="006F7854" w:rsidP="006F7854">
      <w:pPr>
        <w:pStyle w:val="ListParagraph"/>
        <w:shd w:val="clear" w:color="auto" w:fill="FFFFFF"/>
        <w:tabs>
          <w:tab w:val="left" w:pos="284"/>
        </w:tabs>
        <w:spacing w:line="276" w:lineRule="auto"/>
        <w:ind w:left="426"/>
        <w:rPr>
          <w:rFonts w:eastAsia="Arial"/>
          <w:b/>
        </w:rPr>
      </w:pPr>
    </w:p>
    <w:p w14:paraId="4AE98001" w14:textId="77777777" w:rsidR="006F7854" w:rsidRPr="002A024D" w:rsidRDefault="006F7854" w:rsidP="006F7854">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7AE0714A" w14:textId="77777777" w:rsidR="006F7854" w:rsidRPr="005F26B1" w:rsidRDefault="006F7854" w:rsidP="006F7854">
      <w:pPr>
        <w:pStyle w:val="ListParagraph"/>
        <w:shd w:val="clear" w:color="auto" w:fill="FFFFFF"/>
        <w:tabs>
          <w:tab w:val="left" w:pos="284"/>
        </w:tabs>
        <w:spacing w:line="276" w:lineRule="auto"/>
        <w:ind w:left="426"/>
        <w:rPr>
          <w:rFonts w:eastAsia="Arial"/>
          <w:b/>
        </w:rPr>
      </w:pPr>
    </w:p>
    <w:p w14:paraId="0F67164D" w14:textId="77777777" w:rsidR="006F7854" w:rsidRDefault="006F7854" w:rsidP="006F7854"/>
    <w:p w14:paraId="6C119E90" w14:textId="77777777" w:rsidR="000659A8" w:rsidRPr="00E33EFF" w:rsidRDefault="000659A8" w:rsidP="000659A8">
      <w:pPr>
        <w:tabs>
          <w:tab w:val="left" w:pos="567"/>
        </w:tabs>
        <w:spacing w:line="276" w:lineRule="auto"/>
        <w:ind w:left="567" w:hanging="567"/>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7AFCEBAD" w14:textId="77777777" w:rsidR="000659A8" w:rsidRPr="00E33EFF" w:rsidRDefault="000659A8" w:rsidP="000659A8">
      <w:pPr>
        <w:tabs>
          <w:tab w:val="left" w:pos="426"/>
        </w:tabs>
        <w:spacing w:line="276" w:lineRule="auto"/>
        <w:jc w:val="both"/>
        <w:rPr>
          <w:b/>
          <w:color w:val="000000"/>
          <w:lang w:eastAsia="lt-LT"/>
        </w:rPr>
      </w:pPr>
    </w:p>
    <w:p w14:paraId="53EA454E" w14:textId="77777777" w:rsidR="000659A8" w:rsidRPr="00DC5BAC" w:rsidRDefault="000659A8" w:rsidP="009E67E7">
      <w:pPr>
        <w:spacing w:line="276" w:lineRule="auto"/>
        <w:jc w:val="both"/>
        <w:rPr>
          <w:b/>
          <w:lang w:eastAsia="lt-LT"/>
        </w:rPr>
      </w:pPr>
      <w:r w:rsidRPr="00DC5BAC">
        <w:rPr>
          <w:b/>
          <w:lang w:eastAsia="lt-LT"/>
        </w:rPr>
        <w:t>Terapinės indikacijos</w:t>
      </w:r>
    </w:p>
    <w:p w14:paraId="107A19ED" w14:textId="5DFA83E6" w:rsidR="00CA30AF" w:rsidRPr="00FA77CC" w:rsidRDefault="00CA30AF" w:rsidP="009E67E7">
      <w:pPr>
        <w:jc w:val="both"/>
      </w:pPr>
      <w:proofErr w:type="spellStart"/>
      <w:r w:rsidRPr="00FA77CC">
        <w:t>Epidyolex</w:t>
      </w:r>
      <w:proofErr w:type="spellEnd"/>
      <w:r w:rsidRPr="00FA77CC">
        <w:t xml:space="preserve"> skirtas vartoti kartu su </w:t>
      </w:r>
      <w:proofErr w:type="spellStart"/>
      <w:r w:rsidRPr="00FA77CC">
        <w:t>klobazamu</w:t>
      </w:r>
      <w:proofErr w:type="spellEnd"/>
      <w:r w:rsidRPr="00FA77CC">
        <w:t xml:space="preserve"> kaip papildoma priemonė gydyti traukulius, susijusius su </w:t>
      </w:r>
      <w:proofErr w:type="spellStart"/>
      <w:r w:rsidRPr="00FA77CC">
        <w:t>Lenokso-Gasto</w:t>
      </w:r>
      <w:proofErr w:type="spellEnd"/>
      <w:r w:rsidRPr="00FA77CC">
        <w:t xml:space="preserve"> (</w:t>
      </w:r>
      <w:proofErr w:type="spellStart"/>
      <w:r w:rsidRPr="00FA77CC">
        <w:t>Lennox-Gastaut</w:t>
      </w:r>
      <w:proofErr w:type="spellEnd"/>
      <w:r w:rsidRPr="00FA77CC">
        <w:t xml:space="preserve">) sindromu, </w:t>
      </w:r>
      <w:bookmarkStart w:id="7" w:name="_Hlk199190679"/>
      <w:r w:rsidRPr="00FA77CC">
        <w:t>2 metų ir vyresniems pacientams</w:t>
      </w:r>
      <w:bookmarkEnd w:id="7"/>
      <w:r w:rsidRPr="00FA77CC">
        <w:t>.</w:t>
      </w:r>
    </w:p>
    <w:p w14:paraId="5D71AC1B" w14:textId="77777777" w:rsidR="000659A8" w:rsidRDefault="000659A8" w:rsidP="009E67E7">
      <w:pPr>
        <w:jc w:val="both"/>
      </w:pPr>
    </w:p>
    <w:p w14:paraId="6CE481CA" w14:textId="77777777" w:rsidR="000659A8" w:rsidRPr="00E33EFF" w:rsidRDefault="000659A8" w:rsidP="009E67E7">
      <w:pPr>
        <w:spacing w:line="276" w:lineRule="auto"/>
        <w:jc w:val="both"/>
        <w:rPr>
          <w:b/>
        </w:rPr>
      </w:pPr>
      <w:r w:rsidRPr="00E33EFF">
        <w:rPr>
          <w:b/>
        </w:rPr>
        <w:t>Skyrimo sąlygos</w:t>
      </w:r>
    </w:p>
    <w:p w14:paraId="15541780" w14:textId="77777777" w:rsidR="000659A8" w:rsidRDefault="000659A8" w:rsidP="009E67E7">
      <w:pPr>
        <w:spacing w:line="276" w:lineRule="auto"/>
        <w:jc w:val="both"/>
      </w:pPr>
      <w:r w:rsidRPr="00E33EFF">
        <w:t>Siūloma skyrimo sąlygų formuluotė</w:t>
      </w:r>
      <w:r>
        <w:t>.</w:t>
      </w:r>
    </w:p>
    <w:p w14:paraId="2EC24813" w14:textId="1B09DE5A" w:rsidR="00CA30AF" w:rsidRDefault="00CA30AF" w:rsidP="009E67E7">
      <w:pPr>
        <w:jc w:val="both"/>
      </w:pPr>
      <w:r w:rsidRPr="00E65BC7">
        <w:t xml:space="preserve">Skiriamas </w:t>
      </w:r>
      <w:r>
        <w:t xml:space="preserve">derinyje su </w:t>
      </w:r>
      <w:proofErr w:type="spellStart"/>
      <w:r>
        <w:t>klobazamu</w:t>
      </w:r>
      <w:proofErr w:type="spellEnd"/>
      <w:r>
        <w:t xml:space="preserve"> </w:t>
      </w:r>
      <w:r w:rsidR="00E74CB3" w:rsidRPr="00FA77CC">
        <w:t>2 metų ir vyresniems pacientams</w:t>
      </w:r>
      <w:r w:rsidR="00E74CB3" w:rsidRPr="00E65BC7">
        <w:t xml:space="preserve"> </w:t>
      </w:r>
      <w:r w:rsidRPr="00E65BC7">
        <w:t>sveikatos apsaugos ministro nustatyta tvarka</w:t>
      </w:r>
      <w:r>
        <w:t xml:space="preserve"> traukuliams, susijusiems su </w:t>
      </w:r>
      <w:proofErr w:type="spellStart"/>
      <w:r w:rsidRPr="004E172B">
        <w:rPr>
          <w:i/>
          <w:iCs/>
          <w:lang w:eastAsia="lt-LT"/>
        </w:rPr>
        <w:t>Lennox-Gastaut</w:t>
      </w:r>
      <w:proofErr w:type="spellEnd"/>
      <w:r>
        <w:t xml:space="preserve"> sindromu</w:t>
      </w:r>
      <w:r w:rsidRPr="00E65BC7">
        <w:t xml:space="preserve"> gydyti, kai </w:t>
      </w:r>
      <w:r w:rsidRPr="004C2042">
        <w:t xml:space="preserve">gydymas </w:t>
      </w:r>
      <w:r w:rsidR="00452BD4" w:rsidRPr="004C2042">
        <w:t>dviem ar daugiau vaistinių preparatų nuo traukulių neveiksmingas</w:t>
      </w:r>
      <w:r w:rsidRPr="004C2042">
        <w:t>, nusprend</w:t>
      </w:r>
      <w:r w:rsidRPr="00E65BC7">
        <w:t>us gydytojų vaikų neurologų ar gydytojų neurologų, teikiančių III lygio asmens sveikatos priežiūros paslaugas, konsiliumui.</w:t>
      </w:r>
    </w:p>
    <w:p w14:paraId="6E53BDBE" w14:textId="77777777" w:rsidR="00CA30AF" w:rsidRDefault="00CA30AF" w:rsidP="009E67E7">
      <w:pPr>
        <w:jc w:val="both"/>
      </w:pPr>
    </w:p>
    <w:p w14:paraId="2DA41AB4" w14:textId="77777777" w:rsidR="000659A8" w:rsidRPr="004E172B" w:rsidRDefault="000659A8" w:rsidP="009E67E7">
      <w:pPr>
        <w:jc w:val="both"/>
        <w:rPr>
          <w:i/>
          <w:iCs/>
        </w:rPr>
      </w:pPr>
      <w:r w:rsidRPr="004E172B">
        <w:rPr>
          <w:i/>
          <w:iCs/>
        </w:rPr>
        <w:t>Pastaba</w:t>
      </w:r>
    </w:p>
    <w:p w14:paraId="64757287" w14:textId="7ED41D31" w:rsidR="00930D88" w:rsidRPr="00BA086F" w:rsidRDefault="00930D88" w:rsidP="009E67E7">
      <w:pPr>
        <w:jc w:val="both"/>
      </w:pPr>
      <w:r>
        <w:t xml:space="preserve">Priėmus sprendimą įrašyti vaistinį preparatą </w:t>
      </w:r>
      <w:proofErr w:type="spellStart"/>
      <w:r w:rsidRPr="004E172B">
        <w:rPr>
          <w:i/>
          <w:iCs/>
        </w:rPr>
        <w:t>Epidiolex</w:t>
      </w:r>
      <w:proofErr w:type="spellEnd"/>
      <w:r>
        <w:t xml:space="preserve">  į </w:t>
      </w:r>
      <w:r w:rsidRPr="004E172B">
        <w:t>ligų ir kompensuojamųjų vaistų joms gydyti sąraš</w:t>
      </w:r>
      <w:r>
        <w:t>ą</w:t>
      </w:r>
      <w:r w:rsidRPr="00BA086F">
        <w:t> (</w:t>
      </w:r>
      <w:r>
        <w:t>A</w:t>
      </w:r>
      <w:r w:rsidR="00452BD4">
        <w:t xml:space="preserve"> </w:t>
      </w:r>
      <w:r w:rsidRPr="00BA086F">
        <w:t>sąrašas)</w:t>
      </w:r>
      <w:r>
        <w:t xml:space="preserve"> būtina papildyti e</w:t>
      </w:r>
      <w:r w:rsidRPr="004E172B">
        <w:t>pilepsijos diagnostikos ir gydymo vaistais, kurių įsigijimo išlaidos apmokamos privalomojo sveikatos draudimo fondo biudžeto lėšomis, tvarkos apraš</w:t>
      </w:r>
      <w:r>
        <w:t>ą.</w:t>
      </w:r>
    </w:p>
    <w:p w14:paraId="053CE2BF" w14:textId="77777777" w:rsidR="00D40B99" w:rsidRDefault="00D40B99" w:rsidP="00D40B99"/>
    <w:p w14:paraId="18F81130" w14:textId="77777777" w:rsidR="00E45C5F" w:rsidRDefault="00E45C5F"/>
    <w:sectPr w:rsidR="00E45C5F"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B32E" w14:textId="77777777" w:rsidR="00630E32" w:rsidRDefault="00630E32">
      <w:r>
        <w:separator/>
      </w:r>
    </w:p>
  </w:endnote>
  <w:endnote w:type="continuationSeparator" w:id="0">
    <w:p w14:paraId="763E7FCF" w14:textId="77777777" w:rsidR="00630E32" w:rsidRDefault="0063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08F" w14:textId="77777777" w:rsidR="00E45C5F" w:rsidRDefault="00E45C5F">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281F" w14:textId="77777777" w:rsidR="00630E32" w:rsidRDefault="00630E32">
      <w:r>
        <w:separator/>
      </w:r>
    </w:p>
  </w:footnote>
  <w:footnote w:type="continuationSeparator" w:id="0">
    <w:p w14:paraId="7516D550" w14:textId="77777777" w:rsidR="00630E32" w:rsidRDefault="0063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4FCC" w14:textId="77777777" w:rsidR="00E45C5F" w:rsidRDefault="00E45C5F"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44"/>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F736C1"/>
    <w:multiLevelType w:val="hybridMultilevel"/>
    <w:tmpl w:val="85A21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911147"/>
    <w:multiLevelType w:val="hybridMultilevel"/>
    <w:tmpl w:val="A5321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656A3B"/>
    <w:multiLevelType w:val="multilevel"/>
    <w:tmpl w:val="F12CAA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FA7373"/>
    <w:multiLevelType w:val="hybridMultilevel"/>
    <w:tmpl w:val="9A2A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37D2B"/>
    <w:multiLevelType w:val="hybridMultilevel"/>
    <w:tmpl w:val="50F06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759040A"/>
    <w:multiLevelType w:val="hybridMultilevel"/>
    <w:tmpl w:val="38D84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4C6327"/>
    <w:multiLevelType w:val="hybridMultilevel"/>
    <w:tmpl w:val="36888A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47467C6"/>
    <w:multiLevelType w:val="hybridMultilevel"/>
    <w:tmpl w:val="A50E9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9410613">
    <w:abstractNumId w:val="1"/>
  </w:num>
  <w:num w:numId="2" w16cid:durableId="2073968528">
    <w:abstractNumId w:val="5"/>
  </w:num>
  <w:num w:numId="3" w16cid:durableId="675231674">
    <w:abstractNumId w:val="3"/>
  </w:num>
  <w:num w:numId="4" w16cid:durableId="412361262">
    <w:abstractNumId w:val="4"/>
  </w:num>
  <w:num w:numId="5" w16cid:durableId="1363046178">
    <w:abstractNumId w:val="6"/>
  </w:num>
  <w:num w:numId="6" w16cid:durableId="1837384369">
    <w:abstractNumId w:val="7"/>
  </w:num>
  <w:num w:numId="7" w16cid:durableId="139663629">
    <w:abstractNumId w:val="9"/>
  </w:num>
  <w:num w:numId="8" w16cid:durableId="452480570">
    <w:abstractNumId w:val="2"/>
  </w:num>
  <w:num w:numId="9" w16cid:durableId="1489324199">
    <w:abstractNumId w:val="8"/>
  </w:num>
  <w:num w:numId="10" w16cid:durableId="143000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99"/>
    <w:rsid w:val="00025E44"/>
    <w:rsid w:val="000659A8"/>
    <w:rsid w:val="00080DB9"/>
    <w:rsid w:val="000B599C"/>
    <w:rsid w:val="000D345D"/>
    <w:rsid w:val="001137F1"/>
    <w:rsid w:val="001212BC"/>
    <w:rsid w:val="00136B1E"/>
    <w:rsid w:val="00197042"/>
    <w:rsid w:val="001A1086"/>
    <w:rsid w:val="001A465F"/>
    <w:rsid w:val="001B7640"/>
    <w:rsid w:val="001C08D3"/>
    <w:rsid w:val="001D516F"/>
    <w:rsid w:val="00212985"/>
    <w:rsid w:val="002276F2"/>
    <w:rsid w:val="00237279"/>
    <w:rsid w:val="002A0C91"/>
    <w:rsid w:val="002A4216"/>
    <w:rsid w:val="002C0709"/>
    <w:rsid w:val="002F597C"/>
    <w:rsid w:val="0030743D"/>
    <w:rsid w:val="00312BC5"/>
    <w:rsid w:val="003607DF"/>
    <w:rsid w:val="0038441A"/>
    <w:rsid w:val="004039B0"/>
    <w:rsid w:val="004119AF"/>
    <w:rsid w:val="00452BD4"/>
    <w:rsid w:val="00493735"/>
    <w:rsid w:val="004A479F"/>
    <w:rsid w:val="004C2042"/>
    <w:rsid w:val="004C47BC"/>
    <w:rsid w:val="004D1F5A"/>
    <w:rsid w:val="004E2B3F"/>
    <w:rsid w:val="004E6480"/>
    <w:rsid w:val="00551811"/>
    <w:rsid w:val="00563FAC"/>
    <w:rsid w:val="00593BEF"/>
    <w:rsid w:val="00595C48"/>
    <w:rsid w:val="005D4DB7"/>
    <w:rsid w:val="00613362"/>
    <w:rsid w:val="00622897"/>
    <w:rsid w:val="00630E32"/>
    <w:rsid w:val="00646737"/>
    <w:rsid w:val="006C6423"/>
    <w:rsid w:val="006F64F1"/>
    <w:rsid w:val="006F7769"/>
    <w:rsid w:val="006F7854"/>
    <w:rsid w:val="006F7D17"/>
    <w:rsid w:val="007D62AA"/>
    <w:rsid w:val="007F376F"/>
    <w:rsid w:val="00814591"/>
    <w:rsid w:val="00864124"/>
    <w:rsid w:val="00892F58"/>
    <w:rsid w:val="008E3358"/>
    <w:rsid w:val="0091634E"/>
    <w:rsid w:val="00930D88"/>
    <w:rsid w:val="00954853"/>
    <w:rsid w:val="009C06FE"/>
    <w:rsid w:val="009E67E7"/>
    <w:rsid w:val="009F06B7"/>
    <w:rsid w:val="00A72C58"/>
    <w:rsid w:val="00A854AC"/>
    <w:rsid w:val="00A923C3"/>
    <w:rsid w:val="00A94D2C"/>
    <w:rsid w:val="00AA6E0F"/>
    <w:rsid w:val="00AF15D3"/>
    <w:rsid w:val="00B570B4"/>
    <w:rsid w:val="00B726AE"/>
    <w:rsid w:val="00BC269A"/>
    <w:rsid w:val="00BC722B"/>
    <w:rsid w:val="00C83548"/>
    <w:rsid w:val="00C90612"/>
    <w:rsid w:val="00CA30AF"/>
    <w:rsid w:val="00CB0D56"/>
    <w:rsid w:val="00CB5DEA"/>
    <w:rsid w:val="00CF7088"/>
    <w:rsid w:val="00D030A5"/>
    <w:rsid w:val="00D40B99"/>
    <w:rsid w:val="00D46E0B"/>
    <w:rsid w:val="00D77FFA"/>
    <w:rsid w:val="00DF2DB6"/>
    <w:rsid w:val="00E00C5C"/>
    <w:rsid w:val="00E060AC"/>
    <w:rsid w:val="00E43B32"/>
    <w:rsid w:val="00E45C5F"/>
    <w:rsid w:val="00E74CB3"/>
    <w:rsid w:val="00E75EED"/>
    <w:rsid w:val="00EC0FC7"/>
    <w:rsid w:val="00ED65BA"/>
    <w:rsid w:val="00EF5063"/>
    <w:rsid w:val="00F43994"/>
    <w:rsid w:val="00FA77CC"/>
    <w:rsid w:val="00FB224B"/>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AA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99"/>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B99"/>
    <w:pPr>
      <w:tabs>
        <w:tab w:val="center" w:pos="4986"/>
        <w:tab w:val="right" w:pos="9972"/>
      </w:tabs>
    </w:pPr>
  </w:style>
  <w:style w:type="character" w:customStyle="1" w:styleId="HeaderChar">
    <w:name w:val="Header Char"/>
    <w:basedOn w:val="DefaultParagraphFont"/>
    <w:link w:val="Header"/>
    <w:rsid w:val="00D40B99"/>
    <w:rPr>
      <w:rFonts w:ascii="Times New Roman" w:eastAsia="Times New Roman" w:hAnsi="Times New Roman" w:cs="Times New Roman"/>
      <w:lang w:val="lt-LT"/>
    </w:rPr>
  </w:style>
  <w:style w:type="paragraph" w:styleId="Footer">
    <w:name w:val="footer"/>
    <w:basedOn w:val="Normal"/>
    <w:link w:val="FooterChar"/>
    <w:uiPriority w:val="99"/>
    <w:rsid w:val="00D40B99"/>
    <w:pPr>
      <w:tabs>
        <w:tab w:val="center" w:pos="4986"/>
        <w:tab w:val="right" w:pos="9972"/>
      </w:tabs>
    </w:pPr>
  </w:style>
  <w:style w:type="character" w:customStyle="1" w:styleId="FooterChar">
    <w:name w:val="Footer Char"/>
    <w:basedOn w:val="DefaultParagraphFont"/>
    <w:link w:val="Footer"/>
    <w:uiPriority w:val="99"/>
    <w:rsid w:val="00D40B99"/>
    <w:rPr>
      <w:rFonts w:ascii="Times New Roman" w:eastAsia="Times New Roman" w:hAnsi="Times New Roman" w:cs="Times New Roman"/>
      <w:lang w:val="lt-LT"/>
    </w:rPr>
  </w:style>
  <w:style w:type="character" w:styleId="PageNumber">
    <w:name w:val="page number"/>
    <w:basedOn w:val="DefaultParagraphFont"/>
    <w:rsid w:val="00D40B99"/>
  </w:style>
  <w:style w:type="table" w:styleId="TableGrid">
    <w:name w:val="Table Grid"/>
    <w:aliases w:val="Summary box,Dossier Table"/>
    <w:basedOn w:val="TableNormal"/>
    <w:rsid w:val="00D40B9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1,Use Case List Paragraph,List Paragraph1,Body Bullet,Table Number Paragraph,Colorful List - Accent 11,List Paragraph 1,Ref,B1,Figure_name,bu1,bu1 + Before:  0 pt,After:  6 pt,Bullet for no #'s,Paragraph,lp1"/>
    <w:basedOn w:val="Normal"/>
    <w:link w:val="ListParagraphChar"/>
    <w:uiPriority w:val="34"/>
    <w:qFormat/>
    <w:rsid w:val="00D40B99"/>
    <w:pPr>
      <w:ind w:left="720"/>
      <w:contextualSpacing/>
    </w:pPr>
  </w:style>
  <w:style w:type="character" w:customStyle="1" w:styleId="Style2">
    <w:name w:val="Style2"/>
    <w:basedOn w:val="DefaultParagraphFont"/>
    <w:uiPriority w:val="1"/>
    <w:rsid w:val="00D40B99"/>
    <w:rPr>
      <w:sz w:val="32"/>
    </w:rPr>
  </w:style>
  <w:style w:type="character" w:styleId="PlaceholderText">
    <w:name w:val="Placeholder Text"/>
    <w:basedOn w:val="DefaultParagraphFont"/>
    <w:uiPriority w:val="99"/>
    <w:rsid w:val="00D40B99"/>
    <w:rPr>
      <w:color w:val="808080"/>
    </w:rPr>
  </w:style>
  <w:style w:type="paragraph" w:styleId="NoSpacing">
    <w:name w:val="No Spacing"/>
    <w:aliases w:val="~BaseStyle,PBAC Table Footnote"/>
    <w:link w:val="NoSpacingChar"/>
    <w:uiPriority w:val="1"/>
    <w:qFormat/>
    <w:rsid w:val="00D40B99"/>
    <w:rPr>
      <w:rFonts w:ascii="Calibri" w:eastAsia="Calibri" w:hAnsi="Calibri" w:cs="Times New Roman"/>
      <w:sz w:val="22"/>
      <w:szCs w:val="22"/>
      <w:lang w:val="lt-LT"/>
    </w:rPr>
  </w:style>
  <w:style w:type="character" w:customStyle="1" w:styleId="ListParagraphChar">
    <w:name w:val="List Paragraph Char"/>
    <w:aliases w:val="Bullet List Char,Bullet1 Char,Use Case List Paragraph Char,List Paragraph1 Char,Body Bullet Char,Table Number Paragraph Char,Colorful List - Accent 11 Char,List Paragraph 1 Char,Ref Char,B1 Char,Figure_name Char,bu1 Char,lp1 Char"/>
    <w:basedOn w:val="DefaultParagraphFont"/>
    <w:link w:val="ListParagraph"/>
    <w:uiPriority w:val="34"/>
    <w:qFormat/>
    <w:rsid w:val="00D40B99"/>
    <w:rPr>
      <w:rFonts w:ascii="Times New Roman" w:eastAsia="Times New Roman" w:hAnsi="Times New Roman" w:cs="Times New Roman"/>
      <w:lang w:val="lt-LT"/>
    </w:rPr>
  </w:style>
  <w:style w:type="paragraph" w:styleId="BodyText">
    <w:name w:val="Body Text"/>
    <w:basedOn w:val="Normal"/>
    <w:link w:val="BodyTextChar"/>
    <w:uiPriority w:val="1"/>
    <w:unhideWhenUsed/>
    <w:qFormat/>
    <w:rsid w:val="00D40B99"/>
    <w:pPr>
      <w:spacing w:after="120"/>
    </w:pPr>
    <w:rPr>
      <w:szCs w:val="20"/>
    </w:rPr>
  </w:style>
  <w:style w:type="character" w:customStyle="1" w:styleId="BodyTextChar">
    <w:name w:val="Body Text Char"/>
    <w:basedOn w:val="DefaultParagraphFont"/>
    <w:link w:val="BodyText"/>
    <w:uiPriority w:val="1"/>
    <w:rsid w:val="00D40B99"/>
    <w:rPr>
      <w:rFonts w:ascii="Times New Roman" w:eastAsia="Times New Roman" w:hAnsi="Times New Roman" w:cs="Times New Roman"/>
      <w:szCs w:val="20"/>
      <w:lang w:val="lt-LT"/>
    </w:rPr>
  </w:style>
  <w:style w:type="paragraph" w:customStyle="1" w:styleId="0TEXT">
    <w:name w:val="0: TEXT"/>
    <w:basedOn w:val="Normal"/>
    <w:link w:val="0TEXTChar"/>
    <w:qFormat/>
    <w:rsid w:val="00D40B99"/>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D40B99"/>
    <w:rPr>
      <w:rFonts w:ascii="Times New Roman" w:hAnsi="Times New Roman" w:cs="Times New Roman"/>
      <w:bCs/>
      <w:color w:val="000000"/>
    </w:rPr>
  </w:style>
  <w:style w:type="character" w:customStyle="1" w:styleId="NoSpacingChar">
    <w:name w:val="No Spacing Char"/>
    <w:aliases w:val="~BaseStyle Char,PBAC Table Footnote Char"/>
    <w:basedOn w:val="DefaultParagraphFont"/>
    <w:link w:val="NoSpacing"/>
    <w:uiPriority w:val="1"/>
    <w:locked/>
    <w:rsid w:val="00814591"/>
    <w:rPr>
      <w:rFonts w:ascii="Calibri" w:eastAsia="Calibri" w:hAnsi="Calibri" w:cs="Times New Roman"/>
      <w:sz w:val="22"/>
      <w:szCs w:val="22"/>
      <w:lang w:val="lt-LT"/>
    </w:rPr>
  </w:style>
  <w:style w:type="paragraph" w:customStyle="1" w:styleId="SMCTableText">
    <w:name w:val="SMC Table Text"/>
    <w:basedOn w:val="Normal"/>
    <w:link w:val="SMCTableTextChar"/>
    <w:qFormat/>
    <w:rsid w:val="00814591"/>
    <w:pPr>
      <w:spacing w:before="60" w:after="60"/>
    </w:pPr>
    <w:rPr>
      <w:rFonts w:ascii="Calibri" w:hAnsi="Calibri"/>
      <w:sz w:val="22"/>
      <w:lang w:val="en-GB"/>
    </w:rPr>
  </w:style>
  <w:style w:type="character" w:customStyle="1" w:styleId="SMCTableTextChar">
    <w:name w:val="SMC Table Text Char"/>
    <w:link w:val="SMCTableText"/>
    <w:rsid w:val="00814591"/>
    <w:rPr>
      <w:rFonts w:ascii="Calibri" w:eastAsia="Times New Roman" w:hAnsi="Calibri" w:cs="Times New Roman"/>
      <w:sz w:val="22"/>
    </w:rPr>
  </w:style>
  <w:style w:type="table" w:customStyle="1" w:styleId="Lentelstinklelis1">
    <w:name w:val="Lentelės tinklelis1"/>
    <w:basedOn w:val="TableNormal"/>
    <w:next w:val="TableGrid"/>
    <w:rsid w:val="00FB224B"/>
    <w:rPr>
      <w:rFonts w:ascii="Times New Roman" w:eastAsia="Times New Roman" w:hAnsi="Times New Roman" w:cs="Times New Roman"/>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811"/>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493735"/>
    <w:rPr>
      <w:sz w:val="16"/>
      <w:szCs w:val="16"/>
    </w:rPr>
  </w:style>
  <w:style w:type="paragraph" w:styleId="CommentText">
    <w:name w:val="annotation text"/>
    <w:basedOn w:val="Normal"/>
    <w:link w:val="CommentTextChar"/>
    <w:uiPriority w:val="99"/>
    <w:unhideWhenUsed/>
    <w:rsid w:val="00493735"/>
    <w:rPr>
      <w:sz w:val="20"/>
      <w:szCs w:val="20"/>
    </w:rPr>
  </w:style>
  <w:style w:type="character" w:customStyle="1" w:styleId="CommentTextChar">
    <w:name w:val="Comment Text Char"/>
    <w:basedOn w:val="DefaultParagraphFont"/>
    <w:link w:val="CommentText"/>
    <w:uiPriority w:val="99"/>
    <w:rsid w:val="0049373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93735"/>
    <w:rPr>
      <w:b/>
      <w:bCs/>
    </w:rPr>
  </w:style>
  <w:style w:type="character" w:customStyle="1" w:styleId="CommentSubjectChar">
    <w:name w:val="Comment Subject Char"/>
    <w:basedOn w:val="CommentTextChar"/>
    <w:link w:val="CommentSubject"/>
    <w:uiPriority w:val="99"/>
    <w:semiHidden/>
    <w:rsid w:val="0049373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4C2042"/>
    <w:rPr>
      <w:sz w:val="18"/>
      <w:szCs w:val="18"/>
    </w:rPr>
  </w:style>
  <w:style w:type="character" w:customStyle="1" w:styleId="BalloonTextChar">
    <w:name w:val="Balloon Text Char"/>
    <w:basedOn w:val="DefaultParagraphFont"/>
    <w:link w:val="BalloonText"/>
    <w:uiPriority w:val="99"/>
    <w:semiHidden/>
    <w:rsid w:val="004C2042"/>
    <w:rPr>
      <w:rFonts w:ascii="Times New Roman" w:eastAsia="Times New Roman" w:hAnsi="Times New Roman" w:cs="Times New Roman"/>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EAB4E0D06D4B8A76912AA2CC3A86"/>
        <w:category>
          <w:name w:val="General"/>
          <w:gallery w:val="placeholder"/>
        </w:category>
        <w:types>
          <w:type w:val="bbPlcHdr"/>
        </w:types>
        <w:behaviors>
          <w:behavior w:val="content"/>
        </w:behaviors>
        <w:guid w:val="{7668FC87-1A95-014F-B4C8-F4AE9AD995F1}"/>
      </w:docPartPr>
      <w:docPartBody>
        <w:p w:rsidR="002D3F42" w:rsidRDefault="001A0447" w:rsidP="001A0447">
          <w:pPr>
            <w:pStyle w:val="B251EAB4E0D06D4B8A76912AA2CC3A86"/>
          </w:pPr>
          <w:r>
            <w:rPr>
              <w:rStyle w:val="PlaceholderText"/>
            </w:rPr>
            <w:t>Click here to enter a date.</w:t>
          </w:r>
        </w:p>
      </w:docPartBody>
    </w:docPart>
    <w:docPart>
      <w:docPartPr>
        <w:name w:val="C8311907EBC6F747BE6E579547F7C299"/>
        <w:category>
          <w:name w:val="General"/>
          <w:gallery w:val="placeholder"/>
        </w:category>
        <w:types>
          <w:type w:val="bbPlcHdr"/>
        </w:types>
        <w:behaviors>
          <w:behavior w:val="content"/>
        </w:behaviors>
        <w:guid w:val="{3C017DE7-5BE2-5645-81ED-C11E881DB8A9}"/>
      </w:docPartPr>
      <w:docPartBody>
        <w:p w:rsidR="001702AC" w:rsidRDefault="002D3F42" w:rsidP="002D3F42">
          <w:pPr>
            <w:pStyle w:val="C8311907EBC6F747BE6E579547F7C29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47"/>
    <w:rsid w:val="001702AC"/>
    <w:rsid w:val="001A0447"/>
    <w:rsid w:val="001A1086"/>
    <w:rsid w:val="001B7640"/>
    <w:rsid w:val="002D3F42"/>
    <w:rsid w:val="00304F3A"/>
    <w:rsid w:val="0078101D"/>
    <w:rsid w:val="0078437D"/>
    <w:rsid w:val="009C06FE"/>
    <w:rsid w:val="00A854AC"/>
    <w:rsid w:val="00BC269A"/>
    <w:rsid w:val="00BC722B"/>
    <w:rsid w:val="00C9546D"/>
    <w:rsid w:val="00FE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3F42"/>
    <w:rPr>
      <w:color w:val="808080"/>
    </w:rPr>
  </w:style>
  <w:style w:type="paragraph" w:customStyle="1" w:styleId="B251EAB4E0D06D4B8A76912AA2CC3A86">
    <w:name w:val="B251EAB4E0D06D4B8A76912AA2CC3A86"/>
    <w:rsid w:val="001A0447"/>
  </w:style>
  <w:style w:type="paragraph" w:customStyle="1" w:styleId="C8311907EBC6F747BE6E579547F7C299">
    <w:name w:val="C8311907EBC6F747BE6E579547F7C299"/>
    <w:rsid w:val="002D3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3930</Words>
  <Characters>22403</Characters>
  <Application>Microsoft Office Word</Application>
  <DocSecurity>0</DocSecurity>
  <Lines>186</Lines>
  <Paragraphs>52</Paragraphs>
  <ScaleCrop>false</ScaleCrop>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2025-06-02T14:02:00Z</dcterms:created>
  <dcterms:modified xsi:type="dcterms:W3CDTF">2025-06-12T08:44:00Z</dcterms:modified>
</cp:coreProperties>
</file>