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3E5EB3" w14:textId="1955ADE3" w:rsidR="005F7602" w:rsidRPr="000203E1" w:rsidRDefault="005F7602" w:rsidP="002946C7">
      <w:pPr>
        <w:ind w:left="5529"/>
      </w:pPr>
    </w:p>
    <w:p w14:paraId="12FA4B9E" w14:textId="77777777" w:rsidR="001B3C5B" w:rsidRPr="000203E1" w:rsidRDefault="001B3C5B" w:rsidP="001B3C5B">
      <w:pPr>
        <w:ind w:left="6096"/>
      </w:pPr>
      <w:r w:rsidRPr="000203E1">
        <w:t>Forma patvirtinta</w:t>
      </w:r>
    </w:p>
    <w:p w14:paraId="7206970B" w14:textId="70E9BD2E" w:rsidR="004C263A" w:rsidRPr="000203E1" w:rsidRDefault="001B3C5B" w:rsidP="001B3C5B">
      <w:pPr>
        <w:ind w:left="6096"/>
      </w:pPr>
      <w:r w:rsidRPr="000203E1">
        <w:t>Valstybinės vaistų kontrolės tarnybos prie Lietuvos Respublikos sveikatos apsaugos ministerijos viršininko 2021 m</w:t>
      </w:r>
      <w:r w:rsidR="004C263A" w:rsidRPr="000203E1">
        <w:t xml:space="preserve">. lapkričio 12 </w:t>
      </w:r>
      <w:r w:rsidRPr="000203E1">
        <w:t>d. įsakymu Nr.</w:t>
      </w:r>
      <w:r w:rsidR="004C263A" w:rsidRPr="000203E1">
        <w:t xml:space="preserve"> (1.72E)1A-1418</w:t>
      </w:r>
    </w:p>
    <w:p w14:paraId="5B219AA6" w14:textId="520B9136" w:rsidR="001B3C5B" w:rsidRPr="000203E1" w:rsidRDefault="004C263A" w:rsidP="001B3C5B">
      <w:pPr>
        <w:ind w:left="6096"/>
      </w:pPr>
      <w:r w:rsidRPr="000203E1">
        <w:t>(Valstybinės vaistų kontrolės tarnybos prie Lietuvos Respublikos sveikatos apsaugos ministerijos viršininko 2022 m.                         d. įsakymo Nr.                    redakcija)</w:t>
      </w:r>
    </w:p>
    <w:p w14:paraId="3336BD74" w14:textId="77777777" w:rsidR="001B3C5B" w:rsidRPr="000203E1" w:rsidRDefault="001B3C5B" w:rsidP="00FA4169"/>
    <w:p w14:paraId="77AFB67E" w14:textId="16397257" w:rsidR="00613501" w:rsidRPr="000203E1" w:rsidRDefault="002F0E4F" w:rsidP="003B211A">
      <w:pPr>
        <w:jc w:val="center"/>
        <w:rPr>
          <w:b/>
          <w:bCs/>
          <w:caps/>
        </w:rPr>
      </w:pPr>
      <w:r w:rsidRPr="000203E1">
        <w:rPr>
          <w:b/>
        </w:rPr>
        <w:t xml:space="preserve">REKOMENDACIJA DĖL VAISTINIO PREPARATO </w:t>
      </w:r>
      <w:r w:rsidRPr="000203E1">
        <w:rPr>
          <w:b/>
          <w:bCs/>
          <w:caps/>
        </w:rPr>
        <w:t>Lietuvos Respublikos Sveikatos apsaugos ministerijos vaistinių preparatų ir medicinos pagalbos priemonių kompensavimo komisijai</w:t>
      </w:r>
    </w:p>
    <w:p w14:paraId="34E4395D" w14:textId="15FB10DF" w:rsidR="00B13D65" w:rsidRPr="000203E1" w:rsidRDefault="00B13D65" w:rsidP="003B211A">
      <w:pPr>
        <w:jc w:val="center"/>
        <w:rPr>
          <w:b/>
        </w:rPr>
      </w:pPr>
    </w:p>
    <w:p w14:paraId="27810FD1" w14:textId="0EAA041D" w:rsidR="0094765C" w:rsidRPr="005349AD" w:rsidRDefault="0094765C" w:rsidP="0094765C">
      <w:pPr>
        <w:spacing w:line="276" w:lineRule="auto"/>
        <w:jc w:val="center"/>
        <w:rPr>
          <w:b/>
        </w:rPr>
      </w:pPr>
      <w:proofErr w:type="spellStart"/>
      <w:r>
        <w:rPr>
          <w:b/>
        </w:rPr>
        <w:t>Orladeyo</w:t>
      </w:r>
      <w:proofErr w:type="spellEnd"/>
      <w:r>
        <w:rPr>
          <w:b/>
        </w:rPr>
        <w:t xml:space="preserve"> 150 mg kietosios kaps</w:t>
      </w:r>
      <w:r w:rsidRPr="00ED2085">
        <w:rPr>
          <w:b/>
        </w:rPr>
        <w:t>ul</w:t>
      </w:r>
      <w:r>
        <w:rPr>
          <w:b/>
        </w:rPr>
        <w:t>ės</w:t>
      </w:r>
    </w:p>
    <w:p w14:paraId="1D48897D" w14:textId="77777777" w:rsidR="0094765C" w:rsidRPr="0073329D" w:rsidRDefault="0094765C" w:rsidP="0094765C">
      <w:pPr>
        <w:spacing w:line="276" w:lineRule="auto"/>
        <w:jc w:val="center"/>
      </w:pPr>
    </w:p>
    <w:p w14:paraId="02CF3B9C" w14:textId="77777777" w:rsidR="0094765C" w:rsidRPr="00C838E7" w:rsidRDefault="0094765C" w:rsidP="0094765C">
      <w:pPr>
        <w:spacing w:line="276" w:lineRule="auto"/>
        <w:jc w:val="center"/>
        <w:rPr>
          <w:b/>
        </w:rPr>
      </w:pPr>
      <w:r>
        <w:rPr>
          <w:b/>
        </w:rPr>
        <w:t>(</w:t>
      </w:r>
      <w:proofErr w:type="spellStart"/>
      <w:r w:rsidRPr="00C838E7">
        <w:rPr>
          <w:b/>
        </w:rPr>
        <w:t>Berotralstatas</w:t>
      </w:r>
      <w:proofErr w:type="spellEnd"/>
      <w:r>
        <w:rPr>
          <w:b/>
        </w:rPr>
        <w:t>)</w:t>
      </w:r>
    </w:p>
    <w:p w14:paraId="632E6FD0" w14:textId="77777777" w:rsidR="0094765C" w:rsidRPr="0073329D" w:rsidRDefault="0094765C" w:rsidP="0094765C">
      <w:pPr>
        <w:spacing w:line="276" w:lineRule="auto"/>
        <w:jc w:val="center"/>
      </w:pPr>
    </w:p>
    <w:p w14:paraId="07847BD9" w14:textId="77777777" w:rsidR="0094765C" w:rsidRPr="0073329D" w:rsidRDefault="0094765C" w:rsidP="0094765C">
      <w:pPr>
        <w:spacing w:line="276" w:lineRule="auto"/>
        <w:jc w:val="center"/>
        <w:rPr>
          <w:b/>
        </w:rPr>
      </w:pPr>
      <w:r>
        <w:rPr>
          <w:b/>
        </w:rPr>
        <w:t>STV-169A</w:t>
      </w:r>
    </w:p>
    <w:p w14:paraId="453197C8" w14:textId="77777777" w:rsidR="00D4708D" w:rsidRPr="000203E1" w:rsidRDefault="00D4708D" w:rsidP="003B211A">
      <w:pPr>
        <w:jc w:val="center"/>
        <w:rPr>
          <w:b/>
        </w:rPr>
      </w:pPr>
    </w:p>
    <w:p w14:paraId="78C89D1C" w14:textId="0DEFFAA5" w:rsidR="00D4485B" w:rsidRPr="000203E1" w:rsidRDefault="00B13D65" w:rsidP="00CC09D4">
      <w:pPr>
        <w:pStyle w:val="ListParagraph"/>
        <w:numPr>
          <w:ilvl w:val="0"/>
          <w:numId w:val="12"/>
        </w:numPr>
        <w:tabs>
          <w:tab w:val="left" w:pos="567"/>
        </w:tabs>
        <w:ind w:left="567" w:hanging="567"/>
        <w:rPr>
          <w:b/>
          <w:bCs/>
          <w:caps/>
        </w:rPr>
      </w:pPr>
      <w:r w:rsidRPr="000203E1">
        <w:rPr>
          <w:b/>
          <w:bCs/>
          <w:caps/>
        </w:rPr>
        <w:t>Bendroji dalis</w:t>
      </w:r>
    </w:p>
    <w:p w14:paraId="04A7C7A7" w14:textId="77777777" w:rsidR="00B13D65" w:rsidRPr="000203E1" w:rsidRDefault="00B13D65" w:rsidP="00E03C3F">
      <w:pPr>
        <w:pStyle w:val="ListParagraph"/>
        <w:tabs>
          <w:tab w:val="left" w:pos="284"/>
        </w:tabs>
        <w:ind w:left="0"/>
        <w:rPr>
          <w:b/>
          <w:bCs/>
          <w:caps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632"/>
        <w:gridCol w:w="3694"/>
        <w:gridCol w:w="5167"/>
      </w:tblGrid>
      <w:tr w:rsidR="00BC22A0" w:rsidRPr="000203E1" w14:paraId="18A83EC2" w14:textId="77777777" w:rsidTr="00BE7489">
        <w:trPr>
          <w:trHeight w:val="538"/>
        </w:trPr>
        <w:tc>
          <w:tcPr>
            <w:tcW w:w="632" w:type="dxa"/>
          </w:tcPr>
          <w:p w14:paraId="0646FBEA" w14:textId="77777777" w:rsidR="00BC22A0" w:rsidRPr="000203E1" w:rsidRDefault="00BC22A0" w:rsidP="00BC22A0">
            <w:pPr>
              <w:rPr>
                <w:rFonts w:eastAsia="Arial"/>
              </w:rPr>
            </w:pPr>
            <w:r w:rsidRPr="000203E1">
              <w:rPr>
                <w:rFonts w:eastAsia="Arial"/>
              </w:rPr>
              <w:t>1.1</w:t>
            </w:r>
          </w:p>
        </w:tc>
        <w:tc>
          <w:tcPr>
            <w:tcW w:w="3694" w:type="dxa"/>
          </w:tcPr>
          <w:p w14:paraId="6C3AE864" w14:textId="77777777" w:rsidR="00BC22A0" w:rsidRPr="000203E1" w:rsidRDefault="00BC22A0" w:rsidP="00BC22A0">
            <w:pPr>
              <w:rPr>
                <w:rFonts w:eastAsia="Arial"/>
              </w:rPr>
            </w:pPr>
            <w:r w:rsidRPr="000203E1">
              <w:rPr>
                <w:rFonts w:eastAsia="Arial"/>
              </w:rPr>
              <w:t>Pareiškėjas</w:t>
            </w:r>
          </w:p>
          <w:p w14:paraId="2AF240DC" w14:textId="77777777" w:rsidR="00BC22A0" w:rsidRPr="000203E1" w:rsidRDefault="00BC22A0" w:rsidP="00BC22A0">
            <w:pPr>
              <w:rPr>
                <w:rFonts w:eastAsia="Arial"/>
              </w:rPr>
            </w:pPr>
          </w:p>
        </w:tc>
        <w:tc>
          <w:tcPr>
            <w:tcW w:w="5167" w:type="dxa"/>
          </w:tcPr>
          <w:p w14:paraId="2AAF0D91" w14:textId="0F4ABCAA" w:rsidR="00BC22A0" w:rsidRPr="000203E1" w:rsidRDefault="00BC22A0" w:rsidP="0094765C">
            <w:pPr>
              <w:jc w:val="both"/>
              <w:rPr>
                <w:rFonts w:eastAsia="Arial"/>
              </w:rPr>
            </w:pPr>
            <w:r w:rsidRPr="00B93732">
              <w:t xml:space="preserve">UAB </w:t>
            </w:r>
            <w:r>
              <w:t xml:space="preserve">Swixx </w:t>
            </w:r>
            <w:proofErr w:type="spellStart"/>
            <w:r>
              <w:t>Biopharma</w:t>
            </w:r>
            <w:proofErr w:type="spellEnd"/>
          </w:p>
        </w:tc>
      </w:tr>
      <w:tr w:rsidR="0094765C" w:rsidRPr="000203E1" w14:paraId="31998B0D" w14:textId="77777777" w:rsidTr="00BE7489">
        <w:trPr>
          <w:trHeight w:val="538"/>
        </w:trPr>
        <w:tc>
          <w:tcPr>
            <w:tcW w:w="632" w:type="dxa"/>
          </w:tcPr>
          <w:p w14:paraId="2005EC67" w14:textId="662300D0" w:rsidR="0094765C" w:rsidRPr="000203E1" w:rsidRDefault="0094765C" w:rsidP="0094765C">
            <w:pPr>
              <w:rPr>
                <w:rFonts w:eastAsia="Arial"/>
              </w:rPr>
            </w:pPr>
            <w:r w:rsidRPr="000203E1">
              <w:rPr>
                <w:rFonts w:eastAsia="Arial"/>
              </w:rPr>
              <w:t>1.2</w:t>
            </w:r>
          </w:p>
        </w:tc>
        <w:tc>
          <w:tcPr>
            <w:tcW w:w="3694" w:type="dxa"/>
          </w:tcPr>
          <w:p w14:paraId="1E4AE3B1" w14:textId="77777777" w:rsidR="0094765C" w:rsidRPr="000203E1" w:rsidRDefault="0094765C" w:rsidP="0094765C">
            <w:pPr>
              <w:rPr>
                <w:bCs/>
                <w:lang w:eastAsia="lt-LT"/>
              </w:rPr>
            </w:pPr>
            <w:r w:rsidRPr="000203E1">
              <w:rPr>
                <w:bCs/>
                <w:lang w:eastAsia="lt-LT"/>
              </w:rPr>
              <w:t xml:space="preserve">Registracijos data </w:t>
            </w:r>
          </w:p>
          <w:p w14:paraId="3A0DC096" w14:textId="77777777" w:rsidR="0094765C" w:rsidRPr="000203E1" w:rsidRDefault="0094765C" w:rsidP="0094765C">
            <w:pPr>
              <w:rPr>
                <w:bCs/>
                <w:lang w:eastAsia="lt-LT"/>
              </w:rPr>
            </w:pPr>
          </w:p>
        </w:tc>
        <w:tc>
          <w:tcPr>
            <w:tcW w:w="5167" w:type="dxa"/>
          </w:tcPr>
          <w:p w14:paraId="3CA218AD" w14:textId="3264182B" w:rsidR="0094765C" w:rsidRPr="000203E1" w:rsidRDefault="00AD3D39" w:rsidP="0094765C">
            <w:pPr>
              <w:jc w:val="both"/>
              <w:rPr>
                <w:rStyle w:val="Style2"/>
              </w:rPr>
            </w:pPr>
            <w:sdt>
              <w:sdtPr>
                <w:rPr>
                  <w:sz w:val="32"/>
                </w:rPr>
                <w:alias w:val="Nurodykite konkrečią dieną"/>
                <w:tag w:val="Nurodykite pradžios datą"/>
                <w:id w:val="423238108"/>
                <w:placeholder>
                  <w:docPart w:val="288EB8AF24AB497AB2C17B96DB12F582"/>
                </w:placeholder>
                <w15:color w:val="FFCC99"/>
                <w:date>
                  <w:dateFormat w:val="yyyy 'm.' MMMM d 'd.'"/>
                  <w:lid w:val="lt-LT"/>
                  <w:storeMappedDataAs w:val="dateTime"/>
                  <w:calendar w:val="gregorian"/>
                </w:date>
              </w:sdtPr>
              <w:sdtEndPr>
                <w:rPr>
                  <w:sz w:val="24"/>
                </w:rPr>
              </w:sdtEndPr>
              <w:sdtContent>
                <w:r w:rsidR="0094765C" w:rsidRPr="005349AD">
                  <w:t>2021 m. balandžio 30 d.</w:t>
                </w:r>
              </w:sdtContent>
            </w:sdt>
          </w:p>
        </w:tc>
      </w:tr>
      <w:tr w:rsidR="0094765C" w:rsidRPr="000203E1" w14:paraId="15968AE1" w14:textId="77777777" w:rsidTr="00BE7489">
        <w:trPr>
          <w:trHeight w:val="1500"/>
        </w:trPr>
        <w:tc>
          <w:tcPr>
            <w:tcW w:w="632" w:type="dxa"/>
          </w:tcPr>
          <w:p w14:paraId="6A784245" w14:textId="1E461489" w:rsidR="0094765C" w:rsidRPr="000203E1" w:rsidRDefault="0094765C" w:rsidP="0094765C">
            <w:pPr>
              <w:rPr>
                <w:rFonts w:eastAsia="Arial"/>
              </w:rPr>
            </w:pPr>
            <w:r w:rsidRPr="000203E1">
              <w:rPr>
                <w:rFonts w:eastAsia="Arial"/>
              </w:rPr>
              <w:t>1.3</w:t>
            </w:r>
          </w:p>
        </w:tc>
        <w:tc>
          <w:tcPr>
            <w:tcW w:w="3694" w:type="dxa"/>
          </w:tcPr>
          <w:p w14:paraId="22933506" w14:textId="77777777" w:rsidR="0094765C" w:rsidRPr="000203E1" w:rsidRDefault="0094765C" w:rsidP="0094765C">
            <w:r w:rsidRPr="000203E1">
              <w:t xml:space="preserve">Paraiškos tipas </w:t>
            </w:r>
          </w:p>
          <w:p w14:paraId="0465E680" w14:textId="7F0A0714" w:rsidR="0094765C" w:rsidRPr="000203E1" w:rsidRDefault="0094765C" w:rsidP="0094765C">
            <w:r w:rsidRPr="000203E1">
              <w:t xml:space="preserve">(pagal </w:t>
            </w:r>
            <w:r w:rsidRPr="000203E1">
              <w:rPr>
                <w:shd w:val="clear" w:color="auto" w:fill="FFFFFF"/>
              </w:rPr>
              <w:t>vaistinio preparato registracijos tipą, įtvirtintą</w:t>
            </w:r>
            <w:r w:rsidRPr="000203E1">
              <w:t xml:space="preserve"> Direktyvos 2001/83/EB </w:t>
            </w:r>
            <w:proofErr w:type="spellStart"/>
            <w:r w:rsidRPr="000203E1">
              <w:t>straipsiuose</w:t>
            </w:r>
            <w:proofErr w:type="spellEnd"/>
            <w:r w:rsidRPr="000203E1">
              <w:t>)</w:t>
            </w:r>
          </w:p>
          <w:p w14:paraId="77089D80" w14:textId="6681D72A" w:rsidR="0094765C" w:rsidRPr="000203E1" w:rsidRDefault="0094765C" w:rsidP="0094765C">
            <w:pPr>
              <w:rPr>
                <w:bCs/>
                <w:lang w:eastAsia="lt-LT"/>
              </w:rPr>
            </w:pPr>
          </w:p>
        </w:tc>
        <w:tc>
          <w:tcPr>
            <w:tcW w:w="5167" w:type="dxa"/>
          </w:tcPr>
          <w:p w14:paraId="08F96058" w14:textId="77777777" w:rsidR="0094765C" w:rsidRPr="0073329D" w:rsidRDefault="00AD3D39" w:rsidP="0094765C">
            <w:pPr>
              <w:spacing w:line="276" w:lineRule="auto"/>
              <w:jc w:val="both"/>
            </w:pPr>
            <w:sdt>
              <w:sdtPr>
                <w:rPr>
                  <w:rStyle w:val="Style2"/>
                </w:rPr>
                <w:id w:val="-366596377"/>
                <w15:color w:val="FFCC0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2"/>
                </w:rPr>
              </w:sdtEndPr>
              <w:sdtContent>
                <w:r w:rsidR="0094765C">
                  <w:rPr>
                    <w:rStyle w:val="Style2"/>
                    <w:rFonts w:ascii="MS Gothic" w:eastAsia="MS Gothic" w:hAnsi="MS Gothic" w:hint="eastAsia"/>
                  </w:rPr>
                  <w:t>☒</w:t>
                </w:r>
              </w:sdtContent>
            </w:sdt>
            <w:r w:rsidR="0094765C" w:rsidRPr="0073329D">
              <w:t xml:space="preserve"> 8.3 str. (pilna byla, pagrįsta savais tyrimais) </w:t>
            </w:r>
          </w:p>
          <w:p w14:paraId="61F1CE3B" w14:textId="77777777" w:rsidR="0094765C" w:rsidRPr="0073329D" w:rsidRDefault="00AD3D39" w:rsidP="0094765C">
            <w:pPr>
              <w:spacing w:line="276" w:lineRule="auto"/>
              <w:jc w:val="both"/>
            </w:pPr>
            <w:sdt>
              <w:sdtPr>
                <w:rPr>
                  <w:rStyle w:val="Style2"/>
                </w:rPr>
                <w:id w:val="675462298"/>
                <w15:color w:val="FF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2"/>
                </w:rPr>
              </w:sdtEndPr>
              <w:sdtContent>
                <w:r w:rsidR="0094765C" w:rsidRPr="0073329D">
                  <w:rPr>
                    <w:rStyle w:val="Style2"/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4765C" w:rsidRPr="0073329D">
              <w:t xml:space="preserve"> 10 a str. (pripažintas medicininis vartojimas) </w:t>
            </w:r>
          </w:p>
          <w:p w14:paraId="1481AB77" w14:textId="77777777" w:rsidR="0094765C" w:rsidRPr="0073329D" w:rsidRDefault="00AD3D39" w:rsidP="0094765C">
            <w:pPr>
              <w:spacing w:line="276" w:lineRule="auto"/>
              <w:jc w:val="both"/>
            </w:pPr>
            <w:sdt>
              <w:sdtPr>
                <w:rPr>
                  <w:rStyle w:val="Style2"/>
                </w:rPr>
                <w:id w:val="-1290435890"/>
                <w15:color w:val="FF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2"/>
                </w:rPr>
              </w:sdtEndPr>
              <w:sdtContent>
                <w:r w:rsidR="0094765C" w:rsidRPr="0073329D">
                  <w:rPr>
                    <w:rStyle w:val="Style2"/>
                    <w:rFonts w:ascii="MS Gothic" w:eastAsia="MS Gothic" w:hAnsi="MS Gothic" w:hint="eastAsia"/>
                  </w:rPr>
                  <w:t>☐</w:t>
                </w:r>
              </w:sdtContent>
            </w:sdt>
            <w:r w:rsidR="0094765C" w:rsidRPr="0073329D">
              <w:t xml:space="preserve"> 10.1 str. (</w:t>
            </w:r>
            <w:proofErr w:type="spellStart"/>
            <w:r w:rsidR="0094765C" w:rsidRPr="0073329D">
              <w:t>generinis</w:t>
            </w:r>
            <w:proofErr w:type="spellEnd"/>
            <w:r w:rsidR="0094765C" w:rsidRPr="0073329D">
              <w:t>)</w:t>
            </w:r>
          </w:p>
          <w:p w14:paraId="3B0A4F72" w14:textId="4D9BBBA3" w:rsidR="0094765C" w:rsidRPr="000203E1" w:rsidRDefault="00AD3D39" w:rsidP="0094765C">
            <w:pPr>
              <w:jc w:val="both"/>
              <w:rPr>
                <w:rStyle w:val="Style2"/>
                <w:sz w:val="24"/>
              </w:rPr>
            </w:pPr>
            <w:sdt>
              <w:sdtPr>
                <w:rPr>
                  <w:rStyle w:val="Style2"/>
                </w:rPr>
                <w:id w:val="-124545030"/>
                <w15:color w:val="FF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2"/>
                </w:rPr>
              </w:sdtEndPr>
              <w:sdtContent>
                <w:r w:rsidR="0094765C" w:rsidRPr="0073329D">
                  <w:rPr>
                    <w:rStyle w:val="Style2"/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4765C" w:rsidRPr="0073329D">
              <w:t xml:space="preserve"> 10.3 str. (hibridinis)</w:t>
            </w:r>
          </w:p>
        </w:tc>
      </w:tr>
      <w:tr w:rsidR="0094765C" w:rsidRPr="000203E1" w14:paraId="310E9662" w14:textId="77777777" w:rsidTr="00BE7489">
        <w:trPr>
          <w:trHeight w:val="1442"/>
        </w:trPr>
        <w:tc>
          <w:tcPr>
            <w:tcW w:w="632" w:type="dxa"/>
          </w:tcPr>
          <w:p w14:paraId="4B5A91A2" w14:textId="561B5E5F" w:rsidR="0094765C" w:rsidRPr="000203E1" w:rsidRDefault="0094765C" w:rsidP="0094765C">
            <w:pPr>
              <w:rPr>
                <w:rFonts w:eastAsia="Arial"/>
              </w:rPr>
            </w:pPr>
            <w:r w:rsidRPr="000203E1">
              <w:rPr>
                <w:rFonts w:eastAsia="Arial"/>
              </w:rPr>
              <w:t>1.4</w:t>
            </w:r>
          </w:p>
        </w:tc>
        <w:tc>
          <w:tcPr>
            <w:tcW w:w="3694" w:type="dxa"/>
          </w:tcPr>
          <w:p w14:paraId="6C91E105" w14:textId="77777777" w:rsidR="0094765C" w:rsidRPr="000203E1" w:rsidRDefault="0094765C" w:rsidP="0094765C">
            <w:pPr>
              <w:rPr>
                <w:bCs/>
                <w:lang w:eastAsia="lt-LT"/>
              </w:rPr>
            </w:pPr>
            <w:r w:rsidRPr="000203E1">
              <w:rPr>
                <w:bCs/>
                <w:lang w:eastAsia="lt-LT"/>
              </w:rPr>
              <w:t xml:space="preserve">Ar vaistinis preparatas įrašytas į Bendrijos retųjų vaistinių preparatų registrą? </w:t>
            </w:r>
          </w:p>
          <w:p w14:paraId="33726F9C" w14:textId="77777777" w:rsidR="0094765C" w:rsidRPr="000203E1" w:rsidRDefault="0094765C" w:rsidP="0094765C">
            <w:pPr>
              <w:rPr>
                <w:bCs/>
                <w:i/>
                <w:lang w:eastAsia="lt-LT"/>
              </w:rPr>
            </w:pPr>
          </w:p>
          <w:p w14:paraId="483071A3" w14:textId="0F633FFC" w:rsidR="0094765C" w:rsidRPr="000203E1" w:rsidRDefault="0094765C" w:rsidP="0094765C">
            <w:pPr>
              <w:rPr>
                <w:bCs/>
                <w:lang w:eastAsia="lt-LT"/>
              </w:rPr>
            </w:pPr>
            <w:r w:rsidRPr="000203E1">
              <w:rPr>
                <w:bCs/>
                <w:i/>
                <w:sz w:val="20"/>
                <w:lang w:eastAsia="lt-LT"/>
              </w:rPr>
              <w:t>Jei taip, nurodykite įrašymo datą ir numerį</w:t>
            </w:r>
          </w:p>
        </w:tc>
        <w:tc>
          <w:tcPr>
            <w:tcW w:w="5167" w:type="dxa"/>
          </w:tcPr>
          <w:p w14:paraId="6E10E1E7" w14:textId="77777777" w:rsidR="0094765C" w:rsidRPr="0073329D" w:rsidRDefault="00AD3D39" w:rsidP="0094765C">
            <w:pPr>
              <w:spacing w:line="276" w:lineRule="auto"/>
              <w:jc w:val="both"/>
            </w:pPr>
            <w:sdt>
              <w:sdtPr>
                <w:rPr>
                  <w:rStyle w:val="Style2"/>
                </w:rPr>
                <w:id w:val="2024432173"/>
                <w15:color w:val="FF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2"/>
                </w:rPr>
              </w:sdtEndPr>
              <w:sdtContent>
                <w:r w:rsidR="0094765C" w:rsidRPr="0073329D">
                  <w:rPr>
                    <w:rStyle w:val="Style2"/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4765C" w:rsidRPr="0073329D">
              <w:t xml:space="preserve"> Taip</w:t>
            </w:r>
          </w:p>
          <w:p w14:paraId="29C2CBBB" w14:textId="18B74013" w:rsidR="0094765C" w:rsidRPr="000203E1" w:rsidRDefault="00AD3D39" w:rsidP="0094765C">
            <w:pPr>
              <w:jc w:val="both"/>
              <w:rPr>
                <w:rFonts w:eastAsia="Arial"/>
              </w:rPr>
            </w:pPr>
            <w:sdt>
              <w:sdtPr>
                <w:rPr>
                  <w:rStyle w:val="Style2"/>
                </w:rPr>
                <w:id w:val="-970507926"/>
                <w15:color w:val="FFCC0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2"/>
                </w:rPr>
              </w:sdtEndPr>
              <w:sdtContent>
                <w:r w:rsidR="0094765C">
                  <w:rPr>
                    <w:rStyle w:val="Style2"/>
                    <w:rFonts w:ascii="MS Gothic" w:eastAsia="MS Gothic" w:hAnsi="MS Gothic" w:hint="eastAsia"/>
                  </w:rPr>
                  <w:t>☒</w:t>
                </w:r>
              </w:sdtContent>
            </w:sdt>
            <w:r w:rsidR="0094765C" w:rsidRPr="0073329D">
              <w:t xml:space="preserve"> Ne</w:t>
            </w:r>
          </w:p>
        </w:tc>
      </w:tr>
      <w:tr w:rsidR="000203E1" w:rsidRPr="000203E1" w14:paraId="7841E5F8" w14:textId="77777777" w:rsidTr="00BE7489">
        <w:trPr>
          <w:trHeight w:val="476"/>
        </w:trPr>
        <w:tc>
          <w:tcPr>
            <w:tcW w:w="632" w:type="dxa"/>
          </w:tcPr>
          <w:p w14:paraId="109D2861" w14:textId="73BF27DF" w:rsidR="00D417D2" w:rsidRPr="000203E1" w:rsidRDefault="00D417D2" w:rsidP="00824B92">
            <w:pPr>
              <w:rPr>
                <w:rFonts w:eastAsia="Arial"/>
              </w:rPr>
            </w:pPr>
            <w:r w:rsidRPr="000203E1">
              <w:rPr>
                <w:rFonts w:eastAsia="Arial"/>
              </w:rPr>
              <w:t>1.5</w:t>
            </w:r>
          </w:p>
        </w:tc>
        <w:tc>
          <w:tcPr>
            <w:tcW w:w="3694" w:type="dxa"/>
          </w:tcPr>
          <w:p w14:paraId="7822D63E" w14:textId="68C38334" w:rsidR="00D417D2" w:rsidRPr="000203E1" w:rsidRDefault="00D417D2" w:rsidP="00824B92">
            <w:pPr>
              <w:rPr>
                <w:bCs/>
                <w:lang w:eastAsia="lt-LT"/>
              </w:rPr>
            </w:pPr>
            <w:r w:rsidRPr="000203E1">
              <w:t>STV paraiškos pobūdis</w:t>
            </w:r>
          </w:p>
        </w:tc>
        <w:tc>
          <w:tcPr>
            <w:tcW w:w="5167" w:type="dxa"/>
          </w:tcPr>
          <w:p w14:paraId="403461B9" w14:textId="671ADAEE" w:rsidR="00D417D2" w:rsidRPr="000203E1" w:rsidRDefault="00AD3D39" w:rsidP="0094765C">
            <w:pPr>
              <w:jc w:val="both"/>
            </w:pPr>
            <w:sdt>
              <w:sdtPr>
                <w:rPr>
                  <w:rStyle w:val="Style2"/>
                  <w:sz w:val="24"/>
                </w:rPr>
                <w:id w:val="-468433535"/>
                <w15:color w:val="FFCC0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2"/>
                </w:rPr>
              </w:sdtEndPr>
              <w:sdtContent>
                <w:r w:rsidR="00016F32">
                  <w:rPr>
                    <w:rStyle w:val="Style2"/>
                    <w:rFonts w:ascii="MS Gothic" w:eastAsia="MS Gothic" w:hAnsi="MS Gothic" w:hint="eastAsia"/>
                    <w:sz w:val="24"/>
                  </w:rPr>
                  <w:t>☒</w:t>
                </w:r>
              </w:sdtContent>
            </w:sdt>
            <w:r w:rsidR="00D417D2" w:rsidRPr="000203E1">
              <w:t xml:space="preserve"> Pilna paraiška</w:t>
            </w:r>
          </w:p>
          <w:p w14:paraId="6B8213E3" w14:textId="3495CDF4" w:rsidR="00D417D2" w:rsidRPr="000203E1" w:rsidRDefault="00AD3D39" w:rsidP="0094765C">
            <w:pPr>
              <w:jc w:val="both"/>
            </w:pPr>
            <w:sdt>
              <w:sdtPr>
                <w:rPr>
                  <w:rStyle w:val="Style2"/>
                  <w:sz w:val="24"/>
                </w:rPr>
                <w:id w:val="-1489014904"/>
                <w15:color w:val="FF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2"/>
                </w:rPr>
              </w:sdtEndPr>
              <w:sdtContent>
                <w:r w:rsidR="00D417D2" w:rsidRPr="000203E1">
                  <w:rPr>
                    <w:rStyle w:val="Style2"/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D417D2" w:rsidRPr="000203E1">
              <w:t xml:space="preserve"> Supaprastinta paraiška</w:t>
            </w:r>
          </w:p>
        </w:tc>
      </w:tr>
      <w:tr w:rsidR="000203E1" w:rsidRPr="000203E1" w14:paraId="274D1DAF" w14:textId="77777777" w:rsidTr="00BE7489">
        <w:trPr>
          <w:trHeight w:val="1922"/>
        </w:trPr>
        <w:tc>
          <w:tcPr>
            <w:tcW w:w="632" w:type="dxa"/>
          </w:tcPr>
          <w:p w14:paraId="17ABF217" w14:textId="14AC00D7" w:rsidR="00B13D65" w:rsidRPr="000203E1" w:rsidRDefault="00B13D65" w:rsidP="00824B92">
            <w:pPr>
              <w:rPr>
                <w:rFonts w:eastAsia="Arial"/>
              </w:rPr>
            </w:pPr>
            <w:r w:rsidRPr="000203E1">
              <w:rPr>
                <w:rFonts w:eastAsia="Arial"/>
              </w:rPr>
              <w:t>1.</w:t>
            </w:r>
            <w:r w:rsidR="00D417D2" w:rsidRPr="000203E1">
              <w:rPr>
                <w:rFonts w:eastAsia="Arial"/>
              </w:rPr>
              <w:t>6</w:t>
            </w:r>
          </w:p>
        </w:tc>
        <w:tc>
          <w:tcPr>
            <w:tcW w:w="3694" w:type="dxa"/>
          </w:tcPr>
          <w:p w14:paraId="4D49DBF5" w14:textId="77777777" w:rsidR="007656B2" w:rsidRPr="000203E1" w:rsidRDefault="00DE4484" w:rsidP="00824B92">
            <w:pPr>
              <w:rPr>
                <w:bCs/>
                <w:lang w:eastAsia="lt-LT"/>
              </w:rPr>
            </w:pPr>
            <w:r w:rsidRPr="000203E1">
              <w:rPr>
                <w:bCs/>
                <w:lang w:eastAsia="lt-LT"/>
              </w:rPr>
              <w:t>Par</w:t>
            </w:r>
            <w:r w:rsidR="007656B2" w:rsidRPr="000203E1">
              <w:rPr>
                <w:bCs/>
                <w:lang w:eastAsia="lt-LT"/>
              </w:rPr>
              <w:t>eiškėjo t</w:t>
            </w:r>
            <w:r w:rsidR="00B13D65" w:rsidRPr="000203E1">
              <w:rPr>
                <w:bCs/>
                <w:lang w:eastAsia="lt-LT"/>
              </w:rPr>
              <w:t>eikiama (-</w:t>
            </w:r>
            <w:proofErr w:type="spellStart"/>
            <w:r w:rsidR="00B13D65" w:rsidRPr="000203E1">
              <w:rPr>
                <w:bCs/>
                <w:lang w:eastAsia="lt-LT"/>
              </w:rPr>
              <w:t>os</w:t>
            </w:r>
            <w:proofErr w:type="spellEnd"/>
            <w:r w:rsidR="00B13D65" w:rsidRPr="000203E1">
              <w:rPr>
                <w:bCs/>
                <w:lang w:eastAsia="lt-LT"/>
              </w:rPr>
              <w:t>) kompensuoti vaistinio preparato indikacija (-</w:t>
            </w:r>
            <w:proofErr w:type="spellStart"/>
            <w:r w:rsidR="00B13D65" w:rsidRPr="000203E1">
              <w:rPr>
                <w:bCs/>
                <w:lang w:eastAsia="lt-LT"/>
              </w:rPr>
              <w:t>os</w:t>
            </w:r>
            <w:proofErr w:type="spellEnd"/>
            <w:r w:rsidR="00B13D65" w:rsidRPr="000203E1">
              <w:rPr>
                <w:bCs/>
                <w:lang w:eastAsia="lt-LT"/>
              </w:rPr>
              <w:t>)</w:t>
            </w:r>
          </w:p>
          <w:p w14:paraId="6B4FEEC1" w14:textId="6A619694" w:rsidR="00B13D65" w:rsidRPr="000203E1" w:rsidRDefault="007656B2" w:rsidP="00824B92">
            <w:pPr>
              <w:rPr>
                <w:bCs/>
                <w:lang w:eastAsia="lt-LT"/>
              </w:rPr>
            </w:pPr>
            <w:r w:rsidRPr="000203E1">
              <w:rPr>
                <w:bCs/>
                <w:lang w:eastAsia="lt-LT"/>
              </w:rPr>
              <w:t>K</w:t>
            </w:r>
            <w:r w:rsidR="00B13D65" w:rsidRPr="000203E1">
              <w:rPr>
                <w:bCs/>
                <w:lang w:eastAsia="lt-LT"/>
              </w:rPr>
              <w:t>odas</w:t>
            </w:r>
            <w:r w:rsidRPr="000203E1">
              <w:rPr>
                <w:bCs/>
                <w:lang w:eastAsia="lt-LT"/>
              </w:rPr>
              <w:t xml:space="preserve"> pagal TLK-10 AM</w:t>
            </w:r>
          </w:p>
        </w:tc>
        <w:tc>
          <w:tcPr>
            <w:tcW w:w="5167" w:type="dxa"/>
          </w:tcPr>
          <w:p w14:paraId="64D57823" w14:textId="44F654A8" w:rsidR="00BC22A0" w:rsidRDefault="0094765C" w:rsidP="0094765C">
            <w:pPr>
              <w:spacing w:line="276" w:lineRule="auto"/>
              <w:jc w:val="both"/>
            </w:pPr>
            <w:proofErr w:type="spellStart"/>
            <w:r w:rsidRPr="00225616">
              <w:t>Orladeyo</w:t>
            </w:r>
            <w:proofErr w:type="spellEnd"/>
            <w:r w:rsidRPr="00225616">
              <w:t xml:space="preserve"> skirtas suaugusiems pacientams ir 12 metų arba vyresniems paaugliams pasikartojančių paveldimos </w:t>
            </w:r>
            <w:proofErr w:type="spellStart"/>
            <w:r w:rsidRPr="00225616">
              <w:t>angioneurozinės</w:t>
            </w:r>
            <w:proofErr w:type="spellEnd"/>
            <w:r w:rsidRPr="00225616">
              <w:t xml:space="preserve"> edemos (PAE) priepuolių įprastinei profilaktikai.</w:t>
            </w:r>
          </w:p>
          <w:p w14:paraId="6D166544" w14:textId="77777777" w:rsidR="00BC22A0" w:rsidRDefault="00BC22A0" w:rsidP="0094765C">
            <w:pPr>
              <w:spacing w:line="276" w:lineRule="auto"/>
              <w:jc w:val="both"/>
            </w:pPr>
          </w:p>
          <w:p w14:paraId="13F7DFB0" w14:textId="6B92F537" w:rsidR="00B13D65" w:rsidRPr="000203E1" w:rsidRDefault="00BC22A0" w:rsidP="0094765C">
            <w:pPr>
              <w:pStyle w:val="ListParagraph"/>
              <w:spacing w:after="120" w:line="276" w:lineRule="auto"/>
              <w:ind w:left="0"/>
              <w:jc w:val="both"/>
            </w:pPr>
            <w:bookmarkStart w:id="0" w:name="_Hlk173772609"/>
            <w:r w:rsidRPr="0033595B">
              <w:t>TLK-10 AM</w:t>
            </w:r>
            <w:r w:rsidR="0094765C">
              <w:t xml:space="preserve"> kodas</w:t>
            </w:r>
            <w:r w:rsidRPr="0033595B">
              <w:t>:</w:t>
            </w:r>
            <w:bookmarkEnd w:id="0"/>
            <w:r w:rsidR="0094765C">
              <w:t xml:space="preserve"> D84.1.</w:t>
            </w:r>
          </w:p>
        </w:tc>
      </w:tr>
      <w:tr w:rsidR="0094765C" w:rsidRPr="000203E1" w14:paraId="2F79DC08" w14:textId="77777777" w:rsidTr="00BE7489">
        <w:trPr>
          <w:trHeight w:val="378"/>
        </w:trPr>
        <w:tc>
          <w:tcPr>
            <w:tcW w:w="632" w:type="dxa"/>
          </w:tcPr>
          <w:p w14:paraId="547885A2" w14:textId="2EE70237" w:rsidR="0094765C" w:rsidRPr="000203E1" w:rsidRDefault="0094765C" w:rsidP="0094765C">
            <w:pPr>
              <w:rPr>
                <w:rFonts w:eastAsia="Arial"/>
              </w:rPr>
            </w:pPr>
            <w:r w:rsidRPr="000203E1">
              <w:rPr>
                <w:rFonts w:eastAsia="Arial"/>
              </w:rPr>
              <w:lastRenderedPageBreak/>
              <w:t>1.</w:t>
            </w:r>
            <w:r>
              <w:rPr>
                <w:rFonts w:eastAsia="Arial"/>
              </w:rPr>
              <w:t>7</w:t>
            </w:r>
          </w:p>
        </w:tc>
        <w:tc>
          <w:tcPr>
            <w:tcW w:w="3694" w:type="dxa"/>
          </w:tcPr>
          <w:p w14:paraId="2EAB877F" w14:textId="39A36941" w:rsidR="0094765C" w:rsidRPr="000203E1" w:rsidRDefault="0094765C" w:rsidP="0094765C">
            <w:pPr>
              <w:rPr>
                <w:bCs/>
                <w:u w:val="single"/>
                <w:lang w:eastAsia="lt-LT"/>
              </w:rPr>
            </w:pPr>
            <w:r w:rsidRPr="000203E1">
              <w:rPr>
                <w:bCs/>
                <w:lang w:eastAsia="lt-LT"/>
              </w:rPr>
              <w:t xml:space="preserve">Pareiškėjo teikiamos skyrimo sąlygos </w:t>
            </w:r>
          </w:p>
        </w:tc>
        <w:tc>
          <w:tcPr>
            <w:tcW w:w="5167" w:type="dxa"/>
          </w:tcPr>
          <w:p w14:paraId="0579DF58" w14:textId="2DD4A4ED" w:rsidR="0094765C" w:rsidRPr="000203E1" w:rsidRDefault="0094765C" w:rsidP="006A16A6">
            <w:pPr>
              <w:jc w:val="both"/>
            </w:pPr>
            <w:r>
              <w:t>S</w:t>
            </w:r>
            <w:r w:rsidRPr="0051128C">
              <w:t xml:space="preserve">kiriamas 12 metų ir vyresnių pacientų pasikartojančių paveldimos </w:t>
            </w:r>
            <w:proofErr w:type="spellStart"/>
            <w:r w:rsidRPr="0051128C">
              <w:t>angioedemos</w:t>
            </w:r>
            <w:proofErr w:type="spellEnd"/>
            <w:r w:rsidRPr="0051128C">
              <w:t xml:space="preserve"> priepuolių rutininei profilaktikai, kai priepuoliai kartojasi daugiau kaip </w:t>
            </w:r>
            <w:r w:rsidR="00B643F7">
              <w:rPr>
                <w:lang w:val="en-US"/>
              </w:rPr>
              <w:t>***</w:t>
            </w:r>
            <w:r w:rsidRPr="0051128C">
              <w:t xml:space="preserve"> kartų per metus. Pradėti vartoti šį vaistinį preparatą galima tik prižiūrint gydytoju</w:t>
            </w:r>
            <w:r>
              <w:t xml:space="preserve">i, </w:t>
            </w:r>
            <w:r w:rsidRPr="0051128C">
              <w:t xml:space="preserve">turinčiam paveldima </w:t>
            </w:r>
            <w:proofErr w:type="spellStart"/>
            <w:r w:rsidRPr="0051128C">
              <w:t>angioedema</w:t>
            </w:r>
            <w:proofErr w:type="spellEnd"/>
            <w:r w:rsidRPr="0051128C">
              <w:t xml:space="preserve"> sergančių pacientų gydymo patirties</w:t>
            </w:r>
            <w:r>
              <w:t>.</w:t>
            </w:r>
          </w:p>
        </w:tc>
      </w:tr>
      <w:tr w:rsidR="00B13D65" w:rsidRPr="000203E1" w14:paraId="3B125269" w14:textId="77777777" w:rsidTr="00BE7489">
        <w:trPr>
          <w:trHeight w:val="378"/>
        </w:trPr>
        <w:tc>
          <w:tcPr>
            <w:tcW w:w="632" w:type="dxa"/>
          </w:tcPr>
          <w:p w14:paraId="0058E11F" w14:textId="3C0D7626" w:rsidR="00B13D65" w:rsidRPr="000203E1" w:rsidRDefault="00B13D65" w:rsidP="00164D64">
            <w:pPr>
              <w:rPr>
                <w:rFonts w:eastAsia="Arial"/>
              </w:rPr>
            </w:pPr>
            <w:r w:rsidRPr="000203E1">
              <w:rPr>
                <w:rFonts w:eastAsia="Arial"/>
              </w:rPr>
              <w:t>1.</w:t>
            </w:r>
            <w:r w:rsidR="00164D64">
              <w:rPr>
                <w:rFonts w:eastAsia="Arial"/>
              </w:rPr>
              <w:t>8</w:t>
            </w:r>
          </w:p>
        </w:tc>
        <w:tc>
          <w:tcPr>
            <w:tcW w:w="3694" w:type="dxa"/>
          </w:tcPr>
          <w:p w14:paraId="738E1926" w14:textId="77777777" w:rsidR="00B13D65" w:rsidRPr="000203E1" w:rsidRDefault="007656B2" w:rsidP="00824B92">
            <w:pPr>
              <w:rPr>
                <w:bCs/>
                <w:lang w:eastAsia="lt-LT"/>
              </w:rPr>
            </w:pPr>
            <w:r w:rsidRPr="000203E1">
              <w:rPr>
                <w:bCs/>
                <w:lang w:eastAsia="lt-LT"/>
              </w:rPr>
              <w:t>Pareiškėjo teikiamas p</w:t>
            </w:r>
            <w:r w:rsidR="00B13D65" w:rsidRPr="000203E1">
              <w:rPr>
                <w:bCs/>
                <w:lang w:eastAsia="lt-LT"/>
              </w:rPr>
              <w:t>alyginamasis</w:t>
            </w:r>
            <w:r w:rsidR="005B3756" w:rsidRPr="000203E1">
              <w:rPr>
                <w:bCs/>
                <w:lang w:eastAsia="lt-LT"/>
              </w:rPr>
              <w:t xml:space="preserve"> </w:t>
            </w:r>
            <w:r w:rsidR="00B13D65" w:rsidRPr="000203E1">
              <w:rPr>
                <w:bCs/>
                <w:lang w:eastAsia="lt-LT"/>
              </w:rPr>
              <w:t xml:space="preserve">gydymas </w:t>
            </w:r>
          </w:p>
          <w:p w14:paraId="61EC5BBD" w14:textId="7A8BD8B4" w:rsidR="009F4D66" w:rsidRPr="000203E1" w:rsidRDefault="009F4D66" w:rsidP="00824B92">
            <w:pPr>
              <w:rPr>
                <w:bCs/>
                <w:lang w:eastAsia="lt-LT"/>
              </w:rPr>
            </w:pPr>
          </w:p>
          <w:p w14:paraId="62057D94" w14:textId="77777777" w:rsidR="00413F24" w:rsidRPr="000203E1" w:rsidRDefault="00413F24" w:rsidP="00824B92">
            <w:pPr>
              <w:rPr>
                <w:bCs/>
                <w:lang w:eastAsia="lt-LT"/>
              </w:rPr>
            </w:pPr>
          </w:p>
          <w:p w14:paraId="6CC1022E" w14:textId="2B6BCEE1" w:rsidR="009F4D66" w:rsidRPr="000203E1" w:rsidRDefault="009F4D66" w:rsidP="00824B92">
            <w:pPr>
              <w:rPr>
                <w:bCs/>
                <w:lang w:eastAsia="lt-LT"/>
              </w:rPr>
            </w:pPr>
          </w:p>
        </w:tc>
        <w:tc>
          <w:tcPr>
            <w:tcW w:w="5167" w:type="dxa"/>
          </w:tcPr>
          <w:p w14:paraId="1F113AC0" w14:textId="69ADD646" w:rsidR="009F4D66" w:rsidRPr="000203E1" w:rsidRDefault="00AD3D39" w:rsidP="0094765C">
            <w:pPr>
              <w:jc w:val="both"/>
            </w:pPr>
            <w:sdt>
              <w:sdtPr>
                <w:rPr>
                  <w:rStyle w:val="Style2"/>
                  <w:sz w:val="24"/>
                </w:rPr>
                <w:id w:val="1480955706"/>
                <w15:color w:val="FFCC0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2"/>
                </w:rPr>
              </w:sdtEndPr>
              <w:sdtContent>
                <w:r w:rsidR="0094765C">
                  <w:rPr>
                    <w:rStyle w:val="Style2"/>
                    <w:rFonts w:ascii="MS Gothic" w:eastAsia="MS Gothic" w:hAnsi="MS Gothic" w:hint="eastAsia"/>
                    <w:sz w:val="24"/>
                  </w:rPr>
                  <w:t>☒</w:t>
                </w:r>
              </w:sdtContent>
            </w:sdt>
            <w:r w:rsidR="009F4D66" w:rsidRPr="000203E1">
              <w:t xml:space="preserve"> Tinkamas</w:t>
            </w:r>
            <w:r w:rsidR="00BC22A0">
              <w:t xml:space="preserve"> (</w:t>
            </w:r>
            <w:proofErr w:type="spellStart"/>
            <w:r w:rsidR="009341CE">
              <w:t>lanadelumabas</w:t>
            </w:r>
            <w:proofErr w:type="spellEnd"/>
            <w:r w:rsidR="00BC22A0">
              <w:t>)</w:t>
            </w:r>
          </w:p>
          <w:p w14:paraId="41B44044" w14:textId="41FAC976" w:rsidR="00B13D65" w:rsidRPr="000203E1" w:rsidRDefault="00AD3D39" w:rsidP="0094765C">
            <w:pPr>
              <w:jc w:val="both"/>
            </w:pPr>
            <w:sdt>
              <w:sdtPr>
                <w:rPr>
                  <w:rStyle w:val="Style2"/>
                  <w:sz w:val="24"/>
                </w:rPr>
                <w:id w:val="-352420698"/>
                <w15:color w:val="FFCC0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2"/>
                </w:rPr>
              </w:sdtEndPr>
              <w:sdtContent>
                <w:r w:rsidR="0094765C">
                  <w:rPr>
                    <w:rStyle w:val="Style2"/>
                    <w:rFonts w:ascii="MS Gothic" w:eastAsia="MS Gothic" w:hAnsi="MS Gothic" w:hint="eastAsia"/>
                    <w:sz w:val="24"/>
                  </w:rPr>
                  <w:t>☒</w:t>
                </w:r>
              </w:sdtContent>
            </w:sdt>
            <w:r w:rsidR="009F4D66" w:rsidRPr="000203E1">
              <w:t xml:space="preserve"> Netinkama</w:t>
            </w:r>
            <w:r w:rsidR="00016F32">
              <w:t>s</w:t>
            </w:r>
            <w:r w:rsidR="0094765C">
              <w:t xml:space="preserve"> (</w:t>
            </w:r>
            <w:r w:rsidR="00FD7179">
              <w:t>placebo</w:t>
            </w:r>
            <w:r w:rsidR="0094765C">
              <w:t>)</w:t>
            </w:r>
          </w:p>
        </w:tc>
      </w:tr>
    </w:tbl>
    <w:p w14:paraId="108176F7" w14:textId="640C6F75" w:rsidR="00F70C9E" w:rsidRPr="000203E1" w:rsidRDefault="00F70C9E" w:rsidP="00E03C3F">
      <w:pPr>
        <w:pStyle w:val="ListParagraph"/>
        <w:tabs>
          <w:tab w:val="left" w:pos="426"/>
        </w:tabs>
        <w:ind w:left="0"/>
        <w:rPr>
          <w:b/>
          <w:bCs/>
          <w:caps/>
        </w:rPr>
      </w:pPr>
    </w:p>
    <w:p w14:paraId="2871CA7F" w14:textId="3B173597" w:rsidR="00F70C9E" w:rsidRPr="000203E1" w:rsidRDefault="00F70C9E" w:rsidP="00880A44">
      <w:pPr>
        <w:spacing w:line="276" w:lineRule="auto"/>
        <w:jc w:val="both"/>
        <w:rPr>
          <w:rFonts w:eastAsia="Arial"/>
          <w:b/>
        </w:rPr>
      </w:pPr>
      <w:r w:rsidRPr="000203E1">
        <w:rPr>
          <w:rFonts w:eastAsia="Arial"/>
          <w:b/>
        </w:rPr>
        <w:t>1.</w:t>
      </w:r>
      <w:r w:rsidR="00164D64">
        <w:rPr>
          <w:rFonts w:eastAsia="Arial"/>
          <w:b/>
        </w:rPr>
        <w:t>9</w:t>
      </w:r>
      <w:r w:rsidRPr="000203E1">
        <w:rPr>
          <w:rFonts w:eastAsia="Arial"/>
          <w:b/>
        </w:rPr>
        <w:t xml:space="preserve"> Kitų </w:t>
      </w:r>
      <w:r w:rsidR="00DF583C" w:rsidRPr="000203E1">
        <w:rPr>
          <w:rFonts w:eastAsia="Arial"/>
          <w:b/>
        </w:rPr>
        <w:t xml:space="preserve">valstybių </w:t>
      </w:r>
      <w:r w:rsidRPr="000203E1">
        <w:rPr>
          <w:rFonts w:eastAsia="Arial"/>
          <w:b/>
        </w:rPr>
        <w:t xml:space="preserve">atsakingų institucijų atlikto </w:t>
      </w:r>
      <w:r w:rsidR="00DF583C" w:rsidRPr="000203E1">
        <w:rPr>
          <w:rFonts w:eastAsia="Arial"/>
          <w:b/>
        </w:rPr>
        <w:t>Sveikatos technologijų vertinimo (toliau – STV)</w:t>
      </w:r>
      <w:r w:rsidRPr="000203E1">
        <w:rPr>
          <w:rFonts w:eastAsia="Arial"/>
          <w:b/>
        </w:rPr>
        <w:t xml:space="preserve"> išvados</w:t>
      </w:r>
    </w:p>
    <w:p w14:paraId="30721FDD" w14:textId="77777777" w:rsidR="00F70C9E" w:rsidRPr="000203E1" w:rsidRDefault="00F70C9E" w:rsidP="00F70C9E">
      <w:pPr>
        <w:spacing w:line="276" w:lineRule="auto"/>
        <w:rPr>
          <w:rFonts w:eastAsia="Arial"/>
        </w:rPr>
      </w:pPr>
    </w:p>
    <w:tbl>
      <w:tblPr>
        <w:tblStyle w:val="TableGrid"/>
        <w:tblW w:w="10060" w:type="dxa"/>
        <w:tblInd w:w="-786" w:type="dxa"/>
        <w:tblLook w:val="04A0" w:firstRow="1" w:lastRow="0" w:firstColumn="1" w:lastColumn="0" w:noHBand="0" w:noVBand="1"/>
      </w:tblPr>
      <w:tblGrid>
        <w:gridCol w:w="2689"/>
        <w:gridCol w:w="2153"/>
        <w:gridCol w:w="2351"/>
        <w:gridCol w:w="2867"/>
      </w:tblGrid>
      <w:tr w:rsidR="0094765C" w:rsidRPr="0073329D" w14:paraId="2D820CDD" w14:textId="77777777" w:rsidTr="0094765C">
        <w:trPr>
          <w:trHeight w:val="924"/>
        </w:trPr>
        <w:tc>
          <w:tcPr>
            <w:tcW w:w="2689" w:type="dxa"/>
          </w:tcPr>
          <w:p w14:paraId="25827148" w14:textId="77777777" w:rsidR="0094765C" w:rsidRPr="0073329D" w:rsidRDefault="0094765C" w:rsidP="00863330">
            <w:pPr>
              <w:spacing w:line="276" w:lineRule="auto"/>
              <w:rPr>
                <w:rFonts w:eastAsia="Arial"/>
              </w:rPr>
            </w:pPr>
            <w:r w:rsidRPr="0073329D">
              <w:rPr>
                <w:rFonts w:eastAsia="Arial"/>
              </w:rPr>
              <w:t>STV agentūros pavadinimas, šalis</w:t>
            </w:r>
          </w:p>
        </w:tc>
        <w:tc>
          <w:tcPr>
            <w:tcW w:w="2153" w:type="dxa"/>
          </w:tcPr>
          <w:p w14:paraId="1840AD54" w14:textId="77777777" w:rsidR="0094765C" w:rsidRPr="0073329D" w:rsidRDefault="0094765C" w:rsidP="00863330">
            <w:pPr>
              <w:spacing w:line="276" w:lineRule="auto"/>
              <w:rPr>
                <w:rFonts w:eastAsia="Arial"/>
              </w:rPr>
            </w:pPr>
            <w:r w:rsidRPr="0073329D">
              <w:rPr>
                <w:rFonts w:eastAsia="Arial"/>
              </w:rPr>
              <w:t>STV vertinimas atliktas</w:t>
            </w:r>
          </w:p>
        </w:tc>
        <w:tc>
          <w:tcPr>
            <w:tcW w:w="2351" w:type="dxa"/>
          </w:tcPr>
          <w:p w14:paraId="04462A27" w14:textId="77777777" w:rsidR="0094765C" w:rsidRPr="0073329D" w:rsidRDefault="0094765C" w:rsidP="00863330">
            <w:pPr>
              <w:spacing w:line="276" w:lineRule="auto"/>
              <w:rPr>
                <w:rFonts w:eastAsia="Arial"/>
              </w:rPr>
            </w:pPr>
            <w:r w:rsidRPr="0073329D">
              <w:rPr>
                <w:rFonts w:eastAsia="Arial"/>
              </w:rPr>
              <w:t>Klinikinio vertinimo išvada</w:t>
            </w:r>
          </w:p>
        </w:tc>
        <w:tc>
          <w:tcPr>
            <w:tcW w:w="2867" w:type="dxa"/>
          </w:tcPr>
          <w:p w14:paraId="12CBBF99" w14:textId="77777777" w:rsidR="0094765C" w:rsidRPr="0073329D" w:rsidRDefault="0094765C" w:rsidP="00863330">
            <w:pPr>
              <w:spacing w:line="276" w:lineRule="auto"/>
              <w:rPr>
                <w:rFonts w:eastAsia="Arial"/>
              </w:rPr>
            </w:pPr>
            <w:proofErr w:type="spellStart"/>
            <w:r w:rsidRPr="0073329D">
              <w:rPr>
                <w:rFonts w:eastAsia="Arial"/>
              </w:rPr>
              <w:t>Farmakoekonominio</w:t>
            </w:r>
            <w:proofErr w:type="spellEnd"/>
            <w:r w:rsidRPr="0073329D">
              <w:rPr>
                <w:rFonts w:eastAsia="Arial"/>
              </w:rPr>
              <w:t xml:space="preserve"> vertinimo išvada</w:t>
            </w:r>
          </w:p>
        </w:tc>
      </w:tr>
      <w:tr w:rsidR="0094765C" w:rsidRPr="0073329D" w14:paraId="4C9675E4" w14:textId="77777777" w:rsidTr="0094765C">
        <w:trPr>
          <w:trHeight w:val="1765"/>
        </w:trPr>
        <w:tc>
          <w:tcPr>
            <w:tcW w:w="2689" w:type="dxa"/>
          </w:tcPr>
          <w:p w14:paraId="713445EC" w14:textId="77777777" w:rsidR="0094765C" w:rsidRPr="0073329D" w:rsidRDefault="0094765C" w:rsidP="00863330">
            <w:pPr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73329D">
              <w:rPr>
                <w:bCs/>
              </w:rPr>
              <w:t>Nacionalinis sveikatos ir klinikinės kompetencijos institutas, Didžioji Britanija</w:t>
            </w:r>
          </w:p>
          <w:p w14:paraId="7D6B69CD" w14:textId="77777777" w:rsidR="0094765C" w:rsidRPr="0073329D" w:rsidRDefault="0094765C" w:rsidP="00863330">
            <w:pPr>
              <w:spacing w:line="276" w:lineRule="auto"/>
              <w:rPr>
                <w:rFonts w:eastAsia="Arial"/>
              </w:rPr>
            </w:pPr>
            <w:r w:rsidRPr="0073329D">
              <w:rPr>
                <w:rFonts w:eastAsia="Arial"/>
              </w:rPr>
              <w:t xml:space="preserve">(angl. </w:t>
            </w:r>
            <w:proofErr w:type="spellStart"/>
            <w:r w:rsidRPr="0073329D">
              <w:rPr>
                <w:rFonts w:eastAsia="Arial"/>
                <w:i/>
              </w:rPr>
              <w:t>National</w:t>
            </w:r>
            <w:proofErr w:type="spellEnd"/>
            <w:r w:rsidRPr="0073329D">
              <w:rPr>
                <w:rFonts w:eastAsia="Arial"/>
                <w:i/>
              </w:rPr>
              <w:t xml:space="preserve"> Institute </w:t>
            </w:r>
            <w:proofErr w:type="spellStart"/>
            <w:r w:rsidRPr="0073329D">
              <w:rPr>
                <w:rFonts w:eastAsia="Arial"/>
                <w:i/>
              </w:rPr>
              <w:t>for</w:t>
            </w:r>
            <w:proofErr w:type="spellEnd"/>
            <w:r w:rsidRPr="0073329D">
              <w:rPr>
                <w:rFonts w:eastAsia="Arial"/>
                <w:i/>
              </w:rPr>
              <w:t xml:space="preserve"> </w:t>
            </w:r>
            <w:proofErr w:type="spellStart"/>
            <w:r w:rsidRPr="0073329D">
              <w:rPr>
                <w:rFonts w:eastAsia="Arial"/>
                <w:i/>
              </w:rPr>
              <w:t>Health</w:t>
            </w:r>
            <w:proofErr w:type="spellEnd"/>
            <w:r w:rsidRPr="0073329D">
              <w:rPr>
                <w:rFonts w:eastAsia="Arial"/>
                <w:i/>
              </w:rPr>
              <w:t xml:space="preserve"> </w:t>
            </w:r>
            <w:proofErr w:type="spellStart"/>
            <w:r w:rsidRPr="0073329D">
              <w:rPr>
                <w:rFonts w:eastAsia="Arial"/>
                <w:i/>
              </w:rPr>
              <w:t>and</w:t>
            </w:r>
            <w:proofErr w:type="spellEnd"/>
            <w:r w:rsidRPr="0073329D">
              <w:rPr>
                <w:rFonts w:eastAsia="Arial"/>
                <w:i/>
              </w:rPr>
              <w:t xml:space="preserve"> Care </w:t>
            </w:r>
            <w:proofErr w:type="spellStart"/>
            <w:r w:rsidRPr="0073329D">
              <w:rPr>
                <w:rFonts w:eastAsia="Arial"/>
                <w:i/>
              </w:rPr>
              <w:t>Excellence</w:t>
            </w:r>
            <w:proofErr w:type="spellEnd"/>
            <w:r w:rsidRPr="0073329D">
              <w:rPr>
                <w:rFonts w:eastAsia="Arial"/>
                <w:i/>
              </w:rPr>
              <w:t>, NICE</w:t>
            </w:r>
            <w:r w:rsidRPr="0073329D">
              <w:rPr>
                <w:rFonts w:eastAsia="Arial"/>
              </w:rPr>
              <w:t>)</w:t>
            </w:r>
          </w:p>
        </w:tc>
        <w:tc>
          <w:tcPr>
            <w:tcW w:w="2153" w:type="dxa"/>
          </w:tcPr>
          <w:p w14:paraId="1CC6D7D5" w14:textId="77777777" w:rsidR="0094765C" w:rsidRPr="0073329D" w:rsidRDefault="00AD3D39" w:rsidP="00863330">
            <w:pPr>
              <w:spacing w:line="276" w:lineRule="auto"/>
            </w:pPr>
            <w:sdt>
              <w:sdtPr>
                <w:rPr>
                  <w:rStyle w:val="Style2"/>
                </w:rPr>
                <w:id w:val="1558205022"/>
                <w15:color w:val="FFCC0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2"/>
                </w:rPr>
              </w:sdtEndPr>
              <w:sdtContent>
                <w:r w:rsidR="0094765C">
                  <w:rPr>
                    <w:rStyle w:val="Style2"/>
                    <w:rFonts w:ascii="MS Gothic" w:eastAsia="MS Gothic" w:hAnsi="MS Gothic" w:hint="eastAsia"/>
                  </w:rPr>
                  <w:t>☒</w:t>
                </w:r>
              </w:sdtContent>
            </w:sdt>
            <w:r w:rsidR="0094765C" w:rsidRPr="0073329D">
              <w:t xml:space="preserve"> Taip</w:t>
            </w:r>
          </w:p>
          <w:p w14:paraId="1352D1AF" w14:textId="77777777" w:rsidR="0094765C" w:rsidRPr="0073329D" w:rsidRDefault="00AD3D39" w:rsidP="00863330">
            <w:pPr>
              <w:spacing w:line="276" w:lineRule="auto"/>
            </w:pPr>
            <w:sdt>
              <w:sdtPr>
                <w:rPr>
                  <w:rStyle w:val="Style2"/>
                </w:rPr>
                <w:id w:val="866029625"/>
                <w15:color w:val="FF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2"/>
                </w:rPr>
              </w:sdtEndPr>
              <w:sdtContent>
                <w:r w:rsidR="0094765C" w:rsidRPr="0073329D">
                  <w:rPr>
                    <w:rStyle w:val="Style2"/>
                    <w:rFonts w:ascii="MS Gothic" w:eastAsia="MS Gothic" w:hAnsi="MS Gothic" w:hint="eastAsia"/>
                  </w:rPr>
                  <w:t>☐</w:t>
                </w:r>
              </w:sdtContent>
            </w:sdt>
            <w:r w:rsidR="0094765C" w:rsidRPr="0073329D">
              <w:t xml:space="preserve"> Ne</w:t>
            </w:r>
          </w:p>
          <w:p w14:paraId="6B42EF1A" w14:textId="77777777" w:rsidR="0094765C" w:rsidRPr="0073329D" w:rsidRDefault="00AD3D39" w:rsidP="00863330">
            <w:pPr>
              <w:spacing w:line="276" w:lineRule="auto"/>
              <w:rPr>
                <w:rFonts w:eastAsia="Arial"/>
              </w:rPr>
            </w:pPr>
            <w:sdt>
              <w:sdtPr>
                <w:alias w:val="Nurodykite konkrečią dieną"/>
                <w:tag w:val="Nurodykite pradžios datą"/>
                <w:id w:val="922837954"/>
                <w:placeholder>
                  <w:docPart w:val="5F26C71257C44680B7D5B0EE4E6D6BC0"/>
                </w:placeholder>
                <w15:color w:val="FFCC99"/>
                <w:date>
                  <w:dateFormat w:val="yyyy 'm.' MMMM d 'd.'"/>
                  <w:lid w:val="lt-LT"/>
                  <w:storeMappedDataAs w:val="dateTime"/>
                  <w:calendar w:val="gregorian"/>
                </w:date>
              </w:sdtPr>
              <w:sdtEndPr/>
              <w:sdtContent>
                <w:r w:rsidR="0094765C">
                  <w:t>2021 m. spalio 20 d.</w:t>
                </w:r>
              </w:sdtContent>
            </w:sdt>
          </w:p>
        </w:tc>
        <w:tc>
          <w:tcPr>
            <w:tcW w:w="5218" w:type="dxa"/>
            <w:gridSpan w:val="2"/>
          </w:tcPr>
          <w:p w14:paraId="01DBB20F" w14:textId="77777777" w:rsidR="0094765C" w:rsidRDefault="0094765C" w:rsidP="0094765C">
            <w:pPr>
              <w:spacing w:line="276" w:lineRule="auto"/>
              <w:jc w:val="both"/>
            </w:pPr>
            <w:r>
              <w:rPr>
                <w:rFonts w:eastAsia="Arial"/>
              </w:rPr>
              <w:t xml:space="preserve">Rekomenduojama kompensuoti sumažinus kainą </w:t>
            </w:r>
            <w:r w:rsidRPr="005349AD">
              <w:t>suaugusiems pacientams ir 12 metų arba vyresniems paaugliams</w:t>
            </w:r>
            <w:r>
              <w:t xml:space="preserve"> </w:t>
            </w:r>
            <w:r w:rsidRPr="005349AD">
              <w:t xml:space="preserve">pasikartojančių paveldimos </w:t>
            </w:r>
            <w:proofErr w:type="spellStart"/>
            <w:r w:rsidRPr="005349AD">
              <w:t>angioneurozinės</w:t>
            </w:r>
            <w:proofErr w:type="spellEnd"/>
            <w:r w:rsidRPr="005349AD">
              <w:t xml:space="preserve"> edemos priepuolių įprastinei profilaktikai</w:t>
            </w:r>
            <w:r>
              <w:t xml:space="preserve"> su skyrimo sąlygomis:</w:t>
            </w:r>
          </w:p>
          <w:p w14:paraId="644A956E" w14:textId="77777777" w:rsidR="0094765C" w:rsidRDefault="0094765C" w:rsidP="0094765C">
            <w:pPr>
              <w:pStyle w:val="ListParagraph"/>
              <w:numPr>
                <w:ilvl w:val="0"/>
                <w:numId w:val="14"/>
              </w:numPr>
              <w:spacing w:line="276" w:lineRule="auto"/>
              <w:jc w:val="both"/>
              <w:rPr>
                <w:rFonts w:eastAsia="Arial"/>
              </w:rPr>
            </w:pPr>
            <w:r>
              <w:rPr>
                <w:rFonts w:eastAsia="Arial"/>
              </w:rPr>
              <w:t>Bent 2 priepuoliai per mėnesį;</w:t>
            </w:r>
          </w:p>
          <w:p w14:paraId="1C538EB5" w14:textId="77777777" w:rsidR="0094765C" w:rsidRPr="00E22F87" w:rsidRDefault="0094765C" w:rsidP="0094765C">
            <w:pPr>
              <w:pStyle w:val="ListParagraph"/>
              <w:numPr>
                <w:ilvl w:val="0"/>
                <w:numId w:val="14"/>
              </w:numPr>
              <w:spacing w:line="276" w:lineRule="auto"/>
              <w:jc w:val="both"/>
              <w:rPr>
                <w:rFonts w:eastAsia="Arial"/>
              </w:rPr>
            </w:pPr>
            <w:r>
              <w:rPr>
                <w:rFonts w:eastAsia="Arial"/>
              </w:rPr>
              <w:t>Gydymas turi būti nutrauktas, jei po 3 mėn. priepuolių dažnis nesumažėjo bent 50%.</w:t>
            </w:r>
          </w:p>
        </w:tc>
      </w:tr>
      <w:tr w:rsidR="0094765C" w:rsidRPr="0073329D" w14:paraId="1039F73B" w14:textId="77777777" w:rsidTr="0094765C">
        <w:trPr>
          <w:trHeight w:val="1547"/>
        </w:trPr>
        <w:tc>
          <w:tcPr>
            <w:tcW w:w="2689" w:type="dxa"/>
          </w:tcPr>
          <w:p w14:paraId="43359840" w14:textId="77777777" w:rsidR="0094765C" w:rsidRPr="0073329D" w:rsidRDefault="0094765C" w:rsidP="00863330">
            <w:pPr>
              <w:spacing w:line="276" w:lineRule="auto"/>
              <w:rPr>
                <w:rFonts w:eastAsia="Arial"/>
              </w:rPr>
            </w:pPr>
            <w:r w:rsidRPr="0073329D">
              <w:rPr>
                <w:rFonts w:eastAsia="Arial"/>
              </w:rPr>
              <w:t>Kanados sveikatos technologijų agentūra</w:t>
            </w:r>
          </w:p>
          <w:p w14:paraId="7A1EA2B8" w14:textId="77777777" w:rsidR="0094765C" w:rsidRPr="0073329D" w:rsidRDefault="0094765C" w:rsidP="00863330">
            <w:pPr>
              <w:spacing w:line="276" w:lineRule="auto"/>
              <w:rPr>
                <w:rFonts w:eastAsia="Arial"/>
              </w:rPr>
            </w:pPr>
            <w:r w:rsidRPr="0073329D">
              <w:rPr>
                <w:rFonts w:eastAsia="Arial"/>
              </w:rPr>
              <w:t xml:space="preserve">(angl. </w:t>
            </w:r>
            <w:proofErr w:type="spellStart"/>
            <w:r w:rsidRPr="0073329D">
              <w:rPr>
                <w:rFonts w:eastAsia="Arial"/>
                <w:i/>
              </w:rPr>
              <w:t>Canadian</w:t>
            </w:r>
            <w:proofErr w:type="spellEnd"/>
            <w:r w:rsidRPr="0073329D">
              <w:rPr>
                <w:rFonts w:eastAsia="Arial"/>
                <w:i/>
              </w:rPr>
              <w:t xml:space="preserve"> </w:t>
            </w:r>
            <w:proofErr w:type="spellStart"/>
            <w:r w:rsidRPr="0073329D">
              <w:rPr>
                <w:rFonts w:eastAsia="Arial"/>
                <w:i/>
              </w:rPr>
              <w:t>health</w:t>
            </w:r>
            <w:proofErr w:type="spellEnd"/>
            <w:r w:rsidRPr="0073329D">
              <w:rPr>
                <w:rFonts w:eastAsia="Arial"/>
                <w:i/>
              </w:rPr>
              <w:t xml:space="preserve"> </w:t>
            </w:r>
            <w:proofErr w:type="spellStart"/>
            <w:r w:rsidRPr="0073329D">
              <w:rPr>
                <w:rFonts w:eastAsia="Arial"/>
                <w:i/>
              </w:rPr>
              <w:t>Technology</w:t>
            </w:r>
            <w:proofErr w:type="spellEnd"/>
            <w:r w:rsidRPr="0073329D">
              <w:rPr>
                <w:rFonts w:eastAsia="Arial"/>
                <w:i/>
              </w:rPr>
              <w:t xml:space="preserve"> </w:t>
            </w:r>
            <w:proofErr w:type="spellStart"/>
            <w:r w:rsidRPr="0073329D">
              <w:rPr>
                <w:rFonts w:eastAsia="Arial"/>
                <w:i/>
              </w:rPr>
              <w:t>Assessment</w:t>
            </w:r>
            <w:proofErr w:type="spellEnd"/>
            <w:r w:rsidRPr="0073329D">
              <w:rPr>
                <w:rFonts w:eastAsia="Arial"/>
                <w:i/>
              </w:rPr>
              <w:t xml:space="preserve"> </w:t>
            </w:r>
            <w:proofErr w:type="spellStart"/>
            <w:r w:rsidRPr="0073329D">
              <w:rPr>
                <w:rFonts w:eastAsia="Arial"/>
                <w:i/>
              </w:rPr>
              <w:t>agency</w:t>
            </w:r>
            <w:proofErr w:type="spellEnd"/>
            <w:r w:rsidRPr="0073329D">
              <w:rPr>
                <w:rFonts w:eastAsia="Arial"/>
                <w:i/>
              </w:rPr>
              <w:t>, CADTH</w:t>
            </w:r>
            <w:r w:rsidRPr="0073329D">
              <w:rPr>
                <w:rFonts w:eastAsia="Arial"/>
              </w:rPr>
              <w:t>)</w:t>
            </w:r>
          </w:p>
        </w:tc>
        <w:tc>
          <w:tcPr>
            <w:tcW w:w="2153" w:type="dxa"/>
          </w:tcPr>
          <w:p w14:paraId="04555406" w14:textId="77777777" w:rsidR="0094765C" w:rsidRPr="0073329D" w:rsidRDefault="00AD3D39" w:rsidP="00863330">
            <w:pPr>
              <w:spacing w:line="276" w:lineRule="auto"/>
            </w:pPr>
            <w:sdt>
              <w:sdtPr>
                <w:rPr>
                  <w:rStyle w:val="Style2"/>
                </w:rPr>
                <w:id w:val="-372539057"/>
                <w15:color w:val="FFCC0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2"/>
                </w:rPr>
              </w:sdtEndPr>
              <w:sdtContent>
                <w:r w:rsidR="0094765C">
                  <w:rPr>
                    <w:rStyle w:val="Style2"/>
                    <w:rFonts w:ascii="MS Gothic" w:eastAsia="MS Gothic" w:hAnsi="MS Gothic" w:hint="eastAsia"/>
                  </w:rPr>
                  <w:t>☒</w:t>
                </w:r>
              </w:sdtContent>
            </w:sdt>
            <w:r w:rsidR="0094765C" w:rsidRPr="0073329D">
              <w:t xml:space="preserve"> Taip</w:t>
            </w:r>
          </w:p>
          <w:p w14:paraId="5885224D" w14:textId="77777777" w:rsidR="0094765C" w:rsidRPr="0073329D" w:rsidRDefault="00AD3D39" w:rsidP="00863330">
            <w:pPr>
              <w:spacing w:line="276" w:lineRule="auto"/>
            </w:pPr>
            <w:sdt>
              <w:sdtPr>
                <w:rPr>
                  <w:rStyle w:val="Style2"/>
                </w:rPr>
                <w:id w:val="594442222"/>
                <w15:color w:val="FF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2"/>
                </w:rPr>
              </w:sdtEndPr>
              <w:sdtContent>
                <w:r w:rsidR="0094765C" w:rsidRPr="0073329D">
                  <w:rPr>
                    <w:rStyle w:val="Style2"/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4765C" w:rsidRPr="0073329D">
              <w:t xml:space="preserve"> Ne</w:t>
            </w:r>
          </w:p>
          <w:p w14:paraId="0681BFB0" w14:textId="77777777" w:rsidR="0094765C" w:rsidRPr="0073329D" w:rsidRDefault="00AD3D39" w:rsidP="00863330">
            <w:pPr>
              <w:spacing w:line="276" w:lineRule="auto"/>
              <w:rPr>
                <w:rFonts w:eastAsia="Arial"/>
              </w:rPr>
            </w:pPr>
            <w:sdt>
              <w:sdtPr>
                <w:alias w:val="Nurodykite konkrečią dieną"/>
                <w:tag w:val="Nurodykite pradžios datą"/>
                <w:id w:val="1072468416"/>
                <w:placeholder>
                  <w:docPart w:val="684DD3E3E6B74333B0865E2640CF2BFA"/>
                </w:placeholder>
                <w15:color w:val="FFCC99"/>
                <w:date>
                  <w:dateFormat w:val="yyyy 'm.' MMMM d 'd.'"/>
                  <w:lid w:val="lt-LT"/>
                  <w:storeMappedDataAs w:val="dateTime"/>
                  <w:calendar w:val="gregorian"/>
                </w:date>
              </w:sdtPr>
              <w:sdtEndPr/>
              <w:sdtContent>
                <w:r w:rsidR="0094765C">
                  <w:t>2023 m. kovo 8 d.</w:t>
                </w:r>
              </w:sdtContent>
            </w:sdt>
          </w:p>
        </w:tc>
        <w:tc>
          <w:tcPr>
            <w:tcW w:w="5218" w:type="dxa"/>
            <w:gridSpan w:val="2"/>
          </w:tcPr>
          <w:p w14:paraId="3AA38300" w14:textId="77777777" w:rsidR="0094765C" w:rsidRDefault="0094765C" w:rsidP="0094765C">
            <w:pPr>
              <w:spacing w:line="276" w:lineRule="auto"/>
              <w:jc w:val="both"/>
            </w:pPr>
            <w:r>
              <w:rPr>
                <w:rFonts w:eastAsia="Arial"/>
              </w:rPr>
              <w:t xml:space="preserve">Rekomenduojama kompensuoti sumažinus kainą </w:t>
            </w:r>
            <w:r w:rsidRPr="005349AD">
              <w:t>suaugusiems pacientams ir 12 metų arba vyresniems paaugliams</w:t>
            </w:r>
            <w:r>
              <w:t xml:space="preserve"> </w:t>
            </w:r>
            <w:r w:rsidRPr="005349AD">
              <w:t xml:space="preserve">pasikartojančių paveldimos </w:t>
            </w:r>
            <w:proofErr w:type="spellStart"/>
            <w:r w:rsidRPr="005349AD">
              <w:t>angioneurozinės</w:t>
            </w:r>
            <w:proofErr w:type="spellEnd"/>
            <w:r w:rsidRPr="005349AD">
              <w:t xml:space="preserve"> edemos priepuolių įprastinei profilaktikai</w:t>
            </w:r>
            <w:r>
              <w:t xml:space="preserve"> pagal </w:t>
            </w:r>
            <w:proofErr w:type="spellStart"/>
            <w:r>
              <w:t>lanadelumabo</w:t>
            </w:r>
            <w:proofErr w:type="spellEnd"/>
            <w:r>
              <w:t xml:space="preserve"> skyrimo sąlygas:</w:t>
            </w:r>
          </w:p>
          <w:p w14:paraId="2DE57C74" w14:textId="77777777" w:rsidR="0094765C" w:rsidRDefault="0094765C" w:rsidP="0094765C">
            <w:pPr>
              <w:pStyle w:val="ListParagraph"/>
              <w:numPr>
                <w:ilvl w:val="0"/>
                <w:numId w:val="14"/>
              </w:numPr>
              <w:spacing w:line="276" w:lineRule="auto"/>
              <w:jc w:val="both"/>
              <w:rPr>
                <w:rFonts w:eastAsia="Arial"/>
              </w:rPr>
            </w:pPr>
            <w:r>
              <w:rPr>
                <w:rFonts w:eastAsia="Arial"/>
              </w:rPr>
              <w:t>Bent 3 priepuoliai per 4 savaites;</w:t>
            </w:r>
          </w:p>
          <w:p w14:paraId="57E445BB" w14:textId="77777777" w:rsidR="0094765C" w:rsidRDefault="0094765C" w:rsidP="0094765C">
            <w:pPr>
              <w:pStyle w:val="ListParagraph"/>
              <w:numPr>
                <w:ilvl w:val="0"/>
                <w:numId w:val="14"/>
              </w:numPr>
              <w:spacing w:line="276" w:lineRule="auto"/>
              <w:jc w:val="both"/>
              <w:rPr>
                <w:rFonts w:eastAsia="Arial"/>
              </w:rPr>
            </w:pPr>
            <w:r w:rsidRPr="0056708E">
              <w:rPr>
                <w:rFonts w:eastAsia="Arial"/>
              </w:rPr>
              <w:t xml:space="preserve">Gydymas turi būti nutrauktas, jei </w:t>
            </w:r>
            <w:r>
              <w:rPr>
                <w:rFonts w:eastAsia="Arial"/>
              </w:rPr>
              <w:t>priepuolių dažnis nesumažėjo ar padidėjo.</w:t>
            </w:r>
          </w:p>
          <w:p w14:paraId="6B53FDBC" w14:textId="77777777" w:rsidR="0094765C" w:rsidRPr="00FD003E" w:rsidRDefault="0094765C" w:rsidP="0094765C">
            <w:pPr>
              <w:spacing w:line="276" w:lineRule="auto"/>
              <w:jc w:val="both"/>
              <w:rPr>
                <w:rFonts w:eastAsia="Arial"/>
              </w:rPr>
            </w:pPr>
            <w:r>
              <w:rPr>
                <w:rFonts w:eastAsia="Arial"/>
              </w:rPr>
              <w:t xml:space="preserve">Pastaba: pirmoji </w:t>
            </w:r>
            <w:proofErr w:type="spellStart"/>
            <w:r>
              <w:rPr>
                <w:rFonts w:eastAsia="Arial"/>
              </w:rPr>
              <w:t>berotralstato</w:t>
            </w:r>
            <w:proofErr w:type="spellEnd"/>
            <w:r>
              <w:rPr>
                <w:rFonts w:eastAsia="Arial"/>
              </w:rPr>
              <w:t xml:space="preserve"> paraiška buvo pateikta 2021 m., gauta neigiama išvada.</w:t>
            </w:r>
          </w:p>
        </w:tc>
      </w:tr>
      <w:tr w:rsidR="0094765C" w:rsidRPr="0073329D" w14:paraId="53410638" w14:textId="77777777" w:rsidTr="0094765C">
        <w:trPr>
          <w:trHeight w:val="1927"/>
        </w:trPr>
        <w:tc>
          <w:tcPr>
            <w:tcW w:w="2689" w:type="dxa"/>
          </w:tcPr>
          <w:p w14:paraId="1ACE557F" w14:textId="77777777" w:rsidR="0094765C" w:rsidRPr="0073329D" w:rsidRDefault="0094765C" w:rsidP="00863330">
            <w:pPr>
              <w:spacing w:line="276" w:lineRule="auto"/>
              <w:rPr>
                <w:rFonts w:eastAsia="Arial"/>
              </w:rPr>
            </w:pPr>
            <w:r w:rsidRPr="0073329D">
              <w:rPr>
                <w:rFonts w:eastAsia="Arial"/>
              </w:rPr>
              <w:t xml:space="preserve">Nacionalinis </w:t>
            </w:r>
            <w:proofErr w:type="spellStart"/>
            <w:r w:rsidRPr="0073329D">
              <w:rPr>
                <w:rFonts w:eastAsia="Arial"/>
              </w:rPr>
              <w:t>farmakoekonomikos</w:t>
            </w:r>
            <w:proofErr w:type="spellEnd"/>
            <w:r w:rsidRPr="0073329D">
              <w:rPr>
                <w:rFonts w:eastAsia="Arial"/>
              </w:rPr>
              <w:t xml:space="preserve"> centras, Airija</w:t>
            </w:r>
          </w:p>
          <w:p w14:paraId="78B2B26A" w14:textId="77777777" w:rsidR="0094765C" w:rsidRPr="0073329D" w:rsidRDefault="0094765C" w:rsidP="00863330">
            <w:pPr>
              <w:spacing w:line="276" w:lineRule="auto"/>
              <w:rPr>
                <w:rFonts w:eastAsia="Arial"/>
              </w:rPr>
            </w:pPr>
            <w:r w:rsidRPr="0073329D">
              <w:rPr>
                <w:rFonts w:eastAsia="Arial"/>
              </w:rPr>
              <w:t>(angl.</w:t>
            </w:r>
            <w:r w:rsidRPr="0073329D">
              <w:rPr>
                <w:rFonts w:eastAsia="Arial"/>
                <w:i/>
              </w:rPr>
              <w:t xml:space="preserve"> </w:t>
            </w:r>
            <w:proofErr w:type="spellStart"/>
            <w:r w:rsidRPr="0073329D">
              <w:rPr>
                <w:rFonts w:eastAsia="Arial"/>
                <w:i/>
              </w:rPr>
              <w:t>National</w:t>
            </w:r>
            <w:proofErr w:type="spellEnd"/>
            <w:r w:rsidRPr="0073329D">
              <w:rPr>
                <w:rFonts w:eastAsia="Arial"/>
                <w:i/>
              </w:rPr>
              <w:t xml:space="preserve"> Centre </w:t>
            </w:r>
            <w:proofErr w:type="spellStart"/>
            <w:r w:rsidRPr="0073329D">
              <w:rPr>
                <w:rFonts w:eastAsia="Arial"/>
                <w:i/>
              </w:rPr>
              <w:t>for</w:t>
            </w:r>
            <w:proofErr w:type="spellEnd"/>
            <w:r w:rsidRPr="0073329D">
              <w:rPr>
                <w:rFonts w:eastAsia="Arial"/>
                <w:i/>
              </w:rPr>
              <w:t xml:space="preserve"> </w:t>
            </w:r>
            <w:proofErr w:type="spellStart"/>
            <w:r w:rsidRPr="0073329D">
              <w:rPr>
                <w:rFonts w:eastAsia="Arial"/>
                <w:i/>
              </w:rPr>
              <w:t>Pharmacoeconomics</w:t>
            </w:r>
            <w:proofErr w:type="spellEnd"/>
            <w:r w:rsidRPr="0073329D">
              <w:rPr>
                <w:rFonts w:eastAsia="Arial"/>
                <w:i/>
              </w:rPr>
              <w:t>, NCPE</w:t>
            </w:r>
            <w:r w:rsidRPr="0073329D">
              <w:rPr>
                <w:rFonts w:eastAsia="Arial"/>
              </w:rPr>
              <w:t>)</w:t>
            </w:r>
          </w:p>
        </w:tc>
        <w:tc>
          <w:tcPr>
            <w:tcW w:w="2153" w:type="dxa"/>
          </w:tcPr>
          <w:p w14:paraId="7A737F12" w14:textId="77777777" w:rsidR="0094765C" w:rsidRPr="0073329D" w:rsidRDefault="00AD3D39" w:rsidP="00863330">
            <w:pPr>
              <w:spacing w:line="276" w:lineRule="auto"/>
            </w:pPr>
            <w:sdt>
              <w:sdtPr>
                <w:rPr>
                  <w:rStyle w:val="Style2"/>
                </w:rPr>
                <w:id w:val="-1888403732"/>
                <w15:color w:val="FF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2"/>
                </w:rPr>
              </w:sdtEndPr>
              <w:sdtContent>
                <w:r w:rsidR="0094765C" w:rsidRPr="0073329D">
                  <w:rPr>
                    <w:rStyle w:val="Style2"/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4765C" w:rsidRPr="0073329D">
              <w:t xml:space="preserve"> Taip</w:t>
            </w:r>
          </w:p>
          <w:p w14:paraId="3BDECB67" w14:textId="77777777" w:rsidR="0094765C" w:rsidRPr="0073329D" w:rsidRDefault="00AD3D39" w:rsidP="00863330">
            <w:pPr>
              <w:spacing w:line="276" w:lineRule="auto"/>
            </w:pPr>
            <w:sdt>
              <w:sdtPr>
                <w:rPr>
                  <w:rStyle w:val="Style2"/>
                </w:rPr>
                <w:id w:val="1092201793"/>
                <w15:color w:val="FFCC0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2"/>
                </w:rPr>
              </w:sdtEndPr>
              <w:sdtContent>
                <w:r w:rsidR="0094765C">
                  <w:rPr>
                    <w:rStyle w:val="Style2"/>
                    <w:rFonts w:ascii="MS Gothic" w:eastAsia="MS Gothic" w:hAnsi="MS Gothic" w:hint="eastAsia"/>
                  </w:rPr>
                  <w:t>☒</w:t>
                </w:r>
              </w:sdtContent>
            </w:sdt>
            <w:r w:rsidR="0094765C" w:rsidRPr="0073329D">
              <w:t xml:space="preserve"> Ne</w:t>
            </w:r>
          </w:p>
          <w:p w14:paraId="6D2DFD9D" w14:textId="77777777" w:rsidR="0094765C" w:rsidRPr="0073329D" w:rsidRDefault="00AD3D39" w:rsidP="00863330">
            <w:pPr>
              <w:spacing w:line="276" w:lineRule="auto"/>
              <w:rPr>
                <w:rFonts w:eastAsia="Arial"/>
              </w:rPr>
            </w:pPr>
            <w:sdt>
              <w:sdtPr>
                <w:alias w:val="Nurodykite konkrečią dieną"/>
                <w:tag w:val="Nurodykite pradžios datą"/>
                <w:id w:val="-198323198"/>
                <w:placeholder>
                  <w:docPart w:val="39D3517FE2374D16955B638B70CBDF57"/>
                </w:placeholder>
                <w15:color w:val="FFCC99"/>
                <w:date>
                  <w:dateFormat w:val="yyyy 'm.' MMMM d 'd.'"/>
                  <w:lid w:val="lt-LT"/>
                  <w:storeMappedDataAs w:val="dateTime"/>
                  <w:calendar w:val="gregorian"/>
                </w:date>
              </w:sdtPr>
              <w:sdtEndPr/>
              <w:sdtContent>
                <w:r w:rsidR="0094765C">
                  <w:t>2023 kovo 28 d.</w:t>
                </w:r>
              </w:sdtContent>
            </w:sdt>
          </w:p>
        </w:tc>
        <w:tc>
          <w:tcPr>
            <w:tcW w:w="5218" w:type="dxa"/>
            <w:gridSpan w:val="2"/>
          </w:tcPr>
          <w:p w14:paraId="18677004" w14:textId="58240DC3" w:rsidR="0094765C" w:rsidRPr="0073329D" w:rsidRDefault="0094765C" w:rsidP="0094765C">
            <w:pPr>
              <w:spacing w:line="276" w:lineRule="auto"/>
              <w:jc w:val="both"/>
              <w:rPr>
                <w:rFonts w:eastAsia="Arial"/>
              </w:rPr>
            </w:pPr>
            <w:r>
              <w:rPr>
                <w:rFonts w:eastAsia="Arial"/>
              </w:rPr>
              <w:t xml:space="preserve">Atliktas pirminis paraiškos įvertinimas, laukiama paraiškos pilnam sveikatos technologijų vertinimo procesui. 2024 m. liepos mėn. po </w:t>
            </w:r>
            <w:proofErr w:type="spellStart"/>
            <w:r>
              <w:rPr>
                <w:rFonts w:eastAsia="Arial"/>
              </w:rPr>
              <w:t>konfidecialių</w:t>
            </w:r>
            <w:proofErr w:type="spellEnd"/>
            <w:r>
              <w:rPr>
                <w:rFonts w:eastAsia="Arial"/>
              </w:rPr>
              <w:t xml:space="preserve"> kainos derybų priimtas sprendimas kompensuoti vaistinį preparatą.</w:t>
            </w:r>
          </w:p>
        </w:tc>
      </w:tr>
    </w:tbl>
    <w:p w14:paraId="2EB7FD31" w14:textId="4D2A8479" w:rsidR="007A2B68" w:rsidRPr="000203E1" w:rsidRDefault="007A2B68" w:rsidP="00E03C3F">
      <w:pPr>
        <w:pStyle w:val="ListParagraph"/>
        <w:tabs>
          <w:tab w:val="left" w:pos="426"/>
        </w:tabs>
        <w:ind w:left="0"/>
        <w:rPr>
          <w:b/>
          <w:bCs/>
          <w:caps/>
        </w:rPr>
      </w:pPr>
    </w:p>
    <w:p w14:paraId="73290081" w14:textId="77777777" w:rsidR="007A2B68" w:rsidRPr="000203E1" w:rsidRDefault="007A2B68">
      <w:pPr>
        <w:rPr>
          <w:b/>
          <w:bCs/>
          <w:caps/>
        </w:rPr>
      </w:pPr>
      <w:r w:rsidRPr="000203E1">
        <w:rPr>
          <w:b/>
          <w:bCs/>
          <w:caps/>
        </w:rPr>
        <w:br w:type="page"/>
      </w:r>
    </w:p>
    <w:p w14:paraId="5055E8A8" w14:textId="471A9757" w:rsidR="002E6F80" w:rsidRPr="000203E1" w:rsidRDefault="00CC7832" w:rsidP="00CC09D4">
      <w:pPr>
        <w:pStyle w:val="ListParagraph"/>
        <w:numPr>
          <w:ilvl w:val="0"/>
          <w:numId w:val="12"/>
        </w:numPr>
        <w:tabs>
          <w:tab w:val="left" w:pos="567"/>
        </w:tabs>
        <w:ind w:hanging="720"/>
        <w:rPr>
          <w:b/>
          <w:bCs/>
          <w:caps/>
        </w:rPr>
      </w:pPr>
      <w:r w:rsidRPr="000203E1">
        <w:rPr>
          <w:b/>
          <w:bCs/>
          <w:caps/>
        </w:rPr>
        <w:lastRenderedPageBreak/>
        <w:t>Klinikinio vertinimo a</w:t>
      </w:r>
      <w:r w:rsidR="00D4485B" w:rsidRPr="000203E1">
        <w:rPr>
          <w:b/>
          <w:bCs/>
          <w:caps/>
        </w:rPr>
        <w:t>pibendrinimas</w:t>
      </w:r>
    </w:p>
    <w:p w14:paraId="25F89291" w14:textId="5C45C8FC" w:rsidR="00D4485B" w:rsidRDefault="00D4485B" w:rsidP="00A93AA6">
      <w:pPr>
        <w:pStyle w:val="ListParagraph"/>
        <w:tabs>
          <w:tab w:val="left" w:pos="426"/>
        </w:tabs>
        <w:ind w:left="0"/>
        <w:rPr>
          <w:b/>
          <w:bCs/>
          <w:caps/>
        </w:rPr>
      </w:pPr>
    </w:p>
    <w:p w14:paraId="74D35E54" w14:textId="77777777" w:rsidR="0024262A" w:rsidRDefault="0024262A" w:rsidP="0024262A">
      <w:pPr>
        <w:spacing w:line="276" w:lineRule="auto"/>
        <w:ind w:firstLine="720"/>
        <w:jc w:val="both"/>
        <w:rPr>
          <w:noProof/>
          <w:color w:val="000000" w:themeColor="text1"/>
        </w:rPr>
      </w:pPr>
      <w:r w:rsidRPr="004C3711">
        <w:rPr>
          <w:noProof/>
          <w:color w:val="000000" w:themeColor="text1"/>
        </w:rPr>
        <w:t>Paveldima angioedema (PAE) –</w:t>
      </w:r>
      <w:r>
        <w:rPr>
          <w:noProof/>
          <w:color w:val="000000" w:themeColor="text1"/>
        </w:rPr>
        <w:t xml:space="preserve"> </w:t>
      </w:r>
      <w:r w:rsidRPr="004C3711">
        <w:rPr>
          <w:noProof/>
          <w:color w:val="000000" w:themeColor="text1"/>
        </w:rPr>
        <w:t>reta</w:t>
      </w:r>
      <w:r>
        <w:rPr>
          <w:noProof/>
          <w:color w:val="000000" w:themeColor="text1"/>
        </w:rPr>
        <w:t xml:space="preserve"> (pasireiškianti 1 iš 50 tūkst. gyventojų) genetinė,</w:t>
      </w:r>
      <w:r w:rsidRPr="004C3711">
        <w:rPr>
          <w:noProof/>
          <w:color w:val="000000" w:themeColor="text1"/>
        </w:rPr>
        <w:t xml:space="preserve"> autosominiu</w:t>
      </w:r>
      <w:r>
        <w:rPr>
          <w:noProof/>
          <w:color w:val="000000" w:themeColor="text1"/>
        </w:rPr>
        <w:t xml:space="preserve"> </w:t>
      </w:r>
      <w:r w:rsidRPr="004C3711">
        <w:rPr>
          <w:noProof/>
          <w:color w:val="000000" w:themeColor="text1"/>
        </w:rPr>
        <w:t>dominantiniu būdu paveldima liga</w:t>
      </w:r>
      <w:r>
        <w:rPr>
          <w:noProof/>
          <w:color w:val="000000" w:themeColor="text1"/>
        </w:rPr>
        <w:t xml:space="preserve">. </w:t>
      </w:r>
      <w:r w:rsidRPr="00C4409B">
        <w:rPr>
          <w:noProof/>
          <w:color w:val="000000" w:themeColor="text1"/>
        </w:rPr>
        <w:t xml:space="preserve">Pagal C1 esterazės inhibitoriaus (C1–INH) kiekio ir aktyvumo lygį liga klasifikuojama į tris pagrindinius tipus: I tipas – nepakankama normalaus aktyvumo C–INH gamyba, II tipas – pakankama disfunkcinio C–INH gamyba, III </w:t>
      </w:r>
      <w:r>
        <w:rPr>
          <w:noProof/>
          <w:color w:val="000000" w:themeColor="text1"/>
        </w:rPr>
        <w:t>tipas – yra heterogeniška forma</w:t>
      </w:r>
      <w:r w:rsidRPr="00C4409B">
        <w:rPr>
          <w:noProof/>
          <w:color w:val="000000" w:themeColor="text1"/>
        </w:rPr>
        <w:t>. Dažniausiai nustatoma I (~85 proc. visų atvejų) ir II tipo (~15 proc. visų atvejų) PAE.</w:t>
      </w:r>
    </w:p>
    <w:p w14:paraId="6BD6A8A3" w14:textId="2F559233" w:rsidR="0024262A" w:rsidRDefault="0024262A" w:rsidP="0024262A">
      <w:pPr>
        <w:spacing w:line="276" w:lineRule="auto"/>
        <w:ind w:firstLine="720"/>
        <w:jc w:val="both"/>
        <w:rPr>
          <w:noProof/>
          <w:color w:val="000000" w:themeColor="text1"/>
        </w:rPr>
      </w:pPr>
      <w:r>
        <w:rPr>
          <w:noProof/>
          <w:color w:val="000000" w:themeColor="text1"/>
        </w:rPr>
        <w:t>PAE pacientams nustatoma vidutiniškai 11 metų amži</w:t>
      </w:r>
      <w:r w:rsidR="00DA2A77">
        <w:rPr>
          <w:noProof/>
          <w:color w:val="000000" w:themeColor="text1"/>
        </w:rPr>
        <w:t>uje</w:t>
      </w:r>
      <w:r>
        <w:rPr>
          <w:noProof/>
          <w:color w:val="000000" w:themeColor="text1"/>
        </w:rPr>
        <w:t>. A</w:t>
      </w:r>
      <w:r w:rsidRPr="004C3711">
        <w:rPr>
          <w:noProof/>
          <w:color w:val="000000" w:themeColor="text1"/>
        </w:rPr>
        <w:t xml:space="preserve">pie 50 proc. pacientų pirmą PAE priepuolį patiria </w:t>
      </w:r>
      <w:r>
        <w:rPr>
          <w:noProof/>
          <w:color w:val="000000" w:themeColor="text1"/>
        </w:rPr>
        <w:t>būdami ne jaunesni</w:t>
      </w:r>
      <w:r w:rsidRPr="004C3711">
        <w:rPr>
          <w:noProof/>
          <w:color w:val="000000" w:themeColor="text1"/>
        </w:rPr>
        <w:t xml:space="preserve"> </w:t>
      </w:r>
      <w:r w:rsidR="00DA2A77">
        <w:rPr>
          <w:noProof/>
          <w:color w:val="000000" w:themeColor="text1"/>
        </w:rPr>
        <w:t xml:space="preserve">kaip </w:t>
      </w:r>
      <w:r w:rsidRPr="004C3711">
        <w:rPr>
          <w:noProof/>
          <w:color w:val="000000" w:themeColor="text1"/>
        </w:rPr>
        <w:t>10 metų</w:t>
      </w:r>
      <w:r>
        <w:rPr>
          <w:noProof/>
          <w:color w:val="000000" w:themeColor="text1"/>
        </w:rPr>
        <w:t xml:space="preserve">. </w:t>
      </w:r>
      <w:r w:rsidRPr="004C3711">
        <w:rPr>
          <w:noProof/>
          <w:color w:val="000000" w:themeColor="text1"/>
        </w:rPr>
        <w:t xml:space="preserve">Vidutiniškai pacientai </w:t>
      </w:r>
      <w:r>
        <w:rPr>
          <w:noProof/>
          <w:color w:val="000000" w:themeColor="text1"/>
        </w:rPr>
        <w:t>patiria</w:t>
      </w:r>
      <w:r w:rsidRPr="004C3711">
        <w:rPr>
          <w:noProof/>
          <w:color w:val="000000" w:themeColor="text1"/>
        </w:rPr>
        <w:t xml:space="preserve"> apie 27 priepuolius per metus</w:t>
      </w:r>
      <w:r>
        <w:rPr>
          <w:noProof/>
          <w:color w:val="000000" w:themeColor="text1"/>
        </w:rPr>
        <w:t>.</w:t>
      </w:r>
    </w:p>
    <w:p w14:paraId="25105340" w14:textId="56226020" w:rsidR="0024262A" w:rsidRDefault="0024262A" w:rsidP="0024262A">
      <w:pPr>
        <w:pStyle w:val="Tekstas"/>
        <w:spacing w:line="276" w:lineRule="auto"/>
        <w:ind w:firstLine="720"/>
        <w:rPr>
          <w:noProof/>
        </w:rPr>
      </w:pPr>
      <w:r w:rsidRPr="00E10009">
        <w:rPr>
          <w:noProof/>
        </w:rPr>
        <w:t>Tarptautinės</w:t>
      </w:r>
      <w:r>
        <w:rPr>
          <w:noProof/>
        </w:rPr>
        <w:t>e</w:t>
      </w:r>
      <w:r w:rsidRPr="00E10009">
        <w:rPr>
          <w:noProof/>
        </w:rPr>
        <w:t xml:space="preserve"> WAO/EAACI </w:t>
      </w:r>
      <w:r>
        <w:rPr>
          <w:noProof/>
        </w:rPr>
        <w:t>PAE</w:t>
      </w:r>
      <w:r w:rsidRPr="00E10009">
        <w:rPr>
          <w:noProof/>
        </w:rPr>
        <w:t xml:space="preserve"> gydymo gairės</w:t>
      </w:r>
      <w:r>
        <w:rPr>
          <w:noProof/>
        </w:rPr>
        <w:t>e</w:t>
      </w:r>
      <w:r w:rsidRPr="00E10009">
        <w:rPr>
          <w:noProof/>
        </w:rPr>
        <w:t xml:space="preserve"> (</w:t>
      </w:r>
      <w:r>
        <w:rPr>
          <w:noProof/>
        </w:rPr>
        <w:t xml:space="preserve">angl. </w:t>
      </w:r>
      <w:r w:rsidRPr="00E10009">
        <w:rPr>
          <w:i/>
          <w:noProof/>
        </w:rPr>
        <w:t>The international WAO/EAACI guideline for the management of hereditary angioedema—the 2021 revision and update</w:t>
      </w:r>
      <w:r w:rsidRPr="00E10009">
        <w:rPr>
          <w:noProof/>
        </w:rPr>
        <w:t>)</w:t>
      </w:r>
      <w:r>
        <w:rPr>
          <w:noProof/>
        </w:rPr>
        <w:t xml:space="preserve"> lanadelumabas, C1 inhibitorius (C1-INH) ir berotralstatas laikomi pirmojo pasirinkimo vaistiniais preparatais</w:t>
      </w:r>
      <w:r w:rsidRPr="00A85548">
        <w:rPr>
          <w:noProof/>
        </w:rPr>
        <w:t xml:space="preserve"> </w:t>
      </w:r>
      <w:r>
        <w:rPr>
          <w:noProof/>
        </w:rPr>
        <w:t>ilgalaikei PAE priepuolių profilaktikai</w:t>
      </w:r>
      <w:r w:rsidRPr="00E10009">
        <w:rPr>
          <w:noProof/>
        </w:rPr>
        <w:t xml:space="preserve"> (</w:t>
      </w:r>
      <w:r>
        <w:rPr>
          <w:noProof/>
        </w:rPr>
        <w:t>A</w:t>
      </w:r>
      <w:r w:rsidRPr="00E10009">
        <w:rPr>
          <w:noProof/>
        </w:rPr>
        <w:t xml:space="preserve"> </w:t>
      </w:r>
      <w:r w:rsidR="00DA2A77" w:rsidRPr="00E10009">
        <w:rPr>
          <w:noProof/>
        </w:rPr>
        <w:t>lygi</w:t>
      </w:r>
      <w:r w:rsidR="00DA2A77">
        <w:rPr>
          <w:noProof/>
        </w:rPr>
        <w:t>o</w:t>
      </w:r>
      <w:r w:rsidR="00DA2A77" w:rsidRPr="00E10009">
        <w:rPr>
          <w:noProof/>
        </w:rPr>
        <w:t xml:space="preserve"> </w:t>
      </w:r>
      <w:r w:rsidRPr="00E10009">
        <w:rPr>
          <w:noProof/>
        </w:rPr>
        <w:t>rekomendacijos)</w:t>
      </w:r>
      <w:r>
        <w:rPr>
          <w:noProof/>
        </w:rPr>
        <w:t>.</w:t>
      </w:r>
    </w:p>
    <w:p w14:paraId="7E569696" w14:textId="2597D76E" w:rsidR="0024262A" w:rsidRPr="00F5761C" w:rsidRDefault="0024262A" w:rsidP="0024262A">
      <w:pPr>
        <w:pStyle w:val="Tekstas"/>
        <w:spacing w:line="276" w:lineRule="auto"/>
        <w:ind w:firstLine="720"/>
      </w:pPr>
      <w:r w:rsidRPr="00ED6C4E">
        <w:t xml:space="preserve">Lietuvoje </w:t>
      </w:r>
      <w:r>
        <w:t>PAE paūmėjimų ilgalaikei profilaktikai</w:t>
      </w:r>
      <w:r w:rsidRPr="00ED6C4E">
        <w:t xml:space="preserve"> kompensuojamas</w:t>
      </w:r>
      <w:r>
        <w:t xml:space="preserve"> </w:t>
      </w:r>
      <w:proofErr w:type="spellStart"/>
      <w:r>
        <w:t>lanadelumabas</w:t>
      </w:r>
      <w:proofErr w:type="spellEnd"/>
      <w:r>
        <w:t xml:space="preserve"> (kai paūmėjimai kartojasi daugiau kaip 12 kartų per metus) ir C1 inhibitorius (</w:t>
      </w:r>
      <w:r w:rsidRPr="00763C76">
        <w:t xml:space="preserve">kai pacientui, taikant profilaktinį gydymą </w:t>
      </w:r>
      <w:proofErr w:type="spellStart"/>
      <w:r w:rsidRPr="00763C76">
        <w:t>traneksamo</w:t>
      </w:r>
      <w:proofErr w:type="spellEnd"/>
      <w:r w:rsidRPr="00763C76">
        <w:t xml:space="preserve"> rūgštimi arba </w:t>
      </w:r>
      <w:proofErr w:type="spellStart"/>
      <w:r w:rsidRPr="00763C76">
        <w:t>danazolu</w:t>
      </w:r>
      <w:proofErr w:type="spellEnd"/>
      <w:r w:rsidRPr="00763C76">
        <w:t>, paūmėjimai (pacientą paūmėjimų metu gydant stacionare) kartojasi daugiau kaip 12 kartų per metus</w:t>
      </w:r>
      <w:r>
        <w:t>)</w:t>
      </w:r>
      <w:r w:rsidRPr="00ED6C4E">
        <w:t>.</w:t>
      </w:r>
      <w:r>
        <w:t xml:space="preserve"> Klinikinio vertinimo metu nustatyta, jog 2019-2022 m. C1 inhibitorius</w:t>
      </w:r>
      <w:r w:rsidRPr="00763C76">
        <w:t xml:space="preserve"> PAE profilaktikai neb</w:t>
      </w:r>
      <w:r>
        <w:t>uvo kompensuotas, 2023 m. C1 inhibitorius</w:t>
      </w:r>
      <w:r w:rsidRPr="00763C76">
        <w:t xml:space="preserve"> buvo skirtas vienam pacientui profilaktiniam vartojimui prieš odontologines procedūras</w:t>
      </w:r>
      <w:r>
        <w:t xml:space="preserve"> (pareiškėjo pateikti </w:t>
      </w:r>
      <w:r w:rsidRPr="00763C76">
        <w:t>Labai retų žmogaus sveikatos būklių gydymo išlaidų kompensavim</w:t>
      </w:r>
      <w:r>
        <w:t xml:space="preserve">o komisijos protokolų duomenys), todėl nuspręsta, jog Lietuvoje </w:t>
      </w:r>
      <w:proofErr w:type="spellStart"/>
      <w:r>
        <w:t>berotralstato</w:t>
      </w:r>
      <w:proofErr w:type="spellEnd"/>
      <w:r>
        <w:t xml:space="preserve"> pagrindinis palyginamasis gydymas yra </w:t>
      </w:r>
      <w:proofErr w:type="spellStart"/>
      <w:r w:rsidR="006D10D7">
        <w:t>lanadelumabas</w:t>
      </w:r>
      <w:proofErr w:type="spellEnd"/>
      <w:r>
        <w:t>.</w:t>
      </w:r>
    </w:p>
    <w:p w14:paraId="5ADBFE9D" w14:textId="77777777" w:rsidR="0024262A" w:rsidRDefault="0024262A" w:rsidP="0024262A">
      <w:pPr>
        <w:spacing w:line="276" w:lineRule="auto"/>
        <w:jc w:val="both"/>
        <w:rPr>
          <w:rFonts w:eastAsia="Arial"/>
          <w:bCs/>
          <w:i/>
          <w:iCs/>
        </w:rPr>
      </w:pPr>
      <w:r w:rsidRPr="00692AD4">
        <w:rPr>
          <w:rFonts w:eastAsia="Arial"/>
          <w:bCs/>
          <w:i/>
          <w:iCs/>
        </w:rPr>
        <w:t>Tiesioginis palyginimas</w:t>
      </w:r>
    </w:p>
    <w:p w14:paraId="44C3AC45" w14:textId="059260A9" w:rsidR="0024262A" w:rsidRPr="00C41B2F" w:rsidRDefault="0024262A" w:rsidP="0024262A">
      <w:pPr>
        <w:tabs>
          <w:tab w:val="left" w:pos="492"/>
        </w:tabs>
        <w:spacing w:line="276" w:lineRule="auto"/>
        <w:jc w:val="both"/>
        <w:outlineLvl w:val="1"/>
        <w:rPr>
          <w:rFonts w:eastAsia="Arial"/>
          <w:bCs/>
        </w:rPr>
      </w:pPr>
      <w:r>
        <w:rPr>
          <w:rFonts w:eastAsia="Arial"/>
          <w:bCs/>
        </w:rPr>
        <w:tab/>
      </w:r>
      <w:r>
        <w:rPr>
          <w:rFonts w:eastAsia="Arial"/>
          <w:bCs/>
        </w:rPr>
        <w:tab/>
      </w:r>
      <w:proofErr w:type="spellStart"/>
      <w:r w:rsidR="00166F00">
        <w:rPr>
          <w:rFonts w:eastAsia="Arial"/>
          <w:bCs/>
        </w:rPr>
        <w:t>B</w:t>
      </w:r>
      <w:r w:rsidR="00DA2A77">
        <w:rPr>
          <w:rFonts w:eastAsia="Arial"/>
          <w:bCs/>
        </w:rPr>
        <w:t>erotralstato</w:t>
      </w:r>
      <w:proofErr w:type="spellEnd"/>
      <w:r w:rsidR="00DA2A77">
        <w:rPr>
          <w:rFonts w:eastAsia="Arial"/>
          <w:bCs/>
        </w:rPr>
        <w:t xml:space="preserve"> palyginamasis veiksmingumas grindžiamas</w:t>
      </w:r>
      <w:r>
        <w:rPr>
          <w:rFonts w:eastAsia="Arial"/>
          <w:bCs/>
        </w:rPr>
        <w:t xml:space="preserve"> paraiškoje pateikt</w:t>
      </w:r>
      <w:r w:rsidR="00170DB5">
        <w:rPr>
          <w:rFonts w:eastAsia="Arial"/>
          <w:bCs/>
        </w:rPr>
        <w:t>o</w:t>
      </w:r>
      <w:r>
        <w:rPr>
          <w:rFonts w:eastAsia="Arial"/>
          <w:bCs/>
        </w:rPr>
        <w:t xml:space="preserve"> APeX-2 tyrim</w:t>
      </w:r>
      <w:r w:rsidR="00170DB5">
        <w:rPr>
          <w:rFonts w:eastAsia="Arial"/>
          <w:bCs/>
        </w:rPr>
        <w:t>o duomenimis</w:t>
      </w:r>
      <w:r>
        <w:rPr>
          <w:rFonts w:eastAsia="Arial"/>
          <w:bCs/>
        </w:rPr>
        <w:t xml:space="preserve">. Šiame tyrime įrodyta, jog 12 metų ir vyresni pacientai, kuriems nustatyta I arba II tipo PAE ir </w:t>
      </w:r>
      <w:r w:rsidRPr="00C43C6E">
        <w:rPr>
          <w:rFonts w:eastAsia="Arial"/>
          <w:bCs/>
        </w:rPr>
        <w:t xml:space="preserve">pasireiškė </w:t>
      </w:r>
      <w:r w:rsidRPr="0099518B">
        <w:rPr>
          <w:rFonts w:eastAsia="Arial"/>
        </w:rPr>
        <w:t>bent</w:t>
      </w:r>
      <w:r w:rsidRPr="0099518B">
        <w:rPr>
          <w:rFonts w:eastAsia="Arial"/>
          <w:bCs/>
        </w:rPr>
        <w:t xml:space="preserve"> </w:t>
      </w:r>
      <w:r w:rsidRPr="0099518B">
        <w:rPr>
          <w:rFonts w:eastAsia="Arial"/>
        </w:rPr>
        <w:t>2 tyrėjo patvirtinti paūmėjimai per 2 mėnesius</w:t>
      </w:r>
      <w:r>
        <w:rPr>
          <w:rFonts w:eastAsia="Arial"/>
          <w:bCs/>
        </w:rPr>
        <w:t xml:space="preserve">, vartojantys </w:t>
      </w:r>
      <w:proofErr w:type="spellStart"/>
      <w:r>
        <w:rPr>
          <w:rFonts w:eastAsia="Arial"/>
          <w:bCs/>
        </w:rPr>
        <w:t>berotralstatą</w:t>
      </w:r>
      <w:proofErr w:type="spellEnd"/>
      <w:r>
        <w:rPr>
          <w:rFonts w:eastAsia="Arial"/>
          <w:bCs/>
        </w:rPr>
        <w:t>, patyrė 30% (110 mg grupė; 0,70; 95% PI 0,51 – 0,95, p=0,024) ir 44% (150 mg grupė; 0,56; 95% PI 0,41 – 0,77, p&lt;0,001) mažiau PAE paūmėjimo atvejų (kliniškai reikšmingai paūmėjimų dažnio sumažėjimas – ≥20%), lyginant su placebo. Tai atitiko vidutiniškai atitinkamai 1,65, 1,27, 2,38 paūmėjimus per mėnesį.</w:t>
      </w:r>
    </w:p>
    <w:p w14:paraId="21B4A7BD" w14:textId="51E12AF3" w:rsidR="0024262A" w:rsidRPr="005007C1" w:rsidRDefault="0024262A" w:rsidP="0024262A">
      <w:pPr>
        <w:spacing w:line="276" w:lineRule="auto"/>
        <w:jc w:val="both"/>
        <w:rPr>
          <w:rFonts w:eastAsia="Arial"/>
          <w:bCs/>
          <w:szCs w:val="20"/>
        </w:rPr>
      </w:pPr>
      <w:r>
        <w:rPr>
          <w:rFonts w:eastAsia="Arial"/>
          <w:bCs/>
        </w:rPr>
        <w:tab/>
        <w:t xml:space="preserve">Vertinant svarbiausias antrines baigtis, pacientų gyvenimo kokybė tarp </w:t>
      </w:r>
      <w:proofErr w:type="spellStart"/>
      <w:r>
        <w:rPr>
          <w:rFonts w:eastAsia="Arial"/>
          <w:bCs/>
        </w:rPr>
        <w:t>berotralstato</w:t>
      </w:r>
      <w:proofErr w:type="spellEnd"/>
      <w:r>
        <w:rPr>
          <w:rFonts w:eastAsia="Arial"/>
          <w:bCs/>
        </w:rPr>
        <w:t xml:space="preserve"> ir placebo grupių statistiškai reikšmingai nesiskyrė (</w:t>
      </w:r>
      <w:proofErr w:type="spellStart"/>
      <w:r>
        <w:rPr>
          <w:rFonts w:eastAsia="Arial"/>
          <w:bCs/>
        </w:rPr>
        <w:t>berotralstato</w:t>
      </w:r>
      <w:proofErr w:type="spellEnd"/>
      <w:r>
        <w:rPr>
          <w:rFonts w:eastAsia="Arial"/>
          <w:bCs/>
        </w:rPr>
        <w:t xml:space="preserve"> 110 mg grupėje – –2,77, p</w:t>
      </w:r>
      <w:r>
        <w:rPr>
          <w:rFonts w:eastAsia="Arial"/>
          <w:bCs/>
        </w:rPr>
        <w:softHyphen/>
      </w:r>
      <w:r>
        <w:rPr>
          <w:rFonts w:eastAsia="Arial"/>
          <w:bCs/>
          <w:vertAlign w:val="subscript"/>
        </w:rPr>
        <w:t>1</w:t>
      </w:r>
      <w:r>
        <w:rPr>
          <w:rFonts w:eastAsia="Arial"/>
          <w:bCs/>
        </w:rPr>
        <w:t xml:space="preserve">=0,453; </w:t>
      </w:r>
      <w:proofErr w:type="spellStart"/>
      <w:r>
        <w:rPr>
          <w:rFonts w:eastAsia="Arial"/>
          <w:bCs/>
        </w:rPr>
        <w:t>berotra</w:t>
      </w:r>
      <w:r w:rsidR="008F4B94">
        <w:rPr>
          <w:rFonts w:eastAsia="Arial"/>
          <w:bCs/>
        </w:rPr>
        <w:t>l</w:t>
      </w:r>
      <w:r>
        <w:rPr>
          <w:rFonts w:eastAsia="Arial"/>
          <w:bCs/>
        </w:rPr>
        <w:t>stato</w:t>
      </w:r>
      <w:proofErr w:type="spellEnd"/>
      <w:r>
        <w:rPr>
          <w:rFonts w:eastAsia="Arial"/>
          <w:bCs/>
        </w:rPr>
        <w:t xml:space="preserve"> 150 mg grupėje – –4,90, p</w:t>
      </w:r>
      <w:r>
        <w:rPr>
          <w:rFonts w:eastAsia="Arial"/>
          <w:bCs/>
          <w:vertAlign w:val="subscript"/>
        </w:rPr>
        <w:t>2</w:t>
      </w:r>
      <w:r>
        <w:rPr>
          <w:rFonts w:eastAsia="Arial"/>
          <w:bCs/>
        </w:rPr>
        <w:t xml:space="preserve">=0,188; kliniškai reikšmingas skirtumas – ≥6 balų sumažėjimas). Vidutinis dienų, kuomet patiriami su </w:t>
      </w:r>
      <w:proofErr w:type="spellStart"/>
      <w:r>
        <w:rPr>
          <w:rFonts w:eastAsia="Arial"/>
          <w:bCs/>
        </w:rPr>
        <w:t>angioedema</w:t>
      </w:r>
      <w:proofErr w:type="spellEnd"/>
      <w:r>
        <w:rPr>
          <w:rFonts w:eastAsia="Arial"/>
          <w:bCs/>
        </w:rPr>
        <w:t xml:space="preserve"> susiję simptomai, dažnis per 24 sav. gydymo laikotarpį </w:t>
      </w:r>
      <w:proofErr w:type="spellStart"/>
      <w:r>
        <w:rPr>
          <w:rFonts w:eastAsia="Arial"/>
          <w:bCs/>
        </w:rPr>
        <w:t>berotralstato</w:t>
      </w:r>
      <w:proofErr w:type="spellEnd"/>
      <w:r>
        <w:rPr>
          <w:rFonts w:eastAsia="Arial"/>
          <w:bCs/>
        </w:rPr>
        <w:t xml:space="preserve"> 110 mg, </w:t>
      </w:r>
      <w:proofErr w:type="spellStart"/>
      <w:r>
        <w:rPr>
          <w:rFonts w:eastAsia="Arial"/>
          <w:bCs/>
        </w:rPr>
        <w:t>berotralstato</w:t>
      </w:r>
      <w:proofErr w:type="spellEnd"/>
      <w:r>
        <w:rPr>
          <w:rFonts w:eastAsia="Arial"/>
          <w:bCs/>
        </w:rPr>
        <w:t xml:space="preserve"> 150 mg ir placebo grupėse buvo atitinkamai </w:t>
      </w:r>
      <w:r w:rsidRPr="008E7F3F">
        <w:rPr>
          <w:rFonts w:eastAsia="Arial"/>
          <w:bCs/>
        </w:rPr>
        <w:t>20</w:t>
      </w:r>
      <w:r>
        <w:rPr>
          <w:rFonts w:eastAsia="Arial"/>
          <w:bCs/>
        </w:rPr>
        <w:t>,</w:t>
      </w:r>
      <w:r w:rsidRPr="008E7F3F">
        <w:rPr>
          <w:rFonts w:eastAsia="Arial"/>
          <w:bCs/>
        </w:rPr>
        <w:t>8</w:t>
      </w:r>
      <w:r>
        <w:rPr>
          <w:rFonts w:eastAsia="Arial"/>
          <w:bCs/>
        </w:rPr>
        <w:t xml:space="preserve"> </w:t>
      </w:r>
      <w:r w:rsidRPr="008E7F3F">
        <w:rPr>
          <w:rFonts w:eastAsia="Arial"/>
          <w:bCs/>
        </w:rPr>
        <w:t>± 19</w:t>
      </w:r>
      <w:r>
        <w:rPr>
          <w:rFonts w:eastAsia="Arial"/>
          <w:bCs/>
        </w:rPr>
        <w:t>,</w:t>
      </w:r>
      <w:r w:rsidRPr="008E7F3F">
        <w:rPr>
          <w:rFonts w:eastAsia="Arial"/>
          <w:bCs/>
        </w:rPr>
        <w:t>2, 19</w:t>
      </w:r>
      <w:r>
        <w:rPr>
          <w:rFonts w:eastAsia="Arial"/>
          <w:bCs/>
        </w:rPr>
        <w:t>,</w:t>
      </w:r>
      <w:r w:rsidRPr="008E7F3F">
        <w:rPr>
          <w:rFonts w:eastAsia="Arial"/>
          <w:bCs/>
        </w:rPr>
        <w:t>4</w:t>
      </w:r>
      <w:r>
        <w:rPr>
          <w:rFonts w:eastAsia="Arial"/>
          <w:bCs/>
        </w:rPr>
        <w:t xml:space="preserve"> </w:t>
      </w:r>
      <w:r w:rsidRPr="008E7F3F">
        <w:rPr>
          <w:rFonts w:eastAsia="Arial"/>
          <w:bCs/>
        </w:rPr>
        <w:t>± 21.5</w:t>
      </w:r>
      <w:r>
        <w:rPr>
          <w:rFonts w:eastAsia="Arial"/>
          <w:bCs/>
        </w:rPr>
        <w:t xml:space="preserve"> ir </w:t>
      </w:r>
      <w:r w:rsidRPr="008E7F3F">
        <w:rPr>
          <w:rFonts w:eastAsia="Arial"/>
          <w:bCs/>
        </w:rPr>
        <w:t>29</w:t>
      </w:r>
      <w:r>
        <w:rPr>
          <w:rFonts w:eastAsia="Arial"/>
          <w:bCs/>
        </w:rPr>
        <w:t>,</w:t>
      </w:r>
      <w:r w:rsidRPr="008E7F3F">
        <w:rPr>
          <w:rFonts w:eastAsia="Arial"/>
          <w:bCs/>
        </w:rPr>
        <w:t>2</w:t>
      </w:r>
      <w:r>
        <w:rPr>
          <w:rFonts w:eastAsia="Arial"/>
          <w:bCs/>
        </w:rPr>
        <w:t xml:space="preserve"> </w:t>
      </w:r>
      <w:r w:rsidRPr="008E7F3F">
        <w:rPr>
          <w:rFonts w:eastAsia="Arial"/>
          <w:bCs/>
        </w:rPr>
        <w:t>± 24</w:t>
      </w:r>
      <w:r>
        <w:rPr>
          <w:rFonts w:eastAsia="Arial"/>
          <w:bCs/>
        </w:rPr>
        <w:t>,3 dienos.</w:t>
      </w:r>
    </w:p>
    <w:p w14:paraId="2A93BAE1" w14:textId="77777777" w:rsidR="0024262A" w:rsidRDefault="0024262A" w:rsidP="0024262A">
      <w:pPr>
        <w:spacing w:line="276" w:lineRule="auto"/>
        <w:ind w:firstLine="720"/>
        <w:jc w:val="both"/>
        <w:rPr>
          <w:rFonts w:eastAsia="Arial"/>
          <w:bCs/>
          <w:iCs/>
        </w:rPr>
      </w:pPr>
      <w:r>
        <w:rPr>
          <w:rFonts w:eastAsia="Arial"/>
          <w:bCs/>
          <w:iCs/>
        </w:rPr>
        <w:t>Vertinant saugumo profilį, n</w:t>
      </w:r>
      <w:r w:rsidRPr="005007C1">
        <w:rPr>
          <w:rFonts w:eastAsia="Arial"/>
          <w:bCs/>
          <w:iCs/>
        </w:rPr>
        <w:t xml:space="preserve">aujų ar neįprastų (kurie būtų nepateikti </w:t>
      </w:r>
      <w:proofErr w:type="spellStart"/>
      <w:r w:rsidRPr="005007C1">
        <w:rPr>
          <w:rFonts w:eastAsia="Arial"/>
          <w:bCs/>
          <w:iCs/>
        </w:rPr>
        <w:t>berotralstato</w:t>
      </w:r>
      <w:proofErr w:type="spellEnd"/>
      <w:r w:rsidRPr="005007C1">
        <w:rPr>
          <w:rFonts w:eastAsia="Arial"/>
          <w:bCs/>
          <w:iCs/>
        </w:rPr>
        <w:t xml:space="preserve"> produktų charakteristikų santraukoje) </w:t>
      </w:r>
      <w:r>
        <w:rPr>
          <w:rFonts w:eastAsia="Arial"/>
          <w:bCs/>
          <w:iCs/>
        </w:rPr>
        <w:t xml:space="preserve">nepageidaujamų reiškinių </w:t>
      </w:r>
      <w:r w:rsidRPr="005007C1">
        <w:rPr>
          <w:rFonts w:eastAsia="Arial"/>
          <w:bCs/>
          <w:iCs/>
        </w:rPr>
        <w:t>nenustatyta, saugumo profilis yra priimtinas.</w:t>
      </w:r>
    </w:p>
    <w:p w14:paraId="00750C94" w14:textId="77777777" w:rsidR="0024262A" w:rsidRPr="00692AD4" w:rsidRDefault="0024262A" w:rsidP="0024262A">
      <w:pPr>
        <w:spacing w:line="276" w:lineRule="auto"/>
        <w:ind w:firstLine="720"/>
        <w:jc w:val="both"/>
        <w:rPr>
          <w:rFonts w:eastAsia="Arial"/>
          <w:bCs/>
        </w:rPr>
      </w:pPr>
    </w:p>
    <w:p w14:paraId="25703E24" w14:textId="77777777" w:rsidR="0024262A" w:rsidRPr="00B54625" w:rsidRDefault="0024262A" w:rsidP="0024262A">
      <w:pPr>
        <w:spacing w:line="276" w:lineRule="auto"/>
        <w:rPr>
          <w:rFonts w:eastAsia="Arial"/>
          <w:bCs/>
          <w:i/>
          <w:iCs/>
        </w:rPr>
      </w:pPr>
      <w:r w:rsidRPr="00B54625">
        <w:rPr>
          <w:rFonts w:eastAsia="Arial"/>
          <w:bCs/>
          <w:i/>
          <w:iCs/>
        </w:rPr>
        <w:t>Netiesioginis palyginima</w:t>
      </w:r>
      <w:r>
        <w:rPr>
          <w:rFonts w:eastAsia="Arial"/>
          <w:bCs/>
          <w:i/>
          <w:iCs/>
        </w:rPr>
        <w:t>s</w:t>
      </w:r>
    </w:p>
    <w:p w14:paraId="5E0CC3A5" w14:textId="08310EA7" w:rsidR="0024262A" w:rsidRDefault="0024262A" w:rsidP="0024262A">
      <w:pPr>
        <w:spacing w:line="276" w:lineRule="auto"/>
        <w:jc w:val="both"/>
        <w:rPr>
          <w:rFonts w:eastAsia="Arial"/>
          <w:bCs/>
        </w:rPr>
      </w:pPr>
      <w:r>
        <w:rPr>
          <w:rFonts w:eastAsia="Arial"/>
          <w:bCs/>
        </w:rPr>
        <w:tab/>
      </w:r>
      <w:r>
        <w:rPr>
          <w:lang w:eastAsia="lt-LT"/>
        </w:rPr>
        <w:t>Kadangi</w:t>
      </w:r>
      <w:r w:rsidRPr="00F30885">
        <w:rPr>
          <w:lang w:eastAsia="lt-LT"/>
        </w:rPr>
        <w:t xml:space="preserve"> </w:t>
      </w:r>
      <w:r>
        <w:rPr>
          <w:lang w:eastAsia="lt-LT"/>
        </w:rPr>
        <w:t>APeX-2 tyrimo palyginamasis gydymas (</w:t>
      </w:r>
      <w:r w:rsidR="00021A2C">
        <w:rPr>
          <w:lang w:eastAsia="lt-LT"/>
        </w:rPr>
        <w:t>*****</w:t>
      </w:r>
      <w:r>
        <w:rPr>
          <w:lang w:eastAsia="lt-LT"/>
        </w:rPr>
        <w:t>) buvo įvertintas kaip netinkamas, pareiškėjas pateikė</w:t>
      </w:r>
      <w:r>
        <w:rPr>
          <w:rFonts w:eastAsia="Arial"/>
          <w:bCs/>
        </w:rPr>
        <w:t xml:space="preserve"> </w:t>
      </w:r>
      <w:proofErr w:type="spellStart"/>
      <w:r>
        <w:rPr>
          <w:rFonts w:eastAsia="Arial"/>
          <w:bCs/>
        </w:rPr>
        <w:t>berotralstato</w:t>
      </w:r>
      <w:proofErr w:type="spellEnd"/>
      <w:r>
        <w:rPr>
          <w:rFonts w:eastAsia="Arial"/>
          <w:bCs/>
        </w:rPr>
        <w:t xml:space="preserve"> (APeX-2, </w:t>
      </w:r>
      <w:proofErr w:type="spellStart"/>
      <w:r>
        <w:rPr>
          <w:rFonts w:eastAsia="Arial"/>
          <w:bCs/>
        </w:rPr>
        <w:t>APeX</w:t>
      </w:r>
      <w:proofErr w:type="spellEnd"/>
      <w:r>
        <w:rPr>
          <w:rFonts w:eastAsia="Arial"/>
          <w:bCs/>
        </w:rPr>
        <w:t xml:space="preserve">-S, </w:t>
      </w:r>
      <w:proofErr w:type="spellStart"/>
      <w:r>
        <w:rPr>
          <w:rFonts w:eastAsia="Arial"/>
          <w:bCs/>
        </w:rPr>
        <w:t>APeX</w:t>
      </w:r>
      <w:proofErr w:type="spellEnd"/>
      <w:r>
        <w:rPr>
          <w:rFonts w:eastAsia="Arial"/>
          <w:bCs/>
        </w:rPr>
        <w:t xml:space="preserve">-J), </w:t>
      </w:r>
      <w:proofErr w:type="spellStart"/>
      <w:r>
        <w:rPr>
          <w:rFonts w:eastAsia="Arial"/>
          <w:bCs/>
        </w:rPr>
        <w:t>lanadelumabo</w:t>
      </w:r>
      <w:proofErr w:type="spellEnd"/>
      <w:r>
        <w:rPr>
          <w:rFonts w:eastAsia="Arial"/>
          <w:bCs/>
        </w:rPr>
        <w:t xml:space="preserve"> (HELP-OLE, EMPOWER), C1 inhibitorių ir </w:t>
      </w:r>
      <w:proofErr w:type="spellStart"/>
      <w:r>
        <w:rPr>
          <w:rFonts w:eastAsia="Arial"/>
          <w:bCs/>
        </w:rPr>
        <w:t>donidalorseno</w:t>
      </w:r>
      <w:proofErr w:type="spellEnd"/>
      <w:r>
        <w:rPr>
          <w:rFonts w:eastAsia="Arial"/>
          <w:bCs/>
        </w:rPr>
        <w:t xml:space="preserve"> klinikinių tyrimų sisteminę literatūros apžvalgą ir </w:t>
      </w:r>
      <w:r>
        <w:rPr>
          <w:rFonts w:eastAsia="Arial"/>
          <w:bCs/>
        </w:rPr>
        <w:lastRenderedPageBreak/>
        <w:t xml:space="preserve">netiesioginio palyginimo analizę. Kadangi </w:t>
      </w:r>
      <w:proofErr w:type="spellStart"/>
      <w:r w:rsidRPr="00C43C6E">
        <w:rPr>
          <w:rFonts w:eastAsia="Arial"/>
          <w:bCs/>
        </w:rPr>
        <w:t>lanadelamumabas</w:t>
      </w:r>
      <w:proofErr w:type="spellEnd"/>
      <w:r w:rsidRPr="00C43C6E">
        <w:rPr>
          <w:rFonts w:eastAsia="Arial"/>
          <w:bCs/>
        </w:rPr>
        <w:t xml:space="preserve"> yra pagrindinis palyginamasis gydymas Lietuvoje, </w:t>
      </w:r>
      <w:r>
        <w:rPr>
          <w:rFonts w:eastAsia="Arial"/>
          <w:bCs/>
        </w:rPr>
        <w:t xml:space="preserve">buvo atliekamas klinikinis </w:t>
      </w:r>
      <w:proofErr w:type="spellStart"/>
      <w:r w:rsidRPr="00C43C6E">
        <w:rPr>
          <w:rFonts w:eastAsia="Arial"/>
          <w:bCs/>
        </w:rPr>
        <w:t>berotralstato</w:t>
      </w:r>
      <w:proofErr w:type="spellEnd"/>
      <w:r w:rsidRPr="00C43C6E">
        <w:rPr>
          <w:rFonts w:eastAsia="Arial"/>
          <w:bCs/>
        </w:rPr>
        <w:t xml:space="preserve"> ir </w:t>
      </w:r>
      <w:proofErr w:type="spellStart"/>
      <w:r w:rsidRPr="00C43C6E">
        <w:rPr>
          <w:rFonts w:eastAsia="Arial"/>
          <w:bCs/>
        </w:rPr>
        <w:t>lanadelumabo</w:t>
      </w:r>
      <w:proofErr w:type="spellEnd"/>
      <w:r>
        <w:rPr>
          <w:rFonts w:eastAsia="Arial"/>
          <w:bCs/>
        </w:rPr>
        <w:t xml:space="preserve"> tyrimų duomenų vertinimas.</w:t>
      </w:r>
    </w:p>
    <w:p w14:paraId="2ABA6ABF" w14:textId="33E047E9" w:rsidR="0024262A" w:rsidRPr="00FB22C4" w:rsidRDefault="0024262A" w:rsidP="0024262A">
      <w:pPr>
        <w:spacing w:line="276" w:lineRule="auto"/>
        <w:jc w:val="both"/>
        <w:rPr>
          <w:rFonts w:eastAsia="Arial"/>
          <w:bCs/>
        </w:rPr>
      </w:pPr>
      <w:r>
        <w:rPr>
          <w:rFonts w:eastAsia="Arial"/>
          <w:bCs/>
        </w:rPr>
        <w:tab/>
      </w:r>
      <w:r w:rsidRPr="00C41B2F">
        <w:rPr>
          <w:rFonts w:eastAsia="Arial"/>
          <w:bCs/>
        </w:rPr>
        <w:t xml:space="preserve">Įvertinus tyrimų populiacijų pradines charakteristikas, APeX-2 ir HELP OLE tyrimų populiacijos </w:t>
      </w:r>
      <w:r>
        <w:rPr>
          <w:rFonts w:eastAsia="Arial"/>
          <w:bCs/>
        </w:rPr>
        <w:t>buvo</w:t>
      </w:r>
      <w:r w:rsidRPr="00C41B2F">
        <w:rPr>
          <w:rFonts w:eastAsia="Arial"/>
          <w:bCs/>
        </w:rPr>
        <w:t xml:space="preserve"> tinkamiausios netiesioginio palyginimo analizei</w:t>
      </w:r>
      <w:r>
        <w:rPr>
          <w:rFonts w:eastAsia="Arial"/>
          <w:bCs/>
        </w:rPr>
        <w:t>. Pareiškėjo s</w:t>
      </w:r>
      <w:r w:rsidRPr="00C41B2F">
        <w:rPr>
          <w:rFonts w:eastAsia="Arial"/>
          <w:bCs/>
        </w:rPr>
        <w:t>isteminė literatūros apžvalga buvo tinkamai atlikta, tinkamai pasirinkti klinikiniai tyrimai netiesioginio</w:t>
      </w:r>
      <w:r>
        <w:rPr>
          <w:rFonts w:eastAsia="Arial"/>
          <w:bCs/>
        </w:rPr>
        <w:t xml:space="preserve"> palyginimo analizei</w:t>
      </w:r>
      <w:r w:rsidRPr="00C41B2F">
        <w:rPr>
          <w:rFonts w:eastAsia="Arial"/>
          <w:bCs/>
        </w:rPr>
        <w:t>, tinkamai atsižvelgta į populiacijų netolygumus, analizei pasirinktos aktualios vertinamosios baigtys</w:t>
      </w:r>
      <w:r>
        <w:rPr>
          <w:rFonts w:eastAsia="Arial"/>
          <w:bCs/>
        </w:rPr>
        <w:t xml:space="preserve"> (ligos paūmėjimų dažnis ir gyvenimo kokybės rodikliai)</w:t>
      </w:r>
      <w:r w:rsidRPr="00C41B2F">
        <w:rPr>
          <w:rFonts w:eastAsia="Arial"/>
          <w:bCs/>
        </w:rPr>
        <w:t>.</w:t>
      </w:r>
      <w:r>
        <w:rPr>
          <w:rFonts w:eastAsia="Arial"/>
          <w:bCs/>
        </w:rPr>
        <w:t xml:space="preserve"> </w:t>
      </w:r>
      <w:r>
        <w:rPr>
          <w:rFonts w:eastAsia="Arial"/>
        </w:rPr>
        <w:t xml:space="preserve">Vertinant šias baigtis, statistiškai reikšmingo skirtumo tarp </w:t>
      </w:r>
      <w:proofErr w:type="spellStart"/>
      <w:r>
        <w:rPr>
          <w:rFonts w:eastAsia="Arial"/>
        </w:rPr>
        <w:t>berotralstato</w:t>
      </w:r>
      <w:proofErr w:type="spellEnd"/>
      <w:r>
        <w:rPr>
          <w:rFonts w:eastAsia="Arial"/>
        </w:rPr>
        <w:t xml:space="preserve"> ir </w:t>
      </w:r>
      <w:proofErr w:type="spellStart"/>
      <w:r>
        <w:rPr>
          <w:rFonts w:eastAsia="Arial"/>
        </w:rPr>
        <w:t>lanadelumabo</w:t>
      </w:r>
      <w:proofErr w:type="spellEnd"/>
      <w:r>
        <w:rPr>
          <w:rFonts w:eastAsia="Arial"/>
        </w:rPr>
        <w:t xml:space="preserve"> nebuvo</w:t>
      </w:r>
      <w:r w:rsidR="00FB22C4">
        <w:rPr>
          <w:rFonts w:eastAsia="Arial"/>
        </w:rPr>
        <w:t>. Pamin</w:t>
      </w:r>
      <w:r w:rsidR="00FB22C4" w:rsidRPr="00FB22C4">
        <w:rPr>
          <w:rFonts w:eastAsia="Arial"/>
        </w:rPr>
        <w:t>ėtina</w:t>
      </w:r>
      <w:r w:rsidR="00FB22C4">
        <w:rPr>
          <w:rFonts w:eastAsia="Arial"/>
        </w:rPr>
        <w:t xml:space="preserve"> ir tai</w:t>
      </w:r>
      <w:r w:rsidR="00FB22C4" w:rsidRPr="00FB22C4">
        <w:rPr>
          <w:rFonts w:eastAsia="Arial"/>
        </w:rPr>
        <w:t>, jog</w:t>
      </w:r>
      <w:r w:rsidR="00FB22C4">
        <w:rPr>
          <w:rFonts w:eastAsia="Arial"/>
        </w:rPr>
        <w:t xml:space="preserve">, priešingai nei </w:t>
      </w:r>
      <w:proofErr w:type="spellStart"/>
      <w:r w:rsidR="00FB22C4">
        <w:rPr>
          <w:rFonts w:eastAsia="Arial"/>
        </w:rPr>
        <w:t>lanadelumabas</w:t>
      </w:r>
      <w:proofErr w:type="spellEnd"/>
      <w:r w:rsidR="00FB22C4">
        <w:rPr>
          <w:rFonts w:eastAsia="Arial"/>
        </w:rPr>
        <w:t xml:space="preserve">, </w:t>
      </w:r>
      <w:proofErr w:type="spellStart"/>
      <w:r w:rsidR="00FB22C4">
        <w:rPr>
          <w:rFonts w:eastAsia="Arial"/>
        </w:rPr>
        <w:t>berotralstatas</w:t>
      </w:r>
      <w:proofErr w:type="spellEnd"/>
      <w:r w:rsidR="00FB22C4">
        <w:rPr>
          <w:rFonts w:eastAsia="Arial"/>
        </w:rPr>
        <w:t xml:space="preserve"> tiekiamas kietųjų kapsulių pavidalu, kas laikytina privalumu dėl pacientams patogesnio vartojimo būdo. </w:t>
      </w:r>
    </w:p>
    <w:p w14:paraId="2EE68526" w14:textId="73930E10" w:rsidR="00D64441" w:rsidRDefault="0024262A" w:rsidP="00FB22C4">
      <w:pPr>
        <w:spacing w:line="276" w:lineRule="auto"/>
        <w:ind w:firstLine="720"/>
        <w:jc w:val="both"/>
        <w:rPr>
          <w:rFonts w:eastAsia="Arial"/>
          <w:bCs/>
        </w:rPr>
      </w:pPr>
      <w:r>
        <w:rPr>
          <w:rFonts w:eastAsia="Arial"/>
          <w:bCs/>
        </w:rPr>
        <w:t xml:space="preserve">Apibendrinant tiesioginio ir netiesioginio palyginimo analizėje pateiktus duomenis, </w:t>
      </w:r>
      <w:proofErr w:type="spellStart"/>
      <w:r>
        <w:rPr>
          <w:rFonts w:eastAsia="Arial"/>
          <w:bCs/>
        </w:rPr>
        <w:t>berotralstatas</w:t>
      </w:r>
      <w:proofErr w:type="spellEnd"/>
      <w:r>
        <w:rPr>
          <w:rFonts w:eastAsia="Arial"/>
          <w:bCs/>
        </w:rPr>
        <w:t xml:space="preserve">, lyginant su </w:t>
      </w:r>
      <w:proofErr w:type="spellStart"/>
      <w:r>
        <w:rPr>
          <w:rFonts w:eastAsia="Arial"/>
          <w:bCs/>
        </w:rPr>
        <w:t>lanadelumabu</w:t>
      </w:r>
      <w:proofErr w:type="spellEnd"/>
      <w:r>
        <w:rPr>
          <w:rFonts w:eastAsia="Arial"/>
          <w:bCs/>
        </w:rPr>
        <w:t>,</w:t>
      </w:r>
      <w:r w:rsidRPr="006343D5">
        <w:rPr>
          <w:rFonts w:eastAsia="Arial"/>
          <w:bCs/>
        </w:rPr>
        <w:t xml:space="preserve"> užtikrina </w:t>
      </w:r>
      <w:r>
        <w:rPr>
          <w:rFonts w:eastAsia="Arial"/>
          <w:bCs/>
        </w:rPr>
        <w:t xml:space="preserve">panašią PAE paūmėjimų kontrolę ir gyvenimo kokybę, todėl </w:t>
      </w:r>
      <w:proofErr w:type="spellStart"/>
      <w:r>
        <w:rPr>
          <w:rFonts w:eastAsia="Arial"/>
          <w:bCs/>
        </w:rPr>
        <w:t>berotralstato</w:t>
      </w:r>
      <w:proofErr w:type="spellEnd"/>
      <w:r>
        <w:rPr>
          <w:rFonts w:eastAsia="Arial"/>
          <w:bCs/>
        </w:rPr>
        <w:t xml:space="preserve"> palyginamasis veiksmingumas vertinamas kaip </w:t>
      </w:r>
      <w:r w:rsidRPr="00166F00">
        <w:rPr>
          <w:rFonts w:eastAsia="Arial"/>
          <w:bCs/>
        </w:rPr>
        <w:t>iš esmės nesiskiriantis</w:t>
      </w:r>
      <w:r>
        <w:rPr>
          <w:rFonts w:eastAsia="Arial"/>
          <w:bCs/>
        </w:rPr>
        <w:t>, lyginant su įprasta klinikine praktika.</w:t>
      </w:r>
    </w:p>
    <w:p w14:paraId="0B0CBBEE" w14:textId="77777777" w:rsidR="0024262A" w:rsidRPr="0024262A" w:rsidRDefault="0024262A" w:rsidP="0024262A">
      <w:pPr>
        <w:spacing w:line="276" w:lineRule="auto"/>
        <w:ind w:firstLine="720"/>
        <w:jc w:val="both"/>
        <w:rPr>
          <w:rFonts w:eastAsia="Arial"/>
          <w:bCs/>
        </w:rPr>
      </w:pPr>
    </w:p>
    <w:p w14:paraId="7DE09EB5" w14:textId="69E9DD74" w:rsidR="00E03C3F" w:rsidRPr="002E1488" w:rsidRDefault="00CC7832" w:rsidP="00434D0C">
      <w:pPr>
        <w:pStyle w:val="ListParagraph"/>
        <w:numPr>
          <w:ilvl w:val="0"/>
          <w:numId w:val="12"/>
        </w:numPr>
        <w:tabs>
          <w:tab w:val="left" w:pos="567"/>
        </w:tabs>
        <w:spacing w:line="276" w:lineRule="auto"/>
        <w:ind w:hanging="720"/>
        <w:rPr>
          <w:b/>
          <w:bCs/>
          <w:caps/>
        </w:rPr>
      </w:pPr>
      <w:r w:rsidRPr="002E1488">
        <w:rPr>
          <w:b/>
          <w:bCs/>
          <w:caps/>
        </w:rPr>
        <w:t xml:space="preserve">ekonominio vertinimo </w:t>
      </w:r>
      <w:r w:rsidR="002F0E4F" w:rsidRPr="002E1488">
        <w:rPr>
          <w:b/>
          <w:bCs/>
          <w:caps/>
        </w:rPr>
        <w:t>apibendrinimas</w:t>
      </w:r>
    </w:p>
    <w:p w14:paraId="33875138" w14:textId="77777777" w:rsidR="0035172D" w:rsidRDefault="0035172D" w:rsidP="00434D0C">
      <w:pPr>
        <w:tabs>
          <w:tab w:val="left" w:pos="426"/>
        </w:tabs>
        <w:spacing w:line="276" w:lineRule="auto"/>
        <w:rPr>
          <w:b/>
          <w:bCs/>
          <w:caps/>
        </w:rPr>
      </w:pPr>
    </w:p>
    <w:p w14:paraId="392F6A2A" w14:textId="77777777" w:rsidR="00C111F5" w:rsidRPr="00A774E4" w:rsidRDefault="00C111F5" w:rsidP="00C111F5">
      <w:pPr>
        <w:tabs>
          <w:tab w:val="left" w:pos="567"/>
        </w:tabs>
        <w:spacing w:line="276" w:lineRule="auto"/>
        <w:rPr>
          <w:b/>
          <w:bCs/>
          <w:caps/>
        </w:rPr>
      </w:pPr>
      <w:r w:rsidRPr="00A774E4">
        <w:rPr>
          <w:rFonts w:eastAsia="Arial"/>
        </w:rPr>
        <w:t xml:space="preserve">Analizė atliekama taikant kaštų mažinimo perspektyvą, laikant, jog </w:t>
      </w:r>
      <w:proofErr w:type="spellStart"/>
      <w:r w:rsidRPr="00A774E4">
        <w:rPr>
          <w:rFonts w:eastAsia="Arial"/>
        </w:rPr>
        <w:t>berotralstato</w:t>
      </w:r>
      <w:proofErr w:type="spellEnd"/>
      <w:r w:rsidRPr="00A774E4">
        <w:rPr>
          <w:rFonts w:eastAsia="Arial"/>
        </w:rPr>
        <w:t xml:space="preserve"> bei </w:t>
      </w:r>
      <w:proofErr w:type="spellStart"/>
      <w:r w:rsidRPr="00A774E4">
        <w:rPr>
          <w:rFonts w:eastAsia="Arial"/>
        </w:rPr>
        <w:t>lanadelumobo</w:t>
      </w:r>
      <w:proofErr w:type="spellEnd"/>
      <w:r w:rsidRPr="00A774E4">
        <w:rPr>
          <w:rFonts w:eastAsia="Arial"/>
        </w:rPr>
        <w:t xml:space="preserve"> sukuriama nauda pacientų sveikatai yra iš esmės nesiskirianti, todėl analizėje lyginami tik gydymo kaštai.</w:t>
      </w:r>
    </w:p>
    <w:p w14:paraId="6B08982F" w14:textId="77777777" w:rsidR="00C111F5" w:rsidRPr="00A774E4" w:rsidRDefault="00C111F5" w:rsidP="00C111F5">
      <w:pPr>
        <w:tabs>
          <w:tab w:val="left" w:pos="567"/>
        </w:tabs>
        <w:spacing w:line="276" w:lineRule="auto"/>
        <w:rPr>
          <w:rFonts w:eastAsia="Arial"/>
        </w:rPr>
      </w:pPr>
    </w:p>
    <w:p w14:paraId="43C3357D" w14:textId="77777777" w:rsidR="00C111F5" w:rsidRPr="00A774E4" w:rsidRDefault="00C111F5" w:rsidP="00C111F5">
      <w:pPr>
        <w:tabs>
          <w:tab w:val="left" w:pos="567"/>
        </w:tabs>
        <w:spacing w:line="276" w:lineRule="auto"/>
        <w:rPr>
          <w:rFonts w:eastAsia="Arial"/>
        </w:rPr>
      </w:pPr>
      <w:r w:rsidRPr="00A774E4">
        <w:rPr>
          <w:rFonts w:eastAsia="Arial"/>
        </w:rPr>
        <w:t xml:space="preserve">Gydymo </w:t>
      </w:r>
      <w:proofErr w:type="spellStart"/>
      <w:r>
        <w:rPr>
          <w:rFonts w:eastAsia="Arial"/>
        </w:rPr>
        <w:t>berotralstatu</w:t>
      </w:r>
      <w:proofErr w:type="spellEnd"/>
      <w:r w:rsidRPr="00A774E4">
        <w:rPr>
          <w:rFonts w:eastAsia="Arial"/>
        </w:rPr>
        <w:t xml:space="preserve"> kaštai</w:t>
      </w:r>
      <w:r>
        <w:rPr>
          <w:rFonts w:eastAsia="Arial"/>
        </w:rPr>
        <w:t xml:space="preserve">, pritaikius PGS nuolaidą, </w:t>
      </w:r>
      <w:r w:rsidRPr="00A774E4">
        <w:rPr>
          <w:rFonts w:eastAsia="Arial"/>
        </w:rPr>
        <w:t xml:space="preserve">yra </w:t>
      </w:r>
      <w:r>
        <w:rPr>
          <w:rFonts w:eastAsia="Arial"/>
        </w:rPr>
        <w:t xml:space="preserve">mažesni už </w:t>
      </w:r>
      <w:proofErr w:type="spellStart"/>
      <w:r>
        <w:rPr>
          <w:rFonts w:eastAsia="Arial"/>
        </w:rPr>
        <w:t>lanadelumabo</w:t>
      </w:r>
      <w:proofErr w:type="spellEnd"/>
      <w:r>
        <w:rPr>
          <w:rFonts w:eastAsia="Arial"/>
        </w:rPr>
        <w:t xml:space="preserve"> gydymo kaštus</w:t>
      </w:r>
      <w:r w:rsidRPr="00A774E4">
        <w:rPr>
          <w:rFonts w:eastAsia="Arial"/>
        </w:rPr>
        <w:t xml:space="preserve">. </w:t>
      </w:r>
    </w:p>
    <w:p w14:paraId="32E7E456" w14:textId="77777777" w:rsidR="00C111F5" w:rsidRPr="000D7371" w:rsidRDefault="00C111F5" w:rsidP="00C111F5">
      <w:pPr>
        <w:shd w:val="clear" w:color="auto" w:fill="FFFFFF"/>
        <w:spacing w:line="276" w:lineRule="auto"/>
        <w:jc w:val="both"/>
        <w:rPr>
          <w:iCs/>
          <w:highlight w:val="yellow"/>
          <w:lang w:eastAsia="lt-LT"/>
        </w:rPr>
      </w:pPr>
    </w:p>
    <w:p w14:paraId="052F8E9D" w14:textId="77777777" w:rsidR="00C111F5" w:rsidRPr="00D2118B" w:rsidRDefault="00C111F5" w:rsidP="00C111F5">
      <w:pPr>
        <w:shd w:val="clear" w:color="auto" w:fill="FFFFFF"/>
        <w:spacing w:line="276" w:lineRule="auto"/>
        <w:jc w:val="both"/>
        <w:rPr>
          <w:rFonts w:eastAsia="Arial"/>
        </w:rPr>
      </w:pPr>
      <w:r w:rsidRPr="00A774E4">
        <w:rPr>
          <w:iCs/>
          <w:lang w:eastAsia="lt-LT"/>
        </w:rPr>
        <w:t xml:space="preserve">Remiantis Lietuvos Respublikos sveikatos apsaugos ministro įsakymu </w:t>
      </w:r>
      <w:r>
        <w:rPr>
          <w:iCs/>
          <w:lang w:eastAsia="lt-LT"/>
        </w:rPr>
        <w:t>„D</w:t>
      </w:r>
      <w:r w:rsidRPr="007F5B95">
        <w:rPr>
          <w:iCs/>
          <w:lang w:eastAsia="lt-LT"/>
        </w:rPr>
        <w:t>ėl vaistinių preparatų ir medicinos pagalbos priemonių įrašymo į kompensavimo sąrašus ir jų keitimo tvarkos aprašo patvirtinimo</w:t>
      </w:r>
      <w:r>
        <w:rPr>
          <w:iCs/>
          <w:lang w:eastAsia="lt-LT"/>
        </w:rPr>
        <w:t xml:space="preserve">“ </w:t>
      </w:r>
      <w:r w:rsidRPr="00166F00">
        <w:rPr>
          <w:iCs/>
          <w:lang w:eastAsia="lt-LT"/>
        </w:rPr>
        <w:t>2002 m. balandžio 5 d.</w:t>
      </w:r>
      <w:r>
        <w:rPr>
          <w:iCs/>
          <w:lang w:eastAsia="lt-LT"/>
        </w:rPr>
        <w:t xml:space="preserve"> </w:t>
      </w:r>
      <w:r w:rsidRPr="00A774E4">
        <w:rPr>
          <w:iCs/>
          <w:lang w:eastAsia="lt-LT"/>
        </w:rPr>
        <w:t>Nr. 159</w:t>
      </w:r>
      <w:r>
        <w:rPr>
          <w:iCs/>
          <w:lang w:eastAsia="lt-LT"/>
        </w:rPr>
        <w:t xml:space="preserve"> </w:t>
      </w:r>
      <w:r w:rsidRPr="000E610E">
        <w:rPr>
          <w:iCs/>
          <w:lang w:eastAsia="lt-LT"/>
        </w:rPr>
        <w:t>54.1</w:t>
      </w:r>
      <w:r w:rsidRPr="000E610E">
        <w:rPr>
          <w:iCs/>
          <w:vertAlign w:val="superscript"/>
          <w:lang w:eastAsia="lt-LT"/>
        </w:rPr>
        <w:t>1</w:t>
      </w:r>
      <w:r>
        <w:rPr>
          <w:iCs/>
          <w:lang w:eastAsia="lt-LT"/>
        </w:rPr>
        <w:t xml:space="preserve"> punktu</w:t>
      </w:r>
      <w:r w:rsidRPr="00A774E4">
        <w:rPr>
          <w:iCs/>
          <w:lang w:eastAsia="lt-LT"/>
        </w:rPr>
        <w:t>, jei taikoma k</w:t>
      </w:r>
      <w:r>
        <w:rPr>
          <w:iCs/>
          <w:lang w:eastAsia="lt-LT"/>
        </w:rPr>
        <w:t>aštų mažinimo analizė, naujojo vaisto sukuriamos</w:t>
      </w:r>
      <w:r w:rsidRPr="00A774E4">
        <w:rPr>
          <w:iCs/>
          <w:lang w:eastAsia="lt-LT"/>
        </w:rPr>
        <w:t xml:space="preserve"> Privalomojo sveikatos draudimo fondo sutaupytos lėšos turėtų sudaryti bent 5</w:t>
      </w:r>
      <w:r>
        <w:rPr>
          <w:iCs/>
          <w:lang w:eastAsia="lt-LT"/>
        </w:rPr>
        <w:t xml:space="preserve"> </w:t>
      </w:r>
      <w:r w:rsidRPr="00A774E4">
        <w:rPr>
          <w:iCs/>
          <w:lang w:eastAsia="lt-LT"/>
        </w:rPr>
        <w:t>% palyginti su esamomis vaistų išlaidomis.</w:t>
      </w:r>
      <w:r w:rsidRPr="00D2118B">
        <w:rPr>
          <w:iCs/>
          <w:lang w:eastAsia="lt-LT"/>
        </w:rPr>
        <w:t xml:space="preserve"> </w:t>
      </w:r>
    </w:p>
    <w:p w14:paraId="0C7EC892" w14:textId="77777777" w:rsidR="00C111F5" w:rsidRDefault="00C111F5" w:rsidP="00C111F5">
      <w:pPr>
        <w:shd w:val="clear" w:color="auto" w:fill="FFFFFF"/>
        <w:spacing w:line="276" w:lineRule="auto"/>
        <w:jc w:val="both"/>
        <w:rPr>
          <w:rFonts w:eastAsia="Arial"/>
        </w:rPr>
      </w:pPr>
    </w:p>
    <w:p w14:paraId="76E150F8" w14:textId="77777777" w:rsidR="00C111F5" w:rsidRPr="00D2118B" w:rsidRDefault="00C111F5" w:rsidP="00C111F5">
      <w:pPr>
        <w:shd w:val="clear" w:color="auto" w:fill="FFFFFF"/>
        <w:spacing w:line="276" w:lineRule="auto"/>
        <w:jc w:val="both"/>
        <w:rPr>
          <w:rFonts w:eastAsia="Arial"/>
        </w:rPr>
      </w:pPr>
      <w:proofErr w:type="spellStart"/>
      <w:r>
        <w:rPr>
          <w:rFonts w:eastAsia="Arial"/>
        </w:rPr>
        <w:t>Berotralstato</w:t>
      </w:r>
      <w:proofErr w:type="spellEnd"/>
      <w:r>
        <w:rPr>
          <w:rFonts w:eastAsia="Arial"/>
        </w:rPr>
        <w:t xml:space="preserve"> kaina, kai taikoma PGS nuolaida, atitinka </w:t>
      </w:r>
      <w:r w:rsidRPr="00A774E4">
        <w:rPr>
          <w:iCs/>
          <w:lang w:eastAsia="lt-LT"/>
        </w:rPr>
        <w:t>Lietuvos Respublikos sveikatos apsaugos ministro įsakym</w:t>
      </w:r>
      <w:r>
        <w:rPr>
          <w:iCs/>
          <w:lang w:eastAsia="lt-LT"/>
        </w:rPr>
        <w:t>o</w:t>
      </w:r>
      <w:r w:rsidRPr="00A774E4">
        <w:rPr>
          <w:iCs/>
          <w:lang w:eastAsia="lt-LT"/>
        </w:rPr>
        <w:t xml:space="preserve"> </w:t>
      </w:r>
      <w:r>
        <w:rPr>
          <w:iCs/>
          <w:lang w:eastAsia="lt-LT"/>
        </w:rPr>
        <w:t>„D</w:t>
      </w:r>
      <w:r w:rsidRPr="000E610E">
        <w:rPr>
          <w:iCs/>
          <w:lang w:eastAsia="lt-LT"/>
        </w:rPr>
        <w:t>ėl vaistinių preparatų ir medicinos pagalbos priemonių įrašymo į kompensavimo sąrašus ir jų keitimo tvarkos aprašo patvirtinimo</w:t>
      </w:r>
      <w:r>
        <w:rPr>
          <w:iCs/>
          <w:lang w:eastAsia="lt-LT"/>
        </w:rPr>
        <w:t xml:space="preserve">“ </w:t>
      </w:r>
      <w:r w:rsidRPr="00166F00">
        <w:rPr>
          <w:iCs/>
          <w:lang w:eastAsia="lt-LT"/>
        </w:rPr>
        <w:t>2002 m. balandžio 5 d.</w:t>
      </w:r>
      <w:r>
        <w:rPr>
          <w:iCs/>
          <w:lang w:eastAsia="lt-LT"/>
        </w:rPr>
        <w:t xml:space="preserve"> </w:t>
      </w:r>
      <w:r w:rsidRPr="00A774E4">
        <w:rPr>
          <w:iCs/>
          <w:lang w:eastAsia="lt-LT"/>
        </w:rPr>
        <w:t>Nr. 159</w:t>
      </w:r>
      <w:r w:rsidRPr="000E610E">
        <w:rPr>
          <w:rFonts w:asciiTheme="minorHAnsi" w:eastAsiaTheme="minorEastAsia" w:hAnsi="Calibri" w:cstheme="minorBidi"/>
          <w:color w:val="000000" w:themeColor="text1"/>
          <w:kern w:val="24"/>
          <w:sz w:val="56"/>
          <w:szCs w:val="56"/>
        </w:rPr>
        <w:t xml:space="preserve"> </w:t>
      </w:r>
      <w:r w:rsidRPr="000E610E">
        <w:rPr>
          <w:iCs/>
          <w:lang w:eastAsia="lt-LT"/>
        </w:rPr>
        <w:t>54.1</w:t>
      </w:r>
      <w:r w:rsidRPr="000E610E">
        <w:rPr>
          <w:iCs/>
          <w:vertAlign w:val="superscript"/>
          <w:lang w:eastAsia="lt-LT"/>
        </w:rPr>
        <w:t>1</w:t>
      </w:r>
      <w:r>
        <w:rPr>
          <w:iCs/>
          <w:lang w:eastAsia="lt-LT"/>
        </w:rPr>
        <w:t xml:space="preserve"> punktą, kadangi suteikia </w:t>
      </w:r>
      <w:r>
        <w:rPr>
          <w:lang w:eastAsia="lt-LT"/>
        </w:rPr>
        <w:t>*****</w:t>
      </w:r>
      <w:r w:rsidRPr="009F7758">
        <w:rPr>
          <w:lang w:eastAsia="lt-LT"/>
        </w:rPr>
        <w:t xml:space="preserve"> </w:t>
      </w:r>
      <w:r>
        <w:rPr>
          <w:iCs/>
          <w:lang w:eastAsia="lt-LT"/>
        </w:rPr>
        <w:t xml:space="preserve">% mažesnius gydymo kaštus. </w:t>
      </w:r>
    </w:p>
    <w:p w14:paraId="0A7CA11B" w14:textId="77777777" w:rsidR="00AB6C7B" w:rsidRDefault="00AB6C7B" w:rsidP="00434D0C">
      <w:pPr>
        <w:tabs>
          <w:tab w:val="left" w:pos="426"/>
        </w:tabs>
        <w:spacing w:line="276" w:lineRule="auto"/>
        <w:rPr>
          <w:b/>
          <w:bCs/>
          <w:caps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923"/>
        <w:gridCol w:w="2342"/>
        <w:gridCol w:w="2197"/>
        <w:gridCol w:w="2167"/>
      </w:tblGrid>
      <w:tr w:rsidR="000E610E" w:rsidRPr="00E1435F" w14:paraId="6B2FCD0E" w14:textId="77777777" w:rsidTr="004450DD">
        <w:trPr>
          <w:trHeight w:val="464"/>
          <w:tblHeader/>
        </w:trPr>
        <w:tc>
          <w:tcPr>
            <w:tcW w:w="1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18CC9" w14:textId="77777777" w:rsidR="000E610E" w:rsidRPr="00E1435F" w:rsidRDefault="000E610E" w:rsidP="004450DD">
            <w:pPr>
              <w:tabs>
                <w:tab w:val="left" w:pos="567"/>
              </w:tabs>
              <w:spacing w:line="276" w:lineRule="auto"/>
              <w:jc w:val="both"/>
              <w:rPr>
                <w:b/>
                <w:bCs/>
                <w:lang w:eastAsia="lt-LT"/>
              </w:rPr>
            </w:pPr>
            <w:r w:rsidRPr="00E1435F">
              <w:rPr>
                <w:b/>
                <w:bCs/>
                <w:lang w:eastAsia="lt-LT"/>
              </w:rPr>
              <w:t>Pavadinimas, stiprumas, pakuotė</w:t>
            </w:r>
            <w:r>
              <w:rPr>
                <w:b/>
                <w:bCs/>
                <w:lang w:eastAsia="lt-LT"/>
              </w:rPr>
              <w:t>s dydis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2BE02" w14:textId="77777777" w:rsidR="000E610E" w:rsidRPr="00E1435F" w:rsidRDefault="000E610E" w:rsidP="004450DD">
            <w:pPr>
              <w:tabs>
                <w:tab w:val="left" w:pos="567"/>
              </w:tabs>
              <w:spacing w:line="276" w:lineRule="auto"/>
              <w:jc w:val="both"/>
              <w:rPr>
                <w:b/>
                <w:bCs/>
                <w:lang w:eastAsia="lt-LT"/>
              </w:rPr>
            </w:pPr>
            <w:r w:rsidRPr="00E1435F">
              <w:rPr>
                <w:b/>
                <w:bCs/>
                <w:lang w:eastAsia="lt-LT"/>
              </w:rPr>
              <w:t xml:space="preserve">Metiniai gydymo kaštai </w:t>
            </w:r>
          </w:p>
        </w:tc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0150A" w14:textId="77777777" w:rsidR="000E610E" w:rsidRPr="00E1435F" w:rsidRDefault="000E610E" w:rsidP="004450DD">
            <w:pPr>
              <w:tabs>
                <w:tab w:val="left" w:pos="567"/>
              </w:tabs>
              <w:spacing w:line="276" w:lineRule="auto"/>
              <w:jc w:val="both"/>
              <w:rPr>
                <w:b/>
                <w:bCs/>
                <w:lang w:eastAsia="lt-LT"/>
              </w:rPr>
            </w:pPr>
            <w:r w:rsidRPr="00E1435F">
              <w:rPr>
                <w:b/>
                <w:bCs/>
                <w:lang w:eastAsia="lt-LT"/>
              </w:rPr>
              <w:t xml:space="preserve">Skirtumas lyginant su </w:t>
            </w:r>
            <w:proofErr w:type="spellStart"/>
            <w:r w:rsidRPr="00E1435F">
              <w:rPr>
                <w:b/>
                <w:bCs/>
                <w:lang w:eastAsia="lt-LT"/>
              </w:rPr>
              <w:t>Takhzyro</w:t>
            </w:r>
            <w:proofErr w:type="spellEnd"/>
            <w:r w:rsidRPr="00E1435F">
              <w:rPr>
                <w:b/>
                <w:bCs/>
                <w:lang w:eastAsia="lt-LT"/>
              </w:rPr>
              <w:t>, EUR</w:t>
            </w: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3F0F6" w14:textId="77777777" w:rsidR="000E610E" w:rsidRPr="00E1435F" w:rsidRDefault="000E610E" w:rsidP="004450DD">
            <w:pPr>
              <w:tabs>
                <w:tab w:val="left" w:pos="567"/>
              </w:tabs>
              <w:spacing w:line="276" w:lineRule="auto"/>
              <w:jc w:val="both"/>
              <w:rPr>
                <w:b/>
                <w:bCs/>
                <w:lang w:eastAsia="lt-LT"/>
              </w:rPr>
            </w:pPr>
            <w:r w:rsidRPr="00E1435F">
              <w:rPr>
                <w:b/>
                <w:bCs/>
                <w:lang w:eastAsia="lt-LT"/>
              </w:rPr>
              <w:t xml:space="preserve">Skirtumas lyginant su </w:t>
            </w:r>
            <w:proofErr w:type="spellStart"/>
            <w:r w:rsidRPr="00E1435F">
              <w:rPr>
                <w:b/>
                <w:bCs/>
                <w:lang w:eastAsia="lt-LT"/>
              </w:rPr>
              <w:t>Takhzyro</w:t>
            </w:r>
            <w:proofErr w:type="spellEnd"/>
            <w:r w:rsidRPr="00E1435F">
              <w:rPr>
                <w:b/>
                <w:bCs/>
                <w:lang w:eastAsia="lt-LT"/>
              </w:rPr>
              <w:t>, %</w:t>
            </w:r>
          </w:p>
        </w:tc>
      </w:tr>
      <w:tr w:rsidR="000E610E" w:rsidRPr="00E1435F" w14:paraId="316906ED" w14:textId="77777777" w:rsidTr="004450DD">
        <w:trPr>
          <w:trHeight w:val="202"/>
        </w:trPr>
        <w:tc>
          <w:tcPr>
            <w:tcW w:w="1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A7B10" w14:textId="77777777" w:rsidR="000E610E" w:rsidRPr="00E1435F" w:rsidRDefault="000E610E" w:rsidP="004450DD">
            <w:pPr>
              <w:tabs>
                <w:tab w:val="left" w:pos="567"/>
              </w:tabs>
              <w:spacing w:line="276" w:lineRule="auto"/>
              <w:jc w:val="both"/>
              <w:rPr>
                <w:lang w:eastAsia="lt-LT"/>
              </w:rPr>
            </w:pPr>
            <w:proofErr w:type="spellStart"/>
            <w:r w:rsidRPr="00E1435F">
              <w:rPr>
                <w:lang w:eastAsia="lt-LT"/>
              </w:rPr>
              <w:t>Orladeyo</w:t>
            </w:r>
            <w:proofErr w:type="spellEnd"/>
            <w:r w:rsidRPr="00E1435F">
              <w:rPr>
                <w:lang w:eastAsia="lt-LT"/>
              </w:rPr>
              <w:t xml:space="preserve"> 150 mg N28 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FDAB9" w14:textId="32279D7A" w:rsidR="000E610E" w:rsidRPr="00E1435F" w:rsidRDefault="009F08C5" w:rsidP="004450DD">
            <w:pPr>
              <w:tabs>
                <w:tab w:val="left" w:pos="567"/>
              </w:tabs>
              <w:spacing w:line="276" w:lineRule="auto"/>
              <w:jc w:val="both"/>
              <w:rPr>
                <w:lang w:eastAsia="lt-LT"/>
              </w:rPr>
            </w:pPr>
            <w:r>
              <w:rPr>
                <w:lang w:eastAsia="lt-LT"/>
              </w:rPr>
              <w:t>*****</w:t>
            </w:r>
            <w:r w:rsidR="000E610E" w:rsidRPr="00E1435F">
              <w:rPr>
                <w:u w:val="single"/>
                <w:lang w:eastAsia="lt-LT"/>
              </w:rPr>
              <w:t>€</w:t>
            </w:r>
          </w:p>
        </w:tc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6B0BD" w14:textId="6B0EB185" w:rsidR="000E610E" w:rsidRPr="00E1435F" w:rsidRDefault="00C111F5" w:rsidP="004450DD">
            <w:pPr>
              <w:tabs>
                <w:tab w:val="left" w:pos="567"/>
              </w:tabs>
              <w:spacing w:line="276" w:lineRule="auto"/>
              <w:jc w:val="both"/>
              <w:rPr>
                <w:u w:val="single"/>
                <w:lang w:eastAsia="lt-LT"/>
              </w:rPr>
            </w:pPr>
            <w:r>
              <w:rPr>
                <w:lang w:eastAsia="lt-LT"/>
              </w:rPr>
              <w:t>*****</w:t>
            </w:r>
            <w:r w:rsidR="000E610E" w:rsidRPr="00E1435F">
              <w:rPr>
                <w:u w:val="single"/>
                <w:lang w:eastAsia="lt-LT"/>
              </w:rPr>
              <w:t>€</w:t>
            </w: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73214" w14:textId="78821215" w:rsidR="000E610E" w:rsidRPr="00E1435F" w:rsidRDefault="00C111F5" w:rsidP="004450DD">
            <w:pPr>
              <w:tabs>
                <w:tab w:val="left" w:pos="567"/>
              </w:tabs>
              <w:spacing w:line="276" w:lineRule="auto"/>
              <w:jc w:val="both"/>
              <w:rPr>
                <w:u w:val="single"/>
                <w:lang w:eastAsia="lt-LT"/>
              </w:rPr>
            </w:pPr>
            <w:r>
              <w:rPr>
                <w:lang w:eastAsia="lt-LT"/>
              </w:rPr>
              <w:t>*****</w:t>
            </w:r>
            <w:r w:rsidR="000E610E" w:rsidRPr="00E1435F">
              <w:rPr>
                <w:u w:val="single"/>
                <w:lang w:eastAsia="lt-LT"/>
              </w:rPr>
              <w:t>%</w:t>
            </w:r>
          </w:p>
        </w:tc>
      </w:tr>
      <w:tr w:rsidR="000E610E" w:rsidRPr="00E1435F" w14:paraId="1D97DD1A" w14:textId="77777777" w:rsidTr="004450DD">
        <w:trPr>
          <w:trHeight w:val="202"/>
        </w:trPr>
        <w:tc>
          <w:tcPr>
            <w:tcW w:w="1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B8DE3" w14:textId="6905CDA3" w:rsidR="000E610E" w:rsidRPr="00E1435F" w:rsidRDefault="000E610E" w:rsidP="004450DD">
            <w:pPr>
              <w:tabs>
                <w:tab w:val="left" w:pos="567"/>
              </w:tabs>
              <w:spacing w:line="276" w:lineRule="auto"/>
              <w:jc w:val="both"/>
              <w:rPr>
                <w:lang w:eastAsia="lt-LT"/>
              </w:rPr>
            </w:pPr>
            <w:proofErr w:type="spellStart"/>
            <w:r w:rsidRPr="00E1435F">
              <w:rPr>
                <w:lang w:eastAsia="lt-LT"/>
              </w:rPr>
              <w:t>Orladeyo</w:t>
            </w:r>
            <w:proofErr w:type="spellEnd"/>
            <w:r w:rsidRPr="00E1435F">
              <w:rPr>
                <w:lang w:eastAsia="lt-LT"/>
              </w:rPr>
              <w:t xml:space="preserve"> 150 mg N28 </w:t>
            </w:r>
            <w:r w:rsidR="007A1440">
              <w:rPr>
                <w:lang w:eastAsia="lt-LT"/>
              </w:rPr>
              <w:t>(PGS)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F047E" w14:textId="1DD0C02C" w:rsidR="000E610E" w:rsidRPr="00E1435F" w:rsidRDefault="009F08C5" w:rsidP="004450DD">
            <w:pPr>
              <w:tabs>
                <w:tab w:val="left" w:pos="567"/>
              </w:tabs>
              <w:spacing w:line="276" w:lineRule="auto"/>
              <w:jc w:val="both"/>
              <w:rPr>
                <w:lang w:eastAsia="lt-LT"/>
              </w:rPr>
            </w:pPr>
            <w:r>
              <w:rPr>
                <w:lang w:eastAsia="lt-LT"/>
              </w:rPr>
              <w:t>*****</w:t>
            </w:r>
            <w:r w:rsidR="000E610E" w:rsidRPr="00E1435F">
              <w:rPr>
                <w:u w:val="single"/>
                <w:lang w:eastAsia="lt-LT"/>
              </w:rPr>
              <w:t xml:space="preserve"> €</w:t>
            </w:r>
          </w:p>
        </w:tc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C5D78" w14:textId="3D408C5F" w:rsidR="000E610E" w:rsidRPr="00E1435F" w:rsidRDefault="00C111F5" w:rsidP="004450DD">
            <w:pPr>
              <w:tabs>
                <w:tab w:val="left" w:pos="567"/>
              </w:tabs>
              <w:spacing w:line="276" w:lineRule="auto"/>
              <w:jc w:val="both"/>
              <w:rPr>
                <w:lang w:eastAsia="lt-LT"/>
              </w:rPr>
            </w:pPr>
            <w:r>
              <w:rPr>
                <w:lang w:eastAsia="lt-LT"/>
              </w:rPr>
              <w:t>*****</w:t>
            </w:r>
            <w:r w:rsidR="000E610E" w:rsidRPr="00E1435F">
              <w:rPr>
                <w:u w:val="single"/>
                <w:lang w:eastAsia="lt-LT"/>
              </w:rPr>
              <w:t>€</w:t>
            </w: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A9CA3" w14:textId="6AD20E4B" w:rsidR="000E610E" w:rsidRPr="00E1435F" w:rsidRDefault="00C111F5" w:rsidP="004450DD">
            <w:pPr>
              <w:tabs>
                <w:tab w:val="left" w:pos="567"/>
              </w:tabs>
              <w:spacing w:line="276" w:lineRule="auto"/>
              <w:jc w:val="both"/>
              <w:rPr>
                <w:lang w:eastAsia="lt-LT"/>
              </w:rPr>
            </w:pPr>
            <w:r>
              <w:rPr>
                <w:lang w:eastAsia="lt-LT"/>
              </w:rPr>
              <w:t>*****</w:t>
            </w:r>
            <w:r w:rsidR="000E610E" w:rsidRPr="00E1435F">
              <w:rPr>
                <w:u w:val="single"/>
                <w:lang w:eastAsia="lt-LT"/>
              </w:rPr>
              <w:t>%</w:t>
            </w:r>
          </w:p>
        </w:tc>
      </w:tr>
      <w:tr w:rsidR="000E610E" w:rsidRPr="00E1435F" w14:paraId="3283DBA1" w14:textId="77777777" w:rsidTr="004450DD">
        <w:trPr>
          <w:trHeight w:val="202"/>
        </w:trPr>
        <w:tc>
          <w:tcPr>
            <w:tcW w:w="1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9F7A7" w14:textId="77777777" w:rsidR="000E610E" w:rsidRPr="00E1435F" w:rsidRDefault="000E610E" w:rsidP="004450DD">
            <w:pPr>
              <w:tabs>
                <w:tab w:val="left" w:pos="567"/>
              </w:tabs>
              <w:spacing w:line="276" w:lineRule="auto"/>
              <w:jc w:val="both"/>
              <w:rPr>
                <w:lang w:eastAsia="lt-LT"/>
              </w:rPr>
            </w:pPr>
            <w:proofErr w:type="spellStart"/>
            <w:r w:rsidRPr="00E1435F">
              <w:rPr>
                <w:lang w:eastAsia="lt-LT"/>
              </w:rPr>
              <w:t>Takhzyro</w:t>
            </w:r>
            <w:proofErr w:type="spellEnd"/>
            <w:r w:rsidRPr="00E1435F">
              <w:rPr>
                <w:lang w:eastAsia="lt-LT"/>
              </w:rPr>
              <w:t xml:space="preserve"> 300 mg 2 ml N1 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E9DE8" w14:textId="4F214DBA" w:rsidR="000E610E" w:rsidRPr="00E1435F" w:rsidRDefault="00C111F5" w:rsidP="004450DD">
            <w:pPr>
              <w:tabs>
                <w:tab w:val="left" w:pos="567"/>
              </w:tabs>
              <w:spacing w:line="276" w:lineRule="auto"/>
              <w:jc w:val="both"/>
              <w:rPr>
                <w:lang w:eastAsia="lt-LT"/>
              </w:rPr>
            </w:pPr>
            <w:r>
              <w:rPr>
                <w:lang w:eastAsia="lt-LT"/>
              </w:rPr>
              <w:t>*****</w:t>
            </w:r>
            <w:r w:rsidR="000E610E" w:rsidRPr="00E1435F">
              <w:rPr>
                <w:lang w:eastAsia="lt-LT"/>
              </w:rPr>
              <w:t>€</w:t>
            </w:r>
          </w:p>
        </w:tc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97C2" w14:textId="77777777" w:rsidR="000E610E" w:rsidRPr="00E1435F" w:rsidRDefault="000E610E" w:rsidP="004450DD">
            <w:pPr>
              <w:tabs>
                <w:tab w:val="left" w:pos="567"/>
              </w:tabs>
              <w:spacing w:line="276" w:lineRule="auto"/>
              <w:jc w:val="both"/>
              <w:rPr>
                <w:lang w:eastAsia="lt-LT"/>
              </w:rPr>
            </w:pP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6DC72" w14:textId="77777777" w:rsidR="000E610E" w:rsidRPr="00E1435F" w:rsidRDefault="000E610E" w:rsidP="004450DD">
            <w:pPr>
              <w:tabs>
                <w:tab w:val="left" w:pos="567"/>
              </w:tabs>
              <w:spacing w:line="276" w:lineRule="auto"/>
              <w:jc w:val="both"/>
              <w:rPr>
                <w:lang w:eastAsia="lt-LT"/>
              </w:rPr>
            </w:pPr>
          </w:p>
        </w:tc>
      </w:tr>
    </w:tbl>
    <w:p w14:paraId="2D2F963E" w14:textId="4EB6F438" w:rsidR="009E3BD6" w:rsidRDefault="009E3BD6" w:rsidP="00434D0C">
      <w:pPr>
        <w:tabs>
          <w:tab w:val="left" w:pos="426"/>
        </w:tabs>
        <w:spacing w:line="276" w:lineRule="auto"/>
        <w:rPr>
          <w:b/>
          <w:bCs/>
          <w:caps/>
        </w:rPr>
      </w:pPr>
    </w:p>
    <w:p w14:paraId="3954A39C" w14:textId="39D86837" w:rsidR="009E3BD6" w:rsidRPr="000203E1" w:rsidRDefault="009E3BD6" w:rsidP="00434D0C">
      <w:pPr>
        <w:tabs>
          <w:tab w:val="left" w:pos="426"/>
        </w:tabs>
        <w:spacing w:line="276" w:lineRule="auto"/>
        <w:rPr>
          <w:b/>
          <w:bCs/>
          <w:caps/>
        </w:rPr>
      </w:pPr>
    </w:p>
    <w:p w14:paraId="4FC424F9" w14:textId="4E767245" w:rsidR="00C62B36" w:rsidRPr="000203E1" w:rsidRDefault="00C62B36" w:rsidP="00434D0C">
      <w:pPr>
        <w:pStyle w:val="ListParagraph"/>
        <w:numPr>
          <w:ilvl w:val="0"/>
          <w:numId w:val="12"/>
        </w:numPr>
        <w:tabs>
          <w:tab w:val="left" w:pos="567"/>
        </w:tabs>
        <w:spacing w:line="276" w:lineRule="auto"/>
        <w:ind w:hanging="720"/>
        <w:rPr>
          <w:b/>
          <w:bCs/>
          <w:caps/>
        </w:rPr>
      </w:pPr>
      <w:r w:rsidRPr="000203E1">
        <w:rPr>
          <w:b/>
          <w:bCs/>
          <w:caps/>
        </w:rPr>
        <w:t xml:space="preserve">Pacientų organizacijų pateikti duomenys </w:t>
      </w:r>
    </w:p>
    <w:p w14:paraId="79BCFF40" w14:textId="3B292590" w:rsidR="00937907" w:rsidRPr="000203E1" w:rsidRDefault="00AD3D39" w:rsidP="00434D0C">
      <w:pPr>
        <w:spacing w:after="120" w:line="276" w:lineRule="auto"/>
        <w:jc w:val="both"/>
      </w:pPr>
      <w:sdt>
        <w:sdtPr>
          <w:rPr>
            <w:rStyle w:val="Style2"/>
            <w:rFonts w:ascii="MS Gothic" w:eastAsia="MS Gothic" w:hAnsi="MS Gothic"/>
            <w:sz w:val="24"/>
          </w:rPr>
          <w:id w:val="1150014178"/>
          <w15:color w:val="FFCC0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yle2"/>
          </w:rPr>
        </w:sdtEndPr>
        <w:sdtContent>
          <w:r w:rsidR="00937907" w:rsidRPr="000203E1">
            <w:rPr>
              <w:rStyle w:val="Style2"/>
              <w:rFonts w:ascii="MS Gothic" w:eastAsia="MS Gothic" w:hAnsi="MS Gothic" w:hint="eastAsia"/>
              <w:sz w:val="24"/>
            </w:rPr>
            <w:t>☐</w:t>
          </w:r>
        </w:sdtContent>
      </w:sdt>
      <w:r w:rsidR="00937907" w:rsidRPr="000203E1">
        <w:t xml:space="preserve"> Pacientų organizacijos pozicija pateikta</w:t>
      </w:r>
      <w:r w:rsidR="00016F32">
        <w:t>.</w:t>
      </w:r>
    </w:p>
    <w:p w14:paraId="62992180" w14:textId="57C93CA1" w:rsidR="00937907" w:rsidRPr="000203E1" w:rsidRDefault="00AD3D39" w:rsidP="00434D0C">
      <w:pPr>
        <w:spacing w:after="120" w:line="276" w:lineRule="auto"/>
        <w:jc w:val="both"/>
      </w:pPr>
      <w:sdt>
        <w:sdtPr>
          <w:rPr>
            <w:rStyle w:val="Style2"/>
            <w:rFonts w:ascii="MS Gothic" w:eastAsia="MS Gothic" w:hAnsi="MS Gothic"/>
            <w:sz w:val="24"/>
          </w:rPr>
          <w:id w:val="-1545513810"/>
          <w15:color w:val="FFCC00"/>
          <w14:checkbox>
            <w14:checked w14:val="1"/>
            <w14:checkedState w14:val="2612" w14:font="MS Gothic"/>
            <w14:uncheckedState w14:val="2610" w14:font="MS Gothic"/>
          </w14:checkbox>
        </w:sdtPr>
        <w:sdtEndPr>
          <w:rPr>
            <w:rStyle w:val="Style2"/>
          </w:rPr>
        </w:sdtEndPr>
        <w:sdtContent>
          <w:r w:rsidR="00016F32">
            <w:rPr>
              <w:rStyle w:val="Style2"/>
              <w:rFonts w:ascii="MS Gothic" w:eastAsia="MS Gothic" w:hAnsi="MS Gothic" w:hint="eastAsia"/>
              <w:sz w:val="24"/>
            </w:rPr>
            <w:t>☒</w:t>
          </w:r>
        </w:sdtContent>
      </w:sdt>
      <w:r w:rsidR="00937907" w:rsidRPr="000203E1">
        <w:t xml:space="preserve"> Pacientų organizacijos pozicija </w:t>
      </w:r>
      <w:r w:rsidR="00880A44" w:rsidRPr="000203E1">
        <w:t>ne</w:t>
      </w:r>
      <w:r w:rsidR="00937907" w:rsidRPr="000203E1">
        <w:t>pateikta.</w:t>
      </w:r>
    </w:p>
    <w:p w14:paraId="03E73D82" w14:textId="77777777" w:rsidR="00D417D2" w:rsidRPr="000203E1" w:rsidRDefault="00D417D2" w:rsidP="00434D0C">
      <w:pPr>
        <w:spacing w:after="120" w:line="276" w:lineRule="auto"/>
        <w:jc w:val="both"/>
      </w:pPr>
    </w:p>
    <w:p w14:paraId="3D3277FA" w14:textId="3CEEB2D2" w:rsidR="00C62B36" w:rsidRPr="000203E1" w:rsidRDefault="00C62B36" w:rsidP="00434D0C">
      <w:pPr>
        <w:pStyle w:val="ListParagraph"/>
        <w:numPr>
          <w:ilvl w:val="0"/>
          <w:numId w:val="12"/>
        </w:numPr>
        <w:tabs>
          <w:tab w:val="left" w:pos="567"/>
        </w:tabs>
        <w:spacing w:line="276" w:lineRule="auto"/>
        <w:ind w:hanging="720"/>
        <w:rPr>
          <w:b/>
          <w:bCs/>
          <w:caps/>
        </w:rPr>
      </w:pPr>
      <w:r w:rsidRPr="000203E1">
        <w:rPr>
          <w:b/>
          <w:bCs/>
          <w:caps/>
        </w:rPr>
        <w:t>Gydytojų organizacijų pateikti duomenys</w:t>
      </w:r>
    </w:p>
    <w:p w14:paraId="389A346C" w14:textId="44FE4F8C" w:rsidR="00937907" w:rsidRPr="000203E1" w:rsidRDefault="00AD3D39" w:rsidP="00434D0C">
      <w:pPr>
        <w:spacing w:after="120" w:line="276" w:lineRule="auto"/>
        <w:jc w:val="both"/>
      </w:pPr>
      <w:sdt>
        <w:sdtPr>
          <w:rPr>
            <w:rStyle w:val="Style2"/>
            <w:rFonts w:ascii="MS Gothic" w:eastAsia="MS Gothic" w:hAnsi="MS Gothic"/>
            <w:sz w:val="24"/>
          </w:rPr>
          <w:id w:val="1613862788"/>
          <w15:color w:val="FFCC0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yle2"/>
          </w:rPr>
        </w:sdtEndPr>
        <w:sdtContent>
          <w:r w:rsidR="00937907" w:rsidRPr="000203E1">
            <w:rPr>
              <w:rStyle w:val="Style2"/>
              <w:rFonts w:ascii="MS Gothic" w:eastAsia="MS Gothic" w:hAnsi="MS Gothic" w:hint="eastAsia"/>
              <w:sz w:val="24"/>
            </w:rPr>
            <w:t>☐</w:t>
          </w:r>
        </w:sdtContent>
      </w:sdt>
      <w:r w:rsidR="00662983" w:rsidRPr="000203E1">
        <w:t xml:space="preserve"> </w:t>
      </w:r>
      <w:r w:rsidR="00937907" w:rsidRPr="000203E1">
        <w:t>Gydytojų specialistų organizacijos pozicija pateikta.</w:t>
      </w:r>
    </w:p>
    <w:p w14:paraId="5D8CC48C" w14:textId="01AC52E9" w:rsidR="00662983" w:rsidRPr="000203E1" w:rsidRDefault="00AD3D39" w:rsidP="00434D0C">
      <w:pPr>
        <w:spacing w:after="120" w:line="276" w:lineRule="auto"/>
        <w:jc w:val="both"/>
      </w:pPr>
      <w:sdt>
        <w:sdtPr>
          <w:rPr>
            <w:rStyle w:val="Style2"/>
            <w:rFonts w:ascii="MS Gothic" w:eastAsia="MS Gothic" w:hAnsi="MS Gothic"/>
            <w:sz w:val="24"/>
          </w:rPr>
          <w:id w:val="-41988141"/>
          <w15:color w:val="FFCC00"/>
          <w14:checkbox>
            <w14:checked w14:val="1"/>
            <w14:checkedState w14:val="2612" w14:font="MS Gothic"/>
            <w14:uncheckedState w14:val="2610" w14:font="MS Gothic"/>
          </w14:checkbox>
        </w:sdtPr>
        <w:sdtEndPr>
          <w:rPr>
            <w:rStyle w:val="Style2"/>
          </w:rPr>
        </w:sdtEndPr>
        <w:sdtContent>
          <w:r w:rsidR="00016F32">
            <w:rPr>
              <w:rStyle w:val="Style2"/>
              <w:rFonts w:ascii="MS Gothic" w:eastAsia="MS Gothic" w:hAnsi="MS Gothic" w:hint="eastAsia"/>
              <w:sz w:val="24"/>
            </w:rPr>
            <w:t>☒</w:t>
          </w:r>
        </w:sdtContent>
      </w:sdt>
      <w:r w:rsidR="00662983" w:rsidRPr="000203E1">
        <w:t xml:space="preserve"> </w:t>
      </w:r>
      <w:r w:rsidR="00937907" w:rsidRPr="000203E1">
        <w:t xml:space="preserve">Gydytojų specialistų organizacijos pozicija </w:t>
      </w:r>
      <w:r w:rsidR="00880A44" w:rsidRPr="000203E1">
        <w:t>ne</w:t>
      </w:r>
      <w:r w:rsidR="00937907" w:rsidRPr="000203E1">
        <w:t>pateikta.</w:t>
      </w:r>
    </w:p>
    <w:p w14:paraId="3701D46A" w14:textId="77777777" w:rsidR="00A042B9" w:rsidRPr="000203E1" w:rsidRDefault="00A042B9" w:rsidP="00434D0C">
      <w:pPr>
        <w:spacing w:after="120" w:line="276" w:lineRule="auto"/>
        <w:jc w:val="both"/>
      </w:pPr>
    </w:p>
    <w:p w14:paraId="78F23ECB" w14:textId="23A3A002" w:rsidR="002F0E4F" w:rsidRPr="000203E1" w:rsidRDefault="002F0E4F" w:rsidP="00434D0C">
      <w:pPr>
        <w:pStyle w:val="ListParagraph"/>
        <w:numPr>
          <w:ilvl w:val="0"/>
          <w:numId w:val="12"/>
        </w:numPr>
        <w:tabs>
          <w:tab w:val="left" w:pos="567"/>
        </w:tabs>
        <w:spacing w:line="276" w:lineRule="auto"/>
        <w:ind w:hanging="720"/>
        <w:rPr>
          <w:b/>
          <w:bCs/>
          <w:caps/>
        </w:rPr>
      </w:pPr>
      <w:r w:rsidRPr="000203E1">
        <w:rPr>
          <w:b/>
          <w:bCs/>
          <w:caps/>
        </w:rPr>
        <w:t xml:space="preserve">Išvada </w:t>
      </w:r>
    </w:p>
    <w:p w14:paraId="08D5B3B6" w14:textId="3492CFB8" w:rsidR="0061611B" w:rsidRDefault="0061611B" w:rsidP="00045709">
      <w:pPr>
        <w:spacing w:line="276" w:lineRule="auto"/>
        <w:ind w:firstLine="720"/>
        <w:rPr>
          <w:i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5"/>
        <w:gridCol w:w="4814"/>
      </w:tblGrid>
      <w:tr w:rsidR="00931A54" w:rsidRPr="00034325" w14:paraId="5BF2B94B" w14:textId="77777777" w:rsidTr="00427779">
        <w:trPr>
          <w:trHeight w:val="510"/>
        </w:trPr>
        <w:tc>
          <w:tcPr>
            <w:tcW w:w="9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CCD0A" w14:textId="77777777" w:rsidR="00931A54" w:rsidRPr="00034325" w:rsidRDefault="00931A54" w:rsidP="00931A54">
            <w:pPr>
              <w:spacing w:line="276" w:lineRule="auto"/>
              <w:jc w:val="center"/>
              <w:rPr>
                <w:rFonts w:eastAsia="Arial"/>
                <w:b/>
                <w:bCs/>
                <w:iCs/>
              </w:rPr>
            </w:pPr>
            <w:r w:rsidRPr="00034325">
              <w:rPr>
                <w:rFonts w:eastAsia="Arial"/>
                <w:b/>
                <w:bCs/>
                <w:iCs/>
              </w:rPr>
              <w:t>Palyginamasis veiksmingumas</w:t>
            </w:r>
          </w:p>
        </w:tc>
      </w:tr>
      <w:tr w:rsidR="00931A54" w:rsidRPr="00034325" w14:paraId="147A875A" w14:textId="77777777" w:rsidTr="00427779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B6916" w14:textId="6078D57B" w:rsidR="00931A54" w:rsidRPr="00034325" w:rsidRDefault="00AD3D39" w:rsidP="00427779">
            <w:pPr>
              <w:spacing w:line="276" w:lineRule="auto"/>
              <w:rPr>
                <w:rFonts w:eastAsia="Arial"/>
                <w:bCs/>
                <w:iCs/>
              </w:rPr>
            </w:pPr>
            <w:sdt>
              <w:sdtPr>
                <w:rPr>
                  <w:rFonts w:eastAsia="Arial"/>
                  <w:bCs/>
                  <w:iCs/>
                </w:rPr>
                <w:id w:val="1397324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262A">
                  <w:rPr>
                    <w:rFonts w:ascii="MS Gothic" w:eastAsia="MS Gothic" w:hAnsi="MS Gothic" w:hint="eastAsia"/>
                    <w:bCs/>
                    <w:iCs/>
                  </w:rPr>
                  <w:t>☐</w:t>
                </w:r>
              </w:sdtContent>
            </w:sdt>
            <w:r w:rsidR="00931A54" w:rsidRPr="00034325">
              <w:rPr>
                <w:rFonts w:eastAsia="Arial"/>
                <w:bCs/>
                <w:iCs/>
              </w:rPr>
              <w:t xml:space="preserve"> 29.1.1 yra didesnis, lyginant su įprasta klinikine praktika</w:t>
            </w:r>
          </w:p>
          <w:p w14:paraId="75BB279D" w14:textId="77777777" w:rsidR="00931A54" w:rsidRPr="00034325" w:rsidRDefault="00931A54" w:rsidP="00427779">
            <w:pPr>
              <w:spacing w:line="276" w:lineRule="auto"/>
              <w:rPr>
                <w:rFonts w:eastAsia="Arial"/>
                <w:bCs/>
                <w:iCs/>
              </w:rPr>
            </w:pPr>
          </w:p>
          <w:p w14:paraId="27EB9BD6" w14:textId="2C3C68A1" w:rsidR="00931A54" w:rsidRPr="00034325" w:rsidRDefault="00AD3D39" w:rsidP="00427779">
            <w:pPr>
              <w:spacing w:line="276" w:lineRule="auto"/>
              <w:rPr>
                <w:rFonts w:eastAsia="Arial"/>
                <w:bCs/>
                <w:iCs/>
              </w:rPr>
            </w:pPr>
            <w:sdt>
              <w:sdtPr>
                <w:rPr>
                  <w:rFonts w:eastAsia="Arial"/>
                  <w:bCs/>
                  <w:iCs/>
                </w:rPr>
                <w:id w:val="41829709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262A">
                  <w:rPr>
                    <w:rFonts w:ascii="MS Gothic" w:eastAsia="MS Gothic" w:hAnsi="MS Gothic" w:hint="eastAsia"/>
                    <w:bCs/>
                    <w:iCs/>
                  </w:rPr>
                  <w:t>☒</w:t>
                </w:r>
              </w:sdtContent>
            </w:sdt>
            <w:r w:rsidR="00931A54" w:rsidRPr="00034325">
              <w:rPr>
                <w:rFonts w:eastAsia="Arial"/>
                <w:bCs/>
                <w:iCs/>
              </w:rPr>
              <w:t xml:space="preserve"> 29.1.2 iš esmės nesiskiria, lyginant su įprasta klinikine praktika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62681" w14:textId="77777777" w:rsidR="00931A54" w:rsidRPr="00034325" w:rsidRDefault="00AD3D39" w:rsidP="00427779">
            <w:pPr>
              <w:spacing w:line="276" w:lineRule="auto"/>
              <w:rPr>
                <w:rFonts w:eastAsia="Arial"/>
                <w:bCs/>
                <w:iCs/>
              </w:rPr>
            </w:pPr>
            <w:sdt>
              <w:sdtPr>
                <w:rPr>
                  <w:rFonts w:eastAsia="Arial"/>
                  <w:bCs/>
                  <w:iCs/>
                </w:rPr>
                <w:id w:val="-724755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1A54" w:rsidRPr="00034325">
                  <w:rPr>
                    <w:rFonts w:ascii="Segoe UI Symbol" w:eastAsia="Arial" w:hAnsi="Segoe UI Symbol" w:cs="Segoe UI Symbol"/>
                    <w:bCs/>
                    <w:iCs/>
                  </w:rPr>
                  <w:t>☐</w:t>
                </w:r>
              </w:sdtContent>
            </w:sdt>
            <w:r w:rsidR="00931A54" w:rsidRPr="00034325">
              <w:rPr>
                <w:rFonts w:eastAsia="Arial"/>
                <w:bCs/>
                <w:iCs/>
              </w:rPr>
              <w:t xml:space="preserve"> 29.1.3 yra neįrodytas kaip didesnis  ar iš esmės nesiskiriantis, lyginant su įprasta klinikine praktika  </w:t>
            </w:r>
          </w:p>
          <w:p w14:paraId="10BFDA77" w14:textId="77777777" w:rsidR="00931A54" w:rsidRPr="00034325" w:rsidRDefault="00931A54" w:rsidP="00427779">
            <w:pPr>
              <w:spacing w:line="276" w:lineRule="auto"/>
              <w:rPr>
                <w:rFonts w:eastAsia="Arial"/>
                <w:bCs/>
                <w:iCs/>
              </w:rPr>
            </w:pPr>
          </w:p>
          <w:p w14:paraId="2B2CB22A" w14:textId="77777777" w:rsidR="00931A54" w:rsidRPr="00034325" w:rsidRDefault="00AD3D39" w:rsidP="00427779">
            <w:pPr>
              <w:spacing w:line="276" w:lineRule="auto"/>
              <w:rPr>
                <w:rFonts w:eastAsia="Arial"/>
                <w:bCs/>
                <w:iCs/>
              </w:rPr>
            </w:pPr>
            <w:sdt>
              <w:sdtPr>
                <w:rPr>
                  <w:rFonts w:eastAsia="Arial"/>
                  <w:bCs/>
                  <w:iCs/>
                </w:rPr>
                <w:id w:val="1862168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1A54" w:rsidRPr="00034325">
                  <w:rPr>
                    <w:rFonts w:ascii="Segoe UI Symbol" w:eastAsia="Arial" w:hAnsi="Segoe UI Symbol" w:cs="Segoe UI Symbol"/>
                    <w:bCs/>
                    <w:iCs/>
                  </w:rPr>
                  <w:t>☐</w:t>
                </w:r>
              </w:sdtContent>
            </w:sdt>
            <w:r w:rsidR="00931A54" w:rsidRPr="00034325">
              <w:rPr>
                <w:rFonts w:eastAsia="Arial"/>
                <w:bCs/>
                <w:iCs/>
              </w:rPr>
              <w:t xml:space="preserve"> 29.1.4 yra mažesnis, lyginant su įprasta klinikine praktika</w:t>
            </w:r>
          </w:p>
          <w:p w14:paraId="6CBBD22B" w14:textId="77777777" w:rsidR="00931A54" w:rsidRPr="00034325" w:rsidRDefault="00931A54" w:rsidP="00427779">
            <w:pPr>
              <w:spacing w:line="276" w:lineRule="auto"/>
              <w:rPr>
                <w:rFonts w:eastAsia="Arial"/>
                <w:bCs/>
                <w:iCs/>
              </w:rPr>
            </w:pPr>
          </w:p>
          <w:p w14:paraId="7C7A9E73" w14:textId="77777777" w:rsidR="00931A54" w:rsidRPr="00034325" w:rsidRDefault="00AD3D39" w:rsidP="00427779">
            <w:pPr>
              <w:spacing w:line="276" w:lineRule="auto"/>
              <w:rPr>
                <w:rFonts w:eastAsia="Arial"/>
                <w:bCs/>
                <w:iCs/>
              </w:rPr>
            </w:pPr>
            <w:sdt>
              <w:sdtPr>
                <w:rPr>
                  <w:rFonts w:eastAsia="Arial"/>
                  <w:bCs/>
                  <w:iCs/>
                </w:rPr>
                <w:id w:val="-1857960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1A54" w:rsidRPr="00034325">
                  <w:rPr>
                    <w:rFonts w:ascii="Segoe UI Symbol" w:eastAsia="Arial" w:hAnsi="Segoe UI Symbol" w:cs="Segoe UI Symbol"/>
                    <w:bCs/>
                    <w:iCs/>
                  </w:rPr>
                  <w:t>☐</w:t>
                </w:r>
              </w:sdtContent>
            </w:sdt>
            <w:r w:rsidR="00931A54" w:rsidRPr="00034325">
              <w:rPr>
                <w:rFonts w:eastAsia="Arial"/>
                <w:bCs/>
                <w:iCs/>
              </w:rPr>
              <w:t xml:space="preserve">  29.1.5 pateikti duomenys apie palyginamąjį veiksmingumą yra netinkami vertinti</w:t>
            </w:r>
          </w:p>
          <w:p w14:paraId="071D9219" w14:textId="77777777" w:rsidR="00931A54" w:rsidRPr="00034325" w:rsidRDefault="00931A54" w:rsidP="00427779">
            <w:pPr>
              <w:spacing w:line="276" w:lineRule="auto"/>
              <w:rPr>
                <w:rFonts w:eastAsia="Arial"/>
                <w:bCs/>
                <w:iCs/>
              </w:rPr>
            </w:pPr>
          </w:p>
        </w:tc>
      </w:tr>
    </w:tbl>
    <w:tbl>
      <w:tblPr>
        <w:tblStyle w:val="DossierTable1"/>
        <w:tblW w:w="0" w:type="auto"/>
        <w:tblInd w:w="-5" w:type="dxa"/>
        <w:tblLook w:val="04A0" w:firstRow="1" w:lastRow="0" w:firstColumn="1" w:lastColumn="0" w:noHBand="0" w:noVBand="1"/>
      </w:tblPr>
      <w:tblGrid>
        <w:gridCol w:w="4820"/>
        <w:gridCol w:w="4814"/>
      </w:tblGrid>
      <w:tr w:rsidR="00AB6C7B" w:rsidRPr="009300B3" w14:paraId="723C0DAD" w14:textId="77777777" w:rsidTr="008E0D5B">
        <w:trPr>
          <w:trHeight w:val="510"/>
        </w:trPr>
        <w:tc>
          <w:tcPr>
            <w:tcW w:w="9634" w:type="dxa"/>
            <w:gridSpan w:val="2"/>
            <w:vAlign w:val="center"/>
          </w:tcPr>
          <w:p w14:paraId="1DEEEE63" w14:textId="77777777" w:rsidR="00AB6C7B" w:rsidRPr="009300B3" w:rsidRDefault="00AB6C7B" w:rsidP="008E0D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Style w:val="Style2"/>
                <w:rFonts w:eastAsia="MS Gothic"/>
                <w:b/>
                <w:bCs/>
                <w:sz w:val="23"/>
                <w:szCs w:val="23"/>
              </w:rPr>
            </w:pPr>
            <w:r w:rsidRPr="009300B3">
              <w:rPr>
                <w:rStyle w:val="Style2"/>
                <w:rFonts w:eastAsia="MS Gothic"/>
                <w:b/>
                <w:bCs/>
                <w:sz w:val="23"/>
                <w:szCs w:val="23"/>
              </w:rPr>
              <w:t>Kaštų naudingumas</w:t>
            </w:r>
          </w:p>
        </w:tc>
      </w:tr>
      <w:tr w:rsidR="00AB6C7B" w:rsidRPr="009300B3" w14:paraId="2B14E2A9" w14:textId="77777777" w:rsidTr="008E0D5B">
        <w:tc>
          <w:tcPr>
            <w:tcW w:w="4820" w:type="dxa"/>
          </w:tcPr>
          <w:p w14:paraId="04E58B28" w14:textId="2D1BAB4F" w:rsidR="00AB6C7B" w:rsidRPr="009300B3" w:rsidRDefault="00AD3D39" w:rsidP="008E0D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3"/>
                <w:szCs w:val="23"/>
              </w:rPr>
            </w:pPr>
            <w:sdt>
              <w:sdtPr>
                <w:rPr>
                  <w:rStyle w:val="Style2"/>
                  <w:sz w:val="23"/>
                  <w:szCs w:val="23"/>
                </w:rPr>
                <w:id w:val="301657889"/>
                <w15:color w:val="FF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2"/>
                </w:rPr>
              </w:sdtEndPr>
              <w:sdtContent>
                <w:r w:rsidR="007E236B">
                  <w:rPr>
                    <w:rStyle w:val="Style2"/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sdtContent>
            </w:sdt>
            <w:r w:rsidR="00AB6C7B" w:rsidRPr="009300B3">
              <w:rPr>
                <w:sz w:val="23"/>
                <w:szCs w:val="23"/>
              </w:rPr>
              <w:t xml:space="preserve"> 29.2.1 atitinka referencinę naudingumo vertę taikant arba netaikant</w:t>
            </w:r>
            <w:r w:rsidR="00AB6C7B" w:rsidRPr="009300B3">
              <w:rPr>
                <w:b/>
                <w:bCs/>
                <w:sz w:val="23"/>
                <w:szCs w:val="23"/>
              </w:rPr>
              <w:t> </w:t>
            </w:r>
            <w:r w:rsidR="00AB6C7B" w:rsidRPr="009300B3">
              <w:rPr>
                <w:sz w:val="23"/>
                <w:szCs w:val="23"/>
              </w:rPr>
              <w:t>PGS</w:t>
            </w:r>
          </w:p>
          <w:p w14:paraId="751820D2" w14:textId="77777777" w:rsidR="00AB6C7B" w:rsidRPr="009300B3" w:rsidRDefault="00AB6C7B" w:rsidP="008E0D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3"/>
                <w:szCs w:val="23"/>
              </w:rPr>
            </w:pPr>
          </w:p>
          <w:p w14:paraId="39B00755" w14:textId="57058D33" w:rsidR="00AB6C7B" w:rsidRPr="009300B3" w:rsidRDefault="00AD3D39" w:rsidP="008E0D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Style w:val="Style2"/>
                <w:rFonts w:eastAsia="MS Gothic"/>
                <w:sz w:val="23"/>
                <w:szCs w:val="23"/>
              </w:rPr>
            </w:pPr>
            <w:sdt>
              <w:sdtPr>
                <w:rPr>
                  <w:rStyle w:val="Style2"/>
                  <w:sz w:val="23"/>
                  <w:szCs w:val="23"/>
                </w:rPr>
                <w:id w:val="865947106"/>
                <w15:color w:val="FFCC0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2"/>
                </w:rPr>
              </w:sdtEndPr>
              <w:sdtContent>
                <w:r w:rsidR="002E1488">
                  <w:rPr>
                    <w:rStyle w:val="Style2"/>
                    <w:rFonts w:ascii="MS Gothic" w:eastAsia="MS Gothic" w:hAnsi="MS Gothic" w:hint="eastAsia"/>
                    <w:sz w:val="23"/>
                    <w:szCs w:val="23"/>
                  </w:rPr>
                  <w:t>☒</w:t>
                </w:r>
              </w:sdtContent>
            </w:sdt>
            <w:r w:rsidR="00AB6C7B" w:rsidRPr="009300B3">
              <w:rPr>
                <w:sz w:val="23"/>
                <w:szCs w:val="23"/>
              </w:rPr>
              <w:t xml:space="preserve"> 29.2.2 gydymo juo kaštai yra mažesni ar tokie patys esant iš esmės nesiskiriančiam palyginamajam efektyvumui, taikant arba netaikant PGS</w:t>
            </w:r>
          </w:p>
        </w:tc>
        <w:tc>
          <w:tcPr>
            <w:tcW w:w="4814" w:type="dxa"/>
          </w:tcPr>
          <w:p w14:paraId="31162936" w14:textId="77777777" w:rsidR="00AB6C7B" w:rsidRPr="009300B3" w:rsidRDefault="00AD3D39" w:rsidP="008E0D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3"/>
                <w:szCs w:val="23"/>
              </w:rPr>
            </w:pPr>
            <w:sdt>
              <w:sdtPr>
                <w:rPr>
                  <w:rStyle w:val="Style2"/>
                  <w:sz w:val="23"/>
                  <w:szCs w:val="23"/>
                </w:rPr>
                <w:id w:val="791860283"/>
                <w15:color w:val="FF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2"/>
                </w:rPr>
              </w:sdtEndPr>
              <w:sdtContent>
                <w:r w:rsidR="00AB6C7B" w:rsidRPr="009300B3">
                  <w:rPr>
                    <w:rStyle w:val="Style2"/>
                    <w:rFonts w:ascii="Segoe UI Symbol" w:eastAsia="MS Gothic" w:hAnsi="Segoe UI Symbol" w:cs="Segoe UI Symbol"/>
                    <w:sz w:val="23"/>
                    <w:szCs w:val="23"/>
                  </w:rPr>
                  <w:t>☐</w:t>
                </w:r>
              </w:sdtContent>
            </w:sdt>
            <w:r w:rsidR="00AB6C7B" w:rsidRPr="009300B3">
              <w:rPr>
                <w:sz w:val="23"/>
                <w:szCs w:val="23"/>
              </w:rPr>
              <w:t xml:space="preserve"> 29.2.3 neatitinka referencinės naudingumo vertės taikant arba netaikant PGS</w:t>
            </w:r>
          </w:p>
          <w:p w14:paraId="3A37D495" w14:textId="77777777" w:rsidR="00AB6C7B" w:rsidRPr="009300B3" w:rsidRDefault="00AB6C7B" w:rsidP="008E0D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3"/>
                <w:szCs w:val="23"/>
              </w:rPr>
            </w:pPr>
          </w:p>
          <w:p w14:paraId="0AE33B6A" w14:textId="77777777" w:rsidR="00AB6C7B" w:rsidRPr="009300B3" w:rsidRDefault="00AD3D39" w:rsidP="008E0D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3"/>
                <w:szCs w:val="23"/>
              </w:rPr>
            </w:pPr>
            <w:sdt>
              <w:sdtPr>
                <w:rPr>
                  <w:rStyle w:val="Style2"/>
                  <w:sz w:val="23"/>
                  <w:szCs w:val="23"/>
                </w:rPr>
                <w:id w:val="1118650590"/>
                <w15:color w:val="FF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2"/>
                </w:rPr>
              </w:sdtEndPr>
              <w:sdtContent>
                <w:r w:rsidR="00AB6C7B" w:rsidRPr="009300B3">
                  <w:rPr>
                    <w:rStyle w:val="Style2"/>
                    <w:rFonts w:ascii="Segoe UI Symbol" w:eastAsia="MS Gothic" w:hAnsi="Segoe UI Symbol" w:cs="Segoe UI Symbol"/>
                    <w:sz w:val="23"/>
                    <w:szCs w:val="23"/>
                  </w:rPr>
                  <w:t>☐</w:t>
                </w:r>
              </w:sdtContent>
            </w:sdt>
            <w:r w:rsidR="00AB6C7B" w:rsidRPr="009300B3">
              <w:rPr>
                <w:sz w:val="23"/>
                <w:szCs w:val="23"/>
              </w:rPr>
              <w:t xml:space="preserve"> 29.2.4 gydymo juo kaštai yra didesni esant iš esmės nesiskiriančiam palyginamajam veiksmingumui, taikant arba netaikant PGS</w:t>
            </w:r>
          </w:p>
          <w:p w14:paraId="4A6AF878" w14:textId="77777777" w:rsidR="00AB6C7B" w:rsidRPr="009300B3" w:rsidRDefault="00AB6C7B" w:rsidP="008E0D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3"/>
                <w:szCs w:val="23"/>
              </w:rPr>
            </w:pPr>
          </w:p>
          <w:p w14:paraId="04CAFED2" w14:textId="77777777" w:rsidR="00AB6C7B" w:rsidRPr="009300B3" w:rsidRDefault="00AD3D39" w:rsidP="008E0D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3"/>
                <w:szCs w:val="23"/>
              </w:rPr>
            </w:pPr>
            <w:sdt>
              <w:sdtPr>
                <w:rPr>
                  <w:rStyle w:val="Style2"/>
                  <w:sz w:val="23"/>
                  <w:szCs w:val="23"/>
                </w:rPr>
                <w:id w:val="-943849855"/>
                <w15:color w:val="FF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2"/>
                </w:rPr>
              </w:sdtEndPr>
              <w:sdtContent>
                <w:r w:rsidR="00AB6C7B" w:rsidRPr="009300B3">
                  <w:rPr>
                    <w:rStyle w:val="Style2"/>
                    <w:rFonts w:ascii="Segoe UI Symbol" w:eastAsia="MS Gothic" w:hAnsi="Segoe UI Symbol" w:cs="Segoe UI Symbol"/>
                    <w:sz w:val="23"/>
                    <w:szCs w:val="23"/>
                  </w:rPr>
                  <w:t>☐</w:t>
                </w:r>
              </w:sdtContent>
            </w:sdt>
            <w:r w:rsidR="00AB6C7B" w:rsidRPr="009300B3">
              <w:rPr>
                <w:sz w:val="23"/>
                <w:szCs w:val="23"/>
              </w:rPr>
              <w:t xml:space="preserve"> 29.2.5 pateikti duomenys apie kaštų naudingumą yra netinkami vertinti</w:t>
            </w:r>
          </w:p>
          <w:p w14:paraId="7A9E6EFD" w14:textId="77777777" w:rsidR="00AB6C7B" w:rsidRPr="009300B3" w:rsidRDefault="00AB6C7B" w:rsidP="008E0D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Style w:val="Style2"/>
                <w:rFonts w:eastAsia="MS Gothic"/>
                <w:sz w:val="23"/>
                <w:szCs w:val="23"/>
              </w:rPr>
            </w:pPr>
          </w:p>
        </w:tc>
      </w:tr>
    </w:tbl>
    <w:p w14:paraId="1B85C083" w14:textId="77777777" w:rsidR="009E44AE" w:rsidRPr="000203E1" w:rsidRDefault="009E44AE" w:rsidP="00434D0C">
      <w:pPr>
        <w:spacing w:line="276" w:lineRule="auto"/>
      </w:pPr>
    </w:p>
    <w:p w14:paraId="3B2D1F25" w14:textId="3A80E19F" w:rsidR="000001B0" w:rsidRPr="00AF2AD6" w:rsidRDefault="000001B0" w:rsidP="00434D0C">
      <w:pPr>
        <w:pStyle w:val="ListParagraph"/>
        <w:numPr>
          <w:ilvl w:val="0"/>
          <w:numId w:val="12"/>
        </w:numPr>
        <w:spacing w:line="276" w:lineRule="auto"/>
        <w:ind w:left="567" w:hanging="567"/>
      </w:pPr>
      <w:r w:rsidRPr="00166F00">
        <w:rPr>
          <w:b/>
        </w:rPr>
        <w:t>REKOME</w:t>
      </w:r>
      <w:r w:rsidR="00D83182" w:rsidRPr="00166F00">
        <w:rPr>
          <w:b/>
        </w:rPr>
        <w:t>N</w:t>
      </w:r>
      <w:r w:rsidRPr="00166F00">
        <w:rPr>
          <w:b/>
        </w:rPr>
        <w:t>DACIJA</w:t>
      </w:r>
    </w:p>
    <w:p w14:paraId="753C7A38" w14:textId="77777777" w:rsidR="00D8151D" w:rsidRPr="007E236B" w:rsidRDefault="00D8151D" w:rsidP="00434D0C">
      <w:pPr>
        <w:pStyle w:val="ListParagraph"/>
        <w:spacing w:line="276" w:lineRule="auto"/>
        <w:ind w:left="567"/>
        <w:rPr>
          <w:highlight w:val="yellow"/>
        </w:rPr>
      </w:pPr>
    </w:p>
    <w:p w14:paraId="159DEA2E" w14:textId="4075B656" w:rsidR="002E1488" w:rsidRPr="009300B3" w:rsidRDefault="002E1488" w:rsidP="002E1488">
      <w:pPr>
        <w:jc w:val="both"/>
        <w:rPr>
          <w:color w:val="000000"/>
          <w:lang w:eastAsia="lt-LT"/>
        </w:rPr>
      </w:pPr>
      <w:bookmarkStart w:id="1" w:name="_Hlk183908864"/>
      <w:r w:rsidRPr="009300B3">
        <w:t xml:space="preserve">Vadovaujantis </w:t>
      </w:r>
      <w:r>
        <w:t xml:space="preserve">Aprašo </w:t>
      </w:r>
      <w:r w:rsidRPr="009300B3">
        <w:rPr>
          <w:color w:val="000000"/>
          <w:lang w:eastAsia="lt-LT"/>
        </w:rPr>
        <w:t>30</w:t>
      </w:r>
      <w:r w:rsidRPr="009300B3">
        <w:rPr>
          <w:color w:val="000000"/>
          <w:vertAlign w:val="superscript"/>
          <w:lang w:eastAsia="lt-LT"/>
        </w:rPr>
        <w:t>1</w:t>
      </w:r>
      <w:r w:rsidRPr="009300B3">
        <w:rPr>
          <w:color w:val="000000"/>
          <w:lang w:eastAsia="lt-LT"/>
        </w:rPr>
        <w:t>.1. papunkčiu rekomenduojama kompensuoti vaistinį preparatą pagal paraiškoje nurodytą indikaciją (arba jos dalį) su arba be skyrimo sąlygų, taikant PGS, kai vertinimo išvados atitinka Aprašo 29.1.2 ir 29.2.2</w:t>
      </w:r>
      <w:r>
        <w:rPr>
          <w:color w:val="000000"/>
          <w:lang w:eastAsia="lt-LT"/>
        </w:rPr>
        <w:t xml:space="preserve"> papunkčiuose numatytas sąlygas</w:t>
      </w:r>
      <w:r w:rsidRPr="009300B3">
        <w:rPr>
          <w:color w:val="000000"/>
          <w:lang w:eastAsia="lt-LT"/>
        </w:rPr>
        <w:t>.</w:t>
      </w:r>
    </w:p>
    <w:p w14:paraId="05ED22AD" w14:textId="77777777" w:rsidR="00D8151D" w:rsidRPr="000203E1" w:rsidRDefault="00D8151D" w:rsidP="00AF2AD6"/>
    <w:bookmarkEnd w:id="1"/>
    <w:p w14:paraId="5B0A403B" w14:textId="77777777" w:rsidR="008A3423" w:rsidRPr="00B93732" w:rsidRDefault="008A3423" w:rsidP="008A3423">
      <w:pPr>
        <w:pStyle w:val="NoSpacing"/>
        <w:spacing w:line="276" w:lineRule="auto"/>
        <w:rPr>
          <w:rFonts w:ascii="Times New Roman" w:hAnsi="Times New Roman"/>
          <w:b/>
          <w:sz w:val="24"/>
          <w:szCs w:val="24"/>
          <w:lang w:eastAsia="lt-LT"/>
        </w:rPr>
      </w:pPr>
      <w:r w:rsidRPr="00B93732">
        <w:rPr>
          <w:rFonts w:ascii="Times New Roman" w:hAnsi="Times New Roman"/>
          <w:b/>
          <w:sz w:val="24"/>
          <w:szCs w:val="24"/>
          <w:lang w:eastAsia="lt-LT"/>
        </w:rPr>
        <w:t>Terapinės indikacijos</w:t>
      </w:r>
    </w:p>
    <w:p w14:paraId="30D974B6" w14:textId="1EF8DA5A" w:rsidR="008A3423" w:rsidRPr="000203E1" w:rsidRDefault="008A3423" w:rsidP="00AF2AD6"/>
    <w:p w14:paraId="769B487F" w14:textId="77777777" w:rsidR="008A3423" w:rsidRDefault="008A3423" w:rsidP="008A3423">
      <w:pPr>
        <w:pStyle w:val="NoSpacing"/>
        <w:spacing w:line="276" w:lineRule="auto"/>
        <w:rPr>
          <w:rFonts w:ascii="Times New Roman" w:hAnsi="Times New Roman"/>
          <w:sz w:val="24"/>
          <w:szCs w:val="24"/>
        </w:rPr>
      </w:pPr>
      <w:r w:rsidRPr="00B93732">
        <w:rPr>
          <w:rStyle w:val="Style2"/>
          <w:rFonts w:ascii="Segoe UI Symbol" w:eastAsia="MS Gothic" w:hAnsi="Segoe UI Symbol" w:cs="Segoe UI Symbol"/>
          <w:sz w:val="24"/>
          <w:szCs w:val="24"/>
        </w:rPr>
        <w:t>☒</w:t>
      </w:r>
      <w:r>
        <w:rPr>
          <w:rStyle w:val="Style2"/>
          <w:rFonts w:ascii="Segoe UI Symbol" w:eastAsia="MS Gothic" w:hAnsi="Segoe UI Symbol" w:cs="Segoe UI Symbol"/>
          <w:sz w:val="24"/>
          <w:szCs w:val="24"/>
        </w:rPr>
        <w:t xml:space="preserve"> </w:t>
      </w:r>
      <w:r w:rsidRPr="00B93732">
        <w:rPr>
          <w:rFonts w:ascii="Times New Roman" w:hAnsi="Times New Roman"/>
          <w:sz w:val="24"/>
          <w:szCs w:val="24"/>
        </w:rPr>
        <w:t>Siūloma kompensuoti Pareiškėjo teikiamą indikaciją be pakeitimų.</w:t>
      </w:r>
    </w:p>
    <w:p w14:paraId="3E39295F" w14:textId="77777777" w:rsidR="008A3423" w:rsidRDefault="008A3423" w:rsidP="008A3423">
      <w:pPr>
        <w:spacing w:line="276" w:lineRule="auto"/>
        <w:jc w:val="both"/>
      </w:pPr>
      <w:proofErr w:type="spellStart"/>
      <w:r w:rsidRPr="00225616">
        <w:t>Orladeyo</w:t>
      </w:r>
      <w:proofErr w:type="spellEnd"/>
      <w:r w:rsidRPr="00225616">
        <w:t xml:space="preserve"> skirtas suaugusiems pacientams ir 12 metų arba vyresniems paaugliams pasikartojančių paveldimos </w:t>
      </w:r>
      <w:proofErr w:type="spellStart"/>
      <w:r w:rsidRPr="00225616">
        <w:t>angioneurozinės</w:t>
      </w:r>
      <w:proofErr w:type="spellEnd"/>
      <w:r w:rsidRPr="00225616">
        <w:t xml:space="preserve"> edemos (PAE) priepuolių įprastinei profilaktikai.</w:t>
      </w:r>
    </w:p>
    <w:p w14:paraId="31F4F775" w14:textId="77777777" w:rsidR="008A3423" w:rsidRPr="00D129DD" w:rsidRDefault="008A3423" w:rsidP="008A3423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5F2FD6">
        <w:rPr>
          <w:rFonts w:ascii="Times New Roman" w:hAnsi="Times New Roman"/>
          <w:sz w:val="24"/>
          <w:szCs w:val="24"/>
        </w:rPr>
        <w:lastRenderedPageBreak/>
        <w:t>TLK-10 AM kodas: D84.1.</w:t>
      </w:r>
    </w:p>
    <w:p w14:paraId="0378A878" w14:textId="77777777" w:rsidR="0092525A" w:rsidRDefault="0092525A" w:rsidP="008A3423">
      <w:pPr>
        <w:pStyle w:val="NoSpacing"/>
        <w:spacing w:line="276" w:lineRule="auto"/>
        <w:rPr>
          <w:rFonts w:ascii="Times New Roman" w:hAnsi="Times New Roman"/>
          <w:b/>
          <w:sz w:val="24"/>
          <w:szCs w:val="24"/>
        </w:rPr>
      </w:pPr>
    </w:p>
    <w:p w14:paraId="6C0229D0" w14:textId="3D1255F7" w:rsidR="008A3423" w:rsidRPr="00B93732" w:rsidRDefault="008A3423" w:rsidP="008A3423">
      <w:pPr>
        <w:pStyle w:val="NoSpacing"/>
        <w:spacing w:line="276" w:lineRule="auto"/>
        <w:rPr>
          <w:rFonts w:ascii="Times New Roman" w:hAnsi="Times New Roman"/>
          <w:b/>
          <w:sz w:val="24"/>
          <w:szCs w:val="24"/>
        </w:rPr>
      </w:pPr>
      <w:r w:rsidRPr="00B93732">
        <w:rPr>
          <w:rFonts w:ascii="Times New Roman" w:hAnsi="Times New Roman"/>
          <w:b/>
          <w:sz w:val="24"/>
          <w:szCs w:val="24"/>
        </w:rPr>
        <w:t>Skyrimo sąlygos</w:t>
      </w:r>
    </w:p>
    <w:p w14:paraId="2A0AF9FD" w14:textId="77777777" w:rsidR="008A3423" w:rsidRDefault="008A3423" w:rsidP="008A3423">
      <w:pPr>
        <w:pStyle w:val="NoSpacing"/>
        <w:spacing w:line="276" w:lineRule="auto"/>
        <w:rPr>
          <w:rFonts w:ascii="Times New Roman" w:hAnsi="Times New Roman"/>
          <w:sz w:val="24"/>
          <w:szCs w:val="24"/>
        </w:rPr>
      </w:pPr>
      <w:r w:rsidRPr="00B93732">
        <w:rPr>
          <w:rStyle w:val="Style2"/>
          <w:rFonts w:ascii="Segoe UI Symbol" w:eastAsia="MS Gothic" w:hAnsi="Segoe UI Symbol" w:cs="Segoe UI Symbol"/>
          <w:sz w:val="24"/>
          <w:szCs w:val="24"/>
        </w:rPr>
        <w:t>☒</w:t>
      </w:r>
      <w:r w:rsidRPr="00B93732">
        <w:rPr>
          <w:rFonts w:ascii="Times New Roman" w:hAnsi="Times New Roman"/>
          <w:sz w:val="24"/>
          <w:szCs w:val="24"/>
        </w:rPr>
        <w:t xml:space="preserve"> Pareiškėjo siūlomos skyrimo sąlygos priimtinos.</w:t>
      </w:r>
    </w:p>
    <w:p w14:paraId="02252845" w14:textId="7744480D" w:rsidR="008A3423" w:rsidRPr="00B93732" w:rsidRDefault="008A3423" w:rsidP="008A3423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5F2FD6">
        <w:rPr>
          <w:rFonts w:ascii="Times New Roman" w:eastAsia="Times New Roman" w:hAnsi="Times New Roman"/>
          <w:sz w:val="24"/>
          <w:szCs w:val="24"/>
        </w:rPr>
        <w:t xml:space="preserve">Skiriamas 12 metų ir vyresnių pacientų pasikartojančių paveldimos </w:t>
      </w:r>
      <w:proofErr w:type="spellStart"/>
      <w:r w:rsidRPr="005F2FD6">
        <w:rPr>
          <w:rFonts w:ascii="Times New Roman" w:eastAsia="Times New Roman" w:hAnsi="Times New Roman"/>
          <w:sz w:val="24"/>
          <w:szCs w:val="24"/>
        </w:rPr>
        <w:t>angioedemos</w:t>
      </w:r>
      <w:proofErr w:type="spellEnd"/>
      <w:r w:rsidRPr="005F2FD6">
        <w:rPr>
          <w:rFonts w:ascii="Times New Roman" w:eastAsia="Times New Roman" w:hAnsi="Times New Roman"/>
          <w:sz w:val="24"/>
          <w:szCs w:val="24"/>
        </w:rPr>
        <w:t xml:space="preserve"> priepuolių rutininei profilaktikai, kai priepuoliai kartojasi daugiau kaip </w:t>
      </w:r>
      <w:r w:rsidR="00EC75CB">
        <w:rPr>
          <w:rFonts w:ascii="Times New Roman" w:eastAsia="Times New Roman" w:hAnsi="Times New Roman"/>
          <w:sz w:val="24"/>
          <w:szCs w:val="24"/>
        </w:rPr>
        <w:t>***</w:t>
      </w:r>
      <w:r w:rsidRPr="005F2FD6">
        <w:rPr>
          <w:rFonts w:ascii="Times New Roman" w:eastAsia="Times New Roman" w:hAnsi="Times New Roman"/>
          <w:sz w:val="24"/>
          <w:szCs w:val="24"/>
        </w:rPr>
        <w:t xml:space="preserve"> kartų per metus. Pradėti vartoti šį vaistinį preparatą galima tik prižiūrint gydytojui, turinčiam paveldima </w:t>
      </w:r>
      <w:proofErr w:type="spellStart"/>
      <w:r w:rsidRPr="005F2FD6">
        <w:rPr>
          <w:rFonts w:ascii="Times New Roman" w:eastAsia="Times New Roman" w:hAnsi="Times New Roman"/>
          <w:sz w:val="24"/>
          <w:szCs w:val="24"/>
        </w:rPr>
        <w:t>angioedema</w:t>
      </w:r>
      <w:proofErr w:type="spellEnd"/>
      <w:r w:rsidRPr="005F2FD6">
        <w:rPr>
          <w:rFonts w:ascii="Times New Roman" w:eastAsia="Times New Roman" w:hAnsi="Times New Roman"/>
          <w:sz w:val="24"/>
          <w:szCs w:val="24"/>
        </w:rPr>
        <w:t xml:space="preserve"> sergančių pacientų gydymo patirties.</w:t>
      </w:r>
    </w:p>
    <w:p w14:paraId="562A1372" w14:textId="7F308C23" w:rsidR="00283E59" w:rsidRPr="00AF2AD6" w:rsidRDefault="00283E59" w:rsidP="008A3423">
      <w:pPr>
        <w:jc w:val="both"/>
        <w:rPr>
          <w:b/>
          <w:sz w:val="20"/>
        </w:rPr>
      </w:pPr>
    </w:p>
    <w:p w14:paraId="7CDFF220" w14:textId="58191D98" w:rsidR="000723FF" w:rsidRPr="000203E1" w:rsidRDefault="000723FF" w:rsidP="00824B92">
      <w:pPr>
        <w:rPr>
          <w:b/>
        </w:rPr>
      </w:pPr>
    </w:p>
    <w:sectPr w:rsidR="000723FF" w:rsidRPr="000203E1" w:rsidSect="005D30E1">
      <w:headerReference w:type="even" r:id="rId7"/>
      <w:headerReference w:type="default" r:id="rId8"/>
      <w:headerReference w:type="first" r:id="rId9"/>
      <w:footerReference w:type="first" r:id="rId10"/>
      <w:pgSz w:w="11907" w:h="16840" w:code="9"/>
      <w:pgMar w:top="1134" w:right="567" w:bottom="1134" w:left="1701" w:header="646" w:footer="0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391A96" w14:textId="77777777" w:rsidR="004A47D7" w:rsidRDefault="004A47D7">
      <w:r>
        <w:separator/>
      </w:r>
    </w:p>
  </w:endnote>
  <w:endnote w:type="continuationSeparator" w:id="0">
    <w:p w14:paraId="319816D3" w14:textId="77777777" w:rsidR="004A47D7" w:rsidRDefault="004A4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D3368" w14:textId="77777777" w:rsidR="00347FAA" w:rsidRDefault="00347FAA">
    <w:pPr>
      <w:pStyle w:val="Footer"/>
      <w:jc w:val="right"/>
      <w:rPr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730699" w14:textId="77777777" w:rsidR="004A47D7" w:rsidRDefault="004A47D7">
      <w:r>
        <w:separator/>
      </w:r>
    </w:p>
  </w:footnote>
  <w:footnote w:type="continuationSeparator" w:id="0">
    <w:p w14:paraId="587DB53B" w14:textId="77777777" w:rsidR="004A47D7" w:rsidRDefault="004A47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86FB2" w14:textId="77777777" w:rsidR="00347FAA" w:rsidRDefault="00347FA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3E81DB01" w14:textId="77777777" w:rsidR="00347FAA" w:rsidRDefault="00347FA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BD5F9" w14:textId="1572A127" w:rsidR="00347FAA" w:rsidRDefault="00347FA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111F5">
      <w:rPr>
        <w:rStyle w:val="PageNumber"/>
        <w:noProof/>
      </w:rPr>
      <w:t>4</w:t>
    </w:r>
    <w:r>
      <w:rPr>
        <w:rStyle w:val="PageNumber"/>
      </w:rPr>
      <w:fldChar w:fldCharType="end"/>
    </w:r>
  </w:p>
  <w:p w14:paraId="13EC872E" w14:textId="77777777" w:rsidR="00347FAA" w:rsidRDefault="00347FA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E1C8F" w14:textId="77777777" w:rsidR="00347FAA" w:rsidRDefault="00347FAA" w:rsidP="00FD793C">
    <w:pPr>
      <w:pStyle w:val="Header"/>
      <w:ind w:left="612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17D8E"/>
    <w:multiLevelType w:val="hybridMultilevel"/>
    <w:tmpl w:val="10FAC1CC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9E0081E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284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2AD2E58"/>
    <w:multiLevelType w:val="hybridMultilevel"/>
    <w:tmpl w:val="F6943F7A"/>
    <w:lvl w:ilvl="0" w:tplc="AB64BC8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101C59"/>
    <w:multiLevelType w:val="hybridMultilevel"/>
    <w:tmpl w:val="64544F3A"/>
    <w:lvl w:ilvl="0" w:tplc="0427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328275A2"/>
    <w:multiLevelType w:val="hybridMultilevel"/>
    <w:tmpl w:val="46C2F7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75004F"/>
    <w:multiLevelType w:val="hybridMultilevel"/>
    <w:tmpl w:val="13E46078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BCC4222"/>
    <w:multiLevelType w:val="multilevel"/>
    <w:tmpl w:val="C9C6278E"/>
    <w:lvl w:ilvl="0">
      <w:start w:val="2"/>
      <w:numFmt w:val="decimal"/>
      <w:lvlText w:val="%1."/>
      <w:lvlJc w:val="left"/>
      <w:pPr>
        <w:ind w:left="360" w:hanging="360"/>
      </w:pPr>
      <w:rPr>
        <w:rFonts w:eastAsia="Arial Unicode MS" w:hint="default"/>
      </w:rPr>
    </w:lvl>
    <w:lvl w:ilvl="1">
      <w:start w:val="7"/>
      <w:numFmt w:val="decimal"/>
      <w:lvlText w:val="%1.%2."/>
      <w:lvlJc w:val="left"/>
      <w:pPr>
        <w:ind w:left="720" w:hanging="360"/>
      </w:pPr>
      <w:rPr>
        <w:rFonts w:eastAsia="Arial Unicode MS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="Arial Unicode MS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="Arial Unicode MS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="Arial Unicode MS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="Arial Unicode MS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="Arial Unicode MS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="Arial Unicode MS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="Arial Unicode MS" w:hint="default"/>
      </w:rPr>
    </w:lvl>
  </w:abstractNum>
  <w:abstractNum w:abstractNumId="7" w15:restartNumberingAfterBreak="0">
    <w:nsid w:val="41953EAB"/>
    <w:multiLevelType w:val="hybridMultilevel"/>
    <w:tmpl w:val="D0F01B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9B0191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9B83C1B"/>
    <w:multiLevelType w:val="multilevel"/>
    <w:tmpl w:val="5F3843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</w:rPr>
    </w:lvl>
  </w:abstractNum>
  <w:abstractNum w:abstractNumId="10" w15:restartNumberingAfterBreak="0">
    <w:nsid w:val="5A0D73F3"/>
    <w:multiLevelType w:val="hybridMultilevel"/>
    <w:tmpl w:val="CA9A2AC8"/>
    <w:lvl w:ilvl="0" w:tplc="0427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111115"/>
    <w:multiLevelType w:val="hybridMultilevel"/>
    <w:tmpl w:val="22EAE57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AB27E1E"/>
    <w:multiLevelType w:val="hybridMultilevel"/>
    <w:tmpl w:val="3D568A5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266018"/>
    <w:multiLevelType w:val="hybridMultilevel"/>
    <w:tmpl w:val="AA9C989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1727813">
    <w:abstractNumId w:val="7"/>
  </w:num>
  <w:num w:numId="2" w16cid:durableId="1202747072">
    <w:abstractNumId w:val="1"/>
  </w:num>
  <w:num w:numId="3" w16cid:durableId="1029069685">
    <w:abstractNumId w:val="9"/>
  </w:num>
  <w:num w:numId="4" w16cid:durableId="247158833">
    <w:abstractNumId w:val="8"/>
  </w:num>
  <w:num w:numId="5" w16cid:durableId="1641109534">
    <w:abstractNumId w:val="6"/>
  </w:num>
  <w:num w:numId="6" w16cid:durableId="1490831997">
    <w:abstractNumId w:val="5"/>
  </w:num>
  <w:num w:numId="7" w16cid:durableId="676464353">
    <w:abstractNumId w:val="3"/>
  </w:num>
  <w:num w:numId="8" w16cid:durableId="1800806189">
    <w:abstractNumId w:val="13"/>
  </w:num>
  <w:num w:numId="9" w16cid:durableId="709689757">
    <w:abstractNumId w:val="0"/>
  </w:num>
  <w:num w:numId="10" w16cid:durableId="2078042391">
    <w:abstractNumId w:val="10"/>
  </w:num>
  <w:num w:numId="11" w16cid:durableId="116029578">
    <w:abstractNumId w:val="12"/>
  </w:num>
  <w:num w:numId="12" w16cid:durableId="496313954">
    <w:abstractNumId w:val="2"/>
  </w:num>
  <w:num w:numId="13" w16cid:durableId="36649430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7870440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00E7"/>
    <w:rsid w:val="000001B0"/>
    <w:rsid w:val="00003F5B"/>
    <w:rsid w:val="000114DD"/>
    <w:rsid w:val="000136F7"/>
    <w:rsid w:val="00016F32"/>
    <w:rsid w:val="000203E1"/>
    <w:rsid w:val="00021A2C"/>
    <w:rsid w:val="0002686C"/>
    <w:rsid w:val="00031D0E"/>
    <w:rsid w:val="000337E6"/>
    <w:rsid w:val="0003402E"/>
    <w:rsid w:val="00034EAE"/>
    <w:rsid w:val="00042924"/>
    <w:rsid w:val="00045709"/>
    <w:rsid w:val="00053975"/>
    <w:rsid w:val="00057A2B"/>
    <w:rsid w:val="000606BE"/>
    <w:rsid w:val="00062613"/>
    <w:rsid w:val="000723FF"/>
    <w:rsid w:val="000736B8"/>
    <w:rsid w:val="0008190F"/>
    <w:rsid w:val="00081D9C"/>
    <w:rsid w:val="00082907"/>
    <w:rsid w:val="0008378D"/>
    <w:rsid w:val="000908A5"/>
    <w:rsid w:val="0009140B"/>
    <w:rsid w:val="00092805"/>
    <w:rsid w:val="000C454C"/>
    <w:rsid w:val="000D5038"/>
    <w:rsid w:val="000E29D4"/>
    <w:rsid w:val="000E610E"/>
    <w:rsid w:val="000F0099"/>
    <w:rsid w:val="000F3540"/>
    <w:rsid w:val="00100491"/>
    <w:rsid w:val="00104E2E"/>
    <w:rsid w:val="00107287"/>
    <w:rsid w:val="00117406"/>
    <w:rsid w:val="00121EF0"/>
    <w:rsid w:val="00124A9E"/>
    <w:rsid w:val="00130703"/>
    <w:rsid w:val="0013153F"/>
    <w:rsid w:val="001408B8"/>
    <w:rsid w:val="001478D2"/>
    <w:rsid w:val="001517E2"/>
    <w:rsid w:val="001521D9"/>
    <w:rsid w:val="001554E2"/>
    <w:rsid w:val="00164146"/>
    <w:rsid w:val="00164D64"/>
    <w:rsid w:val="00166F00"/>
    <w:rsid w:val="00170DB5"/>
    <w:rsid w:val="0017369C"/>
    <w:rsid w:val="00175D57"/>
    <w:rsid w:val="00180C39"/>
    <w:rsid w:val="00180D96"/>
    <w:rsid w:val="00184BD3"/>
    <w:rsid w:val="00184F42"/>
    <w:rsid w:val="001921F3"/>
    <w:rsid w:val="001A5428"/>
    <w:rsid w:val="001B2742"/>
    <w:rsid w:val="001B3C5B"/>
    <w:rsid w:val="001D1DCA"/>
    <w:rsid w:val="001D5B91"/>
    <w:rsid w:val="001D746F"/>
    <w:rsid w:val="001E4BBB"/>
    <w:rsid w:val="001E6304"/>
    <w:rsid w:val="0020381E"/>
    <w:rsid w:val="00213471"/>
    <w:rsid w:val="00215906"/>
    <w:rsid w:val="00241CD8"/>
    <w:rsid w:val="0024262A"/>
    <w:rsid w:val="00244B09"/>
    <w:rsid w:val="002519CB"/>
    <w:rsid w:val="0025697F"/>
    <w:rsid w:val="00260258"/>
    <w:rsid w:val="0026519C"/>
    <w:rsid w:val="0026588E"/>
    <w:rsid w:val="00272428"/>
    <w:rsid w:val="00272948"/>
    <w:rsid w:val="00283E59"/>
    <w:rsid w:val="00292392"/>
    <w:rsid w:val="002946C7"/>
    <w:rsid w:val="002B3CC1"/>
    <w:rsid w:val="002C09E0"/>
    <w:rsid w:val="002C1BB1"/>
    <w:rsid w:val="002C2786"/>
    <w:rsid w:val="002C3A10"/>
    <w:rsid w:val="002C4A90"/>
    <w:rsid w:val="002C4ED5"/>
    <w:rsid w:val="002D02EF"/>
    <w:rsid w:val="002D5EF3"/>
    <w:rsid w:val="002E0702"/>
    <w:rsid w:val="002E1488"/>
    <w:rsid w:val="002E57AD"/>
    <w:rsid w:val="002E6F80"/>
    <w:rsid w:val="002F0E4F"/>
    <w:rsid w:val="002F1053"/>
    <w:rsid w:val="0030069A"/>
    <w:rsid w:val="00314816"/>
    <w:rsid w:val="00317B0E"/>
    <w:rsid w:val="003450D7"/>
    <w:rsid w:val="00347FAA"/>
    <w:rsid w:val="0035172D"/>
    <w:rsid w:val="0036187D"/>
    <w:rsid w:val="00367EDB"/>
    <w:rsid w:val="0037543E"/>
    <w:rsid w:val="00381024"/>
    <w:rsid w:val="00386307"/>
    <w:rsid w:val="003874DE"/>
    <w:rsid w:val="00393E9F"/>
    <w:rsid w:val="0039696E"/>
    <w:rsid w:val="003B211A"/>
    <w:rsid w:val="003C141F"/>
    <w:rsid w:val="003C6B0E"/>
    <w:rsid w:val="003C7257"/>
    <w:rsid w:val="003C7E35"/>
    <w:rsid w:val="003D1E99"/>
    <w:rsid w:val="003D6208"/>
    <w:rsid w:val="00404E8A"/>
    <w:rsid w:val="0040622F"/>
    <w:rsid w:val="00413F24"/>
    <w:rsid w:val="00422853"/>
    <w:rsid w:val="00423160"/>
    <w:rsid w:val="00434D0C"/>
    <w:rsid w:val="00453862"/>
    <w:rsid w:val="0045469B"/>
    <w:rsid w:val="00461338"/>
    <w:rsid w:val="004677DB"/>
    <w:rsid w:val="00476256"/>
    <w:rsid w:val="0048630F"/>
    <w:rsid w:val="0048680D"/>
    <w:rsid w:val="004947A1"/>
    <w:rsid w:val="0049482A"/>
    <w:rsid w:val="004979D3"/>
    <w:rsid w:val="004A00E7"/>
    <w:rsid w:val="004A3A61"/>
    <w:rsid w:val="004A47D7"/>
    <w:rsid w:val="004B59BA"/>
    <w:rsid w:val="004B5A03"/>
    <w:rsid w:val="004C263A"/>
    <w:rsid w:val="004D48A6"/>
    <w:rsid w:val="004D7B8F"/>
    <w:rsid w:val="004E241F"/>
    <w:rsid w:val="004E6458"/>
    <w:rsid w:val="004E6E7D"/>
    <w:rsid w:val="004F1AAC"/>
    <w:rsid w:val="004F1AE2"/>
    <w:rsid w:val="004F34F0"/>
    <w:rsid w:val="004F3B2B"/>
    <w:rsid w:val="004F6050"/>
    <w:rsid w:val="005005EF"/>
    <w:rsid w:val="005123C2"/>
    <w:rsid w:val="0052144B"/>
    <w:rsid w:val="00524066"/>
    <w:rsid w:val="0053001B"/>
    <w:rsid w:val="00534E11"/>
    <w:rsid w:val="005378D8"/>
    <w:rsid w:val="005400D9"/>
    <w:rsid w:val="00541298"/>
    <w:rsid w:val="005476A4"/>
    <w:rsid w:val="0055019B"/>
    <w:rsid w:val="00556E63"/>
    <w:rsid w:val="005601A4"/>
    <w:rsid w:val="00566DBB"/>
    <w:rsid w:val="00571D03"/>
    <w:rsid w:val="005767DB"/>
    <w:rsid w:val="005815E6"/>
    <w:rsid w:val="0058285F"/>
    <w:rsid w:val="0058712F"/>
    <w:rsid w:val="005976CE"/>
    <w:rsid w:val="005A23D4"/>
    <w:rsid w:val="005A2D1E"/>
    <w:rsid w:val="005A4698"/>
    <w:rsid w:val="005B3756"/>
    <w:rsid w:val="005C493F"/>
    <w:rsid w:val="005C6BF7"/>
    <w:rsid w:val="005C71BF"/>
    <w:rsid w:val="005D002C"/>
    <w:rsid w:val="005D30E1"/>
    <w:rsid w:val="005D6555"/>
    <w:rsid w:val="005D7BDF"/>
    <w:rsid w:val="005E4870"/>
    <w:rsid w:val="005F71D9"/>
    <w:rsid w:val="005F7602"/>
    <w:rsid w:val="006062BE"/>
    <w:rsid w:val="0061007A"/>
    <w:rsid w:val="00613143"/>
    <w:rsid w:val="00613501"/>
    <w:rsid w:val="0061611B"/>
    <w:rsid w:val="006166A8"/>
    <w:rsid w:val="006174A1"/>
    <w:rsid w:val="00621D6C"/>
    <w:rsid w:val="006334AA"/>
    <w:rsid w:val="00633B49"/>
    <w:rsid w:val="0064297F"/>
    <w:rsid w:val="00645102"/>
    <w:rsid w:val="00646CF3"/>
    <w:rsid w:val="00653D11"/>
    <w:rsid w:val="00662983"/>
    <w:rsid w:val="0066796B"/>
    <w:rsid w:val="0067524F"/>
    <w:rsid w:val="006834D3"/>
    <w:rsid w:val="00687DC7"/>
    <w:rsid w:val="00692625"/>
    <w:rsid w:val="00695CD3"/>
    <w:rsid w:val="006A16A6"/>
    <w:rsid w:val="006A38B6"/>
    <w:rsid w:val="006B1987"/>
    <w:rsid w:val="006B5B71"/>
    <w:rsid w:val="006B5D3E"/>
    <w:rsid w:val="006B6CB0"/>
    <w:rsid w:val="006C2B64"/>
    <w:rsid w:val="006C6F33"/>
    <w:rsid w:val="006D10D7"/>
    <w:rsid w:val="006D1BF3"/>
    <w:rsid w:val="006D4C85"/>
    <w:rsid w:val="006D66AC"/>
    <w:rsid w:val="006E33F6"/>
    <w:rsid w:val="006F1251"/>
    <w:rsid w:val="006F1C23"/>
    <w:rsid w:val="00702C18"/>
    <w:rsid w:val="00703166"/>
    <w:rsid w:val="007127F3"/>
    <w:rsid w:val="007301CF"/>
    <w:rsid w:val="007316FB"/>
    <w:rsid w:val="00737E2D"/>
    <w:rsid w:val="007424D5"/>
    <w:rsid w:val="00750A88"/>
    <w:rsid w:val="007523DD"/>
    <w:rsid w:val="00757B7E"/>
    <w:rsid w:val="007656B2"/>
    <w:rsid w:val="00770060"/>
    <w:rsid w:val="0077016F"/>
    <w:rsid w:val="007713AD"/>
    <w:rsid w:val="00795DC5"/>
    <w:rsid w:val="00797153"/>
    <w:rsid w:val="007A1440"/>
    <w:rsid w:val="007A21F7"/>
    <w:rsid w:val="007A2B68"/>
    <w:rsid w:val="007B0DDA"/>
    <w:rsid w:val="007B6CE3"/>
    <w:rsid w:val="007D3347"/>
    <w:rsid w:val="007D6E2D"/>
    <w:rsid w:val="007E236B"/>
    <w:rsid w:val="007E2C2F"/>
    <w:rsid w:val="007E5466"/>
    <w:rsid w:val="007F1949"/>
    <w:rsid w:val="007F2592"/>
    <w:rsid w:val="00800A08"/>
    <w:rsid w:val="0080146E"/>
    <w:rsid w:val="00817A84"/>
    <w:rsid w:val="008225A4"/>
    <w:rsid w:val="00824B92"/>
    <w:rsid w:val="00826D5E"/>
    <w:rsid w:val="00832013"/>
    <w:rsid w:val="00832DB7"/>
    <w:rsid w:val="00834732"/>
    <w:rsid w:val="00843FB8"/>
    <w:rsid w:val="0085200C"/>
    <w:rsid w:val="00857C52"/>
    <w:rsid w:val="00860D5F"/>
    <w:rsid w:val="00880A44"/>
    <w:rsid w:val="0088345E"/>
    <w:rsid w:val="0088656F"/>
    <w:rsid w:val="00891EF6"/>
    <w:rsid w:val="008A0303"/>
    <w:rsid w:val="008A3423"/>
    <w:rsid w:val="008A5FDD"/>
    <w:rsid w:val="008B39A8"/>
    <w:rsid w:val="008C01DC"/>
    <w:rsid w:val="008C3947"/>
    <w:rsid w:val="008E473B"/>
    <w:rsid w:val="008E51A6"/>
    <w:rsid w:val="008E7329"/>
    <w:rsid w:val="008F2ED5"/>
    <w:rsid w:val="008F4B94"/>
    <w:rsid w:val="009121B2"/>
    <w:rsid w:val="0092297E"/>
    <w:rsid w:val="00923651"/>
    <w:rsid w:val="0092525A"/>
    <w:rsid w:val="00927B56"/>
    <w:rsid w:val="00931A54"/>
    <w:rsid w:val="009341BF"/>
    <w:rsid w:val="009341CE"/>
    <w:rsid w:val="00937907"/>
    <w:rsid w:val="00941739"/>
    <w:rsid w:val="0094765C"/>
    <w:rsid w:val="00951573"/>
    <w:rsid w:val="00963003"/>
    <w:rsid w:val="00966EEF"/>
    <w:rsid w:val="00971B28"/>
    <w:rsid w:val="00983471"/>
    <w:rsid w:val="009909AB"/>
    <w:rsid w:val="009A33BF"/>
    <w:rsid w:val="009A4443"/>
    <w:rsid w:val="009A46CF"/>
    <w:rsid w:val="009A69EC"/>
    <w:rsid w:val="009B37DB"/>
    <w:rsid w:val="009C7A8C"/>
    <w:rsid w:val="009D23F9"/>
    <w:rsid w:val="009D4FA8"/>
    <w:rsid w:val="009E3BD6"/>
    <w:rsid w:val="009E44AE"/>
    <w:rsid w:val="009E6CD6"/>
    <w:rsid w:val="009F08C5"/>
    <w:rsid w:val="009F4D66"/>
    <w:rsid w:val="00A00C3C"/>
    <w:rsid w:val="00A01091"/>
    <w:rsid w:val="00A042B9"/>
    <w:rsid w:val="00A06DBB"/>
    <w:rsid w:val="00A22ADF"/>
    <w:rsid w:val="00A31E86"/>
    <w:rsid w:val="00A54D87"/>
    <w:rsid w:val="00A5553C"/>
    <w:rsid w:val="00A701C9"/>
    <w:rsid w:val="00A81785"/>
    <w:rsid w:val="00A84803"/>
    <w:rsid w:val="00A84C51"/>
    <w:rsid w:val="00A86F2B"/>
    <w:rsid w:val="00A91366"/>
    <w:rsid w:val="00A92F91"/>
    <w:rsid w:val="00A93AA6"/>
    <w:rsid w:val="00AA4E48"/>
    <w:rsid w:val="00AA6202"/>
    <w:rsid w:val="00AA7B57"/>
    <w:rsid w:val="00AB2806"/>
    <w:rsid w:val="00AB6C7B"/>
    <w:rsid w:val="00AC26FC"/>
    <w:rsid w:val="00AC4A99"/>
    <w:rsid w:val="00AC64D2"/>
    <w:rsid w:val="00AD02E7"/>
    <w:rsid w:val="00AE0FE8"/>
    <w:rsid w:val="00AE3B31"/>
    <w:rsid w:val="00AF2AD6"/>
    <w:rsid w:val="00AF60D5"/>
    <w:rsid w:val="00B00959"/>
    <w:rsid w:val="00B04415"/>
    <w:rsid w:val="00B06509"/>
    <w:rsid w:val="00B07B7B"/>
    <w:rsid w:val="00B11D60"/>
    <w:rsid w:val="00B13D65"/>
    <w:rsid w:val="00B21805"/>
    <w:rsid w:val="00B3072E"/>
    <w:rsid w:val="00B33E91"/>
    <w:rsid w:val="00B33FA8"/>
    <w:rsid w:val="00B36E15"/>
    <w:rsid w:val="00B37245"/>
    <w:rsid w:val="00B4017A"/>
    <w:rsid w:val="00B4468D"/>
    <w:rsid w:val="00B643F7"/>
    <w:rsid w:val="00B71C72"/>
    <w:rsid w:val="00B72A0A"/>
    <w:rsid w:val="00B81E92"/>
    <w:rsid w:val="00B908D7"/>
    <w:rsid w:val="00B935E8"/>
    <w:rsid w:val="00B93B30"/>
    <w:rsid w:val="00B94CB5"/>
    <w:rsid w:val="00BA0DD9"/>
    <w:rsid w:val="00BA5DBC"/>
    <w:rsid w:val="00BA6584"/>
    <w:rsid w:val="00BB6312"/>
    <w:rsid w:val="00BC22A0"/>
    <w:rsid w:val="00BC4D06"/>
    <w:rsid w:val="00BD585E"/>
    <w:rsid w:val="00BD6919"/>
    <w:rsid w:val="00BE1EA7"/>
    <w:rsid w:val="00BE7489"/>
    <w:rsid w:val="00BF2E0D"/>
    <w:rsid w:val="00BF3927"/>
    <w:rsid w:val="00BF3F8B"/>
    <w:rsid w:val="00BF76DA"/>
    <w:rsid w:val="00C056A9"/>
    <w:rsid w:val="00C07C7B"/>
    <w:rsid w:val="00C111F5"/>
    <w:rsid w:val="00C16245"/>
    <w:rsid w:val="00C1763F"/>
    <w:rsid w:val="00C22DC5"/>
    <w:rsid w:val="00C24479"/>
    <w:rsid w:val="00C273F2"/>
    <w:rsid w:val="00C37B53"/>
    <w:rsid w:val="00C434EB"/>
    <w:rsid w:val="00C475A6"/>
    <w:rsid w:val="00C517D2"/>
    <w:rsid w:val="00C5330B"/>
    <w:rsid w:val="00C5772E"/>
    <w:rsid w:val="00C61CC5"/>
    <w:rsid w:val="00C62B36"/>
    <w:rsid w:val="00C65B30"/>
    <w:rsid w:val="00C7012C"/>
    <w:rsid w:val="00C712EA"/>
    <w:rsid w:val="00C80E90"/>
    <w:rsid w:val="00CA217D"/>
    <w:rsid w:val="00CC09D4"/>
    <w:rsid w:val="00CC668D"/>
    <w:rsid w:val="00CC7832"/>
    <w:rsid w:val="00CD488E"/>
    <w:rsid w:val="00CF0C1C"/>
    <w:rsid w:val="00CF27FD"/>
    <w:rsid w:val="00CF5F12"/>
    <w:rsid w:val="00D00D8F"/>
    <w:rsid w:val="00D118FB"/>
    <w:rsid w:val="00D21F3A"/>
    <w:rsid w:val="00D23808"/>
    <w:rsid w:val="00D3016A"/>
    <w:rsid w:val="00D417D2"/>
    <w:rsid w:val="00D42960"/>
    <w:rsid w:val="00D43BD7"/>
    <w:rsid w:val="00D4485B"/>
    <w:rsid w:val="00D46CCD"/>
    <w:rsid w:val="00D4708D"/>
    <w:rsid w:val="00D4744C"/>
    <w:rsid w:val="00D521DE"/>
    <w:rsid w:val="00D5470B"/>
    <w:rsid w:val="00D63068"/>
    <w:rsid w:val="00D64441"/>
    <w:rsid w:val="00D6498C"/>
    <w:rsid w:val="00D76A70"/>
    <w:rsid w:val="00D8151D"/>
    <w:rsid w:val="00D83182"/>
    <w:rsid w:val="00D8521E"/>
    <w:rsid w:val="00D9291C"/>
    <w:rsid w:val="00D93A97"/>
    <w:rsid w:val="00DA0EE3"/>
    <w:rsid w:val="00DA2A77"/>
    <w:rsid w:val="00DB1F64"/>
    <w:rsid w:val="00DC2F53"/>
    <w:rsid w:val="00DC5BAC"/>
    <w:rsid w:val="00DC6816"/>
    <w:rsid w:val="00DC76C2"/>
    <w:rsid w:val="00DD1CF2"/>
    <w:rsid w:val="00DD72FA"/>
    <w:rsid w:val="00DE4484"/>
    <w:rsid w:val="00DF380D"/>
    <w:rsid w:val="00DF3B0C"/>
    <w:rsid w:val="00DF41B7"/>
    <w:rsid w:val="00DF4A4A"/>
    <w:rsid w:val="00DF583C"/>
    <w:rsid w:val="00E03C3F"/>
    <w:rsid w:val="00E06FD7"/>
    <w:rsid w:val="00E07417"/>
    <w:rsid w:val="00E23016"/>
    <w:rsid w:val="00E24D45"/>
    <w:rsid w:val="00E300BD"/>
    <w:rsid w:val="00E33DB8"/>
    <w:rsid w:val="00E33EFF"/>
    <w:rsid w:val="00E34387"/>
    <w:rsid w:val="00E348BA"/>
    <w:rsid w:val="00E36132"/>
    <w:rsid w:val="00E369FE"/>
    <w:rsid w:val="00E37C6F"/>
    <w:rsid w:val="00E475F8"/>
    <w:rsid w:val="00E5102E"/>
    <w:rsid w:val="00E549A3"/>
    <w:rsid w:val="00E5721C"/>
    <w:rsid w:val="00E60743"/>
    <w:rsid w:val="00E619C6"/>
    <w:rsid w:val="00E745A1"/>
    <w:rsid w:val="00E81529"/>
    <w:rsid w:val="00E83A13"/>
    <w:rsid w:val="00E92613"/>
    <w:rsid w:val="00EB6FC5"/>
    <w:rsid w:val="00EC2356"/>
    <w:rsid w:val="00EC2582"/>
    <w:rsid w:val="00EC337C"/>
    <w:rsid w:val="00EC75CB"/>
    <w:rsid w:val="00ED0CFF"/>
    <w:rsid w:val="00ED2708"/>
    <w:rsid w:val="00ED31D2"/>
    <w:rsid w:val="00EE0EAC"/>
    <w:rsid w:val="00EE3322"/>
    <w:rsid w:val="00EE33CB"/>
    <w:rsid w:val="00F0061A"/>
    <w:rsid w:val="00F02834"/>
    <w:rsid w:val="00F04EEB"/>
    <w:rsid w:val="00F05467"/>
    <w:rsid w:val="00F055D2"/>
    <w:rsid w:val="00F07CD7"/>
    <w:rsid w:val="00F127E9"/>
    <w:rsid w:val="00F14B5D"/>
    <w:rsid w:val="00F167B5"/>
    <w:rsid w:val="00F259FC"/>
    <w:rsid w:val="00F36972"/>
    <w:rsid w:val="00F42426"/>
    <w:rsid w:val="00F456BC"/>
    <w:rsid w:val="00F47F81"/>
    <w:rsid w:val="00F50666"/>
    <w:rsid w:val="00F70731"/>
    <w:rsid w:val="00F70C9E"/>
    <w:rsid w:val="00F74A74"/>
    <w:rsid w:val="00F7572C"/>
    <w:rsid w:val="00F8382C"/>
    <w:rsid w:val="00F855D7"/>
    <w:rsid w:val="00F92035"/>
    <w:rsid w:val="00F92748"/>
    <w:rsid w:val="00FA4169"/>
    <w:rsid w:val="00FB0D41"/>
    <w:rsid w:val="00FB2030"/>
    <w:rsid w:val="00FB22C4"/>
    <w:rsid w:val="00FC22D9"/>
    <w:rsid w:val="00FC3102"/>
    <w:rsid w:val="00FD0E46"/>
    <w:rsid w:val="00FD1CF2"/>
    <w:rsid w:val="00FD3EDF"/>
    <w:rsid w:val="00FD7179"/>
    <w:rsid w:val="00FD793C"/>
    <w:rsid w:val="00FE0FD5"/>
    <w:rsid w:val="00FE20E6"/>
    <w:rsid w:val="00FE3E3B"/>
    <w:rsid w:val="00FE5362"/>
    <w:rsid w:val="00FE5665"/>
    <w:rsid w:val="00FF4032"/>
    <w:rsid w:val="00FF6469"/>
    <w:rsid w:val="00FF7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2DFE6E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81529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A84C51"/>
    <w:pPr>
      <w:keepNext/>
      <w:jc w:val="center"/>
      <w:outlineLvl w:val="0"/>
    </w:pPr>
    <w:rPr>
      <w:b/>
      <w:bCs/>
      <w:caps/>
    </w:rPr>
  </w:style>
  <w:style w:type="paragraph" w:styleId="Heading2">
    <w:name w:val="heading 2"/>
    <w:basedOn w:val="Normal"/>
    <w:next w:val="Normal"/>
    <w:qFormat/>
    <w:rsid w:val="00A84C51"/>
    <w:pPr>
      <w:keepNext/>
      <w:jc w:val="center"/>
      <w:outlineLvl w:val="1"/>
    </w:pPr>
    <w:rPr>
      <w:b/>
      <w:bCs/>
      <w:cap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84C51"/>
    <w:pPr>
      <w:tabs>
        <w:tab w:val="center" w:pos="4986"/>
        <w:tab w:val="right" w:pos="9972"/>
      </w:tabs>
    </w:pPr>
  </w:style>
  <w:style w:type="paragraph" w:styleId="Footer">
    <w:name w:val="footer"/>
    <w:basedOn w:val="Normal"/>
    <w:link w:val="FooterChar"/>
    <w:rsid w:val="00A84C51"/>
    <w:pPr>
      <w:tabs>
        <w:tab w:val="center" w:pos="4986"/>
        <w:tab w:val="right" w:pos="9972"/>
      </w:tabs>
    </w:pPr>
  </w:style>
  <w:style w:type="character" w:styleId="PageNumber">
    <w:name w:val="page number"/>
    <w:basedOn w:val="DefaultParagraphFont"/>
    <w:rsid w:val="00A84C51"/>
  </w:style>
  <w:style w:type="character" w:styleId="Hyperlink">
    <w:name w:val="Hyperlink"/>
    <w:basedOn w:val="DefaultParagraphFont"/>
    <w:rsid w:val="00A84C51"/>
    <w:rPr>
      <w:color w:val="0000FF"/>
      <w:u w:val="single"/>
    </w:rPr>
  </w:style>
  <w:style w:type="paragraph" w:styleId="BalloonText">
    <w:name w:val="Balloon Text"/>
    <w:basedOn w:val="Normal"/>
    <w:semiHidden/>
    <w:rsid w:val="00EC2356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737E2D"/>
    <w:rPr>
      <w:sz w:val="24"/>
      <w:szCs w:val="24"/>
      <w:lang w:eastAsia="en-US"/>
    </w:rPr>
  </w:style>
  <w:style w:type="character" w:customStyle="1" w:styleId="Neapdorotaspaminjimas1">
    <w:name w:val="Neapdorotas paminėjimas1"/>
    <w:basedOn w:val="DefaultParagraphFont"/>
    <w:uiPriority w:val="99"/>
    <w:semiHidden/>
    <w:unhideWhenUsed/>
    <w:rsid w:val="00A31E8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A31E86"/>
    <w:rPr>
      <w:color w:val="800080" w:themeColor="followedHyperlink"/>
      <w:u w:val="single"/>
    </w:rPr>
  </w:style>
  <w:style w:type="table" w:styleId="TableGrid">
    <w:name w:val="Table Grid"/>
    <w:aliases w:val="Summary box,Dossier Table"/>
    <w:basedOn w:val="TableNormal"/>
    <w:rsid w:val="00D429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7012C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C7012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7012C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701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7012C"/>
    <w:rPr>
      <w:b/>
      <w:bCs/>
      <w:lang w:eastAsia="en-US"/>
    </w:rPr>
  </w:style>
  <w:style w:type="paragraph" w:styleId="ListParagraph">
    <w:name w:val="List Paragraph"/>
    <w:aliases w:val="Bullets Points,Table Header Row,Bullet Paragraph,Bullet Point,Dairy Paragraphe,Table Legend,Bullet List,Bullet1,List Paragraph CCT minutes,Bullet 1,Section 5,1. Bullet Blank,Bulleted - 2,FooterText,List Paragraph1,numbered,列出段落"/>
    <w:basedOn w:val="Normal"/>
    <w:link w:val="ListParagraphChar"/>
    <w:uiPriority w:val="34"/>
    <w:qFormat/>
    <w:rsid w:val="00104E2E"/>
    <w:pPr>
      <w:ind w:left="720"/>
      <w:contextualSpacing/>
    </w:pPr>
  </w:style>
  <w:style w:type="character" w:customStyle="1" w:styleId="Style2">
    <w:name w:val="Style2"/>
    <w:basedOn w:val="DefaultParagraphFont"/>
    <w:uiPriority w:val="1"/>
    <w:rsid w:val="00D6498C"/>
    <w:rPr>
      <w:sz w:val="32"/>
    </w:rPr>
  </w:style>
  <w:style w:type="character" w:styleId="PlaceholderText">
    <w:name w:val="Placeholder Text"/>
    <w:basedOn w:val="DefaultParagraphFont"/>
    <w:uiPriority w:val="99"/>
    <w:rsid w:val="00B13D65"/>
    <w:rPr>
      <w:color w:val="808080"/>
    </w:rPr>
  </w:style>
  <w:style w:type="paragraph" w:styleId="NoSpacing">
    <w:name w:val="No Spacing"/>
    <w:uiPriority w:val="1"/>
    <w:qFormat/>
    <w:rsid w:val="00B13D65"/>
    <w:rPr>
      <w:rFonts w:ascii="Calibri" w:eastAsia="Calibri" w:hAnsi="Calibri"/>
      <w:sz w:val="22"/>
      <w:szCs w:val="22"/>
      <w:lang w:eastAsia="en-US"/>
    </w:rPr>
  </w:style>
  <w:style w:type="table" w:customStyle="1" w:styleId="Lentelstinklelis1">
    <w:name w:val="Lentelės tinklelis1"/>
    <w:basedOn w:val="TableNormal"/>
    <w:next w:val="TableGrid"/>
    <w:rsid w:val="009E44AE"/>
    <w:rPr>
      <w:sz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476256"/>
    <w:rPr>
      <w:sz w:val="24"/>
      <w:szCs w:val="24"/>
      <w:lang w:eastAsia="en-US"/>
    </w:rPr>
  </w:style>
  <w:style w:type="character" w:customStyle="1" w:styleId="ListParagraphChar">
    <w:name w:val="List Paragraph Char"/>
    <w:aliases w:val="Bullets Points Char,Table Header Row Char,Bullet Paragraph Char,Bullet Point Char,Dairy Paragraphe Char,Table Legend Char,Bullet List Char,Bullet1 Char,List Paragraph CCT minutes Char,Bullet 1 Char,Section 5 Char,1. Bullet Blank Char"/>
    <w:link w:val="ListParagraph"/>
    <w:uiPriority w:val="34"/>
    <w:qFormat/>
    <w:locked/>
    <w:rsid w:val="00016F32"/>
    <w:rPr>
      <w:sz w:val="24"/>
      <w:szCs w:val="24"/>
      <w:lang w:eastAsia="en-US"/>
    </w:rPr>
  </w:style>
  <w:style w:type="paragraph" w:customStyle="1" w:styleId="Tekstas">
    <w:name w:val="Tekstas"/>
    <w:basedOn w:val="Normal"/>
    <w:link w:val="TekstasChar"/>
    <w:qFormat/>
    <w:rsid w:val="00931A54"/>
    <w:pPr>
      <w:spacing w:after="120"/>
      <w:jc w:val="both"/>
    </w:pPr>
  </w:style>
  <w:style w:type="character" w:customStyle="1" w:styleId="TekstasChar">
    <w:name w:val="Tekstas Char"/>
    <w:link w:val="Tekstas"/>
    <w:locked/>
    <w:rsid w:val="00931A54"/>
    <w:rPr>
      <w:sz w:val="24"/>
      <w:szCs w:val="24"/>
      <w:lang w:eastAsia="en-US"/>
    </w:rPr>
  </w:style>
  <w:style w:type="character" w:styleId="Emphasis">
    <w:name w:val="Emphasis"/>
    <w:basedOn w:val="DefaultParagraphFont"/>
    <w:qFormat/>
    <w:rsid w:val="00AB6C7B"/>
    <w:rPr>
      <w:i/>
      <w:iCs/>
    </w:rPr>
  </w:style>
  <w:style w:type="table" w:customStyle="1" w:styleId="DossierTable1">
    <w:name w:val="Dossier Table1"/>
    <w:basedOn w:val="TableNormal"/>
    <w:next w:val="TableGrid"/>
    <w:rsid w:val="00AB6C7B"/>
    <w:rPr>
      <w:sz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9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88EB8AF24AB497AB2C17B96DB12F5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390282-8A6A-4AF0-9591-642E773C2D4C}"/>
      </w:docPartPr>
      <w:docPartBody>
        <w:p w:rsidR="00402AD0" w:rsidRDefault="006819A7" w:rsidP="006819A7">
          <w:pPr>
            <w:pStyle w:val="288EB8AF24AB497AB2C17B96DB12F582"/>
          </w:pPr>
          <w:r>
            <w:rPr>
              <w:rStyle w:val="PlaceholderText"/>
            </w:rPr>
            <w:t>Click here to enter a date.</w:t>
          </w:r>
        </w:p>
      </w:docPartBody>
    </w:docPart>
    <w:docPart>
      <w:docPartPr>
        <w:name w:val="5F26C71257C44680B7D5B0EE4E6D6B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126E78-A28E-4EB4-AAC8-30CB7737A810}"/>
      </w:docPartPr>
      <w:docPartBody>
        <w:p w:rsidR="00402AD0" w:rsidRDefault="006819A7" w:rsidP="006819A7">
          <w:pPr>
            <w:pStyle w:val="5F26C71257C44680B7D5B0EE4E6D6BC0"/>
          </w:pPr>
          <w:r>
            <w:rPr>
              <w:rStyle w:val="PlaceholderText"/>
            </w:rPr>
            <w:t>Click here to enter a date.</w:t>
          </w:r>
        </w:p>
      </w:docPartBody>
    </w:docPart>
    <w:docPart>
      <w:docPartPr>
        <w:name w:val="684DD3E3E6B74333B0865E2640CF2B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60105D-F1A1-4D83-AC02-9B314121982F}"/>
      </w:docPartPr>
      <w:docPartBody>
        <w:p w:rsidR="00402AD0" w:rsidRDefault="006819A7" w:rsidP="006819A7">
          <w:pPr>
            <w:pStyle w:val="684DD3E3E6B74333B0865E2640CF2BFA"/>
          </w:pPr>
          <w:r>
            <w:rPr>
              <w:rStyle w:val="PlaceholderText"/>
            </w:rPr>
            <w:t>Click here to enter a date.</w:t>
          </w:r>
        </w:p>
      </w:docPartBody>
    </w:docPart>
    <w:docPart>
      <w:docPartPr>
        <w:name w:val="39D3517FE2374D16955B638B70CBDF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41FB75-49BC-446F-9AA4-21B176576D6D}"/>
      </w:docPartPr>
      <w:docPartBody>
        <w:p w:rsidR="00402AD0" w:rsidRDefault="006819A7" w:rsidP="006819A7">
          <w:pPr>
            <w:pStyle w:val="39D3517FE2374D16955B638B70CBDF57"/>
          </w:pPr>
          <w:r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40DD"/>
    <w:rsid w:val="0001247F"/>
    <w:rsid w:val="00061157"/>
    <w:rsid w:val="00062613"/>
    <w:rsid w:val="00065284"/>
    <w:rsid w:val="000937FE"/>
    <w:rsid w:val="000A559A"/>
    <w:rsid w:val="000D24D4"/>
    <w:rsid w:val="001C35A9"/>
    <w:rsid w:val="001C3BD0"/>
    <w:rsid w:val="001D1DCA"/>
    <w:rsid w:val="00237556"/>
    <w:rsid w:val="003450D7"/>
    <w:rsid w:val="0039303B"/>
    <w:rsid w:val="003D2FD4"/>
    <w:rsid w:val="00402AD0"/>
    <w:rsid w:val="004144A3"/>
    <w:rsid w:val="004160E7"/>
    <w:rsid w:val="004416C6"/>
    <w:rsid w:val="00456E96"/>
    <w:rsid w:val="0048680D"/>
    <w:rsid w:val="004B3BE4"/>
    <w:rsid w:val="004F5AB2"/>
    <w:rsid w:val="005074B9"/>
    <w:rsid w:val="0053001B"/>
    <w:rsid w:val="005C62E5"/>
    <w:rsid w:val="005E40DD"/>
    <w:rsid w:val="006328CD"/>
    <w:rsid w:val="006819A7"/>
    <w:rsid w:val="007219C1"/>
    <w:rsid w:val="00753462"/>
    <w:rsid w:val="00770060"/>
    <w:rsid w:val="00772325"/>
    <w:rsid w:val="007A2FE0"/>
    <w:rsid w:val="007C6D1D"/>
    <w:rsid w:val="007C76AC"/>
    <w:rsid w:val="007F014A"/>
    <w:rsid w:val="008526F7"/>
    <w:rsid w:val="008D5053"/>
    <w:rsid w:val="0090074D"/>
    <w:rsid w:val="009A33BF"/>
    <w:rsid w:val="009B3BF0"/>
    <w:rsid w:val="009D5E5E"/>
    <w:rsid w:val="009F1BB4"/>
    <w:rsid w:val="00A92BBA"/>
    <w:rsid w:val="00AB6ED4"/>
    <w:rsid w:val="00AE3B31"/>
    <w:rsid w:val="00AF3289"/>
    <w:rsid w:val="00B14210"/>
    <w:rsid w:val="00B22ED6"/>
    <w:rsid w:val="00B23DC0"/>
    <w:rsid w:val="00B96656"/>
    <w:rsid w:val="00BE0C79"/>
    <w:rsid w:val="00C2401D"/>
    <w:rsid w:val="00C250D7"/>
    <w:rsid w:val="00C371EA"/>
    <w:rsid w:val="00C53A68"/>
    <w:rsid w:val="00C65B30"/>
    <w:rsid w:val="00CA5BB4"/>
    <w:rsid w:val="00CB4BD1"/>
    <w:rsid w:val="00CD139C"/>
    <w:rsid w:val="00CE2DA9"/>
    <w:rsid w:val="00CE44BE"/>
    <w:rsid w:val="00D0142D"/>
    <w:rsid w:val="00D4356B"/>
    <w:rsid w:val="00D7162F"/>
    <w:rsid w:val="00D90870"/>
    <w:rsid w:val="00DA0EE3"/>
    <w:rsid w:val="00DB4DB5"/>
    <w:rsid w:val="00DE4D10"/>
    <w:rsid w:val="00E44A86"/>
    <w:rsid w:val="00E522EB"/>
    <w:rsid w:val="00E60743"/>
    <w:rsid w:val="00E60827"/>
    <w:rsid w:val="00EF395F"/>
    <w:rsid w:val="00EF6E0C"/>
    <w:rsid w:val="00F47F81"/>
    <w:rsid w:val="00F55028"/>
    <w:rsid w:val="00F77BEF"/>
    <w:rsid w:val="00FC755C"/>
    <w:rsid w:val="00FE0B99"/>
    <w:rsid w:val="00FE0D46"/>
    <w:rsid w:val="00FE5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6819A7"/>
    <w:rPr>
      <w:color w:val="808080"/>
    </w:rPr>
  </w:style>
  <w:style w:type="paragraph" w:customStyle="1" w:styleId="288EB8AF24AB497AB2C17B96DB12F582">
    <w:name w:val="288EB8AF24AB497AB2C17B96DB12F582"/>
    <w:rsid w:val="006819A7"/>
  </w:style>
  <w:style w:type="paragraph" w:customStyle="1" w:styleId="5F26C71257C44680B7D5B0EE4E6D6BC0">
    <w:name w:val="5F26C71257C44680B7D5B0EE4E6D6BC0"/>
    <w:rsid w:val="006819A7"/>
  </w:style>
  <w:style w:type="paragraph" w:customStyle="1" w:styleId="684DD3E3E6B74333B0865E2640CF2BFA">
    <w:name w:val="684DD3E3E6B74333B0865E2640CF2BFA"/>
    <w:rsid w:val="006819A7"/>
  </w:style>
  <w:style w:type="paragraph" w:customStyle="1" w:styleId="39D3517FE2374D16955B638B70CBDF57">
    <w:name w:val="39D3517FE2374D16955B638B70CBDF57"/>
    <w:rsid w:val="006819A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1454</Words>
  <Characters>10397</Characters>
  <Application>Microsoft Office Word</Application>
  <DocSecurity>0</DocSecurity>
  <Lines>86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11828</CharactersWithSpaces>
  <SharedDoc>false</SharedDoc>
  <HLinks>
    <vt:vector size="6" baseType="variant">
      <vt:variant>
        <vt:i4>5308539</vt:i4>
      </vt:variant>
      <vt:variant>
        <vt:i4>6</vt:i4>
      </vt:variant>
      <vt:variant>
        <vt:i4>0</vt:i4>
      </vt:variant>
      <vt:variant>
        <vt:i4>5</vt:i4>
      </vt:variant>
      <vt:variant>
        <vt:lpwstr>mailto:vvkt@vvkt.lt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2025-05-30T05:35:00Z</dcterms:created>
  <dcterms:modified xsi:type="dcterms:W3CDTF">2025-06-13T06:31:00Z</dcterms:modified>
</cp:coreProperties>
</file>