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E5EB3" w14:textId="1955ADE3" w:rsidR="005F7602" w:rsidRPr="00632BB3" w:rsidRDefault="005F7602" w:rsidP="002946C7">
      <w:pPr>
        <w:ind w:left="5529"/>
      </w:pPr>
    </w:p>
    <w:p w14:paraId="12FA4B9E" w14:textId="77777777" w:rsidR="001B3C5B" w:rsidRPr="00632BB3" w:rsidRDefault="001B3C5B" w:rsidP="001B3C5B">
      <w:pPr>
        <w:ind w:left="6096"/>
      </w:pPr>
      <w:r w:rsidRPr="00632BB3">
        <w:t>Forma patvirtinta</w:t>
      </w:r>
    </w:p>
    <w:p w14:paraId="7206970B" w14:textId="70E9BD2E" w:rsidR="004C263A" w:rsidRPr="00632BB3" w:rsidRDefault="001B3C5B" w:rsidP="001B3C5B">
      <w:pPr>
        <w:ind w:left="6096"/>
      </w:pPr>
      <w:r w:rsidRPr="00632BB3">
        <w:t>Valstybinės vaistų kontrolės tarnybos prie Lietuvos Respublikos sveikatos apsaugos ministerijos viršininko 2021 m</w:t>
      </w:r>
      <w:r w:rsidR="004C263A" w:rsidRPr="00632BB3">
        <w:t xml:space="preserve">. lapkričio 12 </w:t>
      </w:r>
      <w:r w:rsidRPr="00632BB3">
        <w:t>d. įsakymu Nr.</w:t>
      </w:r>
      <w:r w:rsidR="004C263A" w:rsidRPr="00632BB3">
        <w:t xml:space="preserve"> (1.72E)1A-1418</w:t>
      </w:r>
    </w:p>
    <w:p w14:paraId="5B219AA6" w14:textId="520B9136" w:rsidR="001B3C5B" w:rsidRPr="00632BB3" w:rsidRDefault="004C263A" w:rsidP="001B3C5B">
      <w:pPr>
        <w:ind w:left="6096"/>
      </w:pPr>
      <w:r w:rsidRPr="00632BB3">
        <w:t>(Valstybinės vaistų kontrolės tarnybos prie Lietuvos Respublikos sveikatos apsaugos ministerijos viršininko 2022 m.                         d. įsakymo Nr.                    redakcija)</w:t>
      </w:r>
    </w:p>
    <w:p w14:paraId="3336BD74" w14:textId="77777777" w:rsidR="001B3C5B" w:rsidRPr="00632BB3" w:rsidRDefault="001B3C5B" w:rsidP="00FA4169"/>
    <w:p w14:paraId="77AFB67E" w14:textId="16397257" w:rsidR="00613501" w:rsidRPr="00632BB3" w:rsidRDefault="002F0E4F" w:rsidP="003B211A">
      <w:pPr>
        <w:jc w:val="center"/>
        <w:rPr>
          <w:b/>
          <w:bCs/>
          <w:caps/>
        </w:rPr>
      </w:pPr>
      <w:r w:rsidRPr="00632BB3">
        <w:rPr>
          <w:b/>
        </w:rPr>
        <w:t xml:space="preserve">REKOMENDACIJA DĖL VAISTINIO PREPARATO </w:t>
      </w:r>
      <w:r w:rsidRPr="00632BB3">
        <w:rPr>
          <w:b/>
          <w:bCs/>
          <w:caps/>
        </w:rPr>
        <w:t>Lietuvos Respublikos Sveikatos apsaugos ministerijos vaistinių preparatų ir medicinos pagalbos priemonių kompensavimo komisijai</w:t>
      </w:r>
    </w:p>
    <w:p w14:paraId="34E4395D" w14:textId="15FB10DF" w:rsidR="00B13D65" w:rsidRPr="00632BB3" w:rsidRDefault="00B13D65" w:rsidP="003B211A">
      <w:pPr>
        <w:jc w:val="center"/>
        <w:rPr>
          <w:b/>
        </w:rPr>
      </w:pPr>
    </w:p>
    <w:p w14:paraId="75B304D4" w14:textId="5EFFCCFB" w:rsidR="005361D3" w:rsidRPr="00D05364" w:rsidRDefault="005361D3" w:rsidP="005361D3">
      <w:pPr>
        <w:jc w:val="center"/>
        <w:rPr>
          <w:b/>
        </w:rPr>
      </w:pPr>
      <w:r>
        <w:rPr>
          <w:b/>
        </w:rPr>
        <w:t xml:space="preserve">Keytruda 100 mg </w:t>
      </w:r>
      <w:r w:rsidRPr="00A07961">
        <w:rPr>
          <w:b/>
        </w:rPr>
        <w:t>koncentratas infuziniam tirpalui</w:t>
      </w:r>
    </w:p>
    <w:p w14:paraId="6FCD25F6" w14:textId="77777777" w:rsidR="005361D3" w:rsidRPr="00D05364" w:rsidRDefault="005361D3" w:rsidP="005361D3">
      <w:pPr>
        <w:jc w:val="center"/>
      </w:pPr>
    </w:p>
    <w:p w14:paraId="2C36432F" w14:textId="77777777" w:rsidR="005361D3" w:rsidRPr="00D05364" w:rsidRDefault="005361D3" w:rsidP="005361D3">
      <w:pPr>
        <w:jc w:val="center"/>
      </w:pPr>
      <w:r w:rsidRPr="00D05364">
        <w:t>(</w:t>
      </w:r>
      <w:r>
        <w:rPr>
          <w:b/>
        </w:rPr>
        <w:t>Pembrolizumabas</w:t>
      </w:r>
      <w:r w:rsidRPr="00D05364">
        <w:t>)</w:t>
      </w:r>
    </w:p>
    <w:p w14:paraId="38BC1C72" w14:textId="77777777" w:rsidR="005361D3" w:rsidRPr="00D05364" w:rsidRDefault="005361D3" w:rsidP="005361D3">
      <w:pPr>
        <w:jc w:val="center"/>
      </w:pPr>
    </w:p>
    <w:p w14:paraId="239C0800" w14:textId="77777777" w:rsidR="005361D3" w:rsidRPr="00353E6D" w:rsidRDefault="005361D3" w:rsidP="005361D3">
      <w:pPr>
        <w:jc w:val="center"/>
        <w:rPr>
          <w:b/>
          <w:lang w:val="en-US"/>
        </w:rPr>
      </w:pPr>
      <w:r>
        <w:rPr>
          <w:b/>
        </w:rPr>
        <w:t>STV-</w:t>
      </w:r>
      <w:r>
        <w:rPr>
          <w:b/>
          <w:lang w:val="en-US"/>
        </w:rPr>
        <w:t>189</w:t>
      </w:r>
    </w:p>
    <w:p w14:paraId="453197C8" w14:textId="77777777" w:rsidR="00D4708D" w:rsidRPr="00632BB3" w:rsidRDefault="00D4708D" w:rsidP="009B2F9C">
      <w:pPr>
        <w:rPr>
          <w:b/>
        </w:rPr>
      </w:pPr>
    </w:p>
    <w:p w14:paraId="78C89D1C" w14:textId="0DEFFAA5" w:rsidR="00D4485B" w:rsidRPr="00632BB3" w:rsidRDefault="00B13D65" w:rsidP="00CC09D4">
      <w:pPr>
        <w:pStyle w:val="Sraopastraipa"/>
        <w:numPr>
          <w:ilvl w:val="0"/>
          <w:numId w:val="12"/>
        </w:numPr>
        <w:tabs>
          <w:tab w:val="left" w:pos="567"/>
        </w:tabs>
        <w:ind w:left="567" w:hanging="567"/>
        <w:rPr>
          <w:b/>
          <w:bCs/>
          <w:caps/>
        </w:rPr>
      </w:pPr>
      <w:r w:rsidRPr="00632BB3">
        <w:rPr>
          <w:b/>
          <w:bCs/>
          <w:caps/>
        </w:rPr>
        <w:t>Bendroji dalis</w:t>
      </w:r>
    </w:p>
    <w:p w14:paraId="04A7C7A7" w14:textId="77777777" w:rsidR="00B13D65" w:rsidRPr="00632BB3" w:rsidRDefault="00B13D65" w:rsidP="00E03C3F">
      <w:pPr>
        <w:pStyle w:val="Sraopastraipa"/>
        <w:tabs>
          <w:tab w:val="left" w:pos="284"/>
        </w:tabs>
        <w:ind w:left="0"/>
        <w:rPr>
          <w:b/>
          <w:bCs/>
          <w:caps/>
        </w:rPr>
      </w:pPr>
    </w:p>
    <w:tbl>
      <w:tblPr>
        <w:tblStyle w:val="Lentelstinklelis"/>
        <w:tblW w:w="9493" w:type="dxa"/>
        <w:tblLook w:val="04A0" w:firstRow="1" w:lastRow="0" w:firstColumn="1" w:lastColumn="0" w:noHBand="0" w:noVBand="1"/>
      </w:tblPr>
      <w:tblGrid>
        <w:gridCol w:w="632"/>
        <w:gridCol w:w="3694"/>
        <w:gridCol w:w="5167"/>
      </w:tblGrid>
      <w:tr w:rsidR="008C2035" w:rsidRPr="00632BB3" w14:paraId="18A83EC2" w14:textId="77777777" w:rsidTr="00BE7489">
        <w:trPr>
          <w:trHeight w:val="538"/>
        </w:trPr>
        <w:tc>
          <w:tcPr>
            <w:tcW w:w="632" w:type="dxa"/>
          </w:tcPr>
          <w:p w14:paraId="0646FBEA" w14:textId="77777777" w:rsidR="008C2035" w:rsidRPr="00632BB3" w:rsidRDefault="008C2035" w:rsidP="008C2035">
            <w:pPr>
              <w:rPr>
                <w:rFonts w:eastAsia="Arial"/>
              </w:rPr>
            </w:pPr>
            <w:r w:rsidRPr="00632BB3">
              <w:rPr>
                <w:rFonts w:eastAsia="Arial"/>
              </w:rPr>
              <w:t>1.1</w:t>
            </w:r>
          </w:p>
        </w:tc>
        <w:tc>
          <w:tcPr>
            <w:tcW w:w="3694" w:type="dxa"/>
          </w:tcPr>
          <w:p w14:paraId="6C3AE864" w14:textId="77777777" w:rsidR="008C2035" w:rsidRPr="00632BB3" w:rsidRDefault="008C2035" w:rsidP="008C2035">
            <w:pPr>
              <w:rPr>
                <w:rFonts w:eastAsia="Arial"/>
              </w:rPr>
            </w:pPr>
            <w:r w:rsidRPr="00632BB3">
              <w:rPr>
                <w:rFonts w:eastAsia="Arial"/>
              </w:rPr>
              <w:t>Pareiškėjas</w:t>
            </w:r>
          </w:p>
          <w:p w14:paraId="2AF240DC" w14:textId="77777777" w:rsidR="008C2035" w:rsidRPr="00632BB3" w:rsidRDefault="008C2035" w:rsidP="008C2035">
            <w:pPr>
              <w:rPr>
                <w:rFonts w:eastAsia="Arial"/>
              </w:rPr>
            </w:pPr>
          </w:p>
        </w:tc>
        <w:tc>
          <w:tcPr>
            <w:tcW w:w="5167" w:type="dxa"/>
          </w:tcPr>
          <w:p w14:paraId="2AAF0D91" w14:textId="363A5868" w:rsidR="008C2035" w:rsidRPr="00632BB3" w:rsidRDefault="005361D3" w:rsidP="008C2035">
            <w:pPr>
              <w:rPr>
                <w:rFonts w:eastAsia="Arial"/>
              </w:rPr>
            </w:pPr>
            <w:r w:rsidRPr="00A07961">
              <w:t>UAB “Merck Sharp &amp; Dohme“</w:t>
            </w:r>
          </w:p>
        </w:tc>
      </w:tr>
      <w:tr w:rsidR="008C2035" w:rsidRPr="00632BB3" w14:paraId="31998B0D" w14:textId="77777777" w:rsidTr="00BE7489">
        <w:trPr>
          <w:trHeight w:val="538"/>
        </w:trPr>
        <w:tc>
          <w:tcPr>
            <w:tcW w:w="632" w:type="dxa"/>
          </w:tcPr>
          <w:p w14:paraId="2005EC67" w14:textId="662300D0" w:rsidR="008C2035" w:rsidRPr="00632BB3" w:rsidRDefault="008C2035" w:rsidP="008C2035">
            <w:pPr>
              <w:rPr>
                <w:rFonts w:eastAsia="Arial"/>
              </w:rPr>
            </w:pPr>
            <w:r w:rsidRPr="00632BB3">
              <w:rPr>
                <w:rFonts w:eastAsia="Arial"/>
              </w:rPr>
              <w:t>1.2</w:t>
            </w:r>
          </w:p>
        </w:tc>
        <w:tc>
          <w:tcPr>
            <w:tcW w:w="3694" w:type="dxa"/>
          </w:tcPr>
          <w:p w14:paraId="1E4AE3B1" w14:textId="77777777" w:rsidR="008C2035" w:rsidRPr="00632BB3" w:rsidRDefault="008C2035" w:rsidP="008C2035">
            <w:pPr>
              <w:rPr>
                <w:bCs/>
                <w:lang w:eastAsia="lt-LT"/>
              </w:rPr>
            </w:pPr>
            <w:r w:rsidRPr="00632BB3">
              <w:rPr>
                <w:bCs/>
                <w:lang w:eastAsia="lt-LT"/>
              </w:rPr>
              <w:t xml:space="preserve">Registracijos data </w:t>
            </w:r>
          </w:p>
          <w:p w14:paraId="3A0DC096" w14:textId="77777777" w:rsidR="008C2035" w:rsidRPr="00632BB3" w:rsidRDefault="008C2035" w:rsidP="008C2035">
            <w:pPr>
              <w:rPr>
                <w:bCs/>
                <w:lang w:eastAsia="lt-LT"/>
              </w:rPr>
            </w:pPr>
          </w:p>
        </w:tc>
        <w:tc>
          <w:tcPr>
            <w:tcW w:w="5167" w:type="dxa"/>
          </w:tcPr>
          <w:p w14:paraId="3CA218AD" w14:textId="07B9D28D" w:rsidR="008C2035" w:rsidRPr="00632BB3" w:rsidRDefault="005361D3" w:rsidP="008C2035">
            <w:pPr>
              <w:rPr>
                <w:rStyle w:val="Style2"/>
              </w:rPr>
            </w:pPr>
            <w:r w:rsidRPr="005361D3">
              <w:t>2015-07-17</w:t>
            </w:r>
          </w:p>
        </w:tc>
      </w:tr>
      <w:tr w:rsidR="000203E1" w:rsidRPr="00632BB3" w14:paraId="15968AE1" w14:textId="77777777" w:rsidTr="00BE7489">
        <w:trPr>
          <w:trHeight w:val="1500"/>
        </w:trPr>
        <w:tc>
          <w:tcPr>
            <w:tcW w:w="632" w:type="dxa"/>
          </w:tcPr>
          <w:p w14:paraId="6A784245" w14:textId="1E461489" w:rsidR="00B13D65" w:rsidRPr="00632BB3" w:rsidRDefault="002E0702" w:rsidP="00824B92">
            <w:pPr>
              <w:rPr>
                <w:rFonts w:eastAsia="Arial"/>
              </w:rPr>
            </w:pPr>
            <w:r w:rsidRPr="00632BB3">
              <w:rPr>
                <w:rFonts w:eastAsia="Arial"/>
              </w:rPr>
              <w:t>1.3</w:t>
            </w:r>
          </w:p>
        </w:tc>
        <w:tc>
          <w:tcPr>
            <w:tcW w:w="3694" w:type="dxa"/>
          </w:tcPr>
          <w:p w14:paraId="22933506" w14:textId="77777777" w:rsidR="00B13D65" w:rsidRPr="00632BB3" w:rsidRDefault="00B13D65" w:rsidP="00824B92">
            <w:r w:rsidRPr="00632BB3">
              <w:t xml:space="preserve">Paraiškos tipas </w:t>
            </w:r>
          </w:p>
          <w:p w14:paraId="0465E680" w14:textId="7F0A0714" w:rsidR="00B13D65" w:rsidRPr="00632BB3" w:rsidRDefault="00B13D65" w:rsidP="00824B92">
            <w:r w:rsidRPr="00632BB3">
              <w:t>(</w:t>
            </w:r>
            <w:r w:rsidR="00695CD3" w:rsidRPr="00632BB3">
              <w:t xml:space="preserve">pagal </w:t>
            </w:r>
            <w:r w:rsidR="0039696E" w:rsidRPr="00632BB3">
              <w:rPr>
                <w:shd w:val="clear" w:color="auto" w:fill="FFFFFF"/>
              </w:rPr>
              <w:t>vaistinio preparato registracijos tipą, įtvirtintą</w:t>
            </w:r>
            <w:r w:rsidR="0039696E" w:rsidRPr="00632BB3">
              <w:t xml:space="preserve"> </w:t>
            </w:r>
            <w:r w:rsidRPr="00632BB3">
              <w:t>Direktyv</w:t>
            </w:r>
            <w:r w:rsidR="00695CD3" w:rsidRPr="00632BB3">
              <w:t>os</w:t>
            </w:r>
            <w:r w:rsidRPr="00632BB3">
              <w:t xml:space="preserve"> 2001/83/EB</w:t>
            </w:r>
            <w:r w:rsidR="00695CD3" w:rsidRPr="00632BB3">
              <w:t xml:space="preserve"> straips</w:t>
            </w:r>
            <w:r w:rsidR="0039696E" w:rsidRPr="00632BB3">
              <w:t>iuose</w:t>
            </w:r>
            <w:r w:rsidRPr="00632BB3">
              <w:t>)</w:t>
            </w:r>
          </w:p>
          <w:p w14:paraId="77089D80" w14:textId="6681D72A" w:rsidR="00B13D65" w:rsidRPr="00632BB3" w:rsidRDefault="00B13D65" w:rsidP="00824B92">
            <w:pPr>
              <w:rPr>
                <w:bCs/>
                <w:lang w:eastAsia="lt-LT"/>
              </w:rPr>
            </w:pPr>
          </w:p>
        </w:tc>
        <w:tc>
          <w:tcPr>
            <w:tcW w:w="5167" w:type="dxa"/>
          </w:tcPr>
          <w:p w14:paraId="208F40EC" w14:textId="72AD270C" w:rsidR="00B13D65" w:rsidRPr="00632BB3" w:rsidRDefault="002F3C16" w:rsidP="00824B92">
            <w:sdt>
              <w:sdtPr>
                <w:rPr>
                  <w:rStyle w:val="Style2"/>
                  <w:sz w:val="24"/>
                </w:rPr>
                <w:id w:val="526292078"/>
                <w15:color w:val="FFCC00"/>
                <w14:checkbox>
                  <w14:checked w14:val="1"/>
                  <w14:checkedState w14:val="2612" w14:font="MS Gothic"/>
                  <w14:uncheckedState w14:val="2610" w14:font="MS Gothic"/>
                </w14:checkbox>
              </w:sdtPr>
              <w:sdtEndPr>
                <w:rPr>
                  <w:rStyle w:val="Style2"/>
                </w:rPr>
              </w:sdtEndPr>
              <w:sdtContent>
                <w:r w:rsidR="009B2F9C" w:rsidRPr="00632BB3">
                  <w:rPr>
                    <w:rStyle w:val="Style2"/>
                    <w:rFonts w:ascii="Segoe UI Symbol" w:eastAsia="MS Gothic" w:hAnsi="Segoe UI Symbol" w:cs="Segoe UI Symbol"/>
                    <w:sz w:val="24"/>
                  </w:rPr>
                  <w:t>☒</w:t>
                </w:r>
              </w:sdtContent>
            </w:sdt>
            <w:r w:rsidR="00B13D65" w:rsidRPr="00632BB3">
              <w:t xml:space="preserve">8.3 str. (pilna byla, pagrįsta savais tyrimais) </w:t>
            </w:r>
          </w:p>
          <w:p w14:paraId="32BA564E" w14:textId="3FDA3E01" w:rsidR="00B13D65" w:rsidRPr="00632BB3" w:rsidRDefault="002F3C16" w:rsidP="00824B92">
            <w:sdt>
              <w:sdtPr>
                <w:rPr>
                  <w:rStyle w:val="Style2"/>
                  <w:sz w:val="24"/>
                </w:rPr>
                <w:id w:val="-1497953736"/>
                <w15:color w:val="FFCC00"/>
                <w14:checkbox>
                  <w14:checked w14:val="0"/>
                  <w14:checkedState w14:val="2612" w14:font="MS Gothic"/>
                  <w14:uncheckedState w14:val="2610" w14:font="MS Gothic"/>
                </w14:checkbox>
              </w:sdtPr>
              <w:sdtEndPr>
                <w:rPr>
                  <w:rStyle w:val="Style2"/>
                </w:rPr>
              </w:sdtEndPr>
              <w:sdtContent>
                <w:r w:rsidR="00CC7832" w:rsidRPr="00632BB3">
                  <w:rPr>
                    <w:rStyle w:val="Style2"/>
                    <w:rFonts w:ascii="Segoe UI Symbol" w:eastAsia="MS Gothic" w:hAnsi="Segoe UI Symbol" w:cs="Segoe UI Symbol"/>
                    <w:sz w:val="24"/>
                  </w:rPr>
                  <w:t>☐</w:t>
                </w:r>
              </w:sdtContent>
            </w:sdt>
            <w:r w:rsidR="00B13D65" w:rsidRPr="00632BB3">
              <w:t xml:space="preserve">10 a str. (pripažintas medicininis vartojimas) </w:t>
            </w:r>
          </w:p>
          <w:p w14:paraId="318DCD7F" w14:textId="32333E53" w:rsidR="00B13D65" w:rsidRPr="00632BB3" w:rsidRDefault="002F3C16" w:rsidP="00824B92">
            <w:sdt>
              <w:sdtPr>
                <w:rPr>
                  <w:rStyle w:val="Style2"/>
                  <w:sz w:val="24"/>
                </w:rPr>
                <w:id w:val="204142496"/>
                <w15:color w:val="FFCC00"/>
                <w14:checkbox>
                  <w14:checked w14:val="0"/>
                  <w14:checkedState w14:val="2612" w14:font="MS Gothic"/>
                  <w14:uncheckedState w14:val="2610" w14:font="MS Gothic"/>
                </w14:checkbox>
              </w:sdtPr>
              <w:sdtEndPr>
                <w:rPr>
                  <w:rStyle w:val="Style2"/>
                </w:rPr>
              </w:sdtEndPr>
              <w:sdtContent>
                <w:r w:rsidR="00CC7832" w:rsidRPr="00632BB3">
                  <w:rPr>
                    <w:rStyle w:val="Style2"/>
                    <w:rFonts w:ascii="Segoe UI Symbol" w:eastAsia="MS Gothic" w:hAnsi="Segoe UI Symbol" w:cs="Segoe UI Symbol"/>
                    <w:sz w:val="24"/>
                  </w:rPr>
                  <w:t>☐</w:t>
                </w:r>
              </w:sdtContent>
            </w:sdt>
            <w:r w:rsidR="00B13D65" w:rsidRPr="00632BB3">
              <w:t>10.1 str. (generinis)</w:t>
            </w:r>
          </w:p>
          <w:p w14:paraId="3B0A4F72" w14:textId="3F5FB073" w:rsidR="00B13D65" w:rsidRPr="00632BB3" w:rsidRDefault="002F3C16" w:rsidP="00824B92">
            <w:pPr>
              <w:rPr>
                <w:rStyle w:val="Style2"/>
                <w:sz w:val="24"/>
              </w:rPr>
            </w:pPr>
            <w:sdt>
              <w:sdtPr>
                <w:rPr>
                  <w:rStyle w:val="Style2"/>
                  <w:sz w:val="24"/>
                </w:rPr>
                <w:id w:val="820305101"/>
                <w15:color w:val="FFCC00"/>
                <w14:checkbox>
                  <w14:checked w14:val="0"/>
                  <w14:checkedState w14:val="2612" w14:font="MS Gothic"/>
                  <w14:uncheckedState w14:val="2610" w14:font="MS Gothic"/>
                </w14:checkbox>
              </w:sdtPr>
              <w:sdtEndPr>
                <w:rPr>
                  <w:rStyle w:val="Style2"/>
                </w:rPr>
              </w:sdtEndPr>
              <w:sdtContent>
                <w:r w:rsidR="00CC7832" w:rsidRPr="00632BB3">
                  <w:rPr>
                    <w:rStyle w:val="Style2"/>
                    <w:rFonts w:ascii="Segoe UI Symbol" w:eastAsia="MS Gothic" w:hAnsi="Segoe UI Symbol" w:cs="Segoe UI Symbol"/>
                    <w:sz w:val="24"/>
                  </w:rPr>
                  <w:t>☐</w:t>
                </w:r>
              </w:sdtContent>
            </w:sdt>
            <w:r w:rsidR="00B13D65" w:rsidRPr="00632BB3">
              <w:t>10.3 str. (hibridinis)</w:t>
            </w:r>
          </w:p>
        </w:tc>
      </w:tr>
      <w:tr w:rsidR="000203E1" w:rsidRPr="00632BB3" w14:paraId="310E9662" w14:textId="77777777" w:rsidTr="005361D3">
        <w:trPr>
          <w:trHeight w:val="935"/>
        </w:trPr>
        <w:tc>
          <w:tcPr>
            <w:tcW w:w="632" w:type="dxa"/>
          </w:tcPr>
          <w:p w14:paraId="4B5A91A2" w14:textId="561B5E5F" w:rsidR="00B13D65" w:rsidRPr="00632BB3" w:rsidRDefault="00B13D65" w:rsidP="00824B92">
            <w:pPr>
              <w:rPr>
                <w:rFonts w:eastAsia="Arial"/>
              </w:rPr>
            </w:pPr>
            <w:r w:rsidRPr="00632BB3">
              <w:rPr>
                <w:rFonts w:eastAsia="Arial"/>
              </w:rPr>
              <w:t>1.</w:t>
            </w:r>
            <w:r w:rsidR="002E0702" w:rsidRPr="00632BB3">
              <w:rPr>
                <w:rFonts w:eastAsia="Arial"/>
              </w:rPr>
              <w:t>4</w:t>
            </w:r>
          </w:p>
        </w:tc>
        <w:tc>
          <w:tcPr>
            <w:tcW w:w="3694" w:type="dxa"/>
          </w:tcPr>
          <w:p w14:paraId="483071A3" w14:textId="46F4607F" w:rsidR="00B13D65" w:rsidRPr="00632BB3" w:rsidRDefault="00B13D65" w:rsidP="00824B92">
            <w:pPr>
              <w:rPr>
                <w:bCs/>
                <w:lang w:eastAsia="lt-LT"/>
              </w:rPr>
            </w:pPr>
            <w:r w:rsidRPr="00632BB3">
              <w:rPr>
                <w:bCs/>
                <w:lang w:eastAsia="lt-LT"/>
              </w:rPr>
              <w:t xml:space="preserve">Ar vaistinis preparatas įrašytas į Bendrijos retųjų vaistinių preparatų registrą? </w:t>
            </w:r>
          </w:p>
        </w:tc>
        <w:tc>
          <w:tcPr>
            <w:tcW w:w="5167" w:type="dxa"/>
          </w:tcPr>
          <w:p w14:paraId="05845C60" w14:textId="10CF4033" w:rsidR="00B13D65" w:rsidRPr="00632BB3" w:rsidRDefault="002F3C16" w:rsidP="00824B92">
            <w:sdt>
              <w:sdtPr>
                <w:rPr>
                  <w:rStyle w:val="Style2"/>
                  <w:sz w:val="24"/>
                </w:rPr>
                <w:id w:val="2024432173"/>
                <w15:color w:val="FFCC00"/>
                <w14:checkbox>
                  <w14:checked w14:val="0"/>
                  <w14:checkedState w14:val="2612" w14:font="MS Gothic"/>
                  <w14:uncheckedState w14:val="2610" w14:font="MS Gothic"/>
                </w14:checkbox>
              </w:sdtPr>
              <w:sdtEndPr>
                <w:rPr>
                  <w:rStyle w:val="Style2"/>
                </w:rPr>
              </w:sdtEndPr>
              <w:sdtContent>
                <w:r w:rsidR="00D417D2" w:rsidRPr="00632BB3">
                  <w:rPr>
                    <w:rStyle w:val="Style2"/>
                    <w:rFonts w:ascii="MS Gothic" w:eastAsia="MS Gothic" w:hAnsi="MS Gothic"/>
                    <w:sz w:val="24"/>
                  </w:rPr>
                  <w:t>☐</w:t>
                </w:r>
              </w:sdtContent>
            </w:sdt>
            <w:r w:rsidR="00B13D65" w:rsidRPr="00632BB3">
              <w:t xml:space="preserve"> Taip</w:t>
            </w:r>
          </w:p>
          <w:p w14:paraId="29C2CBBB" w14:textId="119ED2E1" w:rsidR="00B13D65" w:rsidRPr="005361D3" w:rsidRDefault="002F3C16" w:rsidP="00824B92">
            <w:sdt>
              <w:sdtPr>
                <w:rPr>
                  <w:rStyle w:val="Style2"/>
                  <w:sz w:val="24"/>
                </w:rPr>
                <w:id w:val="-970507926"/>
                <w15:color w:val="FFCC00"/>
                <w14:checkbox>
                  <w14:checked w14:val="1"/>
                  <w14:checkedState w14:val="2612" w14:font="MS Gothic"/>
                  <w14:uncheckedState w14:val="2610" w14:font="MS Gothic"/>
                </w14:checkbox>
              </w:sdtPr>
              <w:sdtEndPr>
                <w:rPr>
                  <w:rStyle w:val="Style2"/>
                </w:rPr>
              </w:sdtEndPr>
              <w:sdtContent>
                <w:r w:rsidR="009B2F9C" w:rsidRPr="00632BB3">
                  <w:rPr>
                    <w:rStyle w:val="Style2"/>
                    <w:rFonts w:ascii="MS Gothic" w:eastAsia="MS Gothic" w:hAnsi="MS Gothic"/>
                    <w:sz w:val="24"/>
                  </w:rPr>
                  <w:t>☒</w:t>
                </w:r>
              </w:sdtContent>
            </w:sdt>
            <w:r w:rsidR="00B13D65" w:rsidRPr="00632BB3">
              <w:t xml:space="preserve"> Ne</w:t>
            </w:r>
          </w:p>
        </w:tc>
      </w:tr>
      <w:tr w:rsidR="000203E1" w:rsidRPr="00632BB3" w14:paraId="7841E5F8" w14:textId="77777777" w:rsidTr="00BE7489">
        <w:trPr>
          <w:trHeight w:val="476"/>
        </w:trPr>
        <w:tc>
          <w:tcPr>
            <w:tcW w:w="632" w:type="dxa"/>
          </w:tcPr>
          <w:p w14:paraId="109D2861" w14:textId="73BF27DF" w:rsidR="00D417D2" w:rsidRPr="00632BB3" w:rsidRDefault="00D417D2" w:rsidP="00824B92">
            <w:pPr>
              <w:rPr>
                <w:rFonts w:eastAsia="Arial"/>
              </w:rPr>
            </w:pPr>
            <w:r w:rsidRPr="00632BB3">
              <w:rPr>
                <w:rFonts w:eastAsia="Arial"/>
              </w:rPr>
              <w:t>1.5</w:t>
            </w:r>
          </w:p>
        </w:tc>
        <w:tc>
          <w:tcPr>
            <w:tcW w:w="3694" w:type="dxa"/>
          </w:tcPr>
          <w:p w14:paraId="7822D63E" w14:textId="68C38334" w:rsidR="00D417D2" w:rsidRPr="00632BB3" w:rsidRDefault="00D417D2" w:rsidP="00824B92">
            <w:pPr>
              <w:rPr>
                <w:bCs/>
                <w:lang w:eastAsia="lt-LT"/>
              </w:rPr>
            </w:pPr>
            <w:r w:rsidRPr="00632BB3">
              <w:t>STV paraiškos pobūdis</w:t>
            </w:r>
          </w:p>
        </w:tc>
        <w:tc>
          <w:tcPr>
            <w:tcW w:w="5167" w:type="dxa"/>
          </w:tcPr>
          <w:p w14:paraId="403461B9" w14:textId="1E4CB095" w:rsidR="00D417D2" w:rsidRPr="00632BB3" w:rsidRDefault="002F3C16" w:rsidP="00824B92">
            <w:sdt>
              <w:sdtPr>
                <w:rPr>
                  <w:rStyle w:val="Style2"/>
                  <w:sz w:val="24"/>
                </w:rPr>
                <w:id w:val="-468433535"/>
                <w15:color w:val="FFCC00"/>
                <w14:checkbox>
                  <w14:checked w14:val="1"/>
                  <w14:checkedState w14:val="2612" w14:font="MS Gothic"/>
                  <w14:uncheckedState w14:val="2610" w14:font="MS Gothic"/>
                </w14:checkbox>
              </w:sdtPr>
              <w:sdtEndPr>
                <w:rPr>
                  <w:rStyle w:val="Style2"/>
                </w:rPr>
              </w:sdtEndPr>
              <w:sdtContent>
                <w:r w:rsidR="008C2035" w:rsidRPr="00632BB3">
                  <w:rPr>
                    <w:rStyle w:val="Style2"/>
                    <w:rFonts w:ascii="MS Gothic" w:eastAsia="MS Gothic" w:hAnsi="MS Gothic"/>
                    <w:sz w:val="24"/>
                  </w:rPr>
                  <w:t>☒</w:t>
                </w:r>
              </w:sdtContent>
            </w:sdt>
            <w:r w:rsidR="00D417D2" w:rsidRPr="00632BB3">
              <w:t xml:space="preserve"> Pilna paraiška</w:t>
            </w:r>
          </w:p>
          <w:p w14:paraId="6B8213E3" w14:textId="3495CDF4" w:rsidR="00D417D2" w:rsidRPr="00632BB3" w:rsidRDefault="002F3C16" w:rsidP="00824B92">
            <w:sdt>
              <w:sdtPr>
                <w:rPr>
                  <w:rStyle w:val="Style2"/>
                  <w:sz w:val="24"/>
                </w:rPr>
                <w:id w:val="-1489014904"/>
                <w15:color w:val="FFCC00"/>
                <w14:checkbox>
                  <w14:checked w14:val="0"/>
                  <w14:checkedState w14:val="2612" w14:font="MS Gothic"/>
                  <w14:uncheckedState w14:val="2610" w14:font="MS Gothic"/>
                </w14:checkbox>
              </w:sdtPr>
              <w:sdtEndPr>
                <w:rPr>
                  <w:rStyle w:val="Style2"/>
                </w:rPr>
              </w:sdtEndPr>
              <w:sdtContent>
                <w:r w:rsidR="00D417D2" w:rsidRPr="00632BB3">
                  <w:rPr>
                    <w:rStyle w:val="Style2"/>
                    <w:rFonts w:ascii="MS Gothic" w:eastAsia="MS Gothic" w:hAnsi="MS Gothic"/>
                    <w:sz w:val="24"/>
                  </w:rPr>
                  <w:t>☐</w:t>
                </w:r>
              </w:sdtContent>
            </w:sdt>
            <w:r w:rsidR="00D417D2" w:rsidRPr="00632BB3">
              <w:t xml:space="preserve"> Supaprastinta paraiška</w:t>
            </w:r>
          </w:p>
        </w:tc>
      </w:tr>
      <w:tr w:rsidR="005361D3" w:rsidRPr="00632BB3" w14:paraId="274D1DAF" w14:textId="77777777" w:rsidTr="00030C28">
        <w:trPr>
          <w:trHeight w:val="440"/>
        </w:trPr>
        <w:tc>
          <w:tcPr>
            <w:tcW w:w="632" w:type="dxa"/>
          </w:tcPr>
          <w:p w14:paraId="17ABF217" w14:textId="14AC00D7" w:rsidR="005361D3" w:rsidRPr="00632BB3" w:rsidRDefault="005361D3" w:rsidP="005361D3">
            <w:pPr>
              <w:rPr>
                <w:rFonts w:eastAsia="Arial"/>
              </w:rPr>
            </w:pPr>
            <w:r w:rsidRPr="00632BB3">
              <w:rPr>
                <w:rFonts w:eastAsia="Arial"/>
              </w:rPr>
              <w:t>1.6</w:t>
            </w:r>
          </w:p>
        </w:tc>
        <w:tc>
          <w:tcPr>
            <w:tcW w:w="3694" w:type="dxa"/>
          </w:tcPr>
          <w:p w14:paraId="4D49DBF5" w14:textId="77777777" w:rsidR="005361D3" w:rsidRPr="00632BB3" w:rsidRDefault="005361D3" w:rsidP="005361D3">
            <w:pPr>
              <w:rPr>
                <w:bCs/>
                <w:lang w:eastAsia="lt-LT"/>
              </w:rPr>
            </w:pPr>
            <w:r w:rsidRPr="00632BB3">
              <w:rPr>
                <w:bCs/>
                <w:lang w:eastAsia="lt-LT"/>
              </w:rPr>
              <w:t>Pareiškėjo teikiama (-os) kompensuoti vaistinio preparato indikacija (-os)</w:t>
            </w:r>
          </w:p>
          <w:p w14:paraId="6B4FEEC1" w14:textId="6A619694" w:rsidR="005361D3" w:rsidRPr="00632BB3" w:rsidRDefault="005361D3" w:rsidP="005361D3">
            <w:pPr>
              <w:rPr>
                <w:bCs/>
                <w:lang w:eastAsia="lt-LT"/>
              </w:rPr>
            </w:pPr>
            <w:r w:rsidRPr="00632BB3">
              <w:rPr>
                <w:bCs/>
                <w:lang w:eastAsia="lt-LT"/>
              </w:rPr>
              <w:t>Kodas pagal TLK-10 AM</w:t>
            </w:r>
          </w:p>
        </w:tc>
        <w:tc>
          <w:tcPr>
            <w:tcW w:w="5167" w:type="dxa"/>
          </w:tcPr>
          <w:p w14:paraId="67143789" w14:textId="77777777" w:rsidR="005361D3" w:rsidRPr="00A07961" w:rsidRDefault="005361D3" w:rsidP="005361D3">
            <w:pPr>
              <w:spacing w:after="120"/>
              <w:jc w:val="both"/>
            </w:pPr>
            <w:r w:rsidRPr="00A07961">
              <w:t>Monoterapija KEYTRUDA skirta suaugusiųjų inkstų ląstelių karcinomos, kai yra padidėjusi ligos recidyvo rizika po atliktos nefrektomijos arba po nefrektomijos ir metastazių rezekcijos, adjuvantiniam gydymui.</w:t>
            </w:r>
          </w:p>
          <w:p w14:paraId="13F7DFB0" w14:textId="0DA36B4C" w:rsidR="005361D3" w:rsidRPr="00632BB3" w:rsidRDefault="005361D3" w:rsidP="005361D3">
            <w:pPr>
              <w:spacing w:line="276" w:lineRule="auto"/>
              <w:rPr>
                <w:lang w:eastAsia="lt-LT"/>
              </w:rPr>
            </w:pPr>
            <w:r w:rsidRPr="00A07961">
              <w:t>Ligos kodai pagal TLK-10-AM klasifikaciją – C64.</w:t>
            </w:r>
          </w:p>
        </w:tc>
      </w:tr>
      <w:tr w:rsidR="005361D3" w:rsidRPr="00632BB3" w14:paraId="2F79DC08" w14:textId="77777777" w:rsidTr="00BE7489">
        <w:trPr>
          <w:trHeight w:val="378"/>
        </w:trPr>
        <w:tc>
          <w:tcPr>
            <w:tcW w:w="632" w:type="dxa"/>
          </w:tcPr>
          <w:p w14:paraId="547885A2" w14:textId="2EE70237" w:rsidR="005361D3" w:rsidRPr="00632BB3" w:rsidRDefault="005361D3" w:rsidP="005361D3">
            <w:pPr>
              <w:rPr>
                <w:rFonts w:eastAsia="Arial"/>
              </w:rPr>
            </w:pPr>
            <w:r w:rsidRPr="00632BB3">
              <w:rPr>
                <w:rFonts w:eastAsia="Arial"/>
              </w:rPr>
              <w:t>1.7</w:t>
            </w:r>
          </w:p>
        </w:tc>
        <w:tc>
          <w:tcPr>
            <w:tcW w:w="3694" w:type="dxa"/>
          </w:tcPr>
          <w:p w14:paraId="2EAB877F" w14:textId="39A36941" w:rsidR="005361D3" w:rsidRPr="00632BB3" w:rsidRDefault="005361D3" w:rsidP="005361D3">
            <w:pPr>
              <w:rPr>
                <w:bCs/>
                <w:u w:val="single"/>
                <w:lang w:eastAsia="lt-LT"/>
              </w:rPr>
            </w:pPr>
            <w:r w:rsidRPr="00632BB3">
              <w:rPr>
                <w:bCs/>
                <w:lang w:eastAsia="lt-LT"/>
              </w:rPr>
              <w:t xml:space="preserve">Pareiškėjo teikiamos skyrimo sąlygos </w:t>
            </w:r>
          </w:p>
        </w:tc>
        <w:tc>
          <w:tcPr>
            <w:tcW w:w="5167" w:type="dxa"/>
          </w:tcPr>
          <w:p w14:paraId="0579DF58" w14:textId="1068A413" w:rsidR="005361D3" w:rsidRPr="00632BB3" w:rsidRDefault="005361D3" w:rsidP="005361D3">
            <w:pPr>
              <w:tabs>
                <w:tab w:val="left" w:pos="3324"/>
              </w:tabs>
            </w:pPr>
            <w:r>
              <w:t xml:space="preserve">Neteikiamos. </w:t>
            </w:r>
          </w:p>
        </w:tc>
      </w:tr>
      <w:tr w:rsidR="005361D3" w:rsidRPr="00632BB3" w14:paraId="3B125269" w14:textId="77777777" w:rsidTr="005361D3">
        <w:trPr>
          <w:trHeight w:val="415"/>
        </w:trPr>
        <w:tc>
          <w:tcPr>
            <w:tcW w:w="632" w:type="dxa"/>
          </w:tcPr>
          <w:p w14:paraId="0058E11F" w14:textId="3C0D7626" w:rsidR="005361D3" w:rsidRPr="00632BB3" w:rsidRDefault="005361D3" w:rsidP="005361D3">
            <w:pPr>
              <w:rPr>
                <w:rFonts w:eastAsia="Arial"/>
              </w:rPr>
            </w:pPr>
            <w:r w:rsidRPr="00632BB3">
              <w:rPr>
                <w:rFonts w:eastAsia="Arial"/>
              </w:rPr>
              <w:lastRenderedPageBreak/>
              <w:t>1.8</w:t>
            </w:r>
          </w:p>
        </w:tc>
        <w:tc>
          <w:tcPr>
            <w:tcW w:w="3694" w:type="dxa"/>
          </w:tcPr>
          <w:p w14:paraId="6CC1022E" w14:textId="5E97C2B5" w:rsidR="005361D3" w:rsidRPr="00632BB3" w:rsidRDefault="005361D3" w:rsidP="005361D3">
            <w:pPr>
              <w:rPr>
                <w:bCs/>
                <w:lang w:eastAsia="lt-LT"/>
              </w:rPr>
            </w:pPr>
            <w:r w:rsidRPr="00632BB3">
              <w:rPr>
                <w:bCs/>
                <w:lang w:eastAsia="lt-LT"/>
              </w:rPr>
              <w:t xml:space="preserve">Pareiškėjo teikiamas palyginamasis gydymas </w:t>
            </w:r>
          </w:p>
        </w:tc>
        <w:tc>
          <w:tcPr>
            <w:tcW w:w="5167" w:type="dxa"/>
          </w:tcPr>
          <w:p w14:paraId="4FF9187C" w14:textId="228C4076" w:rsidR="005361D3" w:rsidRDefault="002F3C16" w:rsidP="005361D3">
            <w:sdt>
              <w:sdtPr>
                <w:rPr>
                  <w:rStyle w:val="Style2"/>
                  <w:sz w:val="24"/>
                </w:rPr>
                <w:id w:val="1480955706"/>
                <w15:color w:val="FFCC00"/>
                <w14:checkbox>
                  <w14:checked w14:val="1"/>
                  <w14:checkedState w14:val="2612" w14:font="MS Gothic"/>
                  <w14:uncheckedState w14:val="2610" w14:font="MS Gothic"/>
                </w14:checkbox>
              </w:sdtPr>
              <w:sdtEndPr>
                <w:rPr>
                  <w:rStyle w:val="Style2"/>
                </w:rPr>
              </w:sdtEndPr>
              <w:sdtContent>
                <w:r w:rsidR="005361D3" w:rsidRPr="00632BB3">
                  <w:rPr>
                    <w:rStyle w:val="Style2"/>
                    <w:rFonts w:ascii="MS Gothic" w:eastAsia="MS Gothic" w:hAnsi="MS Gothic"/>
                    <w:sz w:val="24"/>
                  </w:rPr>
                  <w:t>☒</w:t>
                </w:r>
              </w:sdtContent>
            </w:sdt>
            <w:r w:rsidR="005361D3" w:rsidRPr="00632BB3">
              <w:t xml:space="preserve"> Tinkamas </w:t>
            </w:r>
            <w:r w:rsidR="005361D3">
              <w:t>(tiesioginis pembrolizumabo ir placebo palyginimas)</w:t>
            </w:r>
          </w:p>
          <w:p w14:paraId="41B44044" w14:textId="40F3470A" w:rsidR="005361D3" w:rsidRPr="00632BB3" w:rsidRDefault="002F3C16" w:rsidP="005361D3">
            <w:sdt>
              <w:sdtPr>
                <w:rPr>
                  <w:rStyle w:val="Style2"/>
                  <w:sz w:val="24"/>
                </w:rPr>
                <w:id w:val="-352420698"/>
                <w15:color w:val="FFCC00"/>
                <w14:checkbox>
                  <w14:checked w14:val="0"/>
                  <w14:checkedState w14:val="2612" w14:font="MS Gothic"/>
                  <w14:uncheckedState w14:val="2610" w14:font="MS Gothic"/>
                </w14:checkbox>
              </w:sdtPr>
              <w:sdtEndPr>
                <w:rPr>
                  <w:rStyle w:val="Style2"/>
                </w:rPr>
              </w:sdtEndPr>
              <w:sdtContent>
                <w:r w:rsidR="005361D3" w:rsidRPr="00632BB3">
                  <w:rPr>
                    <w:rStyle w:val="Style2"/>
                    <w:rFonts w:ascii="MS Gothic" w:eastAsia="MS Gothic" w:hAnsi="MS Gothic"/>
                    <w:sz w:val="24"/>
                  </w:rPr>
                  <w:t>☐</w:t>
                </w:r>
              </w:sdtContent>
            </w:sdt>
            <w:r w:rsidR="005361D3" w:rsidRPr="00632BB3">
              <w:t xml:space="preserve"> Netinkama</w:t>
            </w:r>
          </w:p>
        </w:tc>
      </w:tr>
    </w:tbl>
    <w:p w14:paraId="108176F7" w14:textId="640C6F75" w:rsidR="00F70C9E" w:rsidRPr="00632BB3" w:rsidRDefault="00F70C9E" w:rsidP="00E03C3F">
      <w:pPr>
        <w:pStyle w:val="Sraopastraipa"/>
        <w:tabs>
          <w:tab w:val="left" w:pos="426"/>
        </w:tabs>
        <w:ind w:left="0"/>
        <w:rPr>
          <w:b/>
          <w:bCs/>
          <w:caps/>
        </w:rPr>
      </w:pPr>
    </w:p>
    <w:p w14:paraId="2871CA7F" w14:textId="3B173597" w:rsidR="00F70C9E" w:rsidRPr="00632BB3" w:rsidRDefault="00F70C9E" w:rsidP="00880A44">
      <w:pPr>
        <w:spacing w:line="276" w:lineRule="auto"/>
        <w:jc w:val="both"/>
        <w:rPr>
          <w:rFonts w:eastAsia="Arial"/>
          <w:b/>
        </w:rPr>
      </w:pPr>
      <w:r w:rsidRPr="00632BB3">
        <w:rPr>
          <w:rFonts w:eastAsia="Arial"/>
          <w:b/>
        </w:rPr>
        <w:t>1.</w:t>
      </w:r>
      <w:r w:rsidR="00164D64" w:rsidRPr="00632BB3">
        <w:rPr>
          <w:rFonts w:eastAsia="Arial"/>
          <w:b/>
        </w:rPr>
        <w:t>9</w:t>
      </w:r>
      <w:r w:rsidRPr="00632BB3">
        <w:rPr>
          <w:rFonts w:eastAsia="Arial"/>
          <w:b/>
        </w:rPr>
        <w:t xml:space="preserve"> Kitų </w:t>
      </w:r>
      <w:r w:rsidR="00DF583C" w:rsidRPr="00632BB3">
        <w:rPr>
          <w:rFonts w:eastAsia="Arial"/>
          <w:b/>
        </w:rPr>
        <w:t xml:space="preserve">valstybių </w:t>
      </w:r>
      <w:r w:rsidRPr="00632BB3">
        <w:rPr>
          <w:rFonts w:eastAsia="Arial"/>
          <w:b/>
        </w:rPr>
        <w:t xml:space="preserve">atsakingų institucijų atlikto </w:t>
      </w:r>
      <w:r w:rsidR="00DF583C" w:rsidRPr="00632BB3">
        <w:rPr>
          <w:rFonts w:eastAsia="Arial"/>
          <w:b/>
        </w:rPr>
        <w:t>Sveikatos technologijų vertinimo (toliau – STV)</w:t>
      </w:r>
      <w:r w:rsidRPr="00632BB3">
        <w:rPr>
          <w:rFonts w:eastAsia="Arial"/>
          <w:b/>
        </w:rPr>
        <w:t xml:space="preserve"> išvados</w:t>
      </w:r>
    </w:p>
    <w:p w14:paraId="30721FDD" w14:textId="77777777" w:rsidR="00F70C9E" w:rsidRPr="00632BB3" w:rsidRDefault="00F70C9E" w:rsidP="00F70C9E">
      <w:pPr>
        <w:spacing w:line="276" w:lineRule="auto"/>
        <w:rPr>
          <w:rFonts w:eastAsia="Arial"/>
        </w:rPr>
      </w:pPr>
    </w:p>
    <w:tbl>
      <w:tblPr>
        <w:tblStyle w:val="Lentelstinklelis"/>
        <w:tblW w:w="9918" w:type="dxa"/>
        <w:tblLook w:val="04A0" w:firstRow="1" w:lastRow="0" w:firstColumn="1" w:lastColumn="0" w:noHBand="0" w:noVBand="1"/>
      </w:tblPr>
      <w:tblGrid>
        <w:gridCol w:w="2289"/>
        <w:gridCol w:w="1817"/>
        <w:gridCol w:w="3091"/>
        <w:gridCol w:w="2721"/>
      </w:tblGrid>
      <w:tr w:rsidR="008C2035" w:rsidRPr="00632BB3" w14:paraId="1875FE84" w14:textId="77777777" w:rsidTr="005361D3">
        <w:trPr>
          <w:trHeight w:val="924"/>
        </w:trPr>
        <w:tc>
          <w:tcPr>
            <w:tcW w:w="2289" w:type="dxa"/>
          </w:tcPr>
          <w:p w14:paraId="4C86A462" w14:textId="77777777" w:rsidR="008C2035" w:rsidRPr="00632BB3" w:rsidRDefault="008C2035" w:rsidP="00063726">
            <w:pPr>
              <w:spacing w:line="276" w:lineRule="auto"/>
              <w:rPr>
                <w:rFonts w:eastAsia="Arial"/>
              </w:rPr>
            </w:pPr>
            <w:r w:rsidRPr="00632BB3">
              <w:rPr>
                <w:rFonts w:eastAsia="Arial"/>
              </w:rPr>
              <w:t>STV agentūros pavadinimas, šalis</w:t>
            </w:r>
          </w:p>
        </w:tc>
        <w:tc>
          <w:tcPr>
            <w:tcW w:w="1817" w:type="dxa"/>
          </w:tcPr>
          <w:p w14:paraId="645D2049" w14:textId="77777777" w:rsidR="008C2035" w:rsidRPr="00632BB3" w:rsidRDefault="008C2035" w:rsidP="00063726">
            <w:pPr>
              <w:spacing w:line="276" w:lineRule="auto"/>
              <w:rPr>
                <w:rFonts w:eastAsia="Arial"/>
              </w:rPr>
            </w:pPr>
            <w:r w:rsidRPr="00632BB3">
              <w:rPr>
                <w:rFonts w:eastAsia="Arial"/>
              </w:rPr>
              <w:t>STV vertinimas atliktas</w:t>
            </w:r>
          </w:p>
        </w:tc>
        <w:tc>
          <w:tcPr>
            <w:tcW w:w="3091" w:type="dxa"/>
          </w:tcPr>
          <w:p w14:paraId="63AC84CE" w14:textId="77777777" w:rsidR="008C2035" w:rsidRPr="00632BB3" w:rsidRDefault="008C2035" w:rsidP="00063726">
            <w:pPr>
              <w:spacing w:line="276" w:lineRule="auto"/>
              <w:rPr>
                <w:rFonts w:eastAsia="Arial"/>
              </w:rPr>
            </w:pPr>
            <w:r w:rsidRPr="00632BB3">
              <w:rPr>
                <w:rFonts w:eastAsia="Arial"/>
              </w:rPr>
              <w:t>Klinikinio vertinimo išvada</w:t>
            </w:r>
          </w:p>
        </w:tc>
        <w:tc>
          <w:tcPr>
            <w:tcW w:w="2721" w:type="dxa"/>
          </w:tcPr>
          <w:p w14:paraId="6C6FCF70" w14:textId="77777777" w:rsidR="008C2035" w:rsidRPr="00632BB3" w:rsidRDefault="008C2035" w:rsidP="00063726">
            <w:pPr>
              <w:spacing w:line="276" w:lineRule="auto"/>
              <w:rPr>
                <w:rFonts w:eastAsia="Arial"/>
              </w:rPr>
            </w:pPr>
            <w:r w:rsidRPr="00632BB3">
              <w:rPr>
                <w:rFonts w:eastAsia="Arial"/>
              </w:rPr>
              <w:t>Farmakoekonominio vertinimo išvada</w:t>
            </w:r>
          </w:p>
        </w:tc>
      </w:tr>
      <w:tr w:rsidR="005361D3" w:rsidRPr="00632BB3" w14:paraId="358F46B3" w14:textId="77777777" w:rsidTr="005361D3">
        <w:trPr>
          <w:trHeight w:val="1547"/>
        </w:trPr>
        <w:tc>
          <w:tcPr>
            <w:tcW w:w="2289" w:type="dxa"/>
          </w:tcPr>
          <w:p w14:paraId="5487F5FF" w14:textId="77777777" w:rsidR="005361D3" w:rsidRPr="00D05364" w:rsidRDefault="005361D3" w:rsidP="005361D3">
            <w:pPr>
              <w:autoSpaceDE w:val="0"/>
              <w:autoSpaceDN w:val="0"/>
              <w:adjustRightInd w:val="0"/>
              <w:rPr>
                <w:bCs/>
              </w:rPr>
            </w:pPr>
            <w:r w:rsidRPr="00D05364">
              <w:rPr>
                <w:bCs/>
              </w:rPr>
              <w:t>Nacionalinis sveikatos ir klinikinės kompetencijos institutas, Didžioji Britanija</w:t>
            </w:r>
          </w:p>
          <w:p w14:paraId="2C203AF0" w14:textId="7EF5160B" w:rsidR="005361D3" w:rsidRPr="00632BB3" w:rsidRDefault="005361D3" w:rsidP="005361D3">
            <w:pPr>
              <w:spacing w:line="276" w:lineRule="auto"/>
              <w:rPr>
                <w:rFonts w:eastAsia="Arial"/>
              </w:rPr>
            </w:pPr>
            <w:r w:rsidRPr="00D05364">
              <w:rPr>
                <w:rFonts w:eastAsia="Arial"/>
              </w:rPr>
              <w:t xml:space="preserve">(angl. </w:t>
            </w:r>
            <w:r w:rsidRPr="00D05364">
              <w:rPr>
                <w:rFonts w:eastAsia="Arial"/>
                <w:i/>
              </w:rPr>
              <w:t>National Institute for Health and Care Excellence, NICE</w:t>
            </w:r>
            <w:r w:rsidRPr="00D05364">
              <w:rPr>
                <w:rFonts w:eastAsia="Arial"/>
              </w:rPr>
              <w:t>)</w:t>
            </w:r>
          </w:p>
        </w:tc>
        <w:tc>
          <w:tcPr>
            <w:tcW w:w="1817" w:type="dxa"/>
          </w:tcPr>
          <w:p w14:paraId="1B5B9F1B" w14:textId="77777777" w:rsidR="005361D3" w:rsidRPr="00D05364" w:rsidRDefault="002F3C16" w:rsidP="005361D3">
            <w:sdt>
              <w:sdtPr>
                <w:rPr>
                  <w:rStyle w:val="Style2"/>
                </w:rPr>
                <w:id w:val="1558205022"/>
                <w15:color w:val="FFCC00"/>
                <w14:checkbox>
                  <w14:checked w14:val="1"/>
                  <w14:checkedState w14:val="2612" w14:font="MS Gothic"/>
                  <w14:uncheckedState w14:val="2610" w14:font="MS Gothic"/>
                </w14:checkbox>
              </w:sdtPr>
              <w:sdtEndPr>
                <w:rPr>
                  <w:rStyle w:val="Style2"/>
                </w:rPr>
              </w:sdtEndPr>
              <w:sdtContent>
                <w:r w:rsidR="005361D3">
                  <w:rPr>
                    <w:rStyle w:val="Style2"/>
                    <w:rFonts w:ascii="MS Gothic" w:eastAsia="MS Gothic" w:hAnsi="MS Gothic" w:hint="eastAsia"/>
                  </w:rPr>
                  <w:t>☒</w:t>
                </w:r>
              </w:sdtContent>
            </w:sdt>
            <w:r w:rsidR="005361D3" w:rsidRPr="00D05364">
              <w:t xml:space="preserve"> Taip</w:t>
            </w:r>
          </w:p>
          <w:p w14:paraId="24F39312" w14:textId="77777777" w:rsidR="005361D3" w:rsidRPr="00D05364" w:rsidRDefault="002F3C16" w:rsidP="005361D3">
            <w:sdt>
              <w:sdtPr>
                <w:rPr>
                  <w:rStyle w:val="Style2"/>
                </w:rPr>
                <w:id w:val="866029625"/>
                <w15:color w:val="FFCC00"/>
                <w14:checkbox>
                  <w14:checked w14:val="0"/>
                  <w14:checkedState w14:val="2612" w14:font="MS Gothic"/>
                  <w14:uncheckedState w14:val="2610" w14:font="MS Gothic"/>
                </w14:checkbox>
              </w:sdtPr>
              <w:sdtEndPr>
                <w:rPr>
                  <w:rStyle w:val="Style2"/>
                </w:rPr>
              </w:sdtEndPr>
              <w:sdtContent>
                <w:r w:rsidR="005361D3" w:rsidRPr="00D05364">
                  <w:rPr>
                    <w:rStyle w:val="Style2"/>
                    <w:rFonts w:ascii="MS Gothic" w:eastAsia="MS Gothic" w:hAnsi="MS Gothic" w:hint="eastAsia"/>
                  </w:rPr>
                  <w:t>☐</w:t>
                </w:r>
              </w:sdtContent>
            </w:sdt>
            <w:r w:rsidR="005361D3" w:rsidRPr="00D05364">
              <w:t xml:space="preserve"> Ne</w:t>
            </w:r>
          </w:p>
          <w:p w14:paraId="71CF8C44" w14:textId="2F5DDF39" w:rsidR="005361D3" w:rsidRPr="00632BB3" w:rsidRDefault="005361D3" w:rsidP="005361D3">
            <w:pPr>
              <w:spacing w:line="276" w:lineRule="auto"/>
              <w:rPr>
                <w:rFonts w:eastAsia="Arial"/>
              </w:rPr>
            </w:pPr>
            <w:r>
              <w:rPr>
                <w:rFonts w:eastAsia="Arial"/>
                <w:lang w:val="en-US"/>
              </w:rPr>
              <w:t>2022-10-19</w:t>
            </w:r>
          </w:p>
        </w:tc>
        <w:tc>
          <w:tcPr>
            <w:tcW w:w="3091" w:type="dxa"/>
          </w:tcPr>
          <w:p w14:paraId="4244F1A2" w14:textId="3F4964B3" w:rsidR="005361D3" w:rsidRPr="00632BB3" w:rsidRDefault="005361D3" w:rsidP="005361D3">
            <w:pPr>
              <w:spacing w:line="276" w:lineRule="auto"/>
              <w:rPr>
                <w:rFonts w:eastAsia="Arial"/>
              </w:rPr>
            </w:pPr>
            <w:r w:rsidRPr="00C95C72">
              <w:rPr>
                <w:rFonts w:eastAsia="Arial"/>
              </w:rPr>
              <w:t>Pembrolizumabas rekomenduojamas, pagal jo rinkodaros leidimą, kaip papildomo gydymo galimybė suaugusiems pacientams, sergantiems inkstų ląstelių karcinoma, turinčia padidėjusią atkryčio riziką po nefrektomijos, su arba be metastazių pažeidimų rezekcijos.</w:t>
            </w:r>
          </w:p>
        </w:tc>
        <w:tc>
          <w:tcPr>
            <w:tcW w:w="2721" w:type="dxa"/>
          </w:tcPr>
          <w:p w14:paraId="69F6A11A" w14:textId="7DA8FC71" w:rsidR="005361D3" w:rsidRPr="00632BB3" w:rsidRDefault="005361D3" w:rsidP="005361D3">
            <w:pPr>
              <w:spacing w:line="276" w:lineRule="auto"/>
              <w:rPr>
                <w:rFonts w:eastAsia="Arial"/>
              </w:rPr>
            </w:pPr>
            <w:r>
              <w:rPr>
                <w:rFonts w:eastAsia="Arial"/>
              </w:rPr>
              <w:t xml:space="preserve">Kompensuojamas sumažinus kainą pagal komercinę sutartį. </w:t>
            </w:r>
          </w:p>
        </w:tc>
      </w:tr>
      <w:tr w:rsidR="005361D3" w:rsidRPr="00632BB3" w14:paraId="094D8AB6" w14:textId="77777777" w:rsidTr="005361D3">
        <w:trPr>
          <w:trHeight w:val="1927"/>
        </w:trPr>
        <w:tc>
          <w:tcPr>
            <w:tcW w:w="2289" w:type="dxa"/>
          </w:tcPr>
          <w:p w14:paraId="5691B9B4" w14:textId="77777777" w:rsidR="005361D3" w:rsidRPr="00D05364" w:rsidRDefault="005361D3" w:rsidP="005361D3">
            <w:pPr>
              <w:spacing w:line="276" w:lineRule="auto"/>
              <w:rPr>
                <w:rFonts w:eastAsia="Arial"/>
              </w:rPr>
            </w:pPr>
            <w:r w:rsidRPr="00D05364">
              <w:rPr>
                <w:rFonts w:eastAsia="Arial"/>
              </w:rPr>
              <w:t>Kanados sveikatos technologijų agentūra</w:t>
            </w:r>
          </w:p>
          <w:p w14:paraId="6A7F45FD" w14:textId="2F8E13D8" w:rsidR="005361D3" w:rsidRPr="00632BB3" w:rsidRDefault="005361D3" w:rsidP="005361D3">
            <w:pPr>
              <w:spacing w:line="276" w:lineRule="auto"/>
              <w:rPr>
                <w:rFonts w:eastAsia="Arial"/>
              </w:rPr>
            </w:pPr>
            <w:r w:rsidRPr="00D05364">
              <w:rPr>
                <w:rFonts w:eastAsia="Arial"/>
              </w:rPr>
              <w:t xml:space="preserve">(angl. </w:t>
            </w:r>
            <w:r w:rsidRPr="00D05364">
              <w:rPr>
                <w:rFonts w:eastAsia="Arial"/>
                <w:i/>
              </w:rPr>
              <w:t>Canadian health Technology Assessment agency, CADTH</w:t>
            </w:r>
            <w:r w:rsidRPr="00D05364">
              <w:rPr>
                <w:rFonts w:eastAsia="Arial"/>
              </w:rPr>
              <w:t>)</w:t>
            </w:r>
          </w:p>
        </w:tc>
        <w:tc>
          <w:tcPr>
            <w:tcW w:w="1817" w:type="dxa"/>
          </w:tcPr>
          <w:p w14:paraId="1813AF41" w14:textId="77777777" w:rsidR="005361D3" w:rsidRPr="00D05364" w:rsidRDefault="002F3C16" w:rsidP="005361D3">
            <w:sdt>
              <w:sdtPr>
                <w:rPr>
                  <w:rStyle w:val="Style2"/>
                </w:rPr>
                <w:id w:val="-372539057"/>
                <w15:color w:val="FFCC00"/>
                <w14:checkbox>
                  <w14:checked w14:val="1"/>
                  <w14:checkedState w14:val="2612" w14:font="MS Gothic"/>
                  <w14:uncheckedState w14:val="2610" w14:font="MS Gothic"/>
                </w14:checkbox>
              </w:sdtPr>
              <w:sdtEndPr>
                <w:rPr>
                  <w:rStyle w:val="Style2"/>
                </w:rPr>
              </w:sdtEndPr>
              <w:sdtContent>
                <w:r w:rsidR="005361D3">
                  <w:rPr>
                    <w:rStyle w:val="Style2"/>
                    <w:rFonts w:ascii="MS Gothic" w:eastAsia="MS Gothic" w:hAnsi="MS Gothic" w:hint="eastAsia"/>
                  </w:rPr>
                  <w:t>☒</w:t>
                </w:r>
              </w:sdtContent>
            </w:sdt>
            <w:r w:rsidR="005361D3" w:rsidRPr="00D05364">
              <w:t xml:space="preserve"> Taip</w:t>
            </w:r>
          </w:p>
          <w:p w14:paraId="46370C2E" w14:textId="77777777" w:rsidR="005361D3" w:rsidRPr="00D05364" w:rsidRDefault="002F3C16" w:rsidP="005361D3">
            <w:sdt>
              <w:sdtPr>
                <w:rPr>
                  <w:rStyle w:val="Style2"/>
                </w:rPr>
                <w:id w:val="594442222"/>
                <w15:color w:val="FFCC00"/>
                <w14:checkbox>
                  <w14:checked w14:val="0"/>
                  <w14:checkedState w14:val="2612" w14:font="MS Gothic"/>
                  <w14:uncheckedState w14:val="2610" w14:font="MS Gothic"/>
                </w14:checkbox>
              </w:sdtPr>
              <w:sdtEndPr>
                <w:rPr>
                  <w:rStyle w:val="Style2"/>
                </w:rPr>
              </w:sdtEndPr>
              <w:sdtContent>
                <w:r w:rsidR="005361D3" w:rsidRPr="00D05364">
                  <w:rPr>
                    <w:rStyle w:val="Style2"/>
                    <w:rFonts w:ascii="Segoe UI Symbol" w:eastAsia="MS Gothic" w:hAnsi="Segoe UI Symbol" w:cs="Segoe UI Symbol"/>
                  </w:rPr>
                  <w:t>☐</w:t>
                </w:r>
              </w:sdtContent>
            </w:sdt>
            <w:r w:rsidR="005361D3" w:rsidRPr="00D05364">
              <w:t xml:space="preserve"> Ne</w:t>
            </w:r>
          </w:p>
          <w:p w14:paraId="1A7AD597" w14:textId="48DB2A0F" w:rsidR="005361D3" w:rsidRPr="00632BB3" w:rsidRDefault="005361D3" w:rsidP="005361D3">
            <w:pPr>
              <w:spacing w:line="276" w:lineRule="auto"/>
            </w:pPr>
            <w:r>
              <w:rPr>
                <w:rFonts w:eastAsia="Arial"/>
                <w:lang w:val="en-US"/>
              </w:rPr>
              <w:t>2022 09</w:t>
            </w:r>
          </w:p>
        </w:tc>
        <w:tc>
          <w:tcPr>
            <w:tcW w:w="3091" w:type="dxa"/>
          </w:tcPr>
          <w:p w14:paraId="7560B494" w14:textId="1AE96A20" w:rsidR="005361D3" w:rsidRPr="00632BB3" w:rsidRDefault="005361D3" w:rsidP="005361D3">
            <w:pPr>
              <w:spacing w:line="276" w:lineRule="auto"/>
              <w:rPr>
                <w:rFonts w:eastAsia="Arial"/>
              </w:rPr>
            </w:pPr>
            <w:r>
              <w:rPr>
                <w:rFonts w:eastAsia="Arial"/>
              </w:rPr>
              <w:t>P</w:t>
            </w:r>
            <w:r w:rsidRPr="00C95C72">
              <w:rPr>
                <w:rFonts w:eastAsia="Arial"/>
              </w:rPr>
              <w:t>embrolizumabas kompensuojamas kaip papildomas gydymas suaugusiems pacientams, sergantiems inkstų ląstelių karcinoma</w:t>
            </w:r>
            <w:r>
              <w:rPr>
                <w:rFonts w:eastAsia="Arial"/>
              </w:rPr>
              <w:t xml:space="preserve">, </w:t>
            </w:r>
            <w:r w:rsidRPr="00C95C72">
              <w:rPr>
                <w:rFonts w:eastAsia="Arial"/>
              </w:rPr>
              <w:t>turintiems vidutinę-aukštą arba didelę atkryčio riziką po nefrektomijos arba po nefrektomijos ir metastazinių pažeidimų rezekcijos</w:t>
            </w:r>
            <w:r>
              <w:rPr>
                <w:rFonts w:eastAsia="Arial"/>
              </w:rPr>
              <w:t>.</w:t>
            </w:r>
          </w:p>
        </w:tc>
        <w:tc>
          <w:tcPr>
            <w:tcW w:w="2721" w:type="dxa"/>
          </w:tcPr>
          <w:p w14:paraId="19FC90D9" w14:textId="07991DF4" w:rsidR="005361D3" w:rsidRPr="00632BB3" w:rsidRDefault="005361D3" w:rsidP="005361D3">
            <w:pPr>
              <w:spacing w:line="276" w:lineRule="auto"/>
              <w:rPr>
                <w:rFonts w:eastAsia="Arial"/>
              </w:rPr>
            </w:pPr>
            <w:r>
              <w:rPr>
                <w:rFonts w:eastAsia="Arial"/>
              </w:rPr>
              <w:t xml:space="preserve">Kompensuojamas sumažinus kainą pagal komercinę sutartį. </w:t>
            </w:r>
          </w:p>
        </w:tc>
      </w:tr>
      <w:tr w:rsidR="005361D3" w:rsidRPr="00632BB3" w14:paraId="7B4A228B" w14:textId="77777777" w:rsidTr="005361D3">
        <w:trPr>
          <w:trHeight w:val="690"/>
        </w:trPr>
        <w:tc>
          <w:tcPr>
            <w:tcW w:w="2289" w:type="dxa"/>
          </w:tcPr>
          <w:p w14:paraId="181EC254" w14:textId="77777777" w:rsidR="005361D3" w:rsidRPr="00D05364" w:rsidRDefault="005361D3" w:rsidP="005361D3">
            <w:pPr>
              <w:spacing w:line="276" w:lineRule="auto"/>
              <w:rPr>
                <w:rFonts w:eastAsia="Arial"/>
              </w:rPr>
            </w:pPr>
            <w:r w:rsidRPr="00D05364">
              <w:rPr>
                <w:rFonts w:eastAsia="Arial"/>
              </w:rPr>
              <w:t>Nacionalinis farmakoekonomikos centras, Airija</w:t>
            </w:r>
          </w:p>
          <w:p w14:paraId="68152266" w14:textId="6F11DC31" w:rsidR="005361D3" w:rsidRPr="00632BB3" w:rsidRDefault="005361D3" w:rsidP="005361D3">
            <w:pPr>
              <w:spacing w:line="276" w:lineRule="auto"/>
              <w:rPr>
                <w:rFonts w:eastAsia="Arial"/>
              </w:rPr>
            </w:pPr>
            <w:r w:rsidRPr="00D05364">
              <w:rPr>
                <w:rFonts w:eastAsia="Arial"/>
              </w:rPr>
              <w:t>(angl.</w:t>
            </w:r>
            <w:r w:rsidRPr="00D05364">
              <w:rPr>
                <w:rFonts w:eastAsia="Arial"/>
                <w:i/>
              </w:rPr>
              <w:t xml:space="preserve"> National Centre for Pharmacoeconomics, NCPE</w:t>
            </w:r>
            <w:r w:rsidRPr="00D05364">
              <w:rPr>
                <w:rFonts w:eastAsia="Arial"/>
              </w:rPr>
              <w:t>)</w:t>
            </w:r>
          </w:p>
        </w:tc>
        <w:tc>
          <w:tcPr>
            <w:tcW w:w="1817" w:type="dxa"/>
          </w:tcPr>
          <w:p w14:paraId="1B392F2D" w14:textId="77777777" w:rsidR="005361D3" w:rsidRPr="00D05364" w:rsidRDefault="002F3C16" w:rsidP="005361D3">
            <w:sdt>
              <w:sdtPr>
                <w:rPr>
                  <w:rStyle w:val="Style2"/>
                </w:rPr>
                <w:id w:val="-1888403732"/>
                <w15:color w:val="FFCC00"/>
                <w14:checkbox>
                  <w14:checked w14:val="1"/>
                  <w14:checkedState w14:val="2612" w14:font="MS Gothic"/>
                  <w14:uncheckedState w14:val="2610" w14:font="MS Gothic"/>
                </w14:checkbox>
              </w:sdtPr>
              <w:sdtEndPr>
                <w:rPr>
                  <w:rStyle w:val="Style2"/>
                </w:rPr>
              </w:sdtEndPr>
              <w:sdtContent>
                <w:r w:rsidR="005361D3">
                  <w:rPr>
                    <w:rStyle w:val="Style2"/>
                    <w:rFonts w:ascii="MS Gothic" w:eastAsia="MS Gothic" w:hAnsi="MS Gothic" w:hint="eastAsia"/>
                  </w:rPr>
                  <w:t>☒</w:t>
                </w:r>
              </w:sdtContent>
            </w:sdt>
            <w:r w:rsidR="005361D3" w:rsidRPr="00D05364">
              <w:t xml:space="preserve"> Taip</w:t>
            </w:r>
          </w:p>
          <w:p w14:paraId="7BD3900F" w14:textId="77777777" w:rsidR="005361D3" w:rsidRPr="00D05364" w:rsidRDefault="002F3C16" w:rsidP="005361D3">
            <w:sdt>
              <w:sdtPr>
                <w:rPr>
                  <w:rStyle w:val="Style2"/>
                </w:rPr>
                <w:id w:val="1092201793"/>
                <w15:color w:val="FFCC00"/>
                <w14:checkbox>
                  <w14:checked w14:val="0"/>
                  <w14:checkedState w14:val="2612" w14:font="MS Gothic"/>
                  <w14:uncheckedState w14:val="2610" w14:font="MS Gothic"/>
                </w14:checkbox>
              </w:sdtPr>
              <w:sdtEndPr>
                <w:rPr>
                  <w:rStyle w:val="Style2"/>
                </w:rPr>
              </w:sdtEndPr>
              <w:sdtContent>
                <w:r w:rsidR="005361D3" w:rsidRPr="00D05364">
                  <w:rPr>
                    <w:rStyle w:val="Style2"/>
                    <w:rFonts w:ascii="Segoe UI Symbol" w:eastAsia="MS Gothic" w:hAnsi="Segoe UI Symbol" w:cs="Segoe UI Symbol"/>
                  </w:rPr>
                  <w:t>☐</w:t>
                </w:r>
              </w:sdtContent>
            </w:sdt>
            <w:r w:rsidR="005361D3" w:rsidRPr="00D05364">
              <w:t xml:space="preserve"> Ne</w:t>
            </w:r>
          </w:p>
          <w:p w14:paraId="19FDF10A" w14:textId="7E4A90EC" w:rsidR="005361D3" w:rsidRPr="00632BB3" w:rsidRDefault="005361D3" w:rsidP="005361D3">
            <w:pPr>
              <w:pStyle w:val="Sraopastraipa"/>
              <w:spacing w:after="120" w:line="276" w:lineRule="auto"/>
              <w:ind w:left="0"/>
              <w:contextualSpacing w:val="0"/>
              <w:jc w:val="both"/>
              <w:rPr>
                <w:rStyle w:val="Style2"/>
              </w:rPr>
            </w:pPr>
            <w:r>
              <w:rPr>
                <w:rFonts w:eastAsia="Arial"/>
                <w:lang w:val="en-US"/>
              </w:rPr>
              <w:t>2024 04</w:t>
            </w:r>
          </w:p>
        </w:tc>
        <w:tc>
          <w:tcPr>
            <w:tcW w:w="3091" w:type="dxa"/>
          </w:tcPr>
          <w:p w14:paraId="3E14DD1B" w14:textId="0DA6A925" w:rsidR="005361D3" w:rsidRPr="00632BB3" w:rsidRDefault="005361D3" w:rsidP="005361D3">
            <w:pPr>
              <w:spacing w:line="276" w:lineRule="auto"/>
              <w:rPr>
                <w:rFonts w:eastAsia="Arial"/>
              </w:rPr>
            </w:pPr>
            <w:r>
              <w:rPr>
                <w:rFonts w:eastAsia="Arial"/>
              </w:rPr>
              <w:t xml:space="preserve">Rekomenduota kompensuoti pagal registruotą indikaciją </w:t>
            </w:r>
          </w:p>
        </w:tc>
        <w:tc>
          <w:tcPr>
            <w:tcW w:w="2721" w:type="dxa"/>
          </w:tcPr>
          <w:p w14:paraId="417331CB" w14:textId="4DB3AA36" w:rsidR="005361D3" w:rsidRPr="00632BB3" w:rsidRDefault="005361D3" w:rsidP="005361D3">
            <w:pPr>
              <w:spacing w:line="276" w:lineRule="auto"/>
              <w:rPr>
                <w:rFonts w:eastAsia="Arial"/>
              </w:rPr>
            </w:pPr>
            <w:r>
              <w:rPr>
                <w:rFonts w:eastAsia="Arial"/>
              </w:rPr>
              <w:t>R</w:t>
            </w:r>
            <w:r w:rsidRPr="00C95C72">
              <w:rPr>
                <w:rFonts w:eastAsia="Arial"/>
              </w:rPr>
              <w:t>ekomenduoja</w:t>
            </w:r>
            <w:r>
              <w:rPr>
                <w:rFonts w:eastAsia="Arial"/>
              </w:rPr>
              <w:t xml:space="preserve">ma </w:t>
            </w:r>
            <w:r w:rsidRPr="00C95C72">
              <w:rPr>
                <w:rFonts w:eastAsia="Arial"/>
              </w:rPr>
              <w:t>svarst</w:t>
            </w:r>
            <w:r>
              <w:rPr>
                <w:rFonts w:eastAsia="Arial"/>
              </w:rPr>
              <w:t xml:space="preserve">yti </w:t>
            </w:r>
            <w:r w:rsidRPr="00C95C72">
              <w:rPr>
                <w:rFonts w:eastAsia="Arial"/>
              </w:rPr>
              <w:t xml:space="preserve">kompensavimui jei jo </w:t>
            </w:r>
            <w:r>
              <w:rPr>
                <w:rFonts w:eastAsia="Arial"/>
              </w:rPr>
              <w:t>kaštų</w:t>
            </w:r>
            <w:r w:rsidRPr="00C95C72">
              <w:rPr>
                <w:rFonts w:eastAsia="Arial"/>
              </w:rPr>
              <w:t xml:space="preserve"> efektyvumas būtų pagerintas, palyginti su esamais gydymo būdais.</w:t>
            </w:r>
          </w:p>
        </w:tc>
      </w:tr>
    </w:tbl>
    <w:p w14:paraId="2EB7FD31" w14:textId="4D2A8479" w:rsidR="007A2B68" w:rsidRDefault="007A2B68" w:rsidP="00E03C3F">
      <w:pPr>
        <w:pStyle w:val="Sraopastraipa"/>
        <w:tabs>
          <w:tab w:val="left" w:pos="426"/>
        </w:tabs>
        <w:ind w:left="0"/>
        <w:rPr>
          <w:b/>
          <w:bCs/>
          <w:caps/>
        </w:rPr>
      </w:pPr>
    </w:p>
    <w:p w14:paraId="0EDFFF7C" w14:textId="77777777" w:rsidR="00D52BBB" w:rsidRPr="00632BB3" w:rsidRDefault="00D52BBB" w:rsidP="00E03C3F">
      <w:pPr>
        <w:pStyle w:val="Sraopastraipa"/>
        <w:tabs>
          <w:tab w:val="left" w:pos="426"/>
        </w:tabs>
        <w:ind w:left="0"/>
        <w:rPr>
          <w:b/>
          <w:bCs/>
          <w:caps/>
        </w:rPr>
      </w:pPr>
    </w:p>
    <w:p w14:paraId="5055E8A8" w14:textId="471A9757" w:rsidR="002E6F80" w:rsidRPr="00632BB3" w:rsidRDefault="00CC7832" w:rsidP="00CC09D4">
      <w:pPr>
        <w:pStyle w:val="Sraopastraipa"/>
        <w:numPr>
          <w:ilvl w:val="0"/>
          <w:numId w:val="12"/>
        </w:numPr>
        <w:tabs>
          <w:tab w:val="left" w:pos="567"/>
        </w:tabs>
        <w:ind w:hanging="720"/>
        <w:rPr>
          <w:b/>
          <w:bCs/>
          <w:caps/>
        </w:rPr>
      </w:pPr>
      <w:r w:rsidRPr="00632BB3">
        <w:rPr>
          <w:b/>
          <w:bCs/>
          <w:caps/>
        </w:rPr>
        <w:t>Klinikinio vertinimo a</w:t>
      </w:r>
      <w:r w:rsidR="00D4485B" w:rsidRPr="00632BB3">
        <w:rPr>
          <w:b/>
          <w:bCs/>
          <w:caps/>
        </w:rPr>
        <w:t>pibendrinimas</w:t>
      </w:r>
    </w:p>
    <w:p w14:paraId="0ACD4596" w14:textId="77777777" w:rsidR="00C21A99" w:rsidRPr="00632BB3" w:rsidRDefault="00C21A99" w:rsidP="00C21A99">
      <w:pPr>
        <w:pStyle w:val="Style1"/>
        <w:spacing w:line="276" w:lineRule="auto"/>
        <w:jc w:val="both"/>
      </w:pPr>
    </w:p>
    <w:p w14:paraId="5E81C3BB" w14:textId="77777777" w:rsidR="005361D3" w:rsidRDefault="005361D3" w:rsidP="005361D3">
      <w:pPr>
        <w:tabs>
          <w:tab w:val="left" w:pos="426"/>
        </w:tabs>
        <w:spacing w:line="276" w:lineRule="auto"/>
        <w:jc w:val="both"/>
        <w:rPr>
          <w:rFonts w:eastAsia="Arial"/>
          <w:bCs/>
        </w:rPr>
      </w:pPr>
      <w:r w:rsidRPr="00814015">
        <w:rPr>
          <w:rFonts w:eastAsia="Arial"/>
          <w:bCs/>
        </w:rPr>
        <w:t xml:space="preserve">Inkstų ląstelių karcinoma </w:t>
      </w:r>
      <w:r>
        <w:rPr>
          <w:rFonts w:eastAsia="Arial"/>
          <w:bCs/>
        </w:rPr>
        <w:t xml:space="preserve">(ILK) yra </w:t>
      </w:r>
      <w:r w:rsidRPr="00814015">
        <w:rPr>
          <w:rFonts w:eastAsia="Arial"/>
          <w:bCs/>
        </w:rPr>
        <w:t>dažniausiai diagnozuojama</w:t>
      </w:r>
      <w:r>
        <w:rPr>
          <w:rFonts w:eastAsia="Arial"/>
          <w:bCs/>
        </w:rPr>
        <w:t>s</w:t>
      </w:r>
      <w:r w:rsidRPr="00814015">
        <w:rPr>
          <w:rFonts w:eastAsia="Arial"/>
          <w:bCs/>
        </w:rPr>
        <w:t xml:space="preserve"> inkstų vėžio tipas</w:t>
      </w:r>
      <w:r>
        <w:rPr>
          <w:rFonts w:eastAsia="Arial"/>
          <w:bCs/>
        </w:rPr>
        <w:t xml:space="preserve">, sudarantis daugiau nei </w:t>
      </w:r>
      <w:r w:rsidRPr="00814015">
        <w:rPr>
          <w:rFonts w:eastAsia="Arial"/>
          <w:bCs/>
        </w:rPr>
        <w:t>8</w:t>
      </w:r>
      <w:r>
        <w:rPr>
          <w:rFonts w:eastAsia="Arial"/>
          <w:bCs/>
        </w:rPr>
        <w:t>0 proc. inkstų piktybinių ligų</w:t>
      </w:r>
      <w:r w:rsidRPr="00814015">
        <w:rPr>
          <w:rFonts w:eastAsia="Arial"/>
          <w:bCs/>
        </w:rPr>
        <w:t>.</w:t>
      </w:r>
      <w:r>
        <w:rPr>
          <w:rFonts w:eastAsia="Arial"/>
          <w:bCs/>
        </w:rPr>
        <w:t xml:space="preserve"> ILK terminas apima įvairius inkstų, </w:t>
      </w:r>
      <w:r>
        <w:rPr>
          <w:color w:val="000000"/>
        </w:rPr>
        <w:t>išskyrus inksto geldelės, piktybinius navikus.</w:t>
      </w:r>
      <w:r>
        <w:rPr>
          <w:rFonts w:eastAsia="Arial"/>
          <w:bCs/>
        </w:rPr>
        <w:t xml:space="preserve"> </w:t>
      </w:r>
    </w:p>
    <w:p w14:paraId="333ECE60" w14:textId="77777777" w:rsidR="005361D3" w:rsidRDefault="005361D3" w:rsidP="005361D3">
      <w:pPr>
        <w:tabs>
          <w:tab w:val="left" w:pos="426"/>
        </w:tabs>
        <w:spacing w:line="276" w:lineRule="auto"/>
        <w:jc w:val="both"/>
        <w:rPr>
          <w:rFonts w:eastAsia="Arial"/>
          <w:bCs/>
        </w:rPr>
      </w:pPr>
      <w:r>
        <w:rPr>
          <w:rFonts w:eastAsia="Arial"/>
          <w:bCs/>
        </w:rPr>
        <w:lastRenderedPageBreak/>
        <w:tab/>
      </w:r>
      <w:r w:rsidRPr="009B602F">
        <w:rPr>
          <w:rFonts w:eastAsia="Arial"/>
          <w:bCs/>
        </w:rPr>
        <w:t>2020 metais Europoje diagnozuota 138</w:t>
      </w:r>
      <w:r>
        <w:rPr>
          <w:rFonts w:eastAsia="Arial"/>
          <w:bCs/>
        </w:rPr>
        <w:t xml:space="preserve"> </w:t>
      </w:r>
      <w:r w:rsidRPr="009B602F">
        <w:rPr>
          <w:rFonts w:eastAsia="Arial"/>
          <w:bCs/>
        </w:rPr>
        <w:t xml:space="preserve">611 naujų ILK atvejų. </w:t>
      </w:r>
      <w:r>
        <w:rPr>
          <w:rFonts w:eastAsia="Arial"/>
          <w:bCs/>
        </w:rPr>
        <w:t>P</w:t>
      </w:r>
      <w:r w:rsidRPr="009B602F">
        <w:rPr>
          <w:rFonts w:eastAsia="Arial"/>
          <w:bCs/>
        </w:rPr>
        <w:t xml:space="preserve">er pastaruosius du dešimtmečius sergamumas </w:t>
      </w:r>
      <w:r>
        <w:rPr>
          <w:rFonts w:eastAsia="Arial"/>
          <w:bCs/>
        </w:rPr>
        <w:t xml:space="preserve">ILK </w:t>
      </w:r>
      <w:r w:rsidRPr="009B602F">
        <w:rPr>
          <w:rFonts w:eastAsia="Arial"/>
          <w:bCs/>
        </w:rPr>
        <w:t xml:space="preserve">visame pasaulyje ir Europoje kasmet </w:t>
      </w:r>
      <w:r>
        <w:rPr>
          <w:rFonts w:eastAsia="Arial"/>
          <w:bCs/>
        </w:rPr>
        <w:t>augo</w:t>
      </w:r>
      <w:r w:rsidRPr="009B602F">
        <w:rPr>
          <w:rFonts w:eastAsia="Arial"/>
          <w:bCs/>
        </w:rPr>
        <w:t xml:space="preserve"> maždaug 2 </w:t>
      </w:r>
      <w:r>
        <w:rPr>
          <w:rFonts w:eastAsia="Arial"/>
          <w:bCs/>
        </w:rPr>
        <w:t>proc</w:t>
      </w:r>
      <w:r w:rsidRPr="009B602F">
        <w:rPr>
          <w:rFonts w:eastAsia="Arial"/>
          <w:bCs/>
        </w:rPr>
        <w:t xml:space="preserve">. 2022 m. pasaulinis mirtingumas nuo </w:t>
      </w:r>
      <w:r>
        <w:rPr>
          <w:rFonts w:eastAsia="Arial"/>
          <w:bCs/>
        </w:rPr>
        <w:t>ILK</w:t>
      </w:r>
      <w:r w:rsidRPr="009B602F">
        <w:rPr>
          <w:rFonts w:eastAsia="Arial"/>
          <w:bCs/>
        </w:rPr>
        <w:t xml:space="preserve"> buvo 179 368 (115 600 vyrų ir 63 768 moterų</w:t>
      </w:r>
      <w:r>
        <w:rPr>
          <w:rFonts w:eastAsia="Arial"/>
          <w:bCs/>
        </w:rPr>
        <w:t>), nors daugelyje Europos valstybių pastaraisiais metais mirtingumas nuo ILK mažėja. T</w:t>
      </w:r>
      <w:r w:rsidRPr="009B602F">
        <w:rPr>
          <w:rFonts w:eastAsia="Arial"/>
          <w:bCs/>
        </w:rPr>
        <w:t>arp Europos valstybių</w:t>
      </w:r>
      <w:r>
        <w:rPr>
          <w:rFonts w:eastAsia="Arial"/>
          <w:bCs/>
        </w:rPr>
        <w:t xml:space="preserve"> </w:t>
      </w:r>
      <w:r>
        <w:rPr>
          <w:rFonts w:eastAsia="Arial"/>
          <w:bCs/>
          <w:lang w:val="en-US"/>
        </w:rPr>
        <w:t>2020 m.</w:t>
      </w:r>
      <w:r w:rsidRPr="009B602F">
        <w:rPr>
          <w:rFonts w:eastAsia="Arial"/>
          <w:bCs/>
        </w:rPr>
        <w:t xml:space="preserve"> didžiausias ILK paplitimas nustatytas Lietuvoje – 14,5 atvej</w:t>
      </w:r>
      <w:r>
        <w:rPr>
          <w:rFonts w:eastAsia="Arial"/>
          <w:bCs/>
        </w:rPr>
        <w:t xml:space="preserve">ų </w:t>
      </w:r>
      <w:r w:rsidRPr="009B602F">
        <w:rPr>
          <w:rFonts w:eastAsia="Arial"/>
          <w:bCs/>
        </w:rPr>
        <w:t>100000 gyventoj</w:t>
      </w:r>
      <w:r>
        <w:rPr>
          <w:rFonts w:eastAsia="Arial"/>
          <w:bCs/>
        </w:rPr>
        <w:t xml:space="preserve">ų. </w:t>
      </w:r>
    </w:p>
    <w:p w14:paraId="0B8012DE" w14:textId="77777777" w:rsidR="005361D3" w:rsidRDefault="005361D3" w:rsidP="005361D3">
      <w:pPr>
        <w:tabs>
          <w:tab w:val="left" w:pos="426"/>
        </w:tabs>
        <w:spacing w:line="276" w:lineRule="auto"/>
        <w:jc w:val="both"/>
        <w:rPr>
          <w:rFonts w:eastAsia="Arial"/>
          <w:bCs/>
        </w:rPr>
      </w:pPr>
    </w:p>
    <w:p w14:paraId="4B6087E5" w14:textId="77777777" w:rsidR="005361D3" w:rsidRDefault="005361D3" w:rsidP="005361D3">
      <w:pPr>
        <w:tabs>
          <w:tab w:val="left" w:pos="426"/>
        </w:tabs>
        <w:spacing w:line="276" w:lineRule="auto"/>
        <w:jc w:val="both"/>
        <w:rPr>
          <w:rFonts w:eastAsia="Arial"/>
          <w:bCs/>
          <w:i/>
          <w:iCs/>
        </w:rPr>
      </w:pPr>
      <w:r>
        <w:rPr>
          <w:rFonts w:eastAsia="Arial"/>
          <w:bCs/>
        </w:rPr>
        <w:tab/>
      </w:r>
      <w:r>
        <w:rPr>
          <w:rFonts w:eastAsia="Arial"/>
          <w:bCs/>
          <w:i/>
          <w:iCs/>
        </w:rPr>
        <w:t>Ligos gydymas</w:t>
      </w:r>
    </w:p>
    <w:p w14:paraId="514A2D57" w14:textId="77777777" w:rsidR="005361D3" w:rsidRPr="00B60107" w:rsidRDefault="005361D3" w:rsidP="005361D3">
      <w:pPr>
        <w:tabs>
          <w:tab w:val="left" w:pos="426"/>
        </w:tabs>
        <w:spacing w:line="276" w:lineRule="auto"/>
        <w:jc w:val="both"/>
        <w:rPr>
          <w:rFonts w:eastAsia="Arial"/>
          <w:bCs/>
          <w:i/>
          <w:iCs/>
        </w:rPr>
      </w:pPr>
    </w:p>
    <w:p w14:paraId="25BA3195" w14:textId="77777777" w:rsidR="005361D3" w:rsidRDefault="005361D3" w:rsidP="005361D3">
      <w:pPr>
        <w:tabs>
          <w:tab w:val="left" w:pos="426"/>
        </w:tabs>
        <w:spacing w:line="276" w:lineRule="auto"/>
        <w:jc w:val="both"/>
        <w:rPr>
          <w:rFonts w:eastAsia="Arial"/>
          <w:bCs/>
        </w:rPr>
      </w:pPr>
      <w:r>
        <w:rPr>
          <w:rFonts w:eastAsia="Arial"/>
          <w:bCs/>
        </w:rPr>
        <w:tab/>
      </w:r>
      <w:r w:rsidRPr="0044372A">
        <w:rPr>
          <w:color w:val="000000"/>
        </w:rPr>
        <w:t>Jeigu galima, ILK gydymui taikoma nefrektomija</w:t>
      </w:r>
      <w:r>
        <w:rPr>
          <w:color w:val="000000"/>
        </w:rPr>
        <w:t>, c</w:t>
      </w:r>
      <w:r w:rsidRPr="0044372A">
        <w:rPr>
          <w:color w:val="000000"/>
        </w:rPr>
        <w:t>hiru</w:t>
      </w:r>
      <w:r>
        <w:rPr>
          <w:color w:val="000000"/>
        </w:rPr>
        <w:t>r</w:t>
      </w:r>
      <w:r w:rsidRPr="0044372A">
        <w:rPr>
          <w:color w:val="000000"/>
        </w:rPr>
        <w:t>ginis gydymas gali būti taikomas ir esant ligos metastazėms. Po nefrektomijos, esant lokalizuotai ILK, liga atsinaujina nuo 20 iki 40</w:t>
      </w:r>
      <w:r>
        <w:rPr>
          <w:color w:val="000000"/>
        </w:rPr>
        <w:t xml:space="preserve"> proc. pacientų</w:t>
      </w:r>
      <w:r w:rsidRPr="0044372A">
        <w:rPr>
          <w:color w:val="000000"/>
        </w:rPr>
        <w:t>. Ligos atsinaujinimas priklauso nuo ligos stadijos – esant T1 stadijai, liga atsinaujina 7</w:t>
      </w:r>
      <w:r>
        <w:rPr>
          <w:color w:val="000000"/>
        </w:rPr>
        <w:t xml:space="preserve"> proc.</w:t>
      </w:r>
      <w:r w:rsidRPr="0044372A">
        <w:rPr>
          <w:color w:val="000000"/>
        </w:rPr>
        <w:t xml:space="preserve"> pacientų, T2 </w:t>
      </w:r>
      <w:r>
        <w:rPr>
          <w:color w:val="000000"/>
        </w:rPr>
        <w:t>–</w:t>
      </w:r>
      <w:r w:rsidRPr="0044372A">
        <w:rPr>
          <w:color w:val="000000"/>
        </w:rPr>
        <w:t xml:space="preserve"> 26</w:t>
      </w:r>
      <w:r>
        <w:rPr>
          <w:color w:val="000000"/>
        </w:rPr>
        <w:t xml:space="preserve"> proc., </w:t>
      </w:r>
      <w:r w:rsidRPr="0044372A">
        <w:rPr>
          <w:color w:val="000000"/>
        </w:rPr>
        <w:t xml:space="preserve">T3 </w:t>
      </w:r>
      <w:r>
        <w:rPr>
          <w:color w:val="000000"/>
        </w:rPr>
        <w:t>–</w:t>
      </w:r>
      <w:r w:rsidRPr="0044372A">
        <w:rPr>
          <w:color w:val="000000"/>
        </w:rPr>
        <w:t xml:space="preserve"> 39</w:t>
      </w:r>
      <w:r>
        <w:rPr>
          <w:color w:val="000000"/>
        </w:rPr>
        <w:t xml:space="preserve"> proc. </w:t>
      </w:r>
      <w:r w:rsidRPr="0044372A">
        <w:rPr>
          <w:color w:val="000000"/>
        </w:rPr>
        <w:t xml:space="preserve"> Sėkmingai pašalinus pirminį naviką adjuvantinio gydymo tikslas </w:t>
      </w:r>
      <w:r>
        <w:rPr>
          <w:color w:val="000000"/>
        </w:rPr>
        <w:t xml:space="preserve">yra </w:t>
      </w:r>
      <w:r w:rsidRPr="0044372A">
        <w:rPr>
          <w:color w:val="000000"/>
        </w:rPr>
        <w:t xml:space="preserve">išvengti ligos atsinaujinimo. Šiuo metu, pacientui atlikus nefrektomiją, </w:t>
      </w:r>
      <w:r>
        <w:rPr>
          <w:color w:val="000000"/>
        </w:rPr>
        <w:t xml:space="preserve">Lietuvoje nėra skiriamas joks adjuvantinis gydymas po lokalios ar lokaliai išlplitusios ILK operacinio gydymo. </w:t>
      </w:r>
    </w:p>
    <w:p w14:paraId="730CE5D6" w14:textId="77777777" w:rsidR="005361D3" w:rsidRPr="00B33E72" w:rsidRDefault="005361D3" w:rsidP="005361D3">
      <w:pPr>
        <w:tabs>
          <w:tab w:val="left" w:pos="426"/>
        </w:tabs>
        <w:spacing w:line="276" w:lineRule="auto"/>
        <w:jc w:val="both"/>
        <w:rPr>
          <w:rFonts w:eastAsia="Arial"/>
          <w:bCs/>
        </w:rPr>
      </w:pPr>
      <w:r>
        <w:rPr>
          <w:rFonts w:eastAsia="Arial"/>
          <w:bCs/>
        </w:rPr>
        <w:tab/>
      </w:r>
      <w:r>
        <w:rPr>
          <w:color w:val="000000"/>
        </w:rPr>
        <w:t xml:space="preserve">Remiantis Europos onkologų draugijos </w:t>
      </w:r>
      <w:r w:rsidRPr="006B0368">
        <w:rPr>
          <w:color w:val="000000"/>
        </w:rPr>
        <w:t>202</w:t>
      </w:r>
      <w:r>
        <w:rPr>
          <w:color w:val="000000"/>
        </w:rPr>
        <w:t>4</w:t>
      </w:r>
      <w:r w:rsidRPr="006B0368">
        <w:rPr>
          <w:color w:val="000000"/>
        </w:rPr>
        <w:t xml:space="preserve"> m. atnaujintomis </w:t>
      </w:r>
      <w:r>
        <w:rPr>
          <w:color w:val="000000"/>
        </w:rPr>
        <w:t>praktinėmis gairėmis, pacientams, kuriems nustatomas neišplitęs arba vietiškai išplitęs rezektabilus T1-T</w:t>
      </w:r>
      <w:r w:rsidRPr="00721913">
        <w:rPr>
          <w:color w:val="000000"/>
        </w:rPr>
        <w:t xml:space="preserve">4 </w:t>
      </w:r>
      <w:r>
        <w:rPr>
          <w:color w:val="000000"/>
        </w:rPr>
        <w:t xml:space="preserve">pirminis navikas, taikomas operacinis gydymas (dalinė rezekcija, radikali nefrektomija). Po gydymo gairėse rekomenduojama apsvarstyti adjuvantinį gydymą svarstomu vaistiniu preparatu pembrolizumabu pacientams, kuriems nustatyta vidutinės didelės ar didelės rizikos operabili šviesiųjų ląstelių ILK. Gydymą rekomenduojama pradėti per </w:t>
      </w:r>
      <w:r w:rsidRPr="005077E1">
        <w:rPr>
          <w:color w:val="000000"/>
        </w:rPr>
        <w:t>12 savai</w:t>
      </w:r>
      <w:r>
        <w:rPr>
          <w:color w:val="000000"/>
        </w:rPr>
        <w:t xml:space="preserve">čių po operacijos ir tęsti iki </w:t>
      </w:r>
      <w:r w:rsidRPr="005077E1">
        <w:rPr>
          <w:color w:val="000000"/>
        </w:rPr>
        <w:t>vieneri</w:t>
      </w:r>
      <w:r>
        <w:rPr>
          <w:color w:val="000000"/>
        </w:rPr>
        <w:t xml:space="preserve">ų metų. </w:t>
      </w:r>
    </w:p>
    <w:p w14:paraId="50DA323C" w14:textId="77777777" w:rsidR="005361D3" w:rsidRDefault="005361D3" w:rsidP="005361D3">
      <w:pPr>
        <w:tabs>
          <w:tab w:val="left" w:pos="426"/>
        </w:tabs>
        <w:spacing w:line="276" w:lineRule="auto"/>
        <w:jc w:val="both"/>
        <w:rPr>
          <w:rFonts w:eastAsia="Arial"/>
          <w:iCs/>
          <w:color w:val="000000" w:themeColor="text1"/>
        </w:rPr>
      </w:pPr>
      <w:r>
        <w:rPr>
          <w:rFonts w:eastAsia="Arial"/>
          <w:color w:val="000000" w:themeColor="text1"/>
        </w:rPr>
        <w:tab/>
        <w:t xml:space="preserve">Atlikus detalų klinikinį vertinimą, Tarnyba įvertino, jog palyginamasis gydymas </w:t>
      </w:r>
      <w:r w:rsidRPr="00217923">
        <w:rPr>
          <w:rFonts w:eastAsia="Arial"/>
          <w:iCs/>
          <w:color w:val="000000" w:themeColor="text1"/>
        </w:rPr>
        <w:t>placebu</w:t>
      </w:r>
      <w:r>
        <w:rPr>
          <w:rFonts w:eastAsia="Arial"/>
          <w:color w:val="000000" w:themeColor="text1"/>
        </w:rPr>
        <w:t xml:space="preserve"> atitinka </w:t>
      </w:r>
      <w:r w:rsidRPr="00217923">
        <w:rPr>
          <w:rFonts w:eastAsia="Arial"/>
          <w:iCs/>
          <w:color w:val="000000" w:themeColor="text1"/>
        </w:rPr>
        <w:t xml:space="preserve">įprastą klinikinę praktiką </w:t>
      </w:r>
      <w:r>
        <w:rPr>
          <w:rFonts w:eastAsia="Arial"/>
          <w:iCs/>
          <w:color w:val="000000" w:themeColor="text1"/>
        </w:rPr>
        <w:t xml:space="preserve">gydant </w:t>
      </w:r>
      <w:r w:rsidRPr="00217923">
        <w:rPr>
          <w:rFonts w:eastAsia="Arial"/>
          <w:iCs/>
          <w:color w:val="000000" w:themeColor="text1"/>
        </w:rPr>
        <w:t>suaugusi</w:t>
      </w:r>
      <w:r>
        <w:rPr>
          <w:rFonts w:eastAsia="Arial"/>
          <w:iCs/>
          <w:color w:val="000000" w:themeColor="text1"/>
        </w:rPr>
        <w:t>us pacientus, sergančius</w:t>
      </w:r>
      <w:r w:rsidRPr="00217923">
        <w:rPr>
          <w:rFonts w:eastAsia="Arial"/>
          <w:iCs/>
          <w:color w:val="000000" w:themeColor="text1"/>
        </w:rPr>
        <w:t xml:space="preserve"> inkstų ląstelių karcinom</w:t>
      </w:r>
      <w:r>
        <w:rPr>
          <w:rFonts w:eastAsia="Arial"/>
          <w:iCs/>
          <w:color w:val="000000" w:themeColor="text1"/>
        </w:rPr>
        <w:t>a</w:t>
      </w:r>
      <w:r w:rsidRPr="00217923">
        <w:rPr>
          <w:rFonts w:eastAsia="Arial"/>
          <w:iCs/>
          <w:color w:val="000000" w:themeColor="text1"/>
        </w:rPr>
        <w:t>, kai yra padidėjusi ligos recidyvo rizika po atliktos nefrektomijos arba po nefrektomijos ir metastazių rezekcijos.</w:t>
      </w:r>
      <w:r>
        <w:rPr>
          <w:rFonts w:eastAsia="Arial"/>
          <w:iCs/>
          <w:color w:val="000000" w:themeColor="text1"/>
        </w:rPr>
        <w:t xml:space="preserve"> Vertinimui aktualūs palyginamojo pembrolizumabo ir placebo veiksmingumo duomenys pateikti tiesioginio palyginimo dalyje (klinikinis tyrimas </w:t>
      </w:r>
      <w:r w:rsidRPr="001B36ED">
        <w:rPr>
          <w:rFonts w:eastAsia="Arial"/>
          <w:bCs/>
        </w:rPr>
        <w:t>KEYNOTE-564</w:t>
      </w:r>
      <w:r>
        <w:rPr>
          <w:rFonts w:eastAsia="Arial"/>
          <w:bCs/>
        </w:rPr>
        <w:t xml:space="preserve">). </w:t>
      </w:r>
    </w:p>
    <w:p w14:paraId="5DC60C6D" w14:textId="77777777" w:rsidR="005361D3" w:rsidRDefault="005361D3" w:rsidP="005361D3">
      <w:pPr>
        <w:tabs>
          <w:tab w:val="left" w:pos="426"/>
        </w:tabs>
        <w:spacing w:line="276" w:lineRule="auto"/>
        <w:jc w:val="both"/>
        <w:rPr>
          <w:rFonts w:eastAsia="Arial"/>
          <w:iCs/>
          <w:color w:val="000000" w:themeColor="text1"/>
        </w:rPr>
      </w:pPr>
    </w:p>
    <w:p w14:paraId="11D78944" w14:textId="77777777" w:rsidR="005361D3" w:rsidRDefault="005361D3" w:rsidP="005361D3">
      <w:pPr>
        <w:tabs>
          <w:tab w:val="left" w:pos="426"/>
        </w:tabs>
        <w:spacing w:line="276" w:lineRule="auto"/>
        <w:jc w:val="both"/>
        <w:rPr>
          <w:rFonts w:eastAsia="Arial"/>
          <w:i/>
          <w:color w:val="000000" w:themeColor="text1"/>
        </w:rPr>
      </w:pPr>
      <w:r>
        <w:rPr>
          <w:rFonts w:eastAsia="Arial"/>
          <w:iCs/>
          <w:color w:val="000000" w:themeColor="text1"/>
        </w:rPr>
        <w:tab/>
      </w:r>
      <w:r>
        <w:rPr>
          <w:rFonts w:eastAsia="Arial"/>
          <w:i/>
          <w:color w:val="000000" w:themeColor="text1"/>
        </w:rPr>
        <w:t xml:space="preserve">Tiesioginis palyginimas </w:t>
      </w:r>
    </w:p>
    <w:p w14:paraId="14B9BD1D" w14:textId="77777777" w:rsidR="005361D3" w:rsidRDefault="005361D3" w:rsidP="005361D3">
      <w:pPr>
        <w:tabs>
          <w:tab w:val="left" w:pos="426"/>
        </w:tabs>
        <w:spacing w:line="276" w:lineRule="auto"/>
        <w:jc w:val="both"/>
        <w:rPr>
          <w:rFonts w:eastAsia="Arial"/>
          <w:i/>
          <w:color w:val="000000" w:themeColor="text1"/>
        </w:rPr>
      </w:pPr>
    </w:p>
    <w:p w14:paraId="3498B8FC" w14:textId="77777777" w:rsidR="005361D3" w:rsidRPr="0058353A" w:rsidRDefault="005361D3" w:rsidP="005361D3">
      <w:pPr>
        <w:tabs>
          <w:tab w:val="left" w:pos="492"/>
        </w:tabs>
        <w:spacing w:line="276" w:lineRule="auto"/>
        <w:jc w:val="both"/>
        <w:outlineLvl w:val="1"/>
        <w:rPr>
          <w:rFonts w:eastAsia="Arial"/>
          <w:bCs/>
        </w:rPr>
      </w:pPr>
      <w:r>
        <w:tab/>
      </w:r>
      <w:r w:rsidRPr="00181BAA">
        <w:t xml:space="preserve">Klinikinis </w:t>
      </w:r>
      <w:r>
        <w:t xml:space="preserve">palyginimas </w:t>
      </w:r>
      <w:r w:rsidRPr="00181BAA">
        <w:t>grindžiamas klinikinio tyrimo</w:t>
      </w:r>
      <w:r>
        <w:t xml:space="preserve"> </w:t>
      </w:r>
      <w:r w:rsidRPr="001B36ED">
        <w:rPr>
          <w:rFonts w:eastAsia="Arial"/>
          <w:bCs/>
        </w:rPr>
        <w:t xml:space="preserve">KEYNOTE-564 </w:t>
      </w:r>
      <w:r w:rsidRPr="00181BAA">
        <w:t>duomenimis.</w:t>
      </w:r>
      <w:r>
        <w:t xml:space="preserve"> </w:t>
      </w:r>
      <w:r>
        <w:rPr>
          <w:rFonts w:eastAsia="Arial"/>
          <w:bCs/>
        </w:rPr>
        <w:t xml:space="preserve">Tyrime įtraukti </w:t>
      </w:r>
      <w:r w:rsidRPr="00181BAA">
        <w:rPr>
          <w:rFonts w:eastAsia="Arial"/>
          <w:bCs/>
        </w:rPr>
        <w:t>18 metų ir vyresni</w:t>
      </w:r>
      <w:r>
        <w:rPr>
          <w:rFonts w:eastAsia="Arial"/>
          <w:bCs/>
        </w:rPr>
        <w:t xml:space="preserve">, </w:t>
      </w:r>
      <w:r w:rsidRPr="00181BAA">
        <w:rPr>
          <w:rFonts w:eastAsia="Arial"/>
          <w:bCs/>
        </w:rPr>
        <w:t>geros funkcinės būklės (ECOG 0 arba 1) pacienta</w:t>
      </w:r>
      <w:r>
        <w:rPr>
          <w:rFonts w:eastAsia="Arial"/>
          <w:bCs/>
        </w:rPr>
        <w:t>i</w:t>
      </w:r>
      <w:r w:rsidRPr="00181BAA">
        <w:rPr>
          <w:rFonts w:eastAsia="Arial"/>
          <w:bCs/>
        </w:rPr>
        <w:t>, kuriems</w:t>
      </w:r>
      <w:r>
        <w:rPr>
          <w:rFonts w:eastAsia="Arial"/>
          <w:bCs/>
        </w:rPr>
        <w:t xml:space="preserve"> nustatyta</w:t>
      </w:r>
      <w:r w:rsidRPr="008F4C3F">
        <w:rPr>
          <w:rFonts w:eastAsia="Arial"/>
          <w:bCs/>
        </w:rPr>
        <w:t xml:space="preserve"> </w:t>
      </w:r>
      <w:r w:rsidRPr="005B2A94">
        <w:rPr>
          <w:rFonts w:eastAsia="Arial"/>
          <w:bCs/>
        </w:rPr>
        <w:t xml:space="preserve">ILK su </w:t>
      </w:r>
      <w:r>
        <w:rPr>
          <w:rFonts w:eastAsia="Arial"/>
          <w:bCs/>
        </w:rPr>
        <w:t>šviesiųjų</w:t>
      </w:r>
      <w:r w:rsidRPr="005B2A94">
        <w:rPr>
          <w:rFonts w:eastAsia="Arial"/>
          <w:bCs/>
        </w:rPr>
        <w:t xml:space="preserve"> ląstelių komponentu</w:t>
      </w:r>
      <w:r>
        <w:rPr>
          <w:rFonts w:eastAsia="Arial"/>
          <w:bCs/>
        </w:rPr>
        <w:t xml:space="preserve"> ir</w:t>
      </w:r>
      <w:r w:rsidRPr="005B2A94">
        <w:rPr>
          <w:rFonts w:eastAsia="Arial"/>
          <w:bCs/>
        </w:rPr>
        <w:t xml:space="preserve"> turintys vidutin</w:t>
      </w:r>
      <w:r>
        <w:rPr>
          <w:rFonts w:eastAsia="Arial"/>
          <w:bCs/>
        </w:rPr>
        <w:t xml:space="preserve">ę </w:t>
      </w:r>
      <w:r w:rsidRPr="005B2A94">
        <w:rPr>
          <w:rFonts w:eastAsia="Arial"/>
          <w:bCs/>
        </w:rPr>
        <w:t>aukšt</w:t>
      </w:r>
      <w:r>
        <w:rPr>
          <w:rFonts w:eastAsia="Arial"/>
          <w:bCs/>
        </w:rPr>
        <w:t>ą</w:t>
      </w:r>
      <w:r w:rsidRPr="005B2A94">
        <w:rPr>
          <w:rFonts w:eastAsia="Arial"/>
          <w:bCs/>
        </w:rPr>
        <w:t xml:space="preserve"> ar didel</w:t>
      </w:r>
      <w:r>
        <w:rPr>
          <w:rFonts w:eastAsia="Arial"/>
          <w:bCs/>
        </w:rPr>
        <w:t>ę</w:t>
      </w:r>
      <w:r w:rsidRPr="005B2A94">
        <w:rPr>
          <w:rFonts w:eastAsia="Arial"/>
          <w:bCs/>
        </w:rPr>
        <w:t xml:space="preserve"> atkryčio rizik</w:t>
      </w:r>
      <w:r>
        <w:rPr>
          <w:rFonts w:eastAsia="Arial"/>
          <w:bCs/>
        </w:rPr>
        <w:t>ą</w:t>
      </w:r>
      <w:r w:rsidRPr="005B2A94">
        <w:rPr>
          <w:rFonts w:eastAsia="Arial"/>
          <w:bCs/>
        </w:rPr>
        <w:t xml:space="preserve"> po nefrektomijos,</w:t>
      </w:r>
      <w:r>
        <w:rPr>
          <w:rFonts w:eastAsia="Arial"/>
          <w:bCs/>
        </w:rPr>
        <w:t xml:space="preserve"> </w:t>
      </w:r>
      <w:r w:rsidRPr="005B2A94">
        <w:rPr>
          <w:rFonts w:eastAsia="Arial"/>
          <w:bCs/>
        </w:rPr>
        <w:t xml:space="preserve">arba pacientai, </w:t>
      </w:r>
      <w:r>
        <w:rPr>
          <w:rFonts w:eastAsia="Arial"/>
          <w:bCs/>
        </w:rPr>
        <w:t xml:space="preserve">kuriems nustatytos </w:t>
      </w:r>
      <w:r w:rsidRPr="005B2A94">
        <w:rPr>
          <w:rFonts w:eastAsia="Arial"/>
          <w:bCs/>
        </w:rPr>
        <w:t>metastaz</w:t>
      </w:r>
      <w:r>
        <w:rPr>
          <w:rFonts w:eastAsia="Arial"/>
          <w:bCs/>
        </w:rPr>
        <w:t>ės</w:t>
      </w:r>
      <w:r w:rsidRPr="005B2A94">
        <w:rPr>
          <w:rFonts w:eastAsia="Arial"/>
          <w:bCs/>
        </w:rPr>
        <w:t xml:space="preserve"> </w:t>
      </w:r>
      <w:r>
        <w:rPr>
          <w:rFonts w:eastAsia="Arial"/>
          <w:bCs/>
        </w:rPr>
        <w:t>(</w:t>
      </w:r>
      <w:r w:rsidRPr="005B2A94">
        <w:rPr>
          <w:rFonts w:eastAsia="Arial"/>
          <w:bCs/>
        </w:rPr>
        <w:t>M1 stadij</w:t>
      </w:r>
      <w:r>
        <w:rPr>
          <w:rFonts w:eastAsia="Arial"/>
          <w:bCs/>
        </w:rPr>
        <w:t xml:space="preserve">os) </w:t>
      </w:r>
      <w:r w:rsidRPr="005B2A94">
        <w:rPr>
          <w:rFonts w:eastAsia="Arial"/>
          <w:bCs/>
        </w:rPr>
        <w:t>be ligos požymių po nefrektomijos ir metastazių rezekcijos</w:t>
      </w:r>
      <w:r>
        <w:rPr>
          <w:rFonts w:eastAsia="Arial"/>
          <w:bCs/>
        </w:rPr>
        <w:t xml:space="preserve"> (angl. </w:t>
      </w:r>
      <w:r w:rsidRPr="00347AC5">
        <w:rPr>
          <w:rFonts w:eastAsia="Arial"/>
          <w:bCs/>
          <w:i/>
          <w:iCs/>
        </w:rPr>
        <w:t>tumo</w:t>
      </w:r>
      <w:r>
        <w:rPr>
          <w:rFonts w:eastAsia="Arial"/>
          <w:bCs/>
          <w:i/>
          <w:iCs/>
        </w:rPr>
        <w:t>u</w:t>
      </w:r>
      <w:r w:rsidRPr="00347AC5">
        <w:rPr>
          <w:rFonts w:eastAsia="Arial"/>
          <w:bCs/>
          <w:i/>
          <w:iCs/>
        </w:rPr>
        <w:t>r free</w:t>
      </w:r>
      <w:r>
        <w:rPr>
          <w:rFonts w:eastAsia="Arial"/>
          <w:bCs/>
        </w:rPr>
        <w:t>)</w:t>
      </w:r>
      <w:r w:rsidRPr="005B2A94">
        <w:rPr>
          <w:rFonts w:eastAsia="Arial"/>
          <w:bCs/>
        </w:rPr>
        <w:t>.</w:t>
      </w:r>
      <w:r>
        <w:rPr>
          <w:rFonts w:eastAsia="Arial"/>
          <w:bCs/>
        </w:rPr>
        <w:t xml:space="preserve"> Tyrime v</w:t>
      </w:r>
      <w:r w:rsidRPr="0058353A">
        <w:rPr>
          <w:rFonts w:eastAsia="Arial"/>
          <w:bCs/>
        </w:rPr>
        <w:t xml:space="preserve">idutinė - didelė inkstų ląstelių karcinomos recidyvo rizika </w:t>
      </w:r>
      <w:r>
        <w:rPr>
          <w:rFonts w:eastAsia="Arial"/>
          <w:bCs/>
        </w:rPr>
        <w:t>laikyta</w:t>
      </w:r>
      <w:r w:rsidRPr="0058353A">
        <w:rPr>
          <w:rFonts w:eastAsia="Arial"/>
          <w:bCs/>
        </w:rPr>
        <w:t xml:space="preserve">, kai pagal TNM klasifikaciją pirminis navikas </w:t>
      </w:r>
      <w:r>
        <w:rPr>
          <w:rFonts w:eastAsia="Arial"/>
          <w:bCs/>
        </w:rPr>
        <w:t>buvo</w:t>
      </w:r>
      <w:r w:rsidRPr="0058353A">
        <w:rPr>
          <w:rFonts w:eastAsia="Arial"/>
          <w:bCs/>
        </w:rPr>
        <w:t xml:space="preserve"> pT2 stadijos, pagal histologinę klasifikaciją nustatytas 4 rizikos laipsnis arba sarkomatoidiniai požymiai, N0, M0 arba esant pT3 stadijai, bet kokio laipsnio histologinei klasifikacijai, N0, M0. Didelės rizikos inkstų ląstelių karcinomos recidyvo rizika </w:t>
      </w:r>
      <w:r>
        <w:rPr>
          <w:rFonts w:eastAsia="Arial"/>
          <w:bCs/>
        </w:rPr>
        <w:t>laikyta</w:t>
      </w:r>
      <w:r w:rsidRPr="0058353A">
        <w:rPr>
          <w:rFonts w:eastAsia="Arial"/>
          <w:bCs/>
        </w:rPr>
        <w:t>, kai pagal TNM klasifikaciją pirminis navikas yra pT4, bet kokio laipsnio histologinės klasifikacijos, N0, M0 arba pirminis navikas yra bet kokios stadijos, bet kokio laipsnio histologinės klasifikacijos, N+, M0.</w:t>
      </w:r>
    </w:p>
    <w:p w14:paraId="61FD5EE8" w14:textId="77777777" w:rsidR="005361D3" w:rsidRPr="006403EE" w:rsidRDefault="005361D3" w:rsidP="005361D3">
      <w:pPr>
        <w:tabs>
          <w:tab w:val="left" w:pos="492"/>
        </w:tabs>
        <w:spacing w:line="276" w:lineRule="auto"/>
        <w:jc w:val="both"/>
        <w:outlineLvl w:val="1"/>
        <w:rPr>
          <w:rFonts w:eastAsia="Arial"/>
          <w:bCs/>
        </w:rPr>
      </w:pPr>
      <w:r>
        <w:rPr>
          <w:rFonts w:eastAsia="Arial"/>
          <w:bCs/>
        </w:rPr>
        <w:tab/>
        <w:t>Tyrime buvo suplanuotos kelios tarpinės analizės. Remiantis pirma tarpine analize (</w:t>
      </w:r>
      <w:r w:rsidRPr="002D5744">
        <w:rPr>
          <w:rFonts w:eastAsia="Arial"/>
          <w:bCs/>
        </w:rPr>
        <w:t>IA1, vidutinė stebėjimo trukmė 24,1 mėn.)</w:t>
      </w:r>
      <w:r>
        <w:rPr>
          <w:rFonts w:eastAsia="Arial"/>
          <w:bCs/>
        </w:rPr>
        <w:t>, nustatyta, jog vartojant pembrolizumabą ligos atsinaujinimo arba mirties rizika (t.y. IBLP; pirminė vertinamoji baigtis) buvo 32 proc. mažesnė (RS</w:t>
      </w:r>
      <w:r w:rsidRPr="002F1C26">
        <w:rPr>
          <w:rFonts w:eastAsia="Arial"/>
          <w:bCs/>
        </w:rPr>
        <w:t xml:space="preserve"> </w:t>
      </w:r>
      <w:r w:rsidRPr="001E7C31">
        <w:rPr>
          <w:rFonts w:eastAsia="Arial"/>
          <w:bCs/>
        </w:rPr>
        <w:t>0,68</w:t>
      </w:r>
      <w:r>
        <w:rPr>
          <w:rFonts w:eastAsia="Arial"/>
          <w:bCs/>
        </w:rPr>
        <w:t>;</w:t>
      </w:r>
      <w:r w:rsidRPr="001E7C31">
        <w:rPr>
          <w:rFonts w:eastAsia="Arial"/>
          <w:bCs/>
        </w:rPr>
        <w:t xml:space="preserve"> 95 proc. PI 0,53–0,87; P = 0,002</w:t>
      </w:r>
      <w:r w:rsidRPr="002F1C26">
        <w:rPr>
          <w:rFonts w:eastAsia="Arial"/>
          <w:bCs/>
        </w:rPr>
        <w:t>)</w:t>
      </w:r>
      <w:r>
        <w:rPr>
          <w:rFonts w:eastAsia="Arial"/>
          <w:bCs/>
        </w:rPr>
        <w:t xml:space="preserve"> lyginant su placebo vartojimu. Antros tarpinės analizės metu (</w:t>
      </w:r>
      <w:r w:rsidRPr="001E7C31">
        <w:rPr>
          <w:rFonts w:eastAsia="Arial"/>
          <w:bCs/>
        </w:rPr>
        <w:t>IA2, vidutinė stebėjimo trukmė 30,1 mėn.</w:t>
      </w:r>
      <w:r>
        <w:rPr>
          <w:rFonts w:eastAsia="Arial"/>
          <w:bCs/>
        </w:rPr>
        <w:t xml:space="preserve">) rizika buvo </w:t>
      </w:r>
      <w:r w:rsidRPr="001E7C31">
        <w:rPr>
          <w:rFonts w:eastAsia="Arial"/>
          <w:bCs/>
        </w:rPr>
        <w:t xml:space="preserve">37 proc. mažesnė (RS 0,63; 95 proc. PI 0,50–0,80), trečios </w:t>
      </w:r>
      <w:r>
        <w:rPr>
          <w:rFonts w:eastAsia="Arial"/>
          <w:bCs/>
        </w:rPr>
        <w:t>(</w:t>
      </w:r>
      <w:r w:rsidRPr="001E7C31">
        <w:rPr>
          <w:rFonts w:eastAsia="Arial"/>
          <w:bCs/>
        </w:rPr>
        <w:t>IA3, vidutinė stebėjimo trukmė 57,2 mėn.</w:t>
      </w:r>
      <w:r>
        <w:rPr>
          <w:rFonts w:eastAsia="Arial"/>
          <w:bCs/>
        </w:rPr>
        <w:t xml:space="preserve">) – </w:t>
      </w:r>
      <w:r>
        <w:rPr>
          <w:rFonts w:eastAsia="Arial"/>
          <w:bCs/>
          <w:lang w:val="en-US"/>
        </w:rPr>
        <w:t xml:space="preserve">28 proc. (RS 0,72; </w:t>
      </w:r>
      <w:r w:rsidRPr="00787824">
        <w:rPr>
          <w:rFonts w:eastAsia="Arial"/>
          <w:bCs/>
        </w:rPr>
        <w:t>95</w:t>
      </w:r>
      <w:r>
        <w:rPr>
          <w:rFonts w:eastAsia="Arial"/>
          <w:bCs/>
        </w:rPr>
        <w:t xml:space="preserve"> proc.</w:t>
      </w:r>
      <w:r w:rsidRPr="00787824">
        <w:rPr>
          <w:rFonts w:eastAsia="Arial"/>
          <w:bCs/>
        </w:rPr>
        <w:t xml:space="preserve"> PI, 0,59–0,87</w:t>
      </w:r>
      <w:r w:rsidRPr="006403EE">
        <w:rPr>
          <w:rFonts w:eastAsia="Arial"/>
          <w:bCs/>
        </w:rPr>
        <w:t xml:space="preserve">). </w:t>
      </w:r>
    </w:p>
    <w:p w14:paraId="502ECF6F" w14:textId="77777777" w:rsidR="005361D3" w:rsidRDefault="005361D3" w:rsidP="005361D3">
      <w:pPr>
        <w:tabs>
          <w:tab w:val="left" w:pos="492"/>
        </w:tabs>
        <w:spacing w:line="276" w:lineRule="auto"/>
        <w:jc w:val="both"/>
        <w:outlineLvl w:val="1"/>
        <w:rPr>
          <w:rFonts w:eastAsia="Arial"/>
          <w:bCs/>
        </w:rPr>
      </w:pPr>
      <w:r w:rsidRPr="006403EE">
        <w:rPr>
          <w:rFonts w:eastAsia="Arial"/>
          <w:bCs/>
        </w:rPr>
        <w:lastRenderedPageBreak/>
        <w:tab/>
        <w:t>Remiantis bendro išgyvenamumo duomenimis (antrinė vertinamoji baigtis), pirmos analizės metu nustatyta, jog mirties dėl bet kokios priežasties rizika buvo 46 proc. ma</w:t>
      </w:r>
      <w:r>
        <w:rPr>
          <w:rFonts w:eastAsia="Arial"/>
          <w:bCs/>
        </w:rPr>
        <w:t xml:space="preserve">žesnė </w:t>
      </w:r>
      <w:r w:rsidRPr="00B33AC2">
        <w:rPr>
          <w:rFonts w:eastAsia="Arial"/>
          <w:bCs/>
        </w:rPr>
        <w:t>(</w:t>
      </w:r>
      <w:r>
        <w:rPr>
          <w:rFonts w:eastAsia="Arial"/>
          <w:bCs/>
        </w:rPr>
        <w:t>RS</w:t>
      </w:r>
      <w:r w:rsidRPr="00B33AC2">
        <w:rPr>
          <w:rFonts w:eastAsia="Arial"/>
          <w:bCs/>
        </w:rPr>
        <w:t xml:space="preserve"> 0,54; 95</w:t>
      </w:r>
      <w:r>
        <w:rPr>
          <w:rFonts w:eastAsia="Arial"/>
          <w:bCs/>
        </w:rPr>
        <w:t xml:space="preserve"> proc.</w:t>
      </w:r>
      <w:r w:rsidRPr="00B33AC2">
        <w:rPr>
          <w:rFonts w:eastAsia="Arial"/>
          <w:bCs/>
        </w:rPr>
        <w:t xml:space="preserve"> PI, 0,30–0,96)</w:t>
      </w:r>
      <w:r>
        <w:rPr>
          <w:rFonts w:eastAsia="Arial"/>
          <w:bCs/>
        </w:rPr>
        <w:t xml:space="preserve">. Antros tarpinės analizės metu rizika buvo </w:t>
      </w:r>
      <w:r>
        <w:rPr>
          <w:rFonts w:eastAsia="Arial"/>
          <w:bCs/>
          <w:lang w:val="en-US"/>
        </w:rPr>
        <w:t xml:space="preserve">48 proc. </w:t>
      </w:r>
      <w:proofErr w:type="spellStart"/>
      <w:r>
        <w:rPr>
          <w:rFonts w:eastAsia="Arial"/>
          <w:bCs/>
          <w:lang w:val="en-US"/>
        </w:rPr>
        <w:t>mažesnė</w:t>
      </w:r>
      <w:proofErr w:type="spellEnd"/>
      <w:r>
        <w:rPr>
          <w:rFonts w:eastAsia="Arial"/>
          <w:bCs/>
          <w:lang w:val="en-US"/>
        </w:rPr>
        <w:t xml:space="preserve"> (</w:t>
      </w:r>
      <w:r>
        <w:rPr>
          <w:rFonts w:eastAsia="Arial"/>
          <w:bCs/>
        </w:rPr>
        <w:t>RS</w:t>
      </w:r>
      <w:r w:rsidRPr="009B78D3">
        <w:rPr>
          <w:rFonts w:eastAsia="Arial"/>
          <w:bCs/>
        </w:rPr>
        <w:t xml:space="preserve"> 0,52</w:t>
      </w:r>
      <w:r>
        <w:rPr>
          <w:rFonts w:eastAsia="Arial"/>
          <w:bCs/>
        </w:rPr>
        <w:t xml:space="preserve">; </w:t>
      </w:r>
      <w:r w:rsidRPr="009B78D3">
        <w:rPr>
          <w:rFonts w:eastAsia="Arial"/>
          <w:bCs/>
        </w:rPr>
        <w:t>95</w:t>
      </w:r>
      <w:r>
        <w:rPr>
          <w:rFonts w:eastAsia="Arial"/>
          <w:bCs/>
        </w:rPr>
        <w:t xml:space="preserve"> proc.</w:t>
      </w:r>
      <w:r w:rsidRPr="009B78D3">
        <w:rPr>
          <w:rFonts w:eastAsia="Arial"/>
          <w:bCs/>
        </w:rPr>
        <w:t xml:space="preserve"> PI 0,31–0,86)</w:t>
      </w:r>
      <w:r>
        <w:rPr>
          <w:rFonts w:eastAsia="Arial"/>
          <w:bCs/>
        </w:rPr>
        <w:t xml:space="preserve">, trečios – </w:t>
      </w:r>
      <w:r w:rsidRPr="0001141B">
        <w:rPr>
          <w:rFonts w:eastAsia="Arial"/>
          <w:bCs/>
        </w:rPr>
        <w:t>38 proc. (</w:t>
      </w:r>
      <w:r>
        <w:rPr>
          <w:rFonts w:eastAsia="Arial"/>
          <w:bCs/>
        </w:rPr>
        <w:t>RS</w:t>
      </w:r>
      <w:r w:rsidRPr="00CA44CA">
        <w:rPr>
          <w:rFonts w:eastAsia="Arial"/>
          <w:bCs/>
        </w:rPr>
        <w:t xml:space="preserve"> 0,62</w:t>
      </w:r>
      <w:r>
        <w:rPr>
          <w:rFonts w:eastAsia="Arial"/>
          <w:bCs/>
        </w:rPr>
        <w:t>,</w:t>
      </w:r>
      <w:r w:rsidRPr="00CA44CA">
        <w:rPr>
          <w:rFonts w:eastAsia="Arial"/>
          <w:bCs/>
        </w:rPr>
        <w:t xml:space="preserve"> 95</w:t>
      </w:r>
      <w:r>
        <w:rPr>
          <w:rFonts w:eastAsia="Arial"/>
          <w:bCs/>
        </w:rPr>
        <w:t xml:space="preserve"> proc.</w:t>
      </w:r>
      <w:r w:rsidRPr="00CA44CA">
        <w:rPr>
          <w:rFonts w:eastAsia="Arial"/>
          <w:bCs/>
        </w:rPr>
        <w:t xml:space="preserve"> PI, 0,44–0,87; P = 0,005</w:t>
      </w:r>
      <w:r w:rsidRPr="0001141B">
        <w:rPr>
          <w:rFonts w:eastAsia="Arial"/>
          <w:bCs/>
        </w:rPr>
        <w:t>). Pareiškėjas nepateikė galutinių BI duomenų (tre</w:t>
      </w:r>
      <w:r>
        <w:rPr>
          <w:rFonts w:eastAsia="Arial"/>
          <w:bCs/>
        </w:rPr>
        <w:t>čia tarpinė analizė atlikta įvykus 141 mirtims, galutinė BI analizė bus atlikta įvykus 200 mirčių</w:t>
      </w:r>
      <w:r w:rsidRPr="0001141B">
        <w:rPr>
          <w:rFonts w:eastAsia="Arial"/>
          <w:bCs/>
        </w:rPr>
        <w:t>), tačiau remiantis trijų tarpinių analizių duomenimis, pembrolizumabas reikšmingai prailgina bendrą pacientų, kuriems atlikta nefrektomija su ar be metastazių rezekcija dėl ILK</w:t>
      </w:r>
      <w:r>
        <w:rPr>
          <w:rFonts w:eastAsia="Arial"/>
          <w:bCs/>
        </w:rPr>
        <w:t>,</w:t>
      </w:r>
      <w:r w:rsidRPr="0001141B">
        <w:rPr>
          <w:rFonts w:eastAsia="Arial"/>
          <w:bCs/>
        </w:rPr>
        <w:t xml:space="preserve"> išgyvenamumą, lyginant su placebo.</w:t>
      </w:r>
      <w:r>
        <w:rPr>
          <w:rFonts w:eastAsia="Arial"/>
          <w:bCs/>
        </w:rPr>
        <w:t xml:space="preserve"> </w:t>
      </w:r>
    </w:p>
    <w:p w14:paraId="2ED8B768" w14:textId="77777777" w:rsidR="005361D3" w:rsidRPr="0001141B" w:rsidRDefault="005361D3" w:rsidP="005361D3">
      <w:pPr>
        <w:tabs>
          <w:tab w:val="left" w:pos="492"/>
        </w:tabs>
        <w:spacing w:line="276" w:lineRule="auto"/>
        <w:jc w:val="both"/>
        <w:outlineLvl w:val="1"/>
        <w:rPr>
          <w:rFonts w:eastAsia="Arial"/>
          <w:bCs/>
        </w:rPr>
      </w:pPr>
      <w:r>
        <w:rPr>
          <w:rFonts w:eastAsia="Arial"/>
          <w:bCs/>
        </w:rPr>
        <w:tab/>
        <w:t xml:space="preserve">Apibendrinus pateikus palyginamojo pembrolizumabo ir placebo veiksmingumo duomenis, Tarnyba vertina, jog klinikiniame tyrime </w:t>
      </w:r>
      <w:r w:rsidRPr="00074146">
        <w:rPr>
          <w:rFonts w:eastAsia="Arial"/>
          <w:bCs/>
        </w:rPr>
        <w:t xml:space="preserve">KEYNOTE-564 </w:t>
      </w:r>
      <w:r>
        <w:rPr>
          <w:rFonts w:eastAsia="Arial"/>
          <w:bCs/>
        </w:rPr>
        <w:t xml:space="preserve">buvo </w:t>
      </w:r>
      <w:r w:rsidRPr="00074146">
        <w:rPr>
          <w:rFonts w:eastAsia="Arial"/>
          <w:bCs/>
        </w:rPr>
        <w:t>įrodytas adjuvantinio pembrolizumabo gydymo pranašumas išgyvenamumo be ligos progresavimo atžvilgiu lyginant su placebu</w:t>
      </w:r>
      <w:r>
        <w:rPr>
          <w:rFonts w:eastAsia="Arial"/>
          <w:bCs/>
        </w:rPr>
        <w:t xml:space="preserve">. Bendro išgyvenamumo duomenys nors ir nebrandūs, tačiau trijų tarpinių analizių duomenimis – rodantys pembrolizumabo pranašumo tendeciją, kartu su išgyvenamumo be ligos progresavimo duomenimis, pagrindžia didesnį pembrolizumbo veiksmingumą, lyginant su įprastine klinikine praktika (placebu). </w:t>
      </w:r>
    </w:p>
    <w:p w14:paraId="4B00E1B4" w14:textId="77777777" w:rsidR="005361D3" w:rsidRPr="0001141B" w:rsidRDefault="005361D3" w:rsidP="005361D3">
      <w:pPr>
        <w:tabs>
          <w:tab w:val="left" w:pos="492"/>
        </w:tabs>
        <w:spacing w:line="276" w:lineRule="auto"/>
        <w:jc w:val="both"/>
        <w:outlineLvl w:val="1"/>
        <w:rPr>
          <w:rFonts w:eastAsia="Arial"/>
          <w:bCs/>
        </w:rPr>
      </w:pPr>
      <w:r w:rsidRPr="0001141B">
        <w:rPr>
          <w:rFonts w:eastAsia="Arial"/>
          <w:bCs/>
        </w:rPr>
        <w:tab/>
        <w:t xml:space="preserve">Remiantis bendrais ir inkstų vėžiui specifiniais gyvenimo kokybės klausimynais, sveikatos būklė vartojant pembrolizumabą lyginant su placebo vartojimu reikšmingai nesiskyrė, tačiau buvo stebima funkcijų bei simptomų blogėjimo tendencija vartojant pembrolizumabą. Nors didžiajai daliai pacientų gyvenimo kokybė/funkcijos išliko stabilios, pacientų, patyrusių gyvenimo kokybės/funkcijų pagerėjimą dalis vartojant pembrolizumabą buvo mažesnė, nei patyrusių jų pablogėjimą. Apibendrinus, adjuvantinis pembrolizumabo vartojimas pacientams sergantiems ILK gali lemti gyvenimo kokybės blogėjimą, tačiau remiantis KEYNOTE-564 tyrimo rezultatais, blogėjimas neviršijo klausimynų minimalių kliniškai reikšmingų ribų. </w:t>
      </w:r>
    </w:p>
    <w:p w14:paraId="7BDF96D2" w14:textId="77777777" w:rsidR="005361D3" w:rsidRDefault="005361D3" w:rsidP="005361D3">
      <w:pPr>
        <w:tabs>
          <w:tab w:val="left" w:pos="492"/>
        </w:tabs>
        <w:spacing w:line="276" w:lineRule="auto"/>
        <w:jc w:val="both"/>
        <w:outlineLvl w:val="1"/>
        <w:rPr>
          <w:rFonts w:eastAsia="Arial"/>
          <w:bCs/>
        </w:rPr>
      </w:pPr>
      <w:r w:rsidRPr="0001141B">
        <w:rPr>
          <w:rFonts w:eastAsia="Arial"/>
          <w:bCs/>
        </w:rPr>
        <w:tab/>
      </w:r>
      <w:r w:rsidRPr="00E57892">
        <w:rPr>
          <w:rFonts w:eastAsia="Arial"/>
          <w:bCs/>
        </w:rPr>
        <w:t>Vartojant pembrolizumabą įvyko daugiau NR, daugiau pacientų nutraukė gydymą nei gydant placebu. Tyrime ketvirtadaliui pacientų vartojusių pembrolizumabą diagnozuotas skydliaukės funkcijos sutrikimas. Tyrime įvykę NR yra būdingi imunoterapijos vaistinių preparatų grupei, tyrime neįvyko mirčių susijusių su tiriamųjų vaistinių preparatų vartojimu, todėl NR išvystymo rizika yra priimtina.</w:t>
      </w:r>
    </w:p>
    <w:p w14:paraId="6CCC1CC6" w14:textId="77777777" w:rsidR="005361D3" w:rsidRPr="00857078" w:rsidRDefault="005361D3" w:rsidP="005361D3">
      <w:pPr>
        <w:tabs>
          <w:tab w:val="left" w:pos="492"/>
        </w:tabs>
        <w:spacing w:line="276" w:lineRule="auto"/>
        <w:ind w:firstLine="425"/>
        <w:contextualSpacing/>
        <w:jc w:val="both"/>
        <w:outlineLvl w:val="1"/>
      </w:pPr>
      <w:r w:rsidRPr="00B14079">
        <w:t>Apibendrinant klinikinio veiksmingumo rezultatus</w:t>
      </w:r>
      <w:r>
        <w:t>, pacientams, sergantiems</w:t>
      </w:r>
      <w:r w:rsidRPr="00074146">
        <w:t xml:space="preserve"> inkstų ląstelių karcinom</w:t>
      </w:r>
      <w:r>
        <w:t>a</w:t>
      </w:r>
      <w:r w:rsidRPr="00074146">
        <w:t xml:space="preserve">, kai yra padidėjusi ligos recidyvo rizika po atliktos nefrektomijos arba po nefrektomijos ir metastazių rezekcijos, </w:t>
      </w:r>
      <w:r>
        <w:t xml:space="preserve">pembrolizumabo skyrimas </w:t>
      </w:r>
      <w:r w:rsidRPr="00074146">
        <w:t>adjuvantiniam gydymui</w:t>
      </w:r>
      <w:r>
        <w:t xml:space="preserve"> yra didesnis, lyginant su įprastine Lietuvos klinikine praktika (placebu). </w:t>
      </w:r>
    </w:p>
    <w:p w14:paraId="25F89291" w14:textId="5C45C8FC" w:rsidR="00D4485B" w:rsidRPr="00632BB3" w:rsidRDefault="00D4485B" w:rsidP="00A93AA6">
      <w:pPr>
        <w:pStyle w:val="Sraopastraipa"/>
        <w:tabs>
          <w:tab w:val="left" w:pos="426"/>
        </w:tabs>
        <w:ind w:left="0"/>
        <w:rPr>
          <w:b/>
          <w:bCs/>
          <w:caps/>
        </w:rPr>
      </w:pPr>
    </w:p>
    <w:p w14:paraId="7DE09EB5" w14:textId="69E9DD74" w:rsidR="00E03C3F" w:rsidRPr="00632BB3" w:rsidRDefault="00CC7832" w:rsidP="00CC09D4">
      <w:pPr>
        <w:pStyle w:val="Sraopastraipa"/>
        <w:numPr>
          <w:ilvl w:val="0"/>
          <w:numId w:val="12"/>
        </w:numPr>
        <w:tabs>
          <w:tab w:val="left" w:pos="567"/>
        </w:tabs>
        <w:ind w:hanging="720"/>
        <w:rPr>
          <w:b/>
          <w:bCs/>
          <w:caps/>
        </w:rPr>
      </w:pPr>
      <w:r w:rsidRPr="00632BB3">
        <w:rPr>
          <w:b/>
          <w:bCs/>
          <w:caps/>
        </w:rPr>
        <w:t xml:space="preserve">ekonominio vertinimo </w:t>
      </w:r>
      <w:r w:rsidR="002F0E4F" w:rsidRPr="00632BB3">
        <w:rPr>
          <w:b/>
          <w:bCs/>
          <w:caps/>
        </w:rPr>
        <w:t>apibendrinimas</w:t>
      </w:r>
    </w:p>
    <w:p w14:paraId="4801D227" w14:textId="64CED915" w:rsidR="009E44AE" w:rsidRDefault="009E44AE" w:rsidP="00A93AA6">
      <w:pPr>
        <w:tabs>
          <w:tab w:val="left" w:pos="426"/>
        </w:tabs>
        <w:rPr>
          <w:b/>
          <w:lang w:eastAsia="lt-LT"/>
        </w:rPr>
      </w:pPr>
    </w:p>
    <w:p w14:paraId="41895DA9" w14:textId="380F9855" w:rsidR="00032A81" w:rsidRDefault="00D52BBB" w:rsidP="00D52BBB">
      <w:pPr>
        <w:tabs>
          <w:tab w:val="left" w:pos="567"/>
        </w:tabs>
        <w:spacing w:line="276" w:lineRule="auto"/>
        <w:jc w:val="both"/>
        <w:rPr>
          <w:lang w:eastAsia="lt-LT"/>
        </w:rPr>
      </w:pPr>
      <w:r>
        <w:rPr>
          <w:rFonts w:eastAsia="Arial"/>
        </w:rPr>
        <w:tab/>
      </w:r>
      <w:r w:rsidR="00032A81" w:rsidRPr="00CC5B7E">
        <w:rPr>
          <w:rFonts w:eastAsia="Arial"/>
        </w:rPr>
        <w:t xml:space="preserve">Vertinimui pateikta kaštų naudingumo analizė, kurioje nagrinėjamas pembrolizumabo (Keytruda) kaštų naudingumas. </w:t>
      </w:r>
      <w:r w:rsidR="00032A81" w:rsidRPr="00CC5B7E">
        <w:rPr>
          <w:lang w:eastAsia="lt-LT"/>
        </w:rPr>
        <w:t>Analizuojami pacientai, sergantys inkstų ląstelių karcinoma, kai yra padidėjusi ligos recidyvo rizika po atliktos nefrektomijos arba po nefrektomijos ir metastazių rezekcijos, adjuvantiniam gydymui.</w:t>
      </w:r>
      <w:r w:rsidR="00032A81">
        <w:rPr>
          <w:lang w:eastAsia="lt-LT"/>
        </w:rPr>
        <w:t xml:space="preserve"> Palyginamasis gydymas analizėje atitinka Lietuvos klinikinę praktiką – šiuo metu analizuojami pacientai papildomo gydymo negauna, o pacientams taikomas jų būsenos stebėjimas (placebo). Analizėje taikomas Markovo kohortos modeliavimo metodas su 1 savaitės ciklo trukme.</w:t>
      </w:r>
    </w:p>
    <w:p w14:paraId="4DDAF75B" w14:textId="77777777" w:rsidR="00032A81" w:rsidRDefault="00032A81" w:rsidP="00D52BBB">
      <w:pPr>
        <w:spacing w:line="276" w:lineRule="auto"/>
        <w:jc w:val="both"/>
      </w:pPr>
      <w:r>
        <w:rPr>
          <w:lang w:eastAsia="lt-LT"/>
        </w:rPr>
        <w:t xml:space="preserve">Analizė grindžiama tiesioginio palyginimo įrodymais iš KEYNOTE-564 klinikinio tyrimo. </w:t>
      </w:r>
      <w:r>
        <w:t xml:space="preserve">KEYNOTE-564 yra randomizuotas, kontroliuojamas, dvigubai aklas, dviejų rankų klinikinis tyrimas. Būklių perėjimo tikimybės analizėje gautos iš KEYNOTE-564 tyrimo, sisteminės literatūros apžvalgos, tinklinės metaanalizės bei tikro pasaulio duomenų. </w:t>
      </w:r>
    </w:p>
    <w:p w14:paraId="64504B87" w14:textId="77777777" w:rsidR="00032A81" w:rsidRDefault="00032A81" w:rsidP="00D52BBB">
      <w:pPr>
        <w:spacing w:line="276" w:lineRule="auto"/>
        <w:jc w:val="both"/>
      </w:pPr>
      <w:r>
        <w:lastRenderedPageBreak/>
        <w:t>Gyvenimo kokybės įverčių duomenys analizėje yra grindžiami KEYNOTE-464 bei KEYNOTE-426 tyrimais ir publikuota literatūra. Taikomas gyvenimo kokybės įverčių sumažėjimas dėl amžiaus.</w:t>
      </w:r>
    </w:p>
    <w:p w14:paraId="776E6257" w14:textId="77777777" w:rsidR="00032A81" w:rsidRDefault="00032A81" w:rsidP="00D52BBB">
      <w:pPr>
        <w:spacing w:line="276" w:lineRule="auto"/>
        <w:jc w:val="both"/>
      </w:pPr>
      <w:r>
        <w:t xml:space="preserve">Atsižvelgiant į tai jog </w:t>
      </w:r>
      <w:r w:rsidRPr="00AD6119">
        <w:t xml:space="preserve">analizė yra grįsta tiesioginio palyginimo įrodymais, o prielaidų alternatyvos nagrinėjamos </w:t>
      </w:r>
      <w:r>
        <w:t>jautrumo ir scenarijų analizėse, laikoma, jog gautas analizės rezultatas yra tinkamas interpretavimui bei sprendimo priėmimo pagrindimui.</w:t>
      </w:r>
    </w:p>
    <w:p w14:paraId="60BF9DD0" w14:textId="77777777" w:rsidR="00032A81" w:rsidRDefault="00032A81" w:rsidP="00D52BBB">
      <w:pPr>
        <w:spacing w:line="276" w:lineRule="auto"/>
        <w:jc w:val="both"/>
      </w:pPr>
      <w:r>
        <w:t>Tarnyba pagrindinio atvejo analizėje, siekdama pateikti konservatyvų analizės rezultatą, netaiko RDI prielaidų.</w:t>
      </w:r>
    </w:p>
    <w:p w14:paraId="3216184B" w14:textId="77777777" w:rsidR="00032A81" w:rsidRPr="00D05364" w:rsidRDefault="00032A81" w:rsidP="00D52BBB">
      <w:pPr>
        <w:spacing w:line="276" w:lineRule="auto"/>
        <w:jc w:val="both"/>
        <w:rPr>
          <w:i/>
        </w:rPr>
      </w:pPr>
      <w:r>
        <w:t>Įvertinus analizės rezultatą, nustatyta, jog pembrolizumabas gali būti laikomas kaštams efektyviu gydymo pasirinkimu, net taikant mažiausią – 1BVP per capita referencinę kaštų naudingumo vertę.</w:t>
      </w:r>
    </w:p>
    <w:p w14:paraId="6E6ADE35" w14:textId="77777777" w:rsidR="00032A81" w:rsidRDefault="00032A81" w:rsidP="00A93AA6">
      <w:pPr>
        <w:tabs>
          <w:tab w:val="left" w:pos="426"/>
        </w:tabs>
        <w:rPr>
          <w:b/>
          <w:lang w:eastAsia="lt-LT"/>
        </w:rPr>
      </w:pPr>
    </w:p>
    <w:p w14:paraId="063D33A1" w14:textId="6B1984DD" w:rsidR="009440AF" w:rsidRDefault="009440AF" w:rsidP="00A93AA6">
      <w:pPr>
        <w:tabs>
          <w:tab w:val="left" w:pos="426"/>
        </w:tabs>
        <w:rPr>
          <w:b/>
          <w:lang w:eastAsia="lt-LT"/>
        </w:rPr>
      </w:pPr>
    </w:p>
    <w:tbl>
      <w:tblPr>
        <w:tblStyle w:val="Lentelstinklelis"/>
        <w:tblW w:w="9908"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31"/>
        <w:gridCol w:w="1950"/>
        <w:gridCol w:w="1952"/>
        <w:gridCol w:w="3375"/>
      </w:tblGrid>
      <w:tr w:rsidR="009440AF" w:rsidRPr="00D05364" w14:paraId="1DBE9FA8" w14:textId="77777777" w:rsidTr="00546899">
        <w:trPr>
          <w:trHeight w:val="364"/>
          <w:jc w:val="center"/>
        </w:trPr>
        <w:tc>
          <w:tcPr>
            <w:tcW w:w="9908" w:type="dxa"/>
            <w:gridSpan w:val="4"/>
            <w:tcBorders>
              <w:top w:val="single" w:sz="12" w:space="0" w:color="auto"/>
              <w:bottom w:val="single" w:sz="4" w:space="0" w:color="auto"/>
            </w:tcBorders>
            <w:vAlign w:val="center"/>
          </w:tcPr>
          <w:p w14:paraId="70EF0C7A" w14:textId="77777777" w:rsidR="009440AF" w:rsidRPr="00D05364" w:rsidRDefault="009440AF" w:rsidP="00546899">
            <w:pPr>
              <w:tabs>
                <w:tab w:val="left" w:pos="567"/>
              </w:tabs>
              <w:jc w:val="center"/>
              <w:rPr>
                <w:b/>
                <w:i/>
                <w:iCs/>
                <w:color w:val="00B050"/>
                <w:sz w:val="22"/>
                <w:szCs w:val="22"/>
                <w:lang w:eastAsia="lt-LT"/>
              </w:rPr>
            </w:pPr>
            <w:r w:rsidRPr="00D05364">
              <w:rPr>
                <w:b/>
                <w:lang w:eastAsia="lt-LT"/>
              </w:rPr>
              <w:t>Kaštai</w:t>
            </w:r>
          </w:p>
        </w:tc>
      </w:tr>
      <w:tr w:rsidR="009440AF" w:rsidRPr="00D05364" w14:paraId="6C0B5EE0" w14:textId="77777777" w:rsidTr="00546899">
        <w:trPr>
          <w:jc w:val="center"/>
        </w:trPr>
        <w:tc>
          <w:tcPr>
            <w:tcW w:w="2631" w:type="dxa"/>
            <w:tcBorders>
              <w:top w:val="single" w:sz="4" w:space="0" w:color="auto"/>
              <w:bottom w:val="single" w:sz="4" w:space="0" w:color="auto"/>
            </w:tcBorders>
          </w:tcPr>
          <w:p w14:paraId="34FFA2E9" w14:textId="77777777" w:rsidR="009440AF" w:rsidRPr="00D05364" w:rsidRDefault="009440AF" w:rsidP="00546899">
            <w:pPr>
              <w:tabs>
                <w:tab w:val="left" w:pos="567"/>
              </w:tabs>
              <w:jc w:val="both"/>
              <w:rPr>
                <w:color w:val="00B050"/>
                <w:lang w:eastAsia="lt-LT"/>
              </w:rPr>
            </w:pPr>
          </w:p>
        </w:tc>
        <w:tc>
          <w:tcPr>
            <w:tcW w:w="1950" w:type="dxa"/>
            <w:tcBorders>
              <w:top w:val="single" w:sz="4" w:space="0" w:color="auto"/>
              <w:bottom w:val="single" w:sz="4" w:space="0" w:color="auto"/>
            </w:tcBorders>
          </w:tcPr>
          <w:p w14:paraId="4E1984EF" w14:textId="77777777" w:rsidR="009440AF" w:rsidRPr="00D05364" w:rsidRDefault="009440AF" w:rsidP="00546899">
            <w:pPr>
              <w:tabs>
                <w:tab w:val="left" w:pos="567"/>
              </w:tabs>
              <w:jc w:val="both"/>
              <w:rPr>
                <w:i/>
                <w:iCs/>
                <w:lang w:eastAsia="lt-LT"/>
              </w:rPr>
            </w:pPr>
            <w:r>
              <w:rPr>
                <w:i/>
                <w:iCs/>
                <w:lang w:eastAsia="lt-LT"/>
              </w:rPr>
              <w:t>Pembrolizumabas</w:t>
            </w:r>
          </w:p>
        </w:tc>
        <w:tc>
          <w:tcPr>
            <w:tcW w:w="1952" w:type="dxa"/>
            <w:tcBorders>
              <w:top w:val="single" w:sz="4" w:space="0" w:color="auto"/>
              <w:bottom w:val="single" w:sz="4" w:space="0" w:color="auto"/>
            </w:tcBorders>
          </w:tcPr>
          <w:p w14:paraId="440D98D2" w14:textId="77777777" w:rsidR="009440AF" w:rsidRPr="00D05364" w:rsidRDefault="009440AF" w:rsidP="00546899">
            <w:pPr>
              <w:tabs>
                <w:tab w:val="left" w:pos="567"/>
              </w:tabs>
              <w:jc w:val="both"/>
              <w:rPr>
                <w:i/>
                <w:iCs/>
                <w:lang w:eastAsia="lt-LT"/>
              </w:rPr>
            </w:pPr>
            <w:r>
              <w:rPr>
                <w:i/>
                <w:iCs/>
                <w:lang w:eastAsia="lt-LT"/>
              </w:rPr>
              <w:t>Stebėjimas</w:t>
            </w:r>
          </w:p>
        </w:tc>
        <w:tc>
          <w:tcPr>
            <w:tcW w:w="3375" w:type="dxa"/>
            <w:tcBorders>
              <w:top w:val="single" w:sz="4" w:space="0" w:color="auto"/>
              <w:bottom w:val="single" w:sz="4" w:space="0" w:color="auto"/>
            </w:tcBorders>
          </w:tcPr>
          <w:p w14:paraId="58AC7B84" w14:textId="77777777" w:rsidR="009440AF" w:rsidRPr="00D05364" w:rsidRDefault="009440AF" w:rsidP="00546899">
            <w:pPr>
              <w:tabs>
                <w:tab w:val="left" w:pos="567"/>
              </w:tabs>
              <w:jc w:val="both"/>
              <w:rPr>
                <w:i/>
                <w:lang w:eastAsia="lt-LT"/>
              </w:rPr>
            </w:pPr>
            <w:r w:rsidRPr="00D05364">
              <w:rPr>
                <w:i/>
                <w:lang w:eastAsia="lt-LT"/>
              </w:rPr>
              <w:t>Skirtumas</w:t>
            </w:r>
          </w:p>
        </w:tc>
      </w:tr>
      <w:tr w:rsidR="009440AF" w:rsidRPr="00D05364" w14:paraId="59D697C1" w14:textId="77777777" w:rsidTr="00546899">
        <w:trPr>
          <w:jc w:val="center"/>
        </w:trPr>
        <w:tc>
          <w:tcPr>
            <w:tcW w:w="2631" w:type="dxa"/>
            <w:tcBorders>
              <w:top w:val="single" w:sz="4" w:space="0" w:color="auto"/>
              <w:bottom w:val="single" w:sz="4" w:space="0" w:color="auto"/>
            </w:tcBorders>
          </w:tcPr>
          <w:p w14:paraId="0B43B51C" w14:textId="77777777" w:rsidR="009440AF" w:rsidRPr="00D05364" w:rsidRDefault="009440AF" w:rsidP="00546899">
            <w:pPr>
              <w:tabs>
                <w:tab w:val="left" w:pos="567"/>
              </w:tabs>
              <w:jc w:val="both"/>
              <w:rPr>
                <w:iCs/>
                <w:color w:val="00B050"/>
                <w:lang w:eastAsia="lt-LT"/>
              </w:rPr>
            </w:pPr>
            <w:r>
              <w:rPr>
                <w:iCs/>
                <w:color w:val="000000"/>
                <w:lang w:eastAsia="lt-LT"/>
              </w:rPr>
              <w:t>Adjuvantinio g</w:t>
            </w:r>
            <w:r w:rsidRPr="00D05364">
              <w:rPr>
                <w:iCs/>
                <w:color w:val="000000"/>
                <w:lang w:eastAsia="lt-LT"/>
              </w:rPr>
              <w:t>ydymo kaštai</w:t>
            </w:r>
          </w:p>
        </w:tc>
        <w:tc>
          <w:tcPr>
            <w:tcW w:w="1950" w:type="dxa"/>
            <w:tcBorders>
              <w:top w:val="single" w:sz="4" w:space="0" w:color="auto"/>
              <w:bottom w:val="single" w:sz="4" w:space="0" w:color="auto"/>
            </w:tcBorders>
          </w:tcPr>
          <w:p w14:paraId="3F879EDB" w14:textId="6AEA5C5C" w:rsidR="009440AF" w:rsidRPr="00D05364" w:rsidRDefault="002F3C16" w:rsidP="00546899">
            <w:pPr>
              <w:tabs>
                <w:tab w:val="left" w:pos="567"/>
              </w:tabs>
              <w:jc w:val="both"/>
              <w:rPr>
                <w:i/>
                <w:iCs/>
                <w:lang w:eastAsia="lt-LT"/>
              </w:rPr>
            </w:pPr>
            <w:r>
              <w:rPr>
                <w:i/>
                <w:iCs/>
                <w:lang w:eastAsia="lt-LT"/>
              </w:rPr>
              <w:t>*****</w:t>
            </w:r>
          </w:p>
        </w:tc>
        <w:tc>
          <w:tcPr>
            <w:tcW w:w="1952" w:type="dxa"/>
            <w:tcBorders>
              <w:top w:val="single" w:sz="4" w:space="0" w:color="auto"/>
              <w:bottom w:val="single" w:sz="4" w:space="0" w:color="auto"/>
            </w:tcBorders>
          </w:tcPr>
          <w:p w14:paraId="50E60D6D" w14:textId="3F5A2289" w:rsidR="009440AF" w:rsidRPr="00D05364" w:rsidRDefault="002F3C16" w:rsidP="00546899">
            <w:pPr>
              <w:tabs>
                <w:tab w:val="left" w:pos="567"/>
              </w:tabs>
              <w:jc w:val="both"/>
              <w:rPr>
                <w:i/>
                <w:iCs/>
                <w:lang w:eastAsia="lt-LT"/>
              </w:rPr>
            </w:pPr>
            <w:r>
              <w:rPr>
                <w:i/>
                <w:iCs/>
                <w:lang w:eastAsia="lt-LT"/>
              </w:rPr>
              <w:t>*****</w:t>
            </w:r>
          </w:p>
        </w:tc>
        <w:tc>
          <w:tcPr>
            <w:tcW w:w="3375" w:type="dxa"/>
            <w:tcBorders>
              <w:top w:val="single" w:sz="4" w:space="0" w:color="auto"/>
              <w:bottom w:val="single" w:sz="4" w:space="0" w:color="auto"/>
            </w:tcBorders>
          </w:tcPr>
          <w:p w14:paraId="249DEE95" w14:textId="13B6C842" w:rsidR="009440AF" w:rsidRPr="00D05364" w:rsidRDefault="002F3C16" w:rsidP="00546899">
            <w:pPr>
              <w:tabs>
                <w:tab w:val="left" w:pos="567"/>
              </w:tabs>
              <w:jc w:val="both"/>
              <w:rPr>
                <w:lang w:eastAsia="lt-LT"/>
              </w:rPr>
            </w:pPr>
            <w:r>
              <w:rPr>
                <w:i/>
                <w:iCs/>
                <w:lang w:eastAsia="lt-LT"/>
              </w:rPr>
              <w:t>*****</w:t>
            </w:r>
          </w:p>
        </w:tc>
      </w:tr>
      <w:tr w:rsidR="009440AF" w:rsidRPr="00D05364" w14:paraId="7AEF47D8" w14:textId="77777777" w:rsidTr="00546899">
        <w:trPr>
          <w:jc w:val="center"/>
        </w:trPr>
        <w:tc>
          <w:tcPr>
            <w:tcW w:w="2631" w:type="dxa"/>
            <w:tcBorders>
              <w:top w:val="single" w:sz="4" w:space="0" w:color="auto"/>
              <w:bottom w:val="single" w:sz="4" w:space="0" w:color="auto"/>
            </w:tcBorders>
          </w:tcPr>
          <w:p w14:paraId="1888A7D9" w14:textId="77777777" w:rsidR="009440AF" w:rsidRPr="00D05364" w:rsidRDefault="009440AF" w:rsidP="00546899">
            <w:pPr>
              <w:tabs>
                <w:tab w:val="left" w:pos="567"/>
              </w:tabs>
              <w:rPr>
                <w:iCs/>
                <w:color w:val="000000"/>
                <w:lang w:eastAsia="lt-LT"/>
              </w:rPr>
            </w:pPr>
            <w:r>
              <w:rPr>
                <w:iCs/>
                <w:color w:val="000000"/>
                <w:lang w:eastAsia="lt-LT"/>
              </w:rPr>
              <w:t>Sekančių eilių gydymo kaštai</w:t>
            </w:r>
          </w:p>
        </w:tc>
        <w:tc>
          <w:tcPr>
            <w:tcW w:w="1950" w:type="dxa"/>
            <w:tcBorders>
              <w:top w:val="single" w:sz="4" w:space="0" w:color="auto"/>
              <w:bottom w:val="single" w:sz="4" w:space="0" w:color="auto"/>
            </w:tcBorders>
          </w:tcPr>
          <w:p w14:paraId="4D9BF66A" w14:textId="71C28CFB" w:rsidR="009440AF" w:rsidRPr="00D05364" w:rsidRDefault="002F3C16" w:rsidP="00546899">
            <w:pPr>
              <w:tabs>
                <w:tab w:val="left" w:pos="567"/>
              </w:tabs>
              <w:jc w:val="both"/>
              <w:rPr>
                <w:i/>
                <w:iCs/>
                <w:lang w:eastAsia="lt-LT"/>
              </w:rPr>
            </w:pPr>
            <w:r>
              <w:rPr>
                <w:i/>
                <w:iCs/>
                <w:lang w:eastAsia="lt-LT"/>
              </w:rPr>
              <w:t>*****</w:t>
            </w:r>
          </w:p>
        </w:tc>
        <w:tc>
          <w:tcPr>
            <w:tcW w:w="1952" w:type="dxa"/>
            <w:tcBorders>
              <w:top w:val="single" w:sz="4" w:space="0" w:color="auto"/>
              <w:bottom w:val="single" w:sz="4" w:space="0" w:color="auto"/>
            </w:tcBorders>
          </w:tcPr>
          <w:p w14:paraId="73491E64" w14:textId="31532A2D" w:rsidR="009440AF" w:rsidRPr="00D05364" w:rsidRDefault="002F3C16" w:rsidP="00546899">
            <w:pPr>
              <w:tabs>
                <w:tab w:val="left" w:pos="567"/>
              </w:tabs>
              <w:jc w:val="both"/>
              <w:rPr>
                <w:i/>
                <w:iCs/>
                <w:lang w:eastAsia="lt-LT"/>
              </w:rPr>
            </w:pPr>
            <w:r>
              <w:rPr>
                <w:i/>
                <w:iCs/>
                <w:lang w:eastAsia="lt-LT"/>
              </w:rPr>
              <w:t>*****</w:t>
            </w:r>
          </w:p>
        </w:tc>
        <w:tc>
          <w:tcPr>
            <w:tcW w:w="3375" w:type="dxa"/>
            <w:tcBorders>
              <w:top w:val="single" w:sz="4" w:space="0" w:color="auto"/>
              <w:bottom w:val="single" w:sz="4" w:space="0" w:color="auto"/>
            </w:tcBorders>
          </w:tcPr>
          <w:p w14:paraId="571FD305" w14:textId="4F835B72" w:rsidR="009440AF" w:rsidRPr="00D05364" w:rsidRDefault="002F3C16" w:rsidP="00546899">
            <w:pPr>
              <w:tabs>
                <w:tab w:val="left" w:pos="567"/>
              </w:tabs>
              <w:jc w:val="both"/>
              <w:rPr>
                <w:lang w:eastAsia="lt-LT"/>
              </w:rPr>
            </w:pPr>
            <w:r>
              <w:rPr>
                <w:i/>
                <w:iCs/>
                <w:lang w:eastAsia="lt-LT"/>
              </w:rPr>
              <w:t>*****</w:t>
            </w:r>
          </w:p>
        </w:tc>
      </w:tr>
      <w:tr w:rsidR="009440AF" w:rsidRPr="00D05364" w14:paraId="2777E7F6" w14:textId="77777777" w:rsidTr="00546899">
        <w:trPr>
          <w:jc w:val="center"/>
        </w:trPr>
        <w:tc>
          <w:tcPr>
            <w:tcW w:w="2631" w:type="dxa"/>
            <w:tcBorders>
              <w:top w:val="single" w:sz="4" w:space="0" w:color="auto"/>
              <w:bottom w:val="single" w:sz="4" w:space="0" w:color="auto"/>
            </w:tcBorders>
          </w:tcPr>
          <w:p w14:paraId="48A4324A" w14:textId="77777777" w:rsidR="009440AF" w:rsidRPr="00D05364" w:rsidRDefault="009440AF" w:rsidP="00546899">
            <w:pPr>
              <w:tabs>
                <w:tab w:val="left" w:pos="567"/>
              </w:tabs>
              <w:jc w:val="both"/>
              <w:rPr>
                <w:iCs/>
                <w:color w:val="00B050"/>
                <w:lang w:eastAsia="lt-LT"/>
              </w:rPr>
            </w:pPr>
            <w:r w:rsidRPr="00D05364">
              <w:rPr>
                <w:iCs/>
                <w:color w:val="000000"/>
                <w:lang w:eastAsia="lt-LT"/>
              </w:rPr>
              <w:t>Nepageidaujamų reiškinių valdymo kaštai</w:t>
            </w:r>
          </w:p>
        </w:tc>
        <w:tc>
          <w:tcPr>
            <w:tcW w:w="1950" w:type="dxa"/>
            <w:tcBorders>
              <w:top w:val="single" w:sz="4" w:space="0" w:color="auto"/>
              <w:bottom w:val="single" w:sz="4" w:space="0" w:color="auto"/>
            </w:tcBorders>
          </w:tcPr>
          <w:p w14:paraId="5E2A0E6F" w14:textId="65E5E859" w:rsidR="009440AF" w:rsidRPr="00D05364" w:rsidRDefault="002F3C16" w:rsidP="00546899">
            <w:pPr>
              <w:tabs>
                <w:tab w:val="left" w:pos="567"/>
              </w:tabs>
              <w:jc w:val="both"/>
              <w:rPr>
                <w:i/>
                <w:iCs/>
                <w:lang w:eastAsia="lt-LT"/>
              </w:rPr>
            </w:pPr>
            <w:r>
              <w:rPr>
                <w:i/>
                <w:iCs/>
                <w:lang w:eastAsia="lt-LT"/>
              </w:rPr>
              <w:t>*****</w:t>
            </w:r>
          </w:p>
        </w:tc>
        <w:tc>
          <w:tcPr>
            <w:tcW w:w="1952" w:type="dxa"/>
            <w:tcBorders>
              <w:top w:val="single" w:sz="4" w:space="0" w:color="auto"/>
              <w:bottom w:val="single" w:sz="4" w:space="0" w:color="auto"/>
            </w:tcBorders>
          </w:tcPr>
          <w:p w14:paraId="0E789217" w14:textId="4C9244E6" w:rsidR="009440AF" w:rsidRPr="00D05364" w:rsidRDefault="002F3C16" w:rsidP="00546899">
            <w:pPr>
              <w:tabs>
                <w:tab w:val="left" w:pos="567"/>
              </w:tabs>
              <w:jc w:val="both"/>
              <w:rPr>
                <w:i/>
                <w:iCs/>
                <w:lang w:eastAsia="lt-LT"/>
              </w:rPr>
            </w:pPr>
            <w:r>
              <w:rPr>
                <w:i/>
                <w:iCs/>
                <w:lang w:eastAsia="lt-LT"/>
              </w:rPr>
              <w:t>*****</w:t>
            </w:r>
          </w:p>
        </w:tc>
        <w:tc>
          <w:tcPr>
            <w:tcW w:w="3375" w:type="dxa"/>
            <w:tcBorders>
              <w:top w:val="single" w:sz="4" w:space="0" w:color="auto"/>
              <w:bottom w:val="single" w:sz="4" w:space="0" w:color="auto"/>
            </w:tcBorders>
          </w:tcPr>
          <w:p w14:paraId="4289470F" w14:textId="3534A49A" w:rsidR="009440AF" w:rsidRPr="00D05364" w:rsidRDefault="002F3C16" w:rsidP="00546899">
            <w:pPr>
              <w:tabs>
                <w:tab w:val="left" w:pos="567"/>
              </w:tabs>
              <w:jc w:val="both"/>
              <w:rPr>
                <w:i/>
                <w:iCs/>
                <w:lang w:eastAsia="lt-LT"/>
              </w:rPr>
            </w:pPr>
            <w:r>
              <w:rPr>
                <w:i/>
                <w:iCs/>
                <w:lang w:eastAsia="lt-LT"/>
              </w:rPr>
              <w:t>*****</w:t>
            </w:r>
          </w:p>
        </w:tc>
      </w:tr>
      <w:tr w:rsidR="009440AF" w:rsidRPr="00D05364" w14:paraId="42DF73EE" w14:textId="77777777" w:rsidTr="00546899">
        <w:trPr>
          <w:jc w:val="center"/>
        </w:trPr>
        <w:tc>
          <w:tcPr>
            <w:tcW w:w="2631" w:type="dxa"/>
            <w:tcBorders>
              <w:top w:val="single" w:sz="4" w:space="0" w:color="auto"/>
              <w:bottom w:val="single" w:sz="4" w:space="0" w:color="auto"/>
            </w:tcBorders>
          </w:tcPr>
          <w:p w14:paraId="3E0A9638" w14:textId="77777777" w:rsidR="009440AF" w:rsidRPr="00D05364" w:rsidRDefault="009440AF" w:rsidP="00546899">
            <w:pPr>
              <w:tabs>
                <w:tab w:val="left" w:pos="567"/>
              </w:tabs>
              <w:rPr>
                <w:iCs/>
                <w:color w:val="000000"/>
                <w:lang w:eastAsia="lt-LT"/>
              </w:rPr>
            </w:pPr>
            <w:r>
              <w:rPr>
                <w:iCs/>
                <w:color w:val="000000"/>
                <w:lang w:eastAsia="lt-LT"/>
              </w:rPr>
              <w:t>Ligos valdymo kaštai</w:t>
            </w:r>
          </w:p>
        </w:tc>
        <w:tc>
          <w:tcPr>
            <w:tcW w:w="1950" w:type="dxa"/>
            <w:tcBorders>
              <w:top w:val="single" w:sz="4" w:space="0" w:color="auto"/>
              <w:bottom w:val="single" w:sz="4" w:space="0" w:color="auto"/>
            </w:tcBorders>
          </w:tcPr>
          <w:p w14:paraId="3731B19E" w14:textId="568C1A50" w:rsidR="009440AF" w:rsidRPr="00D05364" w:rsidRDefault="002F3C16" w:rsidP="00546899">
            <w:pPr>
              <w:tabs>
                <w:tab w:val="left" w:pos="567"/>
              </w:tabs>
              <w:jc w:val="both"/>
              <w:rPr>
                <w:i/>
                <w:iCs/>
                <w:lang w:eastAsia="lt-LT"/>
              </w:rPr>
            </w:pPr>
            <w:r>
              <w:rPr>
                <w:i/>
                <w:iCs/>
                <w:lang w:eastAsia="lt-LT"/>
              </w:rPr>
              <w:t>*****</w:t>
            </w:r>
          </w:p>
        </w:tc>
        <w:tc>
          <w:tcPr>
            <w:tcW w:w="1952" w:type="dxa"/>
            <w:tcBorders>
              <w:top w:val="single" w:sz="4" w:space="0" w:color="auto"/>
              <w:bottom w:val="single" w:sz="4" w:space="0" w:color="auto"/>
            </w:tcBorders>
          </w:tcPr>
          <w:p w14:paraId="0877DAFC" w14:textId="1468C8BE" w:rsidR="009440AF" w:rsidRPr="00D05364" w:rsidRDefault="002F3C16" w:rsidP="00546899">
            <w:pPr>
              <w:tabs>
                <w:tab w:val="left" w:pos="567"/>
              </w:tabs>
              <w:jc w:val="both"/>
              <w:rPr>
                <w:i/>
                <w:iCs/>
                <w:lang w:eastAsia="lt-LT"/>
              </w:rPr>
            </w:pPr>
            <w:r>
              <w:rPr>
                <w:i/>
                <w:iCs/>
                <w:lang w:eastAsia="lt-LT"/>
              </w:rPr>
              <w:t>*****</w:t>
            </w:r>
          </w:p>
        </w:tc>
        <w:tc>
          <w:tcPr>
            <w:tcW w:w="3375" w:type="dxa"/>
            <w:tcBorders>
              <w:top w:val="single" w:sz="4" w:space="0" w:color="auto"/>
              <w:bottom w:val="single" w:sz="4" w:space="0" w:color="auto"/>
            </w:tcBorders>
          </w:tcPr>
          <w:p w14:paraId="7918AE31" w14:textId="3227C60A" w:rsidR="009440AF" w:rsidRPr="00D05364" w:rsidRDefault="002F3C16" w:rsidP="00546899">
            <w:pPr>
              <w:tabs>
                <w:tab w:val="left" w:pos="567"/>
              </w:tabs>
              <w:jc w:val="both"/>
              <w:rPr>
                <w:i/>
                <w:iCs/>
                <w:lang w:eastAsia="lt-LT"/>
              </w:rPr>
            </w:pPr>
            <w:r>
              <w:rPr>
                <w:i/>
                <w:iCs/>
                <w:lang w:eastAsia="lt-LT"/>
              </w:rPr>
              <w:t>*****</w:t>
            </w:r>
          </w:p>
        </w:tc>
      </w:tr>
      <w:tr w:rsidR="009440AF" w:rsidRPr="00D05364" w14:paraId="53E9EBBA" w14:textId="77777777" w:rsidTr="00546899">
        <w:trPr>
          <w:jc w:val="center"/>
        </w:trPr>
        <w:tc>
          <w:tcPr>
            <w:tcW w:w="2631" w:type="dxa"/>
            <w:tcBorders>
              <w:top w:val="single" w:sz="4" w:space="0" w:color="auto"/>
              <w:bottom w:val="single" w:sz="4" w:space="0" w:color="auto"/>
            </w:tcBorders>
          </w:tcPr>
          <w:p w14:paraId="116F3B1E" w14:textId="77777777" w:rsidR="009440AF" w:rsidRDefault="009440AF" w:rsidP="00546899">
            <w:pPr>
              <w:tabs>
                <w:tab w:val="left" w:pos="567"/>
              </w:tabs>
              <w:rPr>
                <w:iCs/>
                <w:color w:val="000000"/>
                <w:lang w:eastAsia="lt-LT"/>
              </w:rPr>
            </w:pPr>
            <w:r>
              <w:rPr>
                <w:iCs/>
                <w:color w:val="000000"/>
                <w:lang w:eastAsia="lt-LT"/>
              </w:rPr>
              <w:t>Terminaliniai kaštai</w:t>
            </w:r>
          </w:p>
        </w:tc>
        <w:tc>
          <w:tcPr>
            <w:tcW w:w="1950" w:type="dxa"/>
            <w:tcBorders>
              <w:top w:val="single" w:sz="4" w:space="0" w:color="auto"/>
              <w:bottom w:val="single" w:sz="4" w:space="0" w:color="auto"/>
            </w:tcBorders>
          </w:tcPr>
          <w:p w14:paraId="733BB693" w14:textId="6E6A7DB9" w:rsidR="009440AF" w:rsidRPr="00D05364" w:rsidRDefault="002F3C16" w:rsidP="00546899">
            <w:pPr>
              <w:tabs>
                <w:tab w:val="left" w:pos="567"/>
              </w:tabs>
              <w:jc w:val="both"/>
              <w:rPr>
                <w:i/>
                <w:iCs/>
                <w:lang w:eastAsia="lt-LT"/>
              </w:rPr>
            </w:pPr>
            <w:r>
              <w:rPr>
                <w:i/>
                <w:iCs/>
                <w:lang w:eastAsia="lt-LT"/>
              </w:rPr>
              <w:t>*****</w:t>
            </w:r>
          </w:p>
        </w:tc>
        <w:tc>
          <w:tcPr>
            <w:tcW w:w="1952" w:type="dxa"/>
            <w:tcBorders>
              <w:top w:val="single" w:sz="4" w:space="0" w:color="auto"/>
              <w:bottom w:val="single" w:sz="4" w:space="0" w:color="auto"/>
            </w:tcBorders>
          </w:tcPr>
          <w:p w14:paraId="54D82CF2" w14:textId="5699CBE9" w:rsidR="009440AF" w:rsidRPr="00D05364" w:rsidRDefault="002F3C16" w:rsidP="00546899">
            <w:pPr>
              <w:tabs>
                <w:tab w:val="left" w:pos="567"/>
              </w:tabs>
              <w:jc w:val="both"/>
              <w:rPr>
                <w:i/>
                <w:iCs/>
                <w:lang w:eastAsia="lt-LT"/>
              </w:rPr>
            </w:pPr>
            <w:r>
              <w:rPr>
                <w:i/>
                <w:iCs/>
                <w:lang w:eastAsia="lt-LT"/>
              </w:rPr>
              <w:t>*****</w:t>
            </w:r>
          </w:p>
        </w:tc>
        <w:tc>
          <w:tcPr>
            <w:tcW w:w="3375" w:type="dxa"/>
            <w:tcBorders>
              <w:top w:val="single" w:sz="4" w:space="0" w:color="auto"/>
              <w:bottom w:val="single" w:sz="4" w:space="0" w:color="auto"/>
            </w:tcBorders>
          </w:tcPr>
          <w:p w14:paraId="04413063" w14:textId="08B76159" w:rsidR="009440AF" w:rsidRPr="00D05364" w:rsidRDefault="002F3C16" w:rsidP="00546899">
            <w:pPr>
              <w:tabs>
                <w:tab w:val="left" w:pos="567"/>
              </w:tabs>
              <w:jc w:val="both"/>
              <w:rPr>
                <w:i/>
                <w:iCs/>
                <w:lang w:eastAsia="lt-LT"/>
              </w:rPr>
            </w:pPr>
            <w:r>
              <w:rPr>
                <w:i/>
                <w:iCs/>
                <w:lang w:eastAsia="lt-LT"/>
              </w:rPr>
              <w:t>*****</w:t>
            </w:r>
          </w:p>
        </w:tc>
      </w:tr>
      <w:tr w:rsidR="009440AF" w:rsidRPr="00D05364" w14:paraId="5ADDEA9C" w14:textId="77777777" w:rsidTr="00546899">
        <w:trPr>
          <w:jc w:val="center"/>
        </w:trPr>
        <w:tc>
          <w:tcPr>
            <w:tcW w:w="2631" w:type="dxa"/>
            <w:tcBorders>
              <w:top w:val="single" w:sz="4" w:space="0" w:color="auto"/>
              <w:bottom w:val="single" w:sz="12" w:space="0" w:color="auto"/>
            </w:tcBorders>
          </w:tcPr>
          <w:p w14:paraId="50052D63" w14:textId="77777777" w:rsidR="009440AF" w:rsidRPr="00D05364" w:rsidRDefault="009440AF" w:rsidP="00546899">
            <w:pPr>
              <w:tabs>
                <w:tab w:val="left" w:pos="567"/>
              </w:tabs>
              <w:jc w:val="right"/>
              <w:rPr>
                <w:iCs/>
                <w:lang w:eastAsia="lt-LT"/>
              </w:rPr>
            </w:pPr>
            <w:r>
              <w:rPr>
                <w:iCs/>
                <w:lang w:eastAsia="lt-LT"/>
              </w:rPr>
              <w:t>Viso:</w:t>
            </w:r>
          </w:p>
        </w:tc>
        <w:tc>
          <w:tcPr>
            <w:tcW w:w="1950" w:type="dxa"/>
            <w:tcBorders>
              <w:top w:val="single" w:sz="4" w:space="0" w:color="auto"/>
              <w:bottom w:val="single" w:sz="12" w:space="0" w:color="auto"/>
            </w:tcBorders>
          </w:tcPr>
          <w:p w14:paraId="71AB219A" w14:textId="11C0B741" w:rsidR="009440AF" w:rsidRPr="00D05364" w:rsidRDefault="002F3C16" w:rsidP="00546899">
            <w:pPr>
              <w:tabs>
                <w:tab w:val="left" w:pos="567"/>
              </w:tabs>
              <w:jc w:val="both"/>
              <w:rPr>
                <w:i/>
                <w:iCs/>
                <w:lang w:eastAsia="lt-LT"/>
              </w:rPr>
            </w:pPr>
            <w:r>
              <w:rPr>
                <w:i/>
                <w:iCs/>
                <w:lang w:eastAsia="lt-LT"/>
              </w:rPr>
              <w:t>*****</w:t>
            </w:r>
          </w:p>
        </w:tc>
        <w:tc>
          <w:tcPr>
            <w:tcW w:w="1952" w:type="dxa"/>
            <w:tcBorders>
              <w:top w:val="single" w:sz="4" w:space="0" w:color="auto"/>
              <w:bottom w:val="single" w:sz="12" w:space="0" w:color="auto"/>
            </w:tcBorders>
          </w:tcPr>
          <w:p w14:paraId="4D350DB3" w14:textId="20F95EF0" w:rsidR="009440AF" w:rsidRPr="00D05364" w:rsidRDefault="002F3C16" w:rsidP="00546899">
            <w:pPr>
              <w:tabs>
                <w:tab w:val="left" w:pos="567"/>
              </w:tabs>
              <w:jc w:val="both"/>
              <w:rPr>
                <w:i/>
                <w:iCs/>
                <w:lang w:eastAsia="lt-LT"/>
              </w:rPr>
            </w:pPr>
            <w:r>
              <w:rPr>
                <w:i/>
                <w:iCs/>
                <w:lang w:eastAsia="lt-LT"/>
              </w:rPr>
              <w:t>*****</w:t>
            </w:r>
          </w:p>
        </w:tc>
        <w:tc>
          <w:tcPr>
            <w:tcW w:w="3375" w:type="dxa"/>
            <w:tcBorders>
              <w:top w:val="single" w:sz="4" w:space="0" w:color="auto"/>
              <w:bottom w:val="single" w:sz="12" w:space="0" w:color="auto"/>
            </w:tcBorders>
          </w:tcPr>
          <w:p w14:paraId="075B7681" w14:textId="6BF694B4" w:rsidR="009440AF" w:rsidRPr="00D05364" w:rsidRDefault="002F3C16" w:rsidP="00546899">
            <w:pPr>
              <w:tabs>
                <w:tab w:val="left" w:pos="567"/>
              </w:tabs>
              <w:jc w:val="both"/>
              <w:rPr>
                <w:i/>
                <w:iCs/>
                <w:lang w:eastAsia="lt-LT"/>
              </w:rPr>
            </w:pPr>
            <w:r>
              <w:rPr>
                <w:i/>
                <w:iCs/>
                <w:lang w:eastAsia="lt-LT"/>
              </w:rPr>
              <w:t>*****</w:t>
            </w:r>
          </w:p>
        </w:tc>
      </w:tr>
      <w:tr w:rsidR="009440AF" w:rsidRPr="00D05364" w14:paraId="1CB335F4" w14:textId="77777777" w:rsidTr="00546899">
        <w:trPr>
          <w:jc w:val="center"/>
        </w:trPr>
        <w:tc>
          <w:tcPr>
            <w:tcW w:w="9908" w:type="dxa"/>
            <w:gridSpan w:val="4"/>
            <w:tcBorders>
              <w:top w:val="single" w:sz="12" w:space="0" w:color="auto"/>
              <w:bottom w:val="single" w:sz="4" w:space="0" w:color="auto"/>
            </w:tcBorders>
          </w:tcPr>
          <w:p w14:paraId="0E7E41E9" w14:textId="77777777" w:rsidR="009440AF" w:rsidRPr="00D05364" w:rsidRDefault="009440AF" w:rsidP="00546899">
            <w:pPr>
              <w:tabs>
                <w:tab w:val="left" w:pos="567"/>
              </w:tabs>
              <w:jc w:val="center"/>
              <w:rPr>
                <w:iCs/>
                <w:lang w:eastAsia="lt-LT"/>
              </w:rPr>
            </w:pPr>
            <w:r w:rsidRPr="00D05364">
              <w:rPr>
                <w:lang w:eastAsia="lt-LT"/>
              </w:rPr>
              <w:t>Papildomi gyvenimo metai (LY)</w:t>
            </w:r>
          </w:p>
        </w:tc>
      </w:tr>
      <w:tr w:rsidR="009440AF" w:rsidRPr="00D05364" w14:paraId="3D76FF8C" w14:textId="77777777" w:rsidTr="00546899">
        <w:trPr>
          <w:jc w:val="center"/>
        </w:trPr>
        <w:tc>
          <w:tcPr>
            <w:tcW w:w="2631" w:type="dxa"/>
            <w:tcBorders>
              <w:top w:val="single" w:sz="4" w:space="0" w:color="auto"/>
              <w:bottom w:val="single" w:sz="4" w:space="0" w:color="auto"/>
            </w:tcBorders>
          </w:tcPr>
          <w:p w14:paraId="22298EDC" w14:textId="77777777" w:rsidR="009440AF" w:rsidRPr="00D05364" w:rsidRDefault="009440AF" w:rsidP="00546899">
            <w:pPr>
              <w:tabs>
                <w:tab w:val="left" w:pos="567"/>
              </w:tabs>
              <w:jc w:val="both"/>
              <w:rPr>
                <w:lang w:eastAsia="lt-LT"/>
              </w:rPr>
            </w:pPr>
            <w:r>
              <w:rPr>
                <w:i/>
                <w:iCs/>
                <w:lang w:eastAsia="lt-LT"/>
              </w:rPr>
              <w:t>Pembrolizumabas</w:t>
            </w:r>
          </w:p>
        </w:tc>
        <w:tc>
          <w:tcPr>
            <w:tcW w:w="3902" w:type="dxa"/>
            <w:gridSpan w:val="2"/>
            <w:tcBorders>
              <w:top w:val="single" w:sz="4" w:space="0" w:color="auto"/>
              <w:bottom w:val="single" w:sz="4" w:space="0" w:color="auto"/>
            </w:tcBorders>
          </w:tcPr>
          <w:p w14:paraId="2F5A50C2" w14:textId="0AF4572A" w:rsidR="009440AF" w:rsidRPr="00D05364" w:rsidRDefault="002F3C16" w:rsidP="00546899">
            <w:pPr>
              <w:tabs>
                <w:tab w:val="left" w:pos="567"/>
              </w:tabs>
              <w:jc w:val="both"/>
              <w:rPr>
                <w:i/>
                <w:iCs/>
                <w:lang w:eastAsia="lt-LT"/>
              </w:rPr>
            </w:pPr>
            <w:r>
              <w:rPr>
                <w:i/>
                <w:iCs/>
                <w:lang w:eastAsia="lt-LT"/>
              </w:rPr>
              <w:t>*****</w:t>
            </w:r>
          </w:p>
        </w:tc>
        <w:tc>
          <w:tcPr>
            <w:tcW w:w="3375" w:type="dxa"/>
            <w:vMerge w:val="restart"/>
            <w:tcBorders>
              <w:top w:val="single" w:sz="4" w:space="0" w:color="auto"/>
            </w:tcBorders>
          </w:tcPr>
          <w:p w14:paraId="36D8FD37" w14:textId="628E00BB" w:rsidR="009440AF" w:rsidRPr="00D05364" w:rsidRDefault="009440AF" w:rsidP="00546899">
            <w:pPr>
              <w:tabs>
                <w:tab w:val="left" w:pos="567"/>
              </w:tabs>
              <w:jc w:val="both"/>
              <w:rPr>
                <w:lang w:eastAsia="lt-LT"/>
              </w:rPr>
            </w:pPr>
            <w:r w:rsidRPr="00D05364">
              <w:rPr>
                <w:lang w:eastAsia="lt-LT"/>
              </w:rPr>
              <w:t>Skirtumas:</w:t>
            </w:r>
            <w:r>
              <w:rPr>
                <w:lang w:eastAsia="lt-LT"/>
              </w:rPr>
              <w:t xml:space="preserve"> </w:t>
            </w:r>
            <w:r w:rsidR="002F3C16">
              <w:rPr>
                <w:i/>
                <w:iCs/>
                <w:lang w:eastAsia="lt-LT"/>
              </w:rPr>
              <w:t>*****</w:t>
            </w:r>
          </w:p>
        </w:tc>
      </w:tr>
      <w:tr w:rsidR="009440AF" w:rsidRPr="00D05364" w14:paraId="72622ADE" w14:textId="77777777" w:rsidTr="00546899">
        <w:trPr>
          <w:jc w:val="center"/>
        </w:trPr>
        <w:tc>
          <w:tcPr>
            <w:tcW w:w="2631" w:type="dxa"/>
            <w:tcBorders>
              <w:top w:val="single" w:sz="4" w:space="0" w:color="auto"/>
              <w:bottom w:val="single" w:sz="12" w:space="0" w:color="auto"/>
            </w:tcBorders>
          </w:tcPr>
          <w:p w14:paraId="19366C2A" w14:textId="77777777" w:rsidR="009440AF" w:rsidRPr="00D05364" w:rsidRDefault="009440AF" w:rsidP="00546899">
            <w:pPr>
              <w:tabs>
                <w:tab w:val="left" w:pos="567"/>
              </w:tabs>
              <w:jc w:val="both"/>
              <w:rPr>
                <w:lang w:eastAsia="lt-LT"/>
              </w:rPr>
            </w:pPr>
            <w:r>
              <w:rPr>
                <w:i/>
                <w:iCs/>
                <w:lang w:eastAsia="lt-LT"/>
              </w:rPr>
              <w:t>Stebėjimas</w:t>
            </w:r>
          </w:p>
        </w:tc>
        <w:tc>
          <w:tcPr>
            <w:tcW w:w="3902" w:type="dxa"/>
            <w:gridSpan w:val="2"/>
            <w:tcBorders>
              <w:top w:val="single" w:sz="4" w:space="0" w:color="auto"/>
              <w:bottom w:val="single" w:sz="12" w:space="0" w:color="auto"/>
            </w:tcBorders>
          </w:tcPr>
          <w:p w14:paraId="57E0339D" w14:textId="2A15D020" w:rsidR="009440AF" w:rsidRPr="00D05364" w:rsidRDefault="002F3C16" w:rsidP="00546899">
            <w:pPr>
              <w:tabs>
                <w:tab w:val="left" w:pos="567"/>
              </w:tabs>
              <w:jc w:val="both"/>
              <w:rPr>
                <w:i/>
                <w:iCs/>
                <w:lang w:eastAsia="lt-LT"/>
              </w:rPr>
            </w:pPr>
            <w:r>
              <w:rPr>
                <w:i/>
                <w:iCs/>
                <w:lang w:eastAsia="lt-LT"/>
              </w:rPr>
              <w:t>*****</w:t>
            </w:r>
          </w:p>
        </w:tc>
        <w:tc>
          <w:tcPr>
            <w:tcW w:w="3375" w:type="dxa"/>
            <w:vMerge/>
            <w:tcBorders>
              <w:bottom w:val="single" w:sz="12" w:space="0" w:color="auto"/>
            </w:tcBorders>
          </w:tcPr>
          <w:p w14:paraId="4F28FC41" w14:textId="77777777" w:rsidR="009440AF" w:rsidRPr="00D05364" w:rsidRDefault="009440AF" w:rsidP="00546899">
            <w:pPr>
              <w:tabs>
                <w:tab w:val="left" w:pos="567"/>
              </w:tabs>
              <w:jc w:val="both"/>
              <w:rPr>
                <w:i/>
                <w:iCs/>
                <w:lang w:eastAsia="lt-LT"/>
              </w:rPr>
            </w:pPr>
          </w:p>
        </w:tc>
      </w:tr>
      <w:tr w:rsidR="009440AF" w:rsidRPr="00D05364" w14:paraId="75D5FA33" w14:textId="77777777" w:rsidTr="00546899">
        <w:trPr>
          <w:jc w:val="center"/>
        </w:trPr>
        <w:tc>
          <w:tcPr>
            <w:tcW w:w="9908" w:type="dxa"/>
            <w:gridSpan w:val="4"/>
            <w:tcBorders>
              <w:top w:val="single" w:sz="12" w:space="0" w:color="auto"/>
              <w:bottom w:val="single" w:sz="4" w:space="0" w:color="auto"/>
            </w:tcBorders>
          </w:tcPr>
          <w:p w14:paraId="3B137E03" w14:textId="77777777" w:rsidR="009440AF" w:rsidRPr="00D05364" w:rsidRDefault="009440AF" w:rsidP="00546899">
            <w:pPr>
              <w:tabs>
                <w:tab w:val="left" w:pos="567"/>
              </w:tabs>
              <w:jc w:val="center"/>
              <w:rPr>
                <w:iCs/>
                <w:lang w:eastAsia="lt-LT"/>
              </w:rPr>
            </w:pPr>
            <w:r w:rsidRPr="00D05364">
              <w:rPr>
                <w:lang w:eastAsia="lt-LT"/>
              </w:rPr>
              <w:t>Kokybiški gyvenimo metai (QALY)</w:t>
            </w:r>
          </w:p>
        </w:tc>
      </w:tr>
      <w:tr w:rsidR="009440AF" w:rsidRPr="00D05364" w14:paraId="0F21E53D" w14:textId="77777777" w:rsidTr="00546899">
        <w:trPr>
          <w:jc w:val="center"/>
        </w:trPr>
        <w:tc>
          <w:tcPr>
            <w:tcW w:w="2631" w:type="dxa"/>
            <w:tcBorders>
              <w:top w:val="single" w:sz="4" w:space="0" w:color="auto"/>
              <w:bottom w:val="single" w:sz="4" w:space="0" w:color="auto"/>
            </w:tcBorders>
          </w:tcPr>
          <w:p w14:paraId="2CEC70D0" w14:textId="77777777" w:rsidR="009440AF" w:rsidRPr="00D05364" w:rsidRDefault="009440AF" w:rsidP="00546899">
            <w:pPr>
              <w:tabs>
                <w:tab w:val="left" w:pos="567"/>
              </w:tabs>
              <w:jc w:val="both"/>
              <w:rPr>
                <w:iCs/>
                <w:lang w:eastAsia="lt-LT"/>
              </w:rPr>
            </w:pPr>
            <w:r>
              <w:rPr>
                <w:i/>
                <w:iCs/>
                <w:lang w:eastAsia="lt-LT"/>
              </w:rPr>
              <w:t>Pembrolizumabas</w:t>
            </w:r>
          </w:p>
        </w:tc>
        <w:tc>
          <w:tcPr>
            <w:tcW w:w="3902" w:type="dxa"/>
            <w:gridSpan w:val="2"/>
            <w:tcBorders>
              <w:top w:val="single" w:sz="4" w:space="0" w:color="auto"/>
              <w:bottom w:val="single" w:sz="4" w:space="0" w:color="auto"/>
            </w:tcBorders>
          </w:tcPr>
          <w:p w14:paraId="05B09FD3" w14:textId="452217FE" w:rsidR="009440AF" w:rsidRPr="00D05364" w:rsidRDefault="002F3C16" w:rsidP="00546899">
            <w:pPr>
              <w:tabs>
                <w:tab w:val="left" w:pos="567"/>
              </w:tabs>
              <w:jc w:val="both"/>
              <w:rPr>
                <w:i/>
                <w:iCs/>
                <w:lang w:eastAsia="lt-LT"/>
              </w:rPr>
            </w:pPr>
            <w:r>
              <w:rPr>
                <w:i/>
                <w:iCs/>
                <w:lang w:eastAsia="lt-LT"/>
              </w:rPr>
              <w:t>*****</w:t>
            </w:r>
          </w:p>
        </w:tc>
        <w:tc>
          <w:tcPr>
            <w:tcW w:w="3375" w:type="dxa"/>
            <w:vMerge w:val="restart"/>
            <w:tcBorders>
              <w:top w:val="single" w:sz="4" w:space="0" w:color="auto"/>
            </w:tcBorders>
          </w:tcPr>
          <w:p w14:paraId="63F02755" w14:textId="326897EF" w:rsidR="009440AF" w:rsidRPr="00D05364" w:rsidRDefault="009440AF" w:rsidP="00546899">
            <w:pPr>
              <w:tabs>
                <w:tab w:val="left" w:pos="567"/>
              </w:tabs>
              <w:jc w:val="both"/>
              <w:rPr>
                <w:lang w:eastAsia="lt-LT"/>
              </w:rPr>
            </w:pPr>
            <w:r w:rsidRPr="00D05364">
              <w:rPr>
                <w:lang w:eastAsia="lt-LT"/>
              </w:rPr>
              <w:t xml:space="preserve">Skirtumas: </w:t>
            </w:r>
            <w:r w:rsidR="002F3C16">
              <w:rPr>
                <w:i/>
                <w:iCs/>
                <w:lang w:eastAsia="lt-LT"/>
              </w:rPr>
              <w:t>*****</w:t>
            </w:r>
          </w:p>
        </w:tc>
      </w:tr>
      <w:tr w:rsidR="009440AF" w:rsidRPr="00D05364" w14:paraId="28A342F9" w14:textId="77777777" w:rsidTr="00546899">
        <w:trPr>
          <w:jc w:val="center"/>
        </w:trPr>
        <w:tc>
          <w:tcPr>
            <w:tcW w:w="2631" w:type="dxa"/>
            <w:tcBorders>
              <w:top w:val="single" w:sz="4" w:space="0" w:color="auto"/>
              <w:bottom w:val="single" w:sz="12" w:space="0" w:color="auto"/>
            </w:tcBorders>
          </w:tcPr>
          <w:p w14:paraId="22640438" w14:textId="77777777" w:rsidR="009440AF" w:rsidRPr="00D05364" w:rsidRDefault="009440AF" w:rsidP="00546899">
            <w:pPr>
              <w:tabs>
                <w:tab w:val="left" w:pos="567"/>
              </w:tabs>
              <w:jc w:val="both"/>
              <w:rPr>
                <w:iCs/>
                <w:lang w:eastAsia="lt-LT"/>
              </w:rPr>
            </w:pPr>
            <w:r>
              <w:rPr>
                <w:i/>
                <w:iCs/>
                <w:lang w:eastAsia="lt-LT"/>
              </w:rPr>
              <w:t>Stebėjimas</w:t>
            </w:r>
          </w:p>
        </w:tc>
        <w:tc>
          <w:tcPr>
            <w:tcW w:w="3902" w:type="dxa"/>
            <w:gridSpan w:val="2"/>
            <w:tcBorders>
              <w:top w:val="single" w:sz="4" w:space="0" w:color="auto"/>
              <w:bottom w:val="single" w:sz="12" w:space="0" w:color="auto"/>
            </w:tcBorders>
          </w:tcPr>
          <w:p w14:paraId="72028E84" w14:textId="2886AA23" w:rsidR="009440AF" w:rsidRPr="00D05364" w:rsidRDefault="002F3C16" w:rsidP="00546899">
            <w:pPr>
              <w:tabs>
                <w:tab w:val="left" w:pos="567"/>
              </w:tabs>
              <w:jc w:val="both"/>
              <w:rPr>
                <w:i/>
                <w:iCs/>
                <w:lang w:eastAsia="lt-LT"/>
              </w:rPr>
            </w:pPr>
            <w:r>
              <w:rPr>
                <w:i/>
                <w:iCs/>
                <w:lang w:eastAsia="lt-LT"/>
              </w:rPr>
              <w:t>*****</w:t>
            </w:r>
          </w:p>
        </w:tc>
        <w:tc>
          <w:tcPr>
            <w:tcW w:w="3375" w:type="dxa"/>
            <w:vMerge/>
            <w:tcBorders>
              <w:bottom w:val="single" w:sz="12" w:space="0" w:color="auto"/>
            </w:tcBorders>
          </w:tcPr>
          <w:p w14:paraId="6722444E" w14:textId="77777777" w:rsidR="009440AF" w:rsidRPr="00D05364" w:rsidRDefault="009440AF" w:rsidP="00546899">
            <w:pPr>
              <w:tabs>
                <w:tab w:val="left" w:pos="567"/>
              </w:tabs>
              <w:jc w:val="both"/>
              <w:rPr>
                <w:i/>
                <w:iCs/>
                <w:lang w:eastAsia="lt-LT"/>
              </w:rPr>
            </w:pPr>
          </w:p>
        </w:tc>
      </w:tr>
      <w:tr w:rsidR="009440AF" w:rsidRPr="00D05364" w14:paraId="19151036" w14:textId="77777777" w:rsidTr="00546899">
        <w:trPr>
          <w:trHeight w:val="347"/>
          <w:jc w:val="center"/>
        </w:trPr>
        <w:tc>
          <w:tcPr>
            <w:tcW w:w="9908" w:type="dxa"/>
            <w:gridSpan w:val="4"/>
            <w:tcBorders>
              <w:top w:val="single" w:sz="12" w:space="0" w:color="auto"/>
            </w:tcBorders>
            <w:vAlign w:val="center"/>
          </w:tcPr>
          <w:p w14:paraId="1A4D0DBF" w14:textId="77777777" w:rsidR="009440AF" w:rsidRPr="00D05364" w:rsidRDefault="009440AF" w:rsidP="00546899">
            <w:pPr>
              <w:tabs>
                <w:tab w:val="left" w:pos="567"/>
              </w:tabs>
              <w:jc w:val="center"/>
              <w:rPr>
                <w:b/>
                <w:bCs/>
                <w:sz w:val="26"/>
                <w:szCs w:val="26"/>
                <w:lang w:eastAsia="lt-LT"/>
              </w:rPr>
            </w:pPr>
            <w:r w:rsidRPr="00D05364">
              <w:rPr>
                <w:b/>
                <w:bCs/>
                <w:sz w:val="26"/>
                <w:szCs w:val="26"/>
                <w:lang w:eastAsia="lt-LT"/>
              </w:rPr>
              <w:t>Rezultatai</w:t>
            </w:r>
          </w:p>
        </w:tc>
      </w:tr>
      <w:tr w:rsidR="009440AF" w:rsidRPr="00D05364" w14:paraId="274C4AAE" w14:textId="77777777" w:rsidTr="00546899">
        <w:trPr>
          <w:jc w:val="center"/>
        </w:trPr>
        <w:tc>
          <w:tcPr>
            <w:tcW w:w="6533" w:type="dxa"/>
            <w:gridSpan w:val="3"/>
          </w:tcPr>
          <w:p w14:paraId="581BA774" w14:textId="77777777" w:rsidR="009440AF" w:rsidRPr="00D05364" w:rsidRDefault="009440AF" w:rsidP="00546899">
            <w:pPr>
              <w:tabs>
                <w:tab w:val="left" w:pos="567"/>
              </w:tabs>
              <w:jc w:val="right"/>
              <w:rPr>
                <w:iCs/>
                <w:lang w:eastAsia="lt-LT"/>
              </w:rPr>
            </w:pPr>
            <w:r w:rsidRPr="00D05364">
              <w:rPr>
                <w:iCs/>
                <w:lang w:eastAsia="lt-LT"/>
              </w:rPr>
              <w:t>ICER už LY</w:t>
            </w:r>
          </w:p>
        </w:tc>
        <w:tc>
          <w:tcPr>
            <w:tcW w:w="3375" w:type="dxa"/>
          </w:tcPr>
          <w:p w14:paraId="37F4040D" w14:textId="16AC6C9E" w:rsidR="009440AF" w:rsidRPr="00D05364" w:rsidRDefault="002F3C16" w:rsidP="00546899">
            <w:pPr>
              <w:tabs>
                <w:tab w:val="left" w:pos="567"/>
              </w:tabs>
              <w:jc w:val="both"/>
              <w:rPr>
                <w:i/>
                <w:iCs/>
                <w:lang w:eastAsia="lt-LT"/>
              </w:rPr>
            </w:pPr>
            <w:r>
              <w:rPr>
                <w:i/>
                <w:iCs/>
                <w:lang w:eastAsia="lt-LT"/>
              </w:rPr>
              <w:t>*****</w:t>
            </w:r>
            <w:r>
              <w:rPr>
                <w:i/>
                <w:iCs/>
                <w:lang w:eastAsia="lt-LT"/>
              </w:rPr>
              <w:t xml:space="preserve"> </w:t>
            </w:r>
            <w:proofErr w:type="spellStart"/>
            <w:r w:rsidR="009440AF">
              <w:rPr>
                <w:i/>
                <w:iCs/>
                <w:lang w:eastAsia="lt-LT"/>
              </w:rPr>
              <w:t>eur</w:t>
            </w:r>
            <w:proofErr w:type="spellEnd"/>
            <w:r w:rsidR="009440AF">
              <w:rPr>
                <w:i/>
                <w:iCs/>
                <w:lang w:eastAsia="lt-LT"/>
              </w:rPr>
              <w:t>/LY</w:t>
            </w:r>
          </w:p>
        </w:tc>
      </w:tr>
      <w:tr w:rsidR="009440AF" w:rsidRPr="00D05364" w14:paraId="610949C9" w14:textId="77777777" w:rsidTr="00546899">
        <w:trPr>
          <w:jc w:val="center"/>
        </w:trPr>
        <w:tc>
          <w:tcPr>
            <w:tcW w:w="6533" w:type="dxa"/>
            <w:gridSpan w:val="3"/>
          </w:tcPr>
          <w:p w14:paraId="34D9B487" w14:textId="77777777" w:rsidR="009440AF" w:rsidRPr="00D05364" w:rsidRDefault="009440AF" w:rsidP="00546899">
            <w:pPr>
              <w:tabs>
                <w:tab w:val="left" w:pos="567"/>
              </w:tabs>
              <w:jc w:val="right"/>
              <w:rPr>
                <w:iCs/>
                <w:lang w:eastAsia="lt-LT"/>
              </w:rPr>
            </w:pPr>
            <w:r w:rsidRPr="00D05364">
              <w:rPr>
                <w:iCs/>
                <w:lang w:eastAsia="lt-LT"/>
              </w:rPr>
              <w:t>ICER už QALY</w:t>
            </w:r>
          </w:p>
        </w:tc>
        <w:tc>
          <w:tcPr>
            <w:tcW w:w="3375" w:type="dxa"/>
          </w:tcPr>
          <w:p w14:paraId="1EEF652E" w14:textId="2DB95B12" w:rsidR="009440AF" w:rsidRPr="00D05364" w:rsidRDefault="002F3C16" w:rsidP="00546899">
            <w:pPr>
              <w:tabs>
                <w:tab w:val="left" w:pos="567"/>
              </w:tabs>
              <w:jc w:val="both"/>
              <w:rPr>
                <w:i/>
                <w:iCs/>
                <w:lang w:eastAsia="lt-LT"/>
              </w:rPr>
            </w:pPr>
            <w:r>
              <w:rPr>
                <w:i/>
                <w:iCs/>
                <w:lang w:eastAsia="lt-LT"/>
              </w:rPr>
              <w:t>*****</w:t>
            </w:r>
            <w:r>
              <w:rPr>
                <w:i/>
                <w:iCs/>
                <w:lang w:eastAsia="lt-LT"/>
              </w:rPr>
              <w:t xml:space="preserve"> </w:t>
            </w:r>
            <w:proofErr w:type="spellStart"/>
            <w:r w:rsidR="009440AF">
              <w:rPr>
                <w:i/>
                <w:iCs/>
                <w:lang w:eastAsia="lt-LT"/>
              </w:rPr>
              <w:t>eur</w:t>
            </w:r>
            <w:proofErr w:type="spellEnd"/>
            <w:r w:rsidR="009440AF">
              <w:rPr>
                <w:i/>
                <w:iCs/>
                <w:lang w:eastAsia="lt-LT"/>
              </w:rPr>
              <w:t>/QALY</w:t>
            </w:r>
          </w:p>
        </w:tc>
      </w:tr>
      <w:tr w:rsidR="009440AF" w:rsidRPr="00D05364" w14:paraId="297BAB29" w14:textId="77777777" w:rsidTr="00546899">
        <w:trPr>
          <w:jc w:val="center"/>
        </w:trPr>
        <w:tc>
          <w:tcPr>
            <w:tcW w:w="6533" w:type="dxa"/>
            <w:gridSpan w:val="3"/>
          </w:tcPr>
          <w:p w14:paraId="3C608713" w14:textId="77777777" w:rsidR="009440AF" w:rsidRPr="00D05364" w:rsidRDefault="009440AF" w:rsidP="00546899">
            <w:pPr>
              <w:tabs>
                <w:tab w:val="left" w:pos="567"/>
              </w:tabs>
              <w:jc w:val="right"/>
              <w:rPr>
                <w:iCs/>
                <w:lang w:eastAsia="lt-LT"/>
              </w:rPr>
            </w:pPr>
            <w:r w:rsidRPr="00D05364">
              <w:rPr>
                <w:iCs/>
                <w:lang w:eastAsia="lt-LT"/>
              </w:rPr>
              <w:t>Referencinė kaštų naudingumo vertė</w:t>
            </w:r>
          </w:p>
        </w:tc>
        <w:tc>
          <w:tcPr>
            <w:tcW w:w="3375" w:type="dxa"/>
          </w:tcPr>
          <w:p w14:paraId="5E2AC2AF" w14:textId="55F076FD" w:rsidR="009440AF" w:rsidRPr="00D05364" w:rsidRDefault="002F3C16" w:rsidP="00546899">
            <w:pPr>
              <w:tabs>
                <w:tab w:val="left" w:pos="567"/>
              </w:tabs>
              <w:jc w:val="both"/>
              <w:rPr>
                <w:i/>
                <w:iCs/>
                <w:lang w:eastAsia="lt-LT"/>
              </w:rPr>
            </w:pPr>
            <w:r>
              <w:rPr>
                <w:i/>
                <w:iCs/>
                <w:lang w:eastAsia="lt-LT"/>
              </w:rPr>
              <w:t>*****</w:t>
            </w:r>
            <w:r>
              <w:rPr>
                <w:i/>
                <w:iCs/>
                <w:lang w:eastAsia="lt-LT"/>
              </w:rPr>
              <w:t xml:space="preserve"> </w:t>
            </w:r>
            <w:proofErr w:type="spellStart"/>
            <w:r w:rsidR="009440AF">
              <w:rPr>
                <w:i/>
                <w:iCs/>
                <w:lang w:eastAsia="lt-LT"/>
              </w:rPr>
              <w:t>eur</w:t>
            </w:r>
            <w:proofErr w:type="spellEnd"/>
            <w:r w:rsidR="009440AF">
              <w:rPr>
                <w:i/>
                <w:iCs/>
                <w:lang w:eastAsia="lt-LT"/>
              </w:rPr>
              <w:t>/QALY</w:t>
            </w:r>
          </w:p>
        </w:tc>
      </w:tr>
    </w:tbl>
    <w:p w14:paraId="4AC39405" w14:textId="77777777" w:rsidR="009440AF" w:rsidRPr="00D05364" w:rsidRDefault="009440AF" w:rsidP="009440AF">
      <w:pPr>
        <w:tabs>
          <w:tab w:val="left" w:pos="567"/>
        </w:tabs>
        <w:jc w:val="both"/>
        <w:rPr>
          <w:iCs/>
          <w:sz w:val="20"/>
          <w:lang w:eastAsia="lt-LT"/>
        </w:rPr>
      </w:pPr>
      <w:r w:rsidRPr="00D05364">
        <w:rPr>
          <w:iCs/>
          <w:sz w:val="20"/>
          <w:lang w:eastAsia="lt-LT"/>
        </w:rPr>
        <w:t>ICER – (</w:t>
      </w:r>
      <w:r w:rsidRPr="00D05364">
        <w:rPr>
          <w:i/>
          <w:sz w:val="20"/>
          <w:lang w:eastAsia="lt-LT"/>
        </w:rPr>
        <w:t>angl. incremental cost-effectiveness ratio</w:t>
      </w:r>
      <w:r w:rsidRPr="00D05364">
        <w:rPr>
          <w:iCs/>
          <w:sz w:val="20"/>
          <w:lang w:eastAsia="lt-LT"/>
        </w:rPr>
        <w:t>) inkrementinis kaštų naudingumo koeficientas; LY – (</w:t>
      </w:r>
      <w:r w:rsidRPr="00D05364">
        <w:rPr>
          <w:i/>
          <w:sz w:val="20"/>
          <w:lang w:eastAsia="lt-LT"/>
        </w:rPr>
        <w:t>angl. life years</w:t>
      </w:r>
      <w:r w:rsidRPr="00D05364">
        <w:rPr>
          <w:iCs/>
          <w:sz w:val="20"/>
          <w:lang w:eastAsia="lt-LT"/>
        </w:rPr>
        <w:t>) gyvenimo metai; QALY- (</w:t>
      </w:r>
      <w:r w:rsidRPr="00D05364">
        <w:rPr>
          <w:i/>
          <w:sz w:val="20"/>
          <w:lang w:eastAsia="lt-LT"/>
        </w:rPr>
        <w:t xml:space="preserve">angl. quality adjusted life years) </w:t>
      </w:r>
      <w:r w:rsidRPr="00D05364">
        <w:rPr>
          <w:iCs/>
          <w:sz w:val="20"/>
          <w:lang w:eastAsia="lt-LT"/>
        </w:rPr>
        <w:t>kokybiški gyvenimo metai.</w:t>
      </w:r>
    </w:p>
    <w:p w14:paraId="4D0B07EC" w14:textId="77777777" w:rsidR="009440AF" w:rsidRPr="00632BB3" w:rsidRDefault="009440AF" w:rsidP="00A93AA6">
      <w:pPr>
        <w:tabs>
          <w:tab w:val="left" w:pos="426"/>
        </w:tabs>
        <w:rPr>
          <w:b/>
          <w:lang w:eastAsia="lt-LT"/>
        </w:rPr>
      </w:pPr>
    </w:p>
    <w:p w14:paraId="4FC424F9" w14:textId="4E767245" w:rsidR="00C62B36" w:rsidRPr="00632BB3" w:rsidRDefault="00C62B36" w:rsidP="00CC09D4">
      <w:pPr>
        <w:pStyle w:val="Sraopastraipa"/>
        <w:numPr>
          <w:ilvl w:val="0"/>
          <w:numId w:val="12"/>
        </w:numPr>
        <w:tabs>
          <w:tab w:val="left" w:pos="567"/>
        </w:tabs>
        <w:ind w:hanging="720"/>
        <w:rPr>
          <w:b/>
          <w:bCs/>
          <w:caps/>
        </w:rPr>
      </w:pPr>
      <w:r w:rsidRPr="00632BB3">
        <w:rPr>
          <w:b/>
          <w:bCs/>
          <w:caps/>
        </w:rPr>
        <w:t xml:space="preserve">Pacientų organizacijų pateikti duomenys </w:t>
      </w:r>
    </w:p>
    <w:p w14:paraId="79BCFF40" w14:textId="243CD300" w:rsidR="00937907" w:rsidRPr="00632BB3" w:rsidRDefault="002F3C16" w:rsidP="00937907">
      <w:pPr>
        <w:spacing w:after="120"/>
        <w:jc w:val="both"/>
      </w:pPr>
      <w:sdt>
        <w:sdtPr>
          <w:rPr>
            <w:rStyle w:val="Style2"/>
            <w:rFonts w:ascii="MS Gothic" w:eastAsia="MS Gothic" w:hAnsi="MS Gothic"/>
            <w:sz w:val="24"/>
          </w:rPr>
          <w:id w:val="1150014178"/>
          <w15:color w:val="FFCC00"/>
          <w14:checkbox>
            <w14:checked w14:val="0"/>
            <w14:checkedState w14:val="2612" w14:font="MS Gothic"/>
            <w14:uncheckedState w14:val="2610" w14:font="MS Gothic"/>
          </w14:checkbox>
        </w:sdtPr>
        <w:sdtEndPr>
          <w:rPr>
            <w:rStyle w:val="Style2"/>
          </w:rPr>
        </w:sdtEndPr>
        <w:sdtContent>
          <w:r w:rsidR="00DF5AF3" w:rsidRPr="00632BB3">
            <w:rPr>
              <w:rStyle w:val="Style2"/>
              <w:rFonts w:ascii="MS Gothic" w:eastAsia="MS Gothic" w:hAnsi="MS Gothic"/>
              <w:sz w:val="24"/>
            </w:rPr>
            <w:t>☐</w:t>
          </w:r>
        </w:sdtContent>
      </w:sdt>
      <w:r w:rsidR="00937907" w:rsidRPr="00632BB3">
        <w:t xml:space="preserve"> Pacientų organizacijos pozicija pateikta. Žr. priedą.</w:t>
      </w:r>
    </w:p>
    <w:p w14:paraId="62992180" w14:textId="7BC88142" w:rsidR="00937907" w:rsidRPr="00632BB3" w:rsidRDefault="002F3C16" w:rsidP="00937907">
      <w:pPr>
        <w:spacing w:after="120"/>
        <w:jc w:val="both"/>
      </w:pPr>
      <w:sdt>
        <w:sdtPr>
          <w:rPr>
            <w:rStyle w:val="Style2"/>
            <w:rFonts w:ascii="MS Gothic" w:eastAsia="MS Gothic" w:hAnsi="MS Gothic"/>
            <w:sz w:val="24"/>
          </w:rPr>
          <w:id w:val="-1545513810"/>
          <w15:color w:val="FFCC00"/>
          <w14:checkbox>
            <w14:checked w14:val="1"/>
            <w14:checkedState w14:val="2612" w14:font="MS Gothic"/>
            <w14:uncheckedState w14:val="2610" w14:font="MS Gothic"/>
          </w14:checkbox>
        </w:sdtPr>
        <w:sdtEndPr>
          <w:rPr>
            <w:rStyle w:val="Style2"/>
          </w:rPr>
        </w:sdtEndPr>
        <w:sdtContent>
          <w:r w:rsidR="00DF5AF3" w:rsidRPr="00632BB3">
            <w:rPr>
              <w:rStyle w:val="Style2"/>
              <w:rFonts w:ascii="MS Gothic" w:eastAsia="MS Gothic" w:hAnsi="MS Gothic"/>
              <w:sz w:val="24"/>
            </w:rPr>
            <w:t>☒</w:t>
          </w:r>
        </w:sdtContent>
      </w:sdt>
      <w:r w:rsidR="00937907" w:rsidRPr="00632BB3">
        <w:t xml:space="preserve"> Pacientų organizacijos pozicija </w:t>
      </w:r>
      <w:r w:rsidR="00880A44" w:rsidRPr="00632BB3">
        <w:t>ne</w:t>
      </w:r>
      <w:r w:rsidR="00937907" w:rsidRPr="00632BB3">
        <w:t>pateikta.</w:t>
      </w:r>
    </w:p>
    <w:p w14:paraId="03E73D82" w14:textId="77777777" w:rsidR="00D417D2" w:rsidRPr="00632BB3" w:rsidRDefault="00D417D2" w:rsidP="00937907">
      <w:pPr>
        <w:spacing w:after="120"/>
        <w:jc w:val="both"/>
      </w:pPr>
    </w:p>
    <w:p w14:paraId="3D3277FA" w14:textId="3CEEB2D2" w:rsidR="00C62B36" w:rsidRDefault="00C62B36" w:rsidP="00CC09D4">
      <w:pPr>
        <w:pStyle w:val="Sraopastraipa"/>
        <w:numPr>
          <w:ilvl w:val="0"/>
          <w:numId w:val="12"/>
        </w:numPr>
        <w:tabs>
          <w:tab w:val="left" w:pos="567"/>
        </w:tabs>
        <w:ind w:hanging="720"/>
        <w:rPr>
          <w:b/>
          <w:bCs/>
          <w:caps/>
        </w:rPr>
      </w:pPr>
      <w:r w:rsidRPr="00632BB3">
        <w:rPr>
          <w:b/>
          <w:bCs/>
          <w:caps/>
        </w:rPr>
        <w:t>Gydytojų organizacijų pateikti duomenys</w:t>
      </w:r>
    </w:p>
    <w:p w14:paraId="29E04F2B" w14:textId="77777777" w:rsidR="005361D3" w:rsidRPr="00632BB3" w:rsidRDefault="005361D3" w:rsidP="005361D3">
      <w:pPr>
        <w:pStyle w:val="Sraopastraipa"/>
        <w:tabs>
          <w:tab w:val="left" w:pos="567"/>
        </w:tabs>
        <w:rPr>
          <w:b/>
          <w:bCs/>
          <w:caps/>
        </w:rPr>
      </w:pPr>
    </w:p>
    <w:p w14:paraId="389A346C" w14:textId="17184B64" w:rsidR="00937907" w:rsidRPr="00632BB3" w:rsidRDefault="002F3C16" w:rsidP="00662983">
      <w:pPr>
        <w:spacing w:after="120"/>
        <w:jc w:val="both"/>
      </w:pPr>
      <w:sdt>
        <w:sdtPr>
          <w:rPr>
            <w:rStyle w:val="Style2"/>
            <w:rFonts w:ascii="MS Gothic" w:eastAsia="MS Gothic" w:hAnsi="MS Gothic"/>
            <w:sz w:val="24"/>
          </w:rPr>
          <w:id w:val="1613862788"/>
          <w15:color w:val="FFCC00"/>
          <w14:checkbox>
            <w14:checked w14:val="0"/>
            <w14:checkedState w14:val="2612" w14:font="MS Gothic"/>
            <w14:uncheckedState w14:val="2610" w14:font="MS Gothic"/>
          </w14:checkbox>
        </w:sdtPr>
        <w:sdtEndPr>
          <w:rPr>
            <w:rStyle w:val="Style2"/>
          </w:rPr>
        </w:sdtEndPr>
        <w:sdtContent>
          <w:r w:rsidR="00937907" w:rsidRPr="00632BB3">
            <w:rPr>
              <w:rStyle w:val="Style2"/>
              <w:rFonts w:ascii="MS Gothic" w:eastAsia="MS Gothic" w:hAnsi="MS Gothic"/>
              <w:sz w:val="24"/>
            </w:rPr>
            <w:t>☐</w:t>
          </w:r>
        </w:sdtContent>
      </w:sdt>
      <w:r w:rsidR="00662983" w:rsidRPr="00632BB3">
        <w:t xml:space="preserve"> </w:t>
      </w:r>
      <w:r w:rsidR="00937907" w:rsidRPr="00632BB3">
        <w:t xml:space="preserve">Gydytojų specialistų organizacijos pozicija pateikta. </w:t>
      </w:r>
      <w:r w:rsidR="00662983" w:rsidRPr="00632BB3">
        <w:t>Žr. priedą</w:t>
      </w:r>
      <w:r w:rsidR="00937907" w:rsidRPr="00632BB3">
        <w:t>.</w:t>
      </w:r>
    </w:p>
    <w:p w14:paraId="5D8CC48C" w14:textId="31A2C539" w:rsidR="00662983" w:rsidRPr="00632BB3" w:rsidRDefault="002F3C16" w:rsidP="00662983">
      <w:pPr>
        <w:spacing w:after="120"/>
        <w:jc w:val="both"/>
      </w:pPr>
      <w:sdt>
        <w:sdtPr>
          <w:rPr>
            <w:rStyle w:val="Style2"/>
            <w:rFonts w:ascii="MS Gothic" w:eastAsia="MS Gothic" w:hAnsi="MS Gothic"/>
            <w:sz w:val="24"/>
          </w:rPr>
          <w:id w:val="-41988141"/>
          <w15:color w:val="FFCC00"/>
          <w14:checkbox>
            <w14:checked w14:val="1"/>
            <w14:checkedState w14:val="2612" w14:font="MS Gothic"/>
            <w14:uncheckedState w14:val="2610" w14:font="MS Gothic"/>
          </w14:checkbox>
        </w:sdtPr>
        <w:sdtEndPr>
          <w:rPr>
            <w:rStyle w:val="Style2"/>
          </w:rPr>
        </w:sdtEndPr>
        <w:sdtContent>
          <w:r w:rsidR="00C21A99" w:rsidRPr="00632BB3">
            <w:rPr>
              <w:rStyle w:val="Style2"/>
              <w:rFonts w:ascii="MS Gothic" w:eastAsia="MS Gothic" w:hAnsi="MS Gothic"/>
              <w:sz w:val="24"/>
            </w:rPr>
            <w:t>☒</w:t>
          </w:r>
        </w:sdtContent>
      </w:sdt>
      <w:r w:rsidR="00662983" w:rsidRPr="00632BB3">
        <w:t xml:space="preserve"> </w:t>
      </w:r>
      <w:r w:rsidR="00937907" w:rsidRPr="00632BB3">
        <w:t xml:space="preserve">Gydytojų specialistų organizacijos pozicija </w:t>
      </w:r>
      <w:r w:rsidR="00880A44" w:rsidRPr="00632BB3">
        <w:t>ne</w:t>
      </w:r>
      <w:r w:rsidR="00937907" w:rsidRPr="00632BB3">
        <w:t>pateikta.</w:t>
      </w:r>
    </w:p>
    <w:p w14:paraId="3701D46A" w14:textId="77777777" w:rsidR="00A042B9" w:rsidRPr="00632BB3" w:rsidRDefault="00A042B9" w:rsidP="00662983">
      <w:pPr>
        <w:spacing w:after="120"/>
        <w:jc w:val="both"/>
      </w:pPr>
    </w:p>
    <w:p w14:paraId="78F23ECB" w14:textId="23A3A002" w:rsidR="002F0E4F" w:rsidRPr="00632BB3" w:rsidRDefault="002F0E4F" w:rsidP="00CC09D4">
      <w:pPr>
        <w:pStyle w:val="Sraopastraipa"/>
        <w:numPr>
          <w:ilvl w:val="0"/>
          <w:numId w:val="12"/>
        </w:numPr>
        <w:tabs>
          <w:tab w:val="left" w:pos="567"/>
        </w:tabs>
        <w:ind w:hanging="720"/>
        <w:rPr>
          <w:b/>
          <w:bCs/>
          <w:caps/>
        </w:rPr>
      </w:pPr>
      <w:r w:rsidRPr="00632BB3">
        <w:rPr>
          <w:b/>
          <w:bCs/>
          <w:caps/>
        </w:rPr>
        <w:t xml:space="preserve">Išvada </w:t>
      </w:r>
    </w:p>
    <w:p w14:paraId="55E76E53" w14:textId="5437B761" w:rsidR="0064249A" w:rsidRPr="00632BB3" w:rsidRDefault="0064249A" w:rsidP="0061611B">
      <w:pPr>
        <w:rPr>
          <w:i/>
          <w:szCs w:val="22"/>
        </w:rPr>
      </w:pPr>
    </w:p>
    <w:tbl>
      <w:tblPr>
        <w:tblStyle w:val="Lentelstinklelis"/>
        <w:tblW w:w="0" w:type="auto"/>
        <w:tblLook w:val="04A0" w:firstRow="1" w:lastRow="0" w:firstColumn="1" w:lastColumn="0" w:noHBand="0" w:noVBand="1"/>
      </w:tblPr>
      <w:tblGrid>
        <w:gridCol w:w="4815"/>
        <w:gridCol w:w="4814"/>
      </w:tblGrid>
      <w:tr w:rsidR="000203E1" w:rsidRPr="00632BB3" w14:paraId="143A7356" w14:textId="77777777" w:rsidTr="00C16245">
        <w:trPr>
          <w:trHeight w:val="510"/>
        </w:trPr>
        <w:tc>
          <w:tcPr>
            <w:tcW w:w="9629" w:type="dxa"/>
            <w:gridSpan w:val="2"/>
            <w:vAlign w:val="center"/>
          </w:tcPr>
          <w:p w14:paraId="0AF5D6B4" w14:textId="12D1C777" w:rsidR="00B13D65" w:rsidRPr="00632BB3"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bookmarkStart w:id="0" w:name="_Hlk185374656"/>
            <w:r w:rsidRPr="00632BB3">
              <w:rPr>
                <w:rStyle w:val="Style2"/>
                <w:rFonts w:eastAsia="MS Gothic"/>
                <w:b/>
                <w:bCs/>
                <w:sz w:val="24"/>
              </w:rPr>
              <w:lastRenderedPageBreak/>
              <w:t xml:space="preserve">Palyginamasis </w:t>
            </w:r>
            <w:r w:rsidR="001C1D94" w:rsidRPr="00632BB3">
              <w:rPr>
                <w:rStyle w:val="Style2"/>
                <w:rFonts w:eastAsia="MS Gothic"/>
                <w:b/>
                <w:bCs/>
                <w:sz w:val="24"/>
              </w:rPr>
              <w:t>veiksmingumas</w:t>
            </w:r>
          </w:p>
        </w:tc>
      </w:tr>
      <w:tr w:rsidR="000203E1" w:rsidRPr="00632BB3" w14:paraId="28A0C814" w14:textId="77777777" w:rsidTr="0061611B">
        <w:tc>
          <w:tcPr>
            <w:tcW w:w="4815" w:type="dxa"/>
          </w:tcPr>
          <w:p w14:paraId="216769B5" w14:textId="5A7DB272" w:rsidR="00B13D65" w:rsidRPr="00632BB3" w:rsidRDefault="002F3C16"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1"/>
                  <w14:checkedState w14:val="2612" w14:font="MS Gothic"/>
                  <w14:uncheckedState w14:val="2610" w14:font="MS Gothic"/>
                </w14:checkbox>
              </w:sdtPr>
              <w:sdtEndPr>
                <w:rPr>
                  <w:rStyle w:val="Style2"/>
                </w:rPr>
              </w:sdtEndPr>
              <w:sdtContent>
                <w:r w:rsidR="005361D3">
                  <w:rPr>
                    <w:rStyle w:val="Style2"/>
                    <w:rFonts w:ascii="MS Gothic" w:eastAsia="MS Gothic" w:hAnsi="MS Gothic" w:hint="eastAsia"/>
                    <w:sz w:val="24"/>
                  </w:rPr>
                  <w:t>☒</w:t>
                </w:r>
              </w:sdtContent>
            </w:sdt>
            <w:r w:rsidR="001C1D94" w:rsidRPr="00632BB3">
              <w:rPr>
                <w:rStyle w:val="Style2"/>
                <w:sz w:val="24"/>
              </w:rPr>
              <w:t xml:space="preserve"> 29</w:t>
            </w:r>
            <w:r w:rsidR="00B13D65" w:rsidRPr="00632BB3">
              <w:t>.1.</w:t>
            </w:r>
            <w:r w:rsidR="001C1D94" w:rsidRPr="00632BB3">
              <w:t>1</w:t>
            </w:r>
            <w:r w:rsidR="00B13D65" w:rsidRPr="00632BB3">
              <w:t xml:space="preserve"> yra didesnis</w:t>
            </w:r>
            <w:r w:rsidR="00B00959" w:rsidRPr="00632BB3">
              <w:t>, lyginant su įprasta klinikine praktika</w:t>
            </w:r>
          </w:p>
          <w:p w14:paraId="3B48F372" w14:textId="77777777" w:rsidR="00662983" w:rsidRPr="00632BB3"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F18D4" w14:textId="38D97BE1" w:rsidR="00B13D65" w:rsidRPr="00632BB3" w:rsidRDefault="002F3C16" w:rsidP="00662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0"/>
                  <w14:checkedState w14:val="2612" w14:font="MS Gothic"/>
                  <w14:uncheckedState w14:val="2610" w14:font="MS Gothic"/>
                </w14:checkbox>
              </w:sdtPr>
              <w:sdtEndPr>
                <w:rPr>
                  <w:rStyle w:val="Style2"/>
                </w:rPr>
              </w:sdtEndPr>
              <w:sdtContent>
                <w:r w:rsidR="005361D3">
                  <w:rPr>
                    <w:rStyle w:val="Style2"/>
                    <w:rFonts w:ascii="MS Gothic" w:eastAsia="MS Gothic" w:hAnsi="MS Gothic" w:hint="eastAsia"/>
                    <w:sz w:val="24"/>
                  </w:rPr>
                  <w:t>☐</w:t>
                </w:r>
              </w:sdtContent>
            </w:sdt>
            <w:r w:rsidR="00B13D65" w:rsidRPr="00632BB3">
              <w:t xml:space="preserve"> </w:t>
            </w:r>
            <w:r w:rsidR="001C1D94" w:rsidRPr="00632BB3">
              <w:rPr>
                <w:rStyle w:val="Style2"/>
                <w:sz w:val="24"/>
              </w:rPr>
              <w:t>29</w:t>
            </w:r>
            <w:r w:rsidR="001C1D94" w:rsidRPr="00632BB3">
              <w:t xml:space="preserve">.1.2 </w:t>
            </w:r>
            <w:r w:rsidR="00B13D65" w:rsidRPr="00632BB3">
              <w:t>iš esmės nesiskiria</w:t>
            </w:r>
            <w:r w:rsidR="00B00959" w:rsidRPr="00632BB3">
              <w:t>, lyginant su įprasta klinikine praktika</w:t>
            </w:r>
          </w:p>
        </w:tc>
        <w:tc>
          <w:tcPr>
            <w:tcW w:w="4814" w:type="dxa"/>
          </w:tcPr>
          <w:p w14:paraId="507828D9" w14:textId="2D47A9EF" w:rsidR="00B13D65" w:rsidRPr="00632BB3" w:rsidRDefault="002F3C16"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EndPr>
                <w:rPr>
                  <w:rStyle w:val="Style2"/>
                </w:rPr>
              </w:sdtEndPr>
              <w:sdtContent>
                <w:r w:rsidR="00B13D65" w:rsidRPr="00632BB3">
                  <w:rPr>
                    <w:rStyle w:val="Style2"/>
                    <w:rFonts w:ascii="Segoe UI Symbol" w:eastAsia="MS Gothic" w:hAnsi="Segoe UI Symbol" w:cs="Segoe UI Symbol"/>
                    <w:sz w:val="24"/>
                  </w:rPr>
                  <w:t>☐</w:t>
                </w:r>
              </w:sdtContent>
            </w:sdt>
            <w:r w:rsidR="00B13D65" w:rsidRPr="00632BB3">
              <w:t xml:space="preserve"> </w:t>
            </w:r>
            <w:r w:rsidR="001C1D94" w:rsidRPr="00632BB3">
              <w:rPr>
                <w:rStyle w:val="Style2"/>
                <w:sz w:val="24"/>
              </w:rPr>
              <w:t>29</w:t>
            </w:r>
            <w:r w:rsidR="001C1D94" w:rsidRPr="00632BB3">
              <w:t xml:space="preserve">.1.3 yra neįrodytas kaip didesnis  ar iš esmės nesiskiriantis, lyginant su įprasta klinikine praktika </w:t>
            </w:r>
            <w:r w:rsidR="00B13D65" w:rsidRPr="00632BB3">
              <w:t xml:space="preserve"> </w:t>
            </w:r>
          </w:p>
          <w:p w14:paraId="282277FB" w14:textId="77777777" w:rsidR="001C1D94" w:rsidRPr="00632BB3" w:rsidRDefault="001C1D94"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912B9C4" w14:textId="1D4329EA" w:rsidR="001C1D94" w:rsidRPr="00632BB3" w:rsidRDefault="002F3C16"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EndPr>
                <w:rPr>
                  <w:rStyle w:val="Style2"/>
                </w:rPr>
              </w:sdtEndPr>
              <w:sdtContent>
                <w:r w:rsidR="00B13D65" w:rsidRPr="00632BB3">
                  <w:rPr>
                    <w:rStyle w:val="Style2"/>
                    <w:rFonts w:ascii="Segoe UI Symbol" w:eastAsia="MS Gothic" w:hAnsi="Segoe UI Symbol" w:cs="Segoe UI Symbol"/>
                    <w:sz w:val="24"/>
                  </w:rPr>
                  <w:t>☐</w:t>
                </w:r>
              </w:sdtContent>
            </w:sdt>
            <w:r w:rsidR="00B13D65" w:rsidRPr="00632BB3">
              <w:t xml:space="preserve"> </w:t>
            </w:r>
            <w:r w:rsidR="001C1D94" w:rsidRPr="00632BB3">
              <w:rPr>
                <w:rStyle w:val="Style2"/>
                <w:sz w:val="24"/>
              </w:rPr>
              <w:t>29</w:t>
            </w:r>
            <w:r w:rsidR="001C1D94" w:rsidRPr="00632BB3">
              <w:t>.1.4 yra mažesnis, lyginant su įprasta klinikine praktika</w:t>
            </w:r>
          </w:p>
          <w:p w14:paraId="3396544A" w14:textId="77777777" w:rsidR="001C1D94" w:rsidRPr="00632BB3" w:rsidRDefault="001C1D94"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C3F0A3" w14:textId="34F09BE7" w:rsidR="00B13D65" w:rsidRPr="00632BB3" w:rsidRDefault="002F3C16"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EndPr>
                <w:rPr>
                  <w:rStyle w:val="Style2"/>
                </w:rPr>
              </w:sdtEndPr>
              <w:sdtContent>
                <w:r w:rsidR="00662983" w:rsidRPr="00632BB3">
                  <w:rPr>
                    <w:rStyle w:val="Style2"/>
                    <w:rFonts w:ascii="Segoe UI Symbol" w:eastAsia="MS Gothic" w:hAnsi="Segoe UI Symbol" w:cs="Segoe UI Symbol"/>
                    <w:sz w:val="24"/>
                  </w:rPr>
                  <w:t>☐</w:t>
                </w:r>
              </w:sdtContent>
            </w:sdt>
            <w:r w:rsidR="00662983" w:rsidRPr="00632BB3">
              <w:t xml:space="preserve"> </w:t>
            </w:r>
            <w:r w:rsidR="001C1D94" w:rsidRPr="00632BB3">
              <w:t xml:space="preserve"> </w:t>
            </w:r>
            <w:r w:rsidR="001C1D94" w:rsidRPr="00632BB3">
              <w:rPr>
                <w:rStyle w:val="Style2"/>
                <w:sz w:val="24"/>
              </w:rPr>
              <w:t>29</w:t>
            </w:r>
            <w:r w:rsidR="001C1D94" w:rsidRPr="00632BB3">
              <w:t>.1.5 pateikti duomenys apie palyginamąjį veiksmingumą yra netinkami vertinti</w:t>
            </w:r>
          </w:p>
          <w:p w14:paraId="5DDAA961" w14:textId="77777777" w:rsidR="00B13D65" w:rsidRPr="00632BB3" w:rsidRDefault="00B13D65" w:rsidP="001C1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0203E1" w:rsidRPr="00632BB3" w14:paraId="1C75AE76" w14:textId="77777777" w:rsidTr="00C16245">
        <w:trPr>
          <w:trHeight w:val="510"/>
        </w:trPr>
        <w:tc>
          <w:tcPr>
            <w:tcW w:w="9629" w:type="dxa"/>
            <w:gridSpan w:val="2"/>
            <w:vAlign w:val="center"/>
          </w:tcPr>
          <w:p w14:paraId="0247EDAD" w14:textId="7FBBB759" w:rsidR="00B13D65" w:rsidRPr="00632BB3"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bookmarkStart w:id="1" w:name="_Hlk185374787"/>
            <w:r w:rsidRPr="00632BB3">
              <w:rPr>
                <w:rStyle w:val="Style2"/>
                <w:rFonts w:eastAsia="MS Gothic"/>
                <w:b/>
                <w:bCs/>
                <w:sz w:val="24"/>
              </w:rPr>
              <w:t>Kaštų naudingumas</w:t>
            </w:r>
          </w:p>
        </w:tc>
      </w:tr>
      <w:tr w:rsidR="00B13D65" w:rsidRPr="00632BB3" w14:paraId="7091A05B" w14:textId="77777777" w:rsidTr="0061611B">
        <w:tc>
          <w:tcPr>
            <w:tcW w:w="4815" w:type="dxa"/>
          </w:tcPr>
          <w:p w14:paraId="69B2A994" w14:textId="79FEE858" w:rsidR="00B13D65" w:rsidRPr="00632BB3" w:rsidRDefault="002F3C16"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1"/>
                  <w14:checkedState w14:val="2612" w14:font="MS Gothic"/>
                  <w14:uncheckedState w14:val="2610" w14:font="MS Gothic"/>
                </w14:checkbox>
              </w:sdtPr>
              <w:sdtEndPr>
                <w:rPr>
                  <w:rStyle w:val="Style2"/>
                </w:rPr>
              </w:sdtEndPr>
              <w:sdtContent>
                <w:r w:rsidR="009440AF">
                  <w:rPr>
                    <w:rStyle w:val="Style2"/>
                    <w:rFonts w:ascii="MS Gothic" w:eastAsia="MS Gothic" w:hAnsi="MS Gothic" w:hint="eastAsia"/>
                    <w:sz w:val="24"/>
                  </w:rPr>
                  <w:t>☒</w:t>
                </w:r>
              </w:sdtContent>
            </w:sdt>
            <w:r w:rsidR="00B13D65" w:rsidRPr="00632BB3">
              <w:t xml:space="preserve"> </w:t>
            </w:r>
            <w:r w:rsidR="001C1D94" w:rsidRPr="00632BB3">
              <w:t xml:space="preserve">29.2.1 </w:t>
            </w:r>
            <w:r w:rsidR="00B13D65" w:rsidRPr="00632BB3">
              <w:t>atitink</w:t>
            </w:r>
            <w:r w:rsidR="00450075" w:rsidRPr="00632BB3">
              <w:t>a referencinę naudingumo vertę</w:t>
            </w:r>
          </w:p>
          <w:p w14:paraId="3F76F153" w14:textId="77777777" w:rsidR="00662983" w:rsidRPr="00632BB3"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5E4BD1E" w14:textId="120610B0" w:rsidR="00B13D65" w:rsidRPr="00632BB3" w:rsidRDefault="002F3C16" w:rsidP="001C1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sdt>
              <w:sdtPr>
                <w:rPr>
                  <w:rStyle w:val="Style2"/>
                  <w:sz w:val="24"/>
                </w:rPr>
                <w:id w:val="-1308081728"/>
                <w15:color w:val="FFCC00"/>
                <w14:checkbox>
                  <w14:checked w14:val="0"/>
                  <w14:checkedState w14:val="2612" w14:font="MS Gothic"/>
                  <w14:uncheckedState w14:val="2610" w14:font="MS Gothic"/>
                </w14:checkbox>
              </w:sdtPr>
              <w:sdtEndPr>
                <w:rPr>
                  <w:rStyle w:val="Style2"/>
                </w:rPr>
              </w:sdtEndPr>
              <w:sdtContent>
                <w:r w:rsidR="005361D3">
                  <w:rPr>
                    <w:rStyle w:val="Style2"/>
                    <w:rFonts w:ascii="MS Gothic" w:eastAsia="MS Gothic" w:hAnsi="MS Gothic" w:hint="eastAsia"/>
                    <w:sz w:val="24"/>
                  </w:rPr>
                  <w:t>☐</w:t>
                </w:r>
              </w:sdtContent>
            </w:sdt>
            <w:r w:rsidR="00B13D65" w:rsidRPr="00632BB3">
              <w:t xml:space="preserve"> </w:t>
            </w:r>
            <w:r w:rsidR="001C1D94" w:rsidRPr="00632BB3">
              <w:t xml:space="preserve">29.2.2 </w:t>
            </w:r>
            <w:r w:rsidR="00B13D65" w:rsidRPr="00632BB3">
              <w:t>gydymo juo kaštai yra mažesni ar tokie patys esant iš esmės nesiskiriančiam palyginamajam efektyvumui, taikant</w:t>
            </w:r>
            <w:r w:rsidR="001C1D94" w:rsidRPr="00632BB3">
              <w:t xml:space="preserve"> arba netaikant </w:t>
            </w:r>
            <w:r w:rsidR="00B13D65" w:rsidRPr="00632BB3">
              <w:t xml:space="preserve"> </w:t>
            </w:r>
            <w:r w:rsidR="00450075" w:rsidRPr="00632BB3">
              <w:t>PGS</w:t>
            </w:r>
          </w:p>
        </w:tc>
        <w:tc>
          <w:tcPr>
            <w:tcW w:w="4814" w:type="dxa"/>
          </w:tcPr>
          <w:p w14:paraId="53380063" w14:textId="5C8AD260" w:rsidR="00B13D65" w:rsidRPr="00632BB3" w:rsidRDefault="002F3C16"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0"/>
                  <w14:checkedState w14:val="2612" w14:font="MS Gothic"/>
                  <w14:uncheckedState w14:val="2610" w14:font="MS Gothic"/>
                </w14:checkbox>
              </w:sdtPr>
              <w:sdtEndPr>
                <w:rPr>
                  <w:rStyle w:val="Style2"/>
                </w:rPr>
              </w:sdtEndPr>
              <w:sdtContent>
                <w:r w:rsidR="00030C28" w:rsidRPr="00632BB3">
                  <w:rPr>
                    <w:rStyle w:val="Style2"/>
                    <w:rFonts w:ascii="MS Gothic" w:eastAsia="MS Gothic" w:hAnsi="MS Gothic"/>
                    <w:sz w:val="24"/>
                  </w:rPr>
                  <w:t>☐</w:t>
                </w:r>
              </w:sdtContent>
            </w:sdt>
            <w:r w:rsidR="00B13D65" w:rsidRPr="00632BB3">
              <w:t xml:space="preserve"> </w:t>
            </w:r>
            <w:r w:rsidR="001C1D94" w:rsidRPr="00632BB3">
              <w:t>29</w:t>
            </w:r>
            <w:r w:rsidR="00B13D65" w:rsidRPr="00632BB3">
              <w:t>.</w:t>
            </w:r>
            <w:r w:rsidR="001C1D94" w:rsidRPr="00632BB3">
              <w:t>2.</w:t>
            </w:r>
            <w:r w:rsidR="00B13D65" w:rsidRPr="00632BB3">
              <w:t xml:space="preserve">3 neatitinka referencinės naudingumo vertės </w:t>
            </w:r>
            <w:r w:rsidR="001C1D94" w:rsidRPr="00632BB3">
              <w:t>taikant arba netaikant PGS</w:t>
            </w:r>
          </w:p>
          <w:p w14:paraId="229ED51A" w14:textId="77777777" w:rsidR="00662983" w:rsidRPr="00632BB3"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F7D76B3" w14:textId="77777777" w:rsidR="007D2CF4" w:rsidRPr="00632BB3" w:rsidRDefault="002F3C16" w:rsidP="007D2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dt>
              <w:sdtPr>
                <w:rPr>
                  <w:rStyle w:val="Style2"/>
                  <w:sz w:val="24"/>
                </w:rPr>
                <w:id w:val="-1135473618"/>
                <w15:color w:val="FFCC00"/>
                <w14:checkbox>
                  <w14:checked w14:val="0"/>
                  <w14:checkedState w14:val="2612" w14:font="MS Gothic"/>
                  <w14:uncheckedState w14:val="2610" w14:font="MS Gothic"/>
                </w14:checkbox>
              </w:sdtPr>
              <w:sdtEndPr>
                <w:rPr>
                  <w:rStyle w:val="Style2"/>
                </w:rPr>
              </w:sdtEndPr>
              <w:sdtContent>
                <w:r w:rsidR="00B13D65" w:rsidRPr="00632BB3">
                  <w:rPr>
                    <w:rStyle w:val="Style2"/>
                    <w:rFonts w:ascii="Segoe UI Symbol" w:eastAsia="MS Gothic" w:hAnsi="Segoe UI Symbol" w:cs="Segoe UI Symbol"/>
                    <w:sz w:val="24"/>
                  </w:rPr>
                  <w:t>☐</w:t>
                </w:r>
              </w:sdtContent>
            </w:sdt>
            <w:r w:rsidR="00B13D65" w:rsidRPr="00632BB3">
              <w:t xml:space="preserve"> </w:t>
            </w:r>
            <w:r w:rsidR="007D2CF4" w:rsidRPr="00632BB3">
              <w:t xml:space="preserve">29.2.4 </w:t>
            </w:r>
            <w:r w:rsidR="00B13D65" w:rsidRPr="00632BB3">
              <w:t xml:space="preserve">gydymo juo kaštai yra didesni esant iš esmės nesiskiriančiam palyginamajam </w:t>
            </w:r>
            <w:r w:rsidR="007D2CF4" w:rsidRPr="00632BB3">
              <w:t>veiksmingumui</w:t>
            </w:r>
            <w:r w:rsidR="00B13D65" w:rsidRPr="00632BB3">
              <w:t>, taikant</w:t>
            </w:r>
            <w:r w:rsidR="00450075" w:rsidRPr="00632BB3">
              <w:t xml:space="preserve"> </w:t>
            </w:r>
            <w:r w:rsidR="007D2CF4" w:rsidRPr="00632BB3">
              <w:t>arba netaikant PGS</w:t>
            </w:r>
          </w:p>
          <w:p w14:paraId="4A9C7D2A" w14:textId="1B3F88FF" w:rsidR="00662983" w:rsidRPr="00632BB3"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226013D" w14:textId="7E2B340F" w:rsidR="00B13D65" w:rsidRPr="00632BB3" w:rsidRDefault="002F3C16" w:rsidP="007D2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dt>
              <w:sdtPr>
                <w:rPr>
                  <w:rStyle w:val="Style2"/>
                  <w:sz w:val="24"/>
                </w:rPr>
                <w:id w:val="-2008360022"/>
                <w15:color w:val="FFCC00"/>
                <w14:checkbox>
                  <w14:checked w14:val="0"/>
                  <w14:checkedState w14:val="2612" w14:font="MS Gothic"/>
                  <w14:uncheckedState w14:val="2610" w14:font="MS Gothic"/>
                </w14:checkbox>
              </w:sdtPr>
              <w:sdtEndPr>
                <w:rPr>
                  <w:rStyle w:val="Style2"/>
                </w:rPr>
              </w:sdtEndPr>
              <w:sdtContent>
                <w:r w:rsidR="00B13D65" w:rsidRPr="00632BB3">
                  <w:rPr>
                    <w:rStyle w:val="Style2"/>
                    <w:rFonts w:ascii="Segoe UI Symbol" w:eastAsia="MS Gothic" w:hAnsi="Segoe UI Symbol" w:cs="Segoe UI Symbol"/>
                    <w:sz w:val="24"/>
                  </w:rPr>
                  <w:t>☐</w:t>
                </w:r>
              </w:sdtContent>
            </w:sdt>
            <w:r w:rsidR="00B13D65" w:rsidRPr="00632BB3">
              <w:t xml:space="preserve"> </w:t>
            </w:r>
            <w:r w:rsidR="007D2CF4" w:rsidRPr="00632BB3">
              <w:t>29.2.5</w:t>
            </w:r>
            <w:r w:rsidR="00B13D65" w:rsidRPr="00632BB3">
              <w:t xml:space="preserve"> pateikti duomenys apie kaštų na</w:t>
            </w:r>
            <w:r w:rsidR="00662983" w:rsidRPr="00632BB3">
              <w:t>udingumą yra netinkami vertinti</w:t>
            </w:r>
          </w:p>
          <w:p w14:paraId="470A48A4" w14:textId="77777777" w:rsidR="00B13D65" w:rsidRPr="00632BB3"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bookmarkEnd w:id="0"/>
      <w:bookmarkEnd w:id="1"/>
    </w:tbl>
    <w:p w14:paraId="29A90384" w14:textId="4772D5ED" w:rsidR="004A3A61" w:rsidRPr="00632BB3" w:rsidRDefault="004A3A61" w:rsidP="00381024"/>
    <w:p w14:paraId="1B85C083" w14:textId="77777777" w:rsidR="009E44AE" w:rsidRPr="00632BB3" w:rsidRDefault="009E44AE" w:rsidP="00381024"/>
    <w:p w14:paraId="3B2D1F25" w14:textId="3A80E19F" w:rsidR="000001B0" w:rsidRPr="00632BB3" w:rsidRDefault="000001B0" w:rsidP="00CC09D4">
      <w:pPr>
        <w:pStyle w:val="Sraopastraipa"/>
        <w:numPr>
          <w:ilvl w:val="0"/>
          <w:numId w:val="12"/>
        </w:numPr>
        <w:ind w:left="567" w:hanging="567"/>
      </w:pPr>
      <w:r w:rsidRPr="00632BB3">
        <w:rPr>
          <w:b/>
        </w:rPr>
        <w:t>REKOME</w:t>
      </w:r>
      <w:r w:rsidR="00D83182" w:rsidRPr="00632BB3">
        <w:rPr>
          <w:b/>
        </w:rPr>
        <w:t>N</w:t>
      </w:r>
      <w:r w:rsidRPr="00632BB3">
        <w:rPr>
          <w:b/>
        </w:rPr>
        <w:t>DACIJA</w:t>
      </w:r>
    </w:p>
    <w:p w14:paraId="7D5C6700" w14:textId="77777777" w:rsidR="00D5470B" w:rsidRPr="00632BB3" w:rsidRDefault="00D5470B" w:rsidP="00C712EA">
      <w:pPr>
        <w:pStyle w:val="Sraopastraipa"/>
        <w:ind w:left="426"/>
      </w:pPr>
    </w:p>
    <w:p w14:paraId="06BC01EE" w14:textId="33265E49" w:rsidR="000723FF" w:rsidRPr="009440AF" w:rsidRDefault="009440AF" w:rsidP="00D52BBB">
      <w:pPr>
        <w:spacing w:line="276" w:lineRule="auto"/>
        <w:jc w:val="both"/>
        <w:rPr>
          <w:color w:val="000000"/>
        </w:rPr>
      </w:pPr>
      <w:r w:rsidRPr="009300B3">
        <w:t xml:space="preserve">Vadovaujantis </w:t>
      </w:r>
      <w:r>
        <w:t xml:space="preserve">Aprašo </w:t>
      </w:r>
      <w:r w:rsidRPr="009300B3">
        <w:rPr>
          <w:color w:val="000000"/>
          <w:lang w:eastAsia="lt-LT"/>
        </w:rPr>
        <w:t>30</w:t>
      </w:r>
      <w:r w:rsidRPr="009300B3">
        <w:rPr>
          <w:color w:val="000000"/>
          <w:vertAlign w:val="superscript"/>
          <w:lang w:eastAsia="lt-LT"/>
        </w:rPr>
        <w:t>1</w:t>
      </w:r>
      <w:r w:rsidRPr="009300B3">
        <w:rPr>
          <w:color w:val="000000"/>
          <w:lang w:eastAsia="lt-LT"/>
        </w:rPr>
        <w:t>.1. papunkčiu rekomenduojama kompensuoti vaistinį preparatą pagal paraiškoje nurodytą indikaciją (arba jos dalį) su arba be skyri</w:t>
      </w:r>
      <w:r>
        <w:rPr>
          <w:color w:val="000000"/>
          <w:lang w:eastAsia="lt-LT"/>
        </w:rPr>
        <w:t xml:space="preserve">mo sąlygų, taikant </w:t>
      </w:r>
      <w:r w:rsidRPr="009300B3">
        <w:rPr>
          <w:color w:val="000000"/>
          <w:lang w:eastAsia="lt-LT"/>
        </w:rPr>
        <w:t xml:space="preserve">PGS, </w:t>
      </w:r>
      <w:r>
        <w:rPr>
          <w:color w:val="000000"/>
          <w:lang w:eastAsia="lt-LT"/>
        </w:rPr>
        <w:t xml:space="preserve">kai vertinimo išvados atitinka </w:t>
      </w:r>
      <w:r w:rsidRPr="009300B3">
        <w:rPr>
          <w:color w:val="000000"/>
          <w:lang w:eastAsia="lt-LT"/>
        </w:rPr>
        <w:t>Aprašo 29.1.1 ir 29.2.1 papunkčiuose numatytas sąlygas.</w:t>
      </w:r>
    </w:p>
    <w:p w14:paraId="562A1372" w14:textId="77777777" w:rsidR="00283E59" w:rsidRPr="00632BB3" w:rsidRDefault="00283E59" w:rsidP="00283E59">
      <w:pPr>
        <w:jc w:val="both"/>
        <w:rPr>
          <w:b/>
          <w:sz w:val="20"/>
        </w:rPr>
      </w:pPr>
    </w:p>
    <w:p w14:paraId="7C641248" w14:textId="77777777" w:rsidR="005615E8" w:rsidRPr="00632BB3" w:rsidRDefault="005615E8" w:rsidP="005615E8">
      <w:pPr>
        <w:tabs>
          <w:tab w:val="left" w:pos="567"/>
        </w:tabs>
        <w:ind w:left="567" w:hanging="567"/>
        <w:jc w:val="both"/>
        <w:rPr>
          <w:b/>
          <w:color w:val="000000"/>
          <w:lang w:eastAsia="lt-LT"/>
        </w:rPr>
      </w:pPr>
      <w:r w:rsidRPr="00632BB3">
        <w:rPr>
          <w:b/>
          <w:color w:val="000000"/>
          <w:lang w:eastAsia="lt-LT"/>
        </w:rPr>
        <w:t>8.</w:t>
      </w:r>
      <w:r w:rsidRPr="00632BB3">
        <w:rPr>
          <w:b/>
          <w:color w:val="000000"/>
          <w:lang w:eastAsia="lt-LT"/>
        </w:rPr>
        <w:tab/>
        <w:t xml:space="preserve">SIŪLOMOS KOMPENSUOTI TERAPINĖS INDIKACIJOS IR SKYRIMO SĄLYGOS </w:t>
      </w:r>
    </w:p>
    <w:p w14:paraId="261E3FAE" w14:textId="77777777" w:rsidR="005615E8" w:rsidRPr="00632BB3" w:rsidRDefault="005615E8" w:rsidP="005615E8">
      <w:pPr>
        <w:tabs>
          <w:tab w:val="left" w:pos="426"/>
        </w:tabs>
        <w:jc w:val="both"/>
        <w:rPr>
          <w:b/>
          <w:color w:val="000000"/>
          <w:lang w:eastAsia="lt-LT"/>
        </w:rPr>
      </w:pPr>
    </w:p>
    <w:p w14:paraId="717DC2DC" w14:textId="77777777" w:rsidR="005615E8" w:rsidRPr="00632BB3" w:rsidRDefault="005615E8" w:rsidP="005615E8">
      <w:pPr>
        <w:rPr>
          <w:b/>
          <w:lang w:eastAsia="lt-LT"/>
        </w:rPr>
      </w:pPr>
      <w:r w:rsidRPr="00632BB3">
        <w:rPr>
          <w:b/>
          <w:lang w:eastAsia="lt-LT"/>
        </w:rPr>
        <w:t>Terapinės indikacijos</w:t>
      </w:r>
    </w:p>
    <w:p w14:paraId="4373616D" w14:textId="2C909865" w:rsidR="005361D3" w:rsidRDefault="002F3C16" w:rsidP="005361D3">
      <w:sdt>
        <w:sdtPr>
          <w:rPr>
            <w:rStyle w:val="Style2"/>
          </w:rPr>
          <w:id w:val="1146316688"/>
          <w15:color w:val="FFCC00"/>
          <w14:checkbox>
            <w14:checked w14:val="1"/>
            <w14:checkedState w14:val="2612" w14:font="MS Gothic"/>
            <w14:uncheckedState w14:val="2610" w14:font="MS Gothic"/>
          </w14:checkbox>
        </w:sdtPr>
        <w:sdtEndPr>
          <w:rPr>
            <w:rStyle w:val="Style2"/>
          </w:rPr>
        </w:sdtEndPr>
        <w:sdtContent>
          <w:r w:rsidR="005615E8" w:rsidRPr="00632BB3">
            <w:rPr>
              <w:rStyle w:val="Style2"/>
              <w:rFonts w:ascii="MS Gothic" w:eastAsia="MS Gothic" w:hAnsi="MS Gothic" w:hint="eastAsia"/>
            </w:rPr>
            <w:t>☒</w:t>
          </w:r>
        </w:sdtContent>
      </w:sdt>
      <w:r w:rsidR="005615E8" w:rsidRPr="00632BB3">
        <w:t xml:space="preserve"> Siūloma kompensuoti Pareiškėjo teikiamą indikaciją be pakeitimų.</w:t>
      </w:r>
    </w:p>
    <w:p w14:paraId="3F708E3A" w14:textId="77777777" w:rsidR="005361D3" w:rsidRDefault="005361D3" w:rsidP="005361D3"/>
    <w:p w14:paraId="29EDB982" w14:textId="474BF2A0" w:rsidR="005615E8" w:rsidRDefault="005361D3" w:rsidP="005361D3">
      <w:pPr>
        <w:spacing w:after="120"/>
        <w:jc w:val="both"/>
      </w:pPr>
      <w:r w:rsidRPr="00A07961">
        <w:t>Monoterapija KEYTRUDA skirta suaugusiųjų inkstų ląstelių karcinomos, kai yra padidėjusi ligos recidyvo rizika po atliktos nefrektomijos arba po nefrektomijos ir metastazių rezekcijos, adjuvantiniam gydymui.</w:t>
      </w:r>
    </w:p>
    <w:p w14:paraId="0A716FEC" w14:textId="77777777" w:rsidR="005361D3" w:rsidRPr="00632BB3" w:rsidRDefault="005361D3" w:rsidP="005361D3">
      <w:pPr>
        <w:spacing w:after="120"/>
        <w:jc w:val="both"/>
      </w:pPr>
    </w:p>
    <w:p w14:paraId="1CB5049C" w14:textId="77777777" w:rsidR="005615E8" w:rsidRPr="00632BB3" w:rsidRDefault="005615E8" w:rsidP="005615E8">
      <w:pPr>
        <w:rPr>
          <w:b/>
        </w:rPr>
      </w:pPr>
      <w:r w:rsidRPr="00632BB3">
        <w:rPr>
          <w:b/>
        </w:rPr>
        <w:t>Skyrimo sąlygos</w:t>
      </w:r>
    </w:p>
    <w:p w14:paraId="782D27E0" w14:textId="77777777" w:rsidR="00241B70" w:rsidRPr="00632BB3" w:rsidRDefault="00241B70" w:rsidP="005615E8">
      <w:pPr>
        <w:rPr>
          <w:b/>
        </w:rPr>
      </w:pPr>
    </w:p>
    <w:p w14:paraId="3A9D8786" w14:textId="182F8AF3" w:rsidR="005361D3" w:rsidRDefault="002F3C16" w:rsidP="005361D3">
      <w:pPr>
        <w:pStyle w:val="Betarp"/>
        <w:spacing w:line="276" w:lineRule="auto"/>
        <w:rPr>
          <w:rFonts w:ascii="Times New Roman" w:hAnsi="Times New Roman"/>
          <w:sz w:val="24"/>
          <w:szCs w:val="24"/>
        </w:rPr>
      </w:pPr>
      <w:sdt>
        <w:sdtPr>
          <w:rPr>
            <w:rStyle w:val="Style2"/>
            <w:rFonts w:ascii="Times New Roman" w:hAnsi="Times New Roman"/>
            <w:sz w:val="24"/>
            <w:szCs w:val="24"/>
          </w:rPr>
          <w:id w:val="1823936883"/>
          <w15:color w:val="FFCC00"/>
          <w14:checkbox>
            <w14:checked w14:val="1"/>
            <w14:checkedState w14:val="2612" w14:font="MS Gothic"/>
            <w14:uncheckedState w14:val="2610" w14:font="MS Gothic"/>
          </w14:checkbox>
        </w:sdtPr>
        <w:sdtEndPr>
          <w:rPr>
            <w:rStyle w:val="Style2"/>
          </w:rPr>
        </w:sdtEndPr>
        <w:sdtContent>
          <w:r w:rsidR="005361D3">
            <w:rPr>
              <w:rStyle w:val="Style2"/>
              <w:rFonts w:ascii="MS Gothic" w:eastAsia="MS Gothic" w:hAnsi="MS Gothic" w:hint="eastAsia"/>
              <w:sz w:val="24"/>
              <w:szCs w:val="24"/>
            </w:rPr>
            <w:t>☒</w:t>
          </w:r>
        </w:sdtContent>
      </w:sdt>
      <w:r w:rsidR="005361D3" w:rsidRPr="0002553B">
        <w:rPr>
          <w:rFonts w:ascii="Times New Roman" w:hAnsi="Times New Roman"/>
          <w:sz w:val="24"/>
          <w:szCs w:val="24"/>
        </w:rPr>
        <w:t xml:space="preserve"> Pareiškėjo siūlomos skyrimo sąlygos nepriimtinos. </w:t>
      </w:r>
    </w:p>
    <w:p w14:paraId="3569D18B" w14:textId="77777777" w:rsidR="005361D3" w:rsidRDefault="005361D3" w:rsidP="005361D3">
      <w:pPr>
        <w:pStyle w:val="Betarp"/>
        <w:spacing w:line="276" w:lineRule="auto"/>
        <w:jc w:val="both"/>
        <w:rPr>
          <w:rFonts w:ascii="Times New Roman" w:hAnsi="Times New Roman"/>
          <w:sz w:val="24"/>
          <w:szCs w:val="24"/>
        </w:rPr>
      </w:pPr>
    </w:p>
    <w:p w14:paraId="7CDFF220" w14:textId="4006DDEE" w:rsidR="000723FF" w:rsidRPr="00B14079" w:rsidRDefault="005361D3" w:rsidP="00013339">
      <w:pPr>
        <w:pStyle w:val="Betarp"/>
        <w:spacing w:line="276" w:lineRule="auto"/>
        <w:jc w:val="both"/>
        <w:rPr>
          <w:b/>
        </w:rPr>
      </w:pPr>
      <w:r>
        <w:rPr>
          <w:rFonts w:ascii="Times New Roman" w:hAnsi="Times New Roman"/>
          <w:sz w:val="24"/>
          <w:szCs w:val="24"/>
        </w:rPr>
        <w:tab/>
      </w:r>
      <w:r w:rsidRPr="00B12EE8">
        <w:rPr>
          <w:rFonts w:ascii="Times New Roman" w:hAnsi="Times New Roman"/>
          <w:sz w:val="24"/>
          <w:szCs w:val="24"/>
        </w:rPr>
        <w:t xml:space="preserve">Monoterapija </w:t>
      </w:r>
      <w:r>
        <w:rPr>
          <w:rFonts w:ascii="Times New Roman" w:hAnsi="Times New Roman"/>
          <w:sz w:val="24"/>
          <w:szCs w:val="24"/>
        </w:rPr>
        <w:t>pembrolizumabu</w:t>
      </w:r>
      <w:r w:rsidRPr="00B12EE8">
        <w:rPr>
          <w:rFonts w:ascii="Times New Roman" w:hAnsi="Times New Roman"/>
          <w:sz w:val="24"/>
          <w:szCs w:val="24"/>
        </w:rPr>
        <w:t xml:space="preserve"> skirta suaugusiųjų inkstų ląstelių karcinomos, kai yra padidėjusi ligos recidyvo rizika po atliktos nefrektomijos arba po nefrektomijos ir metastazių rezekcijos, adjuvantiniam gydymui.</w:t>
      </w:r>
      <w:r>
        <w:rPr>
          <w:rFonts w:ascii="Times New Roman" w:hAnsi="Times New Roman"/>
          <w:sz w:val="24"/>
          <w:szCs w:val="24"/>
        </w:rPr>
        <w:t xml:space="preserve"> </w:t>
      </w:r>
      <w:r w:rsidRPr="00B60107">
        <w:rPr>
          <w:rFonts w:ascii="Times New Roman" w:hAnsi="Times New Roman"/>
          <w:sz w:val="24"/>
          <w:szCs w:val="24"/>
        </w:rPr>
        <w:t xml:space="preserve">Gydymas tęsiamas iki nepriimtino toksinio poveikio atsiradimo, ligos progresavimo arba </w:t>
      </w:r>
      <w:bookmarkStart w:id="2" w:name="_Hlk200996870"/>
      <w:r w:rsidR="00794FB7">
        <w:rPr>
          <w:rFonts w:ascii="Times New Roman" w:hAnsi="Times New Roman"/>
          <w:sz w:val="24"/>
          <w:szCs w:val="24"/>
        </w:rPr>
        <w:t xml:space="preserve">planuoto gydymo užbaigimo, bet ne ilgiau </w:t>
      </w:r>
      <w:bookmarkEnd w:id="2"/>
      <w:r w:rsidR="00794FB7">
        <w:rPr>
          <w:rFonts w:ascii="Times New Roman" w:hAnsi="Times New Roman"/>
          <w:sz w:val="24"/>
          <w:szCs w:val="24"/>
        </w:rPr>
        <w:t>kaip</w:t>
      </w:r>
      <w:r w:rsidR="00031DC3">
        <w:rPr>
          <w:rFonts w:ascii="Times New Roman" w:hAnsi="Times New Roman"/>
          <w:sz w:val="24"/>
          <w:szCs w:val="24"/>
        </w:rPr>
        <w:t xml:space="preserve"> </w:t>
      </w:r>
      <w:r>
        <w:rPr>
          <w:rFonts w:ascii="Times New Roman" w:hAnsi="Times New Roman"/>
          <w:sz w:val="24"/>
          <w:szCs w:val="24"/>
        </w:rPr>
        <w:t xml:space="preserve"> </w:t>
      </w:r>
      <w:r w:rsidRPr="00B60107">
        <w:rPr>
          <w:rFonts w:ascii="Times New Roman" w:hAnsi="Times New Roman"/>
          <w:sz w:val="24"/>
          <w:szCs w:val="24"/>
        </w:rPr>
        <w:t>12 mėn.</w:t>
      </w:r>
    </w:p>
    <w:sectPr w:rsidR="000723FF" w:rsidRPr="00B14079" w:rsidSect="005D30E1">
      <w:headerReference w:type="even" r:id="rId8"/>
      <w:headerReference w:type="default" r:id="rId9"/>
      <w:headerReference w:type="first" r:id="rId10"/>
      <w:footerReference w:type="first" r:id="rId11"/>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77BAF" w14:textId="77777777" w:rsidR="00CD2D66" w:rsidRPr="00632BB3" w:rsidRDefault="00CD2D66">
      <w:r w:rsidRPr="00632BB3">
        <w:separator/>
      </w:r>
    </w:p>
  </w:endnote>
  <w:endnote w:type="continuationSeparator" w:id="0">
    <w:p w14:paraId="20058542" w14:textId="77777777" w:rsidR="00CD2D66" w:rsidRPr="00632BB3" w:rsidRDefault="00CD2D66">
      <w:r w:rsidRPr="00632B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3368" w14:textId="77777777" w:rsidR="00347FAA" w:rsidRPr="00632BB3"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BFD82" w14:textId="77777777" w:rsidR="00CD2D66" w:rsidRPr="00632BB3" w:rsidRDefault="00CD2D66">
      <w:r w:rsidRPr="00632BB3">
        <w:separator/>
      </w:r>
    </w:p>
  </w:footnote>
  <w:footnote w:type="continuationSeparator" w:id="0">
    <w:p w14:paraId="25CB7B4C" w14:textId="77777777" w:rsidR="00CD2D66" w:rsidRPr="00632BB3" w:rsidRDefault="00CD2D66">
      <w:r w:rsidRPr="00632B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86FB2" w14:textId="77777777" w:rsidR="00347FAA" w:rsidRPr="00632BB3" w:rsidRDefault="00347FAA">
    <w:pPr>
      <w:pStyle w:val="Antrats"/>
      <w:framePr w:wrap="around" w:vAnchor="text" w:hAnchor="margin" w:xAlign="center" w:y="1"/>
      <w:rPr>
        <w:rStyle w:val="Puslapionumeris"/>
      </w:rPr>
    </w:pPr>
    <w:r w:rsidRPr="00632BB3">
      <w:rPr>
        <w:rStyle w:val="Puslapionumeris"/>
      </w:rPr>
      <w:fldChar w:fldCharType="begin"/>
    </w:r>
    <w:r w:rsidRPr="00632BB3">
      <w:rPr>
        <w:rStyle w:val="Puslapionumeris"/>
      </w:rPr>
      <w:instrText xml:space="preserve">PAGE  </w:instrText>
    </w:r>
    <w:r w:rsidRPr="00632BB3">
      <w:rPr>
        <w:rStyle w:val="Puslapionumeris"/>
      </w:rPr>
      <w:fldChar w:fldCharType="separate"/>
    </w:r>
    <w:r w:rsidRPr="00632BB3">
      <w:rPr>
        <w:rStyle w:val="Puslapionumeris"/>
      </w:rPr>
      <w:t>1</w:t>
    </w:r>
    <w:r w:rsidRPr="00632BB3">
      <w:rPr>
        <w:rStyle w:val="Puslapionumeris"/>
      </w:rPr>
      <w:fldChar w:fldCharType="end"/>
    </w:r>
  </w:p>
  <w:p w14:paraId="3E81DB01" w14:textId="77777777" w:rsidR="00347FAA" w:rsidRPr="00632BB3" w:rsidRDefault="00347F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BD5F9" w14:textId="4A2D359A" w:rsidR="00347FAA" w:rsidRPr="00632BB3" w:rsidRDefault="00347FAA">
    <w:pPr>
      <w:pStyle w:val="Antrats"/>
      <w:framePr w:wrap="around" w:vAnchor="text" w:hAnchor="margin" w:xAlign="center" w:y="1"/>
      <w:rPr>
        <w:rStyle w:val="Puslapionumeris"/>
      </w:rPr>
    </w:pPr>
    <w:r w:rsidRPr="00632BB3">
      <w:rPr>
        <w:rStyle w:val="Puslapionumeris"/>
      </w:rPr>
      <w:fldChar w:fldCharType="begin"/>
    </w:r>
    <w:r w:rsidRPr="00632BB3">
      <w:rPr>
        <w:rStyle w:val="Puslapionumeris"/>
      </w:rPr>
      <w:instrText xml:space="preserve">PAGE  </w:instrText>
    </w:r>
    <w:r w:rsidRPr="00632BB3">
      <w:rPr>
        <w:rStyle w:val="Puslapionumeris"/>
      </w:rPr>
      <w:fldChar w:fldCharType="separate"/>
    </w:r>
    <w:r w:rsidR="00032A81">
      <w:rPr>
        <w:rStyle w:val="Puslapionumeris"/>
        <w:noProof/>
      </w:rPr>
      <w:t>7</w:t>
    </w:r>
    <w:r w:rsidRPr="00632BB3">
      <w:rPr>
        <w:rStyle w:val="Puslapionumeris"/>
      </w:rPr>
      <w:fldChar w:fldCharType="end"/>
    </w:r>
  </w:p>
  <w:p w14:paraId="13EC872E" w14:textId="77777777" w:rsidR="00347FAA" w:rsidRPr="00632BB3" w:rsidRDefault="00347FA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1C8F" w14:textId="77777777" w:rsidR="00347FAA" w:rsidRPr="00632BB3"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30AE33D1"/>
    <w:multiLevelType w:val="hybridMultilevel"/>
    <w:tmpl w:val="0F8A81D2"/>
    <w:lvl w:ilvl="0" w:tplc="04270001">
      <w:start w:val="1"/>
      <w:numFmt w:val="bullet"/>
      <w:lvlText w:val=""/>
      <w:lvlJc w:val="left"/>
      <w:pPr>
        <w:ind w:left="1260" w:hanging="360"/>
      </w:pPr>
      <w:rPr>
        <w:rFonts w:ascii="Symbol" w:hAnsi="Symbol"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5" w15:restartNumberingAfterBreak="0">
    <w:nsid w:val="321D4441"/>
    <w:multiLevelType w:val="hybridMultilevel"/>
    <w:tmpl w:val="F7FE7F2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5110E32"/>
    <w:multiLevelType w:val="hybridMultilevel"/>
    <w:tmpl w:val="7C347ECA"/>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9"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2"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D8C20C8"/>
    <w:multiLevelType w:val="hybridMultilevel"/>
    <w:tmpl w:val="D7C8B4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51388554">
    <w:abstractNumId w:val="9"/>
  </w:num>
  <w:num w:numId="2" w16cid:durableId="88352114">
    <w:abstractNumId w:val="1"/>
  </w:num>
  <w:num w:numId="3" w16cid:durableId="1067146067">
    <w:abstractNumId w:val="11"/>
  </w:num>
  <w:num w:numId="4" w16cid:durableId="825320507">
    <w:abstractNumId w:val="10"/>
  </w:num>
  <w:num w:numId="5" w16cid:durableId="1593198729">
    <w:abstractNumId w:val="8"/>
  </w:num>
  <w:num w:numId="6" w16cid:durableId="252670233">
    <w:abstractNumId w:val="7"/>
  </w:num>
  <w:num w:numId="7" w16cid:durableId="1169323743">
    <w:abstractNumId w:val="3"/>
  </w:num>
  <w:num w:numId="8" w16cid:durableId="1098134215">
    <w:abstractNumId w:val="15"/>
  </w:num>
  <w:num w:numId="9" w16cid:durableId="401680966">
    <w:abstractNumId w:val="0"/>
  </w:num>
  <w:num w:numId="10" w16cid:durableId="751201759">
    <w:abstractNumId w:val="12"/>
  </w:num>
  <w:num w:numId="11" w16cid:durableId="788554096">
    <w:abstractNumId w:val="14"/>
  </w:num>
  <w:num w:numId="12" w16cid:durableId="1490444436">
    <w:abstractNumId w:val="2"/>
  </w:num>
  <w:num w:numId="13" w16cid:durableId="653022111">
    <w:abstractNumId w:val="6"/>
  </w:num>
  <w:num w:numId="14" w16cid:durableId="2061049630">
    <w:abstractNumId w:val="13"/>
  </w:num>
  <w:num w:numId="15" w16cid:durableId="435515938">
    <w:abstractNumId w:val="4"/>
  </w:num>
  <w:num w:numId="16" w16cid:durableId="14039443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339"/>
    <w:rsid w:val="000136F7"/>
    <w:rsid w:val="00017BD0"/>
    <w:rsid w:val="000203E1"/>
    <w:rsid w:val="00022B6F"/>
    <w:rsid w:val="0002686C"/>
    <w:rsid w:val="00030C28"/>
    <w:rsid w:val="00031D0E"/>
    <w:rsid w:val="00031DC3"/>
    <w:rsid w:val="00032A81"/>
    <w:rsid w:val="000337E6"/>
    <w:rsid w:val="0003402E"/>
    <w:rsid w:val="00034EAE"/>
    <w:rsid w:val="00042924"/>
    <w:rsid w:val="00053975"/>
    <w:rsid w:val="00057A2B"/>
    <w:rsid w:val="000606BE"/>
    <w:rsid w:val="000723FF"/>
    <w:rsid w:val="000736B8"/>
    <w:rsid w:val="0007410A"/>
    <w:rsid w:val="0008190F"/>
    <w:rsid w:val="00081D9C"/>
    <w:rsid w:val="00082907"/>
    <w:rsid w:val="0008378D"/>
    <w:rsid w:val="000908A5"/>
    <w:rsid w:val="00092805"/>
    <w:rsid w:val="000C451D"/>
    <w:rsid w:val="000C454C"/>
    <w:rsid w:val="000D5038"/>
    <w:rsid w:val="000D6F84"/>
    <w:rsid w:val="000E29D4"/>
    <w:rsid w:val="000F3540"/>
    <w:rsid w:val="00100491"/>
    <w:rsid w:val="00104E2E"/>
    <w:rsid w:val="00107287"/>
    <w:rsid w:val="00117406"/>
    <w:rsid w:val="00121EF0"/>
    <w:rsid w:val="001237D0"/>
    <w:rsid w:val="00124A9E"/>
    <w:rsid w:val="00124E31"/>
    <w:rsid w:val="00130703"/>
    <w:rsid w:val="0013153F"/>
    <w:rsid w:val="001408B8"/>
    <w:rsid w:val="001517E2"/>
    <w:rsid w:val="001521D9"/>
    <w:rsid w:val="001554E2"/>
    <w:rsid w:val="00164146"/>
    <w:rsid w:val="00164D64"/>
    <w:rsid w:val="0017369C"/>
    <w:rsid w:val="00175D57"/>
    <w:rsid w:val="00180C39"/>
    <w:rsid w:val="00180D96"/>
    <w:rsid w:val="00184BD3"/>
    <w:rsid w:val="00185963"/>
    <w:rsid w:val="001921F3"/>
    <w:rsid w:val="001B3C5B"/>
    <w:rsid w:val="001C1D94"/>
    <w:rsid w:val="001C4F45"/>
    <w:rsid w:val="001D15C0"/>
    <w:rsid w:val="001D3427"/>
    <w:rsid w:val="001D5B91"/>
    <w:rsid w:val="001D746F"/>
    <w:rsid w:val="001E4BBB"/>
    <w:rsid w:val="001E6304"/>
    <w:rsid w:val="0020381E"/>
    <w:rsid w:val="00213471"/>
    <w:rsid w:val="00215906"/>
    <w:rsid w:val="00241B70"/>
    <w:rsid w:val="00241CD8"/>
    <w:rsid w:val="00244B09"/>
    <w:rsid w:val="002519CB"/>
    <w:rsid w:val="0025697F"/>
    <w:rsid w:val="00260258"/>
    <w:rsid w:val="0026588E"/>
    <w:rsid w:val="002661E3"/>
    <w:rsid w:val="00272428"/>
    <w:rsid w:val="00272948"/>
    <w:rsid w:val="00283E59"/>
    <w:rsid w:val="00292392"/>
    <w:rsid w:val="002946C7"/>
    <w:rsid w:val="002A3C79"/>
    <w:rsid w:val="002B3CC1"/>
    <w:rsid w:val="002B50EA"/>
    <w:rsid w:val="002C09E0"/>
    <w:rsid w:val="002C1BB1"/>
    <w:rsid w:val="002C2786"/>
    <w:rsid w:val="002C3A10"/>
    <w:rsid w:val="002C4A90"/>
    <w:rsid w:val="002C4ED5"/>
    <w:rsid w:val="002D02EF"/>
    <w:rsid w:val="002E0702"/>
    <w:rsid w:val="002E57AD"/>
    <w:rsid w:val="002E6F80"/>
    <w:rsid w:val="002F0E4F"/>
    <w:rsid w:val="002F1053"/>
    <w:rsid w:val="002F3C16"/>
    <w:rsid w:val="00314816"/>
    <w:rsid w:val="00317B0E"/>
    <w:rsid w:val="00340688"/>
    <w:rsid w:val="00347FAA"/>
    <w:rsid w:val="0035172D"/>
    <w:rsid w:val="00357421"/>
    <w:rsid w:val="0036187D"/>
    <w:rsid w:val="00367EDB"/>
    <w:rsid w:val="00381024"/>
    <w:rsid w:val="00386307"/>
    <w:rsid w:val="003874DE"/>
    <w:rsid w:val="00393E9F"/>
    <w:rsid w:val="0039696E"/>
    <w:rsid w:val="003A604B"/>
    <w:rsid w:val="003B211A"/>
    <w:rsid w:val="003B6D29"/>
    <w:rsid w:val="003C141F"/>
    <w:rsid w:val="003C6165"/>
    <w:rsid w:val="003C6B0E"/>
    <w:rsid w:val="003C7257"/>
    <w:rsid w:val="003C7E35"/>
    <w:rsid w:val="003D1E99"/>
    <w:rsid w:val="003D6208"/>
    <w:rsid w:val="003E0A12"/>
    <w:rsid w:val="00404E8A"/>
    <w:rsid w:val="0040622F"/>
    <w:rsid w:val="00413F24"/>
    <w:rsid w:val="00422853"/>
    <w:rsid w:val="00423160"/>
    <w:rsid w:val="00450075"/>
    <w:rsid w:val="00453862"/>
    <w:rsid w:val="00453F98"/>
    <w:rsid w:val="0045469B"/>
    <w:rsid w:val="00461338"/>
    <w:rsid w:val="004677DB"/>
    <w:rsid w:val="00476256"/>
    <w:rsid w:val="0048630F"/>
    <w:rsid w:val="004947A1"/>
    <w:rsid w:val="0049482A"/>
    <w:rsid w:val="004979D3"/>
    <w:rsid w:val="004A00E7"/>
    <w:rsid w:val="004A37D0"/>
    <w:rsid w:val="004A3A61"/>
    <w:rsid w:val="004A64C8"/>
    <w:rsid w:val="004B59BA"/>
    <w:rsid w:val="004B5A03"/>
    <w:rsid w:val="004C263A"/>
    <w:rsid w:val="004D2953"/>
    <w:rsid w:val="004D2D86"/>
    <w:rsid w:val="004D48A6"/>
    <w:rsid w:val="004D7B8F"/>
    <w:rsid w:val="004E241F"/>
    <w:rsid w:val="004E6458"/>
    <w:rsid w:val="004E6E7D"/>
    <w:rsid w:val="004F1AAC"/>
    <w:rsid w:val="004F1AE2"/>
    <w:rsid w:val="004F34F0"/>
    <w:rsid w:val="004F3B2B"/>
    <w:rsid w:val="004F6050"/>
    <w:rsid w:val="005005EF"/>
    <w:rsid w:val="005123C2"/>
    <w:rsid w:val="0052144B"/>
    <w:rsid w:val="00524066"/>
    <w:rsid w:val="00534E11"/>
    <w:rsid w:val="005361D3"/>
    <w:rsid w:val="005378D8"/>
    <w:rsid w:val="005400D9"/>
    <w:rsid w:val="005401AE"/>
    <w:rsid w:val="005476A4"/>
    <w:rsid w:val="0055019B"/>
    <w:rsid w:val="00556E63"/>
    <w:rsid w:val="005601A4"/>
    <w:rsid w:val="005615E8"/>
    <w:rsid w:val="00566DBB"/>
    <w:rsid w:val="005767DB"/>
    <w:rsid w:val="00580AB8"/>
    <w:rsid w:val="005815E6"/>
    <w:rsid w:val="0058712F"/>
    <w:rsid w:val="005976CE"/>
    <w:rsid w:val="005A23D4"/>
    <w:rsid w:val="005A2D1E"/>
    <w:rsid w:val="005A4698"/>
    <w:rsid w:val="005B3756"/>
    <w:rsid w:val="005C493F"/>
    <w:rsid w:val="005C6BF7"/>
    <w:rsid w:val="005C71BF"/>
    <w:rsid w:val="005D002C"/>
    <w:rsid w:val="005D30E1"/>
    <w:rsid w:val="005D6555"/>
    <w:rsid w:val="005D7BDF"/>
    <w:rsid w:val="005E4870"/>
    <w:rsid w:val="005F71D9"/>
    <w:rsid w:val="005F7602"/>
    <w:rsid w:val="006062BE"/>
    <w:rsid w:val="00613143"/>
    <w:rsid w:val="00613501"/>
    <w:rsid w:val="0061611B"/>
    <w:rsid w:val="006166A8"/>
    <w:rsid w:val="006174A1"/>
    <w:rsid w:val="00621D6C"/>
    <w:rsid w:val="00632BB3"/>
    <w:rsid w:val="00633B49"/>
    <w:rsid w:val="0064249A"/>
    <w:rsid w:val="0064297F"/>
    <w:rsid w:val="00645102"/>
    <w:rsid w:val="00646CF3"/>
    <w:rsid w:val="00650959"/>
    <w:rsid w:val="00653D11"/>
    <w:rsid w:val="00662983"/>
    <w:rsid w:val="00670984"/>
    <w:rsid w:val="006834D3"/>
    <w:rsid w:val="006859A4"/>
    <w:rsid w:val="00692625"/>
    <w:rsid w:val="00695CD3"/>
    <w:rsid w:val="006A36FB"/>
    <w:rsid w:val="006A38B6"/>
    <w:rsid w:val="006B1987"/>
    <w:rsid w:val="006B5B71"/>
    <w:rsid w:val="006B5D3E"/>
    <w:rsid w:val="006B6CB0"/>
    <w:rsid w:val="006C0251"/>
    <w:rsid w:val="006C2B64"/>
    <w:rsid w:val="006C6CED"/>
    <w:rsid w:val="006D1BF3"/>
    <w:rsid w:val="006D4C85"/>
    <w:rsid w:val="006D66AC"/>
    <w:rsid w:val="006E33F6"/>
    <w:rsid w:val="006F1251"/>
    <w:rsid w:val="006F1C23"/>
    <w:rsid w:val="00702C18"/>
    <w:rsid w:val="00703166"/>
    <w:rsid w:val="007127F3"/>
    <w:rsid w:val="00713C8C"/>
    <w:rsid w:val="00722F30"/>
    <w:rsid w:val="007301CF"/>
    <w:rsid w:val="007316FB"/>
    <w:rsid w:val="00737E2D"/>
    <w:rsid w:val="007424D5"/>
    <w:rsid w:val="00750A88"/>
    <w:rsid w:val="007523DD"/>
    <w:rsid w:val="00757B7E"/>
    <w:rsid w:val="007656B2"/>
    <w:rsid w:val="0077016F"/>
    <w:rsid w:val="007713AD"/>
    <w:rsid w:val="00794FB7"/>
    <w:rsid w:val="00795DC5"/>
    <w:rsid w:val="00797005"/>
    <w:rsid w:val="00797153"/>
    <w:rsid w:val="007A21F7"/>
    <w:rsid w:val="007A2B68"/>
    <w:rsid w:val="007B0DDA"/>
    <w:rsid w:val="007B2CE5"/>
    <w:rsid w:val="007D2CF4"/>
    <w:rsid w:val="007D3347"/>
    <w:rsid w:val="007E5466"/>
    <w:rsid w:val="007F1949"/>
    <w:rsid w:val="007F2592"/>
    <w:rsid w:val="00800A08"/>
    <w:rsid w:val="00817A84"/>
    <w:rsid w:val="008225A4"/>
    <w:rsid w:val="00824B92"/>
    <w:rsid w:val="00826D5E"/>
    <w:rsid w:val="00832013"/>
    <w:rsid w:val="00832DB7"/>
    <w:rsid w:val="00834732"/>
    <w:rsid w:val="0085200C"/>
    <w:rsid w:val="00857C52"/>
    <w:rsid w:val="00860D5F"/>
    <w:rsid w:val="00860ECB"/>
    <w:rsid w:val="00880A44"/>
    <w:rsid w:val="0088345E"/>
    <w:rsid w:val="0088656F"/>
    <w:rsid w:val="00891EF6"/>
    <w:rsid w:val="008A0303"/>
    <w:rsid w:val="008A5FDD"/>
    <w:rsid w:val="008B17E4"/>
    <w:rsid w:val="008C2035"/>
    <w:rsid w:val="008C3947"/>
    <w:rsid w:val="008C467D"/>
    <w:rsid w:val="008E473B"/>
    <w:rsid w:val="008E51A6"/>
    <w:rsid w:val="008E7329"/>
    <w:rsid w:val="008F2ED5"/>
    <w:rsid w:val="008F57F8"/>
    <w:rsid w:val="0090029E"/>
    <w:rsid w:val="0092297E"/>
    <w:rsid w:val="00923651"/>
    <w:rsid w:val="00927B56"/>
    <w:rsid w:val="009341BF"/>
    <w:rsid w:val="00937907"/>
    <w:rsid w:val="00941739"/>
    <w:rsid w:val="009440AF"/>
    <w:rsid w:val="00951573"/>
    <w:rsid w:val="00963003"/>
    <w:rsid w:val="00966EEF"/>
    <w:rsid w:val="00971B28"/>
    <w:rsid w:val="009720BC"/>
    <w:rsid w:val="00983471"/>
    <w:rsid w:val="009860D1"/>
    <w:rsid w:val="009909AB"/>
    <w:rsid w:val="009B2F9C"/>
    <w:rsid w:val="009B37DB"/>
    <w:rsid w:val="009C7A8C"/>
    <w:rsid w:val="009D23F9"/>
    <w:rsid w:val="009D4FA8"/>
    <w:rsid w:val="009E44AE"/>
    <w:rsid w:val="009E4A6E"/>
    <w:rsid w:val="009E6CD6"/>
    <w:rsid w:val="009F4D66"/>
    <w:rsid w:val="00A00C3C"/>
    <w:rsid w:val="00A01091"/>
    <w:rsid w:val="00A02009"/>
    <w:rsid w:val="00A042B9"/>
    <w:rsid w:val="00A06DBB"/>
    <w:rsid w:val="00A22ADF"/>
    <w:rsid w:val="00A31E86"/>
    <w:rsid w:val="00A54D87"/>
    <w:rsid w:val="00A5553C"/>
    <w:rsid w:val="00A701C9"/>
    <w:rsid w:val="00A81785"/>
    <w:rsid w:val="00A84803"/>
    <w:rsid w:val="00A84C51"/>
    <w:rsid w:val="00A86F2B"/>
    <w:rsid w:val="00A91366"/>
    <w:rsid w:val="00A92F91"/>
    <w:rsid w:val="00A93AA6"/>
    <w:rsid w:val="00AA4E48"/>
    <w:rsid w:val="00AA6202"/>
    <w:rsid w:val="00AA7B57"/>
    <w:rsid w:val="00AB2806"/>
    <w:rsid w:val="00AC26FC"/>
    <w:rsid w:val="00AC4A99"/>
    <w:rsid w:val="00AC64D2"/>
    <w:rsid w:val="00AD02E7"/>
    <w:rsid w:val="00AD76D4"/>
    <w:rsid w:val="00AE0FE8"/>
    <w:rsid w:val="00AF60D5"/>
    <w:rsid w:val="00B00959"/>
    <w:rsid w:val="00B04415"/>
    <w:rsid w:val="00B04A61"/>
    <w:rsid w:val="00B06509"/>
    <w:rsid w:val="00B11D60"/>
    <w:rsid w:val="00B13D65"/>
    <w:rsid w:val="00B14079"/>
    <w:rsid w:val="00B21805"/>
    <w:rsid w:val="00B3072E"/>
    <w:rsid w:val="00B36E15"/>
    <w:rsid w:val="00B37245"/>
    <w:rsid w:val="00B4017A"/>
    <w:rsid w:val="00B4468D"/>
    <w:rsid w:val="00B71C72"/>
    <w:rsid w:val="00B81E92"/>
    <w:rsid w:val="00B908D7"/>
    <w:rsid w:val="00B935E8"/>
    <w:rsid w:val="00B93B30"/>
    <w:rsid w:val="00B94CB5"/>
    <w:rsid w:val="00BA0DD9"/>
    <w:rsid w:val="00BA5DBC"/>
    <w:rsid w:val="00BA6584"/>
    <w:rsid w:val="00BB6312"/>
    <w:rsid w:val="00BC4D06"/>
    <w:rsid w:val="00BD26AA"/>
    <w:rsid w:val="00BD585E"/>
    <w:rsid w:val="00BD6919"/>
    <w:rsid w:val="00BE1EA7"/>
    <w:rsid w:val="00BE7489"/>
    <w:rsid w:val="00BF2E0D"/>
    <w:rsid w:val="00BF3927"/>
    <w:rsid w:val="00BF3F8B"/>
    <w:rsid w:val="00BF76DA"/>
    <w:rsid w:val="00C07C7B"/>
    <w:rsid w:val="00C16245"/>
    <w:rsid w:val="00C21A99"/>
    <w:rsid w:val="00C21EB8"/>
    <w:rsid w:val="00C22DC5"/>
    <w:rsid w:val="00C24479"/>
    <w:rsid w:val="00C273F2"/>
    <w:rsid w:val="00C37B53"/>
    <w:rsid w:val="00C434EB"/>
    <w:rsid w:val="00C517D2"/>
    <w:rsid w:val="00C5772E"/>
    <w:rsid w:val="00C62B36"/>
    <w:rsid w:val="00C7012C"/>
    <w:rsid w:val="00C712EA"/>
    <w:rsid w:val="00CA217D"/>
    <w:rsid w:val="00CA342D"/>
    <w:rsid w:val="00CC09D4"/>
    <w:rsid w:val="00CC668D"/>
    <w:rsid w:val="00CC7832"/>
    <w:rsid w:val="00CD2D66"/>
    <w:rsid w:val="00CD488E"/>
    <w:rsid w:val="00CF0C1C"/>
    <w:rsid w:val="00CF27FD"/>
    <w:rsid w:val="00CF5F12"/>
    <w:rsid w:val="00D00D8F"/>
    <w:rsid w:val="00D20CA7"/>
    <w:rsid w:val="00D21F3A"/>
    <w:rsid w:val="00D23808"/>
    <w:rsid w:val="00D3016A"/>
    <w:rsid w:val="00D417D2"/>
    <w:rsid w:val="00D42960"/>
    <w:rsid w:val="00D43BD7"/>
    <w:rsid w:val="00D4485B"/>
    <w:rsid w:val="00D46CCD"/>
    <w:rsid w:val="00D4708D"/>
    <w:rsid w:val="00D4744C"/>
    <w:rsid w:val="00D521DE"/>
    <w:rsid w:val="00D52BBB"/>
    <w:rsid w:val="00D5470B"/>
    <w:rsid w:val="00D63068"/>
    <w:rsid w:val="00D6498C"/>
    <w:rsid w:val="00D65B95"/>
    <w:rsid w:val="00D76A70"/>
    <w:rsid w:val="00D83182"/>
    <w:rsid w:val="00D8521E"/>
    <w:rsid w:val="00D9291C"/>
    <w:rsid w:val="00D93A97"/>
    <w:rsid w:val="00DB1F64"/>
    <w:rsid w:val="00DC2F53"/>
    <w:rsid w:val="00DC5BAC"/>
    <w:rsid w:val="00DC6816"/>
    <w:rsid w:val="00DC76C2"/>
    <w:rsid w:val="00DD1CF2"/>
    <w:rsid w:val="00DE4484"/>
    <w:rsid w:val="00DF41B7"/>
    <w:rsid w:val="00DF4A4A"/>
    <w:rsid w:val="00DF583C"/>
    <w:rsid w:val="00DF5AF3"/>
    <w:rsid w:val="00E0258C"/>
    <w:rsid w:val="00E03C3F"/>
    <w:rsid w:val="00E06FD7"/>
    <w:rsid w:val="00E07417"/>
    <w:rsid w:val="00E24D45"/>
    <w:rsid w:val="00E27419"/>
    <w:rsid w:val="00E33A63"/>
    <w:rsid w:val="00E33DB8"/>
    <w:rsid w:val="00E33EFF"/>
    <w:rsid w:val="00E34387"/>
    <w:rsid w:val="00E348BA"/>
    <w:rsid w:val="00E369FE"/>
    <w:rsid w:val="00E37C6F"/>
    <w:rsid w:val="00E475F8"/>
    <w:rsid w:val="00E5102E"/>
    <w:rsid w:val="00E5721C"/>
    <w:rsid w:val="00E619C6"/>
    <w:rsid w:val="00E745A1"/>
    <w:rsid w:val="00E80840"/>
    <w:rsid w:val="00E81529"/>
    <w:rsid w:val="00E83A13"/>
    <w:rsid w:val="00EB6FC5"/>
    <w:rsid w:val="00EC2356"/>
    <w:rsid w:val="00EC2582"/>
    <w:rsid w:val="00EC337C"/>
    <w:rsid w:val="00ED0CFF"/>
    <w:rsid w:val="00ED31D2"/>
    <w:rsid w:val="00EE0EAC"/>
    <w:rsid w:val="00EE3322"/>
    <w:rsid w:val="00EE33CB"/>
    <w:rsid w:val="00F0061A"/>
    <w:rsid w:val="00F02834"/>
    <w:rsid w:val="00F04EEB"/>
    <w:rsid w:val="00F05467"/>
    <w:rsid w:val="00F055D2"/>
    <w:rsid w:val="00F07CD7"/>
    <w:rsid w:val="00F127E9"/>
    <w:rsid w:val="00F14B5D"/>
    <w:rsid w:val="00F17BF4"/>
    <w:rsid w:val="00F21C28"/>
    <w:rsid w:val="00F259FC"/>
    <w:rsid w:val="00F36972"/>
    <w:rsid w:val="00F42426"/>
    <w:rsid w:val="00F456BC"/>
    <w:rsid w:val="00F50666"/>
    <w:rsid w:val="00F70731"/>
    <w:rsid w:val="00F70C9E"/>
    <w:rsid w:val="00F74A74"/>
    <w:rsid w:val="00F7572C"/>
    <w:rsid w:val="00F8382C"/>
    <w:rsid w:val="00F855D7"/>
    <w:rsid w:val="00F92035"/>
    <w:rsid w:val="00F92748"/>
    <w:rsid w:val="00FA4169"/>
    <w:rsid w:val="00FB0D41"/>
    <w:rsid w:val="00FB2030"/>
    <w:rsid w:val="00FD0E46"/>
    <w:rsid w:val="00FD1CF2"/>
    <w:rsid w:val="00FD3EDF"/>
    <w:rsid w:val="00FD793C"/>
    <w:rsid w:val="00FE0FD5"/>
    <w:rsid w:val="00FE20E6"/>
    <w:rsid w:val="00FE3E3B"/>
    <w:rsid w:val="00FF10CB"/>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aliases w:val="Summary box,Dossier Table"/>
    <w:basedOn w:val="prastojilente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aliases w:val="Bullet List,Bullet1,Use Case List Paragraph,List Paragraph1,Body Bullet,Table Number Paragraph,Colorful List - Accent 11,List Paragraph 1,Ref,B1,Figure_name,bu1,bu1 + Before:  0 pt,After:  6 pt,Bullet for no #'s,Paragraph,lp1,Bullet 1"/>
    <w:basedOn w:val="prastasis"/>
    <w:link w:val="SraopastraipaDiagrama"/>
    <w:uiPriority w:val="34"/>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prastojilentel"/>
    <w:next w:val="Lentelstinklelis"/>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6256"/>
    <w:rPr>
      <w:sz w:val="24"/>
      <w:szCs w:val="24"/>
      <w:lang w:eastAsia="en-US"/>
    </w:rPr>
  </w:style>
  <w:style w:type="character" w:customStyle="1" w:styleId="SraopastraipaDiagrama">
    <w:name w:val="Sąrašo pastraipa Diagrama"/>
    <w:aliases w:val="Bullet List Diagrama,Bullet1 Diagrama,Use Case List Paragraph Diagrama,List Paragraph1 Diagrama,Body Bullet Diagrama,Table Number Paragraph Diagrama,Colorful List - Accent 11 Diagrama,List Paragraph 1 Diagrama,Ref Diagrama"/>
    <w:basedOn w:val="Numatytasispastraiposriftas"/>
    <w:link w:val="Sraopastraipa"/>
    <w:uiPriority w:val="34"/>
    <w:rsid w:val="009B2F9C"/>
    <w:rPr>
      <w:sz w:val="24"/>
      <w:szCs w:val="24"/>
      <w:lang w:eastAsia="en-US"/>
    </w:rPr>
  </w:style>
  <w:style w:type="paragraph" w:customStyle="1" w:styleId="Style1">
    <w:name w:val="Style1"/>
    <w:basedOn w:val="prastasis"/>
    <w:qFormat/>
    <w:rsid w:val="009B2F9C"/>
    <w:pPr>
      <w:ind w:firstLine="720"/>
    </w:pPr>
    <w:rPr>
      <w:color w:val="000000"/>
    </w:rPr>
  </w:style>
  <w:style w:type="paragraph" w:customStyle="1" w:styleId="0TEXT">
    <w:name w:val="0: TEXT"/>
    <w:basedOn w:val="prastasis"/>
    <w:link w:val="0TEXTChar"/>
    <w:qFormat/>
    <w:rsid w:val="008C2035"/>
    <w:pPr>
      <w:spacing w:before="240"/>
      <w:ind w:firstLine="567"/>
      <w:jc w:val="both"/>
    </w:pPr>
    <w:rPr>
      <w:rFonts w:eastAsiaTheme="minorHAnsi"/>
      <w:bCs/>
      <w:color w:val="000000"/>
      <w:lang w:val="en-GB"/>
    </w:rPr>
  </w:style>
  <w:style w:type="character" w:customStyle="1" w:styleId="0TEXTChar">
    <w:name w:val="0: TEXT Char"/>
    <w:basedOn w:val="Numatytasispastraiposriftas"/>
    <w:link w:val="0TEXT"/>
    <w:rsid w:val="008C2035"/>
    <w:rPr>
      <w:rFonts w:eastAsiaTheme="minorHAnsi"/>
      <w:bCs/>
      <w:color w:val="000000"/>
      <w:sz w:val="24"/>
      <w:szCs w:val="24"/>
      <w:lang w:val="en-GB" w:eastAsia="en-US"/>
    </w:rPr>
  </w:style>
  <w:style w:type="table" w:customStyle="1" w:styleId="Summarybox1">
    <w:name w:val="Summary box1"/>
    <w:basedOn w:val="prastojilentel"/>
    <w:next w:val="Lentelstinklelis"/>
    <w:rsid w:val="008C2035"/>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915043">
      <w:bodyDiv w:val="1"/>
      <w:marLeft w:val="0"/>
      <w:marRight w:val="0"/>
      <w:marTop w:val="0"/>
      <w:marBottom w:val="0"/>
      <w:divBdr>
        <w:top w:val="none" w:sz="0" w:space="0" w:color="auto"/>
        <w:left w:val="none" w:sz="0" w:space="0" w:color="auto"/>
        <w:bottom w:val="none" w:sz="0" w:space="0" w:color="auto"/>
        <w:right w:val="none" w:sz="0" w:space="0" w:color="auto"/>
      </w:divBdr>
    </w:div>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 w:id="168181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31DDA-9818-41AC-9893-22435A919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9342</Words>
  <Characters>5325</Characters>
  <Application>Microsoft Office Word</Application>
  <DocSecurity>4</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14638</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2025-07-02T11:48:00Z</dcterms:created>
  <dcterms:modified xsi:type="dcterms:W3CDTF">2025-07-02T11:48:00Z</dcterms:modified>
</cp:coreProperties>
</file>