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632BB3" w:rsidRDefault="005F7602" w:rsidP="002946C7">
      <w:pPr>
        <w:ind w:left="5529"/>
      </w:pPr>
    </w:p>
    <w:p w14:paraId="12FA4B9E" w14:textId="77777777" w:rsidR="001B3C5B" w:rsidRPr="00632BB3" w:rsidRDefault="001B3C5B" w:rsidP="001B3C5B">
      <w:pPr>
        <w:ind w:left="6096"/>
      </w:pPr>
      <w:r w:rsidRPr="00632BB3">
        <w:t>Forma patvirtinta</w:t>
      </w:r>
    </w:p>
    <w:p w14:paraId="7206970B" w14:textId="70E9BD2E" w:rsidR="004C263A" w:rsidRPr="00632BB3" w:rsidRDefault="001B3C5B" w:rsidP="001B3C5B">
      <w:pPr>
        <w:ind w:left="6096"/>
      </w:pPr>
      <w:r w:rsidRPr="00632BB3">
        <w:t>Valstybinės vaistų kontrolės tarnybos prie Lietuvos Respublikos sveikatos apsaugos ministerijos viršininko 2021 m</w:t>
      </w:r>
      <w:r w:rsidR="004C263A" w:rsidRPr="00632BB3">
        <w:t xml:space="preserve">. lapkričio 12 </w:t>
      </w:r>
      <w:r w:rsidRPr="00632BB3">
        <w:t>d. įsakymu Nr.</w:t>
      </w:r>
      <w:r w:rsidR="004C263A" w:rsidRPr="00632BB3">
        <w:t xml:space="preserve"> (1.72E)1A-1418</w:t>
      </w:r>
    </w:p>
    <w:p w14:paraId="5B219AA6" w14:textId="520B9136" w:rsidR="001B3C5B" w:rsidRPr="00632BB3" w:rsidRDefault="004C263A" w:rsidP="001B3C5B">
      <w:pPr>
        <w:ind w:left="6096"/>
      </w:pPr>
      <w:r w:rsidRPr="00632BB3">
        <w:t>(Valstybinės vaistų kontrolės tarnybos prie Lietuvos Respublikos sveikatos apsaugos ministerijos viršininko 2022 m.                         d. įsakymo Nr.                    redakcija)</w:t>
      </w:r>
    </w:p>
    <w:p w14:paraId="3336BD74" w14:textId="77777777" w:rsidR="001B3C5B" w:rsidRPr="00632BB3" w:rsidRDefault="001B3C5B" w:rsidP="00FA4169"/>
    <w:p w14:paraId="77AFB67E" w14:textId="16397257" w:rsidR="00613501" w:rsidRPr="00632BB3" w:rsidRDefault="002F0E4F" w:rsidP="003B211A">
      <w:pPr>
        <w:jc w:val="center"/>
        <w:rPr>
          <w:b/>
          <w:bCs/>
          <w:caps/>
        </w:rPr>
      </w:pPr>
      <w:r w:rsidRPr="00632BB3">
        <w:rPr>
          <w:b/>
        </w:rPr>
        <w:t xml:space="preserve">REKOMENDACIJA DĖL VAISTINIO PREPARATO </w:t>
      </w:r>
      <w:r w:rsidRPr="00632BB3">
        <w:rPr>
          <w:b/>
          <w:bCs/>
          <w:caps/>
        </w:rPr>
        <w:t>Lietuvos Respublikos Sveikatos apsaugos ministerijos vaistinių preparatų ir medicinos pagalbos priemonių kompensavimo komisijai</w:t>
      </w:r>
    </w:p>
    <w:p w14:paraId="34E4395D" w14:textId="15FB10DF" w:rsidR="00B13D65" w:rsidRPr="00632BB3" w:rsidRDefault="00B13D65" w:rsidP="003B211A">
      <w:pPr>
        <w:jc w:val="center"/>
        <w:rPr>
          <w:b/>
        </w:rPr>
      </w:pPr>
    </w:p>
    <w:p w14:paraId="1E1043AF" w14:textId="32ADABCC" w:rsidR="008C2035" w:rsidRPr="00632BB3" w:rsidRDefault="008C2035" w:rsidP="008C2035">
      <w:pPr>
        <w:spacing w:line="276" w:lineRule="auto"/>
        <w:ind w:firstLine="806"/>
        <w:jc w:val="center"/>
        <w:rPr>
          <w:b/>
          <w:bCs/>
        </w:rPr>
      </w:pPr>
      <w:r w:rsidRPr="00632BB3">
        <w:rPr>
          <w:b/>
          <w:bCs/>
        </w:rPr>
        <w:t xml:space="preserve">LIBTAYO 350 mg koncentratas infuziniam tirpalui </w:t>
      </w:r>
    </w:p>
    <w:p w14:paraId="710153DB" w14:textId="77777777" w:rsidR="008C2035" w:rsidRPr="00632BB3" w:rsidRDefault="008C2035" w:rsidP="008C2035">
      <w:pPr>
        <w:spacing w:line="276" w:lineRule="auto"/>
        <w:jc w:val="center"/>
      </w:pPr>
    </w:p>
    <w:p w14:paraId="5AFAFD1B" w14:textId="77777777" w:rsidR="008C2035" w:rsidRPr="00632BB3" w:rsidRDefault="008C2035" w:rsidP="008C2035">
      <w:pPr>
        <w:spacing w:line="276" w:lineRule="auto"/>
        <w:jc w:val="center"/>
        <w:rPr>
          <w:b/>
          <w:bCs/>
        </w:rPr>
      </w:pPr>
      <w:r w:rsidRPr="00632BB3">
        <w:rPr>
          <w:b/>
          <w:bCs/>
        </w:rPr>
        <w:t>Cemiplimabas</w:t>
      </w:r>
    </w:p>
    <w:p w14:paraId="69CCDB15" w14:textId="77777777" w:rsidR="008C2035" w:rsidRPr="00632BB3" w:rsidRDefault="008C2035" w:rsidP="008C2035">
      <w:pPr>
        <w:spacing w:line="276" w:lineRule="auto"/>
        <w:jc w:val="center"/>
      </w:pPr>
    </w:p>
    <w:p w14:paraId="72FDB281" w14:textId="6DBE2566" w:rsidR="008C2035" w:rsidRPr="00632BB3" w:rsidRDefault="008C2035" w:rsidP="008C2035">
      <w:pPr>
        <w:spacing w:line="276" w:lineRule="auto"/>
        <w:jc w:val="center"/>
        <w:rPr>
          <w:b/>
        </w:rPr>
      </w:pPr>
      <w:r w:rsidRPr="00632BB3">
        <w:rPr>
          <w:b/>
        </w:rPr>
        <w:t>STV - 19</w:t>
      </w:r>
      <w:r w:rsidR="001D6782">
        <w:rPr>
          <w:b/>
        </w:rPr>
        <w:t>6</w:t>
      </w:r>
    </w:p>
    <w:p w14:paraId="453197C8" w14:textId="77777777" w:rsidR="00D4708D" w:rsidRPr="00632BB3" w:rsidRDefault="00D4708D" w:rsidP="009B2F9C">
      <w:pPr>
        <w:rPr>
          <w:b/>
        </w:rPr>
      </w:pPr>
    </w:p>
    <w:p w14:paraId="78C89D1C" w14:textId="0DEFFAA5" w:rsidR="00D4485B" w:rsidRPr="00632BB3" w:rsidRDefault="00B13D65" w:rsidP="00CC09D4">
      <w:pPr>
        <w:pStyle w:val="ListParagraph"/>
        <w:numPr>
          <w:ilvl w:val="0"/>
          <w:numId w:val="12"/>
        </w:numPr>
        <w:tabs>
          <w:tab w:val="left" w:pos="567"/>
        </w:tabs>
        <w:ind w:left="567" w:hanging="567"/>
        <w:rPr>
          <w:b/>
          <w:bCs/>
          <w:caps/>
        </w:rPr>
      </w:pPr>
      <w:r w:rsidRPr="00632BB3">
        <w:rPr>
          <w:b/>
          <w:bCs/>
          <w:caps/>
        </w:rPr>
        <w:t>Bendroji dalis</w:t>
      </w:r>
    </w:p>
    <w:p w14:paraId="04A7C7A7" w14:textId="77777777" w:rsidR="00B13D65" w:rsidRPr="00632BB3"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8C2035" w:rsidRPr="00632BB3" w14:paraId="18A83EC2" w14:textId="77777777" w:rsidTr="00BE7489">
        <w:trPr>
          <w:trHeight w:val="538"/>
        </w:trPr>
        <w:tc>
          <w:tcPr>
            <w:tcW w:w="632" w:type="dxa"/>
          </w:tcPr>
          <w:p w14:paraId="0646FBEA" w14:textId="77777777" w:rsidR="008C2035" w:rsidRPr="00632BB3" w:rsidRDefault="008C2035" w:rsidP="008C2035">
            <w:pPr>
              <w:rPr>
                <w:rFonts w:eastAsia="Arial"/>
              </w:rPr>
            </w:pPr>
            <w:r w:rsidRPr="00632BB3">
              <w:rPr>
                <w:rFonts w:eastAsia="Arial"/>
              </w:rPr>
              <w:t>1.1</w:t>
            </w:r>
          </w:p>
        </w:tc>
        <w:tc>
          <w:tcPr>
            <w:tcW w:w="3694" w:type="dxa"/>
          </w:tcPr>
          <w:p w14:paraId="6C3AE864" w14:textId="77777777" w:rsidR="008C2035" w:rsidRPr="00632BB3" w:rsidRDefault="008C2035" w:rsidP="008C2035">
            <w:pPr>
              <w:rPr>
                <w:rFonts w:eastAsia="Arial"/>
              </w:rPr>
            </w:pPr>
            <w:r w:rsidRPr="00632BB3">
              <w:rPr>
                <w:rFonts w:eastAsia="Arial"/>
              </w:rPr>
              <w:t>Pareiškėjas</w:t>
            </w:r>
          </w:p>
          <w:p w14:paraId="2AF240DC" w14:textId="77777777" w:rsidR="008C2035" w:rsidRPr="00632BB3" w:rsidRDefault="008C2035" w:rsidP="008C2035">
            <w:pPr>
              <w:rPr>
                <w:rFonts w:eastAsia="Arial"/>
              </w:rPr>
            </w:pPr>
          </w:p>
        </w:tc>
        <w:tc>
          <w:tcPr>
            <w:tcW w:w="5167" w:type="dxa"/>
          </w:tcPr>
          <w:p w14:paraId="2AAF0D91" w14:textId="5265CC0D" w:rsidR="008C2035" w:rsidRPr="00632BB3" w:rsidRDefault="008C2035" w:rsidP="008C2035">
            <w:pPr>
              <w:rPr>
                <w:rFonts w:eastAsia="Arial"/>
              </w:rPr>
            </w:pPr>
            <w:r w:rsidRPr="00632BB3">
              <w:rPr>
                <w:szCs w:val="28"/>
                <w:lang w:eastAsia="lt-LT"/>
              </w:rPr>
              <w:t>Medison Pharma Lithuania, UAB</w:t>
            </w:r>
          </w:p>
        </w:tc>
      </w:tr>
      <w:tr w:rsidR="008C2035" w:rsidRPr="00632BB3" w14:paraId="31998B0D" w14:textId="77777777" w:rsidTr="00BE7489">
        <w:trPr>
          <w:trHeight w:val="538"/>
        </w:trPr>
        <w:tc>
          <w:tcPr>
            <w:tcW w:w="632" w:type="dxa"/>
          </w:tcPr>
          <w:p w14:paraId="2005EC67" w14:textId="662300D0" w:rsidR="008C2035" w:rsidRPr="00632BB3" w:rsidRDefault="008C2035" w:rsidP="008C2035">
            <w:pPr>
              <w:rPr>
                <w:rFonts w:eastAsia="Arial"/>
              </w:rPr>
            </w:pPr>
            <w:r w:rsidRPr="00632BB3">
              <w:rPr>
                <w:rFonts w:eastAsia="Arial"/>
              </w:rPr>
              <w:t>1.2</w:t>
            </w:r>
          </w:p>
        </w:tc>
        <w:tc>
          <w:tcPr>
            <w:tcW w:w="3694" w:type="dxa"/>
          </w:tcPr>
          <w:p w14:paraId="1E4AE3B1" w14:textId="77777777" w:rsidR="008C2035" w:rsidRPr="00632BB3" w:rsidRDefault="008C2035" w:rsidP="008C2035">
            <w:pPr>
              <w:rPr>
                <w:bCs/>
                <w:lang w:eastAsia="lt-LT"/>
              </w:rPr>
            </w:pPr>
            <w:r w:rsidRPr="00632BB3">
              <w:rPr>
                <w:bCs/>
                <w:lang w:eastAsia="lt-LT"/>
              </w:rPr>
              <w:t xml:space="preserve">Registracijos data </w:t>
            </w:r>
          </w:p>
          <w:p w14:paraId="3A0DC096" w14:textId="77777777" w:rsidR="008C2035" w:rsidRPr="00632BB3" w:rsidRDefault="008C2035" w:rsidP="008C2035">
            <w:pPr>
              <w:rPr>
                <w:bCs/>
                <w:lang w:eastAsia="lt-LT"/>
              </w:rPr>
            </w:pPr>
          </w:p>
        </w:tc>
        <w:tc>
          <w:tcPr>
            <w:tcW w:w="5167" w:type="dxa"/>
          </w:tcPr>
          <w:p w14:paraId="3CA218AD" w14:textId="00E6AFCD" w:rsidR="008C2035" w:rsidRPr="001D6782" w:rsidRDefault="00000000" w:rsidP="001D6782">
            <w:pPr>
              <w:pStyle w:val="ListParagraph"/>
              <w:spacing w:after="120" w:line="276" w:lineRule="auto"/>
              <w:ind w:left="0"/>
              <w:contextualSpacing w:val="0"/>
              <w:jc w:val="both"/>
              <w:rPr>
                <w:rStyle w:val="Style2"/>
                <w:sz w:val="24"/>
              </w:rPr>
            </w:pPr>
            <w:sdt>
              <w:sdtPr>
                <w:rPr>
                  <w:sz w:val="32"/>
                </w:rPr>
                <w:alias w:val="Nurodykite konkrečią dieną"/>
                <w:tag w:val="Nurodykite pradžios datą"/>
                <w:id w:val="423238108"/>
                <w:placeholder>
                  <w:docPart w:val="178B73036F0B4B4CA34E6F569524E5FA"/>
                </w:placeholder>
                <w15:color w:val="FFCC99"/>
                <w:date w:fullDate="2019-06-28T00:00:00Z">
                  <w:dateFormat w:val="yyyy 'm.' MMMM d 'd.'"/>
                  <w:lid w:val="lt-LT"/>
                  <w:storeMappedDataAs w:val="dateTime"/>
                  <w:calendar w:val="gregorian"/>
                </w:date>
              </w:sdtPr>
              <w:sdtEndPr>
                <w:rPr>
                  <w:sz w:val="24"/>
                </w:rPr>
              </w:sdtEndPr>
              <w:sdtContent>
                <w:r w:rsidR="008C2035" w:rsidRPr="00632BB3">
                  <w:t>2019 m. birželio 28 d.</w:t>
                </w:r>
              </w:sdtContent>
            </w:sdt>
          </w:p>
        </w:tc>
      </w:tr>
      <w:tr w:rsidR="000203E1" w:rsidRPr="00632BB3" w14:paraId="15968AE1" w14:textId="77777777" w:rsidTr="00BE7489">
        <w:trPr>
          <w:trHeight w:val="1500"/>
        </w:trPr>
        <w:tc>
          <w:tcPr>
            <w:tcW w:w="632" w:type="dxa"/>
          </w:tcPr>
          <w:p w14:paraId="6A784245" w14:textId="1E461489" w:rsidR="00B13D65" w:rsidRPr="00632BB3" w:rsidRDefault="002E0702" w:rsidP="00824B92">
            <w:pPr>
              <w:rPr>
                <w:rFonts w:eastAsia="Arial"/>
              </w:rPr>
            </w:pPr>
            <w:r w:rsidRPr="00632BB3">
              <w:rPr>
                <w:rFonts w:eastAsia="Arial"/>
              </w:rPr>
              <w:t>1.3</w:t>
            </w:r>
          </w:p>
        </w:tc>
        <w:tc>
          <w:tcPr>
            <w:tcW w:w="3694" w:type="dxa"/>
          </w:tcPr>
          <w:p w14:paraId="22933506" w14:textId="77777777" w:rsidR="00B13D65" w:rsidRPr="00632BB3" w:rsidRDefault="00B13D65" w:rsidP="00824B92">
            <w:r w:rsidRPr="00632BB3">
              <w:t xml:space="preserve">Paraiškos tipas </w:t>
            </w:r>
          </w:p>
          <w:p w14:paraId="0465E680" w14:textId="3C82119E" w:rsidR="00B13D65" w:rsidRPr="00632BB3" w:rsidRDefault="00B13D65" w:rsidP="00824B92">
            <w:r w:rsidRPr="00632BB3">
              <w:t>(</w:t>
            </w:r>
            <w:r w:rsidR="00695CD3" w:rsidRPr="00632BB3">
              <w:t xml:space="preserve">pagal </w:t>
            </w:r>
            <w:r w:rsidR="0039696E" w:rsidRPr="00632BB3">
              <w:rPr>
                <w:shd w:val="clear" w:color="auto" w:fill="FFFFFF"/>
              </w:rPr>
              <w:t>vaistinio preparato registracijos tipą, įtvirtintą</w:t>
            </w:r>
            <w:r w:rsidR="0039696E" w:rsidRPr="00632BB3">
              <w:t xml:space="preserve"> </w:t>
            </w:r>
            <w:r w:rsidRPr="00632BB3">
              <w:t>Direktyv</w:t>
            </w:r>
            <w:r w:rsidR="00695CD3" w:rsidRPr="00632BB3">
              <w:t>os</w:t>
            </w:r>
            <w:r w:rsidRPr="00632BB3">
              <w:t xml:space="preserve"> 2001/83/EB</w:t>
            </w:r>
            <w:r w:rsidR="00695CD3" w:rsidRPr="00632BB3">
              <w:t xml:space="preserve"> straips</w:t>
            </w:r>
            <w:r w:rsidR="0094487D">
              <w:t>n</w:t>
            </w:r>
            <w:r w:rsidR="0039696E" w:rsidRPr="00632BB3">
              <w:t>iuose</w:t>
            </w:r>
            <w:r w:rsidRPr="00632BB3">
              <w:t>)</w:t>
            </w:r>
          </w:p>
          <w:p w14:paraId="77089D80" w14:textId="6681D72A" w:rsidR="00B13D65" w:rsidRPr="00632BB3" w:rsidRDefault="00B13D65" w:rsidP="00824B92">
            <w:pPr>
              <w:rPr>
                <w:bCs/>
                <w:lang w:eastAsia="lt-LT"/>
              </w:rPr>
            </w:pPr>
          </w:p>
        </w:tc>
        <w:tc>
          <w:tcPr>
            <w:tcW w:w="5167" w:type="dxa"/>
          </w:tcPr>
          <w:p w14:paraId="208F40EC" w14:textId="72AD270C" w:rsidR="00B13D65" w:rsidRPr="00632BB3"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9B2F9C" w:rsidRPr="00632BB3">
                  <w:rPr>
                    <w:rStyle w:val="Style2"/>
                    <w:rFonts w:ascii="Segoe UI Symbol" w:eastAsia="MS Gothic" w:hAnsi="Segoe UI Symbol" w:cs="Segoe UI Symbol"/>
                    <w:sz w:val="24"/>
                  </w:rPr>
                  <w:t>☒</w:t>
                </w:r>
              </w:sdtContent>
            </w:sdt>
            <w:r w:rsidR="00B13D65" w:rsidRPr="00632BB3">
              <w:t xml:space="preserve">8.3 str. (pilna byla, pagrįsta savais tyrimais) </w:t>
            </w:r>
          </w:p>
          <w:p w14:paraId="32BA564E" w14:textId="3FDA3E01" w:rsidR="00B13D65" w:rsidRPr="00632BB3"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632BB3">
                  <w:rPr>
                    <w:rStyle w:val="Style2"/>
                    <w:rFonts w:ascii="Segoe UI Symbol" w:eastAsia="MS Gothic" w:hAnsi="Segoe UI Symbol" w:cs="Segoe UI Symbol"/>
                    <w:sz w:val="24"/>
                  </w:rPr>
                  <w:t>☐</w:t>
                </w:r>
              </w:sdtContent>
            </w:sdt>
            <w:r w:rsidR="00B13D65" w:rsidRPr="00632BB3">
              <w:t xml:space="preserve">10 a str. (pripažintas medicininis vartojimas) </w:t>
            </w:r>
          </w:p>
          <w:p w14:paraId="318DCD7F" w14:textId="32333E53" w:rsidR="00B13D65" w:rsidRPr="00632BB3"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632BB3">
                  <w:rPr>
                    <w:rStyle w:val="Style2"/>
                    <w:rFonts w:ascii="Segoe UI Symbol" w:eastAsia="MS Gothic" w:hAnsi="Segoe UI Symbol" w:cs="Segoe UI Symbol"/>
                    <w:sz w:val="24"/>
                  </w:rPr>
                  <w:t>☐</w:t>
                </w:r>
              </w:sdtContent>
            </w:sdt>
            <w:r w:rsidR="00B13D65" w:rsidRPr="00632BB3">
              <w:t>10.1 str. (generinis)</w:t>
            </w:r>
          </w:p>
          <w:p w14:paraId="3B0A4F72" w14:textId="3F5FB073" w:rsidR="00B13D65" w:rsidRPr="00632BB3"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632BB3">
                  <w:rPr>
                    <w:rStyle w:val="Style2"/>
                    <w:rFonts w:ascii="Segoe UI Symbol" w:eastAsia="MS Gothic" w:hAnsi="Segoe UI Symbol" w:cs="Segoe UI Symbol"/>
                    <w:sz w:val="24"/>
                  </w:rPr>
                  <w:t>☐</w:t>
                </w:r>
              </w:sdtContent>
            </w:sdt>
            <w:r w:rsidR="00B13D65" w:rsidRPr="00632BB3">
              <w:t>10.3 str. (hibridinis)</w:t>
            </w:r>
          </w:p>
        </w:tc>
      </w:tr>
      <w:tr w:rsidR="000203E1" w:rsidRPr="00632BB3" w14:paraId="310E9662" w14:textId="77777777" w:rsidTr="001D6782">
        <w:trPr>
          <w:trHeight w:val="1022"/>
        </w:trPr>
        <w:tc>
          <w:tcPr>
            <w:tcW w:w="632" w:type="dxa"/>
          </w:tcPr>
          <w:p w14:paraId="4B5A91A2" w14:textId="561B5E5F" w:rsidR="00B13D65" w:rsidRPr="00632BB3" w:rsidRDefault="00B13D65" w:rsidP="00824B92">
            <w:pPr>
              <w:rPr>
                <w:rFonts w:eastAsia="Arial"/>
              </w:rPr>
            </w:pPr>
            <w:r w:rsidRPr="00632BB3">
              <w:rPr>
                <w:rFonts w:eastAsia="Arial"/>
              </w:rPr>
              <w:t>1.</w:t>
            </w:r>
            <w:r w:rsidR="002E0702" w:rsidRPr="00632BB3">
              <w:rPr>
                <w:rFonts w:eastAsia="Arial"/>
              </w:rPr>
              <w:t>4</w:t>
            </w:r>
          </w:p>
        </w:tc>
        <w:tc>
          <w:tcPr>
            <w:tcW w:w="3694" w:type="dxa"/>
          </w:tcPr>
          <w:p w14:paraId="483071A3" w14:textId="6921A346" w:rsidR="00B13D65" w:rsidRPr="00632BB3" w:rsidRDefault="00B13D65" w:rsidP="00824B92">
            <w:pPr>
              <w:rPr>
                <w:bCs/>
                <w:lang w:eastAsia="lt-LT"/>
              </w:rPr>
            </w:pPr>
            <w:r w:rsidRPr="00632BB3">
              <w:rPr>
                <w:bCs/>
                <w:lang w:eastAsia="lt-LT"/>
              </w:rPr>
              <w:t xml:space="preserve">Ar vaistinis preparatas įrašytas į Bendrijos retųjų vaistinių preparatų registrą? </w:t>
            </w:r>
          </w:p>
        </w:tc>
        <w:tc>
          <w:tcPr>
            <w:tcW w:w="5167" w:type="dxa"/>
          </w:tcPr>
          <w:p w14:paraId="05845C60" w14:textId="10CF4033" w:rsidR="00B13D65" w:rsidRPr="00632BB3"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632BB3">
                  <w:rPr>
                    <w:rStyle w:val="Style2"/>
                    <w:rFonts w:ascii="MS Gothic" w:eastAsia="MS Gothic" w:hAnsi="MS Gothic"/>
                    <w:sz w:val="24"/>
                  </w:rPr>
                  <w:t>☐</w:t>
                </w:r>
              </w:sdtContent>
            </w:sdt>
            <w:r w:rsidR="00B13D65" w:rsidRPr="00632BB3">
              <w:t xml:space="preserve"> Taip</w:t>
            </w:r>
          </w:p>
          <w:p w14:paraId="29C2CBBB" w14:textId="0AC0E4EF" w:rsidR="00B13D65" w:rsidRPr="00DD3342" w:rsidRDefault="00000000" w:rsidP="00824B92">
            <w:pPr>
              <w:rPr>
                <w:lang w:val="en-US"/>
              </w:rPr>
            </w:pPr>
            <w:sdt>
              <w:sdtPr>
                <w:rPr>
                  <w:rStyle w:val="Style2"/>
                  <w:sz w:val="24"/>
                </w:rPr>
                <w:id w:val="-970507926"/>
                <w15:color w:val="FFCC00"/>
                <w14:checkbox>
                  <w14:checked w14:val="1"/>
                  <w14:checkedState w14:val="2612" w14:font="MS Gothic"/>
                  <w14:uncheckedState w14:val="2610" w14:font="MS Gothic"/>
                </w14:checkbox>
              </w:sdtPr>
              <w:sdtContent>
                <w:r w:rsidR="00146778">
                  <w:rPr>
                    <w:rStyle w:val="Style2"/>
                    <w:rFonts w:ascii="MS Gothic" w:eastAsia="MS Gothic" w:hAnsi="MS Gothic" w:hint="eastAsia"/>
                    <w:sz w:val="24"/>
                  </w:rPr>
                  <w:t>☒</w:t>
                </w:r>
              </w:sdtContent>
            </w:sdt>
            <w:r w:rsidR="00B13D65" w:rsidRPr="00632BB3">
              <w:t xml:space="preserve"> Ne</w:t>
            </w:r>
          </w:p>
        </w:tc>
      </w:tr>
      <w:tr w:rsidR="000203E1" w:rsidRPr="00632BB3" w14:paraId="7841E5F8" w14:textId="77777777" w:rsidTr="00BE7489">
        <w:trPr>
          <w:trHeight w:val="476"/>
        </w:trPr>
        <w:tc>
          <w:tcPr>
            <w:tcW w:w="632" w:type="dxa"/>
          </w:tcPr>
          <w:p w14:paraId="109D2861" w14:textId="73BF27DF" w:rsidR="00D417D2" w:rsidRPr="00632BB3" w:rsidRDefault="00D417D2" w:rsidP="00824B92">
            <w:pPr>
              <w:rPr>
                <w:rFonts w:eastAsia="Arial"/>
              </w:rPr>
            </w:pPr>
            <w:r w:rsidRPr="00632BB3">
              <w:rPr>
                <w:rFonts w:eastAsia="Arial"/>
              </w:rPr>
              <w:t>1.5</w:t>
            </w:r>
          </w:p>
        </w:tc>
        <w:tc>
          <w:tcPr>
            <w:tcW w:w="3694" w:type="dxa"/>
          </w:tcPr>
          <w:p w14:paraId="7822D63E" w14:textId="68C38334" w:rsidR="00D417D2" w:rsidRPr="00632BB3" w:rsidRDefault="00D417D2" w:rsidP="00824B92">
            <w:pPr>
              <w:rPr>
                <w:bCs/>
                <w:lang w:eastAsia="lt-LT"/>
              </w:rPr>
            </w:pPr>
            <w:r w:rsidRPr="00632BB3">
              <w:t>STV paraiškos pobūdis</w:t>
            </w:r>
          </w:p>
        </w:tc>
        <w:tc>
          <w:tcPr>
            <w:tcW w:w="5167" w:type="dxa"/>
          </w:tcPr>
          <w:p w14:paraId="403461B9" w14:textId="1E4CB095" w:rsidR="00D417D2" w:rsidRPr="00632BB3"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8C2035" w:rsidRPr="00632BB3">
                  <w:rPr>
                    <w:rStyle w:val="Style2"/>
                    <w:rFonts w:ascii="MS Gothic" w:eastAsia="MS Gothic" w:hAnsi="MS Gothic"/>
                    <w:sz w:val="24"/>
                  </w:rPr>
                  <w:t>☒</w:t>
                </w:r>
              </w:sdtContent>
            </w:sdt>
            <w:r w:rsidR="00D417D2" w:rsidRPr="00632BB3">
              <w:t xml:space="preserve"> Pilna paraiška</w:t>
            </w:r>
          </w:p>
          <w:p w14:paraId="6B8213E3" w14:textId="3495CDF4" w:rsidR="00D417D2" w:rsidRPr="00632BB3"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632BB3">
                  <w:rPr>
                    <w:rStyle w:val="Style2"/>
                    <w:rFonts w:ascii="MS Gothic" w:eastAsia="MS Gothic" w:hAnsi="MS Gothic"/>
                    <w:sz w:val="24"/>
                  </w:rPr>
                  <w:t>☐</w:t>
                </w:r>
              </w:sdtContent>
            </w:sdt>
            <w:r w:rsidR="00D417D2" w:rsidRPr="00632BB3">
              <w:t xml:space="preserve"> Supaprastinta paraiška</w:t>
            </w:r>
          </w:p>
        </w:tc>
      </w:tr>
      <w:tr w:rsidR="000203E1" w:rsidRPr="00632BB3" w14:paraId="274D1DAF" w14:textId="77777777" w:rsidTr="00030C28">
        <w:trPr>
          <w:trHeight w:val="440"/>
        </w:trPr>
        <w:tc>
          <w:tcPr>
            <w:tcW w:w="632" w:type="dxa"/>
          </w:tcPr>
          <w:p w14:paraId="17ABF217" w14:textId="14AC00D7" w:rsidR="00B13D65" w:rsidRPr="00632BB3" w:rsidRDefault="00B13D65" w:rsidP="00824B92">
            <w:pPr>
              <w:rPr>
                <w:rFonts w:eastAsia="Arial"/>
              </w:rPr>
            </w:pPr>
            <w:r w:rsidRPr="00632BB3">
              <w:rPr>
                <w:rFonts w:eastAsia="Arial"/>
              </w:rPr>
              <w:t>1.</w:t>
            </w:r>
            <w:r w:rsidR="00D417D2" w:rsidRPr="00632BB3">
              <w:rPr>
                <w:rFonts w:eastAsia="Arial"/>
              </w:rPr>
              <w:t>6</w:t>
            </w:r>
          </w:p>
        </w:tc>
        <w:tc>
          <w:tcPr>
            <w:tcW w:w="3694" w:type="dxa"/>
          </w:tcPr>
          <w:p w14:paraId="4D49DBF5" w14:textId="77777777" w:rsidR="007656B2" w:rsidRDefault="00DE4484" w:rsidP="00824B92">
            <w:pPr>
              <w:rPr>
                <w:bCs/>
                <w:lang w:eastAsia="lt-LT"/>
              </w:rPr>
            </w:pPr>
            <w:r w:rsidRPr="00632BB3">
              <w:rPr>
                <w:bCs/>
                <w:lang w:eastAsia="lt-LT"/>
              </w:rPr>
              <w:t>Par</w:t>
            </w:r>
            <w:r w:rsidR="007656B2" w:rsidRPr="00632BB3">
              <w:rPr>
                <w:bCs/>
                <w:lang w:eastAsia="lt-LT"/>
              </w:rPr>
              <w:t>eiškėjo t</w:t>
            </w:r>
            <w:r w:rsidR="00B13D65" w:rsidRPr="00632BB3">
              <w:rPr>
                <w:bCs/>
                <w:lang w:eastAsia="lt-LT"/>
              </w:rPr>
              <w:t>eikiama (-os) kompensuoti vaistinio preparato indikacija (-os)</w:t>
            </w:r>
          </w:p>
          <w:p w14:paraId="6F99A6CF" w14:textId="77777777" w:rsidR="001D6782" w:rsidRPr="00632BB3" w:rsidRDefault="001D6782" w:rsidP="00824B92">
            <w:pPr>
              <w:rPr>
                <w:bCs/>
                <w:lang w:eastAsia="lt-LT"/>
              </w:rPr>
            </w:pPr>
          </w:p>
          <w:p w14:paraId="6B4FEEC1" w14:textId="6A619694" w:rsidR="00B13D65" w:rsidRPr="00632BB3" w:rsidRDefault="007656B2" w:rsidP="00824B92">
            <w:pPr>
              <w:rPr>
                <w:bCs/>
                <w:lang w:eastAsia="lt-LT"/>
              </w:rPr>
            </w:pPr>
            <w:r w:rsidRPr="00632BB3">
              <w:rPr>
                <w:bCs/>
                <w:lang w:eastAsia="lt-LT"/>
              </w:rPr>
              <w:t>K</w:t>
            </w:r>
            <w:r w:rsidR="00B13D65" w:rsidRPr="00632BB3">
              <w:rPr>
                <w:bCs/>
                <w:lang w:eastAsia="lt-LT"/>
              </w:rPr>
              <w:t>odas</w:t>
            </w:r>
            <w:r w:rsidRPr="00632BB3">
              <w:rPr>
                <w:bCs/>
                <w:lang w:eastAsia="lt-LT"/>
              </w:rPr>
              <w:t xml:space="preserve"> pagal TLK-10 AM</w:t>
            </w:r>
          </w:p>
        </w:tc>
        <w:tc>
          <w:tcPr>
            <w:tcW w:w="5167" w:type="dxa"/>
          </w:tcPr>
          <w:p w14:paraId="7CE2E484" w14:textId="0943CC4C" w:rsidR="008C2035" w:rsidRDefault="001D6782" w:rsidP="008C2035">
            <w:pPr>
              <w:spacing w:line="276" w:lineRule="auto"/>
            </w:pPr>
            <w:r w:rsidRPr="00140E3E">
              <w:t>LIBTAYO skirtas atsinaujinusio ar metastazavusio gimdos kaklelio vėžio monoterapijai suaugusioms pacientėms, kurioms liga progresavo skiriant chemoterapiją platinos pagrindu arba po jos.</w:t>
            </w:r>
          </w:p>
          <w:p w14:paraId="52B32994" w14:textId="77777777" w:rsidR="001D6782" w:rsidRPr="00632BB3" w:rsidRDefault="001D6782" w:rsidP="008C2035">
            <w:pPr>
              <w:spacing w:line="276" w:lineRule="auto"/>
              <w:rPr>
                <w:lang w:eastAsia="lt-LT"/>
              </w:rPr>
            </w:pPr>
          </w:p>
          <w:p w14:paraId="13F7DFB0" w14:textId="18E1BD83" w:rsidR="00B13D65" w:rsidRPr="00632BB3" w:rsidRDefault="008C2035" w:rsidP="008C2035">
            <w:pPr>
              <w:spacing w:line="276" w:lineRule="auto"/>
              <w:rPr>
                <w:lang w:eastAsia="lt-LT"/>
              </w:rPr>
            </w:pPr>
            <w:r w:rsidRPr="00632BB3">
              <w:rPr>
                <w:lang w:eastAsia="lt-LT"/>
              </w:rPr>
              <w:t>TLK-10 AM</w:t>
            </w:r>
            <w:r w:rsidRPr="00632BB3">
              <w:rPr>
                <w:color w:val="000000"/>
              </w:rPr>
              <w:t xml:space="preserve"> kodas: C</w:t>
            </w:r>
            <w:r w:rsidR="002904E7">
              <w:rPr>
                <w:color w:val="000000"/>
              </w:rPr>
              <w:t>53</w:t>
            </w:r>
          </w:p>
        </w:tc>
      </w:tr>
      <w:tr w:rsidR="008C2035" w:rsidRPr="00632BB3" w14:paraId="2F79DC08" w14:textId="77777777" w:rsidTr="00BE7489">
        <w:trPr>
          <w:trHeight w:val="378"/>
        </w:trPr>
        <w:tc>
          <w:tcPr>
            <w:tcW w:w="632" w:type="dxa"/>
          </w:tcPr>
          <w:p w14:paraId="547885A2" w14:textId="2EE70237" w:rsidR="008C2035" w:rsidRPr="00632BB3" w:rsidRDefault="008C2035" w:rsidP="008C2035">
            <w:pPr>
              <w:rPr>
                <w:rFonts w:eastAsia="Arial"/>
              </w:rPr>
            </w:pPr>
            <w:r w:rsidRPr="00632BB3">
              <w:rPr>
                <w:rFonts w:eastAsia="Arial"/>
              </w:rPr>
              <w:t>1.7</w:t>
            </w:r>
          </w:p>
        </w:tc>
        <w:tc>
          <w:tcPr>
            <w:tcW w:w="3694" w:type="dxa"/>
          </w:tcPr>
          <w:p w14:paraId="2EAB877F" w14:textId="39A36941" w:rsidR="008C2035" w:rsidRPr="00632BB3" w:rsidRDefault="008C2035" w:rsidP="008C2035">
            <w:pPr>
              <w:rPr>
                <w:bCs/>
                <w:u w:val="single"/>
                <w:lang w:eastAsia="lt-LT"/>
              </w:rPr>
            </w:pPr>
            <w:r w:rsidRPr="00632BB3">
              <w:rPr>
                <w:bCs/>
                <w:lang w:eastAsia="lt-LT"/>
              </w:rPr>
              <w:t xml:space="preserve">Pareiškėjo teikiamos skyrimo sąlygos </w:t>
            </w:r>
          </w:p>
        </w:tc>
        <w:tc>
          <w:tcPr>
            <w:tcW w:w="5167" w:type="dxa"/>
          </w:tcPr>
          <w:p w14:paraId="0579DF58" w14:textId="7B6E8B10" w:rsidR="008C2035" w:rsidRPr="00632BB3" w:rsidRDefault="008C2035" w:rsidP="008C2035">
            <w:pPr>
              <w:tabs>
                <w:tab w:val="left" w:pos="3324"/>
              </w:tabs>
            </w:pPr>
            <w:r w:rsidRPr="00632BB3">
              <w:rPr>
                <w:lang w:eastAsia="lt-LT"/>
              </w:rPr>
              <w:t>Skyrimo sąlygos atitinka registruotą indikaciją.</w:t>
            </w:r>
          </w:p>
        </w:tc>
      </w:tr>
      <w:tr w:rsidR="008C2035" w:rsidRPr="00632BB3" w14:paraId="3B125269" w14:textId="77777777" w:rsidTr="00BE7489">
        <w:trPr>
          <w:trHeight w:val="378"/>
        </w:trPr>
        <w:tc>
          <w:tcPr>
            <w:tcW w:w="632" w:type="dxa"/>
          </w:tcPr>
          <w:p w14:paraId="0058E11F" w14:textId="3C0D7626" w:rsidR="008C2035" w:rsidRPr="00632BB3" w:rsidRDefault="008C2035" w:rsidP="008C2035">
            <w:pPr>
              <w:rPr>
                <w:rFonts w:eastAsia="Arial"/>
              </w:rPr>
            </w:pPr>
            <w:r w:rsidRPr="00632BB3">
              <w:rPr>
                <w:rFonts w:eastAsia="Arial"/>
              </w:rPr>
              <w:lastRenderedPageBreak/>
              <w:t>1.8</w:t>
            </w:r>
          </w:p>
        </w:tc>
        <w:tc>
          <w:tcPr>
            <w:tcW w:w="3694" w:type="dxa"/>
          </w:tcPr>
          <w:p w14:paraId="738E1926" w14:textId="77777777" w:rsidR="008C2035" w:rsidRPr="00632BB3" w:rsidRDefault="008C2035" w:rsidP="008C2035">
            <w:pPr>
              <w:rPr>
                <w:bCs/>
                <w:lang w:eastAsia="lt-LT"/>
              </w:rPr>
            </w:pPr>
            <w:r w:rsidRPr="00632BB3">
              <w:rPr>
                <w:bCs/>
                <w:lang w:eastAsia="lt-LT"/>
              </w:rPr>
              <w:t xml:space="preserve">Pareiškėjo teikiamas palyginamasis gydymas </w:t>
            </w:r>
          </w:p>
          <w:p w14:paraId="61EC5BBD" w14:textId="7A8BD8B4" w:rsidR="008C2035" w:rsidRPr="00632BB3" w:rsidRDefault="008C2035" w:rsidP="008C2035">
            <w:pPr>
              <w:rPr>
                <w:bCs/>
                <w:lang w:eastAsia="lt-LT"/>
              </w:rPr>
            </w:pPr>
          </w:p>
          <w:p w14:paraId="62057D94" w14:textId="77777777" w:rsidR="008C2035" w:rsidRPr="00632BB3" w:rsidRDefault="008C2035" w:rsidP="008C2035">
            <w:pPr>
              <w:rPr>
                <w:bCs/>
                <w:lang w:eastAsia="lt-LT"/>
              </w:rPr>
            </w:pPr>
          </w:p>
          <w:p w14:paraId="6CC1022E" w14:textId="2B6BCEE1" w:rsidR="008C2035" w:rsidRPr="00632BB3" w:rsidRDefault="008C2035" w:rsidP="008C2035">
            <w:pPr>
              <w:rPr>
                <w:bCs/>
                <w:lang w:eastAsia="lt-LT"/>
              </w:rPr>
            </w:pPr>
          </w:p>
        </w:tc>
        <w:tc>
          <w:tcPr>
            <w:tcW w:w="5167" w:type="dxa"/>
          </w:tcPr>
          <w:p w14:paraId="1F113AC0" w14:textId="5CE9C5F1" w:rsidR="008C2035" w:rsidRPr="00632BB3" w:rsidRDefault="00000000" w:rsidP="008C2035">
            <w:sdt>
              <w:sdtPr>
                <w:rPr>
                  <w:rStyle w:val="Style2"/>
                  <w:sz w:val="24"/>
                </w:rPr>
                <w:id w:val="1480955706"/>
                <w15:color w:val="FFCC00"/>
                <w14:checkbox>
                  <w14:checked w14:val="1"/>
                  <w14:checkedState w14:val="2612" w14:font="MS Gothic"/>
                  <w14:uncheckedState w14:val="2610" w14:font="MS Gothic"/>
                </w14:checkbox>
              </w:sdtPr>
              <w:sdtContent>
                <w:r w:rsidR="008C2035" w:rsidRPr="00632BB3">
                  <w:rPr>
                    <w:rStyle w:val="Style2"/>
                    <w:rFonts w:ascii="MS Gothic" w:eastAsia="MS Gothic" w:hAnsi="MS Gothic"/>
                    <w:sz w:val="24"/>
                  </w:rPr>
                  <w:t>☒</w:t>
                </w:r>
              </w:sdtContent>
            </w:sdt>
            <w:r w:rsidR="008C2035" w:rsidRPr="00632BB3">
              <w:t xml:space="preserve"> Tinkamas (</w:t>
            </w:r>
            <w:r w:rsidR="001D6782" w:rsidRPr="001D6782">
              <w:t>gemicitabinas, topotekanas, irinotekanas, vinorelbinas</w:t>
            </w:r>
            <w:r w:rsidR="008C2035" w:rsidRPr="00632BB3">
              <w:t>)</w:t>
            </w:r>
          </w:p>
          <w:p w14:paraId="41B44044" w14:textId="199BD9DF" w:rsidR="008C2035" w:rsidRPr="00632BB3" w:rsidRDefault="00000000" w:rsidP="008C2035">
            <w:sdt>
              <w:sdtPr>
                <w:rPr>
                  <w:rStyle w:val="Style2"/>
                  <w:sz w:val="24"/>
                </w:rPr>
                <w:id w:val="-352420698"/>
                <w15:color w:val="FFCC00"/>
                <w14:checkbox>
                  <w14:checked w14:val="0"/>
                  <w14:checkedState w14:val="2612" w14:font="MS Gothic"/>
                  <w14:uncheckedState w14:val="2610" w14:font="MS Gothic"/>
                </w14:checkbox>
              </w:sdtPr>
              <w:sdtContent>
                <w:r w:rsidR="008C2035" w:rsidRPr="00632BB3">
                  <w:rPr>
                    <w:rStyle w:val="Style2"/>
                    <w:rFonts w:ascii="MS Gothic" w:eastAsia="MS Gothic" w:hAnsi="MS Gothic"/>
                    <w:sz w:val="24"/>
                  </w:rPr>
                  <w:t>☐</w:t>
                </w:r>
              </w:sdtContent>
            </w:sdt>
            <w:r w:rsidR="008C2035" w:rsidRPr="00632BB3">
              <w:t xml:space="preserve"> Netinkama</w:t>
            </w:r>
          </w:p>
        </w:tc>
      </w:tr>
    </w:tbl>
    <w:p w14:paraId="108176F7" w14:textId="640C6F75" w:rsidR="00F70C9E" w:rsidRPr="00632BB3" w:rsidRDefault="00F70C9E" w:rsidP="00E03C3F">
      <w:pPr>
        <w:pStyle w:val="ListParagraph"/>
        <w:tabs>
          <w:tab w:val="left" w:pos="426"/>
        </w:tabs>
        <w:ind w:left="0"/>
        <w:rPr>
          <w:b/>
          <w:bCs/>
          <w:caps/>
        </w:rPr>
      </w:pPr>
    </w:p>
    <w:p w14:paraId="2871CA7F" w14:textId="3B173597" w:rsidR="00F70C9E" w:rsidRPr="00632BB3" w:rsidRDefault="00F70C9E" w:rsidP="00880A44">
      <w:pPr>
        <w:spacing w:line="276" w:lineRule="auto"/>
        <w:jc w:val="both"/>
        <w:rPr>
          <w:rFonts w:eastAsia="Arial"/>
          <w:b/>
        </w:rPr>
      </w:pPr>
      <w:r w:rsidRPr="00632BB3">
        <w:rPr>
          <w:rFonts w:eastAsia="Arial"/>
          <w:b/>
        </w:rPr>
        <w:t>1.</w:t>
      </w:r>
      <w:r w:rsidR="00164D64" w:rsidRPr="00632BB3">
        <w:rPr>
          <w:rFonts w:eastAsia="Arial"/>
          <w:b/>
        </w:rPr>
        <w:t>9</w:t>
      </w:r>
      <w:r w:rsidRPr="00632BB3">
        <w:rPr>
          <w:rFonts w:eastAsia="Arial"/>
          <w:b/>
        </w:rPr>
        <w:t xml:space="preserve"> Kitų </w:t>
      </w:r>
      <w:r w:rsidR="00DF583C" w:rsidRPr="00632BB3">
        <w:rPr>
          <w:rFonts w:eastAsia="Arial"/>
          <w:b/>
        </w:rPr>
        <w:t xml:space="preserve">valstybių </w:t>
      </w:r>
      <w:r w:rsidRPr="00632BB3">
        <w:rPr>
          <w:rFonts w:eastAsia="Arial"/>
          <w:b/>
        </w:rPr>
        <w:t xml:space="preserve">atsakingų institucijų atlikto </w:t>
      </w:r>
      <w:r w:rsidR="00DF583C" w:rsidRPr="00632BB3">
        <w:rPr>
          <w:rFonts w:eastAsia="Arial"/>
          <w:b/>
        </w:rPr>
        <w:t>Sveikatos technologijų vertinimo (toliau – STV)</w:t>
      </w:r>
      <w:r w:rsidRPr="00632BB3">
        <w:rPr>
          <w:rFonts w:eastAsia="Arial"/>
          <w:b/>
        </w:rPr>
        <w:t xml:space="preserve"> išvados</w:t>
      </w:r>
    </w:p>
    <w:p w14:paraId="30721FDD" w14:textId="77777777" w:rsidR="00F70C9E" w:rsidRPr="00632BB3"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8C2035" w:rsidRPr="00632BB3" w14:paraId="1875FE84" w14:textId="77777777" w:rsidTr="00063726">
        <w:trPr>
          <w:trHeight w:val="924"/>
        </w:trPr>
        <w:tc>
          <w:tcPr>
            <w:tcW w:w="2927" w:type="dxa"/>
          </w:tcPr>
          <w:p w14:paraId="4C86A462" w14:textId="77777777" w:rsidR="008C2035" w:rsidRPr="00632BB3" w:rsidRDefault="008C2035" w:rsidP="00063726">
            <w:pPr>
              <w:spacing w:line="276" w:lineRule="auto"/>
              <w:rPr>
                <w:rFonts w:eastAsia="Arial"/>
              </w:rPr>
            </w:pPr>
            <w:r w:rsidRPr="00632BB3">
              <w:rPr>
                <w:rFonts w:eastAsia="Arial"/>
              </w:rPr>
              <w:t>STV agentūros pavadinimas, šalis</w:t>
            </w:r>
          </w:p>
        </w:tc>
        <w:tc>
          <w:tcPr>
            <w:tcW w:w="1915" w:type="dxa"/>
          </w:tcPr>
          <w:p w14:paraId="645D2049" w14:textId="77777777" w:rsidR="008C2035" w:rsidRPr="00632BB3" w:rsidRDefault="008C2035" w:rsidP="00063726">
            <w:pPr>
              <w:spacing w:line="276" w:lineRule="auto"/>
              <w:rPr>
                <w:rFonts w:eastAsia="Arial"/>
              </w:rPr>
            </w:pPr>
            <w:r w:rsidRPr="00632BB3">
              <w:rPr>
                <w:rFonts w:eastAsia="Arial"/>
              </w:rPr>
              <w:t>STV vertinimas atliktas</w:t>
            </w:r>
          </w:p>
        </w:tc>
        <w:tc>
          <w:tcPr>
            <w:tcW w:w="2351" w:type="dxa"/>
          </w:tcPr>
          <w:p w14:paraId="63AC84CE" w14:textId="77777777" w:rsidR="008C2035" w:rsidRPr="00632BB3" w:rsidRDefault="008C2035" w:rsidP="00063726">
            <w:pPr>
              <w:spacing w:line="276" w:lineRule="auto"/>
              <w:rPr>
                <w:rFonts w:eastAsia="Arial"/>
              </w:rPr>
            </w:pPr>
            <w:r w:rsidRPr="00632BB3">
              <w:rPr>
                <w:rFonts w:eastAsia="Arial"/>
              </w:rPr>
              <w:t>Klinikinio vertinimo išvada</w:t>
            </w:r>
          </w:p>
        </w:tc>
        <w:tc>
          <w:tcPr>
            <w:tcW w:w="2725" w:type="dxa"/>
          </w:tcPr>
          <w:p w14:paraId="6C6FCF70" w14:textId="77777777" w:rsidR="008C2035" w:rsidRPr="00632BB3" w:rsidRDefault="008C2035" w:rsidP="00063726">
            <w:pPr>
              <w:spacing w:line="276" w:lineRule="auto"/>
              <w:rPr>
                <w:rFonts w:eastAsia="Arial"/>
              </w:rPr>
            </w:pPr>
            <w:r w:rsidRPr="00632BB3">
              <w:rPr>
                <w:rFonts w:eastAsia="Arial"/>
              </w:rPr>
              <w:t>Farmakoekonominio vertinimo išvada</w:t>
            </w:r>
          </w:p>
        </w:tc>
      </w:tr>
      <w:tr w:rsidR="001D6782" w:rsidRPr="00632BB3" w14:paraId="358F46B3" w14:textId="77777777" w:rsidTr="00063726">
        <w:trPr>
          <w:trHeight w:val="1547"/>
        </w:trPr>
        <w:tc>
          <w:tcPr>
            <w:tcW w:w="2927" w:type="dxa"/>
          </w:tcPr>
          <w:p w14:paraId="32046667" w14:textId="77777777" w:rsidR="001D6782" w:rsidRPr="00D05364" w:rsidRDefault="001D6782" w:rsidP="001D6782">
            <w:pPr>
              <w:autoSpaceDE w:val="0"/>
              <w:autoSpaceDN w:val="0"/>
              <w:adjustRightInd w:val="0"/>
              <w:rPr>
                <w:bCs/>
              </w:rPr>
            </w:pPr>
            <w:r w:rsidRPr="00D05364">
              <w:rPr>
                <w:bCs/>
              </w:rPr>
              <w:t>Nacionalinis sveikatos ir klinikinės kompetencijos institutas, Didžioji Britanija</w:t>
            </w:r>
          </w:p>
          <w:p w14:paraId="2C203AF0" w14:textId="6DD95981" w:rsidR="001D6782" w:rsidRPr="00632BB3" w:rsidRDefault="001D6782" w:rsidP="001D6782">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464B9845" w14:textId="77777777" w:rsidR="001D6782" w:rsidRPr="00D05364" w:rsidRDefault="00000000" w:rsidP="001D6782">
            <w:sdt>
              <w:sdtPr>
                <w:rPr>
                  <w:rStyle w:val="Style2"/>
                </w:rPr>
                <w:id w:val="1558205022"/>
                <w15:color w:val="FFCC00"/>
                <w14:checkbox>
                  <w14:checked w14:val="0"/>
                  <w14:checkedState w14:val="2612" w14:font="MS Gothic"/>
                  <w14:uncheckedState w14:val="2610" w14:font="MS Gothic"/>
                </w14:checkbox>
              </w:sdtPr>
              <w:sdtContent>
                <w:r w:rsidR="001D6782">
                  <w:rPr>
                    <w:rStyle w:val="Style2"/>
                    <w:rFonts w:ascii="MS Gothic" w:eastAsia="MS Gothic" w:hAnsi="MS Gothic" w:hint="eastAsia"/>
                  </w:rPr>
                  <w:t>☐</w:t>
                </w:r>
              </w:sdtContent>
            </w:sdt>
            <w:r w:rsidR="001D6782" w:rsidRPr="00D05364">
              <w:t xml:space="preserve"> Taip</w:t>
            </w:r>
          </w:p>
          <w:p w14:paraId="71CF8C44" w14:textId="5D1D6E99" w:rsidR="001D6782" w:rsidRPr="00632BB3" w:rsidRDefault="00000000" w:rsidP="001D6782">
            <w:pPr>
              <w:spacing w:line="276" w:lineRule="auto"/>
              <w:rPr>
                <w:rFonts w:eastAsia="Arial"/>
              </w:rPr>
            </w:pPr>
            <w:sdt>
              <w:sdtPr>
                <w:rPr>
                  <w:rStyle w:val="Style2"/>
                </w:rPr>
                <w:id w:val="866029625"/>
                <w15:color w:val="FFCC00"/>
                <w14:checkbox>
                  <w14:checked w14:val="1"/>
                  <w14:checkedState w14:val="2612" w14:font="MS Gothic"/>
                  <w14:uncheckedState w14:val="2610" w14:font="MS Gothic"/>
                </w14:checkbox>
              </w:sdtPr>
              <w:sdtContent>
                <w:r w:rsidR="001D6782">
                  <w:rPr>
                    <w:rStyle w:val="Style2"/>
                    <w:rFonts w:ascii="MS Gothic" w:eastAsia="MS Gothic" w:hAnsi="MS Gothic" w:hint="eastAsia"/>
                  </w:rPr>
                  <w:t>☒</w:t>
                </w:r>
              </w:sdtContent>
            </w:sdt>
            <w:r w:rsidR="001D6782" w:rsidRPr="00D05364">
              <w:t xml:space="preserve"> Ne</w:t>
            </w:r>
          </w:p>
        </w:tc>
        <w:tc>
          <w:tcPr>
            <w:tcW w:w="2351" w:type="dxa"/>
          </w:tcPr>
          <w:p w14:paraId="4244F1A2" w14:textId="77777777" w:rsidR="001D6782" w:rsidRPr="00632BB3" w:rsidRDefault="001D6782" w:rsidP="001D6782">
            <w:pPr>
              <w:spacing w:line="276" w:lineRule="auto"/>
              <w:rPr>
                <w:rFonts w:eastAsia="Arial"/>
              </w:rPr>
            </w:pPr>
          </w:p>
        </w:tc>
        <w:tc>
          <w:tcPr>
            <w:tcW w:w="2725" w:type="dxa"/>
          </w:tcPr>
          <w:p w14:paraId="69F6A11A" w14:textId="77777777" w:rsidR="001D6782" w:rsidRPr="00632BB3" w:rsidRDefault="001D6782" w:rsidP="001D6782">
            <w:pPr>
              <w:spacing w:line="276" w:lineRule="auto"/>
              <w:rPr>
                <w:rFonts w:eastAsia="Arial"/>
              </w:rPr>
            </w:pPr>
          </w:p>
        </w:tc>
      </w:tr>
      <w:tr w:rsidR="001D6782" w:rsidRPr="00632BB3" w14:paraId="094D8AB6" w14:textId="77777777" w:rsidTr="00063726">
        <w:trPr>
          <w:trHeight w:val="1927"/>
        </w:trPr>
        <w:tc>
          <w:tcPr>
            <w:tcW w:w="2927" w:type="dxa"/>
          </w:tcPr>
          <w:p w14:paraId="325EA2B9" w14:textId="77777777" w:rsidR="001D6782" w:rsidRPr="00D05364" w:rsidRDefault="001D6782" w:rsidP="001D6782">
            <w:pPr>
              <w:spacing w:line="276" w:lineRule="auto"/>
              <w:rPr>
                <w:rFonts w:eastAsia="Arial"/>
              </w:rPr>
            </w:pPr>
            <w:r w:rsidRPr="00D05364">
              <w:rPr>
                <w:rFonts w:eastAsia="Arial"/>
              </w:rPr>
              <w:t>Kanados sveikatos technologijų agentūra</w:t>
            </w:r>
          </w:p>
          <w:p w14:paraId="6A7F45FD" w14:textId="7395578A" w:rsidR="001D6782" w:rsidRPr="00632BB3" w:rsidRDefault="001D6782" w:rsidP="001D6782">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5EAC50C0" w14:textId="77777777" w:rsidR="001D6782" w:rsidRPr="00D05364" w:rsidRDefault="00000000" w:rsidP="001D6782">
            <w:sdt>
              <w:sdtPr>
                <w:rPr>
                  <w:rStyle w:val="Style2"/>
                </w:rPr>
                <w:id w:val="-372539057"/>
                <w15:color w:val="FFCC00"/>
                <w14:checkbox>
                  <w14:checked w14:val="0"/>
                  <w14:checkedState w14:val="2612" w14:font="MS Gothic"/>
                  <w14:uncheckedState w14:val="2610" w14:font="MS Gothic"/>
                </w14:checkbox>
              </w:sdtPr>
              <w:sdtContent>
                <w:r w:rsidR="001D6782">
                  <w:rPr>
                    <w:rStyle w:val="Style2"/>
                    <w:rFonts w:ascii="MS Gothic" w:eastAsia="MS Gothic" w:hAnsi="MS Gothic" w:hint="eastAsia"/>
                  </w:rPr>
                  <w:t>☐</w:t>
                </w:r>
              </w:sdtContent>
            </w:sdt>
            <w:r w:rsidR="001D6782" w:rsidRPr="00D05364">
              <w:t xml:space="preserve"> Taip</w:t>
            </w:r>
          </w:p>
          <w:p w14:paraId="1A7AD597" w14:textId="13A2B284" w:rsidR="001D6782" w:rsidRPr="00632BB3" w:rsidRDefault="00000000" w:rsidP="001D6782">
            <w:pPr>
              <w:spacing w:line="276" w:lineRule="auto"/>
            </w:pPr>
            <w:sdt>
              <w:sdtPr>
                <w:rPr>
                  <w:rStyle w:val="Style2"/>
                </w:rPr>
                <w:id w:val="594442222"/>
                <w15:color w:val="FFCC00"/>
                <w14:checkbox>
                  <w14:checked w14:val="1"/>
                  <w14:checkedState w14:val="2612" w14:font="MS Gothic"/>
                  <w14:uncheckedState w14:val="2610" w14:font="MS Gothic"/>
                </w14:checkbox>
              </w:sdtPr>
              <w:sdtContent>
                <w:r w:rsidR="001D6782">
                  <w:rPr>
                    <w:rStyle w:val="Style2"/>
                    <w:rFonts w:ascii="MS Gothic" w:eastAsia="MS Gothic" w:hAnsi="MS Gothic" w:hint="eastAsia"/>
                  </w:rPr>
                  <w:t>☒</w:t>
                </w:r>
              </w:sdtContent>
            </w:sdt>
            <w:r w:rsidR="001D6782" w:rsidRPr="00D05364">
              <w:t xml:space="preserve"> Ne</w:t>
            </w:r>
          </w:p>
        </w:tc>
        <w:tc>
          <w:tcPr>
            <w:tcW w:w="2351" w:type="dxa"/>
          </w:tcPr>
          <w:p w14:paraId="7560B494" w14:textId="77777777" w:rsidR="001D6782" w:rsidRPr="00632BB3" w:rsidRDefault="001D6782" w:rsidP="001D6782">
            <w:pPr>
              <w:spacing w:line="276" w:lineRule="auto"/>
              <w:rPr>
                <w:rFonts w:eastAsia="Arial"/>
              </w:rPr>
            </w:pPr>
          </w:p>
        </w:tc>
        <w:tc>
          <w:tcPr>
            <w:tcW w:w="2725" w:type="dxa"/>
          </w:tcPr>
          <w:p w14:paraId="19FC90D9" w14:textId="77777777" w:rsidR="001D6782" w:rsidRPr="00632BB3" w:rsidRDefault="001D6782" w:rsidP="001D6782">
            <w:pPr>
              <w:spacing w:line="276" w:lineRule="auto"/>
              <w:rPr>
                <w:rFonts w:eastAsia="Arial"/>
              </w:rPr>
            </w:pPr>
          </w:p>
        </w:tc>
      </w:tr>
      <w:tr w:rsidR="001D6782" w:rsidRPr="00632BB3" w14:paraId="7B4A228B" w14:textId="77777777" w:rsidTr="00063726">
        <w:trPr>
          <w:trHeight w:val="690"/>
        </w:trPr>
        <w:tc>
          <w:tcPr>
            <w:tcW w:w="2927" w:type="dxa"/>
          </w:tcPr>
          <w:p w14:paraId="63A7207B" w14:textId="77777777" w:rsidR="001D6782" w:rsidRPr="00D05364" w:rsidRDefault="001D6782" w:rsidP="001D6782">
            <w:pPr>
              <w:spacing w:line="276" w:lineRule="auto"/>
              <w:rPr>
                <w:rFonts w:eastAsia="Arial"/>
              </w:rPr>
            </w:pPr>
            <w:r w:rsidRPr="00D05364">
              <w:rPr>
                <w:rFonts w:eastAsia="Arial"/>
              </w:rPr>
              <w:t>Nacionalinis farmakoekonomikos centras, Airija</w:t>
            </w:r>
          </w:p>
          <w:p w14:paraId="68152266" w14:textId="1D96072C" w:rsidR="001D6782" w:rsidRPr="00632BB3" w:rsidRDefault="001D6782" w:rsidP="001D6782">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1F9DD976" w14:textId="77777777" w:rsidR="001D6782" w:rsidRPr="00D05364" w:rsidRDefault="00000000" w:rsidP="001D6782">
            <w:sdt>
              <w:sdtPr>
                <w:rPr>
                  <w:rStyle w:val="Style2"/>
                </w:rPr>
                <w:id w:val="-1888403732"/>
                <w15:color w:val="FFCC00"/>
                <w14:checkbox>
                  <w14:checked w14:val="1"/>
                  <w14:checkedState w14:val="2612" w14:font="MS Gothic"/>
                  <w14:uncheckedState w14:val="2610" w14:font="MS Gothic"/>
                </w14:checkbox>
              </w:sdtPr>
              <w:sdtContent>
                <w:r w:rsidR="001D6782">
                  <w:rPr>
                    <w:rStyle w:val="Style2"/>
                    <w:rFonts w:ascii="MS Gothic" w:eastAsia="MS Gothic" w:hAnsi="MS Gothic" w:hint="eastAsia"/>
                  </w:rPr>
                  <w:t>☒</w:t>
                </w:r>
              </w:sdtContent>
            </w:sdt>
            <w:r w:rsidR="001D6782" w:rsidRPr="00D05364">
              <w:t xml:space="preserve"> Taip</w:t>
            </w:r>
          </w:p>
          <w:p w14:paraId="05AC395F" w14:textId="77777777" w:rsidR="001D6782" w:rsidRPr="00D05364" w:rsidRDefault="00000000" w:rsidP="001D6782">
            <w:sdt>
              <w:sdtPr>
                <w:rPr>
                  <w:rStyle w:val="Style2"/>
                </w:rPr>
                <w:id w:val="1092201793"/>
                <w15:color w:val="FFCC00"/>
                <w14:checkbox>
                  <w14:checked w14:val="0"/>
                  <w14:checkedState w14:val="2612" w14:font="MS Gothic"/>
                  <w14:uncheckedState w14:val="2610" w14:font="MS Gothic"/>
                </w14:checkbox>
              </w:sdtPr>
              <w:sdtContent>
                <w:r w:rsidR="001D6782" w:rsidRPr="00D05364">
                  <w:rPr>
                    <w:rStyle w:val="Style2"/>
                    <w:rFonts w:ascii="Segoe UI Symbol" w:eastAsia="MS Gothic" w:hAnsi="Segoe UI Symbol" w:cs="Segoe UI Symbol"/>
                  </w:rPr>
                  <w:t>☐</w:t>
                </w:r>
              </w:sdtContent>
            </w:sdt>
            <w:r w:rsidR="001D6782" w:rsidRPr="00D05364">
              <w:t xml:space="preserve"> Ne</w:t>
            </w:r>
          </w:p>
          <w:p w14:paraId="19FDF10A" w14:textId="77777777" w:rsidR="001D6782" w:rsidRPr="00632BB3" w:rsidRDefault="001D6782" w:rsidP="001D6782">
            <w:pPr>
              <w:pStyle w:val="ListParagraph"/>
              <w:spacing w:after="120" w:line="276" w:lineRule="auto"/>
              <w:ind w:left="0"/>
              <w:contextualSpacing w:val="0"/>
              <w:jc w:val="both"/>
              <w:rPr>
                <w:rStyle w:val="Style2"/>
              </w:rPr>
            </w:pPr>
          </w:p>
        </w:tc>
        <w:tc>
          <w:tcPr>
            <w:tcW w:w="2351" w:type="dxa"/>
          </w:tcPr>
          <w:p w14:paraId="3E14DD1B" w14:textId="3B219926" w:rsidR="001D6782" w:rsidRPr="00632BB3" w:rsidRDefault="001D6782" w:rsidP="001D6782">
            <w:pPr>
              <w:spacing w:line="276" w:lineRule="auto"/>
              <w:rPr>
                <w:rFonts w:eastAsia="Arial"/>
              </w:rPr>
            </w:pPr>
            <w:r>
              <w:rPr>
                <w:rFonts w:eastAsia="Arial"/>
              </w:rPr>
              <w:t>Rekomenduota, jog</w:t>
            </w:r>
            <w:r w:rsidRPr="00C318CE">
              <w:rPr>
                <w:rFonts w:eastAsia="Arial"/>
              </w:rPr>
              <w:t xml:space="preserve"> </w:t>
            </w:r>
            <w:r>
              <w:rPr>
                <w:rFonts w:eastAsia="Arial"/>
              </w:rPr>
              <w:t xml:space="preserve"> preparatas </w:t>
            </w:r>
            <w:r w:rsidRPr="00C318CE">
              <w:rPr>
                <w:rFonts w:eastAsia="Arial"/>
              </w:rPr>
              <w:t xml:space="preserve">nebūtų įtrauktas į kompensuojamų vaistų sąrašą, nebent jo </w:t>
            </w:r>
            <w:r>
              <w:rPr>
                <w:rFonts w:eastAsia="Arial"/>
              </w:rPr>
              <w:t>kaštų</w:t>
            </w:r>
            <w:r w:rsidRPr="00C318CE">
              <w:rPr>
                <w:rFonts w:eastAsia="Arial"/>
              </w:rPr>
              <w:t xml:space="preserve"> efektyvumas būtų pagerintas, palyginti su esamais gydymo metodais.</w:t>
            </w:r>
          </w:p>
        </w:tc>
        <w:tc>
          <w:tcPr>
            <w:tcW w:w="2725" w:type="dxa"/>
          </w:tcPr>
          <w:p w14:paraId="417331CB" w14:textId="77777777" w:rsidR="001D6782" w:rsidRPr="00632BB3" w:rsidRDefault="001D6782" w:rsidP="001D6782">
            <w:pPr>
              <w:spacing w:line="276" w:lineRule="auto"/>
              <w:rPr>
                <w:rFonts w:eastAsia="Arial"/>
              </w:rPr>
            </w:pPr>
          </w:p>
        </w:tc>
      </w:tr>
    </w:tbl>
    <w:p w14:paraId="2EB7FD31" w14:textId="4D2A8479" w:rsidR="007A2B68" w:rsidRPr="00632BB3" w:rsidRDefault="007A2B68" w:rsidP="00E03C3F">
      <w:pPr>
        <w:pStyle w:val="ListParagraph"/>
        <w:tabs>
          <w:tab w:val="left" w:pos="426"/>
        </w:tabs>
        <w:ind w:left="0"/>
        <w:rPr>
          <w:b/>
          <w:bCs/>
          <w:caps/>
        </w:rPr>
      </w:pPr>
    </w:p>
    <w:p w14:paraId="5055E8A8" w14:textId="471A9757" w:rsidR="002E6F80" w:rsidRPr="00632BB3" w:rsidRDefault="00CC7832" w:rsidP="00CC09D4">
      <w:pPr>
        <w:pStyle w:val="ListParagraph"/>
        <w:numPr>
          <w:ilvl w:val="0"/>
          <w:numId w:val="12"/>
        </w:numPr>
        <w:tabs>
          <w:tab w:val="left" w:pos="567"/>
        </w:tabs>
        <w:ind w:hanging="720"/>
        <w:rPr>
          <w:b/>
          <w:bCs/>
          <w:caps/>
        </w:rPr>
      </w:pPr>
      <w:r w:rsidRPr="00632BB3">
        <w:rPr>
          <w:b/>
          <w:bCs/>
          <w:caps/>
        </w:rPr>
        <w:t>Klinikinio vertinimo a</w:t>
      </w:r>
      <w:r w:rsidR="00D4485B" w:rsidRPr="00632BB3">
        <w:rPr>
          <w:b/>
          <w:bCs/>
          <w:caps/>
        </w:rPr>
        <w:t>pibendrinimas</w:t>
      </w:r>
    </w:p>
    <w:p w14:paraId="0ACD4596" w14:textId="77777777" w:rsidR="00C21A99" w:rsidRPr="00632BB3" w:rsidRDefault="00C21A99" w:rsidP="00C21A99">
      <w:pPr>
        <w:pStyle w:val="Style1"/>
        <w:spacing w:line="276" w:lineRule="auto"/>
        <w:jc w:val="both"/>
      </w:pPr>
    </w:p>
    <w:p w14:paraId="79DDA8A7" w14:textId="77777777" w:rsidR="001D6782" w:rsidRPr="00915BB2" w:rsidRDefault="001D6782" w:rsidP="001D6782">
      <w:pPr>
        <w:spacing w:line="276" w:lineRule="auto"/>
        <w:jc w:val="both"/>
        <w:rPr>
          <w:rFonts w:eastAsia="Arial"/>
          <w:color w:val="000000" w:themeColor="text1"/>
        </w:rPr>
      </w:pPr>
      <w:r w:rsidRPr="00915BB2">
        <w:rPr>
          <w:rFonts w:eastAsia="Arial"/>
          <w:color w:val="000000" w:themeColor="text1"/>
        </w:rPr>
        <w:t>Gimdos kaklelio vėžys</w:t>
      </w:r>
      <w:r>
        <w:rPr>
          <w:rFonts w:eastAsia="Arial"/>
          <w:color w:val="000000" w:themeColor="text1"/>
        </w:rPr>
        <w:t xml:space="preserve"> (GKV)</w:t>
      </w:r>
      <w:r w:rsidRPr="00915BB2">
        <w:rPr>
          <w:rFonts w:eastAsia="Arial"/>
          <w:color w:val="000000" w:themeColor="text1"/>
        </w:rPr>
        <w:t> – piktybinis gimdos kaklelio susirgimas, atsirandantis supiktybėjus gimdos kaklelio ląstelėms. Svarbiausias jo atsiradimo veiksnys yra </w:t>
      </w:r>
      <w:r>
        <w:rPr>
          <w:rFonts w:eastAsia="Arial"/>
          <w:color w:val="000000" w:themeColor="text1"/>
        </w:rPr>
        <w:t>žmogaus papilomos virusas (ŽPV)</w:t>
      </w:r>
      <w:r w:rsidRPr="00915BB2">
        <w:rPr>
          <w:rFonts w:eastAsia="Arial"/>
          <w:color w:val="000000" w:themeColor="text1"/>
        </w:rPr>
        <w:t xml:space="preserve">, ypač </w:t>
      </w:r>
      <w:r>
        <w:rPr>
          <w:rFonts w:eastAsia="Arial"/>
          <w:color w:val="000000" w:themeColor="text1"/>
        </w:rPr>
        <w:t xml:space="preserve">- </w:t>
      </w:r>
      <w:r w:rsidRPr="00915BB2">
        <w:rPr>
          <w:rFonts w:eastAsia="Arial"/>
          <w:color w:val="000000" w:themeColor="text1"/>
        </w:rPr>
        <w:t>16 ir 18 serotipai.</w:t>
      </w:r>
      <w:r>
        <w:rPr>
          <w:rFonts w:eastAsia="Arial"/>
          <w:color w:val="000000" w:themeColor="text1"/>
        </w:rPr>
        <w:t xml:space="preserve"> </w:t>
      </w:r>
      <w:r w:rsidRPr="00915BB2">
        <w:rPr>
          <w:rFonts w:eastAsia="Arial"/>
          <w:color w:val="000000" w:themeColor="text1"/>
        </w:rPr>
        <w:t>GKV sudaro apie 3</w:t>
      </w:r>
      <w:r>
        <w:rPr>
          <w:rFonts w:eastAsia="Arial"/>
          <w:color w:val="000000" w:themeColor="text1"/>
        </w:rPr>
        <w:t xml:space="preserve"> proc.</w:t>
      </w:r>
      <w:r w:rsidRPr="00915BB2">
        <w:rPr>
          <w:rFonts w:eastAsia="Arial"/>
          <w:color w:val="000000" w:themeColor="text1"/>
        </w:rPr>
        <w:t xml:space="preserve"> visų onkologinių susirgimų</w:t>
      </w:r>
      <w:r>
        <w:rPr>
          <w:rFonts w:eastAsia="Arial"/>
          <w:color w:val="000000" w:themeColor="text1"/>
        </w:rPr>
        <w:t xml:space="preserve"> ir</w:t>
      </w:r>
      <w:r w:rsidRPr="00915BB2">
        <w:rPr>
          <w:rFonts w:eastAsia="Arial"/>
          <w:color w:val="000000" w:themeColor="text1"/>
        </w:rPr>
        <w:t xml:space="preserve"> yra 9-a dažniausia moterų mirties priežastis</w:t>
      </w:r>
      <w:r>
        <w:rPr>
          <w:rFonts w:eastAsia="Arial"/>
          <w:color w:val="000000" w:themeColor="text1"/>
        </w:rPr>
        <w:t>, o n</w:t>
      </w:r>
      <w:r w:rsidRPr="00915BB2">
        <w:rPr>
          <w:rFonts w:eastAsia="Arial"/>
          <w:color w:val="000000" w:themeColor="text1"/>
        </w:rPr>
        <w:t>evakcinuotų moterų sergamumas ir mirtingumas yra didžiausias. 2020 m. pasaulyje dėl GKV mirė 341,831 moterys (apie 3,3</w:t>
      </w:r>
      <w:r>
        <w:rPr>
          <w:rFonts w:eastAsia="Arial"/>
          <w:color w:val="000000" w:themeColor="text1"/>
        </w:rPr>
        <w:t xml:space="preserve"> proc.</w:t>
      </w:r>
      <w:r w:rsidRPr="00915BB2">
        <w:rPr>
          <w:rFonts w:eastAsia="Arial"/>
          <w:color w:val="000000" w:themeColor="text1"/>
        </w:rPr>
        <w:t xml:space="preserve"> visų mirčių nuo onkologinių susirgimų)</w:t>
      </w:r>
      <w:r>
        <w:rPr>
          <w:rFonts w:eastAsia="Arial"/>
          <w:color w:val="000000" w:themeColor="text1"/>
        </w:rPr>
        <w:t xml:space="preserve">. </w:t>
      </w:r>
      <w:r w:rsidRPr="00915BB2">
        <w:rPr>
          <w:rFonts w:eastAsia="Arial"/>
          <w:color w:val="000000" w:themeColor="text1"/>
        </w:rPr>
        <w:t xml:space="preserve">Kasmet Lietuvoje nustatoma apie 500 naujų gimdos kaklelio vėžio atvejų, </w:t>
      </w:r>
      <w:r>
        <w:rPr>
          <w:rFonts w:eastAsia="Arial"/>
          <w:color w:val="000000" w:themeColor="text1"/>
        </w:rPr>
        <w:t xml:space="preserve">dažniausiai - </w:t>
      </w:r>
      <w:r w:rsidRPr="00915BB2">
        <w:rPr>
          <w:rFonts w:eastAsia="Arial"/>
          <w:color w:val="000000" w:themeColor="text1"/>
        </w:rPr>
        <w:t>35–49 metų moterims. Remiantis Lietuvos vėžio registro 2015 m. duomenimis, 2010 m. GKV susirgusių moterų 5-erių metų išgyvenamumas buvo 62,9</w:t>
      </w:r>
      <w:r>
        <w:rPr>
          <w:rFonts w:eastAsia="Arial"/>
          <w:color w:val="000000" w:themeColor="text1"/>
        </w:rPr>
        <w:t xml:space="preserve"> proc. </w:t>
      </w:r>
      <w:r w:rsidRPr="00915BB2">
        <w:rPr>
          <w:rFonts w:eastAsia="Arial"/>
          <w:color w:val="000000" w:themeColor="text1"/>
        </w:rPr>
        <w:t xml:space="preserve"> </w:t>
      </w:r>
    </w:p>
    <w:p w14:paraId="479C0488" w14:textId="77777777" w:rsidR="001D6782" w:rsidRDefault="001D6782" w:rsidP="001D6782">
      <w:pPr>
        <w:spacing w:line="276" w:lineRule="auto"/>
        <w:jc w:val="both"/>
        <w:rPr>
          <w:color w:val="000000"/>
          <w:lang w:eastAsia="lt-LT"/>
        </w:rPr>
      </w:pPr>
      <w:r>
        <w:rPr>
          <w:rFonts w:eastAsia="Arial"/>
          <w:color w:val="000000" w:themeColor="text1"/>
        </w:rPr>
        <w:tab/>
      </w:r>
      <w:bookmarkStart w:id="0" w:name="_Hlk205370169"/>
      <w:r w:rsidRPr="00915BB2">
        <w:rPr>
          <w:rFonts w:eastAsia="Arial"/>
          <w:color w:val="000000" w:themeColor="text1"/>
        </w:rPr>
        <w:t>Lietuvos Respublikoje</w:t>
      </w:r>
      <w:r>
        <w:rPr>
          <w:rFonts w:eastAsia="Arial"/>
          <w:color w:val="000000" w:themeColor="text1"/>
        </w:rPr>
        <w:t xml:space="preserve"> </w:t>
      </w:r>
      <w:r w:rsidRPr="00140E3E">
        <w:t>gimdos kaklelio vėžio</w:t>
      </w:r>
      <w:r>
        <w:rPr>
          <w:rFonts w:eastAsia="Arial"/>
          <w:color w:val="000000" w:themeColor="text1"/>
        </w:rPr>
        <w:t xml:space="preserve"> </w:t>
      </w:r>
      <w:r w:rsidRPr="00915BB2">
        <w:rPr>
          <w:rFonts w:eastAsia="Arial"/>
          <w:color w:val="000000" w:themeColor="text1"/>
        </w:rPr>
        <w:t xml:space="preserve">patvirtintų gydymo rekomendacijų, gairių ar tvarkos aprašo nėra. </w:t>
      </w:r>
      <w:r>
        <w:rPr>
          <w:rFonts w:eastAsia="Arial"/>
          <w:color w:val="000000" w:themeColor="text1"/>
        </w:rPr>
        <w:t xml:space="preserve">Šiuo metu gimdos kaklelio vėžio gydymui pagal Lietuvos </w:t>
      </w:r>
      <w:r w:rsidRPr="004934AE">
        <w:rPr>
          <w:rFonts w:eastAsia="Arial"/>
          <w:color w:val="000000" w:themeColor="text1"/>
        </w:rPr>
        <w:t xml:space="preserve">Respublikos sveikatos apsaugos ministro 2000 m. sausio 28 d. įsakyme Nr. 49  „Dėl kompensuojamųjų vaistų sąrašų </w:t>
      </w:r>
      <w:r w:rsidRPr="004934AE">
        <w:rPr>
          <w:rFonts w:eastAsia="Arial"/>
          <w:color w:val="000000" w:themeColor="text1"/>
        </w:rPr>
        <w:lastRenderedPageBreak/>
        <w:t>patvirtinimo“ pateiktą ligų ir kompensuojamųjų vaistų joms gydyti sąrašą</w:t>
      </w:r>
      <w:r>
        <w:rPr>
          <w:rFonts w:eastAsia="Arial"/>
          <w:color w:val="000000" w:themeColor="text1"/>
        </w:rPr>
        <w:t xml:space="preserve"> (toliau – A sąrašas) bei Lietuvos </w:t>
      </w:r>
      <w:r w:rsidRPr="004934AE">
        <w:rPr>
          <w:rFonts w:eastAsia="Arial"/>
          <w:color w:val="000000" w:themeColor="text1"/>
        </w:rPr>
        <w:t>Respublikos sveikatos apsaugos ministro</w:t>
      </w:r>
      <w:r w:rsidRPr="00EB1F54">
        <w:rPr>
          <w:rFonts w:ascii="Tahoma" w:hAnsi="Tahoma" w:cs="Tahoma"/>
          <w:color w:val="000000"/>
          <w:sz w:val="18"/>
          <w:szCs w:val="18"/>
          <w:shd w:val="clear" w:color="auto" w:fill="FFFFFF"/>
        </w:rPr>
        <w:t xml:space="preserve"> </w:t>
      </w:r>
      <w:r w:rsidRPr="00EB1F54">
        <w:rPr>
          <w:rFonts w:eastAsia="Arial"/>
          <w:color w:val="000000" w:themeColor="text1"/>
        </w:rPr>
        <w:t>2007</w:t>
      </w:r>
      <w:r>
        <w:rPr>
          <w:rFonts w:eastAsia="Arial"/>
          <w:color w:val="000000" w:themeColor="text1"/>
        </w:rPr>
        <w:t xml:space="preserve"> kovo </w:t>
      </w:r>
      <w:r w:rsidRPr="00EB1F54">
        <w:rPr>
          <w:rFonts w:eastAsia="Arial"/>
          <w:color w:val="000000" w:themeColor="text1"/>
        </w:rPr>
        <w:t>2</w:t>
      </w:r>
      <w:r>
        <w:rPr>
          <w:rFonts w:eastAsia="Arial"/>
          <w:color w:val="000000" w:themeColor="text1"/>
        </w:rPr>
        <w:t xml:space="preserve"> d. įsakyme N</w:t>
      </w:r>
      <w:r w:rsidRPr="00EB1F54">
        <w:rPr>
          <w:rFonts w:eastAsia="Arial"/>
          <w:color w:val="000000" w:themeColor="text1"/>
        </w:rPr>
        <w:t>r. V-136</w:t>
      </w:r>
      <w:r>
        <w:rPr>
          <w:rFonts w:eastAsia="Arial"/>
          <w:color w:val="000000" w:themeColor="text1"/>
        </w:rPr>
        <w:t xml:space="preserve"> ,,</w:t>
      </w:r>
      <w:r w:rsidRPr="00EB1F54">
        <w:rPr>
          <w:rFonts w:eastAsia="Arial"/>
          <w:color w:val="000000" w:themeColor="text1"/>
        </w:rPr>
        <w:t>Dėl Centralizuotai apmokamų vaistinių preparatų ir medicinos pagalbos priemonių sąrašo patvirtinimo</w:t>
      </w:r>
      <w:r>
        <w:rPr>
          <w:rFonts w:eastAsia="Arial"/>
          <w:color w:val="000000" w:themeColor="text1"/>
        </w:rPr>
        <w:t>“</w:t>
      </w:r>
      <w:r w:rsidRPr="00EB1F54">
        <w:rPr>
          <w:rFonts w:eastAsia="Arial"/>
          <w:color w:val="000000" w:themeColor="text1"/>
        </w:rPr>
        <w:t xml:space="preserve"> </w:t>
      </w:r>
      <w:r w:rsidRPr="004934AE">
        <w:rPr>
          <w:rFonts w:eastAsia="Arial"/>
          <w:color w:val="000000" w:themeColor="text1"/>
        </w:rPr>
        <w:t>pateiktą ligų ir kompensuojamųjų vaistų joms gydyti sąrašą</w:t>
      </w:r>
      <w:r>
        <w:rPr>
          <w:rFonts w:eastAsia="Arial"/>
          <w:color w:val="000000" w:themeColor="text1"/>
        </w:rPr>
        <w:t xml:space="preserve">, </w:t>
      </w:r>
      <w:r w:rsidRPr="002F067E">
        <w:rPr>
          <w:rFonts w:eastAsia="Arial"/>
          <w:color w:val="000000" w:themeColor="text1"/>
        </w:rPr>
        <w:t xml:space="preserve">kompensuojami topotekanas bei cisplatina (A sąrašas) ir </w:t>
      </w:r>
      <w:r w:rsidRPr="002F067E">
        <w:rPr>
          <w:color w:val="000000"/>
          <w:lang w:eastAsia="lt-LT"/>
        </w:rPr>
        <w:t>bevacizumabas</w:t>
      </w:r>
      <w:r w:rsidRPr="002F067E">
        <w:rPr>
          <w:color w:val="000000"/>
          <w:sz w:val="22"/>
          <w:szCs w:val="22"/>
          <w:lang w:eastAsia="lt-LT"/>
        </w:rPr>
        <w:t xml:space="preserve"> (</w:t>
      </w:r>
      <w:r w:rsidRPr="002F067E">
        <w:rPr>
          <w:rFonts w:eastAsia="Arial"/>
          <w:color w:val="000000" w:themeColor="text1"/>
        </w:rPr>
        <w:t>Centralizuotai apmokamų vaistinių preparatų ir medicinos pagalbos priemonių sąrašas</w:t>
      </w:r>
      <w:r w:rsidRPr="002F067E">
        <w:rPr>
          <w:color w:val="000000"/>
          <w:sz w:val="22"/>
          <w:szCs w:val="22"/>
          <w:lang w:eastAsia="lt-LT"/>
        </w:rPr>
        <w:t>)</w:t>
      </w:r>
      <w:r>
        <w:rPr>
          <w:color w:val="000000"/>
          <w:sz w:val="22"/>
          <w:szCs w:val="22"/>
          <w:lang w:eastAsia="lt-LT"/>
        </w:rPr>
        <w:t xml:space="preserve">, </w:t>
      </w:r>
      <w:r w:rsidRPr="002F067E">
        <w:rPr>
          <w:color w:val="000000"/>
          <w:lang w:eastAsia="lt-LT"/>
        </w:rPr>
        <w:t>cemiplimabo</w:t>
      </w:r>
      <w:r>
        <w:rPr>
          <w:color w:val="000000"/>
          <w:sz w:val="22"/>
          <w:szCs w:val="22"/>
          <w:lang w:eastAsia="lt-LT"/>
        </w:rPr>
        <w:t xml:space="preserve"> </w:t>
      </w:r>
      <w:r>
        <w:rPr>
          <w:color w:val="000000"/>
          <w:lang w:eastAsia="lt-LT"/>
        </w:rPr>
        <w:t>s</w:t>
      </w:r>
      <w:r w:rsidRPr="002F067E">
        <w:rPr>
          <w:color w:val="000000"/>
          <w:lang w:eastAsia="lt-LT"/>
        </w:rPr>
        <w:t xml:space="preserve">kyrimo sąlygose nurodoma, jog vaistinis preparatas skiriamas kartu su paklitakseliu ir cisplatina arba paklitakseliu ir topotekanu suaugusioms pacientėms, kurioms nustatyta persistuojanti, recidyvavusi ar metastazavusi gimdos kaklelio karcinoma. </w:t>
      </w:r>
    </w:p>
    <w:p w14:paraId="4766A49B" w14:textId="3DC6E38A" w:rsidR="001D6782" w:rsidRPr="002F067E" w:rsidRDefault="001D6782" w:rsidP="001D6782">
      <w:pPr>
        <w:spacing w:line="276" w:lineRule="auto"/>
        <w:jc w:val="both"/>
        <w:rPr>
          <w:color w:val="000000"/>
          <w:lang w:eastAsia="lt-LT"/>
        </w:rPr>
      </w:pPr>
      <w:r>
        <w:rPr>
          <w:color w:val="000000"/>
          <w:lang w:eastAsia="lt-LT"/>
        </w:rPr>
        <w:tab/>
      </w:r>
      <w:r w:rsidR="0094487D">
        <w:rPr>
          <w:color w:val="000000"/>
          <w:lang w:eastAsia="lt-LT"/>
        </w:rPr>
        <w:t>A</w:t>
      </w:r>
      <w:r w:rsidRPr="007107A5">
        <w:rPr>
          <w:color w:val="000000"/>
          <w:lang w:eastAsia="lt-LT"/>
        </w:rPr>
        <w:t>tkreip</w:t>
      </w:r>
      <w:r w:rsidR="0094487D">
        <w:rPr>
          <w:color w:val="000000"/>
          <w:lang w:eastAsia="lt-LT"/>
        </w:rPr>
        <w:t>tinas</w:t>
      </w:r>
      <w:r w:rsidRPr="007107A5">
        <w:rPr>
          <w:color w:val="000000"/>
          <w:lang w:eastAsia="lt-LT"/>
        </w:rPr>
        <w:t xml:space="preserve"> dėmes</w:t>
      </w:r>
      <w:r w:rsidR="0094487D">
        <w:rPr>
          <w:color w:val="000000"/>
          <w:lang w:eastAsia="lt-LT"/>
        </w:rPr>
        <w:t>ys</w:t>
      </w:r>
      <w:r w:rsidRPr="007107A5">
        <w:rPr>
          <w:color w:val="000000"/>
          <w:lang w:eastAsia="lt-LT"/>
        </w:rPr>
        <w:t>, jog nuo 2024</w:t>
      </w:r>
      <w:r w:rsidR="0094487D">
        <w:rPr>
          <w:color w:val="000000"/>
          <w:lang w:eastAsia="lt-LT"/>
        </w:rPr>
        <w:t>-</w:t>
      </w:r>
      <w:r w:rsidRPr="007107A5">
        <w:rPr>
          <w:color w:val="000000"/>
          <w:lang w:eastAsia="lt-LT"/>
        </w:rPr>
        <w:t>12</w:t>
      </w:r>
      <w:r w:rsidR="0094487D">
        <w:rPr>
          <w:color w:val="000000"/>
          <w:lang w:eastAsia="lt-LT"/>
        </w:rPr>
        <w:t>-</w:t>
      </w:r>
      <w:r w:rsidRPr="007107A5">
        <w:rPr>
          <w:color w:val="000000"/>
          <w:lang w:eastAsia="lt-LT"/>
        </w:rPr>
        <w:t>12 Lietuvoje pradėtas kompensuoti pembrolizumabas indikacijai ,,Skiriamas derinyje su chemoterapija ir bevacizumabu arba be jo persistuojančio, recidyvavusio ar metastazavusio gimdos kaklelio vėžio gydymui, kai navikai ekspresuoja PD-L1 ir CPS rodmuo yra ≥ 1“. Atsižvelgiant į Lietuvos Respublikos sveikatos apsaugos ministro 2002 m. balandžio 5 d. įsakymo Nr. V-159 119 punktą, svarstomo vaistinio preparato cemiplimabo paraiškos teikimo metu (2024</w:t>
      </w:r>
      <w:r w:rsidR="0094487D">
        <w:rPr>
          <w:color w:val="000000"/>
          <w:lang w:eastAsia="lt-LT"/>
        </w:rPr>
        <w:t>-</w:t>
      </w:r>
      <w:r w:rsidRPr="007107A5">
        <w:rPr>
          <w:color w:val="000000"/>
          <w:lang w:eastAsia="lt-LT"/>
        </w:rPr>
        <w:t>07</w:t>
      </w:r>
      <w:r w:rsidR="0094487D">
        <w:rPr>
          <w:color w:val="000000"/>
          <w:lang w:eastAsia="lt-LT"/>
        </w:rPr>
        <w:t>-</w:t>
      </w:r>
      <w:r w:rsidRPr="007107A5">
        <w:rPr>
          <w:color w:val="000000"/>
          <w:lang w:eastAsia="lt-LT"/>
        </w:rPr>
        <w:t>17) pembrolizumabas dar nebuvo įprastin</w:t>
      </w:r>
      <w:r w:rsidR="0094487D">
        <w:rPr>
          <w:color w:val="000000"/>
          <w:lang w:eastAsia="lt-LT"/>
        </w:rPr>
        <w:t>is</w:t>
      </w:r>
      <w:r w:rsidRPr="007107A5">
        <w:rPr>
          <w:color w:val="000000"/>
          <w:lang w:eastAsia="lt-LT"/>
        </w:rPr>
        <w:t xml:space="preserve"> pirmos eilės gydym</w:t>
      </w:r>
      <w:r w:rsidR="0094487D">
        <w:rPr>
          <w:color w:val="000000"/>
          <w:lang w:eastAsia="lt-LT"/>
        </w:rPr>
        <w:t>as</w:t>
      </w:r>
      <w:r w:rsidRPr="007107A5">
        <w:rPr>
          <w:color w:val="000000"/>
          <w:lang w:eastAsia="lt-LT"/>
        </w:rPr>
        <w:t xml:space="preserve"> Lietuvoje, todėl paraiškos vertinimo metu tai nelaikoma įprastine klinikine praktika Lietuvoje.</w:t>
      </w:r>
    </w:p>
    <w:p w14:paraId="47C5A7EC" w14:textId="29D2F768" w:rsidR="001D6782" w:rsidRDefault="001D6782" w:rsidP="001D6782">
      <w:pPr>
        <w:spacing w:line="276" w:lineRule="auto"/>
        <w:jc w:val="both"/>
      </w:pPr>
      <w:r>
        <w:tab/>
        <w:t xml:space="preserve">Kadangi </w:t>
      </w:r>
      <w:r>
        <w:rPr>
          <w:rFonts w:asciiTheme="majorBidi" w:hAnsiTheme="majorBidi" w:cstheme="majorBidi"/>
        </w:rPr>
        <w:t xml:space="preserve">Lietuvoje </w:t>
      </w:r>
      <w:r>
        <w:rPr>
          <w:rFonts w:asciiTheme="majorBidi" w:hAnsiTheme="majorBidi" w:cstheme="majorBidi"/>
          <w:lang w:eastAsia="lt-LT"/>
        </w:rPr>
        <w:t>g</w:t>
      </w:r>
      <w:r w:rsidRPr="00FE4B39">
        <w:rPr>
          <w:rFonts w:asciiTheme="majorBidi" w:hAnsiTheme="majorBidi" w:cstheme="majorBidi"/>
          <w:lang w:eastAsia="lt-LT"/>
        </w:rPr>
        <w:t>ydant pacient</w:t>
      </w:r>
      <w:r>
        <w:rPr>
          <w:rFonts w:asciiTheme="majorBidi" w:hAnsiTheme="majorBidi" w:cstheme="majorBidi"/>
          <w:lang w:eastAsia="lt-LT"/>
        </w:rPr>
        <w:t xml:space="preserve">es, sergančias </w:t>
      </w:r>
      <w:r w:rsidRPr="00140E3E">
        <w:t>atsinaujinusi</w:t>
      </w:r>
      <w:r>
        <w:t>u</w:t>
      </w:r>
      <w:r w:rsidRPr="00140E3E">
        <w:t xml:space="preserve"> ar metastazavusi</w:t>
      </w:r>
      <w:r>
        <w:t>u</w:t>
      </w:r>
      <w:r w:rsidRPr="00140E3E">
        <w:t xml:space="preserve"> gimdos kaklelio vėži</w:t>
      </w:r>
      <w:r>
        <w:t>u</w:t>
      </w:r>
      <w:r w:rsidRPr="00140E3E">
        <w:t>, kurioms liga progresavo skiriant chemoterapiją platinos pagrindu arba po jos</w:t>
      </w:r>
      <w:r>
        <w:t xml:space="preserve"> </w:t>
      </w:r>
      <w:r w:rsidRPr="00FE4B39">
        <w:rPr>
          <w:rFonts w:asciiTheme="majorBidi" w:hAnsiTheme="majorBidi" w:cstheme="majorBidi"/>
          <w:lang w:eastAsia="lt-LT"/>
        </w:rPr>
        <w:t>nėra aiškaus gydymo standarto</w:t>
      </w:r>
      <w:r>
        <w:rPr>
          <w:rFonts w:asciiTheme="majorBidi" w:hAnsiTheme="majorBidi" w:cstheme="majorBidi"/>
          <w:lang w:eastAsia="lt-LT"/>
        </w:rPr>
        <w:t xml:space="preserve">, </w:t>
      </w:r>
      <w:r w:rsidR="0094487D">
        <w:rPr>
          <w:rFonts w:asciiTheme="majorBidi" w:hAnsiTheme="majorBidi" w:cstheme="majorBidi"/>
          <w:lang w:eastAsia="lt-LT"/>
        </w:rPr>
        <w:t>remiantis</w:t>
      </w:r>
      <w:r w:rsidRPr="0078590D">
        <w:rPr>
          <w:rFonts w:asciiTheme="majorBidi" w:hAnsiTheme="majorBidi" w:cstheme="majorBidi"/>
        </w:rPr>
        <w:t xml:space="preserve"> Lietuvos Respublikos sveikatos apsaugos ministro 2002 m. balandžio 5 d. įsakym</w:t>
      </w:r>
      <w:r>
        <w:rPr>
          <w:rFonts w:asciiTheme="majorBidi" w:hAnsiTheme="majorBidi" w:cstheme="majorBidi"/>
        </w:rPr>
        <w:t>o</w:t>
      </w:r>
      <w:r w:rsidRPr="0078590D">
        <w:rPr>
          <w:rFonts w:asciiTheme="majorBidi" w:hAnsiTheme="majorBidi" w:cstheme="majorBidi"/>
        </w:rPr>
        <w:t xml:space="preserve"> Nr. V-159 „Dėl vaistinių preparatų ir medicinos pagalbos priemonių įrašymo į kompensavimo sąrašus ir jų keitimo tvarkos aprašo patvirtinimo“ 21 punkt</w:t>
      </w:r>
      <w:r w:rsidR="0094487D">
        <w:rPr>
          <w:rFonts w:asciiTheme="majorBidi" w:hAnsiTheme="majorBidi" w:cstheme="majorBidi"/>
        </w:rPr>
        <w:t xml:space="preserve">u, sprendimą dėl </w:t>
      </w:r>
      <w:r>
        <w:t>standartinio pirmos eilės</w:t>
      </w:r>
      <w:r w:rsidR="0094487D">
        <w:t xml:space="preserve"> priėmė atsižvelgiant į gydytojo specialisto nuomonę. </w:t>
      </w:r>
      <w:r w:rsidR="003668D3">
        <w:t>Standartiniu pirmos eilės</w:t>
      </w:r>
      <w:r>
        <w:t xml:space="preserve"> gydym</w:t>
      </w:r>
      <w:r w:rsidR="003668D3">
        <w:t>u laikytinas gydymas</w:t>
      </w:r>
      <w:r>
        <w:t xml:space="preserve"> cisplatina, paklitakseliu ir bevacizumabu</w:t>
      </w:r>
      <w:r w:rsidR="003668D3">
        <w:t>. A</w:t>
      </w:r>
      <w:r>
        <w:t xml:space="preserve">ntros ir vėlesnių eilių gydymo standartų nėra, kiekvienas gydymo centras chemoterapijos skiria </w:t>
      </w:r>
      <w:r w:rsidR="003668D3">
        <w:t xml:space="preserve">gydymą atsižvelgiant į </w:t>
      </w:r>
      <w:r>
        <w:t xml:space="preserve">patirtį bei pacientės būklę, tačiau dažniausia gydymo seka yra gemicitabinas, topotekanas, irinotekanas, vinorelbinas. </w:t>
      </w:r>
    </w:p>
    <w:p w14:paraId="04C7EBDE" w14:textId="414A31C2" w:rsidR="001D6782" w:rsidRPr="004D1D1E" w:rsidRDefault="001D6782" w:rsidP="001D6782">
      <w:pPr>
        <w:spacing w:line="276" w:lineRule="auto"/>
        <w:jc w:val="both"/>
        <w:rPr>
          <w:rFonts w:asciiTheme="majorBidi" w:hAnsiTheme="majorBidi" w:cstheme="majorBidi"/>
          <w:lang w:eastAsia="lt-LT"/>
        </w:rPr>
      </w:pPr>
      <w:r>
        <w:tab/>
        <w:t xml:space="preserve">Minėti </w:t>
      </w:r>
      <w:r w:rsidR="003668D3">
        <w:t>vaistiniai preparatai</w:t>
      </w:r>
      <w:r>
        <w:t xml:space="preserve"> antrai gydymo eilei sutampa su </w:t>
      </w:r>
      <w:r>
        <w:rPr>
          <w:rFonts w:eastAsia="Arial"/>
          <w:color w:val="000000" w:themeColor="text1"/>
        </w:rPr>
        <w:t xml:space="preserve">Europos medicininės onkologijos rekomendacijomis </w:t>
      </w:r>
      <w:r w:rsidRPr="00915BB2">
        <w:rPr>
          <w:rFonts w:eastAsia="Arial"/>
          <w:color w:val="000000" w:themeColor="text1"/>
        </w:rPr>
        <w:t>(</w:t>
      </w:r>
      <w:r w:rsidR="003668D3">
        <w:rPr>
          <w:rFonts w:eastAsia="Arial"/>
          <w:color w:val="000000" w:themeColor="text1"/>
        </w:rPr>
        <w:t xml:space="preserve">angl. European Society of Medical Oncolog, ESMO, </w:t>
      </w:r>
      <w:r w:rsidRPr="00915BB2">
        <w:rPr>
          <w:rFonts w:eastAsia="Arial"/>
          <w:color w:val="000000" w:themeColor="text1"/>
        </w:rPr>
        <w:t>2017)</w:t>
      </w:r>
      <w:r>
        <w:rPr>
          <w:rFonts w:eastAsia="Arial"/>
          <w:color w:val="000000" w:themeColor="text1"/>
        </w:rPr>
        <w:t>.</w:t>
      </w:r>
      <w:r w:rsidRPr="00915BB2">
        <w:rPr>
          <w:rFonts w:eastAsia="Arial"/>
          <w:color w:val="000000" w:themeColor="text1"/>
        </w:rPr>
        <w:t xml:space="preserve"> </w:t>
      </w:r>
      <w:r>
        <w:rPr>
          <w:rFonts w:eastAsia="Arial"/>
          <w:color w:val="000000" w:themeColor="text1"/>
        </w:rPr>
        <w:t>Rekomendacijose nurod</w:t>
      </w:r>
      <w:r w:rsidR="003668D3">
        <w:rPr>
          <w:rFonts w:eastAsia="Arial"/>
          <w:color w:val="000000" w:themeColor="text1"/>
        </w:rPr>
        <w:t>yta</w:t>
      </w:r>
      <w:r>
        <w:rPr>
          <w:rFonts w:eastAsia="Arial"/>
          <w:color w:val="000000" w:themeColor="text1"/>
        </w:rPr>
        <w:t xml:space="preserve">, jog </w:t>
      </w:r>
      <w:r w:rsidR="003668D3">
        <w:rPr>
          <w:rFonts w:eastAsia="Arial"/>
          <w:color w:val="000000" w:themeColor="text1"/>
        </w:rPr>
        <w:t xml:space="preserve">atsižvegiant į tai, kad </w:t>
      </w:r>
      <w:r>
        <w:rPr>
          <w:rFonts w:eastAsia="Arial"/>
          <w:color w:val="000000" w:themeColor="text1"/>
        </w:rPr>
        <w:t>šių vaistinių preparatų atsako dažnis žemas, jų atsako trukmė trumpa, todėl negalima pateikti rekomendacijų dėl efektyviausio antros gydymo eilės preparato. Nacionalinėse visapusio vėžio tinklo rekomendacijose (</w:t>
      </w:r>
      <w:r w:rsidR="001C0400">
        <w:rPr>
          <w:rFonts w:eastAsia="Arial"/>
          <w:color w:val="000000" w:themeColor="text1"/>
        </w:rPr>
        <w:t xml:space="preserve">angl. Natinal comprehensive cancer network, NCCN, </w:t>
      </w:r>
      <w:r>
        <w:rPr>
          <w:rFonts w:eastAsia="Arial"/>
          <w:color w:val="000000" w:themeColor="text1"/>
        </w:rPr>
        <w:t xml:space="preserve">Jungtinės Amerikos Valstijos, 2024 m.) antros eilės arba </w:t>
      </w:r>
      <w:r w:rsidR="001C0400">
        <w:rPr>
          <w:rFonts w:eastAsia="Arial"/>
          <w:color w:val="000000" w:themeColor="text1"/>
        </w:rPr>
        <w:t>paskesniam</w:t>
      </w:r>
      <w:r>
        <w:rPr>
          <w:rFonts w:eastAsia="Arial"/>
          <w:color w:val="000000" w:themeColor="text1"/>
        </w:rPr>
        <w:t xml:space="preserve"> </w:t>
      </w:r>
      <w:r w:rsidR="001C0400">
        <w:rPr>
          <w:rFonts w:eastAsia="Arial"/>
          <w:color w:val="000000" w:themeColor="text1"/>
        </w:rPr>
        <w:t xml:space="preserve">(angl. </w:t>
      </w:r>
      <w:r w:rsidR="001C0400" w:rsidRPr="00EB1F54">
        <w:rPr>
          <w:rFonts w:eastAsia="Arial"/>
          <w:i/>
          <w:iCs/>
          <w:color w:val="000000" w:themeColor="text1"/>
        </w:rPr>
        <w:t>subsequent</w:t>
      </w:r>
      <w:r w:rsidR="001C0400">
        <w:rPr>
          <w:rFonts w:eastAsia="Arial"/>
          <w:color w:val="000000" w:themeColor="text1"/>
        </w:rPr>
        <w:t xml:space="preserve">) </w:t>
      </w:r>
      <w:r>
        <w:rPr>
          <w:rFonts w:eastAsia="Arial"/>
          <w:color w:val="000000" w:themeColor="text1"/>
        </w:rPr>
        <w:t xml:space="preserve">gydymui </w:t>
      </w:r>
      <w:r w:rsidR="001C0400">
        <w:rPr>
          <w:rFonts w:eastAsia="Arial"/>
          <w:color w:val="000000" w:themeColor="text1"/>
        </w:rPr>
        <w:t>pasirinktini</w:t>
      </w:r>
      <w:r>
        <w:rPr>
          <w:rFonts w:eastAsia="Arial"/>
          <w:color w:val="000000" w:themeColor="text1"/>
        </w:rPr>
        <w:t xml:space="preserve"> (angl. </w:t>
      </w:r>
      <w:r w:rsidRPr="00134914">
        <w:rPr>
          <w:rFonts w:eastAsia="Arial"/>
          <w:i/>
          <w:iCs/>
          <w:color w:val="000000" w:themeColor="text1"/>
        </w:rPr>
        <w:t>preferred regimen</w:t>
      </w:r>
      <w:r>
        <w:rPr>
          <w:rFonts w:eastAsia="Arial"/>
          <w:color w:val="000000" w:themeColor="text1"/>
        </w:rPr>
        <w:t xml:space="preserve">) </w:t>
      </w:r>
      <w:r w:rsidRPr="004D1D1E">
        <w:rPr>
          <w:rFonts w:eastAsia="Arial"/>
          <w:color w:val="000000" w:themeColor="text1"/>
        </w:rPr>
        <w:t xml:space="preserve">pembrolizumabas, tisotumabas bei </w:t>
      </w:r>
      <w:r w:rsidR="003668D3">
        <w:rPr>
          <w:rFonts w:eastAsia="Arial"/>
          <w:color w:val="000000" w:themeColor="text1"/>
        </w:rPr>
        <w:t>vertinamas</w:t>
      </w:r>
      <w:r w:rsidRPr="004D1D1E">
        <w:rPr>
          <w:rFonts w:eastAsia="Arial"/>
          <w:color w:val="000000" w:themeColor="text1"/>
        </w:rPr>
        <w:t xml:space="preserve"> </w:t>
      </w:r>
      <w:r w:rsidR="003668D3">
        <w:rPr>
          <w:rFonts w:eastAsia="Arial"/>
          <w:color w:val="000000" w:themeColor="text1"/>
        </w:rPr>
        <w:t>vaistinis preparatas</w:t>
      </w:r>
      <w:r w:rsidRPr="004D1D1E">
        <w:rPr>
          <w:rFonts w:eastAsia="Arial"/>
          <w:color w:val="000000" w:themeColor="text1"/>
        </w:rPr>
        <w:t xml:space="preserve"> cemiplimabas, taip pat rekomenduojami (angl. </w:t>
      </w:r>
      <w:r w:rsidRPr="004D1D1E">
        <w:rPr>
          <w:rFonts w:eastAsia="Arial"/>
          <w:i/>
          <w:iCs/>
          <w:color w:val="000000" w:themeColor="text1"/>
        </w:rPr>
        <w:t>other recommended regimens</w:t>
      </w:r>
      <w:r w:rsidRPr="004D1D1E">
        <w:rPr>
          <w:rFonts w:eastAsia="Arial"/>
          <w:color w:val="000000" w:themeColor="text1"/>
        </w:rPr>
        <w:t xml:space="preserve">) bevacizumabas, paklitakselis, docetakselis, fluoruracilas, gemicitabinas, pemetreksedas, topotekanas, vinorelbinas, irinotekanas. </w:t>
      </w:r>
    </w:p>
    <w:p w14:paraId="04B0630B" w14:textId="77777777" w:rsidR="001D6782" w:rsidRDefault="001D6782" w:rsidP="001D6782">
      <w:pPr>
        <w:tabs>
          <w:tab w:val="left" w:pos="426"/>
        </w:tabs>
        <w:spacing w:line="276" w:lineRule="auto"/>
        <w:jc w:val="both"/>
      </w:pPr>
      <w:r>
        <w:rPr>
          <w:rFonts w:eastAsia="Arial"/>
          <w:bCs/>
        </w:rPr>
        <w:tab/>
      </w:r>
      <w:r w:rsidRPr="006B3532">
        <w:rPr>
          <w:rFonts w:eastAsia="Arial"/>
          <w:bCs/>
        </w:rPr>
        <w:t>Įvertinus tiesioginio palyginimo klinikinius duomenis bei remiantis Lietuvos Respublikos sveikatos apsaugos ministro 2002 m. balandžio 5 d. įsakymo Nr. V-159</w:t>
      </w:r>
      <w:r>
        <w:rPr>
          <w:rFonts w:eastAsia="Arial"/>
          <w:bCs/>
        </w:rPr>
        <w:t xml:space="preserve"> </w:t>
      </w:r>
      <w:r w:rsidRPr="006B3532">
        <w:rPr>
          <w:rFonts w:eastAsia="Arial"/>
          <w:bCs/>
        </w:rPr>
        <w:t>116.1 punktu,</w:t>
      </w:r>
      <w:r>
        <w:rPr>
          <w:rFonts w:eastAsia="Arial"/>
          <w:bCs/>
        </w:rPr>
        <w:t xml:space="preserve"> nustatyta, jog</w:t>
      </w:r>
      <w:r w:rsidRPr="006B3532">
        <w:rPr>
          <w:rFonts w:eastAsia="Arial"/>
          <w:bCs/>
        </w:rPr>
        <w:t xml:space="preserve"> tinkamas palyginamasis </w:t>
      </w:r>
      <w:r>
        <w:rPr>
          <w:rFonts w:eastAsia="Arial"/>
          <w:bCs/>
        </w:rPr>
        <w:t xml:space="preserve">yra </w:t>
      </w:r>
      <w:r>
        <w:t xml:space="preserve">gemicitabinas, topotekanas, irinotekanas, vinorelbinas. </w:t>
      </w:r>
    </w:p>
    <w:p w14:paraId="7DD443BB" w14:textId="77777777" w:rsidR="001D6782" w:rsidRDefault="001D6782" w:rsidP="001D6782">
      <w:pPr>
        <w:tabs>
          <w:tab w:val="left" w:pos="426"/>
        </w:tabs>
        <w:spacing w:line="276" w:lineRule="auto"/>
        <w:jc w:val="both"/>
      </w:pPr>
    </w:p>
    <w:p w14:paraId="5337599D" w14:textId="77777777" w:rsidR="001D6782" w:rsidRPr="004D1D1E" w:rsidRDefault="001D6782" w:rsidP="001D6782">
      <w:pPr>
        <w:tabs>
          <w:tab w:val="left" w:pos="426"/>
        </w:tabs>
        <w:spacing w:line="276" w:lineRule="auto"/>
        <w:jc w:val="both"/>
        <w:rPr>
          <w:rFonts w:asciiTheme="majorBidi" w:hAnsiTheme="majorBidi" w:cstheme="majorBidi"/>
          <w:i/>
          <w:iCs/>
          <w:lang w:eastAsia="lt-LT"/>
        </w:rPr>
      </w:pPr>
      <w:r>
        <w:tab/>
      </w:r>
      <w:r>
        <w:rPr>
          <w:i/>
          <w:iCs/>
        </w:rPr>
        <w:t>Tiesioginis palyginimas</w:t>
      </w:r>
    </w:p>
    <w:p w14:paraId="793F137D" w14:textId="77777777" w:rsidR="001D6782" w:rsidRPr="0007250B" w:rsidRDefault="001D6782" w:rsidP="001D6782">
      <w:pPr>
        <w:tabs>
          <w:tab w:val="left" w:pos="492"/>
        </w:tabs>
        <w:spacing w:line="276" w:lineRule="auto"/>
        <w:jc w:val="both"/>
        <w:outlineLvl w:val="1"/>
        <w:rPr>
          <w:rFonts w:eastAsia="Arial"/>
          <w:bCs/>
        </w:rPr>
      </w:pPr>
      <w:r>
        <w:tab/>
      </w:r>
      <w:r w:rsidRPr="00181BAA">
        <w:t xml:space="preserve">Klinikinis </w:t>
      </w:r>
      <w:r>
        <w:t xml:space="preserve">palyginimas </w:t>
      </w:r>
      <w:r w:rsidRPr="00181BAA">
        <w:t>grindžiamas klinikinio tyrimo</w:t>
      </w:r>
      <w:r>
        <w:t xml:space="preserve"> </w:t>
      </w:r>
      <w:r w:rsidRPr="004D1D1E">
        <w:rPr>
          <w:rFonts w:eastAsia="Arial"/>
          <w:bCs/>
          <w:i/>
          <w:iCs/>
        </w:rPr>
        <w:t xml:space="preserve">EMPOWER CERVICAL-1 </w:t>
      </w:r>
      <w:r w:rsidRPr="00181BAA">
        <w:t>duomenimis</w:t>
      </w:r>
      <w:r>
        <w:t xml:space="preserve">, </w:t>
      </w:r>
      <w:r>
        <w:rPr>
          <w:rFonts w:eastAsia="Arial"/>
          <w:bCs/>
        </w:rPr>
        <w:t xml:space="preserve">kuriame vertintas cemipilimabo efektyvumas pacientėms, sergančioms atsinaujinusiu </w:t>
      </w:r>
      <w:r w:rsidRPr="00140E3E">
        <w:t>ar metastazavusi</w:t>
      </w:r>
      <w:r>
        <w:t>u</w:t>
      </w:r>
      <w:r w:rsidRPr="00140E3E">
        <w:t xml:space="preserve"> gimdos kaklelio vėži</w:t>
      </w:r>
      <w:r>
        <w:t>u, kai</w:t>
      </w:r>
      <w:r w:rsidRPr="00140E3E">
        <w:t xml:space="preserve"> liga progresavo skiriant chemoterapiją platinos pagrindu arba po jos.</w:t>
      </w:r>
      <w:r>
        <w:t xml:space="preserve"> Pacientėms </w:t>
      </w:r>
      <w:r w:rsidRPr="007B2DBA">
        <w:rPr>
          <w:rFonts w:eastAsia="Arial"/>
          <w:bCs/>
        </w:rPr>
        <w:t>atsitiktine tvarka priskir</w:t>
      </w:r>
      <w:r>
        <w:rPr>
          <w:rFonts w:eastAsia="Arial"/>
          <w:bCs/>
        </w:rPr>
        <w:t xml:space="preserve">tas gydymas </w:t>
      </w:r>
      <w:r w:rsidRPr="007B2DBA">
        <w:rPr>
          <w:rFonts w:eastAsia="Arial"/>
          <w:bCs/>
        </w:rPr>
        <w:t>cemiplimab</w:t>
      </w:r>
      <w:r>
        <w:rPr>
          <w:rFonts w:eastAsia="Arial"/>
          <w:bCs/>
        </w:rPr>
        <w:t>u</w:t>
      </w:r>
      <w:r w:rsidRPr="007B2DBA">
        <w:rPr>
          <w:rFonts w:eastAsia="Arial"/>
          <w:bCs/>
        </w:rPr>
        <w:t xml:space="preserve"> (350 mg kas 3 savaites) arba tyrėjo pasirinkt</w:t>
      </w:r>
      <w:r>
        <w:rPr>
          <w:rFonts w:eastAsia="Arial"/>
          <w:bCs/>
        </w:rPr>
        <w:t>u</w:t>
      </w:r>
      <w:r w:rsidRPr="007B2DBA">
        <w:rPr>
          <w:rFonts w:eastAsia="Arial"/>
          <w:bCs/>
        </w:rPr>
        <w:t xml:space="preserve"> chemoterapi</w:t>
      </w:r>
      <w:r>
        <w:rPr>
          <w:rFonts w:eastAsia="Arial"/>
          <w:bCs/>
        </w:rPr>
        <w:t xml:space="preserve">niu vaistiniu preparatu (pemetreksedu, topotekanu, irinotekanu, </w:t>
      </w:r>
      <w:r>
        <w:rPr>
          <w:rFonts w:eastAsia="Arial"/>
          <w:bCs/>
        </w:rPr>
        <w:lastRenderedPageBreak/>
        <w:t>gemicitabinu, vinorelbinu)</w:t>
      </w:r>
      <w:r w:rsidRPr="007B2DBA">
        <w:rPr>
          <w:rFonts w:eastAsia="Arial"/>
          <w:bCs/>
        </w:rPr>
        <w:t xml:space="preserve">. </w:t>
      </w:r>
      <w:r w:rsidRPr="005C1BDB">
        <w:rPr>
          <w:rFonts w:eastAsia="Arial"/>
          <w:bCs/>
        </w:rPr>
        <w:t xml:space="preserve">Į tyrimą įtrauktos pacientės, kurioms diagnozuota recidyvuojanti ar metastazavusi gimdos kaklelio karcinoma, jei jų navikas progresavo po gydymo platinos preparatais, bevacizumabu ir paklitakseliu (nebent jos atsisakė gydymo, gydymas buvo laikomas netinkamu). </w:t>
      </w:r>
      <w:r w:rsidRPr="0007250B">
        <w:rPr>
          <w:rFonts w:eastAsia="Arial"/>
          <w:bCs/>
        </w:rPr>
        <w:t xml:space="preserve">Ankstesnis anti–PD-1 arba anti–PD-L1 gydymas nebuvo leidžiamas. </w:t>
      </w:r>
    </w:p>
    <w:p w14:paraId="03DBABC2" w14:textId="77777777" w:rsidR="001D6782" w:rsidRDefault="001D6782" w:rsidP="001D6782">
      <w:pPr>
        <w:tabs>
          <w:tab w:val="left" w:pos="492"/>
        </w:tabs>
        <w:spacing w:line="276" w:lineRule="auto"/>
        <w:jc w:val="both"/>
        <w:outlineLvl w:val="1"/>
        <w:rPr>
          <w:rFonts w:eastAsia="Arial"/>
          <w:bCs/>
        </w:rPr>
      </w:pPr>
      <w:r>
        <w:rPr>
          <w:rFonts w:eastAsia="Arial"/>
          <w:bCs/>
        </w:rPr>
        <w:tab/>
        <w:t xml:space="preserve">Remiantis klinikinio tyrimo </w:t>
      </w:r>
      <w:r w:rsidRPr="004D1D1E">
        <w:rPr>
          <w:rFonts w:eastAsia="Arial"/>
          <w:bCs/>
          <w:i/>
          <w:iCs/>
        </w:rPr>
        <w:t>EMPOWER CERVICAL-1</w:t>
      </w:r>
      <w:r>
        <w:rPr>
          <w:rFonts w:eastAsia="Arial"/>
          <w:bCs/>
        </w:rPr>
        <w:t xml:space="preserve"> bendro išgyvenamumo (pirminė vertinamoji baigtis) rezultatais, mirties dėl bet kokios priežasties rizika naudojant cemiplimabą, palyginus su chemoterapija buvo </w:t>
      </w:r>
      <w:r w:rsidRPr="00762D6D">
        <w:rPr>
          <w:rFonts w:eastAsia="Arial"/>
          <w:bCs/>
        </w:rPr>
        <w:t>3</w:t>
      </w:r>
      <w:r>
        <w:rPr>
          <w:rFonts w:eastAsia="Arial"/>
          <w:bCs/>
        </w:rPr>
        <w:t xml:space="preserve">4 proc. mažesnė (RS </w:t>
      </w:r>
      <w:r w:rsidRPr="009B2FB2">
        <w:rPr>
          <w:rFonts w:eastAsia="Arial"/>
          <w:bCs/>
        </w:rPr>
        <w:t>0,656</w:t>
      </w:r>
      <w:r>
        <w:rPr>
          <w:rFonts w:eastAsia="Arial"/>
          <w:bCs/>
        </w:rPr>
        <w:t xml:space="preserve">; </w:t>
      </w:r>
      <w:r w:rsidRPr="009B2FB2">
        <w:rPr>
          <w:rFonts w:eastAsia="Arial"/>
          <w:bCs/>
        </w:rPr>
        <w:t xml:space="preserve">95 </w:t>
      </w:r>
      <w:r>
        <w:rPr>
          <w:rFonts w:eastAsia="Arial"/>
          <w:bCs/>
        </w:rPr>
        <w:t xml:space="preserve"> proc. </w:t>
      </w:r>
      <w:r w:rsidRPr="009B2FB2">
        <w:rPr>
          <w:rFonts w:eastAsia="Arial"/>
          <w:bCs/>
        </w:rPr>
        <w:t>P</w:t>
      </w:r>
      <w:r>
        <w:rPr>
          <w:rFonts w:eastAsia="Arial"/>
          <w:bCs/>
        </w:rPr>
        <w:t>I</w:t>
      </w:r>
      <w:r w:rsidRPr="009B2FB2">
        <w:rPr>
          <w:rFonts w:eastAsia="Arial"/>
          <w:bCs/>
        </w:rPr>
        <w:t xml:space="preserve"> 0,545–0,790; P &lt; 0,00001</w:t>
      </w:r>
      <w:r>
        <w:rPr>
          <w:rFonts w:eastAsia="Arial"/>
          <w:bCs/>
        </w:rPr>
        <w:t>). BI mediana</w:t>
      </w:r>
      <w:r w:rsidRPr="009B2FB2">
        <w:rPr>
          <w:rFonts w:eastAsia="Arial"/>
          <w:bCs/>
        </w:rPr>
        <w:t xml:space="preserve"> cemiplimabo grupėje buvo</w:t>
      </w:r>
      <w:r>
        <w:rPr>
          <w:rFonts w:eastAsia="Arial"/>
          <w:bCs/>
        </w:rPr>
        <w:t xml:space="preserve"> </w:t>
      </w:r>
      <w:r w:rsidRPr="00762D6D">
        <w:rPr>
          <w:rFonts w:eastAsia="Arial"/>
          <w:bCs/>
        </w:rPr>
        <w:t>3,2 m</w:t>
      </w:r>
      <w:r>
        <w:rPr>
          <w:rFonts w:eastAsia="Arial"/>
          <w:bCs/>
        </w:rPr>
        <w:t xml:space="preserve">ėn. ilgesnė (BI trukmė cemiplimabo  buvo </w:t>
      </w:r>
      <w:r w:rsidRPr="00762D6D">
        <w:rPr>
          <w:rFonts w:eastAsia="Arial"/>
          <w:bCs/>
        </w:rPr>
        <w:t>11</w:t>
      </w:r>
      <w:r w:rsidRPr="009B2FB2">
        <w:rPr>
          <w:rFonts w:eastAsia="Arial"/>
          <w:bCs/>
        </w:rPr>
        <w:t>,7 mėn</w:t>
      </w:r>
      <w:r>
        <w:rPr>
          <w:rFonts w:eastAsia="Arial"/>
          <w:bCs/>
        </w:rPr>
        <w:t xml:space="preserve">. ir </w:t>
      </w:r>
      <w:r w:rsidRPr="009B2FB2">
        <w:rPr>
          <w:rFonts w:eastAsia="Arial"/>
          <w:bCs/>
        </w:rPr>
        <w:t>8,5 mėn</w:t>
      </w:r>
      <w:r>
        <w:rPr>
          <w:rFonts w:eastAsia="Arial"/>
          <w:bCs/>
        </w:rPr>
        <w:t xml:space="preserve">. </w:t>
      </w:r>
      <w:r w:rsidRPr="009B2FB2">
        <w:rPr>
          <w:rFonts w:eastAsia="Arial"/>
          <w:bCs/>
        </w:rPr>
        <w:t>chemoterapijos grupėje</w:t>
      </w:r>
      <w:r>
        <w:rPr>
          <w:rFonts w:eastAsia="Arial"/>
          <w:bCs/>
        </w:rPr>
        <w:t xml:space="preserve">). </w:t>
      </w:r>
    </w:p>
    <w:p w14:paraId="1D58E302" w14:textId="77777777" w:rsidR="001D6782" w:rsidRDefault="001D6782" w:rsidP="001D6782">
      <w:pPr>
        <w:tabs>
          <w:tab w:val="left" w:pos="492"/>
          <w:tab w:val="left" w:pos="5529"/>
        </w:tabs>
        <w:spacing w:line="276" w:lineRule="auto"/>
        <w:jc w:val="both"/>
        <w:outlineLvl w:val="1"/>
        <w:rPr>
          <w:rFonts w:eastAsia="Arial"/>
          <w:bCs/>
        </w:rPr>
      </w:pPr>
      <w:r>
        <w:rPr>
          <w:rFonts w:eastAsia="Arial"/>
          <w:bCs/>
        </w:rPr>
        <w:tab/>
        <w:t xml:space="preserve">Ligos progresavimo ar mirties nuo bet kokios priežasties (t.y. IBLP, antrinė vertinamoji baigtis) rizika vartojant cemiplimabą buvo </w:t>
      </w:r>
      <w:r w:rsidRPr="00C72CBD">
        <w:rPr>
          <w:rFonts w:eastAsia="Arial"/>
          <w:bCs/>
        </w:rPr>
        <w:t>25 proc. ma</w:t>
      </w:r>
      <w:r>
        <w:rPr>
          <w:rFonts w:eastAsia="Arial"/>
          <w:bCs/>
        </w:rPr>
        <w:t>žesnė lyginant su chemoterapijos vartojimu (RS</w:t>
      </w:r>
      <w:r w:rsidRPr="007B7069">
        <w:rPr>
          <w:rFonts w:eastAsia="Arial"/>
          <w:bCs/>
        </w:rPr>
        <w:t xml:space="preserve"> 0,75, 95 </w:t>
      </w:r>
      <w:r>
        <w:rPr>
          <w:rFonts w:eastAsia="Arial"/>
          <w:bCs/>
        </w:rPr>
        <w:t>proc.</w:t>
      </w:r>
      <w:r w:rsidRPr="007B7069">
        <w:rPr>
          <w:rFonts w:eastAsia="Arial"/>
          <w:bCs/>
        </w:rPr>
        <w:t xml:space="preserve"> PI 0,63–0,89; P &lt; 0,001</w:t>
      </w:r>
      <w:r>
        <w:rPr>
          <w:rFonts w:eastAsia="Arial"/>
          <w:bCs/>
        </w:rPr>
        <w:t>), tačiau IBLP trukmė bendrojoje populiacijoje tarp palyginamųjų grupių buvo panaši – 2,8 mėn. cemiplimabo (</w:t>
      </w:r>
      <w:r w:rsidRPr="007B7069">
        <w:rPr>
          <w:rFonts w:eastAsia="Arial"/>
          <w:bCs/>
        </w:rPr>
        <w:t xml:space="preserve">95 </w:t>
      </w:r>
      <w:r>
        <w:rPr>
          <w:rFonts w:eastAsia="Arial"/>
          <w:bCs/>
        </w:rPr>
        <w:t>proc.</w:t>
      </w:r>
      <w:r w:rsidRPr="007B7069">
        <w:rPr>
          <w:rFonts w:eastAsia="Arial"/>
          <w:bCs/>
        </w:rPr>
        <w:t xml:space="preserve"> PI: 2,6–3,9)</w:t>
      </w:r>
      <w:r>
        <w:rPr>
          <w:rFonts w:eastAsia="Arial"/>
          <w:bCs/>
        </w:rPr>
        <w:t>) ir 2,9 mėn. chemoterapijos (</w:t>
      </w:r>
      <w:r w:rsidRPr="007B7069">
        <w:rPr>
          <w:rFonts w:eastAsia="Arial"/>
          <w:bCs/>
        </w:rPr>
        <w:t xml:space="preserve">95 </w:t>
      </w:r>
      <w:r>
        <w:rPr>
          <w:rFonts w:eastAsia="Arial"/>
          <w:bCs/>
        </w:rPr>
        <w:t>proc.</w:t>
      </w:r>
      <w:r w:rsidRPr="007B7069">
        <w:rPr>
          <w:rFonts w:eastAsia="Arial"/>
          <w:bCs/>
        </w:rPr>
        <w:t xml:space="preserve"> PI 2,7–3,4)</w:t>
      </w:r>
      <w:r>
        <w:rPr>
          <w:rFonts w:eastAsia="Arial"/>
          <w:bCs/>
        </w:rPr>
        <w:t xml:space="preserve"> grupėje. </w:t>
      </w:r>
    </w:p>
    <w:p w14:paraId="760979AC" w14:textId="77777777" w:rsidR="001D6782" w:rsidRDefault="001D6782" w:rsidP="001D6782">
      <w:pPr>
        <w:tabs>
          <w:tab w:val="left" w:pos="492"/>
        </w:tabs>
        <w:spacing w:line="276" w:lineRule="auto"/>
        <w:jc w:val="both"/>
        <w:outlineLvl w:val="1"/>
        <w:rPr>
          <w:rFonts w:eastAsia="Arial"/>
          <w:bCs/>
        </w:rPr>
      </w:pPr>
      <w:r>
        <w:rPr>
          <w:rFonts w:eastAsia="Arial"/>
          <w:bCs/>
        </w:rPr>
        <w:tab/>
        <w:t xml:space="preserve">Pagal </w:t>
      </w:r>
      <w:r w:rsidRPr="007B7069">
        <w:rPr>
          <w:rFonts w:eastAsia="Arial"/>
          <w:bCs/>
        </w:rPr>
        <w:t>EORTC QLQ-C30</w:t>
      </w:r>
      <w:r>
        <w:rPr>
          <w:rFonts w:eastAsia="Arial"/>
          <w:bCs/>
        </w:rPr>
        <w:t xml:space="preserve"> klausimyną nei viename laiko taške cemiplimabu gydytų pacientų gyvenimo kokybė ir fizinis funkcionavimas nepasiekė reikšmingo pagerėjimo, tačiau t</w:t>
      </w:r>
      <w:r w:rsidRPr="007B7069">
        <w:rPr>
          <w:rFonts w:eastAsia="Arial"/>
          <w:bCs/>
        </w:rPr>
        <w:t>yrimo metu cemiplimabas pagerino arba palaikė gyvenimo kokybės rodiklius</w:t>
      </w:r>
      <w:r>
        <w:rPr>
          <w:rFonts w:eastAsia="Arial"/>
          <w:bCs/>
        </w:rPr>
        <w:t>. C</w:t>
      </w:r>
      <w:r w:rsidRPr="007B7069">
        <w:rPr>
          <w:rFonts w:eastAsia="Arial"/>
          <w:bCs/>
        </w:rPr>
        <w:t xml:space="preserve">hemoterapiją gaunantys pacientai dažniau patyrė </w:t>
      </w:r>
      <w:r>
        <w:rPr>
          <w:rFonts w:eastAsia="Arial"/>
          <w:bCs/>
        </w:rPr>
        <w:t>gyvenimo kokybės ir fizinio funkcionacimo</w:t>
      </w:r>
      <w:r w:rsidRPr="007B7069">
        <w:rPr>
          <w:rFonts w:eastAsia="Arial"/>
          <w:bCs/>
        </w:rPr>
        <w:t xml:space="preserve"> blogėjimą</w:t>
      </w:r>
      <w:r>
        <w:rPr>
          <w:rFonts w:eastAsia="Arial"/>
          <w:bCs/>
        </w:rPr>
        <w:t xml:space="preserve">, paskutinėmis tyrimo stebėjimo savaitėmis – reikšmingą. Pagal atskiras </w:t>
      </w:r>
      <w:r w:rsidRPr="007B7069">
        <w:rPr>
          <w:rFonts w:eastAsia="Arial"/>
          <w:bCs/>
        </w:rPr>
        <w:t>EORTC QLQ-C30</w:t>
      </w:r>
      <w:r>
        <w:rPr>
          <w:rFonts w:eastAsia="Arial"/>
          <w:bCs/>
        </w:rPr>
        <w:t xml:space="preserve"> klausimyno dalis, nustatytas didesnis cemiplimabo pranašumas bendrai gyvenimo kokybei (angl. </w:t>
      </w:r>
      <w:r w:rsidRPr="00B4149B">
        <w:rPr>
          <w:rFonts w:eastAsia="Arial"/>
          <w:bCs/>
          <w:i/>
          <w:iCs/>
        </w:rPr>
        <w:t>global health status/QoL</w:t>
      </w:r>
      <w:r>
        <w:rPr>
          <w:rFonts w:eastAsia="Arial"/>
          <w:bCs/>
        </w:rPr>
        <w:t xml:space="preserve">), fiziniam, emociniam bei  socialiniam funkcionavimui. Reikšmingas skirtumas tarp cemiplimabo ir chemoterapijos nenustatytas kognityvinio funkcionavimo atžvilgiu. Pagal </w:t>
      </w:r>
      <w:r w:rsidRPr="007B7069">
        <w:rPr>
          <w:rFonts w:eastAsia="Arial"/>
          <w:bCs/>
        </w:rPr>
        <w:t>EORTC QLQ-C30</w:t>
      </w:r>
      <w:r>
        <w:rPr>
          <w:rFonts w:eastAsia="Arial"/>
          <w:bCs/>
        </w:rPr>
        <w:t xml:space="preserve"> klausimyno s</w:t>
      </w:r>
      <w:r w:rsidRPr="007B7069">
        <w:rPr>
          <w:rFonts w:eastAsia="Arial"/>
          <w:bCs/>
        </w:rPr>
        <w:t>imptomų skal</w:t>
      </w:r>
      <w:r>
        <w:rPr>
          <w:rFonts w:eastAsia="Arial"/>
          <w:bCs/>
        </w:rPr>
        <w:t>es cemiplimabą pacientai rečiau patirdavo nuovargį, pykinimą, vėmimą, skausmą, nemigą, apetito praradimą, vidurių užkietėjimą. Dusulį ir viduriavimą – panašiai kaip ir chemoterapija gydyti pacientai.</w:t>
      </w:r>
    </w:p>
    <w:p w14:paraId="648DB34B" w14:textId="77777777" w:rsidR="001D6782" w:rsidRDefault="001D6782" w:rsidP="001D6782">
      <w:pPr>
        <w:tabs>
          <w:tab w:val="left" w:pos="492"/>
        </w:tabs>
        <w:spacing w:line="276" w:lineRule="auto"/>
        <w:jc w:val="both"/>
        <w:outlineLvl w:val="1"/>
        <w:rPr>
          <w:rFonts w:eastAsia="Arial"/>
          <w:bCs/>
        </w:rPr>
      </w:pPr>
      <w:r>
        <w:rPr>
          <w:rFonts w:eastAsia="Arial"/>
          <w:bCs/>
        </w:rPr>
        <w:tab/>
      </w:r>
      <w:r w:rsidRPr="00434CE7">
        <w:rPr>
          <w:rFonts w:eastAsia="Arial"/>
          <w:bCs/>
        </w:rPr>
        <w:t>Remiantis tyrimo EMPOWER CERVICAL-1 saugumo duomenimis, nepageidaujamų reiškinių dažnis pacientų, gydytų cemiplimabu ar chemoterapija grupėse buvo panašus, dažniausi NR buvo anemija, šlapimo takų infekcijos, neutropenija. Su cemiplimabo vartojimu nebuvo siejama nei viena mirtis.</w:t>
      </w:r>
    </w:p>
    <w:p w14:paraId="2B242F2C" w14:textId="3A8EC5C7" w:rsidR="001D6782" w:rsidRPr="007107A5" w:rsidRDefault="001D6782" w:rsidP="001D6782">
      <w:pPr>
        <w:tabs>
          <w:tab w:val="left" w:pos="492"/>
        </w:tabs>
        <w:spacing w:line="276" w:lineRule="auto"/>
        <w:ind w:firstLine="425"/>
        <w:contextualSpacing/>
        <w:jc w:val="both"/>
        <w:outlineLvl w:val="1"/>
      </w:pPr>
      <w:r w:rsidRPr="00B14079">
        <w:t xml:space="preserve">Apibendrinant </w:t>
      </w:r>
      <w:r w:rsidR="001C0400">
        <w:t>palyginamojo</w:t>
      </w:r>
      <w:r w:rsidRPr="00B14079">
        <w:t xml:space="preserve"> veiksmingumo rezultatus bendroje pacien</w:t>
      </w:r>
      <w:r>
        <w:t>čių</w:t>
      </w:r>
      <w:r w:rsidRPr="00B14079">
        <w:t xml:space="preserve">, </w:t>
      </w:r>
      <w:r>
        <w:t xml:space="preserve">sergančių </w:t>
      </w:r>
      <w:r w:rsidRPr="00140E3E">
        <w:t>atsinaujinusi</w:t>
      </w:r>
      <w:r>
        <w:t>u</w:t>
      </w:r>
      <w:r w:rsidRPr="00140E3E">
        <w:t xml:space="preserve"> ar metastazavusi</w:t>
      </w:r>
      <w:r>
        <w:t>u</w:t>
      </w:r>
      <w:r w:rsidRPr="00140E3E">
        <w:t xml:space="preserve"> gimdos kaklelio vėži</w:t>
      </w:r>
      <w:r>
        <w:t xml:space="preserve">u, </w:t>
      </w:r>
      <w:r w:rsidRPr="00140E3E">
        <w:t>kurioms liga progresavo skiriant chemoterapiją platinos pagrindu arba po jos</w:t>
      </w:r>
      <w:r w:rsidRPr="00B14079">
        <w:t xml:space="preserve">, gydymas cemiplimabo </w:t>
      </w:r>
      <w:r>
        <w:t xml:space="preserve">monoterapija vertinamas kaip didesnis </w:t>
      </w:r>
      <w:r w:rsidR="001E193A">
        <w:t>lyginant su</w:t>
      </w:r>
      <w:r>
        <w:t xml:space="preserve"> įprasta</w:t>
      </w:r>
      <w:r w:rsidRPr="00B14079">
        <w:t xml:space="preserve"> klinikin</w:t>
      </w:r>
      <w:r w:rsidR="001E193A">
        <w:t>e</w:t>
      </w:r>
      <w:r w:rsidRPr="00B14079">
        <w:t xml:space="preserve"> praktik</w:t>
      </w:r>
      <w:r>
        <w:t>a</w:t>
      </w:r>
      <w:r w:rsidRPr="00B14079">
        <w:t xml:space="preserve"> Lietuvoje.</w:t>
      </w:r>
    </w:p>
    <w:bookmarkEnd w:id="0"/>
    <w:p w14:paraId="2632662E" w14:textId="77777777" w:rsidR="001D6782" w:rsidRPr="00C72CBD" w:rsidRDefault="001D6782" w:rsidP="001D6782">
      <w:pPr>
        <w:tabs>
          <w:tab w:val="left" w:pos="492"/>
          <w:tab w:val="left" w:pos="5529"/>
        </w:tabs>
        <w:spacing w:line="276" w:lineRule="auto"/>
        <w:jc w:val="both"/>
        <w:outlineLvl w:val="1"/>
        <w:rPr>
          <w:rFonts w:eastAsia="Arial"/>
          <w:bCs/>
        </w:rPr>
      </w:pPr>
    </w:p>
    <w:p w14:paraId="7DE09EB5" w14:textId="69E9DD74" w:rsidR="00E03C3F" w:rsidRPr="00632BB3" w:rsidRDefault="00CC7832" w:rsidP="00CC09D4">
      <w:pPr>
        <w:pStyle w:val="ListParagraph"/>
        <w:numPr>
          <w:ilvl w:val="0"/>
          <w:numId w:val="12"/>
        </w:numPr>
        <w:tabs>
          <w:tab w:val="left" w:pos="567"/>
        </w:tabs>
        <w:ind w:hanging="720"/>
        <w:rPr>
          <w:b/>
          <w:bCs/>
          <w:caps/>
        </w:rPr>
      </w:pPr>
      <w:r w:rsidRPr="00632BB3">
        <w:rPr>
          <w:b/>
          <w:bCs/>
          <w:caps/>
        </w:rPr>
        <w:t xml:space="preserve">ekonominio vertinimo </w:t>
      </w:r>
      <w:r w:rsidR="002F0E4F" w:rsidRPr="00632BB3">
        <w:rPr>
          <w:b/>
          <w:bCs/>
          <w:caps/>
        </w:rPr>
        <w:t>apibendrinimas</w:t>
      </w:r>
    </w:p>
    <w:p w14:paraId="4801D227" w14:textId="140F5E84" w:rsidR="009E44AE" w:rsidRPr="00632BB3" w:rsidRDefault="009E44AE" w:rsidP="00A93AA6">
      <w:pPr>
        <w:tabs>
          <w:tab w:val="left" w:pos="426"/>
        </w:tabs>
        <w:rPr>
          <w:b/>
          <w:lang w:eastAsia="lt-LT"/>
        </w:rPr>
      </w:pPr>
    </w:p>
    <w:p w14:paraId="74C37175" w14:textId="77777777" w:rsidR="00031DEE" w:rsidRDefault="00031DEE" w:rsidP="00031DEE">
      <w:pPr>
        <w:tabs>
          <w:tab w:val="left" w:pos="567"/>
        </w:tabs>
        <w:spacing w:line="276" w:lineRule="auto"/>
        <w:jc w:val="both"/>
        <w:rPr>
          <w:iCs/>
          <w:color w:val="000000"/>
          <w:lang w:eastAsia="lt-LT"/>
        </w:rPr>
      </w:pPr>
      <w:r>
        <w:rPr>
          <w:rFonts w:eastAsia="Arial"/>
        </w:rPr>
        <w:t xml:space="preserve">Vertinimui pateikta kaštų naudingumo analizė, kurioje nagrinėjamas cemiplimabo (Libtayo) kaštų naudingumas. </w:t>
      </w:r>
      <w:r>
        <w:rPr>
          <w:lang w:eastAsia="lt-LT"/>
        </w:rPr>
        <w:t xml:space="preserve">Analizuojami pacientai, sergantys atsinaujinusiu, persistuojančiu ir/ar metastazavusiu gimdos kaklelio vėžiu, kuris progresavo gydant chemoterapija platinos pagrindu ar po jos. Ši populiacija atitinka EMPOWER-Cervical 1 klinikinį tyrimą. Palyginamasis gydymas analizėje yra gydytojo pasirinkta chemoterapija – tai atitinka įprastą Lietuvos klinikinę praktiką.  Analizėje taikomas modeliavimas, naudojant apdalintos kohortos išgyvenamumo modelį, remiantis ploto po kreive metodu. Taikomos trys sveikatos būklės: </w:t>
      </w:r>
      <w:r>
        <w:t>būklė iki progresijos, būklė po progresijos ir mirtis</w:t>
      </w:r>
      <w:r w:rsidRPr="00B232B2">
        <w:t xml:space="preserve">. </w:t>
      </w:r>
      <w:r>
        <w:t xml:space="preserve">Modelis grindžiamas laiko iki įvykio išeitimis (BI, IBLP, ToT), remiantis EMPOWER-Cervical 1 klinikinio tyrimo duomenimis. </w:t>
      </w:r>
      <w:r w:rsidRPr="00B232B2">
        <w:t xml:space="preserve">Laikoma, jog </w:t>
      </w:r>
      <w:r>
        <w:t xml:space="preserve">tokia </w:t>
      </w:r>
      <w:r w:rsidRPr="00B232B2">
        <w:t>analizės struktūra yra tinkama analizės rezultato interpretavimui</w:t>
      </w:r>
      <w:r>
        <w:t>.</w:t>
      </w:r>
      <w:r w:rsidRPr="00B232B2">
        <w:rPr>
          <w:color w:val="000000"/>
          <w:lang w:eastAsia="lt-LT"/>
        </w:rPr>
        <w:t xml:space="preserve"> </w:t>
      </w:r>
      <w:r w:rsidRPr="00D05364">
        <w:rPr>
          <w:color w:val="000000"/>
          <w:lang w:eastAsia="lt-LT"/>
        </w:rPr>
        <w:t xml:space="preserve">Pareiškėjo taikomos prielaidos, vertinant efektyvumo skirtumus tarp siūlomo ir </w:t>
      </w:r>
      <w:r w:rsidRPr="00D05364">
        <w:rPr>
          <w:color w:val="000000"/>
          <w:lang w:eastAsia="lt-LT"/>
        </w:rPr>
        <w:lastRenderedPageBreak/>
        <w:t>palyginamojo gydymo ilgaja</w:t>
      </w:r>
      <w:r>
        <w:rPr>
          <w:color w:val="000000"/>
          <w:lang w:eastAsia="lt-LT"/>
        </w:rPr>
        <w:t xml:space="preserve">me laikotarpyje yra pagrįstos, vertinamosios baigtys ekstrapoliuotos. </w:t>
      </w:r>
      <w:r w:rsidRPr="00D05364">
        <w:t>Analizė atlikta iš PSDF biudžeto perspektyvos, įtraukti tiesiogiai su sveikatos sistema susiję kaštai. Tai atitinka teisės aktuose nustatytus paraiškos rengimo taisyklių reikalavimus</w:t>
      </w:r>
      <w:r>
        <w:t xml:space="preserve">. </w:t>
      </w:r>
      <w:r>
        <w:rPr>
          <w:color w:val="000000"/>
          <w:lang w:eastAsia="lt-LT"/>
        </w:rPr>
        <w:t xml:space="preserve">Analizėje taikoma 35 </w:t>
      </w:r>
      <w:r w:rsidRPr="00D05364">
        <w:rPr>
          <w:color w:val="000000"/>
          <w:lang w:eastAsia="lt-LT"/>
        </w:rPr>
        <w:t>metų</w:t>
      </w:r>
      <w:r>
        <w:rPr>
          <w:color w:val="000000"/>
          <w:lang w:eastAsia="lt-LT"/>
        </w:rPr>
        <w:t xml:space="preserve">, </w:t>
      </w:r>
      <w:r w:rsidRPr="00D05364">
        <w:rPr>
          <w:color w:val="000000"/>
          <w:lang w:eastAsia="lt-LT"/>
        </w:rPr>
        <w:t>viso gyvenimo</w:t>
      </w:r>
      <w:r>
        <w:rPr>
          <w:color w:val="000000"/>
          <w:lang w:eastAsia="lt-LT"/>
        </w:rPr>
        <w:t>,</w:t>
      </w:r>
      <w:r w:rsidRPr="00D05364">
        <w:rPr>
          <w:color w:val="00B050"/>
          <w:lang w:eastAsia="lt-LT"/>
        </w:rPr>
        <w:t xml:space="preserve"> </w:t>
      </w:r>
      <w:r w:rsidRPr="00D05364">
        <w:rPr>
          <w:color w:val="000000"/>
          <w:lang w:eastAsia="lt-LT"/>
        </w:rPr>
        <w:t xml:space="preserve">laiko perspektyva. Pasirinkta laiko perspektyva yra </w:t>
      </w:r>
      <w:r w:rsidRPr="00D05364">
        <w:rPr>
          <w:iCs/>
          <w:lang w:eastAsia="lt-LT"/>
        </w:rPr>
        <w:t>tinkama</w:t>
      </w:r>
      <w:r>
        <w:rPr>
          <w:iCs/>
          <w:lang w:eastAsia="lt-LT"/>
        </w:rPr>
        <w:t xml:space="preserve">, nes liga turi įtakos pacientų išgyvenamumui. </w:t>
      </w:r>
      <w:r w:rsidRPr="00B232B2">
        <w:rPr>
          <w:iCs/>
          <w:color w:val="000000"/>
          <w:lang w:eastAsia="lt-LT"/>
        </w:rPr>
        <w:t>Analizėje pareiškėjas nepaaiškino, kaip yra grindžiamas rutininės priežiūros asmens sveikatos priežiūros paslaugų poreikis. Vis dėlto, remiantis šių kaštų įtaka analizės rezulta</w:t>
      </w:r>
      <w:r>
        <w:rPr>
          <w:iCs/>
          <w:color w:val="000000"/>
          <w:lang w:eastAsia="lt-LT"/>
        </w:rPr>
        <w:t>t</w:t>
      </w:r>
      <w:r w:rsidRPr="00B232B2">
        <w:rPr>
          <w:iCs/>
          <w:color w:val="000000"/>
          <w:lang w:eastAsia="lt-LT"/>
        </w:rPr>
        <w:t>ui, Tarnyba vertina, jog rezultatas gali būti interpretuojamas.</w:t>
      </w:r>
    </w:p>
    <w:p w14:paraId="08E49D81" w14:textId="4D48838B" w:rsidR="00031DEE" w:rsidRDefault="00031DEE" w:rsidP="00031DEE">
      <w:pPr>
        <w:tabs>
          <w:tab w:val="left" w:pos="567"/>
        </w:tabs>
        <w:spacing w:line="276" w:lineRule="auto"/>
        <w:jc w:val="both"/>
        <w:rPr>
          <w:iCs/>
          <w:lang w:eastAsia="lt-LT"/>
        </w:rPr>
      </w:pPr>
      <w:r>
        <w:rPr>
          <w:iCs/>
          <w:color w:val="000000"/>
          <w:lang w:eastAsia="lt-LT"/>
        </w:rPr>
        <w:t xml:space="preserve">Vertinant analizės rezultatą, nustatyta sunki ligos našta ir 5 BVP </w:t>
      </w:r>
      <w:r w:rsidRPr="0005235F">
        <w:rPr>
          <w:i/>
          <w:color w:val="000000"/>
          <w:lang w:eastAsia="lt-LT"/>
        </w:rPr>
        <w:t>per capita</w:t>
      </w:r>
      <w:r>
        <w:rPr>
          <w:iCs/>
          <w:color w:val="000000"/>
          <w:lang w:eastAsia="lt-LT"/>
        </w:rPr>
        <w:t xml:space="preserve"> referencinė kaštų naudingumo </w:t>
      </w:r>
      <w:r>
        <w:rPr>
          <w:bCs/>
          <w:color w:val="000000"/>
          <w:lang w:eastAsia="lt-LT"/>
        </w:rPr>
        <w:t>(</w:t>
      </w:r>
      <w:r w:rsidR="00A73967">
        <w:rPr>
          <w:i/>
          <w:iCs/>
          <w:lang w:eastAsia="lt-LT"/>
        </w:rPr>
        <w:t>***</w:t>
      </w:r>
      <w:r>
        <w:rPr>
          <w:i/>
          <w:iCs/>
          <w:lang w:eastAsia="lt-LT"/>
        </w:rPr>
        <w:t xml:space="preserve"> Eur/QALY). </w:t>
      </w:r>
      <w:r>
        <w:rPr>
          <w:iCs/>
          <w:lang w:eastAsia="lt-LT"/>
        </w:rPr>
        <w:t xml:space="preserve">Vertinant analizės rezultatą ICER, nustatyta, jog ICER neviršija referencinės kaštų naudingumo vertės pagrindinio atvejo scenarijuje. </w:t>
      </w:r>
    </w:p>
    <w:p w14:paraId="3D038093" w14:textId="1B7D9D7D" w:rsidR="002B50EA" w:rsidRDefault="00031DEE" w:rsidP="00031DEE">
      <w:pPr>
        <w:tabs>
          <w:tab w:val="left" w:pos="426"/>
        </w:tabs>
        <w:rPr>
          <w:iCs/>
          <w:lang w:eastAsia="lt-LT"/>
        </w:rPr>
      </w:pPr>
      <w:r>
        <w:rPr>
          <w:iCs/>
          <w:lang w:eastAsia="lt-LT"/>
        </w:rPr>
        <w:t>Referencinė kaštų vertė jautrumo ir scenarijų analizėse viršija referencinę naudingumo vertę tik mažai kliniškai tikėtinais scenarijais, todėl laikoma, jog cemiplimabas yra kaštams naudingas.</w:t>
      </w:r>
    </w:p>
    <w:p w14:paraId="3D0F8F1D" w14:textId="18F2290C" w:rsidR="00031DEE" w:rsidRDefault="00031DEE" w:rsidP="00031DEE">
      <w:pPr>
        <w:tabs>
          <w:tab w:val="left" w:pos="426"/>
        </w:tabs>
        <w:rPr>
          <w:iCs/>
          <w:lang w:eastAsia="lt-LT"/>
        </w:rPr>
      </w:pPr>
    </w:p>
    <w:p w14:paraId="1D1D7F36" w14:textId="0AC8635E" w:rsidR="00031DEE" w:rsidRDefault="00031DEE" w:rsidP="00031DEE">
      <w:pPr>
        <w:tabs>
          <w:tab w:val="left" w:pos="426"/>
        </w:tabs>
        <w:rPr>
          <w:b/>
          <w:bCs/>
          <w:caps/>
        </w:rPr>
      </w:pPr>
      <w:r>
        <w:rPr>
          <w:b/>
          <w:bCs/>
          <w:caps/>
        </w:rPr>
        <w:t>Ekonominės analizės rezultatas</w:t>
      </w:r>
    </w:p>
    <w:p w14:paraId="4498BE4D" w14:textId="32C96FCF" w:rsidR="00031DEE" w:rsidRDefault="00031DEE" w:rsidP="00031DEE">
      <w:pPr>
        <w:tabs>
          <w:tab w:val="left" w:pos="426"/>
        </w:tabs>
        <w:rPr>
          <w:b/>
          <w:bCs/>
          <w:caps/>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031DEE" w:rsidRPr="00D05364" w14:paraId="2D0FDCF6" w14:textId="77777777" w:rsidTr="00352C6F">
        <w:trPr>
          <w:trHeight w:val="364"/>
          <w:jc w:val="center"/>
        </w:trPr>
        <w:tc>
          <w:tcPr>
            <w:tcW w:w="9908" w:type="dxa"/>
            <w:gridSpan w:val="4"/>
            <w:tcBorders>
              <w:top w:val="single" w:sz="12" w:space="0" w:color="auto"/>
              <w:bottom w:val="single" w:sz="4" w:space="0" w:color="auto"/>
            </w:tcBorders>
            <w:vAlign w:val="center"/>
          </w:tcPr>
          <w:p w14:paraId="61484870" w14:textId="77777777" w:rsidR="00031DEE" w:rsidRPr="00D05364" w:rsidRDefault="00031DEE" w:rsidP="00352C6F">
            <w:pPr>
              <w:tabs>
                <w:tab w:val="left" w:pos="567"/>
              </w:tabs>
              <w:jc w:val="center"/>
              <w:rPr>
                <w:b/>
                <w:i/>
                <w:iCs/>
                <w:color w:val="00B050"/>
                <w:sz w:val="22"/>
                <w:szCs w:val="22"/>
                <w:lang w:eastAsia="lt-LT"/>
              </w:rPr>
            </w:pPr>
            <w:r w:rsidRPr="00D05364">
              <w:rPr>
                <w:b/>
                <w:lang w:eastAsia="lt-LT"/>
              </w:rPr>
              <w:t>Kaštai</w:t>
            </w:r>
          </w:p>
        </w:tc>
      </w:tr>
      <w:tr w:rsidR="00031DEE" w:rsidRPr="00D05364" w14:paraId="2EBBE30C" w14:textId="77777777" w:rsidTr="00352C6F">
        <w:trPr>
          <w:jc w:val="center"/>
        </w:trPr>
        <w:tc>
          <w:tcPr>
            <w:tcW w:w="2697" w:type="dxa"/>
            <w:tcBorders>
              <w:top w:val="single" w:sz="4" w:space="0" w:color="auto"/>
              <w:bottom w:val="single" w:sz="4" w:space="0" w:color="auto"/>
            </w:tcBorders>
          </w:tcPr>
          <w:p w14:paraId="549C8EE6" w14:textId="77777777" w:rsidR="00031DEE" w:rsidRPr="00D05364" w:rsidRDefault="00031DEE" w:rsidP="00352C6F">
            <w:pPr>
              <w:tabs>
                <w:tab w:val="left" w:pos="567"/>
              </w:tabs>
              <w:jc w:val="both"/>
              <w:rPr>
                <w:color w:val="00B050"/>
                <w:lang w:eastAsia="lt-LT"/>
              </w:rPr>
            </w:pPr>
          </w:p>
        </w:tc>
        <w:tc>
          <w:tcPr>
            <w:tcW w:w="1613" w:type="dxa"/>
            <w:tcBorders>
              <w:top w:val="single" w:sz="4" w:space="0" w:color="auto"/>
              <w:bottom w:val="single" w:sz="4" w:space="0" w:color="auto"/>
            </w:tcBorders>
          </w:tcPr>
          <w:p w14:paraId="1522FCFA" w14:textId="77777777" w:rsidR="00031DEE" w:rsidRPr="00D05364" w:rsidRDefault="00031DEE" w:rsidP="00352C6F">
            <w:pPr>
              <w:tabs>
                <w:tab w:val="left" w:pos="567"/>
              </w:tabs>
              <w:jc w:val="both"/>
              <w:rPr>
                <w:i/>
                <w:iCs/>
                <w:lang w:eastAsia="lt-LT"/>
              </w:rPr>
            </w:pPr>
            <w:r>
              <w:rPr>
                <w:i/>
                <w:iCs/>
                <w:lang w:eastAsia="lt-LT"/>
              </w:rPr>
              <w:t>Cemiplimabas</w:t>
            </w:r>
          </w:p>
        </w:tc>
        <w:tc>
          <w:tcPr>
            <w:tcW w:w="2019" w:type="dxa"/>
            <w:tcBorders>
              <w:top w:val="single" w:sz="4" w:space="0" w:color="auto"/>
              <w:bottom w:val="single" w:sz="4" w:space="0" w:color="auto"/>
            </w:tcBorders>
          </w:tcPr>
          <w:p w14:paraId="7A4FBA1D" w14:textId="77777777" w:rsidR="00031DEE" w:rsidRPr="00D05364" w:rsidRDefault="00031DEE" w:rsidP="00352C6F">
            <w:pPr>
              <w:tabs>
                <w:tab w:val="left" w:pos="567"/>
              </w:tabs>
              <w:jc w:val="both"/>
              <w:rPr>
                <w:i/>
                <w:iCs/>
                <w:lang w:eastAsia="lt-LT"/>
              </w:rPr>
            </w:pPr>
            <w:r>
              <w:rPr>
                <w:i/>
                <w:iCs/>
                <w:lang w:eastAsia="lt-LT"/>
              </w:rPr>
              <w:t>Chemoterapija</w:t>
            </w:r>
          </w:p>
        </w:tc>
        <w:tc>
          <w:tcPr>
            <w:tcW w:w="3579" w:type="dxa"/>
            <w:tcBorders>
              <w:top w:val="single" w:sz="4" w:space="0" w:color="auto"/>
              <w:bottom w:val="single" w:sz="4" w:space="0" w:color="auto"/>
            </w:tcBorders>
          </w:tcPr>
          <w:p w14:paraId="5FA3ECAF" w14:textId="77777777" w:rsidR="00031DEE" w:rsidRPr="00D05364" w:rsidRDefault="00031DEE" w:rsidP="00352C6F">
            <w:pPr>
              <w:tabs>
                <w:tab w:val="left" w:pos="567"/>
              </w:tabs>
              <w:jc w:val="both"/>
              <w:rPr>
                <w:i/>
                <w:lang w:eastAsia="lt-LT"/>
              </w:rPr>
            </w:pPr>
            <w:r w:rsidRPr="00D05364">
              <w:rPr>
                <w:i/>
                <w:lang w:eastAsia="lt-LT"/>
              </w:rPr>
              <w:t>Skirtumas</w:t>
            </w:r>
          </w:p>
        </w:tc>
      </w:tr>
      <w:tr w:rsidR="00031DEE" w:rsidRPr="00D05364" w14:paraId="7887B583" w14:textId="77777777" w:rsidTr="00352C6F">
        <w:trPr>
          <w:jc w:val="center"/>
        </w:trPr>
        <w:tc>
          <w:tcPr>
            <w:tcW w:w="2697" w:type="dxa"/>
            <w:tcBorders>
              <w:top w:val="single" w:sz="4" w:space="0" w:color="auto"/>
              <w:bottom w:val="single" w:sz="4" w:space="0" w:color="auto"/>
            </w:tcBorders>
          </w:tcPr>
          <w:p w14:paraId="7902054B" w14:textId="77777777" w:rsidR="00031DEE" w:rsidRPr="00D05364" w:rsidRDefault="00031DEE" w:rsidP="00352C6F">
            <w:pPr>
              <w:tabs>
                <w:tab w:val="left" w:pos="567"/>
              </w:tabs>
              <w:jc w:val="both"/>
              <w:rPr>
                <w:iCs/>
                <w:color w:val="00B050"/>
                <w:lang w:eastAsia="lt-LT"/>
              </w:rPr>
            </w:pPr>
            <w:r w:rsidRPr="00D05364">
              <w:rPr>
                <w:iCs/>
                <w:color w:val="000000"/>
                <w:lang w:eastAsia="lt-LT"/>
              </w:rPr>
              <w:t>Gydymo kaštai</w:t>
            </w:r>
          </w:p>
        </w:tc>
        <w:tc>
          <w:tcPr>
            <w:tcW w:w="1613" w:type="dxa"/>
            <w:tcBorders>
              <w:top w:val="single" w:sz="4" w:space="0" w:color="auto"/>
              <w:bottom w:val="single" w:sz="4" w:space="0" w:color="auto"/>
            </w:tcBorders>
          </w:tcPr>
          <w:p w14:paraId="5D920874" w14:textId="201B546C" w:rsidR="00031DEE" w:rsidRPr="00D05364" w:rsidRDefault="00740356" w:rsidP="00352C6F">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465B2DDF" w14:textId="7865DAA1" w:rsidR="00031DEE" w:rsidRPr="00D05364" w:rsidRDefault="00740356" w:rsidP="00352C6F">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32FB94C9" w14:textId="6DBCF715" w:rsidR="00031DEE" w:rsidRPr="00D05364" w:rsidRDefault="00BD6D35" w:rsidP="00352C6F">
            <w:pPr>
              <w:tabs>
                <w:tab w:val="left" w:pos="567"/>
              </w:tabs>
              <w:jc w:val="both"/>
              <w:rPr>
                <w:lang w:eastAsia="lt-LT"/>
              </w:rPr>
            </w:pPr>
            <w:r>
              <w:rPr>
                <w:lang w:eastAsia="lt-LT"/>
              </w:rPr>
              <w:t>***</w:t>
            </w:r>
          </w:p>
        </w:tc>
      </w:tr>
      <w:tr w:rsidR="00031DEE" w:rsidRPr="00D05364" w14:paraId="2419BFEC" w14:textId="77777777" w:rsidTr="00352C6F">
        <w:trPr>
          <w:jc w:val="center"/>
        </w:trPr>
        <w:tc>
          <w:tcPr>
            <w:tcW w:w="2697" w:type="dxa"/>
            <w:tcBorders>
              <w:top w:val="single" w:sz="4" w:space="0" w:color="auto"/>
              <w:bottom w:val="single" w:sz="4" w:space="0" w:color="auto"/>
            </w:tcBorders>
          </w:tcPr>
          <w:p w14:paraId="094B6245" w14:textId="77777777" w:rsidR="00031DEE" w:rsidRPr="00D05364" w:rsidRDefault="00031DEE" w:rsidP="00352C6F">
            <w:pPr>
              <w:tabs>
                <w:tab w:val="left" w:pos="567"/>
              </w:tabs>
              <w:rPr>
                <w:iCs/>
                <w:color w:val="000000"/>
                <w:lang w:eastAsia="lt-LT"/>
              </w:rPr>
            </w:pPr>
            <w:r w:rsidRPr="00D05364">
              <w:rPr>
                <w:iCs/>
                <w:color w:val="000000"/>
                <w:lang w:eastAsia="lt-LT"/>
              </w:rPr>
              <w:t>Vaistinių preparatų įsigijimo kaštai</w:t>
            </w:r>
          </w:p>
        </w:tc>
        <w:tc>
          <w:tcPr>
            <w:tcW w:w="1613" w:type="dxa"/>
            <w:tcBorders>
              <w:top w:val="single" w:sz="4" w:space="0" w:color="auto"/>
              <w:bottom w:val="single" w:sz="4" w:space="0" w:color="auto"/>
            </w:tcBorders>
          </w:tcPr>
          <w:p w14:paraId="2C05B853" w14:textId="687CECD4" w:rsidR="00031DEE" w:rsidRPr="00BD6D35" w:rsidRDefault="00BD6D35" w:rsidP="00352C6F">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727D1806" w14:textId="2616DAE0" w:rsidR="00031DEE" w:rsidRPr="00BD6D35" w:rsidRDefault="00BD6D35" w:rsidP="00352C6F">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440F9025" w14:textId="35013F30" w:rsidR="00031DEE" w:rsidRPr="00BD6D35" w:rsidRDefault="00BD6D35" w:rsidP="00352C6F">
            <w:pPr>
              <w:tabs>
                <w:tab w:val="left" w:pos="567"/>
              </w:tabs>
              <w:jc w:val="both"/>
              <w:rPr>
                <w:lang w:eastAsia="lt-LT"/>
              </w:rPr>
            </w:pPr>
            <w:r>
              <w:rPr>
                <w:lang w:eastAsia="lt-LT"/>
              </w:rPr>
              <w:t>***</w:t>
            </w:r>
          </w:p>
        </w:tc>
      </w:tr>
      <w:tr w:rsidR="00031DEE" w:rsidRPr="00D05364" w14:paraId="51F8851E" w14:textId="77777777" w:rsidTr="00352C6F">
        <w:trPr>
          <w:jc w:val="center"/>
        </w:trPr>
        <w:tc>
          <w:tcPr>
            <w:tcW w:w="2697" w:type="dxa"/>
            <w:tcBorders>
              <w:top w:val="single" w:sz="4" w:space="0" w:color="auto"/>
              <w:bottom w:val="single" w:sz="4" w:space="0" w:color="auto"/>
            </w:tcBorders>
          </w:tcPr>
          <w:p w14:paraId="0AE48A78" w14:textId="77777777" w:rsidR="00031DEE" w:rsidRPr="00D05364" w:rsidRDefault="00031DEE" w:rsidP="00352C6F">
            <w:pPr>
              <w:tabs>
                <w:tab w:val="left" w:pos="567"/>
              </w:tabs>
              <w:jc w:val="both"/>
              <w:rPr>
                <w:iCs/>
                <w:color w:val="00B050"/>
                <w:lang w:eastAsia="lt-LT"/>
              </w:rPr>
            </w:pPr>
            <w:r w:rsidRPr="00D05364">
              <w:rPr>
                <w:iCs/>
                <w:color w:val="000000"/>
                <w:lang w:eastAsia="lt-LT"/>
              </w:rPr>
              <w:t>Nepageidaujamų reiškinių valdymo kaštai</w:t>
            </w:r>
          </w:p>
        </w:tc>
        <w:tc>
          <w:tcPr>
            <w:tcW w:w="1613" w:type="dxa"/>
            <w:tcBorders>
              <w:top w:val="single" w:sz="4" w:space="0" w:color="auto"/>
              <w:bottom w:val="single" w:sz="4" w:space="0" w:color="auto"/>
            </w:tcBorders>
          </w:tcPr>
          <w:p w14:paraId="7CA0C6E0" w14:textId="15E6ECB6" w:rsidR="00031DEE" w:rsidRPr="00D05364" w:rsidRDefault="00BD6D35" w:rsidP="00352C6F">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3EFA82CD" w14:textId="63EA81E8" w:rsidR="00031DEE" w:rsidRPr="00D05364" w:rsidRDefault="00BD6D35" w:rsidP="00352C6F">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2B78BD07" w14:textId="2BB76DF4" w:rsidR="00031DEE" w:rsidRPr="00D05364" w:rsidRDefault="00BD6D35" w:rsidP="00352C6F">
            <w:pPr>
              <w:tabs>
                <w:tab w:val="left" w:pos="567"/>
              </w:tabs>
              <w:jc w:val="both"/>
              <w:rPr>
                <w:i/>
                <w:iCs/>
                <w:lang w:eastAsia="lt-LT"/>
              </w:rPr>
            </w:pPr>
            <w:r>
              <w:rPr>
                <w:i/>
                <w:iCs/>
                <w:lang w:eastAsia="lt-LT"/>
              </w:rPr>
              <w:t>***</w:t>
            </w:r>
          </w:p>
        </w:tc>
      </w:tr>
      <w:tr w:rsidR="00031DEE" w:rsidRPr="00D05364" w14:paraId="61A6DC8C" w14:textId="77777777" w:rsidTr="00352C6F">
        <w:trPr>
          <w:jc w:val="center"/>
        </w:trPr>
        <w:tc>
          <w:tcPr>
            <w:tcW w:w="2697" w:type="dxa"/>
            <w:tcBorders>
              <w:top w:val="single" w:sz="4" w:space="0" w:color="auto"/>
              <w:bottom w:val="single" w:sz="4" w:space="0" w:color="auto"/>
            </w:tcBorders>
          </w:tcPr>
          <w:p w14:paraId="4617A5FE" w14:textId="77777777" w:rsidR="00031DEE" w:rsidRPr="00D05364" w:rsidRDefault="00031DEE" w:rsidP="00352C6F">
            <w:pPr>
              <w:tabs>
                <w:tab w:val="left" w:pos="567"/>
              </w:tabs>
              <w:rPr>
                <w:iCs/>
                <w:color w:val="000000"/>
                <w:lang w:eastAsia="lt-LT"/>
              </w:rPr>
            </w:pPr>
            <w:r w:rsidRPr="00D05364">
              <w:rPr>
                <w:iCs/>
                <w:color w:val="000000"/>
                <w:lang w:eastAsia="lt-LT"/>
              </w:rPr>
              <w:t>Vaistų administravimo ir stebėsenos kaštai</w:t>
            </w:r>
          </w:p>
        </w:tc>
        <w:tc>
          <w:tcPr>
            <w:tcW w:w="1613" w:type="dxa"/>
            <w:tcBorders>
              <w:top w:val="single" w:sz="4" w:space="0" w:color="auto"/>
              <w:bottom w:val="single" w:sz="4" w:space="0" w:color="auto"/>
            </w:tcBorders>
          </w:tcPr>
          <w:p w14:paraId="1447CFCD" w14:textId="2448CD81" w:rsidR="00031DEE" w:rsidRPr="00D05364" w:rsidRDefault="00BD6D35" w:rsidP="00352C6F">
            <w:pPr>
              <w:tabs>
                <w:tab w:val="left" w:pos="567"/>
              </w:tabs>
              <w:jc w:val="both"/>
              <w:rPr>
                <w:i/>
                <w:iCs/>
                <w:lang w:eastAsia="lt-LT"/>
              </w:rPr>
            </w:pPr>
            <w:r>
              <w:rPr>
                <w:i/>
                <w:iCs/>
                <w:lang w:eastAsia="lt-LT"/>
              </w:rPr>
              <w:t>***</w:t>
            </w:r>
          </w:p>
        </w:tc>
        <w:tc>
          <w:tcPr>
            <w:tcW w:w="2019" w:type="dxa"/>
            <w:tcBorders>
              <w:top w:val="single" w:sz="4" w:space="0" w:color="auto"/>
              <w:bottom w:val="single" w:sz="4" w:space="0" w:color="auto"/>
            </w:tcBorders>
          </w:tcPr>
          <w:p w14:paraId="21FBACBD" w14:textId="13696D58" w:rsidR="00031DEE" w:rsidRPr="00D05364" w:rsidRDefault="00BD6D35" w:rsidP="00352C6F">
            <w:pPr>
              <w:tabs>
                <w:tab w:val="left" w:pos="567"/>
              </w:tabs>
              <w:jc w:val="both"/>
              <w:rPr>
                <w:i/>
                <w:iCs/>
                <w:lang w:eastAsia="lt-LT"/>
              </w:rPr>
            </w:pPr>
            <w:r>
              <w:rPr>
                <w:i/>
                <w:iCs/>
                <w:lang w:eastAsia="lt-LT"/>
              </w:rPr>
              <w:t>***</w:t>
            </w:r>
          </w:p>
        </w:tc>
        <w:tc>
          <w:tcPr>
            <w:tcW w:w="3579" w:type="dxa"/>
            <w:tcBorders>
              <w:top w:val="single" w:sz="4" w:space="0" w:color="auto"/>
              <w:bottom w:val="single" w:sz="4" w:space="0" w:color="auto"/>
            </w:tcBorders>
          </w:tcPr>
          <w:p w14:paraId="4F1E8A27" w14:textId="7A4FC463" w:rsidR="00031DEE" w:rsidRPr="00D05364" w:rsidRDefault="00BD6D35" w:rsidP="00352C6F">
            <w:pPr>
              <w:tabs>
                <w:tab w:val="left" w:pos="567"/>
              </w:tabs>
              <w:jc w:val="both"/>
              <w:rPr>
                <w:i/>
                <w:iCs/>
                <w:lang w:eastAsia="lt-LT"/>
              </w:rPr>
            </w:pPr>
            <w:r>
              <w:rPr>
                <w:i/>
                <w:iCs/>
                <w:lang w:eastAsia="lt-LT"/>
              </w:rPr>
              <w:t>***</w:t>
            </w:r>
          </w:p>
        </w:tc>
      </w:tr>
      <w:tr w:rsidR="00031DEE" w:rsidRPr="00D05364" w14:paraId="216B3DEF" w14:textId="77777777" w:rsidTr="00352C6F">
        <w:trPr>
          <w:jc w:val="center"/>
        </w:trPr>
        <w:tc>
          <w:tcPr>
            <w:tcW w:w="2697" w:type="dxa"/>
            <w:tcBorders>
              <w:top w:val="single" w:sz="4" w:space="0" w:color="auto"/>
              <w:bottom w:val="single" w:sz="12" w:space="0" w:color="auto"/>
            </w:tcBorders>
          </w:tcPr>
          <w:p w14:paraId="5967D3A7" w14:textId="77777777" w:rsidR="00031DEE" w:rsidRPr="00D05364" w:rsidRDefault="00031DEE" w:rsidP="00352C6F">
            <w:pPr>
              <w:tabs>
                <w:tab w:val="left" w:pos="567"/>
              </w:tabs>
              <w:jc w:val="both"/>
              <w:rPr>
                <w:iCs/>
                <w:lang w:eastAsia="lt-LT"/>
              </w:rPr>
            </w:pPr>
            <w:r w:rsidRPr="00D05364">
              <w:rPr>
                <w:iCs/>
                <w:lang w:eastAsia="lt-LT"/>
              </w:rPr>
              <w:t>Kita</w:t>
            </w:r>
          </w:p>
        </w:tc>
        <w:tc>
          <w:tcPr>
            <w:tcW w:w="1613" w:type="dxa"/>
            <w:tcBorders>
              <w:top w:val="single" w:sz="4" w:space="0" w:color="auto"/>
              <w:bottom w:val="single" w:sz="12" w:space="0" w:color="auto"/>
            </w:tcBorders>
          </w:tcPr>
          <w:p w14:paraId="7F2FA3FA" w14:textId="5F17E177" w:rsidR="00031DEE" w:rsidRPr="002F2141" w:rsidRDefault="00BD6D35" w:rsidP="00352C6F">
            <w:pPr>
              <w:tabs>
                <w:tab w:val="left" w:pos="567"/>
              </w:tabs>
              <w:jc w:val="both"/>
              <w:rPr>
                <w:i/>
                <w:iCs/>
                <w:lang w:eastAsia="lt-LT"/>
              </w:rPr>
            </w:pPr>
            <w:r w:rsidRPr="002F2141">
              <w:rPr>
                <w:i/>
                <w:iCs/>
                <w:lang w:eastAsia="lt-LT"/>
              </w:rPr>
              <w:t>***</w:t>
            </w:r>
          </w:p>
        </w:tc>
        <w:tc>
          <w:tcPr>
            <w:tcW w:w="2019" w:type="dxa"/>
            <w:tcBorders>
              <w:top w:val="single" w:sz="4" w:space="0" w:color="auto"/>
              <w:bottom w:val="single" w:sz="12" w:space="0" w:color="auto"/>
            </w:tcBorders>
          </w:tcPr>
          <w:p w14:paraId="61B2A6C1" w14:textId="0A8152E8" w:rsidR="00031DEE" w:rsidRPr="002F2141" w:rsidRDefault="00BD6D35" w:rsidP="00352C6F">
            <w:pPr>
              <w:tabs>
                <w:tab w:val="left" w:pos="567"/>
              </w:tabs>
              <w:jc w:val="both"/>
              <w:rPr>
                <w:i/>
                <w:iCs/>
                <w:lang w:eastAsia="lt-LT"/>
              </w:rPr>
            </w:pPr>
            <w:r w:rsidRPr="002F2141">
              <w:rPr>
                <w:i/>
                <w:iCs/>
                <w:lang w:eastAsia="lt-LT"/>
              </w:rPr>
              <w:t>***</w:t>
            </w:r>
          </w:p>
        </w:tc>
        <w:tc>
          <w:tcPr>
            <w:tcW w:w="3579" w:type="dxa"/>
            <w:tcBorders>
              <w:top w:val="single" w:sz="4" w:space="0" w:color="auto"/>
              <w:bottom w:val="single" w:sz="12" w:space="0" w:color="auto"/>
            </w:tcBorders>
          </w:tcPr>
          <w:p w14:paraId="1DB41A8C" w14:textId="7F3EB335" w:rsidR="00031DEE" w:rsidRPr="002F2141" w:rsidRDefault="00BD6D35" w:rsidP="00352C6F">
            <w:pPr>
              <w:tabs>
                <w:tab w:val="left" w:pos="567"/>
              </w:tabs>
              <w:jc w:val="both"/>
              <w:rPr>
                <w:i/>
                <w:iCs/>
                <w:lang w:eastAsia="lt-LT"/>
              </w:rPr>
            </w:pPr>
            <w:r w:rsidRPr="002F2141">
              <w:rPr>
                <w:i/>
                <w:iCs/>
                <w:lang w:eastAsia="lt-LT"/>
              </w:rPr>
              <w:t>***</w:t>
            </w:r>
          </w:p>
        </w:tc>
      </w:tr>
      <w:tr w:rsidR="00031DEE" w:rsidRPr="00D05364" w14:paraId="1E9FD136" w14:textId="77777777" w:rsidTr="00352C6F">
        <w:trPr>
          <w:jc w:val="center"/>
        </w:trPr>
        <w:tc>
          <w:tcPr>
            <w:tcW w:w="9908" w:type="dxa"/>
            <w:gridSpan w:val="4"/>
            <w:tcBorders>
              <w:top w:val="single" w:sz="12" w:space="0" w:color="auto"/>
              <w:bottom w:val="single" w:sz="4" w:space="0" w:color="auto"/>
            </w:tcBorders>
          </w:tcPr>
          <w:p w14:paraId="2A33C1D5" w14:textId="77777777" w:rsidR="00031DEE" w:rsidRPr="00D05364" w:rsidRDefault="00031DEE" w:rsidP="00352C6F">
            <w:pPr>
              <w:tabs>
                <w:tab w:val="left" w:pos="567"/>
              </w:tabs>
              <w:jc w:val="center"/>
              <w:rPr>
                <w:iCs/>
                <w:lang w:eastAsia="lt-LT"/>
              </w:rPr>
            </w:pPr>
            <w:r w:rsidRPr="00D05364">
              <w:rPr>
                <w:lang w:eastAsia="lt-LT"/>
              </w:rPr>
              <w:t>Papildomi gyvenimo metai (LY)</w:t>
            </w:r>
          </w:p>
        </w:tc>
      </w:tr>
      <w:tr w:rsidR="00031DEE" w:rsidRPr="00D05364" w14:paraId="37474D66" w14:textId="77777777" w:rsidTr="00352C6F">
        <w:trPr>
          <w:jc w:val="center"/>
        </w:trPr>
        <w:tc>
          <w:tcPr>
            <w:tcW w:w="2697" w:type="dxa"/>
            <w:tcBorders>
              <w:top w:val="single" w:sz="4" w:space="0" w:color="auto"/>
              <w:bottom w:val="single" w:sz="4" w:space="0" w:color="auto"/>
            </w:tcBorders>
          </w:tcPr>
          <w:p w14:paraId="7429CD5F" w14:textId="77777777" w:rsidR="00031DEE" w:rsidRPr="00D05364" w:rsidRDefault="00031DEE" w:rsidP="00352C6F">
            <w:pPr>
              <w:tabs>
                <w:tab w:val="left" w:pos="567"/>
              </w:tabs>
              <w:jc w:val="both"/>
              <w:rPr>
                <w:lang w:eastAsia="lt-LT"/>
              </w:rPr>
            </w:pPr>
            <w:r>
              <w:rPr>
                <w:i/>
                <w:iCs/>
                <w:lang w:eastAsia="lt-LT"/>
              </w:rPr>
              <w:t>Cemiplimabas</w:t>
            </w:r>
          </w:p>
        </w:tc>
        <w:tc>
          <w:tcPr>
            <w:tcW w:w="3632" w:type="dxa"/>
            <w:gridSpan w:val="2"/>
            <w:tcBorders>
              <w:top w:val="single" w:sz="4" w:space="0" w:color="auto"/>
              <w:bottom w:val="single" w:sz="4" w:space="0" w:color="auto"/>
            </w:tcBorders>
          </w:tcPr>
          <w:p w14:paraId="02B89DAB" w14:textId="104E2B72" w:rsidR="00031DEE" w:rsidRPr="00D05364" w:rsidRDefault="0073214D" w:rsidP="00352C6F">
            <w:pPr>
              <w:tabs>
                <w:tab w:val="left" w:pos="567"/>
              </w:tabs>
              <w:jc w:val="both"/>
              <w:rPr>
                <w:i/>
                <w:iCs/>
                <w:lang w:eastAsia="lt-LT"/>
              </w:rPr>
            </w:pPr>
            <w:r>
              <w:rPr>
                <w:i/>
                <w:iCs/>
                <w:lang w:eastAsia="lt-LT"/>
              </w:rPr>
              <w:t>***</w:t>
            </w:r>
          </w:p>
        </w:tc>
        <w:tc>
          <w:tcPr>
            <w:tcW w:w="3579" w:type="dxa"/>
            <w:vMerge w:val="restart"/>
            <w:tcBorders>
              <w:top w:val="single" w:sz="4" w:space="0" w:color="auto"/>
            </w:tcBorders>
          </w:tcPr>
          <w:p w14:paraId="7F8548D0" w14:textId="4F00F776" w:rsidR="00031DEE" w:rsidRPr="00D05364" w:rsidRDefault="00031DEE" w:rsidP="00352C6F">
            <w:pPr>
              <w:tabs>
                <w:tab w:val="left" w:pos="567"/>
              </w:tabs>
              <w:jc w:val="both"/>
              <w:rPr>
                <w:lang w:eastAsia="lt-LT"/>
              </w:rPr>
            </w:pPr>
            <w:r w:rsidRPr="00D05364">
              <w:rPr>
                <w:lang w:eastAsia="lt-LT"/>
              </w:rPr>
              <w:t>Skirtumas:</w:t>
            </w:r>
            <w:r>
              <w:rPr>
                <w:lang w:eastAsia="lt-LT"/>
              </w:rPr>
              <w:t xml:space="preserve"> </w:t>
            </w:r>
            <w:r w:rsidR="0073214D">
              <w:rPr>
                <w:lang w:eastAsia="lt-LT"/>
              </w:rPr>
              <w:t>***</w:t>
            </w:r>
          </w:p>
        </w:tc>
      </w:tr>
      <w:tr w:rsidR="00031DEE" w:rsidRPr="00D05364" w14:paraId="732C89CC" w14:textId="77777777" w:rsidTr="00352C6F">
        <w:trPr>
          <w:jc w:val="center"/>
        </w:trPr>
        <w:tc>
          <w:tcPr>
            <w:tcW w:w="2697" w:type="dxa"/>
            <w:tcBorders>
              <w:top w:val="single" w:sz="4" w:space="0" w:color="auto"/>
              <w:bottom w:val="single" w:sz="12" w:space="0" w:color="auto"/>
            </w:tcBorders>
          </w:tcPr>
          <w:p w14:paraId="457119F2" w14:textId="77777777" w:rsidR="00031DEE" w:rsidRPr="00D05364" w:rsidRDefault="00031DEE" w:rsidP="00352C6F">
            <w:pPr>
              <w:tabs>
                <w:tab w:val="left" w:pos="567"/>
              </w:tabs>
              <w:jc w:val="both"/>
              <w:rPr>
                <w:lang w:eastAsia="lt-LT"/>
              </w:rPr>
            </w:pPr>
            <w:r>
              <w:rPr>
                <w:i/>
                <w:iCs/>
                <w:lang w:eastAsia="lt-LT"/>
              </w:rPr>
              <w:t>Chemoterapija</w:t>
            </w:r>
          </w:p>
        </w:tc>
        <w:tc>
          <w:tcPr>
            <w:tcW w:w="3632" w:type="dxa"/>
            <w:gridSpan w:val="2"/>
            <w:tcBorders>
              <w:top w:val="single" w:sz="4" w:space="0" w:color="auto"/>
              <w:bottom w:val="single" w:sz="12" w:space="0" w:color="auto"/>
            </w:tcBorders>
          </w:tcPr>
          <w:p w14:paraId="1EFD353A" w14:textId="2C76FDD1" w:rsidR="00031DEE" w:rsidRPr="00D05364" w:rsidRDefault="009600F9" w:rsidP="00352C6F">
            <w:pPr>
              <w:tabs>
                <w:tab w:val="left" w:pos="567"/>
              </w:tabs>
              <w:jc w:val="both"/>
              <w:rPr>
                <w:i/>
                <w:iCs/>
                <w:lang w:eastAsia="lt-LT"/>
              </w:rPr>
            </w:pPr>
            <w:r>
              <w:rPr>
                <w:i/>
                <w:iCs/>
                <w:lang w:eastAsia="lt-LT"/>
              </w:rPr>
              <w:t>***</w:t>
            </w:r>
          </w:p>
        </w:tc>
        <w:tc>
          <w:tcPr>
            <w:tcW w:w="3579" w:type="dxa"/>
            <w:vMerge/>
            <w:tcBorders>
              <w:bottom w:val="single" w:sz="12" w:space="0" w:color="auto"/>
            </w:tcBorders>
          </w:tcPr>
          <w:p w14:paraId="72EFC384" w14:textId="77777777" w:rsidR="00031DEE" w:rsidRPr="00D05364" w:rsidRDefault="00031DEE" w:rsidP="00352C6F">
            <w:pPr>
              <w:tabs>
                <w:tab w:val="left" w:pos="567"/>
              </w:tabs>
              <w:jc w:val="both"/>
              <w:rPr>
                <w:i/>
                <w:iCs/>
                <w:lang w:eastAsia="lt-LT"/>
              </w:rPr>
            </w:pPr>
          </w:p>
        </w:tc>
      </w:tr>
      <w:tr w:rsidR="00031DEE" w:rsidRPr="00D05364" w14:paraId="77D7E841" w14:textId="77777777" w:rsidTr="00352C6F">
        <w:trPr>
          <w:jc w:val="center"/>
        </w:trPr>
        <w:tc>
          <w:tcPr>
            <w:tcW w:w="9908" w:type="dxa"/>
            <w:gridSpan w:val="4"/>
            <w:tcBorders>
              <w:top w:val="single" w:sz="12" w:space="0" w:color="auto"/>
              <w:bottom w:val="single" w:sz="4" w:space="0" w:color="auto"/>
            </w:tcBorders>
          </w:tcPr>
          <w:p w14:paraId="0EAF5837" w14:textId="77777777" w:rsidR="00031DEE" w:rsidRPr="00D05364" w:rsidRDefault="00031DEE" w:rsidP="00352C6F">
            <w:pPr>
              <w:tabs>
                <w:tab w:val="left" w:pos="567"/>
              </w:tabs>
              <w:jc w:val="center"/>
              <w:rPr>
                <w:iCs/>
                <w:lang w:eastAsia="lt-LT"/>
              </w:rPr>
            </w:pPr>
            <w:r w:rsidRPr="00D05364">
              <w:rPr>
                <w:lang w:eastAsia="lt-LT"/>
              </w:rPr>
              <w:t>Kokybiški gyvenimo metai (QALY)</w:t>
            </w:r>
          </w:p>
        </w:tc>
      </w:tr>
      <w:tr w:rsidR="00031DEE" w:rsidRPr="00D05364" w14:paraId="2A275819" w14:textId="77777777" w:rsidTr="00352C6F">
        <w:trPr>
          <w:jc w:val="center"/>
        </w:trPr>
        <w:tc>
          <w:tcPr>
            <w:tcW w:w="2697" w:type="dxa"/>
            <w:tcBorders>
              <w:top w:val="single" w:sz="4" w:space="0" w:color="auto"/>
              <w:bottom w:val="single" w:sz="4" w:space="0" w:color="auto"/>
            </w:tcBorders>
          </w:tcPr>
          <w:p w14:paraId="30F6013F" w14:textId="77777777" w:rsidR="00031DEE" w:rsidRPr="00D05364" w:rsidRDefault="00031DEE" w:rsidP="00352C6F">
            <w:pPr>
              <w:tabs>
                <w:tab w:val="left" w:pos="567"/>
              </w:tabs>
              <w:jc w:val="both"/>
              <w:rPr>
                <w:iCs/>
                <w:lang w:eastAsia="lt-LT"/>
              </w:rPr>
            </w:pPr>
            <w:r>
              <w:rPr>
                <w:i/>
                <w:iCs/>
                <w:lang w:eastAsia="lt-LT"/>
              </w:rPr>
              <w:t>Cemiplimabas</w:t>
            </w:r>
          </w:p>
        </w:tc>
        <w:tc>
          <w:tcPr>
            <w:tcW w:w="3632" w:type="dxa"/>
            <w:gridSpan w:val="2"/>
            <w:tcBorders>
              <w:top w:val="single" w:sz="4" w:space="0" w:color="auto"/>
              <w:bottom w:val="single" w:sz="4" w:space="0" w:color="auto"/>
            </w:tcBorders>
          </w:tcPr>
          <w:p w14:paraId="689A9CA2" w14:textId="185ECD1B" w:rsidR="00031DEE" w:rsidRPr="00D05364" w:rsidRDefault="0073214D" w:rsidP="00352C6F">
            <w:pPr>
              <w:tabs>
                <w:tab w:val="left" w:pos="567"/>
              </w:tabs>
              <w:jc w:val="both"/>
              <w:rPr>
                <w:i/>
                <w:iCs/>
                <w:lang w:eastAsia="lt-LT"/>
              </w:rPr>
            </w:pPr>
            <w:r>
              <w:rPr>
                <w:i/>
                <w:iCs/>
                <w:lang w:eastAsia="lt-LT"/>
              </w:rPr>
              <w:t>***</w:t>
            </w:r>
          </w:p>
        </w:tc>
        <w:tc>
          <w:tcPr>
            <w:tcW w:w="3579" w:type="dxa"/>
            <w:vMerge w:val="restart"/>
            <w:tcBorders>
              <w:top w:val="single" w:sz="4" w:space="0" w:color="auto"/>
            </w:tcBorders>
          </w:tcPr>
          <w:p w14:paraId="0E77EF63" w14:textId="41AF7D78" w:rsidR="00031DEE" w:rsidRPr="00D05364" w:rsidRDefault="00031DEE" w:rsidP="00352C6F">
            <w:pPr>
              <w:tabs>
                <w:tab w:val="left" w:pos="567"/>
              </w:tabs>
              <w:jc w:val="both"/>
              <w:rPr>
                <w:lang w:eastAsia="lt-LT"/>
              </w:rPr>
            </w:pPr>
            <w:r w:rsidRPr="00D05364">
              <w:rPr>
                <w:lang w:eastAsia="lt-LT"/>
              </w:rPr>
              <w:t xml:space="preserve">Skirtumas: </w:t>
            </w:r>
            <w:r w:rsidR="0073214D">
              <w:rPr>
                <w:lang w:eastAsia="lt-LT"/>
              </w:rPr>
              <w:t>***</w:t>
            </w:r>
          </w:p>
        </w:tc>
      </w:tr>
      <w:tr w:rsidR="00031DEE" w:rsidRPr="00D05364" w14:paraId="3ED7728D" w14:textId="77777777" w:rsidTr="00352C6F">
        <w:trPr>
          <w:jc w:val="center"/>
        </w:trPr>
        <w:tc>
          <w:tcPr>
            <w:tcW w:w="2697" w:type="dxa"/>
            <w:tcBorders>
              <w:top w:val="single" w:sz="4" w:space="0" w:color="auto"/>
              <w:bottom w:val="single" w:sz="12" w:space="0" w:color="auto"/>
            </w:tcBorders>
          </w:tcPr>
          <w:p w14:paraId="426B7439" w14:textId="77777777" w:rsidR="00031DEE" w:rsidRPr="00D05364" w:rsidRDefault="00031DEE" w:rsidP="00352C6F">
            <w:pPr>
              <w:tabs>
                <w:tab w:val="left" w:pos="567"/>
              </w:tabs>
              <w:jc w:val="both"/>
              <w:rPr>
                <w:iCs/>
                <w:lang w:eastAsia="lt-LT"/>
              </w:rPr>
            </w:pPr>
            <w:r>
              <w:rPr>
                <w:i/>
                <w:iCs/>
                <w:lang w:eastAsia="lt-LT"/>
              </w:rPr>
              <w:t>Chemoterapija</w:t>
            </w:r>
          </w:p>
        </w:tc>
        <w:tc>
          <w:tcPr>
            <w:tcW w:w="3632" w:type="dxa"/>
            <w:gridSpan w:val="2"/>
            <w:tcBorders>
              <w:top w:val="single" w:sz="4" w:space="0" w:color="auto"/>
              <w:bottom w:val="single" w:sz="12" w:space="0" w:color="auto"/>
            </w:tcBorders>
          </w:tcPr>
          <w:p w14:paraId="2F5690F0" w14:textId="06BDB95F" w:rsidR="00031DEE" w:rsidRPr="00D05364" w:rsidRDefault="0073214D" w:rsidP="00352C6F">
            <w:pPr>
              <w:tabs>
                <w:tab w:val="left" w:pos="567"/>
              </w:tabs>
              <w:jc w:val="both"/>
              <w:rPr>
                <w:i/>
                <w:iCs/>
                <w:lang w:eastAsia="lt-LT"/>
              </w:rPr>
            </w:pPr>
            <w:r>
              <w:rPr>
                <w:i/>
                <w:iCs/>
                <w:lang w:eastAsia="lt-LT"/>
              </w:rPr>
              <w:t>***</w:t>
            </w:r>
          </w:p>
        </w:tc>
        <w:tc>
          <w:tcPr>
            <w:tcW w:w="3579" w:type="dxa"/>
            <w:vMerge/>
            <w:tcBorders>
              <w:bottom w:val="single" w:sz="12" w:space="0" w:color="auto"/>
            </w:tcBorders>
          </w:tcPr>
          <w:p w14:paraId="2703260C" w14:textId="77777777" w:rsidR="00031DEE" w:rsidRPr="00D05364" w:rsidRDefault="00031DEE" w:rsidP="00352C6F">
            <w:pPr>
              <w:tabs>
                <w:tab w:val="left" w:pos="567"/>
              </w:tabs>
              <w:jc w:val="both"/>
              <w:rPr>
                <w:i/>
                <w:iCs/>
                <w:lang w:eastAsia="lt-LT"/>
              </w:rPr>
            </w:pPr>
          </w:p>
        </w:tc>
      </w:tr>
      <w:tr w:rsidR="00031DEE" w:rsidRPr="00D05364" w14:paraId="74C85652" w14:textId="77777777" w:rsidTr="00352C6F">
        <w:trPr>
          <w:trHeight w:val="347"/>
          <w:jc w:val="center"/>
        </w:trPr>
        <w:tc>
          <w:tcPr>
            <w:tcW w:w="9908" w:type="dxa"/>
            <w:gridSpan w:val="4"/>
            <w:tcBorders>
              <w:top w:val="single" w:sz="12" w:space="0" w:color="auto"/>
            </w:tcBorders>
            <w:vAlign w:val="center"/>
          </w:tcPr>
          <w:p w14:paraId="6A525D0B" w14:textId="77777777" w:rsidR="00031DEE" w:rsidRPr="00D05364" w:rsidRDefault="00031DEE" w:rsidP="00352C6F">
            <w:pPr>
              <w:tabs>
                <w:tab w:val="left" w:pos="567"/>
              </w:tabs>
              <w:jc w:val="center"/>
              <w:rPr>
                <w:b/>
                <w:bCs/>
                <w:sz w:val="26"/>
                <w:szCs w:val="26"/>
                <w:lang w:eastAsia="lt-LT"/>
              </w:rPr>
            </w:pPr>
            <w:r w:rsidRPr="00D05364">
              <w:rPr>
                <w:b/>
                <w:bCs/>
                <w:sz w:val="26"/>
                <w:szCs w:val="26"/>
                <w:lang w:eastAsia="lt-LT"/>
              </w:rPr>
              <w:t>Rezultatai</w:t>
            </w:r>
          </w:p>
        </w:tc>
      </w:tr>
      <w:tr w:rsidR="00031DEE" w:rsidRPr="00D05364" w14:paraId="790DFC04" w14:textId="77777777" w:rsidTr="00352C6F">
        <w:trPr>
          <w:jc w:val="center"/>
        </w:trPr>
        <w:tc>
          <w:tcPr>
            <w:tcW w:w="6329" w:type="dxa"/>
            <w:gridSpan w:val="3"/>
          </w:tcPr>
          <w:p w14:paraId="44A47423" w14:textId="77777777" w:rsidR="00031DEE" w:rsidRPr="00D05364" w:rsidRDefault="00031DEE" w:rsidP="00352C6F">
            <w:pPr>
              <w:tabs>
                <w:tab w:val="left" w:pos="567"/>
              </w:tabs>
              <w:jc w:val="right"/>
              <w:rPr>
                <w:iCs/>
                <w:lang w:eastAsia="lt-LT"/>
              </w:rPr>
            </w:pPr>
            <w:r w:rsidRPr="00D05364">
              <w:rPr>
                <w:iCs/>
                <w:lang w:eastAsia="lt-LT"/>
              </w:rPr>
              <w:t>ICER už LY</w:t>
            </w:r>
          </w:p>
        </w:tc>
        <w:tc>
          <w:tcPr>
            <w:tcW w:w="3579" w:type="dxa"/>
          </w:tcPr>
          <w:p w14:paraId="74082F5D" w14:textId="20E3B272" w:rsidR="00031DEE" w:rsidRPr="0073214D" w:rsidRDefault="0073214D" w:rsidP="00352C6F">
            <w:pPr>
              <w:tabs>
                <w:tab w:val="left" w:pos="567"/>
              </w:tabs>
              <w:jc w:val="both"/>
              <w:rPr>
                <w:i/>
                <w:iCs/>
                <w:lang w:eastAsia="lt-LT"/>
              </w:rPr>
            </w:pPr>
            <w:r w:rsidRPr="0073214D">
              <w:rPr>
                <w:i/>
                <w:iCs/>
                <w:lang w:eastAsia="lt-LT"/>
              </w:rPr>
              <w:t xml:space="preserve">*** </w:t>
            </w:r>
            <w:r w:rsidR="00031DEE" w:rsidRPr="0073214D">
              <w:rPr>
                <w:i/>
                <w:iCs/>
                <w:lang w:eastAsia="lt-LT"/>
              </w:rPr>
              <w:t>eur/LY</w:t>
            </w:r>
          </w:p>
        </w:tc>
      </w:tr>
      <w:tr w:rsidR="00031DEE" w:rsidRPr="00D05364" w14:paraId="22268357" w14:textId="77777777" w:rsidTr="00352C6F">
        <w:trPr>
          <w:jc w:val="center"/>
        </w:trPr>
        <w:tc>
          <w:tcPr>
            <w:tcW w:w="6329" w:type="dxa"/>
            <w:gridSpan w:val="3"/>
          </w:tcPr>
          <w:p w14:paraId="288A21C3" w14:textId="77777777" w:rsidR="00031DEE" w:rsidRPr="00D05364" w:rsidRDefault="00031DEE" w:rsidP="00352C6F">
            <w:pPr>
              <w:tabs>
                <w:tab w:val="left" w:pos="567"/>
              </w:tabs>
              <w:jc w:val="right"/>
              <w:rPr>
                <w:iCs/>
                <w:lang w:eastAsia="lt-LT"/>
              </w:rPr>
            </w:pPr>
            <w:r w:rsidRPr="00D05364">
              <w:rPr>
                <w:iCs/>
                <w:lang w:eastAsia="lt-LT"/>
              </w:rPr>
              <w:t>ICER už QALY</w:t>
            </w:r>
          </w:p>
        </w:tc>
        <w:tc>
          <w:tcPr>
            <w:tcW w:w="3579" w:type="dxa"/>
          </w:tcPr>
          <w:p w14:paraId="563DF680" w14:textId="45C6BE73" w:rsidR="00031DEE" w:rsidRPr="0073214D" w:rsidRDefault="0073214D" w:rsidP="00352C6F">
            <w:pPr>
              <w:tabs>
                <w:tab w:val="left" w:pos="567"/>
              </w:tabs>
              <w:jc w:val="both"/>
              <w:rPr>
                <w:i/>
                <w:iCs/>
                <w:lang w:eastAsia="lt-LT"/>
              </w:rPr>
            </w:pPr>
            <w:r w:rsidRPr="0073214D">
              <w:rPr>
                <w:i/>
                <w:iCs/>
                <w:lang w:eastAsia="lt-LT"/>
              </w:rPr>
              <w:t>*</w:t>
            </w:r>
            <w:r w:rsidR="00285ED3">
              <w:rPr>
                <w:i/>
                <w:iCs/>
                <w:lang w:eastAsia="lt-LT"/>
              </w:rPr>
              <w:t>**</w:t>
            </w:r>
            <w:r w:rsidR="00031DEE" w:rsidRPr="0073214D">
              <w:rPr>
                <w:i/>
                <w:iCs/>
                <w:lang w:eastAsia="lt-LT"/>
              </w:rPr>
              <w:t xml:space="preserve"> eur/QALY</w:t>
            </w:r>
          </w:p>
        </w:tc>
      </w:tr>
      <w:tr w:rsidR="00031DEE" w:rsidRPr="00D05364" w14:paraId="6AF371C5" w14:textId="77777777" w:rsidTr="00352C6F">
        <w:trPr>
          <w:jc w:val="center"/>
        </w:trPr>
        <w:tc>
          <w:tcPr>
            <w:tcW w:w="6329" w:type="dxa"/>
            <w:gridSpan w:val="3"/>
          </w:tcPr>
          <w:p w14:paraId="3A89573B" w14:textId="77777777" w:rsidR="00031DEE" w:rsidRPr="00D05364" w:rsidRDefault="00031DEE" w:rsidP="00352C6F">
            <w:pPr>
              <w:tabs>
                <w:tab w:val="left" w:pos="567"/>
              </w:tabs>
              <w:jc w:val="right"/>
              <w:rPr>
                <w:iCs/>
                <w:lang w:eastAsia="lt-LT"/>
              </w:rPr>
            </w:pPr>
            <w:r w:rsidRPr="00D05364">
              <w:rPr>
                <w:iCs/>
                <w:lang w:eastAsia="lt-LT"/>
              </w:rPr>
              <w:t>Referencinė kaštų naudingumo vertė</w:t>
            </w:r>
          </w:p>
        </w:tc>
        <w:tc>
          <w:tcPr>
            <w:tcW w:w="3579" w:type="dxa"/>
          </w:tcPr>
          <w:p w14:paraId="41E435DF" w14:textId="30115EA0" w:rsidR="00031DEE" w:rsidRPr="00D05364" w:rsidRDefault="0073214D" w:rsidP="00352C6F">
            <w:pPr>
              <w:tabs>
                <w:tab w:val="left" w:pos="567"/>
              </w:tabs>
              <w:jc w:val="both"/>
              <w:rPr>
                <w:i/>
                <w:iCs/>
                <w:lang w:eastAsia="lt-LT"/>
              </w:rPr>
            </w:pPr>
            <w:r>
              <w:rPr>
                <w:i/>
                <w:iCs/>
                <w:lang w:eastAsia="lt-LT"/>
              </w:rPr>
              <w:t>*</w:t>
            </w:r>
            <w:r w:rsidR="00285ED3">
              <w:rPr>
                <w:i/>
                <w:iCs/>
                <w:lang w:eastAsia="lt-LT"/>
              </w:rPr>
              <w:t>**</w:t>
            </w:r>
            <w:r w:rsidR="00031DEE">
              <w:rPr>
                <w:i/>
                <w:iCs/>
                <w:lang w:eastAsia="lt-LT"/>
              </w:rPr>
              <w:t xml:space="preserve"> eur/QALY</w:t>
            </w:r>
          </w:p>
        </w:tc>
      </w:tr>
    </w:tbl>
    <w:p w14:paraId="18607087" w14:textId="77777777" w:rsidR="00031DEE" w:rsidRPr="00D05364" w:rsidRDefault="00031DEE" w:rsidP="00031DEE">
      <w:pPr>
        <w:tabs>
          <w:tab w:val="left" w:pos="567"/>
        </w:tabs>
        <w:jc w:val="both"/>
        <w:rPr>
          <w:iCs/>
          <w:sz w:val="20"/>
          <w:lang w:eastAsia="lt-LT"/>
        </w:rPr>
      </w:pPr>
      <w:r w:rsidRPr="00D05364">
        <w:rPr>
          <w:iCs/>
          <w:sz w:val="20"/>
          <w:lang w:eastAsia="lt-LT"/>
        </w:rPr>
        <w:t>ICER – (</w:t>
      </w:r>
      <w:r w:rsidRPr="00D05364">
        <w:rPr>
          <w:i/>
          <w:sz w:val="20"/>
          <w:lang w:eastAsia="lt-LT"/>
        </w:rPr>
        <w:t>angl. incremental cost-effectiveness ratio</w:t>
      </w:r>
      <w:r w:rsidRPr="00D05364">
        <w:rPr>
          <w:iCs/>
          <w:sz w:val="20"/>
          <w:lang w:eastAsia="lt-LT"/>
        </w:rPr>
        <w:t>) inkrementinis kaštų naudingumo koeficientas; LY – (</w:t>
      </w:r>
      <w:r w:rsidRPr="00D05364">
        <w:rPr>
          <w:i/>
          <w:sz w:val="20"/>
          <w:lang w:eastAsia="lt-LT"/>
        </w:rPr>
        <w:t>angl. life years</w:t>
      </w:r>
      <w:r w:rsidRPr="00D05364">
        <w:rPr>
          <w:iCs/>
          <w:sz w:val="20"/>
          <w:lang w:eastAsia="lt-LT"/>
        </w:rPr>
        <w:t>) gyvenimo metai; QALY- (</w:t>
      </w:r>
      <w:r w:rsidRPr="00D05364">
        <w:rPr>
          <w:i/>
          <w:sz w:val="20"/>
          <w:lang w:eastAsia="lt-LT"/>
        </w:rPr>
        <w:t xml:space="preserve">angl. quality adjusted life years) </w:t>
      </w:r>
      <w:r w:rsidRPr="00D05364">
        <w:rPr>
          <w:iCs/>
          <w:sz w:val="20"/>
          <w:lang w:eastAsia="lt-LT"/>
        </w:rPr>
        <w:t>kokybiški gyvenimo metai.</w:t>
      </w:r>
    </w:p>
    <w:p w14:paraId="4450F242" w14:textId="706AA890" w:rsidR="00031DEE" w:rsidRPr="00632BB3" w:rsidRDefault="00031DEE" w:rsidP="00031DEE">
      <w:pPr>
        <w:tabs>
          <w:tab w:val="left" w:pos="426"/>
        </w:tabs>
        <w:rPr>
          <w:b/>
          <w:bCs/>
          <w:caps/>
        </w:rPr>
      </w:pPr>
    </w:p>
    <w:p w14:paraId="4FC424F9" w14:textId="4E767245" w:rsidR="00C62B36" w:rsidRPr="00632BB3" w:rsidRDefault="00C62B36" w:rsidP="00CC09D4">
      <w:pPr>
        <w:pStyle w:val="ListParagraph"/>
        <w:numPr>
          <w:ilvl w:val="0"/>
          <w:numId w:val="12"/>
        </w:numPr>
        <w:tabs>
          <w:tab w:val="left" w:pos="567"/>
        </w:tabs>
        <w:ind w:hanging="720"/>
        <w:rPr>
          <w:b/>
          <w:bCs/>
          <w:caps/>
        </w:rPr>
      </w:pPr>
      <w:r w:rsidRPr="00632BB3">
        <w:rPr>
          <w:b/>
          <w:bCs/>
          <w:caps/>
        </w:rPr>
        <w:t xml:space="preserve">Pacientų organizacijų pateikti duomenys </w:t>
      </w:r>
    </w:p>
    <w:p w14:paraId="79BCFF40" w14:textId="243CD300" w:rsidR="00937907" w:rsidRPr="00632BB3"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DF5AF3" w:rsidRPr="00632BB3">
            <w:rPr>
              <w:rStyle w:val="Style2"/>
              <w:rFonts w:ascii="MS Gothic" w:eastAsia="MS Gothic" w:hAnsi="MS Gothic"/>
              <w:sz w:val="24"/>
            </w:rPr>
            <w:t>☐</w:t>
          </w:r>
        </w:sdtContent>
      </w:sdt>
      <w:r w:rsidR="00937907" w:rsidRPr="00632BB3">
        <w:t xml:space="preserve"> Pacientų organizacijos pozicija pateikta. Žr. priedą.</w:t>
      </w:r>
    </w:p>
    <w:p w14:paraId="62992180" w14:textId="7BC88142" w:rsidR="00937907" w:rsidRPr="00632BB3"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DF5AF3" w:rsidRPr="00632BB3">
            <w:rPr>
              <w:rStyle w:val="Style2"/>
              <w:rFonts w:ascii="MS Gothic" w:eastAsia="MS Gothic" w:hAnsi="MS Gothic"/>
              <w:sz w:val="24"/>
            </w:rPr>
            <w:t>☒</w:t>
          </w:r>
        </w:sdtContent>
      </w:sdt>
      <w:r w:rsidR="00937907" w:rsidRPr="00632BB3">
        <w:t xml:space="preserve"> Pacientų organizacijos pozicija </w:t>
      </w:r>
      <w:r w:rsidR="00880A44" w:rsidRPr="00632BB3">
        <w:t>ne</w:t>
      </w:r>
      <w:r w:rsidR="00937907" w:rsidRPr="00632BB3">
        <w:t>pateikta.</w:t>
      </w:r>
    </w:p>
    <w:p w14:paraId="03E73D82" w14:textId="77777777" w:rsidR="00D417D2" w:rsidRPr="00632BB3" w:rsidRDefault="00D417D2" w:rsidP="00937907">
      <w:pPr>
        <w:spacing w:after="120"/>
        <w:jc w:val="both"/>
      </w:pPr>
    </w:p>
    <w:p w14:paraId="3D3277FA" w14:textId="3CEEB2D2" w:rsidR="00C62B36" w:rsidRPr="00632BB3" w:rsidRDefault="00C62B36" w:rsidP="00CC09D4">
      <w:pPr>
        <w:pStyle w:val="ListParagraph"/>
        <w:numPr>
          <w:ilvl w:val="0"/>
          <w:numId w:val="12"/>
        </w:numPr>
        <w:tabs>
          <w:tab w:val="left" w:pos="567"/>
        </w:tabs>
        <w:ind w:hanging="720"/>
        <w:rPr>
          <w:b/>
          <w:bCs/>
          <w:caps/>
        </w:rPr>
      </w:pPr>
      <w:r w:rsidRPr="00632BB3">
        <w:rPr>
          <w:b/>
          <w:bCs/>
          <w:caps/>
        </w:rPr>
        <w:t>Gydytojų organizacijų pateikti duomenys</w:t>
      </w:r>
    </w:p>
    <w:p w14:paraId="389A346C" w14:textId="17184B64" w:rsidR="00937907" w:rsidRPr="00632BB3"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632BB3">
            <w:rPr>
              <w:rStyle w:val="Style2"/>
              <w:rFonts w:ascii="MS Gothic" w:eastAsia="MS Gothic" w:hAnsi="MS Gothic"/>
              <w:sz w:val="24"/>
            </w:rPr>
            <w:t>☐</w:t>
          </w:r>
        </w:sdtContent>
      </w:sdt>
      <w:r w:rsidR="00662983" w:rsidRPr="00632BB3">
        <w:t xml:space="preserve"> </w:t>
      </w:r>
      <w:r w:rsidR="00937907" w:rsidRPr="00632BB3">
        <w:t xml:space="preserve">Gydytojų specialistų organizacijos pozicija pateikta. </w:t>
      </w:r>
      <w:r w:rsidR="00662983" w:rsidRPr="00632BB3">
        <w:t>Žr. priedą</w:t>
      </w:r>
      <w:r w:rsidR="00937907" w:rsidRPr="00632BB3">
        <w:t>.</w:t>
      </w:r>
    </w:p>
    <w:p w14:paraId="5D8CC48C" w14:textId="31A2C539" w:rsidR="00662983" w:rsidRPr="00632BB3"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21A99" w:rsidRPr="00632BB3">
            <w:rPr>
              <w:rStyle w:val="Style2"/>
              <w:rFonts w:ascii="MS Gothic" w:eastAsia="MS Gothic" w:hAnsi="MS Gothic"/>
              <w:sz w:val="24"/>
            </w:rPr>
            <w:t>☒</w:t>
          </w:r>
        </w:sdtContent>
      </w:sdt>
      <w:r w:rsidR="00662983" w:rsidRPr="00632BB3">
        <w:t xml:space="preserve"> </w:t>
      </w:r>
      <w:r w:rsidR="00937907" w:rsidRPr="00632BB3">
        <w:t xml:space="preserve">Gydytojų specialistų organizacijos pozicija </w:t>
      </w:r>
      <w:r w:rsidR="00880A44" w:rsidRPr="00632BB3">
        <w:t>ne</w:t>
      </w:r>
      <w:r w:rsidR="00937907" w:rsidRPr="00632BB3">
        <w:t>pateikta.</w:t>
      </w:r>
    </w:p>
    <w:p w14:paraId="3701D46A" w14:textId="77777777" w:rsidR="00A042B9" w:rsidRPr="00632BB3" w:rsidRDefault="00A042B9" w:rsidP="00662983">
      <w:pPr>
        <w:spacing w:after="120"/>
        <w:jc w:val="both"/>
      </w:pPr>
    </w:p>
    <w:p w14:paraId="78F23ECB" w14:textId="23A3A002" w:rsidR="002F0E4F" w:rsidRPr="00632BB3" w:rsidRDefault="002F0E4F" w:rsidP="00CC09D4">
      <w:pPr>
        <w:pStyle w:val="ListParagraph"/>
        <w:numPr>
          <w:ilvl w:val="0"/>
          <w:numId w:val="12"/>
        </w:numPr>
        <w:tabs>
          <w:tab w:val="left" w:pos="567"/>
        </w:tabs>
        <w:ind w:hanging="720"/>
        <w:rPr>
          <w:b/>
          <w:bCs/>
          <w:caps/>
        </w:rPr>
      </w:pPr>
      <w:r w:rsidRPr="00632BB3">
        <w:rPr>
          <w:b/>
          <w:bCs/>
          <w:caps/>
        </w:rPr>
        <w:lastRenderedPageBreak/>
        <w:t xml:space="preserve">Išvada </w:t>
      </w:r>
    </w:p>
    <w:p w14:paraId="55E76E53" w14:textId="5437B761" w:rsidR="0064249A" w:rsidRPr="00632BB3" w:rsidRDefault="0064249A" w:rsidP="0061611B">
      <w:pPr>
        <w:rPr>
          <w:i/>
          <w:szCs w:val="22"/>
        </w:rPr>
      </w:pPr>
    </w:p>
    <w:tbl>
      <w:tblPr>
        <w:tblStyle w:val="TableGrid"/>
        <w:tblW w:w="0" w:type="auto"/>
        <w:tblLook w:val="04A0" w:firstRow="1" w:lastRow="0" w:firstColumn="1" w:lastColumn="0" w:noHBand="0" w:noVBand="1"/>
      </w:tblPr>
      <w:tblGrid>
        <w:gridCol w:w="4815"/>
        <w:gridCol w:w="4814"/>
      </w:tblGrid>
      <w:tr w:rsidR="000203E1" w:rsidRPr="00632BB3" w14:paraId="143A7356" w14:textId="77777777" w:rsidTr="00C16245">
        <w:trPr>
          <w:trHeight w:val="510"/>
        </w:trPr>
        <w:tc>
          <w:tcPr>
            <w:tcW w:w="9629" w:type="dxa"/>
            <w:gridSpan w:val="2"/>
            <w:vAlign w:val="center"/>
          </w:tcPr>
          <w:p w14:paraId="0AF5D6B4" w14:textId="12D1C777" w:rsidR="00B13D65" w:rsidRPr="00632BB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656"/>
            <w:r w:rsidRPr="00632BB3">
              <w:rPr>
                <w:rStyle w:val="Style2"/>
                <w:rFonts w:eastAsia="MS Gothic"/>
                <w:b/>
                <w:bCs/>
                <w:sz w:val="24"/>
              </w:rPr>
              <w:t xml:space="preserve">Palyginamasis </w:t>
            </w:r>
            <w:r w:rsidR="001C1D94" w:rsidRPr="00632BB3">
              <w:rPr>
                <w:rStyle w:val="Style2"/>
                <w:rFonts w:eastAsia="MS Gothic"/>
                <w:b/>
                <w:bCs/>
                <w:sz w:val="24"/>
              </w:rPr>
              <w:t>veiksmingumas</w:t>
            </w:r>
          </w:p>
        </w:tc>
      </w:tr>
      <w:tr w:rsidR="000203E1" w:rsidRPr="00632BB3" w14:paraId="28A0C814" w14:textId="77777777" w:rsidTr="0061611B">
        <w:tc>
          <w:tcPr>
            <w:tcW w:w="4815" w:type="dxa"/>
          </w:tcPr>
          <w:p w14:paraId="216769B5" w14:textId="05982DF4" w:rsidR="00B13D65" w:rsidRPr="00632BB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1D6782">
                  <w:rPr>
                    <w:rStyle w:val="Style2"/>
                    <w:rFonts w:ascii="MS Gothic" w:eastAsia="MS Gothic" w:hAnsi="MS Gothic" w:hint="eastAsia"/>
                    <w:sz w:val="24"/>
                  </w:rPr>
                  <w:t>☒</w:t>
                </w:r>
              </w:sdtContent>
            </w:sdt>
            <w:r w:rsidR="001C1D94" w:rsidRPr="00632BB3">
              <w:rPr>
                <w:rStyle w:val="Style2"/>
                <w:sz w:val="24"/>
              </w:rPr>
              <w:t xml:space="preserve"> 29</w:t>
            </w:r>
            <w:r w:rsidR="00B13D65" w:rsidRPr="00632BB3">
              <w:t>.1.</w:t>
            </w:r>
            <w:r w:rsidR="001C1D94" w:rsidRPr="00632BB3">
              <w:t>1</w:t>
            </w:r>
            <w:r w:rsidR="00B13D65" w:rsidRPr="00632BB3">
              <w:t xml:space="preserve"> yra didesnis</w:t>
            </w:r>
            <w:r w:rsidR="00B00959" w:rsidRPr="00632BB3">
              <w:t>, lyginant su įprasta klinikine praktika</w:t>
            </w:r>
          </w:p>
          <w:p w14:paraId="3B48F372"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1AD3C50E" w:rsidR="00B13D65" w:rsidRPr="00632BB3"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1D6782">
                  <w:rPr>
                    <w:rStyle w:val="Style2"/>
                    <w:rFonts w:ascii="MS Gothic" w:eastAsia="MS Gothic" w:hAnsi="MS Gothic" w:hint="eastAsia"/>
                    <w:sz w:val="24"/>
                  </w:rPr>
                  <w:t>☐</w:t>
                </w:r>
              </w:sdtContent>
            </w:sdt>
            <w:r w:rsidR="00B13D65" w:rsidRPr="00632BB3">
              <w:t xml:space="preserve"> </w:t>
            </w:r>
            <w:r w:rsidR="001C1D94" w:rsidRPr="00632BB3">
              <w:rPr>
                <w:rStyle w:val="Style2"/>
                <w:sz w:val="24"/>
              </w:rPr>
              <w:t>29</w:t>
            </w:r>
            <w:r w:rsidR="001C1D94" w:rsidRPr="00632BB3">
              <w:t xml:space="preserve">.1.2 </w:t>
            </w:r>
            <w:r w:rsidR="00B13D65" w:rsidRPr="00632BB3">
              <w:t>iš esmės nesiskiria</w:t>
            </w:r>
            <w:r w:rsidR="00B00959" w:rsidRPr="00632BB3">
              <w:t>, lyginant su įprasta klinikine praktika</w:t>
            </w:r>
          </w:p>
        </w:tc>
        <w:tc>
          <w:tcPr>
            <w:tcW w:w="4814" w:type="dxa"/>
          </w:tcPr>
          <w:p w14:paraId="507828D9" w14:textId="2D47A9EF" w:rsidR="00B13D65" w:rsidRPr="00632BB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632BB3">
                  <w:rPr>
                    <w:rStyle w:val="Style2"/>
                    <w:rFonts w:ascii="Segoe UI Symbol" w:eastAsia="MS Gothic" w:hAnsi="Segoe UI Symbol" w:cs="Segoe UI Symbol"/>
                    <w:sz w:val="24"/>
                  </w:rPr>
                  <w:t>☐</w:t>
                </w:r>
              </w:sdtContent>
            </w:sdt>
            <w:r w:rsidR="00B13D65" w:rsidRPr="00632BB3">
              <w:t xml:space="preserve"> </w:t>
            </w:r>
            <w:r w:rsidR="001C1D94" w:rsidRPr="00632BB3">
              <w:rPr>
                <w:rStyle w:val="Style2"/>
                <w:sz w:val="24"/>
              </w:rPr>
              <w:t>29</w:t>
            </w:r>
            <w:r w:rsidR="001C1D94" w:rsidRPr="00632BB3">
              <w:t xml:space="preserve">.1.3 yra neįrodytas kaip didesnis  ar iš esmės nesiskiriantis, lyginant su įprasta klinikine praktika </w:t>
            </w:r>
            <w:r w:rsidR="00B13D65" w:rsidRPr="00632BB3">
              <w:t xml:space="preserve"> </w:t>
            </w:r>
          </w:p>
          <w:p w14:paraId="282277FB" w14:textId="77777777" w:rsidR="001C1D94" w:rsidRPr="00632BB3"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B9C4" w14:textId="1D4329EA" w:rsidR="001C1D94" w:rsidRPr="00632BB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632BB3">
                  <w:rPr>
                    <w:rStyle w:val="Style2"/>
                    <w:rFonts w:ascii="Segoe UI Symbol" w:eastAsia="MS Gothic" w:hAnsi="Segoe UI Symbol" w:cs="Segoe UI Symbol"/>
                    <w:sz w:val="24"/>
                  </w:rPr>
                  <w:t>☐</w:t>
                </w:r>
              </w:sdtContent>
            </w:sdt>
            <w:r w:rsidR="00B13D65" w:rsidRPr="00632BB3">
              <w:t xml:space="preserve"> </w:t>
            </w:r>
            <w:r w:rsidR="001C1D94" w:rsidRPr="00632BB3">
              <w:rPr>
                <w:rStyle w:val="Style2"/>
                <w:sz w:val="24"/>
              </w:rPr>
              <w:t>29</w:t>
            </w:r>
            <w:r w:rsidR="001C1D94" w:rsidRPr="00632BB3">
              <w:t>.1.4 yra mažesnis, lyginant su įprasta klinikine praktika</w:t>
            </w:r>
          </w:p>
          <w:p w14:paraId="3396544A" w14:textId="77777777" w:rsidR="001C1D94" w:rsidRPr="00632BB3"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4F09BE7" w:rsidR="00B13D65" w:rsidRPr="00632BB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632BB3">
                  <w:rPr>
                    <w:rStyle w:val="Style2"/>
                    <w:rFonts w:ascii="Segoe UI Symbol" w:eastAsia="MS Gothic" w:hAnsi="Segoe UI Symbol" w:cs="Segoe UI Symbol"/>
                    <w:sz w:val="24"/>
                  </w:rPr>
                  <w:t>☐</w:t>
                </w:r>
              </w:sdtContent>
            </w:sdt>
            <w:r w:rsidR="00662983" w:rsidRPr="00632BB3">
              <w:t xml:space="preserve"> </w:t>
            </w:r>
            <w:r w:rsidR="001C1D94" w:rsidRPr="00632BB3">
              <w:t xml:space="preserve"> </w:t>
            </w:r>
            <w:r w:rsidR="001C1D94" w:rsidRPr="00632BB3">
              <w:rPr>
                <w:rStyle w:val="Style2"/>
                <w:sz w:val="24"/>
              </w:rPr>
              <w:t>29</w:t>
            </w:r>
            <w:r w:rsidR="001C1D94" w:rsidRPr="00632BB3">
              <w:t>.1.5 pateikti duomenys apie palyginamąjį veiksmingumą yra netinkami vertinti</w:t>
            </w:r>
          </w:p>
          <w:p w14:paraId="5DDAA961" w14:textId="77777777" w:rsidR="00B13D65" w:rsidRPr="00632BB3" w:rsidRDefault="00B13D65"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632BB3" w14:paraId="1C75AE76" w14:textId="77777777" w:rsidTr="00C16245">
        <w:trPr>
          <w:trHeight w:val="510"/>
        </w:trPr>
        <w:tc>
          <w:tcPr>
            <w:tcW w:w="9629" w:type="dxa"/>
            <w:gridSpan w:val="2"/>
            <w:vAlign w:val="center"/>
          </w:tcPr>
          <w:p w14:paraId="0247EDAD" w14:textId="7FBBB759" w:rsidR="00B13D65" w:rsidRPr="00632BB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2" w:name="_Hlk185374787"/>
            <w:r w:rsidRPr="00632BB3">
              <w:rPr>
                <w:rStyle w:val="Style2"/>
                <w:rFonts w:eastAsia="MS Gothic"/>
                <w:b/>
                <w:bCs/>
                <w:sz w:val="24"/>
              </w:rPr>
              <w:t>Kaštų naudingumas</w:t>
            </w:r>
          </w:p>
        </w:tc>
      </w:tr>
      <w:tr w:rsidR="00B13D65" w:rsidRPr="00632BB3" w14:paraId="7091A05B" w14:textId="77777777" w:rsidTr="0061611B">
        <w:tc>
          <w:tcPr>
            <w:tcW w:w="4815" w:type="dxa"/>
          </w:tcPr>
          <w:p w14:paraId="69B2A994" w14:textId="3AED3935" w:rsidR="00B13D65" w:rsidRPr="00632BB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334A7C">
                  <w:rPr>
                    <w:rStyle w:val="Style2"/>
                    <w:rFonts w:ascii="MS Gothic" w:eastAsia="MS Gothic" w:hAnsi="MS Gothic" w:hint="eastAsia"/>
                    <w:sz w:val="24"/>
                  </w:rPr>
                  <w:t>☒</w:t>
                </w:r>
              </w:sdtContent>
            </w:sdt>
            <w:r w:rsidR="00B13D65" w:rsidRPr="00632BB3">
              <w:t xml:space="preserve"> </w:t>
            </w:r>
            <w:r w:rsidR="001C1D94" w:rsidRPr="00632BB3">
              <w:t xml:space="preserve">29.2.1 </w:t>
            </w:r>
            <w:r w:rsidR="00B13D65" w:rsidRPr="00632BB3">
              <w:t>atitink</w:t>
            </w:r>
            <w:r w:rsidR="00450075" w:rsidRPr="00632BB3">
              <w:t>a referencinę naudingumo vertę</w:t>
            </w:r>
          </w:p>
          <w:p w14:paraId="3F76F153"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1D81110A" w:rsidR="00B13D65" w:rsidRPr="00632BB3" w:rsidRDefault="00000000"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1D6782">
                  <w:rPr>
                    <w:rStyle w:val="Style2"/>
                    <w:rFonts w:ascii="MS Gothic" w:eastAsia="MS Gothic" w:hAnsi="MS Gothic" w:hint="eastAsia"/>
                    <w:sz w:val="24"/>
                  </w:rPr>
                  <w:t>☐</w:t>
                </w:r>
              </w:sdtContent>
            </w:sdt>
            <w:r w:rsidR="00B13D65" w:rsidRPr="00632BB3">
              <w:t xml:space="preserve"> </w:t>
            </w:r>
            <w:r w:rsidR="001C1D94" w:rsidRPr="00632BB3">
              <w:t xml:space="preserve">29.2.2 </w:t>
            </w:r>
            <w:r w:rsidR="00B13D65" w:rsidRPr="00632BB3">
              <w:t>gydymo juo kaštai yra mažesni ar tokie patys esant iš esmės nesiskiriančiam palyginamajam efektyvumui, taikant</w:t>
            </w:r>
            <w:r w:rsidR="001C1D94" w:rsidRPr="00632BB3">
              <w:t xml:space="preserve"> arba netaikant </w:t>
            </w:r>
            <w:r w:rsidR="00B13D65" w:rsidRPr="00632BB3">
              <w:t xml:space="preserve"> </w:t>
            </w:r>
            <w:r w:rsidR="00450075" w:rsidRPr="00632BB3">
              <w:t>PGS</w:t>
            </w:r>
          </w:p>
        </w:tc>
        <w:tc>
          <w:tcPr>
            <w:tcW w:w="4814" w:type="dxa"/>
          </w:tcPr>
          <w:p w14:paraId="53380063" w14:textId="5C8AD260" w:rsidR="00B13D65" w:rsidRPr="00632BB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030C28" w:rsidRPr="00632BB3">
                  <w:rPr>
                    <w:rStyle w:val="Style2"/>
                    <w:rFonts w:ascii="MS Gothic" w:eastAsia="MS Gothic" w:hAnsi="MS Gothic"/>
                    <w:sz w:val="24"/>
                  </w:rPr>
                  <w:t>☐</w:t>
                </w:r>
              </w:sdtContent>
            </w:sdt>
            <w:r w:rsidR="00B13D65" w:rsidRPr="00632BB3">
              <w:t xml:space="preserve"> </w:t>
            </w:r>
            <w:r w:rsidR="001C1D94" w:rsidRPr="00632BB3">
              <w:t>29</w:t>
            </w:r>
            <w:r w:rsidR="00B13D65" w:rsidRPr="00632BB3">
              <w:t>.</w:t>
            </w:r>
            <w:r w:rsidR="001C1D94" w:rsidRPr="00632BB3">
              <w:t>2.</w:t>
            </w:r>
            <w:r w:rsidR="00B13D65" w:rsidRPr="00632BB3">
              <w:t xml:space="preserve">3 neatitinka referencinės naudingumo vertės </w:t>
            </w:r>
            <w:r w:rsidR="001C1D94" w:rsidRPr="00632BB3">
              <w:t>taikant arba netaikant PGS</w:t>
            </w:r>
          </w:p>
          <w:p w14:paraId="229ED51A"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7D76B3" w14:textId="77777777" w:rsidR="007D2CF4" w:rsidRPr="00632BB3"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B13D65" w:rsidRPr="00632BB3">
                  <w:rPr>
                    <w:rStyle w:val="Style2"/>
                    <w:rFonts w:ascii="Segoe UI Symbol" w:eastAsia="MS Gothic" w:hAnsi="Segoe UI Symbol" w:cs="Segoe UI Symbol"/>
                    <w:sz w:val="24"/>
                  </w:rPr>
                  <w:t>☐</w:t>
                </w:r>
              </w:sdtContent>
            </w:sdt>
            <w:r w:rsidR="00B13D65" w:rsidRPr="00632BB3">
              <w:t xml:space="preserve"> </w:t>
            </w:r>
            <w:r w:rsidR="007D2CF4" w:rsidRPr="00632BB3">
              <w:t xml:space="preserve">29.2.4 </w:t>
            </w:r>
            <w:r w:rsidR="00B13D65" w:rsidRPr="00632BB3">
              <w:t xml:space="preserve">gydymo juo kaštai yra didesni esant iš esmės nesiskiriančiam palyginamajam </w:t>
            </w:r>
            <w:r w:rsidR="007D2CF4" w:rsidRPr="00632BB3">
              <w:t>veiksmingumui</w:t>
            </w:r>
            <w:r w:rsidR="00B13D65" w:rsidRPr="00632BB3">
              <w:t>, taikant</w:t>
            </w:r>
            <w:r w:rsidR="00450075" w:rsidRPr="00632BB3">
              <w:t xml:space="preserve"> </w:t>
            </w:r>
            <w:r w:rsidR="007D2CF4" w:rsidRPr="00632BB3">
              <w:t>arba netaikant PGS</w:t>
            </w:r>
          </w:p>
          <w:p w14:paraId="4A9C7D2A" w14:textId="1B3F88FF"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E2B340F" w:rsidR="00B13D65" w:rsidRPr="00632BB3"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B13D65" w:rsidRPr="00632BB3">
                  <w:rPr>
                    <w:rStyle w:val="Style2"/>
                    <w:rFonts w:ascii="Segoe UI Symbol" w:eastAsia="MS Gothic" w:hAnsi="Segoe UI Symbol" w:cs="Segoe UI Symbol"/>
                    <w:sz w:val="24"/>
                  </w:rPr>
                  <w:t>☐</w:t>
                </w:r>
              </w:sdtContent>
            </w:sdt>
            <w:r w:rsidR="00B13D65" w:rsidRPr="00632BB3">
              <w:t xml:space="preserve"> </w:t>
            </w:r>
            <w:r w:rsidR="007D2CF4" w:rsidRPr="00632BB3">
              <w:t>29.2.5</w:t>
            </w:r>
            <w:r w:rsidR="00B13D65" w:rsidRPr="00632BB3">
              <w:t xml:space="preserve"> pateikti duomenys apie kaštų na</w:t>
            </w:r>
            <w:r w:rsidR="00662983" w:rsidRPr="00632BB3">
              <w:t>udingumą yra netinkami vertinti</w:t>
            </w:r>
          </w:p>
          <w:p w14:paraId="470A48A4" w14:textId="77777777" w:rsidR="00B13D65" w:rsidRPr="00632BB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1"/>
      <w:bookmarkEnd w:id="2"/>
    </w:tbl>
    <w:p w14:paraId="7026BFE0" w14:textId="77777777" w:rsidR="00031DEE" w:rsidRPr="00031DEE" w:rsidRDefault="00031DEE" w:rsidP="00031DEE">
      <w:pPr>
        <w:pStyle w:val="ListParagraph"/>
        <w:ind w:left="567"/>
      </w:pPr>
    </w:p>
    <w:p w14:paraId="3B2D1F25" w14:textId="46D18D4E" w:rsidR="000001B0" w:rsidRPr="00632BB3" w:rsidRDefault="000001B0" w:rsidP="00CC09D4">
      <w:pPr>
        <w:pStyle w:val="ListParagraph"/>
        <w:numPr>
          <w:ilvl w:val="0"/>
          <w:numId w:val="12"/>
        </w:numPr>
        <w:ind w:left="567" w:hanging="567"/>
      </w:pPr>
      <w:r w:rsidRPr="00632BB3">
        <w:rPr>
          <w:b/>
        </w:rPr>
        <w:t>REKOME</w:t>
      </w:r>
      <w:r w:rsidR="00D83182" w:rsidRPr="00632BB3">
        <w:rPr>
          <w:b/>
        </w:rPr>
        <w:t>N</w:t>
      </w:r>
      <w:r w:rsidRPr="00632BB3">
        <w:rPr>
          <w:b/>
        </w:rPr>
        <w:t>DACIJA</w:t>
      </w:r>
    </w:p>
    <w:p w14:paraId="5BAB75E0" w14:textId="77777777" w:rsidR="00334A7C" w:rsidRDefault="00334A7C" w:rsidP="00334A7C">
      <w:pPr>
        <w:jc w:val="both"/>
      </w:pPr>
    </w:p>
    <w:p w14:paraId="2E71FA4E" w14:textId="17E523DC" w:rsidR="00334A7C" w:rsidRPr="00334A7C" w:rsidRDefault="00334A7C" w:rsidP="001E193A">
      <w:pPr>
        <w:spacing w:line="276" w:lineRule="auto"/>
        <w:jc w:val="both"/>
        <w:rPr>
          <w:color w:val="000000"/>
          <w:lang w:eastAsia="lt-LT"/>
        </w:rPr>
      </w:pPr>
      <w:r w:rsidRPr="00E33EFF">
        <w:t xml:space="preserve">Vadovaujantis Lietuvos Respublikos sveikatos apsaugos ministro </w:t>
      </w:r>
      <w:r>
        <w:t xml:space="preserve">įsakymu </w:t>
      </w:r>
      <w:r w:rsidRPr="00E33EFF">
        <w:t>„Dėl vaistinių preparatų ir medicinos pagalbos priemonių įrašymo į kompensavimo sąrašus ir jų keitimo tvarkos aprašo patvirtinimo“</w:t>
      </w:r>
      <w:r>
        <w:t xml:space="preserve"> </w:t>
      </w:r>
      <w:r w:rsidRPr="00E33EFF">
        <w:t>2002 m. balandžio 5 d. įsakym</w:t>
      </w:r>
      <w:r>
        <w:t>o</w:t>
      </w:r>
      <w:r w:rsidRPr="00E33EFF">
        <w:t xml:space="preserve"> Nr. 159</w:t>
      </w:r>
      <w:r>
        <w:t xml:space="preserve"> </w:t>
      </w:r>
      <w:r w:rsidRPr="00334A7C">
        <w:rPr>
          <w:color w:val="000000"/>
          <w:lang w:eastAsia="lt-LT"/>
        </w:rPr>
        <w:t>30</w:t>
      </w:r>
      <w:r w:rsidRPr="00334A7C">
        <w:rPr>
          <w:color w:val="000000"/>
          <w:vertAlign w:val="superscript"/>
          <w:lang w:eastAsia="lt-LT"/>
        </w:rPr>
        <w:t>1</w:t>
      </w:r>
      <w:r w:rsidRPr="00334A7C">
        <w:rPr>
          <w:color w:val="000000"/>
          <w:lang w:eastAsia="lt-LT"/>
        </w:rPr>
        <w:t>.1. papunkčiu rekomenduojama kompensuoti vaistinį preparatą pagal paraiškoje nurodytą indikaciją (arba jos dalį) su arba be skyrimo sąlygų, taikant ar netaikant PGS, kai vertinimo išvados atitinka Aprašo 29.1.1 ir 29.2.1 papunkčiuose numatytas sąlygas</w:t>
      </w:r>
    </w:p>
    <w:p w14:paraId="7D5C6700" w14:textId="77777777" w:rsidR="00D5470B" w:rsidRPr="00632BB3" w:rsidRDefault="00D5470B" w:rsidP="00C712EA">
      <w:pPr>
        <w:pStyle w:val="ListParagraph"/>
        <w:ind w:left="426"/>
      </w:pPr>
    </w:p>
    <w:p w14:paraId="562A1372" w14:textId="77777777" w:rsidR="00283E59" w:rsidRPr="00632BB3" w:rsidRDefault="00283E59" w:rsidP="00283E59">
      <w:pPr>
        <w:jc w:val="both"/>
        <w:rPr>
          <w:b/>
          <w:sz w:val="20"/>
        </w:rPr>
      </w:pPr>
    </w:p>
    <w:p w14:paraId="7C641248" w14:textId="77777777" w:rsidR="005615E8" w:rsidRPr="00632BB3" w:rsidRDefault="005615E8" w:rsidP="005615E8">
      <w:pPr>
        <w:tabs>
          <w:tab w:val="left" w:pos="567"/>
        </w:tabs>
        <w:ind w:left="567" w:hanging="567"/>
        <w:jc w:val="both"/>
        <w:rPr>
          <w:b/>
          <w:color w:val="000000"/>
          <w:lang w:eastAsia="lt-LT"/>
        </w:rPr>
      </w:pPr>
      <w:r w:rsidRPr="00632BB3">
        <w:rPr>
          <w:b/>
          <w:color w:val="000000"/>
          <w:lang w:eastAsia="lt-LT"/>
        </w:rPr>
        <w:t>8.</w:t>
      </w:r>
      <w:r w:rsidRPr="00632BB3">
        <w:rPr>
          <w:b/>
          <w:color w:val="000000"/>
          <w:lang w:eastAsia="lt-LT"/>
        </w:rPr>
        <w:tab/>
        <w:t xml:space="preserve">SIŪLOMOS KOMPENSUOTI TERAPINĖS INDIKACIJOS IR SKYRIMO SĄLYGOS </w:t>
      </w:r>
    </w:p>
    <w:p w14:paraId="261E3FAE" w14:textId="77777777" w:rsidR="005615E8" w:rsidRPr="00632BB3" w:rsidRDefault="005615E8" w:rsidP="005615E8">
      <w:pPr>
        <w:tabs>
          <w:tab w:val="left" w:pos="426"/>
        </w:tabs>
        <w:jc w:val="both"/>
        <w:rPr>
          <w:b/>
          <w:color w:val="000000"/>
          <w:lang w:eastAsia="lt-LT"/>
        </w:rPr>
      </w:pPr>
    </w:p>
    <w:p w14:paraId="717DC2DC" w14:textId="77777777" w:rsidR="005615E8" w:rsidRPr="00632BB3" w:rsidRDefault="005615E8" w:rsidP="005615E8">
      <w:pPr>
        <w:rPr>
          <w:b/>
          <w:lang w:eastAsia="lt-LT"/>
        </w:rPr>
      </w:pPr>
      <w:r w:rsidRPr="00632BB3">
        <w:rPr>
          <w:b/>
          <w:lang w:eastAsia="lt-LT"/>
        </w:rPr>
        <w:t>Terapinės indikacijos</w:t>
      </w:r>
    </w:p>
    <w:p w14:paraId="6B9F221B" w14:textId="7048CCC0" w:rsidR="001D6782" w:rsidRDefault="00000000" w:rsidP="001D6782">
      <w:pPr>
        <w:pStyle w:val="NoSpacing"/>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1E193A">
            <w:rPr>
              <w:rStyle w:val="Style2"/>
              <w:rFonts w:ascii="MS Gothic" w:eastAsia="MS Gothic" w:hAnsi="MS Gothic" w:hint="eastAsia"/>
              <w:sz w:val="24"/>
              <w:szCs w:val="24"/>
            </w:rPr>
            <w:t>☒</w:t>
          </w:r>
        </w:sdtContent>
      </w:sdt>
      <w:r w:rsidR="001D6782" w:rsidRPr="0002553B">
        <w:rPr>
          <w:rFonts w:ascii="Times New Roman" w:hAnsi="Times New Roman"/>
          <w:sz w:val="24"/>
          <w:szCs w:val="24"/>
        </w:rPr>
        <w:t xml:space="preserve"> Siūloma kompensuoti Pareiškėjo teikiamą indikaciją be pakeitimų.</w:t>
      </w:r>
    </w:p>
    <w:p w14:paraId="52EC49D6" w14:textId="77777777" w:rsidR="001D6782" w:rsidRDefault="001D6782" w:rsidP="001D6782">
      <w:pPr>
        <w:pStyle w:val="NoSpacing"/>
        <w:rPr>
          <w:rFonts w:ascii="Times New Roman" w:hAnsi="Times New Roman"/>
          <w:sz w:val="24"/>
          <w:szCs w:val="24"/>
        </w:rPr>
      </w:pPr>
    </w:p>
    <w:p w14:paraId="4DD98376" w14:textId="77777777" w:rsidR="001D6782" w:rsidRDefault="001D6782" w:rsidP="001D6782">
      <w:pPr>
        <w:pStyle w:val="NoSpacing"/>
        <w:rPr>
          <w:rFonts w:ascii="Times New Roman" w:hAnsi="Times New Roman"/>
          <w:sz w:val="24"/>
          <w:szCs w:val="24"/>
        </w:rPr>
      </w:pPr>
      <w:r w:rsidRPr="00E5115F">
        <w:rPr>
          <w:rFonts w:ascii="Times New Roman" w:hAnsi="Times New Roman"/>
          <w:sz w:val="24"/>
          <w:szCs w:val="24"/>
        </w:rPr>
        <w:t>LIBTAYO skirtas atsinaujinusio ar metastazavusio gimdos kaklelio vėžio monoterapijai suaugusioms pacientėms, kurioms liga progresavo skiriant chemoterapiją platinos pagrindu arba po jos.</w:t>
      </w:r>
    </w:p>
    <w:p w14:paraId="2C953536" w14:textId="77777777" w:rsidR="001D6782" w:rsidRPr="0002553B" w:rsidRDefault="001D6782" w:rsidP="001D6782">
      <w:pPr>
        <w:pStyle w:val="NoSpacing"/>
        <w:rPr>
          <w:rFonts w:ascii="Times New Roman" w:hAnsi="Times New Roman"/>
          <w:sz w:val="24"/>
          <w:szCs w:val="24"/>
        </w:rPr>
      </w:pPr>
    </w:p>
    <w:p w14:paraId="06992C55" w14:textId="77777777" w:rsidR="001D6782" w:rsidRPr="0002553B" w:rsidRDefault="001D6782" w:rsidP="001D6782">
      <w:pPr>
        <w:pStyle w:val="NoSpacing"/>
        <w:rPr>
          <w:rFonts w:ascii="Times New Roman" w:hAnsi="Times New Roman"/>
          <w:b/>
          <w:sz w:val="24"/>
          <w:szCs w:val="24"/>
        </w:rPr>
      </w:pPr>
      <w:r w:rsidRPr="0002553B">
        <w:rPr>
          <w:rFonts w:ascii="Times New Roman" w:hAnsi="Times New Roman"/>
          <w:b/>
          <w:sz w:val="24"/>
          <w:szCs w:val="24"/>
        </w:rPr>
        <w:t>Skyrimo sąlygos</w:t>
      </w:r>
    </w:p>
    <w:p w14:paraId="535E3DB8" w14:textId="77777777" w:rsidR="001D6782" w:rsidRDefault="00000000" w:rsidP="001D6782">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1D6782">
            <w:rPr>
              <w:rStyle w:val="Style2"/>
              <w:rFonts w:ascii="MS Gothic" w:eastAsia="MS Gothic" w:hAnsi="MS Gothic" w:hint="eastAsia"/>
              <w:sz w:val="24"/>
              <w:szCs w:val="24"/>
            </w:rPr>
            <w:t>☒</w:t>
          </w:r>
        </w:sdtContent>
      </w:sdt>
      <w:r w:rsidR="001D6782" w:rsidRPr="0002553B">
        <w:rPr>
          <w:rFonts w:ascii="Times New Roman" w:hAnsi="Times New Roman"/>
          <w:sz w:val="24"/>
          <w:szCs w:val="24"/>
        </w:rPr>
        <w:t xml:space="preserve"> Pareiškėjo siūlomos skyrimo sąlygos nepriimtinos. </w:t>
      </w:r>
    </w:p>
    <w:p w14:paraId="61729D40" w14:textId="77777777" w:rsidR="001D6782" w:rsidRDefault="001D6782" w:rsidP="001D6782">
      <w:pPr>
        <w:tabs>
          <w:tab w:val="left" w:pos="426"/>
        </w:tabs>
        <w:jc w:val="both"/>
        <w:rPr>
          <w:b/>
          <w:color w:val="000000"/>
          <w:lang w:eastAsia="lt-LT"/>
        </w:rPr>
      </w:pPr>
    </w:p>
    <w:p w14:paraId="7CDFF220" w14:textId="7119131B" w:rsidR="000723FF" w:rsidRPr="001D6782" w:rsidRDefault="001E193A" w:rsidP="001D6782">
      <w:pPr>
        <w:pStyle w:val="NoSpacing"/>
        <w:jc w:val="both"/>
        <w:rPr>
          <w:rFonts w:ascii="Times New Roman" w:hAnsi="Times New Roman"/>
          <w:sz w:val="24"/>
          <w:szCs w:val="24"/>
        </w:rPr>
      </w:pPr>
      <w:bookmarkStart w:id="3" w:name="_Hlk205370123"/>
      <w:r>
        <w:rPr>
          <w:rFonts w:ascii="Times New Roman" w:hAnsi="Times New Roman"/>
          <w:sz w:val="24"/>
          <w:szCs w:val="24"/>
        </w:rPr>
        <w:t>S</w:t>
      </w:r>
      <w:r w:rsidR="001D6782" w:rsidRPr="00E5115F">
        <w:rPr>
          <w:rFonts w:ascii="Times New Roman" w:hAnsi="Times New Roman"/>
          <w:sz w:val="24"/>
          <w:szCs w:val="24"/>
        </w:rPr>
        <w:t>kir</w:t>
      </w:r>
      <w:r w:rsidR="001D6782">
        <w:rPr>
          <w:rFonts w:ascii="Times New Roman" w:hAnsi="Times New Roman"/>
          <w:sz w:val="24"/>
          <w:szCs w:val="24"/>
        </w:rPr>
        <w:t>iama</w:t>
      </w:r>
      <w:r>
        <w:rPr>
          <w:rFonts w:ascii="Times New Roman" w:hAnsi="Times New Roman"/>
          <w:sz w:val="24"/>
          <w:szCs w:val="24"/>
        </w:rPr>
        <w:t>s monoterapijai</w:t>
      </w:r>
      <w:r w:rsidR="001D6782" w:rsidRPr="00E5115F">
        <w:rPr>
          <w:rFonts w:ascii="Times New Roman" w:hAnsi="Times New Roman"/>
          <w:sz w:val="24"/>
          <w:szCs w:val="24"/>
        </w:rPr>
        <w:t xml:space="preserve"> atsinaujinusio ar metastazavusio gimdos kaklelio vėžio </w:t>
      </w:r>
      <w:r w:rsidR="001D6782">
        <w:rPr>
          <w:rFonts w:ascii="Times New Roman" w:hAnsi="Times New Roman"/>
          <w:sz w:val="24"/>
          <w:szCs w:val="24"/>
        </w:rPr>
        <w:t xml:space="preserve">gydymui </w:t>
      </w:r>
      <w:r w:rsidR="001D6782" w:rsidRPr="00E5115F">
        <w:rPr>
          <w:rFonts w:ascii="Times New Roman" w:hAnsi="Times New Roman"/>
          <w:sz w:val="24"/>
          <w:szCs w:val="24"/>
        </w:rPr>
        <w:t xml:space="preserve">suaugusioms pacientėms, kurioms liga progresavo skiriant chemoterapiją platinos pagrindu arba po </w:t>
      </w:r>
      <w:r w:rsidR="001D6782" w:rsidRPr="00E5115F">
        <w:rPr>
          <w:rFonts w:ascii="Times New Roman" w:hAnsi="Times New Roman"/>
          <w:sz w:val="24"/>
          <w:szCs w:val="24"/>
        </w:rPr>
        <w:lastRenderedPageBreak/>
        <w:t>jos.</w:t>
      </w:r>
      <w:r w:rsidR="001D6782" w:rsidRPr="00622EBA">
        <w:t xml:space="preserve"> </w:t>
      </w:r>
      <w:r w:rsidR="001D6782" w:rsidRPr="00622EBA">
        <w:rPr>
          <w:rFonts w:ascii="Times New Roman" w:hAnsi="Times New Roman"/>
          <w:sz w:val="24"/>
          <w:szCs w:val="24"/>
        </w:rPr>
        <w:t>Gydymas tęsiamas iki nepriimtino toksinio poveikio atsiradimo, ligos progresavimo arba planuoto gydymo užbaigimo. Gydymo trukmė ne ilgesnė kaip 2 metai.</w:t>
      </w:r>
      <w:bookmarkEnd w:id="3"/>
    </w:p>
    <w:sectPr w:rsidR="000723FF" w:rsidRPr="001D6782"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70B8" w14:textId="77777777" w:rsidR="0006159E" w:rsidRPr="00632BB3" w:rsidRDefault="0006159E">
      <w:r w:rsidRPr="00632BB3">
        <w:separator/>
      </w:r>
    </w:p>
  </w:endnote>
  <w:endnote w:type="continuationSeparator" w:id="0">
    <w:p w14:paraId="56D59BB7" w14:textId="77777777" w:rsidR="0006159E" w:rsidRPr="00632BB3" w:rsidRDefault="0006159E">
      <w:r w:rsidRPr="00632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Pr="00632BB3"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756B" w14:textId="77777777" w:rsidR="0006159E" w:rsidRPr="00632BB3" w:rsidRDefault="0006159E">
      <w:r w:rsidRPr="00632BB3">
        <w:separator/>
      </w:r>
    </w:p>
  </w:footnote>
  <w:footnote w:type="continuationSeparator" w:id="0">
    <w:p w14:paraId="1BED15FA" w14:textId="77777777" w:rsidR="0006159E" w:rsidRPr="00632BB3" w:rsidRDefault="0006159E">
      <w:r w:rsidRPr="00632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Pr="00632BB3"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0AE33D1"/>
    <w:multiLevelType w:val="hybridMultilevel"/>
    <w:tmpl w:val="0F8A81D2"/>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8C20C8"/>
    <w:multiLevelType w:val="hybridMultilevel"/>
    <w:tmpl w:val="D7C8B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2807259">
    <w:abstractNumId w:val="8"/>
  </w:num>
  <w:num w:numId="2" w16cid:durableId="1303265299">
    <w:abstractNumId w:val="1"/>
  </w:num>
  <w:num w:numId="3" w16cid:durableId="284503572">
    <w:abstractNumId w:val="10"/>
  </w:num>
  <w:num w:numId="4" w16cid:durableId="513962695">
    <w:abstractNumId w:val="9"/>
  </w:num>
  <w:num w:numId="5" w16cid:durableId="698051736">
    <w:abstractNumId w:val="7"/>
  </w:num>
  <w:num w:numId="6" w16cid:durableId="157308518">
    <w:abstractNumId w:val="6"/>
  </w:num>
  <w:num w:numId="7" w16cid:durableId="1934387945">
    <w:abstractNumId w:val="3"/>
  </w:num>
  <w:num w:numId="8" w16cid:durableId="1264076351">
    <w:abstractNumId w:val="14"/>
  </w:num>
  <w:num w:numId="9" w16cid:durableId="752896829">
    <w:abstractNumId w:val="0"/>
  </w:num>
  <w:num w:numId="10" w16cid:durableId="1066613133">
    <w:abstractNumId w:val="11"/>
  </w:num>
  <w:num w:numId="11" w16cid:durableId="1404253555">
    <w:abstractNumId w:val="13"/>
  </w:num>
  <w:num w:numId="12" w16cid:durableId="521893433">
    <w:abstractNumId w:val="2"/>
  </w:num>
  <w:num w:numId="13" w16cid:durableId="671180813">
    <w:abstractNumId w:val="5"/>
  </w:num>
  <w:num w:numId="14" w16cid:durableId="117576987">
    <w:abstractNumId w:val="12"/>
  </w:num>
  <w:num w:numId="15" w16cid:durableId="1542591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7BD0"/>
    <w:rsid w:val="000203E1"/>
    <w:rsid w:val="00022B6F"/>
    <w:rsid w:val="0002686C"/>
    <w:rsid w:val="00030C28"/>
    <w:rsid w:val="00031D0E"/>
    <w:rsid w:val="00031DEE"/>
    <w:rsid w:val="000337E6"/>
    <w:rsid w:val="0003402E"/>
    <w:rsid w:val="00034EAE"/>
    <w:rsid w:val="00042924"/>
    <w:rsid w:val="00053975"/>
    <w:rsid w:val="00057A2B"/>
    <w:rsid w:val="000606BE"/>
    <w:rsid w:val="0006159E"/>
    <w:rsid w:val="000723FF"/>
    <w:rsid w:val="000736B8"/>
    <w:rsid w:val="0007410A"/>
    <w:rsid w:val="0008190F"/>
    <w:rsid w:val="00081D9C"/>
    <w:rsid w:val="00082907"/>
    <w:rsid w:val="0008378D"/>
    <w:rsid w:val="000908A5"/>
    <w:rsid w:val="00092805"/>
    <w:rsid w:val="000C3E52"/>
    <w:rsid w:val="000C451D"/>
    <w:rsid w:val="000C454C"/>
    <w:rsid w:val="000D5038"/>
    <w:rsid w:val="000E29D4"/>
    <w:rsid w:val="000F3540"/>
    <w:rsid w:val="00100491"/>
    <w:rsid w:val="00104E2E"/>
    <w:rsid w:val="00107287"/>
    <w:rsid w:val="00117406"/>
    <w:rsid w:val="00121EF0"/>
    <w:rsid w:val="001237D0"/>
    <w:rsid w:val="00124A9E"/>
    <w:rsid w:val="00124E31"/>
    <w:rsid w:val="00130703"/>
    <w:rsid w:val="0013153F"/>
    <w:rsid w:val="001408B8"/>
    <w:rsid w:val="00146778"/>
    <w:rsid w:val="001517E2"/>
    <w:rsid w:val="001521D9"/>
    <w:rsid w:val="001554E2"/>
    <w:rsid w:val="00164146"/>
    <w:rsid w:val="00164D64"/>
    <w:rsid w:val="0017369C"/>
    <w:rsid w:val="00175D57"/>
    <w:rsid w:val="00180C39"/>
    <w:rsid w:val="00180D96"/>
    <w:rsid w:val="00184BD3"/>
    <w:rsid w:val="00185963"/>
    <w:rsid w:val="001921F3"/>
    <w:rsid w:val="001B3C5B"/>
    <w:rsid w:val="001C0400"/>
    <w:rsid w:val="001C1D94"/>
    <w:rsid w:val="001C4F45"/>
    <w:rsid w:val="001D15C0"/>
    <w:rsid w:val="001D1A85"/>
    <w:rsid w:val="001D3427"/>
    <w:rsid w:val="001D5B91"/>
    <w:rsid w:val="001D6782"/>
    <w:rsid w:val="001D746F"/>
    <w:rsid w:val="001E193A"/>
    <w:rsid w:val="001E3B55"/>
    <w:rsid w:val="001E4BBB"/>
    <w:rsid w:val="001E6304"/>
    <w:rsid w:val="0020381E"/>
    <w:rsid w:val="00213471"/>
    <w:rsid w:val="00215906"/>
    <w:rsid w:val="00227ECD"/>
    <w:rsid w:val="00241B70"/>
    <w:rsid w:val="00241CD8"/>
    <w:rsid w:val="00244B09"/>
    <w:rsid w:val="002519CB"/>
    <w:rsid w:val="0025697F"/>
    <w:rsid w:val="00260258"/>
    <w:rsid w:val="0026588E"/>
    <w:rsid w:val="002661E3"/>
    <w:rsid w:val="00272428"/>
    <w:rsid w:val="00272948"/>
    <w:rsid w:val="00283E59"/>
    <w:rsid w:val="00285ED3"/>
    <w:rsid w:val="002904E7"/>
    <w:rsid w:val="00292392"/>
    <w:rsid w:val="002946C7"/>
    <w:rsid w:val="002A3C79"/>
    <w:rsid w:val="002B3CC1"/>
    <w:rsid w:val="002B50EA"/>
    <w:rsid w:val="002C09E0"/>
    <w:rsid w:val="002C1BB1"/>
    <w:rsid w:val="002C2786"/>
    <w:rsid w:val="002C3A10"/>
    <w:rsid w:val="002C4A90"/>
    <w:rsid w:val="002C4ED5"/>
    <w:rsid w:val="002D02EF"/>
    <w:rsid w:val="002E0702"/>
    <w:rsid w:val="002E4641"/>
    <w:rsid w:val="002E57AD"/>
    <w:rsid w:val="002E6F80"/>
    <w:rsid w:val="002F0E4F"/>
    <w:rsid w:val="002F1053"/>
    <w:rsid w:val="002F2141"/>
    <w:rsid w:val="00306C65"/>
    <w:rsid w:val="00314816"/>
    <w:rsid w:val="00317B0E"/>
    <w:rsid w:val="00334A7C"/>
    <w:rsid w:val="00340688"/>
    <w:rsid w:val="00347FAA"/>
    <w:rsid w:val="0035172D"/>
    <w:rsid w:val="00357421"/>
    <w:rsid w:val="0036187D"/>
    <w:rsid w:val="003668D3"/>
    <w:rsid w:val="00367EDB"/>
    <w:rsid w:val="00381024"/>
    <w:rsid w:val="00386307"/>
    <w:rsid w:val="003874DE"/>
    <w:rsid w:val="00393E9F"/>
    <w:rsid w:val="0039696E"/>
    <w:rsid w:val="003A604B"/>
    <w:rsid w:val="003B211A"/>
    <w:rsid w:val="003B6D29"/>
    <w:rsid w:val="003C141F"/>
    <w:rsid w:val="003C6165"/>
    <w:rsid w:val="003C6B0E"/>
    <w:rsid w:val="003C7257"/>
    <w:rsid w:val="003C7E35"/>
    <w:rsid w:val="003D1E99"/>
    <w:rsid w:val="003D6208"/>
    <w:rsid w:val="003E0A12"/>
    <w:rsid w:val="00404E8A"/>
    <w:rsid w:val="0040622F"/>
    <w:rsid w:val="00413F24"/>
    <w:rsid w:val="00422853"/>
    <w:rsid w:val="00423160"/>
    <w:rsid w:val="0043125A"/>
    <w:rsid w:val="00450075"/>
    <w:rsid w:val="00453862"/>
    <w:rsid w:val="00453F98"/>
    <w:rsid w:val="0045469B"/>
    <w:rsid w:val="00461338"/>
    <w:rsid w:val="004677DB"/>
    <w:rsid w:val="00476256"/>
    <w:rsid w:val="0048630F"/>
    <w:rsid w:val="004947A1"/>
    <w:rsid w:val="0049482A"/>
    <w:rsid w:val="004979D3"/>
    <w:rsid w:val="004A00E7"/>
    <w:rsid w:val="004A37D0"/>
    <w:rsid w:val="004A3A61"/>
    <w:rsid w:val="004B59BA"/>
    <w:rsid w:val="004B5A03"/>
    <w:rsid w:val="004C263A"/>
    <w:rsid w:val="004D2953"/>
    <w:rsid w:val="004D2D86"/>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01AE"/>
    <w:rsid w:val="005476A4"/>
    <w:rsid w:val="0055019B"/>
    <w:rsid w:val="00556E63"/>
    <w:rsid w:val="005601A4"/>
    <w:rsid w:val="005615E8"/>
    <w:rsid w:val="00566DBB"/>
    <w:rsid w:val="005767DB"/>
    <w:rsid w:val="00580AB8"/>
    <w:rsid w:val="005815E6"/>
    <w:rsid w:val="0058712F"/>
    <w:rsid w:val="005976CE"/>
    <w:rsid w:val="005A23D4"/>
    <w:rsid w:val="005A2D1E"/>
    <w:rsid w:val="005A4698"/>
    <w:rsid w:val="005B3756"/>
    <w:rsid w:val="005C428D"/>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2BB3"/>
    <w:rsid w:val="00633B49"/>
    <w:rsid w:val="0064249A"/>
    <w:rsid w:val="0064297F"/>
    <w:rsid w:val="00645102"/>
    <w:rsid w:val="00646CF3"/>
    <w:rsid w:val="00650959"/>
    <w:rsid w:val="00653D11"/>
    <w:rsid w:val="00662983"/>
    <w:rsid w:val="00670984"/>
    <w:rsid w:val="006834D3"/>
    <w:rsid w:val="006859A4"/>
    <w:rsid w:val="00692625"/>
    <w:rsid w:val="00695CD3"/>
    <w:rsid w:val="006A36FB"/>
    <w:rsid w:val="006A38B6"/>
    <w:rsid w:val="006B1987"/>
    <w:rsid w:val="006B5B71"/>
    <w:rsid w:val="006B5D3E"/>
    <w:rsid w:val="006B6CB0"/>
    <w:rsid w:val="006C0251"/>
    <w:rsid w:val="006C2B64"/>
    <w:rsid w:val="006C6CED"/>
    <w:rsid w:val="006D1BF3"/>
    <w:rsid w:val="006D4C85"/>
    <w:rsid w:val="006D66AC"/>
    <w:rsid w:val="006E33F6"/>
    <w:rsid w:val="006E4255"/>
    <w:rsid w:val="006F1251"/>
    <w:rsid w:val="006F1C23"/>
    <w:rsid w:val="00702C18"/>
    <w:rsid w:val="00703166"/>
    <w:rsid w:val="007127F3"/>
    <w:rsid w:val="00713C8C"/>
    <w:rsid w:val="00722F30"/>
    <w:rsid w:val="007301CF"/>
    <w:rsid w:val="007316FB"/>
    <w:rsid w:val="0073214D"/>
    <w:rsid w:val="00737E2D"/>
    <w:rsid w:val="00740356"/>
    <w:rsid w:val="007424D5"/>
    <w:rsid w:val="00750A88"/>
    <w:rsid w:val="007523DD"/>
    <w:rsid w:val="00757B7E"/>
    <w:rsid w:val="007656B2"/>
    <w:rsid w:val="0077016F"/>
    <w:rsid w:val="007713AD"/>
    <w:rsid w:val="00795DC5"/>
    <w:rsid w:val="00797005"/>
    <w:rsid w:val="00797153"/>
    <w:rsid w:val="007A21F7"/>
    <w:rsid w:val="007A2B68"/>
    <w:rsid w:val="007B0DDA"/>
    <w:rsid w:val="007B2CE5"/>
    <w:rsid w:val="007D2CF4"/>
    <w:rsid w:val="007D3347"/>
    <w:rsid w:val="007E5466"/>
    <w:rsid w:val="007F1949"/>
    <w:rsid w:val="007F2592"/>
    <w:rsid w:val="00800A08"/>
    <w:rsid w:val="0080630B"/>
    <w:rsid w:val="00817A84"/>
    <w:rsid w:val="008225A4"/>
    <w:rsid w:val="00824B92"/>
    <w:rsid w:val="00826D5E"/>
    <w:rsid w:val="00832013"/>
    <w:rsid w:val="00832DB7"/>
    <w:rsid w:val="00834732"/>
    <w:rsid w:val="0084019F"/>
    <w:rsid w:val="0085200C"/>
    <w:rsid w:val="00857C52"/>
    <w:rsid w:val="00860D5F"/>
    <w:rsid w:val="00860ECB"/>
    <w:rsid w:val="00880A44"/>
    <w:rsid w:val="0088345E"/>
    <w:rsid w:val="0088656F"/>
    <w:rsid w:val="00891EF6"/>
    <w:rsid w:val="008A0303"/>
    <w:rsid w:val="008A5FDD"/>
    <w:rsid w:val="008B17E4"/>
    <w:rsid w:val="008C2035"/>
    <w:rsid w:val="008C3947"/>
    <w:rsid w:val="008C467D"/>
    <w:rsid w:val="008E473B"/>
    <w:rsid w:val="008E51A6"/>
    <w:rsid w:val="008E7329"/>
    <w:rsid w:val="008F2ED5"/>
    <w:rsid w:val="008F57F8"/>
    <w:rsid w:val="0092297E"/>
    <w:rsid w:val="00923651"/>
    <w:rsid w:val="00927B56"/>
    <w:rsid w:val="009341BF"/>
    <w:rsid w:val="00937907"/>
    <w:rsid w:val="00941739"/>
    <w:rsid w:val="0094487D"/>
    <w:rsid w:val="00951573"/>
    <w:rsid w:val="009600F9"/>
    <w:rsid w:val="00963003"/>
    <w:rsid w:val="00966EEF"/>
    <w:rsid w:val="00971B28"/>
    <w:rsid w:val="009720BC"/>
    <w:rsid w:val="00983471"/>
    <w:rsid w:val="00985ACA"/>
    <w:rsid w:val="009860D1"/>
    <w:rsid w:val="009909AB"/>
    <w:rsid w:val="009B2F9C"/>
    <w:rsid w:val="009B37DB"/>
    <w:rsid w:val="009C7A8C"/>
    <w:rsid w:val="009D23F9"/>
    <w:rsid w:val="009D4FA8"/>
    <w:rsid w:val="009E44AE"/>
    <w:rsid w:val="009E4A6E"/>
    <w:rsid w:val="009E6CD6"/>
    <w:rsid w:val="009F4D66"/>
    <w:rsid w:val="00A00C3C"/>
    <w:rsid w:val="00A01091"/>
    <w:rsid w:val="00A02009"/>
    <w:rsid w:val="00A042B9"/>
    <w:rsid w:val="00A06DBB"/>
    <w:rsid w:val="00A22ADF"/>
    <w:rsid w:val="00A255B9"/>
    <w:rsid w:val="00A31E86"/>
    <w:rsid w:val="00A54D87"/>
    <w:rsid w:val="00A5553C"/>
    <w:rsid w:val="00A701C9"/>
    <w:rsid w:val="00A73967"/>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D76D4"/>
    <w:rsid w:val="00AE0FE8"/>
    <w:rsid w:val="00AF60D5"/>
    <w:rsid w:val="00B00959"/>
    <w:rsid w:val="00B04415"/>
    <w:rsid w:val="00B06509"/>
    <w:rsid w:val="00B11D60"/>
    <w:rsid w:val="00B13D65"/>
    <w:rsid w:val="00B14079"/>
    <w:rsid w:val="00B21805"/>
    <w:rsid w:val="00B3072E"/>
    <w:rsid w:val="00B35B26"/>
    <w:rsid w:val="00B36E15"/>
    <w:rsid w:val="00B37245"/>
    <w:rsid w:val="00B4017A"/>
    <w:rsid w:val="00B4468D"/>
    <w:rsid w:val="00B71C72"/>
    <w:rsid w:val="00B81E92"/>
    <w:rsid w:val="00B908D7"/>
    <w:rsid w:val="00B935E8"/>
    <w:rsid w:val="00B93B30"/>
    <w:rsid w:val="00B94CB5"/>
    <w:rsid w:val="00BA0DD9"/>
    <w:rsid w:val="00BA5DBC"/>
    <w:rsid w:val="00BA6584"/>
    <w:rsid w:val="00BB6312"/>
    <w:rsid w:val="00BC4D06"/>
    <w:rsid w:val="00BD26AA"/>
    <w:rsid w:val="00BD585E"/>
    <w:rsid w:val="00BD6919"/>
    <w:rsid w:val="00BD6D35"/>
    <w:rsid w:val="00BE1EA7"/>
    <w:rsid w:val="00BE7489"/>
    <w:rsid w:val="00BF2E0D"/>
    <w:rsid w:val="00BF3927"/>
    <w:rsid w:val="00BF3F8B"/>
    <w:rsid w:val="00BF76DA"/>
    <w:rsid w:val="00C07C7B"/>
    <w:rsid w:val="00C16245"/>
    <w:rsid w:val="00C21A99"/>
    <w:rsid w:val="00C21EB8"/>
    <w:rsid w:val="00C22DC5"/>
    <w:rsid w:val="00C24479"/>
    <w:rsid w:val="00C273F2"/>
    <w:rsid w:val="00C37B53"/>
    <w:rsid w:val="00C434EB"/>
    <w:rsid w:val="00C517D2"/>
    <w:rsid w:val="00C5772E"/>
    <w:rsid w:val="00C62B36"/>
    <w:rsid w:val="00C7012C"/>
    <w:rsid w:val="00C712EA"/>
    <w:rsid w:val="00CA217D"/>
    <w:rsid w:val="00CA342D"/>
    <w:rsid w:val="00CC09D4"/>
    <w:rsid w:val="00CC668D"/>
    <w:rsid w:val="00CC7832"/>
    <w:rsid w:val="00CD488E"/>
    <w:rsid w:val="00CE14A6"/>
    <w:rsid w:val="00CF0C1C"/>
    <w:rsid w:val="00CF27FD"/>
    <w:rsid w:val="00CF5F12"/>
    <w:rsid w:val="00D00D8F"/>
    <w:rsid w:val="00D05209"/>
    <w:rsid w:val="00D20CA7"/>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6526A"/>
    <w:rsid w:val="00D65B95"/>
    <w:rsid w:val="00D76A70"/>
    <w:rsid w:val="00D83182"/>
    <w:rsid w:val="00D8521E"/>
    <w:rsid w:val="00D9291C"/>
    <w:rsid w:val="00D93A97"/>
    <w:rsid w:val="00DB1F64"/>
    <w:rsid w:val="00DC2F53"/>
    <w:rsid w:val="00DC5BAC"/>
    <w:rsid w:val="00DC6816"/>
    <w:rsid w:val="00DC76C2"/>
    <w:rsid w:val="00DD1CF2"/>
    <w:rsid w:val="00DD3342"/>
    <w:rsid w:val="00DE4484"/>
    <w:rsid w:val="00DF41B7"/>
    <w:rsid w:val="00DF4A4A"/>
    <w:rsid w:val="00DF583C"/>
    <w:rsid w:val="00DF5AF3"/>
    <w:rsid w:val="00E0258C"/>
    <w:rsid w:val="00E03C3F"/>
    <w:rsid w:val="00E06FD7"/>
    <w:rsid w:val="00E07417"/>
    <w:rsid w:val="00E24D45"/>
    <w:rsid w:val="00E27419"/>
    <w:rsid w:val="00E33A63"/>
    <w:rsid w:val="00E33DB8"/>
    <w:rsid w:val="00E33EFF"/>
    <w:rsid w:val="00E34387"/>
    <w:rsid w:val="00E348BA"/>
    <w:rsid w:val="00E369FE"/>
    <w:rsid w:val="00E37C6F"/>
    <w:rsid w:val="00E475F8"/>
    <w:rsid w:val="00E5102E"/>
    <w:rsid w:val="00E5721C"/>
    <w:rsid w:val="00E619C6"/>
    <w:rsid w:val="00E745A1"/>
    <w:rsid w:val="00E80840"/>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7BF4"/>
    <w:rsid w:val="00F21C28"/>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10C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Bullet 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rsid w:val="009B2F9C"/>
    <w:rPr>
      <w:sz w:val="24"/>
      <w:szCs w:val="24"/>
      <w:lang w:eastAsia="en-US"/>
    </w:rPr>
  </w:style>
  <w:style w:type="paragraph" w:customStyle="1" w:styleId="Style1">
    <w:name w:val="Style1"/>
    <w:basedOn w:val="Normal"/>
    <w:qFormat/>
    <w:rsid w:val="009B2F9C"/>
    <w:pPr>
      <w:ind w:firstLine="720"/>
    </w:pPr>
    <w:rPr>
      <w:color w:val="000000"/>
    </w:rPr>
  </w:style>
  <w:style w:type="paragraph" w:customStyle="1" w:styleId="0TEXT">
    <w:name w:val="0: TEXT"/>
    <w:basedOn w:val="Normal"/>
    <w:link w:val="0TEXTChar"/>
    <w:qFormat/>
    <w:rsid w:val="008C2035"/>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8C2035"/>
    <w:rPr>
      <w:rFonts w:eastAsiaTheme="minorHAnsi"/>
      <w:bCs/>
      <w:color w:val="000000"/>
      <w:sz w:val="24"/>
      <w:szCs w:val="24"/>
      <w:lang w:val="en-GB" w:eastAsia="en-US"/>
    </w:rPr>
  </w:style>
  <w:style w:type="table" w:customStyle="1" w:styleId="Summarybox1">
    <w:name w:val="Summary box1"/>
    <w:basedOn w:val="TableNormal"/>
    <w:next w:val="TableGrid"/>
    <w:rsid w:val="008C2035"/>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5043">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818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B73036F0B4B4CA34E6F569524E5FA"/>
        <w:category>
          <w:name w:val="General"/>
          <w:gallery w:val="placeholder"/>
        </w:category>
        <w:types>
          <w:type w:val="bbPlcHdr"/>
        </w:types>
        <w:behaviors>
          <w:behavior w:val="content"/>
        </w:behaviors>
        <w:guid w:val="{E46B5650-8E93-4166-834C-360D0BFC06A8}"/>
      </w:docPartPr>
      <w:docPartBody>
        <w:p w:rsidR="00EF2363" w:rsidRDefault="007C0D4F" w:rsidP="007C0D4F">
          <w:pPr>
            <w:pStyle w:val="178B73036F0B4B4CA34E6F569524E5F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24E31"/>
    <w:rsid w:val="00142F50"/>
    <w:rsid w:val="00165F12"/>
    <w:rsid w:val="001C35A9"/>
    <w:rsid w:val="00237556"/>
    <w:rsid w:val="002B6D97"/>
    <w:rsid w:val="00306C65"/>
    <w:rsid w:val="00357421"/>
    <w:rsid w:val="00362344"/>
    <w:rsid w:val="0039303B"/>
    <w:rsid w:val="003B6D29"/>
    <w:rsid w:val="003C6165"/>
    <w:rsid w:val="004144A3"/>
    <w:rsid w:val="004160E7"/>
    <w:rsid w:val="0043125A"/>
    <w:rsid w:val="004416C6"/>
    <w:rsid w:val="00456E96"/>
    <w:rsid w:val="0048579C"/>
    <w:rsid w:val="004B0476"/>
    <w:rsid w:val="004F5AB2"/>
    <w:rsid w:val="005074B9"/>
    <w:rsid w:val="005C62E5"/>
    <w:rsid w:val="005E40DD"/>
    <w:rsid w:val="007219C1"/>
    <w:rsid w:val="00734BD2"/>
    <w:rsid w:val="00736E2F"/>
    <w:rsid w:val="00753462"/>
    <w:rsid w:val="00772325"/>
    <w:rsid w:val="0078090C"/>
    <w:rsid w:val="007A2FE0"/>
    <w:rsid w:val="007B6244"/>
    <w:rsid w:val="007C0D4F"/>
    <w:rsid w:val="007C1D92"/>
    <w:rsid w:val="007C6D1D"/>
    <w:rsid w:val="00805BE5"/>
    <w:rsid w:val="008152E7"/>
    <w:rsid w:val="0084019F"/>
    <w:rsid w:val="008B17E4"/>
    <w:rsid w:val="0090074D"/>
    <w:rsid w:val="009354BE"/>
    <w:rsid w:val="009860D1"/>
    <w:rsid w:val="009B3BF0"/>
    <w:rsid w:val="009D5E5E"/>
    <w:rsid w:val="009F1BB4"/>
    <w:rsid w:val="00A9652A"/>
    <w:rsid w:val="00AB6ED4"/>
    <w:rsid w:val="00B14210"/>
    <w:rsid w:val="00B22ED6"/>
    <w:rsid w:val="00B23DC0"/>
    <w:rsid w:val="00B35B26"/>
    <w:rsid w:val="00B96656"/>
    <w:rsid w:val="00BF3F4F"/>
    <w:rsid w:val="00C2401D"/>
    <w:rsid w:val="00C250D7"/>
    <w:rsid w:val="00C53A68"/>
    <w:rsid w:val="00CA5BB4"/>
    <w:rsid w:val="00CB4BD1"/>
    <w:rsid w:val="00CD139C"/>
    <w:rsid w:val="00CE2DA9"/>
    <w:rsid w:val="00CE44BE"/>
    <w:rsid w:val="00D0142D"/>
    <w:rsid w:val="00D05209"/>
    <w:rsid w:val="00D26CB9"/>
    <w:rsid w:val="00D4356B"/>
    <w:rsid w:val="00D6526A"/>
    <w:rsid w:val="00D67EDE"/>
    <w:rsid w:val="00D7162F"/>
    <w:rsid w:val="00DB4DB5"/>
    <w:rsid w:val="00DE4D10"/>
    <w:rsid w:val="00E1516B"/>
    <w:rsid w:val="00E44A86"/>
    <w:rsid w:val="00E522EB"/>
    <w:rsid w:val="00E60827"/>
    <w:rsid w:val="00E80840"/>
    <w:rsid w:val="00EF2363"/>
    <w:rsid w:val="00EF6E0C"/>
    <w:rsid w:val="00F17BF4"/>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0D4F"/>
    <w:rPr>
      <w:color w:val="808080"/>
    </w:rPr>
  </w:style>
  <w:style w:type="paragraph" w:customStyle="1" w:styleId="178B73036F0B4B4CA34E6F569524E5FA">
    <w:name w:val="178B73036F0B4B4CA34E6F569524E5FA"/>
    <w:rsid w:val="007C0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3439-E721-4603-95C1-FA1987FB53C5}">
  <ds:schemaRefs>
    <ds:schemaRef ds:uri="http://schemas.openxmlformats.org/officeDocument/2006/bibliography"/>
  </ds:schemaRefs>
</ds:datastoreItem>
</file>

<file path=docMetadata/LabelInfo.xml><?xml version="1.0" encoding="utf-8"?>
<clbl:labelList xmlns:clbl="http://schemas.microsoft.com/office/2020/mipLabelMetadata">
  <clbl:label id="{397cd41d-f0df-44e5-aea8-cb12e7ea80cd}" enabled="0" method="" siteId="{397cd41d-f0df-44e5-aea8-cb12e7ea80cd}"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13300</Characters>
  <Application>Microsoft Office Word</Application>
  <DocSecurity>0</DocSecurity>
  <Lines>110</Lines>
  <Paragraphs>31</Paragraphs>
  <ScaleCrop>false</ScaleCrop>
  <Company/>
  <LinksUpToDate>false</LinksUpToDate>
  <CharactersWithSpaces>15602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2025-08-08T13:41:00Z</dcterms:created>
  <dcterms:modified xsi:type="dcterms:W3CDTF">2025-08-11T10:42:00Z</dcterms:modified>
</cp:coreProperties>
</file>