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FC09" w14:textId="77777777" w:rsidR="00E64747" w:rsidRDefault="00E64747" w:rsidP="00E64747">
      <w:pPr>
        <w:ind w:left="5529"/>
      </w:pPr>
    </w:p>
    <w:p w14:paraId="39ACB06C" w14:textId="77777777" w:rsidR="00E64747" w:rsidRDefault="00E64747" w:rsidP="00E64747">
      <w:pPr>
        <w:ind w:left="6096"/>
      </w:pPr>
      <w:r>
        <w:t>Forma patvirtinta</w:t>
      </w:r>
    </w:p>
    <w:p w14:paraId="30F90031" w14:textId="77777777" w:rsidR="00E64747" w:rsidRDefault="00E64747" w:rsidP="00E64747">
      <w:pPr>
        <w:ind w:left="6096"/>
      </w:pPr>
      <w:r>
        <w:t>Valstybinės vaistų kontrolės tarnybos prie Lietuvos Respublikos sveikatos apsaugos ministerijos viršininko 2021 m. lapkričio 12 d. įsakymu Nr. (1.72E)1A-1418</w:t>
      </w:r>
    </w:p>
    <w:p w14:paraId="5B893349" w14:textId="77777777" w:rsidR="00E64747" w:rsidRDefault="00E64747" w:rsidP="00E64747">
      <w:pPr>
        <w:ind w:left="6096"/>
      </w:pPr>
      <w:r>
        <w:t>(Valstybinės vaistų kontrolės tarnybos prie Lietuvos Respublikos sveikatos apsaugos ministerijos viršininko 2022 m.                         d. įsakymo Nr.                    redakcija)</w:t>
      </w:r>
    </w:p>
    <w:p w14:paraId="39816F68" w14:textId="77777777" w:rsidR="00E64747" w:rsidRPr="000A2492" w:rsidRDefault="00E64747" w:rsidP="00E64747"/>
    <w:p w14:paraId="359BB43C" w14:textId="77777777" w:rsidR="00E64747" w:rsidRDefault="00E64747" w:rsidP="00E64747">
      <w:pPr>
        <w:jc w:val="center"/>
        <w:rPr>
          <w:b/>
          <w:bCs/>
          <w:caps/>
        </w:rPr>
      </w:pPr>
      <w:r>
        <w:rPr>
          <w:b/>
        </w:rPr>
        <w:t xml:space="preserve">REKOMENDACIJA DĖL VAISTINIO PREPARATO </w:t>
      </w:r>
      <w:r w:rsidRPr="002F0E4F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15E3844" w14:textId="77777777" w:rsidR="00E64747" w:rsidRDefault="00E64747" w:rsidP="00E64747">
      <w:pPr>
        <w:jc w:val="center"/>
        <w:rPr>
          <w:b/>
        </w:rPr>
      </w:pPr>
    </w:p>
    <w:p w14:paraId="06A153B6" w14:textId="62274868" w:rsidR="00E64747" w:rsidRDefault="00E64747" w:rsidP="00E64747">
      <w:pPr>
        <w:jc w:val="center"/>
        <w:rPr>
          <w:b/>
        </w:rPr>
      </w:pPr>
      <w:proofErr w:type="spellStart"/>
      <w:r>
        <w:rPr>
          <w:b/>
        </w:rPr>
        <w:t>Taltz</w:t>
      </w:r>
      <w:proofErr w:type="spellEnd"/>
      <w:r w:rsidRPr="006F7490">
        <w:t xml:space="preserve"> </w:t>
      </w:r>
      <w:r>
        <w:rPr>
          <w:b/>
        </w:rPr>
        <w:t xml:space="preserve">80 mg/ml </w:t>
      </w:r>
      <w:r w:rsidRPr="00887624">
        <w:rPr>
          <w:b/>
        </w:rPr>
        <w:t xml:space="preserve">injekcinis tirpalas </w:t>
      </w:r>
      <w:r>
        <w:rPr>
          <w:b/>
        </w:rPr>
        <w:t xml:space="preserve">užpildytame </w:t>
      </w:r>
      <w:proofErr w:type="spellStart"/>
      <w:r>
        <w:rPr>
          <w:b/>
        </w:rPr>
        <w:t>švirkštiklyje</w:t>
      </w:r>
      <w:proofErr w:type="spellEnd"/>
      <w:r>
        <w:rPr>
          <w:b/>
        </w:rPr>
        <w:t xml:space="preserve"> </w:t>
      </w:r>
    </w:p>
    <w:p w14:paraId="761519C5" w14:textId="77777777" w:rsidR="00E64747" w:rsidRPr="006F7490" w:rsidRDefault="00E64747" w:rsidP="00E64747">
      <w:pPr>
        <w:jc w:val="center"/>
      </w:pPr>
      <w:r>
        <w:t xml:space="preserve"> </w:t>
      </w:r>
      <w:r w:rsidRPr="006F7490">
        <w:t xml:space="preserve"> </w:t>
      </w:r>
    </w:p>
    <w:p w14:paraId="228AA4A9" w14:textId="77777777" w:rsidR="00E64747" w:rsidRPr="00D05364" w:rsidRDefault="00E64747" w:rsidP="00E64747">
      <w:pPr>
        <w:jc w:val="center"/>
      </w:pPr>
      <w:r w:rsidRPr="00D05364">
        <w:t>(</w:t>
      </w:r>
      <w:proofErr w:type="spellStart"/>
      <w:r>
        <w:t>Iksekizumabas</w:t>
      </w:r>
      <w:proofErr w:type="spellEnd"/>
      <w:r w:rsidRPr="00D05364">
        <w:t>)</w:t>
      </w:r>
    </w:p>
    <w:p w14:paraId="3BDBB83E" w14:textId="77777777" w:rsidR="00E64747" w:rsidRPr="00D05364" w:rsidRDefault="00E64747" w:rsidP="00E64747">
      <w:pPr>
        <w:jc w:val="center"/>
      </w:pPr>
    </w:p>
    <w:p w14:paraId="7737FBFC" w14:textId="6ACFA0DE" w:rsidR="00E64747" w:rsidRPr="00D05364" w:rsidRDefault="00E64747" w:rsidP="00E64747">
      <w:pPr>
        <w:jc w:val="center"/>
        <w:rPr>
          <w:b/>
        </w:rPr>
      </w:pPr>
      <w:r>
        <w:rPr>
          <w:b/>
        </w:rPr>
        <w:t>STV</w:t>
      </w:r>
      <w:r w:rsidR="0001095A">
        <w:rPr>
          <w:b/>
        </w:rPr>
        <w:t>-</w:t>
      </w:r>
      <w:r>
        <w:rPr>
          <w:b/>
        </w:rPr>
        <w:t>23</w:t>
      </w:r>
      <w:r w:rsidR="00B35F85">
        <w:rPr>
          <w:b/>
        </w:rPr>
        <w:t>2</w:t>
      </w:r>
    </w:p>
    <w:p w14:paraId="39CAEE1B" w14:textId="77777777" w:rsidR="00E64747" w:rsidRPr="004C263A" w:rsidRDefault="00E64747" w:rsidP="00E64747">
      <w:pPr>
        <w:jc w:val="center"/>
        <w:rPr>
          <w:b/>
        </w:rPr>
      </w:pPr>
    </w:p>
    <w:p w14:paraId="391D4984" w14:textId="09E68EAB" w:rsidR="00E64747" w:rsidRDefault="00E64747" w:rsidP="00E64747">
      <w:pPr>
        <w:pStyle w:val="Sraopastraipa"/>
        <w:numPr>
          <w:ilvl w:val="0"/>
          <w:numId w:val="1"/>
        </w:numPr>
        <w:tabs>
          <w:tab w:val="left" w:pos="284"/>
        </w:tabs>
        <w:rPr>
          <w:b/>
          <w:bCs/>
          <w:caps/>
        </w:rPr>
      </w:pPr>
      <w:r>
        <w:rPr>
          <w:b/>
          <w:bCs/>
          <w:caps/>
        </w:rPr>
        <w:t>Bendroji dalis</w:t>
      </w:r>
    </w:p>
    <w:p w14:paraId="339A2046" w14:textId="77777777" w:rsidR="00E64747" w:rsidRDefault="00E64747" w:rsidP="00E64747">
      <w:pPr>
        <w:pStyle w:val="Sraopastraipa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Lentelstinklelis"/>
        <w:tblW w:w="9039" w:type="dxa"/>
        <w:tblLook w:val="04A0" w:firstRow="1" w:lastRow="0" w:firstColumn="1" w:lastColumn="0" w:noHBand="0" w:noVBand="1"/>
      </w:tblPr>
      <w:tblGrid>
        <w:gridCol w:w="632"/>
        <w:gridCol w:w="3694"/>
        <w:gridCol w:w="4713"/>
      </w:tblGrid>
      <w:tr w:rsidR="00E64747" w:rsidRPr="000D01F1" w14:paraId="25C83614" w14:textId="77777777" w:rsidTr="007A7371">
        <w:trPr>
          <w:trHeight w:val="538"/>
        </w:trPr>
        <w:tc>
          <w:tcPr>
            <w:tcW w:w="632" w:type="dxa"/>
          </w:tcPr>
          <w:p w14:paraId="3AD4F6AC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1.1</w:t>
            </w:r>
          </w:p>
        </w:tc>
        <w:tc>
          <w:tcPr>
            <w:tcW w:w="3694" w:type="dxa"/>
          </w:tcPr>
          <w:p w14:paraId="1707E4C7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Pareiškėjas</w:t>
            </w:r>
          </w:p>
          <w:p w14:paraId="24E053ED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4713" w:type="dxa"/>
          </w:tcPr>
          <w:p w14:paraId="4D007653" w14:textId="77777777" w:rsidR="00E64747" w:rsidRPr="0001095A" w:rsidRDefault="0072762B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1095A">
              <w:rPr>
                <w:sz w:val="24"/>
                <w:szCs w:val="24"/>
              </w:rPr>
              <w:t xml:space="preserve">UAB </w:t>
            </w:r>
            <w:proofErr w:type="spellStart"/>
            <w:r w:rsidRPr="0001095A">
              <w:rPr>
                <w:sz w:val="24"/>
                <w:szCs w:val="24"/>
              </w:rPr>
              <w:t>Eli</w:t>
            </w:r>
            <w:proofErr w:type="spellEnd"/>
            <w:r w:rsidRPr="0001095A">
              <w:rPr>
                <w:sz w:val="24"/>
                <w:szCs w:val="24"/>
              </w:rPr>
              <w:t xml:space="preserve"> </w:t>
            </w:r>
            <w:proofErr w:type="spellStart"/>
            <w:r w:rsidRPr="0001095A">
              <w:rPr>
                <w:sz w:val="24"/>
                <w:szCs w:val="24"/>
              </w:rPr>
              <w:t>Lilly</w:t>
            </w:r>
            <w:proofErr w:type="spellEnd"/>
            <w:r w:rsidRPr="0001095A">
              <w:rPr>
                <w:sz w:val="24"/>
                <w:szCs w:val="24"/>
              </w:rPr>
              <w:t xml:space="preserve"> Lietuva</w:t>
            </w:r>
          </w:p>
        </w:tc>
      </w:tr>
      <w:tr w:rsidR="00E64747" w:rsidRPr="000D01F1" w14:paraId="2CC4A591" w14:textId="77777777" w:rsidTr="007A7371">
        <w:trPr>
          <w:trHeight w:val="538"/>
        </w:trPr>
        <w:tc>
          <w:tcPr>
            <w:tcW w:w="632" w:type="dxa"/>
          </w:tcPr>
          <w:p w14:paraId="0CCF74A3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1.2</w:t>
            </w:r>
          </w:p>
        </w:tc>
        <w:tc>
          <w:tcPr>
            <w:tcW w:w="3694" w:type="dxa"/>
          </w:tcPr>
          <w:p w14:paraId="0DBA3CC0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 xml:space="preserve">Registracijos data </w:t>
            </w:r>
          </w:p>
          <w:p w14:paraId="3CB959AF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</w:tcPr>
          <w:p w14:paraId="2DB25070" w14:textId="77777777" w:rsidR="00E64747" w:rsidRPr="0001095A" w:rsidRDefault="008C3566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rStyle w:val="Style2"/>
                <w:sz w:val="24"/>
                <w:szCs w:val="24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423238108"/>
                <w:placeholder>
                  <w:docPart w:val="11ADF7F185C81C4183FAD20BB772CF7B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>
                <w:rPr>
                  <w:sz w:val="20"/>
                </w:rPr>
              </w:sdtEndPr>
              <w:sdtContent>
                <w:r w:rsidR="0072762B" w:rsidRPr="0001095A">
                  <w:rPr>
                    <w:sz w:val="24"/>
                    <w:szCs w:val="24"/>
                  </w:rPr>
                  <w:t>2016 m. balandžio 25 d.</w:t>
                </w:r>
              </w:sdtContent>
            </w:sdt>
          </w:p>
        </w:tc>
      </w:tr>
      <w:tr w:rsidR="00E64747" w:rsidRPr="000D01F1" w14:paraId="38AD915A" w14:textId="77777777" w:rsidTr="007A7371">
        <w:trPr>
          <w:trHeight w:val="1500"/>
        </w:trPr>
        <w:tc>
          <w:tcPr>
            <w:tcW w:w="632" w:type="dxa"/>
          </w:tcPr>
          <w:p w14:paraId="0F106D17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1.3</w:t>
            </w:r>
          </w:p>
        </w:tc>
        <w:tc>
          <w:tcPr>
            <w:tcW w:w="3694" w:type="dxa"/>
          </w:tcPr>
          <w:p w14:paraId="0435D4CA" w14:textId="77777777" w:rsidR="00E64747" w:rsidRPr="000D01F1" w:rsidRDefault="00E64747" w:rsidP="007A7371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0D01F1">
              <w:rPr>
                <w:rFonts w:ascii="Times New Roman" w:hAnsi="Times New Roman"/>
                <w:b/>
                <w:sz w:val="24"/>
                <w:szCs w:val="24"/>
              </w:rPr>
              <w:t xml:space="preserve">Paraiškos tipas </w:t>
            </w:r>
          </w:p>
          <w:p w14:paraId="2030FD29" w14:textId="77777777" w:rsidR="00E64747" w:rsidRPr="000D01F1" w:rsidRDefault="00E64747" w:rsidP="007A7371">
            <w:pPr>
              <w:rPr>
                <w:b/>
                <w:sz w:val="24"/>
                <w:szCs w:val="24"/>
              </w:rPr>
            </w:pPr>
            <w:r w:rsidRPr="000D01F1">
              <w:rPr>
                <w:b/>
                <w:sz w:val="24"/>
                <w:szCs w:val="24"/>
              </w:rPr>
              <w:t xml:space="preserve">(pagal </w:t>
            </w:r>
            <w:r w:rsidRPr="000D01F1">
              <w:rPr>
                <w:b/>
                <w:color w:val="333333"/>
                <w:sz w:val="24"/>
                <w:szCs w:val="24"/>
                <w:shd w:val="clear" w:color="auto" w:fill="FFFFFF"/>
              </w:rPr>
              <w:t>vaistinio preparato registracijos tipą, įtvirtintą</w:t>
            </w:r>
            <w:r w:rsidRPr="000D01F1">
              <w:rPr>
                <w:b/>
                <w:sz w:val="24"/>
                <w:szCs w:val="24"/>
              </w:rPr>
              <w:t xml:space="preserve"> Direktyvos 2001/83/EB straipsniuose)</w:t>
            </w:r>
          </w:p>
          <w:p w14:paraId="126CD514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</w:tcPr>
          <w:p w14:paraId="7437292B" w14:textId="77777777" w:rsidR="00E64747" w:rsidRPr="000D01F1" w:rsidRDefault="008C3566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52629207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0D01F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E64747" w:rsidRPr="000D01F1">
              <w:rPr>
                <w:sz w:val="24"/>
                <w:szCs w:val="24"/>
              </w:rPr>
              <w:t xml:space="preserve">8.3 str. (pilna byla, pagrįsta savais tyrimais) </w:t>
            </w:r>
          </w:p>
          <w:p w14:paraId="03334CB6" w14:textId="77777777" w:rsidR="00E64747" w:rsidRPr="000D01F1" w:rsidRDefault="008C3566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-149795373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0D01F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0D01F1">
              <w:rPr>
                <w:sz w:val="24"/>
                <w:szCs w:val="24"/>
              </w:rPr>
              <w:t xml:space="preserve">10 a str. (pripažintas medicininis vartojimas) </w:t>
            </w:r>
          </w:p>
          <w:p w14:paraId="62129FC8" w14:textId="77777777" w:rsidR="00E64747" w:rsidRPr="000D01F1" w:rsidRDefault="008C3566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2041424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0D01F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0D01F1">
              <w:rPr>
                <w:sz w:val="24"/>
                <w:szCs w:val="24"/>
              </w:rPr>
              <w:t>10.1 str. (</w:t>
            </w:r>
            <w:proofErr w:type="spellStart"/>
            <w:r w:rsidR="00E64747" w:rsidRPr="000D01F1">
              <w:rPr>
                <w:sz w:val="24"/>
                <w:szCs w:val="24"/>
              </w:rPr>
              <w:t>generinis</w:t>
            </w:r>
            <w:proofErr w:type="spellEnd"/>
            <w:r w:rsidR="00E64747" w:rsidRPr="000D01F1">
              <w:rPr>
                <w:sz w:val="24"/>
                <w:szCs w:val="24"/>
              </w:rPr>
              <w:t>)</w:t>
            </w:r>
          </w:p>
          <w:p w14:paraId="7F88A84D" w14:textId="77777777" w:rsidR="00E64747" w:rsidRPr="000D01F1" w:rsidRDefault="008C3566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rStyle w:val="Style2"/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82030510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0D01F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0D01F1">
              <w:rPr>
                <w:sz w:val="24"/>
                <w:szCs w:val="24"/>
              </w:rPr>
              <w:t>10.3 str. (hibridinis)</w:t>
            </w:r>
          </w:p>
        </w:tc>
      </w:tr>
      <w:tr w:rsidR="00E64747" w:rsidRPr="000D01F1" w14:paraId="0BEB2277" w14:textId="77777777" w:rsidTr="007A7371">
        <w:trPr>
          <w:trHeight w:val="1442"/>
        </w:trPr>
        <w:tc>
          <w:tcPr>
            <w:tcW w:w="632" w:type="dxa"/>
          </w:tcPr>
          <w:p w14:paraId="75ADFB70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1.4</w:t>
            </w:r>
          </w:p>
        </w:tc>
        <w:tc>
          <w:tcPr>
            <w:tcW w:w="3694" w:type="dxa"/>
          </w:tcPr>
          <w:p w14:paraId="2E93FE69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 xml:space="preserve">Ar vaistinis preparatas įrašytas į Bendrijos retųjų vaistinių preparatų registrą? </w:t>
            </w:r>
          </w:p>
          <w:p w14:paraId="7E93CC65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13" w:type="dxa"/>
          </w:tcPr>
          <w:p w14:paraId="07153F1F" w14:textId="77777777" w:rsidR="00E64747" w:rsidRPr="000D01F1" w:rsidRDefault="008C3566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>
                  <w:rPr>
                    <w:rStyle w:val="Style2"/>
                    <w:rFonts w:ascii="MS Gothic" w:eastAsia="MS Gothic" w:hint="eastAsia"/>
                    <w:sz w:val="24"/>
                  </w:rPr>
                  <w:t>☐</w:t>
                </w:r>
              </w:sdtContent>
            </w:sdt>
            <w:r w:rsidR="00E64747" w:rsidRPr="000D01F1">
              <w:rPr>
                <w:sz w:val="24"/>
                <w:szCs w:val="24"/>
              </w:rPr>
              <w:t xml:space="preserve"> Taip</w:t>
            </w:r>
          </w:p>
          <w:p w14:paraId="552348A0" w14:textId="77777777" w:rsidR="00E64747" w:rsidRPr="000D01F1" w:rsidRDefault="008C3566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-97050792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72762B">
                  <w:rPr>
                    <w:rStyle w:val="Style2"/>
                    <w:rFonts w:ascii="MS Gothic" w:eastAsia="MS Gothic" w:hint="eastAsia"/>
                    <w:sz w:val="24"/>
                  </w:rPr>
                  <w:t>☒</w:t>
                </w:r>
              </w:sdtContent>
            </w:sdt>
            <w:r w:rsidR="00E64747" w:rsidRPr="000D01F1">
              <w:rPr>
                <w:sz w:val="24"/>
                <w:szCs w:val="24"/>
              </w:rPr>
              <w:t xml:space="preserve"> Ne</w:t>
            </w:r>
          </w:p>
          <w:p w14:paraId="45A5FD17" w14:textId="77777777" w:rsidR="00E64747" w:rsidRPr="000D01F1" w:rsidRDefault="008C3566" w:rsidP="007A7371">
            <w:pPr>
              <w:rPr>
                <w:sz w:val="24"/>
                <w:szCs w:val="24"/>
              </w:rPr>
            </w:pPr>
            <w:sdt>
              <w:sdtPr>
                <w:rPr>
                  <w:lang w:val="fi-FI"/>
                </w:rPr>
                <w:alias w:val="Nurodykite konkrečią dieną"/>
                <w:tag w:val="Nurodykite pradžios datą"/>
                <w:id w:val="693498901"/>
                <w:placeholder>
                  <w:docPart w:val="71C9817F07586444B83A06F816DE2E85"/>
                </w:placeholder>
                <w:showingPlcHdr/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72762B">
                  <w:rPr>
                    <w:rStyle w:val="Vietosrezervavimoenklotekstas"/>
                  </w:rPr>
                  <w:t>Click here to enter a date.</w:t>
                </w:r>
              </w:sdtContent>
            </w:sdt>
          </w:p>
        </w:tc>
      </w:tr>
      <w:tr w:rsidR="00E64747" w:rsidRPr="000D01F1" w14:paraId="0F25A6D0" w14:textId="77777777" w:rsidTr="007A7371">
        <w:trPr>
          <w:trHeight w:val="1922"/>
        </w:trPr>
        <w:tc>
          <w:tcPr>
            <w:tcW w:w="632" w:type="dxa"/>
          </w:tcPr>
          <w:p w14:paraId="5695F12B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1.5</w:t>
            </w:r>
          </w:p>
        </w:tc>
        <w:tc>
          <w:tcPr>
            <w:tcW w:w="3694" w:type="dxa"/>
          </w:tcPr>
          <w:p w14:paraId="4B0402E2" w14:textId="76B0D05F" w:rsidR="00E64747" w:rsidRPr="000D01F1" w:rsidRDefault="00E64747" w:rsidP="00B6624A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>Teikiama (-</w:t>
            </w:r>
            <w:proofErr w:type="spellStart"/>
            <w:r w:rsidRPr="000D01F1">
              <w:rPr>
                <w:b/>
                <w:bCs/>
                <w:color w:val="000000"/>
                <w:sz w:val="24"/>
                <w:szCs w:val="24"/>
              </w:rPr>
              <w:t>os</w:t>
            </w:r>
            <w:proofErr w:type="spellEnd"/>
            <w:r w:rsidRPr="000D01F1">
              <w:rPr>
                <w:b/>
                <w:bCs/>
                <w:color w:val="000000"/>
                <w:sz w:val="24"/>
                <w:szCs w:val="24"/>
              </w:rPr>
              <w:t>) kompensuoti registruota (-</w:t>
            </w:r>
            <w:proofErr w:type="spellStart"/>
            <w:r w:rsidRPr="000D01F1">
              <w:rPr>
                <w:b/>
                <w:bCs/>
                <w:color w:val="000000"/>
                <w:sz w:val="24"/>
                <w:szCs w:val="24"/>
              </w:rPr>
              <w:t>os</w:t>
            </w:r>
            <w:proofErr w:type="spellEnd"/>
            <w:r w:rsidRPr="000D01F1">
              <w:rPr>
                <w:b/>
                <w:bCs/>
                <w:color w:val="000000"/>
                <w:sz w:val="24"/>
                <w:szCs w:val="24"/>
              </w:rPr>
              <w:t>) vaistinio preparato indikacija (-</w:t>
            </w:r>
            <w:proofErr w:type="spellStart"/>
            <w:r w:rsidRPr="000D01F1">
              <w:rPr>
                <w:b/>
                <w:bCs/>
                <w:color w:val="000000"/>
                <w:sz w:val="24"/>
                <w:szCs w:val="24"/>
              </w:rPr>
              <w:t>os</w:t>
            </w:r>
            <w:proofErr w:type="spellEnd"/>
            <w:r w:rsidRPr="000D01F1">
              <w:rPr>
                <w:b/>
                <w:bCs/>
                <w:color w:val="000000"/>
                <w:sz w:val="24"/>
                <w:szCs w:val="24"/>
              </w:rPr>
              <w:t>), TLK kodas</w:t>
            </w:r>
          </w:p>
        </w:tc>
        <w:tc>
          <w:tcPr>
            <w:tcW w:w="4713" w:type="dxa"/>
          </w:tcPr>
          <w:p w14:paraId="36E20F23" w14:textId="77777777" w:rsidR="00B35F85" w:rsidRPr="002F573E" w:rsidRDefault="00B35F85" w:rsidP="00B35F85">
            <w:pPr>
              <w:tabs>
                <w:tab w:val="left" w:pos="1741"/>
              </w:tabs>
              <w:rPr>
                <w:sz w:val="24"/>
                <w:szCs w:val="24"/>
              </w:rPr>
            </w:pPr>
            <w:proofErr w:type="spellStart"/>
            <w:r w:rsidRPr="002F573E">
              <w:rPr>
                <w:sz w:val="24"/>
                <w:szCs w:val="24"/>
              </w:rPr>
              <w:t>Psoriazinis</w:t>
            </w:r>
            <w:proofErr w:type="spellEnd"/>
            <w:r w:rsidRPr="002F573E">
              <w:rPr>
                <w:sz w:val="24"/>
                <w:szCs w:val="24"/>
              </w:rPr>
              <w:t xml:space="preserve"> artritas</w:t>
            </w:r>
          </w:p>
          <w:p w14:paraId="196B899C" w14:textId="77777777" w:rsidR="00B35F85" w:rsidRPr="002F573E" w:rsidRDefault="00B35F85" w:rsidP="00B35F85">
            <w:pPr>
              <w:rPr>
                <w:sz w:val="24"/>
                <w:szCs w:val="24"/>
              </w:rPr>
            </w:pPr>
          </w:p>
          <w:p w14:paraId="4D8ADB9F" w14:textId="77777777" w:rsidR="00B35F85" w:rsidRPr="002F573E" w:rsidRDefault="00B35F85" w:rsidP="00B35F85">
            <w:pPr>
              <w:rPr>
                <w:sz w:val="24"/>
                <w:szCs w:val="24"/>
              </w:rPr>
            </w:pPr>
          </w:p>
          <w:p w14:paraId="63183435" w14:textId="77777777" w:rsidR="00B35F85" w:rsidRPr="002F573E" w:rsidRDefault="00B35F85" w:rsidP="00B35F85">
            <w:pPr>
              <w:rPr>
                <w:sz w:val="24"/>
                <w:szCs w:val="24"/>
              </w:rPr>
            </w:pPr>
          </w:p>
          <w:p w14:paraId="3297C01A" w14:textId="77777777" w:rsidR="00B35F85" w:rsidRPr="002F573E" w:rsidRDefault="00B35F85" w:rsidP="00B35F85">
            <w:pPr>
              <w:rPr>
                <w:sz w:val="24"/>
                <w:szCs w:val="24"/>
              </w:rPr>
            </w:pPr>
            <w:r w:rsidRPr="002F573E">
              <w:rPr>
                <w:sz w:val="24"/>
                <w:szCs w:val="24"/>
              </w:rPr>
              <w:t>TLK-10 AM – M07</w:t>
            </w:r>
          </w:p>
          <w:p w14:paraId="738D4F3C" w14:textId="7149CA48" w:rsidR="00E64747" w:rsidRPr="000D01F1" w:rsidRDefault="00E64747" w:rsidP="0072762B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E64747" w:rsidRPr="000D01F1" w14:paraId="462AB5B8" w14:textId="77777777" w:rsidTr="0072762B">
        <w:trPr>
          <w:trHeight w:val="248"/>
        </w:trPr>
        <w:tc>
          <w:tcPr>
            <w:tcW w:w="632" w:type="dxa"/>
          </w:tcPr>
          <w:p w14:paraId="327D3056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1.6</w:t>
            </w:r>
          </w:p>
        </w:tc>
        <w:tc>
          <w:tcPr>
            <w:tcW w:w="3694" w:type="dxa"/>
          </w:tcPr>
          <w:p w14:paraId="07B4249E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Cs/>
                <w:color w:val="000000"/>
                <w:sz w:val="24"/>
                <w:szCs w:val="24"/>
                <w:u w:val="single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 xml:space="preserve">Teikiamos skyrimo sąlygos </w:t>
            </w:r>
          </w:p>
        </w:tc>
        <w:tc>
          <w:tcPr>
            <w:tcW w:w="4713" w:type="dxa"/>
          </w:tcPr>
          <w:p w14:paraId="24ED7EEB" w14:textId="77777777" w:rsidR="00E64747" w:rsidRPr="0001095A" w:rsidRDefault="0072762B" w:rsidP="007A7371">
            <w:pPr>
              <w:pStyle w:val="Sraopastraipa"/>
              <w:spacing w:after="120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01095A">
              <w:rPr>
                <w:sz w:val="24"/>
                <w:szCs w:val="24"/>
              </w:rPr>
              <w:t>Skiriamas sveikatos apsaugos ministro nustatyta tvarka</w:t>
            </w:r>
          </w:p>
        </w:tc>
      </w:tr>
      <w:tr w:rsidR="00E64747" w:rsidRPr="000D01F1" w14:paraId="24D26D96" w14:textId="77777777" w:rsidTr="007A7371">
        <w:trPr>
          <w:trHeight w:val="378"/>
        </w:trPr>
        <w:tc>
          <w:tcPr>
            <w:tcW w:w="632" w:type="dxa"/>
          </w:tcPr>
          <w:p w14:paraId="6F8A1E18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rFonts w:eastAsia="Arial"/>
                <w:b/>
                <w:sz w:val="24"/>
                <w:szCs w:val="24"/>
              </w:rPr>
            </w:pPr>
            <w:r w:rsidRPr="000D01F1">
              <w:rPr>
                <w:rFonts w:eastAsia="Arial"/>
                <w:b/>
                <w:sz w:val="24"/>
                <w:szCs w:val="24"/>
              </w:rPr>
              <w:t>1.7</w:t>
            </w:r>
          </w:p>
        </w:tc>
        <w:tc>
          <w:tcPr>
            <w:tcW w:w="3694" w:type="dxa"/>
          </w:tcPr>
          <w:p w14:paraId="20B17F26" w14:textId="77777777" w:rsidR="00E64747" w:rsidRPr="000D01F1" w:rsidRDefault="00E64747" w:rsidP="007A7371">
            <w:pPr>
              <w:tabs>
                <w:tab w:val="left" w:pos="284"/>
              </w:tabs>
              <w:spacing w:line="28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0D01F1">
              <w:rPr>
                <w:b/>
                <w:bCs/>
                <w:color w:val="000000"/>
                <w:sz w:val="24"/>
                <w:szCs w:val="24"/>
              </w:rPr>
              <w:t xml:space="preserve">Palyginamasis gydymas </w:t>
            </w:r>
          </w:p>
        </w:tc>
        <w:tc>
          <w:tcPr>
            <w:tcW w:w="4713" w:type="dxa"/>
          </w:tcPr>
          <w:p w14:paraId="5467952B" w14:textId="3D81B7D8" w:rsidR="00E64747" w:rsidRPr="000D01F1" w:rsidRDefault="0072762B" w:rsidP="002F573E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Sekukinumabas</w:t>
            </w:r>
            <w:proofErr w:type="spellEnd"/>
            <w:r w:rsidR="00B35F85">
              <w:rPr>
                <w:sz w:val="24"/>
                <w:szCs w:val="24"/>
              </w:rPr>
              <w:t xml:space="preserve">, </w:t>
            </w:r>
            <w:proofErr w:type="spellStart"/>
            <w:r w:rsidR="00B35F85">
              <w:rPr>
                <w:sz w:val="24"/>
                <w:szCs w:val="24"/>
              </w:rPr>
              <w:t>guselkumabas</w:t>
            </w:r>
            <w:proofErr w:type="spellEnd"/>
            <w:r w:rsidR="00B35F85">
              <w:rPr>
                <w:sz w:val="24"/>
                <w:szCs w:val="24"/>
              </w:rPr>
              <w:t xml:space="preserve">, </w:t>
            </w:r>
            <w:proofErr w:type="spellStart"/>
            <w:r w:rsidR="00B35F85">
              <w:rPr>
                <w:sz w:val="24"/>
                <w:szCs w:val="24"/>
              </w:rPr>
              <w:t>risankizumabas</w:t>
            </w:r>
            <w:proofErr w:type="spellEnd"/>
            <w:r w:rsidR="00B35F85">
              <w:rPr>
                <w:sz w:val="24"/>
                <w:szCs w:val="24"/>
              </w:rPr>
              <w:t>.</w:t>
            </w:r>
          </w:p>
        </w:tc>
      </w:tr>
    </w:tbl>
    <w:p w14:paraId="37C2DA9A" w14:textId="77777777" w:rsidR="00E64747" w:rsidRDefault="00E64747" w:rsidP="00E64747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494907E2" w14:textId="77777777" w:rsidR="00E64747" w:rsidRPr="00177C8C" w:rsidRDefault="00E64747" w:rsidP="00E64747">
      <w:pPr>
        <w:spacing w:line="276" w:lineRule="auto"/>
        <w:jc w:val="both"/>
        <w:rPr>
          <w:rFonts w:eastAsia="Arial"/>
          <w:b/>
        </w:rPr>
      </w:pPr>
      <w:r w:rsidRPr="00177C8C">
        <w:rPr>
          <w:rFonts w:eastAsia="Arial"/>
          <w:b/>
        </w:rPr>
        <w:t>1.</w:t>
      </w:r>
      <w:r>
        <w:rPr>
          <w:rFonts w:eastAsia="Arial"/>
          <w:b/>
        </w:rPr>
        <w:t>8</w:t>
      </w:r>
      <w:r w:rsidRPr="00177C8C">
        <w:rPr>
          <w:rFonts w:eastAsia="Arial"/>
          <w:b/>
        </w:rPr>
        <w:t xml:space="preserve"> Kitų </w:t>
      </w:r>
      <w:r>
        <w:rPr>
          <w:rFonts w:eastAsia="Arial"/>
          <w:b/>
        </w:rPr>
        <w:t>valstybių atsakingų institucijų atlikto Sveikatos technologijų vertinimo (toliau – STV)</w:t>
      </w:r>
      <w:r w:rsidRPr="00177C8C">
        <w:rPr>
          <w:rFonts w:eastAsia="Arial"/>
          <w:b/>
        </w:rPr>
        <w:t xml:space="preserve"> išvados</w:t>
      </w:r>
    </w:p>
    <w:p w14:paraId="11C03CF3" w14:textId="77777777" w:rsidR="00E64747" w:rsidRDefault="00E64747" w:rsidP="00E64747">
      <w:pPr>
        <w:spacing w:line="276" w:lineRule="auto"/>
        <w:rPr>
          <w:rFonts w:eastAsia="Arial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2927"/>
        <w:gridCol w:w="1915"/>
        <w:gridCol w:w="2351"/>
        <w:gridCol w:w="2725"/>
      </w:tblGrid>
      <w:tr w:rsidR="00B35F85" w:rsidRPr="00D05364" w14:paraId="20EB2506" w14:textId="77777777" w:rsidTr="009D6D56">
        <w:trPr>
          <w:trHeight w:val="924"/>
        </w:trPr>
        <w:tc>
          <w:tcPr>
            <w:tcW w:w="2927" w:type="dxa"/>
          </w:tcPr>
          <w:p w14:paraId="77B0340E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STV agentūros pavadinimas, šalis</w:t>
            </w:r>
          </w:p>
        </w:tc>
        <w:tc>
          <w:tcPr>
            <w:tcW w:w="1915" w:type="dxa"/>
          </w:tcPr>
          <w:p w14:paraId="3DC9F2E0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STV vertinimas atliktas</w:t>
            </w:r>
          </w:p>
        </w:tc>
        <w:tc>
          <w:tcPr>
            <w:tcW w:w="2351" w:type="dxa"/>
          </w:tcPr>
          <w:p w14:paraId="07774F13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Klinikinio vertinimo išvada</w:t>
            </w:r>
          </w:p>
        </w:tc>
        <w:tc>
          <w:tcPr>
            <w:tcW w:w="2725" w:type="dxa"/>
          </w:tcPr>
          <w:p w14:paraId="07213B43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proofErr w:type="spellStart"/>
            <w:r w:rsidRPr="00D05364">
              <w:rPr>
                <w:rFonts w:eastAsia="Arial"/>
                <w:szCs w:val="24"/>
              </w:rPr>
              <w:t>Farmakoekonominio</w:t>
            </w:r>
            <w:proofErr w:type="spellEnd"/>
            <w:r w:rsidRPr="00D05364">
              <w:rPr>
                <w:rFonts w:eastAsia="Arial"/>
                <w:szCs w:val="24"/>
              </w:rPr>
              <w:t xml:space="preserve"> vertinimo išvada</w:t>
            </w:r>
          </w:p>
        </w:tc>
      </w:tr>
      <w:tr w:rsidR="00B35F85" w:rsidRPr="00D05364" w14:paraId="79EE93D7" w14:textId="77777777" w:rsidTr="009D6D56">
        <w:trPr>
          <w:trHeight w:val="1765"/>
        </w:trPr>
        <w:tc>
          <w:tcPr>
            <w:tcW w:w="2927" w:type="dxa"/>
          </w:tcPr>
          <w:p w14:paraId="77F82D0B" w14:textId="77777777" w:rsidR="00B35F85" w:rsidRPr="00D05364" w:rsidRDefault="00B35F85" w:rsidP="009D6D5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D05364">
              <w:rPr>
                <w:bCs/>
                <w:szCs w:val="24"/>
              </w:rPr>
              <w:t>Nacionalinis sveikatos ir klinikinės kompetencijos institutas, Didžioji Britanija</w:t>
            </w:r>
          </w:p>
          <w:p w14:paraId="06E50559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National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Institute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for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Health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and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Care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Excellence</w:t>
            </w:r>
            <w:proofErr w:type="spellEnd"/>
            <w:r w:rsidRPr="00D05364">
              <w:rPr>
                <w:rFonts w:eastAsia="Arial"/>
                <w:i/>
                <w:szCs w:val="24"/>
              </w:rPr>
              <w:t>, NICE</w:t>
            </w:r>
            <w:r w:rsidRPr="00D05364">
              <w:rPr>
                <w:rFonts w:eastAsia="Arial"/>
                <w:szCs w:val="24"/>
              </w:rPr>
              <w:t>)</w:t>
            </w:r>
          </w:p>
        </w:tc>
        <w:tc>
          <w:tcPr>
            <w:tcW w:w="1915" w:type="dxa"/>
          </w:tcPr>
          <w:p w14:paraId="1B0ACEAC" w14:textId="77777777" w:rsidR="00B35F85" w:rsidRPr="00D05364" w:rsidRDefault="008C3566" w:rsidP="009D6D56">
            <w:sdt>
              <w:sdtPr>
                <w:rPr>
                  <w:rStyle w:val="Style2"/>
                  <w:sz w:val="24"/>
                </w:rPr>
                <w:id w:val="155820502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F85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B35F85" w:rsidRPr="00D05364">
              <w:t xml:space="preserve"> Taip</w:t>
            </w:r>
          </w:p>
          <w:p w14:paraId="08A75DD3" w14:textId="77777777" w:rsidR="00B35F85" w:rsidRPr="00D05364" w:rsidRDefault="008C3566" w:rsidP="009D6D56">
            <w:sdt>
              <w:sdtPr>
                <w:rPr>
                  <w:rStyle w:val="Style2"/>
                  <w:sz w:val="24"/>
                </w:rPr>
                <w:id w:val="8660296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F85" w:rsidRPr="00D05364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35F85" w:rsidRPr="00D05364">
              <w:t xml:space="preserve"> Ne</w:t>
            </w:r>
          </w:p>
          <w:p w14:paraId="17C72A1E" w14:textId="77777777" w:rsidR="00B35F85" w:rsidRPr="00D05364" w:rsidRDefault="008C3566" w:rsidP="009D6D56">
            <w:pPr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922837954"/>
                <w:placeholder>
                  <w:docPart w:val="49FBDFEA0413DE43B03940D7D4545048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35F85">
                  <w:t>2018 m. rugpjūčio 8 d.</w:t>
                </w:r>
              </w:sdtContent>
            </w:sdt>
          </w:p>
        </w:tc>
        <w:tc>
          <w:tcPr>
            <w:tcW w:w="5076" w:type="dxa"/>
            <w:gridSpan w:val="2"/>
          </w:tcPr>
          <w:p w14:paraId="4EA778CB" w14:textId="77777777" w:rsidR="00B35F85" w:rsidRPr="006878B8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proofErr w:type="spellStart"/>
            <w:r w:rsidRPr="006878B8">
              <w:rPr>
                <w:rFonts w:eastAsia="Arial"/>
                <w:szCs w:val="24"/>
              </w:rPr>
              <w:t>Iksekizumabas</w:t>
            </w:r>
            <w:proofErr w:type="spellEnd"/>
            <w:r w:rsidRPr="006878B8">
              <w:rPr>
                <w:rFonts w:eastAsia="Arial"/>
                <w:szCs w:val="24"/>
              </w:rPr>
              <w:t xml:space="preserve"> vienas arba kartu su </w:t>
            </w:r>
            <w:proofErr w:type="spellStart"/>
            <w:r w:rsidRPr="006878B8">
              <w:rPr>
                <w:rFonts w:eastAsia="Arial"/>
                <w:szCs w:val="24"/>
              </w:rPr>
              <w:t>metotreksatu</w:t>
            </w:r>
            <w:proofErr w:type="spellEnd"/>
            <w:r w:rsidRPr="006878B8">
              <w:rPr>
                <w:rFonts w:eastAsia="Arial"/>
                <w:szCs w:val="24"/>
              </w:rPr>
              <w:t xml:space="preserve"> rekomenduojamas kaip alternatyva aktyviam </w:t>
            </w:r>
            <w:proofErr w:type="spellStart"/>
            <w:r w:rsidRPr="006878B8">
              <w:rPr>
                <w:rFonts w:eastAsia="Arial"/>
                <w:szCs w:val="24"/>
              </w:rPr>
              <w:t>psoriaziniam</w:t>
            </w:r>
            <w:proofErr w:type="spellEnd"/>
            <w:r w:rsidRPr="006878B8">
              <w:rPr>
                <w:rFonts w:eastAsia="Arial"/>
                <w:szCs w:val="24"/>
              </w:rPr>
              <w:t xml:space="preserve"> artritui suaugusiesiems gydyti, tik tuo atveju, jei:</w:t>
            </w:r>
          </w:p>
          <w:p w14:paraId="09D1F0EC" w14:textId="77777777" w:rsidR="00B35F85" w:rsidRPr="006878B8" w:rsidRDefault="00B35F85" w:rsidP="00B35F85">
            <w:pPr>
              <w:pStyle w:val="Sraopastraipa"/>
              <w:numPr>
                <w:ilvl w:val="0"/>
                <w:numId w:val="8"/>
              </w:numPr>
              <w:spacing w:line="276" w:lineRule="auto"/>
              <w:rPr>
                <w:rFonts w:eastAsia="Arial"/>
                <w:szCs w:val="24"/>
              </w:rPr>
            </w:pPr>
            <w:r w:rsidRPr="006878B8">
              <w:rPr>
                <w:rFonts w:eastAsia="Arial"/>
                <w:szCs w:val="24"/>
              </w:rPr>
              <w:t xml:space="preserve">jis vartojamas, kaip aprašyta NICE technologijų vertinimo gairėse dėl </w:t>
            </w:r>
            <w:proofErr w:type="spellStart"/>
            <w:r w:rsidRPr="006878B8">
              <w:rPr>
                <w:rFonts w:eastAsia="Arial"/>
                <w:szCs w:val="24"/>
              </w:rPr>
              <w:t>etanercepto</w:t>
            </w:r>
            <w:proofErr w:type="spellEnd"/>
            <w:r w:rsidRPr="006878B8">
              <w:rPr>
                <w:rFonts w:eastAsia="Arial"/>
                <w:szCs w:val="24"/>
              </w:rPr>
              <w:t xml:space="preserve">, </w:t>
            </w:r>
            <w:proofErr w:type="spellStart"/>
            <w:r w:rsidRPr="006878B8">
              <w:rPr>
                <w:rFonts w:eastAsia="Arial"/>
                <w:szCs w:val="24"/>
              </w:rPr>
              <w:t>infliksimabo</w:t>
            </w:r>
            <w:proofErr w:type="spellEnd"/>
            <w:r w:rsidRPr="006878B8">
              <w:rPr>
                <w:rFonts w:eastAsia="Arial"/>
                <w:szCs w:val="24"/>
              </w:rPr>
              <w:t xml:space="preserve"> ir </w:t>
            </w:r>
            <w:proofErr w:type="spellStart"/>
            <w:r w:rsidRPr="006878B8">
              <w:rPr>
                <w:rFonts w:eastAsia="Arial"/>
                <w:szCs w:val="24"/>
              </w:rPr>
              <w:t>adalimumabo</w:t>
            </w:r>
            <w:proofErr w:type="spellEnd"/>
            <w:r w:rsidRPr="006878B8">
              <w:rPr>
                <w:rFonts w:eastAsia="Arial"/>
                <w:szCs w:val="24"/>
              </w:rPr>
              <w:t xml:space="preserve"> </w:t>
            </w:r>
            <w:proofErr w:type="spellStart"/>
            <w:r w:rsidRPr="006878B8">
              <w:rPr>
                <w:rFonts w:eastAsia="Arial"/>
                <w:szCs w:val="24"/>
              </w:rPr>
              <w:t>psoriaziniam</w:t>
            </w:r>
            <w:proofErr w:type="spellEnd"/>
            <w:r w:rsidRPr="006878B8">
              <w:rPr>
                <w:rFonts w:eastAsia="Arial"/>
                <w:szCs w:val="24"/>
              </w:rPr>
              <w:t xml:space="preserve"> artritui gydyti arba</w:t>
            </w:r>
          </w:p>
          <w:p w14:paraId="561433CC" w14:textId="77777777" w:rsidR="00B35F85" w:rsidRDefault="00B35F85" w:rsidP="00B35F85">
            <w:pPr>
              <w:pStyle w:val="Sraopastraipa"/>
              <w:numPr>
                <w:ilvl w:val="0"/>
                <w:numId w:val="8"/>
              </w:numPr>
              <w:spacing w:line="276" w:lineRule="auto"/>
              <w:rPr>
                <w:rFonts w:eastAsia="Arial"/>
                <w:szCs w:val="24"/>
              </w:rPr>
            </w:pPr>
            <w:r w:rsidRPr="006878B8">
              <w:rPr>
                <w:rFonts w:eastAsia="Arial"/>
                <w:szCs w:val="24"/>
              </w:rPr>
              <w:t>asmuo vartojo naviko nekrozės faktoriaus (TNF) alfa inhibitorių, tačiau jo liga nereagavo per pirmąsias 12 savaičių arba nustojo reaguoti po pirmųjų 12 savaičių arba</w:t>
            </w:r>
          </w:p>
          <w:p w14:paraId="6013FD70" w14:textId="77777777" w:rsidR="00B35F85" w:rsidRPr="006878B8" w:rsidRDefault="00B35F85" w:rsidP="00B35F85">
            <w:pPr>
              <w:pStyle w:val="Sraopastraipa"/>
              <w:numPr>
                <w:ilvl w:val="0"/>
                <w:numId w:val="8"/>
              </w:numPr>
              <w:spacing w:line="276" w:lineRule="auto"/>
              <w:rPr>
                <w:rFonts w:eastAsia="Arial"/>
                <w:szCs w:val="24"/>
              </w:rPr>
            </w:pPr>
            <w:r w:rsidRPr="006878B8">
              <w:rPr>
                <w:rFonts w:eastAsia="Arial"/>
                <w:szCs w:val="24"/>
              </w:rPr>
              <w:t>TNF alfa inhibitor</w:t>
            </w:r>
            <w:r>
              <w:rPr>
                <w:rFonts w:eastAsia="Arial"/>
                <w:szCs w:val="24"/>
              </w:rPr>
              <w:t>ių skyrimas</w:t>
            </w:r>
            <w:r w:rsidRPr="006878B8">
              <w:rPr>
                <w:rFonts w:eastAsia="Arial"/>
                <w:szCs w:val="24"/>
              </w:rPr>
              <w:t xml:space="preserve"> yra </w:t>
            </w:r>
            <w:r>
              <w:rPr>
                <w:rFonts w:eastAsia="Arial"/>
                <w:szCs w:val="24"/>
              </w:rPr>
              <w:t>negalimas</w:t>
            </w:r>
            <w:r w:rsidRPr="006878B8">
              <w:rPr>
                <w:rFonts w:eastAsia="Arial"/>
                <w:szCs w:val="24"/>
              </w:rPr>
              <w:t>, bet kitaip būtų svarstom</w:t>
            </w:r>
            <w:r>
              <w:rPr>
                <w:rFonts w:eastAsia="Arial"/>
                <w:szCs w:val="24"/>
              </w:rPr>
              <w:t>as</w:t>
            </w:r>
            <w:r w:rsidRPr="006878B8">
              <w:rPr>
                <w:rFonts w:eastAsia="Arial"/>
                <w:szCs w:val="24"/>
              </w:rPr>
              <w:t>.</w:t>
            </w:r>
          </w:p>
        </w:tc>
      </w:tr>
      <w:tr w:rsidR="00B35F85" w:rsidRPr="00D05364" w14:paraId="4918AFE9" w14:textId="77777777" w:rsidTr="009D6D56">
        <w:trPr>
          <w:trHeight w:val="1547"/>
        </w:trPr>
        <w:tc>
          <w:tcPr>
            <w:tcW w:w="2927" w:type="dxa"/>
          </w:tcPr>
          <w:p w14:paraId="50AA9D5C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Kanados sveikatos technologijų agentūra</w:t>
            </w:r>
          </w:p>
          <w:p w14:paraId="3C63AECF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Canadian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health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Technology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Assessment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agency</w:t>
            </w:r>
            <w:proofErr w:type="spellEnd"/>
            <w:r w:rsidRPr="00D05364">
              <w:rPr>
                <w:rFonts w:eastAsia="Arial"/>
                <w:i/>
                <w:szCs w:val="24"/>
              </w:rPr>
              <w:t>, CADTH</w:t>
            </w:r>
            <w:r w:rsidRPr="00D05364">
              <w:rPr>
                <w:rFonts w:eastAsia="Arial"/>
                <w:szCs w:val="24"/>
              </w:rPr>
              <w:t>)</w:t>
            </w:r>
          </w:p>
        </w:tc>
        <w:tc>
          <w:tcPr>
            <w:tcW w:w="1915" w:type="dxa"/>
          </w:tcPr>
          <w:p w14:paraId="5736139D" w14:textId="77777777" w:rsidR="00B35F85" w:rsidRPr="00D05364" w:rsidRDefault="008C3566" w:rsidP="009D6D56">
            <w:sdt>
              <w:sdtPr>
                <w:rPr>
                  <w:rStyle w:val="Style2"/>
                  <w:sz w:val="24"/>
                </w:rPr>
                <w:id w:val="-37253905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F85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B35F85" w:rsidRPr="00D05364">
              <w:t xml:space="preserve"> Taip</w:t>
            </w:r>
          </w:p>
          <w:p w14:paraId="509B54C3" w14:textId="77777777" w:rsidR="00B35F85" w:rsidRPr="00D05364" w:rsidRDefault="008C3566" w:rsidP="009D6D56">
            <w:sdt>
              <w:sdtPr>
                <w:rPr>
                  <w:rStyle w:val="Style2"/>
                  <w:sz w:val="24"/>
                </w:rPr>
                <w:id w:val="5944422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F85" w:rsidRPr="00D05364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35F85" w:rsidRPr="00D05364">
              <w:t xml:space="preserve"> Ne</w:t>
            </w:r>
          </w:p>
          <w:p w14:paraId="720F97CD" w14:textId="77777777" w:rsidR="00B35F85" w:rsidRPr="00D05364" w:rsidRDefault="008C3566" w:rsidP="009D6D56">
            <w:pPr>
              <w:spacing w:line="276" w:lineRule="auto"/>
              <w:rPr>
                <w:rFonts w:eastAsia="Arial"/>
                <w:szCs w:val="24"/>
              </w:rPr>
            </w:pPr>
            <w:sdt>
              <w:sdtPr>
                <w:alias w:val="Nurodykite konkrečią dieną"/>
                <w:tag w:val="Nurodykite pradžios datą"/>
                <w:id w:val="1072468416"/>
                <w:placeholder>
                  <w:docPart w:val="2560F161AFDA8E4C98AB2471618B755C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35F85">
                  <w:rPr>
                    <w:szCs w:val="24"/>
                  </w:rPr>
                  <w:t>2018 m. rugpjūčio 31 d.</w:t>
                </w:r>
              </w:sdtContent>
            </w:sdt>
          </w:p>
        </w:tc>
        <w:tc>
          <w:tcPr>
            <w:tcW w:w="5076" w:type="dxa"/>
            <w:gridSpan w:val="2"/>
          </w:tcPr>
          <w:p w14:paraId="5B3F80F1" w14:textId="77777777" w:rsidR="00B35F85" w:rsidRPr="006878B8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r w:rsidRPr="006878B8">
              <w:rPr>
                <w:rFonts w:eastAsia="Arial"/>
                <w:szCs w:val="24"/>
              </w:rPr>
              <w:t xml:space="preserve">Kanados vaistų ekspertų komitetas (CADTH) rekomenduoja kompensuoti </w:t>
            </w:r>
            <w:proofErr w:type="spellStart"/>
            <w:r w:rsidRPr="006878B8">
              <w:rPr>
                <w:rFonts w:eastAsia="Arial"/>
                <w:szCs w:val="24"/>
              </w:rPr>
              <w:t>iksekizumabą</w:t>
            </w:r>
            <w:proofErr w:type="spellEnd"/>
            <w:r w:rsidRPr="006878B8">
              <w:rPr>
                <w:rFonts w:eastAsia="Arial"/>
                <w:szCs w:val="24"/>
              </w:rPr>
              <w:t xml:space="preserve"> suaugusiems pacientams, sergantiems aktyviu </w:t>
            </w:r>
            <w:proofErr w:type="spellStart"/>
            <w:r w:rsidRPr="006878B8">
              <w:rPr>
                <w:rFonts w:eastAsia="Arial"/>
                <w:szCs w:val="24"/>
              </w:rPr>
              <w:t>PsA</w:t>
            </w:r>
            <w:proofErr w:type="spellEnd"/>
            <w:r w:rsidRPr="006878B8">
              <w:rPr>
                <w:rFonts w:eastAsia="Arial"/>
                <w:szCs w:val="24"/>
              </w:rPr>
              <w:t>, kurie nepakankamai reagavo į vieną ar daugiau DMARD arba jų netoleruoja, jei tenkinama ši sąlyga:</w:t>
            </w:r>
          </w:p>
          <w:p w14:paraId="2E4285ED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proofErr w:type="spellStart"/>
            <w:r w:rsidRPr="006878B8">
              <w:rPr>
                <w:rFonts w:eastAsia="Arial"/>
                <w:szCs w:val="24"/>
              </w:rPr>
              <w:t>Iksekizumabas</w:t>
            </w:r>
            <w:proofErr w:type="spellEnd"/>
            <w:r w:rsidRPr="006878B8">
              <w:rPr>
                <w:rFonts w:eastAsia="Arial"/>
                <w:szCs w:val="24"/>
              </w:rPr>
              <w:t xml:space="preserve"> turėtų taupyti išlaid</w:t>
            </w:r>
            <w:r>
              <w:rPr>
                <w:rFonts w:eastAsia="Arial"/>
                <w:szCs w:val="24"/>
              </w:rPr>
              <w:t>as</w:t>
            </w:r>
            <w:r w:rsidRPr="006878B8">
              <w:rPr>
                <w:rFonts w:eastAsia="Arial"/>
                <w:szCs w:val="24"/>
              </w:rPr>
              <w:t xml:space="preserve">, palyginti su kitais biologiniais vaistais, kompensuojamais </w:t>
            </w:r>
            <w:proofErr w:type="spellStart"/>
            <w:r w:rsidRPr="006878B8">
              <w:rPr>
                <w:rFonts w:eastAsia="Arial"/>
                <w:szCs w:val="24"/>
              </w:rPr>
              <w:t>PsA</w:t>
            </w:r>
            <w:proofErr w:type="spellEnd"/>
            <w:r w:rsidRPr="006878B8">
              <w:rPr>
                <w:rFonts w:eastAsia="Arial"/>
                <w:szCs w:val="24"/>
              </w:rPr>
              <w:t xml:space="preserve"> gydymui.</w:t>
            </w:r>
          </w:p>
        </w:tc>
      </w:tr>
      <w:tr w:rsidR="00B35F85" w:rsidRPr="00D05364" w14:paraId="5852F4BB" w14:textId="77777777" w:rsidTr="009D6D56">
        <w:trPr>
          <w:trHeight w:val="1927"/>
        </w:trPr>
        <w:tc>
          <w:tcPr>
            <w:tcW w:w="2927" w:type="dxa"/>
          </w:tcPr>
          <w:p w14:paraId="53215D2D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 xml:space="preserve">Nacionalinis </w:t>
            </w:r>
            <w:proofErr w:type="spellStart"/>
            <w:r w:rsidRPr="00D05364">
              <w:rPr>
                <w:rFonts w:eastAsia="Arial"/>
                <w:szCs w:val="24"/>
              </w:rPr>
              <w:t>farmakoekonomikos</w:t>
            </w:r>
            <w:proofErr w:type="spellEnd"/>
            <w:r w:rsidRPr="00D05364">
              <w:rPr>
                <w:rFonts w:eastAsia="Arial"/>
                <w:szCs w:val="24"/>
              </w:rPr>
              <w:t xml:space="preserve"> centras, Airija</w:t>
            </w:r>
          </w:p>
          <w:p w14:paraId="420077E4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  <w:r w:rsidRPr="00D05364">
              <w:rPr>
                <w:rFonts w:eastAsia="Arial"/>
                <w:szCs w:val="24"/>
              </w:rPr>
              <w:t>(angl.</w:t>
            </w:r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National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Centre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for</w:t>
            </w:r>
            <w:proofErr w:type="spellEnd"/>
            <w:r w:rsidRPr="00D05364">
              <w:rPr>
                <w:rFonts w:eastAsia="Arial"/>
                <w:i/>
                <w:szCs w:val="24"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  <w:szCs w:val="24"/>
              </w:rPr>
              <w:t>Pharmacoeconomics</w:t>
            </w:r>
            <w:proofErr w:type="spellEnd"/>
            <w:r w:rsidRPr="00D05364">
              <w:rPr>
                <w:rFonts w:eastAsia="Arial"/>
                <w:i/>
                <w:szCs w:val="24"/>
              </w:rPr>
              <w:t>, NCPE</w:t>
            </w:r>
            <w:r w:rsidRPr="00D05364">
              <w:rPr>
                <w:rFonts w:eastAsia="Arial"/>
                <w:szCs w:val="24"/>
              </w:rPr>
              <w:t>)</w:t>
            </w:r>
          </w:p>
        </w:tc>
        <w:tc>
          <w:tcPr>
            <w:tcW w:w="1915" w:type="dxa"/>
          </w:tcPr>
          <w:p w14:paraId="270438ED" w14:textId="77777777" w:rsidR="00B35F85" w:rsidRPr="00D05364" w:rsidRDefault="008C3566" w:rsidP="009D6D56">
            <w:sdt>
              <w:sdtPr>
                <w:rPr>
                  <w:rStyle w:val="Style2"/>
                  <w:sz w:val="24"/>
                </w:rPr>
                <w:id w:val="-18884037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F85" w:rsidRPr="00D05364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35F85" w:rsidRPr="00D05364">
              <w:t xml:space="preserve"> Taip</w:t>
            </w:r>
          </w:p>
          <w:p w14:paraId="6808A06E" w14:textId="77777777" w:rsidR="00B35F85" w:rsidRPr="00D05364" w:rsidRDefault="008C3566" w:rsidP="009D6D56">
            <w:sdt>
              <w:sdtPr>
                <w:rPr>
                  <w:rStyle w:val="Style2"/>
                  <w:sz w:val="24"/>
                </w:rPr>
                <w:id w:val="1092201793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F85">
                  <w:rPr>
                    <w:rStyle w:val="Style2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B35F85" w:rsidRPr="00D05364">
              <w:t xml:space="preserve"> Ne</w:t>
            </w:r>
          </w:p>
          <w:p w14:paraId="2DFF8EFA" w14:textId="77777777" w:rsidR="00B35F85" w:rsidRPr="00D05364" w:rsidRDefault="008C3566" w:rsidP="009D6D56">
            <w:pPr>
              <w:spacing w:line="276" w:lineRule="auto"/>
              <w:rPr>
                <w:rFonts w:eastAsia="Arial"/>
                <w:szCs w:val="24"/>
              </w:rPr>
            </w:pPr>
            <w:sdt>
              <w:sdtPr>
                <w:alias w:val="Nurodykite konkrečią dieną"/>
                <w:tag w:val="Nurodykite pradžios datą"/>
                <w:id w:val="-198323198"/>
                <w:placeholder>
                  <w:docPart w:val="5DBEFEDD332FFB4B9726C6F42C4B9715"/>
                </w:placeholder>
                <w:showingPlcHdr/>
                <w15:color w:val="FFCC99"/>
                <w:date w:fullDate="2022-05-18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35F85" w:rsidRPr="00D05364">
                  <w:rPr>
                    <w:rStyle w:val="Vietosrezervavimoenklotekstas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2351" w:type="dxa"/>
          </w:tcPr>
          <w:p w14:paraId="401CDFB1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</w:p>
        </w:tc>
        <w:tc>
          <w:tcPr>
            <w:tcW w:w="2725" w:type="dxa"/>
          </w:tcPr>
          <w:p w14:paraId="2EBE5F18" w14:textId="77777777" w:rsidR="00B35F85" w:rsidRPr="00D05364" w:rsidRDefault="00B35F85" w:rsidP="009D6D56">
            <w:pPr>
              <w:spacing w:line="276" w:lineRule="auto"/>
              <w:rPr>
                <w:rFonts w:eastAsia="Arial"/>
                <w:szCs w:val="24"/>
              </w:rPr>
            </w:pPr>
          </w:p>
        </w:tc>
      </w:tr>
    </w:tbl>
    <w:p w14:paraId="1F0F60A9" w14:textId="77777777" w:rsidR="00E64747" w:rsidRDefault="00E64747" w:rsidP="00E64747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2BFBF75B" w14:textId="1D5E1676" w:rsidR="00E64747" w:rsidRDefault="00E64747" w:rsidP="00E64747">
      <w:pPr>
        <w:pStyle w:val="Sraopastraipa"/>
        <w:numPr>
          <w:ilvl w:val="0"/>
          <w:numId w:val="1"/>
        </w:numPr>
        <w:tabs>
          <w:tab w:val="left" w:pos="284"/>
        </w:tabs>
        <w:rPr>
          <w:b/>
          <w:bCs/>
          <w:caps/>
        </w:rPr>
      </w:pPr>
      <w:r w:rsidRPr="00937907">
        <w:rPr>
          <w:b/>
          <w:bCs/>
          <w:caps/>
        </w:rPr>
        <w:t>Klinikinio vertinimo apibendrinimas</w:t>
      </w:r>
    </w:p>
    <w:p w14:paraId="3D905E18" w14:textId="77777777" w:rsidR="00B35F85" w:rsidRPr="00937907" w:rsidRDefault="00B35F85" w:rsidP="00B35F85">
      <w:pPr>
        <w:pStyle w:val="Sraopastraipa"/>
        <w:tabs>
          <w:tab w:val="left" w:pos="284"/>
        </w:tabs>
        <w:rPr>
          <w:b/>
          <w:bCs/>
          <w:caps/>
        </w:rPr>
      </w:pPr>
    </w:p>
    <w:p w14:paraId="7ADA773C" w14:textId="77777777" w:rsidR="00B35F85" w:rsidRDefault="00B35F85" w:rsidP="00B35F85">
      <w:pPr>
        <w:ind w:firstLine="720"/>
        <w:jc w:val="both"/>
        <w:rPr>
          <w:lang w:eastAsia="lt-LT"/>
        </w:rPr>
      </w:pPr>
      <w:proofErr w:type="spellStart"/>
      <w:r w:rsidRPr="0019135A">
        <w:rPr>
          <w:lang w:eastAsia="lt-LT"/>
        </w:rPr>
        <w:t>Psoriazinis</w:t>
      </w:r>
      <w:proofErr w:type="spellEnd"/>
      <w:r w:rsidRPr="0019135A">
        <w:rPr>
          <w:lang w:eastAsia="lt-LT"/>
        </w:rPr>
        <w:t xml:space="preserve"> artritas (PA) TLK-10 AM M07 – tai lėtinis autoimuninės kilmės sąnarių uždegimas, kai kartu nustatoma psoriazė. Ligai būdingas periferinis artritas, </w:t>
      </w:r>
      <w:proofErr w:type="spellStart"/>
      <w:r w:rsidRPr="0019135A">
        <w:rPr>
          <w:lang w:eastAsia="lt-LT"/>
        </w:rPr>
        <w:t>entezitas</w:t>
      </w:r>
      <w:proofErr w:type="spellEnd"/>
      <w:r w:rsidRPr="0019135A">
        <w:rPr>
          <w:lang w:eastAsia="lt-LT"/>
        </w:rPr>
        <w:t xml:space="preserve">, </w:t>
      </w:r>
      <w:proofErr w:type="spellStart"/>
      <w:r w:rsidRPr="0019135A">
        <w:rPr>
          <w:lang w:eastAsia="lt-LT"/>
        </w:rPr>
        <w:t>daktilitas</w:t>
      </w:r>
      <w:proofErr w:type="spellEnd"/>
      <w:r w:rsidRPr="0019135A">
        <w:rPr>
          <w:lang w:eastAsia="lt-LT"/>
        </w:rPr>
        <w:t xml:space="preserve"> ir ašinio skeleto uždegimas. Odos pažeidimas 80 proc. atvejų nustatomas anksčiau, nei kaulų ar sąnarių pažeidimas.</w:t>
      </w:r>
    </w:p>
    <w:p w14:paraId="1B0D1FDC" w14:textId="77777777" w:rsidR="00B35F85" w:rsidRDefault="00B35F85" w:rsidP="00B35F85">
      <w:pPr>
        <w:ind w:firstLine="720"/>
        <w:jc w:val="both"/>
        <w:rPr>
          <w:lang w:eastAsia="lt-LT"/>
        </w:rPr>
      </w:pPr>
      <w:r w:rsidRPr="0019135A">
        <w:rPr>
          <w:lang w:eastAsia="lt-LT"/>
        </w:rPr>
        <w:t xml:space="preserve">Literatūros duomenimis, </w:t>
      </w:r>
      <w:proofErr w:type="spellStart"/>
      <w:r w:rsidRPr="0019135A">
        <w:rPr>
          <w:lang w:eastAsia="lt-LT"/>
        </w:rPr>
        <w:t>psoriazinio</w:t>
      </w:r>
      <w:proofErr w:type="spellEnd"/>
      <w:r w:rsidRPr="0019135A">
        <w:rPr>
          <w:lang w:eastAsia="lt-LT"/>
        </w:rPr>
        <w:t xml:space="preserve"> artrito paplitimas tarp sergančiųjų psoriaze svyruoja nuo 6 iki 42 proc. Remiantis naujaisiais CASPAR klasifikacijos kriterijais atliktų tyrimų duomenimis, </w:t>
      </w:r>
      <w:proofErr w:type="spellStart"/>
      <w:r w:rsidRPr="0019135A">
        <w:rPr>
          <w:lang w:eastAsia="lt-LT"/>
        </w:rPr>
        <w:t>psoriazinis</w:t>
      </w:r>
      <w:proofErr w:type="spellEnd"/>
      <w:r w:rsidRPr="0019135A">
        <w:rPr>
          <w:lang w:eastAsia="lt-LT"/>
        </w:rPr>
        <w:t xml:space="preserve"> artritas nustatomas 14 proc. sergančiųjų odos psoriaze. Vyrų ir moterų sergamumas panašus, dažniausiai liga pasireiškia 30–55 metų žmonėms.</w:t>
      </w:r>
    </w:p>
    <w:p w14:paraId="58450690" w14:textId="77777777" w:rsidR="00B35F85" w:rsidRDefault="00B35F85" w:rsidP="00B35F85">
      <w:pPr>
        <w:ind w:firstLine="720"/>
        <w:jc w:val="both"/>
        <w:rPr>
          <w:lang w:eastAsia="lt-LT"/>
        </w:rPr>
      </w:pPr>
      <w:r w:rsidRPr="0019135A">
        <w:rPr>
          <w:lang w:eastAsia="lt-LT"/>
        </w:rPr>
        <w:t xml:space="preserve">Atsižvelgiant į ligos sunkumą, požymius ir tyrimų rezultatus, pacientai pradedami gydyti nesteroidiniais vaistais nuo uždegimo ir tradiciniais sintetiniais ligą modifikuojančiais vaistais. Jei gydant maksimalia toleruojama </w:t>
      </w:r>
      <w:proofErr w:type="spellStart"/>
      <w:r w:rsidRPr="0019135A">
        <w:rPr>
          <w:lang w:eastAsia="lt-LT"/>
        </w:rPr>
        <w:t>metotreksato</w:t>
      </w:r>
      <w:proofErr w:type="spellEnd"/>
      <w:r w:rsidRPr="0019135A">
        <w:rPr>
          <w:lang w:eastAsia="lt-LT"/>
        </w:rPr>
        <w:t xml:space="preserve"> ar </w:t>
      </w:r>
      <w:proofErr w:type="spellStart"/>
      <w:r w:rsidRPr="0019135A">
        <w:rPr>
          <w:lang w:eastAsia="lt-LT"/>
        </w:rPr>
        <w:t>sulfasalazino</w:t>
      </w:r>
      <w:proofErr w:type="spellEnd"/>
      <w:r w:rsidRPr="0019135A">
        <w:rPr>
          <w:lang w:eastAsia="lt-LT"/>
        </w:rPr>
        <w:t xml:space="preserve"> doze pagal atitinkamo vaistinio preparato charakteristikų santrauką per 3 mėn. nepasiekiamas gydymo tikslas arba šie vaistai yra </w:t>
      </w:r>
      <w:proofErr w:type="spellStart"/>
      <w:r w:rsidRPr="0019135A">
        <w:rPr>
          <w:lang w:eastAsia="lt-LT"/>
        </w:rPr>
        <w:t>kontraindikuotini</w:t>
      </w:r>
      <w:proofErr w:type="spellEnd"/>
      <w:r w:rsidRPr="0019135A">
        <w:rPr>
          <w:lang w:eastAsia="lt-LT"/>
        </w:rPr>
        <w:t xml:space="preserve">, arba esant nepalankios prognozės veiksniams, arba taikant gydymą 4–12 savaičių pastebimas ligos progresavimas, gydytojas </w:t>
      </w:r>
      <w:proofErr w:type="spellStart"/>
      <w:r w:rsidRPr="0019135A">
        <w:rPr>
          <w:lang w:eastAsia="lt-LT"/>
        </w:rPr>
        <w:t>reumatologas</w:t>
      </w:r>
      <w:proofErr w:type="spellEnd"/>
      <w:r w:rsidRPr="0019135A">
        <w:rPr>
          <w:lang w:eastAsia="lt-LT"/>
        </w:rPr>
        <w:t xml:space="preserve"> skiria biologinį ligą modifikuojantį vaistą (toliau – </w:t>
      </w:r>
      <w:proofErr w:type="spellStart"/>
      <w:r w:rsidRPr="0019135A">
        <w:rPr>
          <w:lang w:eastAsia="lt-LT"/>
        </w:rPr>
        <w:t>bLMV</w:t>
      </w:r>
      <w:proofErr w:type="spellEnd"/>
      <w:r w:rsidRPr="0019135A">
        <w:rPr>
          <w:lang w:eastAsia="lt-LT"/>
        </w:rPr>
        <w:t xml:space="preserve">) arba </w:t>
      </w:r>
      <w:proofErr w:type="spellStart"/>
      <w:r w:rsidRPr="0019135A">
        <w:rPr>
          <w:lang w:eastAsia="lt-LT"/>
        </w:rPr>
        <w:t>fosfodiesterazės</w:t>
      </w:r>
      <w:proofErr w:type="spellEnd"/>
      <w:r w:rsidRPr="0019135A">
        <w:rPr>
          <w:lang w:eastAsia="lt-LT"/>
        </w:rPr>
        <w:t xml:space="preserve">  (toliau – FDE) 4 inhibitorių. Jei gydymo tikslas nepasiekiamas per 6 mėnesius ar 3 mėnesius nuo gydymo pradžios nėra gydymo efekto ar pastebimas ligos </w:t>
      </w:r>
      <w:r w:rsidRPr="0019135A">
        <w:rPr>
          <w:lang w:eastAsia="lt-LT"/>
        </w:rPr>
        <w:lastRenderedPageBreak/>
        <w:t xml:space="preserve">pablogėjimas gydant </w:t>
      </w:r>
      <w:proofErr w:type="spellStart"/>
      <w:r w:rsidRPr="0019135A">
        <w:rPr>
          <w:lang w:eastAsia="lt-LT"/>
        </w:rPr>
        <w:t>bLMV</w:t>
      </w:r>
      <w:proofErr w:type="spellEnd"/>
      <w:r w:rsidRPr="0019135A">
        <w:rPr>
          <w:lang w:eastAsia="lt-LT"/>
        </w:rPr>
        <w:t xml:space="preserve">, ar pasireiškia </w:t>
      </w:r>
      <w:proofErr w:type="spellStart"/>
      <w:r w:rsidRPr="0019135A">
        <w:rPr>
          <w:lang w:eastAsia="lt-LT"/>
        </w:rPr>
        <w:t>bLMV</w:t>
      </w:r>
      <w:proofErr w:type="spellEnd"/>
      <w:r w:rsidRPr="0019135A">
        <w:rPr>
          <w:lang w:eastAsia="lt-LT"/>
        </w:rPr>
        <w:t xml:space="preserve"> netoleravimas ir (ar) nepageidaujamos reakcijos ir (ar) gydymo metu atsiranda kontraindikacijų tęsti paskirto vaisto vartojimą, gydymas keičiamas į kitą </w:t>
      </w:r>
      <w:proofErr w:type="spellStart"/>
      <w:r w:rsidRPr="0019135A">
        <w:rPr>
          <w:lang w:eastAsia="lt-LT"/>
        </w:rPr>
        <w:t>bLMV</w:t>
      </w:r>
      <w:proofErr w:type="spellEnd"/>
      <w:r w:rsidRPr="0019135A">
        <w:rPr>
          <w:lang w:eastAsia="lt-LT"/>
        </w:rPr>
        <w:t xml:space="preserve"> ar FDE-4 inhibitorių, ar </w:t>
      </w:r>
      <w:proofErr w:type="spellStart"/>
      <w:r w:rsidRPr="0019135A">
        <w:rPr>
          <w:lang w:eastAsia="lt-LT"/>
        </w:rPr>
        <w:t>janus</w:t>
      </w:r>
      <w:proofErr w:type="spellEnd"/>
      <w:r w:rsidRPr="0019135A">
        <w:rPr>
          <w:lang w:eastAsia="lt-LT"/>
        </w:rPr>
        <w:t xml:space="preserve"> </w:t>
      </w:r>
      <w:proofErr w:type="spellStart"/>
      <w:r w:rsidRPr="0019135A">
        <w:rPr>
          <w:lang w:eastAsia="lt-LT"/>
        </w:rPr>
        <w:t>kinazės</w:t>
      </w:r>
      <w:proofErr w:type="spellEnd"/>
      <w:r w:rsidRPr="0019135A">
        <w:rPr>
          <w:lang w:eastAsia="lt-LT"/>
        </w:rPr>
        <w:t xml:space="preserve"> (toliau – JAK) inhibitorių pagal Aprašo priede nurodytas sąlygas.</w:t>
      </w:r>
    </w:p>
    <w:p w14:paraId="0F6E76EC" w14:textId="5364ACC6" w:rsidR="00B35F85" w:rsidRPr="0019135A" w:rsidRDefault="00B35F85" w:rsidP="00B35F85">
      <w:pPr>
        <w:ind w:firstLine="720"/>
        <w:jc w:val="both"/>
        <w:rPr>
          <w:lang w:eastAsia="lt-LT"/>
        </w:rPr>
      </w:pPr>
      <w:r w:rsidRPr="0019135A">
        <w:t xml:space="preserve">Remiantis Sveikatos apsaugos ministro 2018 m. sausio 12 d. V-37 „Dėl </w:t>
      </w:r>
      <w:proofErr w:type="spellStart"/>
      <w:r w:rsidRPr="0019135A">
        <w:t>Psoriazinio</w:t>
      </w:r>
      <w:proofErr w:type="spellEnd"/>
      <w:r w:rsidRPr="0019135A">
        <w:t xml:space="preserve"> artrito diagnostikos ir gydymo vaistais, kurių įsigijimo išlaidos apmokamos privalomojo sveikatos draudimo fondo biudžeto lėšomis, tvarkos aprašo patvirtinimu“, šiuo metu </w:t>
      </w:r>
      <w:proofErr w:type="spellStart"/>
      <w:r w:rsidRPr="0019135A">
        <w:t>psoriaziniam</w:t>
      </w:r>
      <w:proofErr w:type="spellEnd"/>
      <w:r w:rsidRPr="0019135A">
        <w:t xml:space="preserve"> artritui gydyti skiriamų biologinių ligą modifikuojančių vaistų, </w:t>
      </w:r>
      <w:proofErr w:type="spellStart"/>
      <w:r w:rsidRPr="0019135A">
        <w:t>fosfodiesterazės</w:t>
      </w:r>
      <w:proofErr w:type="spellEnd"/>
      <w:r w:rsidRPr="0019135A">
        <w:t xml:space="preserve"> 4 inhibitorių ir </w:t>
      </w:r>
      <w:proofErr w:type="spellStart"/>
      <w:r w:rsidRPr="0019135A">
        <w:t>janus</w:t>
      </w:r>
      <w:proofErr w:type="spellEnd"/>
      <w:r w:rsidRPr="0019135A">
        <w:t xml:space="preserve"> </w:t>
      </w:r>
      <w:proofErr w:type="spellStart"/>
      <w:r w:rsidRPr="0019135A">
        <w:t>kinazės</w:t>
      </w:r>
      <w:proofErr w:type="spellEnd"/>
      <w:r w:rsidRPr="0019135A">
        <w:t xml:space="preserve"> inhibitorių skyrimo eiliškumas yra toks:</w:t>
      </w:r>
    </w:p>
    <w:p w14:paraId="1BD503E5" w14:textId="77777777" w:rsidR="00B35F85" w:rsidRPr="0019135A" w:rsidRDefault="00B35F85" w:rsidP="00B35F85">
      <w:pPr>
        <w:jc w:val="both"/>
        <w:rPr>
          <w:lang w:eastAsia="lt-LT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080"/>
        <w:gridCol w:w="1980"/>
        <w:gridCol w:w="2780"/>
        <w:gridCol w:w="2203"/>
      </w:tblGrid>
      <w:tr w:rsidR="00B35F85" w:rsidRPr="0019135A" w14:paraId="676A4F05" w14:textId="77777777" w:rsidTr="009D6D56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1898" w14:textId="77777777" w:rsidR="00B35F85" w:rsidRPr="0019135A" w:rsidRDefault="00B35F85" w:rsidP="00B35F85">
            <w:pPr>
              <w:jc w:val="center"/>
            </w:pPr>
            <w:r w:rsidRPr="00B35F85">
              <w:rPr>
                <w:b/>
                <w:bCs/>
              </w:rPr>
              <w:t>Eil. Nr.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6618" w14:textId="77777777" w:rsidR="00B35F85" w:rsidRPr="0019135A" w:rsidRDefault="00B35F85" w:rsidP="00B35F85">
            <w:pPr>
              <w:jc w:val="center"/>
            </w:pPr>
            <w:r w:rsidRPr="00B35F85">
              <w:rPr>
                <w:b/>
                <w:bCs/>
              </w:rPr>
              <w:t>Skyrimo sąlygos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8F9D" w14:textId="77777777" w:rsidR="00B35F85" w:rsidRPr="0019135A" w:rsidRDefault="00B35F85" w:rsidP="00B35F85">
            <w:pPr>
              <w:jc w:val="center"/>
            </w:pPr>
            <w:r w:rsidRPr="00B35F85">
              <w:rPr>
                <w:b/>
                <w:bCs/>
                <w:shd w:val="clear" w:color="auto" w:fill="FFFFFF"/>
              </w:rPr>
              <w:t>Pirmaeiliai vaistai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85A1" w14:textId="77777777" w:rsidR="00B35F85" w:rsidRPr="0019135A" w:rsidRDefault="00B35F85" w:rsidP="00B35F85">
            <w:pPr>
              <w:jc w:val="center"/>
            </w:pPr>
            <w:r w:rsidRPr="00B35F85">
              <w:rPr>
                <w:b/>
                <w:bCs/>
                <w:shd w:val="clear" w:color="auto" w:fill="FFFFFF"/>
              </w:rPr>
              <w:t>Antraeiliai vaistai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343F" w14:textId="77777777" w:rsidR="00B35F85" w:rsidRPr="0019135A" w:rsidRDefault="00B35F85" w:rsidP="00B35F85">
            <w:pPr>
              <w:jc w:val="center"/>
            </w:pPr>
            <w:r w:rsidRPr="00B35F85">
              <w:rPr>
                <w:b/>
                <w:bCs/>
              </w:rPr>
              <w:t>Tolesniam gydymui skiriami vaistai</w:t>
            </w:r>
          </w:p>
        </w:tc>
      </w:tr>
      <w:tr w:rsidR="00B35F85" w:rsidRPr="0019135A" w14:paraId="20758A86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4F80" w14:textId="77777777" w:rsidR="00B35F85" w:rsidRPr="0019135A" w:rsidRDefault="00B35F85" w:rsidP="00B35F85">
            <w:r w:rsidRPr="0019135A">
              <w:t>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D5CB" w14:textId="77777777" w:rsidR="00B35F85" w:rsidRPr="0019135A" w:rsidRDefault="00B35F85" w:rsidP="00B35F85">
            <w:r w:rsidRPr="0019135A">
              <w:t>Nėra apribojimų skirti vaistą, kurio gydymo kaina mažiausia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7CA1" w14:textId="77777777" w:rsidR="00B35F85" w:rsidRPr="0019135A" w:rsidRDefault="00B35F85" w:rsidP="00B35F85">
            <w:r w:rsidRPr="0019135A">
              <w:t>TNFα blokatorius, kurio gydymo kaina mažiausia</w:t>
            </w:r>
          </w:p>
          <w:p w14:paraId="13DBE297" w14:textId="66B12E96" w:rsidR="00B35F85" w:rsidRPr="0019135A" w:rsidRDefault="00B35F85" w:rsidP="00B35F85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73DF" w14:textId="77777777" w:rsidR="00B35F85" w:rsidRPr="0019135A" w:rsidRDefault="00B35F85" w:rsidP="00B35F85">
            <w:r w:rsidRPr="0019135A">
              <w:t>IL inhibitorius arba FDE inhibitorius, arba kito bendrinio pavadinimo TNFα blokatorius, 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A3AFB" w14:textId="77777777" w:rsidR="00B35F85" w:rsidRPr="0019135A" w:rsidRDefault="00B35F85" w:rsidP="00B35F85">
            <w:r w:rsidRPr="0019135A">
              <w:t>Kito bendrinio pavadinimo IL inhibitorius arba kito bendrinio pavadinimo FDE inhibitorius, arba kito bendrinio pavadinimo TNFα blokatorius, arba kito bendrinio pavadinimo JAK inhibitorius</w:t>
            </w:r>
          </w:p>
        </w:tc>
      </w:tr>
      <w:tr w:rsidR="00B35F85" w:rsidRPr="0019135A" w14:paraId="6C5F4CEB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A44" w14:textId="77777777" w:rsidR="00B35F85" w:rsidRPr="0019135A" w:rsidRDefault="00B35F85" w:rsidP="00B35F85">
            <w:r w:rsidRPr="0019135A">
              <w:t>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D667" w14:textId="77777777" w:rsidR="00B35F85" w:rsidRPr="0019135A" w:rsidRDefault="00B35F85" w:rsidP="00B35F85">
            <w:r w:rsidRPr="0019135A">
              <w:t>Pažeistas žarnynas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CC6" w14:textId="77777777" w:rsidR="00B35F85" w:rsidRPr="0019135A" w:rsidRDefault="00B35F85" w:rsidP="00B35F85">
            <w:proofErr w:type="spellStart"/>
            <w:r w:rsidRPr="0019135A">
              <w:t>Infliksimabas</w:t>
            </w:r>
            <w:proofErr w:type="spellEnd"/>
            <w:r w:rsidRPr="0019135A">
              <w:t xml:space="preserve">, </w:t>
            </w:r>
            <w:proofErr w:type="spellStart"/>
            <w:r w:rsidRPr="0019135A">
              <w:t>adalimumabas</w:t>
            </w:r>
            <w:proofErr w:type="spellEnd"/>
            <w:r w:rsidRPr="0019135A">
              <w:t xml:space="preserve"> (kurio gydymo kaina mažiausia)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69FA" w14:textId="77777777" w:rsidR="00B35F85" w:rsidRPr="0019135A" w:rsidRDefault="00B35F85" w:rsidP="00B35F85">
            <w:proofErr w:type="spellStart"/>
            <w:r w:rsidRPr="0019135A">
              <w:t>Ustekinumabas</w:t>
            </w:r>
            <w:proofErr w:type="spellEnd"/>
            <w:r w:rsidRPr="0019135A">
              <w:t xml:space="preserve"> arba kito bendrinio pavadinimo TNFα blokatorius (išskyrus </w:t>
            </w:r>
            <w:proofErr w:type="spellStart"/>
            <w:r w:rsidRPr="0019135A">
              <w:t>etanerceptą</w:t>
            </w:r>
            <w:proofErr w:type="spellEnd"/>
            <w:r w:rsidRPr="0019135A">
              <w:t>), 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71B1" w14:textId="77777777" w:rsidR="00B35F85" w:rsidRPr="0019135A" w:rsidRDefault="00B35F85" w:rsidP="00B35F85">
            <w:r w:rsidRPr="0019135A">
              <w:t xml:space="preserve">Kito bendrinio pavadinimo IL inhibitorius arba FDE inhibitorius, arba kito bendrinio pavadinimo TNFα blokatorius (išskyrus </w:t>
            </w:r>
            <w:proofErr w:type="spellStart"/>
            <w:r w:rsidRPr="0019135A">
              <w:t>etanerceptą</w:t>
            </w:r>
            <w:proofErr w:type="spellEnd"/>
            <w:r w:rsidRPr="0019135A">
              <w:t>), arba JAK inhibitorius</w:t>
            </w:r>
          </w:p>
        </w:tc>
      </w:tr>
      <w:tr w:rsidR="00B35F85" w:rsidRPr="0019135A" w14:paraId="70AB2E58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C75D" w14:textId="77777777" w:rsidR="00B35F85" w:rsidRPr="0019135A" w:rsidRDefault="00B35F85" w:rsidP="00B35F85">
            <w:r w:rsidRPr="0019135A">
              <w:t>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F527" w14:textId="77777777" w:rsidR="00B35F85" w:rsidRPr="0019135A" w:rsidRDefault="00B35F85" w:rsidP="00B35F85">
            <w:r w:rsidRPr="0019135A">
              <w:t>Pažeistos akys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C61E" w14:textId="77777777" w:rsidR="00B35F85" w:rsidRPr="0019135A" w:rsidRDefault="00B35F85" w:rsidP="00B35F85">
            <w:proofErr w:type="spellStart"/>
            <w:r w:rsidRPr="0019135A">
              <w:t>Infliksimabas</w:t>
            </w:r>
            <w:proofErr w:type="spellEnd"/>
            <w:r w:rsidRPr="0019135A">
              <w:t xml:space="preserve">, </w:t>
            </w:r>
            <w:proofErr w:type="spellStart"/>
            <w:r w:rsidRPr="0019135A">
              <w:t>adalimumabas</w:t>
            </w:r>
            <w:proofErr w:type="spellEnd"/>
            <w:r w:rsidRPr="0019135A">
              <w:t xml:space="preserve"> (kurio gydymo kaina mažiausia)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246B" w14:textId="77777777" w:rsidR="00B35F85" w:rsidRPr="0019135A" w:rsidRDefault="00B35F85" w:rsidP="00B35F85">
            <w:r w:rsidRPr="0019135A">
              <w:t xml:space="preserve">IL inhibitorius arba FDE </w:t>
            </w:r>
            <w:proofErr w:type="spellStart"/>
            <w:r w:rsidRPr="0019135A">
              <w:t>inhibitoriusarba</w:t>
            </w:r>
            <w:proofErr w:type="spellEnd"/>
            <w:r w:rsidRPr="0019135A">
              <w:t xml:space="preserve"> kito bendrinio pavadinimo TNFα blokatorius (išskyrus </w:t>
            </w:r>
            <w:proofErr w:type="spellStart"/>
            <w:r w:rsidRPr="0019135A">
              <w:t>etanerceptą</w:t>
            </w:r>
            <w:proofErr w:type="spellEnd"/>
            <w:r w:rsidRPr="0019135A">
              <w:t>), 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0D8F" w14:textId="77777777" w:rsidR="00B35F85" w:rsidRPr="0019135A" w:rsidRDefault="00B35F85" w:rsidP="00B35F85">
            <w:r w:rsidRPr="0019135A">
              <w:t>Kito bendrinio pavadinimo IL inhibitorius arba kito bendrinio pavadinimo FDE inhibitorius, arba JAK inhibitorius</w:t>
            </w:r>
          </w:p>
        </w:tc>
      </w:tr>
      <w:tr w:rsidR="00B35F85" w:rsidRPr="0019135A" w14:paraId="0FFE6E41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DC87F" w14:textId="77777777" w:rsidR="00B35F85" w:rsidRPr="0019135A" w:rsidRDefault="00B35F85" w:rsidP="00B35F85">
            <w:r w:rsidRPr="0019135A">
              <w:t>4.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AAF1" w14:textId="77777777" w:rsidR="00B35F85" w:rsidRPr="0019135A" w:rsidRDefault="00B35F85" w:rsidP="00B35F85">
            <w:r w:rsidRPr="0019135A">
              <w:t>Pacientas yra sirgęs tuberkulioze arba buvusi latentinė tuberkuliozė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D4AB" w14:textId="77777777" w:rsidR="00B35F85" w:rsidRPr="0019135A" w:rsidRDefault="00B35F85" w:rsidP="00B35F85">
            <w:proofErr w:type="spellStart"/>
            <w:r w:rsidRPr="0019135A">
              <w:t>Etanerceptas</w:t>
            </w:r>
            <w:proofErr w:type="spellEnd"/>
            <w:r w:rsidRPr="0019135A">
              <w:t xml:space="preserve"> arba </w:t>
            </w:r>
            <w:proofErr w:type="spellStart"/>
            <w:r w:rsidRPr="0019135A">
              <w:t>ustekinumabas</w:t>
            </w:r>
            <w:proofErr w:type="spellEnd"/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65401" w14:textId="77777777" w:rsidR="00B35F85" w:rsidRPr="0019135A" w:rsidRDefault="00B35F85" w:rsidP="00B35F85">
            <w:r w:rsidRPr="0019135A">
              <w:t>IL inhibitorius arba FDE inhibitorius, arba kito bendrinio pavadinimo TNFα blokatorius, 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6075" w14:textId="77777777" w:rsidR="00B35F85" w:rsidRPr="0019135A" w:rsidRDefault="00B35F85" w:rsidP="00B35F85">
            <w:r w:rsidRPr="0019135A">
              <w:t>Kito bendrinio pavadinimo IL inhibitorius arba kito bendrinio pavadinimo FDE inhibitorius, arba kito bendrinio pavadinimo TNFα blokatorius, arba JAK inhibitorius</w:t>
            </w:r>
          </w:p>
        </w:tc>
      </w:tr>
      <w:tr w:rsidR="00B35F85" w:rsidRPr="0019135A" w14:paraId="6F2D2041" w14:textId="77777777" w:rsidTr="009D6D56">
        <w:trPr>
          <w:trHeight w:val="705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6FEF" w14:textId="77777777" w:rsidR="00B35F85" w:rsidRPr="0019135A" w:rsidRDefault="00B35F85" w:rsidP="00B35F85">
            <w:r w:rsidRPr="0019135A">
              <w:t>5.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DFC4" w14:textId="77777777" w:rsidR="00B35F85" w:rsidRPr="0019135A" w:rsidRDefault="00B35F85" w:rsidP="00B35F85">
            <w:r w:rsidRPr="0019135A">
              <w:t>Sunkus širdies nepakankamumas (III–IV klasė pagal NYHA)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4809" w14:textId="77777777" w:rsidR="00B35F85" w:rsidRPr="0019135A" w:rsidRDefault="00B35F85" w:rsidP="00B35F85">
            <w:r w:rsidRPr="0019135A">
              <w:t>IL inhibitorius, kurio gydymo kaina mažiausia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2EF9" w14:textId="77777777" w:rsidR="00B35F85" w:rsidRPr="0019135A" w:rsidRDefault="00B35F85" w:rsidP="00B35F85">
            <w:r w:rsidRPr="0019135A">
              <w:t>Kito bendrinio pavadinimo IL inhibitorius arba FDE inhibitorius, 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FF05" w14:textId="77777777" w:rsidR="00B35F85" w:rsidRPr="0019135A" w:rsidRDefault="00B35F85" w:rsidP="00B35F85">
            <w:r w:rsidRPr="0019135A">
              <w:t>TNFα blokatorius, arba JAK inhibitorius</w:t>
            </w:r>
          </w:p>
        </w:tc>
      </w:tr>
      <w:tr w:rsidR="00B35F85" w:rsidRPr="0019135A" w14:paraId="7AB6D17A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5BB8" w14:textId="77777777" w:rsidR="00B35F85" w:rsidRPr="0019135A" w:rsidRDefault="00B35F85" w:rsidP="00B35F85">
            <w:r w:rsidRPr="0019135A">
              <w:t>6.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704B" w14:textId="77777777" w:rsidR="00B35F85" w:rsidRPr="0019135A" w:rsidRDefault="00B35F85" w:rsidP="00B35F85">
            <w:r w:rsidRPr="0019135A">
              <w:t xml:space="preserve">Išsėtinė sklerozė ir (ar) kita </w:t>
            </w:r>
            <w:proofErr w:type="spellStart"/>
            <w:r w:rsidRPr="0019135A">
              <w:t>demielinizuojanti</w:t>
            </w:r>
            <w:proofErr w:type="spellEnd"/>
            <w:r w:rsidRPr="0019135A">
              <w:t xml:space="preserve"> liga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CDE7" w14:textId="77777777" w:rsidR="00B35F85" w:rsidRPr="0019135A" w:rsidRDefault="00B35F85" w:rsidP="00B35F85">
            <w:r w:rsidRPr="0019135A">
              <w:t>IL inhibitorius, kurio gydymo kaina mažiausia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FCE5" w14:textId="77777777" w:rsidR="00B35F85" w:rsidRPr="0019135A" w:rsidRDefault="00B35F85" w:rsidP="00B35F85">
            <w:r w:rsidRPr="0019135A">
              <w:t>Kito bendrinio pavadinimo IL inhibitorius arba FDE inhibitorius, 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BF33" w14:textId="77777777" w:rsidR="00B35F85" w:rsidRPr="0019135A" w:rsidRDefault="00B35F85" w:rsidP="00B35F85">
            <w:r w:rsidRPr="0019135A">
              <w:t>Kito bendrinio pavadinimo IL inhibitorius arba FDE inhibitorius, arba JAK inhibitorius</w:t>
            </w:r>
          </w:p>
        </w:tc>
      </w:tr>
      <w:tr w:rsidR="00B35F85" w:rsidRPr="0019135A" w14:paraId="7F4DFE3A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403D" w14:textId="77777777" w:rsidR="00B35F85" w:rsidRPr="0019135A" w:rsidRDefault="00B35F85" w:rsidP="00B35F85">
            <w:r w:rsidRPr="0019135A">
              <w:t>7.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3502" w14:textId="77777777" w:rsidR="00B35F85" w:rsidRPr="0019135A" w:rsidRDefault="00B35F85" w:rsidP="00B35F85">
            <w:r w:rsidRPr="0019135A">
              <w:t>B hepatitas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6732" w14:textId="77777777" w:rsidR="00B35F85" w:rsidRPr="0019135A" w:rsidRDefault="00B35F85" w:rsidP="00B35F85">
            <w:r w:rsidRPr="0019135A">
              <w:t>IL inhibitorius, kurio gydymo kaina mažiausia</w:t>
            </w:r>
          </w:p>
          <w:p w14:paraId="6E6997FE" w14:textId="7CEDC242" w:rsidR="00B35F85" w:rsidRPr="0019135A" w:rsidRDefault="00B35F85" w:rsidP="00B35F85"/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D944" w14:textId="77777777" w:rsidR="00B35F85" w:rsidRPr="0019135A" w:rsidRDefault="00B35F85" w:rsidP="00B35F85">
            <w:r w:rsidRPr="0019135A">
              <w:t>Kito bendrinio pavadinimo IL inhibitorius arba TNFα blokatorius, 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F86B" w14:textId="77777777" w:rsidR="00B35F85" w:rsidRPr="0019135A" w:rsidRDefault="00B35F85" w:rsidP="00B35F85">
            <w:r w:rsidRPr="0019135A">
              <w:t>Kito bendrinio pavadinimo IL inhibitorius arba TNFα blokatorius, arba JAK inhibitorius</w:t>
            </w:r>
          </w:p>
        </w:tc>
      </w:tr>
      <w:tr w:rsidR="00B35F85" w:rsidRPr="0019135A" w14:paraId="739BC1FE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03B5" w14:textId="77777777" w:rsidR="00B35F85" w:rsidRPr="0019135A" w:rsidRDefault="00B35F85" w:rsidP="00B35F85">
            <w:r w:rsidRPr="0019135A">
              <w:t>8.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34B6" w14:textId="77777777" w:rsidR="00B35F85" w:rsidRPr="0019135A" w:rsidRDefault="00B35F85" w:rsidP="00B35F85">
            <w:r w:rsidRPr="0019135A">
              <w:t>C hepatitas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EAA2" w14:textId="77777777" w:rsidR="00B35F85" w:rsidRPr="0019135A" w:rsidRDefault="00B35F85" w:rsidP="00B35F85">
            <w:proofErr w:type="spellStart"/>
            <w:r w:rsidRPr="0019135A">
              <w:t>Etanerceptas</w:t>
            </w:r>
            <w:proofErr w:type="spellEnd"/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E0B63" w14:textId="77777777" w:rsidR="00B35F85" w:rsidRPr="0019135A" w:rsidRDefault="00B35F85" w:rsidP="00B35F85">
            <w:r w:rsidRPr="0019135A">
              <w:t>Kito bendrinio pavadinimo TNFα blokatorius arba JAK inhibitorius</w:t>
            </w:r>
          </w:p>
          <w:p w14:paraId="56B7BA31" w14:textId="20B9A5AC" w:rsidR="00B35F85" w:rsidRPr="0019135A" w:rsidRDefault="00B35F85" w:rsidP="00B35F85"/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D2D9" w14:textId="77777777" w:rsidR="00B35F85" w:rsidRPr="0019135A" w:rsidRDefault="00B35F85" w:rsidP="00B35F85">
            <w:r w:rsidRPr="0019135A">
              <w:t>IL inhibitorius arba FDE inhibitorius, arba JAK inhibitorius</w:t>
            </w:r>
          </w:p>
        </w:tc>
      </w:tr>
      <w:tr w:rsidR="00B35F85" w:rsidRPr="0019135A" w14:paraId="5B746786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3472" w14:textId="77777777" w:rsidR="00B35F85" w:rsidRPr="0019135A" w:rsidRDefault="00B35F85" w:rsidP="00B35F85">
            <w:r w:rsidRPr="0019135A">
              <w:t>9.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C6F7" w14:textId="77777777" w:rsidR="00B35F85" w:rsidRPr="0019135A" w:rsidRDefault="00B35F85" w:rsidP="00B35F85">
            <w:r w:rsidRPr="0019135A">
              <w:t>Dažnos infekcijos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CB7F" w14:textId="77777777" w:rsidR="00B35F85" w:rsidRPr="0019135A" w:rsidRDefault="00B35F85" w:rsidP="00B35F85">
            <w:r w:rsidRPr="0019135A">
              <w:t>FDE  inhibitorius, kurio gydymo kaina mažiausia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91D6" w14:textId="77777777" w:rsidR="00B35F85" w:rsidRPr="0019135A" w:rsidRDefault="00B35F85" w:rsidP="00B35F85">
            <w:r w:rsidRPr="0019135A">
              <w:t xml:space="preserve">IL inhibitorius arba JAK inhibitorius (išskyrus </w:t>
            </w:r>
            <w:proofErr w:type="spellStart"/>
            <w:r w:rsidRPr="0019135A">
              <w:t>Herpes</w:t>
            </w:r>
            <w:proofErr w:type="spellEnd"/>
            <w:r w:rsidRPr="0019135A">
              <w:t xml:space="preserve"> </w:t>
            </w:r>
            <w:proofErr w:type="spellStart"/>
            <w:r w:rsidRPr="0019135A">
              <w:t>zoster</w:t>
            </w:r>
            <w:proofErr w:type="spellEnd"/>
            <w:r w:rsidRPr="0019135A">
              <w:t>)</w:t>
            </w:r>
            <w:r w:rsidRPr="00B35F85">
              <w:rPr>
                <w:strike/>
              </w:rPr>
              <w:t> </w:t>
            </w:r>
            <w:r w:rsidRPr="0019135A"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1C29E" w14:textId="77777777" w:rsidR="00B35F85" w:rsidRPr="0019135A" w:rsidRDefault="00B35F85" w:rsidP="00B35F85">
            <w:r w:rsidRPr="0019135A">
              <w:t>TNFα blokatorius</w:t>
            </w:r>
          </w:p>
          <w:p w14:paraId="21D3F540" w14:textId="77777777" w:rsidR="00B35F85" w:rsidRPr="0019135A" w:rsidRDefault="00B35F85" w:rsidP="00B35F85">
            <w:r w:rsidRPr="0019135A">
              <w:t xml:space="preserve">arba IL inhibitorius, arba JAK inhibitorius (išskyrus </w:t>
            </w:r>
            <w:proofErr w:type="spellStart"/>
            <w:r w:rsidRPr="0019135A">
              <w:t>Herpes</w:t>
            </w:r>
            <w:proofErr w:type="spellEnd"/>
            <w:r w:rsidRPr="0019135A">
              <w:t xml:space="preserve"> </w:t>
            </w:r>
            <w:proofErr w:type="spellStart"/>
            <w:r w:rsidRPr="0019135A">
              <w:t>zoster</w:t>
            </w:r>
            <w:proofErr w:type="spellEnd"/>
            <w:r w:rsidRPr="0019135A">
              <w:t>)</w:t>
            </w:r>
          </w:p>
        </w:tc>
      </w:tr>
      <w:tr w:rsidR="00B35F85" w:rsidRPr="0019135A" w14:paraId="74B070C0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6044" w14:textId="77777777" w:rsidR="00B35F85" w:rsidRPr="0019135A" w:rsidRDefault="00B35F85" w:rsidP="00B35F85">
            <w:r w:rsidRPr="0019135A">
              <w:t>10.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C959" w14:textId="77777777" w:rsidR="00B35F85" w:rsidRPr="0019135A" w:rsidRDefault="00B35F85" w:rsidP="00B35F85">
            <w:r w:rsidRPr="0019135A">
              <w:t xml:space="preserve">Sunkus </w:t>
            </w:r>
            <w:proofErr w:type="spellStart"/>
            <w:r w:rsidRPr="0019135A">
              <w:t>metabolinis</w:t>
            </w:r>
            <w:proofErr w:type="spellEnd"/>
            <w:r w:rsidRPr="0019135A">
              <w:t xml:space="preserve"> sindromas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4175" w14:textId="77777777" w:rsidR="00B35F85" w:rsidRPr="0019135A" w:rsidRDefault="00B35F85" w:rsidP="00B35F85">
            <w:r w:rsidRPr="0019135A">
              <w:t>FDE  inhibitorius, kurio gydymo kaina mažiausia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61585" w14:textId="77777777" w:rsidR="00B35F85" w:rsidRPr="0019135A" w:rsidRDefault="00B35F85" w:rsidP="00B35F85">
            <w:r w:rsidRPr="0019135A">
              <w:t>IL inhibitorius arba TNFα blokatorius, 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7E5D" w14:textId="77777777" w:rsidR="00B35F85" w:rsidRPr="0019135A" w:rsidRDefault="00B35F85" w:rsidP="00B35F85">
            <w:r w:rsidRPr="0019135A">
              <w:t>IL inhibitorius arba TNFα blokatorius, arba JAK inhibitorius</w:t>
            </w:r>
          </w:p>
        </w:tc>
      </w:tr>
      <w:tr w:rsidR="00B35F85" w:rsidRPr="0019135A" w14:paraId="1BBF7DFA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7415" w14:textId="77777777" w:rsidR="00B35F85" w:rsidRPr="0019135A" w:rsidRDefault="00B35F85" w:rsidP="00B35F85">
            <w:r w:rsidRPr="0019135A">
              <w:t>11.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06B3" w14:textId="77777777" w:rsidR="00B35F85" w:rsidRPr="0019135A" w:rsidRDefault="00B35F85" w:rsidP="00B35F85">
            <w:r w:rsidRPr="0019135A">
              <w:t>Alergija vienam iš TNFα blokatorių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B5EE" w14:textId="77777777" w:rsidR="00B35F85" w:rsidRPr="0019135A" w:rsidRDefault="00B35F85" w:rsidP="00B35F85">
            <w:r w:rsidRPr="0019135A">
              <w:t>Kito veikimo TNFα blokatorius, kurio gydymo kaina mažiausia, arba IL inhibitorius, kurio gydymo kaina mažiausia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2813" w14:textId="77777777" w:rsidR="00B35F85" w:rsidRPr="0019135A" w:rsidRDefault="00B35F85" w:rsidP="00B35F85">
            <w:r w:rsidRPr="0019135A">
              <w:t>IL  inhibitorius arba FDE inhibitorius, 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5F15" w14:textId="77777777" w:rsidR="00B35F85" w:rsidRPr="0019135A" w:rsidRDefault="00B35F85" w:rsidP="00B35F85">
            <w:r w:rsidRPr="0019135A">
              <w:t>IL  inhibitorius  arba FDE inhibitorius, arba JAK inhibitorius</w:t>
            </w:r>
          </w:p>
        </w:tc>
      </w:tr>
      <w:tr w:rsidR="00B35F85" w:rsidRPr="0019135A" w14:paraId="0B033CB3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8F07" w14:textId="77777777" w:rsidR="00B35F85" w:rsidRPr="0019135A" w:rsidRDefault="00B35F85" w:rsidP="00B35F85">
            <w:r w:rsidRPr="0019135A">
              <w:t>12.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C3A7" w14:textId="77777777" w:rsidR="00B35F85" w:rsidRPr="0019135A" w:rsidRDefault="00B35F85" w:rsidP="00B35F85">
            <w:r w:rsidRPr="0019135A">
              <w:t>Alergija IL  inhibitoriui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BBC7" w14:textId="77777777" w:rsidR="00B35F85" w:rsidRPr="0019135A" w:rsidRDefault="00B35F85" w:rsidP="00B35F85">
            <w:r w:rsidRPr="0019135A">
              <w:t>Kitas (nevartotas) IL inhibitorius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A088" w14:textId="77777777" w:rsidR="00B35F85" w:rsidRPr="0019135A" w:rsidRDefault="00B35F85" w:rsidP="00B35F85">
            <w:r w:rsidRPr="0019135A">
              <w:t>TNFα blokatorius  arba FDE  inhibitorius, 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2FB6" w14:textId="77777777" w:rsidR="00B35F85" w:rsidRPr="0019135A" w:rsidRDefault="00B35F85" w:rsidP="00B35F85">
            <w:r w:rsidRPr="0019135A">
              <w:t>TNFα blokatorius arba FDE  inhibitorius, arba JAK inhibitorius</w:t>
            </w:r>
          </w:p>
        </w:tc>
      </w:tr>
      <w:tr w:rsidR="00B35F85" w:rsidRPr="0019135A" w14:paraId="0E5CA641" w14:textId="77777777" w:rsidTr="009D6D56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61DE" w14:textId="77777777" w:rsidR="00B35F85" w:rsidRPr="0019135A" w:rsidRDefault="00B35F85" w:rsidP="00B35F85">
            <w:r w:rsidRPr="0019135A">
              <w:t>13.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3606" w14:textId="77777777" w:rsidR="00B35F85" w:rsidRPr="0019135A" w:rsidRDefault="00B35F85" w:rsidP="00B35F85">
            <w:r w:rsidRPr="0019135A">
              <w:t>Alergija FDE  inhibitoriui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5CBF" w14:textId="77777777" w:rsidR="00B35F85" w:rsidRPr="0019135A" w:rsidRDefault="00B35F85" w:rsidP="00B35F85">
            <w:r w:rsidRPr="0019135A">
              <w:t>TNFα blokatorius, kurio gydymo kaina mažiausia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D9B1" w14:textId="77777777" w:rsidR="00B35F85" w:rsidRPr="0019135A" w:rsidRDefault="00B35F85" w:rsidP="00B35F85">
            <w:r w:rsidRPr="0019135A">
              <w:t>IL inhibitorius arba TNFα blokatorius, arba JAK inhibitorius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07AA" w14:textId="77777777" w:rsidR="00B35F85" w:rsidRPr="0019135A" w:rsidRDefault="00B35F85" w:rsidP="00B35F85">
            <w:r w:rsidRPr="0019135A">
              <w:t>IL inhibitorius arba TNFα blokatorius, arba JAK inhibitorius</w:t>
            </w:r>
          </w:p>
        </w:tc>
      </w:tr>
    </w:tbl>
    <w:p w14:paraId="1362C683" w14:textId="77777777" w:rsidR="00B35F85" w:rsidRPr="00B35F85" w:rsidRDefault="00B35F85" w:rsidP="00B35F85">
      <w:pPr>
        <w:tabs>
          <w:tab w:val="left" w:pos="426"/>
        </w:tabs>
        <w:spacing w:line="276" w:lineRule="auto"/>
        <w:jc w:val="both"/>
        <w:rPr>
          <w:rFonts w:eastAsia="Arial"/>
          <w:b/>
        </w:rPr>
      </w:pPr>
    </w:p>
    <w:p w14:paraId="7D5B397F" w14:textId="77777777" w:rsidR="00B35F85" w:rsidRDefault="00B35F85" w:rsidP="00B35F85">
      <w:pPr>
        <w:ind w:firstLine="720"/>
        <w:jc w:val="both"/>
        <w:rPr>
          <w:lang w:eastAsia="lt-LT"/>
        </w:rPr>
      </w:pPr>
      <w:r w:rsidRPr="0019135A">
        <w:rPr>
          <w:lang w:eastAsia="lt-LT"/>
        </w:rPr>
        <w:t xml:space="preserve">Šiuo metu </w:t>
      </w:r>
      <w:proofErr w:type="spellStart"/>
      <w:r w:rsidRPr="0019135A">
        <w:rPr>
          <w:lang w:eastAsia="lt-LT"/>
        </w:rPr>
        <w:t>metu</w:t>
      </w:r>
      <w:proofErr w:type="spellEnd"/>
      <w:r w:rsidRPr="0019135A">
        <w:rPr>
          <w:lang w:eastAsia="lt-LT"/>
        </w:rPr>
        <w:t xml:space="preserve"> </w:t>
      </w:r>
      <w:proofErr w:type="spellStart"/>
      <w:r w:rsidRPr="0019135A">
        <w:rPr>
          <w:lang w:eastAsia="lt-LT"/>
        </w:rPr>
        <w:t>psoriazinio</w:t>
      </w:r>
      <w:proofErr w:type="spellEnd"/>
      <w:r w:rsidRPr="0019135A">
        <w:rPr>
          <w:lang w:eastAsia="lt-LT"/>
        </w:rPr>
        <w:t xml:space="preserve"> artrito gydymui kompensuojami keturi </w:t>
      </w:r>
      <w:proofErr w:type="spellStart"/>
      <w:r w:rsidRPr="0019135A">
        <w:rPr>
          <w:lang w:eastAsia="lt-LT"/>
        </w:rPr>
        <w:t>interleukino</w:t>
      </w:r>
      <w:proofErr w:type="spellEnd"/>
      <w:r w:rsidRPr="0019135A">
        <w:rPr>
          <w:lang w:eastAsia="lt-LT"/>
        </w:rPr>
        <w:t xml:space="preserve"> inhibitoriai: </w:t>
      </w:r>
      <w:proofErr w:type="spellStart"/>
      <w:r w:rsidRPr="0019135A">
        <w:rPr>
          <w:lang w:eastAsia="lt-LT"/>
        </w:rPr>
        <w:t>guselkumabas</w:t>
      </w:r>
      <w:proofErr w:type="spellEnd"/>
      <w:r w:rsidRPr="0019135A">
        <w:rPr>
          <w:lang w:eastAsia="lt-LT"/>
        </w:rPr>
        <w:t xml:space="preserve"> (</w:t>
      </w:r>
      <w:proofErr w:type="spellStart"/>
      <w:r w:rsidRPr="0019135A">
        <w:rPr>
          <w:lang w:eastAsia="lt-LT"/>
        </w:rPr>
        <w:t>Tremfya</w:t>
      </w:r>
      <w:proofErr w:type="spellEnd"/>
      <w:r w:rsidRPr="0019135A">
        <w:rPr>
          <w:lang w:eastAsia="lt-LT"/>
        </w:rPr>
        <w:t xml:space="preserve">), </w:t>
      </w:r>
      <w:proofErr w:type="spellStart"/>
      <w:r w:rsidRPr="0019135A">
        <w:rPr>
          <w:lang w:eastAsia="lt-LT"/>
        </w:rPr>
        <w:t>risankizumabas</w:t>
      </w:r>
      <w:proofErr w:type="spellEnd"/>
      <w:r w:rsidRPr="0019135A">
        <w:rPr>
          <w:lang w:eastAsia="lt-LT"/>
        </w:rPr>
        <w:t xml:space="preserve"> (</w:t>
      </w:r>
      <w:proofErr w:type="spellStart"/>
      <w:r w:rsidRPr="0019135A">
        <w:rPr>
          <w:lang w:eastAsia="lt-LT"/>
        </w:rPr>
        <w:t>Skyrizi</w:t>
      </w:r>
      <w:proofErr w:type="spellEnd"/>
      <w:r w:rsidRPr="0019135A">
        <w:rPr>
          <w:lang w:eastAsia="lt-LT"/>
        </w:rPr>
        <w:t xml:space="preserve">), </w:t>
      </w:r>
      <w:proofErr w:type="spellStart"/>
      <w:r w:rsidRPr="0019135A">
        <w:rPr>
          <w:lang w:eastAsia="lt-LT"/>
        </w:rPr>
        <w:t>sekukinumabas</w:t>
      </w:r>
      <w:proofErr w:type="spellEnd"/>
      <w:r w:rsidRPr="0019135A">
        <w:rPr>
          <w:lang w:eastAsia="lt-LT"/>
        </w:rPr>
        <w:t xml:space="preserve"> (</w:t>
      </w:r>
      <w:proofErr w:type="spellStart"/>
      <w:r w:rsidRPr="0019135A">
        <w:rPr>
          <w:lang w:eastAsia="lt-LT"/>
        </w:rPr>
        <w:t>Cosentyx</w:t>
      </w:r>
      <w:proofErr w:type="spellEnd"/>
      <w:r w:rsidRPr="0019135A">
        <w:rPr>
          <w:lang w:eastAsia="lt-LT"/>
        </w:rPr>
        <w:t xml:space="preserve">) ir </w:t>
      </w:r>
      <w:proofErr w:type="spellStart"/>
      <w:r w:rsidRPr="0019135A">
        <w:rPr>
          <w:lang w:eastAsia="lt-LT"/>
        </w:rPr>
        <w:t>ustekinumabas</w:t>
      </w:r>
      <w:proofErr w:type="spellEnd"/>
      <w:r w:rsidRPr="0019135A">
        <w:rPr>
          <w:lang w:eastAsia="lt-LT"/>
        </w:rPr>
        <w:t xml:space="preserve">. Trys pirmi vaistai kainyne sugrupuoti į vieną grupę ir tik </w:t>
      </w:r>
      <w:proofErr w:type="spellStart"/>
      <w:r w:rsidRPr="0019135A">
        <w:rPr>
          <w:lang w:eastAsia="lt-LT"/>
        </w:rPr>
        <w:t>ustekinumabas</w:t>
      </w:r>
      <w:proofErr w:type="spellEnd"/>
      <w:r w:rsidRPr="0019135A">
        <w:rPr>
          <w:lang w:eastAsia="lt-LT"/>
        </w:rPr>
        <w:t xml:space="preserve"> išskirtas į atskirą grupę. </w:t>
      </w:r>
    </w:p>
    <w:p w14:paraId="1FD4841C" w14:textId="52E6DA8D" w:rsidR="00B35F85" w:rsidRPr="00B35F85" w:rsidRDefault="00B35F85" w:rsidP="00B35F85">
      <w:pPr>
        <w:ind w:firstLine="720"/>
        <w:jc w:val="both"/>
        <w:rPr>
          <w:lang w:eastAsia="lt-LT"/>
        </w:rPr>
      </w:pPr>
      <w:r w:rsidRPr="0019135A">
        <w:rPr>
          <w:lang w:eastAsia="lt-LT"/>
        </w:rPr>
        <w:t xml:space="preserve">Pareiškėjas </w:t>
      </w:r>
      <w:proofErr w:type="spellStart"/>
      <w:r w:rsidRPr="0019135A">
        <w:rPr>
          <w:lang w:eastAsia="lt-LT"/>
        </w:rPr>
        <w:t>iksekizumabą</w:t>
      </w:r>
      <w:proofErr w:type="spellEnd"/>
      <w:r w:rsidRPr="0019135A">
        <w:rPr>
          <w:lang w:eastAsia="lt-LT"/>
        </w:rPr>
        <w:t xml:space="preserve"> (</w:t>
      </w:r>
      <w:proofErr w:type="spellStart"/>
      <w:r w:rsidRPr="0019135A">
        <w:rPr>
          <w:lang w:eastAsia="lt-LT"/>
        </w:rPr>
        <w:t>Taltz</w:t>
      </w:r>
      <w:proofErr w:type="spellEnd"/>
      <w:r w:rsidRPr="0019135A">
        <w:rPr>
          <w:lang w:eastAsia="lt-LT"/>
        </w:rPr>
        <w:t xml:space="preserve">) teikia kompensuoti tokiomis pačiomis terapinėmis indikacijomis, tai pačiai gydymo eilei ir tokioms pat skyrimo sąlygoms, kaip šiuo metu kompensuojami </w:t>
      </w:r>
      <w:proofErr w:type="spellStart"/>
      <w:r w:rsidRPr="0019135A">
        <w:rPr>
          <w:lang w:eastAsia="lt-LT"/>
        </w:rPr>
        <w:t>interleukino</w:t>
      </w:r>
      <w:proofErr w:type="spellEnd"/>
      <w:r w:rsidRPr="0019135A">
        <w:rPr>
          <w:lang w:eastAsia="lt-LT"/>
        </w:rPr>
        <w:t xml:space="preserve"> inhibitoriai </w:t>
      </w:r>
      <w:proofErr w:type="spellStart"/>
      <w:r w:rsidRPr="0019135A">
        <w:rPr>
          <w:lang w:eastAsia="lt-LT"/>
        </w:rPr>
        <w:t>guselkumabas</w:t>
      </w:r>
      <w:proofErr w:type="spellEnd"/>
      <w:r w:rsidRPr="0019135A">
        <w:rPr>
          <w:lang w:eastAsia="lt-LT"/>
        </w:rPr>
        <w:t xml:space="preserve">, </w:t>
      </w:r>
      <w:proofErr w:type="spellStart"/>
      <w:r w:rsidRPr="0019135A">
        <w:rPr>
          <w:lang w:eastAsia="lt-LT"/>
        </w:rPr>
        <w:t>risankizumabas</w:t>
      </w:r>
      <w:proofErr w:type="spellEnd"/>
      <w:r w:rsidRPr="0019135A">
        <w:rPr>
          <w:lang w:eastAsia="lt-LT"/>
        </w:rPr>
        <w:t xml:space="preserve"> ir </w:t>
      </w:r>
      <w:proofErr w:type="spellStart"/>
      <w:r w:rsidRPr="0019135A">
        <w:rPr>
          <w:lang w:eastAsia="lt-LT"/>
        </w:rPr>
        <w:t>sekukinumabas</w:t>
      </w:r>
      <w:proofErr w:type="spellEnd"/>
      <w:r w:rsidRPr="0019135A">
        <w:rPr>
          <w:lang w:eastAsia="lt-LT"/>
        </w:rPr>
        <w:t xml:space="preserve">. Pareiškėjo pasiriktas </w:t>
      </w:r>
      <w:r w:rsidRPr="00B35F85">
        <w:rPr>
          <w:bCs/>
          <w:lang w:eastAsia="lt-LT"/>
        </w:rPr>
        <w:t>palyginamasis gydymas (</w:t>
      </w:r>
      <w:proofErr w:type="spellStart"/>
      <w:r w:rsidRPr="0019135A">
        <w:rPr>
          <w:lang w:eastAsia="lt-LT"/>
        </w:rPr>
        <w:t>guselkumabas</w:t>
      </w:r>
      <w:proofErr w:type="spellEnd"/>
      <w:r w:rsidRPr="0019135A">
        <w:rPr>
          <w:lang w:eastAsia="lt-LT"/>
        </w:rPr>
        <w:t xml:space="preserve">, </w:t>
      </w:r>
      <w:proofErr w:type="spellStart"/>
      <w:r w:rsidRPr="0019135A">
        <w:rPr>
          <w:lang w:eastAsia="lt-LT"/>
        </w:rPr>
        <w:t>risankizumabas</w:t>
      </w:r>
      <w:proofErr w:type="spellEnd"/>
      <w:r w:rsidRPr="0019135A">
        <w:rPr>
          <w:lang w:eastAsia="lt-LT"/>
        </w:rPr>
        <w:t xml:space="preserve"> ir </w:t>
      </w:r>
      <w:proofErr w:type="spellStart"/>
      <w:r w:rsidRPr="0019135A">
        <w:rPr>
          <w:lang w:eastAsia="lt-LT"/>
        </w:rPr>
        <w:t>sekukinumabas</w:t>
      </w:r>
      <w:proofErr w:type="spellEnd"/>
      <w:r w:rsidRPr="0019135A">
        <w:rPr>
          <w:lang w:eastAsia="lt-LT"/>
        </w:rPr>
        <w:t>)</w:t>
      </w:r>
      <w:r w:rsidRPr="00B35F85">
        <w:rPr>
          <w:bCs/>
          <w:lang w:eastAsia="lt-LT"/>
        </w:rPr>
        <w:t>, atitinka įprastinę klinikinę praktiką Lietuvoje.</w:t>
      </w:r>
    </w:p>
    <w:p w14:paraId="36DCF320" w14:textId="77777777" w:rsidR="00B35F85" w:rsidRPr="00B35F85" w:rsidRDefault="00B35F85" w:rsidP="00B35F85">
      <w:pPr>
        <w:spacing w:line="276" w:lineRule="auto"/>
        <w:jc w:val="both"/>
        <w:rPr>
          <w:i/>
          <w:lang w:eastAsia="lt-LT"/>
        </w:rPr>
      </w:pPr>
    </w:p>
    <w:p w14:paraId="5567DB01" w14:textId="77777777" w:rsidR="00B35F85" w:rsidRPr="00B35F85" w:rsidRDefault="00B35F85" w:rsidP="00B35F85">
      <w:pPr>
        <w:spacing w:line="276" w:lineRule="auto"/>
        <w:jc w:val="both"/>
        <w:rPr>
          <w:i/>
          <w:lang w:eastAsia="lt-LT"/>
        </w:rPr>
      </w:pPr>
      <w:r w:rsidRPr="00B35F85">
        <w:rPr>
          <w:i/>
          <w:lang w:eastAsia="lt-LT"/>
        </w:rPr>
        <w:t>Netiesioginio palyginimo tyrimai</w:t>
      </w:r>
    </w:p>
    <w:p w14:paraId="1D313005" w14:textId="77777777" w:rsidR="00B35F85" w:rsidRDefault="00B35F85" w:rsidP="00B35F85">
      <w:pPr>
        <w:tabs>
          <w:tab w:val="left" w:pos="426"/>
        </w:tabs>
        <w:spacing w:line="276" w:lineRule="auto"/>
        <w:jc w:val="both"/>
        <w:rPr>
          <w:bCs/>
          <w:lang w:eastAsia="lt-LT"/>
        </w:rPr>
      </w:pPr>
      <w:r>
        <w:rPr>
          <w:bCs/>
          <w:lang w:eastAsia="lt-LT"/>
        </w:rPr>
        <w:tab/>
      </w:r>
      <w:r w:rsidRPr="00B35F85">
        <w:rPr>
          <w:bCs/>
          <w:lang w:eastAsia="lt-LT"/>
        </w:rPr>
        <w:t xml:space="preserve">Buvo atlikta </w:t>
      </w:r>
      <w:proofErr w:type="spellStart"/>
      <w:r w:rsidRPr="00B35F85">
        <w:rPr>
          <w:bCs/>
          <w:lang w:eastAsia="lt-LT"/>
        </w:rPr>
        <w:t>metaanalizė</w:t>
      </w:r>
      <w:proofErr w:type="spellEnd"/>
      <w:r w:rsidRPr="00B35F85">
        <w:rPr>
          <w:bCs/>
          <w:lang w:eastAsia="lt-LT"/>
        </w:rPr>
        <w:t xml:space="preserve">, kuri vertino tris </w:t>
      </w:r>
      <w:proofErr w:type="spellStart"/>
      <w:r w:rsidRPr="00B35F85">
        <w:rPr>
          <w:bCs/>
          <w:lang w:eastAsia="lt-LT"/>
        </w:rPr>
        <w:t>vertinamasias</w:t>
      </w:r>
      <w:proofErr w:type="spellEnd"/>
      <w:r w:rsidRPr="00B35F85">
        <w:rPr>
          <w:bCs/>
          <w:lang w:eastAsia="lt-LT"/>
        </w:rPr>
        <w:t xml:space="preserve"> baigtis: </w:t>
      </w:r>
      <w:r w:rsidRPr="00B35F85">
        <w:rPr>
          <w:rFonts w:eastAsia="Arial"/>
        </w:rPr>
        <w:t xml:space="preserve">ACR atsaką, PASI atsaką, </w:t>
      </w:r>
      <w:proofErr w:type="spellStart"/>
      <w:r w:rsidRPr="00B35F85">
        <w:rPr>
          <w:rFonts w:eastAsia="Arial"/>
        </w:rPr>
        <w:t>vdH</w:t>
      </w:r>
      <w:proofErr w:type="spellEnd"/>
      <w:r w:rsidRPr="00B35F85">
        <w:rPr>
          <w:rFonts w:eastAsia="Arial"/>
        </w:rPr>
        <w:t xml:space="preserve">-S balus </w:t>
      </w:r>
      <w:r w:rsidRPr="00B35F85">
        <w:rPr>
          <w:bCs/>
          <w:lang w:eastAsia="lt-LT"/>
        </w:rPr>
        <w:t xml:space="preserve">bei saugumo profilio palyginimą.  </w:t>
      </w:r>
    </w:p>
    <w:p w14:paraId="4B182680" w14:textId="77777777" w:rsidR="00B35F85" w:rsidRDefault="00B35F85" w:rsidP="00B35F85">
      <w:pPr>
        <w:tabs>
          <w:tab w:val="left" w:pos="426"/>
        </w:tabs>
        <w:spacing w:line="276" w:lineRule="auto"/>
        <w:jc w:val="both"/>
        <w:rPr>
          <w:bCs/>
          <w:lang w:eastAsia="lt-LT"/>
        </w:rPr>
      </w:pPr>
      <w:r>
        <w:rPr>
          <w:rFonts w:eastAsia="Arial"/>
        </w:rPr>
        <w:tab/>
      </w:r>
      <w:r w:rsidRPr="00B35F85">
        <w:rPr>
          <w:rFonts w:eastAsia="Arial"/>
        </w:rPr>
        <w:t xml:space="preserve">Tyrimų populiacija atitinka vertinamą indikaciją ir skyrimo sąlygą – </w:t>
      </w:r>
      <w:proofErr w:type="spellStart"/>
      <w:r w:rsidRPr="00B35F85">
        <w:rPr>
          <w:rFonts w:eastAsia="Arial"/>
        </w:rPr>
        <w:t>t.y</w:t>
      </w:r>
      <w:proofErr w:type="spellEnd"/>
      <w:r w:rsidRPr="00B35F85">
        <w:rPr>
          <w:rFonts w:eastAsia="Arial"/>
        </w:rPr>
        <w:t xml:space="preserve">. populiacijoje buvo įtraukti </w:t>
      </w:r>
      <w:proofErr w:type="spellStart"/>
      <w:r w:rsidRPr="00B35F85">
        <w:rPr>
          <w:bCs/>
          <w:lang w:eastAsia="lt-LT"/>
        </w:rPr>
        <w:t>TNFi</w:t>
      </w:r>
      <w:proofErr w:type="spellEnd"/>
      <w:r w:rsidRPr="00B35F85">
        <w:rPr>
          <w:bCs/>
          <w:lang w:eastAsia="lt-LT"/>
        </w:rPr>
        <w:t xml:space="preserve"> negydyti pacientai ir pacientai, kuriems anksčiau buvo nepakankamas atsakas į </w:t>
      </w:r>
      <w:proofErr w:type="spellStart"/>
      <w:r w:rsidRPr="00B35F85">
        <w:rPr>
          <w:bCs/>
          <w:lang w:eastAsia="lt-LT"/>
        </w:rPr>
        <w:t>TNFi</w:t>
      </w:r>
      <w:proofErr w:type="spellEnd"/>
      <w:r w:rsidRPr="00B35F85">
        <w:rPr>
          <w:bCs/>
          <w:lang w:eastAsia="lt-LT"/>
        </w:rPr>
        <w:t xml:space="preserve"> terapiją arba kurie netoleravo jos (</w:t>
      </w:r>
      <w:proofErr w:type="spellStart"/>
      <w:r w:rsidRPr="00B35F85">
        <w:rPr>
          <w:bCs/>
          <w:lang w:eastAsia="lt-LT"/>
        </w:rPr>
        <w:t>TNFi</w:t>
      </w:r>
      <w:proofErr w:type="spellEnd"/>
      <w:r w:rsidRPr="00B35F85">
        <w:rPr>
          <w:bCs/>
          <w:lang w:eastAsia="lt-LT"/>
        </w:rPr>
        <w:t xml:space="preserve">-IR). </w:t>
      </w:r>
    </w:p>
    <w:p w14:paraId="2B91D2AE" w14:textId="7889E9E4" w:rsidR="00B35F85" w:rsidRPr="00B35F85" w:rsidRDefault="00B35F85" w:rsidP="00B35F85">
      <w:pPr>
        <w:tabs>
          <w:tab w:val="left" w:pos="426"/>
        </w:tabs>
        <w:spacing w:line="276" w:lineRule="auto"/>
        <w:jc w:val="both"/>
        <w:rPr>
          <w:bCs/>
          <w:lang w:eastAsia="lt-LT"/>
        </w:rPr>
      </w:pPr>
      <w:r>
        <w:rPr>
          <w:rFonts w:eastAsia="Arial"/>
        </w:rPr>
        <w:tab/>
      </w:r>
      <w:r w:rsidRPr="00B35F85">
        <w:rPr>
          <w:rFonts w:eastAsia="Arial"/>
        </w:rPr>
        <w:t xml:space="preserve">Vertinant ACR20/50/70, PASI90 ir </w:t>
      </w:r>
      <w:proofErr w:type="spellStart"/>
      <w:r w:rsidRPr="00B35F85">
        <w:rPr>
          <w:rFonts w:eastAsia="Arial"/>
        </w:rPr>
        <w:t>vdH</w:t>
      </w:r>
      <w:proofErr w:type="spellEnd"/>
      <w:r w:rsidRPr="00B35F85">
        <w:rPr>
          <w:rFonts w:eastAsia="Arial"/>
        </w:rPr>
        <w:t xml:space="preserve">-S balų atsako dažnį, </w:t>
      </w:r>
      <w:proofErr w:type="spellStart"/>
      <w:r w:rsidRPr="00B35F85">
        <w:rPr>
          <w:rFonts w:eastAsia="Arial"/>
        </w:rPr>
        <w:t>iksekizumabo</w:t>
      </w:r>
      <w:proofErr w:type="spellEnd"/>
      <w:r w:rsidRPr="00B35F85">
        <w:rPr>
          <w:rFonts w:eastAsia="Arial"/>
        </w:rPr>
        <w:t xml:space="preserve">, </w:t>
      </w:r>
      <w:proofErr w:type="spellStart"/>
      <w:r w:rsidRPr="0019135A">
        <w:rPr>
          <w:lang w:eastAsia="lt-LT"/>
        </w:rPr>
        <w:t>guselkumabo</w:t>
      </w:r>
      <w:proofErr w:type="spellEnd"/>
      <w:r w:rsidRPr="0019135A">
        <w:rPr>
          <w:lang w:eastAsia="lt-LT"/>
        </w:rPr>
        <w:t xml:space="preserve">, </w:t>
      </w:r>
      <w:proofErr w:type="spellStart"/>
      <w:r w:rsidRPr="0019135A">
        <w:rPr>
          <w:lang w:eastAsia="lt-LT"/>
        </w:rPr>
        <w:t>risankizumabo</w:t>
      </w:r>
      <w:proofErr w:type="spellEnd"/>
      <w:r w:rsidRPr="0019135A">
        <w:rPr>
          <w:lang w:eastAsia="lt-LT"/>
        </w:rPr>
        <w:t xml:space="preserve"> ir </w:t>
      </w:r>
      <w:proofErr w:type="spellStart"/>
      <w:r w:rsidRPr="0019135A">
        <w:rPr>
          <w:lang w:eastAsia="lt-LT"/>
        </w:rPr>
        <w:t>sekukinumabo</w:t>
      </w:r>
      <w:proofErr w:type="spellEnd"/>
      <w:r w:rsidRPr="00B35F85">
        <w:rPr>
          <w:rFonts w:eastAsia="Arial"/>
        </w:rPr>
        <w:t xml:space="preserve"> veiksmingumas buvo panašus, </w:t>
      </w:r>
      <w:proofErr w:type="spellStart"/>
      <w:r w:rsidRPr="00B35F85">
        <w:rPr>
          <w:rFonts w:eastAsia="Arial"/>
        </w:rPr>
        <w:t>t.y</w:t>
      </w:r>
      <w:proofErr w:type="spellEnd"/>
      <w:r w:rsidRPr="00B35F85">
        <w:rPr>
          <w:rFonts w:eastAsia="Arial"/>
        </w:rPr>
        <w:t xml:space="preserve">. statistiškai reikšmingų skirtumų nenustatyta. </w:t>
      </w:r>
      <w:proofErr w:type="spellStart"/>
      <w:r w:rsidRPr="00B35F85">
        <w:rPr>
          <w:rFonts w:eastAsia="Arial"/>
        </w:rPr>
        <w:t>Iksekizumabo</w:t>
      </w:r>
      <w:proofErr w:type="spellEnd"/>
      <w:r w:rsidRPr="00B35F85">
        <w:rPr>
          <w:rFonts w:eastAsia="Arial"/>
        </w:rPr>
        <w:t xml:space="preserve"> ir kitų vertintų </w:t>
      </w:r>
      <w:proofErr w:type="spellStart"/>
      <w:r w:rsidRPr="00B35F85">
        <w:rPr>
          <w:rFonts w:eastAsia="Arial"/>
        </w:rPr>
        <w:t>interleukino</w:t>
      </w:r>
      <w:proofErr w:type="spellEnd"/>
      <w:r w:rsidRPr="00B35F85">
        <w:rPr>
          <w:rFonts w:eastAsia="Arial"/>
        </w:rPr>
        <w:t xml:space="preserve"> inhibitorių saugumo profilis taip pat buvo panašus, statistiškai reikšmingo skirtumo nebuvo.</w:t>
      </w:r>
    </w:p>
    <w:p w14:paraId="144C37F4" w14:textId="5DDED786" w:rsidR="00B35F85" w:rsidRPr="0019135A" w:rsidRDefault="00B35F85" w:rsidP="00B35F85">
      <w:pPr>
        <w:tabs>
          <w:tab w:val="left" w:pos="426"/>
        </w:tabs>
        <w:spacing w:line="276" w:lineRule="auto"/>
        <w:jc w:val="both"/>
      </w:pPr>
      <w:r>
        <w:rPr>
          <w:rFonts w:eastAsia="Arial"/>
          <w:color w:val="000000" w:themeColor="text1"/>
        </w:rPr>
        <w:tab/>
      </w:r>
      <w:r w:rsidRPr="00B35F85">
        <w:rPr>
          <w:rFonts w:eastAsia="Arial"/>
          <w:color w:val="000000" w:themeColor="text1"/>
        </w:rPr>
        <w:t xml:space="preserve">Apibendrinant </w:t>
      </w:r>
      <w:r w:rsidRPr="00B35F85">
        <w:rPr>
          <w:rFonts w:eastAsia="Arial"/>
          <w:bCs/>
          <w:color w:val="000000" w:themeColor="text1"/>
        </w:rPr>
        <w:t xml:space="preserve">netiesioginio palyginimo analizėje pateiktus duomenis, </w:t>
      </w:r>
      <w:proofErr w:type="spellStart"/>
      <w:r w:rsidRPr="00B35F85">
        <w:rPr>
          <w:rFonts w:eastAsia="Arial"/>
          <w:bCs/>
          <w:color w:val="000000" w:themeColor="text1"/>
        </w:rPr>
        <w:t>iksekizumabo</w:t>
      </w:r>
      <w:proofErr w:type="spellEnd"/>
      <w:r w:rsidRPr="00B35F85">
        <w:rPr>
          <w:rFonts w:eastAsia="Arial"/>
          <w:bCs/>
          <w:color w:val="000000" w:themeColor="text1"/>
        </w:rPr>
        <w:t xml:space="preserve"> palyginamasis veiksmingumas vertinamas kaip </w:t>
      </w:r>
      <w:r w:rsidRPr="0019135A">
        <w:t xml:space="preserve">iš esmės nesiskiriantis, lyginant su įprasta klinikine praktika (kitais šiuo metu kompensuojamais </w:t>
      </w:r>
      <w:proofErr w:type="spellStart"/>
      <w:r w:rsidRPr="0019135A">
        <w:t>interleukino</w:t>
      </w:r>
      <w:proofErr w:type="spellEnd"/>
      <w:r w:rsidRPr="0019135A">
        <w:t xml:space="preserve"> inhibitoriais – </w:t>
      </w:r>
      <w:proofErr w:type="spellStart"/>
      <w:r w:rsidRPr="0019135A">
        <w:rPr>
          <w:lang w:eastAsia="lt-LT"/>
        </w:rPr>
        <w:t>guselkumabu</w:t>
      </w:r>
      <w:proofErr w:type="spellEnd"/>
      <w:r w:rsidRPr="0019135A">
        <w:rPr>
          <w:lang w:eastAsia="lt-LT"/>
        </w:rPr>
        <w:t xml:space="preserve">, </w:t>
      </w:r>
      <w:proofErr w:type="spellStart"/>
      <w:r w:rsidRPr="0019135A">
        <w:rPr>
          <w:lang w:eastAsia="lt-LT"/>
        </w:rPr>
        <w:t>risankizumabu</w:t>
      </w:r>
      <w:proofErr w:type="spellEnd"/>
      <w:r w:rsidRPr="0019135A">
        <w:rPr>
          <w:lang w:eastAsia="lt-LT"/>
        </w:rPr>
        <w:t xml:space="preserve"> ir </w:t>
      </w:r>
      <w:proofErr w:type="spellStart"/>
      <w:r w:rsidRPr="0019135A">
        <w:rPr>
          <w:lang w:eastAsia="lt-LT"/>
        </w:rPr>
        <w:t>sekukinumabu</w:t>
      </w:r>
      <w:proofErr w:type="spellEnd"/>
      <w:r w:rsidRPr="0019135A">
        <w:rPr>
          <w:lang w:eastAsia="lt-LT"/>
        </w:rPr>
        <w:t>)</w:t>
      </w:r>
      <w:r w:rsidRPr="0019135A">
        <w:t>.</w:t>
      </w:r>
    </w:p>
    <w:p w14:paraId="20837FAD" w14:textId="77777777" w:rsidR="00E64747" w:rsidRPr="007B6B4A" w:rsidRDefault="00E64747" w:rsidP="00E64747">
      <w:pPr>
        <w:pStyle w:val="Pagrindinistekstas"/>
        <w:spacing w:line="276" w:lineRule="auto"/>
        <w:jc w:val="both"/>
      </w:pPr>
    </w:p>
    <w:p w14:paraId="6FC5D95A" w14:textId="48FF07B8" w:rsidR="00E64747" w:rsidRDefault="00E64747" w:rsidP="00E64747">
      <w:pPr>
        <w:pStyle w:val="Sraopastraipa"/>
        <w:numPr>
          <w:ilvl w:val="0"/>
          <w:numId w:val="1"/>
        </w:numPr>
        <w:tabs>
          <w:tab w:val="left" w:pos="426"/>
        </w:tabs>
        <w:rPr>
          <w:b/>
          <w:bCs/>
          <w:caps/>
        </w:rPr>
      </w:pPr>
      <w:r w:rsidRPr="007B6B4A">
        <w:rPr>
          <w:b/>
          <w:bCs/>
          <w:caps/>
        </w:rPr>
        <w:t>Farmakoekonominio vertinimo</w:t>
      </w:r>
      <w:r>
        <w:rPr>
          <w:b/>
          <w:bCs/>
          <w:caps/>
        </w:rPr>
        <w:t xml:space="preserve"> </w:t>
      </w:r>
      <w:r w:rsidRPr="00A93AA6">
        <w:rPr>
          <w:b/>
          <w:bCs/>
          <w:caps/>
        </w:rPr>
        <w:t>apibendrinimas</w:t>
      </w:r>
    </w:p>
    <w:p w14:paraId="7AD80817" w14:textId="77777777" w:rsidR="00B35F85" w:rsidRDefault="00B35F85" w:rsidP="00B35F85">
      <w:pPr>
        <w:pStyle w:val="Sraopastraipa"/>
        <w:tabs>
          <w:tab w:val="left" w:pos="426"/>
        </w:tabs>
        <w:rPr>
          <w:b/>
          <w:bCs/>
          <w:caps/>
        </w:rPr>
      </w:pPr>
    </w:p>
    <w:p w14:paraId="480FCE68" w14:textId="77777777" w:rsidR="00B35F85" w:rsidRPr="0019135A" w:rsidRDefault="00B35F85" w:rsidP="00B35F85">
      <w:pPr>
        <w:spacing w:line="276" w:lineRule="auto"/>
        <w:ind w:firstLine="360"/>
        <w:jc w:val="both"/>
        <w:rPr>
          <w:bCs/>
        </w:rPr>
      </w:pPr>
      <w:bookmarkStart w:id="0" w:name="_Hlk201005636"/>
      <w:r w:rsidRPr="0019135A">
        <w:t xml:space="preserve">Atsižvelgiant į tai, kad detalaus klinikinio vertinimo metu nustatyta, kad siūlomo kompensuoti vaistinio preparato </w:t>
      </w:r>
      <w:proofErr w:type="spellStart"/>
      <w:r w:rsidRPr="0019135A">
        <w:rPr>
          <w:bCs/>
          <w:i/>
          <w:iCs/>
        </w:rPr>
        <w:t>Taltz</w:t>
      </w:r>
      <w:proofErr w:type="spellEnd"/>
      <w:r w:rsidRPr="0019135A">
        <w:rPr>
          <w:bCs/>
          <w:i/>
          <w:iCs/>
        </w:rPr>
        <w:t xml:space="preserve"> 80 mg/ml injekcinis tirpalas užpildytame </w:t>
      </w:r>
      <w:proofErr w:type="spellStart"/>
      <w:r w:rsidRPr="0019135A">
        <w:rPr>
          <w:bCs/>
          <w:i/>
          <w:iCs/>
        </w:rPr>
        <w:t>švirkštiklyje</w:t>
      </w:r>
      <w:proofErr w:type="spellEnd"/>
      <w:r w:rsidRPr="0019135A">
        <w:rPr>
          <w:bCs/>
        </w:rPr>
        <w:t xml:space="preserve"> </w:t>
      </w:r>
      <w:r w:rsidRPr="0019135A">
        <w:t>palyginamasis veiksmingumas yra įvertintas kaip iš esmės nesiskiriantis lyginant su įprasta klinikine praktika (</w:t>
      </w:r>
      <w:proofErr w:type="spellStart"/>
      <w:r w:rsidRPr="0019135A">
        <w:t>interleukino</w:t>
      </w:r>
      <w:proofErr w:type="spellEnd"/>
      <w:r w:rsidRPr="0019135A">
        <w:t xml:space="preserve"> inhibitoriais </w:t>
      </w:r>
      <w:proofErr w:type="spellStart"/>
      <w:r w:rsidRPr="0019135A">
        <w:rPr>
          <w:lang w:eastAsia="lt-LT"/>
        </w:rPr>
        <w:t>guselkumabu</w:t>
      </w:r>
      <w:proofErr w:type="spellEnd"/>
      <w:r w:rsidRPr="0019135A">
        <w:rPr>
          <w:lang w:eastAsia="lt-LT"/>
        </w:rPr>
        <w:t xml:space="preserve">, </w:t>
      </w:r>
      <w:proofErr w:type="spellStart"/>
      <w:r w:rsidRPr="0019135A">
        <w:rPr>
          <w:lang w:eastAsia="lt-LT"/>
        </w:rPr>
        <w:t>risankizumabu</w:t>
      </w:r>
      <w:proofErr w:type="spellEnd"/>
      <w:r w:rsidRPr="0019135A">
        <w:rPr>
          <w:lang w:eastAsia="lt-LT"/>
        </w:rPr>
        <w:t xml:space="preserve"> ir </w:t>
      </w:r>
      <w:proofErr w:type="spellStart"/>
      <w:r w:rsidRPr="0019135A">
        <w:rPr>
          <w:lang w:eastAsia="lt-LT"/>
        </w:rPr>
        <w:t>sekukinumabu</w:t>
      </w:r>
      <w:proofErr w:type="spellEnd"/>
      <w:r w:rsidRPr="0019135A">
        <w:t xml:space="preserve">) </w:t>
      </w:r>
      <w:r w:rsidRPr="0019135A">
        <w:rPr>
          <w:bCs/>
        </w:rPr>
        <w:t>ir v</w:t>
      </w:r>
      <w:r w:rsidRPr="0019135A">
        <w:t xml:space="preserve">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 </w:t>
      </w:r>
      <w:r w:rsidRPr="0019135A">
        <w:rPr>
          <w:color w:val="000000"/>
        </w:rPr>
        <w:t>5</w:t>
      </w:r>
      <w:r w:rsidRPr="0019135A">
        <w:rPr>
          <w:color w:val="000000"/>
          <w:vertAlign w:val="superscript"/>
        </w:rPr>
        <w:t xml:space="preserve">2 </w:t>
      </w:r>
      <w:r w:rsidRPr="0019135A">
        <w:rPr>
          <w:color w:val="000000"/>
        </w:rPr>
        <w:t xml:space="preserve">ir </w:t>
      </w:r>
      <w:r w:rsidRPr="0019135A">
        <w:t>17</w:t>
      </w:r>
      <w:r w:rsidRPr="0019135A">
        <w:rPr>
          <w:vertAlign w:val="superscript"/>
        </w:rPr>
        <w:t>3</w:t>
      </w:r>
      <w:r w:rsidRPr="0019135A">
        <w:t xml:space="preserve"> punktais, 17</w:t>
      </w:r>
      <w:r w:rsidRPr="0019135A">
        <w:rPr>
          <w:vertAlign w:val="superscript"/>
        </w:rPr>
        <w:t>3</w:t>
      </w:r>
      <w:r w:rsidRPr="0019135A">
        <w:t>.1. papunkčiu ir 17</w:t>
      </w:r>
      <w:r w:rsidRPr="0019135A">
        <w:rPr>
          <w:vertAlign w:val="superscript"/>
        </w:rPr>
        <w:t xml:space="preserve">5 </w:t>
      </w:r>
      <w:r w:rsidRPr="0019135A">
        <w:t xml:space="preserve">punktu, ekonominis vertinimas neatliekamas ir išvados dėl kaštų naudingumo neteikiamos. </w:t>
      </w:r>
    </w:p>
    <w:bookmarkEnd w:id="0"/>
    <w:p w14:paraId="51B5D2B9" w14:textId="77777777" w:rsidR="00DC2292" w:rsidRPr="00EA5574" w:rsidRDefault="00DC2292" w:rsidP="00E64747">
      <w:pPr>
        <w:tabs>
          <w:tab w:val="left" w:pos="426"/>
        </w:tabs>
        <w:rPr>
          <w:bCs/>
          <w:caps/>
        </w:rPr>
      </w:pPr>
    </w:p>
    <w:p w14:paraId="30AFFFD6" w14:textId="77777777" w:rsidR="00E64747" w:rsidRPr="006D52FA" w:rsidRDefault="00E64747" w:rsidP="00E64747">
      <w:pPr>
        <w:pStyle w:val="Sraopastraipa"/>
        <w:numPr>
          <w:ilvl w:val="0"/>
          <w:numId w:val="1"/>
        </w:numPr>
        <w:tabs>
          <w:tab w:val="left" w:pos="284"/>
        </w:tabs>
        <w:rPr>
          <w:b/>
          <w:bCs/>
          <w:caps/>
        </w:rPr>
      </w:pPr>
      <w:r w:rsidRPr="006D52FA">
        <w:rPr>
          <w:b/>
          <w:bCs/>
          <w:caps/>
        </w:rPr>
        <w:t xml:space="preserve">Pacientų organizacijų pateikti duomenys </w:t>
      </w:r>
    </w:p>
    <w:p w14:paraId="6AF680F1" w14:textId="77777777" w:rsidR="00E64747" w:rsidRPr="006D52FA" w:rsidRDefault="008C3566" w:rsidP="00E6474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E64747" w:rsidRPr="006D52FA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E64747" w:rsidRPr="006D52FA">
        <w:t xml:space="preserve"> Pacientų organizacijos pozicija pateikta. Žr. priedą.</w:t>
      </w:r>
    </w:p>
    <w:p w14:paraId="0DBD9357" w14:textId="77777777" w:rsidR="00E64747" w:rsidRPr="006D52FA" w:rsidRDefault="008C3566" w:rsidP="00E6474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E64747" w:rsidRPr="006D52FA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E64747" w:rsidRPr="006D52FA">
        <w:t xml:space="preserve"> Pacientų organizacijos pozicija nepateikta.</w:t>
      </w:r>
    </w:p>
    <w:p w14:paraId="3CCA38C3" w14:textId="77777777" w:rsidR="00E64747" w:rsidRPr="006D52FA" w:rsidRDefault="00E64747" w:rsidP="00E64747">
      <w:pPr>
        <w:pStyle w:val="Sraopastraipa"/>
        <w:numPr>
          <w:ilvl w:val="0"/>
          <w:numId w:val="1"/>
        </w:numPr>
        <w:tabs>
          <w:tab w:val="left" w:pos="426"/>
        </w:tabs>
        <w:rPr>
          <w:b/>
          <w:bCs/>
          <w:caps/>
        </w:rPr>
      </w:pPr>
      <w:r w:rsidRPr="006D52FA">
        <w:rPr>
          <w:b/>
          <w:bCs/>
          <w:caps/>
        </w:rPr>
        <w:t>Gydytojų organizacijų pateikti duomenys</w:t>
      </w:r>
    </w:p>
    <w:p w14:paraId="34F0679C" w14:textId="77777777" w:rsidR="00E64747" w:rsidRPr="006D52FA" w:rsidRDefault="008C3566" w:rsidP="00E6474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16138627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2762B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E64747" w:rsidRPr="006D52FA">
        <w:t xml:space="preserve"> Gydytojų specialistų organizacijos pozicija pateikta. Žr. priedą.</w:t>
      </w:r>
    </w:p>
    <w:p w14:paraId="05C38C30" w14:textId="77777777" w:rsidR="00E64747" w:rsidRDefault="008C3566" w:rsidP="00E6474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</w:rPr>
          <w:id w:val="-41988141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2762B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E64747" w:rsidRPr="006D52FA">
        <w:t xml:space="preserve"> Gydytojų specialistų organizacijos pozicija nepateikta.</w:t>
      </w:r>
    </w:p>
    <w:p w14:paraId="1E76E156" w14:textId="77777777" w:rsidR="00DC2292" w:rsidRPr="006D52FA" w:rsidRDefault="00DC2292" w:rsidP="00E64747">
      <w:pPr>
        <w:spacing w:after="120"/>
        <w:jc w:val="both"/>
      </w:pPr>
    </w:p>
    <w:p w14:paraId="39E5CFF9" w14:textId="77777777" w:rsidR="00E64747" w:rsidRPr="000D01F1" w:rsidRDefault="00E64747" w:rsidP="00E64747">
      <w:pPr>
        <w:pStyle w:val="Sraopastraipa"/>
        <w:numPr>
          <w:ilvl w:val="0"/>
          <w:numId w:val="1"/>
        </w:numPr>
        <w:tabs>
          <w:tab w:val="left" w:pos="426"/>
        </w:tabs>
        <w:rPr>
          <w:b/>
          <w:bCs/>
          <w:caps/>
        </w:rPr>
      </w:pPr>
      <w:r w:rsidRPr="000D01F1">
        <w:rPr>
          <w:b/>
          <w:bCs/>
          <w:caps/>
        </w:rPr>
        <w:t xml:space="preserve">Išvada </w:t>
      </w:r>
    </w:p>
    <w:p w14:paraId="406868AF" w14:textId="77777777" w:rsidR="00E64747" w:rsidRPr="00797153" w:rsidRDefault="00E64747" w:rsidP="00E64747">
      <w:pPr>
        <w:tabs>
          <w:tab w:val="left" w:pos="426"/>
        </w:tabs>
        <w:rPr>
          <w:b/>
          <w:bCs/>
          <w:cap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E64747" w:rsidRPr="00EA0893" w14:paraId="0629C8EE" w14:textId="77777777" w:rsidTr="007A7371">
        <w:trPr>
          <w:trHeight w:val="510"/>
        </w:trPr>
        <w:tc>
          <w:tcPr>
            <w:tcW w:w="9629" w:type="dxa"/>
            <w:gridSpan w:val="2"/>
            <w:vAlign w:val="center"/>
          </w:tcPr>
          <w:p w14:paraId="0084EAA1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  <w:szCs w:val="24"/>
              </w:rPr>
            </w:pPr>
            <w:bookmarkStart w:id="1" w:name="_Hlk185374656"/>
            <w:r w:rsidRPr="00EA0893">
              <w:rPr>
                <w:rStyle w:val="Style2"/>
                <w:rFonts w:eastAsia="MS Gothic"/>
                <w:b/>
                <w:bCs/>
                <w:sz w:val="24"/>
                <w:szCs w:val="24"/>
              </w:rPr>
              <w:t>Palyginamasis veiksmingumas</w:t>
            </w:r>
          </w:p>
        </w:tc>
      </w:tr>
      <w:tr w:rsidR="00E64747" w:rsidRPr="00EA0893" w14:paraId="699F8A37" w14:textId="77777777" w:rsidTr="007A7371">
        <w:tc>
          <w:tcPr>
            <w:tcW w:w="4815" w:type="dxa"/>
          </w:tcPr>
          <w:p w14:paraId="0C0E0CE9" w14:textId="5E684837" w:rsidR="00E64747" w:rsidRPr="00EA0893" w:rsidRDefault="008C3566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13973246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C4DA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4747" w:rsidRPr="00EA0893">
              <w:rPr>
                <w:rStyle w:val="Style2"/>
                <w:sz w:val="24"/>
                <w:szCs w:val="24"/>
              </w:rPr>
              <w:t xml:space="preserve"> 29</w:t>
            </w:r>
            <w:r w:rsidR="00E64747" w:rsidRPr="00EA0893">
              <w:rPr>
                <w:sz w:val="24"/>
                <w:szCs w:val="24"/>
              </w:rPr>
              <w:t>.1.1 yra didesnis, lyginant su įprasta klinikine praktika</w:t>
            </w:r>
          </w:p>
          <w:p w14:paraId="1211F955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5696EC4E" w14:textId="1077EEF7" w:rsidR="00E64747" w:rsidRPr="00EA0893" w:rsidRDefault="008C3566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41829709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C4DAE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E64747" w:rsidRPr="00EA0893">
              <w:rPr>
                <w:sz w:val="24"/>
                <w:szCs w:val="24"/>
              </w:rPr>
              <w:t xml:space="preserve"> </w:t>
            </w:r>
            <w:r w:rsidR="00E64747" w:rsidRPr="00EA0893">
              <w:rPr>
                <w:rStyle w:val="Style2"/>
                <w:sz w:val="24"/>
                <w:szCs w:val="24"/>
              </w:rPr>
              <w:t>29</w:t>
            </w:r>
            <w:r w:rsidR="00E64747" w:rsidRPr="00EA0893">
              <w:rPr>
                <w:sz w:val="24"/>
                <w:szCs w:val="24"/>
              </w:rPr>
              <w:t>.1.2 iš esmės nesiskiria, lyginant su įprasta klinikine praktika</w:t>
            </w:r>
          </w:p>
        </w:tc>
        <w:tc>
          <w:tcPr>
            <w:tcW w:w="4814" w:type="dxa"/>
          </w:tcPr>
          <w:p w14:paraId="76F441BC" w14:textId="77777777" w:rsidR="00E64747" w:rsidRPr="00EA0893" w:rsidRDefault="008C3566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EA089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EA0893">
              <w:rPr>
                <w:sz w:val="24"/>
                <w:szCs w:val="24"/>
              </w:rPr>
              <w:t xml:space="preserve"> </w:t>
            </w:r>
            <w:r w:rsidR="00E64747" w:rsidRPr="00EA0893">
              <w:rPr>
                <w:rStyle w:val="Style2"/>
                <w:sz w:val="24"/>
                <w:szCs w:val="24"/>
              </w:rPr>
              <w:t>29</w:t>
            </w:r>
            <w:r w:rsidR="00E64747" w:rsidRPr="00EA0893">
              <w:rPr>
                <w:sz w:val="24"/>
                <w:szCs w:val="24"/>
              </w:rPr>
              <w:t xml:space="preserve">.1.3 yra neįrodytas kaip didesnis  ar iš esmės nesiskiriantis, lyginant su įprasta klinikine praktika  </w:t>
            </w:r>
          </w:p>
          <w:p w14:paraId="138AADB4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4A369527" w14:textId="77777777" w:rsidR="00E64747" w:rsidRPr="00EA0893" w:rsidRDefault="008C3566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EA089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EA0893">
              <w:rPr>
                <w:sz w:val="24"/>
                <w:szCs w:val="24"/>
              </w:rPr>
              <w:t xml:space="preserve"> </w:t>
            </w:r>
            <w:r w:rsidR="00E64747" w:rsidRPr="00EA0893">
              <w:rPr>
                <w:rStyle w:val="Style2"/>
                <w:sz w:val="24"/>
                <w:szCs w:val="24"/>
              </w:rPr>
              <w:t>29</w:t>
            </w:r>
            <w:r w:rsidR="00E64747" w:rsidRPr="00EA0893">
              <w:rPr>
                <w:sz w:val="24"/>
                <w:szCs w:val="24"/>
              </w:rPr>
              <w:t>.1.4 yra mažesnis, lyginant su įprasta klinikine praktika</w:t>
            </w:r>
          </w:p>
          <w:p w14:paraId="2B04CCF0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14:paraId="7236EFDF" w14:textId="39A07E31" w:rsidR="00E64747" w:rsidRPr="00EA0893" w:rsidRDefault="008C3566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sdt>
              <w:sdtPr>
                <w:rPr>
                  <w:rStyle w:val="Style2"/>
                  <w:sz w:val="24"/>
                </w:rPr>
                <w:id w:val="-18579601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64747" w:rsidRPr="00EA0893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4747" w:rsidRPr="00EA0893">
              <w:rPr>
                <w:sz w:val="24"/>
                <w:szCs w:val="24"/>
              </w:rPr>
              <w:t xml:space="preserve"> </w:t>
            </w:r>
            <w:r w:rsidR="00E64747" w:rsidRPr="00EA0893">
              <w:rPr>
                <w:rStyle w:val="Style2"/>
                <w:sz w:val="24"/>
                <w:szCs w:val="24"/>
              </w:rPr>
              <w:t>29</w:t>
            </w:r>
            <w:r w:rsidR="00E64747" w:rsidRPr="00EA0893">
              <w:rPr>
                <w:sz w:val="24"/>
                <w:szCs w:val="24"/>
              </w:rPr>
              <w:t>.1.5 pateikti duomenys apie palyginamąjį veiksmingumą yra netinkami vertinti</w:t>
            </w:r>
          </w:p>
          <w:p w14:paraId="409D324D" w14:textId="77777777" w:rsidR="00E64747" w:rsidRPr="00EA0893" w:rsidRDefault="00E64747" w:rsidP="007A7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  <w:szCs w:val="24"/>
              </w:rPr>
            </w:pPr>
          </w:p>
        </w:tc>
      </w:tr>
    </w:tbl>
    <w:p w14:paraId="37D0CC95" w14:textId="77777777" w:rsidR="00E64747" w:rsidRDefault="00E64747" w:rsidP="00E64747">
      <w:pPr>
        <w:pStyle w:val="Sraopastraipa"/>
        <w:shd w:val="clear" w:color="auto" w:fill="FFFFFF"/>
        <w:tabs>
          <w:tab w:val="left" w:pos="284"/>
        </w:tabs>
        <w:spacing w:line="276" w:lineRule="auto"/>
        <w:rPr>
          <w:rFonts w:eastAsia="Arial"/>
          <w:b/>
        </w:rPr>
      </w:pPr>
      <w:bookmarkStart w:id="2" w:name="_Hlk201005524"/>
      <w:bookmarkEnd w:id="1"/>
    </w:p>
    <w:p w14:paraId="6045306A" w14:textId="77777777" w:rsidR="00E64747" w:rsidRPr="00253CF8" w:rsidRDefault="00E64747" w:rsidP="00E64747">
      <w:pPr>
        <w:pStyle w:val="Sraopastraipa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rPr>
          <w:rFonts w:eastAsia="Arial"/>
          <w:b/>
        </w:rPr>
      </w:pPr>
      <w:r w:rsidRPr="00253CF8">
        <w:rPr>
          <w:rFonts w:eastAsia="Arial"/>
          <w:b/>
        </w:rPr>
        <w:t>REKOMENDACIJA</w:t>
      </w:r>
    </w:p>
    <w:p w14:paraId="595F4CDD" w14:textId="77777777" w:rsidR="00E64747" w:rsidRDefault="00E64747" w:rsidP="00E64747">
      <w:pPr>
        <w:pStyle w:val="Sraopastraipa"/>
        <w:shd w:val="clear" w:color="auto" w:fill="FFFFFF"/>
        <w:tabs>
          <w:tab w:val="left" w:pos="284"/>
        </w:tabs>
        <w:spacing w:line="276" w:lineRule="auto"/>
        <w:ind w:left="426"/>
        <w:rPr>
          <w:rFonts w:eastAsia="Arial"/>
          <w:b/>
        </w:rPr>
      </w:pPr>
    </w:p>
    <w:p w14:paraId="0C12984E" w14:textId="2563F331" w:rsidR="00E64747" w:rsidRDefault="00030268" w:rsidP="00030268">
      <w:pPr>
        <w:spacing w:line="276" w:lineRule="auto"/>
        <w:jc w:val="both"/>
        <w:rPr>
          <w:color w:val="000000"/>
          <w:lang w:eastAsia="lt-LT"/>
        </w:rPr>
      </w:pPr>
      <w:bookmarkStart w:id="3" w:name="_Hlk201006303"/>
      <w:r>
        <w:t>V</w:t>
      </w:r>
      <w:r w:rsidRPr="002A024D">
        <w:t>adovaujantis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</w:t>
      </w:r>
      <w:r>
        <w:t xml:space="preserve"> </w:t>
      </w:r>
      <w:r w:rsidR="00FB2D33">
        <w:t xml:space="preserve">(toliau -Aprašas) </w:t>
      </w:r>
      <w:r w:rsidR="00E64747" w:rsidRPr="00471EC6">
        <w:rPr>
          <w:color w:val="000000"/>
          <w:lang w:eastAsia="lt-LT"/>
        </w:rPr>
        <w:t>30</w:t>
      </w:r>
      <w:r w:rsidR="00E64747" w:rsidRPr="00471EC6">
        <w:rPr>
          <w:color w:val="000000"/>
          <w:vertAlign w:val="superscript"/>
          <w:lang w:eastAsia="lt-LT"/>
        </w:rPr>
        <w:t>1</w:t>
      </w:r>
      <w:r w:rsidR="00E64747" w:rsidRPr="00471EC6">
        <w:rPr>
          <w:color w:val="000000"/>
          <w:lang w:eastAsia="lt-LT"/>
        </w:rPr>
        <w:t>.</w:t>
      </w:r>
      <w:r>
        <w:rPr>
          <w:color w:val="000000"/>
          <w:lang w:eastAsia="lt-LT"/>
        </w:rPr>
        <w:t>5</w:t>
      </w:r>
      <w:r w:rsidR="00E64747" w:rsidRPr="00471EC6">
        <w:rPr>
          <w:color w:val="000000"/>
          <w:lang w:eastAsia="lt-LT"/>
        </w:rPr>
        <w:t>.</w:t>
      </w:r>
      <w:r w:rsidR="00E64747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punktu, </w:t>
      </w:r>
      <w:r w:rsidRPr="00030268">
        <w:rPr>
          <w:color w:val="000000"/>
          <w:lang w:eastAsia="lt-LT"/>
        </w:rPr>
        <w:t>kai vertinimo išvados atitinka Aprašo 29.1.2 papunktyje numatytas sąlygas</w:t>
      </w:r>
      <w:r>
        <w:rPr>
          <w:color w:val="000000"/>
          <w:lang w:eastAsia="lt-LT"/>
        </w:rPr>
        <w:t>, siūloma</w:t>
      </w:r>
      <w:r w:rsidR="00E64747" w:rsidRPr="00471EC6">
        <w:rPr>
          <w:color w:val="000000"/>
          <w:lang w:eastAsia="lt-LT"/>
        </w:rPr>
        <w:t xml:space="preserve"> kompensuoti vaistinį preparatą pagal paraiškoje nurodytą indikaciją </w:t>
      </w:r>
      <w:r w:rsidR="003A4E29">
        <w:rPr>
          <w:color w:val="000000"/>
          <w:lang w:eastAsia="lt-LT"/>
        </w:rPr>
        <w:t xml:space="preserve"> su skyrimo sąlygomis.</w:t>
      </w:r>
    </w:p>
    <w:bookmarkEnd w:id="3"/>
    <w:p w14:paraId="2F932826" w14:textId="77777777" w:rsidR="00FB2D33" w:rsidRDefault="00FB2D33" w:rsidP="00030268">
      <w:pPr>
        <w:spacing w:line="276" w:lineRule="auto"/>
        <w:jc w:val="both"/>
        <w:rPr>
          <w:color w:val="000000"/>
          <w:lang w:eastAsia="lt-LT"/>
        </w:rPr>
      </w:pPr>
    </w:p>
    <w:bookmarkEnd w:id="2"/>
    <w:p w14:paraId="2E2C7081" w14:textId="77777777" w:rsidR="00E64747" w:rsidRPr="001000A6" w:rsidRDefault="00E64747" w:rsidP="00E64747">
      <w:pPr>
        <w:pStyle w:val="Sraopastraipa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rPr>
          <w:rFonts w:eastAsia="Arial"/>
          <w:b/>
        </w:rPr>
      </w:pPr>
      <w:r w:rsidRPr="001000A6">
        <w:rPr>
          <w:rFonts w:eastAsia="Arial"/>
          <w:b/>
        </w:rPr>
        <w:t>SKYRIMO SĄLYGOS</w:t>
      </w:r>
    </w:p>
    <w:p w14:paraId="79E4CCCB" w14:textId="77777777" w:rsidR="00E64747" w:rsidRDefault="00E64747" w:rsidP="00E64747">
      <w:pPr>
        <w:spacing w:line="276" w:lineRule="auto"/>
        <w:jc w:val="both"/>
      </w:pPr>
    </w:p>
    <w:p w14:paraId="59916FF8" w14:textId="77777777" w:rsidR="0072762B" w:rsidRPr="0002553B" w:rsidRDefault="0072762B" w:rsidP="0072762B">
      <w:pPr>
        <w:pStyle w:val="Betarp"/>
        <w:rPr>
          <w:rFonts w:ascii="Times New Roman" w:hAnsi="Times New Roman"/>
          <w:b/>
          <w:sz w:val="24"/>
          <w:szCs w:val="24"/>
          <w:lang w:eastAsia="lt-LT"/>
        </w:rPr>
      </w:pPr>
      <w:r w:rsidRPr="0002553B">
        <w:rPr>
          <w:rFonts w:ascii="Times New Roman" w:hAnsi="Times New Roman"/>
          <w:b/>
          <w:sz w:val="24"/>
          <w:szCs w:val="24"/>
          <w:lang w:eastAsia="lt-LT"/>
        </w:rPr>
        <w:t>Terapinės indikacijos</w:t>
      </w:r>
    </w:p>
    <w:p w14:paraId="3B817069" w14:textId="77777777" w:rsidR="0072762B" w:rsidRDefault="0072762B" w:rsidP="0072762B">
      <w:pPr>
        <w:pStyle w:val="Betarp"/>
        <w:rPr>
          <w:rFonts w:ascii="Times New Roman" w:hAnsi="Times New Roman"/>
          <w:sz w:val="24"/>
          <w:szCs w:val="24"/>
        </w:rPr>
      </w:pPr>
    </w:p>
    <w:p w14:paraId="1A3EA744" w14:textId="77777777" w:rsidR="00B35F85" w:rsidRPr="0019135A" w:rsidRDefault="00B35F85" w:rsidP="00B35F85">
      <w:pPr>
        <w:tabs>
          <w:tab w:val="left" w:pos="1741"/>
        </w:tabs>
        <w:spacing w:line="276" w:lineRule="auto"/>
        <w:rPr>
          <w:i/>
          <w:iCs/>
        </w:rPr>
      </w:pPr>
      <w:proofErr w:type="spellStart"/>
      <w:r w:rsidRPr="0019135A">
        <w:rPr>
          <w:i/>
          <w:iCs/>
        </w:rPr>
        <w:t>Psoriazinis</w:t>
      </w:r>
      <w:proofErr w:type="spellEnd"/>
      <w:r w:rsidRPr="0019135A">
        <w:rPr>
          <w:i/>
          <w:iCs/>
        </w:rPr>
        <w:t xml:space="preserve"> artritas</w:t>
      </w:r>
    </w:p>
    <w:p w14:paraId="70A3891B" w14:textId="77777777" w:rsidR="00B35F85" w:rsidRPr="0019135A" w:rsidRDefault="00B35F85" w:rsidP="00B35F85">
      <w:pPr>
        <w:jc w:val="both"/>
        <w:rPr>
          <w:lang w:eastAsia="lt-LT"/>
        </w:rPr>
      </w:pPr>
      <w:proofErr w:type="spellStart"/>
      <w:r w:rsidRPr="0019135A">
        <w:rPr>
          <w:lang w:eastAsia="lt-LT"/>
        </w:rPr>
        <w:t>Taltz</w:t>
      </w:r>
      <w:proofErr w:type="spellEnd"/>
      <w:r w:rsidRPr="0019135A">
        <w:rPr>
          <w:lang w:eastAsia="lt-LT"/>
        </w:rPr>
        <w:t xml:space="preserve">, vienas arba kartu su </w:t>
      </w:r>
      <w:proofErr w:type="spellStart"/>
      <w:r w:rsidRPr="0019135A">
        <w:rPr>
          <w:lang w:eastAsia="lt-LT"/>
        </w:rPr>
        <w:t>metotreksatu</w:t>
      </w:r>
      <w:proofErr w:type="spellEnd"/>
      <w:r w:rsidRPr="0019135A">
        <w:rPr>
          <w:lang w:eastAsia="lt-LT"/>
        </w:rPr>
        <w:t xml:space="preserve">, vartojamas suaugusiųjų </w:t>
      </w:r>
      <w:proofErr w:type="spellStart"/>
      <w:r w:rsidRPr="0019135A">
        <w:rPr>
          <w:lang w:eastAsia="lt-LT"/>
        </w:rPr>
        <w:t>psoriazinio</w:t>
      </w:r>
      <w:proofErr w:type="spellEnd"/>
      <w:r w:rsidRPr="0019135A">
        <w:rPr>
          <w:lang w:eastAsia="lt-LT"/>
        </w:rPr>
        <w:t xml:space="preserve"> artrito gydymui, kai </w:t>
      </w:r>
    </w:p>
    <w:p w14:paraId="4CCFD3DC" w14:textId="77777777" w:rsidR="00B35F85" w:rsidRPr="0019135A" w:rsidRDefault="00B35F85" w:rsidP="00B35F85">
      <w:pPr>
        <w:jc w:val="both"/>
        <w:rPr>
          <w:lang w:eastAsia="lt-LT"/>
        </w:rPr>
      </w:pPr>
      <w:r w:rsidRPr="0019135A">
        <w:rPr>
          <w:lang w:eastAsia="lt-LT"/>
        </w:rPr>
        <w:t xml:space="preserve">gydymas ligos eigą modifikuojančiais </w:t>
      </w:r>
      <w:proofErr w:type="spellStart"/>
      <w:r w:rsidRPr="0019135A">
        <w:rPr>
          <w:lang w:eastAsia="lt-LT"/>
        </w:rPr>
        <w:t>antireumatiniais</w:t>
      </w:r>
      <w:proofErr w:type="spellEnd"/>
      <w:r w:rsidRPr="0019135A">
        <w:rPr>
          <w:lang w:eastAsia="lt-LT"/>
        </w:rPr>
        <w:t xml:space="preserve"> vaistais (LEMARV) yra neefektyvus arba </w:t>
      </w:r>
    </w:p>
    <w:p w14:paraId="5BFF6CEC" w14:textId="77777777" w:rsidR="00B35F85" w:rsidRPr="0019135A" w:rsidRDefault="00B35F85" w:rsidP="00B35F85">
      <w:pPr>
        <w:jc w:val="both"/>
        <w:rPr>
          <w:lang w:eastAsia="lt-LT"/>
        </w:rPr>
      </w:pPr>
      <w:r w:rsidRPr="0019135A">
        <w:rPr>
          <w:lang w:eastAsia="lt-LT"/>
        </w:rPr>
        <w:t xml:space="preserve">gydymas vienu ar daugiau LEMARV yra netoleruojamas. </w:t>
      </w:r>
    </w:p>
    <w:p w14:paraId="710276F1" w14:textId="77777777" w:rsidR="00B35F85" w:rsidRPr="0019135A" w:rsidRDefault="00B35F85" w:rsidP="00B35F85"/>
    <w:p w14:paraId="0699FA42" w14:textId="77777777" w:rsidR="00B35F85" w:rsidRPr="0019135A" w:rsidRDefault="00B35F85" w:rsidP="00B35F85">
      <w:pPr>
        <w:pStyle w:val="Betarp"/>
        <w:rPr>
          <w:rFonts w:ascii="Times New Roman" w:eastAsia="Times New Roman" w:hAnsi="Times New Roman"/>
          <w:sz w:val="24"/>
          <w:szCs w:val="24"/>
        </w:rPr>
      </w:pPr>
      <w:r w:rsidRPr="0019135A">
        <w:rPr>
          <w:rFonts w:ascii="Times New Roman" w:eastAsia="Times New Roman" w:hAnsi="Times New Roman"/>
          <w:sz w:val="24"/>
          <w:szCs w:val="24"/>
        </w:rPr>
        <w:t>TLK-10 AM – M07</w:t>
      </w:r>
    </w:p>
    <w:p w14:paraId="5C226F72" w14:textId="77777777" w:rsidR="00B35F85" w:rsidRPr="0019135A" w:rsidRDefault="00B35F85" w:rsidP="00B35F85">
      <w:pPr>
        <w:pStyle w:val="Betarp"/>
        <w:rPr>
          <w:rFonts w:ascii="Times New Roman" w:hAnsi="Times New Roman"/>
          <w:sz w:val="24"/>
          <w:szCs w:val="24"/>
        </w:rPr>
      </w:pPr>
    </w:p>
    <w:p w14:paraId="301A4E78" w14:textId="77777777" w:rsidR="00B35F85" w:rsidRPr="0019135A" w:rsidRDefault="00B35F85" w:rsidP="00B35F85">
      <w:pPr>
        <w:pStyle w:val="Betarp"/>
        <w:rPr>
          <w:rFonts w:ascii="Times New Roman" w:hAnsi="Times New Roman"/>
          <w:b/>
          <w:sz w:val="24"/>
          <w:szCs w:val="24"/>
        </w:rPr>
      </w:pPr>
      <w:r w:rsidRPr="0019135A">
        <w:rPr>
          <w:rFonts w:ascii="Times New Roman" w:hAnsi="Times New Roman"/>
          <w:b/>
          <w:sz w:val="24"/>
          <w:szCs w:val="24"/>
        </w:rPr>
        <w:t>Skyrimo sąlygos</w:t>
      </w:r>
    </w:p>
    <w:p w14:paraId="7C411434" w14:textId="77777777" w:rsidR="00B35F85" w:rsidRPr="0019135A" w:rsidRDefault="00B35F85" w:rsidP="00B35F85">
      <w:pPr>
        <w:pStyle w:val="Betarp"/>
        <w:rPr>
          <w:rFonts w:ascii="Times New Roman" w:hAnsi="Times New Roman"/>
          <w:sz w:val="24"/>
          <w:szCs w:val="24"/>
        </w:rPr>
      </w:pPr>
    </w:p>
    <w:p w14:paraId="67B0FB16" w14:textId="77777777" w:rsidR="00B35F85" w:rsidRPr="0019135A" w:rsidRDefault="00B35F85" w:rsidP="00B35F85">
      <w:pPr>
        <w:pStyle w:val="Betarp"/>
        <w:rPr>
          <w:rFonts w:ascii="Times New Roman" w:hAnsi="Times New Roman"/>
          <w:sz w:val="24"/>
          <w:szCs w:val="24"/>
        </w:rPr>
      </w:pPr>
      <w:r w:rsidRPr="0019135A">
        <w:rPr>
          <w:rFonts w:ascii="Times New Roman" w:hAnsi="Times New Roman"/>
          <w:sz w:val="24"/>
          <w:szCs w:val="24"/>
        </w:rPr>
        <w:t>Skiriamas sveikatos apsaugos ministro nustatyta tvarka.</w:t>
      </w:r>
    </w:p>
    <w:p w14:paraId="499A8EE7" w14:textId="77777777" w:rsidR="0072762B" w:rsidRDefault="0072762B" w:rsidP="0072762B">
      <w:pPr>
        <w:pStyle w:val="Betarp"/>
        <w:rPr>
          <w:rFonts w:ascii="Times New Roman" w:hAnsi="Times New Roman"/>
          <w:sz w:val="24"/>
          <w:szCs w:val="24"/>
          <w:lang w:eastAsia="lt-LT"/>
        </w:rPr>
      </w:pPr>
    </w:p>
    <w:p w14:paraId="4969012B" w14:textId="04F047A5" w:rsidR="0072762B" w:rsidRDefault="0072762B" w:rsidP="0072762B">
      <w:pPr>
        <w:jc w:val="both"/>
        <w:rPr>
          <w:i/>
          <w:iCs/>
        </w:rPr>
      </w:pPr>
      <w:bookmarkStart w:id="4" w:name="_Hlk199454650"/>
      <w:bookmarkStart w:id="5" w:name="_Hlk201137988"/>
      <w:r w:rsidRPr="001156E5">
        <w:rPr>
          <w:i/>
          <w:iCs/>
        </w:rPr>
        <w:t>Pastab</w:t>
      </w:r>
      <w:r w:rsidR="003A4E29">
        <w:rPr>
          <w:i/>
          <w:iCs/>
        </w:rPr>
        <w:t>os</w:t>
      </w:r>
    </w:p>
    <w:p w14:paraId="4446AEEC" w14:textId="77777777" w:rsidR="003A4E29" w:rsidRDefault="003A4E29" w:rsidP="0072762B">
      <w:pPr>
        <w:jc w:val="both"/>
        <w:rPr>
          <w:i/>
          <w:iCs/>
        </w:rPr>
      </w:pPr>
    </w:p>
    <w:p w14:paraId="5808A7A9" w14:textId="327A6AAA" w:rsidR="003A4E29" w:rsidRPr="00B35F85" w:rsidRDefault="003A4E29" w:rsidP="00B35F85">
      <w:pPr>
        <w:pStyle w:val="Sraopastraipa"/>
        <w:numPr>
          <w:ilvl w:val="0"/>
          <w:numId w:val="7"/>
        </w:numPr>
        <w:spacing w:line="276" w:lineRule="auto"/>
        <w:jc w:val="both"/>
        <w:rPr>
          <w:color w:val="000000"/>
        </w:rPr>
      </w:pPr>
      <w:bookmarkStart w:id="6" w:name="_Hlk199193506"/>
      <w:r w:rsidRPr="003A4E29">
        <w:rPr>
          <w:color w:val="000000"/>
          <w:lang w:eastAsia="lt-LT"/>
        </w:rPr>
        <w:t>Tarnybos pateikta rekomendacija kompensuoti siūlomą vaistinį preparatą taik</w:t>
      </w:r>
      <w:r>
        <w:rPr>
          <w:color w:val="000000"/>
          <w:lang w:eastAsia="lt-LT"/>
        </w:rPr>
        <w:t>ytina,</w:t>
      </w:r>
      <w:r w:rsidRPr="003A4E29">
        <w:rPr>
          <w:color w:val="000000"/>
          <w:lang w:eastAsia="lt-LT"/>
        </w:rPr>
        <w:t xml:space="preserve"> jei PSDF biudžeto išlaidos dėl kompensuoti siūlomo vaistinio preparato, lygin</w:t>
      </w:r>
      <w:r>
        <w:rPr>
          <w:color w:val="000000"/>
          <w:lang w:eastAsia="lt-LT"/>
        </w:rPr>
        <w:t>ant</w:t>
      </w:r>
      <w:r w:rsidRPr="003A4E29">
        <w:rPr>
          <w:color w:val="000000"/>
          <w:lang w:eastAsia="lt-LT"/>
        </w:rPr>
        <w:t xml:space="preserve"> su palyginamuoju gydymu atitinka Aprašo </w:t>
      </w:r>
      <w:r w:rsidRPr="003A4E29">
        <w:rPr>
          <w:color w:val="000000"/>
        </w:rPr>
        <w:t>54.1</w:t>
      </w:r>
      <w:r w:rsidRPr="003A4E29">
        <w:rPr>
          <w:color w:val="000000"/>
          <w:vertAlign w:val="superscript"/>
        </w:rPr>
        <w:t>1</w:t>
      </w:r>
      <w:r w:rsidRPr="003A4E29">
        <w:rPr>
          <w:color w:val="000000"/>
        </w:rPr>
        <w:t xml:space="preserve"> papunktį. </w:t>
      </w:r>
      <w:bookmarkEnd w:id="4"/>
      <w:bookmarkEnd w:id="5"/>
      <w:bookmarkEnd w:id="6"/>
    </w:p>
    <w:sectPr w:rsidR="003A4E29" w:rsidRPr="00B35F85" w:rsidSect="005D30E1">
      <w:headerReference w:type="first" r:id="rId7"/>
      <w:footerReference w:type="first" r:id="rId8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FCEB" w14:textId="77777777" w:rsidR="00351BD3" w:rsidRDefault="00351BD3">
      <w:r>
        <w:separator/>
      </w:r>
    </w:p>
  </w:endnote>
  <w:endnote w:type="continuationSeparator" w:id="0">
    <w:p w14:paraId="48DC379C" w14:textId="77777777" w:rsidR="00351BD3" w:rsidRDefault="0035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022A" w14:textId="77777777" w:rsidR="00EB5DD2" w:rsidRDefault="00EB5DD2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A8F" w14:textId="77777777" w:rsidR="00351BD3" w:rsidRDefault="00351BD3">
      <w:r>
        <w:separator/>
      </w:r>
    </w:p>
  </w:footnote>
  <w:footnote w:type="continuationSeparator" w:id="0">
    <w:p w14:paraId="37DD903B" w14:textId="77777777" w:rsidR="00351BD3" w:rsidRDefault="0035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515" w14:textId="77777777" w:rsidR="00EB5DD2" w:rsidRDefault="00EB5DD2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D55"/>
    <w:multiLevelType w:val="hybridMultilevel"/>
    <w:tmpl w:val="D8C6C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A2E"/>
    <w:multiLevelType w:val="hybridMultilevel"/>
    <w:tmpl w:val="2B54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A28"/>
    <w:multiLevelType w:val="multilevel"/>
    <w:tmpl w:val="E9702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D2E58"/>
    <w:multiLevelType w:val="hybridMultilevel"/>
    <w:tmpl w:val="06600F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DCA"/>
    <w:multiLevelType w:val="hybridMultilevel"/>
    <w:tmpl w:val="BA6E8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3180"/>
    <w:multiLevelType w:val="hybridMultilevel"/>
    <w:tmpl w:val="AD16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747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F8660A"/>
    <w:multiLevelType w:val="hybridMultilevel"/>
    <w:tmpl w:val="06600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026B7"/>
    <w:multiLevelType w:val="hybridMultilevel"/>
    <w:tmpl w:val="9A2E51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402571">
    <w:abstractNumId w:val="3"/>
  </w:num>
  <w:num w:numId="2" w16cid:durableId="264113433">
    <w:abstractNumId w:val="1"/>
  </w:num>
  <w:num w:numId="3" w16cid:durableId="1708606187">
    <w:abstractNumId w:val="6"/>
  </w:num>
  <w:num w:numId="4" w16cid:durableId="1170945581">
    <w:abstractNumId w:val="2"/>
  </w:num>
  <w:num w:numId="5" w16cid:durableId="122774137">
    <w:abstractNumId w:val="8"/>
  </w:num>
  <w:num w:numId="6" w16cid:durableId="1683044650">
    <w:abstractNumId w:val="7"/>
  </w:num>
  <w:num w:numId="7" w16cid:durableId="1006246333">
    <w:abstractNumId w:val="4"/>
  </w:num>
  <w:num w:numId="8" w16cid:durableId="1490822620">
    <w:abstractNumId w:val="5"/>
  </w:num>
  <w:num w:numId="9" w16cid:durableId="104178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7"/>
    <w:rsid w:val="0001095A"/>
    <w:rsid w:val="00025E44"/>
    <w:rsid w:val="00030268"/>
    <w:rsid w:val="000649CE"/>
    <w:rsid w:val="00080DB9"/>
    <w:rsid w:val="000D345D"/>
    <w:rsid w:val="001137F1"/>
    <w:rsid w:val="00165F80"/>
    <w:rsid w:val="0016734A"/>
    <w:rsid w:val="00197042"/>
    <w:rsid w:val="001A465F"/>
    <w:rsid w:val="001C4DAE"/>
    <w:rsid w:val="001D516F"/>
    <w:rsid w:val="00222A1F"/>
    <w:rsid w:val="002A0C91"/>
    <w:rsid w:val="002A1E88"/>
    <w:rsid w:val="002A4216"/>
    <w:rsid w:val="002C0709"/>
    <w:rsid w:val="002D3E73"/>
    <w:rsid w:val="002F573E"/>
    <w:rsid w:val="0030743D"/>
    <w:rsid w:val="00312BC5"/>
    <w:rsid w:val="00324DBB"/>
    <w:rsid w:val="0034074F"/>
    <w:rsid w:val="00351BD3"/>
    <w:rsid w:val="003607DF"/>
    <w:rsid w:val="0038441A"/>
    <w:rsid w:val="003A4E29"/>
    <w:rsid w:val="003B0682"/>
    <w:rsid w:val="003E0048"/>
    <w:rsid w:val="0040215F"/>
    <w:rsid w:val="004039B0"/>
    <w:rsid w:val="004A479F"/>
    <w:rsid w:val="004C47BC"/>
    <w:rsid w:val="004D1F5A"/>
    <w:rsid w:val="004E2B3F"/>
    <w:rsid w:val="00563FAC"/>
    <w:rsid w:val="00595C48"/>
    <w:rsid w:val="00613362"/>
    <w:rsid w:val="00622897"/>
    <w:rsid w:val="00645DC6"/>
    <w:rsid w:val="006C6423"/>
    <w:rsid w:val="006E0C10"/>
    <w:rsid w:val="006F64F1"/>
    <w:rsid w:val="006F7769"/>
    <w:rsid w:val="006F7D17"/>
    <w:rsid w:val="0072762B"/>
    <w:rsid w:val="007D62AA"/>
    <w:rsid w:val="007F376F"/>
    <w:rsid w:val="00807E63"/>
    <w:rsid w:val="00892F58"/>
    <w:rsid w:val="008C3566"/>
    <w:rsid w:val="0090029E"/>
    <w:rsid w:val="009110E9"/>
    <w:rsid w:val="0091634E"/>
    <w:rsid w:val="00946CE0"/>
    <w:rsid w:val="00954853"/>
    <w:rsid w:val="009D6396"/>
    <w:rsid w:val="009F06B7"/>
    <w:rsid w:val="00A72C58"/>
    <w:rsid w:val="00A94D2C"/>
    <w:rsid w:val="00AF15D3"/>
    <w:rsid w:val="00B35F85"/>
    <w:rsid w:val="00B6624A"/>
    <w:rsid w:val="00BF5B71"/>
    <w:rsid w:val="00C07B44"/>
    <w:rsid w:val="00C45C9F"/>
    <w:rsid w:val="00C57D2A"/>
    <w:rsid w:val="00CF7088"/>
    <w:rsid w:val="00D030A5"/>
    <w:rsid w:val="00D46E0B"/>
    <w:rsid w:val="00DC2292"/>
    <w:rsid w:val="00DF2DB6"/>
    <w:rsid w:val="00E64747"/>
    <w:rsid w:val="00E75EED"/>
    <w:rsid w:val="00EA5574"/>
    <w:rsid w:val="00EB5DD2"/>
    <w:rsid w:val="00EC0FC7"/>
    <w:rsid w:val="00EF5063"/>
    <w:rsid w:val="00F5798D"/>
    <w:rsid w:val="00FB2D33"/>
    <w:rsid w:val="00FD74BB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91C9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  <w:rsid w:val="00E64747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647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E64747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E647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4747"/>
    <w:rPr>
      <w:rFonts w:ascii="Times New Roman" w:eastAsia="Times New Roman" w:hAnsi="Times New Roman" w:cs="Times New Roman"/>
      <w:lang w:val="lt-LT"/>
    </w:rPr>
  </w:style>
  <w:style w:type="character" w:styleId="Puslapionumeris">
    <w:name w:val="page number"/>
    <w:basedOn w:val="Numatytasispastraiposriftas"/>
    <w:rsid w:val="00E64747"/>
  </w:style>
  <w:style w:type="table" w:styleId="Lentelstinklelis">
    <w:name w:val="Table Grid"/>
    <w:aliases w:val="Summary box,Dossier Table,Dossier table,Section 3- footnotes,GW Pharma 2,Table Grid No Line,Legemiddelverket 3,Table Grid nm,YHEC table,Lash Style Table"/>
    <w:basedOn w:val="prastojilentel"/>
    <w:rsid w:val="00E64747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List,Bullet1,Use Case List Paragraph,List Paragraph1,Body Bullet,Table Number Paragraph,Colorful List - Accent 11,List Paragraph 1,Ref,B1,Figure_name,bu1,bu1 + Before:  0 pt,After:  6 pt,Bullet for no #'s,Paragraph,lp1"/>
    <w:basedOn w:val="prastasis"/>
    <w:link w:val="SraopastraipaDiagrama"/>
    <w:uiPriority w:val="34"/>
    <w:qFormat/>
    <w:rsid w:val="00E64747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E64747"/>
    <w:rPr>
      <w:sz w:val="32"/>
    </w:rPr>
  </w:style>
  <w:style w:type="paragraph" w:styleId="Betarp">
    <w:name w:val="No Spacing"/>
    <w:aliases w:val="~BaseStyle,PBAC Table Footnote"/>
    <w:link w:val="BetarpDiagrama"/>
    <w:uiPriority w:val="1"/>
    <w:qFormat/>
    <w:rsid w:val="00E64747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SraopastraipaDiagrama">
    <w:name w:val="Sąrašo pastraipa Diagrama"/>
    <w:aliases w:val="Bullet List Diagrama,Bullet1 Diagrama,Use Case List Paragraph Diagrama,List Paragraph1 Diagrama,Body Bullet Diagrama,Table Number Paragraph Diagrama,Colorful List - Accent 11 Diagrama,List Paragraph 1 Diagrama,Ref Diagrama"/>
    <w:basedOn w:val="Numatytasispastraiposriftas"/>
    <w:link w:val="Sraopastraipa"/>
    <w:uiPriority w:val="34"/>
    <w:qFormat/>
    <w:rsid w:val="00E64747"/>
    <w:rPr>
      <w:rFonts w:ascii="Times New Roman" w:eastAsia="Times New Roman" w:hAnsi="Times New Roman" w:cs="Times New Roman"/>
      <w:lang w:val="lt-LT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E64747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64747"/>
    <w:rPr>
      <w:rFonts w:ascii="Times New Roman" w:eastAsia="Times New Roman" w:hAnsi="Times New Roman" w:cs="Times New Roman"/>
      <w:szCs w:val="20"/>
      <w:lang w:val="lt-LT"/>
    </w:rPr>
  </w:style>
  <w:style w:type="paragraph" w:customStyle="1" w:styleId="TableHeading">
    <w:name w:val="Table Heading"/>
    <w:basedOn w:val="prastasis"/>
    <w:next w:val="prastasis"/>
    <w:link w:val="TableHeadingChar"/>
    <w:qFormat/>
    <w:rsid w:val="00E64747"/>
    <w:pPr>
      <w:keepNext/>
      <w:keepLines/>
      <w:spacing w:before="40" w:after="40" w:line="288" w:lineRule="auto"/>
    </w:pPr>
    <w:rPr>
      <w:rFonts w:ascii="Verdana" w:eastAsiaTheme="minorHAnsi" w:hAnsi="Verdana" w:cstheme="minorBidi"/>
      <w:b/>
      <w:color w:val="F8F8F8"/>
      <w:sz w:val="20"/>
      <w:lang w:val="en-GB"/>
    </w:rPr>
  </w:style>
  <w:style w:type="character" w:customStyle="1" w:styleId="TableHeadingChar">
    <w:name w:val="Table Heading Char"/>
    <w:basedOn w:val="Numatytasispastraiposriftas"/>
    <w:link w:val="TableHeading"/>
    <w:rsid w:val="00E64747"/>
    <w:rPr>
      <w:rFonts w:ascii="Verdana" w:hAnsi="Verdana"/>
      <w:b/>
      <w:color w:val="F8F8F8"/>
      <w:sz w:val="20"/>
    </w:rPr>
  </w:style>
  <w:style w:type="character" w:styleId="Grietas">
    <w:name w:val="Strong"/>
    <w:basedOn w:val="Numatytasispastraiposriftas"/>
    <w:uiPriority w:val="22"/>
    <w:qFormat/>
    <w:rsid w:val="00E64747"/>
    <w:rPr>
      <w:b/>
      <w:bCs/>
    </w:rPr>
  </w:style>
  <w:style w:type="table" w:customStyle="1" w:styleId="Lentelstinklelis1">
    <w:name w:val="Lentelės tinklelis1"/>
    <w:basedOn w:val="prastojilentel"/>
    <w:next w:val="Lentelstinklelis"/>
    <w:rsid w:val="00E64747"/>
    <w:rPr>
      <w:rFonts w:ascii="Times New Roman" w:eastAsia="Times New Roman" w:hAnsi="Times New Roman" w:cs="Times New Roman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aliases w:val="~BaseStyle Diagrama,PBAC Table Footnote Diagrama"/>
    <w:basedOn w:val="Numatytasispastraiposriftas"/>
    <w:link w:val="Betarp"/>
    <w:uiPriority w:val="1"/>
    <w:locked/>
    <w:rsid w:val="00E64747"/>
    <w:rPr>
      <w:rFonts w:ascii="Calibri" w:eastAsia="Calibri" w:hAnsi="Calibri" w:cs="Times New Roman"/>
      <w:sz w:val="22"/>
      <w:szCs w:val="22"/>
      <w:lang w:val="lt-LT"/>
    </w:rPr>
  </w:style>
  <w:style w:type="character" w:styleId="Vietosrezervavimoenklotekstas">
    <w:name w:val="Placeholder Text"/>
    <w:basedOn w:val="Numatytasispastraiposriftas"/>
    <w:uiPriority w:val="99"/>
    <w:rsid w:val="0072762B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7276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2762B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7276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2762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2762B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76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762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DF7F185C81C4183FAD20BB772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7E329-8313-3B47-8A4D-40E4A703AA4D}"/>
      </w:docPartPr>
      <w:docPartBody>
        <w:p w:rsidR="00BE61F1" w:rsidRDefault="003C6A69" w:rsidP="003C6A69">
          <w:pPr>
            <w:pStyle w:val="11ADF7F185C81C4183FAD20BB772CF7B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71C9817F07586444B83A06F816DE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9A40-D57A-5B47-B261-C5258BD21D18}"/>
      </w:docPartPr>
      <w:docPartBody>
        <w:p w:rsidR="00BE61F1" w:rsidRDefault="003C6A69" w:rsidP="003C6A69">
          <w:pPr>
            <w:pStyle w:val="71C9817F07586444B83A06F816DE2E85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49FBDFEA0413DE43B03940D7D4545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092B-CCD8-B74D-B622-0EE20419622D}"/>
      </w:docPartPr>
      <w:docPartBody>
        <w:p w:rsidR="0001535A" w:rsidRDefault="000E2A77" w:rsidP="000E2A77">
          <w:pPr>
            <w:pStyle w:val="49FBDFEA0413DE43B03940D7D4545048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2560F161AFDA8E4C98AB2471618B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EC03-B44B-364F-91DE-20EFB6498642}"/>
      </w:docPartPr>
      <w:docPartBody>
        <w:p w:rsidR="0001535A" w:rsidRDefault="000E2A77" w:rsidP="000E2A77">
          <w:pPr>
            <w:pStyle w:val="2560F161AFDA8E4C98AB2471618B755C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5DBEFEDD332FFB4B9726C6F42C4B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CA55-5FC9-C146-BA64-7D342FD3C812}"/>
      </w:docPartPr>
      <w:docPartBody>
        <w:p w:rsidR="0001535A" w:rsidRDefault="000E2A77" w:rsidP="000E2A77">
          <w:pPr>
            <w:pStyle w:val="5DBEFEDD332FFB4B9726C6F42C4B9715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69"/>
    <w:rsid w:val="0001535A"/>
    <w:rsid w:val="000E2A77"/>
    <w:rsid w:val="00165F80"/>
    <w:rsid w:val="00174D61"/>
    <w:rsid w:val="00222A1F"/>
    <w:rsid w:val="0035559A"/>
    <w:rsid w:val="003C6A69"/>
    <w:rsid w:val="003E0048"/>
    <w:rsid w:val="004400D2"/>
    <w:rsid w:val="00456E9F"/>
    <w:rsid w:val="004D051A"/>
    <w:rsid w:val="00645DC6"/>
    <w:rsid w:val="006A6842"/>
    <w:rsid w:val="0090029E"/>
    <w:rsid w:val="00946CE0"/>
    <w:rsid w:val="00BE61F1"/>
    <w:rsid w:val="00BF35A1"/>
    <w:rsid w:val="00C54D64"/>
    <w:rsid w:val="00C85257"/>
    <w:rsid w:val="00D9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0E2A77"/>
    <w:rPr>
      <w:color w:val="808080"/>
    </w:rPr>
  </w:style>
  <w:style w:type="paragraph" w:customStyle="1" w:styleId="11ADF7F185C81C4183FAD20BB772CF7B">
    <w:name w:val="11ADF7F185C81C4183FAD20BB772CF7B"/>
    <w:rsid w:val="003C6A69"/>
  </w:style>
  <w:style w:type="paragraph" w:customStyle="1" w:styleId="71C9817F07586444B83A06F816DE2E85">
    <w:name w:val="71C9817F07586444B83A06F816DE2E85"/>
    <w:rsid w:val="003C6A69"/>
  </w:style>
  <w:style w:type="paragraph" w:customStyle="1" w:styleId="49FBDFEA0413DE43B03940D7D4545048">
    <w:name w:val="49FBDFEA0413DE43B03940D7D4545048"/>
    <w:rsid w:val="000E2A77"/>
  </w:style>
  <w:style w:type="paragraph" w:customStyle="1" w:styleId="2560F161AFDA8E4C98AB2471618B755C">
    <w:name w:val="2560F161AFDA8E4C98AB2471618B755C"/>
    <w:rsid w:val="000E2A77"/>
  </w:style>
  <w:style w:type="paragraph" w:customStyle="1" w:styleId="5DBEFEDD332FFB4B9726C6F42C4B9715">
    <w:name w:val="5DBEFEDD332FFB4B9726C6F42C4B9715"/>
    <w:rsid w:val="000E2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8503</Words>
  <Characters>4847</Characters>
  <Application>Microsoft Office Word</Application>
  <DocSecurity>0</DocSecurity>
  <Lines>40</Lines>
  <Paragraphs>26</Paragraphs>
  <ScaleCrop>false</ScaleCrop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2025-08-07T05:02:00Z</dcterms:created>
  <dcterms:modified xsi:type="dcterms:W3CDTF">2025-08-07T05:02:00Z</dcterms:modified>
</cp:coreProperties>
</file>