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5A44031" w14:textId="13C52714" w:rsidR="00CF4625" w:rsidRPr="00D05364" w:rsidRDefault="00CF4625" w:rsidP="00CF4625">
      <w:pPr>
        <w:jc w:val="center"/>
        <w:rPr>
          <w:b/>
        </w:rPr>
      </w:pPr>
      <w:proofErr w:type="spellStart"/>
      <w:r>
        <w:rPr>
          <w:b/>
        </w:rPr>
        <w:t>Keytruda</w:t>
      </w:r>
      <w:proofErr w:type="spellEnd"/>
      <w:r>
        <w:rPr>
          <w:b/>
        </w:rPr>
        <w:t xml:space="preserve"> </w:t>
      </w:r>
      <w:r w:rsidR="00ED362B" w:rsidRPr="001D3EE3">
        <w:rPr>
          <w:b/>
        </w:rPr>
        <w:t>25 mg/ml</w:t>
      </w:r>
      <w:r w:rsidR="00ED362B" w:rsidRPr="001D3EE3">
        <w:rPr>
          <w:b/>
          <w:bCs/>
        </w:rPr>
        <w:t xml:space="preserve"> </w:t>
      </w:r>
      <w:r w:rsidRPr="001D3EE3">
        <w:rPr>
          <w:b/>
          <w:bCs/>
        </w:rPr>
        <w:t>koncentratas infuziniam tirpalui</w:t>
      </w:r>
    </w:p>
    <w:p w14:paraId="693F8F76" w14:textId="77777777" w:rsidR="00CF4625" w:rsidRPr="00D05364" w:rsidRDefault="00CF4625" w:rsidP="00CF4625">
      <w:pPr>
        <w:jc w:val="center"/>
      </w:pPr>
    </w:p>
    <w:p w14:paraId="466F7EC7" w14:textId="77777777" w:rsidR="00CF4625" w:rsidRPr="00D05364" w:rsidRDefault="00CF4625" w:rsidP="00CF4625">
      <w:pPr>
        <w:jc w:val="center"/>
      </w:pPr>
      <w:r w:rsidRPr="00D05364">
        <w:t>(</w:t>
      </w:r>
      <w:proofErr w:type="spellStart"/>
      <w:r>
        <w:t>Pembrolizumabas</w:t>
      </w:r>
      <w:proofErr w:type="spellEnd"/>
      <w:r w:rsidRPr="00D05364">
        <w:t>)</w:t>
      </w:r>
    </w:p>
    <w:p w14:paraId="3E5F7B20" w14:textId="77777777" w:rsidR="00CF4625" w:rsidRPr="00D05364" w:rsidRDefault="00CF4625" w:rsidP="00CF4625">
      <w:pPr>
        <w:jc w:val="center"/>
      </w:pPr>
    </w:p>
    <w:p w14:paraId="70034480" w14:textId="0398BE72" w:rsidR="00CF4625" w:rsidRPr="00D05364" w:rsidRDefault="00CF4625" w:rsidP="00CF4625">
      <w:pPr>
        <w:jc w:val="center"/>
        <w:rPr>
          <w:b/>
        </w:rPr>
      </w:pPr>
      <w:r>
        <w:rPr>
          <w:b/>
        </w:rPr>
        <w:t>STV-202</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067" w:type="dxa"/>
        <w:tblLook w:val="04A0" w:firstRow="1" w:lastRow="0" w:firstColumn="1" w:lastColumn="0" w:noHBand="0" w:noVBand="1"/>
      </w:tblPr>
      <w:tblGrid>
        <w:gridCol w:w="632"/>
        <w:gridCol w:w="3694"/>
        <w:gridCol w:w="4741"/>
      </w:tblGrid>
      <w:tr w:rsidR="00032013" w:rsidRPr="00E33EFF" w14:paraId="18A83EC2" w14:textId="77777777" w:rsidTr="008F7693">
        <w:trPr>
          <w:trHeight w:val="538"/>
        </w:trPr>
        <w:tc>
          <w:tcPr>
            <w:tcW w:w="632" w:type="dxa"/>
          </w:tcPr>
          <w:p w14:paraId="0646FBEA" w14:textId="77777777" w:rsidR="00032013" w:rsidRPr="00E33EFF" w:rsidRDefault="00032013" w:rsidP="00032013">
            <w:pPr>
              <w:rPr>
                <w:rFonts w:eastAsia="Arial"/>
              </w:rPr>
            </w:pPr>
            <w:r w:rsidRPr="00E33EFF">
              <w:rPr>
                <w:rFonts w:eastAsia="Arial"/>
              </w:rPr>
              <w:t>1.1</w:t>
            </w:r>
          </w:p>
        </w:tc>
        <w:tc>
          <w:tcPr>
            <w:tcW w:w="3694" w:type="dxa"/>
          </w:tcPr>
          <w:p w14:paraId="6C3AE864" w14:textId="77777777" w:rsidR="00032013" w:rsidRPr="00E33EFF" w:rsidRDefault="00032013" w:rsidP="00032013">
            <w:pPr>
              <w:rPr>
                <w:rFonts w:eastAsia="Arial"/>
              </w:rPr>
            </w:pPr>
            <w:r w:rsidRPr="00E33EFF">
              <w:rPr>
                <w:rFonts w:eastAsia="Arial"/>
              </w:rPr>
              <w:t>Pareiškėjas</w:t>
            </w:r>
          </w:p>
          <w:p w14:paraId="2AF240DC" w14:textId="77777777" w:rsidR="00032013" w:rsidRPr="00E33EFF" w:rsidRDefault="00032013" w:rsidP="00032013">
            <w:pPr>
              <w:rPr>
                <w:rFonts w:eastAsia="Arial"/>
              </w:rPr>
            </w:pPr>
          </w:p>
        </w:tc>
        <w:tc>
          <w:tcPr>
            <w:tcW w:w="4741" w:type="dxa"/>
          </w:tcPr>
          <w:p w14:paraId="2AAF0D91" w14:textId="6A6F8B99" w:rsidR="00032013" w:rsidRPr="00E33EFF" w:rsidRDefault="00032013" w:rsidP="00032013">
            <w:pPr>
              <w:rPr>
                <w:rFonts w:eastAsia="Arial"/>
              </w:rPr>
            </w:pPr>
            <w:r w:rsidRPr="001D3EE3">
              <w:t>UAB “</w:t>
            </w:r>
            <w:proofErr w:type="spellStart"/>
            <w:r w:rsidRPr="001D3EE3">
              <w:t>Merck</w:t>
            </w:r>
            <w:proofErr w:type="spellEnd"/>
            <w:r w:rsidRPr="001D3EE3">
              <w:t xml:space="preserve"> Sharp &amp; </w:t>
            </w:r>
            <w:proofErr w:type="spellStart"/>
            <w:r w:rsidRPr="001D3EE3">
              <w:t>Dohme</w:t>
            </w:r>
            <w:proofErr w:type="spellEnd"/>
            <w:r w:rsidRPr="001D3EE3">
              <w:t>“</w:t>
            </w:r>
          </w:p>
        </w:tc>
      </w:tr>
      <w:tr w:rsidR="00032013" w:rsidRPr="00E33EFF" w14:paraId="31998B0D" w14:textId="77777777" w:rsidTr="008F7693">
        <w:trPr>
          <w:trHeight w:val="538"/>
        </w:trPr>
        <w:tc>
          <w:tcPr>
            <w:tcW w:w="632" w:type="dxa"/>
          </w:tcPr>
          <w:p w14:paraId="2005EC67" w14:textId="662300D0" w:rsidR="00032013" w:rsidRPr="00E33EFF" w:rsidRDefault="00032013" w:rsidP="00032013">
            <w:pPr>
              <w:rPr>
                <w:rFonts w:eastAsia="Arial"/>
              </w:rPr>
            </w:pPr>
            <w:r w:rsidRPr="00E33EFF">
              <w:rPr>
                <w:rFonts w:eastAsia="Arial"/>
              </w:rPr>
              <w:t>1.2</w:t>
            </w:r>
          </w:p>
        </w:tc>
        <w:tc>
          <w:tcPr>
            <w:tcW w:w="3694" w:type="dxa"/>
          </w:tcPr>
          <w:p w14:paraId="1E4AE3B1" w14:textId="77777777" w:rsidR="00032013" w:rsidRPr="00E33EFF" w:rsidRDefault="00032013" w:rsidP="00032013">
            <w:pPr>
              <w:rPr>
                <w:bCs/>
                <w:color w:val="000000"/>
                <w:lang w:eastAsia="lt-LT"/>
              </w:rPr>
            </w:pPr>
            <w:r w:rsidRPr="00E33EFF">
              <w:rPr>
                <w:bCs/>
                <w:color w:val="000000"/>
                <w:lang w:eastAsia="lt-LT"/>
              </w:rPr>
              <w:t xml:space="preserve">Registracijos data </w:t>
            </w:r>
          </w:p>
          <w:p w14:paraId="3A0DC096" w14:textId="77777777" w:rsidR="00032013" w:rsidRPr="00E33EFF" w:rsidRDefault="00032013" w:rsidP="00032013">
            <w:pPr>
              <w:rPr>
                <w:bCs/>
                <w:color w:val="000000"/>
                <w:lang w:eastAsia="lt-LT"/>
              </w:rPr>
            </w:pPr>
          </w:p>
        </w:tc>
        <w:tc>
          <w:tcPr>
            <w:tcW w:w="4741" w:type="dxa"/>
          </w:tcPr>
          <w:p w14:paraId="3CA218AD" w14:textId="0D45FBAB" w:rsidR="00032013" w:rsidRPr="00032013" w:rsidRDefault="00032013" w:rsidP="00032013">
            <w:r w:rsidRPr="00032013">
              <w:t>2015-07-17</w:t>
            </w:r>
          </w:p>
        </w:tc>
      </w:tr>
      <w:tr w:rsidR="00032013" w:rsidRPr="00E33EFF" w14:paraId="15968AE1" w14:textId="77777777" w:rsidTr="008F7693">
        <w:trPr>
          <w:trHeight w:val="1500"/>
        </w:trPr>
        <w:tc>
          <w:tcPr>
            <w:tcW w:w="632" w:type="dxa"/>
          </w:tcPr>
          <w:p w14:paraId="6A784245" w14:textId="1E461489" w:rsidR="00032013" w:rsidRPr="00E33EFF" w:rsidRDefault="00032013" w:rsidP="00032013">
            <w:pPr>
              <w:rPr>
                <w:rFonts w:eastAsia="Arial"/>
              </w:rPr>
            </w:pPr>
            <w:r w:rsidRPr="00E33EFF">
              <w:rPr>
                <w:rFonts w:eastAsia="Arial"/>
              </w:rPr>
              <w:t>1.3</w:t>
            </w:r>
          </w:p>
        </w:tc>
        <w:tc>
          <w:tcPr>
            <w:tcW w:w="3694" w:type="dxa"/>
          </w:tcPr>
          <w:p w14:paraId="22933506" w14:textId="77777777" w:rsidR="00032013" w:rsidRPr="00E33EFF" w:rsidRDefault="00032013" w:rsidP="00032013">
            <w:r w:rsidRPr="00E33EFF">
              <w:t xml:space="preserve">Paraiškos tipas </w:t>
            </w:r>
          </w:p>
          <w:p w14:paraId="0465E680" w14:textId="7F0A0714" w:rsidR="00032013" w:rsidRPr="00E33EFF" w:rsidRDefault="00032013" w:rsidP="00032013">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77089D80" w14:textId="6681D72A" w:rsidR="00032013" w:rsidRPr="00E33EFF" w:rsidRDefault="00032013" w:rsidP="00032013">
            <w:pPr>
              <w:rPr>
                <w:bCs/>
                <w:color w:val="000000"/>
                <w:lang w:eastAsia="lt-LT"/>
              </w:rPr>
            </w:pPr>
          </w:p>
        </w:tc>
        <w:tc>
          <w:tcPr>
            <w:tcW w:w="4741" w:type="dxa"/>
          </w:tcPr>
          <w:p w14:paraId="333E9F6F" w14:textId="77777777" w:rsidR="00032013" w:rsidRPr="00D05364" w:rsidRDefault="00187C80" w:rsidP="00032013">
            <w:sdt>
              <w:sdtPr>
                <w:id w:val="-366596377"/>
                <w15:color w:val="FFCC00"/>
                <w14:checkbox>
                  <w14:checked w14:val="1"/>
                  <w14:checkedState w14:val="2612" w14:font="MS Gothic"/>
                  <w14:uncheckedState w14:val="2610" w14:font="MS Gothic"/>
                </w14:checkbox>
              </w:sdtPr>
              <w:sdtEndPr/>
              <w:sdtContent>
                <w:r w:rsidR="00032013" w:rsidRPr="00032013">
                  <w:rPr>
                    <w:rFonts w:ascii="Segoe UI Symbol" w:hAnsi="Segoe UI Symbol" w:cs="Segoe UI Symbol"/>
                  </w:rPr>
                  <w:t>☒</w:t>
                </w:r>
              </w:sdtContent>
            </w:sdt>
            <w:r w:rsidR="00032013" w:rsidRPr="00D05364">
              <w:t xml:space="preserve"> 8.3 str. (pilna byla, pagrįsta savais tyrimais) </w:t>
            </w:r>
          </w:p>
          <w:p w14:paraId="04773E1E" w14:textId="77777777" w:rsidR="00032013" w:rsidRPr="00D05364" w:rsidRDefault="00187C80" w:rsidP="00032013">
            <w:sdt>
              <w:sdtPr>
                <w:id w:val="675462298"/>
                <w15:color w:val="FFCC00"/>
                <w14:checkbox>
                  <w14:checked w14:val="0"/>
                  <w14:checkedState w14:val="2612" w14:font="MS Gothic"/>
                  <w14:uncheckedState w14:val="2610" w14:font="MS Gothic"/>
                </w14:checkbox>
              </w:sdtPr>
              <w:sdtEndPr/>
              <w:sdtContent>
                <w:r w:rsidR="00032013" w:rsidRPr="00032013">
                  <w:rPr>
                    <w:rFonts w:ascii="Segoe UI Symbol" w:hAnsi="Segoe UI Symbol" w:cs="Segoe UI Symbol"/>
                  </w:rPr>
                  <w:t>☐</w:t>
                </w:r>
              </w:sdtContent>
            </w:sdt>
            <w:r w:rsidR="00032013" w:rsidRPr="00D05364">
              <w:t xml:space="preserve"> 10 a str. (pripažintas medicininis vartojimas) </w:t>
            </w:r>
          </w:p>
          <w:p w14:paraId="6D96C1BD" w14:textId="77777777" w:rsidR="00032013" w:rsidRPr="00D05364" w:rsidRDefault="00187C80" w:rsidP="00032013">
            <w:sdt>
              <w:sdtPr>
                <w:id w:val="-1290435890"/>
                <w15:color w:val="FFCC00"/>
                <w14:checkbox>
                  <w14:checked w14:val="0"/>
                  <w14:checkedState w14:val="2612" w14:font="MS Gothic"/>
                  <w14:uncheckedState w14:val="2610" w14:font="MS Gothic"/>
                </w14:checkbox>
              </w:sdtPr>
              <w:sdtEndPr/>
              <w:sdtContent>
                <w:r w:rsidR="00032013" w:rsidRPr="00032013">
                  <w:rPr>
                    <w:rFonts w:ascii="Segoe UI Symbol" w:hAnsi="Segoe UI Symbol" w:cs="Segoe UI Symbol"/>
                  </w:rPr>
                  <w:t>☐</w:t>
                </w:r>
              </w:sdtContent>
            </w:sdt>
            <w:r w:rsidR="00032013" w:rsidRPr="00D05364">
              <w:t xml:space="preserve"> 10.1 str. (</w:t>
            </w:r>
            <w:proofErr w:type="spellStart"/>
            <w:r w:rsidR="00032013" w:rsidRPr="00D05364">
              <w:t>generinis</w:t>
            </w:r>
            <w:proofErr w:type="spellEnd"/>
            <w:r w:rsidR="00032013" w:rsidRPr="00D05364">
              <w:t>)</w:t>
            </w:r>
          </w:p>
          <w:p w14:paraId="3B0A4F72" w14:textId="4B935C61" w:rsidR="00032013" w:rsidRPr="00032013" w:rsidRDefault="00187C80" w:rsidP="00032013">
            <w:sdt>
              <w:sdtPr>
                <w:id w:val="-124545030"/>
                <w15:color w:val="FFCC00"/>
                <w14:checkbox>
                  <w14:checked w14:val="0"/>
                  <w14:checkedState w14:val="2612" w14:font="MS Gothic"/>
                  <w14:uncheckedState w14:val="2610" w14:font="MS Gothic"/>
                </w14:checkbox>
              </w:sdtPr>
              <w:sdtEndPr/>
              <w:sdtContent>
                <w:r w:rsidR="00032013" w:rsidRPr="00032013">
                  <w:rPr>
                    <w:rFonts w:ascii="Segoe UI Symbol" w:hAnsi="Segoe UI Symbol" w:cs="Segoe UI Symbol"/>
                  </w:rPr>
                  <w:t>☐</w:t>
                </w:r>
              </w:sdtContent>
            </w:sdt>
            <w:r w:rsidR="00032013" w:rsidRPr="00D05364">
              <w:t xml:space="preserve"> 10.3 str. (hibridinis)</w:t>
            </w:r>
          </w:p>
        </w:tc>
      </w:tr>
      <w:tr w:rsidR="00B13D65" w:rsidRPr="00E33EFF" w14:paraId="310E9662" w14:textId="77777777" w:rsidTr="008F7693">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4741" w:type="dxa"/>
          </w:tcPr>
          <w:p w14:paraId="05845C60" w14:textId="10CF4033" w:rsidR="00B13D65" w:rsidRPr="00E33EFF" w:rsidRDefault="00187C80"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187C80"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187C8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Vietosrezervavimoenklotekstas"/>
                  </w:rPr>
                  <w:t>Click here to enter a date.</w:t>
                </w:r>
              </w:sdtContent>
            </w:sdt>
          </w:p>
        </w:tc>
      </w:tr>
      <w:tr w:rsidR="00D417D2" w:rsidRPr="00E33EFF" w14:paraId="7841E5F8" w14:textId="77777777" w:rsidTr="008F7693">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4741" w:type="dxa"/>
          </w:tcPr>
          <w:p w14:paraId="403461B9" w14:textId="68A37216" w:rsidR="00D417D2" w:rsidRPr="00E33EFF" w:rsidRDefault="00187C80"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187C80"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45191B" w:rsidRPr="00E33EFF" w14:paraId="274D1DAF" w14:textId="77777777" w:rsidTr="008F7693">
        <w:trPr>
          <w:trHeight w:val="1922"/>
        </w:trPr>
        <w:tc>
          <w:tcPr>
            <w:tcW w:w="632" w:type="dxa"/>
          </w:tcPr>
          <w:p w14:paraId="17ABF217" w14:textId="14AC00D7" w:rsidR="0045191B" w:rsidRPr="00E33EFF" w:rsidRDefault="0045191B" w:rsidP="0045191B">
            <w:pPr>
              <w:rPr>
                <w:rFonts w:eastAsia="Arial"/>
              </w:rPr>
            </w:pPr>
            <w:r w:rsidRPr="00E33EFF">
              <w:rPr>
                <w:rFonts w:eastAsia="Arial"/>
              </w:rPr>
              <w:t>1.6</w:t>
            </w:r>
          </w:p>
        </w:tc>
        <w:tc>
          <w:tcPr>
            <w:tcW w:w="3694" w:type="dxa"/>
          </w:tcPr>
          <w:p w14:paraId="4D49DBF5" w14:textId="77777777" w:rsidR="0045191B" w:rsidRDefault="0045191B" w:rsidP="0045191B">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513E669E" w14:textId="77777777" w:rsidR="0045191B" w:rsidRPr="00E33EFF" w:rsidRDefault="0045191B" w:rsidP="0045191B">
            <w:pPr>
              <w:rPr>
                <w:bCs/>
                <w:color w:val="000000"/>
                <w:lang w:eastAsia="lt-LT"/>
              </w:rPr>
            </w:pPr>
          </w:p>
          <w:p w14:paraId="6B4FEEC1" w14:textId="378668B0" w:rsidR="0045191B" w:rsidRPr="00E33EFF" w:rsidRDefault="0045191B" w:rsidP="0045191B">
            <w:pPr>
              <w:rPr>
                <w:bCs/>
                <w:color w:val="000000"/>
                <w:lang w:eastAsia="lt-LT"/>
              </w:rPr>
            </w:pPr>
            <w:r w:rsidRPr="00E33EFF">
              <w:rPr>
                <w:bCs/>
                <w:color w:val="000000"/>
                <w:lang w:eastAsia="lt-LT"/>
              </w:rPr>
              <w:t>Kodas pagal TLK-10 AM</w:t>
            </w:r>
          </w:p>
        </w:tc>
        <w:tc>
          <w:tcPr>
            <w:tcW w:w="4741" w:type="dxa"/>
          </w:tcPr>
          <w:p w14:paraId="132272BD" w14:textId="77777777" w:rsidR="0045191B" w:rsidRDefault="0045191B" w:rsidP="0045191B">
            <w:pPr>
              <w:pStyle w:val="Sraopastraipa"/>
              <w:spacing w:after="120"/>
              <w:ind w:left="0"/>
              <w:contextualSpacing w:val="0"/>
              <w:jc w:val="both"/>
              <w:rPr>
                <w:rFonts w:eastAsia="TimesNewRoman"/>
              </w:rPr>
            </w:pPr>
            <w:r w:rsidRPr="001D3EE3">
              <w:rPr>
                <w:rFonts w:eastAsia="TimesNewRoman"/>
              </w:rPr>
              <w:t xml:space="preserve">KEYTRUDA derinant su </w:t>
            </w:r>
            <w:proofErr w:type="spellStart"/>
            <w:r w:rsidRPr="001D3EE3">
              <w:rPr>
                <w:rFonts w:eastAsia="TimesNewRoman"/>
              </w:rPr>
              <w:t>lenvatinibu</w:t>
            </w:r>
            <w:proofErr w:type="spellEnd"/>
            <w:r w:rsidRPr="001D3EE3">
              <w:rPr>
                <w:rFonts w:eastAsia="TimesNewRoman"/>
              </w:rPr>
              <w:t xml:space="preserve"> skirtas suaugusiųjų išplitusios inkstų ląstelių karcinomos pirmos eilės gydymui.</w:t>
            </w:r>
          </w:p>
          <w:p w14:paraId="74D3662B" w14:textId="77777777" w:rsidR="00ED362B" w:rsidRDefault="00ED362B" w:rsidP="00ED362B"/>
          <w:p w14:paraId="13F7DFB0" w14:textId="0D78F81F" w:rsidR="0045191B" w:rsidRPr="00E33EFF" w:rsidRDefault="0045191B" w:rsidP="0045191B">
            <w:pPr>
              <w:pStyle w:val="Sraopastraipa"/>
              <w:spacing w:after="120" w:line="276" w:lineRule="auto"/>
              <w:ind w:left="0"/>
              <w:contextualSpacing w:val="0"/>
              <w:jc w:val="both"/>
            </w:pPr>
            <w:r>
              <w:t xml:space="preserve">C64 </w:t>
            </w:r>
          </w:p>
        </w:tc>
      </w:tr>
      <w:tr w:rsidR="0045191B" w:rsidRPr="00E33EFF" w14:paraId="2F79DC08" w14:textId="77777777" w:rsidTr="008F7693">
        <w:trPr>
          <w:trHeight w:val="378"/>
        </w:trPr>
        <w:tc>
          <w:tcPr>
            <w:tcW w:w="632" w:type="dxa"/>
          </w:tcPr>
          <w:p w14:paraId="547885A2" w14:textId="08AA8055" w:rsidR="0045191B" w:rsidRPr="00E33EFF" w:rsidRDefault="0045191B" w:rsidP="0045191B">
            <w:pPr>
              <w:rPr>
                <w:rFonts w:eastAsia="Arial"/>
              </w:rPr>
            </w:pPr>
            <w:r w:rsidRPr="00E33EFF">
              <w:rPr>
                <w:rFonts w:eastAsia="Arial"/>
              </w:rPr>
              <w:t>1.6</w:t>
            </w:r>
          </w:p>
        </w:tc>
        <w:tc>
          <w:tcPr>
            <w:tcW w:w="3694" w:type="dxa"/>
          </w:tcPr>
          <w:p w14:paraId="2EAB877F" w14:textId="39A36941" w:rsidR="0045191B" w:rsidRPr="00E33EFF" w:rsidRDefault="0045191B" w:rsidP="0045191B">
            <w:pPr>
              <w:rPr>
                <w:bCs/>
                <w:color w:val="000000"/>
                <w:u w:val="single"/>
                <w:lang w:eastAsia="lt-LT"/>
              </w:rPr>
            </w:pPr>
            <w:r w:rsidRPr="00E33EFF">
              <w:rPr>
                <w:bCs/>
                <w:color w:val="000000"/>
                <w:lang w:eastAsia="lt-LT"/>
              </w:rPr>
              <w:t xml:space="preserve">Pareiškėjo teikiamos skyrimo sąlygos </w:t>
            </w:r>
          </w:p>
        </w:tc>
        <w:tc>
          <w:tcPr>
            <w:tcW w:w="4741" w:type="dxa"/>
          </w:tcPr>
          <w:p w14:paraId="0579DF58" w14:textId="05A8910A" w:rsidR="0045191B" w:rsidRPr="00E33EFF" w:rsidRDefault="0045191B" w:rsidP="0045191B">
            <w:r w:rsidRPr="00335A2C">
              <w:rPr>
                <w:noProof/>
              </w:rPr>
              <w:t>Išplitusios inkstų ląstelių karcinomos pirmos eilės gydymui kai ligos prognozė yra gera arba bloga</w:t>
            </w:r>
          </w:p>
        </w:tc>
      </w:tr>
      <w:tr w:rsidR="0045191B" w:rsidRPr="00E33EFF" w14:paraId="3B125269" w14:textId="77777777" w:rsidTr="008F7693">
        <w:trPr>
          <w:trHeight w:val="378"/>
        </w:trPr>
        <w:tc>
          <w:tcPr>
            <w:tcW w:w="632" w:type="dxa"/>
          </w:tcPr>
          <w:p w14:paraId="0058E11F" w14:textId="77777777" w:rsidR="0045191B" w:rsidRPr="00E33EFF" w:rsidRDefault="0045191B" w:rsidP="0045191B">
            <w:pPr>
              <w:rPr>
                <w:rFonts w:eastAsia="Arial"/>
              </w:rPr>
            </w:pPr>
            <w:r w:rsidRPr="00E33EFF">
              <w:rPr>
                <w:rFonts w:eastAsia="Arial"/>
              </w:rPr>
              <w:lastRenderedPageBreak/>
              <w:t>1.7</w:t>
            </w:r>
          </w:p>
        </w:tc>
        <w:tc>
          <w:tcPr>
            <w:tcW w:w="3694" w:type="dxa"/>
          </w:tcPr>
          <w:p w14:paraId="738E1926" w14:textId="50A9DC79" w:rsidR="0045191B" w:rsidRDefault="0045191B" w:rsidP="0045191B">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1F7BF92F" w14:textId="6E3AE3A9" w:rsidR="0045191B" w:rsidRDefault="0045191B" w:rsidP="0045191B">
            <w:pPr>
              <w:rPr>
                <w:bCs/>
                <w:i/>
                <w:color w:val="000000"/>
                <w:lang w:eastAsia="lt-LT"/>
              </w:rPr>
            </w:pPr>
            <w:r w:rsidRPr="007C7519">
              <w:rPr>
                <w:bCs/>
                <w:i/>
                <w:color w:val="000000"/>
                <w:lang w:eastAsia="lt-LT"/>
              </w:rPr>
              <w:t>Tiesioginis</w:t>
            </w:r>
          </w:p>
          <w:p w14:paraId="643CC07B" w14:textId="2D7C9848" w:rsidR="0045191B" w:rsidRDefault="0045191B" w:rsidP="0045191B">
            <w:pPr>
              <w:rPr>
                <w:bCs/>
                <w:i/>
                <w:color w:val="000000"/>
                <w:lang w:eastAsia="lt-LT"/>
              </w:rPr>
            </w:pPr>
          </w:p>
          <w:p w14:paraId="1FEACC56" w14:textId="0E2E44A3" w:rsidR="0045191B" w:rsidRDefault="0045191B" w:rsidP="0045191B">
            <w:pPr>
              <w:rPr>
                <w:bCs/>
                <w:i/>
                <w:color w:val="000000"/>
                <w:lang w:eastAsia="lt-LT"/>
              </w:rPr>
            </w:pPr>
          </w:p>
          <w:p w14:paraId="200BD3DE" w14:textId="12603D6A" w:rsidR="0045191B" w:rsidRPr="007C7519" w:rsidRDefault="0045191B" w:rsidP="0045191B">
            <w:pPr>
              <w:rPr>
                <w:bCs/>
                <w:i/>
                <w:color w:val="000000"/>
                <w:lang w:eastAsia="lt-LT"/>
              </w:rPr>
            </w:pPr>
            <w:r>
              <w:rPr>
                <w:bCs/>
                <w:i/>
                <w:color w:val="000000"/>
                <w:lang w:eastAsia="lt-LT"/>
              </w:rPr>
              <w:t>Netiesioginis</w:t>
            </w:r>
          </w:p>
          <w:p w14:paraId="62057D94" w14:textId="77777777" w:rsidR="0045191B" w:rsidRPr="00E33EFF" w:rsidRDefault="0045191B" w:rsidP="0045191B">
            <w:pPr>
              <w:rPr>
                <w:bCs/>
                <w:color w:val="000000"/>
                <w:lang w:eastAsia="lt-LT"/>
              </w:rPr>
            </w:pPr>
          </w:p>
          <w:p w14:paraId="6CC1022E" w14:textId="2B6BCEE1" w:rsidR="0045191B" w:rsidRPr="00E33EFF" w:rsidRDefault="0045191B" w:rsidP="0045191B">
            <w:pPr>
              <w:rPr>
                <w:bCs/>
                <w:color w:val="000000"/>
                <w:lang w:eastAsia="lt-LT"/>
              </w:rPr>
            </w:pPr>
          </w:p>
        </w:tc>
        <w:tc>
          <w:tcPr>
            <w:tcW w:w="4741" w:type="dxa"/>
          </w:tcPr>
          <w:p w14:paraId="3E389C70" w14:textId="22AFFC76" w:rsidR="0045191B" w:rsidRDefault="0045191B" w:rsidP="0045191B">
            <w:pPr>
              <w:rPr>
                <w:rStyle w:val="Style2"/>
                <w:sz w:val="24"/>
              </w:rPr>
            </w:pPr>
          </w:p>
          <w:p w14:paraId="0AC43073" w14:textId="77777777" w:rsidR="0045191B" w:rsidRPr="00E33EFF" w:rsidRDefault="0045191B" w:rsidP="0045191B"/>
          <w:p w14:paraId="2383573D" w14:textId="102C67FF" w:rsidR="0045191B" w:rsidRPr="00E33EFF" w:rsidRDefault="00187C80" w:rsidP="0045191B">
            <w:sdt>
              <w:sdtPr>
                <w:rPr>
                  <w:rStyle w:val="Style2"/>
                  <w:sz w:val="24"/>
                </w:rPr>
                <w:id w:val="-439376113"/>
                <w15:color w:val="FFCC00"/>
                <w14:checkbox>
                  <w14:checked w14:val="1"/>
                  <w14:checkedState w14:val="2612" w14:font="MS Gothic"/>
                  <w14:uncheckedState w14:val="2610" w14:font="MS Gothic"/>
                </w14:checkbox>
              </w:sdtPr>
              <w:sdtEndPr>
                <w:rPr>
                  <w:rStyle w:val="Style2"/>
                </w:rPr>
              </w:sdtEndPr>
              <w:sdtContent>
                <w:r w:rsidR="0045191B">
                  <w:rPr>
                    <w:rStyle w:val="Style2"/>
                    <w:rFonts w:ascii="MS Gothic" w:eastAsia="MS Gothic" w:hAnsi="MS Gothic" w:hint="eastAsia"/>
                    <w:sz w:val="24"/>
                  </w:rPr>
                  <w:t>☒</w:t>
                </w:r>
              </w:sdtContent>
            </w:sdt>
            <w:r w:rsidR="0045191B" w:rsidRPr="00E33EFF">
              <w:t xml:space="preserve"> Tinkamas</w:t>
            </w:r>
            <w:r w:rsidR="0045191B">
              <w:t xml:space="preserve"> (geros prognozės pacientų pogrup</w:t>
            </w:r>
            <w:r w:rsidR="00DA6743">
              <w:t>iui</w:t>
            </w:r>
            <w:r w:rsidR="0045191B">
              <w:t>)</w:t>
            </w:r>
          </w:p>
          <w:p w14:paraId="5474EFC4" w14:textId="59BEFACD" w:rsidR="0045191B" w:rsidRDefault="00187C80" w:rsidP="0045191B">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EndPr>
                <w:rPr>
                  <w:rStyle w:val="Style2"/>
                </w:rPr>
              </w:sdtEndPr>
              <w:sdtContent>
                <w:r w:rsidR="0045191B">
                  <w:rPr>
                    <w:rStyle w:val="Style2"/>
                    <w:rFonts w:ascii="MS Gothic" w:eastAsia="MS Gothic" w:hAnsi="MS Gothic" w:hint="eastAsia"/>
                    <w:sz w:val="24"/>
                  </w:rPr>
                  <w:t>☐</w:t>
                </w:r>
              </w:sdtContent>
            </w:sdt>
            <w:r w:rsidR="0045191B" w:rsidRPr="00E33EFF">
              <w:t xml:space="preserve"> Netinkama</w:t>
            </w:r>
            <w:r w:rsidR="0045191B">
              <w:t>s</w:t>
            </w:r>
          </w:p>
          <w:p w14:paraId="5481FC83" w14:textId="77777777" w:rsidR="0045191B" w:rsidRDefault="0045191B" w:rsidP="0045191B">
            <w:pPr>
              <w:rPr>
                <w:rStyle w:val="Style2"/>
                <w:sz w:val="24"/>
              </w:rPr>
            </w:pPr>
          </w:p>
          <w:p w14:paraId="66741CBF" w14:textId="188E0E09" w:rsidR="0045191B" w:rsidRPr="00E33EFF" w:rsidRDefault="00187C80" w:rsidP="0045191B">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45191B">
                  <w:rPr>
                    <w:rStyle w:val="Style2"/>
                    <w:rFonts w:ascii="MS Gothic" w:eastAsia="MS Gothic" w:hAnsi="MS Gothic" w:hint="eastAsia"/>
                    <w:sz w:val="24"/>
                  </w:rPr>
                  <w:t>☒</w:t>
                </w:r>
              </w:sdtContent>
            </w:sdt>
            <w:r w:rsidR="0045191B" w:rsidRPr="00E33EFF">
              <w:t xml:space="preserve"> Tinkamas</w:t>
            </w:r>
            <w:r w:rsidR="0045191B">
              <w:t xml:space="preserve"> (vidutinės ir blogos prognozės</w:t>
            </w:r>
            <w:r w:rsidR="00DA6743">
              <w:t xml:space="preserve"> pogrupiui</w:t>
            </w:r>
            <w:r w:rsidR="0045191B">
              <w:t>)</w:t>
            </w:r>
            <w:r w:rsidR="00DA6743">
              <w:t xml:space="preserve"> </w:t>
            </w:r>
          </w:p>
          <w:p w14:paraId="41B44044" w14:textId="2E013ACA" w:rsidR="0045191B" w:rsidRPr="00E33EFF" w:rsidRDefault="00187C80" w:rsidP="0045191B">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45191B">
                  <w:rPr>
                    <w:rStyle w:val="Style2"/>
                    <w:rFonts w:ascii="MS Gothic" w:eastAsia="MS Gothic" w:hAnsi="MS Gothic" w:hint="eastAsia"/>
                    <w:sz w:val="24"/>
                  </w:rPr>
                  <w:t>☐</w:t>
                </w:r>
              </w:sdtContent>
            </w:sdt>
            <w:r w:rsidR="0045191B" w:rsidRPr="00E33EFF">
              <w:t xml:space="preserve"> Netinkama</w:t>
            </w:r>
            <w:r w:rsidR="0045191B">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Default="00F70C9E" w:rsidP="00F70C9E">
      <w:pPr>
        <w:spacing w:line="276" w:lineRule="auto"/>
        <w:rPr>
          <w:rFonts w:eastAsia="Arial"/>
        </w:rPr>
      </w:pPr>
    </w:p>
    <w:p w14:paraId="1B677B4A" w14:textId="77777777" w:rsidR="00BC4C3E" w:rsidRPr="00E33EFF" w:rsidRDefault="00BC4C3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216"/>
      </w:tblGrid>
      <w:tr w:rsidR="00F70C9E" w:rsidRPr="00E33EFF" w14:paraId="7E72828B" w14:textId="77777777" w:rsidTr="008F7693">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117"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AE5193" w:rsidRPr="00E33EFF" w14:paraId="129FA8F6" w14:textId="77777777" w:rsidTr="008F7693">
        <w:trPr>
          <w:trHeight w:val="2267"/>
        </w:trPr>
        <w:tc>
          <w:tcPr>
            <w:tcW w:w="2855" w:type="dxa"/>
          </w:tcPr>
          <w:p w14:paraId="23711F54" w14:textId="77777777" w:rsidR="00AE5193" w:rsidRPr="00D05364" w:rsidRDefault="00AE5193" w:rsidP="00AE5193">
            <w:pPr>
              <w:autoSpaceDE w:val="0"/>
              <w:autoSpaceDN w:val="0"/>
              <w:adjustRightInd w:val="0"/>
              <w:rPr>
                <w:bCs/>
              </w:rPr>
            </w:pPr>
            <w:r w:rsidRPr="00D05364">
              <w:rPr>
                <w:bCs/>
              </w:rPr>
              <w:t>Nacionalinis sveikatos ir klinikinės kompetencijos institutas, Didžioji Britanija</w:t>
            </w:r>
          </w:p>
          <w:p w14:paraId="49C6520D" w14:textId="45CB9695" w:rsidR="00AE5193" w:rsidRPr="00E33EFF" w:rsidRDefault="00AE5193" w:rsidP="00AE5193">
            <w:pPr>
              <w:rPr>
                <w:rFonts w:eastAsia="Arial"/>
                <w:lang w:val="en-GB"/>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851" w:type="dxa"/>
          </w:tcPr>
          <w:p w14:paraId="2E5CAD65" w14:textId="77777777" w:rsidR="00AE5193" w:rsidRPr="00D05364" w:rsidRDefault="00187C80" w:rsidP="00AE5193">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AE5193">
                  <w:rPr>
                    <w:rStyle w:val="Style2"/>
                    <w:rFonts w:ascii="MS Gothic" w:eastAsia="MS Gothic" w:hAnsi="MS Gothic" w:hint="eastAsia"/>
                  </w:rPr>
                  <w:t>☒</w:t>
                </w:r>
              </w:sdtContent>
            </w:sdt>
            <w:r w:rsidR="00AE5193" w:rsidRPr="00D05364">
              <w:t xml:space="preserve"> Taip</w:t>
            </w:r>
          </w:p>
          <w:p w14:paraId="3474B84F" w14:textId="77777777" w:rsidR="00AE5193" w:rsidRPr="00D05364" w:rsidRDefault="00187C80" w:rsidP="00AE5193">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AE5193">
                  <w:rPr>
                    <w:rStyle w:val="Style2"/>
                    <w:rFonts w:ascii="MS Gothic" w:eastAsia="MS Gothic" w:hAnsi="MS Gothic" w:hint="eastAsia"/>
                  </w:rPr>
                  <w:t>☐</w:t>
                </w:r>
              </w:sdtContent>
            </w:sdt>
            <w:r w:rsidR="00AE5193" w:rsidRPr="00D05364">
              <w:t xml:space="preserve"> Ne</w:t>
            </w:r>
          </w:p>
          <w:p w14:paraId="7916359D" w14:textId="7CCF8683" w:rsidR="00AE5193" w:rsidRPr="00E33EFF" w:rsidRDefault="00AE5193" w:rsidP="00AE5193">
            <w:pPr>
              <w:rPr>
                <w:rFonts w:eastAsia="Arial"/>
              </w:rPr>
            </w:pPr>
            <w:r>
              <w:rPr>
                <w:rFonts w:eastAsia="Arial"/>
                <w:lang w:val="en-US"/>
              </w:rPr>
              <w:t>2023 01 11</w:t>
            </w:r>
          </w:p>
        </w:tc>
        <w:tc>
          <w:tcPr>
            <w:tcW w:w="4361" w:type="dxa"/>
            <w:gridSpan w:val="2"/>
          </w:tcPr>
          <w:p w14:paraId="67430EE7" w14:textId="788F7BC7" w:rsidR="00AE5193" w:rsidRPr="00E33EFF" w:rsidRDefault="00AE5193" w:rsidP="00AE5193">
            <w:pPr>
              <w:rPr>
                <w:rFonts w:eastAsia="Arial"/>
              </w:rPr>
            </w:pPr>
            <w:proofErr w:type="spellStart"/>
            <w:r w:rsidRPr="001F35DC">
              <w:rPr>
                <w:rFonts w:eastAsia="Arial"/>
              </w:rPr>
              <w:t>Lenvatinibas</w:t>
            </w:r>
            <w:proofErr w:type="spellEnd"/>
            <w:r w:rsidRPr="001F35DC">
              <w:rPr>
                <w:rFonts w:eastAsia="Arial"/>
              </w:rPr>
              <w:t xml:space="preserve"> kartu su </w:t>
            </w:r>
            <w:proofErr w:type="spellStart"/>
            <w:r w:rsidRPr="001F35DC">
              <w:rPr>
                <w:rFonts w:eastAsia="Arial"/>
              </w:rPr>
              <w:t>pembrolizumabu</w:t>
            </w:r>
            <w:proofErr w:type="spellEnd"/>
            <w:r w:rsidRPr="001F35DC">
              <w:rPr>
                <w:rFonts w:eastAsia="Arial"/>
              </w:rPr>
              <w:t xml:space="preserve"> rekomenduojamas kaip gydymo galimybė suaugusiems, sergantiems negydyta pažengusia inkstų ląstelių karcinoma,</w:t>
            </w:r>
            <w:r>
              <w:rPr>
                <w:rFonts w:eastAsia="Arial"/>
              </w:rPr>
              <w:t xml:space="preserve"> jei </w:t>
            </w:r>
            <w:r w:rsidRPr="001F35DC">
              <w:rPr>
                <w:rFonts w:eastAsia="Arial"/>
              </w:rPr>
              <w:t>liga atitinka</w:t>
            </w:r>
            <w:r>
              <w:rPr>
                <w:rFonts w:eastAsia="Arial"/>
              </w:rPr>
              <w:t xml:space="preserve"> </w:t>
            </w:r>
            <w:r w:rsidRPr="001F35DC">
              <w:rPr>
                <w:rFonts w:eastAsia="Arial"/>
              </w:rPr>
              <w:t xml:space="preserve">vidutinės arba blogos rizikos kategoriją pagal Tarptautinio </w:t>
            </w:r>
            <w:proofErr w:type="spellStart"/>
            <w:r w:rsidRPr="001F35DC">
              <w:rPr>
                <w:rFonts w:eastAsia="Arial"/>
              </w:rPr>
              <w:t>metastazavusios</w:t>
            </w:r>
            <w:proofErr w:type="spellEnd"/>
            <w:r w:rsidRPr="001F35DC">
              <w:rPr>
                <w:rFonts w:eastAsia="Arial"/>
              </w:rPr>
              <w:t xml:space="preserve"> inkstų ląstelių karcinomos duomenų bazės konsorciumo (IMDC) kriterijus</w:t>
            </w:r>
            <w:r>
              <w:rPr>
                <w:rFonts w:eastAsia="Arial"/>
              </w:rPr>
              <w:t>,</w:t>
            </w:r>
            <w:r w:rsidRPr="001F35DC">
              <w:rPr>
                <w:rFonts w:eastAsia="Arial"/>
              </w:rPr>
              <w:t xml:space="preserve"> kitu atveju jiems būtų pasiūlytas</w:t>
            </w:r>
            <w:r>
              <w:rPr>
                <w:rFonts w:eastAsia="Arial"/>
              </w:rPr>
              <w:t xml:space="preserve"> </w:t>
            </w:r>
            <w:proofErr w:type="spellStart"/>
            <w:r w:rsidRPr="001F35DC">
              <w:rPr>
                <w:rFonts w:eastAsia="Arial"/>
              </w:rPr>
              <w:t>nivolumabo</w:t>
            </w:r>
            <w:proofErr w:type="spellEnd"/>
            <w:r w:rsidRPr="001F35DC">
              <w:rPr>
                <w:rFonts w:eastAsia="Arial"/>
              </w:rPr>
              <w:t xml:space="preserve"> ir </w:t>
            </w:r>
            <w:proofErr w:type="spellStart"/>
            <w:r w:rsidRPr="001F35DC">
              <w:rPr>
                <w:rFonts w:eastAsia="Arial"/>
              </w:rPr>
              <w:t>ipilimumabo</w:t>
            </w:r>
            <w:proofErr w:type="spellEnd"/>
            <w:r w:rsidRPr="001F35DC">
              <w:rPr>
                <w:rFonts w:eastAsia="Arial"/>
              </w:rPr>
              <w:t xml:space="preserve"> derinys</w:t>
            </w:r>
            <w:r>
              <w:rPr>
                <w:rFonts w:eastAsia="Arial"/>
              </w:rPr>
              <w:t xml:space="preserve">, </w:t>
            </w:r>
            <w:r w:rsidRPr="001F35DC">
              <w:rPr>
                <w:rFonts w:eastAsia="Arial"/>
              </w:rPr>
              <w:t xml:space="preserve">gamintojai teikia </w:t>
            </w:r>
            <w:proofErr w:type="spellStart"/>
            <w:r w:rsidRPr="001F35DC">
              <w:rPr>
                <w:rFonts w:eastAsia="Arial"/>
              </w:rPr>
              <w:t>lenvatinibą</w:t>
            </w:r>
            <w:proofErr w:type="spellEnd"/>
            <w:r w:rsidRPr="001F35DC">
              <w:rPr>
                <w:rFonts w:eastAsia="Arial"/>
              </w:rPr>
              <w:t xml:space="preserve"> ir </w:t>
            </w:r>
            <w:proofErr w:type="spellStart"/>
            <w:r w:rsidRPr="001F35DC">
              <w:rPr>
                <w:rFonts w:eastAsia="Arial"/>
              </w:rPr>
              <w:t>pembrolizumabą</w:t>
            </w:r>
            <w:proofErr w:type="spellEnd"/>
            <w:r w:rsidRPr="001F35DC">
              <w:rPr>
                <w:rFonts w:eastAsia="Arial"/>
              </w:rPr>
              <w:t xml:space="preserve"> pagal komercinius susitarimus.  </w:t>
            </w:r>
          </w:p>
        </w:tc>
      </w:tr>
      <w:tr w:rsidR="00E91323" w:rsidRPr="00E33EFF" w14:paraId="1CC31474" w14:textId="77777777" w:rsidTr="008F7693">
        <w:trPr>
          <w:trHeight w:val="1547"/>
        </w:trPr>
        <w:tc>
          <w:tcPr>
            <w:tcW w:w="2855" w:type="dxa"/>
          </w:tcPr>
          <w:p w14:paraId="47ED4A69" w14:textId="77777777" w:rsidR="00E91323" w:rsidRPr="00D05364" w:rsidRDefault="00E91323" w:rsidP="00E91323">
            <w:pPr>
              <w:spacing w:line="276" w:lineRule="auto"/>
              <w:rPr>
                <w:rFonts w:eastAsia="Arial"/>
              </w:rPr>
            </w:pPr>
            <w:r w:rsidRPr="00D05364">
              <w:rPr>
                <w:rFonts w:eastAsia="Arial"/>
              </w:rPr>
              <w:t>Kanados sveikatos technologijų agentūra</w:t>
            </w:r>
          </w:p>
          <w:p w14:paraId="2C593A82" w14:textId="754C7DD3" w:rsidR="00E91323" w:rsidRPr="00E33EFF" w:rsidRDefault="00E91323" w:rsidP="00E91323">
            <w:pPr>
              <w:rPr>
                <w:rFonts w:eastAsia="Arial"/>
                <w:lang w:val="en-GB"/>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851" w:type="dxa"/>
          </w:tcPr>
          <w:p w14:paraId="6DEC1134" w14:textId="77777777" w:rsidR="00E91323" w:rsidRPr="00D05364" w:rsidRDefault="00187C80" w:rsidP="00E91323">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E91323">
                  <w:rPr>
                    <w:rStyle w:val="Style2"/>
                    <w:rFonts w:ascii="MS Gothic" w:eastAsia="MS Gothic" w:hAnsi="MS Gothic" w:hint="eastAsia"/>
                  </w:rPr>
                  <w:t>☒</w:t>
                </w:r>
              </w:sdtContent>
            </w:sdt>
            <w:r w:rsidR="00E91323" w:rsidRPr="00D05364">
              <w:t xml:space="preserve"> Taip</w:t>
            </w:r>
          </w:p>
          <w:p w14:paraId="145CE357" w14:textId="77777777" w:rsidR="00E91323" w:rsidRDefault="00187C80" w:rsidP="00E91323">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E91323">
                  <w:rPr>
                    <w:rStyle w:val="Style2"/>
                    <w:rFonts w:ascii="MS Gothic" w:eastAsia="MS Gothic" w:hAnsi="MS Gothic" w:hint="eastAsia"/>
                  </w:rPr>
                  <w:t>☐</w:t>
                </w:r>
              </w:sdtContent>
            </w:sdt>
            <w:r w:rsidR="00E91323" w:rsidRPr="00D05364">
              <w:t xml:space="preserve"> Ne</w:t>
            </w:r>
          </w:p>
          <w:p w14:paraId="0C0988CC" w14:textId="4A8A465D" w:rsidR="00E91323" w:rsidRPr="00E33EFF" w:rsidRDefault="00E91323" w:rsidP="00E91323">
            <w:pPr>
              <w:rPr>
                <w:rFonts w:eastAsia="Arial"/>
              </w:rPr>
            </w:pPr>
            <w:r>
              <w:t>2022</w:t>
            </w:r>
          </w:p>
        </w:tc>
        <w:tc>
          <w:tcPr>
            <w:tcW w:w="4361" w:type="dxa"/>
            <w:gridSpan w:val="2"/>
          </w:tcPr>
          <w:p w14:paraId="5C8CB330" w14:textId="35BA3BBF" w:rsidR="00E91323" w:rsidRPr="00E33EFF" w:rsidRDefault="00E91323" w:rsidP="00E91323">
            <w:pPr>
              <w:rPr>
                <w:rFonts w:eastAsia="Arial"/>
              </w:rPr>
            </w:pPr>
            <w:r w:rsidRPr="001F35DC">
              <w:rPr>
                <w:rFonts w:eastAsia="Arial"/>
              </w:rPr>
              <w:t xml:space="preserve">Ekspertų peržiūros komitetas rekomenduoja, kad </w:t>
            </w:r>
            <w:proofErr w:type="spellStart"/>
            <w:r w:rsidRPr="001F35DC">
              <w:rPr>
                <w:rFonts w:eastAsia="Arial"/>
              </w:rPr>
              <w:t>lenvatinibas</w:t>
            </w:r>
            <w:proofErr w:type="spellEnd"/>
            <w:r w:rsidRPr="001F35DC">
              <w:rPr>
                <w:rFonts w:eastAsia="Arial"/>
              </w:rPr>
              <w:t xml:space="preserve"> derin</w:t>
            </w:r>
            <w:r>
              <w:rPr>
                <w:rFonts w:eastAsia="Arial"/>
              </w:rPr>
              <w:t xml:space="preserve">yje </w:t>
            </w:r>
            <w:r w:rsidRPr="001F35DC">
              <w:rPr>
                <w:rFonts w:eastAsia="Arial"/>
              </w:rPr>
              <w:t xml:space="preserve">su </w:t>
            </w:r>
            <w:proofErr w:type="spellStart"/>
            <w:r w:rsidRPr="001F35DC">
              <w:rPr>
                <w:rFonts w:eastAsia="Arial"/>
              </w:rPr>
              <w:t>pembrolizumabu</w:t>
            </w:r>
            <w:proofErr w:type="spellEnd"/>
            <w:r w:rsidRPr="001F35DC">
              <w:rPr>
                <w:rFonts w:eastAsia="Arial"/>
              </w:rPr>
              <w:t xml:space="preserve">, būtų kompensuojamas gydant suaugusius pacientus, sergančius pažengusia (netinkama gydymui operacija ar spinduline terapija) arba </w:t>
            </w:r>
            <w:proofErr w:type="spellStart"/>
            <w:r w:rsidRPr="001F35DC">
              <w:rPr>
                <w:rFonts w:eastAsia="Arial"/>
              </w:rPr>
              <w:t>metastazine</w:t>
            </w:r>
            <w:proofErr w:type="spellEnd"/>
            <w:r w:rsidRPr="001F35DC">
              <w:rPr>
                <w:rFonts w:eastAsia="Arial"/>
              </w:rPr>
              <w:t xml:space="preserve"> inkstų ląstelių karcinom</w:t>
            </w:r>
            <w:r>
              <w:rPr>
                <w:rFonts w:eastAsia="Arial"/>
              </w:rPr>
              <w:t>a</w:t>
            </w:r>
            <w:r w:rsidRPr="001F35DC">
              <w:rPr>
                <w:rFonts w:eastAsia="Arial"/>
              </w:rPr>
              <w:t xml:space="preserve">, kurie anksčiau negavo sisteminės terapijos dėl </w:t>
            </w:r>
            <w:proofErr w:type="spellStart"/>
            <w:r w:rsidRPr="001F35DC">
              <w:rPr>
                <w:rFonts w:eastAsia="Arial"/>
              </w:rPr>
              <w:t>metastazinio</w:t>
            </w:r>
            <w:proofErr w:type="spellEnd"/>
            <w:r w:rsidRPr="001F35DC">
              <w:rPr>
                <w:rFonts w:eastAsia="Arial"/>
              </w:rPr>
              <w:t xml:space="preserve"> ligos stadijos, </w:t>
            </w:r>
            <w:r>
              <w:rPr>
                <w:rFonts w:eastAsia="Arial"/>
              </w:rPr>
              <w:t>su papildomomis sąlygomis.</w:t>
            </w:r>
          </w:p>
        </w:tc>
      </w:tr>
      <w:tr w:rsidR="003F4C12" w:rsidRPr="00E33EFF" w14:paraId="21C94D47" w14:textId="77777777" w:rsidTr="008F7693">
        <w:trPr>
          <w:trHeight w:val="2160"/>
        </w:trPr>
        <w:tc>
          <w:tcPr>
            <w:tcW w:w="2855" w:type="dxa"/>
          </w:tcPr>
          <w:p w14:paraId="62544139" w14:textId="77777777" w:rsidR="003F4C12" w:rsidRPr="00D05364" w:rsidRDefault="003F4C12" w:rsidP="003F4C12">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736F5072" w14:textId="55571780" w:rsidR="003F4C12" w:rsidRPr="00E33EFF" w:rsidRDefault="003F4C12" w:rsidP="003F4C12">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851" w:type="dxa"/>
          </w:tcPr>
          <w:p w14:paraId="2D5451C3" w14:textId="77777777" w:rsidR="003F4C12" w:rsidRPr="00D05364" w:rsidRDefault="00187C80" w:rsidP="003F4C12">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3F4C12">
                  <w:rPr>
                    <w:rStyle w:val="Style2"/>
                    <w:rFonts w:ascii="MS Gothic" w:eastAsia="MS Gothic" w:hAnsi="MS Gothic" w:hint="eastAsia"/>
                  </w:rPr>
                  <w:t>☒</w:t>
                </w:r>
              </w:sdtContent>
            </w:sdt>
            <w:r w:rsidR="003F4C12" w:rsidRPr="00D05364">
              <w:t xml:space="preserve"> Taip</w:t>
            </w:r>
            <w:r w:rsidR="003F4C12">
              <w:t xml:space="preserve"> (nepilnas vertinimas)</w:t>
            </w:r>
          </w:p>
          <w:p w14:paraId="16D16EBF" w14:textId="77777777" w:rsidR="003F4C12" w:rsidRPr="00D05364" w:rsidRDefault="00187C80" w:rsidP="003F4C12">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3F4C12">
                  <w:rPr>
                    <w:rStyle w:val="Style2"/>
                    <w:rFonts w:ascii="MS Gothic" w:eastAsia="MS Gothic" w:hAnsi="MS Gothic" w:hint="eastAsia"/>
                  </w:rPr>
                  <w:t>☐</w:t>
                </w:r>
              </w:sdtContent>
            </w:sdt>
            <w:r w:rsidR="003F4C12" w:rsidRPr="00D05364">
              <w:t xml:space="preserve"> Ne</w:t>
            </w:r>
          </w:p>
          <w:p w14:paraId="69AA1151" w14:textId="7B92651B" w:rsidR="003F4C12" w:rsidRPr="00E33EFF" w:rsidRDefault="003F4C12" w:rsidP="003F4C12">
            <w:pPr>
              <w:rPr>
                <w:rFonts w:eastAsia="Arial"/>
              </w:rPr>
            </w:pPr>
            <w:r>
              <w:rPr>
                <w:rFonts w:eastAsia="Arial"/>
                <w:lang w:val="en-US"/>
              </w:rPr>
              <w:t>2022 09 22</w:t>
            </w:r>
          </w:p>
        </w:tc>
        <w:tc>
          <w:tcPr>
            <w:tcW w:w="4361" w:type="dxa"/>
            <w:gridSpan w:val="2"/>
          </w:tcPr>
          <w:p w14:paraId="60651AFD" w14:textId="3A3DC734" w:rsidR="003F4C12" w:rsidRPr="00E33EFF" w:rsidRDefault="003F4C12" w:rsidP="003F4C12">
            <w:pPr>
              <w:rPr>
                <w:rFonts w:eastAsia="Arial"/>
              </w:rPr>
            </w:pPr>
            <w:r w:rsidRPr="001F35DC">
              <w:rPr>
                <w:rFonts w:eastAsia="Arial"/>
              </w:rPr>
              <w:t>Rekomenduojama atlikti pilną sveikatos technologijų vertinimą</w:t>
            </w:r>
            <w:r>
              <w:rPr>
                <w:rFonts w:eastAsia="Arial"/>
              </w:rPr>
              <w:t>.</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5C45C8FC" w:rsidR="00D4485B" w:rsidRDefault="00D4485B" w:rsidP="00A93AA6">
      <w:pPr>
        <w:pStyle w:val="Sraopastraipa"/>
        <w:tabs>
          <w:tab w:val="left" w:pos="426"/>
        </w:tabs>
        <w:ind w:left="0"/>
        <w:rPr>
          <w:b/>
          <w:bCs/>
          <w:caps/>
        </w:rPr>
      </w:pPr>
    </w:p>
    <w:p w14:paraId="40906421"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 xml:space="preserve">Inkstų ląstelių karcinoma (ILK) yra dažniausiai diagnozuojamas inkstų vėžio tipas, sudarantis daugiau nei 80 proc. inkstų piktybinių ligų. ILK terminas apima įvairius inkstų, </w:t>
      </w:r>
      <w:r w:rsidRPr="008F7693">
        <w:rPr>
          <w:color w:val="000000"/>
          <w:szCs w:val="20"/>
        </w:rPr>
        <w:t>išskyrus inksto geldelės, piktybinius navikus.</w:t>
      </w:r>
      <w:r w:rsidRPr="008F7693">
        <w:rPr>
          <w:rFonts w:eastAsia="Arial"/>
          <w:bCs/>
        </w:rPr>
        <w:t xml:space="preserve"> Tarp Europos valstybių 2020 m. didžiausias ILK paplitimas nustatytas Lietuvoje – 14,5 atvejų 100000 gyventojų.</w:t>
      </w:r>
    </w:p>
    <w:p w14:paraId="7E5E1F13" w14:textId="51C4C420" w:rsidR="008F7693" w:rsidRPr="008F7693" w:rsidRDefault="008F7693" w:rsidP="008F7693">
      <w:pPr>
        <w:tabs>
          <w:tab w:val="left" w:pos="284"/>
        </w:tabs>
        <w:spacing w:line="276" w:lineRule="auto"/>
        <w:ind w:left="284"/>
        <w:contextualSpacing/>
        <w:jc w:val="both"/>
        <w:rPr>
          <w:b/>
          <w:bCs/>
          <w:color w:val="000000"/>
          <w:szCs w:val="20"/>
          <w:u w:val="single"/>
        </w:rPr>
      </w:pPr>
      <w:r w:rsidRPr="008F7693">
        <w:rPr>
          <w:rFonts w:eastAsia="Arial"/>
          <w:bCs/>
        </w:rPr>
        <w:tab/>
        <w:t>Šiuo metu ILK gydymas Lietuvoje reglamentuotas</w:t>
      </w:r>
      <w:r w:rsidRPr="008F7693">
        <w:rPr>
          <w:rFonts w:eastAsia="Arial"/>
          <w:b/>
        </w:rPr>
        <w:t xml:space="preserve"> </w:t>
      </w:r>
      <w:r w:rsidRPr="008F7693">
        <w:t>sveikatos apsaugos ministro nustatyta tvarka</w:t>
      </w:r>
      <w:r w:rsidRPr="008F7693">
        <w:rPr>
          <w:rFonts w:eastAsia="Arial"/>
          <w:bCs/>
        </w:rPr>
        <w:t>. Remiantis Lietuvos Respublikos Sveikatos apsaugos ministro (LR SAM) įsakymu ,,Inksto piktybinio naviko ambulatorinio gydymo kompensuojamaisiais vaistais tvarkos aprašas“</w:t>
      </w:r>
      <w:r w:rsidRPr="008F7693">
        <w:rPr>
          <w:color w:val="000000"/>
          <w:szCs w:val="20"/>
        </w:rPr>
        <w:t xml:space="preserve"> (galiojanti suvestinė nuo 2021-07-31)</w:t>
      </w:r>
      <w:r w:rsidR="008C6780">
        <w:rPr>
          <w:color w:val="000000"/>
          <w:szCs w:val="20"/>
        </w:rPr>
        <w:t xml:space="preserve">. </w:t>
      </w:r>
      <w:r w:rsidRPr="008F7693">
        <w:rPr>
          <w:color w:val="000000"/>
          <w:szCs w:val="20"/>
        </w:rPr>
        <w:t xml:space="preserve">ILK gydymui skiriami kaip pirmaeiliai vaistiniai preparatai šie preparatai: </w:t>
      </w:r>
    </w:p>
    <w:p w14:paraId="7BDB1AFA" w14:textId="77777777" w:rsidR="008F7693" w:rsidRPr="00ED362B" w:rsidRDefault="008F7693" w:rsidP="008F7693">
      <w:pPr>
        <w:numPr>
          <w:ilvl w:val="0"/>
          <w:numId w:val="13"/>
        </w:numPr>
        <w:tabs>
          <w:tab w:val="left" w:pos="284"/>
        </w:tabs>
        <w:spacing w:line="276" w:lineRule="auto"/>
        <w:ind w:left="284" w:firstLine="0"/>
        <w:contextualSpacing/>
        <w:jc w:val="both"/>
        <w:rPr>
          <w:color w:val="000000"/>
          <w:szCs w:val="20"/>
        </w:rPr>
      </w:pPr>
      <w:proofErr w:type="spellStart"/>
      <w:r w:rsidRPr="00ED362B">
        <w:rPr>
          <w:color w:val="000000"/>
          <w:szCs w:val="20"/>
        </w:rPr>
        <w:t>Sunitinibas</w:t>
      </w:r>
      <w:proofErr w:type="spellEnd"/>
      <w:r w:rsidRPr="00ED362B">
        <w:rPr>
          <w:color w:val="000000"/>
          <w:szCs w:val="20"/>
        </w:rPr>
        <w:t xml:space="preserve"> ar </w:t>
      </w:r>
      <w:proofErr w:type="spellStart"/>
      <w:r w:rsidRPr="00ED362B">
        <w:rPr>
          <w:color w:val="000000"/>
          <w:szCs w:val="20"/>
        </w:rPr>
        <w:t>pazopanibas</w:t>
      </w:r>
      <w:proofErr w:type="spellEnd"/>
      <w:r w:rsidRPr="00ED362B">
        <w:rPr>
          <w:color w:val="000000"/>
          <w:szCs w:val="20"/>
        </w:rPr>
        <w:t xml:space="preserve">, kai ligos prognozė pagal </w:t>
      </w:r>
      <w:proofErr w:type="spellStart"/>
      <w:r w:rsidRPr="00ED362B">
        <w:rPr>
          <w:color w:val="000000"/>
          <w:szCs w:val="20"/>
        </w:rPr>
        <w:t>Heng</w:t>
      </w:r>
      <w:proofErr w:type="spellEnd"/>
      <w:r w:rsidRPr="00ED362B">
        <w:rPr>
          <w:color w:val="000000"/>
          <w:szCs w:val="20"/>
        </w:rPr>
        <w:t xml:space="preserve"> skalę yra gera ir kliniškai neįtariamos metastazės galvos smegenyse.</w:t>
      </w:r>
    </w:p>
    <w:p w14:paraId="1FA6EB6C" w14:textId="77777777" w:rsidR="008F7693" w:rsidRPr="00ED362B" w:rsidRDefault="008F7693" w:rsidP="008F7693">
      <w:pPr>
        <w:numPr>
          <w:ilvl w:val="0"/>
          <w:numId w:val="13"/>
        </w:numPr>
        <w:tabs>
          <w:tab w:val="left" w:pos="284"/>
        </w:tabs>
        <w:spacing w:line="276" w:lineRule="auto"/>
        <w:ind w:left="284" w:firstLine="0"/>
        <w:contextualSpacing/>
        <w:jc w:val="both"/>
        <w:rPr>
          <w:color w:val="000000"/>
          <w:szCs w:val="20"/>
        </w:rPr>
      </w:pPr>
      <w:proofErr w:type="spellStart"/>
      <w:r w:rsidRPr="00ED362B">
        <w:t>Sunitinibas</w:t>
      </w:r>
      <w:proofErr w:type="spellEnd"/>
      <w:r w:rsidRPr="00ED362B">
        <w:t xml:space="preserve">, </w:t>
      </w:r>
      <w:proofErr w:type="spellStart"/>
      <w:r w:rsidRPr="00ED362B">
        <w:t>pazopanibas</w:t>
      </w:r>
      <w:proofErr w:type="spellEnd"/>
      <w:r w:rsidRPr="00ED362B">
        <w:t xml:space="preserve">, </w:t>
      </w:r>
      <w:proofErr w:type="spellStart"/>
      <w:r w:rsidRPr="00ED362B">
        <w:t>kabozantinibas</w:t>
      </w:r>
      <w:proofErr w:type="spellEnd"/>
      <w:r w:rsidRPr="00ED362B">
        <w:t xml:space="preserve"> ar </w:t>
      </w:r>
      <w:proofErr w:type="spellStart"/>
      <w:r w:rsidRPr="00ED362B">
        <w:t>ipilimumabo</w:t>
      </w:r>
      <w:proofErr w:type="spellEnd"/>
      <w:r w:rsidRPr="00ED362B">
        <w:t xml:space="preserve"> ir </w:t>
      </w:r>
      <w:proofErr w:type="spellStart"/>
      <w:r w:rsidRPr="00ED362B">
        <w:t>nivolumabo</w:t>
      </w:r>
      <w:proofErr w:type="spellEnd"/>
      <w:r w:rsidRPr="00ED362B">
        <w:t xml:space="preserve"> derinys</w:t>
      </w:r>
      <w:r w:rsidRPr="00ED362B">
        <w:rPr>
          <w:color w:val="000000"/>
          <w:szCs w:val="20"/>
        </w:rPr>
        <w:t xml:space="preserve">, kai ligos prognozė pagal </w:t>
      </w:r>
      <w:proofErr w:type="spellStart"/>
      <w:r w:rsidRPr="00ED362B">
        <w:rPr>
          <w:color w:val="000000"/>
          <w:szCs w:val="20"/>
        </w:rPr>
        <w:t>Heng</w:t>
      </w:r>
      <w:proofErr w:type="spellEnd"/>
      <w:r w:rsidRPr="00ED362B">
        <w:rPr>
          <w:color w:val="000000"/>
          <w:szCs w:val="20"/>
        </w:rPr>
        <w:t xml:space="preserve"> skalę yra vidutinė ir kliniškai neįtariamos metastazės galvos smegenyse.</w:t>
      </w:r>
    </w:p>
    <w:p w14:paraId="61A258C9" w14:textId="77777777" w:rsidR="008F7693" w:rsidRPr="00ED362B" w:rsidRDefault="008F7693" w:rsidP="008F7693">
      <w:pPr>
        <w:numPr>
          <w:ilvl w:val="0"/>
          <w:numId w:val="13"/>
        </w:numPr>
        <w:tabs>
          <w:tab w:val="left" w:pos="284"/>
        </w:tabs>
        <w:spacing w:line="276" w:lineRule="auto"/>
        <w:ind w:left="284" w:firstLine="0"/>
        <w:contextualSpacing/>
        <w:jc w:val="both"/>
        <w:rPr>
          <w:color w:val="000000"/>
          <w:szCs w:val="20"/>
        </w:rPr>
      </w:pPr>
      <w:proofErr w:type="spellStart"/>
      <w:r w:rsidRPr="00ED362B">
        <w:t>Kabozantinibas</w:t>
      </w:r>
      <w:proofErr w:type="spellEnd"/>
      <w:r w:rsidRPr="00ED362B">
        <w:t xml:space="preserve">, </w:t>
      </w:r>
      <w:proofErr w:type="spellStart"/>
      <w:r w:rsidRPr="00ED362B">
        <w:t>ipilimumabo</w:t>
      </w:r>
      <w:proofErr w:type="spellEnd"/>
      <w:r w:rsidRPr="00ED362B">
        <w:t xml:space="preserve"> ir </w:t>
      </w:r>
      <w:proofErr w:type="spellStart"/>
      <w:r w:rsidRPr="00ED362B">
        <w:t>nivolumabo</w:t>
      </w:r>
      <w:proofErr w:type="spellEnd"/>
      <w:r w:rsidRPr="00ED362B">
        <w:t xml:space="preserve"> derinys arba taikomas simptominis gydymas</w:t>
      </w:r>
      <w:r w:rsidRPr="00ED362B">
        <w:rPr>
          <w:color w:val="000000"/>
          <w:szCs w:val="20"/>
        </w:rPr>
        <w:t xml:space="preserve">, kai ligos prognozė pagal </w:t>
      </w:r>
      <w:proofErr w:type="spellStart"/>
      <w:r w:rsidRPr="00ED362B">
        <w:rPr>
          <w:color w:val="000000"/>
          <w:szCs w:val="20"/>
        </w:rPr>
        <w:t>Heng</w:t>
      </w:r>
      <w:proofErr w:type="spellEnd"/>
      <w:r w:rsidRPr="00ED362B">
        <w:rPr>
          <w:color w:val="000000"/>
          <w:szCs w:val="20"/>
        </w:rPr>
        <w:t xml:space="preserve"> skalę yra bloga.</w:t>
      </w:r>
    </w:p>
    <w:p w14:paraId="2C350CF5"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ab/>
      </w:r>
    </w:p>
    <w:p w14:paraId="0A3EE91A" w14:textId="5FB36F46" w:rsidR="008F7693" w:rsidRPr="008F7693" w:rsidRDefault="008F7693" w:rsidP="008F7693">
      <w:pPr>
        <w:tabs>
          <w:tab w:val="left" w:pos="284"/>
        </w:tabs>
        <w:spacing w:line="276" w:lineRule="auto"/>
        <w:ind w:left="284"/>
        <w:contextualSpacing/>
        <w:jc w:val="both"/>
        <w:rPr>
          <w:rFonts w:eastAsia="Arial"/>
        </w:rPr>
      </w:pPr>
      <w:r w:rsidRPr="008F7693">
        <w:rPr>
          <w:rFonts w:eastAsia="Arial"/>
          <w:bCs/>
        </w:rPr>
        <w:tab/>
      </w:r>
      <w:r w:rsidRPr="008F7693">
        <w:rPr>
          <w:rFonts w:eastAsia="Arial"/>
          <w:b/>
          <w:i/>
          <w:iCs/>
        </w:rPr>
        <w:t>Palyginamasis gydymas</w:t>
      </w:r>
      <w:r w:rsidRPr="008F7693">
        <w:rPr>
          <w:b/>
          <w:i/>
          <w:iCs/>
        </w:rPr>
        <w:t xml:space="preserve">. </w:t>
      </w:r>
      <w:r w:rsidRPr="008F7693">
        <w:rPr>
          <w:rFonts w:eastAsia="Arial"/>
          <w:iCs/>
          <w:color w:val="000000"/>
        </w:rPr>
        <w:t xml:space="preserve">Paraiškos vertinimo metu įprasta Lietuvos klinikine praktika laikomas </w:t>
      </w:r>
      <w:proofErr w:type="spellStart"/>
      <w:r w:rsidRPr="008F7693">
        <w:rPr>
          <w:rFonts w:eastAsia="Arial"/>
          <w:iCs/>
          <w:color w:val="000000"/>
        </w:rPr>
        <w:t>sunitinibas</w:t>
      </w:r>
      <w:proofErr w:type="spellEnd"/>
      <w:r w:rsidRPr="008F7693">
        <w:rPr>
          <w:rFonts w:eastAsia="Arial"/>
          <w:iCs/>
          <w:color w:val="000000"/>
        </w:rPr>
        <w:t xml:space="preserve"> geros prognozės pacientams,</w:t>
      </w:r>
      <w:r w:rsidRPr="008F7693">
        <w:rPr>
          <w:rFonts w:eastAsia="Arial"/>
          <w:color w:val="000000"/>
        </w:rPr>
        <w:t xml:space="preserve"> </w:t>
      </w:r>
      <w:proofErr w:type="spellStart"/>
      <w:r w:rsidRPr="008F7693">
        <w:t>kabozantinibu</w:t>
      </w:r>
      <w:proofErr w:type="spellEnd"/>
      <w:r w:rsidRPr="008F7693">
        <w:t xml:space="preserve"> ar </w:t>
      </w:r>
      <w:proofErr w:type="spellStart"/>
      <w:r w:rsidRPr="008F7693">
        <w:t>ipilimumabo</w:t>
      </w:r>
      <w:proofErr w:type="spellEnd"/>
      <w:r w:rsidRPr="008F7693">
        <w:t xml:space="preserve"> ir </w:t>
      </w:r>
      <w:proofErr w:type="spellStart"/>
      <w:r w:rsidRPr="008F7693">
        <w:t>nivolumabo</w:t>
      </w:r>
      <w:proofErr w:type="spellEnd"/>
      <w:r w:rsidRPr="008F7693">
        <w:t xml:space="preserve"> derin</w:t>
      </w:r>
      <w:r w:rsidR="008C6780">
        <w:t>ys</w:t>
      </w:r>
      <w:r w:rsidRPr="008F7693">
        <w:rPr>
          <w:rFonts w:eastAsia="Arial"/>
          <w:color w:val="000000"/>
        </w:rPr>
        <w:t xml:space="preserve"> vidutinės prognozės</w:t>
      </w:r>
      <w:r w:rsidR="008C6780">
        <w:rPr>
          <w:rFonts w:eastAsia="Arial"/>
          <w:color w:val="000000"/>
        </w:rPr>
        <w:t xml:space="preserve"> pacientams</w:t>
      </w:r>
      <w:r w:rsidRPr="008F7693">
        <w:rPr>
          <w:rFonts w:eastAsia="Arial"/>
          <w:iCs/>
          <w:color w:val="000000"/>
        </w:rPr>
        <w:t xml:space="preserve">, o blogos – </w:t>
      </w:r>
      <w:proofErr w:type="spellStart"/>
      <w:r w:rsidRPr="008F7693">
        <w:rPr>
          <w:iCs/>
        </w:rPr>
        <w:t>kabozantinibu</w:t>
      </w:r>
      <w:proofErr w:type="spellEnd"/>
      <w:r w:rsidRPr="008F7693">
        <w:rPr>
          <w:iCs/>
        </w:rPr>
        <w:t xml:space="preserve"> ar </w:t>
      </w:r>
      <w:proofErr w:type="spellStart"/>
      <w:r w:rsidRPr="008F7693">
        <w:rPr>
          <w:iCs/>
        </w:rPr>
        <w:t>ipilimumabo</w:t>
      </w:r>
      <w:proofErr w:type="spellEnd"/>
      <w:r w:rsidRPr="008F7693">
        <w:rPr>
          <w:iCs/>
        </w:rPr>
        <w:t xml:space="preserve"> ir </w:t>
      </w:r>
      <w:proofErr w:type="spellStart"/>
      <w:r w:rsidRPr="008F7693">
        <w:rPr>
          <w:iCs/>
        </w:rPr>
        <w:t>nivolumabo</w:t>
      </w:r>
      <w:proofErr w:type="spellEnd"/>
      <w:r w:rsidRPr="008F7693">
        <w:rPr>
          <w:iCs/>
        </w:rPr>
        <w:t xml:space="preserve"> derin</w:t>
      </w:r>
      <w:r w:rsidR="008C6780">
        <w:rPr>
          <w:iCs/>
        </w:rPr>
        <w:t>ys</w:t>
      </w:r>
      <w:r w:rsidRPr="008F7693">
        <w:rPr>
          <w:iCs/>
        </w:rPr>
        <w:t xml:space="preserve">, todėl vertinimui aktualiais laikomi </w:t>
      </w:r>
      <w:r w:rsidRPr="008F7693">
        <w:rPr>
          <w:rFonts w:eastAsia="Arial"/>
          <w:bCs/>
        </w:rPr>
        <w:t xml:space="preserve">KEYNOTE-581 tyrime pateikti klinikinio veiksmingumo duomenys apie </w:t>
      </w:r>
      <w:proofErr w:type="spellStart"/>
      <w:r w:rsidRPr="008F7693">
        <w:rPr>
          <w:rFonts w:eastAsia="Arial"/>
          <w:bCs/>
        </w:rPr>
        <w:t>sunitinibo</w:t>
      </w:r>
      <w:proofErr w:type="spellEnd"/>
      <w:r w:rsidRPr="008F7693">
        <w:rPr>
          <w:rFonts w:eastAsia="Arial"/>
          <w:bCs/>
        </w:rPr>
        <w:t xml:space="preserve"> </w:t>
      </w:r>
      <w:r w:rsidR="006519A7">
        <w:rPr>
          <w:rFonts w:eastAsia="Arial"/>
          <w:bCs/>
        </w:rPr>
        <w:t>ir</w:t>
      </w:r>
      <w:r w:rsidRPr="008F7693">
        <w:rPr>
          <w:rFonts w:eastAsia="Arial"/>
          <w:bCs/>
        </w:rPr>
        <w:t xml:space="preserve"> </w:t>
      </w:r>
      <w:proofErr w:type="spellStart"/>
      <w:r w:rsidRPr="008F7693">
        <w:rPr>
          <w:rFonts w:eastAsia="Arial"/>
          <w:bCs/>
        </w:rPr>
        <w:t>pembrolizumabo</w:t>
      </w:r>
      <w:proofErr w:type="spellEnd"/>
      <w:r w:rsidRPr="008F7693">
        <w:rPr>
          <w:rFonts w:eastAsia="Arial"/>
          <w:bCs/>
        </w:rPr>
        <w:t xml:space="preserve"> </w:t>
      </w:r>
      <w:r w:rsidR="006519A7">
        <w:rPr>
          <w:rFonts w:eastAsia="Arial"/>
          <w:bCs/>
        </w:rPr>
        <w:t>su</w:t>
      </w:r>
      <w:r w:rsidR="008C6780">
        <w:rPr>
          <w:rFonts w:eastAsia="Arial"/>
          <w:bCs/>
        </w:rPr>
        <w:t xml:space="preserve"> </w:t>
      </w:r>
      <w:proofErr w:type="spellStart"/>
      <w:r w:rsidRPr="008F7693">
        <w:rPr>
          <w:rFonts w:eastAsia="Arial"/>
          <w:bCs/>
        </w:rPr>
        <w:t>lenvanitinib</w:t>
      </w:r>
      <w:r w:rsidR="006519A7">
        <w:rPr>
          <w:rFonts w:eastAsia="Arial"/>
          <w:bCs/>
        </w:rPr>
        <w:t>u</w:t>
      </w:r>
      <w:proofErr w:type="spellEnd"/>
      <w:r w:rsidRPr="008F7693">
        <w:rPr>
          <w:rFonts w:eastAsia="Arial"/>
          <w:bCs/>
        </w:rPr>
        <w:t xml:space="preserve"> derinio palyginamojo veiksmingumo duomenys geros ir vidutinės prognozės pacientams bei</w:t>
      </w:r>
      <w:r w:rsidRPr="008F7693">
        <w:rPr>
          <w:iCs/>
        </w:rPr>
        <w:t xml:space="preserve"> netiesioginio palyginimo tinklinėje analizėje pateikti rezultatai su minėtais vaistiniais preparatais atitinkamuose geros, vidutinės ir blogos prognozės (pagal </w:t>
      </w:r>
      <w:proofErr w:type="spellStart"/>
      <w:r w:rsidRPr="008F7693">
        <w:rPr>
          <w:iCs/>
        </w:rPr>
        <w:t>Heng</w:t>
      </w:r>
      <w:proofErr w:type="spellEnd"/>
      <w:r w:rsidRPr="008F7693">
        <w:rPr>
          <w:iCs/>
        </w:rPr>
        <w:t xml:space="preserve"> skalę)</w:t>
      </w:r>
      <w:r w:rsidR="006519A7">
        <w:rPr>
          <w:iCs/>
        </w:rPr>
        <w:t xml:space="preserve"> pacientų</w:t>
      </w:r>
      <w:r w:rsidRPr="008F7693">
        <w:rPr>
          <w:iCs/>
        </w:rPr>
        <w:t xml:space="preserve"> pogrupiuose.</w:t>
      </w:r>
    </w:p>
    <w:p w14:paraId="2A81329C" w14:textId="77777777" w:rsidR="008F7693" w:rsidRPr="008F7693" w:rsidRDefault="008F7693" w:rsidP="008F7693">
      <w:pPr>
        <w:tabs>
          <w:tab w:val="left" w:pos="284"/>
        </w:tabs>
        <w:spacing w:line="276" w:lineRule="auto"/>
        <w:ind w:left="284"/>
        <w:contextualSpacing/>
        <w:jc w:val="both"/>
        <w:rPr>
          <w:rFonts w:eastAsia="Arial"/>
          <w:bCs/>
          <w:i/>
          <w:iCs/>
        </w:rPr>
      </w:pPr>
      <w:r w:rsidRPr="008F7693">
        <w:rPr>
          <w:rFonts w:eastAsia="Arial"/>
          <w:bCs/>
        </w:rPr>
        <w:tab/>
      </w:r>
      <w:r w:rsidRPr="008F7693">
        <w:rPr>
          <w:rFonts w:eastAsia="Arial"/>
          <w:bCs/>
          <w:i/>
          <w:iCs/>
        </w:rPr>
        <w:t>Tiesioginis palyginimas</w:t>
      </w:r>
    </w:p>
    <w:p w14:paraId="397F4BEF"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i/>
          <w:iCs/>
        </w:rPr>
        <w:tab/>
      </w:r>
      <w:r w:rsidRPr="008F7693">
        <w:rPr>
          <w:rFonts w:eastAsia="Arial"/>
          <w:bCs/>
        </w:rPr>
        <w:t xml:space="preserve">KEYNOTE-581 (CLEAR) klinikinis tyrimas buvo </w:t>
      </w:r>
      <w:proofErr w:type="spellStart"/>
      <w:r w:rsidRPr="008F7693">
        <w:rPr>
          <w:rFonts w:eastAsia="Arial"/>
          <w:bCs/>
        </w:rPr>
        <w:t>daugiacentris</w:t>
      </w:r>
      <w:proofErr w:type="spellEnd"/>
      <w:r w:rsidRPr="008F7693">
        <w:rPr>
          <w:rFonts w:eastAsia="Arial"/>
          <w:bCs/>
        </w:rPr>
        <w:t xml:space="preserve">, atviras, atsitiktinių imčių, kuriame dalyvavo 1 069 pacientai, sirgę išplitusia ILK (šviesiųjų ląstelių, su histologiniais </w:t>
      </w:r>
      <w:proofErr w:type="spellStart"/>
      <w:r w:rsidRPr="008F7693">
        <w:rPr>
          <w:rFonts w:eastAsia="Arial"/>
          <w:bCs/>
        </w:rPr>
        <w:t>sarkomatoidiais</w:t>
      </w:r>
      <w:proofErr w:type="spellEnd"/>
      <w:r w:rsidRPr="008F7693">
        <w:rPr>
          <w:rFonts w:eastAsia="Arial"/>
          <w:bCs/>
        </w:rPr>
        <w:t xml:space="preserve"> ir </w:t>
      </w:r>
      <w:proofErr w:type="spellStart"/>
      <w:r w:rsidRPr="008F7693">
        <w:rPr>
          <w:rFonts w:eastAsia="Arial"/>
          <w:bCs/>
        </w:rPr>
        <w:t>papilinės</w:t>
      </w:r>
      <w:proofErr w:type="spellEnd"/>
      <w:r w:rsidRPr="008F7693">
        <w:rPr>
          <w:rFonts w:eastAsia="Arial"/>
          <w:bCs/>
        </w:rPr>
        <w:t xml:space="preserve"> karcinomos požymiais). Tyrime lygintas </w:t>
      </w:r>
      <w:proofErr w:type="spellStart"/>
      <w:r w:rsidRPr="008F7693">
        <w:rPr>
          <w:rFonts w:eastAsia="Arial"/>
          <w:bCs/>
        </w:rPr>
        <w:t>pembrolizumabo</w:t>
      </w:r>
      <w:proofErr w:type="spellEnd"/>
      <w:r w:rsidRPr="008F7693">
        <w:rPr>
          <w:rFonts w:eastAsia="Arial"/>
          <w:bCs/>
        </w:rPr>
        <w:t xml:space="preserve"> ir </w:t>
      </w:r>
      <w:proofErr w:type="spellStart"/>
      <w:r w:rsidRPr="008F7693">
        <w:rPr>
          <w:rFonts w:eastAsia="Arial"/>
          <w:bCs/>
        </w:rPr>
        <w:t>levanitinibo</w:t>
      </w:r>
      <w:proofErr w:type="spellEnd"/>
      <w:r w:rsidRPr="008F7693">
        <w:rPr>
          <w:rFonts w:eastAsia="Arial"/>
          <w:bCs/>
        </w:rPr>
        <w:t xml:space="preserve"> derinio, </w:t>
      </w:r>
      <w:proofErr w:type="spellStart"/>
      <w:r w:rsidRPr="008F7693">
        <w:rPr>
          <w:rFonts w:eastAsia="Arial"/>
          <w:bCs/>
        </w:rPr>
        <w:t>levanitinibo</w:t>
      </w:r>
      <w:proofErr w:type="spellEnd"/>
      <w:r w:rsidRPr="008F7693">
        <w:rPr>
          <w:rFonts w:eastAsia="Arial"/>
          <w:bCs/>
        </w:rPr>
        <w:t xml:space="preserve"> ir </w:t>
      </w:r>
      <w:proofErr w:type="spellStart"/>
      <w:r w:rsidRPr="008F7693">
        <w:rPr>
          <w:rFonts w:eastAsia="Arial"/>
          <w:bCs/>
        </w:rPr>
        <w:t>everolimuzo</w:t>
      </w:r>
      <w:proofErr w:type="spellEnd"/>
      <w:r w:rsidRPr="008F7693">
        <w:rPr>
          <w:rFonts w:eastAsia="Arial"/>
          <w:bCs/>
        </w:rPr>
        <w:t xml:space="preserve"> derinio bei </w:t>
      </w:r>
      <w:proofErr w:type="spellStart"/>
      <w:r w:rsidRPr="008F7693">
        <w:rPr>
          <w:rFonts w:eastAsia="Arial"/>
          <w:bCs/>
        </w:rPr>
        <w:t>sunitinibo</w:t>
      </w:r>
      <w:proofErr w:type="spellEnd"/>
      <w:r w:rsidRPr="008F7693">
        <w:rPr>
          <w:rFonts w:eastAsia="Arial"/>
          <w:bCs/>
        </w:rPr>
        <w:t xml:space="preserve"> </w:t>
      </w:r>
      <w:proofErr w:type="spellStart"/>
      <w:r w:rsidRPr="008F7693">
        <w:rPr>
          <w:rFonts w:eastAsia="Arial"/>
          <w:bCs/>
        </w:rPr>
        <w:t>monoterapijos</w:t>
      </w:r>
      <w:proofErr w:type="spellEnd"/>
      <w:r w:rsidRPr="008F7693">
        <w:rPr>
          <w:rFonts w:eastAsia="Arial"/>
          <w:bCs/>
        </w:rPr>
        <w:t xml:space="preserve"> efektyvumas. </w:t>
      </w:r>
    </w:p>
    <w:p w14:paraId="6390F1AE" w14:textId="4D81A61A"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ab/>
        <w:t xml:space="preserve">Į tyrimą pacientai buvo įtraukiami nepriklausomai nuo PD-L1 raiškos navike, šiems pacientams turėjo būti </w:t>
      </w:r>
      <w:proofErr w:type="spellStart"/>
      <w:r w:rsidRPr="008F7693">
        <w:rPr>
          <w:rFonts w:eastAsia="Arial"/>
          <w:bCs/>
        </w:rPr>
        <w:t>histologiškai</w:t>
      </w:r>
      <w:proofErr w:type="spellEnd"/>
      <w:r w:rsidRPr="008F7693">
        <w:rPr>
          <w:rFonts w:eastAsia="Arial"/>
          <w:bCs/>
        </w:rPr>
        <w:t xml:space="preserve"> ar </w:t>
      </w:r>
      <w:proofErr w:type="spellStart"/>
      <w:r w:rsidRPr="008F7693">
        <w:rPr>
          <w:rFonts w:eastAsia="Arial"/>
          <w:bCs/>
        </w:rPr>
        <w:t>citologiškai</w:t>
      </w:r>
      <w:proofErr w:type="spellEnd"/>
      <w:r w:rsidRPr="008F7693">
        <w:rPr>
          <w:rFonts w:eastAsia="Arial"/>
          <w:bCs/>
        </w:rPr>
        <w:t xml:space="preserve"> patvirtinta ILK su šviesiųjų ląstelių komponentu, dokumentuotas ILK išplitimas, bent vienas pagal RECIST 1.1 kriterijus išmatuojamas darinys (limfmazgis </w:t>
      </w:r>
      <w:r w:rsidRPr="008F7693">
        <w:rPr>
          <w:rFonts w:eastAsia="Arial"/>
          <w:szCs w:val="20"/>
          <w:lang w:val="en-US"/>
        </w:rPr>
        <w:sym w:font="Symbol" w:char="F0B3"/>
      </w:r>
      <w:r w:rsidRPr="008F7693">
        <w:rPr>
          <w:rFonts w:eastAsia="Arial"/>
          <w:bCs/>
        </w:rPr>
        <w:t xml:space="preserve"> 1,5 cm, ne mazginiai dariniai </w:t>
      </w:r>
      <w:r w:rsidRPr="008F7693">
        <w:rPr>
          <w:rFonts w:eastAsia="Arial"/>
          <w:szCs w:val="20"/>
          <w:lang w:val="en-US"/>
        </w:rPr>
        <w:sym w:font="Symbol" w:char="F0B3"/>
      </w:r>
      <w:r w:rsidRPr="008F7693">
        <w:rPr>
          <w:rFonts w:eastAsia="Arial"/>
          <w:bCs/>
        </w:rPr>
        <w:t xml:space="preserve"> 1 cm). </w:t>
      </w:r>
      <w:proofErr w:type="spellStart"/>
      <w:r w:rsidR="007F4E70" w:rsidRPr="002F7987">
        <w:rPr>
          <w:rFonts w:eastAsia="Arial"/>
          <w:bCs/>
        </w:rPr>
        <w:t>Pembrolizumabo</w:t>
      </w:r>
      <w:proofErr w:type="spellEnd"/>
      <w:r w:rsidR="007F4E70" w:rsidRPr="002F7987">
        <w:rPr>
          <w:rFonts w:eastAsia="Arial"/>
          <w:bCs/>
        </w:rPr>
        <w:t xml:space="preserve"> vartojimas buvo tęsiamas daugiausia 24 mėnesius</w:t>
      </w:r>
      <w:r w:rsidR="007F4E70">
        <w:rPr>
          <w:rFonts w:eastAsia="Arial"/>
          <w:bCs/>
        </w:rPr>
        <w:t>,</w:t>
      </w:r>
      <w:r w:rsidR="007F4E70" w:rsidRPr="002F7987">
        <w:rPr>
          <w:rFonts w:eastAsia="Arial"/>
          <w:bCs/>
        </w:rPr>
        <w:t xml:space="preserve"> tačiau gydymą </w:t>
      </w:r>
      <w:proofErr w:type="spellStart"/>
      <w:r w:rsidR="007F4E70" w:rsidRPr="002F7987">
        <w:rPr>
          <w:rFonts w:eastAsia="Arial"/>
          <w:bCs/>
        </w:rPr>
        <w:t>lenvatinibu</w:t>
      </w:r>
      <w:proofErr w:type="spellEnd"/>
      <w:r w:rsidR="007F4E70" w:rsidRPr="002F7987">
        <w:rPr>
          <w:rFonts w:eastAsia="Arial"/>
          <w:bCs/>
        </w:rPr>
        <w:t xml:space="preserve"> buvo galima tęsti ilgiau kaip 24 mėnesius.</w:t>
      </w:r>
    </w:p>
    <w:p w14:paraId="4A948297" w14:textId="1FBCB852"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ab/>
        <w:t xml:space="preserve">Tyrimo rezultatai pateikti iš anksto suplanuotose pogrupiuose, tame tarpe Lietuvos klinikinei praktikai aktualiame geros prognozės pacientų </w:t>
      </w:r>
      <w:r w:rsidR="006519A7" w:rsidRPr="008F7693">
        <w:rPr>
          <w:rFonts w:eastAsia="Arial"/>
          <w:bCs/>
        </w:rPr>
        <w:t>pogrupyje</w:t>
      </w:r>
      <w:r w:rsidRPr="008F7693">
        <w:rPr>
          <w:rFonts w:eastAsia="Arial"/>
          <w:bCs/>
        </w:rPr>
        <w:t xml:space="preserve">. Išgyvenamumas be ligos progresavimo (IBLP, pirminė vertinamoji baigtis) pagal nepriklausomą vertinimo komitetą buvo reikšmingai ilgesnė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grupėje, palyginti su </w:t>
      </w:r>
      <w:proofErr w:type="spellStart"/>
      <w:r w:rsidRPr="008F7693">
        <w:rPr>
          <w:rFonts w:eastAsia="Arial"/>
          <w:bCs/>
        </w:rPr>
        <w:t>sunitinibo</w:t>
      </w:r>
      <w:proofErr w:type="spellEnd"/>
      <w:r w:rsidRPr="008F7693">
        <w:rPr>
          <w:rFonts w:eastAsia="Arial"/>
          <w:bCs/>
        </w:rPr>
        <w:t xml:space="preserve"> grupe (mediana – 23,9 mėn., 95 proc. </w:t>
      </w:r>
      <w:proofErr w:type="spellStart"/>
      <w:r w:rsidRPr="008F7693">
        <w:rPr>
          <w:rFonts w:eastAsia="Arial"/>
          <w:bCs/>
        </w:rPr>
        <w:t>pasikliautinasis</w:t>
      </w:r>
      <w:proofErr w:type="spellEnd"/>
      <w:r w:rsidRPr="008F7693">
        <w:rPr>
          <w:rFonts w:eastAsia="Arial"/>
          <w:bCs/>
        </w:rPr>
        <w:t xml:space="preserve"> intervalas (PI) 20,8–27,7 ir 9,2 mėn., 95% PI, 6,0–11,0, IBLP rizikos santykis (RS) – 0,39; 95 proc. PI, 0,32–0,49; P&lt;0,001). IBLP rezultatai buvo pranašesni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deriniu gydytų pacientų grupėje lyginant su </w:t>
      </w:r>
      <w:proofErr w:type="spellStart"/>
      <w:r w:rsidRPr="008F7693">
        <w:rPr>
          <w:rFonts w:eastAsia="Arial"/>
          <w:bCs/>
        </w:rPr>
        <w:t>sunitinibu</w:t>
      </w:r>
      <w:proofErr w:type="spellEnd"/>
      <w:r w:rsidRPr="008F7693">
        <w:rPr>
          <w:rFonts w:eastAsia="Arial"/>
          <w:bCs/>
        </w:rPr>
        <w:t xml:space="preserve"> visuose iš anksto numatytuose pogrupiuose, o geros prognozės pogrupyje IBLP RS buvo 0,41, 95 proc. PI 0,28, 0,62. Remiantis 26,6 mėn. stebėjimo mediana, BI mediana nepasiekta nė vienoje gydymo grupėje. BI buvo reikšmingai ilgesnis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grupėje, palyginti su </w:t>
      </w:r>
      <w:proofErr w:type="spellStart"/>
      <w:r w:rsidRPr="008F7693">
        <w:rPr>
          <w:rFonts w:eastAsia="Arial"/>
          <w:bCs/>
        </w:rPr>
        <w:t>sunitinibo</w:t>
      </w:r>
      <w:proofErr w:type="spellEnd"/>
      <w:r w:rsidRPr="008F7693">
        <w:rPr>
          <w:rFonts w:eastAsia="Arial"/>
          <w:bCs/>
        </w:rPr>
        <w:t xml:space="preserve"> grupe (mirties RS – 0,66; 95 proc. PI, 0,49–0,88; P = 0,005). Vertinant bendro išgyvenamumo (BI, antrinė vertinamoji baigtis) rezultatus iš anksto numatytuose pogrupiuose, nustatyta, jog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derinys nebuvo pranašesnis už </w:t>
      </w:r>
      <w:proofErr w:type="spellStart"/>
      <w:r w:rsidRPr="008F7693">
        <w:rPr>
          <w:rFonts w:eastAsia="Arial"/>
          <w:bCs/>
        </w:rPr>
        <w:t>sunitinibą</w:t>
      </w:r>
      <w:proofErr w:type="spellEnd"/>
      <w:r w:rsidRPr="008F7693">
        <w:rPr>
          <w:rFonts w:eastAsia="Arial"/>
          <w:bCs/>
        </w:rPr>
        <w:t xml:space="preserve"> pacientų pogrupiuose, kurių prognozė</w:t>
      </w:r>
      <w:r w:rsidR="00D511B7">
        <w:rPr>
          <w:rFonts w:eastAsia="Arial"/>
          <w:bCs/>
        </w:rPr>
        <w:t xml:space="preserve"> pagal </w:t>
      </w:r>
      <w:r w:rsidR="00D511B7" w:rsidRPr="001F35DC">
        <w:rPr>
          <w:rFonts w:eastAsia="Arial"/>
        </w:rPr>
        <w:t xml:space="preserve">Tarptautinio </w:t>
      </w:r>
      <w:proofErr w:type="spellStart"/>
      <w:r w:rsidR="00D511B7" w:rsidRPr="001F35DC">
        <w:rPr>
          <w:rFonts w:eastAsia="Arial"/>
        </w:rPr>
        <w:t>metastazavusios</w:t>
      </w:r>
      <w:proofErr w:type="spellEnd"/>
      <w:r w:rsidR="00D511B7" w:rsidRPr="001F35DC">
        <w:rPr>
          <w:rFonts w:eastAsia="Arial"/>
        </w:rPr>
        <w:t xml:space="preserve"> inkstų ląstelių karcinomos duomenų bazės konsorciumo</w:t>
      </w:r>
      <w:r w:rsidR="00D511B7">
        <w:rPr>
          <w:rFonts w:eastAsia="Arial"/>
        </w:rPr>
        <w:t xml:space="preserve"> kriterijus </w:t>
      </w:r>
      <w:r w:rsidR="00D511B7" w:rsidRPr="00ED362B">
        <w:rPr>
          <w:rFonts w:eastAsia="Arial"/>
        </w:rPr>
        <w:t xml:space="preserve">(angl. </w:t>
      </w:r>
      <w:r w:rsidR="00ED362B" w:rsidRPr="00ED362B">
        <w:rPr>
          <w:rFonts w:eastAsia="Arial"/>
        </w:rPr>
        <w:t xml:space="preserve">International </w:t>
      </w:r>
      <w:proofErr w:type="spellStart"/>
      <w:r w:rsidR="00ED362B" w:rsidRPr="00ED362B">
        <w:rPr>
          <w:rFonts w:eastAsia="Arial"/>
        </w:rPr>
        <w:t>Metastatic</w:t>
      </w:r>
      <w:proofErr w:type="spellEnd"/>
      <w:r w:rsidR="00ED362B" w:rsidRPr="00ED362B">
        <w:rPr>
          <w:rFonts w:eastAsia="Arial"/>
        </w:rPr>
        <w:t xml:space="preserve"> RCC </w:t>
      </w:r>
      <w:proofErr w:type="spellStart"/>
      <w:r w:rsidR="00ED362B" w:rsidRPr="00ED362B">
        <w:rPr>
          <w:rFonts w:eastAsia="Arial"/>
        </w:rPr>
        <w:t>Database</w:t>
      </w:r>
      <w:proofErr w:type="spellEnd"/>
      <w:r w:rsidR="00ED362B" w:rsidRPr="00ED362B">
        <w:rPr>
          <w:rFonts w:eastAsia="Arial"/>
        </w:rPr>
        <w:t xml:space="preserve"> </w:t>
      </w:r>
      <w:proofErr w:type="spellStart"/>
      <w:r w:rsidR="00ED362B" w:rsidRPr="00ED362B">
        <w:rPr>
          <w:rFonts w:eastAsia="Arial"/>
        </w:rPr>
        <w:t>Consortium</w:t>
      </w:r>
      <w:proofErr w:type="spellEnd"/>
      <w:r w:rsidR="00ED362B">
        <w:rPr>
          <w:rFonts w:eastAsia="Arial"/>
        </w:rPr>
        <w:t>,</w:t>
      </w:r>
      <w:r w:rsidR="00ED362B" w:rsidRPr="00ED362B">
        <w:rPr>
          <w:rFonts w:eastAsia="Arial"/>
        </w:rPr>
        <w:t xml:space="preserve"> </w:t>
      </w:r>
      <w:r w:rsidRPr="00ED362B">
        <w:rPr>
          <w:rFonts w:eastAsia="Arial"/>
        </w:rPr>
        <w:t>IMDC</w:t>
      </w:r>
      <w:r w:rsidR="00D511B7" w:rsidRPr="00ED362B">
        <w:rPr>
          <w:rFonts w:eastAsia="Arial"/>
          <w:bCs/>
        </w:rPr>
        <w:t>)</w:t>
      </w:r>
      <w:r w:rsidR="00D511B7">
        <w:rPr>
          <w:rFonts w:eastAsia="Arial"/>
          <w:bCs/>
        </w:rPr>
        <w:t xml:space="preserve"> </w:t>
      </w:r>
      <w:r w:rsidRPr="008F7693">
        <w:rPr>
          <w:rFonts w:eastAsia="Arial"/>
          <w:bCs/>
        </w:rPr>
        <w:t xml:space="preserve">buvo gera RS 1,15, 95 proc. PI 0,55, 2,40. </w:t>
      </w:r>
    </w:p>
    <w:p w14:paraId="3E62C7A7" w14:textId="4708A91D" w:rsidR="008F7693" w:rsidRPr="008F7693" w:rsidRDefault="008F7693" w:rsidP="008F7693">
      <w:pPr>
        <w:tabs>
          <w:tab w:val="left" w:pos="284"/>
        </w:tabs>
        <w:spacing w:line="276" w:lineRule="auto"/>
        <w:ind w:left="284"/>
        <w:contextualSpacing/>
        <w:jc w:val="both"/>
        <w:rPr>
          <w:rFonts w:eastAsia="Arial"/>
        </w:rPr>
      </w:pPr>
      <w:r w:rsidRPr="008F7693">
        <w:rPr>
          <w:rFonts w:eastAsia="Arial"/>
          <w:bCs/>
        </w:rPr>
        <w:tab/>
        <w:t xml:space="preserve">Iki duomenų rinkimo pabaigos 58 (16,3 proc.) pacientai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grupėje ir 24 (6,7 proc.) pacientai </w:t>
      </w:r>
      <w:proofErr w:type="spellStart"/>
      <w:r w:rsidRPr="008F7693">
        <w:rPr>
          <w:rFonts w:eastAsia="Arial"/>
          <w:bCs/>
        </w:rPr>
        <w:t>sunitinibo</w:t>
      </w:r>
      <w:proofErr w:type="spellEnd"/>
      <w:r w:rsidRPr="008F7693">
        <w:rPr>
          <w:rFonts w:eastAsia="Arial"/>
          <w:bCs/>
        </w:rPr>
        <w:t xml:space="preserve"> grupėje toliau gavo tyrimo gydymą</w:t>
      </w:r>
      <w:r w:rsidR="00D511B7">
        <w:rPr>
          <w:rFonts w:eastAsia="Arial"/>
          <w:bCs/>
        </w:rPr>
        <w:t>.</w:t>
      </w:r>
      <w:r w:rsidRPr="008F7693">
        <w:rPr>
          <w:rFonts w:eastAsia="Arial"/>
          <w:bCs/>
        </w:rPr>
        <w:t xml:space="preserve"> Iš anksto numatytuose prognostiniuose pogrupiuose pagal IMDC, geros prognozės pacientų </w:t>
      </w:r>
      <w:r w:rsidR="00D511B7" w:rsidRPr="008F7693">
        <w:rPr>
          <w:rFonts w:eastAsia="Arial"/>
          <w:bCs/>
        </w:rPr>
        <w:t>pogrupyje</w:t>
      </w:r>
      <w:r w:rsidRPr="008F7693">
        <w:rPr>
          <w:rFonts w:eastAsia="Arial"/>
          <w:bCs/>
        </w:rPr>
        <w:t xml:space="preserve"> lyginant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derinį bei </w:t>
      </w:r>
      <w:proofErr w:type="spellStart"/>
      <w:r w:rsidRPr="008F7693">
        <w:rPr>
          <w:rFonts w:eastAsia="Arial"/>
          <w:bCs/>
        </w:rPr>
        <w:t>sunitinibo</w:t>
      </w:r>
      <w:proofErr w:type="spellEnd"/>
      <w:r w:rsidRPr="008F7693">
        <w:rPr>
          <w:rFonts w:eastAsia="Arial"/>
          <w:bCs/>
        </w:rPr>
        <w:t xml:space="preserve"> </w:t>
      </w:r>
      <w:proofErr w:type="spellStart"/>
      <w:r w:rsidRPr="008F7693">
        <w:rPr>
          <w:rFonts w:eastAsia="Arial"/>
          <w:bCs/>
        </w:rPr>
        <w:t>monoterapiją</w:t>
      </w:r>
      <w:proofErr w:type="spellEnd"/>
      <w:r w:rsidRPr="008F7693">
        <w:rPr>
          <w:rFonts w:eastAsia="Arial"/>
          <w:bCs/>
        </w:rPr>
        <w:t xml:space="preserve"> BI reikšmingai nesiskyrė (RS 0,94 95 proc. PI (0,58-1,52)). </w:t>
      </w:r>
      <w:r w:rsidR="00D511B7">
        <w:rPr>
          <w:rFonts w:eastAsia="Arial"/>
          <w:bCs/>
        </w:rPr>
        <w:t>Tačiau, š</w:t>
      </w:r>
      <w:r w:rsidRPr="008F7693">
        <w:rPr>
          <w:rFonts w:eastAsia="Arial"/>
          <w:bCs/>
        </w:rPr>
        <w:t>iuo stebėjimo laikotarpiu ir toliau visuose iš anksto numatytuose prognostiniuose pogrupiuose pagal IMDC</w:t>
      </w:r>
      <w:r w:rsidR="00D511B7">
        <w:rPr>
          <w:rFonts w:eastAsia="Arial"/>
          <w:bCs/>
        </w:rPr>
        <w:t xml:space="preserve"> kriterijus</w:t>
      </w:r>
      <w:r w:rsidRPr="008F7693">
        <w:rPr>
          <w:rFonts w:eastAsia="Arial"/>
          <w:bCs/>
        </w:rPr>
        <w:t xml:space="preserve"> lyginant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derinį stebėtas</w:t>
      </w:r>
      <w:r w:rsidRPr="008F7693">
        <w:rPr>
          <w:rFonts w:eastAsia="Arial"/>
        </w:rPr>
        <w:t xml:space="preserve"> </w:t>
      </w:r>
      <w:proofErr w:type="spellStart"/>
      <w:r w:rsidRPr="008F7693">
        <w:rPr>
          <w:rFonts w:eastAsia="Arial"/>
        </w:rPr>
        <w:t>lenvatinibo</w:t>
      </w:r>
      <w:proofErr w:type="spellEnd"/>
      <w:r w:rsidRPr="008F7693">
        <w:rPr>
          <w:rFonts w:eastAsia="Arial"/>
        </w:rPr>
        <w:t xml:space="preserve"> su </w:t>
      </w:r>
      <w:proofErr w:type="spellStart"/>
      <w:r w:rsidRPr="008F7693">
        <w:rPr>
          <w:rFonts w:eastAsia="Arial"/>
        </w:rPr>
        <w:t>pembrolizumabo</w:t>
      </w:r>
      <w:proofErr w:type="spellEnd"/>
      <w:r w:rsidRPr="008F7693">
        <w:rPr>
          <w:rFonts w:eastAsia="Arial"/>
        </w:rPr>
        <w:t xml:space="preserve"> derinio pranašumas prieš </w:t>
      </w:r>
      <w:proofErr w:type="spellStart"/>
      <w:r w:rsidRPr="008F7693">
        <w:rPr>
          <w:rFonts w:eastAsia="Arial"/>
        </w:rPr>
        <w:t>sunitinibą</w:t>
      </w:r>
      <w:proofErr w:type="spellEnd"/>
      <w:r w:rsidRPr="008F7693">
        <w:rPr>
          <w:rFonts w:eastAsia="Arial"/>
        </w:rPr>
        <w:t xml:space="preserve"> IBLP atžvilgiu. </w:t>
      </w:r>
    </w:p>
    <w:p w14:paraId="6E92219D" w14:textId="76D9333D" w:rsidR="008F7693" w:rsidRPr="008F7693" w:rsidRDefault="008F7693" w:rsidP="008F7693">
      <w:pPr>
        <w:tabs>
          <w:tab w:val="left" w:pos="284"/>
        </w:tabs>
        <w:spacing w:line="276" w:lineRule="auto"/>
        <w:ind w:left="284"/>
        <w:contextualSpacing/>
        <w:jc w:val="both"/>
        <w:rPr>
          <w:rFonts w:eastAsia="Arial"/>
          <w:bCs/>
          <w:i/>
          <w:iCs/>
        </w:rPr>
      </w:pPr>
      <w:r w:rsidRPr="008F7693">
        <w:rPr>
          <w:rFonts w:eastAsia="Arial"/>
          <w:bCs/>
        </w:rPr>
        <w:tab/>
        <w:t xml:space="preserve">Apibendrinus tyrimo KEYNOTE – 581 bendro išgyvenamumo (BI) ir išgyvenamumo be ligos progresavimo (IBLP) rezultatus, nustatyta, jog klinikiniam vertinimui aktualiame geros prognozės pagal IMDC pacientų pogrupyje, neįrodytas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BI pranašumas prieš </w:t>
      </w:r>
      <w:proofErr w:type="spellStart"/>
      <w:r w:rsidRPr="008F7693">
        <w:rPr>
          <w:rFonts w:eastAsia="Arial"/>
          <w:bCs/>
        </w:rPr>
        <w:t>sunitinibą</w:t>
      </w:r>
      <w:proofErr w:type="spellEnd"/>
      <w:r w:rsidRPr="008F7693">
        <w:rPr>
          <w:rFonts w:eastAsia="Arial"/>
          <w:bCs/>
        </w:rPr>
        <w:t xml:space="preserve">. Tarnybos vertinimu, IBLP yra surogatinė baigtis, kai vaistinis preparatas taikomas išplitusios onkologinės ligos gydymui, todėl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IBLP pranašumas prieš </w:t>
      </w:r>
      <w:proofErr w:type="spellStart"/>
      <w:r w:rsidRPr="008F7693">
        <w:rPr>
          <w:rFonts w:eastAsia="Arial"/>
          <w:bCs/>
        </w:rPr>
        <w:t>sunitinbą</w:t>
      </w:r>
      <w:proofErr w:type="spellEnd"/>
      <w:r w:rsidRPr="008F7693">
        <w:rPr>
          <w:rFonts w:eastAsia="Arial"/>
          <w:bCs/>
        </w:rPr>
        <w:t xml:space="preserve"> geros prognozės pacientų pogrupyje neįrodo didesnės klinikinio efektyvumo naudos, kai BI tarp palyginamųjų vaistinių preparatų nesiskiria.</w:t>
      </w:r>
      <w:r w:rsidR="007F4E70">
        <w:rPr>
          <w:rFonts w:eastAsia="Arial"/>
          <w:bCs/>
          <w:i/>
          <w:iCs/>
        </w:rPr>
        <w:t xml:space="preserve"> </w:t>
      </w:r>
    </w:p>
    <w:p w14:paraId="77207CF7" w14:textId="77777777" w:rsidR="008F7693" w:rsidRPr="008F7693" w:rsidRDefault="008F7693" w:rsidP="008F7693">
      <w:pPr>
        <w:tabs>
          <w:tab w:val="left" w:pos="284"/>
        </w:tabs>
        <w:spacing w:line="276" w:lineRule="auto"/>
        <w:ind w:left="284"/>
        <w:contextualSpacing/>
        <w:jc w:val="both"/>
        <w:rPr>
          <w:rFonts w:eastAsia="Arial"/>
          <w:bCs/>
          <w:i/>
          <w:iCs/>
        </w:rPr>
      </w:pPr>
      <w:r w:rsidRPr="008F7693">
        <w:rPr>
          <w:rFonts w:eastAsia="Arial"/>
          <w:bCs/>
          <w:i/>
          <w:iCs/>
        </w:rPr>
        <w:tab/>
        <w:t>Netiesioginis palyginimas</w:t>
      </w:r>
    </w:p>
    <w:p w14:paraId="34671687"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i/>
          <w:iCs/>
        </w:rPr>
        <w:tab/>
      </w:r>
      <w:r w:rsidRPr="008F7693">
        <w:rPr>
          <w:rFonts w:eastAsia="Arial"/>
          <w:bCs/>
        </w:rPr>
        <w:t>Pareiškėjas pateikė netiesioginio palyginimo tinklinę meta-analizę, kurioje įtraukti 33 atsitiktinių imčių klinikiniai tyrimai.</w:t>
      </w:r>
      <w:r w:rsidRPr="008F7693">
        <w:rPr>
          <w:szCs w:val="20"/>
        </w:rPr>
        <w:t xml:space="preserve"> </w:t>
      </w:r>
      <w:r w:rsidRPr="008F7693">
        <w:rPr>
          <w:rFonts w:eastAsia="Arial"/>
          <w:bCs/>
        </w:rPr>
        <w:t xml:space="preserve">Analizėje palyginti </w:t>
      </w:r>
      <w:proofErr w:type="spellStart"/>
      <w:r w:rsidRPr="008F7693">
        <w:rPr>
          <w:rFonts w:eastAsia="Arial"/>
          <w:bCs/>
        </w:rPr>
        <w:t>pembrolizumabo</w:t>
      </w:r>
      <w:proofErr w:type="spellEnd"/>
      <w:r w:rsidRPr="008F7693">
        <w:rPr>
          <w:rFonts w:eastAsia="Arial"/>
          <w:bCs/>
        </w:rPr>
        <w:t xml:space="preserve"> ir </w:t>
      </w:r>
      <w:proofErr w:type="spellStart"/>
      <w:r w:rsidRPr="008F7693">
        <w:rPr>
          <w:rFonts w:eastAsia="Arial"/>
          <w:bCs/>
        </w:rPr>
        <w:t>lenvatinibo</w:t>
      </w:r>
      <w:proofErr w:type="spellEnd"/>
      <w:r w:rsidRPr="008F7693">
        <w:rPr>
          <w:rFonts w:eastAsia="Arial"/>
          <w:bCs/>
        </w:rPr>
        <w:t xml:space="preserve"> derinys su kitais vaistiniais preparatais pirmai pažengusios inkstų ląstelių karcinomos gydymo eilei. Taip pat pateikti palyginamojo klinikinio efektyvumo duomenys rizikos grupėse pagal IMDC (</w:t>
      </w:r>
      <w:proofErr w:type="spellStart"/>
      <w:r w:rsidRPr="008F7693">
        <w:rPr>
          <w:rFonts w:eastAsia="Arial"/>
          <w:bCs/>
        </w:rPr>
        <w:t>t.y</w:t>
      </w:r>
      <w:proofErr w:type="spellEnd"/>
      <w:r w:rsidRPr="008F7693">
        <w:rPr>
          <w:rFonts w:eastAsia="Arial"/>
          <w:bCs/>
        </w:rPr>
        <w:t xml:space="preserve">. </w:t>
      </w:r>
      <w:proofErr w:type="spellStart"/>
      <w:r w:rsidRPr="008F7693">
        <w:rPr>
          <w:rFonts w:eastAsia="Arial"/>
          <w:bCs/>
        </w:rPr>
        <w:t>Heng</w:t>
      </w:r>
      <w:proofErr w:type="spellEnd"/>
      <w:r w:rsidRPr="008F7693">
        <w:rPr>
          <w:rFonts w:eastAsia="Arial"/>
          <w:bCs/>
        </w:rPr>
        <w:t xml:space="preserve"> skalę). </w:t>
      </w:r>
    </w:p>
    <w:p w14:paraId="71D80A30"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ab/>
        <w:t xml:space="preserve">Į tyrimą įtrauktų vertinimui aktualių tyrimų tiriamųjų amžiaus vidurkis buvo panašus (nuo 60 iki 67 m.), daugelis tiriamųjų buvo vyrai. Į tyrimus dauguma įtrauktų pacientų </w:t>
      </w:r>
      <w:proofErr w:type="spellStart"/>
      <w:r w:rsidRPr="008F7693">
        <w:rPr>
          <w:rFonts w:eastAsia="Arial"/>
          <w:bCs/>
        </w:rPr>
        <w:t>Karnofski</w:t>
      </w:r>
      <w:proofErr w:type="spellEnd"/>
      <w:r w:rsidRPr="008F7693">
        <w:rPr>
          <w:rFonts w:eastAsia="Arial"/>
          <w:bCs/>
        </w:rPr>
        <w:t xml:space="preserve"> balas buvo &gt; 70 balų, pagal ECOG balą būklė įvertinta 1 arba 2 balais. Daugelyje tyrimų įtraukti vidutinės rizikos pacientai pagal IMDC balą. </w:t>
      </w:r>
    </w:p>
    <w:p w14:paraId="080BC8C7" w14:textId="77777777" w:rsidR="008F7693" w:rsidRPr="008F7693" w:rsidRDefault="008F7693" w:rsidP="008F7693">
      <w:pPr>
        <w:tabs>
          <w:tab w:val="left" w:pos="284"/>
        </w:tabs>
        <w:spacing w:line="276" w:lineRule="auto"/>
        <w:ind w:left="284"/>
        <w:contextualSpacing/>
        <w:jc w:val="both"/>
        <w:rPr>
          <w:rFonts w:eastAsia="Arial"/>
          <w:bCs/>
        </w:rPr>
      </w:pPr>
      <w:r w:rsidRPr="008F7693">
        <w:rPr>
          <w:rFonts w:eastAsia="Arial"/>
          <w:bCs/>
        </w:rPr>
        <w:tab/>
        <w:t xml:space="preserve">Pagrindinės vertinamosios baigtys buvo BI ir IBLP. Rezultatai pateikti geros, vidutinės, vidutinės-blogos ir blogos prognozės pacientų pogrupyje. </w:t>
      </w:r>
    </w:p>
    <w:p w14:paraId="47223F27" w14:textId="55C650D2" w:rsidR="008F7693" w:rsidRPr="008F7693" w:rsidRDefault="008F7693" w:rsidP="008F7693">
      <w:pPr>
        <w:tabs>
          <w:tab w:val="left" w:pos="284"/>
        </w:tabs>
        <w:spacing w:line="276" w:lineRule="auto"/>
        <w:ind w:left="284"/>
        <w:contextualSpacing/>
        <w:jc w:val="both"/>
        <w:rPr>
          <w:rFonts w:eastAsia="Arial"/>
        </w:rPr>
      </w:pPr>
      <w:r w:rsidRPr="008F7693">
        <w:rPr>
          <w:rFonts w:eastAsia="Arial"/>
          <w:bCs/>
        </w:rPr>
        <w:tab/>
        <w:t xml:space="preserve">Geros prognozės pagal IMDC pacientų pogrupyje lyginant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pembrolizumbo</w:t>
      </w:r>
      <w:proofErr w:type="spellEnd"/>
      <w:r w:rsidRPr="008F7693">
        <w:rPr>
          <w:rFonts w:eastAsia="Arial"/>
          <w:bCs/>
        </w:rPr>
        <w:t xml:space="preserve"> derinį su </w:t>
      </w:r>
      <w:proofErr w:type="spellStart"/>
      <w:r w:rsidRPr="008F7693">
        <w:rPr>
          <w:rFonts w:eastAsia="Arial"/>
          <w:bCs/>
        </w:rPr>
        <w:t>sunitinibu</w:t>
      </w:r>
      <w:proofErr w:type="spellEnd"/>
      <w:r w:rsidRPr="008F7693">
        <w:rPr>
          <w:rFonts w:eastAsia="Arial"/>
          <w:bCs/>
        </w:rPr>
        <w:t xml:space="preserve"> BI reikšmingai nesiskyrė (BI RS 0,94, 95 proc. PI 0,53, 1,68). Vidutinės ir blogos prognozės pacientų pogrupyje taip pat nenustatytas reikšmingas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derinio pranašumas BI atžvilgiu lyginant su </w:t>
      </w:r>
      <w:proofErr w:type="spellStart"/>
      <w:r w:rsidRPr="008F7693">
        <w:rPr>
          <w:rFonts w:eastAsia="Arial"/>
          <w:bCs/>
        </w:rPr>
        <w:t>kabozatinibo</w:t>
      </w:r>
      <w:proofErr w:type="spellEnd"/>
      <w:r w:rsidRPr="008F7693">
        <w:rPr>
          <w:rFonts w:eastAsia="Arial"/>
          <w:bCs/>
        </w:rPr>
        <w:t xml:space="preserve"> </w:t>
      </w:r>
      <w:proofErr w:type="spellStart"/>
      <w:r w:rsidRPr="008F7693">
        <w:rPr>
          <w:rFonts w:eastAsia="Arial"/>
          <w:bCs/>
        </w:rPr>
        <w:t>monoterapija</w:t>
      </w:r>
      <w:proofErr w:type="spellEnd"/>
      <w:r w:rsidRPr="008F7693">
        <w:rPr>
          <w:rFonts w:eastAsia="Arial"/>
          <w:bCs/>
        </w:rPr>
        <w:t xml:space="preserve"> (RS 1,08, 95 proc. PI 0,61, 1,92), nei </w:t>
      </w:r>
      <w:proofErr w:type="spellStart"/>
      <w:r w:rsidRPr="008F7693">
        <w:rPr>
          <w:rFonts w:eastAsia="Arial"/>
          <w:bCs/>
        </w:rPr>
        <w:t>nivolumabo</w:t>
      </w:r>
      <w:proofErr w:type="spellEnd"/>
      <w:r w:rsidRPr="008F7693">
        <w:rPr>
          <w:rFonts w:eastAsia="Arial"/>
          <w:bCs/>
        </w:rPr>
        <w:t xml:space="preserve"> ir </w:t>
      </w:r>
      <w:proofErr w:type="spellStart"/>
      <w:r w:rsidRPr="008F7693">
        <w:rPr>
          <w:rFonts w:eastAsia="Arial"/>
          <w:bCs/>
        </w:rPr>
        <w:t>ipilimumabo</w:t>
      </w:r>
      <w:proofErr w:type="spellEnd"/>
      <w:r w:rsidRPr="008F7693">
        <w:rPr>
          <w:rFonts w:eastAsia="Arial"/>
          <w:bCs/>
        </w:rPr>
        <w:t xml:space="preserve"> deriniu (RS 0,92, 95 proc. PI 0,64, 1,34) (30 pav.).</w:t>
      </w:r>
      <w:r w:rsidRPr="008F7693">
        <w:rPr>
          <w:szCs w:val="20"/>
        </w:rPr>
        <w:t xml:space="preserve"> </w:t>
      </w:r>
      <w:r w:rsidRPr="008F7693">
        <w:rPr>
          <w:rFonts w:eastAsia="Arial"/>
          <w:bCs/>
        </w:rPr>
        <w:t xml:space="preserve">Taip pat nenustatytas BI skirtumas tarp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bei </w:t>
      </w:r>
      <w:proofErr w:type="spellStart"/>
      <w:r w:rsidRPr="008F7693">
        <w:rPr>
          <w:rFonts w:eastAsia="Arial"/>
          <w:bCs/>
        </w:rPr>
        <w:t>nivolumabo</w:t>
      </w:r>
      <w:proofErr w:type="spellEnd"/>
      <w:r w:rsidRPr="008F7693">
        <w:rPr>
          <w:rFonts w:eastAsia="Arial"/>
          <w:bCs/>
        </w:rPr>
        <w:t xml:space="preserve"> ir </w:t>
      </w:r>
      <w:proofErr w:type="spellStart"/>
      <w:r w:rsidRPr="008F7693">
        <w:rPr>
          <w:rFonts w:eastAsia="Arial"/>
          <w:bCs/>
        </w:rPr>
        <w:t>ipilimumabo</w:t>
      </w:r>
      <w:proofErr w:type="spellEnd"/>
      <w:r w:rsidRPr="008F7693">
        <w:rPr>
          <w:rFonts w:eastAsia="Arial"/>
          <w:bCs/>
        </w:rPr>
        <w:t xml:space="preserve"> derinių atskirose vidutinės prognozės (RS 0,87, 95 proc. PI 0,57, 1,33) (31 pav.) bei blogos prognozės (RS 1,23, 95 proc. PI 0,53, 2,83) (32 pav.) pacientų pogrupiuose. Vidutinės rizikos pacientų pogrupyje nebuvo skirtumo tarp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ir </w:t>
      </w:r>
      <w:proofErr w:type="spellStart"/>
      <w:r w:rsidRPr="008F7693">
        <w:rPr>
          <w:rFonts w:eastAsia="Arial"/>
          <w:bCs/>
        </w:rPr>
        <w:t>sunitinibo</w:t>
      </w:r>
      <w:proofErr w:type="spellEnd"/>
      <w:r w:rsidRPr="008F7693">
        <w:rPr>
          <w:rFonts w:eastAsia="Arial"/>
          <w:bCs/>
        </w:rPr>
        <w:t xml:space="preserve"> (RS 0,85, 95 proc. PI 0,60, 1,21).</w:t>
      </w:r>
    </w:p>
    <w:p w14:paraId="07DD923D" w14:textId="77777777" w:rsidR="008F7693" w:rsidRPr="008F7693" w:rsidRDefault="008F7693" w:rsidP="008F7693">
      <w:pPr>
        <w:spacing w:line="276" w:lineRule="auto"/>
        <w:ind w:left="284"/>
        <w:jc w:val="both"/>
        <w:outlineLvl w:val="1"/>
        <w:rPr>
          <w:rFonts w:eastAsia="Arial"/>
          <w:bCs/>
        </w:rPr>
      </w:pPr>
      <w:r w:rsidRPr="008F7693">
        <w:rPr>
          <w:rFonts w:eastAsia="Arial"/>
          <w:bCs/>
        </w:rPr>
        <w:t xml:space="preserve">Geros prognozės pagal IMDC pacientų pogrupyje lyginant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pembrolizumbo</w:t>
      </w:r>
      <w:proofErr w:type="spellEnd"/>
      <w:r w:rsidRPr="008F7693">
        <w:rPr>
          <w:rFonts w:eastAsia="Arial"/>
          <w:bCs/>
        </w:rPr>
        <w:t xml:space="preserve"> derinį su </w:t>
      </w:r>
      <w:proofErr w:type="spellStart"/>
      <w:r w:rsidRPr="008F7693">
        <w:rPr>
          <w:rFonts w:eastAsia="Arial"/>
          <w:bCs/>
        </w:rPr>
        <w:t>sunitinibu</w:t>
      </w:r>
      <w:proofErr w:type="spellEnd"/>
      <w:r w:rsidRPr="008F7693">
        <w:rPr>
          <w:rFonts w:eastAsia="Arial"/>
          <w:bCs/>
        </w:rPr>
        <w:t xml:space="preserve"> IBLP buvo reikšmingai ilgesnis (IBLP RS 0,50, 95 proc. PI 0,33, 0,76). Vidutinės ir blogos prognozės pacientų pogrupyje nustatytas reikšmingas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pranašumas IBLP atžvilgiu lyginant su </w:t>
      </w:r>
      <w:proofErr w:type="spellStart"/>
      <w:r w:rsidRPr="008F7693">
        <w:rPr>
          <w:rFonts w:eastAsia="Arial"/>
          <w:bCs/>
        </w:rPr>
        <w:t>nivolumabo</w:t>
      </w:r>
      <w:proofErr w:type="spellEnd"/>
      <w:r w:rsidRPr="008F7693">
        <w:rPr>
          <w:rFonts w:eastAsia="Arial"/>
          <w:bCs/>
        </w:rPr>
        <w:t xml:space="preserve"> ir </w:t>
      </w:r>
      <w:proofErr w:type="spellStart"/>
      <w:r w:rsidRPr="008F7693">
        <w:rPr>
          <w:rFonts w:eastAsia="Arial"/>
          <w:bCs/>
        </w:rPr>
        <w:t>ipilimumabo</w:t>
      </w:r>
      <w:proofErr w:type="spellEnd"/>
      <w:r w:rsidRPr="008F7693">
        <w:rPr>
          <w:rFonts w:eastAsia="Arial"/>
          <w:bCs/>
        </w:rPr>
        <w:t xml:space="preserve"> deriniu (RS 1,69, 95 proc. PI 1,19, 2,41), tačiau nenustatytas reikšmingas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derinio pranašumas IBLP atžvilgiu lyginant su </w:t>
      </w:r>
      <w:proofErr w:type="spellStart"/>
      <w:r w:rsidRPr="008F7693">
        <w:rPr>
          <w:rFonts w:eastAsia="Arial"/>
          <w:bCs/>
        </w:rPr>
        <w:t>kabozantinibo</w:t>
      </w:r>
      <w:proofErr w:type="spellEnd"/>
      <w:r w:rsidRPr="008F7693">
        <w:rPr>
          <w:rFonts w:eastAsia="Arial"/>
          <w:bCs/>
        </w:rPr>
        <w:t xml:space="preserve"> </w:t>
      </w:r>
      <w:proofErr w:type="spellStart"/>
      <w:r w:rsidRPr="008F7693">
        <w:rPr>
          <w:rFonts w:eastAsia="Arial"/>
          <w:bCs/>
        </w:rPr>
        <w:t>monoterapija</w:t>
      </w:r>
      <w:proofErr w:type="spellEnd"/>
      <w:r w:rsidRPr="008F7693">
        <w:rPr>
          <w:rFonts w:eastAsia="Arial"/>
          <w:bCs/>
        </w:rPr>
        <w:t xml:space="preserve"> (RS 1,12, 95 proc. PI 0,62, 2,02). Taip pat nenustatytas IBLP skirtumas tarp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bei </w:t>
      </w:r>
      <w:proofErr w:type="spellStart"/>
      <w:r w:rsidRPr="008F7693">
        <w:rPr>
          <w:rFonts w:eastAsia="Arial"/>
          <w:bCs/>
        </w:rPr>
        <w:t>kabozantinibo</w:t>
      </w:r>
      <w:proofErr w:type="spellEnd"/>
      <w:r w:rsidRPr="008F7693">
        <w:rPr>
          <w:rFonts w:eastAsia="Arial"/>
          <w:bCs/>
        </w:rPr>
        <w:t xml:space="preserve"> nei vidutinės prognozės pagal IMDC pacientų pogrupyje (RS 1,11, 95 proc. RS 0,57, 2,11) nei blogos prognozės pacientų pogrupyje (RS 0,83, 95 proc. PI 0,19, 3,65). </w:t>
      </w:r>
    </w:p>
    <w:p w14:paraId="5A3FE42F" w14:textId="34177E27" w:rsidR="008F7693" w:rsidRPr="008F7693" w:rsidRDefault="008F7693" w:rsidP="008F7693">
      <w:pPr>
        <w:spacing w:line="276" w:lineRule="auto"/>
        <w:ind w:left="284"/>
        <w:jc w:val="both"/>
        <w:outlineLvl w:val="1"/>
        <w:rPr>
          <w:rFonts w:eastAsia="Arial"/>
          <w:bCs/>
        </w:rPr>
      </w:pPr>
      <w:r w:rsidRPr="008F7693">
        <w:rPr>
          <w:rFonts w:eastAsia="Arial"/>
          <w:bCs/>
        </w:rPr>
        <w:t xml:space="preserve">Apibendrinus netiesioginio palyginimo tinklinės meta-analizės duomenis, nustatyta, jog pateikti bendro išgyvenamumo ir išgyvenamumo be ligos progresavimo duomenys nepagrindžia didesnio </w:t>
      </w:r>
      <w:proofErr w:type="spellStart"/>
      <w:r w:rsidRPr="008F7693">
        <w:rPr>
          <w:rFonts w:eastAsia="Arial"/>
          <w:bCs/>
        </w:rPr>
        <w:t>lenvatinibo</w:t>
      </w:r>
      <w:proofErr w:type="spellEnd"/>
      <w:r w:rsidRPr="008F7693">
        <w:rPr>
          <w:rFonts w:eastAsia="Arial"/>
          <w:bCs/>
        </w:rPr>
        <w:t xml:space="preserve"> ir </w:t>
      </w:r>
      <w:proofErr w:type="spellStart"/>
      <w:r w:rsidRPr="008F7693">
        <w:rPr>
          <w:rFonts w:eastAsia="Arial"/>
          <w:bCs/>
        </w:rPr>
        <w:t>pembrolizumabo</w:t>
      </w:r>
      <w:proofErr w:type="spellEnd"/>
      <w:r w:rsidRPr="008F7693">
        <w:rPr>
          <w:rFonts w:eastAsia="Arial"/>
          <w:bCs/>
        </w:rPr>
        <w:t xml:space="preserve"> pranašumo prieš </w:t>
      </w:r>
      <w:proofErr w:type="spellStart"/>
      <w:r w:rsidRPr="008F7693">
        <w:rPr>
          <w:rFonts w:eastAsia="Arial"/>
          <w:bCs/>
        </w:rPr>
        <w:t>kabozantinibą</w:t>
      </w:r>
      <w:proofErr w:type="spellEnd"/>
      <w:r w:rsidRPr="008F7693">
        <w:rPr>
          <w:rFonts w:eastAsia="Arial"/>
          <w:bCs/>
        </w:rPr>
        <w:t xml:space="preserve"> bei </w:t>
      </w:r>
      <w:proofErr w:type="spellStart"/>
      <w:r w:rsidRPr="008F7693">
        <w:rPr>
          <w:rFonts w:eastAsia="Arial"/>
          <w:bCs/>
        </w:rPr>
        <w:t>nivolumabo</w:t>
      </w:r>
      <w:proofErr w:type="spellEnd"/>
      <w:r w:rsidRPr="008F7693">
        <w:rPr>
          <w:rFonts w:eastAsia="Arial"/>
          <w:bCs/>
        </w:rPr>
        <w:t xml:space="preserve"> ir </w:t>
      </w:r>
      <w:proofErr w:type="spellStart"/>
      <w:r w:rsidRPr="008F7693">
        <w:rPr>
          <w:rFonts w:eastAsia="Arial"/>
          <w:bCs/>
        </w:rPr>
        <w:t>ipilimumabo</w:t>
      </w:r>
      <w:proofErr w:type="spellEnd"/>
      <w:r w:rsidRPr="008F7693">
        <w:rPr>
          <w:rFonts w:eastAsia="Arial"/>
          <w:bCs/>
        </w:rPr>
        <w:t xml:space="preserve"> derinį blogos prognozės pacientams.</w:t>
      </w:r>
    </w:p>
    <w:p w14:paraId="6021B77D" w14:textId="4BDB32F1" w:rsidR="008F7693" w:rsidRPr="008F7693" w:rsidRDefault="008F7693" w:rsidP="003F4057">
      <w:pPr>
        <w:spacing w:line="276" w:lineRule="auto"/>
        <w:ind w:left="284" w:right="10" w:firstLine="436"/>
        <w:jc w:val="both"/>
        <w:outlineLvl w:val="0"/>
        <w:rPr>
          <w:iCs/>
        </w:rPr>
      </w:pPr>
      <w:r w:rsidRPr="008F7693">
        <w:rPr>
          <w:rFonts w:eastAsia="Arial"/>
          <w:szCs w:val="20"/>
        </w:rPr>
        <w:t xml:space="preserve">Atlikus detalų klinikinį vertinimą, nustatyta, jog </w:t>
      </w:r>
      <w:proofErr w:type="spellStart"/>
      <w:r w:rsidRPr="008F7693">
        <w:rPr>
          <w:rFonts w:eastAsia="Arial"/>
          <w:szCs w:val="20"/>
        </w:rPr>
        <w:t>lenvatinibo</w:t>
      </w:r>
      <w:proofErr w:type="spellEnd"/>
      <w:r w:rsidRPr="008F7693">
        <w:rPr>
          <w:rFonts w:eastAsia="Arial"/>
          <w:szCs w:val="20"/>
        </w:rPr>
        <w:t xml:space="preserve"> ir </w:t>
      </w:r>
      <w:proofErr w:type="spellStart"/>
      <w:r w:rsidRPr="008F7693">
        <w:rPr>
          <w:rFonts w:eastAsia="Arial"/>
          <w:szCs w:val="20"/>
        </w:rPr>
        <w:t>pembrolizumabo</w:t>
      </w:r>
      <w:proofErr w:type="spellEnd"/>
      <w:r w:rsidRPr="008F7693">
        <w:rPr>
          <w:rFonts w:eastAsia="Arial"/>
          <w:szCs w:val="20"/>
        </w:rPr>
        <w:t xml:space="preserve"> derinys geros prognozės pacientų pogrupyje sukuria nesiskiriančią naudą pacientų sveikatai lyginant su </w:t>
      </w:r>
      <w:proofErr w:type="spellStart"/>
      <w:r w:rsidRPr="008F7693">
        <w:rPr>
          <w:rFonts w:eastAsia="Arial"/>
          <w:szCs w:val="20"/>
        </w:rPr>
        <w:t>sunitinibu</w:t>
      </w:r>
      <w:proofErr w:type="spellEnd"/>
      <w:r w:rsidRPr="008F7693">
        <w:rPr>
          <w:rFonts w:eastAsia="Arial"/>
          <w:szCs w:val="20"/>
        </w:rPr>
        <w:t xml:space="preserve"> (remiantis klinikiniu tyrimu KEYNOTE-581), o blogos prognozės pacientų pogrupyje - nesiskiriančią naudą pacientų sveikatai lyginant su </w:t>
      </w:r>
      <w:proofErr w:type="spellStart"/>
      <w:r w:rsidRPr="008F7693">
        <w:rPr>
          <w:rFonts w:eastAsia="Arial"/>
          <w:szCs w:val="20"/>
        </w:rPr>
        <w:t>kabozantinibu</w:t>
      </w:r>
      <w:proofErr w:type="spellEnd"/>
      <w:r w:rsidRPr="008F7693">
        <w:rPr>
          <w:rFonts w:eastAsia="Arial"/>
          <w:szCs w:val="20"/>
        </w:rPr>
        <w:t xml:space="preserve"> bei </w:t>
      </w:r>
      <w:proofErr w:type="spellStart"/>
      <w:r w:rsidRPr="008F7693">
        <w:rPr>
          <w:rFonts w:eastAsia="Arial"/>
          <w:szCs w:val="20"/>
        </w:rPr>
        <w:t>nivolumabo</w:t>
      </w:r>
      <w:proofErr w:type="spellEnd"/>
      <w:r w:rsidRPr="008F7693">
        <w:rPr>
          <w:rFonts w:eastAsia="Arial"/>
          <w:szCs w:val="20"/>
        </w:rPr>
        <w:t xml:space="preserve"> ir </w:t>
      </w:r>
      <w:proofErr w:type="spellStart"/>
      <w:r w:rsidRPr="008F7693">
        <w:rPr>
          <w:rFonts w:eastAsia="Arial"/>
          <w:szCs w:val="20"/>
        </w:rPr>
        <w:t>ipilimumabo</w:t>
      </w:r>
      <w:proofErr w:type="spellEnd"/>
      <w:r w:rsidRPr="008F7693">
        <w:rPr>
          <w:rFonts w:eastAsia="Arial"/>
          <w:szCs w:val="20"/>
        </w:rPr>
        <w:t xml:space="preserve"> deriniu (remiantis netiesioginio palyginimo tinkline meta-analize). </w:t>
      </w:r>
      <w:r w:rsidRPr="008F7693">
        <w:rPr>
          <w:iCs/>
        </w:rPr>
        <w:t xml:space="preserve">Pareiškėjas pateikė atsakymus dėl atlikto sveikatos technologijos klinikinio vertinimo. Pareiškėjas nesutiko su teiginiu, kad geros prognozės pacientų pogrupyje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palyginamasis veiksmingumas nesiskiria nuo </w:t>
      </w:r>
      <w:proofErr w:type="spellStart"/>
      <w:r w:rsidRPr="008F7693">
        <w:rPr>
          <w:iCs/>
        </w:rPr>
        <w:t>sunitinibo</w:t>
      </w:r>
      <w:proofErr w:type="spellEnd"/>
      <w:r w:rsidRPr="008F7693">
        <w:rPr>
          <w:iCs/>
        </w:rPr>
        <w:t xml:space="preserve">, ir pateikė papildomus argumentus dėl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pranašumo gydant geros prognozės pacientus. Pareiškėjo argumentai grindžiami klinikinio tyrimo CLEAR bendro išgyvenamumo analize (R.J. </w:t>
      </w:r>
      <w:proofErr w:type="spellStart"/>
      <w:r w:rsidRPr="008F7693">
        <w:rPr>
          <w:iCs/>
        </w:rPr>
        <w:t>Motzer</w:t>
      </w:r>
      <w:proofErr w:type="spellEnd"/>
      <w:r w:rsidRPr="008F7693">
        <w:rPr>
          <w:iCs/>
        </w:rPr>
        <w:t xml:space="preserve"> et al, 2024). Pažymėtina, kad ši analizė yra paraiškos dalis ir papildomai nesuteikė naujos informacijos apie palyginamąjį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veiksmingumą. Pateikti argumentai apie nustatyta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„geresnę santykinę riziką“ (SR</w:t>
      </w:r>
      <w:r w:rsidRPr="008F7693">
        <w:rPr>
          <w:iCs/>
          <w:lang w:val="en-US"/>
        </w:rPr>
        <w:t xml:space="preserve">= </w:t>
      </w:r>
      <w:r w:rsidRPr="008F7693">
        <w:rPr>
          <w:iCs/>
        </w:rPr>
        <w:t>0,79 (95% CI: 0,63 – 0,99; P= 0,0424) yra nustatyta bendroje pacientų populiacijoje (angl. ITT) ir neatspindi R</w:t>
      </w:r>
      <w:r w:rsidR="00B61F8F" w:rsidRPr="008F7693">
        <w:rPr>
          <w:iCs/>
        </w:rPr>
        <w:t>S</w:t>
      </w:r>
      <w:r w:rsidRPr="008F7693">
        <w:rPr>
          <w:iCs/>
        </w:rPr>
        <w:t xml:space="preserve"> iš anksto numatytuose pacientų pogrupiuose pagal ligos prognozę: gerą, vidutinę ir blogą. Atkreiptinas dėmėsis, kad palyginamasis gydymas – </w:t>
      </w:r>
      <w:proofErr w:type="spellStart"/>
      <w:r w:rsidRPr="008F7693">
        <w:rPr>
          <w:iCs/>
        </w:rPr>
        <w:t>monoterapija</w:t>
      </w:r>
      <w:proofErr w:type="spellEnd"/>
      <w:r w:rsidRPr="008F7693">
        <w:rPr>
          <w:iCs/>
        </w:rPr>
        <w:t xml:space="preserve"> </w:t>
      </w:r>
      <w:proofErr w:type="spellStart"/>
      <w:r w:rsidRPr="008F7693">
        <w:rPr>
          <w:iCs/>
        </w:rPr>
        <w:t>s</w:t>
      </w:r>
      <w:r w:rsidR="00670843">
        <w:rPr>
          <w:iCs/>
        </w:rPr>
        <w:t>u</w:t>
      </w:r>
      <w:r w:rsidRPr="008F7693">
        <w:rPr>
          <w:iCs/>
        </w:rPr>
        <w:t>nitinibu</w:t>
      </w:r>
      <w:proofErr w:type="spellEnd"/>
      <w:r w:rsidRPr="008F7693">
        <w:rPr>
          <w:iCs/>
        </w:rPr>
        <w:t xml:space="preserve"> – yra įprasta klinikinė praktika Lietuvoje tik geros prognozės pacientų populiacijoje, tačiau prieš tai negydytiems suaugusiesiems vidutinės ir blogos prognozės pacientams, sergantiems išplitusia inkstų ląstelių karcinoma, taikomas kitas gydymas: </w:t>
      </w:r>
      <w:proofErr w:type="spellStart"/>
      <w:r w:rsidRPr="008F7693">
        <w:rPr>
          <w:iCs/>
        </w:rPr>
        <w:t>kabozantinibas</w:t>
      </w:r>
      <w:proofErr w:type="spellEnd"/>
      <w:r w:rsidRPr="008F7693">
        <w:rPr>
          <w:iCs/>
        </w:rPr>
        <w:t xml:space="preserve"> arba </w:t>
      </w:r>
      <w:proofErr w:type="spellStart"/>
      <w:r w:rsidRPr="008F7693">
        <w:rPr>
          <w:iCs/>
        </w:rPr>
        <w:t>nivalumabas</w:t>
      </w:r>
      <w:proofErr w:type="spellEnd"/>
      <w:r w:rsidRPr="008F7693">
        <w:rPr>
          <w:iCs/>
        </w:rPr>
        <w:t xml:space="preserve"> kartu su </w:t>
      </w:r>
      <w:proofErr w:type="spellStart"/>
      <w:r w:rsidRPr="008F7693">
        <w:rPr>
          <w:iCs/>
        </w:rPr>
        <w:t>ipilimumabu</w:t>
      </w:r>
      <w:proofErr w:type="spellEnd"/>
      <w:r w:rsidRPr="008F7693">
        <w:rPr>
          <w:iCs/>
        </w:rPr>
        <w:t xml:space="preserve">. Galutinė BI analizė geros prognozės pacientų pogrupyje parodė, kad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veiksmingumas nesiskiria nuo </w:t>
      </w:r>
      <w:proofErr w:type="spellStart"/>
      <w:r w:rsidRPr="008F7693">
        <w:rPr>
          <w:iCs/>
        </w:rPr>
        <w:t>s</w:t>
      </w:r>
      <w:r w:rsidR="00670843">
        <w:rPr>
          <w:iCs/>
        </w:rPr>
        <w:t>u</w:t>
      </w:r>
      <w:r w:rsidRPr="008F7693">
        <w:rPr>
          <w:iCs/>
        </w:rPr>
        <w:t>nitinibo</w:t>
      </w:r>
      <w:proofErr w:type="spellEnd"/>
      <w:r w:rsidRPr="008F7693">
        <w:rPr>
          <w:iCs/>
        </w:rPr>
        <w:t xml:space="preserve"> </w:t>
      </w:r>
      <w:proofErr w:type="spellStart"/>
      <w:r w:rsidRPr="008F7693">
        <w:rPr>
          <w:iCs/>
        </w:rPr>
        <w:t>monoterapijos</w:t>
      </w:r>
      <w:proofErr w:type="spellEnd"/>
      <w:r w:rsidRPr="008F7693">
        <w:rPr>
          <w:iCs/>
        </w:rPr>
        <w:t xml:space="preserve"> veiksmingumą (šio protokolo pav. 14). Pažymėtina, kad palyginamųjų grupių BI kreivės susikerta du kartus per stebėjimo laikotarpį, </w:t>
      </w:r>
      <w:r w:rsidRPr="008F7693">
        <w:rPr>
          <w:rFonts w:eastAsia="Calibri"/>
          <w:iCs/>
        </w:rPr>
        <w:t xml:space="preserve">tai rodo, kad santykinis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w:t>
      </w:r>
      <w:r w:rsidRPr="008F7693">
        <w:rPr>
          <w:rFonts w:eastAsia="Calibri"/>
          <w:iCs/>
        </w:rPr>
        <w:t xml:space="preserve"> pranašumas nėra pastovus.</w:t>
      </w:r>
      <w:r w:rsidRPr="008F7693">
        <w:rPr>
          <w:iCs/>
        </w:rPr>
        <w:t xml:space="preserve"> Iš esmės tai gali rodyti</w:t>
      </w:r>
      <w:r w:rsidRPr="008F7693">
        <w:rPr>
          <w:rFonts w:eastAsia="Calibri"/>
          <w:iCs/>
        </w:rPr>
        <w:t xml:space="preserve">, kad ilgalaikė gydymo nauda </w:t>
      </w:r>
      <w:r w:rsidRPr="008F7693">
        <w:rPr>
          <w:iCs/>
        </w:rPr>
        <w:t xml:space="preserve">gali būti abejotina, ir turbūt yra tik </w:t>
      </w:r>
      <w:r w:rsidRPr="008F7693">
        <w:rPr>
          <w:rFonts w:eastAsia="Calibri"/>
          <w:iCs/>
        </w:rPr>
        <w:t>trumpalaikio poveikio</w:t>
      </w:r>
      <w:r w:rsidR="00B61F8F">
        <w:rPr>
          <w:rFonts w:eastAsia="Calibri"/>
          <w:iCs/>
        </w:rPr>
        <w:t xml:space="preserve">, </w:t>
      </w:r>
      <w:proofErr w:type="spellStart"/>
      <w:r w:rsidR="00B61F8F">
        <w:rPr>
          <w:rFonts w:eastAsia="Calibri"/>
          <w:iCs/>
        </w:rPr>
        <w:t>t.y</w:t>
      </w:r>
      <w:proofErr w:type="spellEnd"/>
      <w:r w:rsidR="00B61F8F">
        <w:rPr>
          <w:rFonts w:eastAsia="Calibri"/>
          <w:iCs/>
        </w:rPr>
        <w:t>. tik gydymo pradžioje</w:t>
      </w:r>
      <w:r w:rsidRPr="008F7693">
        <w:rPr>
          <w:rFonts w:eastAsia="Calibri"/>
          <w:iCs/>
        </w:rPr>
        <w:t>.</w:t>
      </w:r>
      <w:r w:rsidRPr="008F7693">
        <w:rPr>
          <w:iCs/>
        </w:rPr>
        <w:t xml:space="preserve"> Palyginimui, palyginamasis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w:t>
      </w:r>
      <w:r w:rsidRPr="008F7693">
        <w:rPr>
          <w:rFonts w:eastAsia="Calibri"/>
          <w:iCs/>
        </w:rPr>
        <w:t xml:space="preserve"> </w:t>
      </w:r>
      <w:r w:rsidRPr="008F7693">
        <w:rPr>
          <w:iCs/>
        </w:rPr>
        <w:t xml:space="preserve">pranašumas prieš </w:t>
      </w:r>
      <w:proofErr w:type="spellStart"/>
      <w:r w:rsidRPr="008F7693">
        <w:rPr>
          <w:iCs/>
        </w:rPr>
        <w:t>s</w:t>
      </w:r>
      <w:r w:rsidR="00670843">
        <w:rPr>
          <w:iCs/>
        </w:rPr>
        <w:t>u</w:t>
      </w:r>
      <w:r w:rsidRPr="008F7693">
        <w:rPr>
          <w:iCs/>
        </w:rPr>
        <w:t>nitinibą</w:t>
      </w:r>
      <w:proofErr w:type="spellEnd"/>
      <w:r w:rsidRPr="008F7693">
        <w:rPr>
          <w:iCs/>
        </w:rPr>
        <w:t xml:space="preserve"> yra akivaizdus gydant vidutinio ir blogos prognozės </w:t>
      </w:r>
      <w:r w:rsidR="00B61F8F" w:rsidRPr="008F7693">
        <w:rPr>
          <w:iCs/>
        </w:rPr>
        <w:t>pacientus</w:t>
      </w:r>
      <w:r w:rsidRPr="008F7693">
        <w:rPr>
          <w:iCs/>
        </w:rPr>
        <w:t xml:space="preserve">. Pareiškėjas toliau argumentuoja, kad pacientų gydytų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derinio išgyvenamumo be ligos progresavimo (mediana (23,9 mėn. [95% CI, 20.8 - 27.7]) yra 14,7 mėn. ilgesnė nei pacientų gydytų </w:t>
      </w:r>
      <w:proofErr w:type="spellStart"/>
      <w:r w:rsidRPr="008F7693">
        <w:rPr>
          <w:iCs/>
        </w:rPr>
        <w:t>sunitinibu</w:t>
      </w:r>
      <w:proofErr w:type="spellEnd"/>
      <w:r w:rsidRPr="008F7693">
        <w:rPr>
          <w:iCs/>
        </w:rPr>
        <w:t xml:space="preserve"> (9,2 mėn. [95% CI, 6.0 - 11.0]). Pareiškėjo teigimu, inkstų ląstelių karcinomos atvejais, kai išgyvenamumas po ligos progresavimo viršija 12 mėnesių, nauda BI yra iškreipiama vėlesnių gydymo. Tarnyba neaišku, kodėl ši prielaida turi būti taikoma geros prognozės pacientams, ir kaip šiuo atveju vertinti BI ir IBLP rezultatus vidutinės ir blogos prognozės pacientų pogrupyje, kuriame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w:t>
      </w:r>
      <w:r w:rsidRPr="008F7693">
        <w:rPr>
          <w:rFonts w:eastAsia="Calibri"/>
          <w:iCs/>
        </w:rPr>
        <w:t xml:space="preserve"> </w:t>
      </w:r>
      <w:r w:rsidRPr="008F7693">
        <w:rPr>
          <w:iCs/>
        </w:rPr>
        <w:t xml:space="preserve">pranašumas vertinant IBLP rezultatus atspindėjo BI rezultatuose. Pažymėtina, kad vidutinės ir blogos prognozės pacientų grupėje BI kreivės išskyrė gydymo pradžioje ir skirtumas (12-15 proc.) išsilakė iki 36 gydymo mėnesių. </w:t>
      </w:r>
    </w:p>
    <w:p w14:paraId="08891D24" w14:textId="0F8C5790" w:rsidR="008F7693" w:rsidRPr="008F7693" w:rsidRDefault="008F7693" w:rsidP="008F7693">
      <w:pPr>
        <w:spacing w:line="276" w:lineRule="auto"/>
        <w:ind w:left="284" w:right="10"/>
        <w:jc w:val="both"/>
        <w:outlineLvl w:val="0"/>
        <w:rPr>
          <w:iCs/>
        </w:rPr>
      </w:pPr>
      <w:r w:rsidRPr="008F7693">
        <w:rPr>
          <w:iCs/>
        </w:rPr>
        <w:t xml:space="preserve">Vertinant pacientų populiacija – pacientai, sergantys išplitusia inkstų ląstelių karcinoma – BI rezultatai laikomi esminiais palyginamojo veiksmingumo pranašumui įrodyti. Apibendrinant tiesioginio palyginimo rezultatus geros prognozės pacientų pogrupyje, </w:t>
      </w:r>
      <w:proofErr w:type="spellStart"/>
      <w:r w:rsidRPr="008F7693">
        <w:rPr>
          <w:iCs/>
        </w:rPr>
        <w:t>pembrolizumabo</w:t>
      </w:r>
      <w:proofErr w:type="spellEnd"/>
      <w:r w:rsidRPr="008F7693">
        <w:rPr>
          <w:iCs/>
        </w:rPr>
        <w:t xml:space="preserve"> ir </w:t>
      </w:r>
      <w:proofErr w:type="spellStart"/>
      <w:r w:rsidRPr="008F7693">
        <w:rPr>
          <w:iCs/>
        </w:rPr>
        <w:t>lenvatinibo</w:t>
      </w:r>
      <w:proofErr w:type="spellEnd"/>
      <w:r w:rsidRPr="008F7693">
        <w:rPr>
          <w:iCs/>
        </w:rPr>
        <w:t xml:space="preserve"> </w:t>
      </w:r>
      <w:r w:rsidRPr="008F7693">
        <w:rPr>
          <w:rFonts w:eastAsia="Calibri"/>
          <w:iCs/>
        </w:rPr>
        <w:t xml:space="preserve"> </w:t>
      </w:r>
      <w:r w:rsidRPr="008F7693">
        <w:rPr>
          <w:iCs/>
        </w:rPr>
        <w:t xml:space="preserve">pranašumas prieš </w:t>
      </w:r>
      <w:proofErr w:type="spellStart"/>
      <w:r w:rsidRPr="008F7693">
        <w:rPr>
          <w:iCs/>
        </w:rPr>
        <w:t>s</w:t>
      </w:r>
      <w:r w:rsidR="00206AA6">
        <w:rPr>
          <w:iCs/>
        </w:rPr>
        <w:t>u</w:t>
      </w:r>
      <w:r w:rsidRPr="008F7693">
        <w:rPr>
          <w:iCs/>
        </w:rPr>
        <w:t>nitinibą</w:t>
      </w:r>
      <w:proofErr w:type="spellEnd"/>
      <w:r w:rsidRPr="008F7693">
        <w:rPr>
          <w:iCs/>
        </w:rPr>
        <w:t xml:space="preserve"> neįrodytas.  </w:t>
      </w:r>
    </w:p>
    <w:p w14:paraId="0F2FA2AE" w14:textId="25F7D45E" w:rsidR="008F7693" w:rsidRPr="008F7693" w:rsidRDefault="008F7693" w:rsidP="008F7693">
      <w:pPr>
        <w:spacing w:line="276" w:lineRule="auto"/>
        <w:ind w:left="284" w:right="10"/>
        <w:jc w:val="both"/>
        <w:outlineLvl w:val="0"/>
        <w:rPr>
          <w:iCs/>
        </w:rPr>
      </w:pPr>
      <w:r w:rsidRPr="008F7693">
        <w:rPr>
          <w:iCs/>
        </w:rPr>
        <w:t xml:space="preserve">Pareiškėjas sutinka, kad gydant vidutinės ir blogos prognozės pacientus </w:t>
      </w:r>
      <w:proofErr w:type="spellStart"/>
      <w:r w:rsidRPr="008F7693">
        <w:rPr>
          <w:i/>
          <w:iCs/>
        </w:rPr>
        <w:t>pembrolizumabo</w:t>
      </w:r>
      <w:proofErr w:type="spellEnd"/>
      <w:r w:rsidRPr="008F7693">
        <w:rPr>
          <w:i/>
          <w:iCs/>
        </w:rPr>
        <w:t xml:space="preserve"> </w:t>
      </w:r>
      <w:r w:rsidRPr="008F7693">
        <w:rPr>
          <w:iCs/>
        </w:rPr>
        <w:t xml:space="preserve">ir </w:t>
      </w:r>
      <w:proofErr w:type="spellStart"/>
      <w:r w:rsidRPr="008F7693">
        <w:rPr>
          <w:i/>
          <w:iCs/>
        </w:rPr>
        <w:t>lenvatinibo</w:t>
      </w:r>
      <w:proofErr w:type="spellEnd"/>
      <w:r w:rsidRPr="008F7693">
        <w:rPr>
          <w:i/>
          <w:iCs/>
        </w:rPr>
        <w:t xml:space="preserve"> </w:t>
      </w:r>
      <w:r w:rsidRPr="008F7693">
        <w:rPr>
          <w:iCs/>
        </w:rPr>
        <w:t xml:space="preserve">derinys iš esmės nesiskiria nuo </w:t>
      </w:r>
      <w:proofErr w:type="spellStart"/>
      <w:r w:rsidRPr="008F7693">
        <w:rPr>
          <w:i/>
          <w:iCs/>
        </w:rPr>
        <w:t>ipilimumabo</w:t>
      </w:r>
      <w:proofErr w:type="spellEnd"/>
      <w:r w:rsidRPr="008F7693">
        <w:rPr>
          <w:i/>
          <w:iCs/>
        </w:rPr>
        <w:t>/</w:t>
      </w:r>
      <w:proofErr w:type="spellStart"/>
      <w:r w:rsidRPr="008F7693">
        <w:rPr>
          <w:i/>
          <w:iCs/>
        </w:rPr>
        <w:t>nivolumabo</w:t>
      </w:r>
      <w:proofErr w:type="spellEnd"/>
      <w:r w:rsidRPr="008F7693">
        <w:rPr>
          <w:i/>
          <w:iCs/>
        </w:rPr>
        <w:t xml:space="preserve"> </w:t>
      </w:r>
      <w:r w:rsidRPr="008F7693">
        <w:rPr>
          <w:iCs/>
        </w:rPr>
        <w:t xml:space="preserve">derinio ir </w:t>
      </w:r>
      <w:proofErr w:type="spellStart"/>
      <w:r w:rsidRPr="008F7693">
        <w:rPr>
          <w:i/>
          <w:iCs/>
        </w:rPr>
        <w:t>kabozantinibo</w:t>
      </w:r>
      <w:proofErr w:type="spellEnd"/>
      <w:r w:rsidRPr="008F7693">
        <w:rPr>
          <w:iCs/>
        </w:rPr>
        <w:t xml:space="preserve">. Tarnyba mano, kad klausimas dėl nesiskiriančios </w:t>
      </w:r>
      <w:proofErr w:type="spellStart"/>
      <w:r w:rsidRPr="008F7693">
        <w:rPr>
          <w:i/>
          <w:iCs/>
        </w:rPr>
        <w:t>pembrolizumabo</w:t>
      </w:r>
      <w:proofErr w:type="spellEnd"/>
      <w:r w:rsidRPr="008F7693">
        <w:rPr>
          <w:i/>
          <w:iCs/>
        </w:rPr>
        <w:t xml:space="preserve"> </w:t>
      </w:r>
      <w:r w:rsidRPr="008F7693">
        <w:rPr>
          <w:iCs/>
        </w:rPr>
        <w:t xml:space="preserve">ir </w:t>
      </w:r>
      <w:proofErr w:type="spellStart"/>
      <w:r w:rsidRPr="008F7693">
        <w:rPr>
          <w:i/>
          <w:iCs/>
        </w:rPr>
        <w:t>lenvatinibo</w:t>
      </w:r>
      <w:proofErr w:type="spellEnd"/>
      <w:r w:rsidRPr="008F7693">
        <w:rPr>
          <w:i/>
          <w:iCs/>
        </w:rPr>
        <w:t xml:space="preserve"> </w:t>
      </w:r>
      <w:r w:rsidRPr="008F7693">
        <w:rPr>
          <w:iCs/>
        </w:rPr>
        <w:t xml:space="preserve">derinio naudos palyginus su  </w:t>
      </w:r>
      <w:proofErr w:type="spellStart"/>
      <w:r w:rsidRPr="008F7693">
        <w:rPr>
          <w:i/>
          <w:iCs/>
        </w:rPr>
        <w:t>ipilimumabo</w:t>
      </w:r>
      <w:proofErr w:type="spellEnd"/>
      <w:r w:rsidRPr="008F7693">
        <w:rPr>
          <w:i/>
          <w:iCs/>
        </w:rPr>
        <w:t>/</w:t>
      </w:r>
      <w:proofErr w:type="spellStart"/>
      <w:r w:rsidRPr="008F7693">
        <w:rPr>
          <w:i/>
          <w:iCs/>
        </w:rPr>
        <w:t>nivolumabo</w:t>
      </w:r>
      <w:proofErr w:type="spellEnd"/>
      <w:r w:rsidRPr="008F7693">
        <w:rPr>
          <w:i/>
          <w:iCs/>
        </w:rPr>
        <w:t xml:space="preserve"> </w:t>
      </w:r>
      <w:r w:rsidRPr="008F7693">
        <w:rPr>
          <w:iCs/>
        </w:rPr>
        <w:t xml:space="preserve">deriniu ir </w:t>
      </w:r>
      <w:proofErr w:type="spellStart"/>
      <w:r w:rsidRPr="008F7693">
        <w:rPr>
          <w:i/>
          <w:iCs/>
        </w:rPr>
        <w:t>kabozantinibu</w:t>
      </w:r>
      <w:proofErr w:type="spellEnd"/>
      <w:r w:rsidRPr="008F7693">
        <w:rPr>
          <w:i/>
          <w:iCs/>
        </w:rPr>
        <w:t xml:space="preserve"> </w:t>
      </w:r>
      <w:r w:rsidRPr="008F7693">
        <w:t>yra</w:t>
      </w:r>
      <w:r w:rsidRPr="008F7693">
        <w:rPr>
          <w:iCs/>
        </w:rPr>
        <w:t xml:space="preserve"> išspręstas.</w:t>
      </w:r>
      <w:r w:rsidR="00744FC9">
        <w:rPr>
          <w:iCs/>
        </w:rPr>
        <w:t xml:space="preserve"> Atsižvelgiant į pateiktus paraiškoje duomenis bei klinikinio vertinimo išvada, </w:t>
      </w:r>
      <w:proofErr w:type="spellStart"/>
      <w:r w:rsidR="00744FC9" w:rsidRPr="008F7693">
        <w:rPr>
          <w:i/>
          <w:iCs/>
        </w:rPr>
        <w:t>pembrolizumabo</w:t>
      </w:r>
      <w:proofErr w:type="spellEnd"/>
      <w:r w:rsidR="00744FC9" w:rsidRPr="008F7693">
        <w:rPr>
          <w:i/>
          <w:iCs/>
        </w:rPr>
        <w:t xml:space="preserve"> </w:t>
      </w:r>
      <w:r w:rsidR="00744FC9" w:rsidRPr="008F7693">
        <w:rPr>
          <w:iCs/>
        </w:rPr>
        <w:t xml:space="preserve">ir </w:t>
      </w:r>
      <w:proofErr w:type="spellStart"/>
      <w:r w:rsidR="00744FC9" w:rsidRPr="008F7693">
        <w:rPr>
          <w:i/>
          <w:iCs/>
        </w:rPr>
        <w:t>lenvatinibo</w:t>
      </w:r>
      <w:proofErr w:type="spellEnd"/>
      <w:r w:rsidR="00744FC9" w:rsidRPr="008F7693">
        <w:rPr>
          <w:i/>
          <w:iCs/>
        </w:rPr>
        <w:t xml:space="preserve"> </w:t>
      </w:r>
      <w:r w:rsidR="00744FC9" w:rsidRPr="008F7693">
        <w:rPr>
          <w:iCs/>
        </w:rPr>
        <w:t>derinys</w:t>
      </w:r>
      <w:r w:rsidR="00744FC9">
        <w:rPr>
          <w:iCs/>
        </w:rPr>
        <w:t xml:space="preserve"> gali būti siūlomas kompensuoti </w:t>
      </w:r>
      <w:r w:rsidR="00744FC9" w:rsidRPr="008F7693">
        <w:rPr>
          <w:iCs/>
        </w:rPr>
        <w:t>vidutinės ir blogos prognozės pacient</w:t>
      </w:r>
      <w:r w:rsidR="00744FC9">
        <w:rPr>
          <w:iCs/>
        </w:rPr>
        <w:t>ų gydymui.</w:t>
      </w:r>
    </w:p>
    <w:p w14:paraId="01400E9E" w14:textId="77777777" w:rsidR="00146480" w:rsidRPr="00146480" w:rsidRDefault="00146480" w:rsidP="008F7693">
      <w:pPr>
        <w:pStyle w:val="Sraopastraipa"/>
        <w:tabs>
          <w:tab w:val="left" w:pos="0"/>
        </w:tabs>
        <w:ind w:left="0" w:right="425"/>
        <w:rPr>
          <w:caps/>
        </w:rPr>
      </w:pPr>
    </w:p>
    <w:p w14:paraId="16519506" w14:textId="77777777" w:rsidR="00146480" w:rsidRPr="00E33EFF" w:rsidRDefault="00146480"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273A83CC" w:rsidR="00C62B36" w:rsidRDefault="00C62B36" w:rsidP="00A93AA6">
      <w:pPr>
        <w:tabs>
          <w:tab w:val="left" w:pos="426"/>
        </w:tabs>
        <w:rPr>
          <w:i/>
          <w:color w:val="00B050"/>
          <w:sz w:val="22"/>
          <w:szCs w:val="22"/>
        </w:rPr>
      </w:pPr>
    </w:p>
    <w:p w14:paraId="048671B1" w14:textId="77777777" w:rsidR="005B023D" w:rsidRDefault="005B023D" w:rsidP="005B023D">
      <w:pPr>
        <w:spacing w:line="276" w:lineRule="auto"/>
        <w:ind w:firstLine="360"/>
        <w:jc w:val="both"/>
      </w:pPr>
      <w:r>
        <w:t xml:space="preserve">Atsižvelgiant į tai, kad detalaus klinikinio vertinimo metu nustatyta, kad </w:t>
      </w:r>
      <w:r w:rsidRPr="000649CE">
        <w:t>siūlomo kompensuoti vaistinio preparato</w:t>
      </w:r>
      <w:r>
        <w:t xml:space="preserve"> </w:t>
      </w:r>
      <w:proofErr w:type="spellStart"/>
      <w:r w:rsidRPr="00A70970">
        <w:rPr>
          <w:i/>
        </w:rPr>
        <w:t>Keytruda</w:t>
      </w:r>
      <w:proofErr w:type="spellEnd"/>
      <w:r w:rsidRPr="00A70970">
        <w:rPr>
          <w:i/>
        </w:rPr>
        <w:t xml:space="preserve">, </w:t>
      </w:r>
      <w:r w:rsidRPr="00A70970">
        <w:rPr>
          <w:bCs/>
          <w:i/>
        </w:rPr>
        <w:t>koncentratas infuziniam tirpalui</w:t>
      </w:r>
      <w:r w:rsidRPr="000649CE">
        <w:t xml:space="preserve"> palyginamasis veiksmingumas yra įvertintas kaip iš esmės nesiskiriantis lyginant su įprasta klinikine praktika</w:t>
      </w:r>
      <w:r>
        <w:t xml:space="preserve"> (</w:t>
      </w:r>
      <w:proofErr w:type="spellStart"/>
      <w:r w:rsidRPr="00A70970">
        <w:rPr>
          <w:i/>
        </w:rPr>
        <w:t>kabozantinibas</w:t>
      </w:r>
      <w:proofErr w:type="spellEnd"/>
      <w:r w:rsidRPr="00A70970">
        <w:rPr>
          <w:i/>
        </w:rPr>
        <w:t xml:space="preserve"> bei </w:t>
      </w:r>
      <w:proofErr w:type="spellStart"/>
      <w:r w:rsidRPr="00A70970">
        <w:rPr>
          <w:i/>
        </w:rPr>
        <w:t>nivolumabo</w:t>
      </w:r>
      <w:proofErr w:type="spellEnd"/>
      <w:r w:rsidRPr="00A70970">
        <w:rPr>
          <w:i/>
        </w:rPr>
        <w:t xml:space="preserve"> ir </w:t>
      </w:r>
      <w:proofErr w:type="spellStart"/>
      <w:r w:rsidRPr="00A70970">
        <w:rPr>
          <w:i/>
        </w:rPr>
        <w:t>ipilimumabo</w:t>
      </w:r>
      <w:proofErr w:type="spellEnd"/>
      <w:r w:rsidRPr="00A70970">
        <w:rPr>
          <w:i/>
        </w:rPr>
        <w:t xml:space="preserve"> derinys</w:t>
      </w:r>
      <w:r>
        <w:t xml:space="preserve">) </w:t>
      </w:r>
      <w:r>
        <w:rPr>
          <w:bCs/>
        </w:rPr>
        <w:t>ir v</w:t>
      </w:r>
      <w:r w:rsidRPr="002A024D">
        <w:t xml:space="preserve">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w:t>
      </w:r>
      <w:r>
        <w:rPr>
          <w:color w:val="000000"/>
        </w:rPr>
        <w:t>5</w:t>
      </w:r>
      <w:r>
        <w:rPr>
          <w:color w:val="000000"/>
          <w:vertAlign w:val="superscript"/>
        </w:rPr>
        <w:t xml:space="preserve">2 </w:t>
      </w:r>
      <w:r w:rsidRPr="003A4E29">
        <w:rPr>
          <w:color w:val="000000"/>
        </w:rPr>
        <w:t xml:space="preserve">ir </w:t>
      </w:r>
      <w:r w:rsidRPr="00DC2292">
        <w:t>17</w:t>
      </w:r>
      <w:r w:rsidRPr="00DC2292">
        <w:rPr>
          <w:vertAlign w:val="superscript"/>
        </w:rPr>
        <w:t>3</w:t>
      </w:r>
      <w:r w:rsidRPr="00DC2292">
        <w:t xml:space="preserve"> </w:t>
      </w:r>
      <w:r>
        <w:t xml:space="preserve">punktais, </w:t>
      </w:r>
      <w:r w:rsidRPr="003A4E29">
        <w:t>17</w:t>
      </w:r>
      <w:r w:rsidRPr="003A4E29">
        <w:rPr>
          <w:vertAlign w:val="superscript"/>
        </w:rPr>
        <w:t>3</w:t>
      </w:r>
      <w:r w:rsidRPr="003A4E29">
        <w:t>.1.</w:t>
      </w:r>
      <w:r>
        <w:t xml:space="preserve"> papunkčiu ir </w:t>
      </w:r>
      <w:r w:rsidRPr="000649CE">
        <w:t>17</w:t>
      </w:r>
      <w:r w:rsidRPr="000649CE">
        <w:rPr>
          <w:vertAlign w:val="superscript"/>
        </w:rPr>
        <w:t>5</w:t>
      </w:r>
      <w:r>
        <w:rPr>
          <w:vertAlign w:val="superscript"/>
        </w:rPr>
        <w:t xml:space="preserve"> </w:t>
      </w:r>
      <w:r w:rsidRPr="002A024D">
        <w:t>punkt</w:t>
      </w:r>
      <w:r>
        <w:t xml:space="preserve">u, </w:t>
      </w:r>
      <w:r w:rsidRPr="000649CE">
        <w:t>ekonominis vertinimas neatliekamas</w:t>
      </w:r>
      <w:r>
        <w:t xml:space="preserve"> ir </w:t>
      </w:r>
      <w:r w:rsidRPr="000649CE">
        <w:t>išvados dėl kaštų naudingumo neteikiamos</w:t>
      </w:r>
      <w:r>
        <w:t xml:space="preserve">. </w:t>
      </w:r>
    </w:p>
    <w:p w14:paraId="33875138" w14:textId="4B0EB9C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187C8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55CDDCA" w:rsidR="00937907" w:rsidRPr="00E33EFF" w:rsidRDefault="00187C8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AE5314">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187C8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9213C3B" w:rsidR="00662983" w:rsidRPr="00E33EFF" w:rsidRDefault="00187C8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AE5314">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p w14:paraId="5CD881C3"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i/>
          <w:color w:val="00B050"/>
        </w:rPr>
      </w:pPr>
    </w:p>
    <w:tbl>
      <w:tblPr>
        <w:tblStyle w:val="TableGrid1"/>
        <w:tblW w:w="9918" w:type="dxa"/>
        <w:jc w:val="center"/>
        <w:tblLook w:val="04A0" w:firstRow="1" w:lastRow="0" w:firstColumn="1" w:lastColumn="0" w:noHBand="0" w:noVBand="1"/>
      </w:tblPr>
      <w:tblGrid>
        <w:gridCol w:w="4886"/>
        <w:gridCol w:w="5032"/>
      </w:tblGrid>
      <w:tr w:rsidR="000B7533" w:rsidRPr="000B7533" w14:paraId="10579FD8" w14:textId="77777777" w:rsidTr="00AD2FDB">
        <w:trPr>
          <w:trHeight w:val="532"/>
          <w:jc w:val="center"/>
        </w:trPr>
        <w:tc>
          <w:tcPr>
            <w:tcW w:w="4886" w:type="dxa"/>
            <w:vAlign w:val="center"/>
          </w:tcPr>
          <w:p w14:paraId="78F6F9B7"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rPr>
            </w:pPr>
            <w:r w:rsidRPr="000B7533">
              <w:rPr>
                <w:rFonts w:eastAsia="MS Gothic"/>
                <w:b/>
                <w:bCs/>
              </w:rPr>
              <w:t>Rekomenduojama kompensuoti</w:t>
            </w:r>
          </w:p>
        </w:tc>
        <w:tc>
          <w:tcPr>
            <w:tcW w:w="5032" w:type="dxa"/>
            <w:vAlign w:val="center"/>
          </w:tcPr>
          <w:p w14:paraId="35D6E68E"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rPr>
            </w:pPr>
            <w:r w:rsidRPr="000B7533">
              <w:rPr>
                <w:rFonts w:eastAsia="MS Gothic"/>
                <w:b/>
                <w:bCs/>
              </w:rPr>
              <w:t>Rekomenduojama nekompensuoti</w:t>
            </w:r>
          </w:p>
        </w:tc>
      </w:tr>
      <w:tr w:rsidR="000B7533" w:rsidRPr="000B7533" w14:paraId="514DB932" w14:textId="77777777" w:rsidTr="00AD2FDB">
        <w:trPr>
          <w:trHeight w:val="485"/>
          <w:jc w:val="center"/>
        </w:trPr>
        <w:tc>
          <w:tcPr>
            <w:tcW w:w="9918" w:type="dxa"/>
            <w:gridSpan w:val="2"/>
            <w:vAlign w:val="center"/>
          </w:tcPr>
          <w:p w14:paraId="0C9BD52C" w14:textId="37FC01EB" w:rsidR="000B7533" w:rsidRPr="000B7533" w:rsidRDefault="00FF0EF7"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rPr>
            </w:pPr>
            <w:r w:rsidRPr="00E5766F">
              <w:rPr>
                <w:rStyle w:val="Style2"/>
                <w:rFonts w:eastAsia="MS Gothic"/>
                <w:b/>
                <w:bCs/>
                <w:sz w:val="24"/>
              </w:rPr>
              <w:t xml:space="preserve">Palyginamasis </w:t>
            </w:r>
            <w:r w:rsidR="000B7533" w:rsidRPr="000B7533">
              <w:rPr>
                <w:rFonts w:eastAsia="MS Gothic"/>
                <w:b/>
                <w:bCs/>
              </w:rPr>
              <w:t>veiksmingumas</w:t>
            </w:r>
          </w:p>
        </w:tc>
      </w:tr>
      <w:tr w:rsidR="000B7533" w:rsidRPr="000B7533" w14:paraId="0A51A0CF" w14:textId="77777777" w:rsidTr="00AD2FDB">
        <w:trPr>
          <w:jc w:val="center"/>
        </w:trPr>
        <w:tc>
          <w:tcPr>
            <w:tcW w:w="4886" w:type="dxa"/>
          </w:tcPr>
          <w:p w14:paraId="2DC6A68E" w14:textId="3881906C" w:rsidR="000B7533" w:rsidRPr="000B7533" w:rsidRDefault="00187C80"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1127164120"/>
                <w15:color w:val="FFCC00"/>
                <w14:checkbox>
                  <w14:checked w14:val="0"/>
                  <w14:checkedState w14:val="2612" w14:font="MS Gothic"/>
                  <w14:uncheckedState w14:val="2610" w14:font="MS Gothic"/>
                </w14:checkbox>
              </w:sdtPr>
              <w:sdtEndPr/>
              <w:sdtContent>
                <w:r w:rsidR="00B61F8F">
                  <w:rPr>
                    <w:rFonts w:ascii="MS Gothic" w:eastAsia="MS Gothic" w:hAnsi="MS Gothic" w:hint="eastAsia"/>
                  </w:rPr>
                  <w:t>☐</w:t>
                </w:r>
              </w:sdtContent>
            </w:sdt>
            <w:r w:rsidR="000B7533" w:rsidRPr="000B7533">
              <w:t xml:space="preserve"> 32.2. yra įvertintas kaip pagrindžiantis papildomos naudos pacientų sveikatai sukūrimą, lyginant su įprasta klinikine praktika</w:t>
            </w:r>
          </w:p>
          <w:p w14:paraId="38F064F0"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5D0C5F" w14:textId="2FACFAB2" w:rsidR="000B7533" w:rsidRPr="000B7533" w:rsidRDefault="00187C80"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id w:val="-2108182463"/>
                <w15:color w:val="FFCC00"/>
                <w14:checkbox>
                  <w14:checked w14:val="1"/>
                  <w14:checkedState w14:val="2612" w14:font="MS Gothic"/>
                  <w14:uncheckedState w14:val="2610" w14:font="MS Gothic"/>
                </w14:checkbox>
              </w:sdtPr>
              <w:sdtEndPr/>
              <w:sdtContent>
                <w:r w:rsidR="00B61F8F">
                  <w:rPr>
                    <w:rFonts w:ascii="MS Gothic" w:eastAsia="MS Gothic" w:hAnsi="MS Gothic" w:hint="eastAsia"/>
                  </w:rPr>
                  <w:t>☒</w:t>
                </w:r>
              </w:sdtContent>
            </w:sdt>
            <w:r w:rsidR="000B7533" w:rsidRPr="000B7533">
              <w:t xml:space="preserve"> 32.2. yra įvertintas kaip pagrindžiantis nesiskiriančios naudos pacientų sveikatai sukūrimą, lyginant su įprasta klinikine praktika</w:t>
            </w:r>
          </w:p>
          <w:p w14:paraId="01B099C4"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rPr>
            </w:pPr>
          </w:p>
        </w:tc>
        <w:tc>
          <w:tcPr>
            <w:tcW w:w="5032" w:type="dxa"/>
          </w:tcPr>
          <w:p w14:paraId="6F07B46A" w14:textId="77777777" w:rsidR="000B7533" w:rsidRPr="000B7533" w:rsidRDefault="00187C80" w:rsidP="000B7533">
            <w:pPr>
              <w:jc w:val="both"/>
            </w:pPr>
            <w:sdt>
              <w:sdtPr>
                <w:id w:val="90213628"/>
                <w15:color w:val="FFCC00"/>
                <w14:checkbox>
                  <w14:checked w14:val="0"/>
                  <w14:checkedState w14:val="2612" w14:font="MS Gothic"/>
                  <w14:uncheckedState w14:val="2610" w14:font="MS Gothic"/>
                </w14:checkbox>
              </w:sdtPr>
              <w:sdtEndPr/>
              <w:sdtContent>
                <w:r w:rsidR="000B7533" w:rsidRPr="000B7533">
                  <w:rPr>
                    <w:rFonts w:ascii="Segoe UI Symbol" w:eastAsia="MS Gothic" w:hAnsi="Segoe UI Symbol" w:cs="Segoe UI Symbol"/>
                  </w:rPr>
                  <w:t>☐</w:t>
                </w:r>
              </w:sdtContent>
            </w:sdt>
            <w:r w:rsidR="000B7533" w:rsidRPr="000B7533">
              <w:t xml:space="preserve"> 33.1. yra įvertintas kaip nepagrindžiantis papildomos naudos pacientų sveikatai sukūrimo, lyginant su įprasta klinikine praktika</w:t>
            </w:r>
          </w:p>
          <w:p w14:paraId="15A139E7" w14:textId="77777777" w:rsidR="000B7533" w:rsidRPr="000B7533" w:rsidRDefault="000B7533" w:rsidP="000B7533">
            <w:pPr>
              <w:jc w:val="both"/>
            </w:pPr>
          </w:p>
          <w:p w14:paraId="653712FB" w14:textId="77777777" w:rsidR="000B7533" w:rsidRPr="000B7533" w:rsidRDefault="00187C80" w:rsidP="000B7533">
            <w:pPr>
              <w:jc w:val="both"/>
            </w:pPr>
            <w:sdt>
              <w:sdtPr>
                <w:id w:val="47114242"/>
                <w15:color w:val="FFCC00"/>
                <w14:checkbox>
                  <w14:checked w14:val="0"/>
                  <w14:checkedState w14:val="2612" w14:font="MS Gothic"/>
                  <w14:uncheckedState w14:val="2610" w14:font="MS Gothic"/>
                </w14:checkbox>
              </w:sdtPr>
              <w:sdtEndPr/>
              <w:sdtContent>
                <w:r w:rsidR="000B7533" w:rsidRPr="000B7533">
                  <w:rPr>
                    <w:rFonts w:ascii="Segoe UI Symbol" w:eastAsia="MS Gothic" w:hAnsi="Segoe UI Symbol" w:cs="Segoe UI Symbol"/>
                  </w:rPr>
                  <w:t>☐</w:t>
                </w:r>
              </w:sdtContent>
            </w:sdt>
            <w:r w:rsidR="000B7533" w:rsidRPr="000B7533">
              <w:t xml:space="preserve"> 33.1. yra įvertintas kaip nepagrindžiantis nesiskiriančios naudos pacientų sveikatai sukūrimo, lyginant su įprasta klinikine praktika</w:t>
            </w:r>
          </w:p>
          <w:p w14:paraId="0CE00CA4" w14:textId="77777777" w:rsidR="000B7533" w:rsidRPr="000B7533" w:rsidRDefault="000B7533" w:rsidP="000B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rPr>
            </w:pPr>
          </w:p>
        </w:tc>
      </w:tr>
    </w:tbl>
    <w:p w14:paraId="25AC7C7E" w14:textId="6A1E7D7B" w:rsidR="000001B0" w:rsidRDefault="000001B0" w:rsidP="00381024">
      <w:pPr>
        <w:rPr>
          <w:i/>
          <w:color w:val="00B050"/>
          <w:sz w:val="22"/>
          <w:szCs w:val="22"/>
        </w:rPr>
      </w:pPr>
    </w:p>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33AF68AD" w14:textId="77777777" w:rsidR="005B023D" w:rsidRPr="003F00CC" w:rsidRDefault="005B023D" w:rsidP="005B023D">
      <w:pPr>
        <w:spacing w:line="276" w:lineRule="auto"/>
        <w:ind w:firstLine="360"/>
        <w:jc w:val="both"/>
        <w:rPr>
          <w:color w:val="000000"/>
          <w:lang w:eastAsia="lt-LT"/>
        </w:rPr>
      </w:pPr>
      <w:bookmarkStart w:id="0" w:name="_Hlk201006303"/>
      <w:r>
        <w:t>V</w:t>
      </w:r>
      <w:r w:rsidRPr="002A024D">
        <w:t>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t xml:space="preserve"> (toliau -Aprašas) </w:t>
      </w:r>
      <w:r w:rsidRPr="003F00CC">
        <w:rPr>
          <w:color w:val="000000"/>
          <w:lang w:eastAsia="lt-LT"/>
        </w:rPr>
        <w:t>30</w:t>
      </w:r>
      <w:r w:rsidRPr="003F00CC">
        <w:rPr>
          <w:color w:val="000000"/>
          <w:vertAlign w:val="superscript"/>
          <w:lang w:eastAsia="lt-LT"/>
        </w:rPr>
        <w:t>1</w:t>
      </w:r>
      <w:r w:rsidRPr="003F00CC">
        <w:rPr>
          <w:color w:val="000000"/>
          <w:lang w:eastAsia="lt-LT"/>
        </w:rPr>
        <w:t>.5. punktu, kai vertinimo išvados atitinka Aprašo 29.1.2 papunktyje numatytas sąlygas, siūloma kompensuoti vaistinį preparatą pagal paraiškoje nurodytą indikaciją su skyrimo sąlygomis.</w:t>
      </w:r>
    </w:p>
    <w:bookmarkEnd w:id="0"/>
    <w:p w14:paraId="6B4F8FBC" w14:textId="77777777" w:rsidR="005B023D" w:rsidRDefault="005B023D" w:rsidP="005B023D">
      <w:pPr>
        <w:pStyle w:val="Sraopastraipa"/>
        <w:shd w:val="clear" w:color="auto" w:fill="FFFFFF"/>
        <w:tabs>
          <w:tab w:val="left" w:pos="284"/>
        </w:tabs>
        <w:spacing w:line="276" w:lineRule="auto"/>
        <w:ind w:left="426"/>
        <w:rPr>
          <w:rFonts w:eastAsia="Arial"/>
          <w:b/>
        </w:rPr>
      </w:pPr>
    </w:p>
    <w:p w14:paraId="664A05CC" w14:textId="77777777" w:rsidR="005B023D" w:rsidRDefault="005B023D" w:rsidP="005B023D">
      <w:pPr>
        <w:jc w:val="both"/>
        <w:rPr>
          <w:i/>
          <w:iCs/>
        </w:rPr>
      </w:pPr>
      <w:r w:rsidRPr="001156E5">
        <w:rPr>
          <w:i/>
          <w:iCs/>
        </w:rPr>
        <w:t>Pastab</w:t>
      </w:r>
      <w:r>
        <w:rPr>
          <w:i/>
          <w:iCs/>
        </w:rPr>
        <w:t>os</w:t>
      </w:r>
    </w:p>
    <w:p w14:paraId="40CD4F88" w14:textId="77777777" w:rsidR="005B023D" w:rsidRDefault="005B023D" w:rsidP="005B023D">
      <w:pPr>
        <w:jc w:val="both"/>
        <w:rPr>
          <w:i/>
          <w:iCs/>
        </w:rPr>
      </w:pPr>
    </w:p>
    <w:p w14:paraId="1F70E7E1" w14:textId="77777777" w:rsidR="005B023D" w:rsidRPr="00ED362B" w:rsidRDefault="005B023D" w:rsidP="00ED362B">
      <w:pPr>
        <w:spacing w:line="276" w:lineRule="auto"/>
        <w:jc w:val="both"/>
        <w:rPr>
          <w:color w:val="000000"/>
        </w:rPr>
      </w:pPr>
      <w:r w:rsidRPr="00ED362B">
        <w:rPr>
          <w:color w:val="000000"/>
          <w:lang w:eastAsia="lt-LT"/>
        </w:rPr>
        <w:t xml:space="preserve">Tarnybos pateikta rekomendacija kompensuoti siūlomą vaistinį preparatą taikytina, jei PSDF biudžeto išlaidos dėl kompensuoti siūlomo vaistinio preparato, lyginant su palyginamuoju gydymu atitinka Aprašo </w:t>
      </w:r>
      <w:r w:rsidRPr="00ED362B">
        <w:rPr>
          <w:color w:val="000000"/>
        </w:rPr>
        <w:t>54.1</w:t>
      </w:r>
      <w:r w:rsidRPr="00ED362B">
        <w:rPr>
          <w:color w:val="000000"/>
          <w:vertAlign w:val="superscript"/>
        </w:rPr>
        <w:t>1</w:t>
      </w:r>
      <w:r w:rsidRPr="00ED362B">
        <w:rPr>
          <w:color w:val="000000"/>
        </w:rPr>
        <w:t xml:space="preserve"> papunktį. </w:t>
      </w:r>
    </w:p>
    <w:p w14:paraId="06BC01EE" w14:textId="44333E0B" w:rsidR="000723FF" w:rsidRPr="00E33EFF" w:rsidRDefault="000723FF" w:rsidP="00381024"/>
    <w:p w14:paraId="18B4292E" w14:textId="794F04BF"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w:t>
      </w:r>
      <w:r w:rsidR="005B023D">
        <w:rPr>
          <w:b/>
          <w:color w:val="000000"/>
          <w:lang w:eastAsia="lt-LT"/>
        </w:rPr>
        <w:t>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2450DADD" w:rsidR="000723FF" w:rsidRDefault="00187C80"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ED362B">
            <w:rPr>
              <w:rStyle w:val="Style2"/>
              <w:rFonts w:ascii="MS Gothic" w:eastAsia="MS Gothic" w:hAnsi="MS Gothic" w:hint="eastAsia"/>
            </w:rPr>
            <w:t>☒</w:t>
          </w:r>
        </w:sdtContent>
      </w:sdt>
      <w:r w:rsidR="000723FF" w:rsidRPr="00E33EFF">
        <w:t xml:space="preserve"> Siūloma kompensuoti Pareiškėjo teikiamą indikaciją be pakeitimų.</w:t>
      </w:r>
    </w:p>
    <w:p w14:paraId="19247197" w14:textId="6D1406A1" w:rsidR="004F1839" w:rsidRPr="00F075C5" w:rsidRDefault="0097381D" w:rsidP="0097381D">
      <w:pPr>
        <w:pStyle w:val="Sraopastraipa"/>
        <w:spacing w:after="120"/>
        <w:ind w:left="0"/>
        <w:contextualSpacing w:val="0"/>
        <w:jc w:val="both"/>
      </w:pPr>
      <w:r w:rsidRPr="00F075C5">
        <w:rPr>
          <w:rFonts w:eastAsia="TimesNewRoman"/>
        </w:rPr>
        <w:t xml:space="preserve">KEYTRUDA derinant su </w:t>
      </w:r>
      <w:proofErr w:type="spellStart"/>
      <w:r w:rsidRPr="00F075C5">
        <w:rPr>
          <w:rFonts w:eastAsia="TimesNewRoman"/>
        </w:rPr>
        <w:t>lenvatinibu</w:t>
      </w:r>
      <w:proofErr w:type="spellEnd"/>
      <w:r w:rsidRPr="00F075C5">
        <w:rPr>
          <w:rFonts w:eastAsia="TimesNewRoman"/>
        </w:rPr>
        <w:t xml:space="preserve"> skirtas suaugusiųjų išplitusios inkstų ląstelių karcinomos pirmos eilės gydymui.</w:t>
      </w:r>
    </w:p>
    <w:p w14:paraId="1BC0D1A5" w14:textId="77777777" w:rsidR="004F1839" w:rsidRDefault="004F1839" w:rsidP="00824B92">
      <w:pPr>
        <w:rPr>
          <w:b/>
        </w:rPr>
      </w:pPr>
    </w:p>
    <w:p w14:paraId="241A6E6B" w14:textId="3D8112F3" w:rsidR="000723FF" w:rsidRPr="00E33EFF" w:rsidRDefault="000723FF" w:rsidP="00824B92">
      <w:pPr>
        <w:rPr>
          <w:b/>
        </w:rPr>
      </w:pPr>
      <w:r w:rsidRPr="00E33EFF">
        <w:rPr>
          <w:b/>
        </w:rPr>
        <w:t>Skyrimo sąlygos</w:t>
      </w:r>
    </w:p>
    <w:p w14:paraId="297867ED" w14:textId="0E1757B8" w:rsidR="000723FF" w:rsidRPr="00E33EFF" w:rsidRDefault="00187C80" w:rsidP="00824B92">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4F1839">
            <w:rPr>
              <w:rStyle w:val="Style2"/>
              <w:rFonts w:ascii="MS Gothic" w:eastAsia="MS Gothic" w:hAnsi="MS Gothic" w:hint="eastAsia"/>
            </w:rPr>
            <w:t>☒</w:t>
          </w:r>
        </w:sdtContent>
      </w:sdt>
      <w:r w:rsidR="000723FF" w:rsidRPr="00E33EFF">
        <w:t xml:space="preserve"> Pareiškėjo siūlomos skyrimo sąlygos nepriimtinos. </w:t>
      </w:r>
    </w:p>
    <w:p w14:paraId="0B37A580" w14:textId="262EF9B2" w:rsidR="000723FF" w:rsidRDefault="000723FF" w:rsidP="00824B92">
      <w:r w:rsidRPr="00E33EFF">
        <w:t>Siūloma skyrimo sąlygų formuluotė</w:t>
      </w:r>
      <w:r w:rsidR="004F1839">
        <w:t>:</w:t>
      </w:r>
    </w:p>
    <w:p w14:paraId="3F2BC5AD" w14:textId="50B13DAA" w:rsidR="004F1839" w:rsidRPr="00ED362B" w:rsidRDefault="00ED362B" w:rsidP="004F1839">
      <w:pPr>
        <w:pStyle w:val="Betarp"/>
        <w:jc w:val="both"/>
        <w:rPr>
          <w:rFonts w:ascii="Times New Roman" w:hAnsi="Times New Roman"/>
          <w:sz w:val="24"/>
          <w:szCs w:val="24"/>
        </w:rPr>
      </w:pPr>
      <w:bookmarkStart w:id="1" w:name="_Hlk205310508"/>
      <w:r w:rsidRPr="00ED362B">
        <w:rPr>
          <w:rFonts w:ascii="Times New Roman" w:hAnsi="Times New Roman"/>
          <w:sz w:val="24"/>
          <w:szCs w:val="24"/>
        </w:rPr>
        <w:t>Skiriamas d</w:t>
      </w:r>
      <w:r w:rsidR="004F1839" w:rsidRPr="00ED362B">
        <w:rPr>
          <w:rFonts w:ascii="Times New Roman" w:hAnsi="Times New Roman"/>
          <w:sz w:val="24"/>
          <w:szCs w:val="24"/>
        </w:rPr>
        <w:t xml:space="preserve">erinant su </w:t>
      </w:r>
      <w:proofErr w:type="spellStart"/>
      <w:r w:rsidR="004F1839" w:rsidRPr="00ED362B">
        <w:rPr>
          <w:rFonts w:ascii="Times New Roman" w:hAnsi="Times New Roman"/>
          <w:sz w:val="24"/>
          <w:szCs w:val="24"/>
        </w:rPr>
        <w:t>lenvatini</w:t>
      </w:r>
      <w:r w:rsidR="00670843" w:rsidRPr="00ED362B">
        <w:rPr>
          <w:rFonts w:ascii="Times New Roman" w:hAnsi="Times New Roman"/>
          <w:sz w:val="24"/>
          <w:szCs w:val="24"/>
        </w:rPr>
        <w:t>b</w:t>
      </w:r>
      <w:r w:rsidR="004F1839" w:rsidRPr="00ED362B">
        <w:rPr>
          <w:rFonts w:ascii="Times New Roman" w:hAnsi="Times New Roman"/>
          <w:sz w:val="24"/>
          <w:szCs w:val="24"/>
        </w:rPr>
        <w:t>u</w:t>
      </w:r>
      <w:proofErr w:type="spellEnd"/>
      <w:r w:rsidR="004F1839" w:rsidRPr="00ED362B">
        <w:rPr>
          <w:rFonts w:ascii="Times New Roman" w:hAnsi="Times New Roman"/>
          <w:sz w:val="24"/>
          <w:szCs w:val="24"/>
        </w:rPr>
        <w:t xml:space="preserve"> suaugusių pacientų vidutinės ir didelės rizikos progresavusios inkstų ląstelių karcinomos pirmaeiliam gydymui</w:t>
      </w:r>
      <w:r w:rsidR="00F075C5">
        <w:rPr>
          <w:rFonts w:ascii="Times New Roman" w:hAnsi="Times New Roman"/>
          <w:sz w:val="24"/>
          <w:szCs w:val="24"/>
        </w:rPr>
        <w:t xml:space="preserve"> (</w:t>
      </w:r>
      <w:r>
        <w:rPr>
          <w:rFonts w:ascii="Times New Roman" w:hAnsi="Times New Roman"/>
          <w:sz w:val="24"/>
          <w:szCs w:val="24"/>
        </w:rPr>
        <w:t xml:space="preserve">gydymo </w:t>
      </w:r>
      <w:proofErr w:type="spellStart"/>
      <w:r>
        <w:rPr>
          <w:rFonts w:ascii="Times New Roman" w:hAnsi="Times New Roman"/>
          <w:sz w:val="24"/>
          <w:szCs w:val="24"/>
        </w:rPr>
        <w:t>p</w:t>
      </w:r>
      <w:r w:rsidR="004F1839" w:rsidRPr="00ED362B">
        <w:rPr>
          <w:rFonts w:ascii="Times New Roman" w:hAnsi="Times New Roman"/>
          <w:sz w:val="24"/>
          <w:szCs w:val="24"/>
        </w:rPr>
        <w:t>embrolizumab</w:t>
      </w:r>
      <w:r>
        <w:rPr>
          <w:rFonts w:ascii="Times New Roman" w:hAnsi="Times New Roman"/>
          <w:sz w:val="24"/>
          <w:szCs w:val="24"/>
        </w:rPr>
        <w:t>u</w:t>
      </w:r>
      <w:proofErr w:type="spellEnd"/>
      <w:r>
        <w:rPr>
          <w:rFonts w:ascii="Times New Roman" w:hAnsi="Times New Roman"/>
          <w:sz w:val="24"/>
          <w:szCs w:val="24"/>
        </w:rPr>
        <w:t xml:space="preserve"> trukmė</w:t>
      </w:r>
      <w:r w:rsidR="004F1839" w:rsidRPr="00ED362B">
        <w:rPr>
          <w:rFonts w:ascii="Times New Roman" w:hAnsi="Times New Roman"/>
          <w:sz w:val="24"/>
          <w:szCs w:val="24"/>
        </w:rPr>
        <w:t xml:space="preserve"> neilg</w:t>
      </w:r>
      <w:r w:rsidR="00F075C5">
        <w:rPr>
          <w:rFonts w:ascii="Times New Roman" w:hAnsi="Times New Roman"/>
          <w:sz w:val="24"/>
          <w:szCs w:val="24"/>
        </w:rPr>
        <w:t xml:space="preserve">esnė </w:t>
      </w:r>
      <w:r w:rsidR="004F1839" w:rsidRPr="00ED362B">
        <w:rPr>
          <w:rFonts w:ascii="Times New Roman" w:hAnsi="Times New Roman"/>
          <w:sz w:val="24"/>
          <w:szCs w:val="24"/>
        </w:rPr>
        <w:t xml:space="preserve">kaip </w:t>
      </w:r>
      <w:r w:rsidR="006643C0" w:rsidRPr="00ED362B">
        <w:rPr>
          <w:rFonts w:ascii="Times New Roman" w:hAnsi="Times New Roman"/>
          <w:sz w:val="24"/>
          <w:szCs w:val="24"/>
        </w:rPr>
        <w:t xml:space="preserve">24 </w:t>
      </w:r>
      <w:r w:rsidR="004F1839" w:rsidRPr="00ED362B">
        <w:rPr>
          <w:rFonts w:ascii="Times New Roman" w:hAnsi="Times New Roman"/>
          <w:sz w:val="24"/>
          <w:szCs w:val="24"/>
        </w:rPr>
        <w:t>mėn</w:t>
      </w:r>
      <w:r w:rsidR="00F075C5">
        <w:rPr>
          <w:rFonts w:ascii="Times New Roman" w:hAnsi="Times New Roman"/>
          <w:sz w:val="24"/>
          <w:szCs w:val="24"/>
        </w:rPr>
        <w:t>.,</w:t>
      </w:r>
      <w:r w:rsidR="004F1839" w:rsidRPr="00ED362B">
        <w:rPr>
          <w:rFonts w:ascii="Times New Roman" w:hAnsi="Times New Roman"/>
          <w:sz w:val="24"/>
          <w:szCs w:val="24"/>
        </w:rPr>
        <w:t xml:space="preserve"> gydym</w:t>
      </w:r>
      <w:r w:rsidR="00F075C5">
        <w:rPr>
          <w:rFonts w:ascii="Times New Roman" w:hAnsi="Times New Roman"/>
          <w:sz w:val="24"/>
          <w:szCs w:val="24"/>
        </w:rPr>
        <w:t>ą</w:t>
      </w:r>
      <w:r w:rsidR="004F1839" w:rsidRPr="00ED362B">
        <w:rPr>
          <w:rFonts w:ascii="Times New Roman" w:hAnsi="Times New Roman"/>
          <w:sz w:val="24"/>
          <w:szCs w:val="24"/>
        </w:rPr>
        <w:t xml:space="preserve"> </w:t>
      </w:r>
      <w:proofErr w:type="spellStart"/>
      <w:r w:rsidR="004F1839" w:rsidRPr="00ED362B">
        <w:rPr>
          <w:rFonts w:ascii="Times New Roman" w:hAnsi="Times New Roman"/>
          <w:sz w:val="24"/>
          <w:szCs w:val="24"/>
        </w:rPr>
        <w:t>lenvatinibu</w:t>
      </w:r>
      <w:proofErr w:type="spellEnd"/>
      <w:r w:rsidR="004F1839" w:rsidRPr="00ED362B">
        <w:rPr>
          <w:rFonts w:ascii="Times New Roman" w:hAnsi="Times New Roman"/>
          <w:sz w:val="24"/>
          <w:szCs w:val="24"/>
        </w:rPr>
        <w:t xml:space="preserve"> galima tęsti ilgiau kaip 24 mėn</w:t>
      </w:r>
      <w:r w:rsidR="00F075C5">
        <w:rPr>
          <w:rFonts w:ascii="Times New Roman" w:hAnsi="Times New Roman"/>
          <w:sz w:val="24"/>
          <w:szCs w:val="24"/>
        </w:rPr>
        <w:t>.)</w:t>
      </w:r>
      <w:r w:rsidR="004F1839" w:rsidRPr="00ED362B">
        <w:rPr>
          <w:rFonts w:ascii="Times New Roman" w:hAnsi="Times New Roman"/>
          <w:sz w:val="24"/>
          <w:szCs w:val="24"/>
        </w:rPr>
        <w:t>.</w:t>
      </w:r>
    </w:p>
    <w:p w14:paraId="467CDCB4" w14:textId="77777777" w:rsidR="004F1839" w:rsidRDefault="004F1839" w:rsidP="00824B92"/>
    <w:bookmarkEnd w:id="1"/>
    <w:p w14:paraId="46655783" w14:textId="77777777" w:rsidR="004F1839" w:rsidRDefault="004F1839" w:rsidP="00824B92"/>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1709" w14:textId="77777777" w:rsidR="00251992" w:rsidRDefault="00251992">
      <w:r>
        <w:separator/>
      </w:r>
    </w:p>
  </w:endnote>
  <w:endnote w:type="continuationSeparator" w:id="0">
    <w:p w14:paraId="7ABFE7BD" w14:textId="77777777" w:rsidR="00251992" w:rsidRDefault="0025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A696" w14:textId="77777777" w:rsidR="00251992" w:rsidRDefault="00251992">
      <w:r>
        <w:separator/>
      </w:r>
    </w:p>
  </w:footnote>
  <w:footnote w:type="continuationSeparator" w:id="0">
    <w:p w14:paraId="4B4A0C3F" w14:textId="77777777" w:rsidR="00251992" w:rsidRDefault="0025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29CC00DD"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023D">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0702DCA"/>
    <w:multiLevelType w:val="hybridMultilevel"/>
    <w:tmpl w:val="BA6E808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37657"/>
    <w:multiLevelType w:val="hybridMultilevel"/>
    <w:tmpl w:val="BDB434FC"/>
    <w:lvl w:ilvl="0" w:tplc="18524044">
      <w:start w:val="2"/>
      <w:numFmt w:val="bullet"/>
      <w:lvlText w:val="-"/>
      <w:lvlJc w:val="left"/>
      <w:pPr>
        <w:ind w:left="987" w:hanging="360"/>
      </w:pPr>
      <w:rPr>
        <w:rFonts w:ascii="Times New Roman" w:eastAsia="Times New Roman" w:hAnsi="Times New Roman" w:cs="Times New Roman" w:hint="default"/>
      </w:rPr>
    </w:lvl>
    <w:lvl w:ilvl="1" w:tplc="08090003">
      <w:start w:val="1"/>
      <w:numFmt w:val="bullet"/>
      <w:lvlText w:val="o"/>
      <w:lvlJc w:val="left"/>
      <w:pPr>
        <w:ind w:left="1707" w:hanging="360"/>
      </w:pPr>
      <w:rPr>
        <w:rFonts w:ascii="Courier New" w:hAnsi="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9213433">
    <w:abstractNumId w:val="7"/>
  </w:num>
  <w:num w:numId="2" w16cid:durableId="306592113">
    <w:abstractNumId w:val="1"/>
  </w:num>
  <w:num w:numId="3" w16cid:durableId="1169103041">
    <w:abstractNumId w:val="9"/>
  </w:num>
  <w:num w:numId="4" w16cid:durableId="72162824">
    <w:abstractNumId w:val="8"/>
  </w:num>
  <w:num w:numId="5" w16cid:durableId="1006664475">
    <w:abstractNumId w:val="6"/>
  </w:num>
  <w:num w:numId="6" w16cid:durableId="1193180232">
    <w:abstractNumId w:val="5"/>
  </w:num>
  <w:num w:numId="7" w16cid:durableId="1979989107">
    <w:abstractNumId w:val="3"/>
  </w:num>
  <w:num w:numId="8" w16cid:durableId="128406172">
    <w:abstractNumId w:val="13"/>
  </w:num>
  <w:num w:numId="9" w16cid:durableId="2062055213">
    <w:abstractNumId w:val="0"/>
  </w:num>
  <w:num w:numId="10" w16cid:durableId="772552423">
    <w:abstractNumId w:val="10"/>
  </w:num>
  <w:num w:numId="11" w16cid:durableId="1133207577">
    <w:abstractNumId w:val="12"/>
  </w:num>
  <w:num w:numId="12" w16cid:durableId="1195583968">
    <w:abstractNumId w:val="2"/>
  </w:num>
  <w:num w:numId="13" w16cid:durableId="1244484553">
    <w:abstractNumId w:val="11"/>
  </w:num>
  <w:num w:numId="14" w16cid:durableId="132809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2013"/>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B7533"/>
    <w:rsid w:val="000C454C"/>
    <w:rsid w:val="000D5038"/>
    <w:rsid w:val="000E29D4"/>
    <w:rsid w:val="000F3540"/>
    <w:rsid w:val="00100491"/>
    <w:rsid w:val="00104E2E"/>
    <w:rsid w:val="00107287"/>
    <w:rsid w:val="00117406"/>
    <w:rsid w:val="00121EF0"/>
    <w:rsid w:val="00124A9E"/>
    <w:rsid w:val="00130703"/>
    <w:rsid w:val="0013153F"/>
    <w:rsid w:val="001408B8"/>
    <w:rsid w:val="00146480"/>
    <w:rsid w:val="001517E2"/>
    <w:rsid w:val="001521D9"/>
    <w:rsid w:val="001554E2"/>
    <w:rsid w:val="00160105"/>
    <w:rsid w:val="00161B29"/>
    <w:rsid w:val="00164146"/>
    <w:rsid w:val="0017369C"/>
    <w:rsid w:val="00175D57"/>
    <w:rsid w:val="00180C39"/>
    <w:rsid w:val="00180D96"/>
    <w:rsid w:val="00184BD3"/>
    <w:rsid w:val="00187C80"/>
    <w:rsid w:val="001921F3"/>
    <w:rsid w:val="001B3C5B"/>
    <w:rsid w:val="001D746F"/>
    <w:rsid w:val="001E4BBB"/>
    <w:rsid w:val="001E6304"/>
    <w:rsid w:val="0020381E"/>
    <w:rsid w:val="00206AA6"/>
    <w:rsid w:val="00213471"/>
    <w:rsid w:val="00215906"/>
    <w:rsid w:val="00241CD8"/>
    <w:rsid w:val="00244B09"/>
    <w:rsid w:val="00251992"/>
    <w:rsid w:val="002519CB"/>
    <w:rsid w:val="0025697F"/>
    <w:rsid w:val="00260258"/>
    <w:rsid w:val="0026588E"/>
    <w:rsid w:val="00272428"/>
    <w:rsid w:val="00272948"/>
    <w:rsid w:val="00292392"/>
    <w:rsid w:val="002946C7"/>
    <w:rsid w:val="00297916"/>
    <w:rsid w:val="002B3CC1"/>
    <w:rsid w:val="002B6CFF"/>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1D7"/>
    <w:rsid w:val="00386307"/>
    <w:rsid w:val="003874DE"/>
    <w:rsid w:val="00393E9F"/>
    <w:rsid w:val="0039696E"/>
    <w:rsid w:val="003A1E5D"/>
    <w:rsid w:val="003B211A"/>
    <w:rsid w:val="003C141F"/>
    <w:rsid w:val="003C6B0E"/>
    <w:rsid w:val="003C7257"/>
    <w:rsid w:val="003C7E35"/>
    <w:rsid w:val="003D1877"/>
    <w:rsid w:val="003D1E99"/>
    <w:rsid w:val="003D6208"/>
    <w:rsid w:val="003F4057"/>
    <w:rsid w:val="003F4C12"/>
    <w:rsid w:val="00404E8A"/>
    <w:rsid w:val="0040622F"/>
    <w:rsid w:val="00413F24"/>
    <w:rsid w:val="00422853"/>
    <w:rsid w:val="00423160"/>
    <w:rsid w:val="0045191B"/>
    <w:rsid w:val="00453862"/>
    <w:rsid w:val="0045469B"/>
    <w:rsid w:val="00461338"/>
    <w:rsid w:val="00462F43"/>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0EAD"/>
    <w:rsid w:val="004E6458"/>
    <w:rsid w:val="004E6E7D"/>
    <w:rsid w:val="004F1839"/>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87FE5"/>
    <w:rsid w:val="005976CE"/>
    <w:rsid w:val="005A23D4"/>
    <w:rsid w:val="005A2B5B"/>
    <w:rsid w:val="005A2D1E"/>
    <w:rsid w:val="005B023D"/>
    <w:rsid w:val="005B3756"/>
    <w:rsid w:val="005C493F"/>
    <w:rsid w:val="005C5697"/>
    <w:rsid w:val="005C6BF7"/>
    <w:rsid w:val="005C71BF"/>
    <w:rsid w:val="005D002C"/>
    <w:rsid w:val="005D30E1"/>
    <w:rsid w:val="005D6555"/>
    <w:rsid w:val="005D7BDF"/>
    <w:rsid w:val="005E3196"/>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19A7"/>
    <w:rsid w:val="00653D11"/>
    <w:rsid w:val="00662983"/>
    <w:rsid w:val="006643C0"/>
    <w:rsid w:val="0067084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0CDA"/>
    <w:rsid w:val="007316FB"/>
    <w:rsid w:val="007374D0"/>
    <w:rsid w:val="00737E2D"/>
    <w:rsid w:val="007424D5"/>
    <w:rsid w:val="00744FC9"/>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E5A64"/>
    <w:rsid w:val="007F1949"/>
    <w:rsid w:val="007F2592"/>
    <w:rsid w:val="007F4E70"/>
    <w:rsid w:val="00800A08"/>
    <w:rsid w:val="008014CD"/>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96DFD"/>
    <w:rsid w:val="008A0303"/>
    <w:rsid w:val="008A5FDD"/>
    <w:rsid w:val="008C3947"/>
    <w:rsid w:val="008C3FEE"/>
    <w:rsid w:val="008C6780"/>
    <w:rsid w:val="008E473B"/>
    <w:rsid w:val="008E51A6"/>
    <w:rsid w:val="008E7329"/>
    <w:rsid w:val="008F2ED5"/>
    <w:rsid w:val="008F7693"/>
    <w:rsid w:val="0092297E"/>
    <w:rsid w:val="00923651"/>
    <w:rsid w:val="00927B56"/>
    <w:rsid w:val="009341BF"/>
    <w:rsid w:val="00937907"/>
    <w:rsid w:val="00941739"/>
    <w:rsid w:val="00943E06"/>
    <w:rsid w:val="00951573"/>
    <w:rsid w:val="00963003"/>
    <w:rsid w:val="00966EEF"/>
    <w:rsid w:val="00971B28"/>
    <w:rsid w:val="0097381D"/>
    <w:rsid w:val="00983471"/>
    <w:rsid w:val="009909AB"/>
    <w:rsid w:val="009B37DB"/>
    <w:rsid w:val="009C0F47"/>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538"/>
    <w:rsid w:val="00AA4E48"/>
    <w:rsid w:val="00AA6202"/>
    <w:rsid w:val="00AA7B57"/>
    <w:rsid w:val="00AB7BB3"/>
    <w:rsid w:val="00AC26FC"/>
    <w:rsid w:val="00AC4062"/>
    <w:rsid w:val="00AC4A99"/>
    <w:rsid w:val="00AC64D2"/>
    <w:rsid w:val="00AD02E7"/>
    <w:rsid w:val="00AD4C1E"/>
    <w:rsid w:val="00AE0FE8"/>
    <w:rsid w:val="00AE1322"/>
    <w:rsid w:val="00AE5193"/>
    <w:rsid w:val="00AE5314"/>
    <w:rsid w:val="00AF60D5"/>
    <w:rsid w:val="00B00959"/>
    <w:rsid w:val="00B04415"/>
    <w:rsid w:val="00B06509"/>
    <w:rsid w:val="00B11D60"/>
    <w:rsid w:val="00B13D65"/>
    <w:rsid w:val="00B21805"/>
    <w:rsid w:val="00B3072E"/>
    <w:rsid w:val="00B35B26"/>
    <w:rsid w:val="00B36E15"/>
    <w:rsid w:val="00B37245"/>
    <w:rsid w:val="00B4017A"/>
    <w:rsid w:val="00B4468D"/>
    <w:rsid w:val="00B61F8F"/>
    <w:rsid w:val="00B71C72"/>
    <w:rsid w:val="00B71FCB"/>
    <w:rsid w:val="00B81E92"/>
    <w:rsid w:val="00B908D7"/>
    <w:rsid w:val="00B915AB"/>
    <w:rsid w:val="00B935E8"/>
    <w:rsid w:val="00B93B30"/>
    <w:rsid w:val="00B94CB5"/>
    <w:rsid w:val="00BA0DD9"/>
    <w:rsid w:val="00BA5DBC"/>
    <w:rsid w:val="00BB6312"/>
    <w:rsid w:val="00BC4C3E"/>
    <w:rsid w:val="00BC4D06"/>
    <w:rsid w:val="00BD18D3"/>
    <w:rsid w:val="00BD585E"/>
    <w:rsid w:val="00BD6919"/>
    <w:rsid w:val="00BE1EA7"/>
    <w:rsid w:val="00BE7489"/>
    <w:rsid w:val="00BF2E0D"/>
    <w:rsid w:val="00BF3927"/>
    <w:rsid w:val="00BF3F8B"/>
    <w:rsid w:val="00BF76DA"/>
    <w:rsid w:val="00C07C7B"/>
    <w:rsid w:val="00C11E32"/>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4625"/>
    <w:rsid w:val="00CF5F12"/>
    <w:rsid w:val="00D00D8F"/>
    <w:rsid w:val="00D21F3A"/>
    <w:rsid w:val="00D23808"/>
    <w:rsid w:val="00D252AE"/>
    <w:rsid w:val="00D3016A"/>
    <w:rsid w:val="00D417D2"/>
    <w:rsid w:val="00D42960"/>
    <w:rsid w:val="00D43BD7"/>
    <w:rsid w:val="00D4485B"/>
    <w:rsid w:val="00D4708D"/>
    <w:rsid w:val="00D4744C"/>
    <w:rsid w:val="00D511B7"/>
    <w:rsid w:val="00D521DE"/>
    <w:rsid w:val="00D5470B"/>
    <w:rsid w:val="00D63068"/>
    <w:rsid w:val="00D6498C"/>
    <w:rsid w:val="00D76A70"/>
    <w:rsid w:val="00D83182"/>
    <w:rsid w:val="00D8521E"/>
    <w:rsid w:val="00D9291C"/>
    <w:rsid w:val="00D93A97"/>
    <w:rsid w:val="00D9546F"/>
    <w:rsid w:val="00D970E4"/>
    <w:rsid w:val="00DA6743"/>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91323"/>
    <w:rsid w:val="00EB6FC5"/>
    <w:rsid w:val="00EC2356"/>
    <w:rsid w:val="00EC2582"/>
    <w:rsid w:val="00EC337C"/>
    <w:rsid w:val="00ED0CFF"/>
    <w:rsid w:val="00ED31D2"/>
    <w:rsid w:val="00ED362B"/>
    <w:rsid w:val="00EE0EAC"/>
    <w:rsid w:val="00EE3322"/>
    <w:rsid w:val="00EE33CB"/>
    <w:rsid w:val="00F0061A"/>
    <w:rsid w:val="00F02834"/>
    <w:rsid w:val="00F04EEB"/>
    <w:rsid w:val="00F05467"/>
    <w:rsid w:val="00F055D2"/>
    <w:rsid w:val="00F075C5"/>
    <w:rsid w:val="00F07CD7"/>
    <w:rsid w:val="00F127E9"/>
    <w:rsid w:val="00F14B5D"/>
    <w:rsid w:val="00F259FC"/>
    <w:rsid w:val="00F344AD"/>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0EF7"/>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qFormat/>
    <w:rsid w:val="003D1877"/>
    <w:rPr>
      <w:sz w:val="24"/>
      <w:szCs w:val="24"/>
      <w:lang w:eastAsia="en-US"/>
    </w:rPr>
  </w:style>
  <w:style w:type="table" w:customStyle="1" w:styleId="TableGrid1">
    <w:name w:val="Table Grid1"/>
    <w:basedOn w:val="prastojilentel"/>
    <w:next w:val="Lentelstinklelis"/>
    <w:uiPriority w:val="39"/>
    <w:rsid w:val="000B7533"/>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07233817">
      <w:bodyDiv w:val="1"/>
      <w:marLeft w:val="0"/>
      <w:marRight w:val="0"/>
      <w:marTop w:val="0"/>
      <w:marBottom w:val="0"/>
      <w:divBdr>
        <w:top w:val="none" w:sz="0" w:space="0" w:color="auto"/>
        <w:left w:val="none" w:sz="0" w:space="0" w:color="auto"/>
        <w:bottom w:val="none" w:sz="0" w:space="0" w:color="auto"/>
        <w:right w:val="none" w:sz="0" w:space="0" w:color="auto"/>
      </w:divBdr>
      <w:divsChild>
        <w:div w:id="1411081322">
          <w:marLeft w:val="0"/>
          <w:marRight w:val="0"/>
          <w:marTop w:val="0"/>
          <w:marBottom w:val="0"/>
          <w:divBdr>
            <w:top w:val="none" w:sz="0" w:space="0" w:color="auto"/>
            <w:left w:val="none" w:sz="0" w:space="0" w:color="auto"/>
            <w:bottom w:val="none" w:sz="0" w:space="0" w:color="auto"/>
            <w:right w:val="none" w:sz="0" w:space="0" w:color="auto"/>
          </w:divBdr>
        </w:div>
      </w:divsChild>
    </w:div>
    <w:div w:id="1945265665">
      <w:bodyDiv w:val="1"/>
      <w:marLeft w:val="0"/>
      <w:marRight w:val="0"/>
      <w:marTop w:val="0"/>
      <w:marBottom w:val="0"/>
      <w:divBdr>
        <w:top w:val="none" w:sz="0" w:space="0" w:color="auto"/>
        <w:left w:val="none" w:sz="0" w:space="0" w:color="auto"/>
        <w:bottom w:val="none" w:sz="0" w:space="0" w:color="auto"/>
        <w:right w:val="none" w:sz="0" w:space="0" w:color="auto"/>
      </w:divBdr>
      <w:divsChild>
        <w:div w:id="151984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1B29"/>
    <w:rsid w:val="001C35A9"/>
    <w:rsid w:val="001F47C5"/>
    <w:rsid w:val="00237556"/>
    <w:rsid w:val="00297916"/>
    <w:rsid w:val="003861D7"/>
    <w:rsid w:val="0039303B"/>
    <w:rsid w:val="003A4776"/>
    <w:rsid w:val="004144A3"/>
    <w:rsid w:val="004160E7"/>
    <w:rsid w:val="004416C6"/>
    <w:rsid w:val="004F5AB2"/>
    <w:rsid w:val="005074B9"/>
    <w:rsid w:val="00587FE5"/>
    <w:rsid w:val="005C5697"/>
    <w:rsid w:val="005E40DD"/>
    <w:rsid w:val="006E328A"/>
    <w:rsid w:val="007219C1"/>
    <w:rsid w:val="00730CDA"/>
    <w:rsid w:val="0074261C"/>
    <w:rsid w:val="00753462"/>
    <w:rsid w:val="00772325"/>
    <w:rsid w:val="007A2FE0"/>
    <w:rsid w:val="007C6D1D"/>
    <w:rsid w:val="007E5A64"/>
    <w:rsid w:val="0090074D"/>
    <w:rsid w:val="0095615F"/>
    <w:rsid w:val="009B3BF0"/>
    <w:rsid w:val="009C5199"/>
    <w:rsid w:val="009D5E5E"/>
    <w:rsid w:val="009F1BB4"/>
    <w:rsid w:val="00AB6ED4"/>
    <w:rsid w:val="00AB7BB3"/>
    <w:rsid w:val="00AC4062"/>
    <w:rsid w:val="00B14210"/>
    <w:rsid w:val="00B23DC0"/>
    <w:rsid w:val="00B35B26"/>
    <w:rsid w:val="00B71FCB"/>
    <w:rsid w:val="00B96656"/>
    <w:rsid w:val="00BE29C1"/>
    <w:rsid w:val="00C2401D"/>
    <w:rsid w:val="00C51189"/>
    <w:rsid w:val="00C53A68"/>
    <w:rsid w:val="00CA5BB4"/>
    <w:rsid w:val="00CB4BD1"/>
    <w:rsid w:val="00CC4201"/>
    <w:rsid w:val="00CE2DA9"/>
    <w:rsid w:val="00CE44BE"/>
    <w:rsid w:val="00D107CD"/>
    <w:rsid w:val="00D4356B"/>
    <w:rsid w:val="00D7162F"/>
    <w:rsid w:val="00D742DC"/>
    <w:rsid w:val="00E44A86"/>
    <w:rsid w:val="00E522EB"/>
    <w:rsid w:val="00E60827"/>
    <w:rsid w:val="00E73FF6"/>
    <w:rsid w:val="00ED39AF"/>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742DC"/>
    <w:rPr>
      <w:color w:val="808080"/>
    </w:rPr>
  </w:style>
  <w:style w:type="paragraph" w:customStyle="1" w:styleId="CDB60824EC144AB3B75C05A5823BEE2D">
    <w:name w:val="CDB60824EC144AB3B75C05A5823BEE2D"/>
    <w:rsid w:val="005E4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3104-17A2-4C57-ACF9-F6C22EBD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16814</Characters>
  <Application>Microsoft Office Word</Application>
  <DocSecurity>0</DocSecurity>
  <Lines>140</Lines>
  <Paragraphs>38</Paragraphs>
  <ScaleCrop>false</ScaleCrop>
  <Company/>
  <LinksUpToDate>false</LinksUpToDate>
  <CharactersWithSpaces>19103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2025-08-05T15:48:00Z</dcterms:created>
  <dcterms:modified xsi:type="dcterms:W3CDTF">2025-08-05T15:48:00Z</dcterms:modified>
</cp:coreProperties>
</file>