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E5EB3" w14:textId="1955ADE3" w:rsidR="005F7602" w:rsidRPr="00DF4742" w:rsidRDefault="005F7602" w:rsidP="002946C7">
      <w:pPr>
        <w:ind w:left="5529"/>
      </w:pPr>
    </w:p>
    <w:p w14:paraId="12FA4B9E" w14:textId="77777777" w:rsidR="001B3C5B" w:rsidRPr="00DF4742" w:rsidRDefault="001B3C5B" w:rsidP="001B3C5B">
      <w:pPr>
        <w:ind w:left="6096"/>
      </w:pPr>
      <w:r w:rsidRPr="00DF4742">
        <w:t>Forma patvirtinta</w:t>
      </w:r>
    </w:p>
    <w:p w14:paraId="7206970B" w14:textId="70E9BD2E" w:rsidR="004C263A" w:rsidRPr="00DF4742" w:rsidRDefault="001B3C5B" w:rsidP="001B3C5B">
      <w:pPr>
        <w:ind w:left="6096"/>
      </w:pPr>
      <w:r w:rsidRPr="00DF4742">
        <w:t>Valstybinės vaistų kontrolės tarnybos prie Lietuvos Respublikos sveikatos apsaugos ministerijos viršininko 2021 m</w:t>
      </w:r>
      <w:r w:rsidR="004C263A" w:rsidRPr="00DF4742">
        <w:t xml:space="preserve">. lapkričio 12 </w:t>
      </w:r>
      <w:r w:rsidRPr="00DF4742">
        <w:t>d. įsakymu Nr.</w:t>
      </w:r>
      <w:r w:rsidR="004C263A" w:rsidRPr="00DF4742">
        <w:t xml:space="preserve"> (1.72E)1A-1418</w:t>
      </w:r>
    </w:p>
    <w:p w14:paraId="5B219AA6" w14:textId="520B9136" w:rsidR="001B3C5B" w:rsidRPr="00DF4742" w:rsidRDefault="004C263A" w:rsidP="001B3C5B">
      <w:pPr>
        <w:ind w:left="6096"/>
      </w:pPr>
      <w:r w:rsidRPr="00DF4742">
        <w:t>(Valstybinės vaistų kontrolės tarnybos prie Lietuvos Respublikos sveikatos apsaugos ministerijos viršininko 2022 m.                         d. įsakymo Nr.                    redakcija)</w:t>
      </w:r>
    </w:p>
    <w:p w14:paraId="3336BD74" w14:textId="77777777" w:rsidR="001B3C5B" w:rsidRPr="00DF4742" w:rsidRDefault="001B3C5B" w:rsidP="00FA4169"/>
    <w:p w14:paraId="77AFB67E" w14:textId="16397257" w:rsidR="00613501" w:rsidRPr="00DF4742" w:rsidRDefault="002F0E4F" w:rsidP="003B211A">
      <w:pPr>
        <w:jc w:val="center"/>
        <w:rPr>
          <w:b/>
          <w:bCs/>
          <w:caps/>
        </w:rPr>
      </w:pPr>
      <w:r w:rsidRPr="00DF4742">
        <w:rPr>
          <w:b/>
        </w:rPr>
        <w:t xml:space="preserve">REKOMENDACIJA DĖL VAISTINIO PREPARATO </w:t>
      </w:r>
      <w:r w:rsidRPr="00DF4742">
        <w:rPr>
          <w:b/>
          <w:bCs/>
          <w:caps/>
        </w:rPr>
        <w:t>Lietuvos Respublikos Sveikatos apsaugos ministerijos vaistinių preparatų ir medicinos pagalbos priemonių kompensavimo komisijai</w:t>
      </w:r>
    </w:p>
    <w:p w14:paraId="34E4395D" w14:textId="15FB10DF" w:rsidR="00B13D65" w:rsidRPr="00DF4742" w:rsidRDefault="00B13D65" w:rsidP="003B211A">
      <w:pPr>
        <w:jc w:val="center"/>
        <w:rPr>
          <w:b/>
        </w:rPr>
      </w:pPr>
    </w:p>
    <w:p w14:paraId="5DB96E59" w14:textId="6EA5CFD0" w:rsidR="00F02AD4" w:rsidRPr="00DF4742" w:rsidRDefault="00F02AD4" w:rsidP="00F02AD4">
      <w:pPr>
        <w:jc w:val="center"/>
        <w:rPr>
          <w:b/>
        </w:rPr>
      </w:pPr>
      <w:r w:rsidRPr="00DF4742">
        <w:rPr>
          <w:b/>
        </w:rPr>
        <w:t>Forxiga 5mg, 10 mg plėvele dengtos tabletės</w:t>
      </w:r>
    </w:p>
    <w:p w14:paraId="2DCB3216" w14:textId="77777777" w:rsidR="00F02AD4" w:rsidRPr="00DF4742" w:rsidRDefault="00F02AD4" w:rsidP="00F02AD4">
      <w:pPr>
        <w:jc w:val="center"/>
      </w:pPr>
    </w:p>
    <w:p w14:paraId="674D4317" w14:textId="77777777" w:rsidR="00F02AD4" w:rsidRPr="00DF4742" w:rsidRDefault="00F02AD4" w:rsidP="00F02AD4">
      <w:pPr>
        <w:jc w:val="center"/>
      </w:pPr>
      <w:r w:rsidRPr="00DF4742">
        <w:t>(</w:t>
      </w:r>
      <w:r w:rsidRPr="00DF4742">
        <w:rPr>
          <w:b/>
        </w:rPr>
        <w:t>Dapagliflozinas</w:t>
      </w:r>
      <w:r w:rsidRPr="00DF4742">
        <w:t>)</w:t>
      </w:r>
    </w:p>
    <w:p w14:paraId="1A13C60A" w14:textId="77777777" w:rsidR="00F02AD4" w:rsidRPr="00DF4742" w:rsidRDefault="00F02AD4" w:rsidP="00F02AD4">
      <w:pPr>
        <w:jc w:val="center"/>
      </w:pPr>
    </w:p>
    <w:p w14:paraId="03A12AB4" w14:textId="70558570" w:rsidR="00F02AD4" w:rsidRPr="00DF4742" w:rsidRDefault="00F02AD4" w:rsidP="00F02AD4">
      <w:pPr>
        <w:jc w:val="center"/>
        <w:rPr>
          <w:b/>
        </w:rPr>
      </w:pPr>
      <w:r w:rsidRPr="00DF4742">
        <w:rPr>
          <w:b/>
        </w:rPr>
        <w:t>STV</w:t>
      </w:r>
      <w:r w:rsidR="007D3260" w:rsidRPr="00DF4742">
        <w:rPr>
          <w:b/>
        </w:rPr>
        <w:t xml:space="preserve"> 207</w:t>
      </w:r>
    </w:p>
    <w:p w14:paraId="453197C8" w14:textId="77777777" w:rsidR="00D4708D" w:rsidRPr="00DF4742" w:rsidRDefault="00D4708D" w:rsidP="003B211A">
      <w:pPr>
        <w:jc w:val="center"/>
        <w:rPr>
          <w:b/>
        </w:rPr>
      </w:pPr>
    </w:p>
    <w:p w14:paraId="78C89D1C" w14:textId="0DEFFAA5" w:rsidR="00D4485B" w:rsidRPr="00DF4742" w:rsidRDefault="00B13D65" w:rsidP="00CC09D4">
      <w:pPr>
        <w:pStyle w:val="Sraopastraipa"/>
        <w:numPr>
          <w:ilvl w:val="0"/>
          <w:numId w:val="12"/>
        </w:numPr>
        <w:tabs>
          <w:tab w:val="left" w:pos="567"/>
        </w:tabs>
        <w:ind w:left="567" w:hanging="567"/>
        <w:rPr>
          <w:b/>
          <w:bCs/>
          <w:caps/>
        </w:rPr>
      </w:pPr>
      <w:r w:rsidRPr="00DF4742">
        <w:rPr>
          <w:b/>
          <w:bCs/>
          <w:caps/>
        </w:rPr>
        <w:t>Bendroji dalis</w:t>
      </w:r>
    </w:p>
    <w:p w14:paraId="04A7C7A7" w14:textId="77777777" w:rsidR="00B13D65" w:rsidRPr="00DF4742" w:rsidRDefault="00B13D65" w:rsidP="00E03C3F">
      <w:pPr>
        <w:pStyle w:val="Sraopastraipa"/>
        <w:tabs>
          <w:tab w:val="left" w:pos="284"/>
        </w:tabs>
        <w:ind w:left="0"/>
        <w:rPr>
          <w:b/>
          <w:bCs/>
          <w:caps/>
        </w:rPr>
      </w:pPr>
    </w:p>
    <w:tbl>
      <w:tblPr>
        <w:tblStyle w:val="Lentelstinklelis"/>
        <w:tblW w:w="9493" w:type="dxa"/>
        <w:tblLook w:val="04A0" w:firstRow="1" w:lastRow="0" w:firstColumn="1" w:lastColumn="0" w:noHBand="0" w:noVBand="1"/>
      </w:tblPr>
      <w:tblGrid>
        <w:gridCol w:w="632"/>
        <w:gridCol w:w="3694"/>
        <w:gridCol w:w="5167"/>
      </w:tblGrid>
      <w:tr w:rsidR="00F46FA2" w:rsidRPr="00DF4742" w14:paraId="18A83EC2" w14:textId="77777777" w:rsidTr="00BE7489">
        <w:trPr>
          <w:trHeight w:val="538"/>
        </w:trPr>
        <w:tc>
          <w:tcPr>
            <w:tcW w:w="632" w:type="dxa"/>
          </w:tcPr>
          <w:p w14:paraId="0646FBEA" w14:textId="35B320DF" w:rsidR="00F46FA2" w:rsidRPr="00DF4742" w:rsidRDefault="00F46FA2" w:rsidP="00F46FA2">
            <w:pPr>
              <w:rPr>
                <w:rFonts w:eastAsia="Arial"/>
                <w:b/>
                <w:bCs/>
              </w:rPr>
            </w:pPr>
            <w:r w:rsidRPr="00DF4742">
              <w:rPr>
                <w:rFonts w:eastAsia="Arial"/>
                <w:b/>
              </w:rPr>
              <w:t>1.1</w:t>
            </w:r>
          </w:p>
        </w:tc>
        <w:tc>
          <w:tcPr>
            <w:tcW w:w="3694" w:type="dxa"/>
          </w:tcPr>
          <w:p w14:paraId="3400E3E1" w14:textId="77777777" w:rsidR="00F46FA2" w:rsidRPr="00DF4742" w:rsidRDefault="00F46FA2" w:rsidP="00F46FA2">
            <w:pPr>
              <w:tabs>
                <w:tab w:val="left" w:pos="284"/>
              </w:tabs>
              <w:spacing w:line="280" w:lineRule="atLeast"/>
              <w:rPr>
                <w:rFonts w:eastAsia="Arial"/>
                <w:b/>
              </w:rPr>
            </w:pPr>
            <w:r w:rsidRPr="00DF4742">
              <w:rPr>
                <w:rFonts w:eastAsia="Arial"/>
                <w:b/>
              </w:rPr>
              <w:t>Pareiškėjas</w:t>
            </w:r>
          </w:p>
          <w:p w14:paraId="2AF240DC" w14:textId="77777777" w:rsidR="00F46FA2" w:rsidRPr="00DF4742" w:rsidRDefault="00F46FA2" w:rsidP="00F46FA2">
            <w:pPr>
              <w:rPr>
                <w:rFonts w:eastAsia="Arial"/>
                <w:b/>
                <w:bCs/>
              </w:rPr>
            </w:pPr>
          </w:p>
        </w:tc>
        <w:tc>
          <w:tcPr>
            <w:tcW w:w="5167" w:type="dxa"/>
          </w:tcPr>
          <w:p w14:paraId="2AAF0D91" w14:textId="5B6A0744" w:rsidR="00F46FA2" w:rsidRPr="00DF4742" w:rsidRDefault="00F46FA2" w:rsidP="00F46FA2">
            <w:pPr>
              <w:rPr>
                <w:rFonts w:eastAsia="Arial"/>
              </w:rPr>
            </w:pPr>
            <w:r w:rsidRPr="00DF4742">
              <w:t>UAB „AstraZeneca Lietuva“</w:t>
            </w:r>
          </w:p>
        </w:tc>
      </w:tr>
      <w:tr w:rsidR="00F46FA2" w:rsidRPr="00DF4742" w14:paraId="31998B0D" w14:textId="77777777" w:rsidTr="00BE7489">
        <w:trPr>
          <w:trHeight w:val="538"/>
        </w:trPr>
        <w:tc>
          <w:tcPr>
            <w:tcW w:w="632" w:type="dxa"/>
          </w:tcPr>
          <w:p w14:paraId="2005EC67" w14:textId="3A8FCD76" w:rsidR="00F46FA2" w:rsidRPr="00DF4742" w:rsidRDefault="00F46FA2" w:rsidP="00F46FA2">
            <w:pPr>
              <w:rPr>
                <w:rFonts w:eastAsia="Arial"/>
                <w:b/>
                <w:bCs/>
              </w:rPr>
            </w:pPr>
            <w:r w:rsidRPr="00DF4742">
              <w:rPr>
                <w:rFonts w:eastAsia="Arial"/>
                <w:b/>
              </w:rPr>
              <w:t>1.2</w:t>
            </w:r>
          </w:p>
        </w:tc>
        <w:tc>
          <w:tcPr>
            <w:tcW w:w="3694" w:type="dxa"/>
          </w:tcPr>
          <w:p w14:paraId="39C9F139" w14:textId="77777777" w:rsidR="00F46FA2" w:rsidRPr="00DF4742" w:rsidRDefault="00F46FA2" w:rsidP="00F46FA2">
            <w:pPr>
              <w:tabs>
                <w:tab w:val="left" w:pos="284"/>
              </w:tabs>
              <w:spacing w:line="280" w:lineRule="atLeast"/>
              <w:rPr>
                <w:b/>
                <w:bCs/>
                <w:color w:val="000000"/>
                <w:lang w:eastAsia="lt-LT"/>
              </w:rPr>
            </w:pPr>
            <w:r w:rsidRPr="00DF4742">
              <w:rPr>
                <w:b/>
                <w:bCs/>
                <w:color w:val="000000"/>
                <w:lang w:eastAsia="lt-LT"/>
              </w:rPr>
              <w:t xml:space="preserve">Registracijos data </w:t>
            </w:r>
          </w:p>
          <w:p w14:paraId="3A0DC096" w14:textId="77777777" w:rsidR="00F46FA2" w:rsidRPr="00DF4742" w:rsidRDefault="00F46FA2" w:rsidP="00F46FA2">
            <w:pPr>
              <w:rPr>
                <w:b/>
                <w:bCs/>
                <w:color w:val="000000"/>
                <w:lang w:eastAsia="lt-LT"/>
              </w:rPr>
            </w:pPr>
          </w:p>
        </w:tc>
        <w:tc>
          <w:tcPr>
            <w:tcW w:w="5167" w:type="dxa"/>
          </w:tcPr>
          <w:p w14:paraId="3CA218AD" w14:textId="795A9164" w:rsidR="00F46FA2" w:rsidRPr="00DF4742" w:rsidRDefault="00671238" w:rsidP="00F46FA2">
            <w:pPr>
              <w:rPr>
                <w:rStyle w:val="Style2"/>
              </w:rPr>
            </w:pPr>
            <w:sdt>
              <w:sdtPr>
                <w:rPr>
                  <w:sz w:val="32"/>
                </w:rPr>
                <w:alias w:val="Nurodykite konkrečią dieną"/>
                <w:tag w:val="Nurodykite pradžios datą"/>
                <w:id w:val="423238108"/>
                <w:placeholder>
                  <w:docPart w:val="594E77D65B87F241AFBD9F66C17B0CFD"/>
                </w:placeholder>
                <w15:color w:val="FFCC99"/>
                <w:date>
                  <w:dateFormat w:val="yyyy 'm.' MMMM d 'd.'"/>
                  <w:lid w:val="lt-LT"/>
                  <w:storeMappedDataAs w:val="dateTime"/>
                  <w:calendar w:val="gregorian"/>
                </w:date>
              </w:sdtPr>
              <w:sdtEndPr/>
              <w:sdtContent>
                <w:r w:rsidR="00F46FA2" w:rsidRPr="00DF4742">
                  <w:t>2012 m. lapkrič</w:t>
                </w:r>
                <w:r w:rsidR="00B201FC">
                  <w:t>i</w:t>
                </w:r>
                <w:r w:rsidR="00F46FA2" w:rsidRPr="00DF4742">
                  <w:t>o 12 d.</w:t>
                </w:r>
              </w:sdtContent>
            </w:sdt>
          </w:p>
        </w:tc>
      </w:tr>
      <w:tr w:rsidR="00F46FA2" w:rsidRPr="00DF4742" w14:paraId="15968AE1" w14:textId="77777777" w:rsidTr="00BE7489">
        <w:trPr>
          <w:trHeight w:val="1500"/>
        </w:trPr>
        <w:tc>
          <w:tcPr>
            <w:tcW w:w="632" w:type="dxa"/>
          </w:tcPr>
          <w:p w14:paraId="6A784245" w14:textId="633A850A" w:rsidR="00F46FA2" w:rsidRPr="00DF4742" w:rsidRDefault="00F46FA2" w:rsidP="00F46FA2">
            <w:pPr>
              <w:rPr>
                <w:rFonts w:eastAsia="Arial"/>
                <w:b/>
                <w:bCs/>
              </w:rPr>
            </w:pPr>
            <w:r w:rsidRPr="00DF4742">
              <w:rPr>
                <w:rFonts w:eastAsia="Arial"/>
                <w:b/>
              </w:rPr>
              <w:t>1.3</w:t>
            </w:r>
          </w:p>
        </w:tc>
        <w:tc>
          <w:tcPr>
            <w:tcW w:w="3694" w:type="dxa"/>
          </w:tcPr>
          <w:p w14:paraId="570EBF87" w14:textId="77777777" w:rsidR="00F46FA2" w:rsidRPr="00DF4742" w:rsidRDefault="00F46FA2" w:rsidP="00F46FA2">
            <w:pPr>
              <w:pStyle w:val="Betarp"/>
              <w:rPr>
                <w:rFonts w:ascii="Times New Roman" w:hAnsi="Times New Roman"/>
                <w:b/>
                <w:sz w:val="24"/>
                <w:szCs w:val="24"/>
              </w:rPr>
            </w:pPr>
            <w:r w:rsidRPr="00DF4742">
              <w:rPr>
                <w:rFonts w:ascii="Times New Roman" w:hAnsi="Times New Roman"/>
                <w:b/>
                <w:sz w:val="24"/>
                <w:szCs w:val="24"/>
              </w:rPr>
              <w:t xml:space="preserve">Paraiškos tipas </w:t>
            </w:r>
          </w:p>
          <w:p w14:paraId="6BD67149" w14:textId="77777777" w:rsidR="00F46FA2" w:rsidRPr="00DF4742" w:rsidRDefault="00F46FA2" w:rsidP="00F46FA2">
            <w:pPr>
              <w:rPr>
                <w:b/>
              </w:rPr>
            </w:pPr>
            <w:r w:rsidRPr="00DF4742">
              <w:rPr>
                <w:b/>
              </w:rPr>
              <w:t xml:space="preserve">(pagal </w:t>
            </w:r>
            <w:r w:rsidRPr="00DF4742">
              <w:rPr>
                <w:b/>
                <w:color w:val="333333"/>
                <w:shd w:val="clear" w:color="auto" w:fill="FFFFFF"/>
              </w:rPr>
              <w:t>vaistinio preparato registracijos tipą, įtvirtintą</w:t>
            </w:r>
            <w:r w:rsidRPr="00DF4742">
              <w:rPr>
                <w:b/>
              </w:rPr>
              <w:t xml:space="preserve"> Direktyvos 2001/83/EB straipsiuose)</w:t>
            </w:r>
          </w:p>
          <w:p w14:paraId="77089D80" w14:textId="6681D72A" w:rsidR="00F46FA2" w:rsidRPr="00DF4742" w:rsidRDefault="00F46FA2" w:rsidP="00F46FA2">
            <w:pPr>
              <w:rPr>
                <w:b/>
                <w:bCs/>
                <w:color w:val="000000"/>
                <w:lang w:eastAsia="lt-LT"/>
              </w:rPr>
            </w:pPr>
          </w:p>
        </w:tc>
        <w:tc>
          <w:tcPr>
            <w:tcW w:w="5167" w:type="dxa"/>
          </w:tcPr>
          <w:p w14:paraId="5FF0724E" w14:textId="77777777" w:rsidR="00F46FA2" w:rsidRPr="00DF4742" w:rsidRDefault="00671238" w:rsidP="00F46FA2">
            <w:sdt>
              <w:sdtPr>
                <w:rPr>
                  <w:rStyle w:val="Style2"/>
                </w:rPr>
                <w:id w:val="-366596377"/>
                <w15:color w:val="FFCC00"/>
                <w14:checkbox>
                  <w14:checked w14:val="1"/>
                  <w14:checkedState w14:val="2612" w14:font="MS Gothic"/>
                  <w14:uncheckedState w14:val="2610" w14:font="MS Gothic"/>
                </w14:checkbox>
              </w:sdtPr>
              <w:sdtEndPr>
                <w:rPr>
                  <w:rStyle w:val="Style2"/>
                </w:rPr>
              </w:sdtEndPr>
              <w:sdtContent>
                <w:r w:rsidR="00F46FA2" w:rsidRPr="00DF4742">
                  <w:rPr>
                    <w:rStyle w:val="Style2"/>
                    <w:rFonts w:ascii="MS Gothic" w:eastAsia="MS Gothic" w:hAnsi="MS Gothic"/>
                  </w:rPr>
                  <w:t>☒</w:t>
                </w:r>
              </w:sdtContent>
            </w:sdt>
            <w:r w:rsidR="00F46FA2" w:rsidRPr="00DF4742">
              <w:t xml:space="preserve"> 8.3 str. (pilna byla, pagrįsta savais tyrimais) </w:t>
            </w:r>
          </w:p>
          <w:p w14:paraId="265E0586" w14:textId="77777777" w:rsidR="00F46FA2" w:rsidRPr="00DF4742" w:rsidRDefault="00671238" w:rsidP="00F46FA2">
            <w:sdt>
              <w:sdtPr>
                <w:rPr>
                  <w:rStyle w:val="Style2"/>
                </w:rPr>
                <w:id w:val="675462298"/>
                <w15:color w:val="FFCC00"/>
                <w14:checkbox>
                  <w14:checked w14:val="0"/>
                  <w14:checkedState w14:val="2612" w14:font="MS Gothic"/>
                  <w14:uncheckedState w14:val="2610" w14:font="MS Gothic"/>
                </w14:checkbox>
              </w:sdtPr>
              <w:sdtEndPr>
                <w:rPr>
                  <w:rStyle w:val="Style2"/>
                </w:rPr>
              </w:sdtEndPr>
              <w:sdtContent>
                <w:r w:rsidR="00F46FA2" w:rsidRPr="00DF4742">
                  <w:rPr>
                    <w:rStyle w:val="Style2"/>
                    <w:rFonts w:ascii="Segoe UI Symbol" w:eastAsia="MS Gothic" w:hAnsi="Segoe UI Symbol" w:cs="Segoe UI Symbol"/>
                  </w:rPr>
                  <w:t>☐</w:t>
                </w:r>
              </w:sdtContent>
            </w:sdt>
            <w:r w:rsidR="00F46FA2" w:rsidRPr="00DF4742">
              <w:t xml:space="preserve"> 10 a str. (pripažintas medicininis vartojimas) </w:t>
            </w:r>
          </w:p>
          <w:p w14:paraId="0006A61F" w14:textId="77777777" w:rsidR="00F46FA2" w:rsidRPr="00DF4742" w:rsidRDefault="00671238" w:rsidP="00F46FA2">
            <w:sdt>
              <w:sdtPr>
                <w:rPr>
                  <w:rStyle w:val="Style2"/>
                </w:rPr>
                <w:id w:val="-1290435890"/>
                <w15:color w:val="FFCC00"/>
                <w14:checkbox>
                  <w14:checked w14:val="0"/>
                  <w14:checkedState w14:val="2612" w14:font="MS Gothic"/>
                  <w14:uncheckedState w14:val="2610" w14:font="MS Gothic"/>
                </w14:checkbox>
              </w:sdtPr>
              <w:sdtEndPr>
                <w:rPr>
                  <w:rStyle w:val="Style2"/>
                </w:rPr>
              </w:sdtEndPr>
              <w:sdtContent>
                <w:r w:rsidR="00F46FA2" w:rsidRPr="00DF4742">
                  <w:rPr>
                    <w:rStyle w:val="Style2"/>
                    <w:rFonts w:ascii="MS Gothic" w:eastAsia="MS Gothic" w:hAnsi="MS Gothic"/>
                  </w:rPr>
                  <w:t>☐</w:t>
                </w:r>
              </w:sdtContent>
            </w:sdt>
            <w:r w:rsidR="00F46FA2" w:rsidRPr="00DF4742">
              <w:t xml:space="preserve"> 10.1 str. (generinis)</w:t>
            </w:r>
          </w:p>
          <w:p w14:paraId="3B0A4F72" w14:textId="1A1FAED5" w:rsidR="00F46FA2" w:rsidRPr="00DF4742" w:rsidRDefault="00671238" w:rsidP="00F46FA2">
            <w:pPr>
              <w:rPr>
                <w:rStyle w:val="Style2"/>
                <w:sz w:val="24"/>
              </w:rPr>
            </w:pPr>
            <w:sdt>
              <w:sdtPr>
                <w:rPr>
                  <w:rStyle w:val="Style2"/>
                </w:rPr>
                <w:id w:val="-124545030"/>
                <w15:color w:val="FFCC00"/>
                <w14:checkbox>
                  <w14:checked w14:val="0"/>
                  <w14:checkedState w14:val="2612" w14:font="MS Gothic"/>
                  <w14:uncheckedState w14:val="2610" w14:font="MS Gothic"/>
                </w14:checkbox>
              </w:sdtPr>
              <w:sdtEndPr>
                <w:rPr>
                  <w:rStyle w:val="Style2"/>
                </w:rPr>
              </w:sdtEndPr>
              <w:sdtContent>
                <w:r w:rsidR="00F46FA2" w:rsidRPr="00DF4742">
                  <w:rPr>
                    <w:rStyle w:val="Style2"/>
                    <w:rFonts w:ascii="Segoe UI Symbol" w:eastAsia="MS Gothic" w:hAnsi="Segoe UI Symbol" w:cs="Segoe UI Symbol"/>
                  </w:rPr>
                  <w:t>☐</w:t>
                </w:r>
              </w:sdtContent>
            </w:sdt>
            <w:r w:rsidR="00F46FA2" w:rsidRPr="00DF4742">
              <w:t xml:space="preserve"> 10.3 str. (hibridinis)</w:t>
            </w:r>
          </w:p>
        </w:tc>
      </w:tr>
      <w:tr w:rsidR="00F46FA2" w:rsidRPr="00DF4742" w14:paraId="310E9662" w14:textId="77777777" w:rsidTr="00BE7489">
        <w:trPr>
          <w:trHeight w:val="1442"/>
        </w:trPr>
        <w:tc>
          <w:tcPr>
            <w:tcW w:w="632" w:type="dxa"/>
          </w:tcPr>
          <w:p w14:paraId="4B5A91A2" w14:textId="4B242117" w:rsidR="00F46FA2" w:rsidRPr="00DF4742" w:rsidRDefault="00F46FA2" w:rsidP="00F46FA2">
            <w:pPr>
              <w:rPr>
                <w:rFonts w:eastAsia="Arial"/>
                <w:b/>
                <w:bCs/>
              </w:rPr>
            </w:pPr>
            <w:r w:rsidRPr="00DF4742">
              <w:rPr>
                <w:rFonts w:eastAsia="Arial"/>
                <w:b/>
              </w:rPr>
              <w:t>1.4</w:t>
            </w:r>
          </w:p>
        </w:tc>
        <w:tc>
          <w:tcPr>
            <w:tcW w:w="3694" w:type="dxa"/>
          </w:tcPr>
          <w:p w14:paraId="483071A3" w14:textId="5ADC084B" w:rsidR="00F46FA2" w:rsidRPr="00DF4742" w:rsidRDefault="00F46FA2" w:rsidP="00F46FA2">
            <w:pPr>
              <w:tabs>
                <w:tab w:val="left" w:pos="284"/>
              </w:tabs>
              <w:spacing w:line="280" w:lineRule="atLeast"/>
              <w:rPr>
                <w:b/>
                <w:bCs/>
                <w:color w:val="000000"/>
                <w:lang w:eastAsia="lt-LT"/>
              </w:rPr>
            </w:pPr>
            <w:r w:rsidRPr="00DF4742">
              <w:rPr>
                <w:b/>
                <w:bCs/>
                <w:color w:val="000000"/>
                <w:lang w:eastAsia="lt-LT"/>
              </w:rPr>
              <w:t xml:space="preserve">Ar vaistinis preparatas įrašytas į Bendrijos retųjų vaistinių preparatų registrą? </w:t>
            </w:r>
          </w:p>
        </w:tc>
        <w:tc>
          <w:tcPr>
            <w:tcW w:w="5167" w:type="dxa"/>
          </w:tcPr>
          <w:p w14:paraId="547FBA1D" w14:textId="01E33BF7" w:rsidR="00F46FA2" w:rsidRPr="00DF4742" w:rsidRDefault="00671238" w:rsidP="00F46FA2">
            <w:sdt>
              <w:sdtPr>
                <w:rPr>
                  <w:rStyle w:val="Style2"/>
                </w:rPr>
                <w:id w:val="2024432173"/>
                <w15:color w:val="FFCC00"/>
                <w14:checkbox>
                  <w14:checked w14:val="0"/>
                  <w14:checkedState w14:val="2612" w14:font="MS Gothic"/>
                  <w14:uncheckedState w14:val="2610" w14:font="MS Gothic"/>
                </w14:checkbox>
              </w:sdtPr>
              <w:sdtEndPr>
                <w:rPr>
                  <w:rStyle w:val="Style2"/>
                </w:rPr>
              </w:sdtEndPr>
              <w:sdtContent>
                <w:r w:rsidR="00F46FA2" w:rsidRPr="00DF4742">
                  <w:rPr>
                    <w:rStyle w:val="Style2"/>
                    <w:rFonts w:ascii="MS Gothic" w:eastAsia="MS Gothic" w:hAnsi="MS Gothic"/>
                  </w:rPr>
                  <w:t>☐</w:t>
                </w:r>
              </w:sdtContent>
            </w:sdt>
            <w:r w:rsidR="00F46FA2" w:rsidRPr="00DF4742">
              <w:t xml:space="preserve"> Taip</w:t>
            </w:r>
          </w:p>
          <w:p w14:paraId="29C2CBBB" w14:textId="425D7DA0" w:rsidR="00F46FA2" w:rsidRPr="00DF4742" w:rsidRDefault="00671238" w:rsidP="00F46FA2">
            <w:sdt>
              <w:sdtPr>
                <w:rPr>
                  <w:rStyle w:val="Style2"/>
                </w:rPr>
                <w:id w:val="-970507926"/>
                <w15:color w:val="FFCC00"/>
                <w14:checkbox>
                  <w14:checked w14:val="1"/>
                  <w14:checkedState w14:val="2612" w14:font="MS Gothic"/>
                  <w14:uncheckedState w14:val="2610" w14:font="MS Gothic"/>
                </w14:checkbox>
              </w:sdtPr>
              <w:sdtEndPr>
                <w:rPr>
                  <w:rStyle w:val="Style2"/>
                </w:rPr>
              </w:sdtEndPr>
              <w:sdtContent>
                <w:r w:rsidR="00F46FA2" w:rsidRPr="00DF4742">
                  <w:rPr>
                    <w:rStyle w:val="Style2"/>
                    <w:rFonts w:ascii="MS Gothic" w:eastAsia="MS Gothic" w:hAnsi="MS Gothic"/>
                  </w:rPr>
                  <w:t>☒</w:t>
                </w:r>
              </w:sdtContent>
            </w:sdt>
            <w:r w:rsidR="00F46FA2" w:rsidRPr="00DF4742">
              <w:t xml:space="preserve"> Ne</w:t>
            </w:r>
          </w:p>
        </w:tc>
      </w:tr>
      <w:tr w:rsidR="00F46FA2" w:rsidRPr="00DF4742" w14:paraId="7841E5F8" w14:textId="77777777" w:rsidTr="00BE7489">
        <w:trPr>
          <w:trHeight w:val="476"/>
        </w:trPr>
        <w:tc>
          <w:tcPr>
            <w:tcW w:w="632" w:type="dxa"/>
          </w:tcPr>
          <w:p w14:paraId="109D2861" w14:textId="47EFD586" w:rsidR="00F46FA2" w:rsidRPr="00DF4742" w:rsidRDefault="00F46FA2" w:rsidP="00F46FA2">
            <w:pPr>
              <w:rPr>
                <w:rFonts w:eastAsia="Arial"/>
                <w:b/>
                <w:bCs/>
              </w:rPr>
            </w:pPr>
            <w:r w:rsidRPr="00DF4742">
              <w:rPr>
                <w:rFonts w:eastAsia="Arial"/>
                <w:b/>
              </w:rPr>
              <w:t>1.5</w:t>
            </w:r>
          </w:p>
        </w:tc>
        <w:tc>
          <w:tcPr>
            <w:tcW w:w="3694" w:type="dxa"/>
          </w:tcPr>
          <w:p w14:paraId="51CC1E09" w14:textId="77777777" w:rsidR="00F46FA2" w:rsidRPr="00DF4742" w:rsidRDefault="00F46FA2" w:rsidP="00F46FA2">
            <w:pPr>
              <w:tabs>
                <w:tab w:val="left" w:pos="284"/>
              </w:tabs>
              <w:spacing w:line="280" w:lineRule="atLeast"/>
              <w:rPr>
                <w:b/>
                <w:bCs/>
                <w:color w:val="000000"/>
                <w:lang w:eastAsia="lt-LT"/>
              </w:rPr>
            </w:pPr>
            <w:r w:rsidRPr="00DF4742">
              <w:rPr>
                <w:b/>
                <w:bCs/>
                <w:color w:val="000000"/>
                <w:lang w:eastAsia="lt-LT"/>
              </w:rPr>
              <w:t xml:space="preserve">Teikiama (-os) kompensuoti registruota (-os) vaistinio preparato indikacija (-os), </w:t>
            </w:r>
          </w:p>
          <w:p w14:paraId="06101C59" w14:textId="77777777" w:rsidR="00F46FA2" w:rsidRPr="00DF4742" w:rsidRDefault="00F46FA2" w:rsidP="00F46FA2">
            <w:pPr>
              <w:rPr>
                <w:b/>
                <w:bCs/>
                <w:color w:val="000000"/>
                <w:lang w:eastAsia="lt-LT"/>
              </w:rPr>
            </w:pPr>
          </w:p>
          <w:p w14:paraId="7822D63E" w14:textId="07F611A8" w:rsidR="00F46FA2" w:rsidRPr="00DF4742" w:rsidRDefault="00F46FA2" w:rsidP="00F46FA2">
            <w:pPr>
              <w:rPr>
                <w:b/>
                <w:bCs/>
                <w:color w:val="000000"/>
                <w:lang w:eastAsia="lt-LT"/>
              </w:rPr>
            </w:pPr>
            <w:r w:rsidRPr="00DF4742">
              <w:rPr>
                <w:b/>
                <w:bCs/>
                <w:color w:val="000000"/>
                <w:lang w:eastAsia="lt-LT"/>
              </w:rPr>
              <w:t>TLK kodas</w:t>
            </w:r>
          </w:p>
        </w:tc>
        <w:tc>
          <w:tcPr>
            <w:tcW w:w="5167" w:type="dxa"/>
          </w:tcPr>
          <w:p w14:paraId="080FF1C8" w14:textId="77777777" w:rsidR="00F46FA2" w:rsidRPr="00DF4742" w:rsidRDefault="00F46FA2" w:rsidP="00F46FA2">
            <w:pPr>
              <w:pStyle w:val="Sraopastraipa"/>
              <w:spacing w:after="120"/>
              <w:ind w:left="0"/>
              <w:contextualSpacing w:val="0"/>
              <w:jc w:val="both"/>
            </w:pPr>
            <w:r w:rsidRPr="00DF4742">
              <w:t>Forxiga skirta gydyti suaugusiesiems, sergantiems lėtine inkstų liga.</w:t>
            </w:r>
          </w:p>
          <w:p w14:paraId="66BB4618" w14:textId="77777777" w:rsidR="00F46FA2" w:rsidRPr="00DF4742" w:rsidRDefault="00F46FA2" w:rsidP="00F46FA2">
            <w:pPr>
              <w:pStyle w:val="Sraopastraipa"/>
              <w:spacing w:after="120"/>
              <w:ind w:left="0"/>
              <w:contextualSpacing w:val="0"/>
              <w:jc w:val="both"/>
            </w:pPr>
          </w:p>
          <w:p w14:paraId="6B8213E3" w14:textId="397CE8A7" w:rsidR="00F46FA2" w:rsidRPr="00DF4742" w:rsidRDefault="00F46FA2" w:rsidP="00F46FA2">
            <w:r w:rsidRPr="00DF4742">
              <w:t>N18</w:t>
            </w:r>
          </w:p>
        </w:tc>
      </w:tr>
      <w:tr w:rsidR="00F46FA2" w:rsidRPr="00DF4742" w14:paraId="274D1DAF" w14:textId="77777777" w:rsidTr="00F02AD4">
        <w:trPr>
          <w:trHeight w:val="1421"/>
        </w:trPr>
        <w:tc>
          <w:tcPr>
            <w:tcW w:w="632" w:type="dxa"/>
          </w:tcPr>
          <w:p w14:paraId="17ABF217" w14:textId="428B070F" w:rsidR="00F46FA2" w:rsidRPr="00DF4742" w:rsidRDefault="00F46FA2" w:rsidP="00F46FA2">
            <w:pPr>
              <w:rPr>
                <w:rFonts w:eastAsia="Arial"/>
                <w:b/>
                <w:bCs/>
              </w:rPr>
            </w:pPr>
            <w:r w:rsidRPr="00DF4742">
              <w:rPr>
                <w:rFonts w:eastAsia="Arial"/>
                <w:b/>
              </w:rPr>
              <w:t>1.6</w:t>
            </w:r>
          </w:p>
        </w:tc>
        <w:tc>
          <w:tcPr>
            <w:tcW w:w="3694" w:type="dxa"/>
          </w:tcPr>
          <w:p w14:paraId="6B4FEEC1" w14:textId="47787541" w:rsidR="00F46FA2" w:rsidRPr="00DF4742" w:rsidRDefault="00F46FA2" w:rsidP="00F46FA2">
            <w:pPr>
              <w:rPr>
                <w:b/>
                <w:bCs/>
                <w:color w:val="000000"/>
                <w:lang w:eastAsia="lt-LT"/>
              </w:rPr>
            </w:pPr>
            <w:r w:rsidRPr="00DF4742">
              <w:rPr>
                <w:b/>
                <w:bCs/>
                <w:color w:val="000000"/>
                <w:lang w:eastAsia="lt-LT"/>
              </w:rPr>
              <w:t xml:space="preserve">Teikiamos skyrimo sąlygos </w:t>
            </w:r>
          </w:p>
        </w:tc>
        <w:tc>
          <w:tcPr>
            <w:tcW w:w="5167" w:type="dxa"/>
          </w:tcPr>
          <w:p w14:paraId="13F7DFB0" w14:textId="002F78CF" w:rsidR="00F46FA2" w:rsidRPr="00DF4742" w:rsidRDefault="00F46FA2" w:rsidP="00F46FA2">
            <w:pPr>
              <w:pStyle w:val="Sraopastraipa"/>
              <w:spacing w:after="120"/>
              <w:ind w:left="0"/>
              <w:contextualSpacing w:val="0"/>
              <w:jc w:val="both"/>
            </w:pPr>
            <w:r w:rsidRPr="00DF4742">
              <w:t>Pagal registruotą indikaciją.</w:t>
            </w:r>
          </w:p>
        </w:tc>
      </w:tr>
      <w:tr w:rsidR="00F46FA2" w:rsidRPr="00DF4742" w14:paraId="2F79DC08" w14:textId="77777777" w:rsidTr="00BE7489">
        <w:trPr>
          <w:trHeight w:val="378"/>
        </w:trPr>
        <w:tc>
          <w:tcPr>
            <w:tcW w:w="632" w:type="dxa"/>
          </w:tcPr>
          <w:p w14:paraId="547885A2" w14:textId="269A6A52" w:rsidR="00F46FA2" w:rsidRPr="00DF4742" w:rsidRDefault="00F46FA2" w:rsidP="00F46FA2">
            <w:pPr>
              <w:rPr>
                <w:rFonts w:eastAsia="Arial"/>
                <w:b/>
                <w:bCs/>
              </w:rPr>
            </w:pPr>
            <w:r w:rsidRPr="00DF4742">
              <w:rPr>
                <w:rFonts w:eastAsia="Arial"/>
                <w:b/>
              </w:rPr>
              <w:t>1.7</w:t>
            </w:r>
          </w:p>
        </w:tc>
        <w:tc>
          <w:tcPr>
            <w:tcW w:w="3694" w:type="dxa"/>
          </w:tcPr>
          <w:p w14:paraId="2EAB877F" w14:textId="0F2F5A42" w:rsidR="00F46FA2" w:rsidRPr="00DF4742" w:rsidRDefault="00F46FA2" w:rsidP="00F46FA2">
            <w:pPr>
              <w:rPr>
                <w:b/>
                <w:bCs/>
                <w:color w:val="000000"/>
                <w:u w:val="single"/>
                <w:lang w:eastAsia="lt-LT"/>
              </w:rPr>
            </w:pPr>
            <w:r w:rsidRPr="00DF4742">
              <w:rPr>
                <w:b/>
                <w:bCs/>
                <w:color w:val="000000"/>
                <w:lang w:eastAsia="lt-LT"/>
              </w:rPr>
              <w:t xml:space="preserve">Palyginamasis gydymas </w:t>
            </w:r>
          </w:p>
        </w:tc>
        <w:tc>
          <w:tcPr>
            <w:tcW w:w="5167" w:type="dxa"/>
          </w:tcPr>
          <w:p w14:paraId="0579DF58" w14:textId="0942AF18" w:rsidR="00F46FA2" w:rsidRPr="00DF4742" w:rsidRDefault="00F46FA2" w:rsidP="0024319B">
            <w:r w:rsidRPr="00DF4742">
              <w:rPr>
                <w:rStyle w:val="Style2"/>
                <w:sz w:val="24"/>
              </w:rPr>
              <w:t>Placeb</w:t>
            </w:r>
            <w:r w:rsidR="0024319B" w:rsidRPr="00DF4742">
              <w:rPr>
                <w:rStyle w:val="Style2"/>
                <w:sz w:val="24"/>
              </w:rPr>
              <w:t>as</w:t>
            </w:r>
            <w:r w:rsidRPr="00DF4742">
              <w:rPr>
                <w:rStyle w:val="Style2"/>
                <w:sz w:val="24"/>
              </w:rPr>
              <w:t xml:space="preserve"> - tinkamas</w:t>
            </w:r>
          </w:p>
        </w:tc>
      </w:tr>
    </w:tbl>
    <w:p w14:paraId="108176F7" w14:textId="640C6F75" w:rsidR="00F70C9E" w:rsidRPr="00DF4742" w:rsidRDefault="00F70C9E" w:rsidP="00E03C3F">
      <w:pPr>
        <w:pStyle w:val="Sraopastraipa"/>
        <w:tabs>
          <w:tab w:val="left" w:pos="426"/>
        </w:tabs>
        <w:ind w:left="0"/>
        <w:rPr>
          <w:b/>
          <w:bCs/>
          <w:caps/>
        </w:rPr>
      </w:pPr>
    </w:p>
    <w:p w14:paraId="30721FDD" w14:textId="69B6B42A" w:rsidR="00F70C9E" w:rsidRPr="00DF4742" w:rsidRDefault="00F70C9E" w:rsidP="00F02AD4">
      <w:pPr>
        <w:spacing w:line="276" w:lineRule="auto"/>
        <w:jc w:val="both"/>
        <w:rPr>
          <w:rFonts w:eastAsia="Arial"/>
          <w:b/>
        </w:rPr>
      </w:pPr>
      <w:r w:rsidRPr="00DF4742">
        <w:rPr>
          <w:rFonts w:eastAsia="Arial"/>
          <w:b/>
        </w:rPr>
        <w:t xml:space="preserve">1.8 Kitų </w:t>
      </w:r>
      <w:r w:rsidR="00DF583C" w:rsidRPr="00DF4742">
        <w:rPr>
          <w:rFonts w:eastAsia="Arial"/>
          <w:b/>
        </w:rPr>
        <w:t xml:space="preserve">valstybių </w:t>
      </w:r>
      <w:r w:rsidRPr="00DF4742">
        <w:rPr>
          <w:rFonts w:eastAsia="Arial"/>
          <w:b/>
        </w:rPr>
        <w:t xml:space="preserve">atsakingų institucijų atlikto </w:t>
      </w:r>
      <w:r w:rsidR="00DF583C" w:rsidRPr="00DF4742">
        <w:rPr>
          <w:rFonts w:eastAsia="Arial"/>
          <w:b/>
        </w:rPr>
        <w:t>Sveikatos technologijų vertinimo (toliau – STV)</w:t>
      </w:r>
      <w:r w:rsidRPr="00DF4742">
        <w:rPr>
          <w:rFonts w:eastAsia="Arial"/>
          <w:b/>
        </w:rPr>
        <w:t xml:space="preserve"> išvados</w:t>
      </w:r>
    </w:p>
    <w:p w14:paraId="690104D2" w14:textId="77777777" w:rsidR="00F02AD4" w:rsidRPr="00DF4742" w:rsidRDefault="00F02AD4" w:rsidP="00F02AD4">
      <w:pPr>
        <w:spacing w:line="276" w:lineRule="auto"/>
        <w:rPr>
          <w:rFonts w:eastAsia="Arial"/>
        </w:rPr>
      </w:pPr>
    </w:p>
    <w:tbl>
      <w:tblPr>
        <w:tblStyle w:val="Lentelstinklelis"/>
        <w:tblW w:w="9918" w:type="dxa"/>
        <w:tblLook w:val="04A0" w:firstRow="1" w:lastRow="0" w:firstColumn="1" w:lastColumn="0" w:noHBand="0" w:noVBand="1"/>
      </w:tblPr>
      <w:tblGrid>
        <w:gridCol w:w="2927"/>
        <w:gridCol w:w="1915"/>
        <w:gridCol w:w="2351"/>
        <w:gridCol w:w="2725"/>
      </w:tblGrid>
      <w:tr w:rsidR="00F02AD4" w:rsidRPr="00DF4742" w14:paraId="6B46CD09" w14:textId="77777777" w:rsidTr="00AE25D6">
        <w:trPr>
          <w:trHeight w:val="924"/>
        </w:trPr>
        <w:tc>
          <w:tcPr>
            <w:tcW w:w="2927" w:type="dxa"/>
          </w:tcPr>
          <w:p w14:paraId="6722D0C4" w14:textId="77777777" w:rsidR="00F02AD4" w:rsidRPr="00DF4742" w:rsidRDefault="00F02AD4" w:rsidP="00AE25D6">
            <w:pPr>
              <w:spacing w:line="276" w:lineRule="auto"/>
              <w:rPr>
                <w:rFonts w:eastAsia="Arial"/>
              </w:rPr>
            </w:pPr>
            <w:r w:rsidRPr="00DF4742">
              <w:rPr>
                <w:rFonts w:eastAsia="Arial"/>
              </w:rPr>
              <w:t>STV agentūros pavadinimas, šalis</w:t>
            </w:r>
          </w:p>
        </w:tc>
        <w:tc>
          <w:tcPr>
            <w:tcW w:w="1915" w:type="dxa"/>
          </w:tcPr>
          <w:p w14:paraId="3DAFDF4C" w14:textId="77777777" w:rsidR="00F02AD4" w:rsidRPr="00DF4742" w:rsidRDefault="00F02AD4" w:rsidP="00AE25D6">
            <w:pPr>
              <w:spacing w:line="276" w:lineRule="auto"/>
              <w:rPr>
                <w:rFonts w:eastAsia="Arial"/>
              </w:rPr>
            </w:pPr>
            <w:r w:rsidRPr="00DF4742">
              <w:rPr>
                <w:rFonts w:eastAsia="Arial"/>
              </w:rPr>
              <w:t>STV vertinimas atliktas</w:t>
            </w:r>
          </w:p>
        </w:tc>
        <w:tc>
          <w:tcPr>
            <w:tcW w:w="2351" w:type="dxa"/>
          </w:tcPr>
          <w:p w14:paraId="1F163643" w14:textId="77777777" w:rsidR="00F02AD4" w:rsidRPr="00DF4742" w:rsidRDefault="00F02AD4" w:rsidP="00AE25D6">
            <w:pPr>
              <w:spacing w:line="276" w:lineRule="auto"/>
              <w:rPr>
                <w:rFonts w:eastAsia="Arial"/>
              </w:rPr>
            </w:pPr>
            <w:r w:rsidRPr="00DF4742">
              <w:rPr>
                <w:rFonts w:eastAsia="Arial"/>
              </w:rPr>
              <w:t>Klinikinio vertinimo išvada</w:t>
            </w:r>
          </w:p>
        </w:tc>
        <w:tc>
          <w:tcPr>
            <w:tcW w:w="2725" w:type="dxa"/>
          </w:tcPr>
          <w:p w14:paraId="322C5F0A" w14:textId="77777777" w:rsidR="00F02AD4" w:rsidRPr="00DF4742" w:rsidRDefault="00F02AD4" w:rsidP="00AE25D6">
            <w:pPr>
              <w:spacing w:line="276" w:lineRule="auto"/>
              <w:rPr>
                <w:rFonts w:eastAsia="Arial"/>
              </w:rPr>
            </w:pPr>
            <w:r w:rsidRPr="00DF4742">
              <w:rPr>
                <w:rFonts w:eastAsia="Arial"/>
              </w:rPr>
              <w:t>Farmakoekonominio vertinimo išvada</w:t>
            </w:r>
          </w:p>
        </w:tc>
      </w:tr>
      <w:tr w:rsidR="00F02AD4" w:rsidRPr="00DF4742" w14:paraId="1B5CAF79" w14:textId="77777777" w:rsidTr="00AE25D6">
        <w:trPr>
          <w:trHeight w:val="1765"/>
        </w:trPr>
        <w:tc>
          <w:tcPr>
            <w:tcW w:w="2927" w:type="dxa"/>
          </w:tcPr>
          <w:p w14:paraId="1634BA46" w14:textId="77777777" w:rsidR="00F02AD4" w:rsidRPr="00DF4742" w:rsidRDefault="00F02AD4" w:rsidP="00AE25D6">
            <w:pPr>
              <w:autoSpaceDE w:val="0"/>
              <w:autoSpaceDN w:val="0"/>
              <w:adjustRightInd w:val="0"/>
              <w:rPr>
                <w:bCs/>
              </w:rPr>
            </w:pPr>
            <w:r w:rsidRPr="00DF4742">
              <w:rPr>
                <w:bCs/>
              </w:rPr>
              <w:t>Nacionalinis sveikatos ir klinikinės kompetencijos institutas, Didžioji Britanija</w:t>
            </w:r>
          </w:p>
          <w:p w14:paraId="7FDAC766" w14:textId="77777777" w:rsidR="00F02AD4" w:rsidRPr="00DF4742" w:rsidRDefault="00F02AD4" w:rsidP="00AE25D6">
            <w:pPr>
              <w:spacing w:line="276" w:lineRule="auto"/>
              <w:rPr>
                <w:rFonts w:eastAsia="Arial"/>
              </w:rPr>
            </w:pPr>
            <w:r w:rsidRPr="00DF4742">
              <w:rPr>
                <w:rFonts w:eastAsia="Arial"/>
              </w:rPr>
              <w:t xml:space="preserve">(angl. </w:t>
            </w:r>
            <w:r w:rsidRPr="00DF4742">
              <w:rPr>
                <w:rFonts w:eastAsia="Arial"/>
                <w:i/>
              </w:rPr>
              <w:t>National Institute for Health and Care Excellence, NICE</w:t>
            </w:r>
            <w:r w:rsidRPr="00DF4742">
              <w:rPr>
                <w:rFonts w:eastAsia="Arial"/>
              </w:rPr>
              <w:t>)</w:t>
            </w:r>
          </w:p>
        </w:tc>
        <w:tc>
          <w:tcPr>
            <w:tcW w:w="1915" w:type="dxa"/>
          </w:tcPr>
          <w:p w14:paraId="07208833" w14:textId="77777777" w:rsidR="00F02AD4" w:rsidRPr="00DF4742" w:rsidRDefault="00671238" w:rsidP="00AE25D6">
            <w:sdt>
              <w:sdtPr>
                <w:rPr>
                  <w:rStyle w:val="Style2"/>
                </w:rPr>
                <w:id w:val="1558205022"/>
                <w15:color w:val="FFCC00"/>
                <w14:checkbox>
                  <w14:checked w14:val="1"/>
                  <w14:checkedState w14:val="2612" w14:font="MS Gothic"/>
                  <w14:uncheckedState w14:val="2610" w14:font="MS Gothic"/>
                </w14:checkbox>
              </w:sdtPr>
              <w:sdtEndPr>
                <w:rPr>
                  <w:rStyle w:val="Style2"/>
                </w:rPr>
              </w:sdtEndPr>
              <w:sdtContent>
                <w:r w:rsidR="00F02AD4" w:rsidRPr="00DF4742">
                  <w:rPr>
                    <w:rStyle w:val="Style2"/>
                    <w:rFonts w:ascii="MS Gothic" w:eastAsia="MS Gothic" w:hAnsi="MS Gothic"/>
                  </w:rPr>
                  <w:t>☒</w:t>
                </w:r>
              </w:sdtContent>
            </w:sdt>
            <w:r w:rsidR="00F02AD4" w:rsidRPr="00DF4742">
              <w:t xml:space="preserve"> Taip</w:t>
            </w:r>
          </w:p>
          <w:p w14:paraId="0615AEA0" w14:textId="77777777" w:rsidR="00F02AD4" w:rsidRPr="00DF4742" w:rsidRDefault="00671238" w:rsidP="00AE25D6">
            <w:sdt>
              <w:sdtPr>
                <w:rPr>
                  <w:rStyle w:val="Style2"/>
                </w:rPr>
                <w:id w:val="866029625"/>
                <w15:color w:val="FFCC00"/>
                <w14:checkbox>
                  <w14:checked w14:val="0"/>
                  <w14:checkedState w14:val="2612" w14:font="MS Gothic"/>
                  <w14:uncheckedState w14:val="2610" w14:font="MS Gothic"/>
                </w14:checkbox>
              </w:sdtPr>
              <w:sdtEndPr>
                <w:rPr>
                  <w:rStyle w:val="Style2"/>
                </w:rPr>
              </w:sdtEndPr>
              <w:sdtContent>
                <w:r w:rsidR="00F02AD4" w:rsidRPr="00DF4742">
                  <w:rPr>
                    <w:rStyle w:val="Style2"/>
                    <w:rFonts w:ascii="MS Gothic" w:eastAsia="MS Gothic" w:hAnsi="MS Gothic"/>
                  </w:rPr>
                  <w:t>☐</w:t>
                </w:r>
              </w:sdtContent>
            </w:sdt>
            <w:r w:rsidR="00F02AD4" w:rsidRPr="00DF4742">
              <w:t xml:space="preserve"> Ne</w:t>
            </w:r>
          </w:p>
          <w:p w14:paraId="08D8D60B" w14:textId="77777777" w:rsidR="00F02AD4" w:rsidRPr="00DF4742" w:rsidRDefault="00671238" w:rsidP="00AE25D6">
            <w:pPr>
              <w:rPr>
                <w:rFonts w:eastAsia="Arial"/>
              </w:rPr>
            </w:pPr>
            <w:sdt>
              <w:sdtPr>
                <w:alias w:val="Nurodykite konkrečią dieną"/>
                <w:tag w:val="Nurodykite pradžios datą"/>
                <w:id w:val="922837954"/>
                <w:placeholder>
                  <w:docPart w:val="DBE612ECC4874011BE5A5DF5079DB1A6"/>
                </w:placeholder>
                <w15:color w:val="FFCC99"/>
                <w:date>
                  <w:dateFormat w:val="yyyy 'm.' MMMM d 'd.'"/>
                  <w:lid w:val="lt-LT"/>
                  <w:storeMappedDataAs w:val="dateTime"/>
                  <w:calendar w:val="gregorian"/>
                </w:date>
              </w:sdtPr>
              <w:sdtEndPr/>
              <w:sdtContent>
                <w:r w:rsidR="00F02AD4" w:rsidRPr="00DF4742">
                  <w:t>2022 kovo 9 d.</w:t>
                </w:r>
              </w:sdtContent>
            </w:sdt>
          </w:p>
        </w:tc>
        <w:tc>
          <w:tcPr>
            <w:tcW w:w="2351" w:type="dxa"/>
          </w:tcPr>
          <w:p w14:paraId="01981407" w14:textId="3726C352" w:rsidR="00F02AD4" w:rsidRPr="00DF4742" w:rsidRDefault="00F02AD4" w:rsidP="00AE25D6">
            <w:pPr>
              <w:spacing w:line="276" w:lineRule="auto"/>
              <w:rPr>
                <w:rFonts w:eastAsia="Arial"/>
              </w:rPr>
            </w:pPr>
            <w:r w:rsidRPr="00DF4742">
              <w:rPr>
                <w:rFonts w:eastAsia="Arial"/>
              </w:rPr>
              <w:t xml:space="preserve">Dapagliflozinas rekomenduojamas </w:t>
            </w:r>
            <w:r w:rsidR="005D6F9C" w:rsidRPr="00DF4742">
              <w:rPr>
                <w:rFonts w:eastAsia="Arial"/>
              </w:rPr>
              <w:t>lėtinės inkstų ligos (</w:t>
            </w:r>
            <w:r w:rsidRPr="00DF4742">
              <w:rPr>
                <w:rFonts w:eastAsia="Arial"/>
              </w:rPr>
              <w:t>LIL</w:t>
            </w:r>
            <w:r w:rsidR="005D6F9C" w:rsidRPr="00DF4742">
              <w:rPr>
                <w:rFonts w:eastAsia="Arial"/>
              </w:rPr>
              <w:t>0</w:t>
            </w:r>
            <w:r w:rsidRPr="00DF4742">
              <w:rPr>
                <w:rFonts w:eastAsia="Arial"/>
              </w:rPr>
              <w:t xml:space="preserve"> gydym</w:t>
            </w:r>
            <w:r w:rsidR="005D6F9C" w:rsidRPr="00DF4742">
              <w:rPr>
                <w:rFonts w:eastAsia="Arial"/>
              </w:rPr>
              <w:t>ui</w:t>
            </w:r>
            <w:r w:rsidRPr="00DF4742">
              <w:rPr>
                <w:rFonts w:eastAsia="Arial"/>
              </w:rPr>
              <w:t xml:space="preserve"> suaugusiems pacientams tik jei atitinka abi sąlygas:</w:t>
            </w:r>
          </w:p>
          <w:p w14:paraId="42451494" w14:textId="77777777" w:rsidR="00F02AD4" w:rsidRPr="00DF4742" w:rsidRDefault="00F02AD4" w:rsidP="00AE25D6">
            <w:pPr>
              <w:spacing w:line="276" w:lineRule="auto"/>
              <w:rPr>
                <w:rFonts w:eastAsia="Arial"/>
              </w:rPr>
            </w:pPr>
            <w:r w:rsidRPr="00DF4742">
              <w:rPr>
                <w:rFonts w:eastAsia="Arial"/>
              </w:rPr>
              <w:t>Tai yra papildomas gydymas esant optimizuotam standartiniam gydymui, įskaitant maksimalioms toleruojamoms AKF inhibitorių arba ARB dozėms, nebent šie preparatai kontraindikuotini,</w:t>
            </w:r>
          </w:p>
          <w:p w14:paraId="6F3348E8" w14:textId="77777777" w:rsidR="00F02AD4" w:rsidRPr="00DF4742" w:rsidRDefault="00F02AD4" w:rsidP="00AE25D6">
            <w:pPr>
              <w:spacing w:line="276" w:lineRule="auto"/>
              <w:rPr>
                <w:rFonts w:eastAsia="Arial"/>
              </w:rPr>
            </w:pPr>
            <w:r w:rsidRPr="00DF4742">
              <w:rPr>
                <w:rFonts w:eastAsia="Arial"/>
              </w:rPr>
              <w:t>Pacientų apskaičiuotas GFG yra nuo 25 ml/min/1,73 m</w:t>
            </w:r>
            <w:r w:rsidRPr="00B201FC">
              <w:rPr>
                <w:rFonts w:eastAsia="Arial"/>
                <w:vertAlign w:val="superscript"/>
              </w:rPr>
              <w:t>2</w:t>
            </w:r>
            <w:r w:rsidRPr="00DF4742">
              <w:rPr>
                <w:rFonts w:eastAsia="Arial"/>
              </w:rPr>
              <w:t xml:space="preserve"> iki 75 ml/min/1,73 m</w:t>
            </w:r>
            <w:r w:rsidRPr="00B201FC">
              <w:rPr>
                <w:rFonts w:eastAsia="Arial"/>
                <w:vertAlign w:val="superscript"/>
              </w:rPr>
              <w:t>2</w:t>
            </w:r>
            <w:r w:rsidRPr="00DF4742">
              <w:rPr>
                <w:rFonts w:eastAsia="Arial"/>
              </w:rPr>
              <w:t xml:space="preserve"> gydymo pradžioje ir pacientas serga 2 tipo diabetu arba šlapimo albumino/kretinino santykis yra 22,6 mg/mmol arba didesnis.</w:t>
            </w:r>
          </w:p>
          <w:p w14:paraId="1D80DB1A" w14:textId="77777777" w:rsidR="00F02AD4" w:rsidRPr="00DF4742" w:rsidRDefault="00F02AD4" w:rsidP="00AE25D6">
            <w:pPr>
              <w:spacing w:line="276" w:lineRule="auto"/>
              <w:rPr>
                <w:rFonts w:eastAsia="Arial"/>
              </w:rPr>
            </w:pPr>
          </w:p>
        </w:tc>
        <w:tc>
          <w:tcPr>
            <w:tcW w:w="2725" w:type="dxa"/>
          </w:tcPr>
          <w:p w14:paraId="736240CB" w14:textId="77777777" w:rsidR="00F02AD4" w:rsidRPr="00DF4742" w:rsidRDefault="00F02AD4" w:rsidP="00AE25D6">
            <w:pPr>
              <w:spacing w:line="276" w:lineRule="auto"/>
              <w:rPr>
                <w:rFonts w:eastAsia="Arial"/>
              </w:rPr>
            </w:pPr>
            <w:r w:rsidRPr="00DF4742">
              <w:rPr>
                <w:rFonts w:eastAsia="Arial"/>
              </w:rPr>
              <w:t>Kaštų naudingumo analizė rodo £6,000 per QALY naudą.</w:t>
            </w:r>
          </w:p>
        </w:tc>
      </w:tr>
      <w:tr w:rsidR="00F02AD4" w:rsidRPr="00DF4742" w14:paraId="18107A98" w14:textId="77777777" w:rsidTr="00AE25D6">
        <w:trPr>
          <w:trHeight w:val="1547"/>
        </w:trPr>
        <w:tc>
          <w:tcPr>
            <w:tcW w:w="2927" w:type="dxa"/>
          </w:tcPr>
          <w:p w14:paraId="4DC47505" w14:textId="77777777" w:rsidR="00F02AD4" w:rsidRPr="00DF4742" w:rsidRDefault="00F02AD4" w:rsidP="00AE25D6">
            <w:pPr>
              <w:spacing w:line="276" w:lineRule="auto"/>
              <w:rPr>
                <w:rFonts w:eastAsia="Arial"/>
              </w:rPr>
            </w:pPr>
            <w:r w:rsidRPr="00DF4742">
              <w:rPr>
                <w:rFonts w:eastAsia="Arial"/>
              </w:rPr>
              <w:t>Kanados sveikatos technologijų agentūra</w:t>
            </w:r>
          </w:p>
          <w:p w14:paraId="04CA2646" w14:textId="77777777" w:rsidR="00F02AD4" w:rsidRPr="00DF4742" w:rsidRDefault="00F02AD4" w:rsidP="00AE25D6">
            <w:pPr>
              <w:spacing w:line="276" w:lineRule="auto"/>
              <w:rPr>
                <w:rFonts w:eastAsia="Arial"/>
              </w:rPr>
            </w:pPr>
            <w:r w:rsidRPr="00DF4742">
              <w:rPr>
                <w:rFonts w:eastAsia="Arial"/>
              </w:rPr>
              <w:t xml:space="preserve">(angl. </w:t>
            </w:r>
            <w:r w:rsidRPr="00DF4742">
              <w:rPr>
                <w:rFonts w:eastAsia="Arial"/>
                <w:i/>
              </w:rPr>
              <w:t>Canadian health Technology Assessment agency, CADTH</w:t>
            </w:r>
            <w:r w:rsidRPr="00DF4742">
              <w:rPr>
                <w:rFonts w:eastAsia="Arial"/>
              </w:rPr>
              <w:t>)</w:t>
            </w:r>
          </w:p>
        </w:tc>
        <w:tc>
          <w:tcPr>
            <w:tcW w:w="1915" w:type="dxa"/>
          </w:tcPr>
          <w:p w14:paraId="5A2AFCA8" w14:textId="77777777" w:rsidR="00F02AD4" w:rsidRPr="00DF4742" w:rsidRDefault="00671238" w:rsidP="00AE25D6">
            <w:sdt>
              <w:sdtPr>
                <w:rPr>
                  <w:rStyle w:val="Style2"/>
                </w:rPr>
                <w:id w:val="-372539057"/>
                <w15:color w:val="FFCC00"/>
                <w14:checkbox>
                  <w14:checked w14:val="1"/>
                  <w14:checkedState w14:val="2612" w14:font="MS Gothic"/>
                  <w14:uncheckedState w14:val="2610" w14:font="MS Gothic"/>
                </w14:checkbox>
              </w:sdtPr>
              <w:sdtEndPr>
                <w:rPr>
                  <w:rStyle w:val="Style2"/>
                </w:rPr>
              </w:sdtEndPr>
              <w:sdtContent>
                <w:r w:rsidR="00F02AD4" w:rsidRPr="00DF4742">
                  <w:rPr>
                    <w:rStyle w:val="Style2"/>
                    <w:rFonts w:ascii="MS Gothic" w:eastAsia="MS Gothic" w:hAnsi="MS Gothic"/>
                  </w:rPr>
                  <w:t>☒</w:t>
                </w:r>
              </w:sdtContent>
            </w:sdt>
            <w:r w:rsidR="00F02AD4" w:rsidRPr="00DF4742">
              <w:t xml:space="preserve"> Taip</w:t>
            </w:r>
          </w:p>
          <w:p w14:paraId="3E2B9FD5" w14:textId="77777777" w:rsidR="00F02AD4" w:rsidRPr="00DF4742" w:rsidRDefault="00671238" w:rsidP="00AE25D6">
            <w:sdt>
              <w:sdtPr>
                <w:rPr>
                  <w:rStyle w:val="Style2"/>
                </w:rPr>
                <w:id w:val="594442222"/>
                <w15:color w:val="FFCC00"/>
                <w14:checkbox>
                  <w14:checked w14:val="0"/>
                  <w14:checkedState w14:val="2612" w14:font="MS Gothic"/>
                  <w14:uncheckedState w14:val="2610" w14:font="MS Gothic"/>
                </w14:checkbox>
              </w:sdtPr>
              <w:sdtEndPr>
                <w:rPr>
                  <w:rStyle w:val="Style2"/>
                </w:rPr>
              </w:sdtEndPr>
              <w:sdtContent>
                <w:r w:rsidR="00F02AD4" w:rsidRPr="00DF4742">
                  <w:rPr>
                    <w:rStyle w:val="Style2"/>
                    <w:rFonts w:ascii="Segoe UI Symbol" w:eastAsia="MS Gothic" w:hAnsi="Segoe UI Symbol" w:cs="Segoe UI Symbol"/>
                  </w:rPr>
                  <w:t>☐</w:t>
                </w:r>
              </w:sdtContent>
            </w:sdt>
            <w:r w:rsidR="00F02AD4" w:rsidRPr="00DF4742">
              <w:t xml:space="preserve"> Ne</w:t>
            </w:r>
          </w:p>
          <w:p w14:paraId="2A9F9050" w14:textId="77777777" w:rsidR="00F02AD4" w:rsidRPr="00DF4742" w:rsidRDefault="00671238" w:rsidP="00AE25D6">
            <w:pPr>
              <w:spacing w:line="276" w:lineRule="auto"/>
              <w:rPr>
                <w:rFonts w:eastAsia="Arial"/>
              </w:rPr>
            </w:pPr>
            <w:sdt>
              <w:sdtPr>
                <w:alias w:val="Nurodykite konkrečią dieną"/>
                <w:tag w:val="Nurodykite pradžios datą"/>
                <w:id w:val="1072468416"/>
                <w:placeholder>
                  <w:docPart w:val="EA15BF1A431D4DC39E766341715B6CDE"/>
                </w:placeholder>
                <w15:color w:val="FFCC99"/>
                <w:date>
                  <w:dateFormat w:val="yyyy 'm.' MMMM d 'd.'"/>
                  <w:lid w:val="lt-LT"/>
                  <w:storeMappedDataAs w:val="dateTime"/>
                  <w:calendar w:val="gregorian"/>
                </w:date>
              </w:sdtPr>
              <w:sdtEndPr/>
              <w:sdtContent>
                <w:r w:rsidR="00F02AD4" w:rsidRPr="00DF4742">
                  <w:t>2022 birželio 10 d.</w:t>
                </w:r>
              </w:sdtContent>
            </w:sdt>
          </w:p>
        </w:tc>
        <w:tc>
          <w:tcPr>
            <w:tcW w:w="2351" w:type="dxa"/>
          </w:tcPr>
          <w:p w14:paraId="4670100C" w14:textId="457243E2" w:rsidR="00F02AD4" w:rsidRPr="00DF4742" w:rsidRDefault="00D760BC" w:rsidP="00AE25D6">
            <w:pPr>
              <w:spacing w:line="276" w:lineRule="auto"/>
              <w:rPr>
                <w:rFonts w:eastAsia="Arial"/>
              </w:rPr>
            </w:pPr>
            <w:r>
              <w:rPr>
                <w:rFonts w:eastAsia="Arial"/>
              </w:rPr>
              <w:t xml:space="preserve">Dapagliflozinas turėtų būti kompensuojamas lėtine inkstų liga sergantiems pacientams, kurių apskaičiuotas GFG yra nuo </w:t>
            </w:r>
            <w:r w:rsidRPr="008A2860">
              <w:rPr>
                <w:rFonts w:eastAsia="Arial"/>
              </w:rPr>
              <w:t xml:space="preserve">25 </w:t>
            </w:r>
            <w:r w:rsidRPr="008A2860">
              <w:rPr>
                <w:rFonts w:eastAsia="Arial"/>
              </w:rPr>
              <w:lastRenderedPageBreak/>
              <w:t>ml/min/1</w:t>
            </w:r>
            <w:r>
              <w:rPr>
                <w:rFonts w:eastAsia="Arial"/>
              </w:rPr>
              <w:t>,</w:t>
            </w:r>
            <w:r w:rsidRPr="008A2860">
              <w:rPr>
                <w:rFonts w:eastAsia="Arial"/>
              </w:rPr>
              <w:t>73 m</w:t>
            </w:r>
            <w:r w:rsidRPr="00C82CDD">
              <w:rPr>
                <w:rFonts w:eastAsia="Arial"/>
                <w:vertAlign w:val="superscript"/>
              </w:rPr>
              <w:t>2</w:t>
            </w:r>
            <w:r w:rsidRPr="008A2860">
              <w:rPr>
                <w:rFonts w:eastAsia="Arial"/>
              </w:rPr>
              <w:t xml:space="preserve"> </w:t>
            </w:r>
            <w:r>
              <w:rPr>
                <w:rFonts w:eastAsia="Arial"/>
              </w:rPr>
              <w:t>iki</w:t>
            </w:r>
            <w:r w:rsidRPr="008A2860">
              <w:rPr>
                <w:rFonts w:eastAsia="Arial"/>
              </w:rPr>
              <w:t xml:space="preserve"> 75 ml/min/1</w:t>
            </w:r>
            <w:r>
              <w:rPr>
                <w:rFonts w:eastAsia="Arial"/>
              </w:rPr>
              <w:t>,</w:t>
            </w:r>
            <w:r w:rsidRPr="008A2860">
              <w:rPr>
                <w:rFonts w:eastAsia="Arial"/>
              </w:rPr>
              <w:t>73 m</w:t>
            </w:r>
            <w:r w:rsidRPr="00C82CDD">
              <w:rPr>
                <w:rFonts w:eastAsia="Arial"/>
                <w:vertAlign w:val="superscript"/>
              </w:rPr>
              <w:t>2</w:t>
            </w:r>
            <w:r>
              <w:rPr>
                <w:rFonts w:eastAsia="Arial"/>
              </w:rPr>
              <w:t>, ir kurie yra gydomi maksimaliomis toleruojamomis AKFi arba ARB dozėmis.</w:t>
            </w:r>
          </w:p>
        </w:tc>
        <w:tc>
          <w:tcPr>
            <w:tcW w:w="2725" w:type="dxa"/>
          </w:tcPr>
          <w:p w14:paraId="54248509" w14:textId="77777777" w:rsidR="00F02AD4" w:rsidRPr="00DF4742" w:rsidRDefault="00F02AD4" w:rsidP="00AE25D6">
            <w:pPr>
              <w:spacing w:line="276" w:lineRule="auto"/>
              <w:rPr>
                <w:rFonts w:eastAsia="Arial"/>
              </w:rPr>
            </w:pPr>
          </w:p>
        </w:tc>
      </w:tr>
      <w:tr w:rsidR="00F02AD4" w:rsidRPr="00DF4742" w14:paraId="3B8B79B6" w14:textId="77777777" w:rsidTr="00AE25D6">
        <w:trPr>
          <w:trHeight w:val="1927"/>
        </w:trPr>
        <w:tc>
          <w:tcPr>
            <w:tcW w:w="2927" w:type="dxa"/>
          </w:tcPr>
          <w:p w14:paraId="4B3BE845" w14:textId="77777777" w:rsidR="00F02AD4" w:rsidRPr="00DF4742" w:rsidRDefault="00F02AD4" w:rsidP="00AE25D6">
            <w:pPr>
              <w:spacing w:line="276" w:lineRule="auto"/>
              <w:rPr>
                <w:rFonts w:eastAsia="Arial"/>
              </w:rPr>
            </w:pPr>
            <w:r w:rsidRPr="00DF4742">
              <w:rPr>
                <w:rFonts w:eastAsia="Arial"/>
              </w:rPr>
              <w:t>Nacionalinis farmakoekonomikos centras, Airija</w:t>
            </w:r>
          </w:p>
          <w:p w14:paraId="544A6ABE" w14:textId="77777777" w:rsidR="00F02AD4" w:rsidRPr="00DF4742" w:rsidRDefault="00F02AD4" w:rsidP="00AE25D6">
            <w:pPr>
              <w:spacing w:line="276" w:lineRule="auto"/>
              <w:rPr>
                <w:rFonts w:eastAsia="Arial"/>
              </w:rPr>
            </w:pPr>
            <w:r w:rsidRPr="00DF4742">
              <w:rPr>
                <w:rFonts w:eastAsia="Arial"/>
              </w:rPr>
              <w:t>(angl.</w:t>
            </w:r>
            <w:r w:rsidRPr="00DF4742">
              <w:rPr>
                <w:rFonts w:eastAsia="Arial"/>
                <w:i/>
              </w:rPr>
              <w:t xml:space="preserve"> National Centre for Pharmacoeconomics, NCPE</w:t>
            </w:r>
            <w:r w:rsidRPr="00DF4742">
              <w:rPr>
                <w:rFonts w:eastAsia="Arial"/>
              </w:rPr>
              <w:t>)</w:t>
            </w:r>
          </w:p>
        </w:tc>
        <w:tc>
          <w:tcPr>
            <w:tcW w:w="1915" w:type="dxa"/>
          </w:tcPr>
          <w:p w14:paraId="45EDE665" w14:textId="77777777" w:rsidR="00F02AD4" w:rsidRPr="00DF4742" w:rsidRDefault="00671238" w:rsidP="00AE25D6">
            <w:sdt>
              <w:sdtPr>
                <w:rPr>
                  <w:rStyle w:val="Style2"/>
                </w:rPr>
                <w:id w:val="-1888403732"/>
                <w15:color w:val="FFCC00"/>
                <w14:checkbox>
                  <w14:checked w14:val="1"/>
                  <w14:checkedState w14:val="2612" w14:font="MS Gothic"/>
                  <w14:uncheckedState w14:val="2610" w14:font="MS Gothic"/>
                </w14:checkbox>
              </w:sdtPr>
              <w:sdtEndPr>
                <w:rPr>
                  <w:rStyle w:val="Style2"/>
                </w:rPr>
              </w:sdtEndPr>
              <w:sdtContent>
                <w:r w:rsidR="00F02AD4" w:rsidRPr="00DF4742">
                  <w:rPr>
                    <w:rStyle w:val="Style2"/>
                    <w:rFonts w:ascii="MS Gothic" w:eastAsia="MS Gothic" w:hAnsi="MS Gothic"/>
                  </w:rPr>
                  <w:t>☒</w:t>
                </w:r>
              </w:sdtContent>
            </w:sdt>
            <w:r w:rsidR="00F02AD4" w:rsidRPr="00DF4742">
              <w:t xml:space="preserve"> Taip</w:t>
            </w:r>
          </w:p>
          <w:p w14:paraId="52AC95B2" w14:textId="77777777" w:rsidR="00F02AD4" w:rsidRPr="00DF4742" w:rsidRDefault="00671238" w:rsidP="00AE25D6">
            <w:sdt>
              <w:sdtPr>
                <w:rPr>
                  <w:rStyle w:val="Style2"/>
                </w:rPr>
                <w:id w:val="1092201793"/>
                <w15:color w:val="FFCC00"/>
                <w14:checkbox>
                  <w14:checked w14:val="0"/>
                  <w14:checkedState w14:val="2612" w14:font="MS Gothic"/>
                  <w14:uncheckedState w14:val="2610" w14:font="MS Gothic"/>
                </w14:checkbox>
              </w:sdtPr>
              <w:sdtEndPr>
                <w:rPr>
                  <w:rStyle w:val="Style2"/>
                </w:rPr>
              </w:sdtEndPr>
              <w:sdtContent>
                <w:r w:rsidR="00F02AD4" w:rsidRPr="00DF4742">
                  <w:rPr>
                    <w:rStyle w:val="Style2"/>
                    <w:rFonts w:ascii="Segoe UI Symbol" w:eastAsia="MS Gothic" w:hAnsi="Segoe UI Symbol" w:cs="Segoe UI Symbol"/>
                  </w:rPr>
                  <w:t>☐</w:t>
                </w:r>
              </w:sdtContent>
            </w:sdt>
            <w:r w:rsidR="00F02AD4" w:rsidRPr="00DF4742">
              <w:t xml:space="preserve"> Ne</w:t>
            </w:r>
          </w:p>
          <w:p w14:paraId="41F7A1CF" w14:textId="77777777" w:rsidR="00F02AD4" w:rsidRPr="00DF4742" w:rsidRDefault="00671238" w:rsidP="00AE25D6">
            <w:pPr>
              <w:spacing w:line="276" w:lineRule="auto"/>
              <w:rPr>
                <w:rFonts w:eastAsia="Arial"/>
              </w:rPr>
            </w:pPr>
            <w:sdt>
              <w:sdtPr>
                <w:alias w:val="Nurodykite konkrečią dieną"/>
                <w:tag w:val="Nurodykite pradžios datą"/>
                <w:id w:val="-198323198"/>
                <w:placeholder>
                  <w:docPart w:val="E36A9BCB45154F7AB677064704A95F4F"/>
                </w:placeholder>
                <w15:color w:val="FFCC99"/>
                <w:date>
                  <w:dateFormat w:val="yyyy 'm.' MMMM d 'd.'"/>
                  <w:lid w:val="lt-LT"/>
                  <w:storeMappedDataAs w:val="dateTime"/>
                  <w:calendar w:val="gregorian"/>
                </w:date>
              </w:sdtPr>
              <w:sdtEndPr/>
              <w:sdtContent>
                <w:r w:rsidR="00F02AD4" w:rsidRPr="00DF4742">
                  <w:t>2022 liepos 14 d.</w:t>
                </w:r>
              </w:sdtContent>
            </w:sdt>
          </w:p>
        </w:tc>
        <w:tc>
          <w:tcPr>
            <w:tcW w:w="2351" w:type="dxa"/>
          </w:tcPr>
          <w:p w14:paraId="54075B5D" w14:textId="77777777" w:rsidR="00F02AD4" w:rsidRPr="00DF4742" w:rsidRDefault="00F02AD4" w:rsidP="00AE25D6">
            <w:pPr>
              <w:spacing w:line="276" w:lineRule="auto"/>
              <w:rPr>
                <w:rFonts w:eastAsia="Arial"/>
              </w:rPr>
            </w:pPr>
            <w:r w:rsidRPr="00DF4742">
              <w:rPr>
                <w:rFonts w:eastAsia="Arial"/>
              </w:rPr>
              <w:t>Pilnas sveikatos technologijų vertinimas nerekomenduojamas. NCPE rekomenduoja nekompensuoti dapagliflozino pagal pateiktą kainą.</w:t>
            </w:r>
          </w:p>
        </w:tc>
        <w:tc>
          <w:tcPr>
            <w:tcW w:w="2725" w:type="dxa"/>
          </w:tcPr>
          <w:p w14:paraId="3948DE78" w14:textId="77777777" w:rsidR="00F02AD4" w:rsidRPr="00DF4742" w:rsidRDefault="00F02AD4" w:rsidP="00AE25D6">
            <w:pPr>
              <w:spacing w:line="276" w:lineRule="auto"/>
              <w:rPr>
                <w:rFonts w:eastAsia="Arial"/>
              </w:rPr>
            </w:pPr>
          </w:p>
        </w:tc>
      </w:tr>
    </w:tbl>
    <w:p w14:paraId="2EB7FD31" w14:textId="4D2A8479" w:rsidR="007A2B68" w:rsidRPr="00DF4742" w:rsidRDefault="007A2B68" w:rsidP="00E03C3F">
      <w:pPr>
        <w:pStyle w:val="Sraopastraipa"/>
        <w:tabs>
          <w:tab w:val="left" w:pos="426"/>
        </w:tabs>
        <w:ind w:left="0"/>
        <w:rPr>
          <w:b/>
          <w:bCs/>
          <w:caps/>
        </w:rPr>
      </w:pPr>
    </w:p>
    <w:p w14:paraId="73290081" w14:textId="2F77FD1A" w:rsidR="007A2B68" w:rsidRPr="00DF4742" w:rsidRDefault="007A2B68">
      <w:pPr>
        <w:rPr>
          <w:b/>
          <w:bCs/>
          <w:caps/>
        </w:rPr>
      </w:pPr>
    </w:p>
    <w:p w14:paraId="5055E8A8" w14:textId="3C1EB5D4" w:rsidR="002E6F80" w:rsidRPr="00DF4742" w:rsidRDefault="00CC7832" w:rsidP="00CC09D4">
      <w:pPr>
        <w:pStyle w:val="Sraopastraipa"/>
        <w:numPr>
          <w:ilvl w:val="0"/>
          <w:numId w:val="12"/>
        </w:numPr>
        <w:tabs>
          <w:tab w:val="left" w:pos="567"/>
        </w:tabs>
        <w:ind w:hanging="720"/>
        <w:rPr>
          <w:b/>
          <w:bCs/>
          <w:caps/>
        </w:rPr>
      </w:pPr>
      <w:r w:rsidRPr="00DF4742">
        <w:rPr>
          <w:b/>
          <w:bCs/>
          <w:caps/>
        </w:rPr>
        <w:t>Klinikinio vertinimo a</w:t>
      </w:r>
      <w:r w:rsidR="00D4485B" w:rsidRPr="00DF4742">
        <w:rPr>
          <w:b/>
          <w:bCs/>
          <w:caps/>
        </w:rPr>
        <w:t>pibendrinimas</w:t>
      </w:r>
    </w:p>
    <w:p w14:paraId="01326B2C" w14:textId="2AC4FE90" w:rsidR="0024319B" w:rsidRPr="00DF4742" w:rsidRDefault="0024319B" w:rsidP="00E724AB">
      <w:pPr>
        <w:pStyle w:val="Sraopastraipa"/>
        <w:tabs>
          <w:tab w:val="left" w:pos="567"/>
        </w:tabs>
        <w:rPr>
          <w:b/>
          <w:bCs/>
          <w:caps/>
        </w:rPr>
      </w:pPr>
    </w:p>
    <w:p w14:paraId="55F84C76" w14:textId="14F43BC9" w:rsidR="00260C8C" w:rsidRPr="00DF4742" w:rsidRDefault="00260C8C" w:rsidP="00260C8C">
      <w:pPr>
        <w:pStyle w:val="VVKT"/>
        <w:rPr>
          <w:lang w:val="lt-LT"/>
        </w:rPr>
      </w:pPr>
      <w:bookmarkStart w:id="0" w:name="_Hlk205306779"/>
      <w:r w:rsidRPr="00DF4742">
        <w:rPr>
          <w:lang w:val="lt-LT"/>
        </w:rPr>
        <w:t>Lėtinė inkstų liga, TLK 10 AM kodas N18, yra laikomas inkstų funkcijos sutrikimas ar struktūros pakitimai, trunkantys ilgiau kaip 3 mėnesius ir turintys įtakos sveikatos būklei. LIL yra progresuojantis glomerulų filtracijos greičio (toliau – GFG) mažėjimas dėl negrįžtamos nefronų žūties, sergant lėtinėmis inkstų ligomis. LIL terminas apima skirtingas inkstų ligas pagal etiopatogenezę ir kliniką, tačiau bendra tai, kad jos visos ilgainiui sukelia lėtinį inkstų nepakankamumą. Progresuojant LIL, vystosi lėtinis inkstų nepakankamumas, didėja bendras mirtingumas nuo širdies ir kraujagyslių ligų. Sergančiųjų inkstų nepakankamumu mirtingumas padidėja 2-4 kartus, lyginant su bendra populiacija, o sergančiųjų galutinės stadijos inkstų nepakankamumu net iki 100 kartų.</w:t>
      </w:r>
    </w:p>
    <w:p w14:paraId="319A2216" w14:textId="77777777" w:rsidR="00260C8C" w:rsidRPr="00DF4742" w:rsidRDefault="00260C8C" w:rsidP="00260C8C">
      <w:pPr>
        <w:pStyle w:val="VVKT"/>
        <w:rPr>
          <w:bCs/>
          <w:lang w:val="lt-LT" w:eastAsia="lt-LT"/>
        </w:rPr>
      </w:pPr>
      <w:r w:rsidRPr="00DF4742">
        <w:rPr>
          <w:bCs/>
          <w:lang w:val="lt-LT" w:eastAsia="lt-LT"/>
        </w:rPr>
        <w:t>LIL yra neišgydoma liga su ribotomis galimybėmis atitolinti ligos progresavimą. Terapijos tikslas yra sustabdyti ligos progresavimą ir sumažinti kardiovaskulinį sergamumą ir mirtingumą. Angiotenziną konvertuojančio fermento inhibitoriai (AKFI) ir angiotenzino receptorių blokatoriai (ARB) yra LIL farmakologinio valdymo standartas, bet jie tik sulėtina ligos progresavimą. Taikant geriausią įprastinį LIL gydymą liga dažnai progresuoja į galutinę stadiją, kai tenka taikyti pakaitinę inkstų terapiją (dializė, inksto persodinimas).</w:t>
      </w:r>
    </w:p>
    <w:p w14:paraId="049D640B" w14:textId="7BA79C5B" w:rsidR="00260C8C" w:rsidRPr="00DF4742" w:rsidRDefault="00260C8C" w:rsidP="00260C8C">
      <w:pPr>
        <w:pStyle w:val="VVKT"/>
        <w:rPr>
          <w:bCs/>
          <w:lang w:val="lt-LT" w:eastAsia="lt-LT"/>
        </w:rPr>
      </w:pPr>
      <w:r w:rsidRPr="00DF4742">
        <w:rPr>
          <w:bCs/>
          <w:lang w:val="lt-LT" w:eastAsia="lt-LT"/>
        </w:rPr>
        <w:t>Dapagliflozinas yra labai stipraus, selektyvaus ir laikino veikimo SGLT2 inhibitorius. Dapagliflozinui slopinant SGLT2, proksimaliniuose inkstų kanalėliuose iš glomerulų filtrato reabsorbuojama mažiau gliukozės ir kartu mažiau natrio, todėl gliukozė šalinama su šlapimu, pasireiškia osmosinė diurezė. Dėl to veikiant dapagliflozinui daugiau natrio pasiekia distalinius</w:t>
      </w:r>
      <w:r w:rsidR="005D6F9C" w:rsidRPr="00DF4742">
        <w:rPr>
          <w:bCs/>
          <w:lang w:val="lt-LT" w:eastAsia="lt-LT"/>
        </w:rPr>
        <w:t xml:space="preserve"> </w:t>
      </w:r>
      <w:r w:rsidRPr="00DF4742">
        <w:rPr>
          <w:bCs/>
          <w:lang w:val="lt-LT" w:eastAsia="lt-LT"/>
        </w:rPr>
        <w:t>kanalėlius; tai nulemia grįžtamojo ryšio tarp kanalėlių ir glomerulų veiklos sustiprėjimą bei spaudimo glomeruluose sumažėjimą. Dėl šių pokyčių ir osmosinės diurezės sumažėja skysčių perteklius, kraujospūdis, prieškrūvis ir pokrūvis, o tai gali palankiai veikti širdies remodeliavimo procesą ir padėti išsaugoti inkstų funkciją. Be to, padidėja hematokritas ir sumažėja kūno svoris. Dapagliflozinas vartojamas kartu taikant kitą lėtinės inkstų ligos (LIL) gydymą.</w:t>
      </w:r>
    </w:p>
    <w:p w14:paraId="2513B32B" w14:textId="77777777" w:rsidR="00260C8C" w:rsidRPr="00DF4742" w:rsidRDefault="00260C8C" w:rsidP="00260C8C">
      <w:pPr>
        <w:pStyle w:val="VVKT"/>
        <w:rPr>
          <w:bCs/>
          <w:iCs/>
          <w:lang w:val="lt-LT" w:eastAsia="lt-LT"/>
        </w:rPr>
      </w:pPr>
      <w:r w:rsidRPr="00DF4742">
        <w:rPr>
          <w:iCs/>
          <w:lang w:val="lt-LT"/>
        </w:rPr>
        <w:t xml:space="preserve">Šiuo metu vertinamai indikacijai Lietuvoje yra kompensuojamas dapagliflozinas su skyrimo sąlygomis: „Skiriamas standartinio gydymo papildymui pacientams, vartojantiems didžiausias patvirtintas toleruojamas AKF inhibitorių arba angiotenzino receptorių blokatorių dozes (nebent jie kontraindikuotini), kurių apskaičiuotas GFG prieš pradedant gydymą dapagliflozinu yra 25–75 </w:t>
      </w:r>
      <w:r w:rsidRPr="00DF4742">
        <w:rPr>
          <w:iCs/>
          <w:lang w:val="lt-LT"/>
        </w:rPr>
        <w:lastRenderedPageBreak/>
        <w:t>ml/min/1,73 m2 ir kurie serga 2 tipo cukriniu diabetu arba kurių šlapimo A/K santykis yra 22,6 mg/mmol ar didesnis.“</w:t>
      </w:r>
    </w:p>
    <w:p w14:paraId="7FCD42CC" w14:textId="77777777" w:rsidR="00260C8C" w:rsidRPr="00DF4742" w:rsidRDefault="00260C8C" w:rsidP="00260C8C">
      <w:pPr>
        <w:pStyle w:val="VVKT"/>
        <w:rPr>
          <w:bCs/>
          <w:i/>
          <w:iCs/>
          <w:lang w:val="lt-LT" w:eastAsia="lt-LT"/>
        </w:rPr>
      </w:pPr>
      <w:r w:rsidRPr="00DF4742">
        <w:rPr>
          <w:bCs/>
          <w:i/>
          <w:iCs/>
          <w:lang w:val="lt-LT" w:eastAsia="lt-LT"/>
        </w:rPr>
        <w:t>Tiesioginis palyginimas</w:t>
      </w:r>
    </w:p>
    <w:p w14:paraId="00888593" w14:textId="77777777" w:rsidR="00260C8C" w:rsidRPr="00DF4742" w:rsidRDefault="00260C8C" w:rsidP="00260C8C">
      <w:pPr>
        <w:pStyle w:val="VVKT"/>
        <w:rPr>
          <w:bCs/>
          <w:lang w:val="lt-LT" w:eastAsia="lt-LT"/>
        </w:rPr>
      </w:pPr>
      <w:r w:rsidRPr="00DF4742">
        <w:rPr>
          <w:u w:val="single"/>
          <w:lang w:val="lt-LT"/>
        </w:rPr>
        <w:t>DAPA-CDK</w:t>
      </w:r>
      <w:r w:rsidRPr="00DF4742">
        <w:rPr>
          <w:lang w:val="lt-LT"/>
        </w:rPr>
        <w:t xml:space="preserve"> yra daugiacentris, dvigubai aklas, placebu kontroliuojamas III fazes, atsitiktinių imčių klinikinis tyrimas, kurio tikslas buvo įvertinti dapagliflozino efektyvumą gydant LIL sergančius pacientus, kuriems taikomas geriausias palaikomasis gydymas, vertinant su LIL ir širdies ir kraujagyslių ligomis susijusias išeitis. Tyrimo tikslas buvo įvertinti gydymo dapagliflozinu efektą tarp LIL pacientų, sergančių ir nesergančių 2 tipo CD (t.y. </w:t>
      </w:r>
      <w:r w:rsidRPr="00DF4742">
        <w:rPr>
          <w:bCs/>
          <w:lang w:val="lt-LT"/>
        </w:rPr>
        <w:t>aGFG pokytis - sumažėjimas)</w:t>
      </w:r>
      <w:r w:rsidRPr="00DF4742">
        <w:rPr>
          <w:lang w:val="lt-LT"/>
        </w:rPr>
        <w:t>.</w:t>
      </w:r>
      <w:r w:rsidRPr="00B201FC">
        <w:rPr>
          <w:lang w:val="lt-LT"/>
        </w:rPr>
        <w:t xml:space="preserve"> Į</w:t>
      </w:r>
      <w:r w:rsidRPr="00DF4742">
        <w:rPr>
          <w:spacing w:val="-3"/>
          <w:lang w:val="lt-LT"/>
        </w:rPr>
        <w:t xml:space="preserve"> tyrimą buvo įtraukti pacientai, kurių </w:t>
      </w:r>
      <w:r w:rsidRPr="00DF4742">
        <w:rPr>
          <w:b/>
          <w:bCs/>
          <w:spacing w:val="-3"/>
          <w:lang w:val="lt-LT"/>
        </w:rPr>
        <w:t>aGFG 25 iki ≤75 ml/min/1,73 m</w:t>
      </w:r>
      <w:r w:rsidRPr="00DF4742">
        <w:rPr>
          <w:b/>
          <w:bCs/>
          <w:spacing w:val="-3"/>
          <w:vertAlign w:val="superscript"/>
          <w:lang w:val="lt-LT"/>
        </w:rPr>
        <w:t>2</w:t>
      </w:r>
      <w:r w:rsidRPr="00DF4742">
        <w:rPr>
          <w:spacing w:val="-3"/>
          <w:lang w:val="lt-LT"/>
        </w:rPr>
        <w:t xml:space="preserve">. </w:t>
      </w:r>
      <w:r w:rsidRPr="00DF4742">
        <w:rPr>
          <w:i/>
          <w:iCs/>
          <w:spacing w:val="-3"/>
          <w:lang w:val="lt-LT"/>
        </w:rPr>
        <w:t>Pirminė vertinamoji baigtis</w:t>
      </w:r>
      <w:r w:rsidRPr="00DF4742">
        <w:rPr>
          <w:spacing w:val="-3"/>
          <w:lang w:val="lt-LT"/>
        </w:rPr>
        <w:t>. Dapagliflozinas statistiškai reikšmingai sumažino neigiamos išeities tikimybę: dapagliflozino grupėje neigiama išeitis įvyko 197 pacientams (9,2%), placebo grupėje 312 pacientų (14,5%), tai atitinka neigiamos išeities rizikos sumažinimą 39% (Rizikos santykis (RS) buvo 0,61; 95% PI: 0,51 -0,72; p&lt;0,001). Tyrime papildomai išnagrinėti pagrindinės vertinamosios baigties klinikines išeits, dapagliflozinas buvo statistiškai pranašesnis už placebą pagal atskiras išeitis, išskyrus mirtį nuo širdies ir kraujagyslių ligos: aGFG sumažėjimo nuo pradinio ≥50% rizika 47% mažesnė (112 įvykių (5,2%) vs. 201 įvykis (9,3%), RS</w:t>
      </w:r>
      <w:r w:rsidRPr="00B201FC">
        <w:rPr>
          <w:spacing w:val="-3"/>
          <w:lang w:val="lt-LT"/>
        </w:rPr>
        <w:t>=</w:t>
      </w:r>
      <w:r w:rsidRPr="00DF4742">
        <w:rPr>
          <w:spacing w:val="-3"/>
          <w:lang w:val="lt-LT"/>
        </w:rPr>
        <w:t>0,53; 95% PI: 0,42- 0,67; p&lt;0,0001; galutinės stadijos inkstų nepakankamumo rizika 36% mažesnė (109 įvykiai (5,1%) vs. 161 įvykis (7,5%), RS</w:t>
      </w:r>
      <w:r w:rsidRPr="00B201FC">
        <w:rPr>
          <w:spacing w:val="-3"/>
          <w:lang w:val="lt-LT"/>
        </w:rPr>
        <w:t>=</w:t>
      </w:r>
      <w:r w:rsidRPr="00DF4742">
        <w:rPr>
          <w:spacing w:val="-3"/>
          <w:lang w:val="lt-LT"/>
        </w:rPr>
        <w:t xml:space="preserve"> 0,64; 95% PI; 0,50-0,82; p=0,0004; nuolatinio dializės poreikio rizika 33% mažesnė (68 įvykiai (3,2%) vs. 99 įvykiai (4,6%), RS</w:t>
      </w:r>
      <w:r w:rsidRPr="00B201FC">
        <w:rPr>
          <w:spacing w:val="-3"/>
          <w:lang w:val="lt-LT"/>
        </w:rPr>
        <w:t>=</w:t>
      </w:r>
      <w:r w:rsidRPr="00DF4742">
        <w:rPr>
          <w:spacing w:val="-3"/>
          <w:lang w:val="lt-LT"/>
        </w:rPr>
        <w:t>0,66: 95% PI: 0,48-0,90; p=0,008; mirties dėl širdies ir kraujagyslių ligų rizika statistiškai reikšmingai nesumažėjo (65 įvykiai (3,0%) vs. 80 įvykių (3,7%), RS</w:t>
      </w:r>
      <w:r w:rsidRPr="00B201FC">
        <w:rPr>
          <w:spacing w:val="-3"/>
          <w:lang w:val="lt-LT"/>
        </w:rPr>
        <w:t>=</w:t>
      </w:r>
      <w:r w:rsidRPr="00DF4742">
        <w:rPr>
          <w:spacing w:val="-3"/>
          <w:lang w:val="lt-LT"/>
        </w:rPr>
        <w:t>0,81; 95% PI: 0,58-1,12; p=0,2029; mirčių dėl inkstų ligos buvo nepakankamai statistiniams skaičiavimas atlikti (2 įvykiai (&lt;0,1%) vs. 6 įvykiai (0,3%)). Bet kurios inkstų ligos baigties pasireiškimo rizika dapagliflozino grupėje buvo 44% mažesnė lyginant su placebu (142 (6,6%) vs. 243 (11,3%), RS</w:t>
      </w:r>
      <w:r w:rsidRPr="00B201FC">
        <w:rPr>
          <w:spacing w:val="-3"/>
          <w:lang w:val="lt-LT"/>
        </w:rPr>
        <w:t>=</w:t>
      </w:r>
      <w:r w:rsidRPr="00DF4742">
        <w:rPr>
          <w:spacing w:val="-3"/>
          <w:lang w:val="lt-LT"/>
        </w:rPr>
        <w:t xml:space="preserve">0,56; 95% PI:0,45-0,68); p&lt;0,001. Mirties dėl širdies ir kraujagyslių ligos arba hospitalizacijos dėl širdies nepakankamumo rizika dapagliflozino grupėje buvo 29% mažesnė, lyginant su placebo grupe (100 įvykių (4,6%) vs. 138 įvykiai (6,4%), RS </w:t>
      </w:r>
      <w:r w:rsidRPr="00B201FC">
        <w:rPr>
          <w:spacing w:val="-3"/>
          <w:lang w:val="lt-LT"/>
        </w:rPr>
        <w:t>=</w:t>
      </w:r>
      <w:r w:rsidRPr="00DF4742">
        <w:rPr>
          <w:spacing w:val="-3"/>
          <w:lang w:val="lt-LT"/>
        </w:rPr>
        <w:t>0,71: 95% PI: 0,55-0,92; p=0,0089).Gydymas dapagliflozinu sumažino mirties dėl bet kokios priežasties riziką 31%, lyginant su placebu (101 įvykis (4,7%) vs. 146 įvykiai (6,8%), RS</w:t>
      </w:r>
      <w:r w:rsidRPr="00B201FC">
        <w:rPr>
          <w:spacing w:val="-3"/>
          <w:lang w:val="lt-LT"/>
        </w:rPr>
        <w:t>=</w:t>
      </w:r>
      <w:r w:rsidRPr="00DF4742">
        <w:rPr>
          <w:spacing w:val="-3"/>
          <w:lang w:val="lt-LT"/>
        </w:rPr>
        <w:t>0,69; 95% PI: 0,53-0,88; p=0,004.</w:t>
      </w:r>
      <w:r w:rsidRPr="00DF4742">
        <w:rPr>
          <w:bCs/>
          <w:lang w:val="lt-LT" w:eastAsia="lt-LT"/>
        </w:rPr>
        <w:t xml:space="preserve"> Tyrimo rezultatai pagrindžia dapagliflozino efektyvumą LIL sergančiųjų populiacijoje, kurių aGFG nuo  ≥25 iki  ≤75 ml/min/1,73 m</w:t>
      </w:r>
      <w:r w:rsidRPr="00DF4742">
        <w:rPr>
          <w:bCs/>
          <w:vertAlign w:val="superscript"/>
          <w:lang w:val="lt-LT" w:eastAsia="lt-LT"/>
        </w:rPr>
        <w:t>2</w:t>
      </w:r>
      <w:r w:rsidRPr="00DF4742">
        <w:rPr>
          <w:bCs/>
          <w:lang w:val="lt-LT" w:eastAsia="lt-LT"/>
        </w:rPr>
        <w:t xml:space="preserve"> ir šAKS nuo ≥22,6 mg/mmol iki ≤ 565 mg/mmol atrankos metu. Abejose grupėse </w:t>
      </w:r>
      <w:r w:rsidRPr="00DF4742">
        <w:rPr>
          <w:b/>
          <w:lang w:val="lt-LT" w:eastAsia="lt-LT"/>
        </w:rPr>
        <w:t>daugumos (virš 70 proc.) pacientų</w:t>
      </w:r>
      <w:r w:rsidRPr="00DF4742">
        <w:rPr>
          <w:bCs/>
          <w:lang w:val="lt-LT" w:eastAsia="lt-LT"/>
        </w:rPr>
        <w:t xml:space="preserve"> pradinis </w:t>
      </w:r>
      <w:r w:rsidRPr="00DF4742">
        <w:rPr>
          <w:b/>
          <w:lang w:val="lt-LT" w:eastAsia="lt-LT"/>
        </w:rPr>
        <w:t>aGFG buvo nuo ≥ 30 ml/min/1,73 m</w:t>
      </w:r>
      <w:r w:rsidRPr="00DF4742">
        <w:rPr>
          <w:b/>
          <w:vertAlign w:val="superscript"/>
          <w:lang w:val="lt-LT" w:eastAsia="lt-LT"/>
        </w:rPr>
        <w:t>2</w:t>
      </w:r>
      <w:r w:rsidRPr="00DF4742">
        <w:rPr>
          <w:b/>
          <w:lang w:val="lt-LT" w:eastAsia="lt-LT"/>
        </w:rPr>
        <w:t xml:space="preserve"> iki &lt; 60 ml/min/1,73 m</w:t>
      </w:r>
      <w:r w:rsidRPr="00DF4742">
        <w:rPr>
          <w:b/>
          <w:vertAlign w:val="superscript"/>
          <w:lang w:val="lt-LT" w:eastAsia="lt-LT"/>
        </w:rPr>
        <w:t>2</w:t>
      </w:r>
      <w:r w:rsidRPr="00DF4742">
        <w:rPr>
          <w:bCs/>
          <w:lang w:val="lt-LT" w:eastAsia="lt-LT"/>
        </w:rPr>
        <w:t>.</w:t>
      </w:r>
      <w:r w:rsidRPr="00B201FC">
        <w:rPr>
          <w:lang w:val="lt-LT"/>
        </w:rPr>
        <w:t xml:space="preserve"> </w:t>
      </w:r>
      <w:r w:rsidRPr="00DF4742">
        <w:rPr>
          <w:bCs/>
          <w:lang w:val="lt-LT" w:eastAsia="lt-LT"/>
        </w:rPr>
        <w:t>DECLARE-TIMI58 tyrimo rezultatai pagrindžia dapagliflozino efektyvumą suaugusių pacientų, sergančių 2 tipo CD ir LIL populiacijoje, kurių aGFG gydymo pradžioje ≥60 ml/Min/1,73m</w:t>
      </w:r>
      <w:r w:rsidRPr="00DF4742">
        <w:rPr>
          <w:bCs/>
          <w:vertAlign w:val="superscript"/>
          <w:lang w:val="lt-LT" w:eastAsia="lt-LT"/>
        </w:rPr>
        <w:t>2</w:t>
      </w:r>
      <w:r w:rsidRPr="00DF4742">
        <w:rPr>
          <w:bCs/>
          <w:lang w:val="lt-LT" w:eastAsia="lt-LT"/>
        </w:rPr>
        <w:t>, nepriklausomai nuo pradinio šAKS.</w:t>
      </w:r>
    </w:p>
    <w:p w14:paraId="1078F674" w14:textId="77777777" w:rsidR="00260C8C" w:rsidRPr="00DF4742" w:rsidRDefault="00260C8C" w:rsidP="00260C8C">
      <w:pPr>
        <w:pStyle w:val="VVKT"/>
        <w:rPr>
          <w:bCs/>
          <w:lang w:val="lt-LT" w:eastAsia="lt-LT"/>
        </w:rPr>
      </w:pPr>
      <w:r w:rsidRPr="00DF4742">
        <w:rPr>
          <w:bCs/>
          <w:lang w:val="lt-LT" w:eastAsia="lt-LT"/>
        </w:rPr>
        <w:t>Pažymėtina, kad iš anksto numatytų pogrupių analizė parodė, kad dapagliflozinas reikšmingai mažina su inkstų įvykių tikimybę pacientams, kurių pradinis aGFG buvo &lt; 90 ml/min/1,73 m</w:t>
      </w:r>
      <w:r w:rsidRPr="00DF4742">
        <w:rPr>
          <w:bCs/>
          <w:vertAlign w:val="superscript"/>
          <w:lang w:val="lt-LT" w:eastAsia="lt-LT"/>
        </w:rPr>
        <w:t>2</w:t>
      </w:r>
      <w:r w:rsidRPr="00DF4742">
        <w:rPr>
          <w:bCs/>
          <w:lang w:val="lt-LT" w:eastAsia="lt-LT"/>
        </w:rPr>
        <w:t>. Esant aGFG ≥ 90 ml/min/1,73 mm</w:t>
      </w:r>
      <w:r w:rsidRPr="00DF4742">
        <w:rPr>
          <w:bCs/>
          <w:vertAlign w:val="superscript"/>
          <w:lang w:val="lt-LT" w:eastAsia="lt-LT"/>
        </w:rPr>
        <w:t>2</w:t>
      </w:r>
      <w:r w:rsidRPr="00DF4742">
        <w:rPr>
          <w:bCs/>
          <w:lang w:val="lt-LT" w:eastAsia="lt-LT"/>
        </w:rPr>
        <w:t>.</w:t>
      </w:r>
    </w:p>
    <w:p w14:paraId="0B936D67" w14:textId="77777777" w:rsidR="00260C8C" w:rsidRPr="00DF4742" w:rsidRDefault="00260C8C" w:rsidP="00260C8C">
      <w:pPr>
        <w:pStyle w:val="VVKT"/>
        <w:rPr>
          <w:bCs/>
          <w:lang w:val="lt-LT" w:eastAsia="lt-LT"/>
        </w:rPr>
      </w:pPr>
      <w:r w:rsidRPr="00DF4742">
        <w:rPr>
          <w:i/>
          <w:iCs/>
          <w:lang w:val="lt-LT"/>
        </w:rPr>
        <w:t>Papildomi tyrimai.</w:t>
      </w:r>
      <w:r w:rsidRPr="00DF4742">
        <w:rPr>
          <w:lang w:val="lt-LT"/>
        </w:rPr>
        <w:t xml:space="preserve"> Tyrimų DECLARE-TIMI58, DAPA-HF tyrimų įtraukimo kriterijai nebuvo orientuoti į LIL pacientus, tačiau atskirų pogrupių analizės parodė dapagliflozino naudą esant inkstų funkcijos </w:t>
      </w:r>
      <w:r w:rsidRPr="00DF4742">
        <w:rPr>
          <w:bCs/>
          <w:lang w:val="lt-LT" w:eastAsia="lt-LT"/>
        </w:rPr>
        <w:t>sutrikimui.</w:t>
      </w:r>
    </w:p>
    <w:p w14:paraId="31D8BC4F" w14:textId="78A63AC0" w:rsidR="00260C8C" w:rsidRPr="00DF4742" w:rsidRDefault="00260C8C" w:rsidP="00260C8C">
      <w:pPr>
        <w:pStyle w:val="VVKT"/>
        <w:rPr>
          <w:bCs/>
          <w:lang w:val="lt-LT" w:eastAsia="lt-LT"/>
        </w:rPr>
      </w:pPr>
      <w:r w:rsidRPr="00DF4742">
        <w:rPr>
          <w:bCs/>
          <w:u w:val="single"/>
          <w:lang w:val="lt-LT" w:eastAsia="lt-LT"/>
        </w:rPr>
        <w:t>Tyrimas DECLARE-TIMI58</w:t>
      </w:r>
      <w:r w:rsidRPr="00DF4742">
        <w:rPr>
          <w:bCs/>
          <w:lang w:val="lt-LT" w:eastAsia="lt-LT"/>
        </w:rPr>
        <w:t>, į kurį įtraukti pacientai, sergantys 2 tipo CD ir turintys didelę riziką</w:t>
      </w:r>
      <w:r w:rsidR="005D6F9C" w:rsidRPr="00DF4742">
        <w:rPr>
          <w:bCs/>
          <w:lang w:val="lt-LT" w:eastAsia="lt-LT"/>
        </w:rPr>
        <w:t>širdies ir kaujagyslių ligų (</w:t>
      </w:r>
      <w:r w:rsidRPr="00DF4742">
        <w:rPr>
          <w:bCs/>
          <w:lang w:val="lt-LT" w:eastAsia="lt-LT"/>
        </w:rPr>
        <w:t>ŠKL</w:t>
      </w:r>
      <w:r w:rsidR="005D6F9C" w:rsidRPr="00DF4742">
        <w:rPr>
          <w:bCs/>
          <w:lang w:val="lt-LT" w:eastAsia="lt-LT"/>
        </w:rPr>
        <w:t>)</w:t>
      </w:r>
      <w:r w:rsidRPr="00DF4742">
        <w:rPr>
          <w:bCs/>
          <w:lang w:val="lt-LT" w:eastAsia="lt-LT"/>
        </w:rPr>
        <w:t xml:space="preserve"> įvykiams. </w:t>
      </w:r>
      <w:r w:rsidRPr="00DF4742">
        <w:rPr>
          <w:bCs/>
          <w:i/>
          <w:iCs/>
          <w:lang w:val="lt-LT" w:eastAsia="lt-LT"/>
        </w:rPr>
        <w:t>Pirminė vertinamoji baigtis</w:t>
      </w:r>
      <w:r w:rsidRPr="00DF4742">
        <w:rPr>
          <w:bCs/>
          <w:lang w:val="lt-LT" w:eastAsia="lt-LT"/>
        </w:rPr>
        <w:t xml:space="preserve"> - sudėtinė mirties dėl ŠKL, miokardo infarkto ir išeminio insulto baigtis: dapagliflozinas reikšmingai nesumažina baigties tikimybės lyginant su placebo (8,8% vs. 9,4%, RS</w:t>
      </w:r>
      <w:r w:rsidRPr="00B201FC">
        <w:rPr>
          <w:bCs/>
          <w:lang w:val="lt-LT" w:eastAsia="lt-LT"/>
        </w:rPr>
        <w:t>=</w:t>
      </w:r>
      <w:r w:rsidRPr="00DF4742">
        <w:rPr>
          <w:bCs/>
          <w:lang w:val="lt-LT" w:eastAsia="lt-LT"/>
        </w:rPr>
        <w:t xml:space="preserve">0,93; 95% PI: 0,84 -1,03; p=0,17). </w:t>
      </w:r>
      <w:r w:rsidRPr="00DF4742">
        <w:rPr>
          <w:lang w:val="lt-LT"/>
        </w:rPr>
        <w:t xml:space="preserve">Sudėtinė mirties dėl ŠKL arba hospitalizacijos dėl ŠN baigtis: dapagliflozinas sumažina baigties tikimybę lyginant su placebo (4,9% </w:t>
      </w:r>
      <w:r w:rsidRPr="00DF4742">
        <w:rPr>
          <w:i/>
          <w:iCs/>
          <w:lang w:val="lt-LT"/>
        </w:rPr>
        <w:t>vs.</w:t>
      </w:r>
      <w:r w:rsidRPr="00DF4742">
        <w:rPr>
          <w:lang w:val="lt-LT"/>
        </w:rPr>
        <w:t xml:space="preserve"> 5,8%; RS </w:t>
      </w:r>
      <w:r w:rsidRPr="00B201FC">
        <w:rPr>
          <w:lang w:val="lt-LT"/>
        </w:rPr>
        <w:t>=</w:t>
      </w:r>
      <w:r w:rsidRPr="00DF4742">
        <w:rPr>
          <w:lang w:val="lt-LT"/>
        </w:rPr>
        <w:t xml:space="preserve">0,83; 95% PI: 0,73-0,95, p=0,005). Pastaroji baigtis reikšminga dėl mažesnės hospitalizavimo rizikos dapagliflozino grupėje (RS </w:t>
      </w:r>
      <w:r w:rsidRPr="00B201FC">
        <w:rPr>
          <w:lang w:val="lt-LT"/>
        </w:rPr>
        <w:t>=</w:t>
      </w:r>
      <w:r w:rsidRPr="00DF4742">
        <w:rPr>
          <w:lang w:val="lt-LT"/>
        </w:rPr>
        <w:t>0,73; 95% PI: 0,61-</w:t>
      </w:r>
      <w:r w:rsidRPr="00DF4742">
        <w:rPr>
          <w:lang w:val="lt-LT"/>
        </w:rPr>
        <w:lastRenderedPageBreak/>
        <w:t>0,88; p&lt;0,05), tačiau mirties dėl ŠKL dažnis reikšmingai nesiskyrė (p&gt;0,05)</w:t>
      </w:r>
      <w:r w:rsidRPr="00DF4742">
        <w:rPr>
          <w:bCs/>
          <w:lang w:val="lt-LT" w:eastAsia="lt-LT"/>
        </w:rPr>
        <w:t>. Atlikus pogrupių analizę, hospitalizacijos dėl ŠN, mirties dėl ŠKL, sudėtinės inkstų ligos baigties (</w:t>
      </w:r>
      <w:r w:rsidRPr="00DF4742">
        <w:rPr>
          <w:b/>
          <w:lang w:val="lt-LT" w:eastAsia="lt-LT"/>
        </w:rPr>
        <w:t>aGFG sumažėjimas ≥40% iki aGFG &lt;60 ml/Min/1.73m</w:t>
      </w:r>
      <w:r w:rsidRPr="00DF4742">
        <w:rPr>
          <w:b/>
          <w:vertAlign w:val="superscript"/>
          <w:lang w:val="lt-LT" w:eastAsia="lt-LT"/>
        </w:rPr>
        <w:t>2</w:t>
      </w:r>
      <w:r w:rsidRPr="00DF4742">
        <w:rPr>
          <w:bCs/>
          <w:lang w:val="lt-LT" w:eastAsia="lt-LT"/>
        </w:rPr>
        <w:t>, ir/ar galutinės stadijos inkstų ligos ir/ar mirties dėl inkstų ligos ar ŠKL) dažniai tarp visų aGFG grupių buvo reikšmingai mažesni dapagliflozino grupėje lyginant su placebo grupe. Sudėtinės inkstų ligos baigties dažnis buvo mažesnis dapagliflozino grupėje (RS=0,76; 95% PI: 0,67 ; 0,87), bendras mirštamumas tarp grupių nesiskyrė (6,2% vs. 6,6%, RS= 0,93; 95% PI: 0,82 - 1,04).</w:t>
      </w:r>
      <w:r w:rsidRPr="00B201FC">
        <w:rPr>
          <w:lang w:val="lt-LT"/>
        </w:rPr>
        <w:t xml:space="preserve"> </w:t>
      </w:r>
      <w:r w:rsidRPr="00DF4742">
        <w:rPr>
          <w:bCs/>
          <w:lang w:val="lt-LT" w:eastAsia="lt-LT"/>
        </w:rPr>
        <w:t>DECLARE-TIMI58 tyrimo rezultatai pagrindžia dapagliflozino efektyvumą suaugusių pacientų, sergančių 2 tipo CD ir LIL populiacijoje, kurių aGFG gydymo pradžioje ≥60 ml/Min/1,73m</w:t>
      </w:r>
      <w:r w:rsidRPr="00DF4742">
        <w:rPr>
          <w:bCs/>
          <w:vertAlign w:val="superscript"/>
          <w:lang w:val="lt-LT" w:eastAsia="lt-LT"/>
        </w:rPr>
        <w:t>2</w:t>
      </w:r>
      <w:r w:rsidRPr="00DF4742">
        <w:rPr>
          <w:bCs/>
          <w:lang w:val="lt-LT" w:eastAsia="lt-LT"/>
        </w:rPr>
        <w:t>, nepriklausomai nuo pradinio šAKS.</w:t>
      </w:r>
    </w:p>
    <w:p w14:paraId="62BCE126" w14:textId="77777777" w:rsidR="00260C8C" w:rsidRPr="00DF4742" w:rsidRDefault="00260C8C" w:rsidP="00260C8C">
      <w:pPr>
        <w:pStyle w:val="VVKT"/>
        <w:rPr>
          <w:bCs/>
          <w:lang w:val="lt-LT" w:eastAsia="lt-LT"/>
        </w:rPr>
      </w:pPr>
      <w:r w:rsidRPr="00DF4742">
        <w:rPr>
          <w:bCs/>
          <w:lang w:val="lt-LT" w:eastAsia="lt-LT"/>
        </w:rPr>
        <w:t>Pažymėtina, kad iš anksto numatytų pogrupių analizė parodė, kad dapagliflozinas reikšmingai mažina su inkstų įvykių tikimybę pacientams, kurių pradinis aGFG buvo &lt; 90 ml/min/1,73 m</w:t>
      </w:r>
      <w:r w:rsidRPr="00DF4742">
        <w:rPr>
          <w:bCs/>
          <w:vertAlign w:val="superscript"/>
          <w:lang w:val="lt-LT" w:eastAsia="lt-LT"/>
        </w:rPr>
        <w:t>2</w:t>
      </w:r>
      <w:r w:rsidRPr="00DF4742">
        <w:rPr>
          <w:bCs/>
          <w:lang w:val="lt-LT" w:eastAsia="lt-LT"/>
        </w:rPr>
        <w:t>. Esant aGFG ≥ 90 ml/min/1,73 mm</w:t>
      </w:r>
      <w:r w:rsidRPr="00DF4742">
        <w:rPr>
          <w:bCs/>
          <w:vertAlign w:val="superscript"/>
          <w:lang w:val="lt-LT" w:eastAsia="lt-LT"/>
        </w:rPr>
        <w:t>2</w:t>
      </w:r>
      <w:r w:rsidRPr="00DF4742">
        <w:rPr>
          <w:bCs/>
          <w:lang w:val="lt-LT" w:eastAsia="lt-LT"/>
        </w:rPr>
        <w:t>, klinikinių išeičių, susijusių su inkstų funkcijos vertinimu, rezultatai neparodė pranašumo gydant dapaglifozinu.</w:t>
      </w:r>
    </w:p>
    <w:p w14:paraId="03166B14" w14:textId="77777777" w:rsidR="00260C8C" w:rsidRPr="00DF4742" w:rsidRDefault="00260C8C" w:rsidP="00260C8C">
      <w:pPr>
        <w:pStyle w:val="VVKT"/>
        <w:rPr>
          <w:lang w:val="lt-LT"/>
        </w:rPr>
      </w:pPr>
      <w:r w:rsidRPr="00DF4742">
        <w:rPr>
          <w:bCs/>
          <w:u w:val="single"/>
          <w:lang w:val="lt-LT" w:eastAsia="lt-LT"/>
        </w:rPr>
        <w:t>Tyrimas DAPA-HF,</w:t>
      </w:r>
      <w:r w:rsidRPr="00DF4742">
        <w:rPr>
          <w:bCs/>
          <w:lang w:val="lt-LT" w:eastAsia="lt-LT"/>
        </w:rPr>
        <w:t xml:space="preserve"> į kurį įtraukti pacientai, kurių aGFG ≥30 mL/min/1,73 m</w:t>
      </w:r>
      <w:r w:rsidRPr="00DF4742">
        <w:rPr>
          <w:bCs/>
          <w:vertAlign w:val="superscript"/>
          <w:lang w:val="lt-LT" w:eastAsia="lt-LT"/>
        </w:rPr>
        <w:t>2</w:t>
      </w:r>
      <w:r w:rsidRPr="00DF4742">
        <w:rPr>
          <w:bCs/>
          <w:lang w:val="lt-LT" w:eastAsia="lt-LT"/>
        </w:rPr>
        <w:t xml:space="preserve">. </w:t>
      </w:r>
      <w:r w:rsidRPr="00DF4742">
        <w:rPr>
          <w:szCs w:val="24"/>
          <w:lang w:val="lt-LT"/>
        </w:rPr>
        <w:t>DAPA-HF atrankoje dalyvavo 8134 pacientai. 4744 pacientai įtraukti į atsitiktinių imčių sudarymą</w:t>
      </w:r>
      <w:r w:rsidRPr="00B201FC">
        <w:rPr>
          <w:szCs w:val="24"/>
          <w:lang w:val="lt-LT"/>
        </w:rPr>
        <w:t xml:space="preserve">. </w:t>
      </w:r>
      <w:r w:rsidRPr="00DF4742">
        <w:rPr>
          <w:i/>
          <w:iCs/>
          <w:lang w:val="lt-LT"/>
        </w:rPr>
        <w:t>Pirminės vertinamosios sudėtinės baigties</w:t>
      </w:r>
      <w:r w:rsidRPr="00DF4742">
        <w:rPr>
          <w:lang w:val="lt-LT"/>
        </w:rPr>
        <w:t xml:space="preserve"> (mirtis dėl ŠKL, hospitalizacija dėl ŠN arba kreipimasis į skubios pagalbos skyrių dėl ŠN paūmėjimo) įvykiai buvo registruojami statistiškai reikšmingai rečiau dapagliflozino grupėje, lyginant su placebo grupe (16,3% </w:t>
      </w:r>
      <w:r w:rsidRPr="00DF4742">
        <w:rPr>
          <w:i/>
          <w:iCs/>
          <w:lang w:val="lt-LT"/>
        </w:rPr>
        <w:t>vs.</w:t>
      </w:r>
      <w:r w:rsidRPr="00DF4742">
        <w:rPr>
          <w:lang w:val="lt-LT"/>
        </w:rPr>
        <w:t xml:space="preserve"> 21,2%, RS</w:t>
      </w:r>
      <w:r w:rsidRPr="00B201FC">
        <w:rPr>
          <w:lang w:val="lt-LT"/>
        </w:rPr>
        <w:t>=</w:t>
      </w:r>
      <w:r w:rsidRPr="00DF4742">
        <w:rPr>
          <w:lang w:val="lt-LT"/>
        </w:rPr>
        <w:t>0,74; 95% PI: 0,65 - 0,85; p&lt;0,001). Visos į sudėtinę baigtį įeinančios išeitys rodė statistiškai reikšmingą dapagliflozino pranašumą.</w:t>
      </w:r>
    </w:p>
    <w:p w14:paraId="0E16883B" w14:textId="77777777" w:rsidR="00260C8C" w:rsidRPr="00DF4742" w:rsidRDefault="00260C8C" w:rsidP="00260C8C">
      <w:pPr>
        <w:pStyle w:val="VVKT"/>
        <w:rPr>
          <w:lang w:val="lt-LT"/>
        </w:rPr>
      </w:pPr>
      <w:r w:rsidRPr="00DF4742">
        <w:rPr>
          <w:bCs/>
          <w:lang w:val="lt-LT"/>
        </w:rPr>
        <w:t>Dapagliflozino grupėje pagrindinės vertinamosios baigties dažnio sumažėjimas buvo stebimas visose aGFG pogrupiuose  (≥90, ≥60 to &lt;90, ≥45 iki &lt;60, ≥30 iki &lt;45 ml/min/1,73 m</w:t>
      </w:r>
      <w:r w:rsidRPr="00DF4742">
        <w:rPr>
          <w:bCs/>
          <w:vertAlign w:val="superscript"/>
          <w:lang w:val="lt-LT"/>
        </w:rPr>
        <w:t>2</w:t>
      </w:r>
      <w:r w:rsidRPr="00DF4742">
        <w:rPr>
          <w:bCs/>
          <w:lang w:val="lt-LT"/>
        </w:rPr>
        <w:t>; p reikšmė sąveikai buvo 0,17), dapagliflozino nauda stebėta ir aGFG esant ≥60 iki &lt;90 ml/min/1,73 m</w:t>
      </w:r>
      <w:r w:rsidRPr="00DF4742">
        <w:rPr>
          <w:bCs/>
          <w:vertAlign w:val="superscript"/>
          <w:lang w:val="lt-LT"/>
        </w:rPr>
        <w:t>2</w:t>
      </w:r>
      <w:r w:rsidRPr="00DF4742">
        <w:rPr>
          <w:bCs/>
          <w:lang w:val="lt-LT"/>
        </w:rPr>
        <w:t xml:space="preserve">. </w:t>
      </w:r>
      <w:r w:rsidRPr="00DF4742">
        <w:rPr>
          <w:lang w:val="lt-LT"/>
        </w:rPr>
        <w:t>Sudėtinė ŠN baigtis (mirtis dėl ŠKL ar hospitalizacija dėl ŠN) buvo statistiškai reikšmingai retesnė dapagliflozino grupėje, lyginant su placebo grupe (RS</w:t>
      </w:r>
      <w:r w:rsidRPr="00B201FC">
        <w:rPr>
          <w:lang w:val="lt-LT"/>
        </w:rPr>
        <w:t>=</w:t>
      </w:r>
      <w:r w:rsidRPr="00DF4742">
        <w:rPr>
          <w:lang w:val="lt-LT"/>
        </w:rPr>
        <w:t xml:space="preserve">0,75; 95% PI: 0,65 – 0,85, p&lt;0,001). Sudėtinė inkstų ligos baigtis (aGFG pablogėjimas ≥50%, galutinės stadijos inkstų nepakankamumas ar mirtis dėl inkstų ligos) statistiškai reikšmingai tarp grupių nesiskyrė. DAPA-HF tyrimo rezultatai pagrindžia dapagliflozino efektyvumą suaugusių pacientų, sergančių 2 tipo CD ir LIL populiacijoje, bendroje DAPA-HF tyrimo populiacijoje nepriklausomai nuo pradinio šAKS. </w:t>
      </w:r>
    </w:p>
    <w:p w14:paraId="1174E820" w14:textId="77777777" w:rsidR="00260C8C" w:rsidRPr="00DF4742" w:rsidRDefault="00260C8C" w:rsidP="00260C8C">
      <w:pPr>
        <w:pStyle w:val="VVKT"/>
        <w:rPr>
          <w:lang w:val="lt-LT"/>
        </w:rPr>
      </w:pPr>
      <w:r w:rsidRPr="00DF4742">
        <w:rPr>
          <w:lang w:val="lt-LT"/>
        </w:rPr>
        <w:t xml:space="preserve">Iš anksto numatytų pogrupių analizė taip pat parodė, kad didžiausia nauda nuo gydymo dapagliflozinu patirs pacientai, </w:t>
      </w:r>
      <w:r w:rsidRPr="00DF4742">
        <w:rPr>
          <w:b/>
          <w:bCs/>
          <w:lang w:val="lt-LT"/>
        </w:rPr>
        <w:t>kurių pradinis aGFG yra nuo &lt;90 ml/min/1,73m</w:t>
      </w:r>
      <w:r w:rsidRPr="00DF4742">
        <w:rPr>
          <w:b/>
          <w:bCs/>
          <w:vertAlign w:val="superscript"/>
          <w:lang w:val="lt-LT"/>
        </w:rPr>
        <w:t>2</w:t>
      </w:r>
      <w:r w:rsidRPr="00DF4742">
        <w:rPr>
          <w:b/>
          <w:bCs/>
          <w:lang w:val="lt-LT"/>
        </w:rPr>
        <w:t xml:space="preserve"> iki ≥30 ml/min/1,73m</w:t>
      </w:r>
      <w:r w:rsidRPr="00DF4742">
        <w:rPr>
          <w:b/>
          <w:bCs/>
          <w:vertAlign w:val="superscript"/>
          <w:lang w:val="lt-LT"/>
        </w:rPr>
        <w:t>2</w:t>
      </w:r>
      <w:r w:rsidRPr="00DF4742">
        <w:rPr>
          <w:b/>
          <w:bCs/>
          <w:lang w:val="lt-LT"/>
        </w:rPr>
        <w:t>.</w:t>
      </w:r>
      <w:r w:rsidRPr="00DF4742">
        <w:rPr>
          <w:lang w:val="lt-LT"/>
        </w:rPr>
        <w:t xml:space="preserve"> Pacientai, kurių pradinis aGFG ≥ 90 ml/min/1,73m</w:t>
      </w:r>
      <w:r w:rsidRPr="00DF4742">
        <w:rPr>
          <w:vertAlign w:val="superscript"/>
          <w:lang w:val="lt-LT"/>
        </w:rPr>
        <w:t>2</w:t>
      </w:r>
      <w:r w:rsidRPr="00DF4742">
        <w:rPr>
          <w:lang w:val="lt-LT"/>
        </w:rPr>
        <w:t>, neturėjo reikšmingo pagrindinės vertinamosios baigties dažnio sumažėjimo, palyginus su placebo grupe. Tai atkartojo DECLARE-TIMI58 tyrimo iš anksto numatytų pogrupių analizės rezultatus.</w:t>
      </w:r>
    </w:p>
    <w:p w14:paraId="4CF9CFF1" w14:textId="17AC167C" w:rsidR="00260C8C" w:rsidRPr="00DF4742" w:rsidRDefault="00260C8C" w:rsidP="00260C8C">
      <w:pPr>
        <w:pStyle w:val="VVKT"/>
        <w:rPr>
          <w:bCs/>
          <w:i/>
          <w:iCs/>
          <w:lang w:val="lt-LT" w:eastAsia="lt-LT"/>
        </w:rPr>
      </w:pPr>
      <w:r w:rsidRPr="00DF4742">
        <w:rPr>
          <w:bCs/>
          <w:i/>
          <w:iCs/>
          <w:lang w:val="lt-LT" w:eastAsia="lt-LT"/>
        </w:rPr>
        <w:t>Realaus gyvenimo stebėjimo tyrimas</w:t>
      </w:r>
    </w:p>
    <w:p w14:paraId="26AB32DC" w14:textId="77777777" w:rsidR="00260C8C" w:rsidRPr="00DF4742" w:rsidRDefault="00260C8C" w:rsidP="00260C8C">
      <w:pPr>
        <w:pStyle w:val="VVKT"/>
        <w:rPr>
          <w:bCs/>
          <w:lang w:val="lt-LT"/>
        </w:rPr>
      </w:pPr>
      <w:r w:rsidRPr="00DF4742">
        <w:rPr>
          <w:lang w:val="lt-LT"/>
        </w:rPr>
        <w:t xml:space="preserve">Pateiktas tyrimas OPTIMISE-CKD yra stebėjimo tyrimas. </w:t>
      </w:r>
      <w:r w:rsidRPr="00DF4742">
        <w:rPr>
          <w:spacing w:val="-3"/>
          <w:lang w:val="lt-LT"/>
        </w:rPr>
        <w:t xml:space="preserve">Tyrimas OPTIMISE-CKD, į kurį įtraukti LIL pacientai, kurių </w:t>
      </w:r>
      <w:r w:rsidRPr="00DF4742">
        <w:rPr>
          <w:bCs/>
          <w:lang w:val="lt-LT"/>
        </w:rPr>
        <w:t>šAKS &gt;30 mg/g arba aGFG 2 kartus iš eilės (90 d. skirtumu) ≥75 ml/min/1,73m</w:t>
      </w:r>
      <w:r w:rsidRPr="00DF4742">
        <w:rPr>
          <w:bCs/>
          <w:vertAlign w:val="superscript"/>
          <w:lang w:val="lt-LT"/>
        </w:rPr>
        <w:t>2</w:t>
      </w:r>
      <w:r w:rsidRPr="00DF4742">
        <w:rPr>
          <w:bCs/>
          <w:lang w:val="lt-LT"/>
        </w:rPr>
        <w:t>. aGFG pokytis (sumažėjimas) buvo mažesnis dapagliflozino populiacijoje (vidutinis skirtumas 1,07 ml/min/1,73 m</w:t>
      </w:r>
      <w:r w:rsidRPr="00DF4742">
        <w:rPr>
          <w:bCs/>
          <w:vertAlign w:val="superscript"/>
          <w:lang w:val="lt-LT"/>
        </w:rPr>
        <w:t>2</w:t>
      </w:r>
      <w:r w:rsidRPr="00DF4742">
        <w:rPr>
          <w:bCs/>
          <w:lang w:val="lt-LT"/>
        </w:rPr>
        <w:t>/metus, 95% PI: 0,40 -1,74). Šis efektas stebėtas ir pacientų, nesergančių 2 tipo CD tarpe (vidutinis skirtumas 1,28 ml/min/1,73m</w:t>
      </w:r>
      <w:r w:rsidRPr="00DF4742">
        <w:rPr>
          <w:bCs/>
          <w:vertAlign w:val="superscript"/>
          <w:lang w:val="lt-LT"/>
        </w:rPr>
        <w:t>2</w:t>
      </w:r>
      <w:r w:rsidRPr="00DF4742">
        <w:rPr>
          <w:bCs/>
          <w:lang w:val="lt-LT"/>
        </w:rPr>
        <w:t>/metus (95% PI: 1,56 - 4,12). aGFG pokytis pacientams nesergantiems 2 tipo CD, priklausomai nuo šAKS. Pacientų aGFG mažėjimo kreivė buvo panaši, nepriklausomai nuo pradinio šAKS – pacientų, kurių šAKS 30-200 mg/g buvo 0,79 ml/min/1.73m</w:t>
      </w:r>
      <w:r w:rsidRPr="00DF4742">
        <w:rPr>
          <w:bCs/>
          <w:vertAlign w:val="superscript"/>
          <w:lang w:val="lt-LT"/>
        </w:rPr>
        <w:t>2</w:t>
      </w:r>
      <w:r w:rsidRPr="00DF4742">
        <w:rPr>
          <w:bCs/>
          <w:lang w:val="lt-LT"/>
        </w:rPr>
        <w:t>/metus (95% PI: 0,59 - 2,56), pacientų, kurių šAKS &gt;200 mg/g buvo 0,40 ml/min/1.73m</w:t>
      </w:r>
      <w:r w:rsidRPr="00DF4742">
        <w:rPr>
          <w:bCs/>
          <w:vertAlign w:val="superscript"/>
          <w:lang w:val="lt-LT"/>
        </w:rPr>
        <w:t>2</w:t>
      </w:r>
      <w:r w:rsidRPr="00DF4742">
        <w:rPr>
          <w:bCs/>
          <w:lang w:val="lt-LT"/>
        </w:rPr>
        <w:t xml:space="preserve">/metus (95% PI: 0,46 - 1,38). Papildoma analizė parodė, pacientų, kurių šAKS buvo &lt;200 mg/g, gydymo dapagliflozinu nauda tikėtina neišskiria nuo pacientų, kurių  šAKS buvo &gt;200 mg/g. Analizės rezultatai iš esmės parodė, kad gydymo dapagliflozinu nauda išlieka pastovi, </w:t>
      </w:r>
      <w:r w:rsidRPr="00DF4742">
        <w:rPr>
          <w:bCs/>
          <w:lang w:val="lt-LT"/>
        </w:rPr>
        <w:lastRenderedPageBreak/>
        <w:t>nepriklausomai nuo šAKS, net ir pacientams, kurių šAKS yra vos &lt;30 mg/g. OPTIMISE-CKD tyrimo rezultatai papildo ankščiau aprašytų tyrimų rezultatus ir parodo, kad dapagliflozinas efektyvus tiek tarp sergančių, tiek tarp nesergančių 2 tipo CD, o jo efektyvumas nepriklauso nuo pradinio šAKS.</w:t>
      </w:r>
    </w:p>
    <w:p w14:paraId="10CAE164" w14:textId="77777777" w:rsidR="00260C8C" w:rsidRPr="00DF4742" w:rsidRDefault="00260C8C" w:rsidP="00260C8C">
      <w:pPr>
        <w:pStyle w:val="VVKT"/>
        <w:rPr>
          <w:bCs/>
          <w:lang w:val="lt-LT"/>
        </w:rPr>
      </w:pPr>
      <w:r w:rsidRPr="00DF4742">
        <w:rPr>
          <w:bCs/>
          <w:lang w:val="lt-LT"/>
        </w:rPr>
        <w:t>Pacientų rizika ŠKL komplikacijoms, LIL progresavimui, ŠN komplikacijoms ir mirštamumas dėl bet kokios priežasties nuo šAKS nepriklausė.</w:t>
      </w:r>
    </w:p>
    <w:p w14:paraId="52356709" w14:textId="073E292D" w:rsidR="00260C8C" w:rsidRPr="00DF4742" w:rsidRDefault="00260C8C" w:rsidP="00260C8C">
      <w:pPr>
        <w:pStyle w:val="VVKT"/>
        <w:rPr>
          <w:lang w:val="lt-LT" w:eastAsia="lt-LT"/>
        </w:rPr>
      </w:pPr>
      <w:r w:rsidRPr="00DF4742">
        <w:rPr>
          <w:lang w:val="lt-LT" w:eastAsia="lt-LT"/>
        </w:rPr>
        <w:t xml:space="preserve">Dapagliflozino saugumo rezultatai buvo </w:t>
      </w:r>
      <w:r w:rsidR="005D6F9C" w:rsidRPr="00DF4742">
        <w:rPr>
          <w:lang w:val="lt-LT" w:eastAsia="lt-LT"/>
        </w:rPr>
        <w:t xml:space="preserve">išanalizuoti vaistinio preparato registracjjos metu </w:t>
      </w:r>
      <w:r w:rsidRPr="00DF4742">
        <w:rPr>
          <w:lang w:val="lt-LT" w:eastAsia="lt-LT"/>
        </w:rPr>
        <w:t xml:space="preserve">(EMEA/H/C/002322) ir įtraukti į preparato charakteristikų santrauką, todėl šiame sveikatos technologijų vertinimo protokole bus aptariami trumpai. </w:t>
      </w:r>
      <w:r w:rsidR="005D6F9C" w:rsidRPr="00DF4742">
        <w:rPr>
          <w:lang w:val="lt-LT" w:eastAsia="lt-LT"/>
        </w:rPr>
        <w:t>D</w:t>
      </w:r>
      <w:r w:rsidRPr="00DF4742">
        <w:rPr>
          <w:lang w:val="lt-LT" w:eastAsia="lt-LT"/>
        </w:rPr>
        <w:t>apagliflozino saugumo profilis atitiko žinomą saugumo profilį, atsižvelgiant į lėtinės inkstų ligos sunkumą ir ligos eigą. Dapagliflozino naudos</w:t>
      </w:r>
      <w:r w:rsidR="005D6F9C" w:rsidRPr="00DF4742">
        <w:rPr>
          <w:lang w:val="lt-LT" w:eastAsia="lt-LT"/>
        </w:rPr>
        <w:t xml:space="preserve"> ir </w:t>
      </w:r>
      <w:r w:rsidRPr="00DF4742">
        <w:rPr>
          <w:lang w:val="lt-LT" w:eastAsia="lt-LT"/>
        </w:rPr>
        <w:t>rizikos santykis LIL sergantiems suaugusiems pacientams</w:t>
      </w:r>
      <w:r w:rsidR="005D6F9C" w:rsidRPr="00DF4742">
        <w:rPr>
          <w:lang w:val="lt-LT" w:eastAsia="lt-LT"/>
        </w:rPr>
        <w:t xml:space="preserve"> yra palankus</w:t>
      </w:r>
      <w:r w:rsidRPr="00DF4742">
        <w:rPr>
          <w:lang w:val="lt-LT" w:eastAsia="lt-LT"/>
        </w:rPr>
        <w:t>.</w:t>
      </w:r>
    </w:p>
    <w:p w14:paraId="65BE9677" w14:textId="55C0DDFE" w:rsidR="00260C8C" w:rsidRPr="00DF4742" w:rsidRDefault="00260C8C" w:rsidP="00260C8C">
      <w:pPr>
        <w:pStyle w:val="VVKT"/>
        <w:rPr>
          <w:bCs/>
          <w:lang w:val="lt-LT" w:eastAsia="lt-LT"/>
        </w:rPr>
      </w:pPr>
      <w:r w:rsidRPr="00DF4742">
        <w:rPr>
          <w:bCs/>
          <w:lang w:val="lt-LT"/>
        </w:rPr>
        <w:t>Detal</w:t>
      </w:r>
      <w:r w:rsidR="005D6F9C" w:rsidRPr="00DF4742">
        <w:rPr>
          <w:bCs/>
          <w:lang w:val="lt-LT"/>
        </w:rPr>
        <w:t>a</w:t>
      </w:r>
      <w:r w:rsidRPr="00DF4742">
        <w:rPr>
          <w:bCs/>
          <w:lang w:val="lt-LT"/>
        </w:rPr>
        <w:t>us vertinim</w:t>
      </w:r>
      <w:r w:rsidR="005D6F9C" w:rsidRPr="00DF4742">
        <w:rPr>
          <w:bCs/>
          <w:lang w:val="lt-LT"/>
        </w:rPr>
        <w:t>o metu nustatyta</w:t>
      </w:r>
      <w:r w:rsidRPr="00DF4742">
        <w:rPr>
          <w:bCs/>
          <w:lang w:val="lt-LT"/>
        </w:rPr>
        <w:t xml:space="preserve">, kad remiantis atliktais klinikinių </w:t>
      </w:r>
      <w:r w:rsidR="005D6F9C" w:rsidRPr="00DF4742">
        <w:rPr>
          <w:bCs/>
          <w:lang w:val="lt-LT"/>
        </w:rPr>
        <w:t xml:space="preserve">tyrimų </w:t>
      </w:r>
      <w:r w:rsidRPr="00DF4742">
        <w:rPr>
          <w:bCs/>
          <w:lang w:val="lt-LT"/>
        </w:rPr>
        <w:t>ir realaus stebėjimo tyrimų duomenimis, gydymas dapagliflozinu mažina  ŠKL komplikacij</w:t>
      </w:r>
      <w:r w:rsidR="005D6F9C" w:rsidRPr="00DF4742">
        <w:rPr>
          <w:bCs/>
          <w:lang w:val="lt-LT"/>
        </w:rPr>
        <w:t>ų riziką</w:t>
      </w:r>
      <w:r w:rsidRPr="00DF4742">
        <w:rPr>
          <w:bCs/>
          <w:lang w:val="lt-LT"/>
        </w:rPr>
        <w:t>, LIL progresavim</w:t>
      </w:r>
      <w:r w:rsidR="005D6F9C" w:rsidRPr="00DF4742">
        <w:rPr>
          <w:bCs/>
          <w:lang w:val="lt-LT"/>
        </w:rPr>
        <w:t>o riziką</w:t>
      </w:r>
      <w:r w:rsidRPr="00DF4742">
        <w:rPr>
          <w:bCs/>
          <w:lang w:val="lt-LT"/>
        </w:rPr>
        <w:t xml:space="preserve">, </w:t>
      </w:r>
      <w:r w:rsidR="005D6F9C" w:rsidRPr="00DF4742">
        <w:rPr>
          <w:bCs/>
          <w:lang w:val="lt-LT"/>
        </w:rPr>
        <w:t xml:space="preserve">širdies nepakankamumo riziką </w:t>
      </w:r>
      <w:r w:rsidRPr="00DF4742">
        <w:rPr>
          <w:bCs/>
          <w:lang w:val="lt-LT"/>
        </w:rPr>
        <w:t>ir mirštamum</w:t>
      </w:r>
      <w:r w:rsidR="005D6F9C" w:rsidRPr="00DF4742">
        <w:rPr>
          <w:bCs/>
          <w:lang w:val="lt-LT"/>
        </w:rPr>
        <w:t>ą</w:t>
      </w:r>
      <w:r w:rsidRPr="00DF4742">
        <w:rPr>
          <w:bCs/>
          <w:lang w:val="lt-LT"/>
        </w:rPr>
        <w:t xml:space="preserve"> dėl bet kokios priežasties esant aGFG &lt; 90 ml/min/1,73m</w:t>
      </w:r>
      <w:r w:rsidRPr="00DF4742">
        <w:rPr>
          <w:bCs/>
          <w:vertAlign w:val="superscript"/>
          <w:lang w:val="lt-LT"/>
        </w:rPr>
        <w:t>2</w:t>
      </w:r>
      <w:r w:rsidRPr="00DF4742">
        <w:rPr>
          <w:bCs/>
          <w:lang w:val="lt-LT"/>
        </w:rPr>
        <w:t xml:space="preserve">, o dapagliflozino efektyvumas nepriklauso nuo pradinės šAKS reikšmės. </w:t>
      </w:r>
      <w:r w:rsidR="00DF4742" w:rsidRPr="00DF4742">
        <w:rPr>
          <w:bCs/>
          <w:lang w:val="lt-LT" w:eastAsia="lt-LT"/>
        </w:rPr>
        <w:t xml:space="preserve">Atsižvelgiant į tai, LIL sergančių suaugusių pacientų populiacijai dapagliflozino palyginamasis efektyvumas yra didesnis, lyginant su įprastine praktika. </w:t>
      </w:r>
      <w:r w:rsidR="005D6F9C" w:rsidRPr="00DF4742">
        <w:rPr>
          <w:bCs/>
          <w:lang w:val="lt-LT" w:eastAsia="lt-LT"/>
        </w:rPr>
        <w:t xml:space="preserve">, </w:t>
      </w:r>
      <w:r w:rsidR="00DF4742" w:rsidRPr="00DF4742">
        <w:rPr>
          <w:bCs/>
          <w:lang w:val="lt-LT" w:eastAsia="lt-LT"/>
        </w:rPr>
        <w:t xml:space="preserve">Remiantis </w:t>
      </w:r>
      <w:r w:rsidR="00DF4742" w:rsidRPr="00DF4742">
        <w:rPr>
          <w:bCs/>
          <w:lang w:val="lt-LT"/>
        </w:rPr>
        <w:t>tyrimų ir realaus stebėjimo tyrimų duomenimis</w:t>
      </w:r>
      <w:r w:rsidR="00DF4742" w:rsidRPr="00DF4742">
        <w:rPr>
          <w:bCs/>
          <w:lang w:val="lt-LT" w:eastAsia="lt-LT"/>
        </w:rPr>
        <w:t xml:space="preserve"> </w:t>
      </w:r>
      <w:r w:rsidRPr="00DF4742">
        <w:rPr>
          <w:bCs/>
          <w:lang w:val="lt-LT" w:eastAsia="lt-LT"/>
        </w:rPr>
        <w:t xml:space="preserve">dapagliflozino skyrimo sąlyga </w:t>
      </w:r>
      <w:r w:rsidR="005D6F9C" w:rsidRPr="00DF4742">
        <w:rPr>
          <w:bCs/>
          <w:lang w:val="lt-LT" w:eastAsia="lt-LT"/>
        </w:rPr>
        <w:t xml:space="preserve">gali </w:t>
      </w:r>
      <w:r w:rsidRPr="00DF4742">
        <w:rPr>
          <w:bCs/>
          <w:lang w:val="lt-LT" w:eastAsia="lt-LT"/>
        </w:rPr>
        <w:t xml:space="preserve">būti platesnė nei taikoma šiuo metu. Rekomenduojama, kad papildoma skyrimo sąlyga apimtų LIL </w:t>
      </w:r>
      <w:r w:rsidR="005D6F9C" w:rsidRPr="00DF4742">
        <w:rPr>
          <w:bCs/>
          <w:lang w:val="lt-LT" w:eastAsia="lt-LT"/>
        </w:rPr>
        <w:t xml:space="preserve">sergančius </w:t>
      </w:r>
      <w:r w:rsidRPr="00DF4742">
        <w:rPr>
          <w:bCs/>
          <w:lang w:val="lt-LT" w:eastAsia="lt-LT"/>
        </w:rPr>
        <w:t>pacientus, kuriems</w:t>
      </w:r>
      <w:r w:rsidRPr="00B201FC">
        <w:rPr>
          <w:lang w:val="lt-LT"/>
        </w:rPr>
        <w:t xml:space="preserve"> </w:t>
      </w:r>
      <w:r w:rsidRPr="00DF4742">
        <w:rPr>
          <w:bCs/>
          <w:lang w:val="lt-LT" w:eastAsia="lt-LT"/>
        </w:rPr>
        <w:t>apskaičiuotas GFG prieš pradedant gydymą dapagliflozinu yra 25–90 ml/min/1,73 m</w:t>
      </w:r>
      <w:r w:rsidRPr="00DF4742">
        <w:rPr>
          <w:bCs/>
          <w:vertAlign w:val="superscript"/>
          <w:lang w:val="lt-LT" w:eastAsia="lt-LT"/>
        </w:rPr>
        <w:t>2</w:t>
      </w:r>
      <w:r w:rsidRPr="00DF4742">
        <w:rPr>
          <w:bCs/>
          <w:lang w:val="lt-LT" w:eastAsia="lt-LT"/>
        </w:rPr>
        <w:t>, įskaitant sergančius 2 tipo cukriniu diabetu, ir kurie</w:t>
      </w:r>
      <w:r w:rsidR="005D6F9C" w:rsidRPr="00DF4742">
        <w:rPr>
          <w:bCs/>
          <w:lang w:val="lt-LT" w:eastAsia="lt-LT"/>
        </w:rPr>
        <w:t xml:space="preserve"> gydomi</w:t>
      </w:r>
      <w:r w:rsidRPr="00DF4742">
        <w:rPr>
          <w:bCs/>
          <w:lang w:val="lt-LT" w:eastAsia="lt-LT"/>
        </w:rPr>
        <w:t xml:space="preserve"> didžiausias patvirtintas toleruojamas AKF inhibitorių arba angiotenzino receptorių blokatorių dozes. </w:t>
      </w:r>
    </w:p>
    <w:bookmarkEnd w:id="0"/>
    <w:p w14:paraId="6266B533" w14:textId="77777777" w:rsidR="00794D60" w:rsidRPr="00DF4742" w:rsidRDefault="00794D60" w:rsidP="00E724AB">
      <w:pPr>
        <w:pStyle w:val="Sraopastraipa"/>
        <w:tabs>
          <w:tab w:val="left" w:pos="567"/>
        </w:tabs>
        <w:rPr>
          <w:b/>
          <w:bCs/>
          <w:caps/>
        </w:rPr>
      </w:pPr>
    </w:p>
    <w:p w14:paraId="7DE09EB5" w14:textId="69E9DD74" w:rsidR="00E03C3F" w:rsidRPr="00DF4742" w:rsidRDefault="00CC7832" w:rsidP="00CC09D4">
      <w:pPr>
        <w:pStyle w:val="Sraopastraipa"/>
        <w:numPr>
          <w:ilvl w:val="0"/>
          <w:numId w:val="12"/>
        </w:numPr>
        <w:tabs>
          <w:tab w:val="left" w:pos="567"/>
        </w:tabs>
        <w:ind w:hanging="720"/>
        <w:rPr>
          <w:b/>
          <w:bCs/>
          <w:caps/>
        </w:rPr>
      </w:pPr>
      <w:r w:rsidRPr="00DF4742">
        <w:rPr>
          <w:b/>
          <w:bCs/>
          <w:caps/>
        </w:rPr>
        <w:t xml:space="preserve">ekonominio vertinimo </w:t>
      </w:r>
      <w:r w:rsidR="002F0E4F" w:rsidRPr="00DF4742">
        <w:rPr>
          <w:b/>
          <w:bCs/>
          <w:caps/>
        </w:rPr>
        <w:t>apibendrinimas</w:t>
      </w:r>
    </w:p>
    <w:p w14:paraId="06313F8B" w14:textId="01542BF8" w:rsidR="00EE6EAE" w:rsidRPr="00DF4742" w:rsidRDefault="00EE6EAE" w:rsidP="00EE1274">
      <w:pPr>
        <w:pStyle w:val="VVKT"/>
        <w:tabs>
          <w:tab w:val="clear" w:pos="492"/>
          <w:tab w:val="left" w:pos="360"/>
        </w:tabs>
        <w:ind w:firstLine="0"/>
        <w:rPr>
          <w:szCs w:val="24"/>
          <w:lang w:val="lt-LT"/>
        </w:rPr>
      </w:pPr>
    </w:p>
    <w:p w14:paraId="71240A52" w14:textId="77777777" w:rsidR="00794D60" w:rsidRPr="00B201FC" w:rsidRDefault="00EE6EAE" w:rsidP="00794D60">
      <w:pPr>
        <w:pStyle w:val="VVKT"/>
        <w:tabs>
          <w:tab w:val="clear" w:pos="492"/>
          <w:tab w:val="left" w:pos="360"/>
        </w:tabs>
        <w:ind w:firstLine="0"/>
        <w:rPr>
          <w:lang w:val="lt-LT"/>
        </w:rPr>
      </w:pPr>
      <w:r w:rsidRPr="00DF4742">
        <w:rPr>
          <w:szCs w:val="24"/>
          <w:lang w:val="lt-LT"/>
        </w:rPr>
        <w:tab/>
      </w:r>
      <w:r w:rsidR="00EE1274" w:rsidRPr="00DF4742">
        <w:rPr>
          <w:iCs/>
          <w:szCs w:val="24"/>
          <w:lang w:val="lt-LT" w:eastAsia="lt-LT"/>
        </w:rPr>
        <w:t xml:space="preserve"> </w:t>
      </w:r>
      <w:r w:rsidR="00794D60" w:rsidRPr="00B201FC">
        <w:rPr>
          <w:szCs w:val="24"/>
          <w:lang w:val="lt-LT"/>
        </w:rPr>
        <w:t xml:space="preserve">Įprastinė atvejo analizė atliekama </w:t>
      </w:r>
      <w:r w:rsidR="00794D60" w:rsidRPr="00B201FC">
        <w:rPr>
          <w:lang w:val="lt-LT"/>
        </w:rPr>
        <w:t>dapaglifloziną (Forxiga), skiriamą suaugusių pacientų gydymui, kurie serga lėtine inkstų (platesnė indikacija),</w:t>
      </w:r>
      <w:r w:rsidR="00794D60" w:rsidRPr="00B201FC">
        <w:rPr>
          <w:szCs w:val="24"/>
          <w:lang w:val="lt-LT"/>
        </w:rPr>
        <w:t xml:space="preserve"> kaip </w:t>
      </w:r>
      <w:r w:rsidR="00794D60" w:rsidRPr="00B201FC">
        <w:rPr>
          <w:lang w:val="lt-LT"/>
        </w:rPr>
        <w:t>papildantį įprastinį gydymą, lyginant su įprastiniu (standartiniu) gydymu Lietuvoje. Angiotenziną konvertuojančio fermento inhibitoriai (AKFI) ir angiotenzino receptorių blokatoriai (ARB) yra LIL farmakologinio valdymo standartas, sulėtinantis ligos progresavimą (aktyvaus gydymo, su kuriuo galėtų būti lyginamas dapagliflozinas, n</w:t>
      </w:r>
      <w:r w:rsidR="00794D60" w:rsidRPr="00DF4742">
        <w:rPr>
          <w:lang w:val="lt-LT"/>
        </w:rPr>
        <w:t xml:space="preserve">ėra. </w:t>
      </w:r>
      <w:r w:rsidR="00794D60" w:rsidRPr="00B201FC">
        <w:rPr>
          <w:lang w:val="lt-LT"/>
        </w:rPr>
        <w:t>Dapagliflozinas pridedamas prie optimalaus taikomo gydymo, kartu tęsiant jau taikomą gydymą).</w:t>
      </w:r>
    </w:p>
    <w:p w14:paraId="0EACE57A" w14:textId="77777777" w:rsidR="00794D60" w:rsidRPr="00DF4742" w:rsidRDefault="00794D60" w:rsidP="00794D60">
      <w:pPr>
        <w:spacing w:line="276" w:lineRule="auto"/>
        <w:ind w:firstLine="360"/>
        <w:jc w:val="both"/>
        <w:rPr>
          <w:i/>
          <w:lang w:eastAsia="lt-LT"/>
        </w:rPr>
      </w:pPr>
      <w:r w:rsidRPr="00DF4742">
        <w:tab/>
        <w:t xml:space="preserve">Kadangi nėra nei vieno klinikinio tyrimo apimančio pilnai kompensavimui teikiamos indikacijos populiaciją KNA yra įtraukiami duomenys iš DAPA-CKD ir DECLARE-TIMI-58 klinikinių tyrimų.  Šiuo atveju duomenys iš skirtingų šaltinių (DAPA-CKD ir DECLARE-TIMI-58 tyrimų) yra sujungiami į vieną bendrą duomenų rinkinį, suderinant kintamuosius, matavimo vienetus ir apibrėžimus, kad būtų galima atlikti bendrą analizę. </w:t>
      </w:r>
      <w:r w:rsidRPr="00DF4742">
        <w:rPr>
          <w:lang w:eastAsia="lt-LT"/>
        </w:rPr>
        <w:t xml:space="preserve">Tarnyba vertina, kad Pareiškėjo taikomos prielaidos, vertinant efektyvumo skirtumus tarp siūlomo ir palyginamojo gydymo ilgajame laikotarpyje yra pagrįstos. Pareiškėjas pateikė išsamius </w:t>
      </w:r>
      <w:r w:rsidRPr="00B201FC">
        <w:rPr>
          <w:lang w:eastAsia="en-GB"/>
        </w:rPr>
        <w:t xml:space="preserve">DAPA-CKD ir </w:t>
      </w:r>
      <w:r w:rsidRPr="00DF4742">
        <w:rPr>
          <w:lang w:eastAsia="lt-LT"/>
        </w:rPr>
        <w:t xml:space="preserve"> </w:t>
      </w:r>
      <w:r w:rsidRPr="00DF4742">
        <w:t>DECLARE_CKD</w:t>
      </w:r>
      <w:r w:rsidRPr="00DF4742">
        <w:rPr>
          <w:lang w:eastAsia="lt-LT"/>
        </w:rPr>
        <w:t xml:space="preserve">  klinikinių tyrimų duomenų apjungimo algoritmus. Tarnyba sutinka su klinikinių duomenų analizei taikomomis prielaidomis.</w:t>
      </w:r>
      <w:r w:rsidRPr="00DF4742">
        <w:rPr>
          <w:i/>
          <w:lang w:eastAsia="lt-LT"/>
        </w:rPr>
        <w:t xml:space="preserve"> </w:t>
      </w:r>
      <w:r w:rsidRPr="00DF4742">
        <w:rPr>
          <w:iCs/>
          <w:lang w:eastAsia="lt-LT"/>
        </w:rPr>
        <w:t xml:space="preserve">Ekonominėje analizėje taikomas Markovo grandinių modelis, esminių trūkumų vertinant duomenų ekstrapoliacijai taikomas prielaidas viso gyvenimo laiko perspektyvoje (vidutinis pacientų amžius – 62,2 m.), nenustatyta. </w:t>
      </w:r>
    </w:p>
    <w:p w14:paraId="66997516" w14:textId="7E07CC1B" w:rsidR="00EE1274" w:rsidRPr="00DF4742" w:rsidRDefault="00794D60" w:rsidP="00794D60">
      <w:pPr>
        <w:tabs>
          <w:tab w:val="left" w:pos="567"/>
        </w:tabs>
        <w:spacing w:line="276" w:lineRule="auto"/>
        <w:jc w:val="both"/>
        <w:rPr>
          <w:iCs/>
          <w:lang w:eastAsia="lt-LT"/>
        </w:rPr>
      </w:pPr>
      <w:r w:rsidRPr="00DF4742">
        <w:rPr>
          <w:iCs/>
          <w:lang w:eastAsia="lt-LT"/>
        </w:rPr>
        <w:tab/>
      </w:r>
      <w:r w:rsidRPr="00DF4742">
        <w:rPr>
          <w:lang w:eastAsia="lt-LT"/>
        </w:rPr>
        <w:tab/>
      </w:r>
      <w:r w:rsidRPr="00DF4742">
        <w:rPr>
          <w:iCs/>
          <w:lang w:eastAsia="lt-LT"/>
        </w:rPr>
        <w:t xml:space="preserve">Pareiškėjas ekonominėje analizėje įtraukia tiesiogiai su sveikata susijusius kaštus: vertinami vaistinių preparatų įsigijimo, stebėsenos, nepageidaujamų reiškinių, sveikatos būklių (pagal LIL stadijas) kaštai, išskiriami dializės, inkstų transplantacijos bei hospitalizacijų dėl širdies ir inkstų nepakankamumo poveikis bei kaštai. Gautais kaštų analizės rezultatais apskaičiuotas ICER atitinka </w:t>
      </w:r>
      <w:r w:rsidRPr="00DF4742">
        <w:rPr>
          <w:iCs/>
          <w:lang w:eastAsia="lt-LT"/>
        </w:rPr>
        <w:lastRenderedPageBreak/>
        <w:t>lengvai ligos naštai taikomą referencinę kaštų naudingumo vertę (</w:t>
      </w:r>
      <w:r w:rsidR="00B65C13">
        <w:rPr>
          <w:bCs/>
          <w:lang w:eastAsia="lt-LT"/>
        </w:rPr>
        <w:t>****</w:t>
      </w:r>
      <w:r w:rsidRPr="00DF4742">
        <w:rPr>
          <w:bCs/>
        </w:rPr>
        <w:t xml:space="preserve">, papildomai sukuriami – </w:t>
      </w:r>
      <w:r w:rsidR="00671238">
        <w:rPr>
          <w:bCs/>
          <w:lang w:eastAsia="lt-LT"/>
        </w:rPr>
        <w:t>****</w:t>
      </w:r>
      <w:r w:rsidRPr="00DF4742">
        <w:rPr>
          <w:bCs/>
        </w:rPr>
        <w:t xml:space="preserve"> kokybiški gyvenimo metai)</w:t>
      </w:r>
      <w:r w:rsidRPr="00DF4742">
        <w:rPr>
          <w:iCs/>
          <w:lang w:eastAsia="lt-LT"/>
        </w:rPr>
        <w:t>.</w:t>
      </w:r>
    </w:p>
    <w:p w14:paraId="12B08350" w14:textId="1F323EB7" w:rsidR="00B6585A" w:rsidRPr="00DF4742" w:rsidRDefault="00B6585A" w:rsidP="00A93AA6">
      <w:pPr>
        <w:tabs>
          <w:tab w:val="left" w:pos="426"/>
        </w:tabs>
        <w:rPr>
          <w:b/>
          <w:bCs/>
          <w:caps/>
        </w:rPr>
      </w:pPr>
    </w:p>
    <w:p w14:paraId="174D84D7" w14:textId="2A98EE7C" w:rsidR="0035172D" w:rsidRPr="00DF4742" w:rsidRDefault="0035172D" w:rsidP="00B6585A">
      <w:pPr>
        <w:tabs>
          <w:tab w:val="left" w:pos="426"/>
        </w:tabs>
        <w:jc w:val="center"/>
        <w:rPr>
          <w:b/>
          <w:lang w:eastAsia="lt-LT"/>
        </w:rPr>
      </w:pPr>
      <w:r w:rsidRPr="00DF4742">
        <w:rPr>
          <w:b/>
          <w:lang w:eastAsia="lt-LT"/>
        </w:rPr>
        <w:t>Ekonominės analizės rezultatas</w:t>
      </w:r>
    </w:p>
    <w:p w14:paraId="4801D227" w14:textId="77777777" w:rsidR="009E44AE" w:rsidRPr="00DF4742" w:rsidRDefault="009E44AE" w:rsidP="00A93AA6">
      <w:pPr>
        <w:tabs>
          <w:tab w:val="left" w:pos="426"/>
        </w:tabs>
        <w:rPr>
          <w:b/>
          <w:lang w:eastAsia="lt-LT"/>
        </w:rPr>
      </w:pPr>
    </w:p>
    <w:tbl>
      <w:tblPr>
        <w:tblStyle w:val="Lentelstinklelis1"/>
        <w:tblW w:w="9439"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200"/>
        <w:gridCol w:w="3239"/>
      </w:tblGrid>
      <w:tr w:rsidR="009E44AE" w:rsidRPr="00DF4742" w14:paraId="42D6C843" w14:textId="77777777" w:rsidTr="00BE7489">
        <w:trPr>
          <w:trHeight w:val="344"/>
          <w:jc w:val="center"/>
        </w:trPr>
        <w:tc>
          <w:tcPr>
            <w:tcW w:w="9439" w:type="dxa"/>
            <w:gridSpan w:val="2"/>
            <w:tcBorders>
              <w:top w:val="single" w:sz="12" w:space="0" w:color="auto"/>
              <w:left w:val="single" w:sz="4" w:space="0" w:color="auto"/>
              <w:right w:val="single" w:sz="4" w:space="0" w:color="auto"/>
            </w:tcBorders>
            <w:vAlign w:val="center"/>
          </w:tcPr>
          <w:p w14:paraId="39FD3B40" w14:textId="77777777" w:rsidR="009E44AE" w:rsidRPr="00DF4742" w:rsidRDefault="009E44AE" w:rsidP="009E44AE">
            <w:pPr>
              <w:tabs>
                <w:tab w:val="left" w:pos="567"/>
              </w:tabs>
              <w:jc w:val="center"/>
              <w:rPr>
                <w:b/>
                <w:bCs/>
                <w:sz w:val="26"/>
                <w:szCs w:val="26"/>
                <w:lang w:eastAsia="lt-LT"/>
              </w:rPr>
            </w:pPr>
            <w:r w:rsidRPr="00DF4742">
              <w:rPr>
                <w:b/>
                <w:bCs/>
                <w:sz w:val="26"/>
                <w:szCs w:val="26"/>
                <w:lang w:eastAsia="lt-LT"/>
              </w:rPr>
              <w:t>Rezultatai</w:t>
            </w:r>
          </w:p>
        </w:tc>
      </w:tr>
      <w:tr w:rsidR="00BA5DBC" w:rsidRPr="00DF4742" w14:paraId="319AF392" w14:textId="77777777" w:rsidTr="00EE1274">
        <w:trPr>
          <w:trHeight w:val="267"/>
          <w:jc w:val="center"/>
        </w:trPr>
        <w:tc>
          <w:tcPr>
            <w:tcW w:w="6200" w:type="dxa"/>
            <w:tcBorders>
              <w:left w:val="single" w:sz="4" w:space="0" w:color="auto"/>
            </w:tcBorders>
          </w:tcPr>
          <w:p w14:paraId="44CD8D27" w14:textId="27245A0B" w:rsidR="00BA5DBC" w:rsidRPr="00DF4742" w:rsidRDefault="00BA5DBC" w:rsidP="00BA5DBC">
            <w:pPr>
              <w:tabs>
                <w:tab w:val="left" w:pos="567"/>
              </w:tabs>
              <w:jc w:val="right"/>
              <w:rPr>
                <w:iCs/>
                <w:lang w:eastAsia="lt-LT"/>
              </w:rPr>
            </w:pPr>
            <w:r w:rsidRPr="00DF4742">
              <w:rPr>
                <w:iCs/>
                <w:lang w:eastAsia="lt-LT"/>
              </w:rPr>
              <w:t>Kaštų skirtumas</w:t>
            </w:r>
          </w:p>
        </w:tc>
        <w:tc>
          <w:tcPr>
            <w:tcW w:w="3239" w:type="dxa"/>
            <w:tcBorders>
              <w:right w:val="single" w:sz="4" w:space="0" w:color="auto"/>
            </w:tcBorders>
          </w:tcPr>
          <w:p w14:paraId="1CACF0B4" w14:textId="3888F005" w:rsidR="00BA5DBC" w:rsidRPr="00DF4742" w:rsidRDefault="00B65C13" w:rsidP="00BA5DBC">
            <w:pPr>
              <w:tabs>
                <w:tab w:val="left" w:pos="567"/>
              </w:tabs>
              <w:jc w:val="both"/>
              <w:rPr>
                <w:i/>
                <w:iCs/>
                <w:lang w:eastAsia="lt-LT"/>
              </w:rPr>
            </w:pPr>
            <w:r>
              <w:rPr>
                <w:bCs/>
                <w:lang w:eastAsia="lt-LT"/>
              </w:rPr>
              <w:t>****</w:t>
            </w:r>
          </w:p>
        </w:tc>
      </w:tr>
      <w:tr w:rsidR="00BA5DBC" w:rsidRPr="00DF4742" w14:paraId="49F818A3" w14:textId="77777777" w:rsidTr="00EE1274">
        <w:trPr>
          <w:trHeight w:val="267"/>
          <w:jc w:val="center"/>
        </w:trPr>
        <w:tc>
          <w:tcPr>
            <w:tcW w:w="6200" w:type="dxa"/>
            <w:tcBorders>
              <w:left w:val="single" w:sz="4" w:space="0" w:color="auto"/>
            </w:tcBorders>
          </w:tcPr>
          <w:p w14:paraId="021DB925" w14:textId="389F1BF5" w:rsidR="00BA5DBC" w:rsidRPr="00DF4742" w:rsidRDefault="00BA5DBC" w:rsidP="00BA5DBC">
            <w:pPr>
              <w:tabs>
                <w:tab w:val="left" w:pos="567"/>
              </w:tabs>
              <w:jc w:val="right"/>
              <w:rPr>
                <w:iCs/>
                <w:lang w:eastAsia="lt-LT"/>
              </w:rPr>
            </w:pPr>
            <w:r w:rsidRPr="00DF4742">
              <w:rPr>
                <w:iCs/>
                <w:lang w:eastAsia="lt-LT"/>
              </w:rPr>
              <w:t>Papildomi gyvenimo metai (LY)</w:t>
            </w:r>
          </w:p>
        </w:tc>
        <w:tc>
          <w:tcPr>
            <w:tcW w:w="3239" w:type="dxa"/>
            <w:tcBorders>
              <w:right w:val="single" w:sz="4" w:space="0" w:color="auto"/>
            </w:tcBorders>
          </w:tcPr>
          <w:p w14:paraId="4954817B" w14:textId="25158897" w:rsidR="00BA5DBC" w:rsidRPr="00DF4742" w:rsidRDefault="00B65C13" w:rsidP="00BA5DBC">
            <w:pPr>
              <w:tabs>
                <w:tab w:val="left" w:pos="567"/>
              </w:tabs>
              <w:jc w:val="both"/>
              <w:rPr>
                <w:i/>
                <w:iCs/>
                <w:lang w:eastAsia="lt-LT"/>
              </w:rPr>
            </w:pPr>
            <w:r>
              <w:rPr>
                <w:bCs/>
                <w:lang w:eastAsia="lt-LT"/>
              </w:rPr>
              <w:t>****</w:t>
            </w:r>
          </w:p>
        </w:tc>
      </w:tr>
      <w:tr w:rsidR="00BA5DBC" w:rsidRPr="00DF4742" w14:paraId="20ADA742" w14:textId="77777777" w:rsidTr="00EE1274">
        <w:trPr>
          <w:trHeight w:val="267"/>
          <w:jc w:val="center"/>
        </w:trPr>
        <w:tc>
          <w:tcPr>
            <w:tcW w:w="6200" w:type="dxa"/>
            <w:tcBorders>
              <w:left w:val="single" w:sz="4" w:space="0" w:color="auto"/>
            </w:tcBorders>
          </w:tcPr>
          <w:p w14:paraId="0F567576" w14:textId="2606A2E9" w:rsidR="00BA5DBC" w:rsidRPr="00DF4742" w:rsidRDefault="0058712F" w:rsidP="00BA5DBC">
            <w:pPr>
              <w:tabs>
                <w:tab w:val="left" w:pos="567"/>
              </w:tabs>
              <w:jc w:val="right"/>
              <w:rPr>
                <w:iCs/>
                <w:lang w:eastAsia="lt-LT"/>
              </w:rPr>
            </w:pPr>
            <w:r w:rsidRPr="00DF4742">
              <w:rPr>
                <w:iCs/>
                <w:lang w:eastAsia="lt-LT"/>
              </w:rPr>
              <w:t>Papildomi k</w:t>
            </w:r>
            <w:r w:rsidR="00BA5DBC" w:rsidRPr="00DF4742">
              <w:rPr>
                <w:iCs/>
                <w:lang w:eastAsia="lt-LT"/>
              </w:rPr>
              <w:t>okybiški gyvenimo metai (QALY)</w:t>
            </w:r>
          </w:p>
        </w:tc>
        <w:tc>
          <w:tcPr>
            <w:tcW w:w="3239" w:type="dxa"/>
            <w:tcBorders>
              <w:right w:val="single" w:sz="4" w:space="0" w:color="auto"/>
            </w:tcBorders>
          </w:tcPr>
          <w:p w14:paraId="02E4DAE1" w14:textId="353D466F" w:rsidR="00BA5DBC" w:rsidRPr="00DF4742" w:rsidRDefault="00B65C13" w:rsidP="00BA5DBC">
            <w:pPr>
              <w:tabs>
                <w:tab w:val="left" w:pos="567"/>
              </w:tabs>
              <w:jc w:val="both"/>
              <w:rPr>
                <w:i/>
                <w:iCs/>
                <w:lang w:eastAsia="lt-LT"/>
              </w:rPr>
            </w:pPr>
            <w:r>
              <w:rPr>
                <w:bCs/>
                <w:lang w:eastAsia="lt-LT"/>
              </w:rPr>
              <w:t>****</w:t>
            </w:r>
          </w:p>
        </w:tc>
      </w:tr>
      <w:tr w:rsidR="00EE1274" w:rsidRPr="00DF4742" w14:paraId="1FADA2B3" w14:textId="77777777" w:rsidTr="00EE1274">
        <w:trPr>
          <w:trHeight w:val="267"/>
          <w:jc w:val="center"/>
        </w:trPr>
        <w:tc>
          <w:tcPr>
            <w:tcW w:w="6200" w:type="dxa"/>
            <w:tcBorders>
              <w:left w:val="single" w:sz="4" w:space="0" w:color="auto"/>
            </w:tcBorders>
          </w:tcPr>
          <w:p w14:paraId="13E089E8" w14:textId="0BCEB339" w:rsidR="00EE1274" w:rsidRPr="00DF4742" w:rsidRDefault="00EE1274" w:rsidP="00EE1274">
            <w:pPr>
              <w:tabs>
                <w:tab w:val="left" w:pos="567"/>
              </w:tabs>
              <w:jc w:val="right"/>
              <w:rPr>
                <w:iCs/>
                <w:lang w:eastAsia="lt-LT"/>
              </w:rPr>
            </w:pPr>
            <w:r w:rsidRPr="00DF4742">
              <w:rPr>
                <w:iCs/>
                <w:lang w:eastAsia="lt-LT"/>
              </w:rPr>
              <w:t>ICER už LY</w:t>
            </w:r>
          </w:p>
        </w:tc>
        <w:tc>
          <w:tcPr>
            <w:tcW w:w="3239" w:type="dxa"/>
            <w:tcBorders>
              <w:right w:val="single" w:sz="4" w:space="0" w:color="auto"/>
            </w:tcBorders>
          </w:tcPr>
          <w:p w14:paraId="2817448D" w14:textId="173D92FA" w:rsidR="00EE1274" w:rsidRPr="00DF4742" w:rsidRDefault="00B65C13" w:rsidP="00EE1274">
            <w:pPr>
              <w:jc w:val="both"/>
              <w:rPr>
                <w:bCs/>
              </w:rPr>
            </w:pPr>
            <w:r>
              <w:rPr>
                <w:bCs/>
                <w:lang w:eastAsia="lt-LT"/>
              </w:rPr>
              <w:t>****</w:t>
            </w:r>
          </w:p>
        </w:tc>
      </w:tr>
      <w:tr w:rsidR="00EE1274" w:rsidRPr="00DF4742" w14:paraId="250DE960" w14:textId="77777777" w:rsidTr="00EE1274">
        <w:trPr>
          <w:trHeight w:val="267"/>
          <w:jc w:val="center"/>
        </w:trPr>
        <w:tc>
          <w:tcPr>
            <w:tcW w:w="6200" w:type="dxa"/>
            <w:tcBorders>
              <w:left w:val="single" w:sz="4" w:space="0" w:color="auto"/>
            </w:tcBorders>
          </w:tcPr>
          <w:p w14:paraId="207EFB23" w14:textId="77777777" w:rsidR="00EE1274" w:rsidRPr="00DF4742" w:rsidRDefault="00EE1274" w:rsidP="00EE1274">
            <w:pPr>
              <w:tabs>
                <w:tab w:val="left" w:pos="567"/>
              </w:tabs>
              <w:jc w:val="right"/>
              <w:rPr>
                <w:iCs/>
                <w:lang w:eastAsia="lt-LT"/>
              </w:rPr>
            </w:pPr>
            <w:r w:rsidRPr="00DF4742">
              <w:rPr>
                <w:iCs/>
                <w:lang w:eastAsia="lt-LT"/>
              </w:rPr>
              <w:t>ICER už QALY</w:t>
            </w:r>
          </w:p>
        </w:tc>
        <w:tc>
          <w:tcPr>
            <w:tcW w:w="3239" w:type="dxa"/>
            <w:tcBorders>
              <w:right w:val="single" w:sz="4" w:space="0" w:color="auto"/>
            </w:tcBorders>
          </w:tcPr>
          <w:p w14:paraId="4275320D" w14:textId="045AFACC" w:rsidR="00EE1274" w:rsidRPr="00DF4742" w:rsidRDefault="00B65C13" w:rsidP="00EE1274">
            <w:pPr>
              <w:tabs>
                <w:tab w:val="left" w:pos="567"/>
              </w:tabs>
              <w:jc w:val="both"/>
              <w:rPr>
                <w:i/>
                <w:iCs/>
                <w:lang w:eastAsia="lt-LT"/>
              </w:rPr>
            </w:pPr>
            <w:r>
              <w:rPr>
                <w:bCs/>
                <w:lang w:eastAsia="lt-LT"/>
              </w:rPr>
              <w:t>****</w:t>
            </w:r>
          </w:p>
        </w:tc>
      </w:tr>
      <w:tr w:rsidR="00EE1274" w:rsidRPr="00DF4742" w14:paraId="2C4C68BA" w14:textId="77777777" w:rsidTr="00EE1274">
        <w:trPr>
          <w:trHeight w:val="267"/>
          <w:jc w:val="center"/>
        </w:trPr>
        <w:tc>
          <w:tcPr>
            <w:tcW w:w="6200" w:type="dxa"/>
            <w:tcBorders>
              <w:left w:val="single" w:sz="4" w:space="0" w:color="auto"/>
              <w:bottom w:val="single" w:sz="4" w:space="0" w:color="auto"/>
              <w:right w:val="single" w:sz="4" w:space="0" w:color="auto"/>
            </w:tcBorders>
          </w:tcPr>
          <w:p w14:paraId="21BEDABF" w14:textId="77777777" w:rsidR="00EE1274" w:rsidRPr="00DF4742" w:rsidRDefault="00EE1274" w:rsidP="00EE1274">
            <w:pPr>
              <w:tabs>
                <w:tab w:val="left" w:pos="567"/>
              </w:tabs>
              <w:jc w:val="right"/>
              <w:rPr>
                <w:iCs/>
                <w:lang w:eastAsia="lt-LT"/>
              </w:rPr>
            </w:pPr>
            <w:r w:rsidRPr="00DF4742">
              <w:rPr>
                <w:iCs/>
                <w:lang w:eastAsia="lt-LT"/>
              </w:rPr>
              <w:t>Referentinė kaštų naudingumo vertė</w:t>
            </w:r>
          </w:p>
        </w:tc>
        <w:tc>
          <w:tcPr>
            <w:tcW w:w="3239" w:type="dxa"/>
            <w:tcBorders>
              <w:left w:val="single" w:sz="4" w:space="0" w:color="auto"/>
              <w:bottom w:val="single" w:sz="4" w:space="0" w:color="auto"/>
              <w:right w:val="single" w:sz="4" w:space="0" w:color="auto"/>
            </w:tcBorders>
          </w:tcPr>
          <w:p w14:paraId="31DAA72E" w14:textId="0178AE69" w:rsidR="00EE1274" w:rsidRPr="00DF4742" w:rsidRDefault="00B65C13" w:rsidP="00EE1274">
            <w:pPr>
              <w:tabs>
                <w:tab w:val="left" w:pos="567"/>
              </w:tabs>
              <w:jc w:val="both"/>
              <w:rPr>
                <w:i/>
                <w:iCs/>
                <w:lang w:eastAsia="lt-LT"/>
              </w:rPr>
            </w:pPr>
            <w:r>
              <w:rPr>
                <w:bCs/>
                <w:lang w:eastAsia="lt-LT"/>
              </w:rPr>
              <w:t>****</w:t>
            </w:r>
          </w:p>
        </w:tc>
      </w:tr>
    </w:tbl>
    <w:p w14:paraId="5FC8C737" w14:textId="4136B7F4" w:rsidR="0035172D" w:rsidRPr="00DF4742" w:rsidRDefault="00E5102E" w:rsidP="0035172D">
      <w:pPr>
        <w:tabs>
          <w:tab w:val="left" w:pos="567"/>
        </w:tabs>
        <w:jc w:val="both"/>
        <w:rPr>
          <w:iCs/>
          <w:sz w:val="20"/>
          <w:lang w:eastAsia="lt-LT"/>
        </w:rPr>
      </w:pPr>
      <w:r w:rsidRPr="00DF4742">
        <w:rPr>
          <w:iCs/>
          <w:sz w:val="20"/>
          <w:lang w:eastAsia="lt-LT"/>
        </w:rPr>
        <w:t xml:space="preserve">ICER </w:t>
      </w:r>
      <w:r w:rsidR="00453862" w:rsidRPr="00DF4742">
        <w:rPr>
          <w:iCs/>
          <w:sz w:val="20"/>
          <w:lang w:eastAsia="lt-LT"/>
        </w:rPr>
        <w:t>– (</w:t>
      </w:r>
      <w:r w:rsidR="00453862" w:rsidRPr="00DF4742">
        <w:rPr>
          <w:i/>
          <w:sz w:val="20"/>
          <w:lang w:eastAsia="lt-LT"/>
        </w:rPr>
        <w:t>angl. incremental cost-effectiveness ratio</w:t>
      </w:r>
      <w:r w:rsidR="00453862" w:rsidRPr="00DF4742">
        <w:rPr>
          <w:iCs/>
          <w:sz w:val="20"/>
          <w:lang w:eastAsia="lt-LT"/>
        </w:rPr>
        <w:t>) inkrementinis kaštų naudingumo koeficientas</w:t>
      </w:r>
      <w:r w:rsidRPr="00DF4742">
        <w:rPr>
          <w:iCs/>
          <w:sz w:val="20"/>
          <w:lang w:eastAsia="lt-LT"/>
        </w:rPr>
        <w:t>; LY –</w:t>
      </w:r>
      <w:r w:rsidR="00453862" w:rsidRPr="00DF4742">
        <w:rPr>
          <w:iCs/>
          <w:sz w:val="20"/>
          <w:lang w:eastAsia="lt-LT"/>
        </w:rPr>
        <w:t xml:space="preserve"> (</w:t>
      </w:r>
      <w:r w:rsidR="00453862" w:rsidRPr="00DF4742">
        <w:rPr>
          <w:i/>
          <w:sz w:val="20"/>
          <w:lang w:eastAsia="lt-LT"/>
        </w:rPr>
        <w:t>angl. life years</w:t>
      </w:r>
      <w:r w:rsidR="00453862" w:rsidRPr="00DF4742">
        <w:rPr>
          <w:iCs/>
          <w:sz w:val="20"/>
          <w:lang w:eastAsia="lt-LT"/>
        </w:rPr>
        <w:t>) gyvenimo metai</w:t>
      </w:r>
      <w:r w:rsidRPr="00DF4742">
        <w:rPr>
          <w:iCs/>
          <w:sz w:val="20"/>
          <w:lang w:eastAsia="lt-LT"/>
        </w:rPr>
        <w:t xml:space="preserve">; QALY- </w:t>
      </w:r>
      <w:r w:rsidR="00453862" w:rsidRPr="00DF4742">
        <w:rPr>
          <w:iCs/>
          <w:sz w:val="20"/>
          <w:lang w:eastAsia="lt-LT"/>
        </w:rPr>
        <w:t>(</w:t>
      </w:r>
      <w:r w:rsidR="00453862" w:rsidRPr="00DF4742">
        <w:rPr>
          <w:i/>
          <w:sz w:val="20"/>
          <w:lang w:eastAsia="lt-LT"/>
        </w:rPr>
        <w:t xml:space="preserve">angl. quality adjusted life years) </w:t>
      </w:r>
      <w:r w:rsidR="00453862" w:rsidRPr="00DF4742">
        <w:rPr>
          <w:iCs/>
          <w:sz w:val="20"/>
          <w:lang w:eastAsia="lt-LT"/>
        </w:rPr>
        <w:t>kokybiški gyvenimo metai.</w:t>
      </w:r>
    </w:p>
    <w:p w14:paraId="33875138" w14:textId="17704F2D" w:rsidR="0035172D" w:rsidRPr="00DF4742" w:rsidRDefault="0035172D" w:rsidP="00A93AA6">
      <w:pPr>
        <w:tabs>
          <w:tab w:val="left" w:pos="426"/>
        </w:tabs>
        <w:rPr>
          <w:b/>
          <w:bCs/>
          <w:caps/>
        </w:rPr>
      </w:pPr>
    </w:p>
    <w:p w14:paraId="7072DE24" w14:textId="3F2F562D" w:rsidR="00B6585A" w:rsidRPr="00DF4742" w:rsidRDefault="00794D60" w:rsidP="00F02AD4">
      <w:pPr>
        <w:tabs>
          <w:tab w:val="left" w:pos="426"/>
        </w:tabs>
        <w:spacing w:line="276" w:lineRule="auto"/>
        <w:jc w:val="both"/>
        <w:rPr>
          <w:snapToGrid w:val="0"/>
          <w:szCs w:val="20"/>
        </w:rPr>
      </w:pPr>
      <w:r w:rsidRPr="00DF4742">
        <w:rPr>
          <w:iCs/>
          <w:lang w:eastAsia="lt-LT"/>
        </w:rPr>
        <w:tab/>
        <w:t>Dapagliflozino kaštų efektyvumą patvirtina ir jautrumo analizės rezultatai (nė vienu scenarijaus atveju, apskaičiuotas ICER neviršija lengvai ligos naštai taikomo referencinės kaštų naudingumo vertės slenksčio (</w:t>
      </w:r>
      <w:r w:rsidR="00B65C13">
        <w:rPr>
          <w:bCs/>
          <w:lang w:eastAsia="lt-LT"/>
        </w:rPr>
        <w:t>****</w:t>
      </w:r>
      <w:r w:rsidRPr="00DF4742">
        <w:rPr>
          <w:iCs/>
          <w:lang w:eastAsia="lt-LT"/>
        </w:rPr>
        <w:t>)).</w:t>
      </w:r>
    </w:p>
    <w:p w14:paraId="4A9A2B31" w14:textId="77777777" w:rsidR="00B6585A" w:rsidRPr="00DF4742" w:rsidRDefault="00B6585A" w:rsidP="00A93AA6">
      <w:pPr>
        <w:tabs>
          <w:tab w:val="left" w:pos="426"/>
        </w:tabs>
        <w:rPr>
          <w:b/>
          <w:bCs/>
          <w:caps/>
        </w:rPr>
      </w:pPr>
    </w:p>
    <w:p w14:paraId="4FC424F9" w14:textId="4E767245" w:rsidR="00C62B36" w:rsidRPr="00DF4742" w:rsidRDefault="00C62B36" w:rsidP="00CC09D4">
      <w:pPr>
        <w:pStyle w:val="Sraopastraipa"/>
        <w:numPr>
          <w:ilvl w:val="0"/>
          <w:numId w:val="12"/>
        </w:numPr>
        <w:tabs>
          <w:tab w:val="left" w:pos="567"/>
        </w:tabs>
        <w:ind w:hanging="720"/>
        <w:rPr>
          <w:b/>
          <w:bCs/>
          <w:caps/>
        </w:rPr>
      </w:pPr>
      <w:r w:rsidRPr="00DF4742">
        <w:rPr>
          <w:b/>
          <w:bCs/>
          <w:caps/>
        </w:rPr>
        <w:t xml:space="preserve">Pacientų organizacijų pateikti duomenys </w:t>
      </w:r>
    </w:p>
    <w:p w14:paraId="79BCFF40" w14:textId="3C1FCEFA" w:rsidR="00937907" w:rsidRPr="00DF4742" w:rsidRDefault="00671238" w:rsidP="00937907">
      <w:pPr>
        <w:spacing w:after="120"/>
        <w:jc w:val="both"/>
      </w:pPr>
      <w:sdt>
        <w:sdtPr>
          <w:rPr>
            <w:rStyle w:val="Style2"/>
            <w:rFonts w:ascii="MS Gothic" w:eastAsia="MS Gothic" w:hAnsi="MS Gothic"/>
            <w:sz w:val="24"/>
          </w:rPr>
          <w:id w:val="1150014178"/>
          <w15:color w:val="FFCC00"/>
          <w14:checkbox>
            <w14:checked w14:val="0"/>
            <w14:checkedState w14:val="2612" w14:font="MS Gothic"/>
            <w14:uncheckedState w14:val="2610" w14:font="MS Gothic"/>
          </w14:checkbox>
        </w:sdtPr>
        <w:sdtEndPr>
          <w:rPr>
            <w:rStyle w:val="Style2"/>
          </w:rPr>
        </w:sdtEndPr>
        <w:sdtContent>
          <w:r w:rsidR="00454155" w:rsidRPr="00DF4742">
            <w:rPr>
              <w:rStyle w:val="Style2"/>
              <w:rFonts w:ascii="MS Gothic" w:eastAsia="MS Gothic" w:hAnsi="MS Gothic"/>
              <w:sz w:val="24"/>
            </w:rPr>
            <w:t>☐</w:t>
          </w:r>
        </w:sdtContent>
      </w:sdt>
      <w:r w:rsidR="00937907" w:rsidRPr="00DF4742">
        <w:t xml:space="preserve"> Pacientų organizacijos pozicija pateikta. Žr. priedą.</w:t>
      </w:r>
    </w:p>
    <w:p w14:paraId="62992180" w14:textId="6D5D666D" w:rsidR="00937907" w:rsidRPr="00DF4742" w:rsidRDefault="00671238" w:rsidP="00937907">
      <w:pPr>
        <w:spacing w:after="120"/>
        <w:jc w:val="both"/>
      </w:pPr>
      <w:sdt>
        <w:sdtPr>
          <w:rPr>
            <w:rStyle w:val="Style2"/>
            <w:rFonts w:ascii="MS Gothic" w:eastAsia="MS Gothic" w:hAnsi="MS Gothic"/>
            <w:sz w:val="24"/>
          </w:rPr>
          <w:id w:val="-1545513810"/>
          <w15:color w:val="FFCC00"/>
          <w14:checkbox>
            <w14:checked w14:val="1"/>
            <w14:checkedState w14:val="2612" w14:font="MS Gothic"/>
            <w14:uncheckedState w14:val="2610" w14:font="MS Gothic"/>
          </w14:checkbox>
        </w:sdtPr>
        <w:sdtEndPr>
          <w:rPr>
            <w:rStyle w:val="Style2"/>
          </w:rPr>
        </w:sdtEndPr>
        <w:sdtContent>
          <w:r w:rsidR="00454155" w:rsidRPr="00DF4742">
            <w:rPr>
              <w:rStyle w:val="Style2"/>
              <w:rFonts w:ascii="MS Gothic" w:eastAsia="MS Gothic" w:hAnsi="MS Gothic"/>
              <w:sz w:val="24"/>
            </w:rPr>
            <w:t>☒</w:t>
          </w:r>
        </w:sdtContent>
      </w:sdt>
      <w:r w:rsidR="00937907" w:rsidRPr="00DF4742">
        <w:t xml:space="preserve"> Pacientų organizacijos pozicija </w:t>
      </w:r>
      <w:r w:rsidR="00880A44" w:rsidRPr="00DF4742">
        <w:t>ne</w:t>
      </w:r>
      <w:r w:rsidR="00937907" w:rsidRPr="00DF4742">
        <w:t>pateikta.</w:t>
      </w:r>
    </w:p>
    <w:p w14:paraId="03E73D82" w14:textId="77777777" w:rsidR="00D417D2" w:rsidRPr="00DF4742" w:rsidRDefault="00D417D2" w:rsidP="00937907">
      <w:pPr>
        <w:spacing w:after="120"/>
        <w:jc w:val="both"/>
      </w:pPr>
    </w:p>
    <w:p w14:paraId="3D3277FA" w14:textId="3CEEB2D2" w:rsidR="00C62B36" w:rsidRPr="00DF4742" w:rsidRDefault="00C62B36" w:rsidP="00CC09D4">
      <w:pPr>
        <w:pStyle w:val="Sraopastraipa"/>
        <w:numPr>
          <w:ilvl w:val="0"/>
          <w:numId w:val="12"/>
        </w:numPr>
        <w:tabs>
          <w:tab w:val="left" w:pos="567"/>
        </w:tabs>
        <w:ind w:hanging="720"/>
        <w:rPr>
          <w:b/>
          <w:bCs/>
          <w:caps/>
        </w:rPr>
      </w:pPr>
      <w:r w:rsidRPr="00DF4742">
        <w:rPr>
          <w:b/>
          <w:bCs/>
          <w:caps/>
        </w:rPr>
        <w:t>Gydytojų organizacijų pateikti duomenys</w:t>
      </w:r>
    </w:p>
    <w:p w14:paraId="389A346C" w14:textId="17184B64" w:rsidR="00937907" w:rsidRPr="00DF4742" w:rsidRDefault="00671238" w:rsidP="00662983">
      <w:pPr>
        <w:spacing w:after="120"/>
        <w:jc w:val="both"/>
      </w:pPr>
      <w:sdt>
        <w:sdtPr>
          <w:rPr>
            <w:rStyle w:val="Style2"/>
            <w:rFonts w:ascii="MS Gothic" w:eastAsia="MS Gothic" w:hAnsi="MS Gothic"/>
            <w:sz w:val="24"/>
          </w:rPr>
          <w:id w:val="1613862788"/>
          <w15:color w:val="FFCC00"/>
          <w14:checkbox>
            <w14:checked w14:val="0"/>
            <w14:checkedState w14:val="2612" w14:font="MS Gothic"/>
            <w14:uncheckedState w14:val="2610" w14:font="MS Gothic"/>
          </w14:checkbox>
        </w:sdtPr>
        <w:sdtEndPr>
          <w:rPr>
            <w:rStyle w:val="Style2"/>
          </w:rPr>
        </w:sdtEndPr>
        <w:sdtContent>
          <w:r w:rsidR="00937907" w:rsidRPr="00DF4742">
            <w:rPr>
              <w:rStyle w:val="Style2"/>
              <w:rFonts w:ascii="MS Gothic" w:eastAsia="MS Gothic" w:hAnsi="MS Gothic"/>
              <w:sz w:val="24"/>
            </w:rPr>
            <w:t>☐</w:t>
          </w:r>
        </w:sdtContent>
      </w:sdt>
      <w:r w:rsidR="00662983" w:rsidRPr="00DF4742">
        <w:t xml:space="preserve"> </w:t>
      </w:r>
      <w:r w:rsidR="00937907" w:rsidRPr="00DF4742">
        <w:t xml:space="preserve">Gydytojų specialistų organizacijos pozicija pateikta. </w:t>
      </w:r>
      <w:r w:rsidR="00662983" w:rsidRPr="00DF4742">
        <w:t>Žr. priedą</w:t>
      </w:r>
      <w:r w:rsidR="00937907" w:rsidRPr="00DF4742">
        <w:t>.</w:t>
      </w:r>
    </w:p>
    <w:p w14:paraId="5D8CC48C" w14:textId="15C41AC2" w:rsidR="00662983" w:rsidRPr="00DF4742" w:rsidRDefault="00671238" w:rsidP="00662983">
      <w:pPr>
        <w:spacing w:after="120"/>
        <w:jc w:val="both"/>
      </w:pPr>
      <w:sdt>
        <w:sdtPr>
          <w:rPr>
            <w:rStyle w:val="Style2"/>
            <w:rFonts w:ascii="MS Gothic" w:eastAsia="MS Gothic" w:hAnsi="MS Gothic"/>
            <w:sz w:val="24"/>
          </w:rPr>
          <w:id w:val="-41988141"/>
          <w15:color w:val="FFCC00"/>
          <w14:checkbox>
            <w14:checked w14:val="1"/>
            <w14:checkedState w14:val="2612" w14:font="MS Gothic"/>
            <w14:uncheckedState w14:val="2610" w14:font="MS Gothic"/>
          </w14:checkbox>
        </w:sdtPr>
        <w:sdtEndPr>
          <w:rPr>
            <w:rStyle w:val="Style2"/>
          </w:rPr>
        </w:sdtEndPr>
        <w:sdtContent>
          <w:r w:rsidR="00925179" w:rsidRPr="00DF4742">
            <w:rPr>
              <w:rStyle w:val="Style2"/>
              <w:rFonts w:ascii="MS Gothic" w:eastAsia="MS Gothic" w:hAnsi="MS Gothic"/>
              <w:sz w:val="24"/>
            </w:rPr>
            <w:t>☒</w:t>
          </w:r>
        </w:sdtContent>
      </w:sdt>
      <w:r w:rsidR="00662983" w:rsidRPr="00DF4742">
        <w:t xml:space="preserve"> </w:t>
      </w:r>
      <w:r w:rsidR="00937907" w:rsidRPr="00DF4742">
        <w:t xml:space="preserve">Gydytojų specialistų organizacijos pozicija </w:t>
      </w:r>
      <w:r w:rsidR="00880A44" w:rsidRPr="00DF4742">
        <w:t>ne</w:t>
      </w:r>
      <w:r w:rsidR="00937907" w:rsidRPr="00DF4742">
        <w:t>pateikta.</w:t>
      </w:r>
    </w:p>
    <w:p w14:paraId="3701D46A" w14:textId="77777777" w:rsidR="00A042B9" w:rsidRPr="00DF4742" w:rsidRDefault="00A042B9" w:rsidP="00662983">
      <w:pPr>
        <w:spacing w:after="120"/>
        <w:jc w:val="both"/>
      </w:pPr>
    </w:p>
    <w:p w14:paraId="78F23ECB" w14:textId="23A3A002" w:rsidR="002F0E4F" w:rsidRPr="00DF4742" w:rsidRDefault="002F0E4F" w:rsidP="00CC09D4">
      <w:pPr>
        <w:pStyle w:val="Sraopastraipa"/>
        <w:numPr>
          <w:ilvl w:val="0"/>
          <w:numId w:val="12"/>
        </w:numPr>
        <w:tabs>
          <w:tab w:val="left" w:pos="567"/>
        </w:tabs>
        <w:ind w:hanging="720"/>
        <w:rPr>
          <w:b/>
          <w:bCs/>
          <w:caps/>
        </w:rPr>
      </w:pPr>
      <w:r w:rsidRPr="00DF4742">
        <w:rPr>
          <w:b/>
          <w:bCs/>
          <w:caps/>
        </w:rPr>
        <w:t xml:space="preserve">Išvada </w:t>
      </w:r>
    </w:p>
    <w:p w14:paraId="08D5B3B6" w14:textId="5D93CDBF" w:rsidR="0061611B" w:rsidRPr="00DF4742" w:rsidRDefault="0061611B" w:rsidP="0061611B">
      <w:pPr>
        <w:rPr>
          <w:i/>
          <w:szCs w:val="22"/>
        </w:rPr>
      </w:pPr>
    </w:p>
    <w:tbl>
      <w:tblPr>
        <w:tblStyle w:val="Lentelstinklelis"/>
        <w:tblW w:w="0" w:type="auto"/>
        <w:tblLook w:val="04A0" w:firstRow="1" w:lastRow="0" w:firstColumn="1" w:lastColumn="0" w:noHBand="0" w:noVBand="1"/>
      </w:tblPr>
      <w:tblGrid>
        <w:gridCol w:w="4815"/>
        <w:gridCol w:w="4814"/>
      </w:tblGrid>
      <w:tr w:rsidR="00454155" w:rsidRPr="00DF4742" w14:paraId="2217DB32" w14:textId="77777777" w:rsidTr="00C2017D">
        <w:trPr>
          <w:trHeight w:val="510"/>
        </w:trPr>
        <w:tc>
          <w:tcPr>
            <w:tcW w:w="9629" w:type="dxa"/>
            <w:gridSpan w:val="2"/>
            <w:vAlign w:val="center"/>
          </w:tcPr>
          <w:p w14:paraId="1B40DAD5" w14:textId="77777777" w:rsidR="00454155" w:rsidRPr="00DF4742" w:rsidRDefault="00454155" w:rsidP="00C201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bookmarkStart w:id="1" w:name="_Hlk185374656"/>
            <w:r w:rsidRPr="00DF4742">
              <w:rPr>
                <w:rStyle w:val="Style2"/>
                <w:rFonts w:eastAsia="MS Gothic"/>
                <w:b/>
                <w:bCs/>
                <w:sz w:val="24"/>
              </w:rPr>
              <w:t>Palyginamasis veiksmingumas</w:t>
            </w:r>
          </w:p>
        </w:tc>
      </w:tr>
      <w:tr w:rsidR="00454155" w:rsidRPr="00DF4742" w14:paraId="62CECCF1" w14:textId="77777777" w:rsidTr="00C2017D">
        <w:tc>
          <w:tcPr>
            <w:tcW w:w="4815" w:type="dxa"/>
          </w:tcPr>
          <w:p w14:paraId="0840E163" w14:textId="77777777" w:rsidR="00454155" w:rsidRPr="00DF4742" w:rsidRDefault="00671238" w:rsidP="00C201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685207295"/>
                <w15:color w:val="FFCC00"/>
                <w14:checkbox>
                  <w14:checked w14:val="1"/>
                  <w14:checkedState w14:val="2612" w14:font="MS Gothic"/>
                  <w14:uncheckedState w14:val="2610" w14:font="MS Gothic"/>
                </w14:checkbox>
              </w:sdtPr>
              <w:sdtEndPr>
                <w:rPr>
                  <w:rStyle w:val="Style2"/>
                </w:rPr>
              </w:sdtEndPr>
              <w:sdtContent>
                <w:r w:rsidR="00454155" w:rsidRPr="00DF4742">
                  <w:rPr>
                    <w:rStyle w:val="Style2"/>
                    <w:rFonts w:ascii="MS Gothic" w:eastAsia="MS Gothic" w:hAnsi="MS Gothic"/>
                    <w:sz w:val="24"/>
                  </w:rPr>
                  <w:t>☒</w:t>
                </w:r>
              </w:sdtContent>
            </w:sdt>
            <w:r w:rsidR="00454155" w:rsidRPr="00DF4742">
              <w:rPr>
                <w:rStyle w:val="Style2"/>
                <w:sz w:val="24"/>
              </w:rPr>
              <w:t xml:space="preserve"> 29</w:t>
            </w:r>
            <w:r w:rsidR="00454155" w:rsidRPr="00DF4742">
              <w:t>.1.1 yra didesnis, lyginant su įprasta klinikine praktika</w:t>
            </w:r>
          </w:p>
          <w:p w14:paraId="3C134CBC" w14:textId="77777777" w:rsidR="00454155" w:rsidRPr="00DF4742" w:rsidRDefault="00454155" w:rsidP="00C201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B73A3DC" w14:textId="77777777" w:rsidR="00454155" w:rsidRPr="00DF4742" w:rsidRDefault="00671238" w:rsidP="00C201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sdt>
              <w:sdtPr>
                <w:rPr>
                  <w:rStyle w:val="Style2"/>
                  <w:sz w:val="24"/>
                </w:rPr>
                <w:id w:val="-914471956"/>
                <w15:color w:val="FFCC00"/>
                <w14:checkbox>
                  <w14:checked w14:val="0"/>
                  <w14:checkedState w14:val="2612" w14:font="MS Gothic"/>
                  <w14:uncheckedState w14:val="2610" w14:font="MS Gothic"/>
                </w14:checkbox>
              </w:sdtPr>
              <w:sdtEndPr>
                <w:rPr>
                  <w:rStyle w:val="Style2"/>
                </w:rPr>
              </w:sdtEndPr>
              <w:sdtContent>
                <w:r w:rsidR="00454155" w:rsidRPr="00DF4742">
                  <w:rPr>
                    <w:rStyle w:val="Style2"/>
                    <w:rFonts w:ascii="MS Gothic" w:eastAsia="MS Gothic" w:hAnsi="MS Gothic"/>
                    <w:sz w:val="24"/>
                  </w:rPr>
                  <w:t>☐</w:t>
                </w:r>
              </w:sdtContent>
            </w:sdt>
            <w:r w:rsidR="00454155" w:rsidRPr="00DF4742">
              <w:t xml:space="preserve"> </w:t>
            </w:r>
            <w:r w:rsidR="00454155" w:rsidRPr="00DF4742">
              <w:rPr>
                <w:rStyle w:val="Style2"/>
                <w:sz w:val="24"/>
              </w:rPr>
              <w:t>29</w:t>
            </w:r>
            <w:r w:rsidR="00454155" w:rsidRPr="00DF4742">
              <w:t>.1.2 iš esmės nesiskiria, lyginant su įprasta klinikine praktika</w:t>
            </w:r>
          </w:p>
        </w:tc>
        <w:tc>
          <w:tcPr>
            <w:tcW w:w="4814" w:type="dxa"/>
          </w:tcPr>
          <w:p w14:paraId="2E62076A" w14:textId="77777777" w:rsidR="00454155" w:rsidRPr="00DF4742" w:rsidRDefault="00671238" w:rsidP="00C201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4200549"/>
                <w15:color w:val="FFCC00"/>
                <w14:checkbox>
                  <w14:checked w14:val="0"/>
                  <w14:checkedState w14:val="2612" w14:font="MS Gothic"/>
                  <w14:uncheckedState w14:val="2610" w14:font="MS Gothic"/>
                </w14:checkbox>
              </w:sdtPr>
              <w:sdtEndPr>
                <w:rPr>
                  <w:rStyle w:val="Style2"/>
                </w:rPr>
              </w:sdtEndPr>
              <w:sdtContent>
                <w:r w:rsidR="00454155" w:rsidRPr="00DF4742">
                  <w:rPr>
                    <w:rStyle w:val="Style2"/>
                    <w:rFonts w:ascii="Segoe UI Symbol" w:eastAsia="MS Gothic" w:hAnsi="Segoe UI Symbol" w:cs="Segoe UI Symbol"/>
                    <w:sz w:val="24"/>
                  </w:rPr>
                  <w:t>☐</w:t>
                </w:r>
              </w:sdtContent>
            </w:sdt>
            <w:r w:rsidR="00454155" w:rsidRPr="00DF4742">
              <w:t xml:space="preserve"> </w:t>
            </w:r>
            <w:r w:rsidR="00454155" w:rsidRPr="00DF4742">
              <w:rPr>
                <w:rStyle w:val="Style2"/>
                <w:sz w:val="24"/>
              </w:rPr>
              <w:t>29</w:t>
            </w:r>
            <w:r w:rsidR="00454155" w:rsidRPr="00DF4742">
              <w:t xml:space="preserve">.1.3 yra neįrodytas kaip didesnis  ar iš esmės nesiskiriantis, lyginant su įprasta klinikine praktika  </w:t>
            </w:r>
          </w:p>
          <w:p w14:paraId="01C334D8" w14:textId="77777777" w:rsidR="00454155" w:rsidRPr="00DF4742" w:rsidRDefault="00454155" w:rsidP="00C201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8CEF2F3" w14:textId="77777777" w:rsidR="00454155" w:rsidRPr="00DF4742" w:rsidRDefault="00671238" w:rsidP="00C201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2178579"/>
                <w15:color w:val="FFCC00"/>
                <w14:checkbox>
                  <w14:checked w14:val="0"/>
                  <w14:checkedState w14:val="2612" w14:font="MS Gothic"/>
                  <w14:uncheckedState w14:val="2610" w14:font="MS Gothic"/>
                </w14:checkbox>
              </w:sdtPr>
              <w:sdtEndPr>
                <w:rPr>
                  <w:rStyle w:val="Style2"/>
                </w:rPr>
              </w:sdtEndPr>
              <w:sdtContent>
                <w:r w:rsidR="00454155" w:rsidRPr="00DF4742">
                  <w:rPr>
                    <w:rStyle w:val="Style2"/>
                    <w:rFonts w:ascii="Segoe UI Symbol" w:eastAsia="MS Gothic" w:hAnsi="Segoe UI Symbol" w:cs="Segoe UI Symbol"/>
                    <w:sz w:val="24"/>
                  </w:rPr>
                  <w:t>☐</w:t>
                </w:r>
              </w:sdtContent>
            </w:sdt>
            <w:r w:rsidR="00454155" w:rsidRPr="00DF4742">
              <w:t xml:space="preserve"> </w:t>
            </w:r>
            <w:r w:rsidR="00454155" w:rsidRPr="00DF4742">
              <w:rPr>
                <w:rStyle w:val="Style2"/>
                <w:sz w:val="24"/>
              </w:rPr>
              <w:t>29</w:t>
            </w:r>
            <w:r w:rsidR="00454155" w:rsidRPr="00DF4742">
              <w:t>.1.4 yra mažesnis, lyginant su įprasta klinikine praktika</w:t>
            </w:r>
          </w:p>
          <w:p w14:paraId="764B1BC2" w14:textId="77777777" w:rsidR="00454155" w:rsidRPr="00DF4742" w:rsidRDefault="00454155" w:rsidP="00C201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A74DD42" w14:textId="77777777" w:rsidR="00454155" w:rsidRPr="00DF4742" w:rsidRDefault="00671238" w:rsidP="00C201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465324558"/>
                <w15:color w:val="FFCC00"/>
                <w14:checkbox>
                  <w14:checked w14:val="0"/>
                  <w14:checkedState w14:val="2612" w14:font="MS Gothic"/>
                  <w14:uncheckedState w14:val="2610" w14:font="MS Gothic"/>
                </w14:checkbox>
              </w:sdtPr>
              <w:sdtEndPr>
                <w:rPr>
                  <w:rStyle w:val="Style2"/>
                </w:rPr>
              </w:sdtEndPr>
              <w:sdtContent>
                <w:r w:rsidR="00454155" w:rsidRPr="00DF4742">
                  <w:rPr>
                    <w:rStyle w:val="Style2"/>
                    <w:rFonts w:ascii="Segoe UI Symbol" w:eastAsia="MS Gothic" w:hAnsi="Segoe UI Symbol" w:cs="Segoe UI Symbol"/>
                    <w:sz w:val="24"/>
                  </w:rPr>
                  <w:t>☐</w:t>
                </w:r>
              </w:sdtContent>
            </w:sdt>
            <w:r w:rsidR="00454155" w:rsidRPr="00DF4742">
              <w:t xml:space="preserve">  </w:t>
            </w:r>
            <w:r w:rsidR="00454155" w:rsidRPr="00DF4742">
              <w:rPr>
                <w:rStyle w:val="Style2"/>
                <w:sz w:val="24"/>
              </w:rPr>
              <w:t>29</w:t>
            </w:r>
            <w:r w:rsidR="00454155" w:rsidRPr="00DF4742">
              <w:t>.1.5 pateikti duomenys apie palyginamąjį veiksmingumą yra netinkami vertinti</w:t>
            </w:r>
          </w:p>
          <w:p w14:paraId="30590984" w14:textId="77777777" w:rsidR="00454155" w:rsidRPr="00DF4742" w:rsidRDefault="00454155" w:rsidP="00C201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454155" w:rsidRPr="00DF4742" w14:paraId="363BECFC" w14:textId="77777777" w:rsidTr="00C2017D">
        <w:trPr>
          <w:trHeight w:val="510"/>
        </w:trPr>
        <w:tc>
          <w:tcPr>
            <w:tcW w:w="9629" w:type="dxa"/>
            <w:gridSpan w:val="2"/>
            <w:vAlign w:val="center"/>
          </w:tcPr>
          <w:p w14:paraId="32991809" w14:textId="77777777" w:rsidR="00454155" w:rsidRPr="00DF4742" w:rsidRDefault="00454155" w:rsidP="00C201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bookmarkStart w:id="2" w:name="_Hlk185374787"/>
            <w:r w:rsidRPr="00DF4742">
              <w:rPr>
                <w:rStyle w:val="Style2"/>
                <w:rFonts w:eastAsia="MS Gothic"/>
                <w:b/>
                <w:bCs/>
                <w:sz w:val="24"/>
              </w:rPr>
              <w:t>Kaštų naudingumas</w:t>
            </w:r>
          </w:p>
        </w:tc>
      </w:tr>
      <w:tr w:rsidR="00454155" w:rsidRPr="00DF4742" w14:paraId="6C05FE79" w14:textId="77777777" w:rsidTr="00C2017D">
        <w:tc>
          <w:tcPr>
            <w:tcW w:w="4815" w:type="dxa"/>
          </w:tcPr>
          <w:p w14:paraId="33FF3F9D" w14:textId="77777777" w:rsidR="00454155" w:rsidRPr="00DF4742" w:rsidRDefault="00671238" w:rsidP="00C201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975984416"/>
                <w15:color w:val="FFCC00"/>
                <w14:checkbox>
                  <w14:checked w14:val="1"/>
                  <w14:checkedState w14:val="2612" w14:font="MS Gothic"/>
                  <w14:uncheckedState w14:val="2610" w14:font="MS Gothic"/>
                </w14:checkbox>
              </w:sdtPr>
              <w:sdtEndPr>
                <w:rPr>
                  <w:rStyle w:val="Style2"/>
                </w:rPr>
              </w:sdtEndPr>
              <w:sdtContent>
                <w:r w:rsidR="00454155" w:rsidRPr="00DF4742">
                  <w:rPr>
                    <w:rStyle w:val="Style2"/>
                    <w:rFonts w:ascii="MS Gothic" w:eastAsia="MS Gothic" w:hAnsi="MS Gothic"/>
                    <w:sz w:val="24"/>
                  </w:rPr>
                  <w:t>☒</w:t>
                </w:r>
              </w:sdtContent>
            </w:sdt>
            <w:r w:rsidR="00454155" w:rsidRPr="00DF4742">
              <w:t xml:space="preserve"> 29.2.1 atitinka referencinę naudingumo vertę</w:t>
            </w:r>
          </w:p>
          <w:p w14:paraId="6238291F" w14:textId="77777777" w:rsidR="00454155" w:rsidRPr="00DF4742" w:rsidRDefault="00454155" w:rsidP="00C201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F8E8838" w14:textId="77777777" w:rsidR="00454155" w:rsidRPr="00DF4742" w:rsidRDefault="00671238" w:rsidP="00C201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sdt>
              <w:sdtPr>
                <w:rPr>
                  <w:rStyle w:val="Style2"/>
                  <w:sz w:val="24"/>
                </w:rPr>
                <w:id w:val="-1308081728"/>
                <w15:color w:val="FFCC00"/>
                <w14:checkbox>
                  <w14:checked w14:val="0"/>
                  <w14:checkedState w14:val="2612" w14:font="MS Gothic"/>
                  <w14:uncheckedState w14:val="2610" w14:font="MS Gothic"/>
                </w14:checkbox>
              </w:sdtPr>
              <w:sdtEndPr>
                <w:rPr>
                  <w:rStyle w:val="Style2"/>
                </w:rPr>
              </w:sdtEndPr>
              <w:sdtContent>
                <w:r w:rsidR="00454155" w:rsidRPr="00DF4742">
                  <w:rPr>
                    <w:rStyle w:val="Style2"/>
                    <w:rFonts w:ascii="Segoe UI Symbol" w:eastAsia="MS Gothic" w:hAnsi="Segoe UI Symbol" w:cs="Segoe UI Symbol"/>
                    <w:sz w:val="24"/>
                  </w:rPr>
                  <w:t>☐</w:t>
                </w:r>
              </w:sdtContent>
            </w:sdt>
            <w:r w:rsidR="00454155" w:rsidRPr="00DF4742">
              <w:t xml:space="preserve"> 29.2.2 gydymo juo kaštai yra mažesni ar tokie patys esant iš esmės nesiskiriančiam </w:t>
            </w:r>
            <w:r w:rsidR="00454155" w:rsidRPr="00DF4742">
              <w:lastRenderedPageBreak/>
              <w:t>palyginamajam efektyvumui, taikant arba netaikant  PGS</w:t>
            </w:r>
          </w:p>
        </w:tc>
        <w:tc>
          <w:tcPr>
            <w:tcW w:w="4814" w:type="dxa"/>
          </w:tcPr>
          <w:p w14:paraId="3A0C8CC8" w14:textId="77777777" w:rsidR="00454155" w:rsidRPr="00DF4742" w:rsidRDefault="00671238" w:rsidP="00C201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65405113"/>
                <w15:color w:val="FFCC00"/>
                <w14:checkbox>
                  <w14:checked w14:val="0"/>
                  <w14:checkedState w14:val="2612" w14:font="MS Gothic"/>
                  <w14:uncheckedState w14:val="2610" w14:font="MS Gothic"/>
                </w14:checkbox>
              </w:sdtPr>
              <w:sdtEndPr>
                <w:rPr>
                  <w:rStyle w:val="Style2"/>
                </w:rPr>
              </w:sdtEndPr>
              <w:sdtContent>
                <w:r w:rsidR="00454155" w:rsidRPr="00DF4742">
                  <w:rPr>
                    <w:rStyle w:val="Style2"/>
                    <w:rFonts w:ascii="MS Gothic" w:eastAsia="MS Gothic" w:hAnsi="MS Gothic"/>
                    <w:sz w:val="24"/>
                  </w:rPr>
                  <w:t>☐</w:t>
                </w:r>
              </w:sdtContent>
            </w:sdt>
            <w:r w:rsidR="00454155" w:rsidRPr="00DF4742">
              <w:t xml:space="preserve"> 29.2.3 neatitinka referencinės naudingumo vertės taikant arba netaikant PGS</w:t>
            </w:r>
          </w:p>
          <w:p w14:paraId="0E81B697" w14:textId="77777777" w:rsidR="00454155" w:rsidRPr="00DF4742" w:rsidRDefault="00454155" w:rsidP="00C201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14681D8" w14:textId="77777777" w:rsidR="00454155" w:rsidRPr="00DF4742" w:rsidRDefault="00671238" w:rsidP="00C201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dt>
              <w:sdtPr>
                <w:rPr>
                  <w:rStyle w:val="Style2"/>
                  <w:sz w:val="24"/>
                </w:rPr>
                <w:id w:val="-1135473618"/>
                <w15:color w:val="FFCC00"/>
                <w14:checkbox>
                  <w14:checked w14:val="0"/>
                  <w14:checkedState w14:val="2612" w14:font="MS Gothic"/>
                  <w14:uncheckedState w14:val="2610" w14:font="MS Gothic"/>
                </w14:checkbox>
              </w:sdtPr>
              <w:sdtEndPr>
                <w:rPr>
                  <w:rStyle w:val="Style2"/>
                </w:rPr>
              </w:sdtEndPr>
              <w:sdtContent>
                <w:r w:rsidR="00454155" w:rsidRPr="00DF4742">
                  <w:rPr>
                    <w:rStyle w:val="Style2"/>
                    <w:rFonts w:ascii="MS Gothic" w:eastAsia="MS Gothic" w:hAnsi="MS Gothic"/>
                    <w:sz w:val="24"/>
                  </w:rPr>
                  <w:t>☐</w:t>
                </w:r>
              </w:sdtContent>
            </w:sdt>
            <w:r w:rsidR="00454155" w:rsidRPr="00DF4742">
              <w:t xml:space="preserve"> 29.2.4 gydymo juo kaštai yra didesni esant iš esmės nesiskiriančiam palyginamajam veiksmingumui, taikant arba netaikant PGS</w:t>
            </w:r>
          </w:p>
          <w:p w14:paraId="28EFFDC8" w14:textId="77777777" w:rsidR="00454155" w:rsidRPr="00DF4742" w:rsidRDefault="00454155" w:rsidP="00C201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9E7B1FB" w14:textId="77777777" w:rsidR="00454155" w:rsidRPr="00DF4742" w:rsidRDefault="00671238" w:rsidP="00C201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dt>
              <w:sdtPr>
                <w:rPr>
                  <w:rStyle w:val="Style2"/>
                  <w:sz w:val="24"/>
                </w:rPr>
                <w:id w:val="-2008360022"/>
                <w15:color w:val="FFCC00"/>
                <w14:checkbox>
                  <w14:checked w14:val="0"/>
                  <w14:checkedState w14:val="2612" w14:font="MS Gothic"/>
                  <w14:uncheckedState w14:val="2610" w14:font="MS Gothic"/>
                </w14:checkbox>
              </w:sdtPr>
              <w:sdtEndPr>
                <w:rPr>
                  <w:rStyle w:val="Style2"/>
                </w:rPr>
              </w:sdtEndPr>
              <w:sdtContent>
                <w:r w:rsidR="00454155" w:rsidRPr="00DF4742">
                  <w:rPr>
                    <w:rStyle w:val="Style2"/>
                    <w:rFonts w:ascii="Segoe UI Symbol" w:eastAsia="MS Gothic" w:hAnsi="Segoe UI Symbol" w:cs="Segoe UI Symbol"/>
                    <w:sz w:val="24"/>
                  </w:rPr>
                  <w:t>☐</w:t>
                </w:r>
              </w:sdtContent>
            </w:sdt>
            <w:r w:rsidR="00454155" w:rsidRPr="00DF4742">
              <w:t xml:space="preserve"> 29.2.5 pateikti duomenys apie kaštų naudingumą yra netinkami vertinti</w:t>
            </w:r>
          </w:p>
          <w:p w14:paraId="68A3B93B" w14:textId="77777777" w:rsidR="00454155" w:rsidRPr="00DF4742" w:rsidRDefault="00454155" w:rsidP="00C201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bookmarkEnd w:id="1"/>
      <w:bookmarkEnd w:id="2"/>
    </w:tbl>
    <w:p w14:paraId="29A90384" w14:textId="4772D5ED" w:rsidR="004A3A61" w:rsidRPr="00DF4742" w:rsidRDefault="004A3A61" w:rsidP="00381024"/>
    <w:p w14:paraId="1B85C083" w14:textId="77777777" w:rsidR="009E44AE" w:rsidRPr="00DF4742" w:rsidRDefault="009E44AE" w:rsidP="00381024"/>
    <w:p w14:paraId="3B2D1F25" w14:textId="3A80E19F" w:rsidR="000001B0" w:rsidRPr="00DF4742" w:rsidRDefault="000001B0" w:rsidP="00CC09D4">
      <w:pPr>
        <w:pStyle w:val="Sraopastraipa"/>
        <w:numPr>
          <w:ilvl w:val="0"/>
          <w:numId w:val="12"/>
        </w:numPr>
        <w:ind w:left="567" w:hanging="567"/>
      </w:pPr>
      <w:r w:rsidRPr="00DF4742">
        <w:rPr>
          <w:b/>
        </w:rPr>
        <w:t>REKOME</w:t>
      </w:r>
      <w:r w:rsidR="00D83182" w:rsidRPr="00DF4742">
        <w:rPr>
          <w:b/>
        </w:rPr>
        <w:t>N</w:t>
      </w:r>
      <w:r w:rsidRPr="00DF4742">
        <w:rPr>
          <w:b/>
        </w:rPr>
        <w:t>DACIJA</w:t>
      </w:r>
    </w:p>
    <w:p w14:paraId="7D5C6700" w14:textId="77777777" w:rsidR="00D5470B" w:rsidRPr="00DF4742" w:rsidRDefault="00D5470B" w:rsidP="00C712EA">
      <w:pPr>
        <w:pStyle w:val="Sraopastraipa"/>
        <w:ind w:left="426"/>
      </w:pPr>
    </w:p>
    <w:p w14:paraId="1AC8F75C" w14:textId="650C815E" w:rsidR="00454155" w:rsidRPr="00DF4742" w:rsidRDefault="00454155" w:rsidP="00454155">
      <w:pPr>
        <w:spacing w:line="276" w:lineRule="auto"/>
        <w:jc w:val="both"/>
      </w:pPr>
      <w:r w:rsidRPr="00DF4742">
        <w:t xml:space="preserve">Vadovaujantis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punktu </w:t>
      </w:r>
      <w:r w:rsidRPr="00DF4742">
        <w:rPr>
          <w:color w:val="000000"/>
        </w:rPr>
        <w:t>30</w:t>
      </w:r>
      <w:r w:rsidRPr="00DF4742">
        <w:rPr>
          <w:color w:val="000000"/>
          <w:vertAlign w:val="superscript"/>
        </w:rPr>
        <w:t>1</w:t>
      </w:r>
      <w:r w:rsidRPr="00DF4742">
        <w:rPr>
          <w:color w:val="000000"/>
        </w:rPr>
        <w:t xml:space="preserve">.1. kai vertinimo išvados atitinka Aprašo 29.1.1 ir 29.2.1 papunkčiuose numatytas sąlygas teikiama rekomendacija </w:t>
      </w:r>
      <w:r w:rsidRPr="00DF4742">
        <w:rPr>
          <w:i/>
          <w:color w:val="000000"/>
        </w:rPr>
        <w:t>kompensuoti</w:t>
      </w:r>
      <w:r w:rsidRPr="00DF4742">
        <w:rPr>
          <w:color w:val="000000"/>
        </w:rPr>
        <w:t xml:space="preserve"> vaistinį preparatą pagal paraiškoje nurodytą indikaciją (arba jos dalį) su arba be skyrimo sąlygų, taikant ar netaikant PGS</w:t>
      </w:r>
      <w:r w:rsidRPr="00DF4742">
        <w:rPr>
          <w:color w:val="000000"/>
          <w:lang w:eastAsia="lt-LT"/>
        </w:rPr>
        <w:t>.</w:t>
      </w:r>
    </w:p>
    <w:p w14:paraId="06BC01EE" w14:textId="44333E0B" w:rsidR="000723FF" w:rsidRPr="00DF4742" w:rsidRDefault="000723FF" w:rsidP="00381024"/>
    <w:p w14:paraId="18B4292E" w14:textId="70611882" w:rsidR="000723FF" w:rsidRPr="00DF4742" w:rsidRDefault="00454155" w:rsidP="00CC09D4">
      <w:pPr>
        <w:tabs>
          <w:tab w:val="left" w:pos="567"/>
        </w:tabs>
        <w:ind w:left="567" w:hanging="567"/>
        <w:jc w:val="both"/>
        <w:rPr>
          <w:b/>
          <w:color w:val="000000"/>
          <w:lang w:eastAsia="lt-LT"/>
        </w:rPr>
      </w:pPr>
      <w:r w:rsidRPr="00DF4742">
        <w:rPr>
          <w:b/>
          <w:color w:val="000000"/>
          <w:lang w:eastAsia="lt-LT"/>
        </w:rPr>
        <w:t>8</w:t>
      </w:r>
      <w:r w:rsidR="00CC09D4" w:rsidRPr="00DF4742">
        <w:rPr>
          <w:b/>
          <w:color w:val="000000"/>
          <w:lang w:eastAsia="lt-LT"/>
        </w:rPr>
        <w:t>.</w:t>
      </w:r>
      <w:r w:rsidR="00CC09D4" w:rsidRPr="00DF4742">
        <w:rPr>
          <w:b/>
          <w:color w:val="000000"/>
          <w:lang w:eastAsia="lt-LT"/>
        </w:rPr>
        <w:tab/>
      </w:r>
      <w:r w:rsidR="000723FF" w:rsidRPr="00B201FC">
        <w:rPr>
          <w:b/>
          <w:color w:val="000000"/>
          <w:lang w:eastAsia="lt-LT"/>
        </w:rPr>
        <w:t>SIŪLOMOS KOMPENSUOTI</w:t>
      </w:r>
      <w:r w:rsidR="000723FF" w:rsidRPr="00DF4742">
        <w:rPr>
          <w:b/>
          <w:color w:val="000000"/>
          <w:lang w:eastAsia="lt-LT"/>
        </w:rPr>
        <w:t xml:space="preserve"> TERAPINĖS INDIKACIJOS IR SKYRIMO SĄLYGOS </w:t>
      </w:r>
    </w:p>
    <w:p w14:paraId="297867ED" w14:textId="6E04ED5A" w:rsidR="000723FF" w:rsidRPr="00DF4742" w:rsidRDefault="000723FF" w:rsidP="00824B92">
      <w:pPr>
        <w:rPr>
          <w:color w:val="C00000"/>
        </w:rPr>
      </w:pPr>
    </w:p>
    <w:p w14:paraId="195F00B3" w14:textId="77777777" w:rsidR="00EE6EAE" w:rsidRPr="00DF4742" w:rsidRDefault="00EE6EAE" w:rsidP="00EE6EAE">
      <w:pPr>
        <w:pStyle w:val="Betarp"/>
        <w:rPr>
          <w:rFonts w:ascii="Times New Roman" w:hAnsi="Times New Roman"/>
          <w:b/>
          <w:sz w:val="24"/>
          <w:szCs w:val="24"/>
          <w:lang w:eastAsia="lt-LT"/>
        </w:rPr>
      </w:pPr>
      <w:r w:rsidRPr="00DF4742">
        <w:rPr>
          <w:rFonts w:ascii="Times New Roman" w:hAnsi="Times New Roman"/>
          <w:b/>
          <w:sz w:val="24"/>
          <w:szCs w:val="24"/>
          <w:lang w:eastAsia="lt-LT"/>
        </w:rPr>
        <w:t>Terapinės indikacijos</w:t>
      </w:r>
    </w:p>
    <w:p w14:paraId="6CAA9B68" w14:textId="77777777" w:rsidR="00EE6EAE" w:rsidRPr="00DF4742" w:rsidRDefault="00671238" w:rsidP="00EE6EAE">
      <w:pPr>
        <w:pStyle w:val="Betarp"/>
        <w:rPr>
          <w:rFonts w:ascii="Times New Roman" w:hAnsi="Times New Roman"/>
          <w:sz w:val="24"/>
          <w:szCs w:val="24"/>
        </w:rPr>
      </w:pPr>
      <w:sdt>
        <w:sdtPr>
          <w:rPr>
            <w:rStyle w:val="Style2"/>
            <w:rFonts w:ascii="Times New Roman" w:hAnsi="Times New Roman"/>
            <w:sz w:val="24"/>
            <w:szCs w:val="24"/>
          </w:rPr>
          <w:id w:val="249781675"/>
          <w15:color w:val="FFCC00"/>
          <w14:checkbox>
            <w14:checked w14:val="1"/>
            <w14:checkedState w14:val="2612" w14:font="MS Gothic"/>
            <w14:uncheckedState w14:val="2610" w14:font="MS Gothic"/>
          </w14:checkbox>
        </w:sdtPr>
        <w:sdtEndPr>
          <w:rPr>
            <w:rStyle w:val="Style2"/>
          </w:rPr>
        </w:sdtEndPr>
        <w:sdtContent>
          <w:r w:rsidR="00EE6EAE" w:rsidRPr="00DF4742">
            <w:rPr>
              <w:rStyle w:val="Style2"/>
              <w:rFonts w:ascii="MS Gothic" w:eastAsia="MS Gothic" w:hAnsi="MS Gothic"/>
              <w:sz w:val="24"/>
              <w:szCs w:val="24"/>
            </w:rPr>
            <w:t>☒</w:t>
          </w:r>
        </w:sdtContent>
      </w:sdt>
      <w:r w:rsidR="00EE6EAE" w:rsidRPr="00DF4742">
        <w:rPr>
          <w:rFonts w:ascii="Times New Roman" w:hAnsi="Times New Roman"/>
          <w:sz w:val="24"/>
          <w:szCs w:val="24"/>
        </w:rPr>
        <w:t xml:space="preserve"> Siūloma kompensuoti Pareiškėjo teikiamą indikaciją be pakeitimų.</w:t>
      </w:r>
    </w:p>
    <w:p w14:paraId="6818D073" w14:textId="20789ED9" w:rsidR="00EE6EAE" w:rsidRPr="00B201FC" w:rsidRDefault="00EE6EAE" w:rsidP="00EE6EAE">
      <w:pPr>
        <w:pStyle w:val="Betarp"/>
        <w:rPr>
          <w:rFonts w:ascii="Times New Roman" w:hAnsi="Times New Roman"/>
          <w:sz w:val="24"/>
          <w:szCs w:val="24"/>
        </w:rPr>
      </w:pPr>
      <w:r w:rsidRPr="00B201FC">
        <w:rPr>
          <w:rFonts w:ascii="Times New Roman" w:hAnsi="Times New Roman"/>
          <w:sz w:val="24"/>
          <w:szCs w:val="24"/>
        </w:rPr>
        <w:t>Forxiga skirta gydyti suaugusiesiems, sergantiems lėtine inkstų liga.</w:t>
      </w:r>
    </w:p>
    <w:p w14:paraId="1B01CCBB" w14:textId="77777777" w:rsidR="00EE6EAE" w:rsidRPr="00DF4742" w:rsidRDefault="00EE6EAE" w:rsidP="00EE6EAE">
      <w:pPr>
        <w:pStyle w:val="Betarp"/>
        <w:rPr>
          <w:rFonts w:ascii="Times New Roman" w:hAnsi="Times New Roman"/>
          <w:sz w:val="24"/>
          <w:szCs w:val="24"/>
        </w:rPr>
      </w:pPr>
    </w:p>
    <w:p w14:paraId="2F17EC90" w14:textId="77777777" w:rsidR="00EE6EAE" w:rsidRPr="00DF4742" w:rsidRDefault="00671238" w:rsidP="00EE6EAE">
      <w:pPr>
        <w:pStyle w:val="Betarp"/>
        <w:rPr>
          <w:rFonts w:ascii="Times New Roman" w:hAnsi="Times New Roman"/>
          <w:sz w:val="24"/>
          <w:szCs w:val="24"/>
        </w:rPr>
      </w:pPr>
      <w:sdt>
        <w:sdtPr>
          <w:rPr>
            <w:rStyle w:val="Style2"/>
            <w:rFonts w:ascii="Times New Roman" w:hAnsi="Times New Roman"/>
            <w:sz w:val="24"/>
            <w:szCs w:val="24"/>
          </w:rPr>
          <w:id w:val="-1378467666"/>
          <w15:color w:val="FFCC00"/>
          <w14:checkbox>
            <w14:checked w14:val="0"/>
            <w14:checkedState w14:val="2612" w14:font="MS Gothic"/>
            <w14:uncheckedState w14:val="2610" w14:font="MS Gothic"/>
          </w14:checkbox>
        </w:sdtPr>
        <w:sdtEndPr>
          <w:rPr>
            <w:rStyle w:val="Style2"/>
          </w:rPr>
        </w:sdtEndPr>
        <w:sdtContent>
          <w:r w:rsidR="00EE6EAE" w:rsidRPr="00DF4742">
            <w:rPr>
              <w:rStyle w:val="Style2"/>
              <w:rFonts w:ascii="Segoe UI Symbol" w:eastAsia="MS Gothic" w:hAnsi="Segoe UI Symbol" w:cs="Segoe UI Symbol"/>
              <w:sz w:val="24"/>
              <w:szCs w:val="24"/>
            </w:rPr>
            <w:t>☐</w:t>
          </w:r>
        </w:sdtContent>
      </w:sdt>
      <w:r w:rsidR="00EE6EAE" w:rsidRPr="00DF4742">
        <w:rPr>
          <w:rFonts w:ascii="Times New Roman" w:hAnsi="Times New Roman"/>
          <w:sz w:val="24"/>
          <w:szCs w:val="24"/>
        </w:rPr>
        <w:t xml:space="preserve"> Siūloma kompensuoti Pareiškėjo teikiamą indikaciją su pakeitimais.</w:t>
      </w:r>
    </w:p>
    <w:p w14:paraId="43DB26DB" w14:textId="77777777" w:rsidR="00EE6EAE" w:rsidRPr="00DF4742" w:rsidRDefault="00EE6EAE" w:rsidP="00EE6EAE">
      <w:pPr>
        <w:pStyle w:val="Betarp"/>
        <w:rPr>
          <w:rFonts w:ascii="Times New Roman" w:hAnsi="Times New Roman"/>
          <w:sz w:val="24"/>
          <w:szCs w:val="24"/>
        </w:rPr>
      </w:pPr>
    </w:p>
    <w:p w14:paraId="496E7188" w14:textId="77777777" w:rsidR="00EE6EAE" w:rsidRPr="00DF4742" w:rsidRDefault="00EE6EAE" w:rsidP="00EE6EAE">
      <w:pPr>
        <w:pStyle w:val="Betarp"/>
        <w:rPr>
          <w:rFonts w:ascii="Times New Roman" w:hAnsi="Times New Roman"/>
          <w:b/>
          <w:sz w:val="24"/>
          <w:szCs w:val="24"/>
        </w:rPr>
      </w:pPr>
      <w:r w:rsidRPr="00DF4742">
        <w:rPr>
          <w:rFonts w:ascii="Times New Roman" w:hAnsi="Times New Roman"/>
          <w:b/>
          <w:sz w:val="24"/>
          <w:szCs w:val="24"/>
        </w:rPr>
        <w:t>Skyrimo sąlygos</w:t>
      </w:r>
    </w:p>
    <w:p w14:paraId="636ABD70" w14:textId="788934EB" w:rsidR="00EE6EAE" w:rsidRPr="00492C71" w:rsidRDefault="00EE6EAE" w:rsidP="00EE6EAE">
      <w:pPr>
        <w:pStyle w:val="Betarp"/>
        <w:rPr>
          <w:rFonts w:ascii="Times New Roman" w:hAnsi="Times New Roman"/>
          <w:sz w:val="24"/>
          <w:szCs w:val="24"/>
        </w:rPr>
      </w:pPr>
    </w:p>
    <w:p w14:paraId="24668D22" w14:textId="20621D19" w:rsidR="00701ABE" w:rsidRPr="00492C71" w:rsidRDefault="00671238" w:rsidP="00701ABE">
      <w:pPr>
        <w:pStyle w:val="Betarp"/>
        <w:rPr>
          <w:rFonts w:ascii="Times New Roman" w:hAnsi="Times New Roman"/>
          <w:sz w:val="24"/>
          <w:szCs w:val="24"/>
        </w:rPr>
      </w:pPr>
      <w:sdt>
        <w:sdtPr>
          <w:rPr>
            <w:rStyle w:val="Style2"/>
            <w:rFonts w:ascii="Times New Roman" w:hAnsi="Times New Roman"/>
            <w:sz w:val="24"/>
            <w:szCs w:val="24"/>
          </w:rPr>
          <w:id w:val="-761297300"/>
          <w15:color w:val="FFCC00"/>
          <w14:checkbox>
            <w14:checked w14:val="1"/>
            <w14:checkedState w14:val="2612" w14:font="MS Gothic"/>
            <w14:uncheckedState w14:val="2610" w14:font="MS Gothic"/>
          </w14:checkbox>
        </w:sdtPr>
        <w:sdtEndPr>
          <w:rPr>
            <w:rStyle w:val="Style2"/>
          </w:rPr>
        </w:sdtEndPr>
        <w:sdtContent>
          <w:r w:rsidR="00033F4C" w:rsidRPr="00492C71">
            <w:rPr>
              <w:rStyle w:val="Style2"/>
              <w:rFonts w:ascii="MS Gothic" w:eastAsia="MS Gothic" w:hAnsi="MS Gothic"/>
              <w:sz w:val="24"/>
              <w:szCs w:val="24"/>
            </w:rPr>
            <w:t>☒</w:t>
          </w:r>
        </w:sdtContent>
      </w:sdt>
      <w:r w:rsidR="00EE6EAE" w:rsidRPr="00492C71">
        <w:rPr>
          <w:rFonts w:ascii="Times New Roman" w:hAnsi="Times New Roman"/>
          <w:sz w:val="24"/>
          <w:szCs w:val="24"/>
        </w:rPr>
        <w:t xml:space="preserve"> Pareiškėjo siūlomos skyrimo sąlygos nepriimtinos. </w:t>
      </w:r>
    </w:p>
    <w:p w14:paraId="2B727823" w14:textId="25EAA371" w:rsidR="00033F4C" w:rsidRPr="00492C71" w:rsidRDefault="00033F4C" w:rsidP="00701ABE">
      <w:pPr>
        <w:pStyle w:val="Betarp"/>
        <w:rPr>
          <w:rFonts w:ascii="Times New Roman" w:hAnsi="Times New Roman"/>
          <w:sz w:val="24"/>
          <w:szCs w:val="24"/>
        </w:rPr>
      </w:pPr>
      <w:r w:rsidRPr="00492C71">
        <w:rPr>
          <w:rFonts w:ascii="Times New Roman" w:hAnsi="Times New Roman"/>
          <w:sz w:val="24"/>
          <w:szCs w:val="24"/>
        </w:rPr>
        <w:t>Siūlomos skyrimo sąlygos:</w:t>
      </w:r>
    </w:p>
    <w:p w14:paraId="2409037E" w14:textId="21515DE6" w:rsidR="000A19D8" w:rsidRPr="00492C71" w:rsidRDefault="000A19D8" w:rsidP="000A19D8">
      <w:pPr>
        <w:spacing w:line="276" w:lineRule="auto"/>
        <w:jc w:val="both"/>
        <w:rPr>
          <w:rFonts w:eastAsia="Arial"/>
        </w:rPr>
      </w:pPr>
      <w:r w:rsidRPr="00492C71">
        <w:t>Skiriamas standartinio gydymo papildymui pacientams, vartojantiems didžiausias patvirtintas toleruojamas AKF inhibitorių arba angiotenzino receptorių blokatorių dozes (nebent jie kontraindikuotini), kurių apskaičiuotas GFG prieš pradedant gydymą dapagliflozinu yra 25</w:t>
      </w:r>
      <w:r w:rsidRPr="00492C71">
        <w:rPr>
          <w:rFonts w:eastAsia="Calibri"/>
        </w:rPr>
        <w:t>–</w:t>
      </w:r>
      <w:r w:rsidRPr="00492C71">
        <w:t>90 ml/min/1,73 m</w:t>
      </w:r>
      <w:r w:rsidRPr="00492C71">
        <w:rPr>
          <w:vertAlign w:val="superscript"/>
        </w:rPr>
        <w:t>2</w:t>
      </w:r>
      <w:r w:rsidRPr="00492C71">
        <w:t xml:space="preserve">. </w:t>
      </w:r>
    </w:p>
    <w:p w14:paraId="350A9676" w14:textId="32ADD5CD" w:rsidR="00340FCA" w:rsidRPr="00492C71" w:rsidRDefault="00340FCA" w:rsidP="00BC1C4B">
      <w:pPr>
        <w:spacing w:line="276" w:lineRule="auto"/>
        <w:jc w:val="both"/>
        <w:rPr>
          <w:rFonts w:eastAsia="Arial"/>
          <w:i/>
          <w:iCs/>
        </w:rPr>
      </w:pPr>
    </w:p>
    <w:sectPr w:rsidR="00340FCA" w:rsidRPr="00492C71" w:rsidSect="005D30E1">
      <w:headerReference w:type="even" r:id="rId8"/>
      <w:headerReference w:type="default" r:id="rId9"/>
      <w:headerReference w:type="first" r:id="rId10"/>
      <w:footerReference w:type="first" r:id="rId11"/>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4587C" w14:textId="77777777" w:rsidR="00392129" w:rsidRDefault="00392129">
      <w:r>
        <w:separator/>
      </w:r>
    </w:p>
  </w:endnote>
  <w:endnote w:type="continuationSeparator" w:id="0">
    <w:p w14:paraId="5929F1A4" w14:textId="77777777" w:rsidR="00392129" w:rsidRDefault="00392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3368" w14:textId="77777777" w:rsidR="00347FAA" w:rsidRDefault="00347FAA">
    <w:pPr>
      <w:pStyle w:val="Porat"/>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B987C" w14:textId="77777777" w:rsidR="00392129" w:rsidRDefault="00392129">
      <w:r>
        <w:separator/>
      </w:r>
    </w:p>
  </w:footnote>
  <w:footnote w:type="continuationSeparator" w:id="0">
    <w:p w14:paraId="4945B85E" w14:textId="77777777" w:rsidR="00392129" w:rsidRDefault="00392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86FB2" w14:textId="77777777"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E81DB01" w14:textId="77777777" w:rsidR="00347FAA" w:rsidRDefault="00347F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BD5F9" w14:textId="534B0FE7"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54155">
      <w:rPr>
        <w:rStyle w:val="Puslapionumeris"/>
        <w:noProof/>
      </w:rPr>
      <w:t>2</w:t>
    </w:r>
    <w:r>
      <w:rPr>
        <w:rStyle w:val="Puslapionumeris"/>
      </w:rPr>
      <w:fldChar w:fldCharType="end"/>
    </w:r>
  </w:p>
  <w:p w14:paraId="13EC872E" w14:textId="77777777" w:rsidR="00347FAA" w:rsidRDefault="00347FA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E1C8F" w14:textId="77777777" w:rsidR="00347FAA" w:rsidRDefault="00347FAA" w:rsidP="00FD793C">
    <w:pPr>
      <w:pStyle w:val="Antrats"/>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4"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6"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9"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CE47FBE"/>
    <w:multiLevelType w:val="hybridMultilevel"/>
    <w:tmpl w:val="368AAF0A"/>
    <w:lvl w:ilvl="0" w:tplc="FFFFFFFF">
      <w:start w:val="1"/>
      <w:numFmt w:val="bullet"/>
      <w:lvlText w:val="-"/>
      <w:lvlJc w:val="left"/>
      <w:pPr>
        <w:ind w:left="1287" w:hanging="360"/>
      </w:pPr>
      <w:rPr>
        <w:rFont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495611091">
    <w:abstractNumId w:val="6"/>
  </w:num>
  <w:num w:numId="2" w16cid:durableId="1456757156">
    <w:abstractNumId w:val="1"/>
  </w:num>
  <w:num w:numId="3" w16cid:durableId="1759785427">
    <w:abstractNumId w:val="8"/>
  </w:num>
  <w:num w:numId="4" w16cid:durableId="713777502">
    <w:abstractNumId w:val="7"/>
  </w:num>
  <w:num w:numId="5" w16cid:durableId="2138406264">
    <w:abstractNumId w:val="5"/>
  </w:num>
  <w:num w:numId="6" w16cid:durableId="563030688">
    <w:abstractNumId w:val="4"/>
  </w:num>
  <w:num w:numId="7" w16cid:durableId="435249935">
    <w:abstractNumId w:val="3"/>
  </w:num>
  <w:num w:numId="8" w16cid:durableId="181894454">
    <w:abstractNumId w:val="11"/>
  </w:num>
  <w:num w:numId="9" w16cid:durableId="715391191">
    <w:abstractNumId w:val="0"/>
  </w:num>
  <w:num w:numId="10" w16cid:durableId="608198489">
    <w:abstractNumId w:val="9"/>
  </w:num>
  <w:num w:numId="11" w16cid:durableId="97726623">
    <w:abstractNumId w:val="10"/>
  </w:num>
  <w:num w:numId="12" w16cid:durableId="766540818">
    <w:abstractNumId w:val="2"/>
  </w:num>
  <w:num w:numId="13" w16cid:durableId="1385040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1B0"/>
    <w:rsid w:val="00003F5B"/>
    <w:rsid w:val="000114DD"/>
    <w:rsid w:val="000136F7"/>
    <w:rsid w:val="0002686C"/>
    <w:rsid w:val="00031D0E"/>
    <w:rsid w:val="000337E6"/>
    <w:rsid w:val="00033F4C"/>
    <w:rsid w:val="0003402E"/>
    <w:rsid w:val="00034EAE"/>
    <w:rsid w:val="00042924"/>
    <w:rsid w:val="00053975"/>
    <w:rsid w:val="00057A2B"/>
    <w:rsid w:val="000606BE"/>
    <w:rsid w:val="000723FF"/>
    <w:rsid w:val="000736B8"/>
    <w:rsid w:val="0008190F"/>
    <w:rsid w:val="00081D9C"/>
    <w:rsid w:val="00082907"/>
    <w:rsid w:val="0008378D"/>
    <w:rsid w:val="000908A5"/>
    <w:rsid w:val="00092805"/>
    <w:rsid w:val="000A19D8"/>
    <w:rsid w:val="000C1188"/>
    <w:rsid w:val="000C454C"/>
    <w:rsid w:val="000D5038"/>
    <w:rsid w:val="000D5AAD"/>
    <w:rsid w:val="000E29D4"/>
    <w:rsid w:val="000E6E38"/>
    <w:rsid w:val="000F3540"/>
    <w:rsid w:val="00100491"/>
    <w:rsid w:val="00104E2E"/>
    <w:rsid w:val="00107287"/>
    <w:rsid w:val="00117406"/>
    <w:rsid w:val="00121EF0"/>
    <w:rsid w:val="00124A9E"/>
    <w:rsid w:val="00130703"/>
    <w:rsid w:val="00131006"/>
    <w:rsid w:val="0013153F"/>
    <w:rsid w:val="00132F2A"/>
    <w:rsid w:val="001408B8"/>
    <w:rsid w:val="001517E2"/>
    <w:rsid w:val="001521D9"/>
    <w:rsid w:val="001554E2"/>
    <w:rsid w:val="00160105"/>
    <w:rsid w:val="00164146"/>
    <w:rsid w:val="0017369C"/>
    <w:rsid w:val="00175D57"/>
    <w:rsid w:val="00180C39"/>
    <w:rsid w:val="00180D96"/>
    <w:rsid w:val="00184BD3"/>
    <w:rsid w:val="001921F3"/>
    <w:rsid w:val="001B3C5B"/>
    <w:rsid w:val="001D647E"/>
    <w:rsid w:val="001D746F"/>
    <w:rsid w:val="001E4BBB"/>
    <w:rsid w:val="001E6304"/>
    <w:rsid w:val="001F0ADD"/>
    <w:rsid w:val="001F6544"/>
    <w:rsid w:val="0020381E"/>
    <w:rsid w:val="00213471"/>
    <w:rsid w:val="00215906"/>
    <w:rsid w:val="00241CD8"/>
    <w:rsid w:val="0024319B"/>
    <w:rsid w:val="00244B09"/>
    <w:rsid w:val="002519CB"/>
    <w:rsid w:val="00253DDC"/>
    <w:rsid w:val="0025697F"/>
    <w:rsid w:val="00260258"/>
    <w:rsid w:val="00260C8C"/>
    <w:rsid w:val="0026588E"/>
    <w:rsid w:val="00272428"/>
    <w:rsid w:val="00272948"/>
    <w:rsid w:val="00273B13"/>
    <w:rsid w:val="00292392"/>
    <w:rsid w:val="002946C7"/>
    <w:rsid w:val="002B3CC1"/>
    <w:rsid w:val="002C09E0"/>
    <w:rsid w:val="002C1BB1"/>
    <w:rsid w:val="002C2786"/>
    <w:rsid w:val="002C3A10"/>
    <w:rsid w:val="002C4A90"/>
    <w:rsid w:val="002C4ED5"/>
    <w:rsid w:val="002D02EF"/>
    <w:rsid w:val="002E0702"/>
    <w:rsid w:val="002E4BB9"/>
    <w:rsid w:val="002E57AD"/>
    <w:rsid w:val="002E6F80"/>
    <w:rsid w:val="002F0E4F"/>
    <w:rsid w:val="002F1053"/>
    <w:rsid w:val="002F2425"/>
    <w:rsid w:val="002F522B"/>
    <w:rsid w:val="00301E31"/>
    <w:rsid w:val="00317B0E"/>
    <w:rsid w:val="00326464"/>
    <w:rsid w:val="00340FCA"/>
    <w:rsid w:val="00347FAA"/>
    <w:rsid w:val="0035172D"/>
    <w:rsid w:val="0036187D"/>
    <w:rsid w:val="00367EDB"/>
    <w:rsid w:val="00372AFD"/>
    <w:rsid w:val="00381024"/>
    <w:rsid w:val="00386307"/>
    <w:rsid w:val="003874DE"/>
    <w:rsid w:val="00392129"/>
    <w:rsid w:val="00393E9F"/>
    <w:rsid w:val="0039696E"/>
    <w:rsid w:val="003B0E7C"/>
    <w:rsid w:val="003B211A"/>
    <w:rsid w:val="003C141F"/>
    <w:rsid w:val="003C43CC"/>
    <w:rsid w:val="003C6B0E"/>
    <w:rsid w:val="003C7257"/>
    <w:rsid w:val="003C7E35"/>
    <w:rsid w:val="003D1877"/>
    <w:rsid w:val="003D1E99"/>
    <w:rsid w:val="003D3A9D"/>
    <w:rsid w:val="003D6208"/>
    <w:rsid w:val="00404E8A"/>
    <w:rsid w:val="00405D16"/>
    <w:rsid w:val="0040622F"/>
    <w:rsid w:val="0041059C"/>
    <w:rsid w:val="00413F24"/>
    <w:rsid w:val="00422853"/>
    <w:rsid w:val="00423160"/>
    <w:rsid w:val="0043489B"/>
    <w:rsid w:val="00450400"/>
    <w:rsid w:val="00453862"/>
    <w:rsid w:val="00454155"/>
    <w:rsid w:val="0045469B"/>
    <w:rsid w:val="00461338"/>
    <w:rsid w:val="004677DB"/>
    <w:rsid w:val="0047414A"/>
    <w:rsid w:val="00476256"/>
    <w:rsid w:val="0048630F"/>
    <w:rsid w:val="00492C71"/>
    <w:rsid w:val="004947A1"/>
    <w:rsid w:val="0049482A"/>
    <w:rsid w:val="004979D3"/>
    <w:rsid w:val="004A00E7"/>
    <w:rsid w:val="004A3A61"/>
    <w:rsid w:val="004B0472"/>
    <w:rsid w:val="004B205D"/>
    <w:rsid w:val="004B59BA"/>
    <w:rsid w:val="004B5A03"/>
    <w:rsid w:val="004C263A"/>
    <w:rsid w:val="004C3432"/>
    <w:rsid w:val="004D48A6"/>
    <w:rsid w:val="004D7B8F"/>
    <w:rsid w:val="004E6458"/>
    <w:rsid w:val="004E6E7D"/>
    <w:rsid w:val="004F1AAC"/>
    <w:rsid w:val="004F1AE2"/>
    <w:rsid w:val="004F1E92"/>
    <w:rsid w:val="004F34F0"/>
    <w:rsid w:val="004F3B2B"/>
    <w:rsid w:val="004F6050"/>
    <w:rsid w:val="005005EF"/>
    <w:rsid w:val="005052F5"/>
    <w:rsid w:val="005123C2"/>
    <w:rsid w:val="005173F7"/>
    <w:rsid w:val="0052144B"/>
    <w:rsid w:val="00524066"/>
    <w:rsid w:val="00534E11"/>
    <w:rsid w:val="005362D2"/>
    <w:rsid w:val="005378D8"/>
    <w:rsid w:val="005400D9"/>
    <w:rsid w:val="00540AFD"/>
    <w:rsid w:val="005476A4"/>
    <w:rsid w:val="0055019B"/>
    <w:rsid w:val="00556E63"/>
    <w:rsid w:val="005601A4"/>
    <w:rsid w:val="005637AD"/>
    <w:rsid w:val="00566DBB"/>
    <w:rsid w:val="005767DB"/>
    <w:rsid w:val="005815E6"/>
    <w:rsid w:val="0058712F"/>
    <w:rsid w:val="005976CE"/>
    <w:rsid w:val="005A23D4"/>
    <w:rsid w:val="005A2D1E"/>
    <w:rsid w:val="005A415B"/>
    <w:rsid w:val="005B3756"/>
    <w:rsid w:val="005C493F"/>
    <w:rsid w:val="005C6BF7"/>
    <w:rsid w:val="005C71BF"/>
    <w:rsid w:val="005D002C"/>
    <w:rsid w:val="005D0849"/>
    <w:rsid w:val="005D30E1"/>
    <w:rsid w:val="005D55C8"/>
    <w:rsid w:val="005D6555"/>
    <w:rsid w:val="005D6F9C"/>
    <w:rsid w:val="005D7BDF"/>
    <w:rsid w:val="005E4870"/>
    <w:rsid w:val="005F71D9"/>
    <w:rsid w:val="005F7602"/>
    <w:rsid w:val="006003EC"/>
    <w:rsid w:val="006015B4"/>
    <w:rsid w:val="006031C8"/>
    <w:rsid w:val="006062BE"/>
    <w:rsid w:val="00613143"/>
    <w:rsid w:val="00613501"/>
    <w:rsid w:val="0061611B"/>
    <w:rsid w:val="006166A8"/>
    <w:rsid w:val="006174A1"/>
    <w:rsid w:val="00621D6C"/>
    <w:rsid w:val="00633B49"/>
    <w:rsid w:val="0064297F"/>
    <w:rsid w:val="00645102"/>
    <w:rsid w:val="00646CF3"/>
    <w:rsid w:val="00653D11"/>
    <w:rsid w:val="00662983"/>
    <w:rsid w:val="00671238"/>
    <w:rsid w:val="00675241"/>
    <w:rsid w:val="0068291B"/>
    <w:rsid w:val="006834D3"/>
    <w:rsid w:val="0068780A"/>
    <w:rsid w:val="00692625"/>
    <w:rsid w:val="00692A3C"/>
    <w:rsid w:val="00694FAA"/>
    <w:rsid w:val="00695CD3"/>
    <w:rsid w:val="006966BA"/>
    <w:rsid w:val="006A38B6"/>
    <w:rsid w:val="006A4D53"/>
    <w:rsid w:val="006B1987"/>
    <w:rsid w:val="006B5B71"/>
    <w:rsid w:val="006B6CB0"/>
    <w:rsid w:val="006C0296"/>
    <w:rsid w:val="006C2B64"/>
    <w:rsid w:val="006C58C4"/>
    <w:rsid w:val="006D41A4"/>
    <w:rsid w:val="006D4C85"/>
    <w:rsid w:val="006D66AC"/>
    <w:rsid w:val="006E33F6"/>
    <w:rsid w:val="006F1251"/>
    <w:rsid w:val="006F1C23"/>
    <w:rsid w:val="00701ABE"/>
    <w:rsid w:val="00702C18"/>
    <w:rsid w:val="00703166"/>
    <w:rsid w:val="007127F3"/>
    <w:rsid w:val="007301CF"/>
    <w:rsid w:val="007316FB"/>
    <w:rsid w:val="007374D0"/>
    <w:rsid w:val="00737E2D"/>
    <w:rsid w:val="007424D5"/>
    <w:rsid w:val="00750A88"/>
    <w:rsid w:val="00751FFC"/>
    <w:rsid w:val="007523DD"/>
    <w:rsid w:val="00757B7E"/>
    <w:rsid w:val="007656B2"/>
    <w:rsid w:val="00766F93"/>
    <w:rsid w:val="0077016F"/>
    <w:rsid w:val="007713AD"/>
    <w:rsid w:val="00774856"/>
    <w:rsid w:val="00775512"/>
    <w:rsid w:val="00794D60"/>
    <w:rsid w:val="00795DC5"/>
    <w:rsid w:val="00797153"/>
    <w:rsid w:val="007A21F7"/>
    <w:rsid w:val="007A2B68"/>
    <w:rsid w:val="007B0DDA"/>
    <w:rsid w:val="007B5714"/>
    <w:rsid w:val="007B68D0"/>
    <w:rsid w:val="007B7AC6"/>
    <w:rsid w:val="007C7519"/>
    <w:rsid w:val="007D3260"/>
    <w:rsid w:val="007D3347"/>
    <w:rsid w:val="007D5F02"/>
    <w:rsid w:val="007D655A"/>
    <w:rsid w:val="007E5466"/>
    <w:rsid w:val="007F1949"/>
    <w:rsid w:val="007F2592"/>
    <w:rsid w:val="007F7A28"/>
    <w:rsid w:val="00800A08"/>
    <w:rsid w:val="00817A84"/>
    <w:rsid w:val="008225A4"/>
    <w:rsid w:val="00824B92"/>
    <w:rsid w:val="00826D5E"/>
    <w:rsid w:val="00832013"/>
    <w:rsid w:val="00832DB7"/>
    <w:rsid w:val="00834732"/>
    <w:rsid w:val="0085200C"/>
    <w:rsid w:val="00857C52"/>
    <w:rsid w:val="00860D5F"/>
    <w:rsid w:val="00864F12"/>
    <w:rsid w:val="00880A44"/>
    <w:rsid w:val="0088345E"/>
    <w:rsid w:val="0088656F"/>
    <w:rsid w:val="00891EF6"/>
    <w:rsid w:val="008A0303"/>
    <w:rsid w:val="008A5FDD"/>
    <w:rsid w:val="008C3947"/>
    <w:rsid w:val="008E01E5"/>
    <w:rsid w:val="008E3C91"/>
    <w:rsid w:val="008E473B"/>
    <w:rsid w:val="008E51A6"/>
    <w:rsid w:val="008E7329"/>
    <w:rsid w:val="008F24BC"/>
    <w:rsid w:val="008F2ED5"/>
    <w:rsid w:val="0090048B"/>
    <w:rsid w:val="0092297E"/>
    <w:rsid w:val="00923651"/>
    <w:rsid w:val="00925179"/>
    <w:rsid w:val="00927B56"/>
    <w:rsid w:val="00932F6E"/>
    <w:rsid w:val="009341BF"/>
    <w:rsid w:val="00937907"/>
    <w:rsid w:val="00941739"/>
    <w:rsid w:val="00943E06"/>
    <w:rsid w:val="00951573"/>
    <w:rsid w:val="00961ACF"/>
    <w:rsid w:val="00963003"/>
    <w:rsid w:val="00966EEF"/>
    <w:rsid w:val="00971B28"/>
    <w:rsid w:val="00983471"/>
    <w:rsid w:val="009909AB"/>
    <w:rsid w:val="009A398C"/>
    <w:rsid w:val="009B1E6A"/>
    <w:rsid w:val="009B37DB"/>
    <w:rsid w:val="009B5D80"/>
    <w:rsid w:val="009B7773"/>
    <w:rsid w:val="009C7A8C"/>
    <w:rsid w:val="009D23F9"/>
    <w:rsid w:val="009D4FA8"/>
    <w:rsid w:val="009E44AE"/>
    <w:rsid w:val="009E4A6A"/>
    <w:rsid w:val="009E6CD6"/>
    <w:rsid w:val="009F4D66"/>
    <w:rsid w:val="009F7C7F"/>
    <w:rsid w:val="00A00C3C"/>
    <w:rsid w:val="00A01091"/>
    <w:rsid w:val="00A042B9"/>
    <w:rsid w:val="00A06DBB"/>
    <w:rsid w:val="00A22ADF"/>
    <w:rsid w:val="00A31E86"/>
    <w:rsid w:val="00A4366E"/>
    <w:rsid w:val="00A53739"/>
    <w:rsid w:val="00A54D87"/>
    <w:rsid w:val="00A5553C"/>
    <w:rsid w:val="00A701C9"/>
    <w:rsid w:val="00A81785"/>
    <w:rsid w:val="00A84803"/>
    <w:rsid w:val="00A84C51"/>
    <w:rsid w:val="00A86F2B"/>
    <w:rsid w:val="00A91366"/>
    <w:rsid w:val="00A93AA6"/>
    <w:rsid w:val="00AA4E48"/>
    <w:rsid w:val="00AA6202"/>
    <w:rsid w:val="00AA7B57"/>
    <w:rsid w:val="00AC26FC"/>
    <w:rsid w:val="00AC4A99"/>
    <w:rsid w:val="00AC64D2"/>
    <w:rsid w:val="00AD02E7"/>
    <w:rsid w:val="00AE0FE8"/>
    <w:rsid w:val="00AE1322"/>
    <w:rsid w:val="00AE5895"/>
    <w:rsid w:val="00AF60D5"/>
    <w:rsid w:val="00B00959"/>
    <w:rsid w:val="00B04415"/>
    <w:rsid w:val="00B06509"/>
    <w:rsid w:val="00B11D60"/>
    <w:rsid w:val="00B13D65"/>
    <w:rsid w:val="00B201FC"/>
    <w:rsid w:val="00B21484"/>
    <w:rsid w:val="00B21805"/>
    <w:rsid w:val="00B26416"/>
    <w:rsid w:val="00B3072E"/>
    <w:rsid w:val="00B3372F"/>
    <w:rsid w:val="00B36E15"/>
    <w:rsid w:val="00B37245"/>
    <w:rsid w:val="00B4017A"/>
    <w:rsid w:val="00B4468D"/>
    <w:rsid w:val="00B6585A"/>
    <w:rsid w:val="00B65C13"/>
    <w:rsid w:val="00B71C72"/>
    <w:rsid w:val="00B7488E"/>
    <w:rsid w:val="00B81E92"/>
    <w:rsid w:val="00B908D7"/>
    <w:rsid w:val="00B915AB"/>
    <w:rsid w:val="00B935E8"/>
    <w:rsid w:val="00B93B30"/>
    <w:rsid w:val="00B94CB5"/>
    <w:rsid w:val="00BA0DD9"/>
    <w:rsid w:val="00BA5DBC"/>
    <w:rsid w:val="00BB6312"/>
    <w:rsid w:val="00BC1C4B"/>
    <w:rsid w:val="00BC4D06"/>
    <w:rsid w:val="00BD09A5"/>
    <w:rsid w:val="00BD585E"/>
    <w:rsid w:val="00BD6919"/>
    <w:rsid w:val="00BE1EA7"/>
    <w:rsid w:val="00BE7489"/>
    <w:rsid w:val="00BF03DA"/>
    <w:rsid w:val="00BF2E0D"/>
    <w:rsid w:val="00BF3927"/>
    <w:rsid w:val="00BF3F8B"/>
    <w:rsid w:val="00BF76DA"/>
    <w:rsid w:val="00C07C7B"/>
    <w:rsid w:val="00C16245"/>
    <w:rsid w:val="00C22DC5"/>
    <w:rsid w:val="00C24479"/>
    <w:rsid w:val="00C273F2"/>
    <w:rsid w:val="00C37B53"/>
    <w:rsid w:val="00C517D2"/>
    <w:rsid w:val="00C5772E"/>
    <w:rsid w:val="00C62B36"/>
    <w:rsid w:val="00C65024"/>
    <w:rsid w:val="00C7012C"/>
    <w:rsid w:val="00C712EA"/>
    <w:rsid w:val="00CA217D"/>
    <w:rsid w:val="00CB2F6E"/>
    <w:rsid w:val="00CC09D4"/>
    <w:rsid w:val="00CC668D"/>
    <w:rsid w:val="00CC7832"/>
    <w:rsid w:val="00CF0C1C"/>
    <w:rsid w:val="00CF27FD"/>
    <w:rsid w:val="00CF5F12"/>
    <w:rsid w:val="00CF6C57"/>
    <w:rsid w:val="00D00D8F"/>
    <w:rsid w:val="00D130E3"/>
    <w:rsid w:val="00D21F3A"/>
    <w:rsid w:val="00D23808"/>
    <w:rsid w:val="00D3016A"/>
    <w:rsid w:val="00D3074E"/>
    <w:rsid w:val="00D417D2"/>
    <w:rsid w:val="00D42960"/>
    <w:rsid w:val="00D43BD7"/>
    <w:rsid w:val="00D4485B"/>
    <w:rsid w:val="00D4708D"/>
    <w:rsid w:val="00D4744C"/>
    <w:rsid w:val="00D521DE"/>
    <w:rsid w:val="00D5470B"/>
    <w:rsid w:val="00D63068"/>
    <w:rsid w:val="00D6498C"/>
    <w:rsid w:val="00D760BC"/>
    <w:rsid w:val="00D76A70"/>
    <w:rsid w:val="00D83182"/>
    <w:rsid w:val="00D8521E"/>
    <w:rsid w:val="00D9091C"/>
    <w:rsid w:val="00D9291C"/>
    <w:rsid w:val="00D93A97"/>
    <w:rsid w:val="00D970E4"/>
    <w:rsid w:val="00D97C03"/>
    <w:rsid w:val="00DB1F64"/>
    <w:rsid w:val="00DC23A6"/>
    <w:rsid w:val="00DC267F"/>
    <w:rsid w:val="00DC2F53"/>
    <w:rsid w:val="00DC5BAC"/>
    <w:rsid w:val="00DC6816"/>
    <w:rsid w:val="00DC76C2"/>
    <w:rsid w:val="00DD1CF2"/>
    <w:rsid w:val="00DD4496"/>
    <w:rsid w:val="00DE1056"/>
    <w:rsid w:val="00DE4484"/>
    <w:rsid w:val="00DE73D3"/>
    <w:rsid w:val="00DF41B7"/>
    <w:rsid w:val="00DF4742"/>
    <w:rsid w:val="00DF4A4A"/>
    <w:rsid w:val="00DF583C"/>
    <w:rsid w:val="00E03C3F"/>
    <w:rsid w:val="00E06FD7"/>
    <w:rsid w:val="00E07417"/>
    <w:rsid w:val="00E11645"/>
    <w:rsid w:val="00E11F6A"/>
    <w:rsid w:val="00E24D45"/>
    <w:rsid w:val="00E33DB8"/>
    <w:rsid w:val="00E33EFF"/>
    <w:rsid w:val="00E34387"/>
    <w:rsid w:val="00E348BA"/>
    <w:rsid w:val="00E369FE"/>
    <w:rsid w:val="00E37C6F"/>
    <w:rsid w:val="00E475F8"/>
    <w:rsid w:val="00E5102E"/>
    <w:rsid w:val="00E5721C"/>
    <w:rsid w:val="00E619C6"/>
    <w:rsid w:val="00E724AB"/>
    <w:rsid w:val="00E745A1"/>
    <w:rsid w:val="00E81529"/>
    <w:rsid w:val="00E83A13"/>
    <w:rsid w:val="00EA3592"/>
    <w:rsid w:val="00EB6FC5"/>
    <w:rsid w:val="00EC2356"/>
    <w:rsid w:val="00EC2582"/>
    <w:rsid w:val="00EC337C"/>
    <w:rsid w:val="00ED05B2"/>
    <w:rsid w:val="00ED0CFF"/>
    <w:rsid w:val="00ED31D2"/>
    <w:rsid w:val="00EE0EAC"/>
    <w:rsid w:val="00EE1274"/>
    <w:rsid w:val="00EE3322"/>
    <w:rsid w:val="00EE33CB"/>
    <w:rsid w:val="00EE548C"/>
    <w:rsid w:val="00EE6DC9"/>
    <w:rsid w:val="00EE6EAE"/>
    <w:rsid w:val="00F0061A"/>
    <w:rsid w:val="00F02834"/>
    <w:rsid w:val="00F02AD4"/>
    <w:rsid w:val="00F04EEB"/>
    <w:rsid w:val="00F05467"/>
    <w:rsid w:val="00F055D2"/>
    <w:rsid w:val="00F07CD7"/>
    <w:rsid w:val="00F127E9"/>
    <w:rsid w:val="00F14353"/>
    <w:rsid w:val="00F14B5D"/>
    <w:rsid w:val="00F259FC"/>
    <w:rsid w:val="00F36972"/>
    <w:rsid w:val="00F374B3"/>
    <w:rsid w:val="00F42426"/>
    <w:rsid w:val="00F456BC"/>
    <w:rsid w:val="00F46FA2"/>
    <w:rsid w:val="00F50666"/>
    <w:rsid w:val="00F6172A"/>
    <w:rsid w:val="00F70C9E"/>
    <w:rsid w:val="00F74A74"/>
    <w:rsid w:val="00F7572C"/>
    <w:rsid w:val="00F8382C"/>
    <w:rsid w:val="00F855D7"/>
    <w:rsid w:val="00F92035"/>
    <w:rsid w:val="00F92748"/>
    <w:rsid w:val="00FA4169"/>
    <w:rsid w:val="00FB0D41"/>
    <w:rsid w:val="00FB2030"/>
    <w:rsid w:val="00FC1DF7"/>
    <w:rsid w:val="00FD0E46"/>
    <w:rsid w:val="00FD1CF2"/>
    <w:rsid w:val="00FD3EDF"/>
    <w:rsid w:val="00FD793C"/>
    <w:rsid w:val="00FE0FD5"/>
    <w:rsid w:val="00FE20E6"/>
    <w:rsid w:val="00FE3E3B"/>
    <w:rsid w:val="00FF21EE"/>
    <w:rsid w:val="00FF4032"/>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81529"/>
    <w:rPr>
      <w:sz w:val="24"/>
      <w:szCs w:val="24"/>
      <w:lang w:eastAsia="en-US"/>
    </w:rPr>
  </w:style>
  <w:style w:type="paragraph" w:styleId="Antrat1">
    <w:name w:val="heading 1"/>
    <w:basedOn w:val="prastasis"/>
    <w:next w:val="prastasis"/>
    <w:qFormat/>
    <w:rsid w:val="00A84C51"/>
    <w:pPr>
      <w:keepNext/>
      <w:jc w:val="center"/>
      <w:outlineLvl w:val="0"/>
    </w:pPr>
    <w:rPr>
      <w:b/>
      <w:bCs/>
      <w:caps/>
    </w:rPr>
  </w:style>
  <w:style w:type="paragraph" w:styleId="Antrat2">
    <w:name w:val="heading 2"/>
    <w:basedOn w:val="prastasis"/>
    <w:next w:val="prastasis"/>
    <w:qFormat/>
    <w:rsid w:val="00A84C51"/>
    <w:pPr>
      <w:keepNext/>
      <w:jc w:val="center"/>
      <w:outlineLvl w:val="1"/>
    </w:pPr>
    <w:rPr>
      <w:b/>
      <w:bCs/>
      <w:cap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84C51"/>
    <w:pPr>
      <w:tabs>
        <w:tab w:val="center" w:pos="4986"/>
        <w:tab w:val="right" w:pos="9972"/>
      </w:tabs>
    </w:pPr>
  </w:style>
  <w:style w:type="paragraph" w:styleId="Porat">
    <w:name w:val="footer"/>
    <w:basedOn w:val="prastasis"/>
    <w:link w:val="PoratDiagrama"/>
    <w:rsid w:val="00A84C51"/>
    <w:pPr>
      <w:tabs>
        <w:tab w:val="center" w:pos="4986"/>
        <w:tab w:val="right" w:pos="9972"/>
      </w:tabs>
    </w:pPr>
  </w:style>
  <w:style w:type="character" w:styleId="Puslapionumeris">
    <w:name w:val="page number"/>
    <w:basedOn w:val="Numatytasispastraiposriftas"/>
    <w:rsid w:val="00A84C51"/>
  </w:style>
  <w:style w:type="character" w:styleId="Hipersaitas">
    <w:name w:val="Hyperlink"/>
    <w:basedOn w:val="Numatytasispastraiposriftas"/>
    <w:rsid w:val="00A84C51"/>
    <w:rPr>
      <w:color w:val="0000FF"/>
      <w:u w:val="single"/>
    </w:rPr>
  </w:style>
  <w:style w:type="paragraph" w:styleId="Debesliotekstas">
    <w:name w:val="Balloon Text"/>
    <w:basedOn w:val="prastasis"/>
    <w:semiHidden/>
    <w:rsid w:val="00EC2356"/>
    <w:rPr>
      <w:rFonts w:ascii="Tahoma" w:hAnsi="Tahoma" w:cs="Tahoma"/>
      <w:sz w:val="16"/>
      <w:szCs w:val="16"/>
    </w:rPr>
  </w:style>
  <w:style w:type="character" w:customStyle="1" w:styleId="PoratDiagrama">
    <w:name w:val="Poraštė Diagrama"/>
    <w:basedOn w:val="Numatytasispastraiposriftas"/>
    <w:link w:val="Porat"/>
    <w:rsid w:val="00737E2D"/>
    <w:rPr>
      <w:sz w:val="24"/>
      <w:szCs w:val="24"/>
      <w:lang w:eastAsia="en-US"/>
    </w:rPr>
  </w:style>
  <w:style w:type="character" w:customStyle="1" w:styleId="Neapdorotaspaminjimas1">
    <w:name w:val="Neapdorotas paminėjimas1"/>
    <w:basedOn w:val="Numatytasispastraiposriftas"/>
    <w:uiPriority w:val="99"/>
    <w:semiHidden/>
    <w:unhideWhenUsed/>
    <w:rsid w:val="00A31E86"/>
    <w:rPr>
      <w:color w:val="605E5C"/>
      <w:shd w:val="clear" w:color="auto" w:fill="E1DFDD"/>
    </w:rPr>
  </w:style>
  <w:style w:type="character" w:styleId="Perirtashipersaitas">
    <w:name w:val="FollowedHyperlink"/>
    <w:basedOn w:val="Numatytasispastraiposriftas"/>
    <w:semiHidden/>
    <w:unhideWhenUsed/>
    <w:rsid w:val="00A31E86"/>
    <w:rPr>
      <w:color w:val="800080" w:themeColor="followedHyperlink"/>
      <w:u w:val="single"/>
    </w:rPr>
  </w:style>
  <w:style w:type="table" w:styleId="Lentelstinklelis">
    <w:name w:val="Table Grid"/>
    <w:aliases w:val="Summary box,Dossier Table"/>
    <w:basedOn w:val="prastojilente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C7012C"/>
    <w:rPr>
      <w:sz w:val="16"/>
      <w:szCs w:val="16"/>
    </w:rPr>
  </w:style>
  <w:style w:type="paragraph" w:styleId="Komentarotekstas">
    <w:name w:val="annotation text"/>
    <w:basedOn w:val="prastasis"/>
    <w:link w:val="KomentarotekstasDiagrama"/>
    <w:unhideWhenUsed/>
    <w:rsid w:val="00C7012C"/>
    <w:rPr>
      <w:sz w:val="20"/>
      <w:szCs w:val="20"/>
    </w:rPr>
  </w:style>
  <w:style w:type="character" w:customStyle="1" w:styleId="KomentarotekstasDiagrama">
    <w:name w:val="Komentaro tekstas Diagrama"/>
    <w:basedOn w:val="Numatytasispastraiposriftas"/>
    <w:link w:val="Komentarotekstas"/>
    <w:rsid w:val="00C7012C"/>
    <w:rPr>
      <w:lang w:eastAsia="en-US"/>
    </w:rPr>
  </w:style>
  <w:style w:type="paragraph" w:styleId="Komentarotema">
    <w:name w:val="annotation subject"/>
    <w:basedOn w:val="Komentarotekstas"/>
    <w:next w:val="Komentarotekstas"/>
    <w:link w:val="KomentarotemaDiagrama"/>
    <w:semiHidden/>
    <w:unhideWhenUsed/>
    <w:rsid w:val="00C7012C"/>
    <w:rPr>
      <w:b/>
      <w:bCs/>
    </w:rPr>
  </w:style>
  <w:style w:type="character" w:customStyle="1" w:styleId="KomentarotemaDiagrama">
    <w:name w:val="Komentaro tema Diagrama"/>
    <w:basedOn w:val="KomentarotekstasDiagrama"/>
    <w:link w:val="Komentarotema"/>
    <w:semiHidden/>
    <w:rsid w:val="00C7012C"/>
    <w:rPr>
      <w:b/>
      <w:bCs/>
      <w:lang w:eastAsia="en-US"/>
    </w:rPr>
  </w:style>
  <w:style w:type="paragraph" w:styleId="Sraopastraipa">
    <w:name w:val="List Paragraph"/>
    <w:aliases w:val="Summary Bullets,Bullet 1,Bullet1,Bullet List,Section 5,List Paragraph CCT minutes,Table Legend,Bullets Points,Use Case List Paragraph,List Paragraph1,Body Bullet,Table Number Paragraph,Colorful List - Accent 11,List Paragraph 1,Ref,B1"/>
    <w:basedOn w:val="prastasis"/>
    <w:link w:val="SraopastraipaDiagrama"/>
    <w:uiPriority w:val="34"/>
    <w:qFormat/>
    <w:rsid w:val="00104E2E"/>
    <w:pPr>
      <w:ind w:left="720"/>
      <w:contextualSpacing/>
    </w:pPr>
  </w:style>
  <w:style w:type="character" w:customStyle="1" w:styleId="Style2">
    <w:name w:val="Style2"/>
    <w:basedOn w:val="Numatytasispastraiposriftas"/>
    <w:uiPriority w:val="1"/>
    <w:rsid w:val="00D6498C"/>
    <w:rPr>
      <w:sz w:val="32"/>
    </w:rPr>
  </w:style>
  <w:style w:type="character" w:styleId="Vietosrezervavimoenklotekstas">
    <w:name w:val="Placeholder Text"/>
    <w:basedOn w:val="Numatytasispastraiposriftas"/>
    <w:uiPriority w:val="99"/>
    <w:rsid w:val="00B13D65"/>
    <w:rPr>
      <w:color w:val="808080"/>
    </w:rPr>
  </w:style>
  <w:style w:type="paragraph" w:styleId="Betarp">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prastojilentel"/>
    <w:next w:val="Lentelstinklelis"/>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76256"/>
    <w:rPr>
      <w:sz w:val="24"/>
      <w:szCs w:val="24"/>
      <w:lang w:eastAsia="en-US"/>
    </w:rPr>
  </w:style>
  <w:style w:type="character" w:customStyle="1" w:styleId="SraopastraipaDiagrama">
    <w:name w:val="Sąrašo pastraipa Diagrama"/>
    <w:aliases w:val="Summary Bullets Diagrama,Bullet 1 Diagrama,Bullet1 Diagrama,Bullet List Diagrama,Section 5 Diagrama,List Paragraph CCT minutes Diagrama,Table Legend Diagrama,Bullets Points Diagrama,Use Case List Paragraph Diagrama,Ref Diagrama"/>
    <w:basedOn w:val="Numatytasispastraiposriftas"/>
    <w:link w:val="Sraopastraipa"/>
    <w:uiPriority w:val="34"/>
    <w:rsid w:val="003D1877"/>
    <w:rPr>
      <w:sz w:val="24"/>
      <w:szCs w:val="24"/>
      <w:lang w:eastAsia="en-US"/>
    </w:rPr>
  </w:style>
  <w:style w:type="paragraph" w:customStyle="1" w:styleId="VVKT">
    <w:name w:val="VVKT"/>
    <w:basedOn w:val="prastasis"/>
    <w:qFormat/>
    <w:rsid w:val="00EE1274"/>
    <w:pPr>
      <w:tabs>
        <w:tab w:val="left" w:pos="492"/>
      </w:tabs>
      <w:spacing w:line="276" w:lineRule="auto"/>
      <w:ind w:firstLine="567"/>
      <w:jc w:val="both"/>
      <w:outlineLvl w:val="1"/>
    </w:pPr>
    <w:rPr>
      <w:rFonts w:eastAsia="Arial"/>
      <w:color w:val="00000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E612ECC4874011BE5A5DF5079DB1A6"/>
        <w:category>
          <w:name w:val="General"/>
          <w:gallery w:val="placeholder"/>
        </w:category>
        <w:types>
          <w:type w:val="bbPlcHdr"/>
        </w:types>
        <w:behaviors>
          <w:behavior w:val="content"/>
        </w:behaviors>
        <w:guid w:val="{EA0DB532-0E57-49CF-9AB2-2D3E21DBBDAE}"/>
      </w:docPartPr>
      <w:docPartBody>
        <w:p w:rsidR="00BA75C3" w:rsidRDefault="0071388E" w:rsidP="0071388E">
          <w:pPr>
            <w:pStyle w:val="DBE612ECC4874011BE5A5DF5079DB1A6"/>
          </w:pPr>
          <w:r>
            <w:rPr>
              <w:rStyle w:val="Vietosrezervavimoenklotekstas"/>
            </w:rPr>
            <w:t>Click here to enter a date.</w:t>
          </w:r>
        </w:p>
      </w:docPartBody>
    </w:docPart>
    <w:docPart>
      <w:docPartPr>
        <w:name w:val="EA15BF1A431D4DC39E766341715B6CDE"/>
        <w:category>
          <w:name w:val="General"/>
          <w:gallery w:val="placeholder"/>
        </w:category>
        <w:types>
          <w:type w:val="bbPlcHdr"/>
        </w:types>
        <w:behaviors>
          <w:behavior w:val="content"/>
        </w:behaviors>
        <w:guid w:val="{A60D4003-3F48-4F17-8B30-529441DF46B9}"/>
      </w:docPartPr>
      <w:docPartBody>
        <w:p w:rsidR="00BA75C3" w:rsidRDefault="0071388E" w:rsidP="0071388E">
          <w:pPr>
            <w:pStyle w:val="EA15BF1A431D4DC39E766341715B6CDE"/>
          </w:pPr>
          <w:r>
            <w:rPr>
              <w:rStyle w:val="Vietosrezervavimoenklotekstas"/>
            </w:rPr>
            <w:t>Click here to enter a date.</w:t>
          </w:r>
        </w:p>
      </w:docPartBody>
    </w:docPart>
    <w:docPart>
      <w:docPartPr>
        <w:name w:val="E36A9BCB45154F7AB677064704A95F4F"/>
        <w:category>
          <w:name w:val="General"/>
          <w:gallery w:val="placeholder"/>
        </w:category>
        <w:types>
          <w:type w:val="bbPlcHdr"/>
        </w:types>
        <w:behaviors>
          <w:behavior w:val="content"/>
        </w:behaviors>
        <w:guid w:val="{4EF50EBC-B9C1-42FA-9D70-E8AC74914A1C}"/>
      </w:docPartPr>
      <w:docPartBody>
        <w:p w:rsidR="00BA75C3" w:rsidRDefault="0071388E" w:rsidP="0071388E">
          <w:pPr>
            <w:pStyle w:val="E36A9BCB45154F7AB677064704A95F4F"/>
          </w:pPr>
          <w:r>
            <w:rPr>
              <w:rStyle w:val="Vietosrezervavimoenklotekstas"/>
            </w:rPr>
            <w:t>Click here to enter a date.</w:t>
          </w:r>
        </w:p>
      </w:docPartBody>
    </w:docPart>
    <w:docPart>
      <w:docPartPr>
        <w:name w:val="594E77D65B87F241AFBD9F66C17B0CFD"/>
        <w:category>
          <w:name w:val="General"/>
          <w:gallery w:val="placeholder"/>
        </w:category>
        <w:types>
          <w:type w:val="bbPlcHdr"/>
        </w:types>
        <w:behaviors>
          <w:behavior w:val="content"/>
        </w:behaviors>
        <w:guid w:val="{28569B08-B0B5-0843-AE1F-DE6C6326F543}"/>
      </w:docPartPr>
      <w:docPartBody>
        <w:p w:rsidR="002F572A" w:rsidRDefault="00480110" w:rsidP="00480110">
          <w:pPr>
            <w:pStyle w:val="594E77D65B87F241AFBD9F66C17B0CFD"/>
          </w:pPr>
          <w:r>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1247F"/>
    <w:rsid w:val="00061157"/>
    <w:rsid w:val="000937FE"/>
    <w:rsid w:val="000A559A"/>
    <w:rsid w:val="000D24D4"/>
    <w:rsid w:val="000D796B"/>
    <w:rsid w:val="001C35A9"/>
    <w:rsid w:val="001F47C5"/>
    <w:rsid w:val="00237556"/>
    <w:rsid w:val="002F572A"/>
    <w:rsid w:val="0039303B"/>
    <w:rsid w:val="00397AD9"/>
    <w:rsid w:val="00405D16"/>
    <w:rsid w:val="004144A3"/>
    <w:rsid w:val="004160E7"/>
    <w:rsid w:val="004416C6"/>
    <w:rsid w:val="00450400"/>
    <w:rsid w:val="00473FD8"/>
    <w:rsid w:val="00480110"/>
    <w:rsid w:val="004F5AB2"/>
    <w:rsid w:val="005074B9"/>
    <w:rsid w:val="005E40DD"/>
    <w:rsid w:val="006109B9"/>
    <w:rsid w:val="00611FDE"/>
    <w:rsid w:val="0071388E"/>
    <w:rsid w:val="007219C1"/>
    <w:rsid w:val="00753462"/>
    <w:rsid w:val="00772325"/>
    <w:rsid w:val="007A2FE0"/>
    <w:rsid w:val="007C6D1D"/>
    <w:rsid w:val="007D24D1"/>
    <w:rsid w:val="008F24BC"/>
    <w:rsid w:val="0090074D"/>
    <w:rsid w:val="0095546A"/>
    <w:rsid w:val="009B1E6A"/>
    <w:rsid w:val="009B3BF0"/>
    <w:rsid w:val="009C6C79"/>
    <w:rsid w:val="009D000A"/>
    <w:rsid w:val="009D5E5E"/>
    <w:rsid w:val="009F1BB4"/>
    <w:rsid w:val="00AB6ED4"/>
    <w:rsid w:val="00B14210"/>
    <w:rsid w:val="00B23DC0"/>
    <w:rsid w:val="00B96656"/>
    <w:rsid w:val="00BA75C3"/>
    <w:rsid w:val="00BD3A9A"/>
    <w:rsid w:val="00BE29C1"/>
    <w:rsid w:val="00C2401D"/>
    <w:rsid w:val="00C53A68"/>
    <w:rsid w:val="00CA5BB4"/>
    <w:rsid w:val="00CB4BD1"/>
    <w:rsid w:val="00CC5AF3"/>
    <w:rsid w:val="00CE2DA9"/>
    <w:rsid w:val="00CE44BE"/>
    <w:rsid w:val="00D107CD"/>
    <w:rsid w:val="00D130E3"/>
    <w:rsid w:val="00D4356B"/>
    <w:rsid w:val="00D6304E"/>
    <w:rsid w:val="00D7162F"/>
    <w:rsid w:val="00E44A86"/>
    <w:rsid w:val="00E522EB"/>
    <w:rsid w:val="00E60827"/>
    <w:rsid w:val="00E73FF6"/>
    <w:rsid w:val="00EA2ECA"/>
    <w:rsid w:val="00EF6E0C"/>
    <w:rsid w:val="00F55028"/>
    <w:rsid w:val="00F77BEF"/>
    <w:rsid w:val="00FC755C"/>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480110"/>
    <w:rPr>
      <w:color w:val="808080"/>
    </w:rPr>
  </w:style>
  <w:style w:type="paragraph" w:customStyle="1" w:styleId="594E77D65B87F241AFBD9F66C17B0CFD">
    <w:name w:val="594E77D65B87F241AFBD9F66C17B0CFD"/>
    <w:rsid w:val="00480110"/>
    <w:pPr>
      <w:spacing w:after="0" w:line="240" w:lineRule="auto"/>
    </w:pPr>
    <w:rPr>
      <w:sz w:val="24"/>
      <w:szCs w:val="24"/>
      <w:lang w:eastAsia="en-GB"/>
    </w:rPr>
  </w:style>
  <w:style w:type="paragraph" w:customStyle="1" w:styleId="DBE612ECC4874011BE5A5DF5079DB1A6">
    <w:name w:val="DBE612ECC4874011BE5A5DF5079DB1A6"/>
    <w:rsid w:val="0071388E"/>
  </w:style>
  <w:style w:type="paragraph" w:customStyle="1" w:styleId="EA15BF1A431D4DC39E766341715B6CDE">
    <w:name w:val="EA15BF1A431D4DC39E766341715B6CDE"/>
    <w:rsid w:val="0071388E"/>
  </w:style>
  <w:style w:type="paragraph" w:customStyle="1" w:styleId="E36A9BCB45154F7AB677064704A95F4F">
    <w:name w:val="E36A9BCB45154F7AB677064704A95F4F"/>
    <w:rsid w:val="007138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CF79F-A2A1-4CB3-9326-98AACE1C2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2625</Words>
  <Characters>18295</Characters>
  <Application>Microsoft Office Word</Application>
  <DocSecurity>0</DocSecurity>
  <Lines>152</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20879</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2025-08-05T15:05:00Z</dcterms:created>
  <dcterms:modified xsi:type="dcterms:W3CDTF">2025-08-18T10:36:00Z</dcterms:modified>
</cp:coreProperties>
</file>