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9E3C57" w:rsidRDefault="005F7602" w:rsidP="002946C7">
      <w:pPr>
        <w:ind w:left="5529"/>
      </w:pPr>
    </w:p>
    <w:p w14:paraId="12FA4B9E" w14:textId="77777777" w:rsidR="001B3C5B" w:rsidRPr="009E3C57" w:rsidRDefault="001B3C5B" w:rsidP="001B3C5B">
      <w:pPr>
        <w:ind w:left="6096"/>
      </w:pPr>
      <w:r w:rsidRPr="009E3C57">
        <w:t>Forma patvirtinta</w:t>
      </w:r>
    </w:p>
    <w:p w14:paraId="7206970B" w14:textId="70E9BD2E" w:rsidR="004C263A" w:rsidRPr="009E3C57" w:rsidRDefault="001B3C5B" w:rsidP="001B3C5B">
      <w:pPr>
        <w:ind w:left="6096"/>
      </w:pPr>
      <w:r w:rsidRPr="009E3C57">
        <w:t>Valstybinės vaistų kontrolės tarnybos prie Lietuvos Respublikos sveikatos apsaugos ministerijos viršininko 2021 m</w:t>
      </w:r>
      <w:r w:rsidR="004C263A" w:rsidRPr="009E3C57">
        <w:t xml:space="preserve">. lapkričio 12 </w:t>
      </w:r>
      <w:r w:rsidRPr="009E3C57">
        <w:t>d. įsakymu Nr.</w:t>
      </w:r>
      <w:r w:rsidR="004C263A" w:rsidRPr="009E3C57">
        <w:t xml:space="preserve"> (1.72E)1A-1418</w:t>
      </w:r>
    </w:p>
    <w:p w14:paraId="5B219AA6" w14:textId="520B9136" w:rsidR="001B3C5B" w:rsidRPr="009E3C57" w:rsidRDefault="004C263A" w:rsidP="001B3C5B">
      <w:pPr>
        <w:ind w:left="6096"/>
      </w:pPr>
      <w:r w:rsidRPr="009E3C57">
        <w:t>(Valstybinės vaistų kontrolės tarnybos prie Lietuvos Respublikos sveikatos apsaugos ministerijos viršininko 2022 m.                         d. įsakymo Nr.                    redakcija)</w:t>
      </w:r>
    </w:p>
    <w:p w14:paraId="3336BD74" w14:textId="77777777" w:rsidR="001B3C5B" w:rsidRPr="009E3C57" w:rsidRDefault="001B3C5B" w:rsidP="00FA4169"/>
    <w:p w14:paraId="77AFB67E" w14:textId="16397257" w:rsidR="00613501" w:rsidRPr="009E3C57" w:rsidRDefault="002F0E4F" w:rsidP="003B211A">
      <w:pPr>
        <w:jc w:val="center"/>
        <w:rPr>
          <w:b/>
          <w:bCs/>
          <w:caps/>
        </w:rPr>
      </w:pPr>
      <w:r w:rsidRPr="009E3C57">
        <w:rPr>
          <w:b/>
        </w:rPr>
        <w:t xml:space="preserve">REKOMENDACIJA DĖL VAISTINIO PREPARATO </w:t>
      </w:r>
      <w:r w:rsidRPr="009E3C57">
        <w:rPr>
          <w:b/>
          <w:bCs/>
          <w:caps/>
        </w:rPr>
        <w:t>Lietuvos Respublikos Sveikatos apsaugos ministerijos vaistinių preparatų ir medicinos pagalbos priemonių kompensavimo komisijai</w:t>
      </w:r>
    </w:p>
    <w:p w14:paraId="34E4395D" w14:textId="15FB10DF" w:rsidR="00B13D65" w:rsidRPr="009E3C57" w:rsidRDefault="00B13D65" w:rsidP="003B211A">
      <w:pPr>
        <w:jc w:val="center"/>
        <w:rPr>
          <w:b/>
        </w:rPr>
      </w:pPr>
    </w:p>
    <w:p w14:paraId="57A33760" w14:textId="47E52A59" w:rsidR="00543E23" w:rsidRPr="009E3C57" w:rsidRDefault="00543E23" w:rsidP="00543E23">
      <w:pPr>
        <w:spacing w:line="276" w:lineRule="auto"/>
        <w:jc w:val="center"/>
      </w:pPr>
      <w:r w:rsidRPr="009E3C57">
        <w:rPr>
          <w:b/>
        </w:rPr>
        <w:t>LONSURF</w:t>
      </w:r>
      <w:r w:rsidRPr="009E3C57">
        <w:t xml:space="preserve"> </w:t>
      </w:r>
      <w:r w:rsidRPr="009E3C57">
        <w:rPr>
          <w:b/>
        </w:rPr>
        <w:t>15 mg plėvele dengtos tabletės</w:t>
      </w:r>
    </w:p>
    <w:p w14:paraId="1069DA37" w14:textId="3D968547" w:rsidR="0075528F" w:rsidRPr="009E3C57" w:rsidRDefault="0075528F" w:rsidP="0075528F">
      <w:pPr>
        <w:spacing w:line="276" w:lineRule="auto"/>
        <w:jc w:val="center"/>
      </w:pPr>
      <w:r w:rsidRPr="009E3C57">
        <w:rPr>
          <w:b/>
        </w:rPr>
        <w:t>LONSURF</w:t>
      </w:r>
      <w:r w:rsidRPr="009E3C57">
        <w:t xml:space="preserve"> </w:t>
      </w:r>
      <w:r w:rsidRPr="009E3C57">
        <w:rPr>
          <w:b/>
        </w:rPr>
        <w:t>20 mg plėvele dengtos tabletės</w:t>
      </w:r>
    </w:p>
    <w:p w14:paraId="2B90302F" w14:textId="77777777" w:rsidR="00543E23" w:rsidRPr="009E3C57" w:rsidRDefault="00543E23" w:rsidP="00543E23">
      <w:pPr>
        <w:spacing w:line="276" w:lineRule="auto"/>
        <w:jc w:val="center"/>
      </w:pPr>
    </w:p>
    <w:p w14:paraId="55955630" w14:textId="77777777" w:rsidR="00543E23" w:rsidRPr="009E3C57" w:rsidRDefault="00543E23" w:rsidP="00543E23">
      <w:pPr>
        <w:spacing w:line="276" w:lineRule="auto"/>
        <w:jc w:val="center"/>
      </w:pPr>
      <w:r w:rsidRPr="009E3C57">
        <w:t>(</w:t>
      </w:r>
      <w:r w:rsidRPr="009E3C57">
        <w:rPr>
          <w:rFonts w:eastAsia="Arial"/>
        </w:rPr>
        <w:t>Trifluridinas ir tipiracilas</w:t>
      </w:r>
      <w:r w:rsidRPr="009E3C57">
        <w:t>)</w:t>
      </w:r>
    </w:p>
    <w:p w14:paraId="5D18447B" w14:textId="77777777" w:rsidR="00543E23" w:rsidRPr="009E3C57" w:rsidRDefault="00543E23" w:rsidP="00543E23">
      <w:pPr>
        <w:spacing w:line="276" w:lineRule="auto"/>
        <w:jc w:val="center"/>
      </w:pPr>
    </w:p>
    <w:p w14:paraId="070802BF" w14:textId="1F25ABEB" w:rsidR="00543E23" w:rsidRPr="009E3C57" w:rsidRDefault="00543E23" w:rsidP="00543E23">
      <w:pPr>
        <w:spacing w:line="276" w:lineRule="auto"/>
        <w:jc w:val="center"/>
        <w:rPr>
          <w:b/>
        </w:rPr>
      </w:pPr>
      <w:r w:rsidRPr="009E3C57">
        <w:rPr>
          <w:b/>
        </w:rPr>
        <w:t>Paraiškos numeris STV</w:t>
      </w:r>
      <w:r w:rsidR="009E3C57" w:rsidRPr="009E3C57">
        <w:rPr>
          <w:b/>
        </w:rPr>
        <w:t>-</w:t>
      </w:r>
      <w:r w:rsidRPr="009E3C57">
        <w:rPr>
          <w:b/>
        </w:rPr>
        <w:t>213</w:t>
      </w:r>
    </w:p>
    <w:p w14:paraId="595E079E" w14:textId="77777777" w:rsidR="00543E23" w:rsidRPr="009E3C57" w:rsidRDefault="00543E23" w:rsidP="00543E23">
      <w:pPr>
        <w:spacing w:line="276" w:lineRule="auto"/>
        <w:jc w:val="both"/>
        <w:rPr>
          <w:rFonts w:eastAsia="Arial"/>
        </w:rPr>
      </w:pPr>
    </w:p>
    <w:p w14:paraId="07571503" w14:textId="77777777" w:rsidR="00543E23" w:rsidRPr="009E3C57" w:rsidRDefault="00543E23" w:rsidP="00543E23">
      <w:pPr>
        <w:tabs>
          <w:tab w:val="left" w:pos="284"/>
        </w:tabs>
        <w:spacing w:line="276" w:lineRule="auto"/>
        <w:jc w:val="both"/>
        <w:rPr>
          <w:rFonts w:eastAsia="Arial"/>
          <w:b/>
        </w:rPr>
      </w:pPr>
      <w:r w:rsidRPr="009E3C57">
        <w:rPr>
          <w:rFonts w:eastAsia="Arial"/>
          <w:b/>
        </w:rPr>
        <w:t>I. BENDROJI DALIS</w:t>
      </w:r>
    </w:p>
    <w:p w14:paraId="32CDDB0C" w14:textId="77777777" w:rsidR="00543E23" w:rsidRPr="009E3C57" w:rsidRDefault="00543E23" w:rsidP="00543E23">
      <w:pPr>
        <w:spacing w:line="276" w:lineRule="auto"/>
        <w:jc w:val="both"/>
        <w:rPr>
          <w:rFonts w:eastAsia="Arial"/>
        </w:rPr>
      </w:pPr>
    </w:p>
    <w:tbl>
      <w:tblPr>
        <w:tblStyle w:val="Lentelstinklelis"/>
        <w:tblW w:w="9918" w:type="dxa"/>
        <w:tblLook w:val="04A0" w:firstRow="1" w:lastRow="0" w:firstColumn="1" w:lastColumn="0" w:noHBand="0" w:noVBand="1"/>
      </w:tblPr>
      <w:tblGrid>
        <w:gridCol w:w="705"/>
        <w:gridCol w:w="4117"/>
        <w:gridCol w:w="5096"/>
      </w:tblGrid>
      <w:tr w:rsidR="009E3C57" w:rsidRPr="009E3C57" w14:paraId="739A4F03" w14:textId="77777777" w:rsidTr="00E16073">
        <w:trPr>
          <w:trHeight w:val="342"/>
        </w:trPr>
        <w:tc>
          <w:tcPr>
            <w:tcW w:w="705" w:type="dxa"/>
          </w:tcPr>
          <w:p w14:paraId="1E5935BA" w14:textId="77777777" w:rsidR="00543E23" w:rsidRPr="009E3C57" w:rsidRDefault="00543E23" w:rsidP="00E16073">
            <w:pPr>
              <w:tabs>
                <w:tab w:val="left" w:pos="284"/>
              </w:tabs>
              <w:spacing w:line="276" w:lineRule="auto"/>
              <w:jc w:val="both"/>
              <w:rPr>
                <w:rFonts w:eastAsia="Arial"/>
                <w:b/>
              </w:rPr>
            </w:pPr>
            <w:r w:rsidRPr="009E3C57">
              <w:rPr>
                <w:rFonts w:eastAsia="Arial"/>
                <w:b/>
              </w:rPr>
              <w:t>1.1</w:t>
            </w:r>
          </w:p>
        </w:tc>
        <w:tc>
          <w:tcPr>
            <w:tcW w:w="4117" w:type="dxa"/>
          </w:tcPr>
          <w:p w14:paraId="5F6ED64B" w14:textId="77777777" w:rsidR="00543E23" w:rsidRPr="009E3C57" w:rsidRDefault="00543E23" w:rsidP="00E16073">
            <w:pPr>
              <w:tabs>
                <w:tab w:val="left" w:pos="284"/>
              </w:tabs>
              <w:spacing w:line="276" w:lineRule="auto"/>
              <w:jc w:val="both"/>
              <w:rPr>
                <w:b/>
                <w:bCs/>
                <w:lang w:eastAsia="lt-LT"/>
              </w:rPr>
            </w:pPr>
            <w:r w:rsidRPr="009E3C57">
              <w:rPr>
                <w:b/>
                <w:bCs/>
                <w:lang w:eastAsia="lt-LT"/>
              </w:rPr>
              <w:t>Pareiškėjas</w:t>
            </w:r>
          </w:p>
        </w:tc>
        <w:tc>
          <w:tcPr>
            <w:tcW w:w="5096" w:type="dxa"/>
          </w:tcPr>
          <w:p w14:paraId="3A1FDE27" w14:textId="77777777" w:rsidR="00543E23" w:rsidRPr="009E3C57" w:rsidRDefault="00543E23" w:rsidP="00E16073">
            <w:pPr>
              <w:pStyle w:val="Sraopastraipa"/>
              <w:spacing w:after="120" w:line="276" w:lineRule="auto"/>
              <w:ind w:left="0"/>
              <w:contextualSpacing w:val="0"/>
              <w:jc w:val="both"/>
            </w:pPr>
            <w:r w:rsidRPr="009E3C57">
              <w:t>Servier Pharma UAB</w:t>
            </w:r>
          </w:p>
        </w:tc>
      </w:tr>
      <w:tr w:rsidR="009E3C57" w:rsidRPr="009E3C57" w14:paraId="22C00262" w14:textId="77777777" w:rsidTr="00E16073">
        <w:trPr>
          <w:trHeight w:val="479"/>
        </w:trPr>
        <w:tc>
          <w:tcPr>
            <w:tcW w:w="705" w:type="dxa"/>
          </w:tcPr>
          <w:p w14:paraId="01D625EC" w14:textId="77777777" w:rsidR="00543E23" w:rsidRPr="009E3C57" w:rsidRDefault="00543E23" w:rsidP="00E16073">
            <w:pPr>
              <w:tabs>
                <w:tab w:val="left" w:pos="284"/>
              </w:tabs>
              <w:spacing w:line="276" w:lineRule="auto"/>
              <w:jc w:val="both"/>
              <w:rPr>
                <w:rFonts w:eastAsia="Arial"/>
                <w:b/>
              </w:rPr>
            </w:pPr>
            <w:r w:rsidRPr="009E3C57">
              <w:rPr>
                <w:rFonts w:eastAsia="Arial"/>
                <w:b/>
              </w:rPr>
              <w:t>1.2</w:t>
            </w:r>
          </w:p>
        </w:tc>
        <w:tc>
          <w:tcPr>
            <w:tcW w:w="4117" w:type="dxa"/>
          </w:tcPr>
          <w:p w14:paraId="0F797D91" w14:textId="77777777" w:rsidR="00543E23" w:rsidRPr="009E3C57" w:rsidRDefault="00543E23" w:rsidP="00E16073">
            <w:pPr>
              <w:tabs>
                <w:tab w:val="left" w:pos="284"/>
              </w:tabs>
              <w:spacing w:line="276" w:lineRule="auto"/>
              <w:jc w:val="both"/>
              <w:rPr>
                <w:b/>
                <w:bCs/>
                <w:lang w:eastAsia="lt-LT"/>
              </w:rPr>
            </w:pPr>
            <w:r w:rsidRPr="009E3C57">
              <w:rPr>
                <w:b/>
                <w:bCs/>
                <w:lang w:eastAsia="lt-LT"/>
              </w:rPr>
              <w:t>Registracijos data (EVA)</w:t>
            </w:r>
          </w:p>
          <w:p w14:paraId="42D2EB4F" w14:textId="77777777" w:rsidR="00543E23" w:rsidRPr="009E3C57" w:rsidRDefault="00543E23" w:rsidP="00E16073">
            <w:pPr>
              <w:tabs>
                <w:tab w:val="left" w:pos="284"/>
              </w:tabs>
              <w:spacing w:line="276" w:lineRule="auto"/>
              <w:jc w:val="both"/>
              <w:rPr>
                <w:bCs/>
                <w:lang w:eastAsia="lt-LT"/>
              </w:rPr>
            </w:pPr>
          </w:p>
        </w:tc>
        <w:tc>
          <w:tcPr>
            <w:tcW w:w="5096" w:type="dxa"/>
          </w:tcPr>
          <w:p w14:paraId="309A190E" w14:textId="77777777" w:rsidR="00543E23" w:rsidRPr="009E3C57" w:rsidRDefault="00C65582" w:rsidP="00E16073">
            <w:pPr>
              <w:pStyle w:val="Sraopastraipa"/>
              <w:spacing w:after="120" w:line="276" w:lineRule="auto"/>
              <w:ind w:left="0"/>
              <w:contextualSpacing w:val="0"/>
              <w:jc w:val="both"/>
              <w:rPr>
                <w:rStyle w:val="Style2"/>
              </w:rPr>
            </w:pPr>
            <w:sdt>
              <w:sdtPr>
                <w:rPr>
                  <w:sz w:val="32"/>
                </w:rPr>
                <w:alias w:val="Nurodykite konkrečią dieną"/>
                <w:tag w:val="Nurodykite pradžios datą"/>
                <w:id w:val="423238108"/>
                <w:placeholder>
                  <w:docPart w:val="1B1D6D7DFE50A142BEF92A733DE1431C"/>
                </w:placeholder>
                <w15:color w:val="FFCC99"/>
                <w:date>
                  <w:dateFormat w:val="yyyy 'm.' MMMM d 'd.'"/>
                  <w:lid w:val="lt-LT"/>
                  <w:storeMappedDataAs w:val="dateTime"/>
                  <w:calendar w:val="gregorian"/>
                </w:date>
              </w:sdtPr>
              <w:sdtEndPr>
                <w:rPr>
                  <w:sz w:val="24"/>
                </w:rPr>
              </w:sdtEndPr>
              <w:sdtContent>
                <w:r w:rsidR="00543E23" w:rsidRPr="009E3C57">
                  <w:t>2016 m. balandžio 25 d.</w:t>
                </w:r>
              </w:sdtContent>
            </w:sdt>
          </w:p>
        </w:tc>
      </w:tr>
      <w:tr w:rsidR="009E3C57" w:rsidRPr="009E3C57" w14:paraId="5AFCD037" w14:textId="77777777" w:rsidTr="00E16073">
        <w:trPr>
          <w:trHeight w:val="1328"/>
        </w:trPr>
        <w:tc>
          <w:tcPr>
            <w:tcW w:w="705" w:type="dxa"/>
          </w:tcPr>
          <w:p w14:paraId="3B282A57" w14:textId="77777777" w:rsidR="00543E23" w:rsidRPr="009E3C57" w:rsidRDefault="00543E23" w:rsidP="00E16073">
            <w:pPr>
              <w:tabs>
                <w:tab w:val="left" w:pos="284"/>
              </w:tabs>
              <w:spacing w:line="276" w:lineRule="auto"/>
              <w:jc w:val="both"/>
              <w:rPr>
                <w:rFonts w:eastAsia="Arial"/>
                <w:b/>
              </w:rPr>
            </w:pPr>
            <w:r w:rsidRPr="009E3C57">
              <w:rPr>
                <w:rFonts w:eastAsia="Arial"/>
                <w:b/>
              </w:rPr>
              <w:t>1.3</w:t>
            </w:r>
          </w:p>
        </w:tc>
        <w:tc>
          <w:tcPr>
            <w:tcW w:w="4117" w:type="dxa"/>
          </w:tcPr>
          <w:p w14:paraId="0EED230D" w14:textId="77777777" w:rsidR="00543E23" w:rsidRPr="009E3C57" w:rsidRDefault="00543E23" w:rsidP="00E16073">
            <w:pPr>
              <w:pStyle w:val="Betarp"/>
              <w:spacing w:line="276" w:lineRule="auto"/>
              <w:jc w:val="both"/>
              <w:rPr>
                <w:rFonts w:ascii="Times New Roman" w:hAnsi="Times New Roman"/>
                <w:b/>
                <w:sz w:val="24"/>
                <w:szCs w:val="24"/>
              </w:rPr>
            </w:pPr>
            <w:r w:rsidRPr="009E3C57">
              <w:rPr>
                <w:rFonts w:ascii="Times New Roman" w:hAnsi="Times New Roman"/>
                <w:b/>
                <w:sz w:val="24"/>
                <w:szCs w:val="24"/>
              </w:rPr>
              <w:t xml:space="preserve">Paraiškos tipas </w:t>
            </w:r>
          </w:p>
          <w:p w14:paraId="3A665C3A" w14:textId="77777777" w:rsidR="00543E23" w:rsidRPr="009E3C57" w:rsidRDefault="00543E23" w:rsidP="00E16073">
            <w:pPr>
              <w:spacing w:line="276" w:lineRule="auto"/>
              <w:jc w:val="both"/>
              <w:rPr>
                <w:b/>
              </w:rPr>
            </w:pPr>
            <w:r w:rsidRPr="009E3C57">
              <w:rPr>
                <w:b/>
              </w:rPr>
              <w:t xml:space="preserve">(pagal </w:t>
            </w:r>
            <w:r w:rsidRPr="009E3C57">
              <w:rPr>
                <w:b/>
                <w:shd w:val="clear" w:color="auto" w:fill="FFFFFF"/>
              </w:rPr>
              <w:t>vaistinio preparato registracijos tipą, įtvirtintą</w:t>
            </w:r>
            <w:r w:rsidRPr="009E3C57">
              <w:rPr>
                <w:b/>
              </w:rPr>
              <w:t xml:space="preserve"> Direktyvos 2001/83/EB straipsniuose)</w:t>
            </w:r>
          </w:p>
          <w:p w14:paraId="03ECE0E2" w14:textId="77777777" w:rsidR="00543E23" w:rsidRPr="009E3C57" w:rsidRDefault="00543E23" w:rsidP="00E16073">
            <w:pPr>
              <w:tabs>
                <w:tab w:val="left" w:pos="284"/>
              </w:tabs>
              <w:spacing w:line="276" w:lineRule="auto"/>
              <w:jc w:val="both"/>
              <w:rPr>
                <w:b/>
                <w:bCs/>
                <w:lang w:eastAsia="lt-LT"/>
              </w:rPr>
            </w:pPr>
          </w:p>
        </w:tc>
        <w:tc>
          <w:tcPr>
            <w:tcW w:w="5096" w:type="dxa"/>
          </w:tcPr>
          <w:p w14:paraId="317C0057" w14:textId="77777777" w:rsidR="00543E23" w:rsidRPr="009E3C57" w:rsidRDefault="00C65582" w:rsidP="00E16073">
            <w:pPr>
              <w:spacing w:line="276" w:lineRule="auto"/>
              <w:jc w:val="both"/>
            </w:pPr>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8.3 str. (pilna byla, pagrįsta savais tyrimais) </w:t>
            </w:r>
          </w:p>
          <w:p w14:paraId="7D25D2F5" w14:textId="77777777" w:rsidR="00543E23" w:rsidRPr="009E3C57" w:rsidRDefault="00C65582" w:rsidP="00E16073">
            <w:pPr>
              <w:spacing w:line="276" w:lineRule="auto"/>
              <w:jc w:val="both"/>
            </w:pPr>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Segoe UI Symbol" w:eastAsia="MS Gothic" w:hAnsi="Segoe UI Symbol" w:cs="Segoe UI Symbol"/>
                  </w:rPr>
                  <w:t>☐</w:t>
                </w:r>
              </w:sdtContent>
            </w:sdt>
            <w:r w:rsidR="00543E23" w:rsidRPr="009E3C57">
              <w:t xml:space="preserve"> 10 a str. (pripažintas medicininis vartojimas) </w:t>
            </w:r>
          </w:p>
          <w:p w14:paraId="2F1AFA8A" w14:textId="77777777" w:rsidR="00543E23" w:rsidRPr="009E3C57" w:rsidRDefault="00C65582" w:rsidP="00E16073">
            <w:pPr>
              <w:spacing w:line="276" w:lineRule="auto"/>
              <w:jc w:val="both"/>
            </w:pPr>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10.1 str. (generinis)</w:t>
            </w:r>
          </w:p>
          <w:p w14:paraId="390A4B70" w14:textId="77777777" w:rsidR="00543E23" w:rsidRPr="009E3C57" w:rsidRDefault="00C65582" w:rsidP="00E16073">
            <w:pPr>
              <w:spacing w:line="276" w:lineRule="auto"/>
              <w:jc w:val="both"/>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Segoe UI Symbol" w:eastAsia="MS Gothic" w:hAnsi="Segoe UI Symbol" w:cs="Segoe UI Symbol"/>
                  </w:rPr>
                  <w:t>☐</w:t>
                </w:r>
              </w:sdtContent>
            </w:sdt>
            <w:r w:rsidR="00543E23" w:rsidRPr="009E3C57">
              <w:t xml:space="preserve"> 10.3 str. (hibridinis)</w:t>
            </w:r>
          </w:p>
        </w:tc>
      </w:tr>
      <w:tr w:rsidR="009E3C57" w:rsidRPr="009E3C57" w14:paraId="01A24D3F" w14:textId="77777777" w:rsidTr="00E16073">
        <w:trPr>
          <w:trHeight w:val="1109"/>
        </w:trPr>
        <w:tc>
          <w:tcPr>
            <w:tcW w:w="705" w:type="dxa"/>
          </w:tcPr>
          <w:p w14:paraId="2FCCC797" w14:textId="77777777" w:rsidR="00543E23" w:rsidRPr="009E3C57" w:rsidRDefault="00543E23" w:rsidP="00E16073">
            <w:pPr>
              <w:tabs>
                <w:tab w:val="left" w:pos="284"/>
              </w:tabs>
              <w:spacing w:line="276" w:lineRule="auto"/>
              <w:jc w:val="both"/>
              <w:rPr>
                <w:rFonts w:eastAsia="Arial"/>
                <w:b/>
              </w:rPr>
            </w:pPr>
            <w:r w:rsidRPr="009E3C57">
              <w:rPr>
                <w:rFonts w:eastAsia="Arial"/>
                <w:b/>
              </w:rPr>
              <w:t>1.4</w:t>
            </w:r>
          </w:p>
        </w:tc>
        <w:tc>
          <w:tcPr>
            <w:tcW w:w="4117" w:type="dxa"/>
          </w:tcPr>
          <w:p w14:paraId="5E11BE20" w14:textId="77777777" w:rsidR="00543E23" w:rsidRPr="009E3C57" w:rsidRDefault="00543E23" w:rsidP="00E16073">
            <w:pPr>
              <w:tabs>
                <w:tab w:val="left" w:pos="284"/>
              </w:tabs>
              <w:spacing w:line="276" w:lineRule="auto"/>
              <w:jc w:val="both"/>
              <w:rPr>
                <w:b/>
                <w:bCs/>
                <w:lang w:eastAsia="lt-LT"/>
              </w:rPr>
            </w:pPr>
            <w:r w:rsidRPr="009E3C57">
              <w:rPr>
                <w:b/>
                <w:bCs/>
                <w:lang w:eastAsia="lt-LT"/>
              </w:rPr>
              <w:t>Ar vaistinis preparatas įrašytas į Bendrijos retųjų vaistinių preparatų registrą?</w:t>
            </w:r>
          </w:p>
          <w:p w14:paraId="69B7BC65" w14:textId="77777777" w:rsidR="00543E23" w:rsidRPr="009E3C57" w:rsidRDefault="00543E23" w:rsidP="00E16073">
            <w:pPr>
              <w:tabs>
                <w:tab w:val="left" w:pos="284"/>
              </w:tabs>
              <w:spacing w:line="276" w:lineRule="auto"/>
              <w:jc w:val="both"/>
              <w:rPr>
                <w:b/>
                <w:bCs/>
                <w:sz w:val="22"/>
                <w:szCs w:val="22"/>
                <w:lang w:eastAsia="lt-LT"/>
              </w:rPr>
            </w:pPr>
          </w:p>
        </w:tc>
        <w:tc>
          <w:tcPr>
            <w:tcW w:w="5096" w:type="dxa"/>
          </w:tcPr>
          <w:p w14:paraId="48C368AD" w14:textId="77777777" w:rsidR="00543E23" w:rsidRPr="009E3C57" w:rsidRDefault="00C65582" w:rsidP="00E16073">
            <w:pPr>
              <w:spacing w:line="276" w:lineRule="auto"/>
              <w:jc w:val="both"/>
            </w:pPr>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Segoe UI Symbol" w:eastAsia="MS Gothic" w:hAnsi="Segoe UI Symbol" w:cs="Segoe UI Symbol"/>
                  </w:rPr>
                  <w:t>☐</w:t>
                </w:r>
              </w:sdtContent>
            </w:sdt>
            <w:r w:rsidR="00543E23" w:rsidRPr="009E3C57">
              <w:t xml:space="preserve"> Taip</w:t>
            </w:r>
          </w:p>
          <w:p w14:paraId="0B93839A" w14:textId="77777777" w:rsidR="00543E23" w:rsidRPr="009E3C57" w:rsidRDefault="00C65582" w:rsidP="00E16073">
            <w:pPr>
              <w:spacing w:line="276" w:lineRule="auto"/>
              <w:jc w:val="both"/>
            </w:pPr>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Ne</w:t>
            </w:r>
          </w:p>
          <w:p w14:paraId="352C5AC0" w14:textId="77777777" w:rsidR="00543E23" w:rsidRPr="009E3C57" w:rsidRDefault="00C65582" w:rsidP="00E16073">
            <w:pPr>
              <w:spacing w:line="276" w:lineRule="auto"/>
              <w:jc w:val="both"/>
              <w:rPr>
                <w:rFonts w:eastAsia="Arial"/>
                <w:b/>
              </w:rPr>
            </w:pPr>
            <w:sdt>
              <w:sdtPr>
                <w:alias w:val="Nurodykite konkrečią dieną"/>
                <w:tag w:val="Nurodykite pradžios datą"/>
                <w:id w:val="693498901"/>
                <w:placeholder>
                  <w:docPart w:val="9B65361838EC914F919A980243608489"/>
                </w:placeholder>
                <w:showingPlcHdr/>
                <w15:color w:val="FFCC99"/>
                <w:date w:fullDate="2022-05-18T00:00:00Z">
                  <w:dateFormat w:val="yyyy 'm.' MMMM d 'd.'"/>
                  <w:lid w:val="lt-LT"/>
                  <w:storeMappedDataAs w:val="dateTime"/>
                  <w:calendar w:val="gregorian"/>
                </w:date>
              </w:sdtPr>
              <w:sdtEndPr/>
              <w:sdtContent>
                <w:r w:rsidR="00543E23" w:rsidRPr="009E3C57">
                  <w:rPr>
                    <w:rStyle w:val="Vietosrezervavimoenklotekstas"/>
                    <w:color w:val="auto"/>
                  </w:rPr>
                  <w:t>Click here to enter a date.</w:t>
                </w:r>
              </w:sdtContent>
            </w:sdt>
          </w:p>
        </w:tc>
      </w:tr>
      <w:tr w:rsidR="009E3C57" w:rsidRPr="009E3C57" w14:paraId="179C91EE" w14:textId="77777777" w:rsidTr="00E16073">
        <w:trPr>
          <w:trHeight w:val="958"/>
        </w:trPr>
        <w:tc>
          <w:tcPr>
            <w:tcW w:w="705" w:type="dxa"/>
            <w:tcBorders>
              <w:bottom w:val="single" w:sz="4" w:space="0" w:color="auto"/>
            </w:tcBorders>
          </w:tcPr>
          <w:p w14:paraId="4A7A2707" w14:textId="77777777" w:rsidR="00543E23" w:rsidRPr="009E3C57" w:rsidRDefault="00543E23" w:rsidP="00E16073">
            <w:pPr>
              <w:tabs>
                <w:tab w:val="left" w:pos="284"/>
              </w:tabs>
              <w:spacing w:line="276" w:lineRule="auto"/>
              <w:jc w:val="both"/>
              <w:rPr>
                <w:rFonts w:eastAsia="Arial"/>
                <w:b/>
              </w:rPr>
            </w:pPr>
            <w:r w:rsidRPr="009E3C57">
              <w:rPr>
                <w:rFonts w:eastAsia="Arial"/>
                <w:b/>
              </w:rPr>
              <w:t>1.5</w:t>
            </w:r>
          </w:p>
        </w:tc>
        <w:tc>
          <w:tcPr>
            <w:tcW w:w="4117" w:type="dxa"/>
            <w:tcBorders>
              <w:bottom w:val="single" w:sz="4" w:space="0" w:color="auto"/>
            </w:tcBorders>
          </w:tcPr>
          <w:p w14:paraId="4B3819C6" w14:textId="77777777" w:rsidR="00543E23" w:rsidRPr="009E3C57" w:rsidRDefault="00543E23" w:rsidP="00E16073">
            <w:pPr>
              <w:tabs>
                <w:tab w:val="left" w:pos="284"/>
              </w:tabs>
              <w:spacing w:line="276" w:lineRule="auto"/>
              <w:jc w:val="both"/>
              <w:rPr>
                <w:b/>
                <w:bCs/>
                <w:lang w:eastAsia="lt-LT"/>
              </w:rPr>
            </w:pPr>
            <w:r w:rsidRPr="009E3C57">
              <w:rPr>
                <w:b/>
                <w:bCs/>
                <w:lang w:eastAsia="lt-LT"/>
              </w:rPr>
              <w:t>Pareiškėjo teikiama (-os) kompensuoti preparato indikacija (-os)</w:t>
            </w:r>
          </w:p>
          <w:p w14:paraId="4241AB41" w14:textId="77777777" w:rsidR="00543E23" w:rsidRPr="009E3C57" w:rsidRDefault="00543E23" w:rsidP="00E16073">
            <w:pPr>
              <w:tabs>
                <w:tab w:val="left" w:pos="284"/>
              </w:tabs>
              <w:spacing w:line="276" w:lineRule="auto"/>
              <w:jc w:val="both"/>
              <w:rPr>
                <w:b/>
                <w:bCs/>
                <w:lang w:eastAsia="lt-LT"/>
              </w:rPr>
            </w:pPr>
          </w:p>
          <w:p w14:paraId="6C53ACC9" w14:textId="77777777" w:rsidR="00543E23" w:rsidRPr="009E3C57" w:rsidRDefault="00543E23" w:rsidP="00E16073">
            <w:pPr>
              <w:tabs>
                <w:tab w:val="left" w:pos="284"/>
              </w:tabs>
              <w:spacing w:line="276" w:lineRule="auto"/>
              <w:jc w:val="both"/>
              <w:rPr>
                <w:b/>
                <w:bCs/>
                <w:lang w:eastAsia="lt-LT"/>
              </w:rPr>
            </w:pPr>
          </w:p>
          <w:p w14:paraId="6118827E" w14:textId="77777777" w:rsidR="00543E23" w:rsidRPr="009E3C57" w:rsidRDefault="00543E23" w:rsidP="00E16073">
            <w:pPr>
              <w:tabs>
                <w:tab w:val="left" w:pos="284"/>
              </w:tabs>
              <w:spacing w:line="276" w:lineRule="auto"/>
              <w:jc w:val="both"/>
              <w:rPr>
                <w:b/>
                <w:bCs/>
                <w:lang w:eastAsia="lt-LT"/>
              </w:rPr>
            </w:pPr>
          </w:p>
          <w:p w14:paraId="04531623" w14:textId="77777777" w:rsidR="00543E23" w:rsidRPr="009E3C57" w:rsidRDefault="00543E23" w:rsidP="00E16073">
            <w:pPr>
              <w:tabs>
                <w:tab w:val="left" w:pos="284"/>
              </w:tabs>
              <w:spacing w:line="276" w:lineRule="auto"/>
              <w:jc w:val="both"/>
              <w:rPr>
                <w:b/>
                <w:bCs/>
                <w:lang w:eastAsia="lt-LT"/>
              </w:rPr>
            </w:pPr>
          </w:p>
          <w:p w14:paraId="0284E195" w14:textId="77777777" w:rsidR="00543E23" w:rsidRPr="009E3C57" w:rsidRDefault="00543E23" w:rsidP="00E16073">
            <w:pPr>
              <w:tabs>
                <w:tab w:val="left" w:pos="284"/>
              </w:tabs>
              <w:spacing w:line="276" w:lineRule="auto"/>
              <w:jc w:val="both"/>
              <w:rPr>
                <w:b/>
                <w:bCs/>
                <w:lang w:eastAsia="lt-LT"/>
              </w:rPr>
            </w:pPr>
          </w:p>
          <w:p w14:paraId="3ECED2B1" w14:textId="77777777" w:rsidR="00543E23" w:rsidRPr="009E3C57" w:rsidRDefault="00543E23" w:rsidP="00E16073">
            <w:pPr>
              <w:tabs>
                <w:tab w:val="left" w:pos="284"/>
              </w:tabs>
              <w:spacing w:line="276" w:lineRule="auto"/>
              <w:jc w:val="both"/>
              <w:rPr>
                <w:b/>
                <w:bCs/>
                <w:lang w:eastAsia="lt-LT"/>
              </w:rPr>
            </w:pPr>
          </w:p>
          <w:p w14:paraId="1F75A7AC" w14:textId="77777777" w:rsidR="00543E23" w:rsidRPr="009E3C57" w:rsidRDefault="00543E23" w:rsidP="00E16073">
            <w:pPr>
              <w:tabs>
                <w:tab w:val="left" w:pos="284"/>
              </w:tabs>
              <w:spacing w:line="276" w:lineRule="auto"/>
              <w:jc w:val="both"/>
              <w:rPr>
                <w:b/>
                <w:bCs/>
                <w:lang w:eastAsia="lt-LT"/>
              </w:rPr>
            </w:pPr>
          </w:p>
          <w:p w14:paraId="7FAE3404" w14:textId="77777777" w:rsidR="00543E23" w:rsidRPr="009E3C57" w:rsidRDefault="00543E23" w:rsidP="00E16073">
            <w:pPr>
              <w:tabs>
                <w:tab w:val="left" w:pos="284"/>
              </w:tabs>
              <w:spacing w:line="276" w:lineRule="auto"/>
              <w:jc w:val="both"/>
              <w:rPr>
                <w:b/>
                <w:bCs/>
                <w:lang w:eastAsia="lt-LT"/>
              </w:rPr>
            </w:pPr>
          </w:p>
          <w:p w14:paraId="590E890B" w14:textId="77777777" w:rsidR="00543E23" w:rsidRPr="009E3C57" w:rsidRDefault="00543E23" w:rsidP="00E16073">
            <w:pPr>
              <w:tabs>
                <w:tab w:val="left" w:pos="284"/>
              </w:tabs>
              <w:spacing w:line="276" w:lineRule="auto"/>
              <w:jc w:val="both"/>
              <w:rPr>
                <w:b/>
                <w:bCs/>
                <w:lang w:eastAsia="lt-LT"/>
              </w:rPr>
            </w:pPr>
          </w:p>
          <w:p w14:paraId="1DAC541F" w14:textId="77777777" w:rsidR="00543E23" w:rsidRPr="009E3C57" w:rsidRDefault="00543E23" w:rsidP="00E16073">
            <w:pPr>
              <w:tabs>
                <w:tab w:val="left" w:pos="284"/>
              </w:tabs>
              <w:spacing w:line="276" w:lineRule="auto"/>
              <w:jc w:val="both"/>
              <w:rPr>
                <w:b/>
                <w:bCs/>
                <w:lang w:eastAsia="lt-LT"/>
              </w:rPr>
            </w:pPr>
            <w:r w:rsidRPr="009E3C57">
              <w:rPr>
                <w:b/>
                <w:bCs/>
                <w:lang w:eastAsia="lt-LT"/>
              </w:rPr>
              <w:t xml:space="preserve">Kodas pagal TLK-10 AM  </w:t>
            </w:r>
          </w:p>
        </w:tc>
        <w:tc>
          <w:tcPr>
            <w:tcW w:w="5096" w:type="dxa"/>
            <w:tcBorders>
              <w:bottom w:val="single" w:sz="4" w:space="0" w:color="auto"/>
            </w:tcBorders>
          </w:tcPr>
          <w:p w14:paraId="7723FD07" w14:textId="77777777" w:rsidR="00543E23" w:rsidRPr="009E3C57" w:rsidRDefault="00543E23" w:rsidP="00E16073">
            <w:pPr>
              <w:spacing w:line="276" w:lineRule="auto"/>
              <w:rPr>
                <w:lang w:eastAsia="lt-LT"/>
              </w:rPr>
            </w:pPr>
            <w:r w:rsidRPr="009E3C57">
              <w:rPr>
                <w:lang w:eastAsia="lt-LT"/>
              </w:rPr>
              <w:lastRenderedPageBreak/>
              <w:t xml:space="preserve">Lonsurf kartu su bevacizumabu skirtas gydyti suaugusiems metastazavusiu gaubtinės ir tiesiosios žarnos vėžiu (GTV) sergantiems pacientams, kuriems anksčiau buvo taikytos dvi vėžio gydymo schemos, įskaitant chemoterapiją, kurios pagrindą sudaro fluoropirimidinas, oksaliplatina ir irinotekanas, ir gydymą vaistiniais preparatais prieš kraujagyslių endotelio augimo </w:t>
            </w:r>
            <w:r w:rsidRPr="009E3C57">
              <w:rPr>
                <w:lang w:eastAsia="lt-LT"/>
              </w:rPr>
              <w:lastRenderedPageBreak/>
              <w:t>faktorių (KEAF) bei (arba) vaistiniais preparatais prieš epidermio augimo faktoriaus receptorius (EAFR).</w:t>
            </w:r>
          </w:p>
          <w:p w14:paraId="3AAEF898" w14:textId="77777777" w:rsidR="00543E23" w:rsidRPr="009E3C57" w:rsidRDefault="00543E23" w:rsidP="00E16073">
            <w:pPr>
              <w:spacing w:line="276" w:lineRule="auto"/>
              <w:rPr>
                <w:lang w:eastAsia="lt-LT"/>
              </w:rPr>
            </w:pPr>
          </w:p>
          <w:p w14:paraId="6583AD38" w14:textId="77777777" w:rsidR="00543E23" w:rsidRPr="009E3C57" w:rsidRDefault="00543E23" w:rsidP="00E16073">
            <w:pPr>
              <w:spacing w:line="276" w:lineRule="auto"/>
              <w:rPr>
                <w:lang w:eastAsia="lt-LT"/>
              </w:rPr>
            </w:pPr>
            <w:r w:rsidRPr="009E3C57">
              <w:rPr>
                <w:lang w:eastAsia="lt-LT"/>
              </w:rPr>
              <w:t>Gaubtinės ir tiesiosios žarnos piktybinis navikas</w:t>
            </w:r>
          </w:p>
          <w:p w14:paraId="07991A8F" w14:textId="77777777" w:rsidR="00543E23" w:rsidRPr="009E3C57" w:rsidRDefault="00543E23" w:rsidP="00E16073">
            <w:pPr>
              <w:pStyle w:val="Sraopastraipa"/>
              <w:spacing w:after="120" w:line="276" w:lineRule="auto"/>
              <w:ind w:left="0"/>
              <w:contextualSpacing w:val="0"/>
              <w:jc w:val="both"/>
            </w:pPr>
            <w:r w:rsidRPr="009E3C57">
              <w:rPr>
                <w:lang w:eastAsia="lt-LT"/>
              </w:rPr>
              <w:t>C18-C20</w:t>
            </w:r>
          </w:p>
        </w:tc>
      </w:tr>
      <w:tr w:rsidR="009E3C57" w:rsidRPr="009E3C57" w14:paraId="3E0B9241"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6C9710DB" w14:textId="77777777" w:rsidR="00543E23" w:rsidRPr="009E3C57" w:rsidRDefault="00543E23" w:rsidP="00E16073">
            <w:pPr>
              <w:tabs>
                <w:tab w:val="left" w:pos="284"/>
              </w:tabs>
              <w:spacing w:line="276" w:lineRule="auto"/>
              <w:jc w:val="both"/>
              <w:rPr>
                <w:rFonts w:eastAsia="Arial"/>
                <w:b/>
              </w:rPr>
            </w:pPr>
            <w:r w:rsidRPr="009E3C57">
              <w:rPr>
                <w:rFonts w:eastAsia="Arial"/>
                <w:b/>
              </w:rPr>
              <w:lastRenderedPageBreak/>
              <w:t>1.6</w:t>
            </w:r>
          </w:p>
        </w:tc>
        <w:tc>
          <w:tcPr>
            <w:tcW w:w="4117" w:type="dxa"/>
            <w:tcBorders>
              <w:top w:val="single" w:sz="4" w:space="0" w:color="auto"/>
              <w:left w:val="single" w:sz="4" w:space="0" w:color="auto"/>
              <w:bottom w:val="single" w:sz="4" w:space="0" w:color="auto"/>
              <w:right w:val="single" w:sz="4" w:space="0" w:color="auto"/>
            </w:tcBorders>
          </w:tcPr>
          <w:p w14:paraId="7A6E80A4" w14:textId="77777777" w:rsidR="00543E23" w:rsidRPr="009E3C57" w:rsidRDefault="00543E23" w:rsidP="00E16073">
            <w:pPr>
              <w:tabs>
                <w:tab w:val="left" w:pos="284"/>
              </w:tabs>
              <w:spacing w:line="276" w:lineRule="auto"/>
              <w:jc w:val="both"/>
              <w:rPr>
                <w:bCs/>
                <w:u w:val="single"/>
                <w:lang w:eastAsia="lt-LT"/>
              </w:rPr>
            </w:pPr>
            <w:r w:rsidRPr="009E3C57">
              <w:rPr>
                <w:b/>
                <w:bCs/>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7C4A00BF" w14:textId="77777777" w:rsidR="00543E23" w:rsidRPr="009E3C57" w:rsidRDefault="00543E23" w:rsidP="00E16073">
            <w:pPr>
              <w:pStyle w:val="Sraopastraipa"/>
              <w:spacing w:after="120" w:line="276" w:lineRule="auto"/>
              <w:ind w:left="0"/>
              <w:contextualSpacing w:val="0"/>
              <w:jc w:val="both"/>
            </w:pPr>
            <w:r w:rsidRPr="009E3C57">
              <w:t>Neteikiamos</w:t>
            </w:r>
          </w:p>
        </w:tc>
      </w:tr>
      <w:tr w:rsidR="009E3C57" w:rsidRPr="009E3C57" w14:paraId="567CC9B1"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5CF68C9F" w14:textId="77777777" w:rsidR="00543E23" w:rsidRPr="009E3C57" w:rsidRDefault="00543E23" w:rsidP="00E16073">
            <w:pPr>
              <w:tabs>
                <w:tab w:val="left" w:pos="284"/>
              </w:tabs>
              <w:spacing w:line="276" w:lineRule="auto"/>
              <w:jc w:val="both"/>
              <w:rPr>
                <w:rFonts w:eastAsia="Arial"/>
                <w:b/>
              </w:rPr>
            </w:pPr>
            <w:r w:rsidRPr="009E3C57">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797D94C3" w14:textId="77777777" w:rsidR="00543E23" w:rsidRPr="009E3C57" w:rsidRDefault="00543E23" w:rsidP="00E16073">
            <w:pPr>
              <w:tabs>
                <w:tab w:val="left" w:pos="284"/>
              </w:tabs>
              <w:spacing w:line="276" w:lineRule="auto"/>
              <w:jc w:val="both"/>
              <w:rPr>
                <w:b/>
                <w:bCs/>
                <w:lang w:eastAsia="lt-LT"/>
              </w:rPr>
            </w:pPr>
            <w:r w:rsidRPr="009E3C57">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61C0F759" w14:textId="77777777" w:rsidR="00543E23" w:rsidRPr="009E3C57" w:rsidRDefault="00C65582" w:rsidP="00E16073">
            <w:pPr>
              <w:spacing w:line="276" w:lineRule="auto"/>
              <w:jc w:val="both"/>
            </w:pPr>
            <w:sdt>
              <w:sdtPr>
                <w:rPr>
                  <w:rStyle w:val="Style2"/>
                </w:rPr>
                <w:id w:val="-468433535"/>
                <w15:color w:val="FFCC00"/>
                <w14:checkbox>
                  <w14:checked w14:val="1"/>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Pilna paraiška</w:t>
            </w:r>
          </w:p>
          <w:p w14:paraId="42DDEA92" w14:textId="77777777" w:rsidR="00543E23" w:rsidRPr="009E3C57" w:rsidRDefault="00C65582" w:rsidP="00E16073">
            <w:pPr>
              <w:spacing w:line="276" w:lineRule="auto"/>
              <w:jc w:val="both"/>
              <w:rPr>
                <w:rStyle w:val="Style2"/>
              </w:rPr>
            </w:pPr>
            <w:sdt>
              <w:sdtPr>
                <w:rPr>
                  <w:rStyle w:val="Style2"/>
                </w:rPr>
                <w:id w:val="-1489014904"/>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Supaprastinta paraiška</w:t>
            </w:r>
          </w:p>
        </w:tc>
      </w:tr>
      <w:tr w:rsidR="009E3C57" w:rsidRPr="009E3C57" w14:paraId="67C8BE4E"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0C525F4D" w14:textId="77777777" w:rsidR="00543E23" w:rsidRPr="009E3C57" w:rsidRDefault="00543E23" w:rsidP="00E16073">
            <w:pPr>
              <w:tabs>
                <w:tab w:val="left" w:pos="284"/>
              </w:tabs>
              <w:spacing w:line="276" w:lineRule="auto"/>
              <w:jc w:val="both"/>
              <w:rPr>
                <w:rFonts w:eastAsia="Arial"/>
                <w:b/>
              </w:rPr>
            </w:pPr>
            <w:r w:rsidRPr="009E3C57">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4F1EB1D6" w14:textId="77777777" w:rsidR="00543E23" w:rsidRPr="009E3C57" w:rsidRDefault="00543E23" w:rsidP="00E16073">
            <w:pPr>
              <w:tabs>
                <w:tab w:val="left" w:pos="284"/>
              </w:tabs>
              <w:spacing w:line="276" w:lineRule="auto"/>
              <w:jc w:val="both"/>
              <w:rPr>
                <w:b/>
                <w:bCs/>
                <w:lang w:eastAsia="lt-LT"/>
              </w:rPr>
            </w:pPr>
            <w:r w:rsidRPr="009E3C57">
              <w:rPr>
                <w:b/>
                <w:bCs/>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tcPr>
          <w:p w14:paraId="679946AA" w14:textId="77777777" w:rsidR="00543E23" w:rsidRPr="009E3C57" w:rsidRDefault="00C65582" w:rsidP="00E16073">
            <w:pPr>
              <w:spacing w:line="276" w:lineRule="auto"/>
              <w:jc w:val="both"/>
            </w:pPr>
            <w:sdt>
              <w:sdtPr>
                <w:rPr>
                  <w:rStyle w:val="Style2"/>
                </w:rPr>
                <w:id w:val="1348903796"/>
                <w15:color w:val="FFCC00"/>
                <w14:checkbox>
                  <w14:checked w14:val="1"/>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Tiesioginis palyginimas</w:t>
            </w:r>
          </w:p>
          <w:p w14:paraId="7E38E57C" w14:textId="77777777" w:rsidR="00543E23" w:rsidRPr="009E3C57" w:rsidRDefault="00C65582" w:rsidP="00E16073">
            <w:pPr>
              <w:spacing w:line="276" w:lineRule="auto"/>
              <w:jc w:val="both"/>
            </w:pPr>
            <w:sdt>
              <w:sdtPr>
                <w:id w:val="-210416744"/>
                <w15:color w:val="FFCC00"/>
                <w14:checkbox>
                  <w14:checked w14:val="0"/>
                  <w14:checkedState w14:val="2612" w14:font="MS Gothic"/>
                  <w14:uncheckedState w14:val="2610" w14:font="MS Gothic"/>
                </w14:checkbox>
              </w:sdtPr>
              <w:sdtEndPr/>
              <w:sdtContent>
                <w:r w:rsidR="00543E23" w:rsidRPr="009E3C57">
                  <w:rPr>
                    <w:rFonts w:ascii="Segoe UI Symbol" w:eastAsia="MS Gothic" w:hAnsi="Segoe UI Symbol" w:cs="Segoe UI Symbol"/>
                  </w:rPr>
                  <w:t>☐</w:t>
                </w:r>
              </w:sdtContent>
            </w:sdt>
            <w:r w:rsidR="00543E23" w:rsidRPr="009E3C57">
              <w:t xml:space="preserve"> Netiesioginis palyginimas</w:t>
            </w:r>
          </w:p>
        </w:tc>
      </w:tr>
      <w:tr w:rsidR="00543E23" w:rsidRPr="009E3C57" w14:paraId="40911708"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1B39A4B5" w14:textId="77777777" w:rsidR="00543E23" w:rsidRPr="009E3C57" w:rsidRDefault="00543E23" w:rsidP="00E16073">
            <w:pPr>
              <w:tabs>
                <w:tab w:val="left" w:pos="284"/>
              </w:tabs>
              <w:spacing w:line="276" w:lineRule="auto"/>
              <w:jc w:val="both"/>
              <w:rPr>
                <w:rFonts w:eastAsia="Arial"/>
                <w:b/>
              </w:rPr>
            </w:pPr>
            <w:r w:rsidRPr="009E3C57">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0D707C96" w14:textId="77777777" w:rsidR="00543E23" w:rsidRPr="009E3C57" w:rsidRDefault="00543E23" w:rsidP="00E16073">
            <w:pPr>
              <w:tabs>
                <w:tab w:val="left" w:pos="284"/>
              </w:tabs>
              <w:spacing w:line="276" w:lineRule="auto"/>
              <w:jc w:val="both"/>
              <w:rPr>
                <w:b/>
                <w:bCs/>
                <w:lang w:eastAsia="lt-LT"/>
              </w:rPr>
            </w:pPr>
            <w:r w:rsidRPr="009E3C57">
              <w:rPr>
                <w:b/>
                <w:bCs/>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2F684F40" w14:textId="6480DF8E" w:rsidR="00543E23" w:rsidRPr="009E3C57" w:rsidRDefault="00C65582" w:rsidP="00E16073">
            <w:pPr>
              <w:spacing w:line="276" w:lineRule="auto"/>
              <w:jc w:val="both"/>
            </w:pPr>
            <w:sdt>
              <w:sdtPr>
                <w:rPr>
                  <w:rStyle w:val="Style2"/>
                </w:rPr>
                <w:id w:val="-836689216"/>
                <w15:color w:val="FFCC00"/>
                <w14:checkbox>
                  <w14:checked w14:val="1"/>
                  <w14:checkedState w14:val="2612" w14:font="MS Gothic"/>
                  <w14:uncheckedState w14:val="2610" w14:font="MS Gothic"/>
                </w14:checkbox>
              </w:sdtPr>
              <w:sdtEndPr>
                <w:rPr>
                  <w:rStyle w:val="Style2"/>
                </w:rPr>
              </w:sdtEndPr>
              <w:sdtContent>
                <w:r w:rsidR="00466E26">
                  <w:rPr>
                    <w:rStyle w:val="Style2"/>
                    <w:rFonts w:ascii="MS Gothic" w:eastAsia="MS Gothic" w:hAnsi="MS Gothic" w:hint="eastAsia"/>
                  </w:rPr>
                  <w:t>☒</w:t>
                </w:r>
              </w:sdtContent>
            </w:sdt>
            <w:r w:rsidR="00543E23" w:rsidRPr="009E3C57">
              <w:t xml:space="preserve"> Kaštų naudingumo analizė</w:t>
            </w:r>
          </w:p>
          <w:p w14:paraId="4FB50C09" w14:textId="77777777" w:rsidR="00543E23" w:rsidRPr="009E3C57" w:rsidRDefault="00C65582" w:rsidP="00E16073">
            <w:pPr>
              <w:spacing w:line="276" w:lineRule="auto"/>
              <w:jc w:val="both"/>
            </w:pPr>
            <w:sdt>
              <w:sdtPr>
                <w:rPr>
                  <w:rStyle w:val="Style2"/>
                </w:rPr>
                <w:id w:val="2013950720"/>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Kaštų mažinimo analizė</w:t>
            </w:r>
          </w:p>
          <w:p w14:paraId="6F9BA18A" w14:textId="77777777" w:rsidR="00543E23" w:rsidRPr="009E3C57" w:rsidRDefault="00C65582" w:rsidP="00E16073">
            <w:pPr>
              <w:spacing w:line="276" w:lineRule="auto"/>
              <w:jc w:val="both"/>
            </w:pPr>
            <w:sdt>
              <w:sdtPr>
                <w:rPr>
                  <w:rStyle w:val="Style2"/>
                </w:rPr>
                <w:id w:val="362025833"/>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Segoe UI Symbol" w:eastAsia="MS Gothic" w:hAnsi="Segoe UI Symbol" w:cs="Segoe UI Symbol"/>
                  </w:rPr>
                  <w:t>☐</w:t>
                </w:r>
              </w:sdtContent>
            </w:sdt>
            <w:r w:rsidR="00543E23" w:rsidRPr="009E3C57">
              <w:t xml:space="preserve"> Kita: </w:t>
            </w:r>
            <w:sdt>
              <w:sdtPr>
                <w:alias w:val="Įrašykite"/>
                <w:tag w:val="Įrašykite"/>
                <w:id w:val="-16472040"/>
                <w:placeholder>
                  <w:docPart w:val="FC53D38CF0F1BE44935D79ECCDE21ADC"/>
                </w:placeholder>
                <w15:color w:val="FFCC99"/>
              </w:sdtPr>
              <w:sdtEndPr/>
              <w:sdtContent>
                <w:r w:rsidR="00543E23" w:rsidRPr="009E3C57">
                  <w:t>_________________</w:t>
                </w:r>
              </w:sdtContent>
            </w:sdt>
            <w:r w:rsidR="00543E23" w:rsidRPr="009E3C57">
              <w:t xml:space="preserve"> </w:t>
            </w:r>
          </w:p>
        </w:tc>
      </w:tr>
    </w:tbl>
    <w:p w14:paraId="1B7644C8" w14:textId="77777777" w:rsidR="00D66CCF" w:rsidRPr="009E3C57" w:rsidRDefault="00D66CCF" w:rsidP="00D66CCF">
      <w:pPr>
        <w:spacing w:line="276" w:lineRule="auto"/>
        <w:ind w:left="360"/>
        <w:jc w:val="both"/>
        <w:rPr>
          <w:rFonts w:eastAsia="Arial"/>
          <w:b/>
        </w:rPr>
      </w:pPr>
    </w:p>
    <w:p w14:paraId="2871CA7F" w14:textId="34221B18" w:rsidR="00F70C9E" w:rsidRPr="009E3C57" w:rsidRDefault="00F70C9E" w:rsidP="004537D0">
      <w:pPr>
        <w:pStyle w:val="Sraopastraipa"/>
        <w:numPr>
          <w:ilvl w:val="1"/>
          <w:numId w:val="12"/>
        </w:numPr>
        <w:spacing w:line="276" w:lineRule="auto"/>
        <w:jc w:val="both"/>
        <w:rPr>
          <w:rFonts w:eastAsia="Arial"/>
          <w:b/>
        </w:rPr>
      </w:pPr>
      <w:r w:rsidRPr="009E3C57">
        <w:rPr>
          <w:rFonts w:eastAsia="Arial"/>
          <w:b/>
        </w:rPr>
        <w:t xml:space="preserve">Kitų </w:t>
      </w:r>
      <w:r w:rsidR="00DF583C" w:rsidRPr="009E3C57">
        <w:rPr>
          <w:rFonts w:eastAsia="Arial"/>
          <w:b/>
        </w:rPr>
        <w:t xml:space="preserve">valstybių </w:t>
      </w:r>
      <w:r w:rsidRPr="009E3C57">
        <w:rPr>
          <w:rFonts w:eastAsia="Arial"/>
          <w:b/>
        </w:rPr>
        <w:t xml:space="preserve">atsakingų institucijų atlikto </w:t>
      </w:r>
      <w:r w:rsidR="00DF583C" w:rsidRPr="009E3C57">
        <w:rPr>
          <w:rFonts w:eastAsia="Arial"/>
          <w:b/>
        </w:rPr>
        <w:t>Sveikatos technologijų vertinimo (toliau – STV)</w:t>
      </w:r>
      <w:r w:rsidRPr="009E3C57">
        <w:rPr>
          <w:rFonts w:eastAsia="Arial"/>
          <w:b/>
        </w:rPr>
        <w:t xml:space="preserve"> išvados</w:t>
      </w:r>
    </w:p>
    <w:p w14:paraId="3A30D5AF" w14:textId="77777777" w:rsidR="00997A8D" w:rsidRPr="009E3C57" w:rsidRDefault="00997A8D" w:rsidP="00997A8D">
      <w:pPr>
        <w:spacing w:line="276" w:lineRule="auto"/>
        <w:jc w:val="both"/>
        <w:rPr>
          <w:rFonts w:eastAsia="Arial"/>
          <w:b/>
        </w:rPr>
      </w:pPr>
    </w:p>
    <w:p w14:paraId="18B8622A" w14:textId="77777777" w:rsidR="00543E23" w:rsidRPr="009E3C57" w:rsidRDefault="00543E23" w:rsidP="00543E23">
      <w:pPr>
        <w:spacing w:line="276" w:lineRule="auto"/>
        <w:jc w:val="both"/>
        <w:rPr>
          <w:rFonts w:eastAsia="Arial"/>
        </w:rPr>
      </w:pPr>
    </w:p>
    <w:tbl>
      <w:tblPr>
        <w:tblStyle w:val="Lentelstinklelis"/>
        <w:tblW w:w="9918" w:type="dxa"/>
        <w:tblLook w:val="04A0" w:firstRow="1" w:lastRow="0" w:firstColumn="1" w:lastColumn="0" w:noHBand="0" w:noVBand="1"/>
      </w:tblPr>
      <w:tblGrid>
        <w:gridCol w:w="2405"/>
        <w:gridCol w:w="1843"/>
        <w:gridCol w:w="2945"/>
        <w:gridCol w:w="2725"/>
      </w:tblGrid>
      <w:tr w:rsidR="009E3C57" w:rsidRPr="009E3C57" w14:paraId="7151B495" w14:textId="77777777" w:rsidTr="00E16073">
        <w:trPr>
          <w:trHeight w:val="924"/>
        </w:trPr>
        <w:tc>
          <w:tcPr>
            <w:tcW w:w="2405" w:type="dxa"/>
          </w:tcPr>
          <w:p w14:paraId="749A9702" w14:textId="77777777" w:rsidR="00543E23" w:rsidRPr="009E3C57" w:rsidRDefault="00543E23" w:rsidP="00E16073">
            <w:pPr>
              <w:spacing w:line="276" w:lineRule="auto"/>
              <w:jc w:val="both"/>
              <w:rPr>
                <w:rFonts w:eastAsia="Arial"/>
              </w:rPr>
            </w:pPr>
            <w:r w:rsidRPr="009E3C57">
              <w:rPr>
                <w:rFonts w:eastAsia="Arial"/>
              </w:rPr>
              <w:t>STV agentūros pavadinimas, šalis</w:t>
            </w:r>
          </w:p>
        </w:tc>
        <w:tc>
          <w:tcPr>
            <w:tcW w:w="1843" w:type="dxa"/>
          </w:tcPr>
          <w:p w14:paraId="69A018F1" w14:textId="77777777" w:rsidR="00543E23" w:rsidRPr="009E3C57" w:rsidRDefault="00543E23" w:rsidP="00E16073">
            <w:pPr>
              <w:spacing w:line="276" w:lineRule="auto"/>
              <w:jc w:val="both"/>
              <w:rPr>
                <w:rFonts w:eastAsia="Arial"/>
              </w:rPr>
            </w:pPr>
            <w:r w:rsidRPr="009E3C57">
              <w:rPr>
                <w:rFonts w:eastAsia="Arial"/>
              </w:rPr>
              <w:t>STV vertinimas atliktas</w:t>
            </w:r>
          </w:p>
        </w:tc>
        <w:tc>
          <w:tcPr>
            <w:tcW w:w="2945" w:type="dxa"/>
          </w:tcPr>
          <w:p w14:paraId="3DE9C113" w14:textId="77777777" w:rsidR="00543E23" w:rsidRPr="009E3C57" w:rsidRDefault="00543E23" w:rsidP="00E16073">
            <w:pPr>
              <w:spacing w:line="276" w:lineRule="auto"/>
              <w:jc w:val="both"/>
              <w:rPr>
                <w:rFonts w:eastAsia="Arial"/>
              </w:rPr>
            </w:pPr>
            <w:r w:rsidRPr="009E3C57">
              <w:rPr>
                <w:rFonts w:eastAsia="Arial"/>
              </w:rPr>
              <w:t>Klinikinio vertinimo išvada</w:t>
            </w:r>
          </w:p>
        </w:tc>
        <w:tc>
          <w:tcPr>
            <w:tcW w:w="2725" w:type="dxa"/>
          </w:tcPr>
          <w:p w14:paraId="4BA0C27B" w14:textId="77777777" w:rsidR="00543E23" w:rsidRPr="009E3C57" w:rsidRDefault="00543E23" w:rsidP="00E16073">
            <w:pPr>
              <w:spacing w:line="276" w:lineRule="auto"/>
              <w:jc w:val="both"/>
              <w:rPr>
                <w:rFonts w:eastAsia="Arial"/>
              </w:rPr>
            </w:pPr>
            <w:r w:rsidRPr="009E3C57">
              <w:rPr>
                <w:rFonts w:eastAsia="Arial"/>
              </w:rPr>
              <w:t>Farmakoekonominio vertinimo išvada</w:t>
            </w:r>
          </w:p>
        </w:tc>
      </w:tr>
      <w:tr w:rsidR="009E3C57" w:rsidRPr="009E3C57" w14:paraId="55B1142C" w14:textId="77777777" w:rsidTr="009E0440">
        <w:trPr>
          <w:trHeight w:val="2117"/>
        </w:trPr>
        <w:tc>
          <w:tcPr>
            <w:tcW w:w="2405" w:type="dxa"/>
          </w:tcPr>
          <w:p w14:paraId="6689B867" w14:textId="77777777" w:rsidR="00543E23" w:rsidRPr="009E3C57" w:rsidRDefault="00543E23" w:rsidP="00E16073">
            <w:pPr>
              <w:autoSpaceDE w:val="0"/>
              <w:autoSpaceDN w:val="0"/>
              <w:adjustRightInd w:val="0"/>
              <w:spacing w:line="276" w:lineRule="auto"/>
              <w:jc w:val="both"/>
              <w:rPr>
                <w:bCs/>
              </w:rPr>
            </w:pPr>
            <w:r w:rsidRPr="009E3C57">
              <w:rPr>
                <w:bCs/>
              </w:rPr>
              <w:t>Nacionalinis sveikatos ir klinikinės kompetencijos institutas, Didžioji Britanija</w:t>
            </w:r>
          </w:p>
          <w:p w14:paraId="4C74466C" w14:textId="77777777" w:rsidR="00543E23" w:rsidRPr="009E3C57" w:rsidRDefault="00543E23" w:rsidP="00E16073">
            <w:pPr>
              <w:spacing w:line="276" w:lineRule="auto"/>
              <w:jc w:val="both"/>
              <w:rPr>
                <w:rFonts w:eastAsia="Arial"/>
              </w:rPr>
            </w:pPr>
            <w:r w:rsidRPr="009E3C57">
              <w:rPr>
                <w:rFonts w:eastAsia="Arial"/>
              </w:rPr>
              <w:t xml:space="preserve">(angl. </w:t>
            </w:r>
            <w:r w:rsidRPr="009E3C57">
              <w:rPr>
                <w:rFonts w:eastAsia="Arial"/>
                <w:i/>
              </w:rPr>
              <w:t>National Institute for Health and Care Excellence, NICE</w:t>
            </w:r>
            <w:r w:rsidRPr="009E3C57">
              <w:rPr>
                <w:rFonts w:eastAsia="Arial"/>
              </w:rPr>
              <w:t>)</w:t>
            </w:r>
          </w:p>
        </w:tc>
        <w:tc>
          <w:tcPr>
            <w:tcW w:w="1843" w:type="dxa"/>
          </w:tcPr>
          <w:p w14:paraId="23BE7281" w14:textId="77777777" w:rsidR="00543E23" w:rsidRPr="009E3C57" w:rsidRDefault="00C65582" w:rsidP="00E16073">
            <w:pPr>
              <w:spacing w:line="276" w:lineRule="auto"/>
              <w:jc w:val="both"/>
            </w:pPr>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Taip</w:t>
            </w:r>
          </w:p>
          <w:p w14:paraId="5C3B8D76" w14:textId="77777777" w:rsidR="00543E23" w:rsidRPr="009E3C57" w:rsidRDefault="00C65582" w:rsidP="00E16073">
            <w:pPr>
              <w:spacing w:line="276" w:lineRule="auto"/>
              <w:jc w:val="both"/>
            </w:pPr>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Ne</w:t>
            </w:r>
          </w:p>
          <w:p w14:paraId="73AED675" w14:textId="77777777" w:rsidR="00543E23" w:rsidRPr="009E3C57" w:rsidRDefault="00C65582" w:rsidP="00E16073">
            <w:pPr>
              <w:spacing w:line="276" w:lineRule="auto"/>
              <w:jc w:val="both"/>
              <w:rPr>
                <w:rFonts w:eastAsia="Arial"/>
              </w:rPr>
            </w:pPr>
            <w:sdt>
              <w:sdtPr>
                <w:alias w:val="Nurodykite konkrečią dieną"/>
                <w:tag w:val="Nurodykite pradžios datą"/>
                <w:id w:val="922837954"/>
                <w:placeholder>
                  <w:docPart w:val="4AB4C93A5D034C419D3545370502B12F"/>
                </w:placeholder>
                <w15:color w:val="FFCC99"/>
                <w:date>
                  <w:dateFormat w:val="yyyy 'm.' MMMM d 'd.'"/>
                  <w:lid w:val="lt-LT"/>
                  <w:storeMappedDataAs w:val="dateTime"/>
                  <w:calendar w:val="gregorian"/>
                </w:date>
              </w:sdtPr>
              <w:sdtEndPr/>
              <w:sdtContent>
                <w:r w:rsidR="00543E23" w:rsidRPr="009E3C57">
                  <w:t>2024 m. rugsėjo 25 d.</w:t>
                </w:r>
              </w:sdtContent>
            </w:sdt>
          </w:p>
        </w:tc>
        <w:tc>
          <w:tcPr>
            <w:tcW w:w="2945" w:type="dxa"/>
          </w:tcPr>
          <w:p w14:paraId="15664A9B" w14:textId="77777777" w:rsidR="00543E23" w:rsidRPr="009E3C57" w:rsidRDefault="00543E23" w:rsidP="00E16073">
            <w:pPr>
              <w:spacing w:line="276" w:lineRule="auto"/>
              <w:rPr>
                <w:lang w:eastAsia="lt-LT"/>
              </w:rPr>
            </w:pPr>
            <w:r w:rsidRPr="009E3C57">
              <w:rPr>
                <w:rFonts w:eastAsia="Arial"/>
              </w:rPr>
              <w:t>Trifluridinas-tipiracilas su bevacizumabu rekomenduojamas pagal patvirtintas vaistinio preparato indikacijas, metastazavusiam storosios žarnos vėžiui gydyti suaugusiesiems pacientams, kuriems buvo taikytos 2 gydymo eilės (</w:t>
            </w:r>
            <w:r w:rsidRPr="009E3C57">
              <w:rPr>
                <w:lang w:eastAsia="lt-LT"/>
              </w:rPr>
              <w:t xml:space="preserve">įskaitant chemoterapiją, kurios pagrindą sudaro fluoropirimidinas, oksaliplatina ir irinotekanas, ir gydymą vaistiniais preparatais prieš kraujagyslių endotelio augimo faktorių (angl. Vascular endothelial growth </w:t>
            </w:r>
            <w:r w:rsidRPr="009E3C57">
              <w:rPr>
                <w:lang w:eastAsia="lt-LT"/>
              </w:rPr>
              <w:lastRenderedPageBreak/>
              <w:t>factor, VEGF) bei (arba) vaistiniais preparatais prieš epidermio augimo faktoriaus receptorius (angl. Epidermal growth factor receptors EGFR)</w:t>
            </w:r>
            <w:r w:rsidRPr="009E3C57">
              <w:rPr>
                <w:rFonts w:eastAsia="Arial"/>
              </w:rPr>
              <w:t>).</w:t>
            </w:r>
          </w:p>
        </w:tc>
        <w:tc>
          <w:tcPr>
            <w:tcW w:w="2725" w:type="dxa"/>
          </w:tcPr>
          <w:p w14:paraId="1048D8C7" w14:textId="77777777" w:rsidR="00543E23" w:rsidRPr="009E3C57" w:rsidRDefault="00543E23" w:rsidP="00E16073">
            <w:pPr>
              <w:spacing w:line="276" w:lineRule="auto"/>
              <w:jc w:val="both"/>
              <w:rPr>
                <w:rFonts w:eastAsia="Arial"/>
              </w:rPr>
            </w:pPr>
          </w:p>
        </w:tc>
      </w:tr>
      <w:tr w:rsidR="009E3C57" w:rsidRPr="009E3C57" w14:paraId="3175FAF2" w14:textId="77777777" w:rsidTr="00E16073">
        <w:trPr>
          <w:trHeight w:val="1547"/>
        </w:trPr>
        <w:tc>
          <w:tcPr>
            <w:tcW w:w="2405" w:type="dxa"/>
          </w:tcPr>
          <w:p w14:paraId="055FB993" w14:textId="77777777" w:rsidR="00543E23" w:rsidRPr="009E3C57" w:rsidRDefault="00543E23" w:rsidP="00E16073">
            <w:pPr>
              <w:spacing w:line="276" w:lineRule="auto"/>
              <w:jc w:val="both"/>
              <w:rPr>
                <w:rFonts w:eastAsia="Arial"/>
              </w:rPr>
            </w:pPr>
            <w:r w:rsidRPr="009E3C57">
              <w:rPr>
                <w:rFonts w:eastAsia="Arial"/>
              </w:rPr>
              <w:t>Kanados sveikatos technologijų agentūra</w:t>
            </w:r>
          </w:p>
          <w:p w14:paraId="445EEADC" w14:textId="77777777" w:rsidR="00543E23" w:rsidRPr="009E3C57" w:rsidRDefault="00543E23" w:rsidP="00E16073">
            <w:pPr>
              <w:spacing w:line="276" w:lineRule="auto"/>
              <w:jc w:val="both"/>
              <w:rPr>
                <w:rFonts w:eastAsia="Arial"/>
              </w:rPr>
            </w:pPr>
            <w:r w:rsidRPr="009E3C57">
              <w:rPr>
                <w:rFonts w:eastAsia="Arial"/>
              </w:rPr>
              <w:t xml:space="preserve">(angl. </w:t>
            </w:r>
            <w:r w:rsidRPr="009E3C57">
              <w:rPr>
                <w:rFonts w:eastAsia="Arial"/>
                <w:i/>
              </w:rPr>
              <w:t>Canadian health Technology Assessment agency, CADTH</w:t>
            </w:r>
            <w:r w:rsidRPr="009E3C57">
              <w:rPr>
                <w:rFonts w:eastAsia="Arial"/>
              </w:rPr>
              <w:t>)</w:t>
            </w:r>
          </w:p>
        </w:tc>
        <w:tc>
          <w:tcPr>
            <w:tcW w:w="1843" w:type="dxa"/>
          </w:tcPr>
          <w:p w14:paraId="0864C514" w14:textId="77777777" w:rsidR="00543E23" w:rsidRPr="009E3C57" w:rsidRDefault="00C65582" w:rsidP="00E16073">
            <w:pPr>
              <w:spacing w:line="276" w:lineRule="auto"/>
              <w:jc w:val="both"/>
            </w:pPr>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Taip</w:t>
            </w:r>
          </w:p>
          <w:p w14:paraId="1CE94ADD" w14:textId="77777777" w:rsidR="00543E23" w:rsidRPr="009E3C57" w:rsidRDefault="00C65582" w:rsidP="00E16073">
            <w:pPr>
              <w:spacing w:line="276" w:lineRule="auto"/>
              <w:jc w:val="both"/>
            </w:pPr>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Segoe UI Symbol" w:eastAsia="MS Gothic" w:hAnsi="Segoe UI Symbol" w:cs="Segoe UI Symbol"/>
                  </w:rPr>
                  <w:t>☐</w:t>
                </w:r>
              </w:sdtContent>
            </w:sdt>
            <w:r w:rsidR="00543E23" w:rsidRPr="009E3C57">
              <w:t xml:space="preserve"> Ne</w:t>
            </w:r>
          </w:p>
          <w:p w14:paraId="3CE9B569" w14:textId="77777777" w:rsidR="00543E23" w:rsidRPr="009E3C57" w:rsidRDefault="00C65582" w:rsidP="00E16073">
            <w:pPr>
              <w:spacing w:line="276" w:lineRule="auto"/>
              <w:jc w:val="both"/>
              <w:rPr>
                <w:rFonts w:eastAsia="Arial"/>
              </w:rPr>
            </w:pPr>
            <w:sdt>
              <w:sdtPr>
                <w:alias w:val="Nurodykite konkrečią dieną"/>
                <w:tag w:val="Nurodykite pradžios datą"/>
                <w:id w:val="1072468416"/>
                <w:placeholder>
                  <w:docPart w:val="A2FC3B584A722A4697211E7660F9EB91"/>
                </w:placeholder>
                <w15:color w:val="FFCC99"/>
                <w:date>
                  <w:dateFormat w:val="yyyy 'm.' MMMM d 'd.'"/>
                  <w:lid w:val="lt-LT"/>
                  <w:storeMappedDataAs w:val="dateTime"/>
                  <w:calendar w:val="gregorian"/>
                </w:date>
              </w:sdtPr>
              <w:sdtEndPr/>
              <w:sdtContent>
                <w:r w:rsidR="00543E23" w:rsidRPr="009E3C57">
                  <w:t>2024 m. vasario 29 d.</w:t>
                </w:r>
              </w:sdtContent>
            </w:sdt>
          </w:p>
        </w:tc>
        <w:tc>
          <w:tcPr>
            <w:tcW w:w="2945" w:type="dxa"/>
          </w:tcPr>
          <w:p w14:paraId="6CE14EAA" w14:textId="77777777" w:rsidR="00543E23" w:rsidRPr="009E3C57" w:rsidRDefault="00543E23" w:rsidP="00E16073">
            <w:pPr>
              <w:spacing w:line="276" w:lineRule="auto"/>
              <w:jc w:val="both"/>
              <w:rPr>
                <w:rFonts w:eastAsia="Arial"/>
              </w:rPr>
            </w:pPr>
            <w:r w:rsidRPr="009E3C57">
              <w:rPr>
                <w:rFonts w:eastAsia="Arial"/>
              </w:rPr>
              <w:t xml:space="preserve">CADTH komitetas rekomenduoja, kad trifluridinas-tipiracilas ir bevacizumabas būtų kompensuojamas mCRC gydymui suaugusiesiems, kurie anksčiau buvo gydomi arba, kurių gydymui kiti prieinami gydymo būdai nėra tinkami, įskaitant fluoropirimidino, oksaliplatinos ir irinotekano chemoterapiją, anti-VEGF biologinius preparatus ir anti-EGFR </w:t>
            </w:r>
            <w:r w:rsidRPr="009E3C57">
              <w:rPr>
                <w:lang w:eastAsia="lt-LT"/>
              </w:rPr>
              <w:t xml:space="preserve">vaistinius preparatus, kai patvirtinta  </w:t>
            </w:r>
            <w:r w:rsidRPr="009E3C57">
              <w:rPr>
                <w:rFonts w:eastAsia="Arial"/>
              </w:rPr>
              <w:t>RAS mutacija.</w:t>
            </w:r>
          </w:p>
        </w:tc>
        <w:tc>
          <w:tcPr>
            <w:tcW w:w="2725" w:type="dxa"/>
          </w:tcPr>
          <w:p w14:paraId="1A93C194" w14:textId="77777777" w:rsidR="00543E23" w:rsidRPr="009E3C57" w:rsidRDefault="00543E23" w:rsidP="00E16073">
            <w:pPr>
              <w:spacing w:line="276" w:lineRule="auto"/>
              <w:jc w:val="both"/>
              <w:rPr>
                <w:rFonts w:eastAsia="Arial"/>
              </w:rPr>
            </w:pPr>
          </w:p>
        </w:tc>
      </w:tr>
      <w:tr w:rsidR="00543E23" w:rsidRPr="009E3C57" w14:paraId="4D5A7A50" w14:textId="77777777" w:rsidTr="00E16073">
        <w:trPr>
          <w:trHeight w:val="1927"/>
        </w:trPr>
        <w:tc>
          <w:tcPr>
            <w:tcW w:w="2405" w:type="dxa"/>
          </w:tcPr>
          <w:p w14:paraId="1628E7E3" w14:textId="77777777" w:rsidR="00543E23" w:rsidRPr="009E3C57" w:rsidRDefault="00543E23" w:rsidP="00E16073">
            <w:pPr>
              <w:spacing w:line="276" w:lineRule="auto"/>
              <w:jc w:val="both"/>
              <w:rPr>
                <w:rFonts w:eastAsia="Arial"/>
              </w:rPr>
            </w:pPr>
            <w:r w:rsidRPr="009E3C57">
              <w:rPr>
                <w:rFonts w:eastAsia="Arial"/>
              </w:rPr>
              <w:t>Nacionalinis farmakoekonomikos centras, Airija</w:t>
            </w:r>
          </w:p>
          <w:p w14:paraId="3A54BE5D" w14:textId="77777777" w:rsidR="00543E23" w:rsidRPr="009E3C57" w:rsidRDefault="00543E23" w:rsidP="00E16073">
            <w:pPr>
              <w:spacing w:line="276" w:lineRule="auto"/>
              <w:jc w:val="both"/>
              <w:rPr>
                <w:rFonts w:eastAsia="Arial"/>
              </w:rPr>
            </w:pPr>
            <w:r w:rsidRPr="009E3C57">
              <w:rPr>
                <w:rFonts w:eastAsia="Arial"/>
              </w:rPr>
              <w:t>(angl.</w:t>
            </w:r>
            <w:r w:rsidRPr="009E3C57">
              <w:rPr>
                <w:rFonts w:eastAsia="Arial"/>
                <w:i/>
              </w:rPr>
              <w:t xml:space="preserve"> National Centre for Pharmacoeconomics, NCPE</w:t>
            </w:r>
            <w:r w:rsidRPr="009E3C57">
              <w:rPr>
                <w:rFonts w:eastAsia="Arial"/>
              </w:rPr>
              <w:t>)</w:t>
            </w:r>
          </w:p>
        </w:tc>
        <w:tc>
          <w:tcPr>
            <w:tcW w:w="1843" w:type="dxa"/>
          </w:tcPr>
          <w:p w14:paraId="6017D9E3" w14:textId="77777777" w:rsidR="00543E23" w:rsidRPr="009E3C57" w:rsidRDefault="00C65582" w:rsidP="00E16073">
            <w:pPr>
              <w:spacing w:line="276" w:lineRule="auto"/>
              <w:jc w:val="both"/>
            </w:pPr>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Taip</w:t>
            </w:r>
          </w:p>
          <w:p w14:paraId="0E0ECD15" w14:textId="77777777" w:rsidR="00543E23" w:rsidRPr="009E3C57" w:rsidRDefault="00C65582" w:rsidP="00E16073">
            <w:pPr>
              <w:spacing w:line="276" w:lineRule="auto"/>
              <w:jc w:val="both"/>
            </w:pPr>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543E23" w:rsidRPr="009E3C57">
                  <w:rPr>
                    <w:rStyle w:val="Style2"/>
                    <w:rFonts w:ascii="MS Gothic" w:eastAsia="MS Gothic" w:hAnsi="MS Gothic"/>
                  </w:rPr>
                  <w:t>☒</w:t>
                </w:r>
              </w:sdtContent>
            </w:sdt>
            <w:r w:rsidR="00543E23" w:rsidRPr="009E3C57">
              <w:t xml:space="preserve"> Ne</w:t>
            </w:r>
          </w:p>
          <w:p w14:paraId="68DE5C84" w14:textId="77777777" w:rsidR="00543E23" w:rsidRPr="009E3C57" w:rsidRDefault="00C65582" w:rsidP="00E16073">
            <w:pPr>
              <w:spacing w:line="276" w:lineRule="auto"/>
              <w:jc w:val="both"/>
              <w:rPr>
                <w:rFonts w:eastAsia="Arial"/>
                <w:i/>
                <w:iCs/>
              </w:rPr>
            </w:pPr>
            <w:sdt>
              <w:sdtPr>
                <w:rPr>
                  <w:i/>
                  <w:iCs/>
                </w:rPr>
                <w:alias w:val="Nurodykite konkrečią dieną"/>
                <w:tag w:val="Nurodykite pradžios datą"/>
                <w:id w:val="-198323198"/>
                <w:placeholder>
                  <w:docPart w:val="1EDE045A2D859C438545FDF867573FF8"/>
                </w:placeholder>
                <w15:color w:val="FFCC99"/>
                <w:date>
                  <w:dateFormat w:val="yyyy 'm.' MMMM d 'd.'"/>
                  <w:lid w:val="lt-LT"/>
                  <w:storeMappedDataAs w:val="dateTime"/>
                  <w:calendar w:val="gregorian"/>
                </w:date>
              </w:sdtPr>
              <w:sdtEndPr/>
              <w:sdtContent>
                <w:r w:rsidR="00543E23" w:rsidRPr="009E3C57">
                  <w:rPr>
                    <w:i/>
                    <w:iCs/>
                  </w:rPr>
                  <w:t>2016 m. liepos 11 d.</w:t>
                </w:r>
              </w:sdtContent>
            </w:sdt>
            <w:r w:rsidR="00543E23" w:rsidRPr="009E3C57">
              <w:rPr>
                <w:i/>
                <w:iCs/>
              </w:rPr>
              <w:t xml:space="preserve"> atlikta greitoji peržiūra, pilnas vertinimas nepaskelbtas</w:t>
            </w:r>
          </w:p>
        </w:tc>
        <w:tc>
          <w:tcPr>
            <w:tcW w:w="2945" w:type="dxa"/>
          </w:tcPr>
          <w:p w14:paraId="35903581" w14:textId="77777777" w:rsidR="00543E23" w:rsidRPr="009E3C57" w:rsidRDefault="00543E23" w:rsidP="00E16073">
            <w:pPr>
              <w:spacing w:line="276" w:lineRule="auto"/>
              <w:jc w:val="both"/>
              <w:rPr>
                <w:rFonts w:eastAsia="Arial"/>
              </w:rPr>
            </w:pPr>
          </w:p>
        </w:tc>
        <w:tc>
          <w:tcPr>
            <w:tcW w:w="2725" w:type="dxa"/>
          </w:tcPr>
          <w:p w14:paraId="786171DF" w14:textId="77777777" w:rsidR="00543E23" w:rsidRPr="009E3C57" w:rsidRDefault="00543E23" w:rsidP="00E16073">
            <w:pPr>
              <w:spacing w:line="276" w:lineRule="auto"/>
              <w:jc w:val="both"/>
              <w:rPr>
                <w:rFonts w:eastAsia="Arial"/>
              </w:rPr>
            </w:pPr>
          </w:p>
        </w:tc>
      </w:tr>
    </w:tbl>
    <w:p w14:paraId="0A27FBB4" w14:textId="77777777" w:rsidR="00997A8D" w:rsidRPr="009E3C57" w:rsidRDefault="00997A8D" w:rsidP="00997A8D">
      <w:pPr>
        <w:spacing w:line="276" w:lineRule="auto"/>
        <w:jc w:val="both"/>
        <w:rPr>
          <w:rFonts w:eastAsia="Arial"/>
          <w:b/>
        </w:rPr>
      </w:pPr>
    </w:p>
    <w:p w14:paraId="20E38D87" w14:textId="77777777" w:rsidR="00997A8D" w:rsidRPr="009E3C57" w:rsidRDefault="00997A8D" w:rsidP="00997A8D">
      <w:pPr>
        <w:spacing w:line="276" w:lineRule="auto"/>
        <w:jc w:val="both"/>
        <w:rPr>
          <w:rFonts w:eastAsia="Arial"/>
          <w:b/>
        </w:rPr>
      </w:pPr>
    </w:p>
    <w:p w14:paraId="25F89291" w14:textId="03338545" w:rsidR="00D4485B" w:rsidRPr="009E3C57" w:rsidRDefault="00CC7832" w:rsidP="004537D0">
      <w:pPr>
        <w:pStyle w:val="Sraopastraipa"/>
        <w:numPr>
          <w:ilvl w:val="0"/>
          <w:numId w:val="12"/>
        </w:numPr>
        <w:tabs>
          <w:tab w:val="left" w:pos="567"/>
        </w:tabs>
        <w:ind w:hanging="720"/>
        <w:rPr>
          <w:b/>
          <w:bCs/>
          <w:caps/>
        </w:rPr>
      </w:pPr>
      <w:r w:rsidRPr="009E3C57">
        <w:rPr>
          <w:b/>
          <w:bCs/>
          <w:caps/>
        </w:rPr>
        <w:t>Klinikinio vertinimo a</w:t>
      </w:r>
      <w:r w:rsidR="00D4485B" w:rsidRPr="009E3C57">
        <w:rPr>
          <w:b/>
          <w:bCs/>
          <w:caps/>
        </w:rPr>
        <w:t>pibendrinimas</w:t>
      </w:r>
    </w:p>
    <w:p w14:paraId="23702E64" w14:textId="77777777" w:rsidR="004537D0" w:rsidRPr="009E3C57" w:rsidRDefault="004537D0" w:rsidP="004537D0">
      <w:pPr>
        <w:tabs>
          <w:tab w:val="left" w:pos="567"/>
        </w:tabs>
        <w:rPr>
          <w:b/>
          <w:bCs/>
          <w:caps/>
        </w:rPr>
      </w:pPr>
    </w:p>
    <w:p w14:paraId="3EB73296" w14:textId="77777777" w:rsidR="00543E23" w:rsidRPr="009E3C57" w:rsidRDefault="004537D0" w:rsidP="00543E23">
      <w:pPr>
        <w:tabs>
          <w:tab w:val="left" w:pos="426"/>
        </w:tabs>
        <w:spacing w:line="276" w:lineRule="auto"/>
        <w:jc w:val="both"/>
        <w:rPr>
          <w:rFonts w:eastAsia="Arial"/>
        </w:rPr>
      </w:pPr>
      <w:r w:rsidRPr="009E3C57">
        <w:rPr>
          <w:rFonts w:eastAsia="Arial"/>
        </w:rPr>
        <w:tab/>
      </w:r>
      <w:r w:rsidR="00543E23" w:rsidRPr="009E3C57">
        <w:rPr>
          <w:rFonts w:eastAsia="Arial"/>
        </w:rPr>
        <w:t xml:space="preserve">Storosios (gaubtinės) ir tiesiosios žarnos vėžys (angl. </w:t>
      </w:r>
      <w:r w:rsidR="00543E23" w:rsidRPr="009E3C57">
        <w:rPr>
          <w:rFonts w:eastAsia="Arial"/>
          <w:i/>
          <w:iCs/>
        </w:rPr>
        <w:t>colorectal cancer, CRC</w:t>
      </w:r>
      <w:r w:rsidR="00543E23" w:rsidRPr="009E3C57">
        <w:rPr>
          <w:rFonts w:eastAsia="Arial"/>
        </w:rPr>
        <w:t xml:space="preserve">) yra trečias dažniausias vėžinis susirgimas pasaulyje, sudarantis apie 10 proc. visų diagnozuojamų navikų, bei mirčių dėl onkologinių susirgimų dalį. </w:t>
      </w:r>
    </w:p>
    <w:p w14:paraId="151C6AB4" w14:textId="77777777" w:rsidR="00543E23" w:rsidRPr="009E3C57" w:rsidRDefault="00543E23" w:rsidP="00543E23">
      <w:pPr>
        <w:tabs>
          <w:tab w:val="left" w:pos="426"/>
        </w:tabs>
        <w:spacing w:line="276" w:lineRule="auto"/>
        <w:jc w:val="both"/>
      </w:pPr>
      <w:r w:rsidRPr="009E3C57">
        <w:rPr>
          <w:rFonts w:eastAsia="Arial"/>
        </w:rPr>
        <w:tab/>
        <w:t xml:space="preserve">Ši agresyvi vėžio forma dažnai diagnozuojama vėlyvose stadijose, kai chirurginis gydymas yra neįmanomas: </w:t>
      </w:r>
      <w:r w:rsidRPr="009E3C57">
        <w:t xml:space="preserve">diagnozės metu, nuo 19 iki 31 proc. atvejų, liga jau būna metastazavusi (angl. </w:t>
      </w:r>
      <w:r w:rsidRPr="009E3C57">
        <w:rPr>
          <w:i/>
          <w:iCs/>
        </w:rPr>
        <w:t>metastatic colorectal cancer, mCRC</w:t>
      </w:r>
      <w:r w:rsidRPr="009E3C57">
        <w:t xml:space="preserve">). </w:t>
      </w:r>
      <w:r w:rsidRPr="009E3C57">
        <w:rPr>
          <w:rFonts w:eastAsia="Arial"/>
        </w:rPr>
        <w:t xml:space="preserve">Kasmet dėl CRC miršta daugiau nei 900 000 žmonių visame pasaulyje, </w:t>
      </w:r>
      <w:r w:rsidRPr="009E3C57">
        <w:t>prognozuojama, kad ilgainiui sergamumas CRC pasaulyje didės ir 2035 m. sieks iki 2-5 mln. daugiau naujų atvejų.</w:t>
      </w:r>
    </w:p>
    <w:p w14:paraId="7E36366E" w14:textId="77777777" w:rsidR="00543E23" w:rsidRPr="009E3C57" w:rsidRDefault="00543E23" w:rsidP="00543E23">
      <w:pPr>
        <w:tabs>
          <w:tab w:val="left" w:pos="426"/>
        </w:tabs>
        <w:spacing w:line="276" w:lineRule="auto"/>
        <w:jc w:val="both"/>
        <w:rPr>
          <w:rFonts w:eastAsia="Arial"/>
        </w:rPr>
      </w:pPr>
      <w:r w:rsidRPr="009E3C57">
        <w:rPr>
          <w:rFonts w:eastAsia="Arial"/>
        </w:rPr>
        <w:tab/>
      </w:r>
      <w:r w:rsidRPr="009E3C57">
        <w:t>Nacionalinio vėžio instituto duomenimis, 2012 m. Lietuvoje buvo diagnozuoti 1 679 nauji</w:t>
      </w:r>
    </w:p>
    <w:p w14:paraId="00D31F43" w14:textId="77777777" w:rsidR="00543E23" w:rsidRPr="009E3C57" w:rsidRDefault="00543E23" w:rsidP="00543E23">
      <w:pPr>
        <w:tabs>
          <w:tab w:val="left" w:pos="426"/>
        </w:tabs>
        <w:spacing w:line="276" w:lineRule="auto"/>
        <w:jc w:val="both"/>
      </w:pPr>
      <w:r w:rsidRPr="009E3C57">
        <w:lastRenderedPageBreak/>
        <w:t>storosios žarnos piktybinių navikų atvejai (952 gaubtinės žarnos ir 727 tiesiosios žarnos). 2012 m.</w:t>
      </w:r>
    </w:p>
    <w:p w14:paraId="3E630636" w14:textId="77777777" w:rsidR="00543E23" w:rsidRPr="009E3C57" w:rsidRDefault="00543E23" w:rsidP="00543E23">
      <w:pPr>
        <w:tabs>
          <w:tab w:val="left" w:pos="426"/>
        </w:tabs>
        <w:spacing w:line="276" w:lineRule="auto"/>
        <w:jc w:val="both"/>
      </w:pPr>
      <w:r w:rsidRPr="009E3C57">
        <w:t>nuo storosios žarnos piktybinių navikų mirė 927 asmenys (516 nuo gaubtinės žarnos piktybinio</w:t>
      </w:r>
    </w:p>
    <w:p w14:paraId="77F21A49" w14:textId="77777777" w:rsidR="00543E23" w:rsidRPr="009E3C57" w:rsidRDefault="00543E23" w:rsidP="00543E23">
      <w:pPr>
        <w:tabs>
          <w:tab w:val="left" w:pos="426"/>
        </w:tabs>
        <w:spacing w:line="276" w:lineRule="auto"/>
        <w:jc w:val="both"/>
      </w:pPr>
      <w:r w:rsidRPr="009E3C57">
        <w:t>naviko ir 411 nuo tiesiosios žarnos piktybinio naviko). Sergamumo ir mirštamumo rodikliai skirtinguose Lietuvos regionuose netolygūs, tačiau stebima tolygiai didėjanti sergamumo tendencija. Moterų CRC sergamumas ir mirštamumas yra maždaug 25 proc. mažesnis nei vyrų. Didžiausi sergamumo ir mirštamumo rodikliai stebimi ekonomiškai išsivysčiusiose šalyse. Prognozuojama, kad ilgainiui sergamumas CRC pasaulyje didės ir 2035 m. sieks iki 2-5 mln. daugiau naujų atvejų.</w:t>
      </w:r>
    </w:p>
    <w:p w14:paraId="1DE75191" w14:textId="77777777" w:rsidR="00543E23" w:rsidRPr="009E3C57" w:rsidRDefault="00543E23" w:rsidP="00543E23">
      <w:pPr>
        <w:tabs>
          <w:tab w:val="left" w:pos="426"/>
        </w:tabs>
        <w:spacing w:line="276" w:lineRule="auto"/>
        <w:jc w:val="both"/>
        <w:rPr>
          <w:rFonts w:eastAsia="Arial"/>
        </w:rPr>
      </w:pPr>
      <w:r w:rsidRPr="009E3C57">
        <w:rPr>
          <w:rFonts w:eastAsia="Arial"/>
        </w:rPr>
        <w:tab/>
        <w:t>Remiantis Nacionalinio išplėstinio vėžio tinklo (</w:t>
      </w:r>
      <w:r w:rsidRPr="009E3C57">
        <w:rPr>
          <w:rFonts w:eastAsia="Arial"/>
          <w:i/>
          <w:iCs/>
        </w:rPr>
        <w:t xml:space="preserve">angl. National Comprehensive Cancer Network, NCCN) </w:t>
      </w:r>
      <w:r w:rsidRPr="009E3C57">
        <w:rPr>
          <w:rFonts w:eastAsia="Arial"/>
        </w:rPr>
        <w:t xml:space="preserve">gairėmis (2024 m.) gydymui rekomenduojamas frukvintinibas, regorafenibas arba trifluridinas / tipiracilas + bevacizumabas, gydant mCRC, kuris progresavo taikant visus kitus galimus gydymo būdus. </w:t>
      </w:r>
    </w:p>
    <w:p w14:paraId="4E30E27E" w14:textId="77777777" w:rsidR="00543E23" w:rsidRPr="009E3C57" w:rsidRDefault="00543E23" w:rsidP="00543E23">
      <w:pPr>
        <w:tabs>
          <w:tab w:val="left" w:pos="426"/>
        </w:tabs>
        <w:spacing w:line="276" w:lineRule="auto"/>
        <w:jc w:val="both"/>
        <w:rPr>
          <w:rFonts w:eastAsia="Arial"/>
        </w:rPr>
      </w:pPr>
      <w:r w:rsidRPr="009E3C57">
        <w:rPr>
          <w:rFonts w:eastAsia="Arial"/>
        </w:rPr>
        <w:tab/>
        <w:t>Remiantis Paraiškoje pateiktais gydytojų ekspertų komentarais, Lietuvoje mCRC sergantiems pacientams III eilės gydymui skiriama monoterapija trifluridinu/tipiracilu (kompensuojamas pagal A sąrašą), monoterapija regorafenibu (kompensuojamas pagal A sąrašą), arba monoterapija cetuksimabu, kai yra nustatytas RAS laukinio tipo ir pacientas prieš tai nebuvo gydytas vaistiniais preparatais prieš epidermio augimo faktoriaus receptorius. Šiuo metu pirmos eilės gydymui gali būti naudojama ir kompensuojama monoterapija trifluridinu/tipiracilu arba regorafenibu. III eilės CRC gydymui klinikinėje praktikoje pirmenybė teikiama vaistiniam preparatui trifluridinui/tipiracilui (70-80 proc. CRC III eilės gydymui), todėl monoterapija trifluridinu/tipiracilu nurodoma, kaip palyginamasis gydymas.</w:t>
      </w:r>
    </w:p>
    <w:p w14:paraId="446DEC2A" w14:textId="77777777" w:rsidR="00543E23" w:rsidRPr="009E3C57" w:rsidRDefault="00543E23" w:rsidP="00543E23">
      <w:pPr>
        <w:tabs>
          <w:tab w:val="left" w:pos="426"/>
        </w:tabs>
        <w:spacing w:line="276" w:lineRule="auto"/>
        <w:jc w:val="both"/>
        <w:rPr>
          <w:bCs/>
          <w:iCs/>
          <w:lang w:eastAsia="lt-LT"/>
        </w:rPr>
      </w:pPr>
      <w:r w:rsidRPr="009E3C57">
        <w:rPr>
          <w:rFonts w:eastAsia="Arial"/>
        </w:rPr>
        <w:tab/>
      </w:r>
      <w:r w:rsidRPr="009E3C57">
        <w:rPr>
          <w:bCs/>
          <w:iCs/>
          <w:lang w:eastAsia="lt-LT"/>
        </w:rPr>
        <w:t xml:space="preserve">Palyginamasis vaistinis preparatas </w:t>
      </w:r>
      <w:r w:rsidRPr="009E3C57">
        <w:rPr>
          <w:rFonts w:eastAsia="Arial"/>
        </w:rPr>
        <w:t xml:space="preserve">trifluridinas/tipiracilas </w:t>
      </w:r>
      <w:r w:rsidRPr="009E3C57">
        <w:rPr>
          <w:bCs/>
          <w:iCs/>
          <w:lang w:eastAsia="lt-LT"/>
        </w:rPr>
        <w:t>laikomas atitinkančiu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4809F2C8" w14:textId="77777777" w:rsidR="00543E23" w:rsidRPr="009E3C57" w:rsidRDefault="00543E23" w:rsidP="00543E23">
      <w:pPr>
        <w:tabs>
          <w:tab w:val="left" w:pos="426"/>
        </w:tabs>
        <w:spacing w:line="276" w:lineRule="auto"/>
        <w:jc w:val="both"/>
        <w:rPr>
          <w:rFonts w:eastAsia="Arial"/>
        </w:rPr>
      </w:pPr>
    </w:p>
    <w:p w14:paraId="40B3AF3C" w14:textId="77777777" w:rsidR="00543E23" w:rsidRPr="009E3C57" w:rsidRDefault="00543E23" w:rsidP="00543E23">
      <w:pPr>
        <w:tabs>
          <w:tab w:val="left" w:pos="426"/>
        </w:tabs>
        <w:spacing w:line="276" w:lineRule="auto"/>
        <w:jc w:val="both"/>
        <w:rPr>
          <w:rFonts w:eastAsia="Arial"/>
        </w:rPr>
      </w:pPr>
      <w:r w:rsidRPr="009E3C57">
        <w:rPr>
          <w:rFonts w:eastAsia="Arial"/>
        </w:rPr>
        <w:tab/>
      </w:r>
      <w:r w:rsidRPr="009E3C57">
        <w:rPr>
          <w:rFonts w:eastAsia="Arial"/>
          <w:u w:val="single"/>
        </w:rPr>
        <w:t>Tiesioginis palyginimas</w:t>
      </w:r>
    </w:p>
    <w:p w14:paraId="48565CB3" w14:textId="77777777" w:rsidR="00543E23" w:rsidRPr="009E3C57" w:rsidRDefault="00543E23" w:rsidP="00543E23">
      <w:pPr>
        <w:spacing w:line="276" w:lineRule="auto"/>
        <w:ind w:firstLine="720"/>
        <w:jc w:val="both"/>
      </w:pPr>
      <w:r w:rsidRPr="009E3C57">
        <w:rPr>
          <w:rFonts w:eastAsia="Arial"/>
          <w:bCs/>
        </w:rPr>
        <w:t xml:space="preserve">Klinikinis trifluridino/tipiracilo efektyvumas vertinamas remiantis paraiškoje pateikto tarptautinio, </w:t>
      </w:r>
      <w:r w:rsidRPr="009E3C57">
        <w:rPr>
          <w:rFonts w:eastAsia="Arial"/>
        </w:rPr>
        <w:t xml:space="preserve">nekoduoto, </w:t>
      </w:r>
      <w:r w:rsidRPr="009E3C57">
        <w:rPr>
          <w:rFonts w:eastAsia="Arial"/>
          <w:bCs/>
        </w:rPr>
        <w:t xml:space="preserve">atsitiktinių imčių </w:t>
      </w:r>
      <w:r w:rsidRPr="009E3C57">
        <w:rPr>
          <w:rFonts w:eastAsia="Arial"/>
        </w:rPr>
        <w:t xml:space="preserve">SUNLIGHT </w:t>
      </w:r>
      <w:r w:rsidRPr="009E3C57">
        <w:rPr>
          <w:rFonts w:eastAsia="Arial"/>
          <w:bCs/>
        </w:rPr>
        <w:t xml:space="preserve">klinikinio </w:t>
      </w:r>
      <w:r w:rsidRPr="009E3C57">
        <w:rPr>
          <w:rFonts w:eastAsia="Arial"/>
          <w:bCs/>
          <w:u w:val="single"/>
        </w:rPr>
        <w:t>tiesioginio palyginimo</w:t>
      </w:r>
      <w:r w:rsidRPr="009E3C57">
        <w:rPr>
          <w:rFonts w:eastAsia="Arial"/>
          <w:bCs/>
        </w:rPr>
        <w:t xml:space="preserve"> tyrimo metu. </w:t>
      </w:r>
      <w:r w:rsidRPr="009E3C57">
        <w:rPr>
          <w:rFonts w:eastAsia="Arial"/>
        </w:rPr>
        <w:t>SUNLIGHT</w:t>
      </w:r>
      <w:r w:rsidRPr="009E3C57">
        <w:t xml:space="preserve"> tai 3 fazės klinikinis tyrimas, kuriame </w:t>
      </w:r>
      <w:r w:rsidRPr="009E3C57">
        <w:rPr>
          <w:rFonts w:eastAsia="Arial"/>
        </w:rPr>
        <w:t>trifluridino/tipiracilo</w:t>
      </w:r>
      <w:r w:rsidRPr="009E3C57">
        <w:rPr>
          <w:rFonts w:eastAsia="Arial"/>
          <w:bCs/>
        </w:rPr>
        <w:t xml:space="preserve"> </w:t>
      </w:r>
      <w:r w:rsidRPr="009E3C57">
        <w:t xml:space="preserve">ir bevacizumabo derinio bei </w:t>
      </w:r>
      <w:r w:rsidRPr="009E3C57">
        <w:rPr>
          <w:rFonts w:eastAsia="Arial"/>
        </w:rPr>
        <w:t>trifluridino/tipiracilo</w:t>
      </w:r>
      <w:r w:rsidRPr="009E3C57">
        <w:rPr>
          <w:rFonts w:eastAsia="Arial"/>
          <w:bCs/>
        </w:rPr>
        <w:t xml:space="preserve"> </w:t>
      </w:r>
      <w:r w:rsidRPr="009E3C57">
        <w:t xml:space="preserve">monoterapijos klinikinis veiksmingumas ir saugumas buvo palyginti gydant suaugusius pacientus, sergančius metastazavusiu gaubtinės ir tiesiosios žarnos vėžiu sergančiais pacientais, kuriems anksčiau buvo taikytos ne daugiau kaip dvi sisteminio progresavusios ligos gydymo schemos, įskaitant gydymą fluoropirimidinu, irinotekanu, oksaliplatina, monokloniniu antikūnu prieš KEAF ir (arba) monokloniniu antikūnu prieš EAFR pacientams, kuriems buvo diagnozuotas laukinio tipo </w:t>
      </w:r>
      <w:r w:rsidRPr="009E3C57">
        <w:rPr>
          <w:i/>
          <w:iCs/>
        </w:rPr>
        <w:t>RAS</w:t>
      </w:r>
      <w:r w:rsidRPr="009E3C57">
        <w:t xml:space="preserve"> navikas. </w:t>
      </w:r>
    </w:p>
    <w:p w14:paraId="342F18F1" w14:textId="77777777" w:rsidR="00543E23" w:rsidRPr="009E3C57" w:rsidRDefault="00543E23" w:rsidP="00543E23">
      <w:pPr>
        <w:tabs>
          <w:tab w:val="left" w:pos="492"/>
        </w:tabs>
        <w:spacing w:line="276" w:lineRule="auto"/>
        <w:jc w:val="both"/>
        <w:outlineLvl w:val="1"/>
        <w:rPr>
          <w:rFonts w:eastAsia="Arial"/>
        </w:rPr>
      </w:pPr>
      <w:r w:rsidRPr="009E3C57">
        <w:rPr>
          <w:rFonts w:eastAsia="Arial"/>
        </w:rPr>
        <w:tab/>
        <w:t>SUNLIGHT (NCT04737187) tyrimo populiacija- 492 suaugę pacientai, sergantys metastazavusiu gaubtinės ir tiesiosios žarnos vėžiu, kuriems anksčiau buvo taikytos ne daugiau kaip dvi sisteminio progresavusios ligos gydymo schemos, įskaitant gydymą fluoropirimidinu, irinotekanu, oksaliplatina, monokloniniu antikūnu prieš KEAF ir (arba) monokloniniu antikūnu prieš EAFR pacientams, kuriems buvo diagnozuotas laukinio tipo RAS navikas, metu.</w:t>
      </w:r>
    </w:p>
    <w:p w14:paraId="0DDCAE32" w14:textId="77777777" w:rsidR="00543E23" w:rsidRPr="009E3C57" w:rsidRDefault="00543E23" w:rsidP="00543E23">
      <w:pPr>
        <w:tabs>
          <w:tab w:val="left" w:pos="426"/>
        </w:tabs>
        <w:spacing w:line="276" w:lineRule="auto"/>
        <w:jc w:val="both"/>
        <w:rPr>
          <w:rFonts w:eastAsia="Arial"/>
        </w:rPr>
      </w:pPr>
      <w:r w:rsidRPr="009E3C57">
        <w:rPr>
          <w:rFonts w:eastAsia="Arial"/>
        </w:rPr>
        <w:tab/>
        <w:t xml:space="preserve">Tyrimo pacientų populiacija atitinka egzistuojančią Lietuvos pacientų populiaciją, kuriai gydymas gali būti skiriamas pagal numatomas trifluridino/tipiracilo skyrimo indikacijas ir siūlomas skyrimo sąlygas. </w:t>
      </w:r>
    </w:p>
    <w:p w14:paraId="66136311" w14:textId="77777777" w:rsidR="00543E23" w:rsidRPr="009E3C57" w:rsidRDefault="00543E23" w:rsidP="00543E23">
      <w:pPr>
        <w:tabs>
          <w:tab w:val="left" w:pos="426"/>
        </w:tabs>
        <w:spacing w:line="276" w:lineRule="auto"/>
        <w:jc w:val="both"/>
        <w:rPr>
          <w:rFonts w:eastAsia="Arial"/>
          <w:iCs/>
        </w:rPr>
      </w:pPr>
      <w:r w:rsidRPr="009E3C57">
        <w:rPr>
          <w:rFonts w:eastAsia="Arial"/>
          <w:iCs/>
        </w:rPr>
        <w:tab/>
        <w:t xml:space="preserve">Tarpinė analizė nebuvo numatyta, visos vertinamosios baigtys analizuotos įvykus 331 BI įvykiui. Pagrindinis tyrimo tikslas būtų pasiektas, jei klinikinės grupės gydymo rezultatai galutinėje analizėje </w:t>
      </w:r>
      <w:r w:rsidRPr="009E3C57">
        <w:rPr>
          <w:rFonts w:eastAsia="Arial"/>
          <w:iCs/>
        </w:rPr>
        <w:lastRenderedPageBreak/>
        <w:t>būtų statistiškai reikšmingai pranašesni už kontrolinės grupės. Taikyta hierarchinė analizė, kontroliuojant I tipo klaidų lygį (≤ 0,05); IBLP vertinta tik esant statistiškai reikšmingam BI pranašumui. Tyrimas su 90 proc. galia leido aptikti 0,70 rizikos santykį (30 proc. mažesnę mirties riziką trifluridino/tipiracilo ir bevacizumabo grupėje), taikant log-rank testą ir I tipo paklaidą 0,025. Stratifikuotas log-rank testas (5 proc. reikšmingumo lygis) naudotas BI ir IBLP palyginimui, Cox modelis – gydymo poveikiui įvertinti. Rezultatų patikimumui užtikrinti atlikta jautrumo ir pogrupių analizė. Galutinėje analizėje duomenų brandumas: 60,2 proc. trifluridino/tipiracilo ir bevacizumabo grupėje, 74 proc. trifluridino/tipiracilo grupėje; BI duomenys laikomi subrendusiais (334 iš 492 dalyvių, 68 proc.).</w:t>
      </w:r>
    </w:p>
    <w:p w14:paraId="10CC7824" w14:textId="77777777" w:rsidR="00543E23" w:rsidRPr="009E3C57" w:rsidRDefault="00543E23" w:rsidP="00543E23">
      <w:pPr>
        <w:tabs>
          <w:tab w:val="left" w:pos="426"/>
        </w:tabs>
        <w:spacing w:line="276" w:lineRule="auto"/>
        <w:jc w:val="both"/>
        <w:rPr>
          <w:rFonts w:eastAsia="Arial"/>
          <w:iCs/>
        </w:rPr>
      </w:pPr>
    </w:p>
    <w:p w14:paraId="0F29C550" w14:textId="77777777" w:rsidR="00543E23" w:rsidRPr="009E3C57" w:rsidRDefault="00543E23" w:rsidP="00543E23">
      <w:pPr>
        <w:spacing w:line="276" w:lineRule="auto"/>
        <w:ind w:firstLine="720"/>
        <w:jc w:val="both"/>
        <w:rPr>
          <w:rFonts w:eastAsia="Arial"/>
          <w:iCs/>
        </w:rPr>
      </w:pPr>
      <w:r w:rsidRPr="009E3C57">
        <w:rPr>
          <w:rFonts w:eastAsia="Arial"/>
          <w:iCs/>
          <w:u w:val="single"/>
        </w:rPr>
        <w:t>Pirminė vertinamoji baigtis</w:t>
      </w:r>
      <w:r w:rsidRPr="009E3C57">
        <w:rPr>
          <w:rFonts w:eastAsia="Arial"/>
          <w:iCs/>
        </w:rPr>
        <w:t>, bendras išgyvenamumas (BI) – laikas nuo atsitiktinės atrankos iki mirties nuo bet kokios priežasties datos. G</w:t>
      </w:r>
      <w:r w:rsidRPr="009E3C57">
        <w:rPr>
          <w:iCs/>
        </w:rPr>
        <w:t xml:space="preserve">alutinė BI analizė parodė, </w:t>
      </w:r>
      <w:r w:rsidRPr="009E3C57">
        <w:rPr>
          <w:rFonts w:eastAsia="Arial"/>
          <w:iCs/>
        </w:rPr>
        <w:t xml:space="preserve">kad taikant gydymą trifuridinu/tipiracilu kartu su bevacizumabu, mirties nuo bet kokios priežasties rizika sumažėjo 39 proc., palyginus su gydymu trifluridino/tipiracilo monoterapija. Bendras išgyvenamumas 7,5 mėnesio monoterapijos grupėje ir 10,8 mėnesio kombinuotojo gydymo grupėje (RS 0,61; p&lt;0,001), BI skirtumas 3,3 mėnesio. </w:t>
      </w:r>
    </w:p>
    <w:p w14:paraId="5083456F" w14:textId="77777777" w:rsidR="00543E23" w:rsidRPr="009E3C57" w:rsidRDefault="00543E23" w:rsidP="00543E23">
      <w:pPr>
        <w:spacing w:line="276" w:lineRule="auto"/>
        <w:ind w:firstLine="720"/>
        <w:jc w:val="both"/>
        <w:rPr>
          <w:rFonts w:eastAsia="Arial"/>
          <w:iCs/>
        </w:rPr>
      </w:pPr>
      <w:r w:rsidRPr="009E3C57">
        <w:rPr>
          <w:rFonts w:eastAsia="Arial"/>
          <w:iCs/>
        </w:rPr>
        <w:t>Pogrupių analizė parodė  trifuridino/tipiracilo ir bevacizumabo derinio pranašumą, vertinant BI, daugelyje tirtų pogrupių. Didžiausias bendro išgyvenamumo prailgėjimas užfiksuotas pacientams, kuriems nustatyta MSI-H/MMR deficito būklė (RS 0,33) ir pacientams, kurie anksčiau nebuvo gydyti bevacizumabu (RS 0,40), taip pat pacientams, anksčiau gavusiems tik 1 chemoterapinį gydymą. Rezultatai taip pat parodė išgyvenamumo naudą visose pagrindinėse stratifikavimo grupėse, įskaitant pacientus su RAS mutacija (RS 0,62) ir skirtingą pirminės naviko lokalizaciją turinčius pacientus (kairė pusė: RS 0,59; dešinė pusė: RS 0,65). Nors kai kurių pogrupių analizės buvo ribotos dėl mažų imčių (pvz., BRAF mutacija, MSI-H), bendros tendencijos patvirtina trifuridino/tipiracilo + bevacizumabo derinio naudą šioje pacientų populiacijoje.</w:t>
      </w:r>
    </w:p>
    <w:p w14:paraId="570B9614" w14:textId="77777777" w:rsidR="00543E23" w:rsidRPr="009E3C57" w:rsidRDefault="00543E23" w:rsidP="00543E23">
      <w:pPr>
        <w:spacing w:line="276" w:lineRule="auto"/>
        <w:jc w:val="both"/>
        <w:rPr>
          <w:rFonts w:eastAsia="Arial"/>
          <w:iCs/>
        </w:rPr>
      </w:pPr>
    </w:p>
    <w:p w14:paraId="7289668A" w14:textId="77777777" w:rsidR="00543E23" w:rsidRPr="009E3C57" w:rsidRDefault="00543E23" w:rsidP="00543E23">
      <w:pPr>
        <w:spacing w:line="276" w:lineRule="auto"/>
        <w:jc w:val="both"/>
        <w:rPr>
          <w:rFonts w:eastAsia="Arial"/>
          <w:iCs/>
        </w:rPr>
      </w:pPr>
      <w:r w:rsidRPr="009E3C57">
        <w:rPr>
          <w:rFonts w:eastAsia="Arial"/>
          <w:iCs/>
        </w:rPr>
        <w:tab/>
      </w:r>
      <w:r w:rsidRPr="009E3C57">
        <w:rPr>
          <w:rFonts w:eastAsia="Arial"/>
          <w:iCs/>
          <w:u w:val="single"/>
        </w:rPr>
        <w:t>Antrinės vertinamosios baigtys,</w:t>
      </w:r>
      <w:r w:rsidRPr="009E3C57">
        <w:rPr>
          <w:rFonts w:eastAsia="Arial"/>
          <w:iCs/>
        </w:rPr>
        <w:t xml:space="preserve"> išgyvenamumas be ligos progresavimo (IBLP arba PFS, </w:t>
      </w:r>
      <w:r w:rsidRPr="009E3C57">
        <w:rPr>
          <w:rFonts w:eastAsia="Arial"/>
          <w:i/>
        </w:rPr>
        <w:t>angl. progression free survival</w:t>
      </w:r>
      <w:r w:rsidRPr="009E3C57">
        <w:rPr>
          <w:rFonts w:eastAsia="Arial"/>
          <w:iCs/>
        </w:rPr>
        <w:t xml:space="preserve">), apibrėžiamas kaip laikas nuo atsitiktinių imčių sudarymo datos iki pirmojo radiologiniu tyrimu patvirtinto ligos progresavimo ar mirties dėl bet kokios priežasties, atsižvelgiant į tai, kas įvyksta anksčiau; visiškas ir dalinis atsakas; atsako trukmė; ligos valdymo dažnis; pacientų praneštos baigtys (vertinami naudojant EORTC QLQ-C30 klausimyną). </w:t>
      </w:r>
    </w:p>
    <w:p w14:paraId="1C2F9DD8" w14:textId="77777777" w:rsidR="00543E23" w:rsidRPr="009E3C57" w:rsidRDefault="00543E23" w:rsidP="00543E23">
      <w:pPr>
        <w:spacing w:line="276" w:lineRule="auto"/>
        <w:ind w:firstLine="720"/>
        <w:jc w:val="both"/>
      </w:pPr>
      <w:r w:rsidRPr="009E3C57">
        <w:t xml:space="preserve">Bendroje populiacijoje gydymas trifuridinu/tipiracilu kartu su bevacizumabu statistiškai reikšmingai sumažino IBLP įvykių tikimybę – ligos progresijos ar mirties dėl bet kokios priežasties riziką – 56 proc., palyginti su monoterapija (RS 0,44; 95 proc. PI: 0,36–0,53; p&lt;0,001). </w:t>
      </w:r>
    </w:p>
    <w:p w14:paraId="69C7158C" w14:textId="77777777" w:rsidR="00543E23" w:rsidRPr="009E3C57" w:rsidRDefault="00543E23" w:rsidP="00543E23">
      <w:pPr>
        <w:pStyle w:val="Tekstas"/>
        <w:spacing w:line="276" w:lineRule="auto"/>
        <w:ind w:firstLine="720"/>
        <w:rPr>
          <w:rFonts w:eastAsia="Arial"/>
          <w:iCs/>
        </w:rPr>
      </w:pPr>
      <w:r w:rsidRPr="009E3C57">
        <w:t xml:space="preserve">Vertinant iš anksto numatytus pogrupius, </w:t>
      </w:r>
      <w:r w:rsidRPr="009E3C57">
        <w:rPr>
          <w:iCs/>
        </w:rPr>
        <w:t xml:space="preserve">geresni IBLP rodikliai iš anksto numatytuose pogrupiuose išliko tolygiai geresni </w:t>
      </w:r>
      <w:r w:rsidRPr="009E3C57">
        <w:rPr>
          <w:rFonts w:eastAsia="Arial"/>
          <w:iCs/>
        </w:rPr>
        <w:t>trifuridino/tipiracilo ir bevacizumabo grupėje visuose iš anksto numatytuose pogrupiuose. IBLP pranašumas stebėtas pacientų, kuriems anksčiau nebuvo skirtas bevacizumabas, šiame pogrupyje – IBLP mediana siekė 7,7 mėn., palyginti su 2,6 mėn. monoterapijos grupėje (RS 0,29; 95 proc. PI: 0,19–0,43). Pacientams, kurių MSI buvo aukštas arba jie turėjo MMR defektą, IBLP mediana kombinuoto gydymo grupėje buvo 7,4 mėn., palyginti su 2,0 mėn. monoterapijos grupėje (RS 0,20; 95 proc. PI: 0,02–1,52), tačiau šio pogrupio imtis buvo nedidelė. Visi analizuoti pogrupiai rodė tendenciją geresniems IBLP rezultatams kombinuotojo gydymo grupėje, nepriklausomai nuo amžiaus, lyties, metastazių skaičiaus ar BRAF statuso.</w:t>
      </w:r>
    </w:p>
    <w:p w14:paraId="159290E6" w14:textId="1E23EA92" w:rsidR="00543E23" w:rsidRPr="009E3C57" w:rsidRDefault="00543E23" w:rsidP="00543E23">
      <w:pPr>
        <w:spacing w:line="276" w:lineRule="auto"/>
        <w:ind w:firstLine="720"/>
        <w:jc w:val="both"/>
        <w:rPr>
          <w:rFonts w:eastAsia="Arial"/>
        </w:rPr>
      </w:pPr>
      <w:r w:rsidRPr="009E3C57">
        <w:rPr>
          <w:rFonts w:eastAsia="Arial"/>
        </w:rPr>
        <w:t>Vertinant nepageidaujamus reiškinius, g</w:t>
      </w:r>
      <w:r w:rsidRPr="009E3C57">
        <w:t xml:space="preserve">ydymas </w:t>
      </w:r>
      <w:r w:rsidRPr="009E3C57">
        <w:rPr>
          <w:rFonts w:eastAsia="Arial"/>
          <w:bCs/>
        </w:rPr>
        <w:t>lyginant trifluridiną</w:t>
      </w:r>
      <w:r w:rsidR="0075528F" w:rsidRPr="009E3C57">
        <w:rPr>
          <w:rFonts w:eastAsia="Arial"/>
          <w:bCs/>
        </w:rPr>
        <w:t xml:space="preserve">/ </w:t>
      </w:r>
      <w:r w:rsidRPr="009E3C57">
        <w:rPr>
          <w:rFonts w:eastAsia="Arial"/>
          <w:bCs/>
        </w:rPr>
        <w:t>tipiracilą kartu su bevacizumabu ir trifluridino-tipiracilo monoterapijos grupes</w:t>
      </w:r>
      <w:r w:rsidRPr="009E3C57">
        <w:t>, neparodė statistiškai reikšming</w:t>
      </w:r>
      <w:r w:rsidR="0075528F" w:rsidRPr="009E3C57">
        <w:t>o</w:t>
      </w:r>
      <w:r w:rsidRPr="009E3C57">
        <w:t xml:space="preserve"> </w:t>
      </w:r>
      <w:r w:rsidRPr="009E3C57">
        <w:lastRenderedPageBreak/>
        <w:t>gyvenimo kokybės, skausmo ar nuovargio rodiklių</w:t>
      </w:r>
      <w:r w:rsidR="0075528F" w:rsidRPr="009E3C57">
        <w:t xml:space="preserve"> skirtumo</w:t>
      </w:r>
      <w:r w:rsidRPr="009E3C57">
        <w:t xml:space="preserve">, vertinant pacientų praneštas baigtis. </w:t>
      </w:r>
      <w:r w:rsidRPr="009E3C57">
        <w:rPr>
          <w:rFonts w:eastAsia="Arial"/>
        </w:rPr>
        <w:t>NP atitiko PCS saugumo duomenis, SUNLIGHT esant registraciniam tyrimui.</w:t>
      </w:r>
    </w:p>
    <w:p w14:paraId="32CD96C1" w14:textId="34916131" w:rsidR="00543E23" w:rsidRPr="009E3C57" w:rsidRDefault="0075528F" w:rsidP="00543E23">
      <w:pPr>
        <w:tabs>
          <w:tab w:val="left" w:pos="492"/>
        </w:tabs>
        <w:spacing w:line="276" w:lineRule="auto"/>
        <w:jc w:val="both"/>
        <w:outlineLvl w:val="1"/>
        <w:rPr>
          <w:rFonts w:eastAsia="Arial"/>
        </w:rPr>
      </w:pPr>
      <w:r w:rsidRPr="009E3C57">
        <w:rPr>
          <w:rFonts w:eastAsia="Arial"/>
        </w:rPr>
        <w:tab/>
      </w:r>
      <w:r w:rsidRPr="009E3C57">
        <w:rPr>
          <w:rFonts w:eastAsia="Arial"/>
        </w:rPr>
        <w:tab/>
      </w:r>
      <w:r w:rsidR="00543E23" w:rsidRPr="009E3C57">
        <w:rPr>
          <w:rFonts w:eastAsia="Arial"/>
        </w:rPr>
        <w:t xml:space="preserve">Apibendrinant, detalus klinikinis vertinimas, parodė, kad trifluridinas/tipiracilas, skiriamas </w:t>
      </w:r>
      <w:r w:rsidRPr="009E3C57">
        <w:rPr>
          <w:rFonts w:eastAsia="Arial"/>
        </w:rPr>
        <w:t>kartu</w:t>
      </w:r>
      <w:r w:rsidR="00543E23" w:rsidRPr="009E3C57">
        <w:rPr>
          <w:rFonts w:eastAsia="Arial"/>
        </w:rPr>
        <w:t xml:space="preserve"> su bevacizumabu, skirtas </w:t>
      </w:r>
      <w:r w:rsidR="00543E23" w:rsidRPr="009E3C57">
        <w:t xml:space="preserve">suaugusiems pacientams, sergantiems metastaziniu storosios (gaubtinės) ir tiesiosios žarnos vėžiu (angl. </w:t>
      </w:r>
      <w:r w:rsidR="00543E23" w:rsidRPr="009E3C57">
        <w:rPr>
          <w:i/>
          <w:iCs/>
        </w:rPr>
        <w:t>metastatic colorectal cancer</w:t>
      </w:r>
      <w:r w:rsidR="00543E23" w:rsidRPr="009E3C57">
        <w:t xml:space="preserve">, mCRC), </w:t>
      </w:r>
      <w:r w:rsidR="00543E23" w:rsidRPr="009E3C57">
        <w:rPr>
          <w:rFonts w:eastAsia="Arial"/>
        </w:rPr>
        <w:t xml:space="preserve">kuriems anksčiau buvo taikytos ne daugiau kaip dvi sisteminio progresavusios ligos gydymo schemos, įskaitant gydymą fluoropirimidinu, irinotekanu, oksaliplatina, monokloniniu antikūnu prieš KEAF ir (arba) monokloniniu antikūnu prieš EAFR pacientams, kuriems buvo diagnozuotas laukinio tipo RAS navikas, metu, pasižymėjo kliniškai geresniais rezultatais. </w:t>
      </w:r>
      <w:r w:rsidR="00543E23" w:rsidRPr="009E3C57">
        <w:t xml:space="preserve">BI buvo vidutiniškai 3,3 mėnesio ilgesnis trifluridino/tipiracilo ir bevacizumabo grupėje, palyginus trifluridino/tipiracilo monoterapijos grupe, šis skirtumas laikomas statistiškai reikšmingu. </w:t>
      </w:r>
      <w:r w:rsidR="00543E23" w:rsidRPr="009E3C57">
        <w:rPr>
          <w:rFonts w:eastAsia="Arial"/>
          <w:iCs/>
        </w:rPr>
        <w:t xml:space="preserve">Gydymas trifuridinu/tipiracilu kartu su bevacizumabu, mirties nuo bet kokios priežasties rizika sumažino 39 proc., palyginus su gydymu trifluridino/tipiracilo monoterapija. </w:t>
      </w:r>
      <w:r w:rsidR="00543E23" w:rsidRPr="009E3C57">
        <w:rPr>
          <w:iCs/>
        </w:rPr>
        <w:t>Bendroje populiacijoje gydymas trifuridinu/tipiracilu kartu su bevacizumabu statistiškai reikšmingai sumažino</w:t>
      </w:r>
      <w:r w:rsidR="00543E23" w:rsidRPr="009E3C57">
        <w:t xml:space="preserve"> IBPL įvykių tikimybę (ligos progresijos ir mirties dėl bet kokios priežasties tikimybę) </w:t>
      </w:r>
      <w:r w:rsidR="00543E23" w:rsidRPr="009E3C57">
        <w:rPr>
          <w:i/>
          <w:iCs/>
        </w:rPr>
        <w:t xml:space="preserve">56 proc., palyginti su monoterapija (RS 0,44; 95 proc. PI: 0,36–0,53; p&lt;0,001). </w:t>
      </w:r>
      <w:r w:rsidR="00543E23" w:rsidRPr="009E3C57">
        <w:t xml:space="preserve"> </w:t>
      </w:r>
    </w:p>
    <w:p w14:paraId="141D43BB" w14:textId="29DFEA08" w:rsidR="00543E23" w:rsidRPr="009E3C57" w:rsidRDefault="00543E23" w:rsidP="00543E23">
      <w:pPr>
        <w:spacing w:line="276" w:lineRule="auto"/>
        <w:ind w:firstLine="720"/>
        <w:jc w:val="both"/>
        <w:rPr>
          <w:iCs/>
        </w:rPr>
      </w:pPr>
      <w:r w:rsidRPr="009E3C57">
        <w:rPr>
          <w:rFonts w:eastAsia="Arial"/>
          <w:iCs/>
        </w:rPr>
        <w:t xml:space="preserve">Remiantis šiais duomenimis, trifluridino/tipiracilo </w:t>
      </w:r>
      <w:r w:rsidR="0075528F" w:rsidRPr="009E3C57">
        <w:rPr>
          <w:rFonts w:eastAsia="Arial"/>
          <w:iCs/>
        </w:rPr>
        <w:t>derinio</w:t>
      </w:r>
      <w:r w:rsidRPr="009E3C57">
        <w:rPr>
          <w:rFonts w:eastAsia="Arial"/>
          <w:iCs/>
        </w:rPr>
        <w:t xml:space="preserve"> su bevacizumabu palyginamasis efektyvumas yra įvertintas, kaip didesnis, o klinikinis veiksmingumas </w:t>
      </w:r>
      <w:r w:rsidRPr="009E3C57">
        <w:rPr>
          <w:iCs/>
        </w:rPr>
        <w:t>yra įvertintas kaip pagrindžiantis papildomos naudos pacientų sveikatai sukūrimą, lyginant su įprasta klinikine praktika.</w:t>
      </w:r>
    </w:p>
    <w:p w14:paraId="489A2E3C" w14:textId="41BC19B3" w:rsidR="004537D0" w:rsidRPr="009E3C57" w:rsidRDefault="004537D0" w:rsidP="00543E23">
      <w:pPr>
        <w:tabs>
          <w:tab w:val="left" w:pos="426"/>
        </w:tabs>
        <w:spacing w:line="276" w:lineRule="auto"/>
        <w:jc w:val="both"/>
        <w:rPr>
          <w:b/>
          <w:bCs/>
          <w:caps/>
        </w:rPr>
      </w:pPr>
    </w:p>
    <w:p w14:paraId="574D3486" w14:textId="77777777" w:rsidR="004537D0" w:rsidRPr="009E3C57" w:rsidRDefault="004537D0" w:rsidP="004537D0">
      <w:pPr>
        <w:tabs>
          <w:tab w:val="left" w:pos="567"/>
        </w:tabs>
        <w:rPr>
          <w:b/>
          <w:bCs/>
          <w:caps/>
        </w:rPr>
      </w:pPr>
    </w:p>
    <w:p w14:paraId="7DE09EB5" w14:textId="69E9DD74" w:rsidR="00E03C3F" w:rsidRPr="009E3C57" w:rsidRDefault="00CC7832" w:rsidP="00CC09D4">
      <w:pPr>
        <w:pStyle w:val="Sraopastraipa"/>
        <w:numPr>
          <w:ilvl w:val="0"/>
          <w:numId w:val="12"/>
        </w:numPr>
        <w:tabs>
          <w:tab w:val="left" w:pos="567"/>
        </w:tabs>
        <w:ind w:hanging="720"/>
        <w:rPr>
          <w:b/>
          <w:bCs/>
          <w:caps/>
        </w:rPr>
      </w:pPr>
      <w:r w:rsidRPr="009E3C57">
        <w:rPr>
          <w:b/>
          <w:bCs/>
          <w:caps/>
        </w:rPr>
        <w:t xml:space="preserve">ekonominio vertinimo </w:t>
      </w:r>
      <w:r w:rsidR="002F0E4F" w:rsidRPr="009E3C57">
        <w:rPr>
          <w:b/>
          <w:bCs/>
          <w:caps/>
        </w:rPr>
        <w:t>apibendrinimas</w:t>
      </w:r>
    </w:p>
    <w:p w14:paraId="1A900598" w14:textId="6375A1AD" w:rsidR="00C62B36" w:rsidRPr="009E3C57" w:rsidRDefault="00C62B36" w:rsidP="00A93AA6">
      <w:pPr>
        <w:tabs>
          <w:tab w:val="left" w:pos="426"/>
        </w:tabs>
        <w:rPr>
          <w:i/>
          <w:sz w:val="22"/>
          <w:szCs w:val="22"/>
        </w:rPr>
      </w:pPr>
    </w:p>
    <w:p w14:paraId="433737A5" w14:textId="3696AAB4" w:rsidR="00D77027" w:rsidRPr="009E3C57" w:rsidRDefault="00D77027" w:rsidP="00D77027">
      <w:pPr>
        <w:spacing w:line="276" w:lineRule="auto"/>
        <w:jc w:val="both"/>
        <w:rPr>
          <w:rFonts w:eastAsia="Arial"/>
          <w:bCs/>
          <w:szCs w:val="22"/>
        </w:rPr>
      </w:pPr>
      <w:r w:rsidRPr="009E3C57">
        <w:rPr>
          <w:iCs/>
          <w:lang w:eastAsia="lt-LT"/>
        </w:rPr>
        <w:t xml:space="preserve">Vertinimui pateikta kaštų naudingumo analizė, kurioje nagrinėjamas </w:t>
      </w:r>
      <w:r w:rsidR="0075528F" w:rsidRPr="009E3C57">
        <w:rPr>
          <w:iCs/>
          <w:lang w:eastAsia="lt-LT"/>
        </w:rPr>
        <w:t>t</w:t>
      </w:r>
      <w:r w:rsidRPr="009E3C57">
        <w:t>rifluridin</w:t>
      </w:r>
      <w:r w:rsidR="0075528F" w:rsidRPr="009E3C57">
        <w:t>o/</w:t>
      </w:r>
      <w:r w:rsidRPr="009E3C57">
        <w:t>tipiracil</w:t>
      </w:r>
      <w:r w:rsidR="0075528F" w:rsidRPr="009E3C57">
        <w:t>o</w:t>
      </w:r>
      <w:r w:rsidRPr="009E3C57">
        <w:t xml:space="preserve"> + bevacizumab kaštų naudingumas. Į ekonominę analizę įtraukti pacientai atitinka kompensacijai siūlomą indikaciją: </w:t>
      </w:r>
      <w:r w:rsidRPr="009E3C57">
        <w:rPr>
          <w:lang w:eastAsia="lt-LT"/>
        </w:rPr>
        <w:t xml:space="preserve">analizuojamą populiaciją sudaro pacientai, sergantys mCRC, gavę du sisteminius gydymus. Pacientų populiacija atitinka klinikinį tyrimą SUNLIGHT. </w:t>
      </w:r>
      <w:r w:rsidRPr="009E3C57">
        <w:rPr>
          <w:rFonts w:eastAsia="Arial"/>
          <w:bCs/>
          <w:szCs w:val="22"/>
        </w:rPr>
        <w:t>Ekonominėje analizėje pateiktas palyginamasis gydymas atitinka įprastą Lietuvos Respublikos klinikinę praktiką. Palyginamasis gydymas analizėje yra trifluridinas</w:t>
      </w:r>
      <w:r w:rsidR="0075528F" w:rsidRPr="009E3C57">
        <w:rPr>
          <w:rFonts w:eastAsia="Arial"/>
          <w:bCs/>
          <w:szCs w:val="22"/>
        </w:rPr>
        <w:t>/</w:t>
      </w:r>
      <w:r w:rsidRPr="009E3C57">
        <w:rPr>
          <w:rFonts w:eastAsia="Arial"/>
          <w:bCs/>
          <w:szCs w:val="22"/>
        </w:rPr>
        <w:t>tipiracil</w:t>
      </w:r>
      <w:r w:rsidR="0075528F" w:rsidRPr="009E3C57">
        <w:rPr>
          <w:rFonts w:eastAsia="Arial"/>
          <w:bCs/>
          <w:szCs w:val="22"/>
        </w:rPr>
        <w:t>a</w:t>
      </w:r>
      <w:r w:rsidRPr="009E3C57">
        <w:rPr>
          <w:rFonts w:eastAsia="Arial"/>
          <w:bCs/>
          <w:szCs w:val="22"/>
        </w:rPr>
        <w:t>s. Analizė atl</w:t>
      </w:r>
      <w:r w:rsidR="0075528F" w:rsidRPr="009E3C57">
        <w:rPr>
          <w:rFonts w:eastAsia="Arial"/>
          <w:bCs/>
          <w:szCs w:val="22"/>
        </w:rPr>
        <w:t>i</w:t>
      </w:r>
      <w:r w:rsidRPr="009E3C57">
        <w:rPr>
          <w:rFonts w:eastAsia="Arial"/>
          <w:bCs/>
          <w:szCs w:val="22"/>
        </w:rPr>
        <w:t xml:space="preserve">ekama iš PSDF biudžeto (mokėtojo) perspektyvos. Analizėje taikomas viso gyvenimo laikotarpio modeliavimas su padalintos kohortos išgyvenamumo modeliu bei 3 sveikatos būklėmis: sveikatos būklė iki ligos progreso, sveikatos būklė po ligos progreso ir absorbuojanti būklė - mirtis. Klinikiniai įrodymai ekonominėje analizėje atitinka klinikinėje vertinimo dalyje pateiktus įrodymus. Analizė yra grįsta tiesioginio palyginimo įrodymais iš SUNLIGHT klinikinio tyrimo. Duomenys iš SUNLIGHT klinikinio tyrimo yra ekstrapoliuojami, o ekstrapoliacijai pareiškėjas pasirinko parametrines funkcijas, tinkamiausias pagal AIC ir BIC įverčius (statistinius kriterijus). Tarnybai toks pasirinkimas yra priimtinas. Dėl šių priežasčių laikoma, jog pareiškėjo taikomos prielaidos, vertinant efektyvumo </w:t>
      </w:r>
      <w:r w:rsidR="0075528F" w:rsidRPr="009E3C57">
        <w:rPr>
          <w:rFonts w:eastAsia="Arial"/>
          <w:bCs/>
          <w:szCs w:val="22"/>
        </w:rPr>
        <w:t>s</w:t>
      </w:r>
      <w:r w:rsidRPr="009E3C57">
        <w:rPr>
          <w:rFonts w:eastAsia="Arial"/>
          <w:bCs/>
          <w:szCs w:val="22"/>
        </w:rPr>
        <w:t>kirtumus tarp siūlomo ir palyginamojo gydymo ilgajame laikotarpyje yra pagrįstos. Gyvenimo kokybės įverčiai modelyje yra naudojami taip pat iš SUNLIGHT klinikinio tyrimo. Nors nėra aišku, ar analizėje įvertintas ASPP poreikis bei sekančių eilių terapijų pasiskirstymas, Tarnybai Pareiškėjo taikomos prielaidos yra priimtinos – dėl vienodumo tarp analizuojamų pacientų grupių ir nedidelės įtakos analizės rezultatui. Atliekant analizės rezultato perskaičiavimą, Tarnyba taiko 100 pros. RDI visiems gydymams, nes nėra aišku, koks RDI būtų Lietuvos pacientų populiacijoje, taip pat, Tarnyba siekia kons</w:t>
      </w:r>
      <w:r w:rsidR="009E3C57" w:rsidRPr="009E3C57">
        <w:rPr>
          <w:rFonts w:eastAsia="Arial"/>
          <w:bCs/>
          <w:szCs w:val="22"/>
        </w:rPr>
        <w:t>e</w:t>
      </w:r>
      <w:r w:rsidRPr="009E3C57">
        <w:rPr>
          <w:rFonts w:eastAsia="Arial"/>
          <w:bCs/>
          <w:szCs w:val="22"/>
        </w:rPr>
        <w:t xml:space="preserve">rvatyvaus rezultato. Įvertinus ligos naštą sunkia, nustatytas didžiausias – 5BVP </w:t>
      </w:r>
      <w:r w:rsidRPr="009E3C57">
        <w:rPr>
          <w:rFonts w:eastAsia="Arial"/>
          <w:bCs/>
          <w:i/>
          <w:szCs w:val="22"/>
        </w:rPr>
        <w:t>per capita</w:t>
      </w:r>
      <w:r w:rsidRPr="009E3C57">
        <w:rPr>
          <w:rFonts w:eastAsia="Arial"/>
          <w:bCs/>
          <w:szCs w:val="22"/>
        </w:rPr>
        <w:t xml:space="preserve"> pasirengimo mokėti slenkstis (referencinė kaštų naudingumo vertė) ir siūlomas kompensuoti vaistinis preparatas yra laikomas kaštams naudingu.</w:t>
      </w:r>
    </w:p>
    <w:p w14:paraId="32C85FB6" w14:textId="77777777" w:rsidR="00D77027" w:rsidRPr="009E3C57" w:rsidRDefault="00D77027" w:rsidP="00A93AA6">
      <w:pPr>
        <w:tabs>
          <w:tab w:val="left" w:pos="426"/>
        </w:tabs>
        <w:rPr>
          <w:b/>
          <w:bCs/>
          <w:caps/>
        </w:rPr>
      </w:pPr>
    </w:p>
    <w:p w14:paraId="174D84D7" w14:textId="2A98EE7C" w:rsidR="0035172D" w:rsidRPr="009E3C57" w:rsidRDefault="0035172D" w:rsidP="00A93AA6">
      <w:pPr>
        <w:tabs>
          <w:tab w:val="left" w:pos="426"/>
        </w:tabs>
        <w:rPr>
          <w:b/>
          <w:lang w:eastAsia="lt-LT"/>
        </w:rPr>
      </w:pPr>
      <w:r w:rsidRPr="009E3C57">
        <w:rPr>
          <w:b/>
          <w:lang w:eastAsia="lt-LT"/>
        </w:rPr>
        <w:t>Ekonominės analizės rezultatas</w:t>
      </w: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2268"/>
        <w:gridCol w:w="2268"/>
        <w:gridCol w:w="2126"/>
      </w:tblGrid>
      <w:tr w:rsidR="009E3C57" w:rsidRPr="009E3C57" w14:paraId="174B25DE" w14:textId="77777777" w:rsidTr="00CF542C">
        <w:trPr>
          <w:trHeight w:val="364"/>
          <w:jc w:val="center"/>
        </w:trPr>
        <w:tc>
          <w:tcPr>
            <w:tcW w:w="9908" w:type="dxa"/>
            <w:gridSpan w:val="4"/>
            <w:tcBorders>
              <w:top w:val="single" w:sz="12" w:space="0" w:color="auto"/>
              <w:bottom w:val="single" w:sz="4" w:space="0" w:color="auto"/>
            </w:tcBorders>
            <w:vAlign w:val="center"/>
          </w:tcPr>
          <w:p w14:paraId="66C4645D" w14:textId="77777777" w:rsidR="00D77027" w:rsidRPr="009E3C57" w:rsidRDefault="00D77027" w:rsidP="00CF542C">
            <w:pPr>
              <w:tabs>
                <w:tab w:val="left" w:pos="567"/>
              </w:tabs>
              <w:spacing w:line="276" w:lineRule="auto"/>
              <w:jc w:val="both"/>
              <w:rPr>
                <w:b/>
                <w:i/>
                <w:iCs/>
                <w:sz w:val="22"/>
                <w:szCs w:val="22"/>
                <w:lang w:eastAsia="lt-LT"/>
              </w:rPr>
            </w:pPr>
            <w:r w:rsidRPr="009E3C57">
              <w:rPr>
                <w:b/>
                <w:lang w:eastAsia="lt-LT"/>
              </w:rPr>
              <w:t>Kaštai</w:t>
            </w:r>
          </w:p>
        </w:tc>
      </w:tr>
      <w:tr w:rsidR="009E3C57" w:rsidRPr="009E3C57" w14:paraId="7658A1D6" w14:textId="77777777" w:rsidTr="00CF542C">
        <w:trPr>
          <w:jc w:val="center"/>
        </w:trPr>
        <w:tc>
          <w:tcPr>
            <w:tcW w:w="3246" w:type="dxa"/>
            <w:tcBorders>
              <w:top w:val="single" w:sz="4" w:space="0" w:color="auto"/>
              <w:bottom w:val="single" w:sz="4" w:space="0" w:color="auto"/>
            </w:tcBorders>
          </w:tcPr>
          <w:p w14:paraId="38F88692" w14:textId="77777777" w:rsidR="00D77027" w:rsidRPr="009E3C57" w:rsidRDefault="00D77027" w:rsidP="00CF542C">
            <w:pPr>
              <w:tabs>
                <w:tab w:val="left" w:pos="567"/>
              </w:tabs>
              <w:spacing w:line="276" w:lineRule="auto"/>
              <w:jc w:val="both"/>
              <w:rPr>
                <w:lang w:eastAsia="lt-LT"/>
              </w:rPr>
            </w:pPr>
          </w:p>
        </w:tc>
        <w:tc>
          <w:tcPr>
            <w:tcW w:w="2268" w:type="dxa"/>
            <w:tcBorders>
              <w:top w:val="single" w:sz="4" w:space="0" w:color="auto"/>
              <w:bottom w:val="single" w:sz="4" w:space="0" w:color="auto"/>
            </w:tcBorders>
          </w:tcPr>
          <w:p w14:paraId="314F6F79" w14:textId="77777777" w:rsidR="00D77027" w:rsidRPr="009E3C57" w:rsidRDefault="00D77027" w:rsidP="00CF542C">
            <w:pPr>
              <w:tabs>
                <w:tab w:val="left" w:pos="567"/>
              </w:tabs>
              <w:spacing w:line="276" w:lineRule="auto"/>
              <w:jc w:val="both"/>
              <w:rPr>
                <w:i/>
                <w:iCs/>
                <w:lang w:eastAsia="lt-LT"/>
              </w:rPr>
            </w:pPr>
            <w:r w:rsidRPr="009E3C57">
              <w:t>Trifluridine-tipiracil + bevacizumab</w:t>
            </w:r>
          </w:p>
        </w:tc>
        <w:tc>
          <w:tcPr>
            <w:tcW w:w="2268" w:type="dxa"/>
            <w:tcBorders>
              <w:top w:val="single" w:sz="4" w:space="0" w:color="auto"/>
              <w:bottom w:val="single" w:sz="4" w:space="0" w:color="auto"/>
            </w:tcBorders>
          </w:tcPr>
          <w:p w14:paraId="4F744607" w14:textId="77777777" w:rsidR="00D77027" w:rsidRPr="009E3C57" w:rsidRDefault="00D77027" w:rsidP="00CF542C">
            <w:pPr>
              <w:tabs>
                <w:tab w:val="left" w:pos="567"/>
              </w:tabs>
              <w:spacing w:line="276" w:lineRule="auto"/>
              <w:jc w:val="both"/>
              <w:rPr>
                <w:i/>
                <w:iCs/>
                <w:lang w:eastAsia="lt-LT"/>
              </w:rPr>
            </w:pPr>
            <w:r w:rsidRPr="009E3C57">
              <w:t>Trifluridine-tipiracil</w:t>
            </w:r>
          </w:p>
        </w:tc>
        <w:tc>
          <w:tcPr>
            <w:tcW w:w="2126" w:type="dxa"/>
            <w:tcBorders>
              <w:top w:val="single" w:sz="4" w:space="0" w:color="auto"/>
              <w:bottom w:val="single" w:sz="4" w:space="0" w:color="auto"/>
            </w:tcBorders>
          </w:tcPr>
          <w:p w14:paraId="3AAF68EA" w14:textId="77777777" w:rsidR="00D77027" w:rsidRPr="009E3C57" w:rsidRDefault="00D77027" w:rsidP="00CF542C">
            <w:pPr>
              <w:tabs>
                <w:tab w:val="left" w:pos="567"/>
              </w:tabs>
              <w:spacing w:line="276" w:lineRule="auto"/>
              <w:jc w:val="both"/>
              <w:rPr>
                <w:i/>
                <w:lang w:eastAsia="lt-LT"/>
              </w:rPr>
            </w:pPr>
            <w:r w:rsidRPr="009E3C57">
              <w:rPr>
                <w:i/>
                <w:lang w:eastAsia="lt-LT"/>
              </w:rPr>
              <w:t>Skirtumas</w:t>
            </w:r>
          </w:p>
        </w:tc>
      </w:tr>
      <w:tr w:rsidR="00C65582" w:rsidRPr="009E3C57" w14:paraId="09EDE058" w14:textId="77777777" w:rsidTr="00CF542C">
        <w:trPr>
          <w:jc w:val="center"/>
        </w:trPr>
        <w:tc>
          <w:tcPr>
            <w:tcW w:w="3246" w:type="dxa"/>
            <w:tcBorders>
              <w:top w:val="single" w:sz="4" w:space="0" w:color="auto"/>
              <w:bottom w:val="single" w:sz="4" w:space="0" w:color="auto"/>
            </w:tcBorders>
          </w:tcPr>
          <w:p w14:paraId="41457DDC" w14:textId="77777777" w:rsidR="00C65582" w:rsidRPr="009E3C57" w:rsidRDefault="00C65582" w:rsidP="00C65582">
            <w:pPr>
              <w:tabs>
                <w:tab w:val="left" w:pos="567"/>
              </w:tabs>
              <w:spacing w:line="276" w:lineRule="auto"/>
              <w:jc w:val="both"/>
              <w:rPr>
                <w:iCs/>
                <w:lang w:eastAsia="lt-LT"/>
              </w:rPr>
            </w:pPr>
            <w:r w:rsidRPr="009E3C57">
              <w:rPr>
                <w:iCs/>
                <w:lang w:eastAsia="lt-LT"/>
              </w:rPr>
              <w:t>Gydymo kaštai</w:t>
            </w:r>
          </w:p>
        </w:tc>
        <w:tc>
          <w:tcPr>
            <w:tcW w:w="2268" w:type="dxa"/>
            <w:tcBorders>
              <w:top w:val="single" w:sz="4" w:space="0" w:color="auto"/>
              <w:bottom w:val="single" w:sz="4" w:space="0" w:color="auto"/>
            </w:tcBorders>
          </w:tcPr>
          <w:p w14:paraId="21FA4926" w14:textId="4BD206EF" w:rsidR="00C65582" w:rsidRPr="009E3C57" w:rsidRDefault="00C65582" w:rsidP="00C65582">
            <w:pPr>
              <w:tabs>
                <w:tab w:val="left" w:pos="567"/>
              </w:tabs>
              <w:spacing w:line="276" w:lineRule="auto"/>
              <w:jc w:val="both"/>
              <w:rPr>
                <w:i/>
                <w:iCs/>
                <w:lang w:eastAsia="lt-LT"/>
              </w:rPr>
            </w:pPr>
            <w:r>
              <w:rPr>
                <w:i/>
                <w:iCs/>
                <w:lang w:eastAsia="lt-LT"/>
              </w:rPr>
              <w:t>****</w:t>
            </w:r>
          </w:p>
        </w:tc>
        <w:tc>
          <w:tcPr>
            <w:tcW w:w="2268" w:type="dxa"/>
            <w:tcBorders>
              <w:top w:val="single" w:sz="4" w:space="0" w:color="auto"/>
              <w:bottom w:val="single" w:sz="4" w:space="0" w:color="auto"/>
            </w:tcBorders>
          </w:tcPr>
          <w:p w14:paraId="19D503AF" w14:textId="5CC7F31C" w:rsidR="00C65582" w:rsidRPr="009E3C57" w:rsidRDefault="00C65582" w:rsidP="00C65582">
            <w:pPr>
              <w:tabs>
                <w:tab w:val="left" w:pos="567"/>
              </w:tabs>
              <w:spacing w:line="276" w:lineRule="auto"/>
              <w:jc w:val="both"/>
              <w:rPr>
                <w:i/>
                <w:iCs/>
                <w:lang w:eastAsia="lt-LT"/>
              </w:rPr>
            </w:pPr>
            <w:r w:rsidRPr="00BC6173">
              <w:rPr>
                <w:i/>
                <w:iCs/>
                <w:lang w:eastAsia="lt-LT"/>
              </w:rPr>
              <w:t>****</w:t>
            </w:r>
          </w:p>
        </w:tc>
        <w:tc>
          <w:tcPr>
            <w:tcW w:w="2126" w:type="dxa"/>
            <w:tcBorders>
              <w:top w:val="single" w:sz="4" w:space="0" w:color="auto"/>
              <w:bottom w:val="single" w:sz="4" w:space="0" w:color="auto"/>
            </w:tcBorders>
          </w:tcPr>
          <w:p w14:paraId="1BFB11FD" w14:textId="267355D6" w:rsidR="00C65582" w:rsidRPr="009E3C57" w:rsidRDefault="00C65582" w:rsidP="00C65582">
            <w:pPr>
              <w:tabs>
                <w:tab w:val="left" w:pos="567"/>
              </w:tabs>
              <w:spacing w:line="276" w:lineRule="auto"/>
              <w:jc w:val="both"/>
              <w:rPr>
                <w:lang w:eastAsia="lt-LT"/>
              </w:rPr>
            </w:pPr>
            <w:r w:rsidRPr="00BC6173">
              <w:rPr>
                <w:i/>
                <w:iCs/>
                <w:lang w:eastAsia="lt-LT"/>
              </w:rPr>
              <w:t>****</w:t>
            </w:r>
          </w:p>
        </w:tc>
      </w:tr>
      <w:tr w:rsidR="00C65582" w:rsidRPr="009E3C57" w14:paraId="3E759A3F" w14:textId="77777777" w:rsidTr="00CF542C">
        <w:trPr>
          <w:jc w:val="center"/>
        </w:trPr>
        <w:tc>
          <w:tcPr>
            <w:tcW w:w="3246" w:type="dxa"/>
            <w:tcBorders>
              <w:top w:val="single" w:sz="4" w:space="0" w:color="auto"/>
              <w:bottom w:val="single" w:sz="4" w:space="0" w:color="auto"/>
            </w:tcBorders>
          </w:tcPr>
          <w:p w14:paraId="05C443C0" w14:textId="77777777" w:rsidR="00C65582" w:rsidRPr="009E3C57" w:rsidRDefault="00C65582" w:rsidP="00C65582">
            <w:pPr>
              <w:tabs>
                <w:tab w:val="left" w:pos="567"/>
              </w:tabs>
              <w:spacing w:line="276" w:lineRule="auto"/>
              <w:jc w:val="both"/>
              <w:rPr>
                <w:iCs/>
                <w:lang w:eastAsia="lt-LT"/>
              </w:rPr>
            </w:pPr>
            <w:r w:rsidRPr="009E3C57">
              <w:rPr>
                <w:iCs/>
                <w:lang w:eastAsia="lt-LT"/>
              </w:rPr>
              <w:t>Vaistinių preparatų įsigijimo kaštai</w:t>
            </w:r>
          </w:p>
        </w:tc>
        <w:tc>
          <w:tcPr>
            <w:tcW w:w="2268" w:type="dxa"/>
            <w:tcBorders>
              <w:top w:val="single" w:sz="4" w:space="0" w:color="auto"/>
              <w:bottom w:val="single" w:sz="4" w:space="0" w:color="auto"/>
            </w:tcBorders>
          </w:tcPr>
          <w:p w14:paraId="5567BD91" w14:textId="082CD4B2" w:rsidR="00C65582" w:rsidRPr="009E3C57" w:rsidRDefault="00C65582" w:rsidP="00C65582">
            <w:pPr>
              <w:tabs>
                <w:tab w:val="left" w:pos="567"/>
              </w:tabs>
              <w:spacing w:line="276" w:lineRule="auto"/>
              <w:jc w:val="both"/>
              <w:rPr>
                <w:i/>
                <w:iCs/>
                <w:lang w:eastAsia="lt-LT"/>
              </w:rPr>
            </w:pPr>
            <w:r>
              <w:rPr>
                <w:i/>
                <w:iCs/>
                <w:lang w:eastAsia="lt-LT"/>
              </w:rPr>
              <w:t>****</w:t>
            </w:r>
          </w:p>
        </w:tc>
        <w:tc>
          <w:tcPr>
            <w:tcW w:w="2268" w:type="dxa"/>
            <w:tcBorders>
              <w:top w:val="single" w:sz="4" w:space="0" w:color="auto"/>
              <w:bottom w:val="single" w:sz="4" w:space="0" w:color="auto"/>
            </w:tcBorders>
          </w:tcPr>
          <w:p w14:paraId="07E052F3" w14:textId="7DC654BB" w:rsidR="00C65582" w:rsidRPr="009E3C57" w:rsidRDefault="00C65582" w:rsidP="00C65582">
            <w:pPr>
              <w:tabs>
                <w:tab w:val="left" w:pos="567"/>
              </w:tabs>
              <w:spacing w:line="276" w:lineRule="auto"/>
              <w:jc w:val="both"/>
              <w:rPr>
                <w:i/>
                <w:iCs/>
                <w:lang w:eastAsia="lt-LT"/>
              </w:rPr>
            </w:pPr>
            <w:r w:rsidRPr="00BC6173">
              <w:rPr>
                <w:i/>
                <w:iCs/>
                <w:lang w:eastAsia="lt-LT"/>
              </w:rPr>
              <w:t>****</w:t>
            </w:r>
          </w:p>
        </w:tc>
        <w:tc>
          <w:tcPr>
            <w:tcW w:w="2126" w:type="dxa"/>
            <w:tcBorders>
              <w:top w:val="single" w:sz="4" w:space="0" w:color="auto"/>
              <w:bottom w:val="single" w:sz="4" w:space="0" w:color="auto"/>
            </w:tcBorders>
          </w:tcPr>
          <w:p w14:paraId="43DADDA3" w14:textId="31B0AE76" w:rsidR="00C65582" w:rsidRPr="009E3C57" w:rsidRDefault="00C65582" w:rsidP="00C65582">
            <w:pPr>
              <w:tabs>
                <w:tab w:val="left" w:pos="567"/>
              </w:tabs>
              <w:spacing w:line="276" w:lineRule="auto"/>
              <w:jc w:val="both"/>
              <w:rPr>
                <w:lang w:eastAsia="lt-LT"/>
              </w:rPr>
            </w:pPr>
            <w:r w:rsidRPr="00BC6173">
              <w:rPr>
                <w:i/>
                <w:iCs/>
                <w:lang w:eastAsia="lt-LT"/>
              </w:rPr>
              <w:t>****</w:t>
            </w:r>
          </w:p>
        </w:tc>
      </w:tr>
      <w:tr w:rsidR="00C65582" w:rsidRPr="009E3C57" w14:paraId="73D430BD" w14:textId="77777777" w:rsidTr="00CF542C">
        <w:trPr>
          <w:jc w:val="center"/>
        </w:trPr>
        <w:tc>
          <w:tcPr>
            <w:tcW w:w="3246" w:type="dxa"/>
            <w:tcBorders>
              <w:top w:val="single" w:sz="4" w:space="0" w:color="auto"/>
              <w:bottom w:val="single" w:sz="4" w:space="0" w:color="auto"/>
            </w:tcBorders>
          </w:tcPr>
          <w:p w14:paraId="40AB292B" w14:textId="77777777" w:rsidR="00C65582" w:rsidRPr="009E3C57" w:rsidRDefault="00C65582" w:rsidP="00C65582">
            <w:pPr>
              <w:tabs>
                <w:tab w:val="left" w:pos="567"/>
              </w:tabs>
              <w:spacing w:line="276" w:lineRule="auto"/>
              <w:jc w:val="both"/>
              <w:rPr>
                <w:iCs/>
                <w:lang w:eastAsia="lt-LT"/>
              </w:rPr>
            </w:pPr>
            <w:r w:rsidRPr="009E3C57">
              <w:rPr>
                <w:iCs/>
                <w:lang w:eastAsia="lt-LT"/>
              </w:rPr>
              <w:t>Nepageidaujamų reiškinių valdymo kaštai</w:t>
            </w:r>
          </w:p>
        </w:tc>
        <w:tc>
          <w:tcPr>
            <w:tcW w:w="2268" w:type="dxa"/>
            <w:tcBorders>
              <w:top w:val="single" w:sz="4" w:space="0" w:color="auto"/>
              <w:bottom w:val="single" w:sz="4" w:space="0" w:color="auto"/>
            </w:tcBorders>
          </w:tcPr>
          <w:p w14:paraId="01573F00" w14:textId="7E48826A" w:rsidR="00C65582" w:rsidRPr="009E3C57" w:rsidRDefault="00C65582" w:rsidP="00C65582">
            <w:pPr>
              <w:tabs>
                <w:tab w:val="left" w:pos="567"/>
              </w:tabs>
              <w:spacing w:line="276" w:lineRule="auto"/>
              <w:jc w:val="both"/>
              <w:rPr>
                <w:i/>
                <w:iCs/>
                <w:lang w:eastAsia="lt-LT"/>
              </w:rPr>
            </w:pPr>
            <w:r>
              <w:rPr>
                <w:i/>
                <w:iCs/>
                <w:lang w:eastAsia="lt-LT"/>
              </w:rPr>
              <w:t>****</w:t>
            </w:r>
          </w:p>
        </w:tc>
        <w:tc>
          <w:tcPr>
            <w:tcW w:w="2268" w:type="dxa"/>
            <w:tcBorders>
              <w:top w:val="single" w:sz="4" w:space="0" w:color="auto"/>
              <w:bottom w:val="single" w:sz="4" w:space="0" w:color="auto"/>
            </w:tcBorders>
          </w:tcPr>
          <w:p w14:paraId="0B189774" w14:textId="3CAD88CA" w:rsidR="00C65582" w:rsidRPr="009E3C57" w:rsidRDefault="00C65582" w:rsidP="00C65582">
            <w:pPr>
              <w:tabs>
                <w:tab w:val="left" w:pos="567"/>
              </w:tabs>
              <w:spacing w:line="276" w:lineRule="auto"/>
              <w:jc w:val="both"/>
              <w:rPr>
                <w:i/>
                <w:iCs/>
                <w:lang w:eastAsia="lt-LT"/>
              </w:rPr>
            </w:pPr>
            <w:r w:rsidRPr="00BC6173">
              <w:rPr>
                <w:i/>
                <w:iCs/>
                <w:lang w:eastAsia="lt-LT"/>
              </w:rPr>
              <w:t>****</w:t>
            </w:r>
          </w:p>
        </w:tc>
        <w:tc>
          <w:tcPr>
            <w:tcW w:w="2126" w:type="dxa"/>
            <w:tcBorders>
              <w:top w:val="single" w:sz="4" w:space="0" w:color="auto"/>
              <w:bottom w:val="single" w:sz="4" w:space="0" w:color="auto"/>
            </w:tcBorders>
          </w:tcPr>
          <w:p w14:paraId="4976F650" w14:textId="6221B5CA" w:rsidR="00C65582" w:rsidRPr="009E3C57" w:rsidRDefault="00C65582" w:rsidP="00C65582">
            <w:pPr>
              <w:tabs>
                <w:tab w:val="left" w:pos="567"/>
              </w:tabs>
              <w:spacing w:line="276" w:lineRule="auto"/>
              <w:jc w:val="both"/>
              <w:rPr>
                <w:i/>
                <w:iCs/>
                <w:lang w:eastAsia="lt-LT"/>
              </w:rPr>
            </w:pPr>
            <w:r w:rsidRPr="00BC6173">
              <w:rPr>
                <w:i/>
                <w:iCs/>
                <w:lang w:eastAsia="lt-LT"/>
              </w:rPr>
              <w:t>****</w:t>
            </w:r>
          </w:p>
        </w:tc>
      </w:tr>
      <w:tr w:rsidR="00C65582" w:rsidRPr="009E3C57" w14:paraId="5630A5DE" w14:textId="77777777" w:rsidTr="00CF542C">
        <w:trPr>
          <w:jc w:val="center"/>
        </w:trPr>
        <w:tc>
          <w:tcPr>
            <w:tcW w:w="3246" w:type="dxa"/>
            <w:tcBorders>
              <w:top w:val="single" w:sz="4" w:space="0" w:color="auto"/>
              <w:bottom w:val="single" w:sz="4" w:space="0" w:color="auto"/>
            </w:tcBorders>
          </w:tcPr>
          <w:p w14:paraId="2E5ECABB" w14:textId="77777777" w:rsidR="00C65582" w:rsidRPr="009E3C57" w:rsidRDefault="00C65582" w:rsidP="00C65582">
            <w:pPr>
              <w:tabs>
                <w:tab w:val="left" w:pos="567"/>
              </w:tabs>
              <w:spacing w:line="276" w:lineRule="auto"/>
              <w:jc w:val="both"/>
              <w:rPr>
                <w:iCs/>
                <w:lang w:eastAsia="lt-LT"/>
              </w:rPr>
            </w:pPr>
            <w:r w:rsidRPr="009E3C57">
              <w:rPr>
                <w:iCs/>
                <w:lang w:eastAsia="lt-LT"/>
              </w:rPr>
              <w:t>Vaistų administravimo ir stebėsenos kaštai</w:t>
            </w:r>
          </w:p>
        </w:tc>
        <w:tc>
          <w:tcPr>
            <w:tcW w:w="2268" w:type="dxa"/>
            <w:tcBorders>
              <w:top w:val="single" w:sz="4" w:space="0" w:color="auto"/>
              <w:bottom w:val="single" w:sz="4" w:space="0" w:color="auto"/>
            </w:tcBorders>
          </w:tcPr>
          <w:p w14:paraId="05943C62" w14:textId="6911FB58" w:rsidR="00C65582" w:rsidRPr="009E3C57" w:rsidRDefault="00C65582" w:rsidP="00C65582">
            <w:pPr>
              <w:tabs>
                <w:tab w:val="left" w:pos="567"/>
              </w:tabs>
              <w:spacing w:line="276" w:lineRule="auto"/>
              <w:jc w:val="both"/>
              <w:rPr>
                <w:i/>
                <w:iCs/>
                <w:lang w:eastAsia="lt-LT"/>
              </w:rPr>
            </w:pPr>
            <w:r>
              <w:rPr>
                <w:i/>
                <w:iCs/>
                <w:lang w:eastAsia="lt-LT"/>
              </w:rPr>
              <w:t>****</w:t>
            </w:r>
          </w:p>
        </w:tc>
        <w:tc>
          <w:tcPr>
            <w:tcW w:w="2268" w:type="dxa"/>
            <w:tcBorders>
              <w:top w:val="single" w:sz="4" w:space="0" w:color="auto"/>
              <w:bottom w:val="single" w:sz="4" w:space="0" w:color="auto"/>
            </w:tcBorders>
          </w:tcPr>
          <w:p w14:paraId="22DD23EA" w14:textId="686574CA" w:rsidR="00C65582" w:rsidRPr="009E3C57" w:rsidRDefault="00C65582" w:rsidP="00C65582">
            <w:pPr>
              <w:tabs>
                <w:tab w:val="left" w:pos="567"/>
              </w:tabs>
              <w:spacing w:line="276" w:lineRule="auto"/>
              <w:jc w:val="both"/>
              <w:rPr>
                <w:i/>
                <w:iCs/>
                <w:lang w:eastAsia="lt-LT"/>
              </w:rPr>
            </w:pPr>
            <w:r w:rsidRPr="00BC6173">
              <w:rPr>
                <w:i/>
                <w:iCs/>
                <w:lang w:eastAsia="lt-LT"/>
              </w:rPr>
              <w:t>****</w:t>
            </w:r>
          </w:p>
        </w:tc>
        <w:tc>
          <w:tcPr>
            <w:tcW w:w="2126" w:type="dxa"/>
            <w:tcBorders>
              <w:top w:val="single" w:sz="4" w:space="0" w:color="auto"/>
              <w:bottom w:val="single" w:sz="4" w:space="0" w:color="auto"/>
            </w:tcBorders>
          </w:tcPr>
          <w:p w14:paraId="18B79736" w14:textId="4247E6D1" w:rsidR="00C65582" w:rsidRPr="009E3C57" w:rsidRDefault="00C65582" w:rsidP="00C65582">
            <w:pPr>
              <w:tabs>
                <w:tab w:val="left" w:pos="567"/>
              </w:tabs>
              <w:spacing w:line="276" w:lineRule="auto"/>
              <w:jc w:val="both"/>
              <w:rPr>
                <w:i/>
                <w:iCs/>
                <w:lang w:eastAsia="lt-LT"/>
              </w:rPr>
            </w:pPr>
            <w:r w:rsidRPr="00BC6173">
              <w:rPr>
                <w:i/>
                <w:iCs/>
                <w:lang w:eastAsia="lt-LT"/>
              </w:rPr>
              <w:t>****</w:t>
            </w:r>
          </w:p>
        </w:tc>
      </w:tr>
      <w:tr w:rsidR="00C65582" w:rsidRPr="009E3C57" w14:paraId="057C9083" w14:textId="77777777" w:rsidTr="00CF542C">
        <w:trPr>
          <w:jc w:val="center"/>
        </w:trPr>
        <w:tc>
          <w:tcPr>
            <w:tcW w:w="3246" w:type="dxa"/>
            <w:tcBorders>
              <w:top w:val="single" w:sz="4" w:space="0" w:color="auto"/>
              <w:bottom w:val="single" w:sz="4" w:space="0" w:color="auto"/>
            </w:tcBorders>
          </w:tcPr>
          <w:p w14:paraId="235818C8" w14:textId="77777777" w:rsidR="00C65582" w:rsidRPr="009E3C57" w:rsidRDefault="00C65582" w:rsidP="00C65582">
            <w:pPr>
              <w:tabs>
                <w:tab w:val="left" w:pos="567"/>
              </w:tabs>
              <w:spacing w:line="276" w:lineRule="auto"/>
              <w:jc w:val="both"/>
              <w:rPr>
                <w:iCs/>
                <w:lang w:eastAsia="lt-LT"/>
              </w:rPr>
            </w:pPr>
            <w:r w:rsidRPr="009E3C57">
              <w:rPr>
                <w:iCs/>
                <w:lang w:eastAsia="lt-LT"/>
              </w:rPr>
              <w:t>Sekančių eilių gydymas</w:t>
            </w:r>
          </w:p>
        </w:tc>
        <w:tc>
          <w:tcPr>
            <w:tcW w:w="2268" w:type="dxa"/>
            <w:tcBorders>
              <w:top w:val="single" w:sz="4" w:space="0" w:color="auto"/>
              <w:bottom w:val="single" w:sz="4" w:space="0" w:color="auto"/>
            </w:tcBorders>
          </w:tcPr>
          <w:p w14:paraId="05BB700D" w14:textId="7ED43A2F" w:rsidR="00C65582" w:rsidRPr="009E3C57" w:rsidRDefault="00C65582" w:rsidP="00C65582">
            <w:pPr>
              <w:tabs>
                <w:tab w:val="left" w:pos="567"/>
              </w:tabs>
              <w:spacing w:line="276" w:lineRule="auto"/>
              <w:jc w:val="both"/>
              <w:rPr>
                <w:i/>
                <w:iCs/>
                <w:lang w:eastAsia="lt-LT"/>
              </w:rPr>
            </w:pPr>
            <w:r>
              <w:rPr>
                <w:i/>
                <w:iCs/>
                <w:lang w:eastAsia="lt-LT"/>
              </w:rPr>
              <w:t>****</w:t>
            </w:r>
          </w:p>
        </w:tc>
        <w:tc>
          <w:tcPr>
            <w:tcW w:w="2268" w:type="dxa"/>
            <w:tcBorders>
              <w:top w:val="single" w:sz="4" w:space="0" w:color="auto"/>
              <w:bottom w:val="single" w:sz="4" w:space="0" w:color="auto"/>
            </w:tcBorders>
          </w:tcPr>
          <w:p w14:paraId="02C64977" w14:textId="173E4732" w:rsidR="00C65582" w:rsidRPr="009E3C57" w:rsidRDefault="00C65582" w:rsidP="00C65582">
            <w:pPr>
              <w:tabs>
                <w:tab w:val="left" w:pos="567"/>
              </w:tabs>
              <w:spacing w:line="276" w:lineRule="auto"/>
              <w:jc w:val="both"/>
              <w:rPr>
                <w:i/>
                <w:iCs/>
                <w:lang w:eastAsia="lt-LT"/>
              </w:rPr>
            </w:pPr>
            <w:r w:rsidRPr="00BC6173">
              <w:rPr>
                <w:i/>
                <w:iCs/>
                <w:lang w:eastAsia="lt-LT"/>
              </w:rPr>
              <w:t>****</w:t>
            </w:r>
          </w:p>
        </w:tc>
        <w:tc>
          <w:tcPr>
            <w:tcW w:w="2126" w:type="dxa"/>
            <w:tcBorders>
              <w:top w:val="single" w:sz="4" w:space="0" w:color="auto"/>
              <w:bottom w:val="single" w:sz="4" w:space="0" w:color="auto"/>
            </w:tcBorders>
          </w:tcPr>
          <w:p w14:paraId="0BFD0A30" w14:textId="5B6EB0FF" w:rsidR="00C65582" w:rsidRPr="009E3C57" w:rsidRDefault="00C65582" w:rsidP="00C65582">
            <w:pPr>
              <w:tabs>
                <w:tab w:val="left" w:pos="567"/>
              </w:tabs>
              <w:spacing w:line="276" w:lineRule="auto"/>
              <w:jc w:val="both"/>
              <w:rPr>
                <w:i/>
                <w:iCs/>
                <w:lang w:eastAsia="lt-LT"/>
              </w:rPr>
            </w:pPr>
            <w:r w:rsidRPr="00BC6173">
              <w:rPr>
                <w:i/>
                <w:iCs/>
                <w:lang w:eastAsia="lt-LT"/>
              </w:rPr>
              <w:t>****</w:t>
            </w:r>
          </w:p>
        </w:tc>
      </w:tr>
      <w:tr w:rsidR="00C65582" w:rsidRPr="009E3C57" w14:paraId="54C2E000" w14:textId="77777777" w:rsidTr="00CF542C">
        <w:trPr>
          <w:jc w:val="center"/>
        </w:trPr>
        <w:tc>
          <w:tcPr>
            <w:tcW w:w="3246" w:type="dxa"/>
            <w:tcBorders>
              <w:top w:val="single" w:sz="4" w:space="0" w:color="auto"/>
              <w:bottom w:val="single" w:sz="12" w:space="0" w:color="auto"/>
            </w:tcBorders>
          </w:tcPr>
          <w:p w14:paraId="16C0971F" w14:textId="77777777" w:rsidR="00C65582" w:rsidRPr="009E3C57" w:rsidRDefault="00C65582" w:rsidP="00C65582">
            <w:pPr>
              <w:tabs>
                <w:tab w:val="left" w:pos="567"/>
              </w:tabs>
              <w:spacing w:line="276" w:lineRule="auto"/>
              <w:jc w:val="both"/>
              <w:rPr>
                <w:iCs/>
                <w:lang w:eastAsia="lt-LT"/>
              </w:rPr>
            </w:pPr>
            <w:r w:rsidRPr="009E3C57">
              <w:rPr>
                <w:iCs/>
                <w:lang w:eastAsia="lt-LT"/>
              </w:rPr>
              <w:t>Kita</w:t>
            </w:r>
          </w:p>
        </w:tc>
        <w:tc>
          <w:tcPr>
            <w:tcW w:w="2268" w:type="dxa"/>
            <w:tcBorders>
              <w:top w:val="single" w:sz="4" w:space="0" w:color="auto"/>
              <w:bottom w:val="single" w:sz="12" w:space="0" w:color="auto"/>
            </w:tcBorders>
          </w:tcPr>
          <w:p w14:paraId="75724AEA" w14:textId="74E2399F" w:rsidR="00C65582" w:rsidRPr="009E3C57" w:rsidRDefault="00C65582" w:rsidP="00C65582">
            <w:pPr>
              <w:tabs>
                <w:tab w:val="left" w:pos="567"/>
              </w:tabs>
              <w:spacing w:line="276" w:lineRule="auto"/>
              <w:jc w:val="both"/>
              <w:rPr>
                <w:i/>
                <w:iCs/>
                <w:lang w:eastAsia="lt-LT"/>
              </w:rPr>
            </w:pPr>
            <w:r>
              <w:rPr>
                <w:i/>
                <w:iCs/>
                <w:lang w:eastAsia="lt-LT"/>
              </w:rPr>
              <w:t>****</w:t>
            </w:r>
          </w:p>
        </w:tc>
        <w:tc>
          <w:tcPr>
            <w:tcW w:w="2268" w:type="dxa"/>
            <w:tcBorders>
              <w:top w:val="single" w:sz="4" w:space="0" w:color="auto"/>
              <w:bottom w:val="single" w:sz="12" w:space="0" w:color="auto"/>
            </w:tcBorders>
          </w:tcPr>
          <w:p w14:paraId="3CB0F755" w14:textId="4B3E0C86" w:rsidR="00C65582" w:rsidRPr="009E3C57" w:rsidRDefault="00C65582" w:rsidP="00C65582">
            <w:pPr>
              <w:tabs>
                <w:tab w:val="left" w:pos="567"/>
              </w:tabs>
              <w:spacing w:line="276" w:lineRule="auto"/>
              <w:jc w:val="both"/>
              <w:rPr>
                <w:i/>
                <w:iCs/>
                <w:lang w:eastAsia="lt-LT"/>
              </w:rPr>
            </w:pPr>
            <w:r w:rsidRPr="00BC6173">
              <w:rPr>
                <w:i/>
                <w:iCs/>
                <w:lang w:eastAsia="lt-LT"/>
              </w:rPr>
              <w:t>****</w:t>
            </w:r>
          </w:p>
        </w:tc>
        <w:tc>
          <w:tcPr>
            <w:tcW w:w="2126" w:type="dxa"/>
            <w:tcBorders>
              <w:top w:val="single" w:sz="4" w:space="0" w:color="auto"/>
              <w:bottom w:val="single" w:sz="12" w:space="0" w:color="auto"/>
            </w:tcBorders>
          </w:tcPr>
          <w:p w14:paraId="6C0D4953" w14:textId="40891502" w:rsidR="00C65582" w:rsidRPr="009E3C57" w:rsidRDefault="00C65582" w:rsidP="00C65582">
            <w:pPr>
              <w:tabs>
                <w:tab w:val="left" w:pos="567"/>
              </w:tabs>
              <w:spacing w:line="276" w:lineRule="auto"/>
              <w:jc w:val="both"/>
              <w:rPr>
                <w:i/>
                <w:iCs/>
                <w:lang w:eastAsia="lt-LT"/>
              </w:rPr>
            </w:pPr>
            <w:r w:rsidRPr="00BC6173">
              <w:rPr>
                <w:i/>
                <w:iCs/>
                <w:lang w:eastAsia="lt-LT"/>
              </w:rPr>
              <w:t>****</w:t>
            </w:r>
          </w:p>
        </w:tc>
      </w:tr>
      <w:tr w:rsidR="009E3C57" w:rsidRPr="009E3C57" w14:paraId="63923D39" w14:textId="77777777" w:rsidTr="00CF542C">
        <w:trPr>
          <w:jc w:val="center"/>
        </w:trPr>
        <w:tc>
          <w:tcPr>
            <w:tcW w:w="9908" w:type="dxa"/>
            <w:gridSpan w:val="4"/>
            <w:tcBorders>
              <w:top w:val="single" w:sz="12" w:space="0" w:color="auto"/>
              <w:bottom w:val="single" w:sz="4" w:space="0" w:color="auto"/>
            </w:tcBorders>
          </w:tcPr>
          <w:p w14:paraId="53183ABD" w14:textId="77777777" w:rsidR="00D77027" w:rsidRPr="009E3C57" w:rsidRDefault="00D77027" w:rsidP="00CF542C">
            <w:pPr>
              <w:tabs>
                <w:tab w:val="left" w:pos="567"/>
              </w:tabs>
              <w:spacing w:line="276" w:lineRule="auto"/>
              <w:jc w:val="both"/>
              <w:rPr>
                <w:iCs/>
                <w:lang w:eastAsia="lt-LT"/>
              </w:rPr>
            </w:pPr>
            <w:r w:rsidRPr="009E3C57">
              <w:rPr>
                <w:lang w:eastAsia="lt-LT"/>
              </w:rPr>
              <w:t>Papildomi gyvenimo metai (LY)</w:t>
            </w:r>
          </w:p>
        </w:tc>
      </w:tr>
      <w:tr w:rsidR="009E3C57" w:rsidRPr="009E3C57" w14:paraId="613087EC" w14:textId="77777777" w:rsidTr="00CF542C">
        <w:trPr>
          <w:jc w:val="center"/>
        </w:trPr>
        <w:tc>
          <w:tcPr>
            <w:tcW w:w="3246" w:type="dxa"/>
            <w:tcBorders>
              <w:top w:val="single" w:sz="4" w:space="0" w:color="auto"/>
              <w:bottom w:val="single" w:sz="4" w:space="0" w:color="auto"/>
            </w:tcBorders>
          </w:tcPr>
          <w:p w14:paraId="7C43A85E" w14:textId="77777777" w:rsidR="00D77027" w:rsidRPr="009E3C57" w:rsidRDefault="00D77027" w:rsidP="00CF542C">
            <w:pPr>
              <w:tabs>
                <w:tab w:val="left" w:pos="567"/>
              </w:tabs>
              <w:spacing w:line="276" w:lineRule="auto"/>
              <w:jc w:val="both"/>
              <w:rPr>
                <w:lang w:eastAsia="lt-LT"/>
              </w:rPr>
            </w:pPr>
            <w:r w:rsidRPr="009E3C57">
              <w:t>Trifluridine-tipiracil + bevacizumab</w:t>
            </w:r>
          </w:p>
        </w:tc>
        <w:tc>
          <w:tcPr>
            <w:tcW w:w="4536" w:type="dxa"/>
            <w:gridSpan w:val="2"/>
            <w:tcBorders>
              <w:top w:val="single" w:sz="4" w:space="0" w:color="auto"/>
              <w:bottom w:val="single" w:sz="4" w:space="0" w:color="auto"/>
            </w:tcBorders>
          </w:tcPr>
          <w:p w14:paraId="4A9F173B" w14:textId="40199795" w:rsidR="00D77027" w:rsidRPr="009E3C57" w:rsidRDefault="00C65582" w:rsidP="00CF542C">
            <w:pPr>
              <w:tabs>
                <w:tab w:val="left" w:pos="567"/>
              </w:tabs>
              <w:spacing w:line="276" w:lineRule="auto"/>
              <w:jc w:val="both"/>
              <w:rPr>
                <w:i/>
                <w:iCs/>
                <w:lang w:eastAsia="lt-LT"/>
              </w:rPr>
            </w:pPr>
            <w:r>
              <w:rPr>
                <w:i/>
                <w:iCs/>
                <w:lang w:eastAsia="lt-LT"/>
              </w:rPr>
              <w:t>****</w:t>
            </w:r>
          </w:p>
        </w:tc>
        <w:tc>
          <w:tcPr>
            <w:tcW w:w="2126" w:type="dxa"/>
            <w:vMerge w:val="restart"/>
            <w:tcBorders>
              <w:top w:val="single" w:sz="4" w:space="0" w:color="auto"/>
            </w:tcBorders>
          </w:tcPr>
          <w:p w14:paraId="544B20A7" w14:textId="6260E876" w:rsidR="00D77027" w:rsidRPr="009E3C57" w:rsidRDefault="00C65582" w:rsidP="00CF542C">
            <w:pPr>
              <w:tabs>
                <w:tab w:val="left" w:pos="567"/>
              </w:tabs>
              <w:spacing w:line="276" w:lineRule="auto"/>
              <w:jc w:val="both"/>
              <w:rPr>
                <w:lang w:eastAsia="lt-LT"/>
              </w:rPr>
            </w:pPr>
            <w:r>
              <w:rPr>
                <w:i/>
                <w:iCs/>
                <w:lang w:eastAsia="lt-LT"/>
              </w:rPr>
              <w:t>****</w:t>
            </w:r>
          </w:p>
        </w:tc>
      </w:tr>
      <w:tr w:rsidR="009E3C57" w:rsidRPr="009E3C57" w14:paraId="0E14D05D" w14:textId="77777777" w:rsidTr="00CF542C">
        <w:trPr>
          <w:jc w:val="center"/>
        </w:trPr>
        <w:tc>
          <w:tcPr>
            <w:tcW w:w="3246" w:type="dxa"/>
            <w:tcBorders>
              <w:top w:val="single" w:sz="4" w:space="0" w:color="auto"/>
              <w:bottom w:val="single" w:sz="12" w:space="0" w:color="auto"/>
            </w:tcBorders>
          </w:tcPr>
          <w:p w14:paraId="1DDB6019" w14:textId="77777777" w:rsidR="00D77027" w:rsidRPr="009E3C57" w:rsidRDefault="00D77027" w:rsidP="00CF542C">
            <w:pPr>
              <w:tabs>
                <w:tab w:val="left" w:pos="567"/>
              </w:tabs>
              <w:spacing w:line="276" w:lineRule="auto"/>
              <w:jc w:val="both"/>
              <w:rPr>
                <w:lang w:eastAsia="lt-LT"/>
              </w:rPr>
            </w:pPr>
            <w:r w:rsidRPr="009E3C57">
              <w:t>Trifluridine-tipiracil</w:t>
            </w:r>
          </w:p>
        </w:tc>
        <w:tc>
          <w:tcPr>
            <w:tcW w:w="4536" w:type="dxa"/>
            <w:gridSpan w:val="2"/>
            <w:tcBorders>
              <w:top w:val="single" w:sz="4" w:space="0" w:color="auto"/>
              <w:bottom w:val="single" w:sz="12" w:space="0" w:color="auto"/>
            </w:tcBorders>
          </w:tcPr>
          <w:p w14:paraId="04026020" w14:textId="121CF98D" w:rsidR="00D77027" w:rsidRPr="009E3C57" w:rsidRDefault="00C65582" w:rsidP="00CF542C">
            <w:pPr>
              <w:tabs>
                <w:tab w:val="left" w:pos="567"/>
              </w:tabs>
              <w:spacing w:line="276" w:lineRule="auto"/>
              <w:jc w:val="both"/>
              <w:rPr>
                <w:i/>
                <w:iCs/>
                <w:lang w:eastAsia="lt-LT"/>
              </w:rPr>
            </w:pPr>
            <w:r>
              <w:rPr>
                <w:i/>
                <w:iCs/>
                <w:lang w:eastAsia="lt-LT"/>
              </w:rPr>
              <w:t>****</w:t>
            </w:r>
          </w:p>
        </w:tc>
        <w:tc>
          <w:tcPr>
            <w:tcW w:w="2126" w:type="dxa"/>
            <w:vMerge/>
            <w:tcBorders>
              <w:bottom w:val="single" w:sz="12" w:space="0" w:color="auto"/>
            </w:tcBorders>
          </w:tcPr>
          <w:p w14:paraId="6A2E5236" w14:textId="77777777" w:rsidR="00D77027" w:rsidRPr="009E3C57" w:rsidRDefault="00D77027" w:rsidP="00CF542C">
            <w:pPr>
              <w:tabs>
                <w:tab w:val="left" w:pos="567"/>
              </w:tabs>
              <w:spacing w:line="276" w:lineRule="auto"/>
              <w:jc w:val="both"/>
              <w:rPr>
                <w:i/>
                <w:iCs/>
                <w:lang w:eastAsia="lt-LT"/>
              </w:rPr>
            </w:pPr>
          </w:p>
        </w:tc>
      </w:tr>
      <w:tr w:rsidR="009E3C57" w:rsidRPr="009E3C57" w14:paraId="0689843C" w14:textId="77777777" w:rsidTr="00CF542C">
        <w:trPr>
          <w:jc w:val="center"/>
        </w:trPr>
        <w:tc>
          <w:tcPr>
            <w:tcW w:w="9908" w:type="dxa"/>
            <w:gridSpan w:val="4"/>
            <w:tcBorders>
              <w:top w:val="single" w:sz="12" w:space="0" w:color="auto"/>
              <w:bottom w:val="single" w:sz="4" w:space="0" w:color="auto"/>
            </w:tcBorders>
          </w:tcPr>
          <w:p w14:paraId="4F8A4518" w14:textId="77777777" w:rsidR="00D77027" w:rsidRPr="009E3C57" w:rsidRDefault="00D77027" w:rsidP="00CF542C">
            <w:pPr>
              <w:tabs>
                <w:tab w:val="left" w:pos="567"/>
              </w:tabs>
              <w:spacing w:line="276" w:lineRule="auto"/>
              <w:jc w:val="both"/>
              <w:rPr>
                <w:iCs/>
                <w:lang w:eastAsia="lt-LT"/>
              </w:rPr>
            </w:pPr>
            <w:r w:rsidRPr="009E3C57">
              <w:rPr>
                <w:lang w:eastAsia="lt-LT"/>
              </w:rPr>
              <w:t>Kokybiški gyvenimo metai (QALY)</w:t>
            </w:r>
          </w:p>
        </w:tc>
      </w:tr>
      <w:tr w:rsidR="009E3C57" w:rsidRPr="009E3C57" w14:paraId="278ED1C4" w14:textId="77777777" w:rsidTr="00CF542C">
        <w:trPr>
          <w:jc w:val="center"/>
        </w:trPr>
        <w:tc>
          <w:tcPr>
            <w:tcW w:w="3246" w:type="dxa"/>
            <w:tcBorders>
              <w:top w:val="single" w:sz="4" w:space="0" w:color="auto"/>
              <w:bottom w:val="single" w:sz="4" w:space="0" w:color="auto"/>
            </w:tcBorders>
          </w:tcPr>
          <w:p w14:paraId="64A2B575" w14:textId="77777777" w:rsidR="00D77027" w:rsidRPr="009E3C57" w:rsidRDefault="00D77027" w:rsidP="00CF542C">
            <w:pPr>
              <w:tabs>
                <w:tab w:val="left" w:pos="567"/>
              </w:tabs>
              <w:spacing w:line="276" w:lineRule="auto"/>
              <w:jc w:val="both"/>
              <w:rPr>
                <w:iCs/>
                <w:lang w:eastAsia="lt-LT"/>
              </w:rPr>
            </w:pPr>
            <w:r w:rsidRPr="009E3C57">
              <w:t>Trifluridine-tipiracil + bevacizumab</w:t>
            </w:r>
          </w:p>
        </w:tc>
        <w:tc>
          <w:tcPr>
            <w:tcW w:w="4536" w:type="dxa"/>
            <w:gridSpan w:val="2"/>
            <w:tcBorders>
              <w:top w:val="single" w:sz="4" w:space="0" w:color="auto"/>
              <w:bottom w:val="single" w:sz="4" w:space="0" w:color="auto"/>
            </w:tcBorders>
          </w:tcPr>
          <w:p w14:paraId="5118242B" w14:textId="36A51EE1" w:rsidR="00D77027" w:rsidRPr="009E3C57" w:rsidRDefault="00C65582" w:rsidP="00CF542C">
            <w:pPr>
              <w:tabs>
                <w:tab w:val="left" w:pos="567"/>
              </w:tabs>
              <w:spacing w:line="276" w:lineRule="auto"/>
              <w:jc w:val="both"/>
              <w:rPr>
                <w:i/>
                <w:iCs/>
                <w:lang w:eastAsia="lt-LT"/>
              </w:rPr>
            </w:pPr>
            <w:r>
              <w:rPr>
                <w:i/>
                <w:iCs/>
                <w:lang w:eastAsia="lt-LT"/>
              </w:rPr>
              <w:t>****</w:t>
            </w:r>
          </w:p>
        </w:tc>
        <w:tc>
          <w:tcPr>
            <w:tcW w:w="2126" w:type="dxa"/>
            <w:vMerge w:val="restart"/>
            <w:tcBorders>
              <w:top w:val="single" w:sz="4" w:space="0" w:color="auto"/>
            </w:tcBorders>
          </w:tcPr>
          <w:p w14:paraId="26305738" w14:textId="6100E814" w:rsidR="00D77027" w:rsidRPr="009E3C57" w:rsidRDefault="00C65582" w:rsidP="00CF542C">
            <w:pPr>
              <w:tabs>
                <w:tab w:val="left" w:pos="567"/>
              </w:tabs>
              <w:spacing w:line="276" w:lineRule="auto"/>
              <w:jc w:val="both"/>
              <w:rPr>
                <w:lang w:eastAsia="lt-LT"/>
              </w:rPr>
            </w:pPr>
            <w:r>
              <w:rPr>
                <w:i/>
                <w:iCs/>
                <w:lang w:eastAsia="lt-LT"/>
              </w:rPr>
              <w:t>****</w:t>
            </w:r>
          </w:p>
        </w:tc>
      </w:tr>
      <w:tr w:rsidR="009E3C57" w:rsidRPr="009E3C57" w14:paraId="7A823D89" w14:textId="77777777" w:rsidTr="00CF542C">
        <w:trPr>
          <w:jc w:val="center"/>
        </w:trPr>
        <w:tc>
          <w:tcPr>
            <w:tcW w:w="3246" w:type="dxa"/>
            <w:tcBorders>
              <w:top w:val="single" w:sz="4" w:space="0" w:color="auto"/>
              <w:bottom w:val="single" w:sz="12" w:space="0" w:color="auto"/>
            </w:tcBorders>
          </w:tcPr>
          <w:p w14:paraId="2D121E8D" w14:textId="77777777" w:rsidR="00D77027" w:rsidRPr="009E3C57" w:rsidRDefault="00D77027" w:rsidP="00CF542C">
            <w:pPr>
              <w:tabs>
                <w:tab w:val="left" w:pos="567"/>
              </w:tabs>
              <w:spacing w:line="276" w:lineRule="auto"/>
              <w:jc w:val="both"/>
              <w:rPr>
                <w:iCs/>
                <w:lang w:eastAsia="lt-LT"/>
              </w:rPr>
            </w:pPr>
            <w:r w:rsidRPr="009E3C57">
              <w:t>Trifluridine-tipiracil</w:t>
            </w:r>
          </w:p>
        </w:tc>
        <w:tc>
          <w:tcPr>
            <w:tcW w:w="4536" w:type="dxa"/>
            <w:gridSpan w:val="2"/>
            <w:tcBorders>
              <w:top w:val="single" w:sz="4" w:space="0" w:color="auto"/>
              <w:bottom w:val="single" w:sz="12" w:space="0" w:color="auto"/>
            </w:tcBorders>
          </w:tcPr>
          <w:p w14:paraId="2B2AD29A" w14:textId="134D523D" w:rsidR="00D77027" w:rsidRPr="009E3C57" w:rsidRDefault="00C65582" w:rsidP="00CF542C">
            <w:pPr>
              <w:tabs>
                <w:tab w:val="left" w:pos="567"/>
              </w:tabs>
              <w:spacing w:line="276" w:lineRule="auto"/>
              <w:jc w:val="both"/>
              <w:rPr>
                <w:i/>
                <w:iCs/>
                <w:lang w:eastAsia="lt-LT"/>
              </w:rPr>
            </w:pPr>
            <w:r>
              <w:rPr>
                <w:i/>
                <w:iCs/>
                <w:lang w:eastAsia="lt-LT"/>
              </w:rPr>
              <w:t>****</w:t>
            </w:r>
          </w:p>
        </w:tc>
        <w:tc>
          <w:tcPr>
            <w:tcW w:w="2126" w:type="dxa"/>
            <w:vMerge/>
            <w:tcBorders>
              <w:bottom w:val="single" w:sz="12" w:space="0" w:color="auto"/>
            </w:tcBorders>
          </w:tcPr>
          <w:p w14:paraId="24DE2D72" w14:textId="77777777" w:rsidR="00D77027" w:rsidRPr="009E3C57" w:rsidRDefault="00D77027" w:rsidP="00CF542C">
            <w:pPr>
              <w:tabs>
                <w:tab w:val="left" w:pos="567"/>
              </w:tabs>
              <w:spacing w:line="276" w:lineRule="auto"/>
              <w:jc w:val="both"/>
              <w:rPr>
                <w:i/>
                <w:iCs/>
                <w:lang w:eastAsia="lt-LT"/>
              </w:rPr>
            </w:pPr>
          </w:p>
        </w:tc>
      </w:tr>
      <w:tr w:rsidR="009E3C57" w:rsidRPr="009E3C57" w14:paraId="49A11E9E" w14:textId="77777777" w:rsidTr="00CF542C">
        <w:trPr>
          <w:trHeight w:val="347"/>
          <w:jc w:val="center"/>
        </w:trPr>
        <w:tc>
          <w:tcPr>
            <w:tcW w:w="9908" w:type="dxa"/>
            <w:gridSpan w:val="4"/>
            <w:tcBorders>
              <w:top w:val="single" w:sz="12" w:space="0" w:color="auto"/>
            </w:tcBorders>
            <w:vAlign w:val="center"/>
          </w:tcPr>
          <w:p w14:paraId="717FA9C7" w14:textId="77777777" w:rsidR="00D77027" w:rsidRPr="009E3C57" w:rsidRDefault="00D77027" w:rsidP="00CF542C">
            <w:pPr>
              <w:tabs>
                <w:tab w:val="left" w:pos="567"/>
              </w:tabs>
              <w:spacing w:line="276" w:lineRule="auto"/>
              <w:jc w:val="both"/>
              <w:rPr>
                <w:b/>
                <w:bCs/>
                <w:sz w:val="26"/>
                <w:szCs w:val="26"/>
                <w:lang w:eastAsia="lt-LT"/>
              </w:rPr>
            </w:pPr>
            <w:r w:rsidRPr="009E3C57">
              <w:rPr>
                <w:b/>
                <w:bCs/>
                <w:sz w:val="26"/>
                <w:szCs w:val="26"/>
                <w:lang w:eastAsia="lt-LT"/>
              </w:rPr>
              <w:t>Rezultatai</w:t>
            </w:r>
          </w:p>
        </w:tc>
      </w:tr>
      <w:tr w:rsidR="009E3C57" w:rsidRPr="009E3C57" w14:paraId="12A9EFA8" w14:textId="77777777" w:rsidTr="00CF542C">
        <w:trPr>
          <w:jc w:val="center"/>
        </w:trPr>
        <w:tc>
          <w:tcPr>
            <w:tcW w:w="7782" w:type="dxa"/>
            <w:gridSpan w:val="3"/>
          </w:tcPr>
          <w:p w14:paraId="45207FD2" w14:textId="77777777" w:rsidR="00D77027" w:rsidRPr="009E3C57" w:rsidRDefault="00D77027" w:rsidP="00CF542C">
            <w:pPr>
              <w:tabs>
                <w:tab w:val="left" w:pos="567"/>
              </w:tabs>
              <w:spacing w:line="276" w:lineRule="auto"/>
              <w:jc w:val="both"/>
              <w:rPr>
                <w:iCs/>
                <w:lang w:eastAsia="lt-LT"/>
              </w:rPr>
            </w:pPr>
            <w:r w:rsidRPr="009E3C57">
              <w:rPr>
                <w:iCs/>
                <w:lang w:eastAsia="lt-LT"/>
              </w:rPr>
              <w:t>ICER už LY</w:t>
            </w:r>
          </w:p>
        </w:tc>
        <w:tc>
          <w:tcPr>
            <w:tcW w:w="2126" w:type="dxa"/>
          </w:tcPr>
          <w:p w14:paraId="0AD46EC3" w14:textId="19D94BED" w:rsidR="00D77027" w:rsidRPr="009E3C57" w:rsidRDefault="00C65582" w:rsidP="00CF542C">
            <w:pPr>
              <w:tabs>
                <w:tab w:val="left" w:pos="567"/>
              </w:tabs>
              <w:spacing w:line="276" w:lineRule="auto"/>
              <w:jc w:val="both"/>
              <w:rPr>
                <w:i/>
                <w:iCs/>
                <w:lang w:eastAsia="lt-LT"/>
              </w:rPr>
            </w:pPr>
            <w:r>
              <w:rPr>
                <w:i/>
                <w:iCs/>
                <w:lang w:eastAsia="lt-LT"/>
              </w:rPr>
              <w:t>****</w:t>
            </w:r>
          </w:p>
        </w:tc>
      </w:tr>
      <w:tr w:rsidR="009E3C57" w:rsidRPr="009E3C57" w14:paraId="0C20B347" w14:textId="77777777" w:rsidTr="00CF542C">
        <w:trPr>
          <w:jc w:val="center"/>
        </w:trPr>
        <w:tc>
          <w:tcPr>
            <w:tcW w:w="7782" w:type="dxa"/>
            <w:gridSpan w:val="3"/>
          </w:tcPr>
          <w:p w14:paraId="1C5BB815" w14:textId="77777777" w:rsidR="00D77027" w:rsidRPr="009E3C57" w:rsidRDefault="00D77027" w:rsidP="00CF542C">
            <w:pPr>
              <w:tabs>
                <w:tab w:val="left" w:pos="567"/>
              </w:tabs>
              <w:spacing w:line="276" w:lineRule="auto"/>
              <w:jc w:val="both"/>
              <w:rPr>
                <w:iCs/>
                <w:lang w:eastAsia="lt-LT"/>
              </w:rPr>
            </w:pPr>
            <w:r w:rsidRPr="009E3C57">
              <w:rPr>
                <w:iCs/>
                <w:lang w:eastAsia="lt-LT"/>
              </w:rPr>
              <w:t>ICER už QALY</w:t>
            </w:r>
          </w:p>
        </w:tc>
        <w:tc>
          <w:tcPr>
            <w:tcW w:w="2126" w:type="dxa"/>
          </w:tcPr>
          <w:p w14:paraId="05B1AC03" w14:textId="2C5EE483" w:rsidR="00D77027" w:rsidRPr="009E3C57" w:rsidRDefault="00C65582" w:rsidP="00CF542C">
            <w:pPr>
              <w:tabs>
                <w:tab w:val="left" w:pos="567"/>
              </w:tabs>
              <w:spacing w:line="276" w:lineRule="auto"/>
              <w:jc w:val="both"/>
              <w:rPr>
                <w:i/>
                <w:iCs/>
                <w:lang w:eastAsia="lt-LT"/>
              </w:rPr>
            </w:pPr>
            <w:r>
              <w:rPr>
                <w:i/>
                <w:iCs/>
                <w:lang w:eastAsia="lt-LT"/>
              </w:rPr>
              <w:t>****</w:t>
            </w:r>
          </w:p>
        </w:tc>
      </w:tr>
      <w:tr w:rsidR="009E3C57" w:rsidRPr="009E3C57" w14:paraId="3ACE8DA6" w14:textId="77777777" w:rsidTr="00CF542C">
        <w:trPr>
          <w:jc w:val="center"/>
        </w:trPr>
        <w:tc>
          <w:tcPr>
            <w:tcW w:w="7782" w:type="dxa"/>
            <w:gridSpan w:val="3"/>
          </w:tcPr>
          <w:p w14:paraId="5D8A6982" w14:textId="77777777" w:rsidR="00D77027" w:rsidRPr="009E3C57" w:rsidRDefault="00D77027" w:rsidP="00CF542C">
            <w:pPr>
              <w:tabs>
                <w:tab w:val="left" w:pos="567"/>
              </w:tabs>
              <w:spacing w:line="276" w:lineRule="auto"/>
              <w:jc w:val="both"/>
              <w:rPr>
                <w:iCs/>
                <w:lang w:eastAsia="lt-LT"/>
              </w:rPr>
            </w:pPr>
            <w:r w:rsidRPr="009E3C57">
              <w:rPr>
                <w:iCs/>
                <w:lang w:eastAsia="lt-LT"/>
              </w:rPr>
              <w:t>Referencinė kaštų naudingumo vertė</w:t>
            </w:r>
          </w:p>
        </w:tc>
        <w:tc>
          <w:tcPr>
            <w:tcW w:w="2126" w:type="dxa"/>
          </w:tcPr>
          <w:p w14:paraId="21FE7B57" w14:textId="5291E2A4" w:rsidR="00D77027" w:rsidRPr="009E3C57" w:rsidRDefault="00C65582" w:rsidP="00CF542C">
            <w:pPr>
              <w:tabs>
                <w:tab w:val="left" w:pos="567"/>
              </w:tabs>
              <w:spacing w:line="276" w:lineRule="auto"/>
              <w:jc w:val="both"/>
              <w:rPr>
                <w:i/>
                <w:iCs/>
                <w:lang w:eastAsia="lt-LT"/>
              </w:rPr>
            </w:pPr>
            <w:r>
              <w:rPr>
                <w:i/>
                <w:iCs/>
                <w:lang w:eastAsia="lt-LT"/>
              </w:rPr>
              <w:t>****</w:t>
            </w:r>
          </w:p>
        </w:tc>
      </w:tr>
    </w:tbl>
    <w:p w14:paraId="5FC8C737" w14:textId="4136B7F4" w:rsidR="0035172D" w:rsidRPr="009E3C57" w:rsidRDefault="00E5102E" w:rsidP="0035172D">
      <w:pPr>
        <w:tabs>
          <w:tab w:val="left" w:pos="567"/>
        </w:tabs>
        <w:jc w:val="both"/>
        <w:rPr>
          <w:iCs/>
          <w:sz w:val="20"/>
          <w:lang w:eastAsia="lt-LT"/>
        </w:rPr>
      </w:pPr>
      <w:r w:rsidRPr="009E3C57">
        <w:rPr>
          <w:iCs/>
          <w:sz w:val="20"/>
          <w:lang w:eastAsia="lt-LT"/>
        </w:rPr>
        <w:t xml:space="preserve">ICER </w:t>
      </w:r>
      <w:r w:rsidR="00453862" w:rsidRPr="009E3C57">
        <w:rPr>
          <w:iCs/>
          <w:sz w:val="20"/>
          <w:lang w:eastAsia="lt-LT"/>
        </w:rPr>
        <w:t>– (</w:t>
      </w:r>
      <w:r w:rsidR="00453862" w:rsidRPr="009E3C57">
        <w:rPr>
          <w:i/>
          <w:sz w:val="20"/>
          <w:lang w:eastAsia="lt-LT"/>
        </w:rPr>
        <w:t>angl. incremental cost-effectiveness ratio</w:t>
      </w:r>
      <w:r w:rsidR="00453862" w:rsidRPr="009E3C57">
        <w:rPr>
          <w:iCs/>
          <w:sz w:val="20"/>
          <w:lang w:eastAsia="lt-LT"/>
        </w:rPr>
        <w:t>) inkrementinis kaštų naudingumo koeficientas</w:t>
      </w:r>
      <w:r w:rsidRPr="009E3C57">
        <w:rPr>
          <w:iCs/>
          <w:sz w:val="20"/>
          <w:lang w:eastAsia="lt-LT"/>
        </w:rPr>
        <w:t>; LY –</w:t>
      </w:r>
      <w:r w:rsidR="00453862" w:rsidRPr="009E3C57">
        <w:rPr>
          <w:iCs/>
          <w:sz w:val="20"/>
          <w:lang w:eastAsia="lt-LT"/>
        </w:rPr>
        <w:t xml:space="preserve"> (</w:t>
      </w:r>
      <w:r w:rsidR="00453862" w:rsidRPr="009E3C57">
        <w:rPr>
          <w:i/>
          <w:sz w:val="20"/>
          <w:lang w:eastAsia="lt-LT"/>
        </w:rPr>
        <w:t>angl. life years</w:t>
      </w:r>
      <w:r w:rsidR="00453862" w:rsidRPr="009E3C57">
        <w:rPr>
          <w:iCs/>
          <w:sz w:val="20"/>
          <w:lang w:eastAsia="lt-LT"/>
        </w:rPr>
        <w:t>) gyvenimo metai</w:t>
      </w:r>
      <w:r w:rsidRPr="009E3C57">
        <w:rPr>
          <w:iCs/>
          <w:sz w:val="20"/>
          <w:lang w:eastAsia="lt-LT"/>
        </w:rPr>
        <w:t xml:space="preserve">; QALY- </w:t>
      </w:r>
      <w:r w:rsidR="00453862" w:rsidRPr="009E3C57">
        <w:rPr>
          <w:iCs/>
          <w:sz w:val="20"/>
          <w:lang w:eastAsia="lt-LT"/>
        </w:rPr>
        <w:t>(</w:t>
      </w:r>
      <w:r w:rsidR="00453862" w:rsidRPr="009E3C57">
        <w:rPr>
          <w:i/>
          <w:sz w:val="20"/>
          <w:lang w:eastAsia="lt-LT"/>
        </w:rPr>
        <w:t xml:space="preserve">angl. quality adjusted life years) </w:t>
      </w:r>
      <w:r w:rsidR="00453862" w:rsidRPr="009E3C57">
        <w:rPr>
          <w:iCs/>
          <w:sz w:val="20"/>
          <w:lang w:eastAsia="lt-LT"/>
        </w:rPr>
        <w:t>kokybiški gyvenimo metai.</w:t>
      </w:r>
    </w:p>
    <w:p w14:paraId="33875138" w14:textId="77777777" w:rsidR="0035172D" w:rsidRPr="009E3C57" w:rsidRDefault="0035172D" w:rsidP="00A93AA6">
      <w:pPr>
        <w:tabs>
          <w:tab w:val="left" w:pos="426"/>
        </w:tabs>
        <w:rPr>
          <w:b/>
          <w:bCs/>
          <w:caps/>
        </w:rPr>
      </w:pPr>
    </w:p>
    <w:p w14:paraId="4FC424F9" w14:textId="4E767245" w:rsidR="00C62B36" w:rsidRPr="009E3C57" w:rsidRDefault="00C62B36" w:rsidP="00CC09D4">
      <w:pPr>
        <w:pStyle w:val="Sraopastraipa"/>
        <w:numPr>
          <w:ilvl w:val="0"/>
          <w:numId w:val="12"/>
        </w:numPr>
        <w:tabs>
          <w:tab w:val="left" w:pos="567"/>
        </w:tabs>
        <w:ind w:hanging="720"/>
        <w:rPr>
          <w:b/>
          <w:bCs/>
          <w:caps/>
        </w:rPr>
      </w:pPr>
      <w:r w:rsidRPr="009E3C57">
        <w:rPr>
          <w:b/>
          <w:bCs/>
          <w:caps/>
        </w:rPr>
        <w:t xml:space="preserve">Pacientų organizacijų pateikti duomenys </w:t>
      </w:r>
    </w:p>
    <w:p w14:paraId="79BCFF40" w14:textId="1992DF4A" w:rsidR="00937907" w:rsidRPr="009E3C57" w:rsidRDefault="00C65582"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9E3C57">
            <w:rPr>
              <w:rStyle w:val="Style2"/>
              <w:rFonts w:ascii="MS Gothic" w:eastAsia="MS Gothic" w:hAnsi="MS Gothic"/>
              <w:sz w:val="24"/>
            </w:rPr>
            <w:t>☐</w:t>
          </w:r>
        </w:sdtContent>
      </w:sdt>
      <w:r w:rsidR="00937907" w:rsidRPr="009E3C57">
        <w:t xml:space="preserve"> Pacientų organizacijos pozicija pateikta. Žr. priedą.</w:t>
      </w:r>
    </w:p>
    <w:p w14:paraId="62992180" w14:textId="121952C0" w:rsidR="00937907" w:rsidRPr="009E3C57" w:rsidRDefault="00C65582"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630AE" w:rsidRPr="009E3C57">
            <w:rPr>
              <w:rStyle w:val="Style2"/>
              <w:rFonts w:ascii="MS Gothic" w:eastAsia="MS Gothic" w:hAnsi="MS Gothic"/>
              <w:sz w:val="24"/>
            </w:rPr>
            <w:t>☒</w:t>
          </w:r>
        </w:sdtContent>
      </w:sdt>
      <w:r w:rsidR="00937907" w:rsidRPr="009E3C57">
        <w:t xml:space="preserve"> Pacientų organizacijos pozicija </w:t>
      </w:r>
      <w:r w:rsidR="00880A44" w:rsidRPr="009E3C57">
        <w:t>ne</w:t>
      </w:r>
      <w:r w:rsidR="00937907" w:rsidRPr="009E3C57">
        <w:t>pateikta.</w:t>
      </w:r>
    </w:p>
    <w:p w14:paraId="03E73D82" w14:textId="77777777" w:rsidR="00D417D2" w:rsidRPr="009E3C57" w:rsidRDefault="00D417D2" w:rsidP="00937907">
      <w:pPr>
        <w:spacing w:after="120"/>
        <w:jc w:val="both"/>
      </w:pPr>
    </w:p>
    <w:p w14:paraId="3D3277FA" w14:textId="3CEEB2D2" w:rsidR="00C62B36" w:rsidRPr="009E3C57" w:rsidRDefault="00C62B36" w:rsidP="00CC09D4">
      <w:pPr>
        <w:pStyle w:val="Sraopastraipa"/>
        <w:numPr>
          <w:ilvl w:val="0"/>
          <w:numId w:val="12"/>
        </w:numPr>
        <w:tabs>
          <w:tab w:val="left" w:pos="567"/>
        </w:tabs>
        <w:ind w:hanging="720"/>
        <w:rPr>
          <w:b/>
          <w:bCs/>
          <w:caps/>
        </w:rPr>
      </w:pPr>
      <w:r w:rsidRPr="009E3C57">
        <w:rPr>
          <w:b/>
          <w:bCs/>
          <w:caps/>
        </w:rPr>
        <w:t>Gydytojų organizacijų pateikti duomenys</w:t>
      </w:r>
    </w:p>
    <w:p w14:paraId="389A346C" w14:textId="17184B64" w:rsidR="00937907" w:rsidRPr="009E3C57" w:rsidRDefault="00C65582"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9E3C57">
            <w:rPr>
              <w:rStyle w:val="Style2"/>
              <w:rFonts w:ascii="MS Gothic" w:eastAsia="MS Gothic" w:hAnsi="MS Gothic"/>
              <w:sz w:val="24"/>
            </w:rPr>
            <w:t>☐</w:t>
          </w:r>
        </w:sdtContent>
      </w:sdt>
      <w:r w:rsidR="00662983" w:rsidRPr="009E3C57">
        <w:t xml:space="preserve"> </w:t>
      </w:r>
      <w:r w:rsidR="00937907" w:rsidRPr="009E3C57">
        <w:t xml:space="preserve">Gydytojų specialistų organizacijos pozicija pateikta. </w:t>
      </w:r>
      <w:r w:rsidR="00662983" w:rsidRPr="009E3C57">
        <w:t>Žr. priedą</w:t>
      </w:r>
      <w:r w:rsidR="00937907" w:rsidRPr="009E3C57">
        <w:t>.</w:t>
      </w:r>
    </w:p>
    <w:p w14:paraId="5D8CC48C" w14:textId="36A77852" w:rsidR="00662983" w:rsidRPr="009E3C57" w:rsidRDefault="00C65582"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630AE" w:rsidRPr="009E3C57">
            <w:rPr>
              <w:rStyle w:val="Style2"/>
              <w:rFonts w:ascii="MS Gothic" w:eastAsia="MS Gothic" w:hAnsi="MS Gothic"/>
              <w:sz w:val="24"/>
            </w:rPr>
            <w:t>☒</w:t>
          </w:r>
        </w:sdtContent>
      </w:sdt>
      <w:r w:rsidR="00662983" w:rsidRPr="009E3C57">
        <w:t xml:space="preserve"> </w:t>
      </w:r>
      <w:r w:rsidR="00937907" w:rsidRPr="009E3C57">
        <w:t xml:space="preserve">Gydytojų specialistų organizacijos pozicija </w:t>
      </w:r>
      <w:r w:rsidR="00880A44" w:rsidRPr="009E3C57">
        <w:t>ne</w:t>
      </w:r>
      <w:r w:rsidR="00937907" w:rsidRPr="009E3C57">
        <w:t>pateikta.</w:t>
      </w:r>
    </w:p>
    <w:p w14:paraId="3701D46A" w14:textId="77777777" w:rsidR="00A042B9" w:rsidRDefault="00A042B9" w:rsidP="00662983">
      <w:pPr>
        <w:spacing w:after="120"/>
        <w:jc w:val="both"/>
      </w:pPr>
    </w:p>
    <w:p w14:paraId="0193C6CA" w14:textId="77777777" w:rsidR="001965C5" w:rsidRDefault="001965C5" w:rsidP="00662983">
      <w:pPr>
        <w:spacing w:after="120"/>
        <w:jc w:val="both"/>
      </w:pPr>
    </w:p>
    <w:p w14:paraId="6D18BD36" w14:textId="77777777" w:rsidR="001965C5" w:rsidRDefault="001965C5" w:rsidP="00662983">
      <w:pPr>
        <w:spacing w:after="120"/>
        <w:jc w:val="both"/>
      </w:pPr>
    </w:p>
    <w:p w14:paraId="7E9BC385" w14:textId="77777777" w:rsidR="001965C5" w:rsidRDefault="001965C5" w:rsidP="00662983">
      <w:pPr>
        <w:spacing w:after="120"/>
        <w:jc w:val="both"/>
      </w:pPr>
    </w:p>
    <w:p w14:paraId="3BE5458D" w14:textId="77777777" w:rsidR="001965C5" w:rsidRDefault="001965C5" w:rsidP="00662983">
      <w:pPr>
        <w:spacing w:after="120"/>
        <w:jc w:val="both"/>
      </w:pPr>
    </w:p>
    <w:p w14:paraId="48022EF5" w14:textId="77777777" w:rsidR="001965C5" w:rsidRPr="009E3C57" w:rsidRDefault="001965C5" w:rsidP="00662983">
      <w:pPr>
        <w:spacing w:after="120"/>
        <w:jc w:val="both"/>
      </w:pPr>
    </w:p>
    <w:p w14:paraId="78F23ECB" w14:textId="23A3A002" w:rsidR="002F0E4F" w:rsidRPr="009E3C57" w:rsidRDefault="002F0E4F" w:rsidP="00CC09D4">
      <w:pPr>
        <w:pStyle w:val="Sraopastraipa"/>
        <w:numPr>
          <w:ilvl w:val="0"/>
          <w:numId w:val="12"/>
        </w:numPr>
        <w:tabs>
          <w:tab w:val="left" w:pos="567"/>
        </w:tabs>
        <w:ind w:hanging="720"/>
        <w:rPr>
          <w:b/>
          <w:bCs/>
          <w:caps/>
        </w:rPr>
      </w:pPr>
      <w:r w:rsidRPr="009E3C57">
        <w:rPr>
          <w:b/>
          <w:bCs/>
          <w:caps/>
        </w:rPr>
        <w:lastRenderedPageBreak/>
        <w:t xml:space="preserve">Išvada </w:t>
      </w:r>
    </w:p>
    <w:p w14:paraId="6D16A250" w14:textId="77777777" w:rsidR="00B00F45" w:rsidRPr="009E3C57" w:rsidRDefault="00B00F45" w:rsidP="00B00F45">
      <w:pPr>
        <w:tabs>
          <w:tab w:val="left" w:pos="567"/>
        </w:tabs>
        <w:rPr>
          <w:b/>
          <w:bCs/>
          <w:caps/>
        </w:rPr>
      </w:pPr>
    </w:p>
    <w:tbl>
      <w:tblPr>
        <w:tblStyle w:val="Lentelstinklelis"/>
        <w:tblW w:w="0" w:type="auto"/>
        <w:tblLook w:val="04A0" w:firstRow="1" w:lastRow="0" w:firstColumn="1" w:lastColumn="0" w:noHBand="0" w:noVBand="1"/>
      </w:tblPr>
      <w:tblGrid>
        <w:gridCol w:w="4815"/>
        <w:gridCol w:w="4814"/>
      </w:tblGrid>
      <w:tr w:rsidR="00966E0D" w:rsidRPr="00240E5E" w14:paraId="47F3B0B8" w14:textId="77777777" w:rsidTr="000A10A6">
        <w:trPr>
          <w:trHeight w:val="510"/>
        </w:trPr>
        <w:tc>
          <w:tcPr>
            <w:tcW w:w="9629" w:type="dxa"/>
            <w:gridSpan w:val="2"/>
            <w:vAlign w:val="center"/>
          </w:tcPr>
          <w:p w14:paraId="7B1AA332"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0" w:name="_Hlk185374656"/>
            <w:r w:rsidRPr="00240E5E">
              <w:rPr>
                <w:rStyle w:val="Style2"/>
                <w:rFonts w:eastAsia="MS Gothic"/>
                <w:b/>
                <w:bCs/>
                <w:sz w:val="24"/>
              </w:rPr>
              <w:t>Palyginamasis veiksmingumas</w:t>
            </w:r>
          </w:p>
        </w:tc>
      </w:tr>
      <w:tr w:rsidR="00966E0D" w:rsidRPr="00240E5E" w14:paraId="429E0C39" w14:textId="77777777" w:rsidTr="000A10A6">
        <w:tc>
          <w:tcPr>
            <w:tcW w:w="4815" w:type="dxa"/>
          </w:tcPr>
          <w:p w14:paraId="6ACF70E9"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685207295"/>
                <w15:color w:val="FFCC00"/>
                <w14:checkbox>
                  <w14:checked w14:val="1"/>
                  <w14:checkedState w14:val="2612" w14:font="MS Gothic"/>
                  <w14:uncheckedState w14:val="2610" w14:font="MS Gothic"/>
                </w14:checkbox>
              </w:sdtPr>
              <w:sdtEndPr>
                <w:rPr>
                  <w:rStyle w:val="Style2"/>
                </w:rPr>
              </w:sdtEndPr>
              <w:sdtContent>
                <w:r w:rsidR="00966E0D" w:rsidRPr="00240E5E">
                  <w:rPr>
                    <w:rStyle w:val="Style2"/>
                    <w:rFonts w:ascii="MS Gothic" w:eastAsia="MS Gothic" w:hAnsi="MS Gothic" w:hint="eastAsia"/>
                    <w:sz w:val="24"/>
                  </w:rPr>
                  <w:t>☒</w:t>
                </w:r>
              </w:sdtContent>
            </w:sdt>
            <w:r w:rsidR="00966E0D" w:rsidRPr="00240E5E">
              <w:rPr>
                <w:rStyle w:val="Style2"/>
                <w:sz w:val="24"/>
              </w:rPr>
              <w:t xml:space="preserve"> 29</w:t>
            </w:r>
            <w:r w:rsidR="00966E0D" w:rsidRPr="00240E5E">
              <w:t>.1.1 yra didesnis, lyginant su įprasta klinikine praktika</w:t>
            </w:r>
          </w:p>
          <w:p w14:paraId="332B9454"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9E633C2"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914471956"/>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MS Gothic" w:eastAsia="MS Gothic" w:hAnsi="MS Gothic" w:hint="eastAsia"/>
                    <w:sz w:val="24"/>
                  </w:rPr>
                  <w:t>☐</w:t>
                </w:r>
              </w:sdtContent>
            </w:sdt>
            <w:r w:rsidR="00966E0D" w:rsidRPr="00240E5E">
              <w:t xml:space="preserve"> </w:t>
            </w:r>
            <w:r w:rsidR="00966E0D" w:rsidRPr="00240E5E">
              <w:rPr>
                <w:rStyle w:val="Style2"/>
                <w:sz w:val="24"/>
              </w:rPr>
              <w:t>29</w:t>
            </w:r>
            <w:r w:rsidR="00966E0D" w:rsidRPr="00240E5E">
              <w:t>.1.2 iš esmės nesiskiria, lyginant su įprasta klinikine praktika</w:t>
            </w:r>
          </w:p>
        </w:tc>
        <w:tc>
          <w:tcPr>
            <w:tcW w:w="4814" w:type="dxa"/>
          </w:tcPr>
          <w:p w14:paraId="7F5C59C3"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4200549"/>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Segoe UI Symbol" w:eastAsia="MS Gothic" w:hAnsi="Segoe UI Symbol" w:cs="Segoe UI Symbol"/>
                    <w:sz w:val="24"/>
                  </w:rPr>
                  <w:t>☐</w:t>
                </w:r>
              </w:sdtContent>
            </w:sdt>
            <w:r w:rsidR="00966E0D" w:rsidRPr="00240E5E">
              <w:t xml:space="preserve"> </w:t>
            </w:r>
            <w:r w:rsidR="00966E0D" w:rsidRPr="00240E5E">
              <w:rPr>
                <w:rStyle w:val="Style2"/>
                <w:sz w:val="24"/>
              </w:rPr>
              <w:t>29</w:t>
            </w:r>
            <w:r w:rsidR="00966E0D" w:rsidRPr="00240E5E">
              <w:t xml:space="preserve">.1.3 yra neįrodytas kaip didesnis  ar iš esmės nesiskiriantis, lyginant su įprasta klinikine praktika  </w:t>
            </w:r>
          </w:p>
          <w:p w14:paraId="14EC8833"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131D7D4"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2178579"/>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Segoe UI Symbol" w:eastAsia="MS Gothic" w:hAnsi="Segoe UI Symbol" w:cs="Segoe UI Symbol"/>
                    <w:sz w:val="24"/>
                  </w:rPr>
                  <w:t>☐</w:t>
                </w:r>
              </w:sdtContent>
            </w:sdt>
            <w:r w:rsidR="00966E0D" w:rsidRPr="00240E5E">
              <w:t xml:space="preserve"> </w:t>
            </w:r>
            <w:r w:rsidR="00966E0D" w:rsidRPr="00240E5E">
              <w:rPr>
                <w:rStyle w:val="Style2"/>
                <w:sz w:val="24"/>
              </w:rPr>
              <w:t>29</w:t>
            </w:r>
            <w:r w:rsidR="00966E0D" w:rsidRPr="00240E5E">
              <w:t>.1.4 yra mažesnis, lyginant su įprasta klinikine praktika</w:t>
            </w:r>
          </w:p>
          <w:p w14:paraId="0031CEEA"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1DB93E5"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65324558"/>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Segoe UI Symbol" w:eastAsia="MS Gothic" w:hAnsi="Segoe UI Symbol" w:cs="Segoe UI Symbol"/>
                    <w:sz w:val="24"/>
                  </w:rPr>
                  <w:t>☐</w:t>
                </w:r>
              </w:sdtContent>
            </w:sdt>
            <w:r w:rsidR="00966E0D" w:rsidRPr="00240E5E">
              <w:t xml:space="preserve">  </w:t>
            </w:r>
            <w:r w:rsidR="00966E0D" w:rsidRPr="00240E5E">
              <w:rPr>
                <w:rStyle w:val="Style2"/>
                <w:sz w:val="24"/>
              </w:rPr>
              <w:t>29</w:t>
            </w:r>
            <w:r w:rsidR="00966E0D" w:rsidRPr="00240E5E">
              <w:t>.1.5 pateikti duomenys apie palyginamąjį veiksmingumą yra netinkami vertinti</w:t>
            </w:r>
          </w:p>
          <w:p w14:paraId="2FC5641A"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966E0D" w:rsidRPr="00240E5E" w14:paraId="0F39D1F7" w14:textId="77777777" w:rsidTr="000A10A6">
        <w:trPr>
          <w:trHeight w:val="510"/>
        </w:trPr>
        <w:tc>
          <w:tcPr>
            <w:tcW w:w="9629" w:type="dxa"/>
            <w:gridSpan w:val="2"/>
            <w:vAlign w:val="center"/>
          </w:tcPr>
          <w:p w14:paraId="4447BD66"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787"/>
            <w:r w:rsidRPr="00240E5E">
              <w:rPr>
                <w:rStyle w:val="Style2"/>
                <w:rFonts w:eastAsia="MS Gothic"/>
                <w:b/>
                <w:bCs/>
                <w:sz w:val="24"/>
              </w:rPr>
              <w:t>Kaštų naudingumas</w:t>
            </w:r>
          </w:p>
        </w:tc>
      </w:tr>
      <w:tr w:rsidR="00966E0D" w:rsidRPr="00240E5E" w14:paraId="1D2E346B" w14:textId="77777777" w:rsidTr="000A10A6">
        <w:tc>
          <w:tcPr>
            <w:tcW w:w="4815" w:type="dxa"/>
          </w:tcPr>
          <w:p w14:paraId="3838B763"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966E0D" w:rsidRPr="00240E5E">
                  <w:rPr>
                    <w:rStyle w:val="Style2"/>
                    <w:rFonts w:ascii="MS Gothic" w:eastAsia="MS Gothic" w:hAnsi="MS Gothic" w:hint="eastAsia"/>
                    <w:sz w:val="24"/>
                  </w:rPr>
                  <w:t>☒</w:t>
                </w:r>
              </w:sdtContent>
            </w:sdt>
            <w:r w:rsidR="00966E0D" w:rsidRPr="00240E5E">
              <w:t xml:space="preserve"> 29.2.1 atitinka referencinę naudingumo vertę</w:t>
            </w:r>
          </w:p>
          <w:p w14:paraId="72E035D1"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7D7F80"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Segoe UI Symbol" w:eastAsia="MS Gothic" w:hAnsi="Segoe UI Symbol" w:cs="Segoe UI Symbol"/>
                    <w:sz w:val="24"/>
                  </w:rPr>
                  <w:t>☐</w:t>
                </w:r>
              </w:sdtContent>
            </w:sdt>
            <w:r w:rsidR="00966E0D" w:rsidRPr="00240E5E">
              <w:t xml:space="preserve"> 29.2.2 gydymo juo kaštai yra mažesni ar tokie patys esant iš esmės nesiskiriančiam palyginamajam efektyvumui, taikant arba netaikant  PGS</w:t>
            </w:r>
          </w:p>
        </w:tc>
        <w:tc>
          <w:tcPr>
            <w:tcW w:w="4814" w:type="dxa"/>
          </w:tcPr>
          <w:p w14:paraId="4F910C9E"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MS Gothic" w:eastAsia="MS Gothic" w:hAnsi="MS Gothic" w:hint="eastAsia"/>
                    <w:sz w:val="24"/>
                  </w:rPr>
                  <w:t>☐</w:t>
                </w:r>
              </w:sdtContent>
            </w:sdt>
            <w:r w:rsidR="00966E0D" w:rsidRPr="00240E5E">
              <w:t xml:space="preserve"> 29.2.3 neatitinka referencinės naudingumo vertės taikant arba netaikant PGS</w:t>
            </w:r>
          </w:p>
          <w:p w14:paraId="0A9DEF4E"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F23802"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MS Gothic" w:eastAsia="MS Gothic" w:hAnsi="MS Gothic" w:hint="eastAsia"/>
                    <w:sz w:val="24"/>
                  </w:rPr>
                  <w:t>☐</w:t>
                </w:r>
              </w:sdtContent>
            </w:sdt>
            <w:r w:rsidR="00966E0D" w:rsidRPr="00240E5E">
              <w:t xml:space="preserve"> 29.2.4 gydymo juo kaštai yra didesni esant iš esmės nesiskiriančiam palyginamajam veiksmingumui, taikant arba netaikant PGS</w:t>
            </w:r>
          </w:p>
          <w:p w14:paraId="525B992A"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F0FC470" w14:textId="77777777" w:rsidR="00966E0D" w:rsidRPr="00240E5E" w:rsidRDefault="00C65582"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966E0D" w:rsidRPr="00240E5E">
                  <w:rPr>
                    <w:rStyle w:val="Style2"/>
                    <w:rFonts w:ascii="Segoe UI Symbol" w:eastAsia="MS Gothic" w:hAnsi="Segoe UI Symbol" w:cs="Segoe UI Symbol"/>
                    <w:sz w:val="24"/>
                  </w:rPr>
                  <w:t>☐</w:t>
                </w:r>
              </w:sdtContent>
            </w:sdt>
            <w:r w:rsidR="00966E0D" w:rsidRPr="00240E5E">
              <w:t xml:space="preserve"> 29.2.5 pateikti duomenys apie kaštų naudingumą yra netinkami vertinti</w:t>
            </w:r>
          </w:p>
          <w:p w14:paraId="3AEFD0E8" w14:textId="77777777" w:rsidR="00966E0D" w:rsidRPr="00240E5E" w:rsidRDefault="00966E0D" w:rsidP="000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bookmarkEnd w:id="1"/>
    </w:tbl>
    <w:p w14:paraId="628E8233" w14:textId="77777777" w:rsidR="00966E0D" w:rsidRPr="009E3C57" w:rsidRDefault="00966E0D" w:rsidP="00543E23">
      <w:pPr>
        <w:spacing w:line="276" w:lineRule="auto"/>
        <w:jc w:val="both"/>
        <w:rPr>
          <w:rFonts w:eastAsia="Arial"/>
        </w:rPr>
      </w:pPr>
    </w:p>
    <w:p w14:paraId="3B2D1F25" w14:textId="7603C571" w:rsidR="000001B0" w:rsidRPr="009E3C57" w:rsidRDefault="00D77027" w:rsidP="00D77027">
      <w:pPr>
        <w:spacing w:line="276" w:lineRule="auto"/>
        <w:jc w:val="both"/>
      </w:pPr>
      <w:r w:rsidRPr="009E3C57">
        <w:rPr>
          <w:rFonts w:eastAsia="Arial"/>
          <w:b/>
          <w:szCs w:val="22"/>
        </w:rPr>
        <w:t>R</w:t>
      </w:r>
      <w:r w:rsidR="000001B0" w:rsidRPr="009E3C57">
        <w:rPr>
          <w:b/>
        </w:rPr>
        <w:t>EKOME</w:t>
      </w:r>
      <w:r w:rsidR="00D83182" w:rsidRPr="009E3C57">
        <w:rPr>
          <w:b/>
        </w:rPr>
        <w:t>N</w:t>
      </w:r>
      <w:r w:rsidR="000001B0" w:rsidRPr="009E3C57">
        <w:rPr>
          <w:b/>
        </w:rPr>
        <w:t>DACIJA</w:t>
      </w:r>
    </w:p>
    <w:p w14:paraId="7D5C6700" w14:textId="77777777" w:rsidR="00D5470B" w:rsidRPr="009E3C57" w:rsidRDefault="00D5470B" w:rsidP="00C712EA">
      <w:pPr>
        <w:pStyle w:val="Sraopastraipa"/>
        <w:ind w:left="426"/>
      </w:pPr>
    </w:p>
    <w:p w14:paraId="2D6B8093" w14:textId="77777777" w:rsidR="00B038FC" w:rsidRDefault="00B038FC" w:rsidP="00B038FC">
      <w:pPr>
        <w:spacing w:line="276" w:lineRule="auto"/>
        <w:jc w:val="both"/>
        <w:rPr>
          <w:color w:val="000000"/>
          <w:lang w:eastAsia="lt-LT"/>
        </w:rPr>
      </w:pPr>
      <w:bookmarkStart w:id="2" w:name="_Hlk201006303"/>
      <w:r>
        <w:t>V</w:t>
      </w:r>
      <w:r w:rsidRPr="002A024D">
        <w:t>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t xml:space="preserve"> (toliau -Aprašas) </w:t>
      </w:r>
      <w:r w:rsidRPr="00471EC6">
        <w:rPr>
          <w:color w:val="000000"/>
          <w:lang w:eastAsia="lt-LT"/>
        </w:rPr>
        <w:t>30</w:t>
      </w:r>
      <w:r w:rsidRPr="00471EC6">
        <w:rPr>
          <w:color w:val="000000"/>
          <w:vertAlign w:val="superscript"/>
          <w:lang w:eastAsia="lt-LT"/>
        </w:rPr>
        <w:t>1</w:t>
      </w:r>
      <w:r w:rsidRPr="00471EC6">
        <w:rPr>
          <w:color w:val="000000"/>
          <w:lang w:eastAsia="lt-LT"/>
        </w:rPr>
        <w:t>.</w:t>
      </w:r>
      <w:r>
        <w:rPr>
          <w:color w:val="000000"/>
          <w:lang w:eastAsia="lt-LT"/>
        </w:rPr>
        <w:t>5</w:t>
      </w:r>
      <w:r w:rsidRPr="00471EC6">
        <w:rPr>
          <w:color w:val="000000"/>
          <w:lang w:eastAsia="lt-LT"/>
        </w:rPr>
        <w:t>.</w:t>
      </w:r>
      <w:r>
        <w:rPr>
          <w:color w:val="000000"/>
          <w:lang w:eastAsia="lt-LT"/>
        </w:rPr>
        <w:t xml:space="preserve"> punktu, </w:t>
      </w:r>
      <w:r w:rsidRPr="00030268">
        <w:rPr>
          <w:color w:val="000000"/>
          <w:lang w:eastAsia="lt-LT"/>
        </w:rPr>
        <w:t xml:space="preserve">kai vertinimo išvados atitinka Aprašo 29.1.2 </w:t>
      </w:r>
      <w:r w:rsidRPr="0007518A">
        <w:rPr>
          <w:lang w:eastAsia="lt-LT"/>
        </w:rPr>
        <w:t xml:space="preserve">ir 29.2.1 </w:t>
      </w:r>
      <w:r w:rsidRPr="00030268">
        <w:rPr>
          <w:color w:val="000000"/>
          <w:lang w:eastAsia="lt-LT"/>
        </w:rPr>
        <w:t>papunk</w:t>
      </w:r>
      <w:r>
        <w:rPr>
          <w:color w:val="000000"/>
          <w:lang w:eastAsia="lt-LT"/>
        </w:rPr>
        <w:t>čiuose</w:t>
      </w:r>
      <w:r w:rsidRPr="00030268">
        <w:rPr>
          <w:color w:val="000000"/>
          <w:lang w:eastAsia="lt-LT"/>
        </w:rPr>
        <w:t xml:space="preserve"> numatytas sąlygas</w:t>
      </w:r>
      <w:r>
        <w:rPr>
          <w:color w:val="000000"/>
          <w:lang w:eastAsia="lt-LT"/>
        </w:rPr>
        <w:t>, siūloma</w:t>
      </w:r>
      <w:r w:rsidRPr="00471EC6">
        <w:rPr>
          <w:color w:val="000000"/>
          <w:lang w:eastAsia="lt-LT"/>
        </w:rPr>
        <w:t xml:space="preserve"> kompensuoti vaistinį preparatą pagal paraiškoje nurodytą indikaciją </w:t>
      </w:r>
      <w:r>
        <w:rPr>
          <w:color w:val="000000"/>
          <w:lang w:eastAsia="lt-LT"/>
        </w:rPr>
        <w:t>su skyrimo sąlygomis.</w:t>
      </w:r>
    </w:p>
    <w:bookmarkEnd w:id="2"/>
    <w:p w14:paraId="06BC01EE" w14:textId="44333E0B" w:rsidR="000723FF" w:rsidRPr="009E3C57" w:rsidRDefault="000723FF" w:rsidP="00381024"/>
    <w:p w14:paraId="18B4292E" w14:textId="52B7A138" w:rsidR="000723FF" w:rsidRPr="009E3C57" w:rsidRDefault="00CC09D4" w:rsidP="00CC09D4">
      <w:pPr>
        <w:tabs>
          <w:tab w:val="left" w:pos="567"/>
        </w:tabs>
        <w:ind w:left="567" w:hanging="567"/>
        <w:jc w:val="both"/>
        <w:rPr>
          <w:b/>
          <w:lang w:eastAsia="lt-LT"/>
        </w:rPr>
      </w:pPr>
      <w:r w:rsidRPr="009E3C57">
        <w:rPr>
          <w:b/>
          <w:lang w:eastAsia="lt-LT"/>
        </w:rPr>
        <w:t>8.</w:t>
      </w:r>
      <w:r w:rsidRPr="009E3C57">
        <w:rPr>
          <w:b/>
          <w:lang w:eastAsia="lt-LT"/>
        </w:rPr>
        <w:tab/>
      </w:r>
      <w:r w:rsidR="000723FF" w:rsidRPr="009E3C57">
        <w:rPr>
          <w:b/>
          <w:lang w:eastAsia="lt-LT"/>
        </w:rPr>
        <w:t>SIŪLOMOS KOMPENSUOTI TERAPINĖS INDIKACIJOS IR SKYRIMO SĄLYGOS</w:t>
      </w:r>
    </w:p>
    <w:p w14:paraId="691340BB" w14:textId="77777777" w:rsidR="000723FF" w:rsidRPr="009E3C57" w:rsidRDefault="000723FF" w:rsidP="000723FF">
      <w:pPr>
        <w:tabs>
          <w:tab w:val="left" w:pos="426"/>
        </w:tabs>
        <w:jc w:val="both"/>
        <w:rPr>
          <w:b/>
          <w:lang w:eastAsia="lt-LT"/>
        </w:rPr>
      </w:pPr>
    </w:p>
    <w:p w14:paraId="7FD26547" w14:textId="77777777" w:rsidR="00751DC7" w:rsidRPr="009E3C57" w:rsidRDefault="00751DC7" w:rsidP="00751DC7">
      <w:pPr>
        <w:pStyle w:val="Betarp"/>
        <w:spacing w:line="276" w:lineRule="auto"/>
        <w:jc w:val="both"/>
        <w:rPr>
          <w:rFonts w:ascii="Times New Roman" w:hAnsi="Times New Roman"/>
          <w:b/>
          <w:sz w:val="24"/>
          <w:szCs w:val="24"/>
          <w:lang w:eastAsia="lt-LT"/>
        </w:rPr>
      </w:pPr>
      <w:r w:rsidRPr="009E3C57">
        <w:rPr>
          <w:rFonts w:ascii="Times New Roman" w:hAnsi="Times New Roman"/>
          <w:b/>
          <w:sz w:val="24"/>
          <w:szCs w:val="24"/>
          <w:lang w:eastAsia="lt-LT"/>
        </w:rPr>
        <w:t>Terapinės indikacijos</w:t>
      </w:r>
    </w:p>
    <w:p w14:paraId="458443E9" w14:textId="77777777" w:rsidR="00751DC7" w:rsidRPr="009E3C57" w:rsidRDefault="00C65582" w:rsidP="00751DC7">
      <w:pPr>
        <w:pStyle w:val="Betarp"/>
        <w:spacing w:line="276" w:lineRule="auto"/>
        <w:jc w:val="both"/>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751DC7" w:rsidRPr="009E3C57">
            <w:rPr>
              <w:rStyle w:val="Style2"/>
              <w:rFonts w:ascii="MS Gothic" w:eastAsia="MS Gothic" w:hAnsi="MS Gothic"/>
              <w:sz w:val="24"/>
              <w:szCs w:val="24"/>
            </w:rPr>
            <w:t>☒</w:t>
          </w:r>
        </w:sdtContent>
      </w:sdt>
      <w:r w:rsidR="00751DC7" w:rsidRPr="009E3C57">
        <w:rPr>
          <w:rFonts w:ascii="Times New Roman" w:hAnsi="Times New Roman"/>
          <w:sz w:val="24"/>
          <w:szCs w:val="24"/>
        </w:rPr>
        <w:t xml:space="preserve"> Siūloma kompensuoti Pareiškėjo teikiamą indikaciją be pakeitimų.</w:t>
      </w:r>
    </w:p>
    <w:p w14:paraId="7E2E29DE" w14:textId="77777777" w:rsidR="00751DC7" w:rsidRPr="009E3C57" w:rsidRDefault="00751DC7" w:rsidP="009E3C57">
      <w:pPr>
        <w:spacing w:line="276" w:lineRule="auto"/>
        <w:jc w:val="both"/>
        <w:rPr>
          <w:lang w:eastAsia="lt-LT"/>
        </w:rPr>
      </w:pPr>
      <w:r w:rsidRPr="009E3C57">
        <w:rPr>
          <w:lang w:eastAsia="lt-LT"/>
        </w:rPr>
        <w:t>Trifluridinas/tipiracilas kartu su bevacizumabu skirtas gydyti suaugusiems metastazavusiu gaubtinės ir tiesiosios žarnos vėžiu (GTV) sergantiems pacientams, kuriems anksčiau buvo taikytos dvi vėžio gydymo schemos, įskaitant chemoterapiją, kurios pagrindą sudaro fluoropirimidinas, oksaliplatina ir irinotekanas, ir gydymą vaistiniais preparatais prieš kraujagyslių endotelio augimo faktorių (KEAF) bei (arba) vaistiniais preparatais prieš epidermio augimo faktoriaus receptorius (EAFR).</w:t>
      </w:r>
    </w:p>
    <w:p w14:paraId="42FCCBF4" w14:textId="77777777" w:rsidR="00751DC7" w:rsidRPr="009E3C57" w:rsidRDefault="00751DC7" w:rsidP="00751DC7">
      <w:pPr>
        <w:pStyle w:val="Betarp"/>
        <w:spacing w:line="276" w:lineRule="auto"/>
        <w:jc w:val="both"/>
        <w:rPr>
          <w:rFonts w:ascii="Times New Roman" w:hAnsi="Times New Roman"/>
          <w:sz w:val="24"/>
          <w:szCs w:val="24"/>
        </w:rPr>
      </w:pPr>
    </w:p>
    <w:p w14:paraId="772929C7" w14:textId="77777777" w:rsidR="00751DC7" w:rsidRPr="009E3C57" w:rsidRDefault="00751DC7" w:rsidP="00751DC7">
      <w:pPr>
        <w:pStyle w:val="Betarp"/>
        <w:spacing w:line="276" w:lineRule="auto"/>
        <w:jc w:val="both"/>
        <w:rPr>
          <w:rFonts w:ascii="Times New Roman" w:hAnsi="Times New Roman"/>
          <w:b/>
          <w:sz w:val="24"/>
          <w:szCs w:val="24"/>
        </w:rPr>
      </w:pPr>
      <w:r w:rsidRPr="009E3C57">
        <w:rPr>
          <w:rFonts w:ascii="Times New Roman" w:hAnsi="Times New Roman"/>
          <w:b/>
          <w:sz w:val="24"/>
          <w:szCs w:val="24"/>
        </w:rPr>
        <w:t>Skyrimo sąlygos</w:t>
      </w:r>
    </w:p>
    <w:p w14:paraId="0134A4D8" w14:textId="77777777" w:rsidR="00751DC7" w:rsidRPr="009E3C57" w:rsidRDefault="00C65582" w:rsidP="00751DC7">
      <w:pPr>
        <w:pStyle w:val="Betarp"/>
        <w:spacing w:line="276" w:lineRule="auto"/>
        <w:jc w:val="both"/>
        <w:rPr>
          <w:rFonts w:ascii="Times New Roman" w:hAnsi="Times New Roman"/>
          <w:sz w:val="24"/>
          <w:szCs w:val="24"/>
        </w:rPr>
      </w:pPr>
      <w:sdt>
        <w:sdtPr>
          <w:rPr>
            <w:rStyle w:val="Style2"/>
            <w:rFonts w:ascii="Times New Roman" w:hAnsi="Times New Roman"/>
            <w:sz w:val="24"/>
            <w:szCs w:val="24"/>
          </w:rPr>
          <w:id w:val="169305347"/>
          <w15:color w:val="FFCC00"/>
          <w14:checkbox>
            <w14:checked w14:val="1"/>
            <w14:checkedState w14:val="2612" w14:font="MS Gothic"/>
            <w14:uncheckedState w14:val="2610" w14:font="MS Gothic"/>
          </w14:checkbox>
        </w:sdtPr>
        <w:sdtEndPr>
          <w:rPr>
            <w:rStyle w:val="Style2"/>
          </w:rPr>
        </w:sdtEndPr>
        <w:sdtContent>
          <w:r w:rsidR="00751DC7" w:rsidRPr="009E3C57">
            <w:rPr>
              <w:rStyle w:val="Style2"/>
              <w:rFonts w:ascii="MS Gothic" w:eastAsia="MS Gothic" w:hAnsi="MS Gothic"/>
              <w:sz w:val="24"/>
              <w:szCs w:val="24"/>
            </w:rPr>
            <w:t>☒</w:t>
          </w:r>
        </w:sdtContent>
      </w:sdt>
      <w:r w:rsidR="00751DC7" w:rsidRPr="009E3C57">
        <w:rPr>
          <w:rFonts w:ascii="Times New Roman" w:hAnsi="Times New Roman"/>
          <w:sz w:val="24"/>
          <w:szCs w:val="24"/>
        </w:rPr>
        <w:t xml:space="preserve"> Pareiškėjo siūlomos skyrimo sąlygos priimtinos. </w:t>
      </w:r>
    </w:p>
    <w:p w14:paraId="3B420143" w14:textId="6DB74A82" w:rsidR="00B00F45" w:rsidRPr="009E0440" w:rsidRDefault="009E3C57" w:rsidP="00B00F45">
      <w:pPr>
        <w:pStyle w:val="Betarp"/>
        <w:spacing w:line="276" w:lineRule="auto"/>
        <w:jc w:val="both"/>
        <w:rPr>
          <w:rStyle w:val="Style2"/>
          <w:rFonts w:ascii="Times New Roman" w:hAnsi="Times New Roman"/>
          <w:sz w:val="24"/>
          <w:szCs w:val="24"/>
        </w:rPr>
      </w:pPr>
      <w:r w:rsidRPr="009E0440">
        <w:rPr>
          <w:rStyle w:val="Style2"/>
          <w:rFonts w:ascii="Times New Roman" w:hAnsi="Times New Roman"/>
          <w:sz w:val="24"/>
          <w:szCs w:val="24"/>
        </w:rPr>
        <w:lastRenderedPageBreak/>
        <w:t>Skiriamas</w:t>
      </w:r>
      <w:r w:rsidR="00B00F45" w:rsidRPr="009E0440">
        <w:rPr>
          <w:rStyle w:val="Style2"/>
          <w:rFonts w:ascii="Times New Roman" w:hAnsi="Times New Roman"/>
          <w:sz w:val="24"/>
          <w:szCs w:val="24"/>
        </w:rPr>
        <w:t xml:space="preserve"> monoterapij</w:t>
      </w:r>
      <w:r w:rsidRPr="009E0440">
        <w:rPr>
          <w:rStyle w:val="Style2"/>
          <w:rFonts w:ascii="Times New Roman" w:hAnsi="Times New Roman"/>
          <w:sz w:val="24"/>
          <w:szCs w:val="24"/>
        </w:rPr>
        <w:t>ai</w:t>
      </w:r>
      <w:r w:rsidR="00B00F45" w:rsidRPr="009E0440">
        <w:rPr>
          <w:rStyle w:val="Style2"/>
          <w:rFonts w:ascii="Times New Roman" w:hAnsi="Times New Roman"/>
          <w:sz w:val="24"/>
          <w:szCs w:val="24"/>
        </w:rPr>
        <w:t xml:space="preserve"> arba derinyje su bevacizumabu suaugusių pacientų, sergančių metastazavusiu gaubtinės ir tiesiosios žarnos vėžiu gydymui, kai anksčiau šios būklės gydymui buvo taikytos dvi vėžio gydymo schemos.</w:t>
      </w:r>
    </w:p>
    <w:p w14:paraId="7CDFF220" w14:textId="58191D98" w:rsidR="000723FF" w:rsidRPr="009E3C57" w:rsidRDefault="000723FF" w:rsidP="00824B92">
      <w:pPr>
        <w:rPr>
          <w:b/>
        </w:rPr>
      </w:pPr>
    </w:p>
    <w:p w14:paraId="356477F6" w14:textId="6AE41BFF" w:rsidR="00B00F45" w:rsidRPr="009E3C57" w:rsidRDefault="009E3C57" w:rsidP="00824B92">
      <w:pPr>
        <w:rPr>
          <w:b/>
        </w:rPr>
      </w:pPr>
      <w:r w:rsidRPr="00966E0D">
        <w:rPr>
          <w:b/>
        </w:rPr>
        <w:t>Pastabos</w:t>
      </w:r>
    </w:p>
    <w:p w14:paraId="29CE9BA9" w14:textId="77777777" w:rsidR="00B00F45" w:rsidRPr="009E3C57" w:rsidRDefault="00B00F45" w:rsidP="00824B92">
      <w:pPr>
        <w:rPr>
          <w:b/>
        </w:rPr>
      </w:pPr>
    </w:p>
    <w:p w14:paraId="20FB95FC" w14:textId="715BD890" w:rsidR="00B00F45" w:rsidRPr="009E0440" w:rsidRDefault="00B00F45" w:rsidP="00975D0B">
      <w:pPr>
        <w:spacing w:line="276" w:lineRule="auto"/>
        <w:jc w:val="both"/>
        <w:rPr>
          <w:bCs/>
        </w:rPr>
      </w:pPr>
      <w:r w:rsidRPr="009E0440">
        <w:rPr>
          <w:bCs/>
        </w:rPr>
        <w:t>Įtraukus LONSURF (</w:t>
      </w:r>
      <w:r w:rsidR="00966E0D">
        <w:rPr>
          <w:bCs/>
        </w:rPr>
        <w:t>t</w:t>
      </w:r>
      <w:r w:rsidRPr="009E0440">
        <w:rPr>
          <w:bCs/>
        </w:rPr>
        <w:t>rifluridinas/</w:t>
      </w:r>
      <w:r w:rsidR="00966E0D">
        <w:rPr>
          <w:bCs/>
        </w:rPr>
        <w:t>t</w:t>
      </w:r>
      <w:r w:rsidRPr="009E0440">
        <w:rPr>
          <w:bCs/>
        </w:rPr>
        <w:t>ipiracilas) į kompensuojamų vaistų sąrašą, būtina</w:t>
      </w:r>
      <w:r w:rsidR="00966E0D">
        <w:rPr>
          <w:bCs/>
        </w:rPr>
        <w:t xml:space="preserve"> atnaujinti </w:t>
      </w:r>
      <w:r w:rsidR="00966E0D">
        <w:t>Lietuvos Respublikos sveikatos apsaugos</w:t>
      </w:r>
      <w:r w:rsidR="00966E0D" w:rsidRPr="0007518A">
        <w:t xml:space="preserve"> ministro įsakym</w:t>
      </w:r>
      <w:r w:rsidR="00966E0D">
        <w:t>u</w:t>
      </w:r>
      <w:r w:rsidR="00966E0D" w:rsidRPr="0007518A">
        <w:t xml:space="preserve"> „Dėl storosios (gaubtinės) žarnos piktybinio naviko, tiesiosios ir riestinės gaubtinės žarnos jungties piktybinio naviko ir tiesiosios žarnos piktybinio naviko diagnostikos ir gydymo tvarkos aprašo patvirtinimo“ </w:t>
      </w:r>
      <w:r w:rsidR="00966E0D" w:rsidRPr="004841D0">
        <w:rPr>
          <w:rFonts w:eastAsia="Arial"/>
        </w:rPr>
        <w:t>2018-06-06</w:t>
      </w:r>
      <w:r w:rsidR="00966E0D">
        <w:rPr>
          <w:rFonts w:eastAsia="Arial"/>
        </w:rPr>
        <w:t>,</w:t>
      </w:r>
      <w:r w:rsidR="00966E0D" w:rsidRPr="004841D0">
        <w:rPr>
          <w:rFonts w:eastAsia="Arial"/>
        </w:rPr>
        <w:t xml:space="preserve"> </w:t>
      </w:r>
      <w:r w:rsidR="00966E0D">
        <w:rPr>
          <w:rFonts w:eastAsia="Arial"/>
        </w:rPr>
        <w:t xml:space="preserve">Nr. </w:t>
      </w:r>
      <w:r w:rsidR="00966E0D" w:rsidRPr="004841D0">
        <w:rPr>
          <w:rFonts w:eastAsia="Arial"/>
        </w:rPr>
        <w:t xml:space="preserve">V-657 </w:t>
      </w:r>
      <w:r w:rsidR="00966E0D">
        <w:rPr>
          <w:rFonts w:eastAsia="Arial"/>
        </w:rPr>
        <w:t>patvirtintą</w:t>
      </w:r>
      <w:r w:rsidRPr="009E0440">
        <w:rPr>
          <w:bCs/>
        </w:rPr>
        <w:t xml:space="preserve"> </w:t>
      </w:r>
      <w:bookmarkStart w:id="3" w:name="_Hlk205842224"/>
      <w:r w:rsidR="00966E0D">
        <w:rPr>
          <w:bCs/>
        </w:rPr>
        <w:t>S</w:t>
      </w:r>
      <w:r w:rsidR="00966E0D" w:rsidRPr="00966E0D">
        <w:rPr>
          <w:bCs/>
        </w:rPr>
        <w:t>torosios (gaubtinės) žarnos piktybinio naviko,</w:t>
      </w:r>
      <w:r w:rsidR="00966E0D">
        <w:rPr>
          <w:bCs/>
        </w:rPr>
        <w:t xml:space="preserve"> </w:t>
      </w:r>
      <w:r w:rsidR="00966E0D" w:rsidRPr="00966E0D">
        <w:rPr>
          <w:bCs/>
        </w:rPr>
        <w:t>tiesiosios ir riestinės gaubtinės žarnos jungties piktybinio naviko ir tiesiosios žarnos piktybinio naviko</w:t>
      </w:r>
      <w:r w:rsidR="00966E0D">
        <w:rPr>
          <w:bCs/>
        </w:rPr>
        <w:t xml:space="preserve"> </w:t>
      </w:r>
      <w:r w:rsidR="00966E0D" w:rsidRPr="00966E0D">
        <w:rPr>
          <w:bCs/>
        </w:rPr>
        <w:t>diagnostikos ir gydymo tvarkos apraš</w:t>
      </w:r>
      <w:r w:rsidR="00966E0D">
        <w:rPr>
          <w:bCs/>
        </w:rPr>
        <w:t>ą</w:t>
      </w:r>
      <w:r w:rsidRPr="009E0440">
        <w:rPr>
          <w:bCs/>
        </w:rPr>
        <w:t>.</w:t>
      </w:r>
      <w:r w:rsidR="00966E0D">
        <w:rPr>
          <w:bCs/>
        </w:rPr>
        <w:t xml:space="preserve"> </w:t>
      </w:r>
      <w:bookmarkEnd w:id="3"/>
    </w:p>
    <w:sectPr w:rsidR="00B00F45" w:rsidRPr="009E0440"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4DFD" w14:textId="77777777" w:rsidR="00DC27B8" w:rsidRDefault="00DC27B8">
      <w:r>
        <w:separator/>
      </w:r>
    </w:p>
  </w:endnote>
  <w:endnote w:type="continuationSeparator" w:id="0">
    <w:p w14:paraId="30C0B6C4" w14:textId="77777777" w:rsidR="00DC27B8" w:rsidRDefault="00DC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FE24" w14:textId="77777777" w:rsidR="00DC27B8" w:rsidRDefault="00DC27B8">
      <w:r>
        <w:separator/>
      </w:r>
    </w:p>
  </w:footnote>
  <w:footnote w:type="continuationSeparator" w:id="0">
    <w:p w14:paraId="61DF48EF" w14:textId="77777777" w:rsidR="00DC27B8" w:rsidRDefault="00DC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2B2ACA72"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7027">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79D2DBD2"/>
    <w:lvl w:ilvl="0">
      <w:start w:val="1"/>
      <w:numFmt w:val="decimal"/>
      <w:lvlText w:val="%1."/>
      <w:lvlJc w:val="left"/>
      <w:pPr>
        <w:ind w:left="72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8988902">
    <w:abstractNumId w:val="7"/>
  </w:num>
  <w:num w:numId="2" w16cid:durableId="103620398">
    <w:abstractNumId w:val="1"/>
  </w:num>
  <w:num w:numId="3" w16cid:durableId="1667245507">
    <w:abstractNumId w:val="9"/>
  </w:num>
  <w:num w:numId="4" w16cid:durableId="1858036850">
    <w:abstractNumId w:val="8"/>
  </w:num>
  <w:num w:numId="5" w16cid:durableId="780300081">
    <w:abstractNumId w:val="5"/>
  </w:num>
  <w:num w:numId="6" w16cid:durableId="993529723">
    <w:abstractNumId w:val="4"/>
  </w:num>
  <w:num w:numId="7" w16cid:durableId="836992122">
    <w:abstractNumId w:val="3"/>
  </w:num>
  <w:num w:numId="8" w16cid:durableId="1774546523">
    <w:abstractNumId w:val="12"/>
  </w:num>
  <w:num w:numId="9" w16cid:durableId="163709852">
    <w:abstractNumId w:val="0"/>
  </w:num>
  <w:num w:numId="10" w16cid:durableId="1233542407">
    <w:abstractNumId w:val="10"/>
  </w:num>
  <w:num w:numId="11" w16cid:durableId="81218087">
    <w:abstractNumId w:val="11"/>
  </w:num>
  <w:num w:numId="12" w16cid:durableId="1223756926">
    <w:abstractNumId w:val="2"/>
  </w:num>
  <w:num w:numId="13" w16cid:durableId="2037805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47D"/>
    <w:rsid w:val="000908A5"/>
    <w:rsid w:val="00092805"/>
    <w:rsid w:val="000C454C"/>
    <w:rsid w:val="000D1D33"/>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965C5"/>
    <w:rsid w:val="001B3C5B"/>
    <w:rsid w:val="001C2727"/>
    <w:rsid w:val="001D746F"/>
    <w:rsid w:val="001E4BBB"/>
    <w:rsid w:val="001E6304"/>
    <w:rsid w:val="00200C53"/>
    <w:rsid w:val="0020381E"/>
    <w:rsid w:val="00213471"/>
    <w:rsid w:val="00215906"/>
    <w:rsid w:val="00235D72"/>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2825"/>
    <w:rsid w:val="00317B0E"/>
    <w:rsid w:val="00347FAA"/>
    <w:rsid w:val="0035172D"/>
    <w:rsid w:val="0036187D"/>
    <w:rsid w:val="00367EDB"/>
    <w:rsid w:val="00381024"/>
    <w:rsid w:val="00386307"/>
    <w:rsid w:val="003874DE"/>
    <w:rsid w:val="00393E9F"/>
    <w:rsid w:val="0039696E"/>
    <w:rsid w:val="003A1129"/>
    <w:rsid w:val="003B211A"/>
    <w:rsid w:val="003C141F"/>
    <w:rsid w:val="003C4786"/>
    <w:rsid w:val="003C6B0E"/>
    <w:rsid w:val="003C7257"/>
    <w:rsid w:val="003C7E35"/>
    <w:rsid w:val="003D1877"/>
    <w:rsid w:val="003D1E99"/>
    <w:rsid w:val="003D6208"/>
    <w:rsid w:val="003D7AA1"/>
    <w:rsid w:val="00404E8A"/>
    <w:rsid w:val="0040622F"/>
    <w:rsid w:val="00413F24"/>
    <w:rsid w:val="00422853"/>
    <w:rsid w:val="00423160"/>
    <w:rsid w:val="00425088"/>
    <w:rsid w:val="00431C47"/>
    <w:rsid w:val="004537D0"/>
    <w:rsid w:val="00453862"/>
    <w:rsid w:val="0045469B"/>
    <w:rsid w:val="00461338"/>
    <w:rsid w:val="00466E26"/>
    <w:rsid w:val="004677DB"/>
    <w:rsid w:val="0047414A"/>
    <w:rsid w:val="00476256"/>
    <w:rsid w:val="0048630F"/>
    <w:rsid w:val="004947A1"/>
    <w:rsid w:val="0049482A"/>
    <w:rsid w:val="004979D3"/>
    <w:rsid w:val="004A00E7"/>
    <w:rsid w:val="004A3A61"/>
    <w:rsid w:val="004B205D"/>
    <w:rsid w:val="004B59BA"/>
    <w:rsid w:val="004B5A03"/>
    <w:rsid w:val="004C263A"/>
    <w:rsid w:val="004D44A4"/>
    <w:rsid w:val="004D48A6"/>
    <w:rsid w:val="004D7B8F"/>
    <w:rsid w:val="004E6458"/>
    <w:rsid w:val="004E6E7D"/>
    <w:rsid w:val="004F1AAC"/>
    <w:rsid w:val="004F1AE2"/>
    <w:rsid w:val="004F34F0"/>
    <w:rsid w:val="004F3B2B"/>
    <w:rsid w:val="004F6050"/>
    <w:rsid w:val="005005EF"/>
    <w:rsid w:val="005123C2"/>
    <w:rsid w:val="0052144B"/>
    <w:rsid w:val="00524066"/>
    <w:rsid w:val="00533541"/>
    <w:rsid w:val="00534E11"/>
    <w:rsid w:val="005378D8"/>
    <w:rsid w:val="005400D9"/>
    <w:rsid w:val="00543E23"/>
    <w:rsid w:val="005476A4"/>
    <w:rsid w:val="0055019B"/>
    <w:rsid w:val="00556E63"/>
    <w:rsid w:val="005601A4"/>
    <w:rsid w:val="005669BD"/>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29DE"/>
    <w:rsid w:val="006E33F6"/>
    <w:rsid w:val="006F1251"/>
    <w:rsid w:val="006F1C23"/>
    <w:rsid w:val="00702C18"/>
    <w:rsid w:val="00703166"/>
    <w:rsid w:val="00704571"/>
    <w:rsid w:val="007127F3"/>
    <w:rsid w:val="00721275"/>
    <w:rsid w:val="007301CF"/>
    <w:rsid w:val="007316FB"/>
    <w:rsid w:val="00734DF9"/>
    <w:rsid w:val="007374D0"/>
    <w:rsid w:val="00737E2D"/>
    <w:rsid w:val="007424D5"/>
    <w:rsid w:val="00750A88"/>
    <w:rsid w:val="00751DC7"/>
    <w:rsid w:val="007523DD"/>
    <w:rsid w:val="0075528F"/>
    <w:rsid w:val="00757B7E"/>
    <w:rsid w:val="007656B2"/>
    <w:rsid w:val="0077016F"/>
    <w:rsid w:val="007713AD"/>
    <w:rsid w:val="00795DC5"/>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899"/>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122E1"/>
    <w:rsid w:val="0092297E"/>
    <w:rsid w:val="00923651"/>
    <w:rsid w:val="00927B56"/>
    <w:rsid w:val="009341BF"/>
    <w:rsid w:val="00937907"/>
    <w:rsid w:val="00941739"/>
    <w:rsid w:val="00943E06"/>
    <w:rsid w:val="00951573"/>
    <w:rsid w:val="00963003"/>
    <w:rsid w:val="00966E0D"/>
    <w:rsid w:val="00966EEF"/>
    <w:rsid w:val="00971B28"/>
    <w:rsid w:val="00973567"/>
    <w:rsid w:val="00975D0B"/>
    <w:rsid w:val="00983471"/>
    <w:rsid w:val="009909AB"/>
    <w:rsid w:val="00997A8D"/>
    <w:rsid w:val="009B37DB"/>
    <w:rsid w:val="009C793D"/>
    <w:rsid w:val="009C7A8C"/>
    <w:rsid w:val="009D23F9"/>
    <w:rsid w:val="009D4FA8"/>
    <w:rsid w:val="009E0440"/>
    <w:rsid w:val="009E3C57"/>
    <w:rsid w:val="009E44AE"/>
    <w:rsid w:val="009E6CD6"/>
    <w:rsid w:val="009F4D66"/>
    <w:rsid w:val="00A00C3C"/>
    <w:rsid w:val="00A01091"/>
    <w:rsid w:val="00A042B9"/>
    <w:rsid w:val="00A06DBB"/>
    <w:rsid w:val="00A22ADF"/>
    <w:rsid w:val="00A31E86"/>
    <w:rsid w:val="00A54D87"/>
    <w:rsid w:val="00A5553C"/>
    <w:rsid w:val="00A67712"/>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0F45"/>
    <w:rsid w:val="00B038FC"/>
    <w:rsid w:val="00B03C00"/>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630AE"/>
    <w:rsid w:val="00C65582"/>
    <w:rsid w:val="00C7012C"/>
    <w:rsid w:val="00C712EA"/>
    <w:rsid w:val="00C8605C"/>
    <w:rsid w:val="00CA217D"/>
    <w:rsid w:val="00CC09D4"/>
    <w:rsid w:val="00CC668D"/>
    <w:rsid w:val="00CC7832"/>
    <w:rsid w:val="00CF0C1C"/>
    <w:rsid w:val="00CF27FD"/>
    <w:rsid w:val="00CF5F12"/>
    <w:rsid w:val="00D00D8F"/>
    <w:rsid w:val="00D21F3A"/>
    <w:rsid w:val="00D23808"/>
    <w:rsid w:val="00D3016A"/>
    <w:rsid w:val="00D31225"/>
    <w:rsid w:val="00D417D2"/>
    <w:rsid w:val="00D42960"/>
    <w:rsid w:val="00D43BD7"/>
    <w:rsid w:val="00D4485B"/>
    <w:rsid w:val="00D4708D"/>
    <w:rsid w:val="00D4744C"/>
    <w:rsid w:val="00D521DE"/>
    <w:rsid w:val="00D5470B"/>
    <w:rsid w:val="00D63068"/>
    <w:rsid w:val="00D6498C"/>
    <w:rsid w:val="00D66CCF"/>
    <w:rsid w:val="00D76A70"/>
    <w:rsid w:val="00D77027"/>
    <w:rsid w:val="00D83182"/>
    <w:rsid w:val="00D8521E"/>
    <w:rsid w:val="00D9144E"/>
    <w:rsid w:val="00D9291C"/>
    <w:rsid w:val="00D93A97"/>
    <w:rsid w:val="00D970E4"/>
    <w:rsid w:val="00DA0886"/>
    <w:rsid w:val="00DA5BB2"/>
    <w:rsid w:val="00DB1F64"/>
    <w:rsid w:val="00DC27B8"/>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49D9"/>
    <w:rsid w:val="00E5721C"/>
    <w:rsid w:val="00E619C6"/>
    <w:rsid w:val="00E745A1"/>
    <w:rsid w:val="00E81529"/>
    <w:rsid w:val="00E83A13"/>
    <w:rsid w:val="00EB6FC5"/>
    <w:rsid w:val="00EC2356"/>
    <w:rsid w:val="00EC2582"/>
    <w:rsid w:val="00EC337C"/>
    <w:rsid w:val="00EC3873"/>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2734D"/>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Tabellengitternetz 9pt,Lash Style Table,Nexus Values grey,Summary box,Dossier Table,Dossier table,Section 3- footnotes,Legemiddelverket 3,Summary Table,ASD Table,Key messages box,YHEC table,Table Grid nm"/>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1"/>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Tekstas">
    <w:name w:val="Tekstas"/>
    <w:basedOn w:val="prastasis"/>
    <w:link w:val="TekstasChar"/>
    <w:qFormat/>
    <w:rsid w:val="00704571"/>
    <w:pPr>
      <w:spacing w:after="120"/>
      <w:jc w:val="both"/>
    </w:pPr>
  </w:style>
  <w:style w:type="character" w:customStyle="1" w:styleId="TekstasChar">
    <w:name w:val="Tekstas Char"/>
    <w:link w:val="Tekstas"/>
    <w:rsid w:val="00704571"/>
    <w:rPr>
      <w:sz w:val="24"/>
      <w:szCs w:val="24"/>
      <w:lang w:eastAsia="en-US"/>
    </w:rPr>
  </w:style>
  <w:style w:type="table" w:customStyle="1" w:styleId="NexusValuesgrey1">
    <w:name w:val="Nexus Values grey1"/>
    <w:basedOn w:val="prastojilentel"/>
    <w:next w:val="Lentelstinklelis"/>
    <w:rsid w:val="00D77027"/>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1D6D7DFE50A142BEF92A733DE1431C"/>
        <w:category>
          <w:name w:val="General"/>
          <w:gallery w:val="placeholder"/>
        </w:category>
        <w:types>
          <w:type w:val="bbPlcHdr"/>
        </w:types>
        <w:behaviors>
          <w:behavior w:val="content"/>
        </w:behaviors>
        <w:guid w:val="{D5161F08-EC97-4A4A-B97B-DE542035B322}"/>
      </w:docPartPr>
      <w:docPartBody>
        <w:p w:rsidR="00B13E88" w:rsidRDefault="003742A2" w:rsidP="003742A2">
          <w:pPr>
            <w:pStyle w:val="1B1D6D7DFE50A142BEF92A733DE1431C"/>
          </w:pPr>
          <w:r>
            <w:rPr>
              <w:rStyle w:val="Vietosrezervavimoenklotekstas"/>
            </w:rPr>
            <w:t>Click here to enter a date.</w:t>
          </w:r>
        </w:p>
      </w:docPartBody>
    </w:docPart>
    <w:docPart>
      <w:docPartPr>
        <w:name w:val="9B65361838EC914F919A980243608489"/>
        <w:category>
          <w:name w:val="General"/>
          <w:gallery w:val="placeholder"/>
        </w:category>
        <w:types>
          <w:type w:val="bbPlcHdr"/>
        </w:types>
        <w:behaviors>
          <w:behavior w:val="content"/>
        </w:behaviors>
        <w:guid w:val="{ADE8C9E4-BFAA-574C-AACD-850CAA226A3B}"/>
      </w:docPartPr>
      <w:docPartBody>
        <w:p w:rsidR="00B13E88" w:rsidRDefault="003742A2" w:rsidP="003742A2">
          <w:pPr>
            <w:pStyle w:val="9B65361838EC914F919A980243608489"/>
          </w:pPr>
          <w:r>
            <w:rPr>
              <w:rStyle w:val="Vietosrezervavimoenklotekstas"/>
            </w:rPr>
            <w:t>Click here to enter a date.</w:t>
          </w:r>
        </w:p>
      </w:docPartBody>
    </w:docPart>
    <w:docPart>
      <w:docPartPr>
        <w:name w:val="FC53D38CF0F1BE44935D79ECCDE21ADC"/>
        <w:category>
          <w:name w:val="General"/>
          <w:gallery w:val="placeholder"/>
        </w:category>
        <w:types>
          <w:type w:val="bbPlcHdr"/>
        </w:types>
        <w:behaviors>
          <w:behavior w:val="content"/>
        </w:behaviors>
        <w:guid w:val="{9FA5AD64-756F-F847-8BB0-73F6A1F8D573}"/>
      </w:docPartPr>
      <w:docPartBody>
        <w:p w:rsidR="00B13E88" w:rsidRDefault="003742A2" w:rsidP="003742A2">
          <w:pPr>
            <w:pStyle w:val="FC53D38CF0F1BE44935D79ECCDE21ADC"/>
          </w:pPr>
          <w:r w:rsidRPr="00546469">
            <w:rPr>
              <w:rStyle w:val="Vietosrezervavimoenklotekstas"/>
            </w:rPr>
            <w:t>Click or tap here to enter text.</w:t>
          </w:r>
        </w:p>
      </w:docPartBody>
    </w:docPart>
    <w:docPart>
      <w:docPartPr>
        <w:name w:val="4AB4C93A5D034C419D3545370502B12F"/>
        <w:category>
          <w:name w:val="General"/>
          <w:gallery w:val="placeholder"/>
        </w:category>
        <w:types>
          <w:type w:val="bbPlcHdr"/>
        </w:types>
        <w:behaviors>
          <w:behavior w:val="content"/>
        </w:behaviors>
        <w:guid w:val="{12BD8F7A-730E-7241-898A-0A64C7EA8166}"/>
      </w:docPartPr>
      <w:docPartBody>
        <w:p w:rsidR="00B13E88" w:rsidRDefault="003742A2" w:rsidP="003742A2">
          <w:pPr>
            <w:pStyle w:val="4AB4C93A5D034C419D3545370502B12F"/>
          </w:pPr>
          <w:r>
            <w:rPr>
              <w:rStyle w:val="Vietosrezervavimoenklotekstas"/>
            </w:rPr>
            <w:t>Click here to enter a date.</w:t>
          </w:r>
        </w:p>
      </w:docPartBody>
    </w:docPart>
    <w:docPart>
      <w:docPartPr>
        <w:name w:val="A2FC3B584A722A4697211E7660F9EB91"/>
        <w:category>
          <w:name w:val="General"/>
          <w:gallery w:val="placeholder"/>
        </w:category>
        <w:types>
          <w:type w:val="bbPlcHdr"/>
        </w:types>
        <w:behaviors>
          <w:behavior w:val="content"/>
        </w:behaviors>
        <w:guid w:val="{F88D2766-D42A-F240-986C-8FC9F000B94F}"/>
      </w:docPartPr>
      <w:docPartBody>
        <w:p w:rsidR="00B13E88" w:rsidRDefault="003742A2" w:rsidP="003742A2">
          <w:pPr>
            <w:pStyle w:val="A2FC3B584A722A4697211E7660F9EB91"/>
          </w:pPr>
          <w:r>
            <w:rPr>
              <w:rStyle w:val="Vietosrezervavimoenklotekstas"/>
            </w:rPr>
            <w:t>Click here to enter a date.</w:t>
          </w:r>
        </w:p>
      </w:docPartBody>
    </w:docPart>
    <w:docPart>
      <w:docPartPr>
        <w:name w:val="1EDE045A2D859C438545FDF867573FF8"/>
        <w:category>
          <w:name w:val="General"/>
          <w:gallery w:val="placeholder"/>
        </w:category>
        <w:types>
          <w:type w:val="bbPlcHdr"/>
        </w:types>
        <w:behaviors>
          <w:behavior w:val="content"/>
        </w:behaviors>
        <w:guid w:val="{AB002C40-59C3-C44D-86AF-ADD3E7C4F32D}"/>
      </w:docPartPr>
      <w:docPartBody>
        <w:p w:rsidR="00B13E88" w:rsidRDefault="003742A2" w:rsidP="003742A2">
          <w:pPr>
            <w:pStyle w:val="1EDE045A2D859C438545FDF867573FF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047D"/>
    <w:rsid w:val="000937FE"/>
    <w:rsid w:val="000A559A"/>
    <w:rsid w:val="000D24D4"/>
    <w:rsid w:val="0016720C"/>
    <w:rsid w:val="001C2727"/>
    <w:rsid w:val="001C35A9"/>
    <w:rsid w:val="001D6377"/>
    <w:rsid w:val="001F47C5"/>
    <w:rsid w:val="00235D72"/>
    <w:rsid w:val="00237556"/>
    <w:rsid w:val="00252976"/>
    <w:rsid w:val="003742A2"/>
    <w:rsid w:val="0039303B"/>
    <w:rsid w:val="004144A3"/>
    <w:rsid w:val="004160E7"/>
    <w:rsid w:val="00425088"/>
    <w:rsid w:val="004416C6"/>
    <w:rsid w:val="00483CD7"/>
    <w:rsid w:val="004F5AB2"/>
    <w:rsid w:val="005074B9"/>
    <w:rsid w:val="00533541"/>
    <w:rsid w:val="005E40DD"/>
    <w:rsid w:val="007219C1"/>
    <w:rsid w:val="0074261C"/>
    <w:rsid w:val="00746C79"/>
    <w:rsid w:val="00753462"/>
    <w:rsid w:val="00772325"/>
    <w:rsid w:val="007810F2"/>
    <w:rsid w:val="007A2FE0"/>
    <w:rsid w:val="007C6D1D"/>
    <w:rsid w:val="0090074D"/>
    <w:rsid w:val="009B3BF0"/>
    <w:rsid w:val="009C793D"/>
    <w:rsid w:val="009D5E5E"/>
    <w:rsid w:val="009F1BB4"/>
    <w:rsid w:val="00AB6ED4"/>
    <w:rsid w:val="00B13E88"/>
    <w:rsid w:val="00B14210"/>
    <w:rsid w:val="00B23DC0"/>
    <w:rsid w:val="00B96656"/>
    <w:rsid w:val="00BE29C1"/>
    <w:rsid w:val="00C2401D"/>
    <w:rsid w:val="00C53A68"/>
    <w:rsid w:val="00C8605C"/>
    <w:rsid w:val="00CA5BB4"/>
    <w:rsid w:val="00CB4BD1"/>
    <w:rsid w:val="00CE2DA9"/>
    <w:rsid w:val="00CE44BE"/>
    <w:rsid w:val="00D107CD"/>
    <w:rsid w:val="00D4356B"/>
    <w:rsid w:val="00D561C8"/>
    <w:rsid w:val="00D7162F"/>
    <w:rsid w:val="00DA0886"/>
    <w:rsid w:val="00DA5BB2"/>
    <w:rsid w:val="00E3528B"/>
    <w:rsid w:val="00E44A86"/>
    <w:rsid w:val="00E456CB"/>
    <w:rsid w:val="00E522EB"/>
    <w:rsid w:val="00E60827"/>
    <w:rsid w:val="00E73FF6"/>
    <w:rsid w:val="00EC3873"/>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3742A2"/>
    <w:rPr>
      <w:color w:val="808080"/>
    </w:rPr>
  </w:style>
  <w:style w:type="paragraph" w:customStyle="1" w:styleId="1B1D6D7DFE50A142BEF92A733DE1431C">
    <w:name w:val="1B1D6D7DFE50A142BEF92A733DE1431C"/>
    <w:rsid w:val="003742A2"/>
    <w:pPr>
      <w:spacing w:line="278" w:lineRule="auto"/>
    </w:pPr>
    <w:rPr>
      <w:kern w:val="2"/>
      <w:sz w:val="24"/>
      <w:szCs w:val="24"/>
      <w:lang w:eastAsia="en-GB"/>
      <w14:ligatures w14:val="standardContextual"/>
    </w:rPr>
  </w:style>
  <w:style w:type="paragraph" w:customStyle="1" w:styleId="9B65361838EC914F919A980243608489">
    <w:name w:val="9B65361838EC914F919A980243608489"/>
    <w:rsid w:val="003742A2"/>
    <w:pPr>
      <w:spacing w:line="278" w:lineRule="auto"/>
    </w:pPr>
    <w:rPr>
      <w:kern w:val="2"/>
      <w:sz w:val="24"/>
      <w:szCs w:val="24"/>
      <w:lang w:eastAsia="en-GB"/>
      <w14:ligatures w14:val="standardContextual"/>
    </w:rPr>
  </w:style>
  <w:style w:type="paragraph" w:customStyle="1" w:styleId="FC53D38CF0F1BE44935D79ECCDE21ADC">
    <w:name w:val="FC53D38CF0F1BE44935D79ECCDE21ADC"/>
    <w:rsid w:val="003742A2"/>
    <w:pPr>
      <w:spacing w:line="278" w:lineRule="auto"/>
    </w:pPr>
    <w:rPr>
      <w:kern w:val="2"/>
      <w:sz w:val="24"/>
      <w:szCs w:val="24"/>
      <w:lang w:eastAsia="en-GB"/>
      <w14:ligatures w14:val="standardContextual"/>
    </w:rPr>
  </w:style>
  <w:style w:type="paragraph" w:customStyle="1" w:styleId="4AB4C93A5D034C419D3545370502B12F">
    <w:name w:val="4AB4C93A5D034C419D3545370502B12F"/>
    <w:rsid w:val="003742A2"/>
    <w:pPr>
      <w:spacing w:line="278" w:lineRule="auto"/>
    </w:pPr>
    <w:rPr>
      <w:kern w:val="2"/>
      <w:sz w:val="24"/>
      <w:szCs w:val="24"/>
      <w:lang w:eastAsia="en-GB"/>
      <w14:ligatures w14:val="standardContextual"/>
    </w:rPr>
  </w:style>
  <w:style w:type="paragraph" w:customStyle="1" w:styleId="A2FC3B584A722A4697211E7660F9EB91">
    <w:name w:val="A2FC3B584A722A4697211E7660F9EB91"/>
    <w:rsid w:val="003742A2"/>
    <w:pPr>
      <w:spacing w:line="278" w:lineRule="auto"/>
    </w:pPr>
    <w:rPr>
      <w:kern w:val="2"/>
      <w:sz w:val="24"/>
      <w:szCs w:val="24"/>
      <w:lang w:eastAsia="en-GB"/>
      <w14:ligatures w14:val="standardContextual"/>
    </w:rPr>
  </w:style>
  <w:style w:type="paragraph" w:customStyle="1" w:styleId="1EDE045A2D859C438545FDF867573FF8">
    <w:name w:val="1EDE045A2D859C438545FDF867573FF8"/>
    <w:rsid w:val="003742A2"/>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36EA4-1E03-42C9-9005-595A5D0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98</TotalTime>
  <Pages>9</Pages>
  <Words>2440</Words>
  <Characters>18112</Characters>
  <Application>Microsoft Office Word</Application>
  <DocSecurity>0</DocSecurity>
  <Lines>150</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20511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Kamilė Reinikienė</cp:lastModifiedBy>
  <cp:revision>16</cp:revision>
  <cp:lastPrinted>2015-11-17T07:39:00Z</cp:lastPrinted>
  <dcterms:created xsi:type="dcterms:W3CDTF">2024-11-26T16:11:00Z</dcterms:created>
  <dcterms:modified xsi:type="dcterms:W3CDTF">2025-08-18T10:46:00Z</dcterms:modified>
</cp:coreProperties>
</file>