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3392D4B0" w14:textId="31CDC982" w:rsidR="00997A8D" w:rsidRPr="009B591C" w:rsidRDefault="00997A8D" w:rsidP="00997A8D">
      <w:pPr>
        <w:spacing w:line="276" w:lineRule="auto"/>
        <w:jc w:val="center"/>
      </w:pPr>
      <w:r w:rsidRPr="009B591C">
        <w:rPr>
          <w:b/>
        </w:rPr>
        <w:t>KEYTRUDA</w:t>
      </w:r>
      <w:r w:rsidRPr="009B591C">
        <w:rPr>
          <w:b/>
          <w:bCs/>
        </w:rPr>
        <w:t xml:space="preserve"> 25</w:t>
      </w:r>
      <w:r w:rsidRPr="009B591C">
        <w:rPr>
          <w:b/>
        </w:rPr>
        <w:t xml:space="preserve"> mg/ml koncentratas infuziniam tirpalui</w:t>
      </w:r>
    </w:p>
    <w:p w14:paraId="22F64486" w14:textId="77777777" w:rsidR="00997A8D" w:rsidRPr="009B591C" w:rsidRDefault="00997A8D" w:rsidP="00997A8D">
      <w:pPr>
        <w:spacing w:line="276" w:lineRule="auto"/>
        <w:jc w:val="center"/>
      </w:pPr>
    </w:p>
    <w:p w14:paraId="5CAF8153" w14:textId="77777777" w:rsidR="00997A8D" w:rsidRPr="009B591C" w:rsidRDefault="00997A8D" w:rsidP="00997A8D">
      <w:pPr>
        <w:spacing w:line="276" w:lineRule="auto"/>
        <w:jc w:val="center"/>
      </w:pPr>
      <w:r w:rsidRPr="009B591C">
        <w:t>(</w:t>
      </w:r>
      <w:proofErr w:type="spellStart"/>
      <w:r w:rsidRPr="009B591C">
        <w:rPr>
          <w:rFonts w:eastAsia="Arial"/>
        </w:rPr>
        <w:t>Pembrolizumabas</w:t>
      </w:r>
      <w:proofErr w:type="spellEnd"/>
      <w:r w:rsidRPr="009B591C">
        <w:t>)</w:t>
      </w:r>
    </w:p>
    <w:p w14:paraId="54013347" w14:textId="77777777" w:rsidR="00997A8D" w:rsidRPr="009B591C" w:rsidRDefault="00997A8D" w:rsidP="00997A8D">
      <w:pPr>
        <w:spacing w:line="276" w:lineRule="auto"/>
        <w:jc w:val="both"/>
      </w:pPr>
    </w:p>
    <w:p w14:paraId="4D191ABC" w14:textId="4320D88F" w:rsidR="00997A8D" w:rsidRPr="009B591C" w:rsidRDefault="00997A8D" w:rsidP="00997A8D">
      <w:pPr>
        <w:spacing w:line="276" w:lineRule="auto"/>
        <w:jc w:val="center"/>
        <w:rPr>
          <w:b/>
        </w:rPr>
      </w:pPr>
      <w:r w:rsidRPr="009B591C">
        <w:rPr>
          <w:b/>
        </w:rPr>
        <w:t>Paraiškos numeris STV</w:t>
      </w:r>
      <w:r w:rsidR="00A63266">
        <w:rPr>
          <w:b/>
        </w:rPr>
        <w:t>-</w:t>
      </w:r>
      <w:r w:rsidRPr="009B591C">
        <w:rPr>
          <w:b/>
        </w:rPr>
        <w:t>203</w:t>
      </w:r>
    </w:p>
    <w:p w14:paraId="5BC2EA5D" w14:textId="45A77B4A" w:rsidR="00937907" w:rsidRPr="00E33EFF" w:rsidRDefault="00937907" w:rsidP="003B211A">
      <w:pPr>
        <w:jc w:val="center"/>
        <w:rPr>
          <w:b/>
        </w:rPr>
      </w:pPr>
    </w:p>
    <w:p w14:paraId="453197C8" w14:textId="77777777" w:rsidR="00D4708D" w:rsidRPr="00E33EFF" w:rsidRDefault="00D4708D" w:rsidP="003B211A">
      <w:pPr>
        <w:jc w:val="center"/>
        <w:rPr>
          <w:b/>
        </w:rPr>
      </w:pPr>
    </w:p>
    <w:p w14:paraId="78C89D1C" w14:textId="0DEFFAA5" w:rsidR="00D4485B"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F5C170F" w14:textId="77777777" w:rsidR="00704571" w:rsidRDefault="00704571" w:rsidP="00704571">
      <w:pPr>
        <w:tabs>
          <w:tab w:val="left" w:pos="567"/>
        </w:tabs>
        <w:rPr>
          <w:b/>
          <w:bCs/>
          <w:caps/>
        </w:rPr>
      </w:pPr>
    </w:p>
    <w:p w14:paraId="3BFE3CCA" w14:textId="77777777" w:rsidR="00997A8D" w:rsidRPr="009B591C" w:rsidRDefault="00997A8D" w:rsidP="00997A8D">
      <w:pPr>
        <w:tabs>
          <w:tab w:val="left" w:pos="284"/>
        </w:tabs>
        <w:spacing w:line="276" w:lineRule="auto"/>
        <w:jc w:val="both"/>
        <w:rPr>
          <w:rFonts w:eastAsia="Arial"/>
          <w:b/>
        </w:rPr>
      </w:pPr>
    </w:p>
    <w:p w14:paraId="236EE6CE" w14:textId="77777777" w:rsidR="00997A8D" w:rsidRPr="009B591C" w:rsidRDefault="00997A8D" w:rsidP="00997A8D">
      <w:pPr>
        <w:spacing w:line="276" w:lineRule="auto"/>
        <w:jc w:val="both"/>
        <w:rPr>
          <w:rFonts w:eastAsia="Arial"/>
        </w:rPr>
      </w:pPr>
    </w:p>
    <w:tbl>
      <w:tblPr>
        <w:tblStyle w:val="Lentelstinklelis"/>
        <w:tblW w:w="9918" w:type="dxa"/>
        <w:tblLook w:val="04A0" w:firstRow="1" w:lastRow="0" w:firstColumn="1" w:lastColumn="0" w:noHBand="0" w:noVBand="1"/>
      </w:tblPr>
      <w:tblGrid>
        <w:gridCol w:w="705"/>
        <w:gridCol w:w="4117"/>
        <w:gridCol w:w="5096"/>
      </w:tblGrid>
      <w:tr w:rsidR="00997A8D" w:rsidRPr="009B591C" w14:paraId="0314A477" w14:textId="77777777" w:rsidTr="00A977D2">
        <w:trPr>
          <w:trHeight w:val="342"/>
        </w:trPr>
        <w:tc>
          <w:tcPr>
            <w:tcW w:w="705" w:type="dxa"/>
          </w:tcPr>
          <w:p w14:paraId="70992302" w14:textId="77777777" w:rsidR="00997A8D" w:rsidRPr="009B591C" w:rsidRDefault="00997A8D" w:rsidP="00A977D2">
            <w:pPr>
              <w:tabs>
                <w:tab w:val="left" w:pos="284"/>
              </w:tabs>
              <w:spacing w:line="276" w:lineRule="auto"/>
              <w:jc w:val="both"/>
              <w:rPr>
                <w:rFonts w:eastAsia="Arial"/>
                <w:b/>
              </w:rPr>
            </w:pPr>
            <w:r w:rsidRPr="009B591C">
              <w:rPr>
                <w:rFonts w:eastAsia="Arial"/>
                <w:b/>
              </w:rPr>
              <w:t>1.1</w:t>
            </w:r>
          </w:p>
        </w:tc>
        <w:tc>
          <w:tcPr>
            <w:tcW w:w="4117" w:type="dxa"/>
          </w:tcPr>
          <w:p w14:paraId="3DE0EA14" w14:textId="77777777" w:rsidR="00997A8D" w:rsidRPr="009B591C" w:rsidRDefault="00997A8D" w:rsidP="00A977D2">
            <w:pPr>
              <w:tabs>
                <w:tab w:val="left" w:pos="284"/>
              </w:tabs>
              <w:spacing w:line="276" w:lineRule="auto"/>
              <w:jc w:val="both"/>
              <w:rPr>
                <w:b/>
                <w:bCs/>
                <w:lang w:eastAsia="lt-LT"/>
              </w:rPr>
            </w:pPr>
            <w:r w:rsidRPr="009B591C">
              <w:rPr>
                <w:b/>
                <w:bCs/>
                <w:lang w:eastAsia="lt-LT"/>
              </w:rPr>
              <w:t>Pareiškėjas</w:t>
            </w:r>
          </w:p>
        </w:tc>
        <w:tc>
          <w:tcPr>
            <w:tcW w:w="5096" w:type="dxa"/>
          </w:tcPr>
          <w:p w14:paraId="7880DFBF" w14:textId="77777777" w:rsidR="00997A8D" w:rsidRPr="009B591C" w:rsidRDefault="00997A8D" w:rsidP="00A977D2">
            <w:pPr>
              <w:pStyle w:val="Sraopastraipa"/>
              <w:spacing w:after="120" w:line="276" w:lineRule="auto"/>
              <w:ind w:left="0"/>
              <w:contextualSpacing w:val="0"/>
              <w:jc w:val="both"/>
            </w:pPr>
            <w:proofErr w:type="spellStart"/>
            <w:r w:rsidRPr="009B591C">
              <w:rPr>
                <w:shd w:val="clear" w:color="auto" w:fill="FFFFFF"/>
              </w:rPr>
              <w:t>Merck</w:t>
            </w:r>
            <w:proofErr w:type="spellEnd"/>
            <w:r w:rsidRPr="009B591C">
              <w:rPr>
                <w:shd w:val="clear" w:color="auto" w:fill="FFFFFF"/>
              </w:rPr>
              <w:t xml:space="preserve"> Sharp &amp; </w:t>
            </w:r>
            <w:proofErr w:type="spellStart"/>
            <w:r w:rsidRPr="009B591C">
              <w:rPr>
                <w:shd w:val="clear" w:color="auto" w:fill="FFFFFF"/>
              </w:rPr>
              <w:t>Dohme</w:t>
            </w:r>
            <w:proofErr w:type="spellEnd"/>
            <w:r w:rsidRPr="009B591C">
              <w:rPr>
                <w:shd w:val="clear" w:color="auto" w:fill="FFFFFF"/>
              </w:rPr>
              <w:t xml:space="preserve"> B.V., Nyderlandai</w:t>
            </w:r>
          </w:p>
        </w:tc>
      </w:tr>
      <w:tr w:rsidR="00997A8D" w:rsidRPr="009B591C" w14:paraId="08ECE3F9" w14:textId="77777777" w:rsidTr="00A977D2">
        <w:trPr>
          <w:trHeight w:val="479"/>
        </w:trPr>
        <w:tc>
          <w:tcPr>
            <w:tcW w:w="705" w:type="dxa"/>
          </w:tcPr>
          <w:p w14:paraId="49F6294B" w14:textId="77777777" w:rsidR="00997A8D" w:rsidRPr="009B591C" w:rsidRDefault="00997A8D" w:rsidP="00A977D2">
            <w:pPr>
              <w:tabs>
                <w:tab w:val="left" w:pos="284"/>
              </w:tabs>
              <w:spacing w:line="276" w:lineRule="auto"/>
              <w:jc w:val="both"/>
              <w:rPr>
                <w:rFonts w:eastAsia="Arial"/>
                <w:b/>
              </w:rPr>
            </w:pPr>
            <w:r w:rsidRPr="009B591C">
              <w:rPr>
                <w:rFonts w:eastAsia="Arial"/>
                <w:b/>
              </w:rPr>
              <w:t>1.2</w:t>
            </w:r>
          </w:p>
        </w:tc>
        <w:tc>
          <w:tcPr>
            <w:tcW w:w="4117" w:type="dxa"/>
          </w:tcPr>
          <w:p w14:paraId="039B07B5" w14:textId="77777777" w:rsidR="00997A8D" w:rsidRPr="009B591C" w:rsidRDefault="00997A8D" w:rsidP="00A977D2">
            <w:pPr>
              <w:tabs>
                <w:tab w:val="left" w:pos="284"/>
              </w:tabs>
              <w:spacing w:line="276" w:lineRule="auto"/>
              <w:jc w:val="both"/>
              <w:rPr>
                <w:b/>
                <w:bCs/>
                <w:lang w:eastAsia="lt-LT"/>
              </w:rPr>
            </w:pPr>
            <w:r w:rsidRPr="009B591C">
              <w:rPr>
                <w:b/>
                <w:bCs/>
                <w:lang w:eastAsia="lt-LT"/>
              </w:rPr>
              <w:t>Registracijos data (EVA)</w:t>
            </w:r>
          </w:p>
          <w:p w14:paraId="6D834C9E" w14:textId="77777777" w:rsidR="00997A8D" w:rsidRPr="009B591C" w:rsidRDefault="00997A8D" w:rsidP="00A977D2">
            <w:pPr>
              <w:tabs>
                <w:tab w:val="left" w:pos="284"/>
              </w:tabs>
              <w:spacing w:line="276" w:lineRule="auto"/>
              <w:jc w:val="both"/>
              <w:rPr>
                <w:bCs/>
                <w:lang w:eastAsia="lt-LT"/>
              </w:rPr>
            </w:pPr>
          </w:p>
        </w:tc>
        <w:tc>
          <w:tcPr>
            <w:tcW w:w="5096" w:type="dxa"/>
          </w:tcPr>
          <w:p w14:paraId="611F4D7F" w14:textId="77777777" w:rsidR="00997A8D" w:rsidRPr="00A63266" w:rsidRDefault="003F3109" w:rsidP="00A977D2">
            <w:pPr>
              <w:pStyle w:val="Sraopastraipa"/>
              <w:spacing w:after="120" w:line="276" w:lineRule="auto"/>
              <w:ind w:left="0"/>
              <w:contextualSpacing w:val="0"/>
              <w:jc w:val="both"/>
              <w:rPr>
                <w:rStyle w:val="Style2"/>
                <w:sz w:val="24"/>
              </w:rPr>
            </w:pPr>
            <w:sdt>
              <w:sdtPr>
                <w:rPr>
                  <w:sz w:val="32"/>
                </w:rPr>
                <w:alias w:val="Nurodykite konkrečią dieną"/>
                <w:tag w:val="Nurodykite pradžios datą"/>
                <w:id w:val="423238108"/>
                <w:placeholder>
                  <w:docPart w:val="5A93FD9C8F1B414D89D0916AAFB08D77"/>
                </w:placeholder>
                <w15:color w:val="FFCC99"/>
                <w:date w:fullDate="2015-07-17T00:00:00Z">
                  <w:dateFormat w:val="yyyy 'm.' MMMM d 'd.'"/>
                  <w:lid w:val="lt-LT"/>
                  <w:storeMappedDataAs w:val="dateTime"/>
                  <w:calendar w:val="gregorian"/>
                </w:date>
              </w:sdtPr>
              <w:sdtEndPr>
                <w:rPr>
                  <w:sz w:val="24"/>
                </w:rPr>
              </w:sdtEndPr>
              <w:sdtContent>
                <w:r w:rsidR="00997A8D" w:rsidRPr="00A63266">
                  <w:t>2015 m. liepos 17 d.</w:t>
                </w:r>
              </w:sdtContent>
            </w:sdt>
          </w:p>
        </w:tc>
      </w:tr>
      <w:tr w:rsidR="00997A8D" w:rsidRPr="009B591C" w14:paraId="1BB1C613" w14:textId="77777777" w:rsidTr="00A977D2">
        <w:trPr>
          <w:trHeight w:val="1328"/>
        </w:trPr>
        <w:tc>
          <w:tcPr>
            <w:tcW w:w="705" w:type="dxa"/>
          </w:tcPr>
          <w:p w14:paraId="02F26AFA" w14:textId="77777777" w:rsidR="00997A8D" w:rsidRPr="009B591C" w:rsidRDefault="00997A8D" w:rsidP="00A977D2">
            <w:pPr>
              <w:tabs>
                <w:tab w:val="left" w:pos="284"/>
              </w:tabs>
              <w:spacing w:line="276" w:lineRule="auto"/>
              <w:jc w:val="both"/>
              <w:rPr>
                <w:rFonts w:eastAsia="Arial"/>
                <w:b/>
              </w:rPr>
            </w:pPr>
            <w:r w:rsidRPr="009B591C">
              <w:rPr>
                <w:rFonts w:eastAsia="Arial"/>
                <w:b/>
              </w:rPr>
              <w:t>1.3</w:t>
            </w:r>
          </w:p>
        </w:tc>
        <w:tc>
          <w:tcPr>
            <w:tcW w:w="4117" w:type="dxa"/>
          </w:tcPr>
          <w:p w14:paraId="28FEB00B" w14:textId="77777777" w:rsidR="00997A8D" w:rsidRPr="009B591C" w:rsidRDefault="00997A8D" w:rsidP="00A977D2">
            <w:pPr>
              <w:pStyle w:val="Betarp"/>
              <w:spacing w:line="276" w:lineRule="auto"/>
              <w:jc w:val="both"/>
              <w:rPr>
                <w:rFonts w:ascii="Times New Roman" w:hAnsi="Times New Roman"/>
                <w:b/>
                <w:sz w:val="24"/>
                <w:szCs w:val="24"/>
              </w:rPr>
            </w:pPr>
            <w:r w:rsidRPr="009B591C">
              <w:rPr>
                <w:rFonts w:ascii="Times New Roman" w:hAnsi="Times New Roman"/>
                <w:b/>
                <w:sz w:val="24"/>
                <w:szCs w:val="24"/>
              </w:rPr>
              <w:t>Paraiškos tipas</w:t>
            </w:r>
          </w:p>
          <w:p w14:paraId="4DB46AD1" w14:textId="77777777" w:rsidR="00997A8D" w:rsidRPr="009B591C" w:rsidRDefault="00997A8D" w:rsidP="00A977D2">
            <w:pPr>
              <w:spacing w:line="276" w:lineRule="auto"/>
              <w:jc w:val="both"/>
              <w:rPr>
                <w:b/>
              </w:rPr>
            </w:pPr>
            <w:r w:rsidRPr="009B591C">
              <w:rPr>
                <w:b/>
              </w:rPr>
              <w:t xml:space="preserve">(pagal </w:t>
            </w:r>
            <w:r w:rsidRPr="009B591C">
              <w:rPr>
                <w:b/>
                <w:shd w:val="clear" w:color="auto" w:fill="FFFFFF"/>
              </w:rPr>
              <w:t>vaistinio preparato registracijos tipą, įtvirtintą</w:t>
            </w:r>
            <w:r w:rsidRPr="009B591C">
              <w:rPr>
                <w:b/>
              </w:rPr>
              <w:t xml:space="preserve"> Direktyvos 2001/83/EB straipsniuose)</w:t>
            </w:r>
          </w:p>
          <w:p w14:paraId="1D72B616" w14:textId="77777777" w:rsidR="00997A8D" w:rsidRPr="009B591C" w:rsidRDefault="00997A8D" w:rsidP="00A977D2">
            <w:pPr>
              <w:tabs>
                <w:tab w:val="left" w:pos="284"/>
              </w:tabs>
              <w:spacing w:line="276" w:lineRule="auto"/>
              <w:jc w:val="both"/>
              <w:rPr>
                <w:b/>
                <w:bCs/>
                <w:lang w:eastAsia="lt-LT"/>
              </w:rPr>
            </w:pPr>
          </w:p>
        </w:tc>
        <w:tc>
          <w:tcPr>
            <w:tcW w:w="5096" w:type="dxa"/>
          </w:tcPr>
          <w:p w14:paraId="54C01B85" w14:textId="77777777" w:rsidR="00997A8D" w:rsidRPr="009B591C" w:rsidRDefault="003F3109" w:rsidP="00A977D2">
            <w:pPr>
              <w:spacing w:line="276" w:lineRule="auto"/>
              <w:jc w:val="both"/>
            </w:pPr>
            <w:sdt>
              <w:sdtPr>
                <w:rPr>
                  <w:rStyle w:val="Style2"/>
                </w:rPr>
                <w:id w:val="1533303578"/>
                <w15:color w:val="FFCC00"/>
                <w14:checkbox>
                  <w14:checked w14:val="1"/>
                  <w14:checkedState w14:val="2612" w14:font="MS Gothic"/>
                  <w14:uncheckedState w14:val="2610" w14:font="MS Gothic"/>
                </w14:checkbox>
              </w:sdtPr>
              <w:sdtEndPr>
                <w:rPr>
                  <w:rStyle w:val="Style2"/>
                </w:rPr>
              </w:sdtEndPr>
              <w:sdtContent>
                <w:r w:rsidR="00997A8D" w:rsidRPr="009B591C">
                  <w:rPr>
                    <w:rStyle w:val="Style2"/>
                    <w:rFonts w:ascii="Segoe UI Symbol" w:eastAsia="MS Gothic" w:hAnsi="Segoe UI Symbol" w:cs="Segoe UI Symbol"/>
                  </w:rPr>
                  <w:t>☒</w:t>
                </w:r>
              </w:sdtContent>
            </w:sdt>
            <w:r w:rsidR="00997A8D" w:rsidRPr="009B591C">
              <w:t xml:space="preserve"> 8.3 str. (pilna byla, pagrįsta savais tyrimais)</w:t>
            </w:r>
          </w:p>
          <w:p w14:paraId="68EC99A0" w14:textId="77777777" w:rsidR="00997A8D" w:rsidRPr="009B591C" w:rsidRDefault="003F3109" w:rsidP="00A977D2">
            <w:pPr>
              <w:spacing w:line="276" w:lineRule="auto"/>
              <w:jc w:val="both"/>
            </w:pPr>
            <w:sdt>
              <w:sdtPr>
                <w:rPr>
                  <w:rStyle w:val="Style2"/>
                </w:rPr>
                <w:id w:val="1420981181"/>
                <w15:color w:val="FFCC00"/>
                <w14:checkbox>
                  <w14:checked w14:val="0"/>
                  <w14:checkedState w14:val="2612" w14:font="MS Gothic"/>
                  <w14:uncheckedState w14:val="2610" w14:font="MS Gothic"/>
                </w14:checkbox>
              </w:sdtPr>
              <w:sdtEndPr>
                <w:rPr>
                  <w:rStyle w:val="Style2"/>
                </w:rPr>
              </w:sdtEndPr>
              <w:sdtContent>
                <w:r w:rsidR="00997A8D" w:rsidRPr="009B591C">
                  <w:rPr>
                    <w:rStyle w:val="Style2"/>
                    <w:rFonts w:ascii="Segoe UI Symbol" w:eastAsia="MS Gothic" w:hAnsi="Segoe UI Symbol" w:cs="Segoe UI Symbol"/>
                  </w:rPr>
                  <w:t>☐</w:t>
                </w:r>
              </w:sdtContent>
            </w:sdt>
            <w:r w:rsidR="00997A8D" w:rsidRPr="009B591C">
              <w:t xml:space="preserve"> 10 a str. (pripažintas medicininis vartojimas)</w:t>
            </w:r>
          </w:p>
          <w:p w14:paraId="57CE86EF" w14:textId="77777777" w:rsidR="00997A8D" w:rsidRPr="009B591C" w:rsidRDefault="003F3109" w:rsidP="00A977D2">
            <w:pPr>
              <w:spacing w:line="276" w:lineRule="auto"/>
              <w:jc w:val="both"/>
            </w:pPr>
            <w:sdt>
              <w:sdtPr>
                <w:rPr>
                  <w:rStyle w:val="Style2"/>
                </w:rPr>
                <w:id w:val="1758169412"/>
                <w15:color w:val="FFCC00"/>
                <w14:checkbox>
                  <w14:checked w14:val="0"/>
                  <w14:checkedState w14:val="2612" w14:font="MS Gothic"/>
                  <w14:uncheckedState w14:val="2610" w14:font="MS Gothic"/>
                </w14:checkbox>
              </w:sdtPr>
              <w:sdtEndPr>
                <w:rPr>
                  <w:rStyle w:val="Style2"/>
                </w:rPr>
              </w:sdtEndPr>
              <w:sdtContent>
                <w:r w:rsidR="00997A8D" w:rsidRPr="009B591C">
                  <w:rPr>
                    <w:rStyle w:val="Style2"/>
                    <w:rFonts w:ascii="Segoe UI Symbol" w:eastAsia="MS Gothic" w:hAnsi="Segoe UI Symbol" w:cs="Segoe UI Symbol"/>
                  </w:rPr>
                  <w:t>☐</w:t>
                </w:r>
              </w:sdtContent>
            </w:sdt>
            <w:r w:rsidR="00997A8D" w:rsidRPr="009B591C">
              <w:t xml:space="preserve"> 10.1 str. (</w:t>
            </w:r>
            <w:proofErr w:type="spellStart"/>
            <w:r w:rsidR="00997A8D" w:rsidRPr="009B591C">
              <w:t>generinis</w:t>
            </w:r>
            <w:proofErr w:type="spellEnd"/>
            <w:r w:rsidR="00997A8D" w:rsidRPr="009B591C">
              <w:t>)</w:t>
            </w:r>
          </w:p>
          <w:p w14:paraId="291B69AC" w14:textId="77777777" w:rsidR="00997A8D" w:rsidRPr="009B591C" w:rsidRDefault="003F3109" w:rsidP="00A977D2">
            <w:pPr>
              <w:spacing w:line="276" w:lineRule="auto"/>
              <w:jc w:val="both"/>
              <w:rPr>
                <w:rStyle w:val="Style2"/>
              </w:rPr>
            </w:pPr>
            <w:sdt>
              <w:sdtPr>
                <w:rPr>
                  <w:rStyle w:val="Style2"/>
                </w:rPr>
                <w:id w:val="1143015976"/>
                <w15:color w:val="FFCC00"/>
                <w14:checkbox>
                  <w14:checked w14:val="0"/>
                  <w14:checkedState w14:val="2612" w14:font="MS Gothic"/>
                  <w14:uncheckedState w14:val="2610" w14:font="MS Gothic"/>
                </w14:checkbox>
              </w:sdtPr>
              <w:sdtEndPr>
                <w:rPr>
                  <w:rStyle w:val="Style2"/>
                </w:rPr>
              </w:sdtEndPr>
              <w:sdtContent>
                <w:r w:rsidR="00997A8D" w:rsidRPr="009B591C">
                  <w:rPr>
                    <w:rStyle w:val="Style2"/>
                    <w:rFonts w:ascii="Segoe UI Symbol" w:eastAsia="MS Gothic" w:hAnsi="Segoe UI Symbol" w:cs="Segoe UI Symbol"/>
                  </w:rPr>
                  <w:t>☐</w:t>
                </w:r>
              </w:sdtContent>
            </w:sdt>
            <w:r w:rsidR="00997A8D" w:rsidRPr="009B591C">
              <w:t xml:space="preserve"> 10.3 str. (hibridinis)</w:t>
            </w:r>
          </w:p>
        </w:tc>
      </w:tr>
      <w:tr w:rsidR="00997A8D" w:rsidRPr="009B591C" w14:paraId="751E2FCD" w14:textId="77777777" w:rsidTr="00A977D2">
        <w:trPr>
          <w:trHeight w:val="1109"/>
        </w:trPr>
        <w:tc>
          <w:tcPr>
            <w:tcW w:w="705" w:type="dxa"/>
          </w:tcPr>
          <w:p w14:paraId="0E089189" w14:textId="77777777" w:rsidR="00997A8D" w:rsidRPr="009B591C" w:rsidRDefault="00997A8D" w:rsidP="00A977D2">
            <w:pPr>
              <w:tabs>
                <w:tab w:val="left" w:pos="284"/>
              </w:tabs>
              <w:spacing w:line="276" w:lineRule="auto"/>
              <w:jc w:val="both"/>
              <w:rPr>
                <w:rFonts w:eastAsia="Arial"/>
                <w:b/>
              </w:rPr>
            </w:pPr>
            <w:r w:rsidRPr="009B591C">
              <w:rPr>
                <w:rFonts w:eastAsia="Arial"/>
                <w:b/>
              </w:rPr>
              <w:t>1.4</w:t>
            </w:r>
          </w:p>
        </w:tc>
        <w:tc>
          <w:tcPr>
            <w:tcW w:w="4117" w:type="dxa"/>
          </w:tcPr>
          <w:p w14:paraId="79C3E4F2" w14:textId="77777777" w:rsidR="00997A8D" w:rsidRPr="009B591C" w:rsidRDefault="00997A8D" w:rsidP="00A977D2">
            <w:pPr>
              <w:tabs>
                <w:tab w:val="left" w:pos="284"/>
              </w:tabs>
              <w:spacing w:line="276" w:lineRule="auto"/>
              <w:jc w:val="both"/>
              <w:rPr>
                <w:b/>
                <w:bCs/>
                <w:lang w:eastAsia="lt-LT"/>
              </w:rPr>
            </w:pPr>
            <w:r w:rsidRPr="009B591C">
              <w:rPr>
                <w:b/>
                <w:bCs/>
                <w:lang w:eastAsia="lt-LT"/>
              </w:rPr>
              <w:t>Ar vaistinis preparatas įrašytas į Bendrijos retųjų vaistinių preparatų registrą?</w:t>
            </w:r>
          </w:p>
          <w:p w14:paraId="6B33103F" w14:textId="77777777" w:rsidR="00997A8D" w:rsidRPr="009B591C" w:rsidRDefault="00997A8D" w:rsidP="00A977D2">
            <w:pPr>
              <w:tabs>
                <w:tab w:val="left" w:pos="284"/>
              </w:tabs>
              <w:spacing w:line="276" w:lineRule="auto"/>
              <w:jc w:val="both"/>
              <w:rPr>
                <w:bCs/>
                <w:i/>
                <w:lang w:eastAsia="lt-LT"/>
              </w:rPr>
            </w:pPr>
          </w:p>
          <w:p w14:paraId="21033627" w14:textId="77777777" w:rsidR="00997A8D" w:rsidRPr="009B591C" w:rsidRDefault="00997A8D" w:rsidP="00A977D2">
            <w:pPr>
              <w:tabs>
                <w:tab w:val="left" w:pos="284"/>
              </w:tabs>
              <w:spacing w:line="276" w:lineRule="auto"/>
              <w:jc w:val="both"/>
              <w:rPr>
                <w:b/>
                <w:bCs/>
                <w:sz w:val="22"/>
                <w:szCs w:val="22"/>
                <w:lang w:eastAsia="lt-LT"/>
              </w:rPr>
            </w:pPr>
          </w:p>
        </w:tc>
        <w:tc>
          <w:tcPr>
            <w:tcW w:w="5096" w:type="dxa"/>
          </w:tcPr>
          <w:p w14:paraId="134133FD" w14:textId="77777777" w:rsidR="00997A8D" w:rsidRPr="009B591C" w:rsidRDefault="003F3109" w:rsidP="00A977D2">
            <w:pPr>
              <w:spacing w:line="276" w:lineRule="auto"/>
              <w:jc w:val="both"/>
            </w:pPr>
            <w:sdt>
              <w:sdtPr>
                <w:rPr>
                  <w:rStyle w:val="Style2"/>
                </w:rPr>
                <w:id w:val="2024432173"/>
                <w15:color w:val="FFCC00"/>
                <w14:checkbox>
                  <w14:checked w14:val="0"/>
                  <w14:checkedState w14:val="2612" w14:font="MS Gothic"/>
                  <w14:uncheckedState w14:val="2610" w14:font="MS Gothic"/>
                </w14:checkbox>
              </w:sdtPr>
              <w:sdtEndPr>
                <w:rPr>
                  <w:rStyle w:val="Style2"/>
                </w:rPr>
              </w:sdtEndPr>
              <w:sdtContent>
                <w:r w:rsidR="00997A8D" w:rsidRPr="009B591C">
                  <w:rPr>
                    <w:rStyle w:val="Style2"/>
                    <w:rFonts w:ascii="Segoe UI Symbol" w:eastAsia="MS Gothic" w:hAnsi="Segoe UI Symbol" w:cs="Segoe UI Symbol"/>
                  </w:rPr>
                  <w:t>☐</w:t>
                </w:r>
              </w:sdtContent>
            </w:sdt>
            <w:r w:rsidR="00997A8D" w:rsidRPr="009B591C">
              <w:t xml:space="preserve"> Taip</w:t>
            </w:r>
          </w:p>
          <w:p w14:paraId="47741EC4" w14:textId="77777777" w:rsidR="00997A8D" w:rsidRPr="009B591C" w:rsidRDefault="003F3109" w:rsidP="00A977D2">
            <w:pPr>
              <w:spacing w:line="276" w:lineRule="auto"/>
              <w:jc w:val="both"/>
            </w:pPr>
            <w:sdt>
              <w:sdtPr>
                <w:rPr>
                  <w:rStyle w:val="Style2"/>
                </w:rPr>
                <w:id w:val="-970507926"/>
                <w15:color w:val="FFCC00"/>
                <w14:checkbox>
                  <w14:checked w14:val="1"/>
                  <w14:checkedState w14:val="2612" w14:font="MS Gothic"/>
                  <w14:uncheckedState w14:val="2610" w14:font="MS Gothic"/>
                </w14:checkbox>
              </w:sdtPr>
              <w:sdtEndPr>
                <w:rPr>
                  <w:rStyle w:val="Style2"/>
                </w:rPr>
              </w:sdtEndPr>
              <w:sdtContent>
                <w:r w:rsidR="00997A8D" w:rsidRPr="009B591C">
                  <w:rPr>
                    <w:rStyle w:val="Style2"/>
                    <w:rFonts w:ascii="Segoe UI Symbol" w:eastAsia="MS Gothic" w:hAnsi="Segoe UI Symbol" w:cs="Segoe UI Symbol"/>
                  </w:rPr>
                  <w:t>☒</w:t>
                </w:r>
              </w:sdtContent>
            </w:sdt>
            <w:r w:rsidR="00997A8D" w:rsidRPr="009B591C">
              <w:t xml:space="preserve"> Ne</w:t>
            </w:r>
          </w:p>
          <w:p w14:paraId="4CCD2556" w14:textId="77777777" w:rsidR="00997A8D" w:rsidRPr="009B591C" w:rsidRDefault="003F3109" w:rsidP="00A977D2">
            <w:pPr>
              <w:spacing w:line="276" w:lineRule="auto"/>
              <w:jc w:val="both"/>
              <w:rPr>
                <w:rFonts w:eastAsia="Arial"/>
                <w:b/>
              </w:rPr>
            </w:pPr>
            <w:sdt>
              <w:sdtPr>
                <w:alias w:val="Nurodykite konkrečią dieną"/>
                <w:tag w:val="Nurodykite pradžios datą"/>
                <w:id w:val="693498901"/>
                <w:placeholder>
                  <w:docPart w:val="5DC0FA577E589A4D8A0F2AA25CDDD4BC"/>
                </w:placeholder>
                <w:showingPlcHdr/>
                <w15:color w:val="FFCC99"/>
                <w:date w:fullDate="2022-05-18T00:00:00Z">
                  <w:dateFormat w:val="yyyy 'm.' MMMM d 'd.'"/>
                  <w:lid w:val="lt-LT"/>
                  <w:storeMappedDataAs w:val="dateTime"/>
                  <w:calendar w:val="gregorian"/>
                </w:date>
              </w:sdtPr>
              <w:sdtEndPr/>
              <w:sdtContent>
                <w:r w:rsidR="00997A8D" w:rsidRPr="009B591C">
                  <w:rPr>
                    <w:rStyle w:val="Vietosrezervavimoenklotekstas"/>
                  </w:rPr>
                  <w:t>Click here to enter a date.</w:t>
                </w:r>
              </w:sdtContent>
            </w:sdt>
          </w:p>
        </w:tc>
      </w:tr>
      <w:tr w:rsidR="00997A8D" w:rsidRPr="009B591C" w14:paraId="519A484B" w14:textId="77777777" w:rsidTr="00A977D2">
        <w:trPr>
          <w:trHeight w:val="958"/>
        </w:trPr>
        <w:tc>
          <w:tcPr>
            <w:tcW w:w="705" w:type="dxa"/>
            <w:tcBorders>
              <w:bottom w:val="single" w:sz="4" w:space="0" w:color="auto"/>
            </w:tcBorders>
          </w:tcPr>
          <w:p w14:paraId="221CCA54" w14:textId="77777777" w:rsidR="00997A8D" w:rsidRPr="009B591C" w:rsidRDefault="00997A8D" w:rsidP="00A977D2">
            <w:pPr>
              <w:tabs>
                <w:tab w:val="left" w:pos="284"/>
              </w:tabs>
              <w:spacing w:line="276" w:lineRule="auto"/>
              <w:jc w:val="both"/>
              <w:rPr>
                <w:rFonts w:eastAsia="Arial"/>
                <w:b/>
              </w:rPr>
            </w:pPr>
            <w:r w:rsidRPr="009B591C">
              <w:rPr>
                <w:rFonts w:eastAsia="Arial"/>
                <w:b/>
              </w:rPr>
              <w:t>1.5</w:t>
            </w:r>
          </w:p>
        </w:tc>
        <w:tc>
          <w:tcPr>
            <w:tcW w:w="4117" w:type="dxa"/>
            <w:tcBorders>
              <w:bottom w:val="single" w:sz="4" w:space="0" w:color="auto"/>
            </w:tcBorders>
          </w:tcPr>
          <w:p w14:paraId="458ABFEC" w14:textId="77777777" w:rsidR="00997A8D" w:rsidRPr="009B591C" w:rsidRDefault="00997A8D" w:rsidP="00A977D2">
            <w:pPr>
              <w:tabs>
                <w:tab w:val="left" w:pos="284"/>
              </w:tabs>
              <w:spacing w:line="276" w:lineRule="auto"/>
              <w:jc w:val="both"/>
              <w:rPr>
                <w:b/>
                <w:bCs/>
                <w:lang w:eastAsia="lt-LT"/>
              </w:rPr>
            </w:pPr>
            <w:r w:rsidRPr="009B591C">
              <w:rPr>
                <w:b/>
                <w:bCs/>
                <w:lang w:eastAsia="lt-LT"/>
              </w:rPr>
              <w:t>Pareiškėjo teikiama (-</w:t>
            </w:r>
            <w:proofErr w:type="spellStart"/>
            <w:r w:rsidRPr="009B591C">
              <w:rPr>
                <w:b/>
                <w:bCs/>
                <w:lang w:eastAsia="lt-LT"/>
              </w:rPr>
              <w:t>os</w:t>
            </w:r>
            <w:proofErr w:type="spellEnd"/>
            <w:r w:rsidRPr="009B591C">
              <w:rPr>
                <w:b/>
                <w:bCs/>
                <w:lang w:eastAsia="lt-LT"/>
              </w:rPr>
              <w:t>) kompensuoti preparato indikacija (-</w:t>
            </w:r>
            <w:proofErr w:type="spellStart"/>
            <w:r w:rsidRPr="009B591C">
              <w:rPr>
                <w:b/>
                <w:bCs/>
                <w:lang w:eastAsia="lt-LT"/>
              </w:rPr>
              <w:t>os</w:t>
            </w:r>
            <w:proofErr w:type="spellEnd"/>
            <w:r w:rsidRPr="009B591C">
              <w:rPr>
                <w:b/>
                <w:bCs/>
                <w:lang w:eastAsia="lt-LT"/>
              </w:rPr>
              <w:t>)</w:t>
            </w:r>
          </w:p>
          <w:p w14:paraId="76F19E8B" w14:textId="77777777" w:rsidR="00997A8D" w:rsidRPr="009B591C" w:rsidRDefault="00997A8D" w:rsidP="00A977D2">
            <w:pPr>
              <w:tabs>
                <w:tab w:val="left" w:pos="284"/>
              </w:tabs>
              <w:spacing w:line="276" w:lineRule="auto"/>
              <w:jc w:val="both"/>
              <w:rPr>
                <w:b/>
                <w:bCs/>
                <w:lang w:eastAsia="lt-LT"/>
              </w:rPr>
            </w:pPr>
          </w:p>
          <w:p w14:paraId="2E5C2439" w14:textId="77777777" w:rsidR="00997A8D" w:rsidRPr="009B591C" w:rsidRDefault="00997A8D" w:rsidP="00A977D2">
            <w:pPr>
              <w:tabs>
                <w:tab w:val="left" w:pos="284"/>
              </w:tabs>
              <w:spacing w:line="276" w:lineRule="auto"/>
              <w:jc w:val="both"/>
              <w:rPr>
                <w:b/>
                <w:bCs/>
                <w:lang w:eastAsia="lt-LT"/>
              </w:rPr>
            </w:pPr>
          </w:p>
          <w:p w14:paraId="1FE65D93" w14:textId="77777777" w:rsidR="00997A8D" w:rsidRPr="009B591C" w:rsidRDefault="00997A8D" w:rsidP="00A977D2">
            <w:pPr>
              <w:tabs>
                <w:tab w:val="left" w:pos="284"/>
              </w:tabs>
              <w:spacing w:line="276" w:lineRule="auto"/>
              <w:jc w:val="both"/>
              <w:rPr>
                <w:b/>
                <w:bCs/>
                <w:lang w:eastAsia="lt-LT"/>
              </w:rPr>
            </w:pPr>
          </w:p>
          <w:p w14:paraId="63A09316" w14:textId="77777777" w:rsidR="00997A8D" w:rsidRPr="009B591C" w:rsidRDefault="00997A8D" w:rsidP="00A977D2">
            <w:pPr>
              <w:tabs>
                <w:tab w:val="left" w:pos="284"/>
              </w:tabs>
              <w:spacing w:line="276" w:lineRule="auto"/>
              <w:jc w:val="both"/>
              <w:rPr>
                <w:b/>
                <w:bCs/>
                <w:lang w:eastAsia="lt-LT"/>
              </w:rPr>
            </w:pPr>
          </w:p>
          <w:p w14:paraId="2237A629" w14:textId="77777777" w:rsidR="00997A8D" w:rsidRPr="009B591C" w:rsidRDefault="00997A8D" w:rsidP="00A977D2">
            <w:pPr>
              <w:tabs>
                <w:tab w:val="left" w:pos="284"/>
              </w:tabs>
              <w:spacing w:line="276" w:lineRule="auto"/>
              <w:jc w:val="both"/>
              <w:rPr>
                <w:b/>
                <w:bCs/>
                <w:lang w:eastAsia="lt-LT"/>
              </w:rPr>
            </w:pPr>
            <w:r w:rsidRPr="009B591C">
              <w:rPr>
                <w:b/>
                <w:bCs/>
                <w:lang w:eastAsia="lt-LT"/>
              </w:rPr>
              <w:lastRenderedPageBreak/>
              <w:t>Kodas pagal TLK-10 AM</w:t>
            </w:r>
          </w:p>
        </w:tc>
        <w:tc>
          <w:tcPr>
            <w:tcW w:w="5096" w:type="dxa"/>
            <w:tcBorders>
              <w:bottom w:val="single" w:sz="4" w:space="0" w:color="auto"/>
            </w:tcBorders>
          </w:tcPr>
          <w:p w14:paraId="4BEE2D57" w14:textId="77777777" w:rsidR="00997A8D" w:rsidRPr="009B591C" w:rsidRDefault="00997A8D" w:rsidP="00A977D2">
            <w:pPr>
              <w:pStyle w:val="Sraopastraipa"/>
              <w:spacing w:after="120" w:line="276" w:lineRule="auto"/>
              <w:ind w:left="0"/>
              <w:contextualSpacing w:val="0"/>
              <w:jc w:val="both"/>
            </w:pPr>
            <w:r w:rsidRPr="009B591C">
              <w:lastRenderedPageBreak/>
              <w:t xml:space="preserve">KEYTRUDA derinant su chemoterapija, kurios sudėtyje yra platinos vaistinių preparatų, ir skiriant </w:t>
            </w:r>
            <w:proofErr w:type="spellStart"/>
            <w:r w:rsidRPr="009B591C">
              <w:t>neoadjuvantiniam</w:t>
            </w:r>
            <w:proofErr w:type="spellEnd"/>
            <w:r w:rsidRPr="009B591C">
              <w:t xml:space="preserve"> gydymui, o vėliau tęsiant kaip </w:t>
            </w:r>
            <w:proofErr w:type="spellStart"/>
            <w:r w:rsidRPr="009B591C">
              <w:t>monoterapiją</w:t>
            </w:r>
            <w:proofErr w:type="spellEnd"/>
            <w:r w:rsidRPr="009B591C">
              <w:t xml:space="preserve"> </w:t>
            </w:r>
            <w:proofErr w:type="spellStart"/>
            <w:r w:rsidRPr="009B591C">
              <w:t>adjuvantiniam</w:t>
            </w:r>
            <w:proofErr w:type="spellEnd"/>
            <w:r w:rsidRPr="009B591C">
              <w:t xml:space="preserve"> gydymui, skirtas </w:t>
            </w:r>
            <w:proofErr w:type="spellStart"/>
            <w:r w:rsidRPr="009B591C">
              <w:t>rezekuotinam</w:t>
            </w:r>
            <w:proofErr w:type="spellEnd"/>
            <w:r w:rsidRPr="009B591C">
              <w:t xml:space="preserve"> nesmulkiųjų ląstelių plaučių vėžiu </w:t>
            </w:r>
            <w:r w:rsidRPr="009B591C">
              <w:lastRenderedPageBreak/>
              <w:t>sergančių suaugusiųjų, kuriems yra didelė vėžio recidyvo rizika, gydymui.</w:t>
            </w:r>
          </w:p>
          <w:p w14:paraId="0B4E3029" w14:textId="77777777" w:rsidR="00997A8D" w:rsidRPr="009B591C" w:rsidRDefault="00997A8D" w:rsidP="00A977D2">
            <w:pPr>
              <w:pStyle w:val="Sraopastraipa"/>
              <w:spacing w:after="120" w:line="276" w:lineRule="auto"/>
              <w:ind w:left="0"/>
              <w:contextualSpacing w:val="0"/>
              <w:jc w:val="both"/>
            </w:pPr>
            <w:r w:rsidRPr="009B591C">
              <w:t>C34</w:t>
            </w:r>
          </w:p>
        </w:tc>
      </w:tr>
      <w:tr w:rsidR="00997A8D" w:rsidRPr="009B591C" w14:paraId="6F26C5E3" w14:textId="77777777" w:rsidTr="00A977D2">
        <w:trPr>
          <w:trHeight w:val="479"/>
        </w:trPr>
        <w:tc>
          <w:tcPr>
            <w:tcW w:w="705" w:type="dxa"/>
            <w:tcBorders>
              <w:top w:val="single" w:sz="4" w:space="0" w:color="auto"/>
              <w:left w:val="single" w:sz="4" w:space="0" w:color="auto"/>
              <w:bottom w:val="single" w:sz="4" w:space="0" w:color="auto"/>
              <w:right w:val="single" w:sz="4" w:space="0" w:color="auto"/>
            </w:tcBorders>
          </w:tcPr>
          <w:p w14:paraId="26D45651" w14:textId="77777777" w:rsidR="00997A8D" w:rsidRPr="009B591C" w:rsidRDefault="00997A8D" w:rsidP="00A977D2">
            <w:pPr>
              <w:tabs>
                <w:tab w:val="left" w:pos="284"/>
              </w:tabs>
              <w:spacing w:line="276" w:lineRule="auto"/>
              <w:jc w:val="both"/>
              <w:rPr>
                <w:rFonts w:eastAsia="Arial"/>
                <w:b/>
              </w:rPr>
            </w:pPr>
            <w:r w:rsidRPr="009B591C">
              <w:rPr>
                <w:rFonts w:eastAsia="Arial"/>
                <w:b/>
              </w:rPr>
              <w:lastRenderedPageBreak/>
              <w:t>1.6</w:t>
            </w:r>
          </w:p>
        </w:tc>
        <w:tc>
          <w:tcPr>
            <w:tcW w:w="4117" w:type="dxa"/>
            <w:tcBorders>
              <w:top w:val="single" w:sz="4" w:space="0" w:color="auto"/>
              <w:left w:val="single" w:sz="4" w:space="0" w:color="auto"/>
              <w:bottom w:val="single" w:sz="4" w:space="0" w:color="auto"/>
              <w:right w:val="single" w:sz="4" w:space="0" w:color="auto"/>
            </w:tcBorders>
          </w:tcPr>
          <w:p w14:paraId="3B001893" w14:textId="77777777" w:rsidR="00997A8D" w:rsidRPr="009B591C" w:rsidRDefault="00997A8D" w:rsidP="00A977D2">
            <w:pPr>
              <w:tabs>
                <w:tab w:val="left" w:pos="284"/>
              </w:tabs>
              <w:spacing w:line="276" w:lineRule="auto"/>
              <w:jc w:val="both"/>
              <w:rPr>
                <w:bCs/>
                <w:u w:val="single"/>
                <w:lang w:eastAsia="lt-LT"/>
              </w:rPr>
            </w:pPr>
            <w:r w:rsidRPr="009B591C">
              <w:rPr>
                <w:b/>
                <w:bCs/>
                <w:lang w:eastAsia="lt-LT"/>
              </w:rPr>
              <w:t>Pareiškėjo teikiamos skyrimo sąlygos</w:t>
            </w:r>
          </w:p>
        </w:tc>
        <w:tc>
          <w:tcPr>
            <w:tcW w:w="5096" w:type="dxa"/>
            <w:tcBorders>
              <w:top w:val="single" w:sz="4" w:space="0" w:color="auto"/>
              <w:left w:val="single" w:sz="4" w:space="0" w:color="auto"/>
              <w:bottom w:val="single" w:sz="4" w:space="0" w:color="auto"/>
              <w:right w:val="single" w:sz="4" w:space="0" w:color="auto"/>
            </w:tcBorders>
          </w:tcPr>
          <w:p w14:paraId="0DBB8D42" w14:textId="77777777" w:rsidR="00997A8D" w:rsidRPr="009B591C" w:rsidRDefault="00997A8D" w:rsidP="00A977D2">
            <w:pPr>
              <w:pStyle w:val="Sraopastraipa"/>
              <w:spacing w:after="120" w:line="276" w:lineRule="auto"/>
              <w:ind w:left="0"/>
              <w:contextualSpacing w:val="0"/>
              <w:jc w:val="both"/>
            </w:pPr>
            <w:r w:rsidRPr="009B591C">
              <w:t>Neteikiamos</w:t>
            </w:r>
          </w:p>
        </w:tc>
      </w:tr>
      <w:tr w:rsidR="00997A8D" w:rsidRPr="009B591C" w14:paraId="0B3196CB" w14:textId="77777777" w:rsidTr="00A977D2">
        <w:trPr>
          <w:trHeight w:val="479"/>
        </w:trPr>
        <w:tc>
          <w:tcPr>
            <w:tcW w:w="705" w:type="dxa"/>
            <w:tcBorders>
              <w:top w:val="single" w:sz="4" w:space="0" w:color="auto"/>
              <w:left w:val="single" w:sz="4" w:space="0" w:color="auto"/>
              <w:bottom w:val="single" w:sz="4" w:space="0" w:color="auto"/>
              <w:right w:val="single" w:sz="4" w:space="0" w:color="auto"/>
            </w:tcBorders>
          </w:tcPr>
          <w:p w14:paraId="3D82760C" w14:textId="77777777" w:rsidR="00997A8D" w:rsidRPr="009B591C" w:rsidRDefault="00997A8D" w:rsidP="00A977D2">
            <w:pPr>
              <w:tabs>
                <w:tab w:val="left" w:pos="284"/>
              </w:tabs>
              <w:spacing w:line="276" w:lineRule="auto"/>
              <w:jc w:val="both"/>
              <w:rPr>
                <w:rFonts w:eastAsia="Arial"/>
                <w:b/>
              </w:rPr>
            </w:pPr>
            <w:r w:rsidRPr="009B591C">
              <w:rPr>
                <w:rFonts w:eastAsia="Arial"/>
                <w:b/>
              </w:rPr>
              <w:t>1.7</w:t>
            </w:r>
          </w:p>
        </w:tc>
        <w:tc>
          <w:tcPr>
            <w:tcW w:w="4117" w:type="dxa"/>
            <w:tcBorders>
              <w:top w:val="single" w:sz="4" w:space="0" w:color="auto"/>
              <w:left w:val="single" w:sz="4" w:space="0" w:color="auto"/>
              <w:bottom w:val="single" w:sz="4" w:space="0" w:color="auto"/>
              <w:right w:val="single" w:sz="4" w:space="0" w:color="auto"/>
            </w:tcBorders>
          </w:tcPr>
          <w:p w14:paraId="50F78971" w14:textId="77777777" w:rsidR="00997A8D" w:rsidRPr="009B591C" w:rsidRDefault="00997A8D" w:rsidP="00A977D2">
            <w:pPr>
              <w:tabs>
                <w:tab w:val="left" w:pos="284"/>
              </w:tabs>
              <w:spacing w:line="276" w:lineRule="auto"/>
              <w:jc w:val="both"/>
              <w:rPr>
                <w:b/>
                <w:bCs/>
                <w:lang w:eastAsia="lt-LT"/>
              </w:rPr>
            </w:pPr>
            <w:r w:rsidRPr="009B591C">
              <w:rPr>
                <w:b/>
              </w:rPr>
              <w:t>STV paraiškos pobūdis</w:t>
            </w:r>
          </w:p>
        </w:tc>
        <w:tc>
          <w:tcPr>
            <w:tcW w:w="5096" w:type="dxa"/>
            <w:tcBorders>
              <w:top w:val="single" w:sz="4" w:space="0" w:color="auto"/>
              <w:left w:val="single" w:sz="4" w:space="0" w:color="auto"/>
              <w:bottom w:val="single" w:sz="4" w:space="0" w:color="auto"/>
              <w:right w:val="single" w:sz="4" w:space="0" w:color="auto"/>
            </w:tcBorders>
          </w:tcPr>
          <w:p w14:paraId="4360A126" w14:textId="77777777" w:rsidR="00997A8D" w:rsidRPr="009B591C" w:rsidRDefault="003F3109" w:rsidP="00A977D2">
            <w:pPr>
              <w:spacing w:line="276" w:lineRule="auto"/>
              <w:jc w:val="both"/>
            </w:pPr>
            <w:sdt>
              <w:sdtPr>
                <w:rPr>
                  <w:rStyle w:val="Style2"/>
                </w:rPr>
                <w:id w:val="-468433535"/>
                <w15:color w:val="FFCC00"/>
                <w14:checkbox>
                  <w14:checked w14:val="1"/>
                  <w14:checkedState w14:val="2612" w14:font="MS Gothic"/>
                  <w14:uncheckedState w14:val="2610" w14:font="MS Gothic"/>
                </w14:checkbox>
              </w:sdtPr>
              <w:sdtEndPr>
                <w:rPr>
                  <w:rStyle w:val="Style2"/>
                </w:rPr>
              </w:sdtEndPr>
              <w:sdtContent>
                <w:r w:rsidR="00997A8D" w:rsidRPr="009B591C">
                  <w:rPr>
                    <w:rStyle w:val="Style2"/>
                    <w:rFonts w:ascii="Segoe UI Symbol" w:eastAsia="MS Gothic" w:hAnsi="Segoe UI Symbol" w:cs="Segoe UI Symbol"/>
                  </w:rPr>
                  <w:t>☒</w:t>
                </w:r>
              </w:sdtContent>
            </w:sdt>
            <w:r w:rsidR="00997A8D" w:rsidRPr="009B591C">
              <w:t xml:space="preserve"> Pilna paraiška</w:t>
            </w:r>
          </w:p>
          <w:p w14:paraId="6D12F443" w14:textId="77777777" w:rsidR="00997A8D" w:rsidRPr="009B591C" w:rsidRDefault="003F3109" w:rsidP="00A977D2">
            <w:pPr>
              <w:spacing w:line="276" w:lineRule="auto"/>
              <w:jc w:val="both"/>
              <w:rPr>
                <w:rStyle w:val="Style2"/>
              </w:rPr>
            </w:pPr>
            <w:sdt>
              <w:sdtPr>
                <w:rPr>
                  <w:rStyle w:val="Style2"/>
                </w:rPr>
                <w:id w:val="-1489014904"/>
                <w15:color w:val="FFCC00"/>
                <w14:checkbox>
                  <w14:checked w14:val="0"/>
                  <w14:checkedState w14:val="2612" w14:font="MS Gothic"/>
                  <w14:uncheckedState w14:val="2610" w14:font="MS Gothic"/>
                </w14:checkbox>
              </w:sdtPr>
              <w:sdtEndPr>
                <w:rPr>
                  <w:rStyle w:val="Style2"/>
                </w:rPr>
              </w:sdtEndPr>
              <w:sdtContent>
                <w:r w:rsidR="00997A8D" w:rsidRPr="009B591C">
                  <w:rPr>
                    <w:rStyle w:val="Style2"/>
                    <w:rFonts w:ascii="Segoe UI Symbol" w:eastAsia="MS Gothic" w:hAnsi="Segoe UI Symbol" w:cs="Segoe UI Symbol"/>
                  </w:rPr>
                  <w:t>☐</w:t>
                </w:r>
              </w:sdtContent>
            </w:sdt>
            <w:r w:rsidR="00997A8D" w:rsidRPr="009B591C">
              <w:t xml:space="preserve"> Supaprastinta paraiška</w:t>
            </w:r>
          </w:p>
        </w:tc>
      </w:tr>
      <w:tr w:rsidR="00997A8D" w:rsidRPr="009B591C" w14:paraId="7D61C658" w14:textId="77777777" w:rsidTr="00A977D2">
        <w:trPr>
          <w:trHeight w:val="479"/>
        </w:trPr>
        <w:tc>
          <w:tcPr>
            <w:tcW w:w="705" w:type="dxa"/>
            <w:tcBorders>
              <w:top w:val="single" w:sz="4" w:space="0" w:color="auto"/>
              <w:left w:val="single" w:sz="4" w:space="0" w:color="auto"/>
              <w:bottom w:val="single" w:sz="4" w:space="0" w:color="auto"/>
              <w:right w:val="single" w:sz="4" w:space="0" w:color="auto"/>
            </w:tcBorders>
          </w:tcPr>
          <w:p w14:paraId="0872A52B" w14:textId="77777777" w:rsidR="00997A8D" w:rsidRPr="009B591C" w:rsidRDefault="00997A8D" w:rsidP="00A977D2">
            <w:pPr>
              <w:tabs>
                <w:tab w:val="left" w:pos="284"/>
              </w:tabs>
              <w:spacing w:line="276" w:lineRule="auto"/>
              <w:jc w:val="both"/>
              <w:rPr>
                <w:rFonts w:eastAsia="Arial"/>
                <w:b/>
              </w:rPr>
            </w:pPr>
            <w:r w:rsidRPr="009B591C">
              <w:rPr>
                <w:rFonts w:eastAsia="Arial"/>
                <w:b/>
              </w:rPr>
              <w:t>1.8</w:t>
            </w:r>
          </w:p>
        </w:tc>
        <w:tc>
          <w:tcPr>
            <w:tcW w:w="4117" w:type="dxa"/>
            <w:tcBorders>
              <w:top w:val="single" w:sz="4" w:space="0" w:color="auto"/>
              <w:left w:val="single" w:sz="4" w:space="0" w:color="auto"/>
              <w:bottom w:val="single" w:sz="4" w:space="0" w:color="auto"/>
              <w:right w:val="single" w:sz="4" w:space="0" w:color="auto"/>
            </w:tcBorders>
          </w:tcPr>
          <w:p w14:paraId="313717AC" w14:textId="77777777" w:rsidR="00997A8D" w:rsidRPr="009B591C" w:rsidRDefault="00997A8D" w:rsidP="00A977D2">
            <w:pPr>
              <w:tabs>
                <w:tab w:val="left" w:pos="284"/>
              </w:tabs>
              <w:spacing w:line="276" w:lineRule="auto"/>
              <w:jc w:val="both"/>
              <w:rPr>
                <w:b/>
                <w:bCs/>
                <w:lang w:eastAsia="lt-LT"/>
              </w:rPr>
            </w:pPr>
            <w:r w:rsidRPr="009B591C">
              <w:rPr>
                <w:b/>
                <w:bCs/>
                <w:lang w:eastAsia="lt-LT"/>
              </w:rPr>
              <w:t>Klinikinių tyrimų tipas</w:t>
            </w:r>
          </w:p>
        </w:tc>
        <w:tc>
          <w:tcPr>
            <w:tcW w:w="5096" w:type="dxa"/>
            <w:tcBorders>
              <w:top w:val="single" w:sz="4" w:space="0" w:color="auto"/>
              <w:left w:val="single" w:sz="4" w:space="0" w:color="auto"/>
              <w:bottom w:val="single" w:sz="4" w:space="0" w:color="auto"/>
              <w:right w:val="single" w:sz="4" w:space="0" w:color="auto"/>
            </w:tcBorders>
          </w:tcPr>
          <w:p w14:paraId="2993EC0A" w14:textId="77777777" w:rsidR="00997A8D" w:rsidRPr="009B591C" w:rsidRDefault="003F3109" w:rsidP="00A977D2">
            <w:pPr>
              <w:spacing w:line="276" w:lineRule="auto"/>
              <w:jc w:val="both"/>
            </w:pPr>
            <w:sdt>
              <w:sdtPr>
                <w:rPr>
                  <w:rStyle w:val="Style2"/>
                </w:rPr>
                <w:id w:val="-127552102"/>
                <w15:color w:val="FFCC00"/>
                <w14:checkbox>
                  <w14:checked w14:val="1"/>
                  <w14:checkedState w14:val="2612" w14:font="MS Gothic"/>
                  <w14:uncheckedState w14:val="2610" w14:font="MS Gothic"/>
                </w14:checkbox>
              </w:sdtPr>
              <w:sdtEndPr>
                <w:rPr>
                  <w:rStyle w:val="Style2"/>
                </w:rPr>
              </w:sdtEndPr>
              <w:sdtContent>
                <w:r w:rsidR="00997A8D" w:rsidRPr="009B591C">
                  <w:rPr>
                    <w:rStyle w:val="Style2"/>
                    <w:rFonts w:ascii="Segoe UI Symbol" w:eastAsia="MS Gothic" w:hAnsi="Segoe UI Symbol" w:cs="Segoe UI Symbol"/>
                  </w:rPr>
                  <w:t>☒</w:t>
                </w:r>
              </w:sdtContent>
            </w:sdt>
            <w:r w:rsidR="00997A8D" w:rsidRPr="009B591C">
              <w:t xml:space="preserve"> Tiesioginis palyginimas</w:t>
            </w:r>
          </w:p>
          <w:p w14:paraId="2AD30B35" w14:textId="77777777" w:rsidR="00997A8D" w:rsidRPr="009B591C" w:rsidRDefault="003F3109" w:rsidP="00A977D2">
            <w:pPr>
              <w:spacing w:line="276" w:lineRule="auto"/>
              <w:jc w:val="both"/>
            </w:pPr>
            <w:sdt>
              <w:sdtPr>
                <w:id w:val="1055667713"/>
                <w15:color w:val="FFCC00"/>
                <w14:checkbox>
                  <w14:checked w14:val="0"/>
                  <w14:checkedState w14:val="2612" w14:font="MS Gothic"/>
                  <w14:uncheckedState w14:val="2610" w14:font="MS Gothic"/>
                </w14:checkbox>
              </w:sdtPr>
              <w:sdtEndPr/>
              <w:sdtContent>
                <w:r w:rsidR="00997A8D" w:rsidRPr="009B591C">
                  <w:rPr>
                    <w:rFonts w:ascii="Segoe UI Symbol" w:eastAsia="MS Gothic" w:hAnsi="Segoe UI Symbol" w:cs="Segoe UI Symbol"/>
                  </w:rPr>
                  <w:t>☐</w:t>
                </w:r>
              </w:sdtContent>
            </w:sdt>
            <w:r w:rsidR="00997A8D" w:rsidRPr="009B591C">
              <w:t xml:space="preserve"> Netiesioginis palyginimas</w:t>
            </w:r>
          </w:p>
        </w:tc>
      </w:tr>
      <w:tr w:rsidR="00997A8D" w:rsidRPr="009B591C" w14:paraId="72FDBCDD" w14:textId="77777777" w:rsidTr="00A977D2">
        <w:trPr>
          <w:trHeight w:val="479"/>
        </w:trPr>
        <w:tc>
          <w:tcPr>
            <w:tcW w:w="705" w:type="dxa"/>
            <w:tcBorders>
              <w:top w:val="single" w:sz="4" w:space="0" w:color="auto"/>
              <w:left w:val="single" w:sz="4" w:space="0" w:color="auto"/>
              <w:bottom w:val="single" w:sz="4" w:space="0" w:color="auto"/>
              <w:right w:val="single" w:sz="4" w:space="0" w:color="auto"/>
            </w:tcBorders>
          </w:tcPr>
          <w:p w14:paraId="2B0312DC" w14:textId="77777777" w:rsidR="00997A8D" w:rsidRPr="009B591C" w:rsidRDefault="00997A8D" w:rsidP="00A977D2">
            <w:pPr>
              <w:tabs>
                <w:tab w:val="left" w:pos="284"/>
              </w:tabs>
              <w:spacing w:line="276" w:lineRule="auto"/>
              <w:jc w:val="both"/>
              <w:rPr>
                <w:rFonts w:eastAsia="Arial"/>
                <w:b/>
              </w:rPr>
            </w:pPr>
            <w:r w:rsidRPr="009B591C">
              <w:rPr>
                <w:rFonts w:eastAsia="Arial"/>
                <w:b/>
              </w:rPr>
              <w:t>1.9</w:t>
            </w:r>
          </w:p>
        </w:tc>
        <w:tc>
          <w:tcPr>
            <w:tcW w:w="4117" w:type="dxa"/>
            <w:tcBorders>
              <w:top w:val="single" w:sz="4" w:space="0" w:color="auto"/>
              <w:left w:val="single" w:sz="4" w:space="0" w:color="auto"/>
              <w:bottom w:val="single" w:sz="4" w:space="0" w:color="auto"/>
              <w:right w:val="single" w:sz="4" w:space="0" w:color="auto"/>
            </w:tcBorders>
          </w:tcPr>
          <w:p w14:paraId="2FF74330" w14:textId="77777777" w:rsidR="00997A8D" w:rsidRPr="009B591C" w:rsidRDefault="00997A8D" w:rsidP="00A977D2">
            <w:pPr>
              <w:tabs>
                <w:tab w:val="left" w:pos="284"/>
              </w:tabs>
              <w:spacing w:line="276" w:lineRule="auto"/>
              <w:jc w:val="both"/>
              <w:rPr>
                <w:b/>
                <w:bCs/>
                <w:lang w:eastAsia="lt-LT"/>
              </w:rPr>
            </w:pPr>
            <w:r w:rsidRPr="009B591C">
              <w:rPr>
                <w:b/>
                <w:bCs/>
                <w:lang w:eastAsia="lt-LT"/>
              </w:rPr>
              <w:t>Ekonominės analizės rūšis</w:t>
            </w:r>
          </w:p>
        </w:tc>
        <w:tc>
          <w:tcPr>
            <w:tcW w:w="5096" w:type="dxa"/>
            <w:tcBorders>
              <w:top w:val="single" w:sz="4" w:space="0" w:color="auto"/>
              <w:left w:val="single" w:sz="4" w:space="0" w:color="auto"/>
              <w:bottom w:val="single" w:sz="4" w:space="0" w:color="auto"/>
              <w:right w:val="single" w:sz="4" w:space="0" w:color="auto"/>
            </w:tcBorders>
          </w:tcPr>
          <w:p w14:paraId="3BD943EE" w14:textId="126F08E1" w:rsidR="00997A8D" w:rsidRPr="009B591C" w:rsidRDefault="003F3109" w:rsidP="00A977D2">
            <w:pPr>
              <w:spacing w:line="276" w:lineRule="auto"/>
              <w:jc w:val="both"/>
            </w:pPr>
            <w:sdt>
              <w:sdtPr>
                <w:rPr>
                  <w:rStyle w:val="Style2"/>
                </w:rPr>
                <w:id w:val="61999468"/>
                <w15:color w:val="FFCC00"/>
                <w14:checkbox>
                  <w14:checked w14:val="1"/>
                  <w14:checkedState w14:val="2612" w14:font="MS Gothic"/>
                  <w14:uncheckedState w14:val="2610" w14:font="MS Gothic"/>
                </w14:checkbox>
              </w:sdtPr>
              <w:sdtEndPr>
                <w:rPr>
                  <w:rStyle w:val="Style2"/>
                </w:rPr>
              </w:sdtEndPr>
              <w:sdtContent>
                <w:r w:rsidR="007C49E2">
                  <w:rPr>
                    <w:rStyle w:val="Style2"/>
                    <w:rFonts w:ascii="MS Gothic" w:eastAsia="MS Gothic" w:hAnsi="MS Gothic" w:hint="eastAsia"/>
                  </w:rPr>
                  <w:t>☒</w:t>
                </w:r>
              </w:sdtContent>
            </w:sdt>
            <w:r w:rsidR="00997A8D" w:rsidRPr="009B591C">
              <w:t xml:space="preserve"> Kaštų naudingumo analizė</w:t>
            </w:r>
          </w:p>
          <w:p w14:paraId="190FE3D8" w14:textId="77777777" w:rsidR="00997A8D" w:rsidRPr="009B591C" w:rsidRDefault="003F3109" w:rsidP="00A977D2">
            <w:pPr>
              <w:spacing w:line="276" w:lineRule="auto"/>
              <w:jc w:val="both"/>
            </w:pPr>
            <w:sdt>
              <w:sdtPr>
                <w:rPr>
                  <w:rStyle w:val="Style2"/>
                </w:rPr>
                <w:id w:val="-797297754"/>
                <w15:color w:val="FFCC00"/>
                <w14:checkbox>
                  <w14:checked w14:val="0"/>
                  <w14:checkedState w14:val="2612" w14:font="MS Gothic"/>
                  <w14:uncheckedState w14:val="2610" w14:font="MS Gothic"/>
                </w14:checkbox>
              </w:sdtPr>
              <w:sdtEndPr>
                <w:rPr>
                  <w:rStyle w:val="Style2"/>
                </w:rPr>
              </w:sdtEndPr>
              <w:sdtContent>
                <w:r w:rsidR="00997A8D" w:rsidRPr="009B591C">
                  <w:rPr>
                    <w:rStyle w:val="Style2"/>
                    <w:rFonts w:ascii="Segoe UI Symbol" w:eastAsia="MS Gothic" w:hAnsi="Segoe UI Symbol" w:cs="Segoe UI Symbol"/>
                  </w:rPr>
                  <w:t>☐</w:t>
                </w:r>
              </w:sdtContent>
            </w:sdt>
            <w:r w:rsidR="00997A8D" w:rsidRPr="009B591C">
              <w:t xml:space="preserve"> Kaštų mažinimo analizė</w:t>
            </w:r>
          </w:p>
          <w:p w14:paraId="11A49BE8" w14:textId="77777777" w:rsidR="00997A8D" w:rsidRPr="009B591C" w:rsidRDefault="003F3109" w:rsidP="00A977D2">
            <w:pPr>
              <w:spacing w:line="276" w:lineRule="auto"/>
              <w:jc w:val="both"/>
            </w:pPr>
            <w:sdt>
              <w:sdtPr>
                <w:rPr>
                  <w:rStyle w:val="Style2"/>
                </w:rPr>
                <w:id w:val="-1260065246"/>
                <w15:color w:val="FFCC00"/>
                <w14:checkbox>
                  <w14:checked w14:val="0"/>
                  <w14:checkedState w14:val="2612" w14:font="MS Gothic"/>
                  <w14:uncheckedState w14:val="2610" w14:font="MS Gothic"/>
                </w14:checkbox>
              </w:sdtPr>
              <w:sdtEndPr>
                <w:rPr>
                  <w:rStyle w:val="Style2"/>
                </w:rPr>
              </w:sdtEndPr>
              <w:sdtContent>
                <w:r w:rsidR="00997A8D" w:rsidRPr="009B591C">
                  <w:rPr>
                    <w:rStyle w:val="Style2"/>
                    <w:rFonts w:ascii="Segoe UI Symbol" w:eastAsia="MS Gothic" w:hAnsi="Segoe UI Symbol" w:cs="Segoe UI Symbol"/>
                  </w:rPr>
                  <w:t>☐</w:t>
                </w:r>
              </w:sdtContent>
            </w:sdt>
            <w:r w:rsidR="00997A8D" w:rsidRPr="009B591C">
              <w:t xml:space="preserve"> Kita: </w:t>
            </w:r>
            <w:sdt>
              <w:sdtPr>
                <w:alias w:val="Įrašykite"/>
                <w:tag w:val="Įrašykite"/>
                <w:id w:val="-73658265"/>
                <w:placeholder>
                  <w:docPart w:val="9E916E70BFF8B34BA2EE0D733932B576"/>
                </w:placeholder>
                <w15:color w:val="FFCC99"/>
              </w:sdtPr>
              <w:sdtEndPr/>
              <w:sdtContent>
                <w:r w:rsidR="00997A8D" w:rsidRPr="009B591C">
                  <w:t>_________________</w:t>
                </w:r>
              </w:sdtContent>
            </w:sdt>
          </w:p>
        </w:tc>
      </w:tr>
    </w:tbl>
    <w:p w14:paraId="0B436339" w14:textId="77777777" w:rsidR="00997A8D" w:rsidRPr="009B591C" w:rsidRDefault="00997A8D" w:rsidP="00997A8D">
      <w:pPr>
        <w:spacing w:line="276" w:lineRule="auto"/>
        <w:jc w:val="both"/>
        <w:rPr>
          <w:rFonts w:eastAsia="Arial"/>
        </w:rPr>
      </w:pPr>
    </w:p>
    <w:p w14:paraId="2871CA7F" w14:textId="3996634C" w:rsidR="00F70C9E" w:rsidRDefault="00F70C9E" w:rsidP="004537D0">
      <w:pPr>
        <w:pStyle w:val="Sraopastraipa"/>
        <w:numPr>
          <w:ilvl w:val="1"/>
          <w:numId w:val="12"/>
        </w:numPr>
        <w:spacing w:line="276" w:lineRule="auto"/>
        <w:jc w:val="both"/>
        <w:rPr>
          <w:rFonts w:eastAsia="Arial"/>
          <w:b/>
        </w:rPr>
      </w:pPr>
      <w:r w:rsidRPr="004537D0">
        <w:rPr>
          <w:rFonts w:eastAsia="Arial"/>
          <w:b/>
        </w:rPr>
        <w:t xml:space="preserve">Kitų </w:t>
      </w:r>
      <w:r w:rsidR="00DF583C" w:rsidRPr="004537D0">
        <w:rPr>
          <w:rFonts w:eastAsia="Arial"/>
          <w:b/>
        </w:rPr>
        <w:t xml:space="preserve">valstybių </w:t>
      </w:r>
      <w:r w:rsidRPr="004537D0">
        <w:rPr>
          <w:rFonts w:eastAsia="Arial"/>
          <w:b/>
        </w:rPr>
        <w:t xml:space="preserve">atsakingų institucijų atlikto </w:t>
      </w:r>
      <w:r w:rsidR="00DF583C" w:rsidRPr="004537D0">
        <w:rPr>
          <w:rFonts w:eastAsia="Arial"/>
          <w:b/>
        </w:rPr>
        <w:t>Sveikatos technologijų vertinimo (toliau – STV)</w:t>
      </w:r>
      <w:r w:rsidRPr="004537D0">
        <w:rPr>
          <w:rFonts w:eastAsia="Arial"/>
          <w:b/>
        </w:rPr>
        <w:t xml:space="preserve"> išvados</w:t>
      </w:r>
    </w:p>
    <w:p w14:paraId="3A30D5AF" w14:textId="77777777" w:rsidR="00997A8D" w:rsidRDefault="00997A8D" w:rsidP="00997A8D">
      <w:pPr>
        <w:spacing w:line="276" w:lineRule="auto"/>
        <w:jc w:val="both"/>
        <w:rPr>
          <w:rFonts w:eastAsia="Arial"/>
          <w:b/>
        </w:rPr>
      </w:pPr>
    </w:p>
    <w:p w14:paraId="54B9300F" w14:textId="77777777" w:rsidR="00997A8D" w:rsidRPr="009B591C" w:rsidRDefault="00997A8D" w:rsidP="00997A8D">
      <w:pPr>
        <w:spacing w:line="276" w:lineRule="auto"/>
        <w:jc w:val="both"/>
        <w:rPr>
          <w:rFonts w:eastAsia="Arial"/>
        </w:rPr>
      </w:pPr>
    </w:p>
    <w:tbl>
      <w:tblPr>
        <w:tblStyle w:val="Lentelstinklelis"/>
        <w:tblW w:w="9918" w:type="dxa"/>
        <w:tblLook w:val="04A0" w:firstRow="1" w:lastRow="0" w:firstColumn="1" w:lastColumn="0" w:noHBand="0" w:noVBand="1"/>
      </w:tblPr>
      <w:tblGrid>
        <w:gridCol w:w="2525"/>
        <w:gridCol w:w="1723"/>
        <w:gridCol w:w="2987"/>
        <w:gridCol w:w="2683"/>
      </w:tblGrid>
      <w:tr w:rsidR="00997A8D" w:rsidRPr="009B591C" w14:paraId="24BB028B" w14:textId="77777777" w:rsidTr="00A977D2">
        <w:trPr>
          <w:trHeight w:val="924"/>
        </w:trPr>
        <w:tc>
          <w:tcPr>
            <w:tcW w:w="2525" w:type="dxa"/>
          </w:tcPr>
          <w:p w14:paraId="5F759C3E" w14:textId="77777777" w:rsidR="00997A8D" w:rsidRPr="009B591C" w:rsidRDefault="00997A8D" w:rsidP="00A977D2">
            <w:pPr>
              <w:spacing w:line="276" w:lineRule="auto"/>
              <w:jc w:val="both"/>
              <w:rPr>
                <w:rFonts w:eastAsia="Arial"/>
              </w:rPr>
            </w:pPr>
            <w:r w:rsidRPr="009B591C">
              <w:rPr>
                <w:rFonts w:eastAsia="Arial"/>
              </w:rPr>
              <w:t>STV agentūros pavadinimas, šalis</w:t>
            </w:r>
          </w:p>
        </w:tc>
        <w:tc>
          <w:tcPr>
            <w:tcW w:w="1723" w:type="dxa"/>
          </w:tcPr>
          <w:p w14:paraId="3DF7ECD6" w14:textId="77777777" w:rsidR="00997A8D" w:rsidRPr="009B591C" w:rsidRDefault="00997A8D" w:rsidP="00A977D2">
            <w:pPr>
              <w:spacing w:line="276" w:lineRule="auto"/>
              <w:jc w:val="both"/>
              <w:rPr>
                <w:rFonts w:eastAsia="Arial"/>
              </w:rPr>
            </w:pPr>
            <w:r w:rsidRPr="009B591C">
              <w:rPr>
                <w:rFonts w:eastAsia="Arial"/>
              </w:rPr>
              <w:t>STV vertinimas atliktas</w:t>
            </w:r>
          </w:p>
        </w:tc>
        <w:tc>
          <w:tcPr>
            <w:tcW w:w="2987" w:type="dxa"/>
          </w:tcPr>
          <w:p w14:paraId="6B45A050" w14:textId="77777777" w:rsidR="00997A8D" w:rsidRPr="009B591C" w:rsidRDefault="00997A8D" w:rsidP="00A977D2">
            <w:pPr>
              <w:spacing w:line="276" w:lineRule="auto"/>
              <w:jc w:val="both"/>
              <w:rPr>
                <w:rFonts w:eastAsia="Arial"/>
              </w:rPr>
            </w:pPr>
            <w:r w:rsidRPr="009B591C">
              <w:rPr>
                <w:rFonts w:eastAsia="Arial"/>
              </w:rPr>
              <w:t>Klinikinio vertinimo išvada</w:t>
            </w:r>
          </w:p>
        </w:tc>
        <w:tc>
          <w:tcPr>
            <w:tcW w:w="2683" w:type="dxa"/>
          </w:tcPr>
          <w:p w14:paraId="6923FD58" w14:textId="77777777" w:rsidR="00997A8D" w:rsidRPr="009B591C" w:rsidRDefault="00997A8D" w:rsidP="00A977D2">
            <w:pPr>
              <w:spacing w:line="276" w:lineRule="auto"/>
              <w:jc w:val="both"/>
              <w:rPr>
                <w:rFonts w:eastAsia="Arial"/>
              </w:rPr>
            </w:pPr>
            <w:proofErr w:type="spellStart"/>
            <w:r w:rsidRPr="009B591C">
              <w:rPr>
                <w:rFonts w:eastAsia="Arial"/>
              </w:rPr>
              <w:t>Farmakoekonominio</w:t>
            </w:r>
            <w:proofErr w:type="spellEnd"/>
            <w:r w:rsidRPr="009B591C">
              <w:rPr>
                <w:rFonts w:eastAsia="Arial"/>
              </w:rPr>
              <w:t xml:space="preserve"> vertinimo išvada</w:t>
            </w:r>
          </w:p>
        </w:tc>
      </w:tr>
      <w:tr w:rsidR="00997A8D" w:rsidRPr="009B591C" w14:paraId="3BA7A227" w14:textId="77777777" w:rsidTr="00A977D2">
        <w:trPr>
          <w:trHeight w:val="1765"/>
        </w:trPr>
        <w:tc>
          <w:tcPr>
            <w:tcW w:w="2525" w:type="dxa"/>
          </w:tcPr>
          <w:p w14:paraId="355D65B7" w14:textId="77777777" w:rsidR="00997A8D" w:rsidRPr="009B591C" w:rsidRDefault="00997A8D" w:rsidP="00A977D2">
            <w:pPr>
              <w:autoSpaceDE w:val="0"/>
              <w:autoSpaceDN w:val="0"/>
              <w:adjustRightInd w:val="0"/>
              <w:spacing w:line="276" w:lineRule="auto"/>
              <w:jc w:val="both"/>
              <w:rPr>
                <w:bCs/>
              </w:rPr>
            </w:pPr>
            <w:r w:rsidRPr="009B591C">
              <w:rPr>
                <w:bCs/>
              </w:rPr>
              <w:t>Nacionalinis sveikatos ir klinikinės kompetencijos institutas, Didžioji Britanija</w:t>
            </w:r>
          </w:p>
          <w:p w14:paraId="5B13E170" w14:textId="77777777" w:rsidR="00997A8D" w:rsidRPr="009B591C" w:rsidRDefault="00997A8D" w:rsidP="00A977D2">
            <w:pPr>
              <w:spacing w:line="276" w:lineRule="auto"/>
              <w:jc w:val="both"/>
              <w:rPr>
                <w:rFonts w:eastAsia="Arial"/>
              </w:rPr>
            </w:pPr>
            <w:r w:rsidRPr="009B591C">
              <w:rPr>
                <w:rFonts w:eastAsia="Arial"/>
              </w:rPr>
              <w:t xml:space="preserve">(angl. </w:t>
            </w:r>
            <w:proofErr w:type="spellStart"/>
            <w:r w:rsidRPr="009B591C">
              <w:rPr>
                <w:rFonts w:eastAsia="Arial"/>
                <w:i/>
              </w:rPr>
              <w:t>National</w:t>
            </w:r>
            <w:proofErr w:type="spellEnd"/>
            <w:r w:rsidRPr="009B591C">
              <w:rPr>
                <w:rFonts w:eastAsia="Arial"/>
                <w:i/>
              </w:rPr>
              <w:t xml:space="preserve"> Institute </w:t>
            </w:r>
            <w:proofErr w:type="spellStart"/>
            <w:r w:rsidRPr="009B591C">
              <w:rPr>
                <w:rFonts w:eastAsia="Arial"/>
                <w:i/>
              </w:rPr>
              <w:t>for</w:t>
            </w:r>
            <w:proofErr w:type="spellEnd"/>
            <w:r w:rsidRPr="009B591C">
              <w:rPr>
                <w:rFonts w:eastAsia="Arial"/>
                <w:i/>
              </w:rPr>
              <w:t xml:space="preserve"> </w:t>
            </w:r>
            <w:proofErr w:type="spellStart"/>
            <w:r w:rsidRPr="009B591C">
              <w:rPr>
                <w:rFonts w:eastAsia="Arial"/>
                <w:i/>
              </w:rPr>
              <w:t>Health</w:t>
            </w:r>
            <w:proofErr w:type="spellEnd"/>
            <w:r w:rsidRPr="009B591C">
              <w:rPr>
                <w:rFonts w:eastAsia="Arial"/>
                <w:i/>
              </w:rPr>
              <w:t xml:space="preserve"> </w:t>
            </w:r>
            <w:proofErr w:type="spellStart"/>
            <w:r w:rsidRPr="009B591C">
              <w:rPr>
                <w:rFonts w:eastAsia="Arial"/>
                <w:i/>
              </w:rPr>
              <w:t>and</w:t>
            </w:r>
            <w:proofErr w:type="spellEnd"/>
            <w:r w:rsidRPr="009B591C">
              <w:rPr>
                <w:rFonts w:eastAsia="Arial"/>
                <w:i/>
              </w:rPr>
              <w:t xml:space="preserve"> Care </w:t>
            </w:r>
            <w:proofErr w:type="spellStart"/>
            <w:r w:rsidRPr="009B591C">
              <w:rPr>
                <w:rFonts w:eastAsia="Arial"/>
                <w:i/>
              </w:rPr>
              <w:t>Excellence</w:t>
            </w:r>
            <w:proofErr w:type="spellEnd"/>
            <w:r w:rsidRPr="009B591C">
              <w:rPr>
                <w:rFonts w:eastAsia="Arial"/>
                <w:i/>
              </w:rPr>
              <w:t>, NICE</w:t>
            </w:r>
            <w:r w:rsidRPr="009B591C">
              <w:rPr>
                <w:rFonts w:eastAsia="Arial"/>
              </w:rPr>
              <w:t>)</w:t>
            </w:r>
          </w:p>
        </w:tc>
        <w:tc>
          <w:tcPr>
            <w:tcW w:w="1723" w:type="dxa"/>
          </w:tcPr>
          <w:p w14:paraId="24BC7C3A" w14:textId="77777777" w:rsidR="00997A8D" w:rsidRPr="009B591C" w:rsidRDefault="003F3109" w:rsidP="00A977D2">
            <w:pPr>
              <w:spacing w:line="276" w:lineRule="auto"/>
              <w:jc w:val="both"/>
            </w:pPr>
            <w:sdt>
              <w:sdtPr>
                <w:rPr>
                  <w:rStyle w:val="Style2"/>
                </w:rPr>
                <w:id w:val="1558205022"/>
                <w15:color w:val="FFCC00"/>
                <w14:checkbox>
                  <w14:checked w14:val="0"/>
                  <w14:checkedState w14:val="2612" w14:font="MS Gothic"/>
                  <w14:uncheckedState w14:val="2610" w14:font="MS Gothic"/>
                </w14:checkbox>
              </w:sdtPr>
              <w:sdtEndPr>
                <w:rPr>
                  <w:rStyle w:val="Style2"/>
                </w:rPr>
              </w:sdtEndPr>
              <w:sdtContent>
                <w:r w:rsidR="00997A8D" w:rsidRPr="009B591C">
                  <w:rPr>
                    <w:rStyle w:val="Style2"/>
                    <w:rFonts w:ascii="Segoe UI Symbol" w:eastAsia="MS Gothic" w:hAnsi="Segoe UI Symbol" w:cs="Segoe UI Symbol"/>
                  </w:rPr>
                  <w:t>☐</w:t>
                </w:r>
              </w:sdtContent>
            </w:sdt>
            <w:r w:rsidR="00997A8D" w:rsidRPr="009B591C">
              <w:t xml:space="preserve"> Taip</w:t>
            </w:r>
          </w:p>
          <w:p w14:paraId="6DF67E2E" w14:textId="77777777" w:rsidR="00997A8D" w:rsidRPr="009B591C" w:rsidRDefault="003F3109" w:rsidP="00A977D2">
            <w:pPr>
              <w:spacing w:line="276" w:lineRule="auto"/>
              <w:jc w:val="both"/>
            </w:pPr>
            <w:sdt>
              <w:sdtPr>
                <w:rPr>
                  <w:rStyle w:val="Style2"/>
                </w:rPr>
                <w:id w:val="866029625"/>
                <w15:color w:val="FFCC00"/>
                <w14:checkbox>
                  <w14:checked w14:val="1"/>
                  <w14:checkedState w14:val="2612" w14:font="MS Gothic"/>
                  <w14:uncheckedState w14:val="2610" w14:font="MS Gothic"/>
                </w14:checkbox>
              </w:sdtPr>
              <w:sdtEndPr>
                <w:rPr>
                  <w:rStyle w:val="Style2"/>
                </w:rPr>
              </w:sdtEndPr>
              <w:sdtContent>
                <w:r w:rsidR="00997A8D" w:rsidRPr="009B591C">
                  <w:rPr>
                    <w:rStyle w:val="Style2"/>
                    <w:rFonts w:ascii="MS Gothic" w:eastAsia="MS Gothic" w:hAnsi="MS Gothic" w:hint="eastAsia"/>
                  </w:rPr>
                  <w:t>☒</w:t>
                </w:r>
              </w:sdtContent>
            </w:sdt>
            <w:r w:rsidR="00997A8D" w:rsidRPr="009B591C">
              <w:t xml:space="preserve"> Ne</w:t>
            </w:r>
          </w:p>
          <w:p w14:paraId="2453A4FF" w14:textId="4BAC95D4" w:rsidR="00997A8D" w:rsidRPr="009B591C" w:rsidRDefault="003F3109" w:rsidP="00A977D2">
            <w:pPr>
              <w:spacing w:line="276" w:lineRule="auto"/>
              <w:jc w:val="both"/>
            </w:pPr>
            <w:sdt>
              <w:sdtPr>
                <w:alias w:val="Nurodykite konkrečią dieną"/>
                <w:tag w:val="Nurodykite pradžios datą"/>
                <w:id w:val="922837954"/>
                <w:placeholder>
                  <w:docPart w:val="0B0F097966544146BD7DD1786C079BB3"/>
                </w:placeholder>
                <w15:color w:val="FFCC99"/>
                <w:date w:fullDate="2025-02-05T00:00:00Z">
                  <w:dateFormat w:val="yyyy 'm.' MMMM d 'd.'"/>
                  <w:lid w:val="lt-LT"/>
                  <w:storeMappedDataAs w:val="dateTime"/>
                  <w:calendar w:val="gregorian"/>
                </w:date>
              </w:sdtPr>
              <w:sdtEndPr/>
              <w:sdtContent>
                <w:r w:rsidR="00672578">
                  <w:t>2025 m. vasario 5 d.</w:t>
                </w:r>
              </w:sdtContent>
            </w:sdt>
          </w:p>
          <w:p w14:paraId="37ED8EE6" w14:textId="2668095B" w:rsidR="00997A8D" w:rsidRPr="009B591C" w:rsidRDefault="00997A8D" w:rsidP="00A977D2">
            <w:pPr>
              <w:spacing w:line="276" w:lineRule="auto"/>
              <w:jc w:val="both"/>
              <w:rPr>
                <w:rFonts w:eastAsia="Arial"/>
              </w:rPr>
            </w:pPr>
          </w:p>
        </w:tc>
        <w:tc>
          <w:tcPr>
            <w:tcW w:w="5670" w:type="dxa"/>
            <w:gridSpan w:val="2"/>
          </w:tcPr>
          <w:p w14:paraId="15535A70" w14:textId="15D84F54" w:rsidR="00672578" w:rsidRPr="00672578" w:rsidRDefault="00672578" w:rsidP="00672578">
            <w:pPr>
              <w:spacing w:line="276" w:lineRule="auto"/>
              <w:jc w:val="both"/>
              <w:rPr>
                <w:rFonts w:eastAsia="Arial"/>
              </w:rPr>
            </w:pPr>
            <w:proofErr w:type="spellStart"/>
            <w:r w:rsidRPr="00672578">
              <w:rPr>
                <w:rFonts w:eastAsia="Arial"/>
              </w:rPr>
              <w:t>Pembrolizumabas</w:t>
            </w:r>
            <w:proofErr w:type="spellEnd"/>
            <w:r w:rsidRPr="00672578">
              <w:rPr>
                <w:rFonts w:eastAsia="Arial"/>
              </w:rPr>
              <w:t xml:space="preserve"> rekomenduojamas </w:t>
            </w:r>
            <w:proofErr w:type="spellStart"/>
            <w:r w:rsidRPr="00672578">
              <w:rPr>
                <w:rFonts w:eastAsia="Arial"/>
              </w:rPr>
              <w:t>adjuvantiniam</w:t>
            </w:r>
            <w:proofErr w:type="spellEnd"/>
            <w:r w:rsidRPr="00672578">
              <w:rPr>
                <w:rFonts w:eastAsia="Arial"/>
              </w:rPr>
              <w:t xml:space="preserve"> NSLPV gydymui derinyje su platinos pagrindo </w:t>
            </w:r>
            <w:proofErr w:type="spellStart"/>
            <w:r w:rsidRPr="00672578">
              <w:rPr>
                <w:rFonts w:eastAsia="Arial"/>
              </w:rPr>
              <w:t>chemotherapija</w:t>
            </w:r>
            <w:proofErr w:type="spellEnd"/>
            <w:r w:rsidRPr="00672578">
              <w:rPr>
                <w:rFonts w:eastAsia="Arial"/>
              </w:rPr>
              <w:t>, suaugusiems pacientams, jei</w:t>
            </w:r>
            <w:r>
              <w:rPr>
                <w:rFonts w:eastAsia="Arial"/>
              </w:rPr>
              <w:t>gu</w:t>
            </w:r>
            <w:r w:rsidRPr="00672578">
              <w:rPr>
                <w:rFonts w:eastAsia="Arial"/>
              </w:rPr>
              <w:t xml:space="preserve"> kompanija jį tiekia pagal komercinį susitarimą.</w:t>
            </w:r>
          </w:p>
          <w:p w14:paraId="2F8FD33D" w14:textId="78EF7473" w:rsidR="00997A8D" w:rsidRPr="009B591C" w:rsidRDefault="00997A8D" w:rsidP="00A977D2">
            <w:pPr>
              <w:spacing w:line="276" w:lineRule="auto"/>
              <w:jc w:val="both"/>
              <w:rPr>
                <w:rFonts w:eastAsia="Arial"/>
              </w:rPr>
            </w:pPr>
          </w:p>
        </w:tc>
      </w:tr>
      <w:tr w:rsidR="00997A8D" w:rsidRPr="009B591C" w14:paraId="44915517" w14:textId="77777777" w:rsidTr="00A977D2">
        <w:trPr>
          <w:trHeight w:val="1547"/>
        </w:trPr>
        <w:tc>
          <w:tcPr>
            <w:tcW w:w="2525" w:type="dxa"/>
          </w:tcPr>
          <w:p w14:paraId="29048797" w14:textId="77777777" w:rsidR="00997A8D" w:rsidRPr="009B591C" w:rsidRDefault="00997A8D" w:rsidP="00A977D2">
            <w:pPr>
              <w:spacing w:line="276" w:lineRule="auto"/>
              <w:jc w:val="both"/>
              <w:rPr>
                <w:rFonts w:eastAsia="Arial"/>
              </w:rPr>
            </w:pPr>
            <w:r w:rsidRPr="009B591C">
              <w:rPr>
                <w:rFonts w:eastAsia="Arial"/>
              </w:rPr>
              <w:t>Kanados sveikatos technologijų agentūra</w:t>
            </w:r>
          </w:p>
          <w:p w14:paraId="2DD26208" w14:textId="77777777" w:rsidR="00997A8D" w:rsidRPr="009B591C" w:rsidRDefault="00997A8D" w:rsidP="00A977D2">
            <w:pPr>
              <w:spacing w:line="276" w:lineRule="auto"/>
              <w:jc w:val="both"/>
              <w:rPr>
                <w:rFonts w:eastAsia="Arial"/>
              </w:rPr>
            </w:pPr>
            <w:r w:rsidRPr="009B591C">
              <w:rPr>
                <w:rFonts w:eastAsia="Arial"/>
              </w:rPr>
              <w:t xml:space="preserve">(angl. </w:t>
            </w:r>
            <w:proofErr w:type="spellStart"/>
            <w:r w:rsidRPr="009B591C">
              <w:rPr>
                <w:rFonts w:eastAsia="Arial"/>
                <w:i/>
              </w:rPr>
              <w:t>Canadian</w:t>
            </w:r>
            <w:proofErr w:type="spellEnd"/>
            <w:r w:rsidRPr="009B591C">
              <w:rPr>
                <w:rFonts w:eastAsia="Arial"/>
                <w:i/>
              </w:rPr>
              <w:t xml:space="preserve"> </w:t>
            </w:r>
            <w:proofErr w:type="spellStart"/>
            <w:r w:rsidRPr="009B591C">
              <w:rPr>
                <w:rFonts w:eastAsia="Arial"/>
                <w:i/>
              </w:rPr>
              <w:t>health</w:t>
            </w:r>
            <w:proofErr w:type="spellEnd"/>
            <w:r w:rsidRPr="009B591C">
              <w:rPr>
                <w:rFonts w:eastAsia="Arial"/>
                <w:i/>
              </w:rPr>
              <w:t xml:space="preserve"> </w:t>
            </w:r>
            <w:proofErr w:type="spellStart"/>
            <w:r w:rsidRPr="009B591C">
              <w:rPr>
                <w:rFonts w:eastAsia="Arial"/>
                <w:i/>
              </w:rPr>
              <w:t>Technology</w:t>
            </w:r>
            <w:proofErr w:type="spellEnd"/>
            <w:r w:rsidRPr="009B591C">
              <w:rPr>
                <w:rFonts w:eastAsia="Arial"/>
                <w:i/>
              </w:rPr>
              <w:t xml:space="preserve"> </w:t>
            </w:r>
            <w:proofErr w:type="spellStart"/>
            <w:r w:rsidRPr="009B591C">
              <w:rPr>
                <w:rFonts w:eastAsia="Arial"/>
                <w:i/>
              </w:rPr>
              <w:t>Assessment</w:t>
            </w:r>
            <w:proofErr w:type="spellEnd"/>
            <w:r w:rsidRPr="009B591C">
              <w:rPr>
                <w:rFonts w:eastAsia="Arial"/>
                <w:i/>
              </w:rPr>
              <w:t xml:space="preserve"> </w:t>
            </w:r>
            <w:proofErr w:type="spellStart"/>
            <w:r w:rsidRPr="009B591C">
              <w:rPr>
                <w:rFonts w:eastAsia="Arial"/>
                <w:i/>
              </w:rPr>
              <w:t>agency</w:t>
            </w:r>
            <w:proofErr w:type="spellEnd"/>
            <w:r w:rsidRPr="009B591C">
              <w:rPr>
                <w:rFonts w:eastAsia="Arial"/>
                <w:i/>
              </w:rPr>
              <w:t>, CADTH</w:t>
            </w:r>
            <w:r w:rsidRPr="009B591C">
              <w:rPr>
                <w:rFonts w:eastAsia="Arial"/>
              </w:rPr>
              <w:t>)</w:t>
            </w:r>
          </w:p>
        </w:tc>
        <w:tc>
          <w:tcPr>
            <w:tcW w:w="1723" w:type="dxa"/>
          </w:tcPr>
          <w:p w14:paraId="7B078CE4" w14:textId="77777777" w:rsidR="00997A8D" w:rsidRPr="009B591C" w:rsidRDefault="003F3109" w:rsidP="00A977D2">
            <w:pPr>
              <w:spacing w:line="276" w:lineRule="auto"/>
              <w:jc w:val="both"/>
            </w:pPr>
            <w:sdt>
              <w:sdtPr>
                <w:rPr>
                  <w:rStyle w:val="Style2"/>
                </w:rPr>
                <w:id w:val="-372539057"/>
                <w15:color w:val="FFCC00"/>
                <w14:checkbox>
                  <w14:checked w14:val="0"/>
                  <w14:checkedState w14:val="2612" w14:font="MS Gothic"/>
                  <w14:uncheckedState w14:val="2610" w14:font="MS Gothic"/>
                </w14:checkbox>
              </w:sdtPr>
              <w:sdtEndPr>
                <w:rPr>
                  <w:rStyle w:val="Style2"/>
                </w:rPr>
              </w:sdtEndPr>
              <w:sdtContent>
                <w:r w:rsidR="00997A8D" w:rsidRPr="009B591C">
                  <w:rPr>
                    <w:rStyle w:val="Style2"/>
                    <w:rFonts w:ascii="Segoe UI Symbol" w:eastAsia="MS Gothic" w:hAnsi="Segoe UI Symbol" w:cs="Segoe UI Symbol"/>
                  </w:rPr>
                  <w:t>☐</w:t>
                </w:r>
              </w:sdtContent>
            </w:sdt>
            <w:r w:rsidR="00997A8D" w:rsidRPr="009B591C">
              <w:t xml:space="preserve"> Taip</w:t>
            </w:r>
          </w:p>
          <w:p w14:paraId="6BB50BAC" w14:textId="77777777" w:rsidR="00997A8D" w:rsidRPr="009B591C" w:rsidRDefault="003F3109" w:rsidP="00A977D2">
            <w:pPr>
              <w:spacing w:line="276" w:lineRule="auto"/>
              <w:jc w:val="both"/>
            </w:pPr>
            <w:sdt>
              <w:sdtPr>
                <w:rPr>
                  <w:rStyle w:val="Style2"/>
                </w:rPr>
                <w:id w:val="594442222"/>
                <w15:color w:val="FFCC00"/>
                <w14:checkbox>
                  <w14:checked w14:val="1"/>
                  <w14:checkedState w14:val="2612" w14:font="MS Gothic"/>
                  <w14:uncheckedState w14:val="2610" w14:font="MS Gothic"/>
                </w14:checkbox>
              </w:sdtPr>
              <w:sdtEndPr>
                <w:rPr>
                  <w:rStyle w:val="Style2"/>
                </w:rPr>
              </w:sdtEndPr>
              <w:sdtContent>
                <w:r w:rsidR="00997A8D" w:rsidRPr="009B591C">
                  <w:rPr>
                    <w:rStyle w:val="Style2"/>
                    <w:rFonts w:ascii="MS Gothic" w:eastAsia="MS Gothic" w:hAnsi="MS Gothic" w:hint="eastAsia"/>
                  </w:rPr>
                  <w:t>☒</w:t>
                </w:r>
              </w:sdtContent>
            </w:sdt>
            <w:r w:rsidR="00997A8D" w:rsidRPr="009B591C">
              <w:t xml:space="preserve"> Ne</w:t>
            </w:r>
          </w:p>
          <w:p w14:paraId="1B8DC7A3" w14:textId="77777777" w:rsidR="00997A8D" w:rsidRPr="009B591C" w:rsidRDefault="003F3109" w:rsidP="00A977D2">
            <w:pPr>
              <w:spacing w:line="276" w:lineRule="auto"/>
              <w:jc w:val="both"/>
              <w:rPr>
                <w:rFonts w:eastAsia="Arial"/>
              </w:rPr>
            </w:pPr>
            <w:sdt>
              <w:sdtPr>
                <w:alias w:val="Nurodykite konkrečią dieną"/>
                <w:tag w:val="Nurodykite pradžios datą"/>
                <w:id w:val="1072468416"/>
                <w:placeholder>
                  <w:docPart w:val="541F925969032945A2B9BBBC2B6E993E"/>
                </w:placeholder>
                <w:showingPlcHdr/>
                <w15:color w:val="FFCC99"/>
                <w:date w:fullDate="2022-05-18T00:00:00Z">
                  <w:dateFormat w:val="yyyy 'm.' MMMM d 'd.'"/>
                  <w:lid w:val="lt-LT"/>
                  <w:storeMappedDataAs w:val="dateTime"/>
                  <w:calendar w:val="gregorian"/>
                </w:date>
              </w:sdtPr>
              <w:sdtEndPr/>
              <w:sdtContent>
                <w:r w:rsidR="00997A8D" w:rsidRPr="009B591C">
                  <w:rPr>
                    <w:rStyle w:val="Vietosrezervavimoenklotekstas"/>
                  </w:rPr>
                  <w:t>Click here to enter a date.</w:t>
                </w:r>
              </w:sdtContent>
            </w:sdt>
            <w:r w:rsidR="00997A8D" w:rsidRPr="009B591C">
              <w:rPr>
                <w:rFonts w:eastAsia="Arial"/>
              </w:rPr>
              <w:t xml:space="preserve"> Paraiška priimta: 2024 m. spalio 2 d.</w:t>
            </w:r>
          </w:p>
        </w:tc>
        <w:tc>
          <w:tcPr>
            <w:tcW w:w="5670" w:type="dxa"/>
            <w:gridSpan w:val="2"/>
          </w:tcPr>
          <w:p w14:paraId="29307F53" w14:textId="77777777" w:rsidR="00997A8D" w:rsidRPr="009B591C" w:rsidRDefault="00997A8D" w:rsidP="00A977D2">
            <w:pPr>
              <w:spacing w:line="276" w:lineRule="auto"/>
              <w:jc w:val="both"/>
              <w:rPr>
                <w:rFonts w:eastAsia="Arial"/>
              </w:rPr>
            </w:pPr>
            <w:r w:rsidRPr="009B591C">
              <w:rPr>
                <w:rFonts w:eastAsia="Arial"/>
              </w:rPr>
              <w:t>Vertinimas atliekamas</w:t>
            </w:r>
          </w:p>
        </w:tc>
      </w:tr>
      <w:tr w:rsidR="00997A8D" w:rsidRPr="009B591C" w14:paraId="0C0246AA" w14:textId="77777777" w:rsidTr="00A977D2">
        <w:trPr>
          <w:trHeight w:val="1927"/>
        </w:trPr>
        <w:tc>
          <w:tcPr>
            <w:tcW w:w="2525" w:type="dxa"/>
          </w:tcPr>
          <w:p w14:paraId="167A2734" w14:textId="77777777" w:rsidR="00997A8D" w:rsidRPr="009B591C" w:rsidRDefault="00997A8D" w:rsidP="00A977D2">
            <w:pPr>
              <w:spacing w:line="276" w:lineRule="auto"/>
              <w:jc w:val="both"/>
              <w:rPr>
                <w:rFonts w:eastAsia="Arial"/>
              </w:rPr>
            </w:pPr>
            <w:r w:rsidRPr="009B591C">
              <w:rPr>
                <w:rFonts w:eastAsia="Arial"/>
              </w:rPr>
              <w:lastRenderedPageBreak/>
              <w:t xml:space="preserve">Nacionalinis </w:t>
            </w:r>
            <w:proofErr w:type="spellStart"/>
            <w:r w:rsidRPr="009B591C">
              <w:rPr>
                <w:rFonts w:eastAsia="Arial"/>
              </w:rPr>
              <w:t>farmakoekonomikos</w:t>
            </w:r>
            <w:proofErr w:type="spellEnd"/>
            <w:r w:rsidRPr="009B591C">
              <w:rPr>
                <w:rFonts w:eastAsia="Arial"/>
              </w:rPr>
              <w:t xml:space="preserve"> centras, Airija</w:t>
            </w:r>
          </w:p>
          <w:p w14:paraId="673EB32E" w14:textId="77777777" w:rsidR="00997A8D" w:rsidRPr="009B591C" w:rsidRDefault="00997A8D" w:rsidP="00A977D2">
            <w:pPr>
              <w:spacing w:line="276" w:lineRule="auto"/>
              <w:jc w:val="both"/>
              <w:rPr>
                <w:rFonts w:eastAsia="Arial"/>
              </w:rPr>
            </w:pPr>
            <w:r w:rsidRPr="009B591C">
              <w:rPr>
                <w:rFonts w:eastAsia="Arial"/>
              </w:rPr>
              <w:t>(angl.</w:t>
            </w:r>
            <w:r w:rsidRPr="009B591C">
              <w:rPr>
                <w:rFonts w:eastAsia="Arial"/>
                <w:i/>
              </w:rPr>
              <w:t xml:space="preserve"> </w:t>
            </w:r>
            <w:proofErr w:type="spellStart"/>
            <w:r w:rsidRPr="009B591C">
              <w:rPr>
                <w:rFonts w:eastAsia="Arial"/>
                <w:i/>
              </w:rPr>
              <w:t>National</w:t>
            </w:r>
            <w:proofErr w:type="spellEnd"/>
            <w:r w:rsidRPr="009B591C">
              <w:rPr>
                <w:rFonts w:eastAsia="Arial"/>
                <w:i/>
              </w:rPr>
              <w:t xml:space="preserve"> Centre </w:t>
            </w:r>
            <w:proofErr w:type="spellStart"/>
            <w:r w:rsidRPr="009B591C">
              <w:rPr>
                <w:rFonts w:eastAsia="Arial"/>
                <w:i/>
              </w:rPr>
              <w:t>for</w:t>
            </w:r>
            <w:proofErr w:type="spellEnd"/>
            <w:r w:rsidRPr="009B591C">
              <w:rPr>
                <w:rFonts w:eastAsia="Arial"/>
                <w:i/>
              </w:rPr>
              <w:t xml:space="preserve"> </w:t>
            </w:r>
            <w:proofErr w:type="spellStart"/>
            <w:r w:rsidRPr="009B591C">
              <w:rPr>
                <w:rFonts w:eastAsia="Arial"/>
                <w:i/>
              </w:rPr>
              <w:t>Pharmacoeconomics</w:t>
            </w:r>
            <w:proofErr w:type="spellEnd"/>
            <w:r w:rsidRPr="009B591C">
              <w:rPr>
                <w:rFonts w:eastAsia="Arial"/>
                <w:i/>
              </w:rPr>
              <w:t>, NCPE</w:t>
            </w:r>
            <w:r w:rsidRPr="009B591C">
              <w:rPr>
                <w:rFonts w:eastAsia="Arial"/>
              </w:rPr>
              <w:t>)</w:t>
            </w:r>
          </w:p>
        </w:tc>
        <w:tc>
          <w:tcPr>
            <w:tcW w:w="1723" w:type="dxa"/>
          </w:tcPr>
          <w:p w14:paraId="6B6CDBE0" w14:textId="77777777" w:rsidR="00997A8D" w:rsidRPr="009B591C" w:rsidRDefault="003F3109" w:rsidP="00A977D2">
            <w:pPr>
              <w:spacing w:line="276" w:lineRule="auto"/>
              <w:jc w:val="both"/>
            </w:pPr>
            <w:sdt>
              <w:sdtPr>
                <w:rPr>
                  <w:rStyle w:val="Style2"/>
                </w:rPr>
                <w:id w:val="-1888403732"/>
                <w15:color w:val="FFCC00"/>
                <w14:checkbox>
                  <w14:checked w14:val="0"/>
                  <w14:checkedState w14:val="2612" w14:font="MS Gothic"/>
                  <w14:uncheckedState w14:val="2610" w14:font="MS Gothic"/>
                </w14:checkbox>
              </w:sdtPr>
              <w:sdtEndPr>
                <w:rPr>
                  <w:rStyle w:val="Style2"/>
                </w:rPr>
              </w:sdtEndPr>
              <w:sdtContent>
                <w:r w:rsidR="00997A8D" w:rsidRPr="009B591C">
                  <w:rPr>
                    <w:rStyle w:val="Style2"/>
                    <w:rFonts w:ascii="Segoe UI Symbol" w:eastAsia="MS Gothic" w:hAnsi="Segoe UI Symbol" w:cs="Segoe UI Symbol"/>
                  </w:rPr>
                  <w:t>☐</w:t>
                </w:r>
              </w:sdtContent>
            </w:sdt>
            <w:r w:rsidR="00997A8D" w:rsidRPr="009B591C">
              <w:t xml:space="preserve"> Taip</w:t>
            </w:r>
          </w:p>
          <w:p w14:paraId="4A3C1D5B" w14:textId="77777777" w:rsidR="00997A8D" w:rsidRPr="009B591C" w:rsidRDefault="003F3109" w:rsidP="00A977D2">
            <w:pPr>
              <w:spacing w:line="276" w:lineRule="auto"/>
              <w:jc w:val="both"/>
            </w:pPr>
            <w:sdt>
              <w:sdtPr>
                <w:rPr>
                  <w:rStyle w:val="Style2"/>
                </w:rPr>
                <w:id w:val="1092201793"/>
                <w15:color w:val="FFCC00"/>
                <w14:checkbox>
                  <w14:checked w14:val="1"/>
                  <w14:checkedState w14:val="2612" w14:font="MS Gothic"/>
                  <w14:uncheckedState w14:val="2610" w14:font="MS Gothic"/>
                </w14:checkbox>
              </w:sdtPr>
              <w:sdtEndPr>
                <w:rPr>
                  <w:rStyle w:val="Style2"/>
                </w:rPr>
              </w:sdtEndPr>
              <w:sdtContent>
                <w:r w:rsidR="00997A8D" w:rsidRPr="009B591C">
                  <w:rPr>
                    <w:rStyle w:val="Style2"/>
                    <w:rFonts w:ascii="MS Gothic" w:eastAsia="MS Gothic" w:hAnsi="MS Gothic" w:hint="eastAsia"/>
                  </w:rPr>
                  <w:t>☒</w:t>
                </w:r>
              </w:sdtContent>
            </w:sdt>
            <w:r w:rsidR="00997A8D" w:rsidRPr="009B591C">
              <w:t xml:space="preserve"> Ne</w:t>
            </w:r>
          </w:p>
          <w:p w14:paraId="7F3F04FF" w14:textId="77777777" w:rsidR="00997A8D" w:rsidRPr="009B591C" w:rsidRDefault="003F3109" w:rsidP="00A977D2">
            <w:pPr>
              <w:spacing w:line="276" w:lineRule="auto"/>
              <w:jc w:val="both"/>
            </w:pPr>
            <w:sdt>
              <w:sdtPr>
                <w:alias w:val="Nurodykite konkrečią dieną"/>
                <w:tag w:val="Nurodykite pradžios datą"/>
                <w:id w:val="-198323198"/>
                <w:placeholder>
                  <w:docPart w:val="BFC83CBC34138A438EF4AAF539FA1579"/>
                </w:placeholder>
                <w:showingPlcHdr/>
                <w15:color w:val="FFCC99"/>
                <w:date w:fullDate="2022-05-18T00:00:00Z">
                  <w:dateFormat w:val="yyyy 'm.' MMMM d 'd.'"/>
                  <w:lid w:val="lt-LT"/>
                  <w:storeMappedDataAs w:val="dateTime"/>
                  <w:calendar w:val="gregorian"/>
                </w:date>
              </w:sdtPr>
              <w:sdtEndPr/>
              <w:sdtContent>
                <w:r w:rsidR="00997A8D" w:rsidRPr="009B591C">
                  <w:rPr>
                    <w:rStyle w:val="Vietosrezervavimoenklotekstas"/>
                  </w:rPr>
                  <w:t>Click here to enter a date.</w:t>
                </w:r>
              </w:sdtContent>
            </w:sdt>
          </w:p>
          <w:p w14:paraId="2FAF9BC8" w14:textId="77777777" w:rsidR="00997A8D" w:rsidRPr="009B591C" w:rsidRDefault="00997A8D" w:rsidP="00A977D2">
            <w:pPr>
              <w:spacing w:line="276" w:lineRule="auto"/>
              <w:jc w:val="both"/>
              <w:rPr>
                <w:rFonts w:eastAsia="Arial"/>
              </w:rPr>
            </w:pPr>
          </w:p>
        </w:tc>
        <w:tc>
          <w:tcPr>
            <w:tcW w:w="5670" w:type="dxa"/>
            <w:gridSpan w:val="2"/>
          </w:tcPr>
          <w:p w14:paraId="7EF805C5" w14:textId="77777777" w:rsidR="00997A8D" w:rsidRPr="009B591C" w:rsidRDefault="00997A8D" w:rsidP="00A977D2">
            <w:pPr>
              <w:spacing w:line="276" w:lineRule="auto"/>
              <w:jc w:val="both"/>
              <w:rPr>
                <w:rFonts w:eastAsia="Arial"/>
              </w:rPr>
            </w:pPr>
            <w:r w:rsidRPr="009B591C">
              <w:rPr>
                <w:rFonts w:eastAsia="Arial"/>
              </w:rPr>
              <w:t>Atlikta greitoji peržiūra, laukiama pilnos paraiškos.</w:t>
            </w:r>
          </w:p>
        </w:tc>
      </w:tr>
    </w:tbl>
    <w:p w14:paraId="20E38D87" w14:textId="77777777" w:rsidR="00997A8D" w:rsidRPr="00997A8D" w:rsidRDefault="00997A8D" w:rsidP="00997A8D">
      <w:pPr>
        <w:spacing w:line="276" w:lineRule="auto"/>
        <w:jc w:val="both"/>
        <w:rPr>
          <w:rFonts w:eastAsia="Arial"/>
          <w:b/>
        </w:rPr>
      </w:pPr>
    </w:p>
    <w:p w14:paraId="25F89291" w14:textId="03338545" w:rsidR="00D4485B" w:rsidRDefault="00CC7832" w:rsidP="004537D0">
      <w:pPr>
        <w:pStyle w:val="Sraopastraipa"/>
        <w:numPr>
          <w:ilvl w:val="0"/>
          <w:numId w:val="12"/>
        </w:numPr>
        <w:tabs>
          <w:tab w:val="left" w:pos="567"/>
        </w:tabs>
        <w:ind w:hanging="720"/>
        <w:rPr>
          <w:b/>
          <w:bCs/>
          <w:caps/>
        </w:rPr>
      </w:pPr>
      <w:r w:rsidRPr="00E33EFF">
        <w:rPr>
          <w:b/>
          <w:bCs/>
          <w:caps/>
        </w:rPr>
        <w:t>Klinikinio vertinimo a</w:t>
      </w:r>
      <w:r w:rsidR="00D4485B" w:rsidRPr="00E33EFF">
        <w:rPr>
          <w:b/>
          <w:bCs/>
          <w:caps/>
        </w:rPr>
        <w:t>pibendrinimas</w:t>
      </w:r>
    </w:p>
    <w:p w14:paraId="23702E64" w14:textId="77777777" w:rsidR="004537D0" w:rsidRDefault="004537D0" w:rsidP="004537D0">
      <w:pPr>
        <w:tabs>
          <w:tab w:val="left" w:pos="567"/>
        </w:tabs>
        <w:rPr>
          <w:b/>
          <w:bCs/>
          <w:caps/>
        </w:rPr>
      </w:pPr>
    </w:p>
    <w:p w14:paraId="220A7E44" w14:textId="77777777" w:rsidR="00997A8D" w:rsidRPr="009B591C" w:rsidRDefault="004537D0" w:rsidP="00997A8D">
      <w:pPr>
        <w:tabs>
          <w:tab w:val="left" w:pos="426"/>
        </w:tabs>
        <w:spacing w:line="276" w:lineRule="auto"/>
        <w:jc w:val="both"/>
        <w:rPr>
          <w:rFonts w:eastAsia="Arial"/>
          <w:color w:val="FF0000"/>
        </w:rPr>
      </w:pPr>
      <w:r>
        <w:rPr>
          <w:rFonts w:eastAsia="Arial"/>
        </w:rPr>
        <w:tab/>
      </w:r>
      <w:r w:rsidR="00997A8D" w:rsidRPr="009B591C">
        <w:rPr>
          <w:rFonts w:eastAsia="Arial"/>
          <w:color w:val="000000" w:themeColor="text1"/>
        </w:rPr>
        <w:t>Plaučių vėžys yra dažniausiai nustatomas piktybinis navikas pasaulyje, nusinešantis daugiausiai gyvybių, lyginant su kitomis onkologinėmis ligomis</w:t>
      </w:r>
      <w:r w:rsidR="00997A8D" w:rsidRPr="009B591C">
        <w:rPr>
          <w:rFonts w:eastAsia="Arial"/>
          <w:color w:val="FF0000"/>
        </w:rPr>
        <w:t xml:space="preserve">. </w:t>
      </w:r>
      <w:r w:rsidR="00997A8D" w:rsidRPr="009B591C">
        <w:rPr>
          <w:rFonts w:eastAsia="Arial"/>
          <w:color w:val="000000" w:themeColor="text1"/>
        </w:rPr>
        <w:t xml:space="preserve">Lietuvoje plaučių vėžys taip pat yra viena iš dažniausių onkologinių ligų, lemianti didžiausią mirštamumą. Remiantis Higienos instituto, Lietuvos vėžio registro duomenimis, kasmet stebima didėjanti sergamumo plaučių vėžiu tendencija Lietuvoje. Priklausomai nuo navikinių ląstelių morfologinės sandaros ir biologinių savybių, plaučių vėžys skirstomas į </w:t>
      </w:r>
      <w:proofErr w:type="spellStart"/>
      <w:r w:rsidR="00997A8D" w:rsidRPr="009B591C">
        <w:rPr>
          <w:rFonts w:eastAsia="Arial"/>
          <w:color w:val="000000" w:themeColor="text1"/>
        </w:rPr>
        <w:t>smulkialąstelinį</w:t>
      </w:r>
      <w:proofErr w:type="spellEnd"/>
      <w:r w:rsidR="00997A8D" w:rsidRPr="009B591C">
        <w:rPr>
          <w:rFonts w:eastAsia="Arial"/>
          <w:color w:val="000000" w:themeColor="text1"/>
        </w:rPr>
        <w:t xml:space="preserve"> ir </w:t>
      </w:r>
      <w:proofErr w:type="spellStart"/>
      <w:r w:rsidR="00997A8D" w:rsidRPr="009B591C">
        <w:rPr>
          <w:rFonts w:eastAsia="Arial"/>
          <w:color w:val="000000" w:themeColor="text1"/>
        </w:rPr>
        <w:t>nesmulkialąstelinį</w:t>
      </w:r>
      <w:proofErr w:type="spellEnd"/>
      <w:r w:rsidR="00997A8D" w:rsidRPr="009B591C">
        <w:rPr>
          <w:rFonts w:eastAsia="Arial"/>
          <w:color w:val="000000" w:themeColor="text1"/>
        </w:rPr>
        <w:t xml:space="preserve">, NSLPV (pastarasis sudaro maždaug 80-85 proc. visų atvejų). </w:t>
      </w:r>
    </w:p>
    <w:p w14:paraId="079AC7EE" w14:textId="77777777" w:rsidR="00997A8D" w:rsidRPr="009B591C" w:rsidRDefault="00997A8D" w:rsidP="00997A8D">
      <w:pPr>
        <w:tabs>
          <w:tab w:val="left" w:pos="426"/>
        </w:tabs>
        <w:spacing w:line="276" w:lineRule="auto"/>
        <w:jc w:val="both"/>
        <w:rPr>
          <w:rFonts w:eastAsia="Arial"/>
          <w:color w:val="FF0000"/>
        </w:rPr>
      </w:pPr>
      <w:r w:rsidRPr="009B591C">
        <w:rPr>
          <w:rFonts w:eastAsia="Arial"/>
          <w:color w:val="FF0000"/>
        </w:rPr>
        <w:tab/>
      </w:r>
      <w:r w:rsidRPr="009B591C">
        <w:rPr>
          <w:rFonts w:eastAsia="Arial"/>
          <w:color w:val="000000" w:themeColor="text1"/>
        </w:rPr>
        <w:t xml:space="preserve">Pirmieji plaučių vėžio simptomai yra nespecifiniai. Dauguma plaučių vėžio simptomų išryškėja ligai pasiekus vėlyvas stadijas, todėl dažnai diagnozuojama vėlyvose stadijose. NSLPV gydymas priklauso nuo ligos išplitimo ir ligos stadijos. Daliai pacientų, sergančių išplitusia ar </w:t>
      </w:r>
      <w:proofErr w:type="spellStart"/>
      <w:r w:rsidRPr="009B591C">
        <w:rPr>
          <w:rFonts w:eastAsia="Arial"/>
          <w:color w:val="000000" w:themeColor="text1"/>
        </w:rPr>
        <w:t>metastazavusia</w:t>
      </w:r>
      <w:proofErr w:type="spellEnd"/>
      <w:r w:rsidRPr="009B591C">
        <w:rPr>
          <w:rFonts w:eastAsia="Arial"/>
          <w:color w:val="000000" w:themeColor="text1"/>
        </w:rPr>
        <w:t xml:space="preserve"> liga, taikomas spindulinis gydymas arba chemoterapija. Pacientams, kuriems navikas gali būti gydomas </w:t>
      </w:r>
      <w:proofErr w:type="spellStart"/>
      <w:r w:rsidRPr="009B591C">
        <w:rPr>
          <w:rFonts w:eastAsia="Arial"/>
          <w:color w:val="000000" w:themeColor="text1"/>
        </w:rPr>
        <w:t>chirurgiškai</w:t>
      </w:r>
      <w:proofErr w:type="spellEnd"/>
      <w:r w:rsidRPr="009B591C">
        <w:rPr>
          <w:rFonts w:eastAsia="Arial"/>
          <w:color w:val="000000" w:themeColor="text1"/>
        </w:rPr>
        <w:t xml:space="preserve">, atliekant </w:t>
      </w:r>
      <w:proofErr w:type="spellStart"/>
      <w:r w:rsidRPr="009B591C">
        <w:rPr>
          <w:rFonts w:eastAsia="Arial"/>
          <w:color w:val="000000" w:themeColor="text1"/>
        </w:rPr>
        <w:t>rezekciją</w:t>
      </w:r>
      <w:proofErr w:type="spellEnd"/>
      <w:r w:rsidRPr="009B591C">
        <w:rPr>
          <w:rFonts w:eastAsia="Arial"/>
          <w:color w:val="000000" w:themeColor="text1"/>
        </w:rPr>
        <w:t xml:space="preserve">, prieš šį gydymą gali būti taikomas papildomas gydymas </w:t>
      </w:r>
      <w:proofErr w:type="spellStart"/>
      <w:r w:rsidRPr="009B591C">
        <w:rPr>
          <w:rFonts w:eastAsia="Arial"/>
          <w:color w:val="000000" w:themeColor="text1"/>
        </w:rPr>
        <w:t>n</w:t>
      </w:r>
      <w:r w:rsidRPr="009B591C">
        <w:rPr>
          <w:rFonts w:eastAsia="Arial"/>
          <w:iCs/>
          <w:color w:val="000000" w:themeColor="text1"/>
        </w:rPr>
        <w:t>eoadjuvantine</w:t>
      </w:r>
      <w:proofErr w:type="spellEnd"/>
      <w:r w:rsidRPr="009B591C">
        <w:rPr>
          <w:rFonts w:eastAsia="Arial"/>
          <w:iCs/>
          <w:color w:val="000000" w:themeColor="text1"/>
        </w:rPr>
        <w:t xml:space="preserve"> chemoterapija. Chemoterapija gali būti tęsiama ir po chirurginio gydymo.</w:t>
      </w:r>
      <w:r w:rsidRPr="009B591C">
        <w:rPr>
          <w:rFonts w:eastAsia="Arial"/>
          <w:color w:val="FF0000"/>
        </w:rPr>
        <w:tab/>
        <w:t xml:space="preserve"> </w:t>
      </w:r>
    </w:p>
    <w:p w14:paraId="57F4A50A" w14:textId="77777777" w:rsidR="00997A8D" w:rsidRPr="009B591C" w:rsidRDefault="00997A8D" w:rsidP="00997A8D">
      <w:pPr>
        <w:tabs>
          <w:tab w:val="left" w:pos="426"/>
        </w:tabs>
        <w:spacing w:line="276" w:lineRule="auto"/>
        <w:jc w:val="both"/>
        <w:rPr>
          <w:bCs/>
          <w:iCs/>
          <w:color w:val="000000" w:themeColor="text1"/>
          <w:lang w:eastAsia="lt-LT"/>
        </w:rPr>
      </w:pPr>
      <w:r w:rsidRPr="009B591C">
        <w:rPr>
          <w:rFonts w:eastAsia="Arial"/>
          <w:color w:val="FF0000"/>
        </w:rPr>
        <w:tab/>
      </w:r>
      <w:r w:rsidRPr="009B591C">
        <w:rPr>
          <w:rFonts w:eastAsia="Arial"/>
          <w:color w:val="000000" w:themeColor="text1"/>
        </w:rPr>
        <w:t xml:space="preserve">SAM įsakyme Nr. V-127 aprašytas gydymas taikant </w:t>
      </w:r>
      <w:proofErr w:type="spellStart"/>
      <w:r w:rsidRPr="009B591C">
        <w:rPr>
          <w:rFonts w:eastAsia="Arial"/>
          <w:color w:val="000000" w:themeColor="text1"/>
        </w:rPr>
        <w:t>adjuvantinę</w:t>
      </w:r>
      <w:proofErr w:type="spellEnd"/>
      <w:r w:rsidRPr="009B591C">
        <w:rPr>
          <w:rFonts w:eastAsia="Arial"/>
          <w:color w:val="000000" w:themeColor="text1"/>
        </w:rPr>
        <w:t xml:space="preserve"> chemoterapiją, bei gydant lokaliai išplitusį ar </w:t>
      </w:r>
      <w:proofErr w:type="spellStart"/>
      <w:r w:rsidRPr="009B591C">
        <w:rPr>
          <w:rFonts w:eastAsia="Arial"/>
          <w:color w:val="000000" w:themeColor="text1"/>
        </w:rPr>
        <w:t>metastazavusį</w:t>
      </w:r>
      <w:proofErr w:type="spellEnd"/>
      <w:r w:rsidRPr="009B591C">
        <w:rPr>
          <w:rFonts w:eastAsia="Arial"/>
          <w:color w:val="000000" w:themeColor="text1"/>
        </w:rPr>
        <w:t xml:space="preserve"> NSLPV: </w:t>
      </w:r>
      <w:proofErr w:type="spellStart"/>
      <w:r w:rsidRPr="009B591C">
        <w:rPr>
          <w:rFonts w:eastAsia="Arial"/>
          <w:color w:val="000000" w:themeColor="text1"/>
        </w:rPr>
        <w:t>cisplatinos</w:t>
      </w:r>
      <w:proofErr w:type="spellEnd"/>
      <w:r w:rsidRPr="009B591C">
        <w:rPr>
          <w:rFonts w:eastAsia="Arial"/>
          <w:color w:val="000000" w:themeColor="text1"/>
        </w:rPr>
        <w:t xml:space="preserve"> ir </w:t>
      </w:r>
      <w:proofErr w:type="spellStart"/>
      <w:r w:rsidRPr="009B591C">
        <w:rPr>
          <w:rFonts w:eastAsia="Arial"/>
          <w:color w:val="000000" w:themeColor="text1"/>
        </w:rPr>
        <w:t>gemcitabino</w:t>
      </w:r>
      <w:proofErr w:type="spellEnd"/>
      <w:r w:rsidRPr="009B591C">
        <w:rPr>
          <w:rFonts w:eastAsia="Arial"/>
          <w:color w:val="000000" w:themeColor="text1"/>
        </w:rPr>
        <w:t xml:space="preserve"> derinys rekomenduojamas gydant lokaliai išplitusį ar </w:t>
      </w:r>
      <w:proofErr w:type="spellStart"/>
      <w:r w:rsidRPr="009B591C">
        <w:rPr>
          <w:rFonts w:eastAsia="Arial"/>
          <w:color w:val="000000" w:themeColor="text1"/>
        </w:rPr>
        <w:t>metastazavusį</w:t>
      </w:r>
      <w:proofErr w:type="spellEnd"/>
      <w:r w:rsidRPr="009B591C">
        <w:rPr>
          <w:rFonts w:eastAsia="Arial"/>
          <w:color w:val="000000" w:themeColor="text1"/>
        </w:rPr>
        <w:t xml:space="preserve"> NSLPV, o NSLPV, tačiau ne tokio tipo, kuriame vyrauja plokščiosios ląstelės, rekomenduojamas </w:t>
      </w:r>
      <w:proofErr w:type="spellStart"/>
      <w:r w:rsidRPr="009B591C">
        <w:rPr>
          <w:rFonts w:eastAsia="Arial"/>
          <w:color w:val="000000" w:themeColor="text1"/>
        </w:rPr>
        <w:t>cisplatinos</w:t>
      </w:r>
      <w:proofErr w:type="spellEnd"/>
      <w:r w:rsidRPr="009B591C">
        <w:rPr>
          <w:rFonts w:eastAsia="Arial"/>
          <w:color w:val="000000" w:themeColor="text1"/>
        </w:rPr>
        <w:t xml:space="preserve"> ir </w:t>
      </w:r>
      <w:proofErr w:type="spellStart"/>
      <w:r w:rsidRPr="009B591C">
        <w:rPr>
          <w:rFonts w:eastAsia="Arial"/>
          <w:color w:val="000000" w:themeColor="text1"/>
        </w:rPr>
        <w:t>pemetreksedo</w:t>
      </w:r>
      <w:proofErr w:type="spellEnd"/>
      <w:r w:rsidRPr="009B591C">
        <w:rPr>
          <w:rFonts w:eastAsia="Arial"/>
          <w:color w:val="000000" w:themeColor="text1"/>
        </w:rPr>
        <w:t xml:space="preserve"> derinys. Prašomai kompensuoti indikacijai detalesnių gydymo rekomendacijų ir </w:t>
      </w:r>
      <w:proofErr w:type="spellStart"/>
      <w:r w:rsidRPr="009B591C">
        <w:rPr>
          <w:rFonts w:eastAsia="Arial"/>
          <w:color w:val="000000" w:themeColor="text1"/>
        </w:rPr>
        <w:t>neodvajuvantinės</w:t>
      </w:r>
      <w:proofErr w:type="spellEnd"/>
      <w:r w:rsidRPr="009B591C">
        <w:rPr>
          <w:rFonts w:eastAsia="Arial"/>
          <w:color w:val="000000" w:themeColor="text1"/>
        </w:rPr>
        <w:t xml:space="preserve"> chemoterapijos aprašo nėra.</w:t>
      </w:r>
      <w:r w:rsidRPr="009B591C">
        <w:rPr>
          <w:rFonts w:eastAsia="Arial"/>
          <w:color w:val="FF0000"/>
        </w:rPr>
        <w:tab/>
      </w:r>
      <w:r w:rsidRPr="009B591C">
        <w:rPr>
          <w:bCs/>
          <w:iCs/>
          <w:color w:val="000000" w:themeColor="text1"/>
          <w:lang w:eastAsia="lt-LT"/>
        </w:rPr>
        <w:t xml:space="preserve">Palyginamieji vaistiniai preparatai </w:t>
      </w:r>
      <w:proofErr w:type="spellStart"/>
      <w:r w:rsidRPr="009B591C">
        <w:rPr>
          <w:bCs/>
          <w:iCs/>
          <w:color w:val="000000" w:themeColor="text1"/>
          <w:lang w:eastAsia="lt-LT"/>
        </w:rPr>
        <w:t>cisplatinos</w:t>
      </w:r>
      <w:proofErr w:type="spellEnd"/>
      <w:r w:rsidRPr="009B591C">
        <w:rPr>
          <w:bCs/>
          <w:iCs/>
          <w:color w:val="000000" w:themeColor="text1"/>
          <w:lang w:eastAsia="lt-LT"/>
        </w:rPr>
        <w:t xml:space="preserve"> ir </w:t>
      </w:r>
      <w:proofErr w:type="spellStart"/>
      <w:r w:rsidRPr="009B591C">
        <w:rPr>
          <w:bCs/>
          <w:iCs/>
          <w:color w:val="000000" w:themeColor="text1"/>
          <w:lang w:eastAsia="lt-LT"/>
        </w:rPr>
        <w:t>pemetreksedo</w:t>
      </w:r>
      <w:proofErr w:type="spellEnd"/>
      <w:r w:rsidRPr="009B591C">
        <w:rPr>
          <w:bCs/>
          <w:iCs/>
          <w:color w:val="000000" w:themeColor="text1"/>
          <w:lang w:eastAsia="lt-LT"/>
        </w:rPr>
        <w:t xml:space="preserve"> derinys bei </w:t>
      </w:r>
      <w:proofErr w:type="spellStart"/>
      <w:r w:rsidRPr="009B591C">
        <w:rPr>
          <w:bCs/>
          <w:iCs/>
          <w:color w:val="000000" w:themeColor="text1"/>
          <w:lang w:eastAsia="lt-LT"/>
        </w:rPr>
        <w:t>cisplatinos</w:t>
      </w:r>
      <w:proofErr w:type="spellEnd"/>
      <w:r w:rsidRPr="009B591C">
        <w:rPr>
          <w:bCs/>
          <w:iCs/>
          <w:color w:val="000000" w:themeColor="text1"/>
          <w:lang w:eastAsia="lt-LT"/>
        </w:rPr>
        <w:t xml:space="preserve"> ir </w:t>
      </w:r>
      <w:proofErr w:type="spellStart"/>
      <w:r w:rsidRPr="009B591C">
        <w:rPr>
          <w:bCs/>
          <w:iCs/>
          <w:color w:val="000000" w:themeColor="text1"/>
          <w:lang w:eastAsia="lt-LT"/>
        </w:rPr>
        <w:t>gemcitabino</w:t>
      </w:r>
      <w:proofErr w:type="spellEnd"/>
      <w:r w:rsidRPr="009B591C">
        <w:rPr>
          <w:bCs/>
          <w:iCs/>
          <w:color w:val="000000" w:themeColor="text1"/>
          <w:lang w:eastAsia="lt-LT"/>
        </w:rPr>
        <w:t xml:space="preserve"> derinys laikomi atitinkantys Paraiškos įrašyti vaistinį preparatą į kompensavimo sąrašus rengimo taisyklių patvirtintų Lietuvos Respublikos sveikatos apsaugos ministro 2002 m. balandžio 5 d. įsakymu Nr. V-159 „Dėl vaistinių preparatų ir medicinos pagalbos priemonių įrašymo į kompensavimo sąrašus ir jų keitimo tvarkos aprašo patvirtinimo“ 116–119 punktus.</w:t>
      </w:r>
    </w:p>
    <w:p w14:paraId="5F6C5795" w14:textId="77777777" w:rsidR="00997A8D" w:rsidRPr="009B591C" w:rsidRDefault="00997A8D" w:rsidP="00997A8D">
      <w:pPr>
        <w:tabs>
          <w:tab w:val="left" w:pos="426"/>
        </w:tabs>
        <w:spacing w:line="276" w:lineRule="auto"/>
        <w:jc w:val="both"/>
        <w:rPr>
          <w:rFonts w:eastAsia="Arial"/>
          <w:color w:val="000000" w:themeColor="text1"/>
        </w:rPr>
      </w:pPr>
    </w:p>
    <w:p w14:paraId="5A68DEFF" w14:textId="77777777" w:rsidR="00997A8D" w:rsidRPr="009B591C" w:rsidRDefault="00997A8D" w:rsidP="00997A8D">
      <w:pPr>
        <w:tabs>
          <w:tab w:val="left" w:pos="426"/>
        </w:tabs>
        <w:spacing w:line="276" w:lineRule="auto"/>
        <w:jc w:val="both"/>
        <w:rPr>
          <w:rFonts w:eastAsia="Arial"/>
          <w:color w:val="000000" w:themeColor="text1"/>
        </w:rPr>
      </w:pPr>
      <w:r w:rsidRPr="009B591C">
        <w:rPr>
          <w:rFonts w:eastAsia="Arial"/>
          <w:color w:val="000000" w:themeColor="text1"/>
        </w:rPr>
        <w:tab/>
      </w:r>
      <w:r w:rsidRPr="009B591C">
        <w:rPr>
          <w:rFonts w:eastAsia="Arial"/>
          <w:color w:val="000000" w:themeColor="text1"/>
          <w:u w:val="single"/>
        </w:rPr>
        <w:t>Tiesioginis palyginimas</w:t>
      </w:r>
    </w:p>
    <w:p w14:paraId="043FBDBF" w14:textId="475667D5" w:rsidR="00997A8D" w:rsidRPr="009B591C" w:rsidRDefault="00442C42" w:rsidP="00997A8D">
      <w:pPr>
        <w:spacing w:line="276" w:lineRule="auto"/>
        <w:ind w:firstLine="720"/>
        <w:jc w:val="both"/>
        <w:rPr>
          <w:rFonts w:eastAsia="Arial"/>
          <w:bCs/>
        </w:rPr>
      </w:pPr>
      <w:proofErr w:type="spellStart"/>
      <w:r>
        <w:rPr>
          <w:rFonts w:eastAsia="Arial"/>
          <w:bCs/>
          <w:color w:val="000000" w:themeColor="text1"/>
        </w:rPr>
        <w:t>P</w:t>
      </w:r>
      <w:r w:rsidRPr="009B591C">
        <w:rPr>
          <w:rFonts w:eastAsia="Arial"/>
          <w:bCs/>
          <w:color w:val="000000" w:themeColor="text1"/>
        </w:rPr>
        <w:t>embrolizumabo</w:t>
      </w:r>
      <w:proofErr w:type="spellEnd"/>
      <w:r w:rsidRPr="009B591C">
        <w:rPr>
          <w:rFonts w:eastAsia="Arial"/>
          <w:bCs/>
          <w:color w:val="000000" w:themeColor="text1"/>
        </w:rPr>
        <w:t xml:space="preserve"> </w:t>
      </w:r>
      <w:r>
        <w:rPr>
          <w:rFonts w:eastAsia="Arial"/>
          <w:bCs/>
          <w:color w:val="000000" w:themeColor="text1"/>
        </w:rPr>
        <w:t>palyginamasis veiksmingumas</w:t>
      </w:r>
      <w:r w:rsidR="00997A8D" w:rsidRPr="009B591C">
        <w:rPr>
          <w:rFonts w:eastAsia="Arial"/>
          <w:bCs/>
          <w:color w:val="000000" w:themeColor="text1"/>
        </w:rPr>
        <w:t xml:space="preserve"> vertinamas remiantis paraiškoje pateikto </w:t>
      </w:r>
      <w:proofErr w:type="spellStart"/>
      <w:r w:rsidR="00997A8D" w:rsidRPr="009B591C">
        <w:rPr>
          <w:rFonts w:eastAsia="Arial"/>
          <w:bCs/>
          <w:color w:val="000000" w:themeColor="text1"/>
        </w:rPr>
        <w:t>daugiacentrio</w:t>
      </w:r>
      <w:proofErr w:type="spellEnd"/>
      <w:r w:rsidR="00997A8D" w:rsidRPr="009B591C">
        <w:rPr>
          <w:rFonts w:eastAsia="Arial"/>
          <w:bCs/>
          <w:color w:val="000000" w:themeColor="text1"/>
        </w:rPr>
        <w:t xml:space="preserve">, </w:t>
      </w:r>
      <w:r w:rsidR="00997A8D" w:rsidRPr="009B591C">
        <w:rPr>
          <w:rFonts w:eastAsia="Arial"/>
          <w:color w:val="000000" w:themeColor="text1"/>
        </w:rPr>
        <w:t xml:space="preserve">dvigubai </w:t>
      </w:r>
      <w:r w:rsidR="00997A8D" w:rsidRPr="009B591C">
        <w:rPr>
          <w:rFonts w:eastAsia="Arial"/>
        </w:rPr>
        <w:t>koduoto, placebu kontroliuoto</w:t>
      </w:r>
      <w:r w:rsidR="00997A8D" w:rsidRPr="009B591C">
        <w:rPr>
          <w:rFonts w:eastAsia="Arial"/>
          <w:bCs/>
        </w:rPr>
        <w:t xml:space="preserve">, atsitiktinių imčių </w:t>
      </w:r>
      <w:r w:rsidR="00997A8D" w:rsidRPr="009B591C">
        <w:rPr>
          <w:rFonts w:eastAsia="Arial"/>
        </w:rPr>
        <w:t xml:space="preserve">KEYNOTE-671 </w:t>
      </w:r>
      <w:r w:rsidR="00997A8D" w:rsidRPr="009B591C">
        <w:rPr>
          <w:rFonts w:eastAsia="Arial"/>
          <w:bCs/>
        </w:rPr>
        <w:t xml:space="preserve">klinikinio tyrimo metu. </w:t>
      </w:r>
      <w:r w:rsidR="00997A8D" w:rsidRPr="009B591C">
        <w:t xml:space="preserve">KEYNOTE-671 tai III fazės klinikinis tyrimas, kuriame </w:t>
      </w:r>
      <w:proofErr w:type="spellStart"/>
      <w:r w:rsidR="00997A8D" w:rsidRPr="009B591C">
        <w:t>pembrolizumabo</w:t>
      </w:r>
      <w:proofErr w:type="spellEnd"/>
      <w:r w:rsidR="00997A8D" w:rsidRPr="009B591C">
        <w:t xml:space="preserve"> veiksmingumas derinyje su chemoterapija, kurios sudėtyje buvo platinos vaistinių preparatų, skiriant </w:t>
      </w:r>
      <w:proofErr w:type="spellStart"/>
      <w:r w:rsidR="00997A8D" w:rsidRPr="009B591C">
        <w:t>neoadjuvantiniam</w:t>
      </w:r>
      <w:proofErr w:type="spellEnd"/>
      <w:r w:rsidR="00997A8D" w:rsidRPr="009B591C">
        <w:t xml:space="preserve"> gydymui, o vėliau tęsiant kaip </w:t>
      </w:r>
      <w:proofErr w:type="spellStart"/>
      <w:r w:rsidR="00997A8D" w:rsidRPr="009B591C">
        <w:t>monoterapiją</w:t>
      </w:r>
      <w:proofErr w:type="spellEnd"/>
      <w:r w:rsidR="00997A8D" w:rsidRPr="009B591C">
        <w:t xml:space="preserve"> </w:t>
      </w:r>
      <w:proofErr w:type="spellStart"/>
      <w:r w:rsidR="00997A8D" w:rsidRPr="009B591C">
        <w:t>adjuvantiniam</w:t>
      </w:r>
      <w:proofErr w:type="spellEnd"/>
      <w:r w:rsidR="00997A8D" w:rsidRPr="009B591C">
        <w:t xml:space="preserve"> gydymui, buvo palygintas su gydymu </w:t>
      </w:r>
      <w:proofErr w:type="spellStart"/>
      <w:r w:rsidR="00997A8D" w:rsidRPr="009B591C">
        <w:t>cisplatina</w:t>
      </w:r>
      <w:proofErr w:type="spellEnd"/>
      <w:r w:rsidR="00997A8D" w:rsidRPr="009B591C">
        <w:t xml:space="preserve"> ir/arba </w:t>
      </w:r>
      <w:proofErr w:type="spellStart"/>
      <w:r w:rsidR="00997A8D" w:rsidRPr="009B591C">
        <w:t>pemetreksedu</w:t>
      </w:r>
      <w:proofErr w:type="spellEnd"/>
      <w:r w:rsidR="00997A8D" w:rsidRPr="009B591C">
        <w:t xml:space="preserve"> arba </w:t>
      </w:r>
      <w:proofErr w:type="spellStart"/>
      <w:r w:rsidR="00997A8D" w:rsidRPr="009B591C">
        <w:t>gemcitabinu</w:t>
      </w:r>
      <w:proofErr w:type="spellEnd"/>
      <w:r w:rsidR="00997A8D" w:rsidRPr="009B591C">
        <w:t xml:space="preserve">, gydant suaugusius pacientus, sergančius </w:t>
      </w:r>
      <w:proofErr w:type="spellStart"/>
      <w:r w:rsidR="00997A8D" w:rsidRPr="009B591C">
        <w:t>rezekuotinu</w:t>
      </w:r>
      <w:proofErr w:type="spellEnd"/>
      <w:r w:rsidR="00997A8D" w:rsidRPr="009B591C">
        <w:t xml:space="preserve"> II, IIIA ir IIIB (T3-4N2) stadijos </w:t>
      </w:r>
      <w:proofErr w:type="spellStart"/>
      <w:r w:rsidR="00997A8D" w:rsidRPr="009B591C">
        <w:t>nesmulkialąsteliniu</w:t>
      </w:r>
      <w:proofErr w:type="spellEnd"/>
      <w:r w:rsidR="00997A8D" w:rsidRPr="009B591C">
        <w:t xml:space="preserve"> plaučių vėžiu.</w:t>
      </w:r>
    </w:p>
    <w:p w14:paraId="1C5F0B73" w14:textId="77777777" w:rsidR="00997A8D" w:rsidRPr="009B591C" w:rsidRDefault="00997A8D" w:rsidP="00997A8D">
      <w:pPr>
        <w:tabs>
          <w:tab w:val="left" w:pos="492"/>
        </w:tabs>
        <w:spacing w:line="276" w:lineRule="auto"/>
        <w:jc w:val="both"/>
        <w:outlineLvl w:val="1"/>
        <w:rPr>
          <w:rFonts w:eastAsia="Arial"/>
          <w:color w:val="000000" w:themeColor="text1"/>
        </w:rPr>
      </w:pPr>
      <w:r w:rsidRPr="009B591C">
        <w:rPr>
          <w:rFonts w:eastAsia="Arial"/>
          <w:color w:val="000000" w:themeColor="text1"/>
        </w:rPr>
        <w:tab/>
        <w:t>KEYNOTE-671 (NCT03425643) tyrimo populiacija-</w:t>
      </w:r>
      <w:r w:rsidRPr="009B591C">
        <w:rPr>
          <w:rFonts w:eastAsia="Arial"/>
          <w:color w:val="FF0000"/>
        </w:rPr>
        <w:t xml:space="preserve"> </w:t>
      </w:r>
      <w:r w:rsidRPr="009B591C">
        <w:rPr>
          <w:rFonts w:eastAsia="Arial"/>
          <w:color w:val="000000" w:themeColor="text1"/>
        </w:rPr>
        <w:t xml:space="preserve">797 suaugę pacientai, sergantys </w:t>
      </w:r>
      <w:r w:rsidRPr="009B591C">
        <w:rPr>
          <w:color w:val="000000" w:themeColor="text1"/>
        </w:rPr>
        <w:t xml:space="preserve">anksčiau negydytu ir </w:t>
      </w:r>
      <w:proofErr w:type="spellStart"/>
      <w:r w:rsidRPr="009B591C">
        <w:rPr>
          <w:color w:val="000000" w:themeColor="text1"/>
        </w:rPr>
        <w:t>rezektabiliu</w:t>
      </w:r>
      <w:proofErr w:type="spellEnd"/>
      <w:r w:rsidRPr="009B591C">
        <w:rPr>
          <w:color w:val="000000" w:themeColor="text1"/>
        </w:rPr>
        <w:t xml:space="preserve"> NSLPV, kurių vėžio recidyvo rizika buvo didelė (II, IIIA arba IIIB [N2] stadijų vėžys pagal Amerikos jungtinio vėžio komiteto (angl. </w:t>
      </w:r>
      <w:r w:rsidRPr="009B591C">
        <w:rPr>
          <w:i/>
          <w:iCs/>
          <w:color w:val="000000" w:themeColor="text1"/>
        </w:rPr>
        <w:t xml:space="preserve">American </w:t>
      </w:r>
      <w:proofErr w:type="spellStart"/>
      <w:r w:rsidRPr="009B591C">
        <w:rPr>
          <w:i/>
          <w:iCs/>
          <w:color w:val="000000" w:themeColor="text1"/>
        </w:rPr>
        <w:t>Joint</w:t>
      </w:r>
      <w:proofErr w:type="spellEnd"/>
      <w:r w:rsidRPr="009B591C">
        <w:rPr>
          <w:i/>
          <w:iCs/>
          <w:color w:val="000000" w:themeColor="text1"/>
        </w:rPr>
        <w:t xml:space="preserve"> </w:t>
      </w:r>
      <w:proofErr w:type="spellStart"/>
      <w:r w:rsidRPr="009B591C">
        <w:rPr>
          <w:i/>
          <w:iCs/>
          <w:color w:val="000000" w:themeColor="text1"/>
        </w:rPr>
        <w:t>Committee</w:t>
      </w:r>
      <w:proofErr w:type="spellEnd"/>
      <w:r w:rsidRPr="009B591C">
        <w:rPr>
          <w:i/>
          <w:iCs/>
          <w:color w:val="000000" w:themeColor="text1"/>
        </w:rPr>
        <w:t xml:space="preserve"> </w:t>
      </w:r>
      <w:proofErr w:type="spellStart"/>
      <w:r w:rsidRPr="009B591C">
        <w:rPr>
          <w:i/>
          <w:iCs/>
          <w:color w:val="000000" w:themeColor="text1"/>
        </w:rPr>
        <w:t>on</w:t>
      </w:r>
      <w:proofErr w:type="spellEnd"/>
      <w:r w:rsidRPr="009B591C">
        <w:rPr>
          <w:i/>
          <w:iCs/>
          <w:color w:val="000000" w:themeColor="text1"/>
        </w:rPr>
        <w:t xml:space="preserve"> </w:t>
      </w:r>
      <w:proofErr w:type="spellStart"/>
      <w:r w:rsidRPr="009B591C">
        <w:rPr>
          <w:i/>
          <w:iCs/>
          <w:color w:val="000000" w:themeColor="text1"/>
        </w:rPr>
        <w:t>Cancer</w:t>
      </w:r>
      <w:proofErr w:type="spellEnd"/>
      <w:r w:rsidRPr="009B591C">
        <w:rPr>
          <w:i/>
          <w:iCs/>
          <w:color w:val="000000" w:themeColor="text1"/>
        </w:rPr>
        <w:t xml:space="preserve">, </w:t>
      </w:r>
      <w:r w:rsidRPr="009B591C">
        <w:rPr>
          <w:color w:val="000000" w:themeColor="text1"/>
        </w:rPr>
        <w:lastRenderedPageBreak/>
        <w:t>AJCC) 8-ojo leidimo klasifikaciją), nepriklausomai nuo PD-1/PD-L1 (programuojamojo ląstelių žūties baltymo 1 / žūties ligando 1) raiškos,</w:t>
      </w:r>
      <w:r w:rsidRPr="009B591C">
        <w:rPr>
          <w:i/>
          <w:iCs/>
          <w:color w:val="000000" w:themeColor="text1"/>
        </w:rPr>
        <w:t xml:space="preserve"> </w:t>
      </w:r>
      <w:r w:rsidRPr="009B591C">
        <w:rPr>
          <w:color w:val="000000" w:themeColor="text1"/>
        </w:rPr>
        <w:t>ECOG atitinka 0-</w:t>
      </w:r>
      <w:r w:rsidRPr="007C49E2">
        <w:rPr>
          <w:color w:val="000000" w:themeColor="text1"/>
        </w:rPr>
        <w:t>1</w:t>
      </w:r>
      <w:r w:rsidRPr="009B591C">
        <w:rPr>
          <w:rFonts w:eastAsia="Arial"/>
          <w:color w:val="000000" w:themeColor="text1"/>
        </w:rPr>
        <w:t xml:space="preserve">. </w:t>
      </w:r>
    </w:p>
    <w:p w14:paraId="05470410" w14:textId="77777777" w:rsidR="00997A8D" w:rsidRPr="009B591C" w:rsidRDefault="00997A8D" w:rsidP="00997A8D">
      <w:pPr>
        <w:tabs>
          <w:tab w:val="left" w:pos="426"/>
        </w:tabs>
        <w:spacing w:line="276" w:lineRule="auto"/>
        <w:jc w:val="both"/>
        <w:rPr>
          <w:rFonts w:eastAsia="Arial"/>
          <w:color w:val="FF0000"/>
        </w:rPr>
      </w:pPr>
      <w:r w:rsidRPr="009B591C">
        <w:rPr>
          <w:rFonts w:eastAsia="Arial"/>
          <w:color w:val="FF0000"/>
        </w:rPr>
        <w:tab/>
      </w:r>
      <w:r w:rsidRPr="009B591C">
        <w:rPr>
          <w:rFonts w:eastAsia="Arial"/>
          <w:color w:val="000000" w:themeColor="text1"/>
        </w:rPr>
        <w:t xml:space="preserve">Tyrimo pacientų populiacija atitinka egzistuojančią Lietuvos pacientų populiaciją, kuriai gydymas gali būti skiriamas pagal numatomas </w:t>
      </w:r>
      <w:proofErr w:type="spellStart"/>
      <w:r w:rsidRPr="009B591C">
        <w:rPr>
          <w:rFonts w:eastAsia="Arial"/>
          <w:color w:val="000000" w:themeColor="text1"/>
        </w:rPr>
        <w:t>pembrolizumabo</w:t>
      </w:r>
      <w:proofErr w:type="spellEnd"/>
      <w:r w:rsidRPr="009B591C">
        <w:rPr>
          <w:rFonts w:eastAsia="Arial"/>
          <w:color w:val="000000" w:themeColor="text1"/>
        </w:rPr>
        <w:t xml:space="preserve"> skyrimo indikacijas ir siūlomas skyrimo sąlygas.</w:t>
      </w:r>
      <w:r w:rsidRPr="009B591C">
        <w:rPr>
          <w:rFonts w:eastAsia="Arial"/>
          <w:color w:val="FF0000"/>
        </w:rPr>
        <w:t xml:space="preserve"> </w:t>
      </w:r>
    </w:p>
    <w:p w14:paraId="10737FA8" w14:textId="77777777" w:rsidR="00997A8D" w:rsidRPr="009B591C" w:rsidRDefault="00997A8D" w:rsidP="00997A8D">
      <w:pPr>
        <w:tabs>
          <w:tab w:val="left" w:pos="426"/>
        </w:tabs>
        <w:spacing w:line="276" w:lineRule="auto"/>
        <w:jc w:val="both"/>
        <w:rPr>
          <w:rFonts w:eastAsia="Arial"/>
          <w:iCs/>
          <w:color w:val="000000" w:themeColor="text1"/>
        </w:rPr>
      </w:pPr>
      <w:r w:rsidRPr="009B591C">
        <w:rPr>
          <w:rFonts w:eastAsia="Arial"/>
          <w:color w:val="FF0000"/>
        </w:rPr>
        <w:tab/>
      </w:r>
      <w:r w:rsidRPr="009B591C">
        <w:rPr>
          <w:rFonts w:eastAsia="Arial"/>
          <w:iCs/>
          <w:color w:val="000000" w:themeColor="text1"/>
        </w:rPr>
        <w:t xml:space="preserve">Iš anksto numatytos </w:t>
      </w:r>
      <w:r w:rsidRPr="007C49E2">
        <w:rPr>
          <w:rFonts w:eastAsia="Arial"/>
          <w:iCs/>
          <w:color w:val="000000" w:themeColor="text1"/>
        </w:rPr>
        <w:t>4</w:t>
      </w:r>
      <w:r w:rsidRPr="009B591C">
        <w:rPr>
          <w:rFonts w:eastAsia="Arial"/>
          <w:iCs/>
          <w:color w:val="000000" w:themeColor="text1"/>
        </w:rPr>
        <w:t xml:space="preserve"> tarpinės analizės (angl. </w:t>
      </w:r>
      <w:proofErr w:type="spellStart"/>
      <w:r w:rsidRPr="009B591C">
        <w:rPr>
          <w:rFonts w:eastAsia="Arial"/>
          <w:i/>
          <w:color w:val="000000" w:themeColor="text1"/>
        </w:rPr>
        <w:t>interim</w:t>
      </w:r>
      <w:proofErr w:type="spellEnd"/>
      <w:r w:rsidRPr="009B591C">
        <w:rPr>
          <w:rFonts w:eastAsia="Arial"/>
          <w:i/>
          <w:color w:val="000000" w:themeColor="text1"/>
        </w:rPr>
        <w:t xml:space="preserve"> </w:t>
      </w:r>
      <w:proofErr w:type="spellStart"/>
      <w:r w:rsidRPr="009B591C">
        <w:rPr>
          <w:rFonts w:eastAsia="Arial"/>
          <w:i/>
          <w:color w:val="000000" w:themeColor="text1"/>
        </w:rPr>
        <w:t>analysis</w:t>
      </w:r>
      <w:proofErr w:type="spellEnd"/>
      <w:r w:rsidRPr="009B591C">
        <w:rPr>
          <w:rFonts w:eastAsia="Arial"/>
          <w:iCs/>
          <w:color w:val="000000" w:themeColor="text1"/>
        </w:rPr>
        <w:t xml:space="preserve">) ir 1 galutinė analizė. IA1 suplanuota atlikti, kai bus užfiksuoti </w:t>
      </w:r>
      <w:r w:rsidRPr="007C49E2">
        <w:rPr>
          <w:rFonts w:eastAsia="Arial"/>
          <w:iCs/>
          <w:color w:val="000000" w:themeColor="text1"/>
        </w:rPr>
        <w:t>326</w:t>
      </w:r>
      <w:r w:rsidRPr="009B591C">
        <w:rPr>
          <w:rFonts w:eastAsia="Arial"/>
          <w:iCs/>
          <w:color w:val="000000" w:themeColor="text1"/>
        </w:rPr>
        <w:t xml:space="preserve"> IBĮ įvykiai (sudarantys apie </w:t>
      </w:r>
      <w:r w:rsidRPr="007C49E2">
        <w:rPr>
          <w:rFonts w:eastAsia="Arial"/>
          <w:iCs/>
          <w:color w:val="000000" w:themeColor="text1"/>
        </w:rPr>
        <w:t xml:space="preserve">78 </w:t>
      </w:r>
      <w:r w:rsidRPr="009B591C">
        <w:rPr>
          <w:rFonts w:eastAsia="Arial"/>
          <w:iCs/>
          <w:color w:val="000000" w:themeColor="text1"/>
        </w:rPr>
        <w:t xml:space="preserve">proc. tikslinių IBĮ įvykių) ir praėję </w:t>
      </w:r>
      <w:r w:rsidRPr="007C49E2">
        <w:rPr>
          <w:rFonts w:eastAsia="Arial"/>
          <w:iCs/>
          <w:color w:val="000000" w:themeColor="text1"/>
        </w:rPr>
        <w:t xml:space="preserve">5 </w:t>
      </w:r>
      <w:r w:rsidRPr="009B591C">
        <w:rPr>
          <w:rFonts w:eastAsia="Arial"/>
          <w:iCs/>
          <w:color w:val="000000" w:themeColor="text1"/>
        </w:rPr>
        <w:t>mėnesiai nuo paskutinio paciento atsitiktinio paskirstymo, IA</w:t>
      </w:r>
      <w:r w:rsidRPr="007C49E2">
        <w:rPr>
          <w:rFonts w:eastAsia="Arial"/>
          <w:iCs/>
          <w:color w:val="000000" w:themeColor="text1"/>
        </w:rPr>
        <w:t xml:space="preserve">1 </w:t>
      </w:r>
      <w:r w:rsidRPr="009B591C">
        <w:rPr>
          <w:rFonts w:eastAsia="Arial"/>
          <w:iCs/>
          <w:color w:val="000000" w:themeColor="text1"/>
        </w:rPr>
        <w:t xml:space="preserve">metu atlikta </w:t>
      </w:r>
      <w:proofErr w:type="spellStart"/>
      <w:r w:rsidRPr="009B591C">
        <w:rPr>
          <w:rFonts w:eastAsia="Arial"/>
          <w:iCs/>
          <w:color w:val="000000" w:themeColor="text1"/>
        </w:rPr>
        <w:t>mPR</w:t>
      </w:r>
      <w:proofErr w:type="spellEnd"/>
      <w:r w:rsidRPr="009B591C">
        <w:rPr>
          <w:rFonts w:eastAsia="Arial"/>
          <w:iCs/>
          <w:color w:val="000000" w:themeColor="text1"/>
        </w:rPr>
        <w:t xml:space="preserve">, </w:t>
      </w:r>
      <w:proofErr w:type="spellStart"/>
      <w:r w:rsidRPr="009B591C">
        <w:rPr>
          <w:rFonts w:eastAsia="Arial"/>
          <w:iCs/>
          <w:color w:val="000000" w:themeColor="text1"/>
        </w:rPr>
        <w:t>pCR</w:t>
      </w:r>
      <w:proofErr w:type="spellEnd"/>
      <w:r w:rsidRPr="009B591C">
        <w:rPr>
          <w:rFonts w:eastAsia="Arial"/>
          <w:iCs/>
          <w:color w:val="000000" w:themeColor="text1"/>
        </w:rPr>
        <w:t xml:space="preserve"> analizė ir tarpinė BI ir IBĮ analizės</w:t>
      </w:r>
      <w:r w:rsidRPr="009B591C">
        <w:rPr>
          <w:rFonts w:eastAsia="Arial"/>
          <w:color w:val="FF0000"/>
        </w:rPr>
        <w:t xml:space="preserve">. </w:t>
      </w:r>
      <w:r w:rsidRPr="009B591C">
        <w:rPr>
          <w:rFonts w:eastAsia="Arial"/>
          <w:iCs/>
          <w:color w:val="000000" w:themeColor="text1"/>
        </w:rPr>
        <w:t xml:space="preserve">Šio tyrimo BI rezultatai buvo statistiškai reikšmingi galutinės analizės metu. Atlikus galutinę analizę, pateikti atnaujinti duomenys. Galutinėje analizėje duomenų brandumas 90 proc., BI duomenys laikomi subrendusiais. </w:t>
      </w:r>
    </w:p>
    <w:p w14:paraId="39F4F918" w14:textId="77777777" w:rsidR="00997A8D" w:rsidRPr="009B591C" w:rsidRDefault="00997A8D" w:rsidP="00997A8D">
      <w:pPr>
        <w:tabs>
          <w:tab w:val="left" w:pos="426"/>
        </w:tabs>
        <w:spacing w:line="276" w:lineRule="auto"/>
        <w:jc w:val="both"/>
        <w:rPr>
          <w:rFonts w:eastAsia="Arial"/>
          <w:iCs/>
          <w:color w:val="000000" w:themeColor="text1"/>
        </w:rPr>
      </w:pPr>
    </w:p>
    <w:p w14:paraId="0604D5E1" w14:textId="77777777" w:rsidR="00997A8D" w:rsidRPr="009B591C" w:rsidRDefault="00997A8D" w:rsidP="00997A8D">
      <w:pPr>
        <w:spacing w:line="276" w:lineRule="auto"/>
        <w:ind w:firstLine="720"/>
        <w:jc w:val="both"/>
        <w:rPr>
          <w:rFonts w:eastAsia="Arial"/>
          <w:iCs/>
          <w:color w:val="000000" w:themeColor="text1"/>
        </w:rPr>
      </w:pPr>
      <w:r w:rsidRPr="009B591C">
        <w:rPr>
          <w:rFonts w:eastAsia="Arial"/>
          <w:iCs/>
          <w:color w:val="000000" w:themeColor="text1"/>
          <w:u w:val="single"/>
        </w:rPr>
        <w:t>Pirminė vertinamoji baigtis</w:t>
      </w:r>
      <w:r w:rsidRPr="009B591C">
        <w:rPr>
          <w:rFonts w:eastAsia="Arial"/>
          <w:iCs/>
          <w:color w:val="000000" w:themeColor="text1"/>
        </w:rPr>
        <w:t xml:space="preserve">, išgyvenamumas be įvykių (IBĮ) – reiškiniai apibrėžiami kaip ligos progresavimas, patvirtintas </w:t>
      </w:r>
      <w:proofErr w:type="spellStart"/>
      <w:r w:rsidRPr="009B591C">
        <w:rPr>
          <w:rFonts w:eastAsia="Arial"/>
          <w:iCs/>
          <w:color w:val="000000" w:themeColor="text1"/>
        </w:rPr>
        <w:t>radiologiškai</w:t>
      </w:r>
      <w:proofErr w:type="spellEnd"/>
      <w:r w:rsidRPr="009B591C">
        <w:rPr>
          <w:rFonts w:eastAsia="Arial"/>
          <w:iCs/>
          <w:color w:val="000000" w:themeColor="text1"/>
        </w:rPr>
        <w:t xml:space="preserve"> pagal RECIST 1.1; lokalus ligos progresavimas; negalėjimas </w:t>
      </w:r>
      <w:proofErr w:type="spellStart"/>
      <w:r w:rsidRPr="009B591C">
        <w:rPr>
          <w:rFonts w:eastAsia="Arial"/>
          <w:iCs/>
          <w:color w:val="000000" w:themeColor="text1"/>
        </w:rPr>
        <w:t>rezekuoti</w:t>
      </w:r>
      <w:proofErr w:type="spellEnd"/>
      <w:r w:rsidRPr="009B591C">
        <w:rPr>
          <w:rFonts w:eastAsia="Arial"/>
          <w:iCs/>
          <w:color w:val="000000" w:themeColor="text1"/>
        </w:rPr>
        <w:t xml:space="preserve"> naviko; lokalus arba tolimas recidyvas; mirtis dėl bet kokios priežasties. </w:t>
      </w:r>
      <w:r w:rsidRPr="007C49E2">
        <w:rPr>
          <w:rFonts w:eastAsia="Arial"/>
          <w:iCs/>
          <w:color w:val="000000" w:themeColor="text1"/>
        </w:rPr>
        <w:t xml:space="preserve">Atlikus iš anksto numatytą tarpinę duomenų analizę (kai pacientų būklės stebėjimo trukmės mediana buvo 21,4 mėnesio [svyravimo ribos: 0,4-50,6 mėnesio]) nustatyta, kad pacientams, kurie atsitiktine tvarka buvo įtraukti į </w:t>
      </w:r>
      <w:proofErr w:type="spellStart"/>
      <w:r w:rsidRPr="007C49E2">
        <w:rPr>
          <w:rFonts w:eastAsia="Arial"/>
          <w:iCs/>
          <w:color w:val="000000" w:themeColor="text1"/>
        </w:rPr>
        <w:t>pembrolizumabo</w:t>
      </w:r>
      <w:proofErr w:type="spellEnd"/>
      <w:r w:rsidRPr="007C49E2">
        <w:rPr>
          <w:rFonts w:eastAsia="Arial"/>
          <w:iCs/>
          <w:color w:val="000000" w:themeColor="text1"/>
        </w:rPr>
        <w:t xml:space="preserve"> derinio su chemoterapija, kurios sudėtyje buvo platinos vaistinių preparatų, vartojusiųjų grupę, vėliau jiems tęsiant </w:t>
      </w:r>
      <w:proofErr w:type="spellStart"/>
      <w:r w:rsidRPr="007C49E2">
        <w:rPr>
          <w:rFonts w:eastAsia="Arial"/>
          <w:iCs/>
          <w:color w:val="000000" w:themeColor="text1"/>
        </w:rPr>
        <w:t>pembrolizumabo</w:t>
      </w:r>
      <w:proofErr w:type="spellEnd"/>
      <w:r w:rsidRPr="007C49E2">
        <w:rPr>
          <w:rFonts w:eastAsia="Arial"/>
          <w:iCs/>
          <w:color w:val="000000" w:themeColor="text1"/>
        </w:rPr>
        <w:t xml:space="preserve"> </w:t>
      </w:r>
      <w:proofErr w:type="spellStart"/>
      <w:r w:rsidRPr="007C49E2">
        <w:rPr>
          <w:rFonts w:eastAsia="Arial"/>
          <w:iCs/>
          <w:color w:val="000000" w:themeColor="text1"/>
        </w:rPr>
        <w:t>monoterapiją</w:t>
      </w:r>
      <w:proofErr w:type="spellEnd"/>
      <w:r w:rsidRPr="007C49E2">
        <w:rPr>
          <w:rFonts w:eastAsia="Arial"/>
          <w:iCs/>
          <w:color w:val="000000" w:themeColor="text1"/>
        </w:rPr>
        <w:t xml:space="preserve">, lyginant su tais pacientais, kurie atsitiktine tvarka buvo įtraukti į placebo derinio su chemoterapija, kurios sudėtyje buvo platinos vaistinių preparatų, vartojusiųjų grupę, vėliau jiems tęsiant tik placebo skyrimą, </w:t>
      </w:r>
      <w:r w:rsidRPr="009B591C">
        <w:rPr>
          <w:rFonts w:eastAsia="Arial"/>
          <w:iCs/>
          <w:color w:val="000000" w:themeColor="text1"/>
        </w:rPr>
        <w:t xml:space="preserve">vidutinis IBĮ buvo 47,2 mėnesio (95 proc. PI) </w:t>
      </w:r>
      <w:proofErr w:type="spellStart"/>
      <w:r w:rsidRPr="009B591C">
        <w:rPr>
          <w:rFonts w:eastAsia="Arial"/>
          <w:iCs/>
          <w:color w:val="000000" w:themeColor="text1"/>
        </w:rPr>
        <w:t>pembrolizumabo</w:t>
      </w:r>
      <w:proofErr w:type="spellEnd"/>
      <w:r w:rsidRPr="009B591C">
        <w:rPr>
          <w:rFonts w:eastAsia="Arial"/>
          <w:iCs/>
          <w:color w:val="000000" w:themeColor="text1"/>
        </w:rPr>
        <w:t xml:space="preserve"> grupėje ir 18,3 mėnesio (14,8–22,1) placebo grupėje (RS 0,59 [95 proc. PI 0,48–0,72])</w:t>
      </w:r>
      <w:r w:rsidRPr="007C49E2">
        <w:rPr>
          <w:rFonts w:eastAsia="Arial"/>
          <w:iCs/>
          <w:color w:val="000000" w:themeColor="text1"/>
        </w:rPr>
        <w:t xml:space="preserve">. </w:t>
      </w:r>
      <w:proofErr w:type="spellStart"/>
      <w:r w:rsidRPr="009B591C">
        <w:rPr>
          <w:rFonts w:eastAsia="Arial"/>
          <w:iCs/>
          <w:color w:val="000000" w:themeColor="text1"/>
        </w:rPr>
        <w:t>Pembrolizumabo</w:t>
      </w:r>
      <w:proofErr w:type="spellEnd"/>
      <w:r w:rsidRPr="009B591C">
        <w:rPr>
          <w:rFonts w:eastAsia="Arial"/>
          <w:iCs/>
          <w:color w:val="000000" w:themeColor="text1"/>
        </w:rPr>
        <w:t xml:space="preserve"> grupėje reiškinių rizika </w:t>
      </w:r>
      <w:r w:rsidRPr="007C49E2">
        <w:rPr>
          <w:rFonts w:eastAsia="Arial"/>
          <w:iCs/>
          <w:color w:val="000000" w:themeColor="text1"/>
        </w:rPr>
        <w:t xml:space="preserve">41 </w:t>
      </w:r>
      <w:r w:rsidRPr="009B591C">
        <w:rPr>
          <w:rFonts w:eastAsia="Arial"/>
          <w:iCs/>
          <w:color w:val="000000" w:themeColor="text1"/>
        </w:rPr>
        <w:t xml:space="preserve">proc. mažesnė nei placebo grupėje. IBĮ buvo geresnis </w:t>
      </w:r>
      <w:proofErr w:type="spellStart"/>
      <w:r w:rsidRPr="009B591C">
        <w:rPr>
          <w:rFonts w:eastAsia="Arial"/>
          <w:iCs/>
          <w:color w:val="000000" w:themeColor="text1"/>
        </w:rPr>
        <w:t>pembrolizumabo</w:t>
      </w:r>
      <w:proofErr w:type="spellEnd"/>
      <w:r w:rsidRPr="009B591C">
        <w:rPr>
          <w:rFonts w:eastAsia="Arial"/>
          <w:iCs/>
          <w:color w:val="000000" w:themeColor="text1"/>
        </w:rPr>
        <w:t xml:space="preserve"> grupėje lyginant su placebo grupe iš anksto numatytuose pogrupiuose. Didžiausi skirtumai, rodantys </w:t>
      </w:r>
      <w:proofErr w:type="spellStart"/>
      <w:r w:rsidRPr="009B591C">
        <w:rPr>
          <w:rFonts w:eastAsia="Arial"/>
          <w:iCs/>
          <w:color w:val="000000" w:themeColor="text1"/>
        </w:rPr>
        <w:t>pembrolizumabo</w:t>
      </w:r>
      <w:proofErr w:type="spellEnd"/>
      <w:r w:rsidRPr="009B591C">
        <w:rPr>
          <w:rFonts w:eastAsia="Arial"/>
          <w:iCs/>
          <w:color w:val="000000" w:themeColor="text1"/>
        </w:rPr>
        <w:t xml:space="preserve"> naudą, pastebėti šiuose pogrupiuose: jaunesni nei 65 metų amžiaus pacientai (RS = 0,51; PI 0,39–0,67), moterys (RS = 0,52; PI 0,36–0,75), nerūkantys pacientai (RS = 0,53; PI 0,36–0,77), PD-L1 TPS ≥50 proc. (RS = 0,48; PI 0,33–0,71), bei EGFR mutacijos neturintys pacientai (RS = 0,55; PI 0,38–0,81).</w:t>
      </w:r>
    </w:p>
    <w:p w14:paraId="028DC925" w14:textId="77777777" w:rsidR="00997A8D" w:rsidRPr="009B591C" w:rsidRDefault="00997A8D" w:rsidP="00997A8D">
      <w:pPr>
        <w:spacing w:line="276" w:lineRule="auto"/>
        <w:jc w:val="both"/>
        <w:rPr>
          <w:rFonts w:eastAsia="Arial"/>
          <w:color w:val="000000" w:themeColor="text1"/>
        </w:rPr>
      </w:pPr>
      <w:r w:rsidRPr="009B591C">
        <w:rPr>
          <w:rFonts w:eastAsia="Arial"/>
          <w:iCs/>
          <w:color w:val="000000" w:themeColor="text1"/>
        </w:rPr>
        <w:tab/>
      </w:r>
      <w:r w:rsidRPr="009B591C">
        <w:rPr>
          <w:rFonts w:eastAsia="Arial"/>
          <w:iCs/>
          <w:color w:val="000000" w:themeColor="text1"/>
          <w:u w:val="single"/>
        </w:rPr>
        <w:t>Antrinės vertinamosios baigtys,</w:t>
      </w:r>
      <w:r w:rsidRPr="009B591C">
        <w:rPr>
          <w:rFonts w:eastAsia="Arial"/>
          <w:iCs/>
          <w:color w:val="000000" w:themeColor="text1"/>
        </w:rPr>
        <w:t xml:space="preserve"> </w:t>
      </w:r>
      <w:r w:rsidRPr="009B591C">
        <w:rPr>
          <w:rFonts w:eastAsia="Arial"/>
          <w:color w:val="000000" w:themeColor="text1"/>
        </w:rPr>
        <w:t xml:space="preserve">visiško patologinio atsako, </w:t>
      </w:r>
      <w:proofErr w:type="spellStart"/>
      <w:r w:rsidRPr="009B591C">
        <w:rPr>
          <w:rFonts w:eastAsia="Arial"/>
          <w:color w:val="000000" w:themeColor="text1"/>
        </w:rPr>
        <w:t>vPA</w:t>
      </w:r>
      <w:proofErr w:type="spellEnd"/>
      <w:r w:rsidRPr="009B591C">
        <w:rPr>
          <w:rFonts w:eastAsia="Arial"/>
          <w:color w:val="000000" w:themeColor="text1"/>
        </w:rPr>
        <w:t xml:space="preserve">, dažnis (dalyvių dalis, kurių </w:t>
      </w:r>
      <w:proofErr w:type="spellStart"/>
      <w:r w:rsidRPr="009B591C">
        <w:rPr>
          <w:rFonts w:eastAsia="Arial"/>
          <w:color w:val="000000" w:themeColor="text1"/>
        </w:rPr>
        <w:t>rezekuoto</w:t>
      </w:r>
      <w:proofErr w:type="spellEnd"/>
      <w:r w:rsidRPr="009B591C">
        <w:rPr>
          <w:rFonts w:eastAsia="Arial"/>
          <w:color w:val="000000" w:themeColor="text1"/>
        </w:rPr>
        <w:t xml:space="preserve"> plaučių mėginio ir limfmazgių </w:t>
      </w:r>
      <w:proofErr w:type="spellStart"/>
      <w:r w:rsidRPr="009B591C">
        <w:rPr>
          <w:rFonts w:eastAsia="Arial"/>
          <w:color w:val="000000" w:themeColor="text1"/>
        </w:rPr>
        <w:t>hematoksilinu</w:t>
      </w:r>
      <w:proofErr w:type="spellEnd"/>
      <w:r w:rsidRPr="009B591C">
        <w:rPr>
          <w:rFonts w:eastAsia="Arial"/>
          <w:color w:val="000000" w:themeColor="text1"/>
        </w:rPr>
        <w:t xml:space="preserve"> ir </w:t>
      </w:r>
      <w:proofErr w:type="spellStart"/>
      <w:r w:rsidRPr="009B591C">
        <w:rPr>
          <w:rFonts w:eastAsia="Arial"/>
          <w:color w:val="000000" w:themeColor="text1"/>
        </w:rPr>
        <w:t>eozinu</w:t>
      </w:r>
      <w:proofErr w:type="spellEnd"/>
      <w:r w:rsidRPr="009B591C">
        <w:rPr>
          <w:rFonts w:eastAsia="Arial"/>
          <w:color w:val="000000" w:themeColor="text1"/>
        </w:rPr>
        <w:t xml:space="preserve"> dažytuose histologiniuose preparatuose po </w:t>
      </w:r>
      <w:proofErr w:type="spellStart"/>
      <w:r w:rsidRPr="009B591C">
        <w:rPr>
          <w:rFonts w:eastAsia="Arial"/>
          <w:color w:val="000000" w:themeColor="text1"/>
        </w:rPr>
        <w:t>neoadjuvantinio</w:t>
      </w:r>
      <w:proofErr w:type="spellEnd"/>
      <w:r w:rsidRPr="009B591C">
        <w:rPr>
          <w:rFonts w:eastAsia="Arial"/>
          <w:color w:val="000000" w:themeColor="text1"/>
        </w:rPr>
        <w:t xml:space="preserve"> gydymo nėra liekamojo invazinio vėžio) ir reikšmingo patologijos atsako, </w:t>
      </w:r>
      <w:proofErr w:type="spellStart"/>
      <w:r w:rsidRPr="009B591C">
        <w:rPr>
          <w:rFonts w:eastAsia="Arial"/>
          <w:color w:val="000000" w:themeColor="text1"/>
        </w:rPr>
        <w:t>rPA</w:t>
      </w:r>
      <w:proofErr w:type="spellEnd"/>
      <w:r w:rsidRPr="009B591C">
        <w:rPr>
          <w:rFonts w:eastAsia="Arial"/>
          <w:color w:val="000000" w:themeColor="text1"/>
        </w:rPr>
        <w:t>, dažnis (dalyvių, kurių išpjautame pirminiame navike ir visuose išpjautuose limfmazgiuose yra ≤ 10 proc. gyvybingų naviko ląstelių, dalis).</w:t>
      </w:r>
      <w:r w:rsidRPr="007C49E2">
        <w:rPr>
          <w:rFonts w:eastAsia="Arial"/>
          <w:iCs/>
          <w:color w:val="000000" w:themeColor="text1"/>
        </w:rPr>
        <w:t xml:space="preserve"> Atlikus iš anksto numatytą duomenų analiz</w:t>
      </w:r>
      <w:r w:rsidRPr="009B591C">
        <w:rPr>
          <w:rFonts w:eastAsia="Arial"/>
          <w:iCs/>
          <w:color w:val="000000" w:themeColor="text1"/>
        </w:rPr>
        <w:t>ę,</w:t>
      </w:r>
      <w:r w:rsidRPr="007C49E2">
        <w:rPr>
          <w:rFonts w:eastAsia="Arial"/>
          <w:iCs/>
          <w:color w:val="000000" w:themeColor="text1"/>
        </w:rPr>
        <w:t xml:space="preserve"> buvo nustatytas statistiškai reikšmingas </w:t>
      </w:r>
      <w:proofErr w:type="spellStart"/>
      <w:r w:rsidRPr="007C49E2">
        <w:rPr>
          <w:rFonts w:eastAsia="Arial"/>
          <w:iCs/>
          <w:color w:val="000000" w:themeColor="text1"/>
        </w:rPr>
        <w:t>rPA</w:t>
      </w:r>
      <w:proofErr w:type="spellEnd"/>
      <w:r w:rsidRPr="007C49E2">
        <w:rPr>
          <w:rFonts w:eastAsia="Arial"/>
          <w:iCs/>
          <w:color w:val="000000" w:themeColor="text1"/>
        </w:rPr>
        <w:t xml:space="preserve"> dažnio pagerėjimas: </w:t>
      </w:r>
      <w:proofErr w:type="spellStart"/>
      <w:r w:rsidRPr="007C49E2">
        <w:rPr>
          <w:rFonts w:eastAsia="Arial"/>
          <w:iCs/>
          <w:color w:val="000000" w:themeColor="text1"/>
        </w:rPr>
        <w:t>pembrolizumabą</w:t>
      </w:r>
      <w:proofErr w:type="spellEnd"/>
      <w:r w:rsidRPr="007C49E2">
        <w:rPr>
          <w:rFonts w:eastAsia="Arial"/>
          <w:iCs/>
          <w:color w:val="000000" w:themeColor="text1"/>
        </w:rPr>
        <w:t xml:space="preserve"> vartojusiųjų grupėje </w:t>
      </w:r>
      <w:proofErr w:type="spellStart"/>
      <w:r w:rsidRPr="007C49E2">
        <w:rPr>
          <w:rFonts w:eastAsia="Arial"/>
          <w:iCs/>
          <w:color w:val="000000" w:themeColor="text1"/>
        </w:rPr>
        <w:t>rPA</w:t>
      </w:r>
      <w:proofErr w:type="spellEnd"/>
      <w:r w:rsidRPr="007C49E2">
        <w:rPr>
          <w:rFonts w:eastAsia="Arial"/>
          <w:iCs/>
          <w:color w:val="000000" w:themeColor="text1"/>
        </w:rPr>
        <w:t xml:space="preserve"> dažnis buvo 30,2 proc. (95 proc. PI: 25,7- 35,0 proc.), placebo grupėje – 11,0 proc. (95 proc. PI: 8,1-14,5 proc.), o skirtumas tarp gydymo grupių buvo 19,2 proc. Nustatytas ir statistiškai reikšmingas </w:t>
      </w:r>
      <w:proofErr w:type="spellStart"/>
      <w:r w:rsidRPr="007C49E2">
        <w:rPr>
          <w:rFonts w:eastAsia="Arial"/>
          <w:iCs/>
          <w:color w:val="000000" w:themeColor="text1"/>
        </w:rPr>
        <w:t>vPA</w:t>
      </w:r>
      <w:proofErr w:type="spellEnd"/>
      <w:r w:rsidRPr="007C49E2">
        <w:rPr>
          <w:rFonts w:eastAsia="Arial"/>
          <w:iCs/>
          <w:color w:val="000000" w:themeColor="text1"/>
        </w:rPr>
        <w:t xml:space="preserve"> dažnio pagerėjimas: </w:t>
      </w:r>
      <w:proofErr w:type="spellStart"/>
      <w:r w:rsidRPr="007C49E2">
        <w:rPr>
          <w:rFonts w:eastAsia="Arial"/>
          <w:iCs/>
          <w:color w:val="000000" w:themeColor="text1"/>
        </w:rPr>
        <w:t>pembrolizumabą</w:t>
      </w:r>
      <w:proofErr w:type="spellEnd"/>
      <w:r w:rsidRPr="007C49E2">
        <w:rPr>
          <w:rFonts w:eastAsia="Arial"/>
          <w:iCs/>
          <w:color w:val="000000" w:themeColor="text1"/>
        </w:rPr>
        <w:t xml:space="preserve"> vartojusiųjų grupėje </w:t>
      </w:r>
      <w:proofErr w:type="spellStart"/>
      <w:r w:rsidRPr="007C49E2">
        <w:rPr>
          <w:rFonts w:eastAsia="Arial"/>
          <w:iCs/>
          <w:color w:val="000000" w:themeColor="text1"/>
        </w:rPr>
        <w:t>vPA</w:t>
      </w:r>
      <w:proofErr w:type="spellEnd"/>
      <w:r w:rsidRPr="007C49E2">
        <w:rPr>
          <w:rFonts w:eastAsia="Arial"/>
          <w:iCs/>
          <w:color w:val="000000" w:themeColor="text1"/>
        </w:rPr>
        <w:t xml:space="preserve"> dažnis buvo 18,1 proc. (95 proc. PI: 14,5-22,3 proc.), placebo grupėje – 4,0 proc. (95 proc. PI: 2,3-6,4 proc.), o skirtumas tarp gydymo grupių buvo 14,2 proc. </w:t>
      </w:r>
    </w:p>
    <w:p w14:paraId="146A50F5" w14:textId="77777777" w:rsidR="00997A8D" w:rsidRPr="009B591C" w:rsidRDefault="00997A8D" w:rsidP="00997A8D">
      <w:pPr>
        <w:tabs>
          <w:tab w:val="left" w:pos="426"/>
        </w:tabs>
        <w:spacing w:line="276" w:lineRule="auto"/>
        <w:jc w:val="both"/>
        <w:rPr>
          <w:rFonts w:eastAsia="Arial"/>
          <w:iCs/>
          <w:color w:val="000000" w:themeColor="text1"/>
        </w:rPr>
      </w:pPr>
      <w:r w:rsidRPr="009B591C">
        <w:rPr>
          <w:rFonts w:eastAsia="Arial"/>
          <w:iCs/>
          <w:color w:val="000000" w:themeColor="text1"/>
        </w:rPr>
        <w:tab/>
        <w:t xml:space="preserve">Taip pat buvo vertinamos pacientų praneštos baigtys, </w:t>
      </w:r>
      <w:r w:rsidRPr="009B591C">
        <w:rPr>
          <w:color w:val="000000" w:themeColor="text1"/>
        </w:rPr>
        <w:t xml:space="preserve">gydymas </w:t>
      </w:r>
      <w:proofErr w:type="spellStart"/>
      <w:r w:rsidRPr="009B591C">
        <w:rPr>
          <w:color w:val="000000" w:themeColor="text1"/>
        </w:rPr>
        <w:t>pembrolizumabu</w:t>
      </w:r>
      <w:proofErr w:type="spellEnd"/>
      <w:r w:rsidRPr="009B591C">
        <w:rPr>
          <w:color w:val="000000" w:themeColor="text1"/>
        </w:rPr>
        <w:t>, lyginant su placebu, neparodė statistiškai reikšmingai blogesnių ar geresnių gyvenimo kokybės, skausmo ar nuovargio rodiklių.</w:t>
      </w:r>
    </w:p>
    <w:p w14:paraId="4DB0898B" w14:textId="77777777" w:rsidR="00997A8D" w:rsidRPr="009B591C" w:rsidRDefault="00997A8D" w:rsidP="00997A8D">
      <w:pPr>
        <w:tabs>
          <w:tab w:val="left" w:pos="284"/>
        </w:tabs>
        <w:spacing w:line="276" w:lineRule="auto"/>
        <w:jc w:val="both"/>
        <w:rPr>
          <w:rFonts w:eastAsia="Arial"/>
          <w:color w:val="000000" w:themeColor="text1"/>
        </w:rPr>
      </w:pPr>
      <w:r w:rsidRPr="009B591C">
        <w:rPr>
          <w:rFonts w:eastAsia="Arial"/>
          <w:color w:val="000000" w:themeColor="text1"/>
        </w:rPr>
        <w:tab/>
        <w:t>Vertinant nepageidaujamus reiškinius, g</w:t>
      </w:r>
      <w:r w:rsidRPr="009B591C">
        <w:rPr>
          <w:color w:val="000000" w:themeColor="text1"/>
        </w:rPr>
        <w:t xml:space="preserve">ydymas </w:t>
      </w:r>
      <w:proofErr w:type="spellStart"/>
      <w:r w:rsidRPr="009B591C">
        <w:rPr>
          <w:color w:val="000000" w:themeColor="text1"/>
        </w:rPr>
        <w:t>pembrolizumabu</w:t>
      </w:r>
      <w:proofErr w:type="spellEnd"/>
      <w:r w:rsidRPr="009B591C">
        <w:rPr>
          <w:color w:val="000000" w:themeColor="text1"/>
        </w:rPr>
        <w:t xml:space="preserve">, lyginant su placebu + </w:t>
      </w:r>
      <w:proofErr w:type="spellStart"/>
      <w:r w:rsidRPr="009B591C">
        <w:rPr>
          <w:color w:val="000000" w:themeColor="text1"/>
        </w:rPr>
        <w:t>Gem</w:t>
      </w:r>
      <w:proofErr w:type="spellEnd"/>
      <w:r w:rsidRPr="009B591C">
        <w:rPr>
          <w:color w:val="000000" w:themeColor="text1"/>
        </w:rPr>
        <w:t>/</w:t>
      </w:r>
      <w:proofErr w:type="spellStart"/>
      <w:r w:rsidRPr="009B591C">
        <w:rPr>
          <w:color w:val="000000" w:themeColor="text1"/>
        </w:rPr>
        <w:t>Cis</w:t>
      </w:r>
      <w:proofErr w:type="spellEnd"/>
      <w:r w:rsidRPr="009B591C">
        <w:rPr>
          <w:color w:val="000000" w:themeColor="text1"/>
        </w:rPr>
        <w:t xml:space="preserve">, neparodė statistiškai reikšmingai blogesnių ar geresnių gyvenimo kokybės, skausmo ar nuovargio </w:t>
      </w:r>
      <w:r w:rsidRPr="009B591C">
        <w:rPr>
          <w:color w:val="000000" w:themeColor="text1"/>
        </w:rPr>
        <w:lastRenderedPageBreak/>
        <w:t xml:space="preserve">rodiklių, vertinant </w:t>
      </w:r>
      <w:r w:rsidRPr="009B591C">
        <w:rPr>
          <w:color w:val="000000" w:themeColor="text1"/>
          <w:u w:val="single"/>
        </w:rPr>
        <w:t>pacientų praneštas baigtis</w:t>
      </w:r>
      <w:r w:rsidRPr="009B591C">
        <w:rPr>
          <w:color w:val="000000" w:themeColor="text1"/>
        </w:rPr>
        <w:t xml:space="preserve">. </w:t>
      </w:r>
      <w:r w:rsidRPr="009B591C">
        <w:rPr>
          <w:rFonts w:eastAsia="Arial"/>
          <w:color w:val="000000" w:themeColor="text1"/>
        </w:rPr>
        <w:t xml:space="preserve">NP atitiko PCS </w:t>
      </w:r>
      <w:r w:rsidRPr="009B591C">
        <w:rPr>
          <w:rFonts w:eastAsia="Arial"/>
          <w:color w:val="000000" w:themeColor="text1"/>
          <w:u w:val="single"/>
        </w:rPr>
        <w:t>saugumo</w:t>
      </w:r>
      <w:r w:rsidRPr="009B591C">
        <w:rPr>
          <w:rFonts w:eastAsia="Arial"/>
          <w:color w:val="000000" w:themeColor="text1"/>
        </w:rPr>
        <w:t xml:space="preserve"> duomenis, KEYNOTE-671 esant registraciniam tyrimui.</w:t>
      </w:r>
    </w:p>
    <w:p w14:paraId="08996F5E" w14:textId="77777777" w:rsidR="00997A8D" w:rsidRPr="009B591C" w:rsidRDefault="00997A8D" w:rsidP="00997A8D">
      <w:pPr>
        <w:spacing w:line="276" w:lineRule="auto"/>
        <w:ind w:firstLine="720"/>
        <w:jc w:val="both"/>
        <w:rPr>
          <w:color w:val="000000" w:themeColor="text1"/>
        </w:rPr>
      </w:pPr>
      <w:r w:rsidRPr="009B591C">
        <w:rPr>
          <w:rFonts w:eastAsia="Arial"/>
          <w:color w:val="000000" w:themeColor="text1"/>
        </w:rPr>
        <w:t xml:space="preserve">Apibendrinant, detalus klinikinis vertinimas, parodė, kad </w:t>
      </w:r>
      <w:proofErr w:type="spellStart"/>
      <w:r w:rsidRPr="009B591C">
        <w:rPr>
          <w:rFonts w:eastAsia="Arial"/>
          <w:color w:val="000000" w:themeColor="text1"/>
        </w:rPr>
        <w:t>pembrolizumabas</w:t>
      </w:r>
      <w:proofErr w:type="spellEnd"/>
      <w:r w:rsidRPr="009B591C">
        <w:rPr>
          <w:rFonts w:eastAsia="Arial"/>
          <w:color w:val="000000" w:themeColor="text1"/>
        </w:rPr>
        <w:t xml:space="preserve">, </w:t>
      </w:r>
      <w:r w:rsidRPr="009B591C">
        <w:rPr>
          <w:color w:val="000000" w:themeColor="text1"/>
        </w:rPr>
        <w:t xml:space="preserve">derinyje su chemoterapija, kurios sudėtyje buvo platinos vaistinių preparatų, skiriant </w:t>
      </w:r>
      <w:proofErr w:type="spellStart"/>
      <w:r w:rsidRPr="009B591C">
        <w:rPr>
          <w:color w:val="000000" w:themeColor="text1"/>
        </w:rPr>
        <w:t>neoadjuvantiniam</w:t>
      </w:r>
      <w:proofErr w:type="spellEnd"/>
      <w:r w:rsidRPr="009B591C">
        <w:rPr>
          <w:color w:val="000000" w:themeColor="text1"/>
        </w:rPr>
        <w:t xml:space="preserve"> gydymui, o vėliau tęsiant kaip </w:t>
      </w:r>
      <w:proofErr w:type="spellStart"/>
      <w:r w:rsidRPr="009B591C">
        <w:rPr>
          <w:color w:val="000000" w:themeColor="text1"/>
        </w:rPr>
        <w:t>monoterapiją</w:t>
      </w:r>
      <w:proofErr w:type="spellEnd"/>
      <w:r w:rsidRPr="009B591C">
        <w:rPr>
          <w:color w:val="000000" w:themeColor="text1"/>
        </w:rPr>
        <w:t xml:space="preserve"> </w:t>
      </w:r>
      <w:proofErr w:type="spellStart"/>
      <w:r w:rsidRPr="009B591C">
        <w:rPr>
          <w:color w:val="000000" w:themeColor="text1"/>
        </w:rPr>
        <w:t>adjuvantiniam</w:t>
      </w:r>
      <w:proofErr w:type="spellEnd"/>
      <w:r w:rsidRPr="009B591C">
        <w:rPr>
          <w:color w:val="000000" w:themeColor="text1"/>
        </w:rPr>
        <w:t xml:space="preserve"> gydymui, lyginant su gydymu chemoterapija, gydant suaugusius pacientus, sergančius </w:t>
      </w:r>
      <w:proofErr w:type="spellStart"/>
      <w:r w:rsidRPr="009B591C">
        <w:rPr>
          <w:color w:val="000000" w:themeColor="text1"/>
        </w:rPr>
        <w:t>rezekuotinu</w:t>
      </w:r>
      <w:proofErr w:type="spellEnd"/>
      <w:r w:rsidRPr="009B591C">
        <w:rPr>
          <w:color w:val="000000" w:themeColor="text1"/>
        </w:rPr>
        <w:t xml:space="preserve"> II, IIIA ir IIIB (T3-4N2) stadijos </w:t>
      </w:r>
      <w:proofErr w:type="spellStart"/>
      <w:r w:rsidRPr="009B591C">
        <w:rPr>
          <w:color w:val="000000" w:themeColor="text1"/>
        </w:rPr>
        <w:t>nesmulkialąsteliniu</w:t>
      </w:r>
      <w:proofErr w:type="spellEnd"/>
      <w:r w:rsidRPr="009B591C">
        <w:rPr>
          <w:color w:val="000000" w:themeColor="text1"/>
        </w:rPr>
        <w:t xml:space="preserve"> plaučių vėžiu, </w:t>
      </w:r>
      <w:r w:rsidRPr="009B591C">
        <w:rPr>
          <w:rFonts w:eastAsia="Arial"/>
          <w:color w:val="000000" w:themeColor="text1"/>
        </w:rPr>
        <w:t xml:space="preserve">pasižymėjo kliniškai geresniais rezultatais. </w:t>
      </w:r>
      <w:r w:rsidRPr="009B591C">
        <w:rPr>
          <w:color w:val="000000" w:themeColor="text1"/>
        </w:rPr>
        <w:t xml:space="preserve">BI buvo vidutiniškai 4,2 mėnesio ilgesnis </w:t>
      </w:r>
      <w:proofErr w:type="spellStart"/>
      <w:r w:rsidRPr="009B591C">
        <w:rPr>
          <w:color w:val="000000" w:themeColor="text1"/>
        </w:rPr>
        <w:t>pembrolizumabo</w:t>
      </w:r>
      <w:proofErr w:type="spellEnd"/>
      <w:r w:rsidRPr="009B591C">
        <w:rPr>
          <w:color w:val="000000" w:themeColor="text1"/>
        </w:rPr>
        <w:t xml:space="preserve"> grupėje (PI medianos intervalas 1,1-7,3), palyginus su placebo grupe, šis skirtumas laikomas statistiškai ir kliniškai reikšmingu. Mirties rizika, taikant gydymą </w:t>
      </w:r>
      <w:proofErr w:type="spellStart"/>
      <w:r w:rsidRPr="009B591C">
        <w:rPr>
          <w:color w:val="000000" w:themeColor="text1"/>
        </w:rPr>
        <w:t>pembrolizumabu</w:t>
      </w:r>
      <w:proofErr w:type="spellEnd"/>
      <w:r w:rsidRPr="009B591C">
        <w:rPr>
          <w:color w:val="000000" w:themeColor="text1"/>
        </w:rPr>
        <w:t xml:space="preserve"> yra mažesnė 2</w:t>
      </w:r>
      <w:r w:rsidRPr="007C49E2">
        <w:rPr>
          <w:color w:val="000000" w:themeColor="text1"/>
        </w:rPr>
        <w:t>8</w:t>
      </w:r>
      <w:r w:rsidRPr="009B591C">
        <w:rPr>
          <w:color w:val="000000" w:themeColor="text1"/>
        </w:rPr>
        <w:t xml:space="preserve"> proc., lyginant su gydymu placebu. Bendroje populiacijoje gydymas </w:t>
      </w:r>
      <w:proofErr w:type="spellStart"/>
      <w:r w:rsidRPr="009B591C">
        <w:rPr>
          <w:color w:val="000000" w:themeColor="text1"/>
        </w:rPr>
        <w:t>pembrolizumabu</w:t>
      </w:r>
      <w:proofErr w:type="spellEnd"/>
      <w:r w:rsidRPr="009B591C">
        <w:rPr>
          <w:color w:val="000000" w:themeColor="text1"/>
        </w:rPr>
        <w:t xml:space="preserve"> </w:t>
      </w:r>
      <w:r w:rsidRPr="009B591C">
        <w:rPr>
          <w:rFonts w:eastAsia="Arial"/>
          <w:iCs/>
          <w:color w:val="000000" w:themeColor="text1"/>
        </w:rPr>
        <w:t xml:space="preserve">pagerino pacientų išgyvenamumą be reiškinių, vidutinis išgyvenamumas be reiškinių buvo 47,2 mėnesio (95 proc. PI) </w:t>
      </w:r>
      <w:proofErr w:type="spellStart"/>
      <w:r w:rsidRPr="009B591C">
        <w:rPr>
          <w:rFonts w:eastAsia="Arial"/>
          <w:iCs/>
          <w:color w:val="000000" w:themeColor="text1"/>
        </w:rPr>
        <w:t>pembrolizumabo</w:t>
      </w:r>
      <w:proofErr w:type="spellEnd"/>
      <w:r w:rsidRPr="009B591C">
        <w:rPr>
          <w:rFonts w:eastAsia="Arial"/>
          <w:iCs/>
          <w:color w:val="000000" w:themeColor="text1"/>
        </w:rPr>
        <w:t xml:space="preserve"> grupėje ir 18,3 mėnesio (14,8–22,1) placebo grupėje (RS 0,59 [95 proc. PI 0,48–0,72]), </w:t>
      </w:r>
      <w:proofErr w:type="spellStart"/>
      <w:r w:rsidRPr="009B591C">
        <w:rPr>
          <w:rFonts w:eastAsia="Arial"/>
          <w:iCs/>
          <w:color w:val="000000" w:themeColor="text1"/>
        </w:rPr>
        <w:t>pembrolizumabo</w:t>
      </w:r>
      <w:proofErr w:type="spellEnd"/>
      <w:r w:rsidRPr="009B591C">
        <w:rPr>
          <w:rFonts w:eastAsia="Arial"/>
          <w:iCs/>
          <w:color w:val="000000" w:themeColor="text1"/>
        </w:rPr>
        <w:t xml:space="preserve"> grupėje reiškinių (ligos progresavimo, atkryčio, mirties) rizika </w:t>
      </w:r>
      <w:r w:rsidRPr="007C49E2">
        <w:rPr>
          <w:rFonts w:eastAsia="Arial"/>
          <w:iCs/>
          <w:color w:val="000000" w:themeColor="text1"/>
        </w:rPr>
        <w:t xml:space="preserve">41 </w:t>
      </w:r>
      <w:r w:rsidRPr="009B591C">
        <w:rPr>
          <w:rFonts w:eastAsia="Arial"/>
          <w:iCs/>
          <w:color w:val="000000" w:themeColor="text1"/>
        </w:rPr>
        <w:t>proc. mažesnė nei placebo grupėje</w:t>
      </w:r>
      <w:r w:rsidRPr="009B591C">
        <w:rPr>
          <w:color w:val="000000" w:themeColor="text1"/>
        </w:rPr>
        <w:t>, lyginant su gydymu placebu.</w:t>
      </w:r>
    </w:p>
    <w:p w14:paraId="015222C6" w14:textId="6616C203" w:rsidR="00997A8D" w:rsidRPr="009B591C" w:rsidRDefault="00997A8D" w:rsidP="00997A8D">
      <w:pPr>
        <w:spacing w:line="276" w:lineRule="auto"/>
        <w:jc w:val="both"/>
        <w:rPr>
          <w:iCs/>
          <w:color w:val="000000" w:themeColor="text1"/>
        </w:rPr>
      </w:pPr>
      <w:r w:rsidRPr="009B591C">
        <w:rPr>
          <w:rFonts w:eastAsia="Arial"/>
          <w:color w:val="000000" w:themeColor="text1"/>
        </w:rPr>
        <w:tab/>
      </w:r>
      <w:r w:rsidRPr="009B591C">
        <w:rPr>
          <w:rFonts w:eastAsia="Arial"/>
          <w:iCs/>
          <w:color w:val="000000" w:themeColor="text1"/>
        </w:rPr>
        <w:t xml:space="preserve">Remiantis šiais duomenimis, </w:t>
      </w:r>
      <w:proofErr w:type="spellStart"/>
      <w:r w:rsidRPr="009B591C">
        <w:rPr>
          <w:rFonts w:eastAsia="Arial"/>
          <w:iCs/>
          <w:color w:val="000000" w:themeColor="text1"/>
        </w:rPr>
        <w:t>pembrolizumabo</w:t>
      </w:r>
      <w:proofErr w:type="spellEnd"/>
      <w:r w:rsidRPr="009B591C">
        <w:rPr>
          <w:rFonts w:eastAsia="Arial"/>
          <w:iCs/>
          <w:color w:val="000000" w:themeColor="text1"/>
        </w:rPr>
        <w:t xml:space="preserve"> palyginamasis veiksmingumas </w:t>
      </w:r>
      <w:r w:rsidRPr="009B591C">
        <w:rPr>
          <w:iCs/>
          <w:color w:val="000000" w:themeColor="text1"/>
        </w:rPr>
        <w:t>yra įvertintas kaip</w:t>
      </w:r>
      <w:r w:rsidR="00A63266">
        <w:rPr>
          <w:iCs/>
          <w:color w:val="000000" w:themeColor="text1"/>
        </w:rPr>
        <w:t xml:space="preserve"> didesnis</w:t>
      </w:r>
      <w:r w:rsidRPr="009B591C">
        <w:rPr>
          <w:iCs/>
          <w:color w:val="000000" w:themeColor="text1"/>
        </w:rPr>
        <w:t>, lyginant su įprasta klinikine praktika.</w:t>
      </w:r>
    </w:p>
    <w:p w14:paraId="489A2E3C" w14:textId="470CAD31" w:rsidR="004537D0" w:rsidRDefault="004537D0" w:rsidP="00997A8D">
      <w:pPr>
        <w:tabs>
          <w:tab w:val="left" w:pos="426"/>
        </w:tabs>
        <w:spacing w:line="276" w:lineRule="auto"/>
        <w:jc w:val="both"/>
        <w:rPr>
          <w:b/>
          <w:bCs/>
          <w:caps/>
        </w:rPr>
      </w:pPr>
    </w:p>
    <w:p w14:paraId="574D3486" w14:textId="77777777" w:rsidR="004537D0" w:rsidRPr="004537D0" w:rsidRDefault="004537D0" w:rsidP="004537D0">
      <w:pPr>
        <w:tabs>
          <w:tab w:val="left" w:pos="567"/>
        </w:tabs>
        <w:rPr>
          <w:b/>
          <w:bCs/>
          <w:caps/>
        </w:rPr>
      </w:pPr>
    </w:p>
    <w:p w14:paraId="7DE09EB5" w14:textId="69E9DD74" w:rsidR="00E03C3F" w:rsidRPr="00E33EF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4826E5DF" w:rsidR="00C62B36" w:rsidRDefault="00C62B36" w:rsidP="00A93AA6">
      <w:pPr>
        <w:tabs>
          <w:tab w:val="left" w:pos="426"/>
        </w:tabs>
        <w:rPr>
          <w:i/>
          <w:color w:val="00B050"/>
          <w:sz w:val="22"/>
          <w:szCs w:val="22"/>
        </w:rPr>
      </w:pPr>
    </w:p>
    <w:p w14:paraId="072BF82B" w14:textId="558DEEE2" w:rsidR="007C49E2" w:rsidRDefault="007C49E2" w:rsidP="007C49E2">
      <w:pPr>
        <w:tabs>
          <w:tab w:val="left" w:pos="567"/>
        </w:tabs>
        <w:spacing w:line="276" w:lineRule="auto"/>
        <w:jc w:val="both"/>
        <w:rPr>
          <w:lang w:eastAsia="lt-LT"/>
        </w:rPr>
      </w:pPr>
      <w:r>
        <w:rPr>
          <w:rFonts w:eastAsia="Arial"/>
        </w:rPr>
        <w:tab/>
      </w:r>
      <w:r w:rsidRPr="00CC5B7E">
        <w:rPr>
          <w:rFonts w:eastAsia="Arial"/>
        </w:rPr>
        <w:t>Vertinimui pateikta kaštų naudingumo analizė, kurioje nagrinėjamas</w:t>
      </w:r>
      <w:r>
        <w:rPr>
          <w:rFonts w:eastAsia="Arial"/>
        </w:rPr>
        <w:t xml:space="preserve"> </w:t>
      </w:r>
      <w:proofErr w:type="spellStart"/>
      <w:r w:rsidRPr="00CC5B7E">
        <w:rPr>
          <w:rFonts w:eastAsia="Arial"/>
        </w:rPr>
        <w:t>pembrolizumabo</w:t>
      </w:r>
      <w:proofErr w:type="spellEnd"/>
      <w:r w:rsidRPr="00CC5B7E">
        <w:rPr>
          <w:rFonts w:eastAsia="Arial"/>
        </w:rPr>
        <w:t xml:space="preserve"> (</w:t>
      </w:r>
      <w:proofErr w:type="spellStart"/>
      <w:r w:rsidRPr="00CC5B7E">
        <w:rPr>
          <w:rFonts w:eastAsia="Arial"/>
        </w:rPr>
        <w:t>Keytruda</w:t>
      </w:r>
      <w:proofErr w:type="spellEnd"/>
      <w:r w:rsidRPr="00CC5B7E">
        <w:rPr>
          <w:rFonts w:eastAsia="Arial"/>
        </w:rPr>
        <w:t>)</w:t>
      </w:r>
      <w:r>
        <w:rPr>
          <w:rFonts w:eastAsia="Arial"/>
        </w:rPr>
        <w:t xml:space="preserve"> derinyje su chemoterapija, kurios sudėtyje yra platinos, </w:t>
      </w:r>
      <w:r w:rsidR="004C0039" w:rsidRPr="007649DD">
        <w:rPr>
          <w:iCs/>
          <w:lang w:eastAsia="en-GB"/>
        </w:rPr>
        <w:t xml:space="preserve">skiriant </w:t>
      </w:r>
      <w:proofErr w:type="spellStart"/>
      <w:r w:rsidR="004C0039" w:rsidRPr="007649DD">
        <w:rPr>
          <w:iCs/>
          <w:lang w:eastAsia="en-GB"/>
        </w:rPr>
        <w:t>neadjuvantiniam</w:t>
      </w:r>
      <w:proofErr w:type="spellEnd"/>
      <w:r w:rsidR="004C0039" w:rsidRPr="007649DD">
        <w:rPr>
          <w:iCs/>
          <w:lang w:eastAsia="en-GB"/>
        </w:rPr>
        <w:t xml:space="preserve"> gydymui prieš operaciją, o vėliau tęsiant kaip </w:t>
      </w:r>
      <w:proofErr w:type="spellStart"/>
      <w:r w:rsidR="004C0039" w:rsidRPr="007649DD">
        <w:rPr>
          <w:iCs/>
          <w:lang w:eastAsia="en-GB"/>
        </w:rPr>
        <w:t>monoterapiją</w:t>
      </w:r>
      <w:proofErr w:type="spellEnd"/>
      <w:r w:rsidR="004C0039" w:rsidRPr="007649DD">
        <w:rPr>
          <w:iCs/>
          <w:lang w:eastAsia="en-GB"/>
        </w:rPr>
        <w:t xml:space="preserve"> </w:t>
      </w:r>
      <w:proofErr w:type="spellStart"/>
      <w:r w:rsidR="004C0039" w:rsidRPr="007649DD">
        <w:rPr>
          <w:iCs/>
          <w:lang w:eastAsia="en-GB"/>
        </w:rPr>
        <w:t>adjuvantiniam</w:t>
      </w:r>
      <w:proofErr w:type="spellEnd"/>
      <w:r w:rsidR="004C0039" w:rsidRPr="007649DD">
        <w:rPr>
          <w:iCs/>
          <w:lang w:eastAsia="en-GB"/>
        </w:rPr>
        <w:t xml:space="preserve"> gydymui</w:t>
      </w:r>
      <w:r w:rsidR="004C0039">
        <w:rPr>
          <w:iCs/>
          <w:lang w:eastAsia="en-GB"/>
        </w:rPr>
        <w:t>,</w:t>
      </w:r>
      <w:r w:rsidRPr="00CC5B7E">
        <w:rPr>
          <w:rFonts w:eastAsia="Arial"/>
        </w:rPr>
        <w:t xml:space="preserve"> kaštų naudingumas.</w:t>
      </w:r>
      <w:r w:rsidRPr="007C49E2">
        <w:rPr>
          <w:iCs/>
          <w:lang w:eastAsia="lt-LT"/>
        </w:rPr>
        <w:t xml:space="preserve"> </w:t>
      </w:r>
      <w:r w:rsidRPr="00CC5B7E">
        <w:rPr>
          <w:lang w:eastAsia="lt-LT"/>
        </w:rPr>
        <w:t xml:space="preserve">Analizuojami pacientai, </w:t>
      </w:r>
      <w:r w:rsidRPr="00415D86">
        <w:t>sergant</w:t>
      </w:r>
      <w:r>
        <w:t>ys</w:t>
      </w:r>
      <w:r w:rsidRPr="00415D86">
        <w:t> </w:t>
      </w:r>
      <w:proofErr w:type="spellStart"/>
      <w:r w:rsidRPr="00415D86">
        <w:t>rezekuotinu</w:t>
      </w:r>
      <w:proofErr w:type="spellEnd"/>
      <w:r w:rsidRPr="00415D86">
        <w:t> nesmulkiųjų ląstelių plaučių vėžiu, kuriems gresia didelė vėžio recidyvo rizika.</w:t>
      </w:r>
      <w:r w:rsidRPr="007C49E2">
        <w:rPr>
          <w:lang w:eastAsia="lt-LT"/>
        </w:rPr>
        <w:t xml:space="preserve"> </w:t>
      </w:r>
      <w:r>
        <w:rPr>
          <w:lang w:eastAsia="lt-LT"/>
        </w:rPr>
        <w:t xml:space="preserve">Palyginamasis gydymas analizėje atitinka Lietuvos klinikinę praktiką – šiuo metu analizuojami pacientai yra </w:t>
      </w:r>
      <w:r w:rsidRPr="009B591C">
        <w:t>gyd</w:t>
      </w:r>
      <w:r w:rsidR="004C0039">
        <w:t>o</w:t>
      </w:r>
      <w:r w:rsidRPr="009B591C">
        <w:t>m</w:t>
      </w:r>
      <w:r>
        <w:t>i</w:t>
      </w:r>
      <w:r w:rsidRPr="009B591C">
        <w:t xml:space="preserve"> </w:t>
      </w:r>
      <w:proofErr w:type="spellStart"/>
      <w:r w:rsidRPr="009B591C">
        <w:t>cisplatina</w:t>
      </w:r>
      <w:proofErr w:type="spellEnd"/>
      <w:r w:rsidRPr="009B591C">
        <w:t xml:space="preserve"> ir/arba </w:t>
      </w:r>
      <w:proofErr w:type="spellStart"/>
      <w:r w:rsidRPr="009B591C">
        <w:t>pemetreksedu</w:t>
      </w:r>
      <w:proofErr w:type="spellEnd"/>
      <w:r w:rsidRPr="009B591C">
        <w:t xml:space="preserve"> arba </w:t>
      </w:r>
      <w:proofErr w:type="spellStart"/>
      <w:r w:rsidRPr="009B591C">
        <w:t>gemcitabinu</w:t>
      </w:r>
      <w:proofErr w:type="spellEnd"/>
      <w:r>
        <w:rPr>
          <w:lang w:eastAsia="lt-LT"/>
        </w:rPr>
        <w:t xml:space="preserve">. Analizėje taikomas </w:t>
      </w:r>
      <w:proofErr w:type="spellStart"/>
      <w:r>
        <w:rPr>
          <w:lang w:eastAsia="lt-LT"/>
        </w:rPr>
        <w:t>Markovo</w:t>
      </w:r>
      <w:proofErr w:type="spellEnd"/>
      <w:r>
        <w:rPr>
          <w:lang w:eastAsia="lt-LT"/>
        </w:rPr>
        <w:t xml:space="preserve"> kohortos modeliavimo metodas su 1 savaitės ciklo trukme.</w:t>
      </w:r>
    </w:p>
    <w:p w14:paraId="199068B3" w14:textId="4112283F" w:rsidR="007C49E2" w:rsidRDefault="007C49E2" w:rsidP="007C49E2">
      <w:pPr>
        <w:tabs>
          <w:tab w:val="left" w:pos="567"/>
        </w:tabs>
        <w:spacing w:line="276" w:lineRule="auto"/>
        <w:jc w:val="both"/>
      </w:pPr>
      <w:r>
        <w:rPr>
          <w:lang w:eastAsia="lt-LT"/>
        </w:rPr>
        <w:tab/>
        <w:t xml:space="preserve">Analizė grindžiama tiesioginio palyginimo įrodymais iš </w:t>
      </w:r>
      <w:r w:rsidRPr="009B591C">
        <w:rPr>
          <w:rFonts w:eastAsia="Arial"/>
        </w:rPr>
        <w:t xml:space="preserve">KEYNOTE-671 </w:t>
      </w:r>
      <w:r>
        <w:rPr>
          <w:lang w:eastAsia="lt-LT"/>
        </w:rPr>
        <w:t xml:space="preserve">klinikinio tyrimo. </w:t>
      </w:r>
      <w:r w:rsidRPr="009B591C">
        <w:rPr>
          <w:rFonts w:eastAsia="Arial"/>
        </w:rPr>
        <w:t xml:space="preserve">KEYNOTE-671 </w:t>
      </w:r>
      <w:r>
        <w:t xml:space="preserve">yra </w:t>
      </w:r>
      <w:proofErr w:type="spellStart"/>
      <w:r>
        <w:t>randomizuotas</w:t>
      </w:r>
      <w:proofErr w:type="spellEnd"/>
      <w:r>
        <w:t xml:space="preserve">, kontroliuojamas, dvigubai aklas, dviejų rankų klinikinis tyrimas. </w:t>
      </w:r>
      <w:r w:rsidR="004C0039" w:rsidRPr="009B591C">
        <w:t xml:space="preserve">KEYNOTE-671 tai III fazės klinikinis tyrimas, kuriame </w:t>
      </w:r>
      <w:proofErr w:type="spellStart"/>
      <w:r w:rsidR="004C0039" w:rsidRPr="009B591C">
        <w:t>pembrolizumabo</w:t>
      </w:r>
      <w:proofErr w:type="spellEnd"/>
      <w:r w:rsidR="004C0039" w:rsidRPr="009B591C">
        <w:t xml:space="preserve"> veiksmingumas derinyje su chemoterapija, kurios sudėtyje buvo platinos vaistinių preparatų, skiriant </w:t>
      </w:r>
      <w:proofErr w:type="spellStart"/>
      <w:r w:rsidR="004C0039" w:rsidRPr="009B591C">
        <w:t>neoadjuvantiniam</w:t>
      </w:r>
      <w:proofErr w:type="spellEnd"/>
      <w:r w:rsidR="004C0039" w:rsidRPr="009B591C">
        <w:t xml:space="preserve"> gydymui, o vėliau tęsiant kaip </w:t>
      </w:r>
      <w:proofErr w:type="spellStart"/>
      <w:r w:rsidR="004C0039" w:rsidRPr="009B591C">
        <w:t>monoterapiją</w:t>
      </w:r>
      <w:proofErr w:type="spellEnd"/>
      <w:r w:rsidR="004C0039" w:rsidRPr="009B591C">
        <w:t xml:space="preserve"> </w:t>
      </w:r>
      <w:proofErr w:type="spellStart"/>
      <w:r w:rsidR="004C0039" w:rsidRPr="009B591C">
        <w:t>adjuvantiniam</w:t>
      </w:r>
      <w:proofErr w:type="spellEnd"/>
      <w:r w:rsidR="004C0039" w:rsidRPr="009B591C">
        <w:t xml:space="preserve"> gydymui</w:t>
      </w:r>
      <w:r w:rsidR="004C0039">
        <w:t xml:space="preserve">. </w:t>
      </w:r>
      <w:r>
        <w:t xml:space="preserve">Būklių perėjimo tikimybės analizėje gautos iš </w:t>
      </w:r>
      <w:r w:rsidRPr="009B591C">
        <w:rPr>
          <w:rFonts w:eastAsia="Arial"/>
        </w:rPr>
        <w:t xml:space="preserve">KEYNOTE-671 </w:t>
      </w:r>
      <w:r>
        <w:t xml:space="preserve">tyrimo, sisteminės literatūros apžvalgos, bei tikro pasaulio duomenų. </w:t>
      </w:r>
    </w:p>
    <w:p w14:paraId="65D80B43" w14:textId="12E3E0A6" w:rsidR="004C0039" w:rsidRDefault="004C0039" w:rsidP="004C0039">
      <w:pPr>
        <w:spacing w:line="276" w:lineRule="auto"/>
        <w:jc w:val="both"/>
      </w:pPr>
      <w:r>
        <w:tab/>
        <w:t xml:space="preserve">Gyvenimo kokybės įverčių duomenys analizėje yra grindžiami </w:t>
      </w:r>
      <w:r w:rsidR="00746C8C" w:rsidRPr="007649DD">
        <w:rPr>
          <w:iCs/>
          <w:lang w:eastAsia="lt-LT"/>
        </w:rPr>
        <w:t>EQ-5D-5L duomen</w:t>
      </w:r>
      <w:r w:rsidR="00746C8C">
        <w:rPr>
          <w:iCs/>
          <w:lang w:eastAsia="lt-LT"/>
        </w:rPr>
        <w:t>imis</w:t>
      </w:r>
      <w:r w:rsidR="00746C8C" w:rsidRPr="007649DD">
        <w:rPr>
          <w:iCs/>
          <w:lang w:eastAsia="lt-LT"/>
        </w:rPr>
        <w:t>, surinkt</w:t>
      </w:r>
      <w:r w:rsidR="00746C8C">
        <w:rPr>
          <w:iCs/>
          <w:lang w:eastAsia="lt-LT"/>
        </w:rPr>
        <w:t>ais</w:t>
      </w:r>
      <w:r w:rsidR="00746C8C" w:rsidRPr="007649DD">
        <w:rPr>
          <w:iCs/>
          <w:lang w:eastAsia="lt-LT"/>
        </w:rPr>
        <w:t xml:space="preserve"> KEYNOTE-671 tyrimo metu, EQ-5D-3L duomen</w:t>
      </w:r>
      <w:r w:rsidR="00746C8C">
        <w:rPr>
          <w:iCs/>
          <w:lang w:eastAsia="lt-LT"/>
        </w:rPr>
        <w:t>imis</w:t>
      </w:r>
      <w:r w:rsidR="00746C8C" w:rsidRPr="007649DD">
        <w:rPr>
          <w:iCs/>
          <w:lang w:eastAsia="lt-LT"/>
        </w:rPr>
        <w:t>, surinkt</w:t>
      </w:r>
      <w:r w:rsidR="00746C8C">
        <w:rPr>
          <w:iCs/>
          <w:lang w:eastAsia="lt-LT"/>
        </w:rPr>
        <w:t>ais</w:t>
      </w:r>
      <w:r w:rsidR="00746C8C" w:rsidRPr="007649DD">
        <w:rPr>
          <w:iCs/>
          <w:lang w:eastAsia="lt-LT"/>
        </w:rPr>
        <w:t xml:space="preserve"> iš KEYNOTE-7, taip pat papildom</w:t>
      </w:r>
      <w:r w:rsidR="00746C8C">
        <w:rPr>
          <w:iCs/>
          <w:lang w:eastAsia="lt-LT"/>
        </w:rPr>
        <w:t>ais</w:t>
      </w:r>
      <w:r w:rsidR="00746C8C" w:rsidRPr="007649DD">
        <w:rPr>
          <w:iCs/>
          <w:lang w:eastAsia="lt-LT"/>
        </w:rPr>
        <w:t xml:space="preserve"> įrodym</w:t>
      </w:r>
      <w:r w:rsidR="00746C8C">
        <w:rPr>
          <w:iCs/>
          <w:lang w:eastAsia="lt-LT"/>
        </w:rPr>
        <w:t>ais</w:t>
      </w:r>
      <w:r w:rsidR="00746C8C" w:rsidRPr="007649DD">
        <w:rPr>
          <w:iCs/>
          <w:lang w:eastAsia="lt-LT"/>
        </w:rPr>
        <w:t>, surinkt</w:t>
      </w:r>
      <w:r w:rsidR="00746C8C">
        <w:rPr>
          <w:iCs/>
          <w:lang w:eastAsia="lt-LT"/>
        </w:rPr>
        <w:t>ais</w:t>
      </w:r>
      <w:r w:rsidR="00746C8C" w:rsidRPr="007649DD">
        <w:rPr>
          <w:iCs/>
          <w:lang w:eastAsia="lt-LT"/>
        </w:rPr>
        <w:t xml:space="preserve"> iš KEYNOTE-189/407 tyrimų, bei papildomos literatūros</w:t>
      </w:r>
      <w:r>
        <w:t>.</w:t>
      </w:r>
      <w:r w:rsidR="00746C8C">
        <w:t xml:space="preserve"> </w:t>
      </w:r>
      <w:r>
        <w:t>Taikomas gyvenimo kokybės įverčių sumažėjimas dėl amžiaus.</w:t>
      </w:r>
    </w:p>
    <w:p w14:paraId="2C34E760" w14:textId="4B2E0217" w:rsidR="004C0039" w:rsidRDefault="00746C8C" w:rsidP="004C0039">
      <w:pPr>
        <w:spacing w:line="276" w:lineRule="auto"/>
        <w:jc w:val="both"/>
      </w:pPr>
      <w:r>
        <w:tab/>
      </w:r>
      <w:r w:rsidR="004C0039">
        <w:t xml:space="preserve">Atsižvelgiant į tai jog </w:t>
      </w:r>
      <w:r w:rsidR="004C0039" w:rsidRPr="00AD6119">
        <w:t xml:space="preserve">analizė yra grįsta tiesioginio palyginimo įrodymais, o prielaidų alternatyvos nagrinėjamos </w:t>
      </w:r>
      <w:r w:rsidR="004C0039">
        <w:t>jautrumo ir scenarijų analizėse, laikoma, jog gautas analizės rezultatas yra tinkamas interpretavimui bei sprendimo priėmimo pagrindimui.</w:t>
      </w:r>
    </w:p>
    <w:p w14:paraId="3FE0171F" w14:textId="77777777" w:rsidR="00746C8C" w:rsidRDefault="00746C8C" w:rsidP="004C0039">
      <w:pPr>
        <w:spacing w:line="276" w:lineRule="auto"/>
        <w:jc w:val="both"/>
      </w:pPr>
      <w:r>
        <w:tab/>
      </w:r>
      <w:r w:rsidR="004C0039">
        <w:t>Tarnyba pagrindinio atvejo analizėje, siekdama pateikti konservatyvų analizės rezultatą, netaiko RDI prielaidų</w:t>
      </w:r>
      <w:r>
        <w:t>, bei naudoja 100% RDI</w:t>
      </w:r>
      <w:r w:rsidR="004C0039">
        <w:t>.</w:t>
      </w:r>
    </w:p>
    <w:p w14:paraId="1BCD0BDF" w14:textId="0163D30E" w:rsidR="004C0039" w:rsidRPr="00746C8C" w:rsidRDefault="00746C8C" w:rsidP="004C0039">
      <w:pPr>
        <w:spacing w:line="276" w:lineRule="auto"/>
        <w:jc w:val="both"/>
      </w:pPr>
      <w:r>
        <w:tab/>
      </w:r>
      <w:r w:rsidR="004C0039">
        <w:t xml:space="preserve">Įvertinus analizės rezultatą, nustatyta, jog </w:t>
      </w:r>
      <w:proofErr w:type="spellStart"/>
      <w:r w:rsidR="004C0039">
        <w:t>pembrolizumabas</w:t>
      </w:r>
      <w:proofErr w:type="spellEnd"/>
      <w:r w:rsidR="004C0039">
        <w:t xml:space="preserve"> gali būti laikomas kaštam</w:t>
      </w:r>
      <w:r w:rsidR="005265F7">
        <w:t>s efektyviu gydymo pasirinkimu.</w:t>
      </w:r>
    </w:p>
    <w:p w14:paraId="5E50936D" w14:textId="77777777" w:rsidR="007C49E2" w:rsidRDefault="007C49E2" w:rsidP="007C49E2">
      <w:pPr>
        <w:tabs>
          <w:tab w:val="left" w:pos="567"/>
        </w:tabs>
        <w:spacing w:line="276" w:lineRule="auto"/>
        <w:jc w:val="both"/>
        <w:rPr>
          <w:lang w:eastAsia="lt-LT"/>
        </w:rPr>
      </w:pPr>
    </w:p>
    <w:p w14:paraId="2D9361DE" w14:textId="460F6FFF" w:rsidR="007C49E2" w:rsidRPr="00E33EFF" w:rsidRDefault="007C49E2" w:rsidP="00A93AA6">
      <w:pPr>
        <w:tabs>
          <w:tab w:val="left" w:pos="426"/>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23"/>
        <w:gridCol w:w="3043"/>
        <w:gridCol w:w="1736"/>
        <w:gridCol w:w="2206"/>
      </w:tblGrid>
      <w:tr w:rsidR="00276057" w:rsidRPr="007649DD" w14:paraId="5821B368" w14:textId="77777777" w:rsidTr="00657745">
        <w:trPr>
          <w:trHeight w:val="364"/>
          <w:jc w:val="center"/>
        </w:trPr>
        <w:tc>
          <w:tcPr>
            <w:tcW w:w="9908" w:type="dxa"/>
            <w:gridSpan w:val="4"/>
            <w:tcBorders>
              <w:top w:val="single" w:sz="12" w:space="0" w:color="auto"/>
              <w:bottom w:val="single" w:sz="4" w:space="0" w:color="auto"/>
            </w:tcBorders>
            <w:vAlign w:val="center"/>
          </w:tcPr>
          <w:p w14:paraId="31926461" w14:textId="77777777" w:rsidR="00276057" w:rsidRPr="007649DD" w:rsidRDefault="00276057" w:rsidP="00276057">
            <w:pPr>
              <w:tabs>
                <w:tab w:val="left" w:pos="567"/>
              </w:tabs>
              <w:spacing w:line="276" w:lineRule="auto"/>
              <w:jc w:val="center"/>
              <w:rPr>
                <w:b/>
                <w:i/>
                <w:iCs/>
                <w:color w:val="00B050"/>
                <w:sz w:val="22"/>
                <w:szCs w:val="22"/>
                <w:lang w:eastAsia="lt-LT"/>
              </w:rPr>
            </w:pPr>
            <w:r w:rsidRPr="007649DD">
              <w:rPr>
                <w:b/>
                <w:lang w:eastAsia="lt-LT"/>
              </w:rPr>
              <w:t>Kaštai</w:t>
            </w:r>
          </w:p>
        </w:tc>
      </w:tr>
      <w:tr w:rsidR="00276057" w:rsidRPr="007649DD" w14:paraId="5F0A541A" w14:textId="77777777" w:rsidTr="005265F7">
        <w:trPr>
          <w:jc w:val="center"/>
        </w:trPr>
        <w:tc>
          <w:tcPr>
            <w:tcW w:w="2923" w:type="dxa"/>
            <w:tcBorders>
              <w:top w:val="single" w:sz="4" w:space="0" w:color="auto"/>
              <w:bottom w:val="single" w:sz="4" w:space="0" w:color="auto"/>
            </w:tcBorders>
          </w:tcPr>
          <w:p w14:paraId="1FEC7247" w14:textId="77777777" w:rsidR="00276057" w:rsidRPr="007649DD" w:rsidRDefault="00276057" w:rsidP="00657745">
            <w:pPr>
              <w:tabs>
                <w:tab w:val="left" w:pos="567"/>
              </w:tabs>
              <w:spacing w:line="276" w:lineRule="auto"/>
              <w:jc w:val="both"/>
              <w:rPr>
                <w:color w:val="00B050"/>
                <w:lang w:eastAsia="lt-LT"/>
              </w:rPr>
            </w:pPr>
          </w:p>
        </w:tc>
        <w:tc>
          <w:tcPr>
            <w:tcW w:w="3043" w:type="dxa"/>
            <w:tcBorders>
              <w:top w:val="single" w:sz="4" w:space="0" w:color="auto"/>
              <w:bottom w:val="single" w:sz="4" w:space="0" w:color="auto"/>
            </w:tcBorders>
          </w:tcPr>
          <w:p w14:paraId="4CE8CAEF" w14:textId="77777777" w:rsidR="00276057" w:rsidRPr="007649DD" w:rsidRDefault="00276057" w:rsidP="00657745">
            <w:pPr>
              <w:tabs>
                <w:tab w:val="left" w:pos="567"/>
              </w:tabs>
              <w:spacing w:line="276" w:lineRule="auto"/>
              <w:jc w:val="both"/>
              <w:rPr>
                <w:i/>
                <w:iCs/>
                <w:lang w:eastAsia="lt-LT"/>
              </w:rPr>
            </w:pPr>
            <w:proofErr w:type="spellStart"/>
            <w:r>
              <w:rPr>
                <w:i/>
                <w:iCs/>
                <w:lang w:eastAsia="lt-LT"/>
              </w:rPr>
              <w:t>Neoadjuvantinis</w:t>
            </w:r>
            <w:proofErr w:type="spellEnd"/>
            <w:r>
              <w:rPr>
                <w:i/>
                <w:iCs/>
                <w:lang w:eastAsia="lt-LT"/>
              </w:rPr>
              <w:t>/</w:t>
            </w:r>
            <w:proofErr w:type="spellStart"/>
            <w:r>
              <w:rPr>
                <w:i/>
                <w:iCs/>
                <w:lang w:eastAsia="lt-LT"/>
              </w:rPr>
              <w:t>adjuvantinis</w:t>
            </w:r>
            <w:proofErr w:type="spellEnd"/>
            <w:r>
              <w:rPr>
                <w:i/>
                <w:iCs/>
                <w:lang w:eastAsia="lt-LT"/>
              </w:rPr>
              <w:t xml:space="preserve"> </w:t>
            </w:r>
            <w:proofErr w:type="spellStart"/>
            <w:r>
              <w:rPr>
                <w:i/>
                <w:iCs/>
                <w:lang w:eastAsia="lt-LT"/>
              </w:rPr>
              <w:t>pembrolizumabas</w:t>
            </w:r>
            <w:proofErr w:type="spellEnd"/>
          </w:p>
        </w:tc>
        <w:tc>
          <w:tcPr>
            <w:tcW w:w="1736" w:type="dxa"/>
            <w:tcBorders>
              <w:top w:val="single" w:sz="4" w:space="0" w:color="auto"/>
              <w:bottom w:val="single" w:sz="4" w:space="0" w:color="auto"/>
            </w:tcBorders>
          </w:tcPr>
          <w:p w14:paraId="19BE150F" w14:textId="77777777" w:rsidR="00276057" w:rsidRPr="007649DD" w:rsidRDefault="00276057" w:rsidP="00657745">
            <w:pPr>
              <w:tabs>
                <w:tab w:val="left" w:pos="567"/>
              </w:tabs>
              <w:spacing w:line="276" w:lineRule="auto"/>
              <w:jc w:val="both"/>
              <w:rPr>
                <w:i/>
                <w:iCs/>
                <w:lang w:eastAsia="lt-LT"/>
              </w:rPr>
            </w:pPr>
            <w:proofErr w:type="spellStart"/>
            <w:r>
              <w:rPr>
                <w:iCs/>
                <w:lang w:eastAsia="lt-LT"/>
              </w:rPr>
              <w:t>Neoadjuvantinė</w:t>
            </w:r>
            <w:proofErr w:type="spellEnd"/>
            <w:r>
              <w:rPr>
                <w:iCs/>
                <w:lang w:eastAsia="lt-LT"/>
              </w:rPr>
              <w:t xml:space="preserve"> chemoterapija</w:t>
            </w:r>
          </w:p>
        </w:tc>
        <w:tc>
          <w:tcPr>
            <w:tcW w:w="2206" w:type="dxa"/>
            <w:tcBorders>
              <w:top w:val="single" w:sz="4" w:space="0" w:color="auto"/>
              <w:bottom w:val="single" w:sz="4" w:space="0" w:color="auto"/>
            </w:tcBorders>
          </w:tcPr>
          <w:p w14:paraId="2C3A98F2" w14:textId="77777777" w:rsidR="00276057" w:rsidRPr="007649DD" w:rsidRDefault="00276057" w:rsidP="00657745">
            <w:pPr>
              <w:tabs>
                <w:tab w:val="left" w:pos="567"/>
              </w:tabs>
              <w:spacing w:line="276" w:lineRule="auto"/>
              <w:jc w:val="both"/>
              <w:rPr>
                <w:i/>
                <w:lang w:eastAsia="lt-LT"/>
              </w:rPr>
            </w:pPr>
            <w:r w:rsidRPr="007649DD">
              <w:rPr>
                <w:i/>
                <w:lang w:eastAsia="lt-LT"/>
              </w:rPr>
              <w:t>Skirtumas</w:t>
            </w:r>
          </w:p>
        </w:tc>
      </w:tr>
      <w:tr w:rsidR="005265F7" w:rsidRPr="007649DD" w14:paraId="024B54BE" w14:textId="77777777" w:rsidTr="005265F7">
        <w:trPr>
          <w:jc w:val="center"/>
        </w:trPr>
        <w:tc>
          <w:tcPr>
            <w:tcW w:w="2923" w:type="dxa"/>
            <w:tcBorders>
              <w:top w:val="single" w:sz="4" w:space="0" w:color="auto"/>
              <w:bottom w:val="single" w:sz="4" w:space="0" w:color="auto"/>
            </w:tcBorders>
          </w:tcPr>
          <w:p w14:paraId="2A4961A2" w14:textId="77777777" w:rsidR="005265F7" w:rsidRPr="007649DD" w:rsidRDefault="005265F7" w:rsidP="005265F7">
            <w:pPr>
              <w:tabs>
                <w:tab w:val="left" w:pos="567"/>
              </w:tabs>
              <w:spacing w:line="276" w:lineRule="auto"/>
              <w:jc w:val="both"/>
              <w:rPr>
                <w:iCs/>
                <w:color w:val="00B050"/>
                <w:lang w:eastAsia="lt-LT"/>
              </w:rPr>
            </w:pPr>
            <w:r w:rsidRPr="007649DD">
              <w:rPr>
                <w:iCs/>
                <w:color w:val="000000"/>
                <w:lang w:eastAsia="lt-LT"/>
              </w:rPr>
              <w:t>Gydymo kaštai</w:t>
            </w:r>
          </w:p>
        </w:tc>
        <w:tc>
          <w:tcPr>
            <w:tcW w:w="3043" w:type="dxa"/>
            <w:tcBorders>
              <w:top w:val="single" w:sz="4" w:space="0" w:color="auto"/>
              <w:bottom w:val="single" w:sz="4" w:space="0" w:color="auto"/>
            </w:tcBorders>
          </w:tcPr>
          <w:p w14:paraId="5C3344D0" w14:textId="56B3F5FA" w:rsidR="005265F7" w:rsidRPr="007649DD" w:rsidRDefault="005265F7" w:rsidP="005265F7">
            <w:pPr>
              <w:tabs>
                <w:tab w:val="left" w:pos="567"/>
              </w:tabs>
              <w:spacing w:line="276" w:lineRule="auto"/>
              <w:jc w:val="both"/>
              <w:rPr>
                <w:i/>
                <w:iCs/>
                <w:lang w:eastAsia="lt-LT"/>
              </w:rPr>
            </w:pPr>
            <w:r w:rsidRPr="0075204B">
              <w:rPr>
                <w:color w:val="000000"/>
                <w:lang w:eastAsia="lt-LT"/>
              </w:rPr>
              <w:t xml:space="preserve"> ****</w:t>
            </w:r>
          </w:p>
        </w:tc>
        <w:tc>
          <w:tcPr>
            <w:tcW w:w="1736" w:type="dxa"/>
            <w:tcBorders>
              <w:top w:val="single" w:sz="4" w:space="0" w:color="auto"/>
              <w:bottom w:val="single" w:sz="4" w:space="0" w:color="auto"/>
            </w:tcBorders>
          </w:tcPr>
          <w:p w14:paraId="35E3CBE9" w14:textId="5EE711C5" w:rsidR="005265F7" w:rsidRPr="007649DD" w:rsidRDefault="005265F7" w:rsidP="005265F7">
            <w:pPr>
              <w:tabs>
                <w:tab w:val="left" w:pos="567"/>
              </w:tabs>
              <w:spacing w:line="276" w:lineRule="auto"/>
              <w:jc w:val="both"/>
              <w:rPr>
                <w:i/>
                <w:iCs/>
                <w:lang w:eastAsia="lt-LT"/>
              </w:rPr>
            </w:pPr>
            <w:r w:rsidRPr="0075204B">
              <w:rPr>
                <w:color w:val="000000"/>
                <w:lang w:eastAsia="lt-LT"/>
              </w:rPr>
              <w:t xml:space="preserve"> ****</w:t>
            </w:r>
          </w:p>
        </w:tc>
        <w:tc>
          <w:tcPr>
            <w:tcW w:w="2206" w:type="dxa"/>
            <w:tcBorders>
              <w:top w:val="single" w:sz="4" w:space="0" w:color="auto"/>
              <w:bottom w:val="single" w:sz="4" w:space="0" w:color="auto"/>
            </w:tcBorders>
          </w:tcPr>
          <w:p w14:paraId="7F127625" w14:textId="32A72F71" w:rsidR="005265F7" w:rsidRPr="007649DD" w:rsidRDefault="005265F7" w:rsidP="005265F7">
            <w:pPr>
              <w:tabs>
                <w:tab w:val="left" w:pos="567"/>
              </w:tabs>
              <w:spacing w:line="276" w:lineRule="auto"/>
              <w:jc w:val="both"/>
              <w:rPr>
                <w:lang w:eastAsia="lt-LT"/>
              </w:rPr>
            </w:pPr>
            <w:r w:rsidRPr="0075204B">
              <w:rPr>
                <w:color w:val="000000"/>
                <w:lang w:eastAsia="lt-LT"/>
              </w:rPr>
              <w:t xml:space="preserve"> ****</w:t>
            </w:r>
          </w:p>
        </w:tc>
      </w:tr>
      <w:tr w:rsidR="005265F7" w:rsidRPr="007649DD" w14:paraId="68E6004C" w14:textId="77777777" w:rsidTr="005265F7">
        <w:trPr>
          <w:jc w:val="center"/>
        </w:trPr>
        <w:tc>
          <w:tcPr>
            <w:tcW w:w="2923" w:type="dxa"/>
            <w:tcBorders>
              <w:top w:val="single" w:sz="4" w:space="0" w:color="auto"/>
              <w:bottom w:val="single" w:sz="4" w:space="0" w:color="auto"/>
            </w:tcBorders>
          </w:tcPr>
          <w:p w14:paraId="1EFEB4B3" w14:textId="77777777" w:rsidR="005265F7" w:rsidRPr="007649DD" w:rsidRDefault="005265F7" w:rsidP="005265F7">
            <w:pPr>
              <w:tabs>
                <w:tab w:val="left" w:pos="567"/>
              </w:tabs>
              <w:spacing w:line="276" w:lineRule="auto"/>
              <w:jc w:val="both"/>
              <w:rPr>
                <w:iCs/>
                <w:color w:val="000000"/>
                <w:lang w:eastAsia="lt-LT"/>
              </w:rPr>
            </w:pPr>
            <w:r w:rsidRPr="007649DD">
              <w:rPr>
                <w:iCs/>
                <w:color w:val="000000"/>
                <w:lang w:eastAsia="lt-LT"/>
              </w:rPr>
              <w:t>Vaistinių preparatų įsigijimo kaštai</w:t>
            </w:r>
          </w:p>
        </w:tc>
        <w:tc>
          <w:tcPr>
            <w:tcW w:w="3043" w:type="dxa"/>
            <w:tcBorders>
              <w:top w:val="single" w:sz="4" w:space="0" w:color="auto"/>
              <w:bottom w:val="single" w:sz="4" w:space="0" w:color="auto"/>
            </w:tcBorders>
          </w:tcPr>
          <w:p w14:paraId="2C66E8EF" w14:textId="2DD5B970" w:rsidR="005265F7" w:rsidRPr="007649DD" w:rsidRDefault="005265F7" w:rsidP="005265F7">
            <w:pPr>
              <w:tabs>
                <w:tab w:val="left" w:pos="567"/>
              </w:tabs>
              <w:spacing w:line="276" w:lineRule="auto"/>
              <w:jc w:val="both"/>
              <w:rPr>
                <w:i/>
                <w:iCs/>
                <w:lang w:eastAsia="lt-LT"/>
              </w:rPr>
            </w:pPr>
            <w:r w:rsidRPr="0075204B">
              <w:rPr>
                <w:color w:val="000000"/>
                <w:lang w:eastAsia="lt-LT"/>
              </w:rPr>
              <w:t xml:space="preserve"> ****</w:t>
            </w:r>
          </w:p>
        </w:tc>
        <w:tc>
          <w:tcPr>
            <w:tcW w:w="1736" w:type="dxa"/>
            <w:tcBorders>
              <w:top w:val="single" w:sz="4" w:space="0" w:color="auto"/>
              <w:bottom w:val="single" w:sz="4" w:space="0" w:color="auto"/>
            </w:tcBorders>
          </w:tcPr>
          <w:p w14:paraId="0302E242" w14:textId="0D46A6F3" w:rsidR="005265F7" w:rsidRPr="007649DD" w:rsidRDefault="005265F7" w:rsidP="005265F7">
            <w:pPr>
              <w:tabs>
                <w:tab w:val="left" w:pos="567"/>
              </w:tabs>
              <w:spacing w:line="276" w:lineRule="auto"/>
              <w:jc w:val="both"/>
              <w:rPr>
                <w:i/>
                <w:iCs/>
                <w:lang w:eastAsia="lt-LT"/>
              </w:rPr>
            </w:pPr>
            <w:r w:rsidRPr="0075204B">
              <w:rPr>
                <w:color w:val="000000"/>
                <w:lang w:eastAsia="lt-LT"/>
              </w:rPr>
              <w:t xml:space="preserve"> ****</w:t>
            </w:r>
          </w:p>
        </w:tc>
        <w:tc>
          <w:tcPr>
            <w:tcW w:w="2206" w:type="dxa"/>
            <w:tcBorders>
              <w:top w:val="single" w:sz="4" w:space="0" w:color="auto"/>
              <w:bottom w:val="single" w:sz="4" w:space="0" w:color="auto"/>
            </w:tcBorders>
          </w:tcPr>
          <w:p w14:paraId="20AEB1C1" w14:textId="23E4144C" w:rsidR="005265F7" w:rsidRPr="007649DD" w:rsidRDefault="005265F7" w:rsidP="005265F7">
            <w:pPr>
              <w:tabs>
                <w:tab w:val="left" w:pos="567"/>
              </w:tabs>
              <w:spacing w:line="276" w:lineRule="auto"/>
              <w:jc w:val="both"/>
              <w:rPr>
                <w:lang w:eastAsia="lt-LT"/>
              </w:rPr>
            </w:pPr>
            <w:r w:rsidRPr="0075204B">
              <w:rPr>
                <w:color w:val="000000"/>
                <w:lang w:eastAsia="lt-LT"/>
              </w:rPr>
              <w:t xml:space="preserve"> ****</w:t>
            </w:r>
          </w:p>
        </w:tc>
      </w:tr>
      <w:tr w:rsidR="005265F7" w:rsidRPr="007649DD" w14:paraId="4D89E379" w14:textId="77777777" w:rsidTr="005265F7">
        <w:trPr>
          <w:jc w:val="center"/>
        </w:trPr>
        <w:tc>
          <w:tcPr>
            <w:tcW w:w="2923" w:type="dxa"/>
            <w:tcBorders>
              <w:top w:val="single" w:sz="4" w:space="0" w:color="auto"/>
              <w:bottom w:val="single" w:sz="4" w:space="0" w:color="auto"/>
            </w:tcBorders>
          </w:tcPr>
          <w:p w14:paraId="5AA64384" w14:textId="77777777" w:rsidR="005265F7" w:rsidRPr="007649DD" w:rsidRDefault="005265F7" w:rsidP="005265F7">
            <w:pPr>
              <w:tabs>
                <w:tab w:val="left" w:pos="567"/>
              </w:tabs>
              <w:spacing w:line="276" w:lineRule="auto"/>
              <w:jc w:val="both"/>
              <w:rPr>
                <w:iCs/>
                <w:color w:val="000000"/>
                <w:lang w:eastAsia="lt-LT"/>
              </w:rPr>
            </w:pPr>
            <w:r>
              <w:rPr>
                <w:iCs/>
                <w:color w:val="000000"/>
                <w:lang w:eastAsia="lt-LT"/>
              </w:rPr>
              <w:t>Pirminės operacijos bei radioterapijos kaštai</w:t>
            </w:r>
          </w:p>
        </w:tc>
        <w:tc>
          <w:tcPr>
            <w:tcW w:w="3043" w:type="dxa"/>
            <w:tcBorders>
              <w:top w:val="single" w:sz="4" w:space="0" w:color="auto"/>
              <w:bottom w:val="single" w:sz="4" w:space="0" w:color="auto"/>
            </w:tcBorders>
          </w:tcPr>
          <w:p w14:paraId="37790BFA" w14:textId="28F80058" w:rsidR="005265F7" w:rsidRDefault="005265F7" w:rsidP="005265F7">
            <w:pPr>
              <w:tabs>
                <w:tab w:val="left" w:pos="567"/>
              </w:tabs>
              <w:spacing w:line="276" w:lineRule="auto"/>
              <w:jc w:val="both"/>
              <w:rPr>
                <w:i/>
                <w:iCs/>
                <w:lang w:eastAsia="lt-LT"/>
              </w:rPr>
            </w:pPr>
            <w:r w:rsidRPr="0075204B">
              <w:rPr>
                <w:color w:val="000000"/>
                <w:lang w:eastAsia="lt-LT"/>
              </w:rPr>
              <w:t xml:space="preserve"> ****</w:t>
            </w:r>
          </w:p>
        </w:tc>
        <w:tc>
          <w:tcPr>
            <w:tcW w:w="1736" w:type="dxa"/>
            <w:tcBorders>
              <w:top w:val="single" w:sz="4" w:space="0" w:color="auto"/>
              <w:bottom w:val="single" w:sz="4" w:space="0" w:color="auto"/>
            </w:tcBorders>
          </w:tcPr>
          <w:p w14:paraId="39CD3450" w14:textId="34B1C428" w:rsidR="005265F7" w:rsidRDefault="005265F7" w:rsidP="005265F7">
            <w:pPr>
              <w:tabs>
                <w:tab w:val="left" w:pos="567"/>
              </w:tabs>
              <w:spacing w:line="276" w:lineRule="auto"/>
              <w:jc w:val="both"/>
              <w:rPr>
                <w:i/>
                <w:iCs/>
                <w:lang w:eastAsia="lt-LT"/>
              </w:rPr>
            </w:pPr>
            <w:r w:rsidRPr="0075204B">
              <w:rPr>
                <w:color w:val="000000"/>
                <w:lang w:eastAsia="lt-LT"/>
              </w:rPr>
              <w:t xml:space="preserve"> ****</w:t>
            </w:r>
          </w:p>
        </w:tc>
        <w:tc>
          <w:tcPr>
            <w:tcW w:w="2206" w:type="dxa"/>
            <w:tcBorders>
              <w:top w:val="single" w:sz="4" w:space="0" w:color="auto"/>
              <w:bottom w:val="single" w:sz="4" w:space="0" w:color="auto"/>
            </w:tcBorders>
          </w:tcPr>
          <w:p w14:paraId="105CA746" w14:textId="04C15945" w:rsidR="005265F7" w:rsidRPr="007649DD" w:rsidRDefault="005265F7" w:rsidP="005265F7">
            <w:pPr>
              <w:tabs>
                <w:tab w:val="left" w:pos="567"/>
              </w:tabs>
              <w:spacing w:line="276" w:lineRule="auto"/>
              <w:jc w:val="both"/>
              <w:rPr>
                <w:i/>
                <w:iCs/>
                <w:lang w:eastAsia="lt-LT"/>
              </w:rPr>
            </w:pPr>
            <w:r w:rsidRPr="0075204B">
              <w:rPr>
                <w:color w:val="000000"/>
                <w:lang w:eastAsia="lt-LT"/>
              </w:rPr>
              <w:t xml:space="preserve"> ****</w:t>
            </w:r>
          </w:p>
        </w:tc>
      </w:tr>
      <w:tr w:rsidR="005265F7" w:rsidRPr="007649DD" w14:paraId="53835056" w14:textId="77777777" w:rsidTr="005265F7">
        <w:trPr>
          <w:jc w:val="center"/>
        </w:trPr>
        <w:tc>
          <w:tcPr>
            <w:tcW w:w="2923" w:type="dxa"/>
            <w:tcBorders>
              <w:top w:val="single" w:sz="4" w:space="0" w:color="auto"/>
              <w:bottom w:val="single" w:sz="4" w:space="0" w:color="auto"/>
            </w:tcBorders>
          </w:tcPr>
          <w:p w14:paraId="3DE877E4" w14:textId="77777777" w:rsidR="005265F7" w:rsidRPr="007649DD" w:rsidRDefault="005265F7" w:rsidP="005265F7">
            <w:pPr>
              <w:tabs>
                <w:tab w:val="left" w:pos="567"/>
              </w:tabs>
              <w:spacing w:line="276" w:lineRule="auto"/>
              <w:jc w:val="both"/>
              <w:rPr>
                <w:iCs/>
                <w:color w:val="00B050"/>
                <w:lang w:eastAsia="lt-LT"/>
              </w:rPr>
            </w:pPr>
            <w:r w:rsidRPr="007649DD">
              <w:rPr>
                <w:iCs/>
                <w:color w:val="000000"/>
                <w:lang w:eastAsia="lt-LT"/>
              </w:rPr>
              <w:t>Nepageidaujamų reiškinių valdymo kaštai</w:t>
            </w:r>
          </w:p>
        </w:tc>
        <w:tc>
          <w:tcPr>
            <w:tcW w:w="3043" w:type="dxa"/>
            <w:tcBorders>
              <w:top w:val="single" w:sz="4" w:space="0" w:color="auto"/>
              <w:bottom w:val="single" w:sz="4" w:space="0" w:color="auto"/>
            </w:tcBorders>
          </w:tcPr>
          <w:p w14:paraId="1A4C44FD" w14:textId="12EBA4AB" w:rsidR="005265F7" w:rsidRPr="007649DD" w:rsidRDefault="005265F7" w:rsidP="005265F7">
            <w:pPr>
              <w:tabs>
                <w:tab w:val="left" w:pos="567"/>
              </w:tabs>
              <w:spacing w:line="276" w:lineRule="auto"/>
              <w:jc w:val="both"/>
              <w:rPr>
                <w:i/>
                <w:iCs/>
                <w:lang w:eastAsia="lt-LT"/>
              </w:rPr>
            </w:pPr>
            <w:r w:rsidRPr="0075204B">
              <w:rPr>
                <w:color w:val="000000"/>
                <w:lang w:eastAsia="lt-LT"/>
              </w:rPr>
              <w:t xml:space="preserve"> ****</w:t>
            </w:r>
          </w:p>
        </w:tc>
        <w:tc>
          <w:tcPr>
            <w:tcW w:w="1736" w:type="dxa"/>
            <w:tcBorders>
              <w:top w:val="single" w:sz="4" w:space="0" w:color="auto"/>
              <w:bottom w:val="single" w:sz="4" w:space="0" w:color="auto"/>
            </w:tcBorders>
          </w:tcPr>
          <w:p w14:paraId="7AFF6B9C" w14:textId="16EE42D1" w:rsidR="005265F7" w:rsidRPr="007649DD" w:rsidRDefault="005265F7" w:rsidP="005265F7">
            <w:pPr>
              <w:tabs>
                <w:tab w:val="left" w:pos="567"/>
              </w:tabs>
              <w:spacing w:line="276" w:lineRule="auto"/>
              <w:jc w:val="both"/>
              <w:rPr>
                <w:i/>
                <w:iCs/>
                <w:lang w:eastAsia="lt-LT"/>
              </w:rPr>
            </w:pPr>
            <w:r w:rsidRPr="0075204B">
              <w:rPr>
                <w:color w:val="000000"/>
                <w:lang w:eastAsia="lt-LT"/>
              </w:rPr>
              <w:t xml:space="preserve"> ****</w:t>
            </w:r>
          </w:p>
        </w:tc>
        <w:tc>
          <w:tcPr>
            <w:tcW w:w="2206" w:type="dxa"/>
            <w:tcBorders>
              <w:top w:val="single" w:sz="4" w:space="0" w:color="auto"/>
              <w:bottom w:val="single" w:sz="4" w:space="0" w:color="auto"/>
            </w:tcBorders>
          </w:tcPr>
          <w:p w14:paraId="33D02760" w14:textId="3EC83172" w:rsidR="005265F7" w:rsidRPr="007649DD" w:rsidRDefault="005265F7" w:rsidP="005265F7">
            <w:pPr>
              <w:tabs>
                <w:tab w:val="left" w:pos="567"/>
              </w:tabs>
              <w:spacing w:line="276" w:lineRule="auto"/>
              <w:jc w:val="both"/>
              <w:rPr>
                <w:i/>
                <w:iCs/>
                <w:lang w:eastAsia="lt-LT"/>
              </w:rPr>
            </w:pPr>
            <w:r w:rsidRPr="0075204B">
              <w:rPr>
                <w:color w:val="000000"/>
                <w:lang w:eastAsia="lt-LT"/>
              </w:rPr>
              <w:t xml:space="preserve"> ****</w:t>
            </w:r>
          </w:p>
        </w:tc>
      </w:tr>
      <w:tr w:rsidR="005265F7" w:rsidRPr="007649DD" w14:paraId="55371C60" w14:textId="77777777" w:rsidTr="005265F7">
        <w:trPr>
          <w:jc w:val="center"/>
        </w:trPr>
        <w:tc>
          <w:tcPr>
            <w:tcW w:w="2923" w:type="dxa"/>
            <w:tcBorders>
              <w:top w:val="single" w:sz="4" w:space="0" w:color="auto"/>
              <w:bottom w:val="single" w:sz="4" w:space="0" w:color="auto"/>
            </w:tcBorders>
          </w:tcPr>
          <w:p w14:paraId="6FADD180" w14:textId="77777777" w:rsidR="005265F7" w:rsidRPr="007649DD" w:rsidRDefault="005265F7" w:rsidP="005265F7">
            <w:pPr>
              <w:tabs>
                <w:tab w:val="left" w:pos="567"/>
              </w:tabs>
              <w:spacing w:line="276" w:lineRule="auto"/>
              <w:jc w:val="both"/>
              <w:rPr>
                <w:iCs/>
                <w:color w:val="000000"/>
                <w:lang w:eastAsia="lt-LT"/>
              </w:rPr>
            </w:pPr>
            <w:r w:rsidRPr="007649DD">
              <w:rPr>
                <w:iCs/>
                <w:color w:val="000000"/>
                <w:lang w:eastAsia="lt-LT"/>
              </w:rPr>
              <w:t>Vaistų administravimo ir stebėsenos kaštai</w:t>
            </w:r>
          </w:p>
        </w:tc>
        <w:tc>
          <w:tcPr>
            <w:tcW w:w="3043" w:type="dxa"/>
            <w:tcBorders>
              <w:top w:val="single" w:sz="4" w:space="0" w:color="auto"/>
              <w:bottom w:val="single" w:sz="4" w:space="0" w:color="auto"/>
            </w:tcBorders>
          </w:tcPr>
          <w:p w14:paraId="7A4B08AB" w14:textId="5928D6DB" w:rsidR="005265F7" w:rsidRPr="007649DD" w:rsidRDefault="005265F7" w:rsidP="005265F7">
            <w:pPr>
              <w:tabs>
                <w:tab w:val="left" w:pos="567"/>
              </w:tabs>
              <w:spacing w:line="276" w:lineRule="auto"/>
              <w:jc w:val="both"/>
              <w:rPr>
                <w:i/>
                <w:iCs/>
                <w:lang w:eastAsia="lt-LT"/>
              </w:rPr>
            </w:pPr>
            <w:r w:rsidRPr="0075204B">
              <w:rPr>
                <w:color w:val="000000"/>
                <w:lang w:eastAsia="lt-LT"/>
              </w:rPr>
              <w:t xml:space="preserve"> ****</w:t>
            </w:r>
          </w:p>
        </w:tc>
        <w:tc>
          <w:tcPr>
            <w:tcW w:w="1736" w:type="dxa"/>
            <w:tcBorders>
              <w:top w:val="single" w:sz="4" w:space="0" w:color="auto"/>
              <w:bottom w:val="single" w:sz="4" w:space="0" w:color="auto"/>
            </w:tcBorders>
          </w:tcPr>
          <w:p w14:paraId="2B987AFD" w14:textId="27DD8D04" w:rsidR="005265F7" w:rsidRPr="007649DD" w:rsidRDefault="005265F7" w:rsidP="005265F7">
            <w:pPr>
              <w:tabs>
                <w:tab w:val="left" w:pos="567"/>
              </w:tabs>
              <w:spacing w:line="276" w:lineRule="auto"/>
              <w:jc w:val="both"/>
              <w:rPr>
                <w:i/>
                <w:iCs/>
                <w:lang w:eastAsia="lt-LT"/>
              </w:rPr>
            </w:pPr>
            <w:r w:rsidRPr="0075204B">
              <w:rPr>
                <w:color w:val="000000"/>
                <w:lang w:eastAsia="lt-LT"/>
              </w:rPr>
              <w:t xml:space="preserve"> ****</w:t>
            </w:r>
          </w:p>
        </w:tc>
        <w:tc>
          <w:tcPr>
            <w:tcW w:w="2206" w:type="dxa"/>
            <w:tcBorders>
              <w:top w:val="single" w:sz="4" w:space="0" w:color="auto"/>
              <w:bottom w:val="single" w:sz="4" w:space="0" w:color="auto"/>
            </w:tcBorders>
          </w:tcPr>
          <w:p w14:paraId="13B300EC" w14:textId="0C02A457" w:rsidR="005265F7" w:rsidRPr="007649DD" w:rsidRDefault="005265F7" w:rsidP="005265F7">
            <w:pPr>
              <w:tabs>
                <w:tab w:val="left" w:pos="567"/>
              </w:tabs>
              <w:spacing w:line="276" w:lineRule="auto"/>
              <w:jc w:val="both"/>
              <w:rPr>
                <w:i/>
                <w:iCs/>
                <w:lang w:eastAsia="lt-LT"/>
              </w:rPr>
            </w:pPr>
            <w:r w:rsidRPr="0075204B">
              <w:rPr>
                <w:color w:val="000000"/>
                <w:lang w:eastAsia="lt-LT"/>
              </w:rPr>
              <w:t xml:space="preserve"> ****</w:t>
            </w:r>
          </w:p>
        </w:tc>
      </w:tr>
      <w:tr w:rsidR="005265F7" w:rsidRPr="007649DD" w14:paraId="3E365CED" w14:textId="77777777" w:rsidTr="005265F7">
        <w:trPr>
          <w:jc w:val="center"/>
        </w:trPr>
        <w:tc>
          <w:tcPr>
            <w:tcW w:w="2923" w:type="dxa"/>
            <w:tcBorders>
              <w:top w:val="single" w:sz="4" w:space="0" w:color="auto"/>
              <w:bottom w:val="single" w:sz="4" w:space="0" w:color="auto"/>
            </w:tcBorders>
          </w:tcPr>
          <w:p w14:paraId="3E486305" w14:textId="77777777" w:rsidR="005265F7" w:rsidRPr="007649DD" w:rsidRDefault="005265F7" w:rsidP="005265F7">
            <w:pPr>
              <w:tabs>
                <w:tab w:val="left" w:pos="567"/>
              </w:tabs>
              <w:spacing w:line="276" w:lineRule="auto"/>
              <w:jc w:val="both"/>
              <w:rPr>
                <w:iCs/>
                <w:color w:val="000000"/>
                <w:lang w:eastAsia="lt-LT"/>
              </w:rPr>
            </w:pPr>
            <w:r>
              <w:rPr>
                <w:iCs/>
                <w:color w:val="000000"/>
                <w:lang w:eastAsia="lt-LT"/>
              </w:rPr>
              <w:t>Antrinės terapijos gydymo kaštai vietinių metastazių sveikatos būklėje</w:t>
            </w:r>
          </w:p>
        </w:tc>
        <w:tc>
          <w:tcPr>
            <w:tcW w:w="3043" w:type="dxa"/>
            <w:tcBorders>
              <w:top w:val="single" w:sz="4" w:space="0" w:color="auto"/>
              <w:bottom w:val="single" w:sz="4" w:space="0" w:color="auto"/>
            </w:tcBorders>
          </w:tcPr>
          <w:p w14:paraId="7A0B8FFA" w14:textId="126B4802" w:rsidR="005265F7" w:rsidRDefault="005265F7" w:rsidP="005265F7">
            <w:pPr>
              <w:tabs>
                <w:tab w:val="left" w:pos="567"/>
              </w:tabs>
              <w:spacing w:line="276" w:lineRule="auto"/>
              <w:jc w:val="both"/>
              <w:rPr>
                <w:i/>
                <w:iCs/>
                <w:lang w:eastAsia="lt-LT"/>
              </w:rPr>
            </w:pPr>
            <w:r w:rsidRPr="0075204B">
              <w:rPr>
                <w:color w:val="000000"/>
                <w:lang w:eastAsia="lt-LT"/>
              </w:rPr>
              <w:t xml:space="preserve"> ****</w:t>
            </w:r>
          </w:p>
        </w:tc>
        <w:tc>
          <w:tcPr>
            <w:tcW w:w="1736" w:type="dxa"/>
            <w:tcBorders>
              <w:top w:val="single" w:sz="4" w:space="0" w:color="auto"/>
              <w:bottom w:val="single" w:sz="4" w:space="0" w:color="auto"/>
            </w:tcBorders>
          </w:tcPr>
          <w:p w14:paraId="289F6FDE" w14:textId="7BA7129E" w:rsidR="005265F7" w:rsidRDefault="005265F7" w:rsidP="005265F7">
            <w:pPr>
              <w:tabs>
                <w:tab w:val="left" w:pos="567"/>
              </w:tabs>
              <w:spacing w:line="276" w:lineRule="auto"/>
              <w:jc w:val="both"/>
              <w:rPr>
                <w:i/>
                <w:iCs/>
                <w:lang w:eastAsia="lt-LT"/>
              </w:rPr>
            </w:pPr>
            <w:r w:rsidRPr="0075204B">
              <w:rPr>
                <w:color w:val="000000"/>
                <w:lang w:eastAsia="lt-LT"/>
              </w:rPr>
              <w:t xml:space="preserve"> ****</w:t>
            </w:r>
          </w:p>
        </w:tc>
        <w:tc>
          <w:tcPr>
            <w:tcW w:w="2206" w:type="dxa"/>
            <w:tcBorders>
              <w:top w:val="single" w:sz="4" w:space="0" w:color="auto"/>
              <w:bottom w:val="single" w:sz="4" w:space="0" w:color="auto"/>
            </w:tcBorders>
          </w:tcPr>
          <w:p w14:paraId="07936FD8" w14:textId="0589C2AE" w:rsidR="005265F7" w:rsidRPr="007649DD" w:rsidRDefault="005265F7" w:rsidP="005265F7">
            <w:pPr>
              <w:tabs>
                <w:tab w:val="left" w:pos="567"/>
              </w:tabs>
              <w:spacing w:line="276" w:lineRule="auto"/>
              <w:jc w:val="both"/>
              <w:rPr>
                <w:i/>
                <w:iCs/>
                <w:lang w:eastAsia="lt-LT"/>
              </w:rPr>
            </w:pPr>
            <w:r w:rsidRPr="0075204B">
              <w:rPr>
                <w:color w:val="000000"/>
                <w:lang w:eastAsia="lt-LT"/>
              </w:rPr>
              <w:t xml:space="preserve"> ****</w:t>
            </w:r>
          </w:p>
        </w:tc>
      </w:tr>
      <w:tr w:rsidR="005265F7" w:rsidRPr="007649DD" w14:paraId="33972A0E" w14:textId="77777777" w:rsidTr="005265F7">
        <w:trPr>
          <w:jc w:val="center"/>
        </w:trPr>
        <w:tc>
          <w:tcPr>
            <w:tcW w:w="2923" w:type="dxa"/>
            <w:tcBorders>
              <w:top w:val="single" w:sz="4" w:space="0" w:color="auto"/>
              <w:bottom w:val="single" w:sz="4" w:space="0" w:color="auto"/>
            </w:tcBorders>
          </w:tcPr>
          <w:p w14:paraId="4697D76C" w14:textId="77777777" w:rsidR="005265F7" w:rsidRDefault="005265F7" w:rsidP="005265F7">
            <w:pPr>
              <w:tabs>
                <w:tab w:val="left" w:pos="567"/>
              </w:tabs>
              <w:spacing w:line="276" w:lineRule="auto"/>
              <w:jc w:val="both"/>
              <w:rPr>
                <w:iCs/>
                <w:color w:val="000000"/>
                <w:lang w:eastAsia="lt-LT"/>
              </w:rPr>
            </w:pPr>
            <w:r>
              <w:rPr>
                <w:iCs/>
                <w:color w:val="000000"/>
                <w:lang w:eastAsia="lt-LT"/>
              </w:rPr>
              <w:t>Antrinės terapijos gydymo kaštai tolimųjų metastazių sveikatos būklėje</w:t>
            </w:r>
          </w:p>
        </w:tc>
        <w:tc>
          <w:tcPr>
            <w:tcW w:w="3043" w:type="dxa"/>
            <w:tcBorders>
              <w:top w:val="single" w:sz="4" w:space="0" w:color="auto"/>
              <w:bottom w:val="single" w:sz="4" w:space="0" w:color="auto"/>
            </w:tcBorders>
          </w:tcPr>
          <w:p w14:paraId="4A303695" w14:textId="3E67ED9E" w:rsidR="005265F7" w:rsidRDefault="005265F7" w:rsidP="005265F7">
            <w:pPr>
              <w:tabs>
                <w:tab w:val="left" w:pos="567"/>
              </w:tabs>
              <w:spacing w:line="276" w:lineRule="auto"/>
              <w:jc w:val="both"/>
              <w:rPr>
                <w:i/>
                <w:iCs/>
                <w:lang w:eastAsia="lt-LT"/>
              </w:rPr>
            </w:pPr>
            <w:r w:rsidRPr="0075204B">
              <w:rPr>
                <w:color w:val="000000"/>
                <w:lang w:eastAsia="lt-LT"/>
              </w:rPr>
              <w:t xml:space="preserve"> ****</w:t>
            </w:r>
          </w:p>
        </w:tc>
        <w:tc>
          <w:tcPr>
            <w:tcW w:w="1736" w:type="dxa"/>
            <w:tcBorders>
              <w:top w:val="single" w:sz="4" w:space="0" w:color="auto"/>
              <w:bottom w:val="single" w:sz="4" w:space="0" w:color="auto"/>
            </w:tcBorders>
          </w:tcPr>
          <w:p w14:paraId="36AABEA2" w14:textId="456DE2C3" w:rsidR="005265F7" w:rsidRDefault="005265F7" w:rsidP="005265F7">
            <w:pPr>
              <w:tabs>
                <w:tab w:val="left" w:pos="567"/>
              </w:tabs>
              <w:spacing w:line="276" w:lineRule="auto"/>
              <w:jc w:val="both"/>
              <w:rPr>
                <w:i/>
                <w:iCs/>
                <w:lang w:eastAsia="lt-LT"/>
              </w:rPr>
            </w:pPr>
            <w:r w:rsidRPr="0075204B">
              <w:rPr>
                <w:color w:val="000000"/>
                <w:lang w:eastAsia="lt-LT"/>
              </w:rPr>
              <w:t xml:space="preserve"> ****</w:t>
            </w:r>
          </w:p>
        </w:tc>
        <w:tc>
          <w:tcPr>
            <w:tcW w:w="2206" w:type="dxa"/>
            <w:tcBorders>
              <w:top w:val="single" w:sz="4" w:space="0" w:color="auto"/>
              <w:bottom w:val="single" w:sz="4" w:space="0" w:color="auto"/>
            </w:tcBorders>
          </w:tcPr>
          <w:p w14:paraId="4F6011C9" w14:textId="055AADBC" w:rsidR="005265F7" w:rsidRPr="007649DD" w:rsidRDefault="005265F7" w:rsidP="005265F7">
            <w:pPr>
              <w:tabs>
                <w:tab w:val="left" w:pos="567"/>
              </w:tabs>
              <w:spacing w:line="276" w:lineRule="auto"/>
              <w:jc w:val="both"/>
              <w:rPr>
                <w:i/>
                <w:iCs/>
                <w:lang w:eastAsia="lt-LT"/>
              </w:rPr>
            </w:pPr>
            <w:r w:rsidRPr="0075204B">
              <w:rPr>
                <w:color w:val="000000"/>
                <w:lang w:eastAsia="lt-LT"/>
              </w:rPr>
              <w:t xml:space="preserve"> ****</w:t>
            </w:r>
          </w:p>
        </w:tc>
      </w:tr>
      <w:tr w:rsidR="005265F7" w:rsidRPr="007649DD" w14:paraId="0DFE3471" w14:textId="77777777" w:rsidTr="005265F7">
        <w:trPr>
          <w:jc w:val="center"/>
        </w:trPr>
        <w:tc>
          <w:tcPr>
            <w:tcW w:w="2923" w:type="dxa"/>
            <w:tcBorders>
              <w:top w:val="single" w:sz="4" w:space="0" w:color="auto"/>
              <w:bottom w:val="single" w:sz="12" w:space="0" w:color="auto"/>
            </w:tcBorders>
          </w:tcPr>
          <w:p w14:paraId="4935335A" w14:textId="77777777" w:rsidR="005265F7" w:rsidRPr="007649DD" w:rsidRDefault="005265F7" w:rsidP="005265F7">
            <w:pPr>
              <w:tabs>
                <w:tab w:val="left" w:pos="567"/>
              </w:tabs>
              <w:spacing w:line="276" w:lineRule="auto"/>
              <w:jc w:val="both"/>
              <w:rPr>
                <w:iCs/>
                <w:lang w:eastAsia="lt-LT"/>
              </w:rPr>
            </w:pPr>
            <w:r>
              <w:rPr>
                <w:iCs/>
                <w:color w:val="000000"/>
                <w:lang w:eastAsia="lt-LT"/>
              </w:rPr>
              <w:t>Gyvenimo pabaigos kaštai</w:t>
            </w:r>
          </w:p>
        </w:tc>
        <w:tc>
          <w:tcPr>
            <w:tcW w:w="3043" w:type="dxa"/>
            <w:tcBorders>
              <w:top w:val="single" w:sz="4" w:space="0" w:color="auto"/>
              <w:bottom w:val="single" w:sz="12" w:space="0" w:color="auto"/>
            </w:tcBorders>
          </w:tcPr>
          <w:p w14:paraId="18FFDC7D" w14:textId="6D22B66B" w:rsidR="005265F7" w:rsidRPr="007649DD" w:rsidRDefault="005265F7" w:rsidP="005265F7">
            <w:pPr>
              <w:tabs>
                <w:tab w:val="left" w:pos="567"/>
              </w:tabs>
              <w:spacing w:line="276" w:lineRule="auto"/>
              <w:jc w:val="both"/>
              <w:rPr>
                <w:i/>
                <w:iCs/>
                <w:lang w:eastAsia="lt-LT"/>
              </w:rPr>
            </w:pPr>
            <w:r w:rsidRPr="0075204B">
              <w:rPr>
                <w:color w:val="000000"/>
                <w:lang w:eastAsia="lt-LT"/>
              </w:rPr>
              <w:t xml:space="preserve"> ****</w:t>
            </w:r>
          </w:p>
        </w:tc>
        <w:tc>
          <w:tcPr>
            <w:tcW w:w="1736" w:type="dxa"/>
            <w:tcBorders>
              <w:top w:val="single" w:sz="4" w:space="0" w:color="auto"/>
              <w:bottom w:val="single" w:sz="12" w:space="0" w:color="auto"/>
            </w:tcBorders>
          </w:tcPr>
          <w:p w14:paraId="2ABA6441" w14:textId="78980840" w:rsidR="005265F7" w:rsidRPr="007649DD" w:rsidRDefault="005265F7" w:rsidP="005265F7">
            <w:pPr>
              <w:tabs>
                <w:tab w:val="left" w:pos="567"/>
              </w:tabs>
              <w:spacing w:line="276" w:lineRule="auto"/>
              <w:jc w:val="both"/>
              <w:rPr>
                <w:i/>
                <w:iCs/>
                <w:lang w:eastAsia="lt-LT"/>
              </w:rPr>
            </w:pPr>
            <w:r w:rsidRPr="0075204B">
              <w:rPr>
                <w:color w:val="000000"/>
                <w:lang w:eastAsia="lt-LT"/>
              </w:rPr>
              <w:t xml:space="preserve"> ****</w:t>
            </w:r>
          </w:p>
        </w:tc>
        <w:tc>
          <w:tcPr>
            <w:tcW w:w="2206" w:type="dxa"/>
            <w:tcBorders>
              <w:top w:val="single" w:sz="4" w:space="0" w:color="auto"/>
              <w:bottom w:val="single" w:sz="12" w:space="0" w:color="auto"/>
            </w:tcBorders>
          </w:tcPr>
          <w:p w14:paraId="4BA4D7F8" w14:textId="41AF651F" w:rsidR="005265F7" w:rsidRPr="007649DD" w:rsidRDefault="005265F7" w:rsidP="005265F7">
            <w:pPr>
              <w:tabs>
                <w:tab w:val="left" w:pos="567"/>
              </w:tabs>
              <w:spacing w:line="276" w:lineRule="auto"/>
              <w:jc w:val="both"/>
              <w:rPr>
                <w:i/>
                <w:iCs/>
                <w:lang w:eastAsia="lt-LT"/>
              </w:rPr>
            </w:pPr>
            <w:r w:rsidRPr="0075204B">
              <w:rPr>
                <w:color w:val="000000"/>
                <w:lang w:eastAsia="lt-LT"/>
              </w:rPr>
              <w:t xml:space="preserve"> ****</w:t>
            </w:r>
          </w:p>
        </w:tc>
      </w:tr>
      <w:tr w:rsidR="00276057" w:rsidRPr="007649DD" w14:paraId="4F730025" w14:textId="77777777" w:rsidTr="00657745">
        <w:trPr>
          <w:jc w:val="center"/>
        </w:trPr>
        <w:tc>
          <w:tcPr>
            <w:tcW w:w="9908" w:type="dxa"/>
            <w:gridSpan w:val="4"/>
            <w:tcBorders>
              <w:top w:val="single" w:sz="12" w:space="0" w:color="auto"/>
              <w:bottom w:val="single" w:sz="4" w:space="0" w:color="auto"/>
            </w:tcBorders>
          </w:tcPr>
          <w:p w14:paraId="6C2E8361" w14:textId="77777777" w:rsidR="00276057" w:rsidRPr="00276057" w:rsidRDefault="00276057" w:rsidP="00276057">
            <w:pPr>
              <w:tabs>
                <w:tab w:val="left" w:pos="567"/>
              </w:tabs>
              <w:spacing w:line="276" w:lineRule="auto"/>
              <w:jc w:val="center"/>
              <w:rPr>
                <w:b/>
                <w:bCs/>
                <w:iCs/>
                <w:lang w:eastAsia="lt-LT"/>
              </w:rPr>
            </w:pPr>
            <w:r w:rsidRPr="00276057">
              <w:rPr>
                <w:b/>
                <w:bCs/>
                <w:lang w:eastAsia="lt-LT"/>
              </w:rPr>
              <w:t>Papildomi gyvenimo metai (LY)</w:t>
            </w:r>
          </w:p>
        </w:tc>
      </w:tr>
      <w:tr w:rsidR="003F3109" w:rsidRPr="007649DD" w14:paraId="1578EA9A" w14:textId="77777777" w:rsidTr="005265F7">
        <w:trPr>
          <w:jc w:val="center"/>
        </w:trPr>
        <w:tc>
          <w:tcPr>
            <w:tcW w:w="2923" w:type="dxa"/>
            <w:tcBorders>
              <w:top w:val="single" w:sz="4" w:space="0" w:color="auto"/>
              <w:bottom w:val="single" w:sz="4" w:space="0" w:color="auto"/>
            </w:tcBorders>
          </w:tcPr>
          <w:p w14:paraId="09D97877" w14:textId="77777777" w:rsidR="003F3109" w:rsidRPr="007649DD" w:rsidRDefault="003F3109" w:rsidP="003F3109">
            <w:pPr>
              <w:tabs>
                <w:tab w:val="left" w:pos="567"/>
              </w:tabs>
              <w:spacing w:line="276" w:lineRule="auto"/>
              <w:jc w:val="both"/>
              <w:rPr>
                <w:lang w:eastAsia="lt-LT"/>
              </w:rPr>
            </w:pPr>
            <w:proofErr w:type="spellStart"/>
            <w:r>
              <w:rPr>
                <w:iCs/>
                <w:lang w:eastAsia="lt-LT"/>
              </w:rPr>
              <w:t>Adjuvantinis</w:t>
            </w:r>
            <w:proofErr w:type="spellEnd"/>
            <w:r>
              <w:rPr>
                <w:iCs/>
                <w:lang w:eastAsia="lt-LT"/>
              </w:rPr>
              <w:t>/</w:t>
            </w:r>
            <w:proofErr w:type="spellStart"/>
            <w:r>
              <w:rPr>
                <w:iCs/>
                <w:lang w:eastAsia="lt-LT"/>
              </w:rPr>
              <w:t>neadjuvantinis</w:t>
            </w:r>
            <w:proofErr w:type="spellEnd"/>
            <w:r>
              <w:rPr>
                <w:iCs/>
                <w:lang w:eastAsia="lt-LT"/>
              </w:rPr>
              <w:t xml:space="preserve"> </w:t>
            </w:r>
            <w:proofErr w:type="spellStart"/>
            <w:r>
              <w:rPr>
                <w:iCs/>
                <w:lang w:eastAsia="lt-LT"/>
              </w:rPr>
              <w:t>pembrolizumabas</w:t>
            </w:r>
            <w:proofErr w:type="spellEnd"/>
          </w:p>
        </w:tc>
        <w:tc>
          <w:tcPr>
            <w:tcW w:w="4779" w:type="dxa"/>
            <w:gridSpan w:val="2"/>
            <w:tcBorders>
              <w:top w:val="single" w:sz="4" w:space="0" w:color="auto"/>
              <w:bottom w:val="single" w:sz="4" w:space="0" w:color="auto"/>
            </w:tcBorders>
          </w:tcPr>
          <w:p w14:paraId="76EF2BB8" w14:textId="5A34E504" w:rsidR="003F3109" w:rsidRPr="007649DD" w:rsidRDefault="003F3109" w:rsidP="003F3109">
            <w:pPr>
              <w:tabs>
                <w:tab w:val="left" w:pos="567"/>
              </w:tabs>
              <w:spacing w:line="276" w:lineRule="auto"/>
              <w:jc w:val="both"/>
              <w:rPr>
                <w:i/>
                <w:iCs/>
                <w:lang w:eastAsia="lt-LT"/>
              </w:rPr>
            </w:pPr>
            <w:r>
              <w:rPr>
                <w:i/>
                <w:iCs/>
              </w:rPr>
              <w:t>****</w:t>
            </w:r>
          </w:p>
        </w:tc>
        <w:tc>
          <w:tcPr>
            <w:tcW w:w="2206" w:type="dxa"/>
            <w:vMerge w:val="restart"/>
            <w:tcBorders>
              <w:top w:val="single" w:sz="4" w:space="0" w:color="auto"/>
            </w:tcBorders>
          </w:tcPr>
          <w:p w14:paraId="506A34D0" w14:textId="60157E87" w:rsidR="003F3109" w:rsidRPr="007649DD" w:rsidRDefault="003F3109" w:rsidP="003F3109">
            <w:pPr>
              <w:tabs>
                <w:tab w:val="left" w:pos="567"/>
              </w:tabs>
              <w:spacing w:line="276" w:lineRule="auto"/>
              <w:jc w:val="both"/>
              <w:rPr>
                <w:lang w:eastAsia="lt-LT"/>
              </w:rPr>
            </w:pPr>
            <w:r>
              <w:rPr>
                <w:i/>
                <w:iCs/>
              </w:rPr>
              <w:t>****</w:t>
            </w:r>
          </w:p>
        </w:tc>
      </w:tr>
      <w:tr w:rsidR="003F3109" w:rsidRPr="007649DD" w14:paraId="4060C2B1" w14:textId="77777777" w:rsidTr="005265F7">
        <w:trPr>
          <w:jc w:val="center"/>
        </w:trPr>
        <w:tc>
          <w:tcPr>
            <w:tcW w:w="2923" w:type="dxa"/>
            <w:tcBorders>
              <w:top w:val="single" w:sz="4" w:space="0" w:color="auto"/>
              <w:bottom w:val="single" w:sz="12" w:space="0" w:color="auto"/>
            </w:tcBorders>
          </w:tcPr>
          <w:p w14:paraId="5ACCE405" w14:textId="77777777" w:rsidR="003F3109" w:rsidRPr="007649DD" w:rsidRDefault="003F3109" w:rsidP="003F3109">
            <w:pPr>
              <w:tabs>
                <w:tab w:val="left" w:pos="567"/>
              </w:tabs>
              <w:spacing w:line="276" w:lineRule="auto"/>
              <w:jc w:val="both"/>
              <w:rPr>
                <w:lang w:eastAsia="lt-LT"/>
              </w:rPr>
            </w:pPr>
            <w:proofErr w:type="spellStart"/>
            <w:r>
              <w:rPr>
                <w:iCs/>
                <w:lang w:eastAsia="lt-LT"/>
              </w:rPr>
              <w:t>Neadjuvantinė</w:t>
            </w:r>
            <w:proofErr w:type="spellEnd"/>
            <w:r>
              <w:rPr>
                <w:iCs/>
                <w:lang w:eastAsia="lt-LT"/>
              </w:rPr>
              <w:t xml:space="preserve"> chemoterapija</w:t>
            </w:r>
          </w:p>
        </w:tc>
        <w:tc>
          <w:tcPr>
            <w:tcW w:w="4779" w:type="dxa"/>
            <w:gridSpan w:val="2"/>
            <w:tcBorders>
              <w:top w:val="single" w:sz="4" w:space="0" w:color="auto"/>
              <w:bottom w:val="single" w:sz="12" w:space="0" w:color="auto"/>
            </w:tcBorders>
          </w:tcPr>
          <w:p w14:paraId="01547800" w14:textId="2A497B8C" w:rsidR="003F3109" w:rsidRPr="007649DD" w:rsidRDefault="003F3109" w:rsidP="003F3109">
            <w:pPr>
              <w:tabs>
                <w:tab w:val="left" w:pos="567"/>
              </w:tabs>
              <w:spacing w:line="276" w:lineRule="auto"/>
              <w:jc w:val="both"/>
              <w:rPr>
                <w:i/>
                <w:iCs/>
                <w:lang w:eastAsia="lt-LT"/>
              </w:rPr>
            </w:pPr>
            <w:r>
              <w:rPr>
                <w:i/>
                <w:iCs/>
              </w:rPr>
              <w:t>****</w:t>
            </w:r>
          </w:p>
        </w:tc>
        <w:tc>
          <w:tcPr>
            <w:tcW w:w="2206" w:type="dxa"/>
            <w:vMerge/>
            <w:tcBorders>
              <w:bottom w:val="single" w:sz="12" w:space="0" w:color="auto"/>
            </w:tcBorders>
          </w:tcPr>
          <w:p w14:paraId="208C45DC" w14:textId="77777777" w:rsidR="003F3109" w:rsidRPr="007649DD" w:rsidRDefault="003F3109" w:rsidP="003F3109">
            <w:pPr>
              <w:tabs>
                <w:tab w:val="left" w:pos="567"/>
              </w:tabs>
              <w:spacing w:line="276" w:lineRule="auto"/>
              <w:jc w:val="both"/>
              <w:rPr>
                <w:i/>
                <w:iCs/>
                <w:lang w:eastAsia="lt-LT"/>
              </w:rPr>
            </w:pPr>
          </w:p>
        </w:tc>
      </w:tr>
      <w:tr w:rsidR="00276057" w:rsidRPr="007649DD" w14:paraId="0BCDC1E4" w14:textId="77777777" w:rsidTr="00657745">
        <w:trPr>
          <w:jc w:val="center"/>
        </w:trPr>
        <w:tc>
          <w:tcPr>
            <w:tcW w:w="9908" w:type="dxa"/>
            <w:gridSpan w:val="4"/>
            <w:tcBorders>
              <w:top w:val="single" w:sz="12" w:space="0" w:color="auto"/>
              <w:bottom w:val="single" w:sz="4" w:space="0" w:color="auto"/>
            </w:tcBorders>
          </w:tcPr>
          <w:p w14:paraId="5B19E75D" w14:textId="77777777" w:rsidR="00276057" w:rsidRPr="00276057" w:rsidRDefault="00276057" w:rsidP="00276057">
            <w:pPr>
              <w:tabs>
                <w:tab w:val="left" w:pos="567"/>
              </w:tabs>
              <w:spacing w:line="276" w:lineRule="auto"/>
              <w:jc w:val="center"/>
              <w:rPr>
                <w:b/>
                <w:bCs/>
                <w:iCs/>
                <w:lang w:eastAsia="lt-LT"/>
              </w:rPr>
            </w:pPr>
            <w:r w:rsidRPr="00276057">
              <w:rPr>
                <w:b/>
                <w:bCs/>
                <w:lang w:eastAsia="lt-LT"/>
              </w:rPr>
              <w:t>Kokybiški gyvenimo metai (QALY)</w:t>
            </w:r>
          </w:p>
        </w:tc>
      </w:tr>
      <w:tr w:rsidR="003F3109" w:rsidRPr="007649DD" w14:paraId="002BCD61" w14:textId="77777777" w:rsidTr="005265F7">
        <w:trPr>
          <w:jc w:val="center"/>
        </w:trPr>
        <w:tc>
          <w:tcPr>
            <w:tcW w:w="2923" w:type="dxa"/>
            <w:tcBorders>
              <w:top w:val="single" w:sz="4" w:space="0" w:color="auto"/>
              <w:bottom w:val="single" w:sz="4" w:space="0" w:color="auto"/>
            </w:tcBorders>
          </w:tcPr>
          <w:p w14:paraId="6F93F8E7" w14:textId="77777777" w:rsidR="003F3109" w:rsidRPr="007649DD" w:rsidRDefault="003F3109" w:rsidP="003F3109">
            <w:pPr>
              <w:tabs>
                <w:tab w:val="left" w:pos="567"/>
              </w:tabs>
              <w:spacing w:line="276" w:lineRule="auto"/>
              <w:jc w:val="both"/>
              <w:rPr>
                <w:iCs/>
                <w:lang w:eastAsia="lt-LT"/>
              </w:rPr>
            </w:pPr>
            <w:proofErr w:type="spellStart"/>
            <w:r>
              <w:rPr>
                <w:iCs/>
                <w:lang w:eastAsia="lt-LT"/>
              </w:rPr>
              <w:t>Adjuvantinis</w:t>
            </w:r>
            <w:proofErr w:type="spellEnd"/>
            <w:r>
              <w:rPr>
                <w:iCs/>
                <w:lang w:eastAsia="lt-LT"/>
              </w:rPr>
              <w:t>/</w:t>
            </w:r>
            <w:proofErr w:type="spellStart"/>
            <w:r>
              <w:rPr>
                <w:iCs/>
                <w:lang w:eastAsia="lt-LT"/>
              </w:rPr>
              <w:t>neadjuvantinis</w:t>
            </w:r>
            <w:proofErr w:type="spellEnd"/>
            <w:r>
              <w:rPr>
                <w:iCs/>
                <w:lang w:eastAsia="lt-LT"/>
              </w:rPr>
              <w:t xml:space="preserve"> </w:t>
            </w:r>
            <w:proofErr w:type="spellStart"/>
            <w:r>
              <w:rPr>
                <w:iCs/>
                <w:lang w:eastAsia="lt-LT"/>
              </w:rPr>
              <w:t>pembrolizumabas</w:t>
            </w:r>
            <w:proofErr w:type="spellEnd"/>
          </w:p>
        </w:tc>
        <w:tc>
          <w:tcPr>
            <w:tcW w:w="4779" w:type="dxa"/>
            <w:gridSpan w:val="2"/>
            <w:tcBorders>
              <w:top w:val="single" w:sz="4" w:space="0" w:color="auto"/>
              <w:bottom w:val="single" w:sz="4" w:space="0" w:color="auto"/>
            </w:tcBorders>
          </w:tcPr>
          <w:p w14:paraId="1AC0B526" w14:textId="7EC99DAF" w:rsidR="003F3109" w:rsidRPr="007649DD" w:rsidRDefault="003F3109" w:rsidP="003F3109">
            <w:pPr>
              <w:tabs>
                <w:tab w:val="left" w:pos="567"/>
              </w:tabs>
              <w:spacing w:line="276" w:lineRule="auto"/>
              <w:jc w:val="both"/>
              <w:rPr>
                <w:i/>
                <w:iCs/>
                <w:lang w:eastAsia="lt-LT"/>
              </w:rPr>
            </w:pPr>
            <w:r w:rsidRPr="00863630">
              <w:rPr>
                <w:i/>
                <w:iCs/>
              </w:rPr>
              <w:t>****</w:t>
            </w:r>
          </w:p>
        </w:tc>
        <w:tc>
          <w:tcPr>
            <w:tcW w:w="2206" w:type="dxa"/>
            <w:tcBorders>
              <w:top w:val="single" w:sz="4" w:space="0" w:color="auto"/>
              <w:bottom w:val="single" w:sz="4" w:space="0" w:color="auto"/>
            </w:tcBorders>
          </w:tcPr>
          <w:p w14:paraId="6DF236C3" w14:textId="5D06E3B1" w:rsidR="003F3109" w:rsidRPr="007649DD" w:rsidRDefault="003F3109" w:rsidP="003F3109">
            <w:pPr>
              <w:tabs>
                <w:tab w:val="left" w:pos="567"/>
              </w:tabs>
              <w:spacing w:line="276" w:lineRule="auto"/>
              <w:jc w:val="both"/>
              <w:rPr>
                <w:lang w:eastAsia="lt-LT"/>
              </w:rPr>
            </w:pPr>
            <w:r w:rsidRPr="00250D05">
              <w:rPr>
                <w:i/>
                <w:iCs/>
              </w:rPr>
              <w:t>****</w:t>
            </w:r>
          </w:p>
        </w:tc>
      </w:tr>
      <w:tr w:rsidR="003F3109" w:rsidRPr="007649DD" w14:paraId="08384CBB" w14:textId="77777777" w:rsidTr="005265F7">
        <w:trPr>
          <w:jc w:val="center"/>
        </w:trPr>
        <w:tc>
          <w:tcPr>
            <w:tcW w:w="2923" w:type="dxa"/>
            <w:tcBorders>
              <w:top w:val="single" w:sz="4" w:space="0" w:color="auto"/>
              <w:bottom w:val="single" w:sz="12" w:space="0" w:color="auto"/>
            </w:tcBorders>
          </w:tcPr>
          <w:p w14:paraId="2B72C381" w14:textId="77777777" w:rsidR="003F3109" w:rsidRPr="007649DD" w:rsidRDefault="003F3109" w:rsidP="003F3109">
            <w:pPr>
              <w:tabs>
                <w:tab w:val="left" w:pos="567"/>
              </w:tabs>
              <w:spacing w:line="276" w:lineRule="auto"/>
              <w:jc w:val="both"/>
              <w:rPr>
                <w:iCs/>
                <w:lang w:eastAsia="lt-LT"/>
              </w:rPr>
            </w:pPr>
            <w:proofErr w:type="spellStart"/>
            <w:r>
              <w:rPr>
                <w:iCs/>
                <w:lang w:eastAsia="lt-LT"/>
              </w:rPr>
              <w:t>Neadjuvantinė</w:t>
            </w:r>
            <w:proofErr w:type="spellEnd"/>
            <w:r>
              <w:rPr>
                <w:iCs/>
                <w:lang w:eastAsia="lt-LT"/>
              </w:rPr>
              <w:t xml:space="preserve"> chemoterapija</w:t>
            </w:r>
          </w:p>
        </w:tc>
        <w:tc>
          <w:tcPr>
            <w:tcW w:w="4779" w:type="dxa"/>
            <w:gridSpan w:val="2"/>
            <w:tcBorders>
              <w:top w:val="single" w:sz="4" w:space="0" w:color="auto"/>
              <w:bottom w:val="single" w:sz="12" w:space="0" w:color="auto"/>
            </w:tcBorders>
          </w:tcPr>
          <w:p w14:paraId="6CC2E75B" w14:textId="17B32F39" w:rsidR="003F3109" w:rsidRPr="007649DD" w:rsidRDefault="003F3109" w:rsidP="003F3109">
            <w:pPr>
              <w:tabs>
                <w:tab w:val="left" w:pos="567"/>
              </w:tabs>
              <w:spacing w:line="276" w:lineRule="auto"/>
              <w:jc w:val="both"/>
              <w:rPr>
                <w:i/>
                <w:iCs/>
                <w:lang w:eastAsia="lt-LT"/>
              </w:rPr>
            </w:pPr>
            <w:r w:rsidRPr="00863630">
              <w:rPr>
                <w:i/>
                <w:iCs/>
              </w:rPr>
              <w:t>****</w:t>
            </w:r>
          </w:p>
        </w:tc>
        <w:tc>
          <w:tcPr>
            <w:tcW w:w="2206" w:type="dxa"/>
            <w:tcBorders>
              <w:top w:val="single" w:sz="4" w:space="0" w:color="auto"/>
              <w:bottom w:val="single" w:sz="12" w:space="0" w:color="auto"/>
            </w:tcBorders>
          </w:tcPr>
          <w:p w14:paraId="0C327ED4" w14:textId="6C59DCFB" w:rsidR="003F3109" w:rsidRPr="007649DD" w:rsidRDefault="003F3109" w:rsidP="003F3109">
            <w:pPr>
              <w:tabs>
                <w:tab w:val="left" w:pos="567"/>
              </w:tabs>
              <w:spacing w:line="276" w:lineRule="auto"/>
              <w:jc w:val="both"/>
              <w:rPr>
                <w:i/>
                <w:iCs/>
                <w:lang w:eastAsia="lt-LT"/>
              </w:rPr>
            </w:pPr>
            <w:r w:rsidRPr="00250D05">
              <w:rPr>
                <w:i/>
                <w:iCs/>
              </w:rPr>
              <w:t>****</w:t>
            </w:r>
          </w:p>
        </w:tc>
      </w:tr>
      <w:tr w:rsidR="00276057" w:rsidRPr="007649DD" w14:paraId="3E653B08" w14:textId="77777777" w:rsidTr="00657745">
        <w:trPr>
          <w:trHeight w:val="347"/>
          <w:jc w:val="center"/>
        </w:trPr>
        <w:tc>
          <w:tcPr>
            <w:tcW w:w="9908" w:type="dxa"/>
            <w:gridSpan w:val="4"/>
            <w:tcBorders>
              <w:top w:val="single" w:sz="12" w:space="0" w:color="auto"/>
            </w:tcBorders>
            <w:vAlign w:val="center"/>
          </w:tcPr>
          <w:p w14:paraId="72E460DF" w14:textId="77777777" w:rsidR="00276057" w:rsidRPr="007649DD" w:rsidRDefault="00276057" w:rsidP="00276057">
            <w:pPr>
              <w:tabs>
                <w:tab w:val="left" w:pos="567"/>
              </w:tabs>
              <w:spacing w:line="276" w:lineRule="auto"/>
              <w:jc w:val="center"/>
              <w:rPr>
                <w:b/>
                <w:bCs/>
                <w:sz w:val="26"/>
                <w:szCs w:val="26"/>
                <w:lang w:eastAsia="lt-LT"/>
              </w:rPr>
            </w:pPr>
            <w:r w:rsidRPr="007649DD">
              <w:rPr>
                <w:b/>
                <w:bCs/>
                <w:sz w:val="26"/>
                <w:szCs w:val="26"/>
                <w:lang w:eastAsia="lt-LT"/>
              </w:rPr>
              <w:t>Rezultatai</w:t>
            </w:r>
          </w:p>
        </w:tc>
      </w:tr>
      <w:tr w:rsidR="005265F7" w:rsidRPr="007649DD" w14:paraId="692269C4" w14:textId="77777777" w:rsidTr="005265F7">
        <w:trPr>
          <w:jc w:val="center"/>
        </w:trPr>
        <w:tc>
          <w:tcPr>
            <w:tcW w:w="7702" w:type="dxa"/>
            <w:gridSpan w:val="3"/>
          </w:tcPr>
          <w:p w14:paraId="4C966AA9" w14:textId="77777777" w:rsidR="005265F7" w:rsidRPr="007649DD" w:rsidRDefault="005265F7" w:rsidP="005265F7">
            <w:pPr>
              <w:tabs>
                <w:tab w:val="left" w:pos="567"/>
              </w:tabs>
              <w:spacing w:line="276" w:lineRule="auto"/>
              <w:jc w:val="both"/>
              <w:rPr>
                <w:iCs/>
                <w:lang w:eastAsia="lt-LT"/>
              </w:rPr>
            </w:pPr>
            <w:r w:rsidRPr="007649DD">
              <w:rPr>
                <w:iCs/>
                <w:lang w:eastAsia="lt-LT"/>
              </w:rPr>
              <w:t>ICER už LY</w:t>
            </w:r>
          </w:p>
        </w:tc>
        <w:tc>
          <w:tcPr>
            <w:tcW w:w="2206" w:type="dxa"/>
          </w:tcPr>
          <w:p w14:paraId="4186BD8C" w14:textId="44BE32F3" w:rsidR="005265F7" w:rsidRPr="007649DD" w:rsidRDefault="005265F7" w:rsidP="005265F7">
            <w:pPr>
              <w:tabs>
                <w:tab w:val="left" w:pos="567"/>
              </w:tabs>
              <w:spacing w:line="276" w:lineRule="auto"/>
              <w:jc w:val="both"/>
              <w:rPr>
                <w:i/>
                <w:iCs/>
                <w:lang w:eastAsia="lt-LT"/>
              </w:rPr>
            </w:pPr>
            <w:r w:rsidRPr="00F51274">
              <w:rPr>
                <w:color w:val="000000"/>
                <w:lang w:eastAsia="lt-LT"/>
              </w:rPr>
              <w:t xml:space="preserve"> ****</w:t>
            </w:r>
          </w:p>
        </w:tc>
      </w:tr>
      <w:tr w:rsidR="005265F7" w:rsidRPr="007649DD" w14:paraId="674B3229" w14:textId="77777777" w:rsidTr="005265F7">
        <w:trPr>
          <w:jc w:val="center"/>
        </w:trPr>
        <w:tc>
          <w:tcPr>
            <w:tcW w:w="7702" w:type="dxa"/>
            <w:gridSpan w:val="3"/>
          </w:tcPr>
          <w:p w14:paraId="68407019" w14:textId="77777777" w:rsidR="005265F7" w:rsidRPr="007649DD" w:rsidRDefault="005265F7" w:rsidP="005265F7">
            <w:pPr>
              <w:tabs>
                <w:tab w:val="left" w:pos="567"/>
              </w:tabs>
              <w:spacing w:line="276" w:lineRule="auto"/>
              <w:jc w:val="both"/>
              <w:rPr>
                <w:iCs/>
                <w:lang w:eastAsia="lt-LT"/>
              </w:rPr>
            </w:pPr>
            <w:r w:rsidRPr="007649DD">
              <w:rPr>
                <w:iCs/>
                <w:lang w:eastAsia="lt-LT"/>
              </w:rPr>
              <w:t>ICER už QALY</w:t>
            </w:r>
          </w:p>
        </w:tc>
        <w:tc>
          <w:tcPr>
            <w:tcW w:w="2206" w:type="dxa"/>
          </w:tcPr>
          <w:p w14:paraId="0B195E81" w14:textId="7DE3EB5A" w:rsidR="005265F7" w:rsidRPr="00276057" w:rsidRDefault="005265F7" w:rsidP="005265F7">
            <w:pPr>
              <w:tabs>
                <w:tab w:val="left" w:pos="567"/>
              </w:tabs>
              <w:spacing w:line="276" w:lineRule="auto"/>
              <w:jc w:val="both"/>
              <w:rPr>
                <w:b/>
                <w:bCs/>
                <w:i/>
                <w:iCs/>
                <w:lang w:eastAsia="lt-LT"/>
              </w:rPr>
            </w:pPr>
            <w:r w:rsidRPr="00F51274">
              <w:rPr>
                <w:color w:val="000000"/>
                <w:lang w:eastAsia="lt-LT"/>
              </w:rPr>
              <w:t xml:space="preserve"> ****</w:t>
            </w:r>
          </w:p>
        </w:tc>
      </w:tr>
      <w:tr w:rsidR="00276057" w:rsidRPr="007649DD" w14:paraId="04C215A5" w14:textId="77777777" w:rsidTr="005265F7">
        <w:trPr>
          <w:jc w:val="center"/>
        </w:trPr>
        <w:tc>
          <w:tcPr>
            <w:tcW w:w="7702" w:type="dxa"/>
            <w:gridSpan w:val="3"/>
          </w:tcPr>
          <w:p w14:paraId="4AD02AAE" w14:textId="77777777" w:rsidR="00276057" w:rsidRPr="007649DD" w:rsidRDefault="00276057" w:rsidP="00657745">
            <w:pPr>
              <w:tabs>
                <w:tab w:val="left" w:pos="567"/>
              </w:tabs>
              <w:spacing w:line="276" w:lineRule="auto"/>
              <w:jc w:val="both"/>
              <w:rPr>
                <w:iCs/>
                <w:lang w:eastAsia="lt-LT"/>
              </w:rPr>
            </w:pPr>
            <w:r w:rsidRPr="007649DD">
              <w:rPr>
                <w:iCs/>
                <w:lang w:eastAsia="lt-LT"/>
              </w:rPr>
              <w:t>Referencinė kaštų naudingumo vertė</w:t>
            </w:r>
          </w:p>
        </w:tc>
        <w:tc>
          <w:tcPr>
            <w:tcW w:w="2206" w:type="dxa"/>
          </w:tcPr>
          <w:p w14:paraId="2F02429C" w14:textId="35D9C3FC" w:rsidR="00276057" w:rsidRPr="007649DD" w:rsidRDefault="003F3109" w:rsidP="00657745">
            <w:pPr>
              <w:tabs>
                <w:tab w:val="left" w:pos="567"/>
              </w:tabs>
              <w:spacing w:line="276" w:lineRule="auto"/>
              <w:jc w:val="both"/>
              <w:rPr>
                <w:i/>
                <w:iCs/>
                <w:lang w:eastAsia="lt-LT"/>
              </w:rPr>
            </w:pPr>
            <w:r>
              <w:rPr>
                <w:i/>
                <w:iCs/>
              </w:rPr>
              <w:t>****</w:t>
            </w:r>
          </w:p>
        </w:tc>
      </w:tr>
    </w:tbl>
    <w:p w14:paraId="5FC8C737" w14:textId="4136B7F4" w:rsidR="0035172D" w:rsidRPr="00E33EFF" w:rsidRDefault="00E5102E" w:rsidP="0035172D">
      <w:pPr>
        <w:tabs>
          <w:tab w:val="left" w:pos="567"/>
        </w:tabs>
        <w:jc w:val="both"/>
        <w:rPr>
          <w:iCs/>
          <w:sz w:val="20"/>
          <w:lang w:eastAsia="lt-LT"/>
        </w:rPr>
      </w:pPr>
      <w:r w:rsidRPr="00E33EFF">
        <w:rPr>
          <w:iCs/>
          <w:sz w:val="20"/>
          <w:lang w:eastAsia="lt-LT"/>
        </w:rPr>
        <w:t xml:space="preserve">ICER </w:t>
      </w:r>
      <w:r w:rsidR="00453862" w:rsidRPr="00E33EFF">
        <w:rPr>
          <w:iCs/>
          <w:sz w:val="20"/>
          <w:lang w:eastAsia="lt-LT"/>
        </w:rPr>
        <w:t>– (</w:t>
      </w:r>
      <w:r w:rsidR="00453862" w:rsidRPr="00E33EFF">
        <w:rPr>
          <w:i/>
          <w:sz w:val="20"/>
          <w:lang w:eastAsia="lt-LT"/>
        </w:rPr>
        <w:t xml:space="preserve">angl. </w:t>
      </w:r>
      <w:proofErr w:type="spellStart"/>
      <w:r w:rsidR="00453862" w:rsidRPr="00E33EFF">
        <w:rPr>
          <w:i/>
          <w:sz w:val="20"/>
          <w:lang w:eastAsia="lt-LT"/>
        </w:rPr>
        <w:t>incremental</w:t>
      </w:r>
      <w:proofErr w:type="spellEnd"/>
      <w:r w:rsidR="00453862" w:rsidRPr="00E33EFF">
        <w:rPr>
          <w:i/>
          <w:sz w:val="20"/>
          <w:lang w:eastAsia="lt-LT"/>
        </w:rPr>
        <w:t xml:space="preserve"> </w:t>
      </w:r>
      <w:proofErr w:type="spellStart"/>
      <w:r w:rsidR="00453862" w:rsidRPr="00E33EFF">
        <w:rPr>
          <w:i/>
          <w:sz w:val="20"/>
          <w:lang w:eastAsia="lt-LT"/>
        </w:rPr>
        <w:t>cost-effectiveness</w:t>
      </w:r>
      <w:proofErr w:type="spellEnd"/>
      <w:r w:rsidR="00453862" w:rsidRPr="00E33EFF">
        <w:rPr>
          <w:i/>
          <w:sz w:val="20"/>
          <w:lang w:eastAsia="lt-LT"/>
        </w:rPr>
        <w:t xml:space="preserve"> </w:t>
      </w:r>
      <w:proofErr w:type="spellStart"/>
      <w:r w:rsidR="00453862" w:rsidRPr="00E33EFF">
        <w:rPr>
          <w:i/>
          <w:sz w:val="20"/>
          <w:lang w:eastAsia="lt-LT"/>
        </w:rPr>
        <w:t>ratio</w:t>
      </w:r>
      <w:proofErr w:type="spellEnd"/>
      <w:r w:rsidR="00453862" w:rsidRPr="00E33EFF">
        <w:rPr>
          <w:iCs/>
          <w:sz w:val="20"/>
          <w:lang w:eastAsia="lt-LT"/>
        </w:rPr>
        <w:t xml:space="preserve">) </w:t>
      </w:r>
      <w:proofErr w:type="spellStart"/>
      <w:r w:rsidR="00453862" w:rsidRPr="00E33EFF">
        <w:rPr>
          <w:iCs/>
          <w:sz w:val="20"/>
          <w:lang w:eastAsia="lt-LT"/>
        </w:rPr>
        <w:t>inkrementinis</w:t>
      </w:r>
      <w:proofErr w:type="spellEnd"/>
      <w:r w:rsidR="00453862" w:rsidRPr="00E33EFF">
        <w:rPr>
          <w:iCs/>
          <w:sz w:val="20"/>
          <w:lang w:eastAsia="lt-LT"/>
        </w:rPr>
        <w:t xml:space="preserve"> kaštų naudingumo koeficientas</w:t>
      </w:r>
      <w:r w:rsidRPr="00E33EFF">
        <w:rPr>
          <w:iCs/>
          <w:sz w:val="20"/>
          <w:lang w:eastAsia="lt-LT"/>
        </w:rPr>
        <w:t>; LY –</w:t>
      </w:r>
      <w:r w:rsidR="00453862" w:rsidRPr="00E33EFF">
        <w:rPr>
          <w:iCs/>
          <w:sz w:val="20"/>
          <w:lang w:eastAsia="lt-LT"/>
        </w:rPr>
        <w:t xml:space="preserve"> (</w:t>
      </w:r>
      <w:r w:rsidR="00453862" w:rsidRPr="00E33EFF">
        <w:rPr>
          <w:i/>
          <w:sz w:val="20"/>
          <w:lang w:eastAsia="lt-LT"/>
        </w:rPr>
        <w:t xml:space="preserve">angl. </w:t>
      </w:r>
      <w:proofErr w:type="spellStart"/>
      <w:r w:rsidR="00453862" w:rsidRPr="00E33EFF">
        <w:rPr>
          <w:i/>
          <w:sz w:val="20"/>
          <w:lang w:eastAsia="lt-LT"/>
        </w:rPr>
        <w:t>life</w:t>
      </w:r>
      <w:proofErr w:type="spellEnd"/>
      <w:r w:rsidR="00453862" w:rsidRPr="00E33EFF">
        <w:rPr>
          <w:i/>
          <w:sz w:val="20"/>
          <w:lang w:eastAsia="lt-LT"/>
        </w:rPr>
        <w:t xml:space="preserve"> </w:t>
      </w:r>
      <w:proofErr w:type="spellStart"/>
      <w:r w:rsidR="00453862" w:rsidRPr="00E33EFF">
        <w:rPr>
          <w:i/>
          <w:sz w:val="20"/>
          <w:lang w:eastAsia="lt-LT"/>
        </w:rPr>
        <w:t>years</w:t>
      </w:r>
      <w:proofErr w:type="spellEnd"/>
      <w:r w:rsidR="00453862" w:rsidRPr="00E33EFF">
        <w:rPr>
          <w:iCs/>
          <w:sz w:val="20"/>
          <w:lang w:eastAsia="lt-LT"/>
        </w:rPr>
        <w:t>) gyvenimo metai</w:t>
      </w:r>
      <w:r w:rsidRPr="00E33EFF">
        <w:rPr>
          <w:iCs/>
          <w:sz w:val="20"/>
          <w:lang w:eastAsia="lt-LT"/>
        </w:rPr>
        <w:t xml:space="preserve">; QALY- </w:t>
      </w:r>
      <w:r w:rsidR="00453862" w:rsidRPr="00E33EFF">
        <w:rPr>
          <w:iCs/>
          <w:sz w:val="20"/>
          <w:lang w:eastAsia="lt-LT"/>
        </w:rPr>
        <w:t>(</w:t>
      </w:r>
      <w:r w:rsidR="00453862" w:rsidRPr="00E33EFF">
        <w:rPr>
          <w:i/>
          <w:sz w:val="20"/>
          <w:lang w:eastAsia="lt-LT"/>
        </w:rPr>
        <w:t xml:space="preserve">angl. </w:t>
      </w:r>
      <w:proofErr w:type="spellStart"/>
      <w:r w:rsidR="00453862" w:rsidRPr="00E33EFF">
        <w:rPr>
          <w:i/>
          <w:sz w:val="20"/>
          <w:lang w:eastAsia="lt-LT"/>
        </w:rPr>
        <w:t>quality</w:t>
      </w:r>
      <w:proofErr w:type="spellEnd"/>
      <w:r w:rsidR="00453862" w:rsidRPr="00E33EFF">
        <w:rPr>
          <w:i/>
          <w:sz w:val="20"/>
          <w:lang w:eastAsia="lt-LT"/>
        </w:rPr>
        <w:t xml:space="preserve"> </w:t>
      </w:r>
      <w:proofErr w:type="spellStart"/>
      <w:r w:rsidR="00453862" w:rsidRPr="00E33EFF">
        <w:rPr>
          <w:i/>
          <w:sz w:val="20"/>
          <w:lang w:eastAsia="lt-LT"/>
        </w:rPr>
        <w:t>adjusted</w:t>
      </w:r>
      <w:proofErr w:type="spellEnd"/>
      <w:r w:rsidR="00453862" w:rsidRPr="00E33EFF">
        <w:rPr>
          <w:i/>
          <w:sz w:val="20"/>
          <w:lang w:eastAsia="lt-LT"/>
        </w:rPr>
        <w:t xml:space="preserve"> </w:t>
      </w:r>
      <w:proofErr w:type="spellStart"/>
      <w:r w:rsidR="00453862" w:rsidRPr="00E33EFF">
        <w:rPr>
          <w:i/>
          <w:sz w:val="20"/>
          <w:lang w:eastAsia="lt-LT"/>
        </w:rPr>
        <w:t>life</w:t>
      </w:r>
      <w:proofErr w:type="spellEnd"/>
      <w:r w:rsidR="00453862" w:rsidRPr="00E33EFF">
        <w:rPr>
          <w:i/>
          <w:sz w:val="20"/>
          <w:lang w:eastAsia="lt-LT"/>
        </w:rPr>
        <w:t xml:space="preserve"> </w:t>
      </w:r>
      <w:proofErr w:type="spellStart"/>
      <w:r w:rsidR="00453862" w:rsidRPr="00E33EFF">
        <w:rPr>
          <w:i/>
          <w:sz w:val="20"/>
          <w:lang w:eastAsia="lt-LT"/>
        </w:rPr>
        <w:t>years</w:t>
      </w:r>
      <w:proofErr w:type="spellEnd"/>
      <w:r w:rsidR="00453862" w:rsidRPr="00E33EFF">
        <w:rPr>
          <w:i/>
          <w:sz w:val="20"/>
          <w:lang w:eastAsia="lt-LT"/>
        </w:rPr>
        <w:t xml:space="preserve">) </w:t>
      </w:r>
      <w:r w:rsidR="00453862" w:rsidRPr="00E33EFF">
        <w:rPr>
          <w:iCs/>
          <w:sz w:val="20"/>
          <w:lang w:eastAsia="lt-LT"/>
        </w:rPr>
        <w:t>kokybiški gyvenimo metai.</w:t>
      </w:r>
    </w:p>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3F3109"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121952C0" w:rsidR="00937907" w:rsidRPr="00E33EFF" w:rsidRDefault="003F3109"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C630AE">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3F3109"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36A77852" w:rsidR="00662983" w:rsidRPr="00E33EFF" w:rsidRDefault="003F3109"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C630AE">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t xml:space="preserve">Išvada </w:t>
      </w:r>
    </w:p>
    <w:p w14:paraId="2D1AECFF" w14:textId="34129E88" w:rsidR="00BD18D3" w:rsidRDefault="00BD18D3" w:rsidP="0061611B">
      <w:pPr>
        <w:rPr>
          <w:i/>
          <w:color w:val="00B050"/>
          <w:szCs w:val="22"/>
        </w:rPr>
      </w:pPr>
    </w:p>
    <w:p w14:paraId="3C49FD10" w14:textId="77777777" w:rsidR="00592CBC" w:rsidRPr="008F0E02" w:rsidRDefault="00592CBC" w:rsidP="00592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Arial"/>
          <w:bCs/>
          <w:iCs/>
          <w:color w:val="000000" w:themeColor="text1"/>
        </w:rPr>
      </w:pPr>
    </w:p>
    <w:tbl>
      <w:tblPr>
        <w:tblStyle w:val="Lentelstinklelis"/>
        <w:tblW w:w="9629" w:type="dxa"/>
        <w:jc w:val="center"/>
        <w:tblLook w:val="04A0" w:firstRow="1" w:lastRow="0" w:firstColumn="1" w:lastColumn="0" w:noHBand="0" w:noVBand="1"/>
      </w:tblPr>
      <w:tblGrid>
        <w:gridCol w:w="4815"/>
        <w:gridCol w:w="71"/>
        <w:gridCol w:w="4743"/>
      </w:tblGrid>
      <w:tr w:rsidR="00592CBC" w:rsidRPr="008F0E02" w14:paraId="6D54900B" w14:textId="77777777" w:rsidTr="00846E4D">
        <w:trPr>
          <w:trHeight w:val="494"/>
          <w:jc w:val="center"/>
        </w:trPr>
        <w:tc>
          <w:tcPr>
            <w:tcW w:w="9629" w:type="dxa"/>
            <w:gridSpan w:val="3"/>
            <w:vAlign w:val="center"/>
          </w:tcPr>
          <w:p w14:paraId="7D7E3217" w14:textId="77777777" w:rsidR="00592CBC" w:rsidRPr="00A63266" w:rsidRDefault="00592CBC" w:rsidP="00764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color w:val="000000" w:themeColor="text1"/>
                <w:sz w:val="24"/>
              </w:rPr>
            </w:pPr>
            <w:r w:rsidRPr="00A63266">
              <w:rPr>
                <w:rStyle w:val="Style2"/>
                <w:rFonts w:eastAsia="MS Gothic"/>
                <w:b/>
                <w:bCs/>
                <w:color w:val="000000" w:themeColor="text1"/>
                <w:sz w:val="24"/>
              </w:rPr>
              <w:t>Palyginamasis veiksmingumas</w:t>
            </w:r>
          </w:p>
        </w:tc>
      </w:tr>
      <w:tr w:rsidR="00592CBC" w:rsidRPr="008F0E02" w14:paraId="38BBF422" w14:textId="77777777" w:rsidTr="00846E4D">
        <w:trPr>
          <w:trHeight w:val="1546"/>
          <w:jc w:val="center"/>
        </w:trPr>
        <w:tc>
          <w:tcPr>
            <w:tcW w:w="4886" w:type="dxa"/>
            <w:gridSpan w:val="2"/>
          </w:tcPr>
          <w:p w14:paraId="6026E138" w14:textId="20754C22" w:rsidR="00592CBC" w:rsidRPr="008F0E02" w:rsidRDefault="003F3109" w:rsidP="00D1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color w:val="000000" w:themeColor="text1"/>
                  <w:sz w:val="24"/>
                </w:rPr>
                <w:id w:val="-253974781"/>
                <w15:color w:val="FFCC00"/>
                <w14:checkbox>
                  <w14:checked w14:val="1"/>
                  <w14:checkedState w14:val="2612" w14:font="MS Gothic"/>
                  <w14:uncheckedState w14:val="2610" w14:font="MS Gothic"/>
                </w14:checkbox>
              </w:sdtPr>
              <w:sdtEndPr>
                <w:rPr>
                  <w:rStyle w:val="Style2"/>
                </w:rPr>
              </w:sdtEndPr>
              <w:sdtContent>
                <w:r w:rsidR="00D16FF3">
                  <w:rPr>
                    <w:rStyle w:val="Style2"/>
                    <w:rFonts w:ascii="MS Gothic" w:eastAsia="MS Gothic" w:hAnsi="MS Gothic" w:hint="eastAsia"/>
                    <w:color w:val="000000" w:themeColor="text1"/>
                    <w:sz w:val="24"/>
                  </w:rPr>
                  <w:t>☒</w:t>
                </w:r>
              </w:sdtContent>
            </w:sdt>
            <w:r w:rsidR="00592CBC" w:rsidRPr="008F0E02">
              <w:rPr>
                <w:color w:val="000000" w:themeColor="text1"/>
              </w:rPr>
              <w:t xml:space="preserve"> 29.1.1 yra didesnis, lyginant su įprasta klinikine praktika</w:t>
            </w:r>
          </w:p>
          <w:p w14:paraId="4E9AF87C" w14:textId="77777777" w:rsidR="00592CBC" w:rsidRPr="008F0E02" w:rsidRDefault="00592CBC" w:rsidP="00764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rPr>
            </w:pPr>
          </w:p>
          <w:p w14:paraId="2A3B9067" w14:textId="77777777" w:rsidR="00592CBC" w:rsidRPr="008F0E02" w:rsidRDefault="003F3109" w:rsidP="00D1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color w:val="000000" w:themeColor="text1"/>
              </w:rPr>
            </w:pPr>
            <w:sdt>
              <w:sdtPr>
                <w:rPr>
                  <w:rStyle w:val="Style2"/>
                  <w:color w:val="000000" w:themeColor="text1"/>
                  <w:sz w:val="24"/>
                </w:rPr>
                <w:id w:val="-2042735340"/>
                <w15:color w:val="FFCC00"/>
                <w14:checkbox>
                  <w14:checked w14:val="0"/>
                  <w14:checkedState w14:val="2612" w14:font="MS Gothic"/>
                  <w14:uncheckedState w14:val="2610" w14:font="MS Gothic"/>
                </w14:checkbox>
              </w:sdtPr>
              <w:sdtEndPr>
                <w:rPr>
                  <w:rStyle w:val="Style2"/>
                </w:rPr>
              </w:sdtEndPr>
              <w:sdtContent>
                <w:r w:rsidR="00592CBC" w:rsidRPr="00D16FF3">
                  <w:rPr>
                    <w:rStyle w:val="Style2"/>
                    <w:rFonts w:ascii="Segoe UI Symbol" w:eastAsia="MS Gothic" w:hAnsi="Segoe UI Symbol" w:cs="Segoe UI Symbol"/>
                    <w:color w:val="000000" w:themeColor="text1"/>
                    <w:sz w:val="24"/>
                  </w:rPr>
                  <w:t>☐</w:t>
                </w:r>
              </w:sdtContent>
            </w:sdt>
            <w:r w:rsidR="00592CBC" w:rsidRPr="008F0E02">
              <w:rPr>
                <w:color w:val="000000" w:themeColor="text1"/>
              </w:rPr>
              <w:t xml:space="preserve"> 29.1.2 iš esmės nesiskiria, lyginant su įprasta klinikine praktika</w:t>
            </w:r>
          </w:p>
        </w:tc>
        <w:tc>
          <w:tcPr>
            <w:tcW w:w="4743" w:type="dxa"/>
          </w:tcPr>
          <w:p w14:paraId="4A1F93B6" w14:textId="77777777" w:rsidR="00592CBC" w:rsidRPr="008F0E02" w:rsidRDefault="003F3109" w:rsidP="00D1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color w:val="000000" w:themeColor="text1"/>
                  <w:sz w:val="24"/>
                </w:rPr>
                <w:id w:val="1223253010"/>
                <w15:color w:val="FFCC00"/>
                <w14:checkbox>
                  <w14:checked w14:val="0"/>
                  <w14:checkedState w14:val="2612" w14:font="MS Gothic"/>
                  <w14:uncheckedState w14:val="2610" w14:font="MS Gothic"/>
                </w14:checkbox>
              </w:sdtPr>
              <w:sdtEndPr>
                <w:rPr>
                  <w:rStyle w:val="Style2"/>
                </w:rPr>
              </w:sdtEndPr>
              <w:sdtContent>
                <w:r w:rsidR="00592CBC" w:rsidRPr="00D16FF3">
                  <w:rPr>
                    <w:rStyle w:val="Style2"/>
                    <w:rFonts w:ascii="Segoe UI Symbol" w:eastAsia="MS Gothic" w:hAnsi="Segoe UI Symbol" w:cs="Segoe UI Symbol"/>
                    <w:color w:val="000000" w:themeColor="text1"/>
                    <w:sz w:val="24"/>
                  </w:rPr>
                  <w:t>☐</w:t>
                </w:r>
              </w:sdtContent>
            </w:sdt>
            <w:r w:rsidR="00592CBC" w:rsidRPr="008F0E02">
              <w:rPr>
                <w:color w:val="000000" w:themeColor="text1"/>
              </w:rPr>
              <w:t xml:space="preserve"> 29.1.3 yra neįrodytas kaip didesnis  ar iš esmės nesiskiriantis, lyginant su įprasta klinikine praktika  </w:t>
            </w:r>
          </w:p>
          <w:p w14:paraId="38729438" w14:textId="77777777" w:rsidR="00592CBC" w:rsidRPr="008F0E02" w:rsidRDefault="00592CBC" w:rsidP="00D1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1EACFFCA" w14:textId="77777777" w:rsidR="00592CBC" w:rsidRPr="008F0E02" w:rsidRDefault="003F3109" w:rsidP="00D1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color w:val="000000" w:themeColor="text1"/>
                  <w:sz w:val="24"/>
                </w:rPr>
                <w:id w:val="-2100856797"/>
                <w15:color w:val="FFCC00"/>
                <w14:checkbox>
                  <w14:checked w14:val="0"/>
                  <w14:checkedState w14:val="2612" w14:font="MS Gothic"/>
                  <w14:uncheckedState w14:val="2610" w14:font="MS Gothic"/>
                </w14:checkbox>
              </w:sdtPr>
              <w:sdtEndPr>
                <w:rPr>
                  <w:rStyle w:val="Style2"/>
                </w:rPr>
              </w:sdtEndPr>
              <w:sdtContent>
                <w:r w:rsidR="00592CBC" w:rsidRPr="00D16FF3">
                  <w:rPr>
                    <w:rStyle w:val="Style2"/>
                    <w:rFonts w:ascii="Segoe UI Symbol" w:eastAsia="MS Gothic" w:hAnsi="Segoe UI Symbol" w:cs="Segoe UI Symbol"/>
                    <w:color w:val="000000" w:themeColor="text1"/>
                    <w:sz w:val="24"/>
                  </w:rPr>
                  <w:t>☐</w:t>
                </w:r>
              </w:sdtContent>
            </w:sdt>
            <w:r w:rsidR="00592CBC" w:rsidRPr="008F0E02">
              <w:rPr>
                <w:color w:val="000000" w:themeColor="text1"/>
              </w:rPr>
              <w:t xml:space="preserve"> 29.1.4 yra mažesnis, lyginant su įprasta klinikine praktika</w:t>
            </w:r>
          </w:p>
          <w:p w14:paraId="6DDD9AE2" w14:textId="77777777" w:rsidR="00592CBC" w:rsidRPr="008F0E02" w:rsidRDefault="00592CBC" w:rsidP="00D1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698BBA46" w14:textId="77777777" w:rsidR="00592CBC" w:rsidRPr="008F0E02" w:rsidRDefault="003F3109" w:rsidP="00D1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color w:val="000000" w:themeColor="text1"/>
                  <w:sz w:val="24"/>
                </w:rPr>
                <w:id w:val="-1085991623"/>
                <w15:color w:val="FFCC00"/>
                <w14:checkbox>
                  <w14:checked w14:val="0"/>
                  <w14:checkedState w14:val="2612" w14:font="MS Gothic"/>
                  <w14:uncheckedState w14:val="2610" w14:font="MS Gothic"/>
                </w14:checkbox>
              </w:sdtPr>
              <w:sdtEndPr>
                <w:rPr>
                  <w:rStyle w:val="Style2"/>
                </w:rPr>
              </w:sdtEndPr>
              <w:sdtContent>
                <w:r w:rsidR="00592CBC" w:rsidRPr="00D16FF3">
                  <w:rPr>
                    <w:rStyle w:val="Style2"/>
                    <w:rFonts w:ascii="Segoe UI Symbol" w:eastAsia="MS Gothic" w:hAnsi="Segoe UI Symbol" w:cs="Segoe UI Symbol"/>
                    <w:color w:val="000000" w:themeColor="text1"/>
                    <w:sz w:val="24"/>
                  </w:rPr>
                  <w:t>☐</w:t>
                </w:r>
              </w:sdtContent>
            </w:sdt>
            <w:r w:rsidR="00592CBC" w:rsidRPr="008F0E02">
              <w:rPr>
                <w:color w:val="000000" w:themeColor="text1"/>
              </w:rPr>
              <w:t xml:space="preserve"> 29.1.5 pateikti duomenys apie palyginamąjį veiksmingumą yra netinkami vertinti</w:t>
            </w:r>
          </w:p>
          <w:p w14:paraId="3075F81B" w14:textId="77777777" w:rsidR="00592CBC" w:rsidRPr="008F0E02" w:rsidRDefault="00592CBC" w:rsidP="00D1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color w:val="000000" w:themeColor="text1"/>
              </w:rPr>
            </w:pPr>
          </w:p>
        </w:tc>
      </w:tr>
      <w:tr w:rsidR="00846E4D" w:rsidRPr="00632BB3" w14:paraId="44C31D8D" w14:textId="77777777" w:rsidTr="00846E4D">
        <w:tblPrEx>
          <w:jc w:val="left"/>
        </w:tblPrEx>
        <w:trPr>
          <w:trHeight w:val="510"/>
        </w:trPr>
        <w:tc>
          <w:tcPr>
            <w:tcW w:w="9629" w:type="dxa"/>
            <w:gridSpan w:val="3"/>
            <w:vAlign w:val="center"/>
          </w:tcPr>
          <w:p w14:paraId="59A908CA" w14:textId="77777777" w:rsidR="00846E4D" w:rsidRPr="00632BB3" w:rsidRDefault="00846E4D" w:rsidP="005E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0" w:name="_Hlk185374656"/>
            <w:bookmarkStart w:id="1" w:name="_Hlk185374787"/>
            <w:r w:rsidRPr="00632BB3">
              <w:rPr>
                <w:rStyle w:val="Style2"/>
                <w:rFonts w:eastAsia="MS Gothic"/>
                <w:b/>
                <w:bCs/>
                <w:sz w:val="24"/>
              </w:rPr>
              <w:t>Kaštų naudingumas</w:t>
            </w:r>
          </w:p>
        </w:tc>
      </w:tr>
      <w:tr w:rsidR="00846E4D" w:rsidRPr="00632BB3" w14:paraId="4DFC3E54" w14:textId="77777777" w:rsidTr="00846E4D">
        <w:tblPrEx>
          <w:jc w:val="left"/>
        </w:tblPrEx>
        <w:tc>
          <w:tcPr>
            <w:tcW w:w="4815" w:type="dxa"/>
          </w:tcPr>
          <w:p w14:paraId="0C5180D8" w14:textId="77777777" w:rsidR="00846E4D" w:rsidRPr="00632BB3" w:rsidRDefault="003F3109" w:rsidP="005E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EndPr>
                <w:rPr>
                  <w:rStyle w:val="Style2"/>
                </w:rPr>
              </w:sdtEndPr>
              <w:sdtContent>
                <w:r w:rsidR="00846E4D">
                  <w:rPr>
                    <w:rStyle w:val="Style2"/>
                    <w:rFonts w:ascii="MS Gothic" w:eastAsia="MS Gothic" w:hAnsi="MS Gothic" w:hint="eastAsia"/>
                    <w:sz w:val="24"/>
                  </w:rPr>
                  <w:t>☒</w:t>
                </w:r>
              </w:sdtContent>
            </w:sdt>
            <w:r w:rsidR="00846E4D" w:rsidRPr="00632BB3">
              <w:t xml:space="preserve"> 29.2.1 atitinka referencinę naudingumo vertę</w:t>
            </w:r>
          </w:p>
          <w:p w14:paraId="2DC8910C" w14:textId="77777777" w:rsidR="00846E4D" w:rsidRPr="00632BB3" w:rsidRDefault="00846E4D" w:rsidP="005E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2714424" w14:textId="59B0A190" w:rsidR="00846E4D" w:rsidRPr="00632BB3" w:rsidRDefault="003F3109" w:rsidP="005E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846E4D">
                  <w:rPr>
                    <w:rStyle w:val="Style2"/>
                    <w:rFonts w:ascii="MS Gothic" w:eastAsia="MS Gothic" w:hAnsi="MS Gothic" w:hint="eastAsia"/>
                    <w:sz w:val="24"/>
                  </w:rPr>
                  <w:t>☐</w:t>
                </w:r>
              </w:sdtContent>
            </w:sdt>
            <w:r w:rsidR="00846E4D" w:rsidRPr="00632BB3">
              <w:t xml:space="preserve"> 29.2.2 gydymo juo kaštai yra mažesni ar tokie patys esant iš esmės nesiskiriančiam palyginamajam </w:t>
            </w:r>
            <w:r w:rsidR="00442C42">
              <w:t>veiksmingumui</w:t>
            </w:r>
            <w:r w:rsidR="00846E4D" w:rsidRPr="00632BB3">
              <w:t>, taikant arba netaikant  PGS</w:t>
            </w:r>
          </w:p>
        </w:tc>
        <w:tc>
          <w:tcPr>
            <w:tcW w:w="4814" w:type="dxa"/>
            <w:gridSpan w:val="2"/>
          </w:tcPr>
          <w:p w14:paraId="4E4FD731" w14:textId="77777777" w:rsidR="00846E4D" w:rsidRPr="00632BB3" w:rsidRDefault="003F3109" w:rsidP="005E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846E4D" w:rsidRPr="00632BB3">
                  <w:rPr>
                    <w:rStyle w:val="Style2"/>
                    <w:rFonts w:ascii="MS Gothic" w:eastAsia="MS Gothic" w:hAnsi="MS Gothic"/>
                    <w:sz w:val="24"/>
                  </w:rPr>
                  <w:t>☐</w:t>
                </w:r>
              </w:sdtContent>
            </w:sdt>
            <w:r w:rsidR="00846E4D" w:rsidRPr="00632BB3">
              <w:t xml:space="preserve"> 29.2.3 neatitinka referencinės naudingumo vertės taikant arba netaikant PGS</w:t>
            </w:r>
          </w:p>
          <w:p w14:paraId="67FF62E5" w14:textId="77777777" w:rsidR="00846E4D" w:rsidRPr="00632BB3" w:rsidRDefault="00846E4D" w:rsidP="005E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B81D1D8" w14:textId="77777777" w:rsidR="00846E4D" w:rsidRPr="00632BB3" w:rsidRDefault="003F3109" w:rsidP="005E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846E4D" w:rsidRPr="00632BB3">
                  <w:rPr>
                    <w:rStyle w:val="Style2"/>
                    <w:rFonts w:ascii="Segoe UI Symbol" w:eastAsia="MS Gothic" w:hAnsi="Segoe UI Symbol" w:cs="Segoe UI Symbol"/>
                    <w:sz w:val="24"/>
                  </w:rPr>
                  <w:t>☐</w:t>
                </w:r>
              </w:sdtContent>
            </w:sdt>
            <w:r w:rsidR="00846E4D" w:rsidRPr="00632BB3">
              <w:t xml:space="preserve"> 29.2.4 gydymo juo kaštai yra didesni esant iš esmės nesiskiriančiam palyginamajam veiksmingumui, taikant arba netaikant PGS</w:t>
            </w:r>
          </w:p>
          <w:p w14:paraId="4E5C1F76" w14:textId="77777777" w:rsidR="00846E4D" w:rsidRPr="00632BB3" w:rsidRDefault="00846E4D" w:rsidP="005E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F2FE375" w14:textId="77777777" w:rsidR="00846E4D" w:rsidRPr="00632BB3" w:rsidRDefault="003F3109" w:rsidP="005E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846E4D" w:rsidRPr="00632BB3">
                  <w:rPr>
                    <w:rStyle w:val="Style2"/>
                    <w:rFonts w:ascii="Segoe UI Symbol" w:eastAsia="MS Gothic" w:hAnsi="Segoe UI Symbol" w:cs="Segoe UI Symbol"/>
                    <w:sz w:val="24"/>
                  </w:rPr>
                  <w:t>☐</w:t>
                </w:r>
              </w:sdtContent>
            </w:sdt>
            <w:r w:rsidR="00846E4D" w:rsidRPr="00632BB3">
              <w:t xml:space="preserve"> 29.2.5 pateikti duomenys apie kaštų naudingumą yra netinkami vertinti</w:t>
            </w:r>
          </w:p>
          <w:p w14:paraId="2B35E76E" w14:textId="77777777" w:rsidR="00846E4D" w:rsidRPr="00632BB3" w:rsidRDefault="00846E4D" w:rsidP="005E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bookmarkEnd w:id="0"/>
      <w:bookmarkEnd w:id="1"/>
    </w:tbl>
    <w:p w14:paraId="1D918B67" w14:textId="77777777" w:rsidR="00592CBC" w:rsidRPr="007C49E2" w:rsidRDefault="00592CBC" w:rsidP="00592CBC">
      <w:pPr>
        <w:spacing w:line="276" w:lineRule="auto"/>
        <w:jc w:val="both"/>
        <w:rPr>
          <w:rFonts w:eastAsia="Arial"/>
          <w:color w:val="FF0000"/>
        </w:rPr>
      </w:pPr>
    </w:p>
    <w:p w14:paraId="739DBA18" w14:textId="77777777" w:rsidR="00592CBC" w:rsidRPr="00102D09" w:rsidRDefault="00592CBC" w:rsidP="00592CBC">
      <w:pPr>
        <w:spacing w:line="276" w:lineRule="auto"/>
        <w:jc w:val="both"/>
        <w:rPr>
          <w:rFonts w:eastAsia="Arial"/>
        </w:rPr>
      </w:pPr>
    </w:p>
    <w:p w14:paraId="65ACA3C5" w14:textId="76C604A1" w:rsidR="004A3A61" w:rsidRPr="00E33EFF" w:rsidRDefault="004A3A61" w:rsidP="00381024"/>
    <w:p w14:paraId="3B2D1F25" w14:textId="3A80E19F" w:rsidR="000001B0" w:rsidRPr="00276057"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7E0D2C3D" w14:textId="77777777" w:rsidR="00276057" w:rsidRDefault="00276057" w:rsidP="00276057"/>
    <w:p w14:paraId="1A7BF28A" w14:textId="77777777" w:rsidR="00831D01" w:rsidRDefault="00831D01" w:rsidP="00831D01">
      <w:pPr>
        <w:spacing w:line="276" w:lineRule="auto"/>
        <w:jc w:val="both"/>
        <w:rPr>
          <w:color w:val="000000"/>
          <w:lang w:eastAsia="lt-LT"/>
        </w:rPr>
      </w:pPr>
      <w:bookmarkStart w:id="2" w:name="_Hlk201006303"/>
      <w:r>
        <w:t>V</w:t>
      </w:r>
      <w:r w:rsidRPr="002A024D">
        <w:t>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w:t>
      </w:r>
      <w:r>
        <w:t xml:space="preserve"> (toliau -Aprašas) </w:t>
      </w:r>
      <w:r w:rsidRPr="00471EC6">
        <w:rPr>
          <w:color w:val="000000"/>
          <w:lang w:eastAsia="lt-LT"/>
        </w:rPr>
        <w:t>30</w:t>
      </w:r>
      <w:r w:rsidRPr="00471EC6">
        <w:rPr>
          <w:color w:val="000000"/>
          <w:vertAlign w:val="superscript"/>
          <w:lang w:eastAsia="lt-LT"/>
        </w:rPr>
        <w:t>1</w:t>
      </w:r>
      <w:r w:rsidRPr="00471EC6">
        <w:rPr>
          <w:color w:val="000000"/>
          <w:lang w:eastAsia="lt-LT"/>
        </w:rPr>
        <w:t>.</w:t>
      </w:r>
      <w:r>
        <w:rPr>
          <w:color w:val="000000"/>
          <w:lang w:eastAsia="lt-LT"/>
        </w:rPr>
        <w:t>5</w:t>
      </w:r>
      <w:r w:rsidRPr="00471EC6">
        <w:rPr>
          <w:color w:val="000000"/>
          <w:lang w:eastAsia="lt-LT"/>
        </w:rPr>
        <w:t>.</w:t>
      </w:r>
      <w:r>
        <w:rPr>
          <w:color w:val="000000"/>
          <w:lang w:eastAsia="lt-LT"/>
        </w:rPr>
        <w:t xml:space="preserve"> punktu, </w:t>
      </w:r>
      <w:r w:rsidRPr="00030268">
        <w:rPr>
          <w:color w:val="000000"/>
          <w:lang w:eastAsia="lt-LT"/>
        </w:rPr>
        <w:t xml:space="preserve">kai vertinimo išvados atitinka Aprašo 29.1.2 </w:t>
      </w:r>
      <w:r w:rsidRPr="0007518A">
        <w:rPr>
          <w:lang w:eastAsia="lt-LT"/>
        </w:rPr>
        <w:t xml:space="preserve">ir 29.2.1 </w:t>
      </w:r>
      <w:r w:rsidRPr="00030268">
        <w:rPr>
          <w:color w:val="000000"/>
          <w:lang w:eastAsia="lt-LT"/>
        </w:rPr>
        <w:t>papunk</w:t>
      </w:r>
      <w:r>
        <w:rPr>
          <w:color w:val="000000"/>
          <w:lang w:eastAsia="lt-LT"/>
        </w:rPr>
        <w:t>čiuose</w:t>
      </w:r>
      <w:r w:rsidRPr="00030268">
        <w:rPr>
          <w:color w:val="000000"/>
          <w:lang w:eastAsia="lt-LT"/>
        </w:rPr>
        <w:t xml:space="preserve"> numatytas sąlygas</w:t>
      </w:r>
      <w:r>
        <w:rPr>
          <w:color w:val="000000"/>
          <w:lang w:eastAsia="lt-LT"/>
        </w:rPr>
        <w:t>, siūloma</w:t>
      </w:r>
      <w:r w:rsidRPr="00471EC6">
        <w:rPr>
          <w:color w:val="000000"/>
          <w:lang w:eastAsia="lt-LT"/>
        </w:rPr>
        <w:t xml:space="preserve"> kompensuoti vaistinį preparatą pagal paraiškoje nurodytą indikaciją </w:t>
      </w:r>
      <w:r>
        <w:rPr>
          <w:color w:val="000000"/>
          <w:lang w:eastAsia="lt-LT"/>
        </w:rPr>
        <w:t>su skyrimo sąlygomis.</w:t>
      </w:r>
    </w:p>
    <w:bookmarkEnd w:id="2"/>
    <w:p w14:paraId="40F8F7BB" w14:textId="77777777" w:rsidR="00276057" w:rsidRPr="00E33EFF" w:rsidRDefault="00276057" w:rsidP="00276057"/>
    <w:p w14:paraId="06BC01EE" w14:textId="44333E0B" w:rsidR="000723FF" w:rsidRPr="00E33EFF" w:rsidRDefault="000723FF" w:rsidP="00381024"/>
    <w:p w14:paraId="18B4292E" w14:textId="52B7A138"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SIŪLOMOS KOMPENSUOTI TERAPINĖS INDIKACIJOS IR SKYRIMO SĄLYGOS</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5BB746DD" w14:textId="3EC16C73" w:rsidR="000723FF" w:rsidRPr="00E33EFF" w:rsidRDefault="003F3109" w:rsidP="00824B92">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973567">
            <w:rPr>
              <w:rStyle w:val="Style2"/>
              <w:rFonts w:ascii="MS Gothic" w:eastAsia="MS Gothic" w:hAnsi="MS Gothic" w:hint="eastAsia"/>
            </w:rPr>
            <w:t>☒</w:t>
          </w:r>
        </w:sdtContent>
      </w:sdt>
      <w:r w:rsidR="000723FF" w:rsidRPr="00E33EFF">
        <w:t xml:space="preserve"> Siūloma kompensuoti Pareiškėjo teikiamą indikaciją be pakeitimų.</w:t>
      </w:r>
    </w:p>
    <w:p w14:paraId="62EF159A" w14:textId="77777777" w:rsidR="00997A8D" w:rsidRPr="0038181C" w:rsidRDefault="00997A8D" w:rsidP="00831D01">
      <w:pPr>
        <w:rPr>
          <w:rFonts w:eastAsia="Calibri"/>
        </w:rPr>
      </w:pPr>
      <w:r w:rsidRPr="0038181C">
        <w:rPr>
          <w:rFonts w:eastAsia="Calibri"/>
        </w:rPr>
        <w:lastRenderedPageBreak/>
        <w:t xml:space="preserve">KEYTRUDA derinant su chemoterapija, kurios sudėtyje yra platinos vaistinių preparatų, ir skiriant </w:t>
      </w:r>
      <w:proofErr w:type="spellStart"/>
      <w:r w:rsidRPr="0038181C">
        <w:rPr>
          <w:rFonts w:eastAsia="Calibri"/>
        </w:rPr>
        <w:t>neoadjuvantiniam</w:t>
      </w:r>
      <w:proofErr w:type="spellEnd"/>
      <w:r w:rsidRPr="0038181C">
        <w:rPr>
          <w:rFonts w:eastAsia="Calibri"/>
        </w:rPr>
        <w:t xml:space="preserve"> gydymui, o vėliau tęsiant kaip </w:t>
      </w:r>
      <w:proofErr w:type="spellStart"/>
      <w:r w:rsidRPr="0038181C">
        <w:rPr>
          <w:rFonts w:eastAsia="Calibri"/>
        </w:rPr>
        <w:t>monoterapiją</w:t>
      </w:r>
      <w:proofErr w:type="spellEnd"/>
      <w:r w:rsidRPr="0038181C">
        <w:rPr>
          <w:rFonts w:eastAsia="Calibri"/>
        </w:rPr>
        <w:t xml:space="preserve"> </w:t>
      </w:r>
      <w:proofErr w:type="spellStart"/>
      <w:r w:rsidRPr="0038181C">
        <w:rPr>
          <w:rFonts w:eastAsia="Calibri"/>
        </w:rPr>
        <w:t>adjuvantiniam</w:t>
      </w:r>
      <w:proofErr w:type="spellEnd"/>
      <w:r w:rsidRPr="0038181C">
        <w:rPr>
          <w:rFonts w:eastAsia="Calibri"/>
        </w:rPr>
        <w:t xml:space="preserve"> gydymui, skirtas </w:t>
      </w:r>
      <w:proofErr w:type="spellStart"/>
      <w:r w:rsidRPr="0038181C">
        <w:rPr>
          <w:rFonts w:eastAsia="Calibri"/>
        </w:rPr>
        <w:t>rezekuotinam</w:t>
      </w:r>
      <w:proofErr w:type="spellEnd"/>
      <w:r w:rsidRPr="0038181C">
        <w:rPr>
          <w:rFonts w:eastAsia="Calibri"/>
        </w:rPr>
        <w:t xml:space="preserve"> nesmulkiųjų ląstelių plaučių vėžiu sergančių suaugusiųjų, kuriems yra didelė vėžio recidyvo rizika, gydymui.</w:t>
      </w:r>
    </w:p>
    <w:p w14:paraId="7DD65F7E" w14:textId="77777777" w:rsidR="000723FF" w:rsidRPr="0038181C" w:rsidRDefault="000723FF" w:rsidP="00824B92"/>
    <w:p w14:paraId="241A6E6B" w14:textId="77777777" w:rsidR="000723FF" w:rsidRPr="0038181C" w:rsidRDefault="000723FF" w:rsidP="00824B92">
      <w:pPr>
        <w:rPr>
          <w:b/>
        </w:rPr>
      </w:pPr>
      <w:r w:rsidRPr="0038181C">
        <w:rPr>
          <w:b/>
        </w:rPr>
        <w:t>Skyrimo sąlygos</w:t>
      </w:r>
    </w:p>
    <w:p w14:paraId="250ACC46" w14:textId="22E78B59" w:rsidR="000723FF" w:rsidRPr="0038181C" w:rsidRDefault="003F3109" w:rsidP="00824B92">
      <w:sdt>
        <w:sdtPr>
          <w:rPr>
            <w:rStyle w:val="Style2"/>
          </w:rPr>
          <w:id w:val="169305347"/>
          <w15:color w:val="FFCC00"/>
          <w14:checkbox>
            <w14:checked w14:val="1"/>
            <w14:checkedState w14:val="2612" w14:font="MS Gothic"/>
            <w14:uncheckedState w14:val="2610" w14:font="MS Gothic"/>
          </w14:checkbox>
        </w:sdtPr>
        <w:sdtEndPr>
          <w:rPr>
            <w:rStyle w:val="Style2"/>
          </w:rPr>
        </w:sdtEndPr>
        <w:sdtContent>
          <w:r w:rsidR="009122E1" w:rsidRPr="0038181C">
            <w:rPr>
              <w:rStyle w:val="Style2"/>
              <w:rFonts w:ascii="MS Gothic" w:eastAsia="MS Gothic" w:hAnsi="MS Gothic" w:hint="eastAsia"/>
            </w:rPr>
            <w:t>☒</w:t>
          </w:r>
        </w:sdtContent>
      </w:sdt>
      <w:r w:rsidR="000723FF" w:rsidRPr="0038181C">
        <w:t xml:space="preserve"> Pareiškėjo siūlomos skyrimo sąlygos priimtinos. </w:t>
      </w:r>
    </w:p>
    <w:p w14:paraId="0285767F" w14:textId="77777777" w:rsidR="00394C71" w:rsidRPr="00D06F2D" w:rsidRDefault="00394C71" w:rsidP="00394C71">
      <w:pPr>
        <w:rPr>
          <w:rFonts w:eastAsia="Calibri"/>
        </w:rPr>
      </w:pPr>
      <w:bookmarkStart w:id="3" w:name="_Hlk205845411"/>
      <w:proofErr w:type="spellStart"/>
      <w:r w:rsidRPr="00D06F2D">
        <w:rPr>
          <w:rFonts w:eastAsia="Calibri"/>
        </w:rPr>
        <w:t>Rezekuotinam</w:t>
      </w:r>
      <w:proofErr w:type="spellEnd"/>
      <w:r w:rsidRPr="00D06F2D">
        <w:rPr>
          <w:rFonts w:eastAsia="Calibri"/>
        </w:rPr>
        <w:t xml:space="preserve"> NSLPV, kai yra didelė vėžio recidyvo rizika, </w:t>
      </w:r>
      <w:proofErr w:type="spellStart"/>
      <w:r w:rsidRPr="00D06F2D">
        <w:rPr>
          <w:rFonts w:eastAsia="Calibri"/>
        </w:rPr>
        <w:t>neoadjuvantiniam</w:t>
      </w:r>
      <w:proofErr w:type="spellEnd"/>
      <w:r w:rsidRPr="00D06F2D">
        <w:rPr>
          <w:rFonts w:eastAsia="Calibri"/>
        </w:rPr>
        <w:t xml:space="preserve"> gydymui derinyje su platinos pagrindo chemoterapija ne daugiau kaip  </w:t>
      </w:r>
      <w:r w:rsidRPr="00D06F2D">
        <w:rPr>
          <w:rFonts w:eastAsia="Calibri"/>
          <w:lang w:val="en-US"/>
        </w:rPr>
        <w:t xml:space="preserve">4 </w:t>
      </w:r>
      <w:proofErr w:type="spellStart"/>
      <w:r w:rsidRPr="00D06F2D">
        <w:rPr>
          <w:rFonts w:eastAsia="Calibri"/>
          <w:lang w:val="en-US"/>
        </w:rPr>
        <w:t>gydymo</w:t>
      </w:r>
      <w:proofErr w:type="spellEnd"/>
      <w:r w:rsidRPr="00D06F2D">
        <w:rPr>
          <w:rFonts w:eastAsia="Calibri"/>
        </w:rPr>
        <w:t xml:space="preserve"> ciklams; vėliau </w:t>
      </w:r>
      <w:proofErr w:type="spellStart"/>
      <w:r w:rsidRPr="00D06F2D">
        <w:rPr>
          <w:rFonts w:eastAsia="Calibri"/>
        </w:rPr>
        <w:t>adjuvantiniam</w:t>
      </w:r>
      <w:proofErr w:type="spellEnd"/>
      <w:r w:rsidRPr="00D06F2D">
        <w:rPr>
          <w:rFonts w:eastAsia="Calibri"/>
        </w:rPr>
        <w:t xml:space="preserve"> gydymui  kaip </w:t>
      </w:r>
      <w:proofErr w:type="spellStart"/>
      <w:r w:rsidRPr="00D06F2D">
        <w:rPr>
          <w:rFonts w:eastAsia="Calibri"/>
        </w:rPr>
        <w:t>monoterapiją</w:t>
      </w:r>
      <w:proofErr w:type="spellEnd"/>
      <w:r w:rsidRPr="00D06F2D">
        <w:rPr>
          <w:rFonts w:eastAsia="Calibri"/>
        </w:rPr>
        <w:t xml:space="preserve"> ne daugiau kaip iki 13 gydymo ciklų.</w:t>
      </w:r>
    </w:p>
    <w:p w14:paraId="551FA959" w14:textId="77777777" w:rsidR="00394C71" w:rsidRPr="00D06F2D" w:rsidRDefault="00394C71" w:rsidP="00394C71">
      <w:pPr>
        <w:rPr>
          <w:b/>
        </w:rPr>
      </w:pPr>
      <w:r w:rsidRPr="00D06F2D">
        <w:rPr>
          <w:rFonts w:eastAsia="Calibri"/>
        </w:rPr>
        <w:t xml:space="preserve"> </w:t>
      </w:r>
    </w:p>
    <w:bookmarkEnd w:id="3"/>
    <w:p w14:paraId="668F86EB" w14:textId="4AB4509D" w:rsidR="0038181C" w:rsidRPr="000723FF" w:rsidRDefault="0038181C" w:rsidP="00394C71">
      <w:pPr>
        <w:rPr>
          <w:b/>
        </w:rPr>
      </w:pPr>
    </w:p>
    <w:sectPr w:rsidR="0038181C" w:rsidRPr="000723FF" w:rsidSect="005D30E1">
      <w:headerReference w:type="first" r:id="rId7"/>
      <w:footerReference w:type="first" r:id="rId8"/>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D001" w14:textId="77777777" w:rsidR="001D7B71" w:rsidRDefault="001D7B71">
      <w:r>
        <w:separator/>
      </w:r>
    </w:p>
  </w:endnote>
  <w:endnote w:type="continuationSeparator" w:id="0">
    <w:p w14:paraId="151C0CC0" w14:textId="77777777" w:rsidR="001D7B71" w:rsidRDefault="001D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9DDB" w14:textId="77777777" w:rsidR="001D7B71" w:rsidRDefault="001D7B71">
      <w:r>
        <w:separator/>
      </w:r>
    </w:p>
  </w:footnote>
  <w:footnote w:type="continuationSeparator" w:id="0">
    <w:p w14:paraId="4CF0BCCD" w14:textId="77777777" w:rsidR="001D7B71" w:rsidRDefault="001D7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multilevel"/>
    <w:tmpl w:val="79D2DBD2"/>
    <w:lvl w:ilvl="0">
      <w:start w:val="1"/>
      <w:numFmt w:val="decimal"/>
      <w:lvlText w:val="%1."/>
      <w:lvlJc w:val="left"/>
      <w:pPr>
        <w:ind w:left="720" w:hanging="360"/>
      </w:pPr>
      <w:rPr>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3FB4173D"/>
    <w:multiLevelType w:val="hybridMultilevel"/>
    <w:tmpl w:val="45BEFCF4"/>
    <w:lvl w:ilvl="0" w:tplc="7CEC0E98">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3604847">
    <w:abstractNumId w:val="7"/>
  </w:num>
  <w:num w:numId="2" w16cid:durableId="629282013">
    <w:abstractNumId w:val="1"/>
  </w:num>
  <w:num w:numId="3" w16cid:durableId="213152936">
    <w:abstractNumId w:val="9"/>
  </w:num>
  <w:num w:numId="4" w16cid:durableId="1244144692">
    <w:abstractNumId w:val="8"/>
  </w:num>
  <w:num w:numId="5" w16cid:durableId="926303842">
    <w:abstractNumId w:val="5"/>
  </w:num>
  <w:num w:numId="6" w16cid:durableId="259333593">
    <w:abstractNumId w:val="4"/>
  </w:num>
  <w:num w:numId="7" w16cid:durableId="108816069">
    <w:abstractNumId w:val="3"/>
  </w:num>
  <w:num w:numId="8" w16cid:durableId="668171815">
    <w:abstractNumId w:val="12"/>
  </w:num>
  <w:num w:numId="9" w16cid:durableId="92941564">
    <w:abstractNumId w:val="0"/>
  </w:num>
  <w:num w:numId="10" w16cid:durableId="584806518">
    <w:abstractNumId w:val="10"/>
  </w:num>
  <w:num w:numId="11" w16cid:durableId="1338576873">
    <w:abstractNumId w:val="11"/>
  </w:num>
  <w:num w:numId="12" w16cid:durableId="2043898840">
    <w:abstractNumId w:val="2"/>
  </w:num>
  <w:num w:numId="13" w16cid:durableId="13695734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66190"/>
    <w:rsid w:val="000723FF"/>
    <w:rsid w:val="000736B8"/>
    <w:rsid w:val="0008190F"/>
    <w:rsid w:val="00081D9C"/>
    <w:rsid w:val="00082907"/>
    <w:rsid w:val="0008378D"/>
    <w:rsid w:val="000908A5"/>
    <w:rsid w:val="00092805"/>
    <w:rsid w:val="000C3804"/>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0105"/>
    <w:rsid w:val="00164146"/>
    <w:rsid w:val="0017369C"/>
    <w:rsid w:val="00175D57"/>
    <w:rsid w:val="00180C39"/>
    <w:rsid w:val="00180D96"/>
    <w:rsid w:val="00184BD3"/>
    <w:rsid w:val="001921F3"/>
    <w:rsid w:val="001B3C5B"/>
    <w:rsid w:val="001C2727"/>
    <w:rsid w:val="001D746F"/>
    <w:rsid w:val="001D7B71"/>
    <w:rsid w:val="001E4BBB"/>
    <w:rsid w:val="001E6304"/>
    <w:rsid w:val="00200C53"/>
    <w:rsid w:val="0020381E"/>
    <w:rsid w:val="00213471"/>
    <w:rsid w:val="00215906"/>
    <w:rsid w:val="00224E10"/>
    <w:rsid w:val="00241CD8"/>
    <w:rsid w:val="00244B09"/>
    <w:rsid w:val="002519CB"/>
    <w:rsid w:val="0025697F"/>
    <w:rsid w:val="00260258"/>
    <w:rsid w:val="0026588E"/>
    <w:rsid w:val="00272428"/>
    <w:rsid w:val="00272948"/>
    <w:rsid w:val="00276057"/>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02825"/>
    <w:rsid w:val="00317B0E"/>
    <w:rsid w:val="00347FAA"/>
    <w:rsid w:val="0035172D"/>
    <w:rsid w:val="0036187D"/>
    <w:rsid w:val="00367EDB"/>
    <w:rsid w:val="00381024"/>
    <w:rsid w:val="0038181C"/>
    <w:rsid w:val="00386307"/>
    <w:rsid w:val="003874DE"/>
    <w:rsid w:val="00393E9F"/>
    <w:rsid w:val="00394C71"/>
    <w:rsid w:val="0039696E"/>
    <w:rsid w:val="003B211A"/>
    <w:rsid w:val="003C141F"/>
    <w:rsid w:val="003C6B0E"/>
    <w:rsid w:val="003C7257"/>
    <w:rsid w:val="003C7E35"/>
    <w:rsid w:val="003D1877"/>
    <w:rsid w:val="003D1E99"/>
    <w:rsid w:val="003D6208"/>
    <w:rsid w:val="003F3109"/>
    <w:rsid w:val="00404E8A"/>
    <w:rsid w:val="0040622F"/>
    <w:rsid w:val="00413F24"/>
    <w:rsid w:val="00422853"/>
    <w:rsid w:val="00423160"/>
    <w:rsid w:val="00425088"/>
    <w:rsid w:val="00431C47"/>
    <w:rsid w:val="00442C42"/>
    <w:rsid w:val="004537D0"/>
    <w:rsid w:val="00453862"/>
    <w:rsid w:val="0045469B"/>
    <w:rsid w:val="00461338"/>
    <w:rsid w:val="004677DB"/>
    <w:rsid w:val="0047414A"/>
    <w:rsid w:val="00476256"/>
    <w:rsid w:val="0048630F"/>
    <w:rsid w:val="004947A1"/>
    <w:rsid w:val="0049482A"/>
    <w:rsid w:val="004979D3"/>
    <w:rsid w:val="004A00E7"/>
    <w:rsid w:val="004A3A61"/>
    <w:rsid w:val="004B205D"/>
    <w:rsid w:val="004B59BA"/>
    <w:rsid w:val="004B5A03"/>
    <w:rsid w:val="004C0039"/>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265F7"/>
    <w:rsid w:val="00534E11"/>
    <w:rsid w:val="005378D8"/>
    <w:rsid w:val="005400D9"/>
    <w:rsid w:val="005476A4"/>
    <w:rsid w:val="0055019B"/>
    <w:rsid w:val="00556E63"/>
    <w:rsid w:val="005601A4"/>
    <w:rsid w:val="005669BD"/>
    <w:rsid w:val="00566DBB"/>
    <w:rsid w:val="005767DB"/>
    <w:rsid w:val="005815E6"/>
    <w:rsid w:val="0058712F"/>
    <w:rsid w:val="00592CBC"/>
    <w:rsid w:val="005976CE"/>
    <w:rsid w:val="005A23D4"/>
    <w:rsid w:val="005A2D1E"/>
    <w:rsid w:val="005B3756"/>
    <w:rsid w:val="005C493F"/>
    <w:rsid w:val="005C6BF7"/>
    <w:rsid w:val="005C71BF"/>
    <w:rsid w:val="005D002C"/>
    <w:rsid w:val="005D30E1"/>
    <w:rsid w:val="005D6555"/>
    <w:rsid w:val="005D7BDF"/>
    <w:rsid w:val="005D7E3B"/>
    <w:rsid w:val="005E4870"/>
    <w:rsid w:val="005F71D9"/>
    <w:rsid w:val="005F7602"/>
    <w:rsid w:val="006031C8"/>
    <w:rsid w:val="006062BE"/>
    <w:rsid w:val="00613143"/>
    <w:rsid w:val="00613501"/>
    <w:rsid w:val="0061611B"/>
    <w:rsid w:val="006166A8"/>
    <w:rsid w:val="006174A1"/>
    <w:rsid w:val="00621D6C"/>
    <w:rsid w:val="00633B49"/>
    <w:rsid w:val="0064297F"/>
    <w:rsid w:val="00645102"/>
    <w:rsid w:val="00646CF3"/>
    <w:rsid w:val="00653D11"/>
    <w:rsid w:val="00662983"/>
    <w:rsid w:val="00672578"/>
    <w:rsid w:val="006834D3"/>
    <w:rsid w:val="00692625"/>
    <w:rsid w:val="00694CD0"/>
    <w:rsid w:val="00695CD3"/>
    <w:rsid w:val="006A38B6"/>
    <w:rsid w:val="006A5E89"/>
    <w:rsid w:val="006B1987"/>
    <w:rsid w:val="006B5B71"/>
    <w:rsid w:val="006B6CB0"/>
    <w:rsid w:val="006C0296"/>
    <w:rsid w:val="006C2B64"/>
    <w:rsid w:val="006C3C5F"/>
    <w:rsid w:val="006D4C85"/>
    <w:rsid w:val="006D66AC"/>
    <w:rsid w:val="006E29DE"/>
    <w:rsid w:val="006E33F6"/>
    <w:rsid w:val="006E3B14"/>
    <w:rsid w:val="006F1251"/>
    <w:rsid w:val="006F1C23"/>
    <w:rsid w:val="00702C18"/>
    <w:rsid w:val="00703166"/>
    <w:rsid w:val="00704571"/>
    <w:rsid w:val="007127F3"/>
    <w:rsid w:val="00721275"/>
    <w:rsid w:val="007301CF"/>
    <w:rsid w:val="007316FB"/>
    <w:rsid w:val="00734DF9"/>
    <w:rsid w:val="007374D0"/>
    <w:rsid w:val="00737E2D"/>
    <w:rsid w:val="007424D5"/>
    <w:rsid w:val="00746C8C"/>
    <w:rsid w:val="00750A88"/>
    <w:rsid w:val="007523DD"/>
    <w:rsid w:val="00757B7E"/>
    <w:rsid w:val="007656B2"/>
    <w:rsid w:val="0077016F"/>
    <w:rsid w:val="007713AD"/>
    <w:rsid w:val="00795DC5"/>
    <w:rsid w:val="00797153"/>
    <w:rsid w:val="007A21F7"/>
    <w:rsid w:val="007A2B68"/>
    <w:rsid w:val="007B0DDA"/>
    <w:rsid w:val="007C0875"/>
    <w:rsid w:val="007C49E2"/>
    <w:rsid w:val="007C6794"/>
    <w:rsid w:val="007C7519"/>
    <w:rsid w:val="007D3347"/>
    <w:rsid w:val="007E5466"/>
    <w:rsid w:val="007F1949"/>
    <w:rsid w:val="007F2592"/>
    <w:rsid w:val="00800A08"/>
    <w:rsid w:val="00817A84"/>
    <w:rsid w:val="008225A4"/>
    <w:rsid w:val="00824899"/>
    <w:rsid w:val="00824B92"/>
    <w:rsid w:val="00826D5E"/>
    <w:rsid w:val="00831D01"/>
    <w:rsid w:val="00832013"/>
    <w:rsid w:val="00832DB7"/>
    <w:rsid w:val="00834732"/>
    <w:rsid w:val="00846E4D"/>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014E7"/>
    <w:rsid w:val="00907512"/>
    <w:rsid w:val="009122E1"/>
    <w:rsid w:val="0092297E"/>
    <w:rsid w:val="00923651"/>
    <w:rsid w:val="00927B56"/>
    <w:rsid w:val="009341BF"/>
    <w:rsid w:val="00937907"/>
    <w:rsid w:val="00941739"/>
    <w:rsid w:val="00943E06"/>
    <w:rsid w:val="00951573"/>
    <w:rsid w:val="00963003"/>
    <w:rsid w:val="00966EEF"/>
    <w:rsid w:val="00971B28"/>
    <w:rsid w:val="00973567"/>
    <w:rsid w:val="00983471"/>
    <w:rsid w:val="009909AB"/>
    <w:rsid w:val="00997A8D"/>
    <w:rsid w:val="009B37DB"/>
    <w:rsid w:val="009B69C8"/>
    <w:rsid w:val="009C793D"/>
    <w:rsid w:val="009C7A8C"/>
    <w:rsid w:val="009D21BA"/>
    <w:rsid w:val="009D23F9"/>
    <w:rsid w:val="009D4FA8"/>
    <w:rsid w:val="009E44AE"/>
    <w:rsid w:val="009E6CD6"/>
    <w:rsid w:val="009F19F4"/>
    <w:rsid w:val="009F4D66"/>
    <w:rsid w:val="00A00C3C"/>
    <w:rsid w:val="00A01091"/>
    <w:rsid w:val="00A042B9"/>
    <w:rsid w:val="00A06DBB"/>
    <w:rsid w:val="00A22ADF"/>
    <w:rsid w:val="00A31E86"/>
    <w:rsid w:val="00A54D87"/>
    <w:rsid w:val="00A5553C"/>
    <w:rsid w:val="00A63266"/>
    <w:rsid w:val="00A67712"/>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3C00"/>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6312"/>
    <w:rsid w:val="00BC4D06"/>
    <w:rsid w:val="00BD18D3"/>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630AE"/>
    <w:rsid w:val="00C7012C"/>
    <w:rsid w:val="00C712EA"/>
    <w:rsid w:val="00C7223D"/>
    <w:rsid w:val="00CA217D"/>
    <w:rsid w:val="00CC09D4"/>
    <w:rsid w:val="00CC668D"/>
    <w:rsid w:val="00CC7832"/>
    <w:rsid w:val="00CF0C1C"/>
    <w:rsid w:val="00CF27FD"/>
    <w:rsid w:val="00CF5F12"/>
    <w:rsid w:val="00D00D8F"/>
    <w:rsid w:val="00D16FF3"/>
    <w:rsid w:val="00D21F3A"/>
    <w:rsid w:val="00D23808"/>
    <w:rsid w:val="00D3016A"/>
    <w:rsid w:val="00D31225"/>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970E4"/>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Tabellengitternetz 9pt,Lash Style Table,Nexus Values grey,Summary box,Dossier Table,Dossier table,Section 3- footnotes"/>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uiPriority w:val="1"/>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rsid w:val="003D1877"/>
    <w:rPr>
      <w:sz w:val="24"/>
      <w:szCs w:val="24"/>
      <w:lang w:eastAsia="en-US"/>
    </w:rPr>
  </w:style>
  <w:style w:type="paragraph" w:customStyle="1" w:styleId="Tekstas">
    <w:name w:val="Tekstas"/>
    <w:basedOn w:val="prastasis"/>
    <w:link w:val="TekstasChar"/>
    <w:qFormat/>
    <w:rsid w:val="00704571"/>
    <w:pPr>
      <w:spacing w:after="120"/>
      <w:jc w:val="both"/>
    </w:pPr>
  </w:style>
  <w:style w:type="character" w:customStyle="1" w:styleId="TekstasChar">
    <w:name w:val="Tekstas Char"/>
    <w:link w:val="Tekstas"/>
    <w:rsid w:val="0070457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3FD9C8F1B414D89D0916AAFB08D77"/>
        <w:category>
          <w:name w:val="General"/>
          <w:gallery w:val="placeholder"/>
        </w:category>
        <w:types>
          <w:type w:val="bbPlcHdr"/>
        </w:types>
        <w:behaviors>
          <w:behavior w:val="content"/>
        </w:behaviors>
        <w:guid w:val="{4F8D9FC9-573F-4241-9922-D4C1969E168E}"/>
      </w:docPartPr>
      <w:docPartBody>
        <w:p w:rsidR="004042BC" w:rsidRDefault="00E3528B" w:rsidP="00E3528B">
          <w:pPr>
            <w:pStyle w:val="5A93FD9C8F1B414D89D0916AAFB08D77"/>
          </w:pPr>
          <w:r>
            <w:rPr>
              <w:rStyle w:val="Vietosrezervavimoenklotekstas"/>
            </w:rPr>
            <w:t>Click here to enter a date.</w:t>
          </w:r>
        </w:p>
      </w:docPartBody>
    </w:docPart>
    <w:docPart>
      <w:docPartPr>
        <w:name w:val="5DC0FA577E589A4D8A0F2AA25CDDD4BC"/>
        <w:category>
          <w:name w:val="General"/>
          <w:gallery w:val="placeholder"/>
        </w:category>
        <w:types>
          <w:type w:val="bbPlcHdr"/>
        </w:types>
        <w:behaviors>
          <w:behavior w:val="content"/>
        </w:behaviors>
        <w:guid w:val="{39813719-B2E2-E445-81C9-41D6D26F34F9}"/>
      </w:docPartPr>
      <w:docPartBody>
        <w:p w:rsidR="004042BC" w:rsidRDefault="00E3528B" w:rsidP="00E3528B">
          <w:pPr>
            <w:pStyle w:val="5DC0FA577E589A4D8A0F2AA25CDDD4BC"/>
          </w:pPr>
          <w:r>
            <w:rPr>
              <w:rStyle w:val="Vietosrezervavimoenklotekstas"/>
            </w:rPr>
            <w:t>Click here to enter a date.</w:t>
          </w:r>
        </w:p>
      </w:docPartBody>
    </w:docPart>
    <w:docPart>
      <w:docPartPr>
        <w:name w:val="9E916E70BFF8B34BA2EE0D733932B576"/>
        <w:category>
          <w:name w:val="General"/>
          <w:gallery w:val="placeholder"/>
        </w:category>
        <w:types>
          <w:type w:val="bbPlcHdr"/>
        </w:types>
        <w:behaviors>
          <w:behavior w:val="content"/>
        </w:behaviors>
        <w:guid w:val="{00A9AD20-4347-1B43-93E0-56331A165209}"/>
      </w:docPartPr>
      <w:docPartBody>
        <w:p w:rsidR="004042BC" w:rsidRDefault="00E3528B" w:rsidP="00E3528B">
          <w:pPr>
            <w:pStyle w:val="9E916E70BFF8B34BA2EE0D733932B576"/>
          </w:pPr>
          <w:r w:rsidRPr="00546469">
            <w:rPr>
              <w:rStyle w:val="Vietosrezervavimoenklotekstas"/>
            </w:rPr>
            <w:t>Click or tap here to enter text.</w:t>
          </w:r>
        </w:p>
      </w:docPartBody>
    </w:docPart>
    <w:docPart>
      <w:docPartPr>
        <w:name w:val="0B0F097966544146BD7DD1786C079BB3"/>
        <w:category>
          <w:name w:val="General"/>
          <w:gallery w:val="placeholder"/>
        </w:category>
        <w:types>
          <w:type w:val="bbPlcHdr"/>
        </w:types>
        <w:behaviors>
          <w:behavior w:val="content"/>
        </w:behaviors>
        <w:guid w:val="{907D09AB-C001-8E46-B352-7028F56F8883}"/>
      </w:docPartPr>
      <w:docPartBody>
        <w:p w:rsidR="004042BC" w:rsidRDefault="00E3528B" w:rsidP="00E3528B">
          <w:pPr>
            <w:pStyle w:val="0B0F097966544146BD7DD1786C079BB3"/>
          </w:pPr>
          <w:r>
            <w:rPr>
              <w:rStyle w:val="Vietosrezervavimoenklotekstas"/>
            </w:rPr>
            <w:t>Click here to enter a date.</w:t>
          </w:r>
        </w:p>
      </w:docPartBody>
    </w:docPart>
    <w:docPart>
      <w:docPartPr>
        <w:name w:val="541F925969032945A2B9BBBC2B6E993E"/>
        <w:category>
          <w:name w:val="General"/>
          <w:gallery w:val="placeholder"/>
        </w:category>
        <w:types>
          <w:type w:val="bbPlcHdr"/>
        </w:types>
        <w:behaviors>
          <w:behavior w:val="content"/>
        </w:behaviors>
        <w:guid w:val="{1D8023CC-98E6-464D-A4AB-0509975C0685}"/>
      </w:docPartPr>
      <w:docPartBody>
        <w:p w:rsidR="004042BC" w:rsidRDefault="00E3528B" w:rsidP="00E3528B">
          <w:pPr>
            <w:pStyle w:val="541F925969032945A2B9BBBC2B6E993E"/>
          </w:pPr>
          <w:r>
            <w:rPr>
              <w:rStyle w:val="Vietosrezervavimoenklotekstas"/>
            </w:rPr>
            <w:t>Click here to enter a date.</w:t>
          </w:r>
        </w:p>
      </w:docPartBody>
    </w:docPart>
    <w:docPart>
      <w:docPartPr>
        <w:name w:val="BFC83CBC34138A438EF4AAF539FA1579"/>
        <w:category>
          <w:name w:val="General"/>
          <w:gallery w:val="placeholder"/>
        </w:category>
        <w:types>
          <w:type w:val="bbPlcHdr"/>
        </w:types>
        <w:behaviors>
          <w:behavior w:val="content"/>
        </w:behaviors>
        <w:guid w:val="{F321E6FE-7071-AB4A-B425-B8854F57BE4A}"/>
      </w:docPartPr>
      <w:docPartBody>
        <w:p w:rsidR="004042BC" w:rsidRDefault="00E3528B" w:rsidP="00E3528B">
          <w:pPr>
            <w:pStyle w:val="BFC83CBC34138A438EF4AAF539FA1579"/>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C3804"/>
    <w:rsid w:val="000D24D4"/>
    <w:rsid w:val="0016720C"/>
    <w:rsid w:val="001C2727"/>
    <w:rsid w:val="001C35A9"/>
    <w:rsid w:val="001F47C5"/>
    <w:rsid w:val="00216038"/>
    <w:rsid w:val="00237556"/>
    <w:rsid w:val="00252976"/>
    <w:rsid w:val="002D7227"/>
    <w:rsid w:val="0039303B"/>
    <w:rsid w:val="004042BC"/>
    <w:rsid w:val="004144A3"/>
    <w:rsid w:val="004160E7"/>
    <w:rsid w:val="00425088"/>
    <w:rsid w:val="004416C6"/>
    <w:rsid w:val="00483CD7"/>
    <w:rsid w:val="004F5AB2"/>
    <w:rsid w:val="005074B9"/>
    <w:rsid w:val="005D7E3B"/>
    <w:rsid w:val="005E40DD"/>
    <w:rsid w:val="00694CD0"/>
    <w:rsid w:val="006C3C5F"/>
    <w:rsid w:val="007219C1"/>
    <w:rsid w:val="0074261C"/>
    <w:rsid w:val="00753462"/>
    <w:rsid w:val="00772325"/>
    <w:rsid w:val="007A2FE0"/>
    <w:rsid w:val="007C6D1D"/>
    <w:rsid w:val="0090074D"/>
    <w:rsid w:val="00907512"/>
    <w:rsid w:val="009B3BF0"/>
    <w:rsid w:val="009B69C8"/>
    <w:rsid w:val="009C793D"/>
    <w:rsid w:val="009D21BA"/>
    <w:rsid w:val="009D5E5E"/>
    <w:rsid w:val="009F19F4"/>
    <w:rsid w:val="009F1BB4"/>
    <w:rsid w:val="00AB6ED4"/>
    <w:rsid w:val="00B14210"/>
    <w:rsid w:val="00B23DC0"/>
    <w:rsid w:val="00B96656"/>
    <w:rsid w:val="00BE29C1"/>
    <w:rsid w:val="00C2401D"/>
    <w:rsid w:val="00C53A68"/>
    <w:rsid w:val="00CA5BB4"/>
    <w:rsid w:val="00CB4BD1"/>
    <w:rsid w:val="00CE2DA9"/>
    <w:rsid w:val="00CE44BE"/>
    <w:rsid w:val="00D107CD"/>
    <w:rsid w:val="00D4356B"/>
    <w:rsid w:val="00D7162F"/>
    <w:rsid w:val="00E3528B"/>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E3528B"/>
    <w:rPr>
      <w:color w:val="808080"/>
    </w:rPr>
  </w:style>
  <w:style w:type="paragraph" w:customStyle="1" w:styleId="5A93FD9C8F1B414D89D0916AAFB08D77">
    <w:name w:val="5A93FD9C8F1B414D89D0916AAFB08D77"/>
    <w:rsid w:val="00E3528B"/>
    <w:pPr>
      <w:spacing w:line="278" w:lineRule="auto"/>
    </w:pPr>
    <w:rPr>
      <w:kern w:val="2"/>
      <w:sz w:val="24"/>
      <w:szCs w:val="24"/>
      <w:lang w:eastAsia="en-GB"/>
      <w14:ligatures w14:val="standardContextual"/>
    </w:rPr>
  </w:style>
  <w:style w:type="paragraph" w:customStyle="1" w:styleId="5DC0FA577E589A4D8A0F2AA25CDDD4BC">
    <w:name w:val="5DC0FA577E589A4D8A0F2AA25CDDD4BC"/>
    <w:rsid w:val="00E3528B"/>
    <w:pPr>
      <w:spacing w:line="278" w:lineRule="auto"/>
    </w:pPr>
    <w:rPr>
      <w:kern w:val="2"/>
      <w:sz w:val="24"/>
      <w:szCs w:val="24"/>
      <w:lang w:eastAsia="en-GB"/>
      <w14:ligatures w14:val="standardContextual"/>
    </w:rPr>
  </w:style>
  <w:style w:type="paragraph" w:customStyle="1" w:styleId="9E916E70BFF8B34BA2EE0D733932B576">
    <w:name w:val="9E916E70BFF8B34BA2EE0D733932B576"/>
    <w:rsid w:val="00E3528B"/>
    <w:pPr>
      <w:spacing w:line="278" w:lineRule="auto"/>
    </w:pPr>
    <w:rPr>
      <w:kern w:val="2"/>
      <w:sz w:val="24"/>
      <w:szCs w:val="24"/>
      <w:lang w:eastAsia="en-GB"/>
      <w14:ligatures w14:val="standardContextual"/>
    </w:rPr>
  </w:style>
  <w:style w:type="paragraph" w:customStyle="1" w:styleId="0B0F097966544146BD7DD1786C079BB3">
    <w:name w:val="0B0F097966544146BD7DD1786C079BB3"/>
    <w:rsid w:val="00E3528B"/>
    <w:pPr>
      <w:spacing w:line="278" w:lineRule="auto"/>
    </w:pPr>
    <w:rPr>
      <w:kern w:val="2"/>
      <w:sz w:val="24"/>
      <w:szCs w:val="24"/>
      <w:lang w:eastAsia="en-GB"/>
      <w14:ligatures w14:val="standardContextual"/>
    </w:rPr>
  </w:style>
  <w:style w:type="paragraph" w:customStyle="1" w:styleId="541F925969032945A2B9BBBC2B6E993E">
    <w:name w:val="541F925969032945A2B9BBBC2B6E993E"/>
    <w:rsid w:val="00E3528B"/>
    <w:pPr>
      <w:spacing w:line="278" w:lineRule="auto"/>
    </w:pPr>
    <w:rPr>
      <w:kern w:val="2"/>
      <w:sz w:val="24"/>
      <w:szCs w:val="24"/>
      <w:lang w:eastAsia="en-GB"/>
      <w14:ligatures w14:val="standardContextual"/>
    </w:rPr>
  </w:style>
  <w:style w:type="paragraph" w:customStyle="1" w:styleId="BFC83CBC34138A438EF4AAF539FA1579">
    <w:name w:val="BFC83CBC34138A438EF4AAF539FA1579"/>
    <w:rsid w:val="00E3528B"/>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2082</Words>
  <Characters>15096</Characters>
  <Application>Microsoft Office Word</Application>
  <DocSecurity>0</DocSecurity>
  <Lines>125</Lines>
  <Paragraphs>34</Paragraphs>
  <ScaleCrop>false</ScaleCrop>
  <Company/>
  <LinksUpToDate>false</LinksUpToDate>
  <CharactersWithSpaces>17144</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2025-08-12T12:17:00Z</dcterms:created>
  <dcterms:modified xsi:type="dcterms:W3CDTF">2025-08-18T10:49:00Z</dcterms:modified>
</cp:coreProperties>
</file>