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7B06DE" w:rsidRDefault="001B3C5B" w:rsidP="001B3C5B">
      <w:pPr>
        <w:ind w:left="6096"/>
      </w:pPr>
      <w:r w:rsidRPr="007B06DE">
        <w:t>Forma patvirtinta</w:t>
      </w:r>
    </w:p>
    <w:p w14:paraId="7206970B" w14:textId="70E9BD2E" w:rsidR="004C263A" w:rsidRPr="007B06DE" w:rsidRDefault="001B3C5B" w:rsidP="001B3C5B">
      <w:pPr>
        <w:ind w:left="6096"/>
      </w:pPr>
      <w:r w:rsidRPr="007B06DE">
        <w:t>Valstybinės vaistų kontrolės tarnybos prie Lietuvos Respublikos sveikatos apsaugos ministerijos viršininko 2021 m</w:t>
      </w:r>
      <w:r w:rsidR="004C263A" w:rsidRPr="007B06DE">
        <w:t xml:space="preserve">. lapkričio 12 </w:t>
      </w:r>
      <w:r w:rsidRPr="007B06DE">
        <w:t>d. įsakymu Nr.</w:t>
      </w:r>
      <w:r w:rsidR="004C263A" w:rsidRPr="007B06DE">
        <w:t xml:space="preserve"> (1.72E)1A-1418</w:t>
      </w:r>
    </w:p>
    <w:p w14:paraId="5B219AA6" w14:textId="520B9136" w:rsidR="001B3C5B" w:rsidRPr="007B06DE" w:rsidRDefault="004C263A" w:rsidP="001B3C5B">
      <w:pPr>
        <w:ind w:left="6096"/>
      </w:pPr>
      <w:r w:rsidRPr="007B06DE">
        <w:t>(Valstybinės vaistų kontrolės tarnybos prie Lietuvos Respublikos sveikatos apsaugos ministerijos viršininko 2022 m.                         d. įsakymo Nr.                    redakcija)</w:t>
      </w:r>
    </w:p>
    <w:p w14:paraId="3336BD74" w14:textId="77777777" w:rsidR="001B3C5B" w:rsidRPr="007B06DE" w:rsidRDefault="001B3C5B" w:rsidP="00FA4169"/>
    <w:p w14:paraId="77AFB67E" w14:textId="16397257" w:rsidR="00613501" w:rsidRPr="007B06DE" w:rsidRDefault="002F0E4F" w:rsidP="003B211A">
      <w:pPr>
        <w:jc w:val="center"/>
        <w:rPr>
          <w:b/>
          <w:bCs/>
          <w:caps/>
        </w:rPr>
      </w:pPr>
      <w:r w:rsidRPr="007B06DE">
        <w:rPr>
          <w:b/>
        </w:rPr>
        <w:t xml:space="preserve">REKOMENDACIJA DĖL VAISTINIO PREPARATO </w:t>
      </w:r>
      <w:r w:rsidRPr="007B06DE">
        <w:rPr>
          <w:b/>
          <w:bCs/>
          <w:caps/>
        </w:rPr>
        <w:t>Lietuvos Respublikos Sveikatos apsaugos ministerijos vaistinių preparatų ir medicinos pagalbos priemonių kompensavimo komisijai</w:t>
      </w:r>
    </w:p>
    <w:p w14:paraId="34E4395D" w14:textId="15FB10DF" w:rsidR="00B13D65" w:rsidRPr="007B06DE" w:rsidRDefault="00B13D65" w:rsidP="003B211A">
      <w:pPr>
        <w:jc w:val="center"/>
        <w:rPr>
          <w:b/>
        </w:rPr>
      </w:pPr>
    </w:p>
    <w:p w14:paraId="7D98274E" w14:textId="77777777" w:rsidR="00CB0299" w:rsidRPr="007B06DE" w:rsidRDefault="00CB0299" w:rsidP="00CB0299">
      <w:pPr>
        <w:jc w:val="center"/>
        <w:rPr>
          <w:b/>
        </w:rPr>
      </w:pPr>
      <w:bookmarkStart w:id="0" w:name="_Hlk175083986"/>
      <w:r w:rsidRPr="007B06DE">
        <w:rPr>
          <w:b/>
        </w:rPr>
        <w:t>Tecvayli 10 mg/ml injekcinis tirpalas</w:t>
      </w:r>
    </w:p>
    <w:p w14:paraId="5128E68D" w14:textId="77777777" w:rsidR="00CB0299" w:rsidRPr="007B06DE" w:rsidRDefault="00CB0299" w:rsidP="00CB0299">
      <w:pPr>
        <w:jc w:val="center"/>
        <w:rPr>
          <w:b/>
        </w:rPr>
      </w:pPr>
      <w:r w:rsidRPr="007B06DE">
        <w:rPr>
          <w:b/>
        </w:rPr>
        <w:t>Tecvayli 90 mg/ml  injekcinis tirpalas</w:t>
      </w:r>
    </w:p>
    <w:p w14:paraId="29219BF2" w14:textId="77777777" w:rsidR="00CB0299" w:rsidRPr="007B06DE" w:rsidRDefault="00CB0299" w:rsidP="00CB0299">
      <w:pPr>
        <w:jc w:val="center"/>
      </w:pPr>
    </w:p>
    <w:p w14:paraId="09685BE6" w14:textId="77777777" w:rsidR="00CB0299" w:rsidRPr="007B06DE" w:rsidRDefault="00CB0299" w:rsidP="00CB0299">
      <w:pPr>
        <w:jc w:val="center"/>
        <w:rPr>
          <w:b/>
        </w:rPr>
      </w:pPr>
      <w:r w:rsidRPr="007B06DE">
        <w:rPr>
          <w:b/>
        </w:rPr>
        <w:t>Teklistamabas</w:t>
      </w:r>
    </w:p>
    <w:p w14:paraId="039A36E3" w14:textId="77777777" w:rsidR="00CB0299" w:rsidRPr="007B06DE" w:rsidRDefault="00CB0299" w:rsidP="00CB0299">
      <w:pPr>
        <w:jc w:val="center"/>
      </w:pPr>
    </w:p>
    <w:p w14:paraId="4E385C02" w14:textId="77777777" w:rsidR="00CB0299" w:rsidRPr="007B06DE" w:rsidRDefault="00CB0299" w:rsidP="00CB0299">
      <w:pPr>
        <w:jc w:val="center"/>
        <w:rPr>
          <w:b/>
        </w:rPr>
      </w:pPr>
      <w:r w:rsidRPr="007B06DE">
        <w:rPr>
          <w:b/>
        </w:rPr>
        <w:t>STV-198</w:t>
      </w:r>
    </w:p>
    <w:bookmarkEnd w:id="0"/>
    <w:p w14:paraId="453197C8" w14:textId="77777777" w:rsidR="00D4708D" w:rsidRPr="007B06DE" w:rsidRDefault="00D4708D" w:rsidP="003B211A">
      <w:pPr>
        <w:jc w:val="center"/>
        <w:rPr>
          <w:b/>
        </w:rPr>
      </w:pPr>
    </w:p>
    <w:p w14:paraId="78C89D1C" w14:textId="0DEFFAA5" w:rsidR="00D4485B" w:rsidRPr="007B06DE" w:rsidRDefault="00B13D65" w:rsidP="00CC09D4">
      <w:pPr>
        <w:pStyle w:val="Sraopastraipa"/>
        <w:numPr>
          <w:ilvl w:val="0"/>
          <w:numId w:val="12"/>
        </w:numPr>
        <w:tabs>
          <w:tab w:val="left" w:pos="567"/>
        </w:tabs>
        <w:ind w:left="567" w:hanging="567"/>
        <w:rPr>
          <w:b/>
          <w:bCs/>
          <w:caps/>
        </w:rPr>
      </w:pPr>
      <w:r w:rsidRPr="007B06DE">
        <w:rPr>
          <w:b/>
          <w:bCs/>
          <w:caps/>
        </w:rPr>
        <w:t>Bendroji dalis</w:t>
      </w:r>
    </w:p>
    <w:p w14:paraId="04A7C7A7" w14:textId="77777777" w:rsidR="00B13D65" w:rsidRPr="007B06DE"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A37EED" w:rsidRPr="007B06DE" w14:paraId="18A83EC2" w14:textId="77777777" w:rsidTr="00BE7489">
        <w:trPr>
          <w:trHeight w:val="538"/>
        </w:trPr>
        <w:tc>
          <w:tcPr>
            <w:tcW w:w="632" w:type="dxa"/>
          </w:tcPr>
          <w:p w14:paraId="0646FBEA" w14:textId="77777777" w:rsidR="00A37EED" w:rsidRPr="007B06DE" w:rsidRDefault="00A37EED" w:rsidP="00A37EED">
            <w:pPr>
              <w:rPr>
                <w:rFonts w:eastAsia="Arial"/>
              </w:rPr>
            </w:pPr>
            <w:r w:rsidRPr="007B06DE">
              <w:rPr>
                <w:rFonts w:eastAsia="Arial"/>
              </w:rPr>
              <w:t>1.1</w:t>
            </w:r>
          </w:p>
        </w:tc>
        <w:tc>
          <w:tcPr>
            <w:tcW w:w="3694" w:type="dxa"/>
          </w:tcPr>
          <w:p w14:paraId="6C3AE864" w14:textId="77777777" w:rsidR="00A37EED" w:rsidRPr="007B06DE" w:rsidRDefault="00A37EED" w:rsidP="00A37EED">
            <w:pPr>
              <w:rPr>
                <w:rFonts w:eastAsia="Arial"/>
              </w:rPr>
            </w:pPr>
            <w:r w:rsidRPr="007B06DE">
              <w:rPr>
                <w:rFonts w:eastAsia="Arial"/>
              </w:rPr>
              <w:t>Pareiškėjas</w:t>
            </w:r>
          </w:p>
          <w:p w14:paraId="2AF240DC" w14:textId="77777777" w:rsidR="00A37EED" w:rsidRPr="007B06DE" w:rsidRDefault="00A37EED" w:rsidP="00A37EED">
            <w:pPr>
              <w:rPr>
                <w:rFonts w:eastAsia="Arial"/>
              </w:rPr>
            </w:pPr>
          </w:p>
        </w:tc>
        <w:tc>
          <w:tcPr>
            <w:tcW w:w="5167" w:type="dxa"/>
          </w:tcPr>
          <w:p w14:paraId="2AAF0D91" w14:textId="15B86337" w:rsidR="00A37EED" w:rsidRPr="007B06DE" w:rsidRDefault="00A37EED" w:rsidP="00A37EED">
            <w:pPr>
              <w:rPr>
                <w:rFonts w:eastAsia="Arial"/>
              </w:rPr>
            </w:pPr>
            <w:r w:rsidRPr="007B06DE">
              <w:t>UAB „Johnson &amp; Johnson”</w:t>
            </w:r>
          </w:p>
        </w:tc>
      </w:tr>
      <w:tr w:rsidR="00A37EED" w:rsidRPr="007B06DE" w14:paraId="31998B0D" w14:textId="77777777" w:rsidTr="00BE7489">
        <w:trPr>
          <w:trHeight w:val="538"/>
        </w:trPr>
        <w:tc>
          <w:tcPr>
            <w:tcW w:w="632" w:type="dxa"/>
          </w:tcPr>
          <w:p w14:paraId="2005EC67" w14:textId="662300D0" w:rsidR="00A37EED" w:rsidRPr="007B06DE" w:rsidRDefault="00A37EED" w:rsidP="00A37EED">
            <w:pPr>
              <w:rPr>
                <w:rFonts w:eastAsia="Arial"/>
              </w:rPr>
            </w:pPr>
            <w:r w:rsidRPr="007B06DE">
              <w:rPr>
                <w:rFonts w:eastAsia="Arial"/>
              </w:rPr>
              <w:t>1.2</w:t>
            </w:r>
          </w:p>
        </w:tc>
        <w:tc>
          <w:tcPr>
            <w:tcW w:w="3694" w:type="dxa"/>
          </w:tcPr>
          <w:p w14:paraId="1E4AE3B1" w14:textId="77777777" w:rsidR="00A37EED" w:rsidRPr="007B06DE" w:rsidRDefault="00A37EED" w:rsidP="00A37EED">
            <w:pPr>
              <w:rPr>
                <w:bCs/>
                <w:color w:val="000000"/>
                <w:lang w:eastAsia="lt-LT"/>
              </w:rPr>
            </w:pPr>
            <w:r w:rsidRPr="007B06DE">
              <w:rPr>
                <w:bCs/>
                <w:color w:val="000000"/>
                <w:lang w:eastAsia="lt-LT"/>
              </w:rPr>
              <w:t xml:space="preserve">Registracijos data </w:t>
            </w:r>
          </w:p>
          <w:p w14:paraId="3A0DC096" w14:textId="77777777" w:rsidR="00A37EED" w:rsidRPr="007B06DE" w:rsidRDefault="00A37EED" w:rsidP="00A37EED">
            <w:pPr>
              <w:rPr>
                <w:bCs/>
                <w:color w:val="000000"/>
                <w:lang w:eastAsia="lt-LT"/>
              </w:rPr>
            </w:pPr>
          </w:p>
        </w:tc>
        <w:tc>
          <w:tcPr>
            <w:tcW w:w="5167" w:type="dxa"/>
          </w:tcPr>
          <w:p w14:paraId="3CA218AD" w14:textId="1B6AAA83" w:rsidR="00A37EED" w:rsidRPr="007B06DE" w:rsidRDefault="007B06DE" w:rsidP="00A37EED">
            <w:pPr>
              <w:rPr>
                <w:rStyle w:val="Style2"/>
                <w:sz w:val="24"/>
              </w:rPr>
            </w:pPr>
            <w:sdt>
              <w:sdtPr>
                <w:rPr>
                  <w:sz w:val="32"/>
                </w:rPr>
                <w:alias w:val="Nurodykite konkrečią dieną"/>
                <w:tag w:val="Nurodykite pradžios datą"/>
                <w:id w:val="423238108"/>
                <w:placeholder>
                  <w:docPart w:val="CAD71CB974354ABEA7000B0DAD931FF8"/>
                </w:placeholder>
                <w15:color w:val="FFCC99"/>
                <w:date>
                  <w:dateFormat w:val="yyyy 'm.' MMMM d 'd.'"/>
                  <w:lid w:val="lt-LT"/>
                  <w:storeMappedDataAs w:val="dateTime"/>
                  <w:calendar w:val="gregorian"/>
                </w:date>
              </w:sdtPr>
              <w:sdtEndPr/>
              <w:sdtContent>
                <w:r w:rsidR="00A37EED" w:rsidRPr="007B06DE">
                  <w:t>2022 m. rugpjūčio 23 d.</w:t>
                </w:r>
              </w:sdtContent>
            </w:sdt>
          </w:p>
        </w:tc>
      </w:tr>
      <w:tr w:rsidR="00B77902" w:rsidRPr="007B06DE" w14:paraId="15968AE1" w14:textId="77777777" w:rsidTr="00BE7489">
        <w:trPr>
          <w:trHeight w:val="1500"/>
        </w:trPr>
        <w:tc>
          <w:tcPr>
            <w:tcW w:w="632" w:type="dxa"/>
          </w:tcPr>
          <w:p w14:paraId="6A784245" w14:textId="1E461489" w:rsidR="00B77902" w:rsidRPr="007B06DE" w:rsidRDefault="00B77902" w:rsidP="00B77902">
            <w:pPr>
              <w:rPr>
                <w:rFonts w:eastAsia="Arial"/>
              </w:rPr>
            </w:pPr>
            <w:r w:rsidRPr="007B06DE">
              <w:rPr>
                <w:rFonts w:eastAsia="Arial"/>
              </w:rPr>
              <w:t>1.3</w:t>
            </w:r>
          </w:p>
        </w:tc>
        <w:tc>
          <w:tcPr>
            <w:tcW w:w="3694" w:type="dxa"/>
          </w:tcPr>
          <w:p w14:paraId="22933506" w14:textId="77777777" w:rsidR="00B77902" w:rsidRPr="007B06DE" w:rsidRDefault="00B77902" w:rsidP="00B77902">
            <w:r w:rsidRPr="007B06DE">
              <w:t xml:space="preserve">Paraiškos tipas </w:t>
            </w:r>
          </w:p>
          <w:p w14:paraId="0465E680" w14:textId="7F0A0714" w:rsidR="00B77902" w:rsidRPr="007B06DE" w:rsidRDefault="00B77902" w:rsidP="00B77902">
            <w:r w:rsidRPr="007B06DE">
              <w:t xml:space="preserve">(pagal </w:t>
            </w:r>
            <w:r w:rsidRPr="007B06DE">
              <w:rPr>
                <w:color w:val="333333"/>
                <w:shd w:val="clear" w:color="auto" w:fill="FFFFFF"/>
              </w:rPr>
              <w:t>vaistinio preparato registracijos tipą, įtvirtintą</w:t>
            </w:r>
            <w:r w:rsidRPr="007B06DE">
              <w:t xml:space="preserve"> Direktyvos 2001/83/EB straipsiuose)</w:t>
            </w:r>
          </w:p>
          <w:p w14:paraId="77089D80" w14:textId="6681D72A" w:rsidR="00B77902" w:rsidRPr="007B06DE" w:rsidRDefault="00B77902" w:rsidP="00B77902">
            <w:pPr>
              <w:rPr>
                <w:bCs/>
                <w:color w:val="000000"/>
                <w:lang w:eastAsia="lt-LT"/>
              </w:rPr>
            </w:pPr>
          </w:p>
        </w:tc>
        <w:tc>
          <w:tcPr>
            <w:tcW w:w="5167" w:type="dxa"/>
          </w:tcPr>
          <w:p w14:paraId="31FA0E00" w14:textId="77777777" w:rsidR="00B77902" w:rsidRPr="007B06DE" w:rsidRDefault="007B06DE" w:rsidP="00B77902">
            <w:sdt>
              <w:sdtPr>
                <w:rPr>
                  <w:rStyle w:val="Style2"/>
                  <w:sz w:val="24"/>
                </w:rPr>
                <w:id w:val="-366596377"/>
                <w15:color w:val="FFCC00"/>
                <w14:checkbox>
                  <w14:checked w14:val="1"/>
                  <w14:checkedState w14:val="2612" w14:font="MS Gothic"/>
                  <w14:uncheckedState w14:val="2610" w14:font="MS Gothic"/>
                </w14:checkbox>
              </w:sdtPr>
              <w:sdtEndPr>
                <w:rPr>
                  <w:rStyle w:val="Style2"/>
                </w:rPr>
              </w:sdtEndPr>
              <w:sdtContent>
                <w:r w:rsidR="00B77902" w:rsidRPr="007B06DE">
                  <w:rPr>
                    <w:rStyle w:val="Style2"/>
                    <w:rFonts w:ascii="MS Gothic" w:eastAsia="MS Gothic" w:hAnsi="MS Gothic" w:hint="eastAsia"/>
                    <w:sz w:val="24"/>
                  </w:rPr>
                  <w:t>☒</w:t>
                </w:r>
              </w:sdtContent>
            </w:sdt>
            <w:r w:rsidR="00B77902" w:rsidRPr="007B06DE">
              <w:t xml:space="preserve"> 8.3 str. (pilna byla, pagrįsta savais tyrimais) </w:t>
            </w:r>
          </w:p>
          <w:p w14:paraId="60F7E4F9" w14:textId="78D13CA9" w:rsidR="00B77902" w:rsidRPr="007B06DE" w:rsidRDefault="007B06DE" w:rsidP="00B77902">
            <w:sdt>
              <w:sdtPr>
                <w:rPr>
                  <w:rStyle w:val="Style2"/>
                  <w:sz w:val="24"/>
                </w:rPr>
                <w:id w:val="675462298"/>
                <w15:color w:val="FFCC00"/>
                <w14:checkbox>
                  <w14:checked w14:val="0"/>
                  <w14:checkedState w14:val="2612" w14:font="MS Gothic"/>
                  <w14:uncheckedState w14:val="2610" w14:font="MS Gothic"/>
                </w14:checkbox>
              </w:sdtPr>
              <w:sdtEndPr>
                <w:rPr>
                  <w:rStyle w:val="Style2"/>
                </w:rPr>
              </w:sdtEndPr>
              <w:sdtContent>
                <w:r w:rsidR="00B77902" w:rsidRPr="007B06DE">
                  <w:rPr>
                    <w:rStyle w:val="Style2"/>
                    <w:rFonts w:ascii="MS Gothic" w:eastAsia="MS Gothic" w:hAnsi="MS Gothic" w:hint="eastAsia"/>
                    <w:sz w:val="24"/>
                  </w:rPr>
                  <w:t>☐</w:t>
                </w:r>
              </w:sdtContent>
            </w:sdt>
            <w:r w:rsidR="00B77902" w:rsidRPr="007B06DE">
              <w:t xml:space="preserve"> 10 a str. (pripažintas medicininis vartojimas) </w:t>
            </w:r>
          </w:p>
          <w:p w14:paraId="21180F88" w14:textId="462F1E14" w:rsidR="00B77902" w:rsidRPr="007B06DE" w:rsidRDefault="007B06DE" w:rsidP="00B77902">
            <w:sdt>
              <w:sdtPr>
                <w:rPr>
                  <w:rStyle w:val="Style2"/>
                  <w:sz w:val="24"/>
                </w:rPr>
                <w:id w:val="-1290435890"/>
                <w15:color w:val="FFCC00"/>
                <w14:checkbox>
                  <w14:checked w14:val="0"/>
                  <w14:checkedState w14:val="2612" w14:font="MS Gothic"/>
                  <w14:uncheckedState w14:val="2610" w14:font="MS Gothic"/>
                </w14:checkbox>
              </w:sdtPr>
              <w:sdtEndPr>
                <w:rPr>
                  <w:rStyle w:val="Style2"/>
                </w:rPr>
              </w:sdtEndPr>
              <w:sdtContent>
                <w:r w:rsidR="00B77902" w:rsidRPr="007B06DE">
                  <w:rPr>
                    <w:rStyle w:val="Style2"/>
                    <w:rFonts w:ascii="MS Gothic" w:eastAsia="MS Gothic" w:hAnsi="MS Gothic" w:hint="eastAsia"/>
                    <w:sz w:val="24"/>
                  </w:rPr>
                  <w:t>☐</w:t>
                </w:r>
              </w:sdtContent>
            </w:sdt>
            <w:r w:rsidR="00B77902" w:rsidRPr="007B06DE">
              <w:t xml:space="preserve"> 10.1 str. (generinis)</w:t>
            </w:r>
          </w:p>
          <w:p w14:paraId="3B0A4F72" w14:textId="6B3113EF" w:rsidR="00B77902" w:rsidRPr="007B06DE" w:rsidRDefault="007B06DE" w:rsidP="00B77902">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EndPr>
                <w:rPr>
                  <w:rStyle w:val="Style2"/>
                </w:rPr>
              </w:sdtEndPr>
              <w:sdtContent>
                <w:r w:rsidR="00B77902" w:rsidRPr="007B06DE">
                  <w:rPr>
                    <w:rStyle w:val="Style2"/>
                    <w:rFonts w:ascii="MS Gothic" w:eastAsia="MS Gothic" w:hAnsi="MS Gothic" w:hint="eastAsia"/>
                    <w:sz w:val="24"/>
                  </w:rPr>
                  <w:t>☐</w:t>
                </w:r>
              </w:sdtContent>
            </w:sdt>
            <w:r w:rsidR="00B77902" w:rsidRPr="007B06DE">
              <w:t xml:space="preserve"> 10.3 str. (hibridinis)</w:t>
            </w:r>
          </w:p>
        </w:tc>
      </w:tr>
      <w:tr w:rsidR="00B13D65" w:rsidRPr="007B06DE" w14:paraId="310E9662" w14:textId="77777777" w:rsidTr="00135175">
        <w:trPr>
          <w:trHeight w:val="935"/>
        </w:trPr>
        <w:tc>
          <w:tcPr>
            <w:tcW w:w="632" w:type="dxa"/>
          </w:tcPr>
          <w:p w14:paraId="4B5A91A2" w14:textId="561B5E5F" w:rsidR="00B13D65" w:rsidRPr="007B06DE" w:rsidRDefault="00B13D65" w:rsidP="00824B92">
            <w:pPr>
              <w:rPr>
                <w:rFonts w:eastAsia="Arial"/>
              </w:rPr>
            </w:pPr>
            <w:r w:rsidRPr="007B06DE">
              <w:rPr>
                <w:rFonts w:eastAsia="Arial"/>
              </w:rPr>
              <w:t>1.</w:t>
            </w:r>
            <w:r w:rsidR="002E0702" w:rsidRPr="007B06DE">
              <w:rPr>
                <w:rFonts w:eastAsia="Arial"/>
              </w:rPr>
              <w:t>4</w:t>
            </w:r>
          </w:p>
        </w:tc>
        <w:tc>
          <w:tcPr>
            <w:tcW w:w="3694" w:type="dxa"/>
          </w:tcPr>
          <w:p w14:paraId="483071A3" w14:textId="05C29CC5" w:rsidR="00B13D65" w:rsidRPr="007B06DE" w:rsidRDefault="00B13D65" w:rsidP="00824B92">
            <w:pPr>
              <w:rPr>
                <w:bCs/>
                <w:color w:val="000000"/>
                <w:lang w:eastAsia="lt-LT"/>
              </w:rPr>
            </w:pPr>
            <w:r w:rsidRPr="007B06DE">
              <w:rPr>
                <w:bCs/>
                <w:color w:val="000000"/>
                <w:lang w:eastAsia="lt-LT"/>
              </w:rPr>
              <w:t xml:space="preserve">Ar vaistinis preparatas įrašytas į Bendrijos retųjų vaistinių preparatų registrą? </w:t>
            </w:r>
          </w:p>
        </w:tc>
        <w:tc>
          <w:tcPr>
            <w:tcW w:w="5167" w:type="dxa"/>
          </w:tcPr>
          <w:p w14:paraId="05845C60" w14:textId="499A210F" w:rsidR="00B13D65" w:rsidRPr="007B06DE" w:rsidRDefault="007B06DE"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B77902" w:rsidRPr="007B06DE">
                  <w:rPr>
                    <w:rStyle w:val="Style2"/>
                    <w:rFonts w:ascii="MS Gothic" w:eastAsia="MS Gothic" w:hAnsi="MS Gothic" w:hint="eastAsia"/>
                    <w:sz w:val="24"/>
                  </w:rPr>
                  <w:t>☐</w:t>
                </w:r>
              </w:sdtContent>
            </w:sdt>
            <w:r w:rsidR="00B13D65" w:rsidRPr="007B06DE">
              <w:t xml:space="preserve"> Taip</w:t>
            </w:r>
          </w:p>
          <w:p w14:paraId="29C2CBBB" w14:textId="1F7284F7" w:rsidR="00B13D65" w:rsidRPr="007B06DE" w:rsidRDefault="007B06DE"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135175" w:rsidRPr="007B06DE">
                  <w:rPr>
                    <w:rStyle w:val="Style2"/>
                    <w:rFonts w:ascii="MS Gothic" w:eastAsia="MS Gothic" w:hAnsi="MS Gothic" w:hint="eastAsia"/>
                    <w:sz w:val="24"/>
                  </w:rPr>
                  <w:t>☒</w:t>
                </w:r>
              </w:sdtContent>
            </w:sdt>
            <w:r w:rsidR="00B13D65" w:rsidRPr="007B06DE">
              <w:t xml:space="preserve"> Ne</w:t>
            </w:r>
          </w:p>
        </w:tc>
      </w:tr>
      <w:tr w:rsidR="00D417D2" w:rsidRPr="007B06DE" w14:paraId="7841E5F8" w14:textId="77777777" w:rsidTr="00BE7489">
        <w:trPr>
          <w:trHeight w:val="476"/>
        </w:trPr>
        <w:tc>
          <w:tcPr>
            <w:tcW w:w="632" w:type="dxa"/>
          </w:tcPr>
          <w:p w14:paraId="109D2861" w14:textId="73BF27DF" w:rsidR="00D417D2" w:rsidRPr="007B06DE" w:rsidRDefault="00D417D2" w:rsidP="00824B92">
            <w:pPr>
              <w:rPr>
                <w:rFonts w:eastAsia="Arial"/>
              </w:rPr>
            </w:pPr>
            <w:r w:rsidRPr="007B06DE">
              <w:rPr>
                <w:rFonts w:eastAsia="Arial"/>
              </w:rPr>
              <w:t>1.5</w:t>
            </w:r>
          </w:p>
        </w:tc>
        <w:tc>
          <w:tcPr>
            <w:tcW w:w="3694" w:type="dxa"/>
          </w:tcPr>
          <w:p w14:paraId="7822D63E" w14:textId="68C38334" w:rsidR="00D417D2" w:rsidRPr="007B06DE" w:rsidRDefault="00D417D2" w:rsidP="00824B92">
            <w:pPr>
              <w:rPr>
                <w:bCs/>
                <w:color w:val="000000"/>
                <w:lang w:eastAsia="lt-LT"/>
              </w:rPr>
            </w:pPr>
            <w:r w:rsidRPr="007B06DE">
              <w:t>STV paraiškos pobūdis</w:t>
            </w:r>
          </w:p>
        </w:tc>
        <w:tc>
          <w:tcPr>
            <w:tcW w:w="5167" w:type="dxa"/>
          </w:tcPr>
          <w:p w14:paraId="403461B9" w14:textId="74C06622" w:rsidR="00D417D2" w:rsidRPr="007B06DE" w:rsidRDefault="007B06DE"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35175" w:rsidRPr="007B06DE">
                  <w:rPr>
                    <w:rStyle w:val="Style2"/>
                    <w:rFonts w:ascii="MS Gothic" w:eastAsia="MS Gothic" w:hAnsi="MS Gothic" w:hint="eastAsia"/>
                    <w:sz w:val="24"/>
                  </w:rPr>
                  <w:t>☒</w:t>
                </w:r>
              </w:sdtContent>
            </w:sdt>
            <w:r w:rsidR="00D417D2" w:rsidRPr="007B06DE">
              <w:t xml:space="preserve"> Pilna paraiška</w:t>
            </w:r>
          </w:p>
          <w:p w14:paraId="6B8213E3" w14:textId="3495CDF4" w:rsidR="00D417D2" w:rsidRPr="007B06DE" w:rsidRDefault="007B06DE"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7B06DE">
                  <w:rPr>
                    <w:rStyle w:val="Style2"/>
                    <w:rFonts w:ascii="MS Gothic" w:eastAsia="MS Gothic" w:hAnsi="MS Gothic" w:hint="eastAsia"/>
                    <w:sz w:val="24"/>
                  </w:rPr>
                  <w:t>☐</w:t>
                </w:r>
              </w:sdtContent>
            </w:sdt>
            <w:r w:rsidR="00D417D2" w:rsidRPr="007B06DE">
              <w:t xml:space="preserve"> Supaprastinta paraiška</w:t>
            </w:r>
          </w:p>
        </w:tc>
      </w:tr>
      <w:tr w:rsidR="00023C95" w:rsidRPr="007B06DE" w14:paraId="274D1DAF" w14:textId="77777777" w:rsidTr="00135175">
        <w:trPr>
          <w:trHeight w:val="699"/>
        </w:trPr>
        <w:tc>
          <w:tcPr>
            <w:tcW w:w="632" w:type="dxa"/>
          </w:tcPr>
          <w:p w14:paraId="17ABF217" w14:textId="14AC00D7" w:rsidR="00023C95" w:rsidRPr="007B06DE" w:rsidRDefault="00023C95" w:rsidP="00023C95">
            <w:pPr>
              <w:rPr>
                <w:rFonts w:eastAsia="Arial"/>
              </w:rPr>
            </w:pPr>
            <w:r w:rsidRPr="007B06DE">
              <w:rPr>
                <w:rFonts w:eastAsia="Arial"/>
              </w:rPr>
              <w:t>1.6</w:t>
            </w:r>
          </w:p>
        </w:tc>
        <w:tc>
          <w:tcPr>
            <w:tcW w:w="3694" w:type="dxa"/>
          </w:tcPr>
          <w:p w14:paraId="4D49DBF5" w14:textId="77777777" w:rsidR="00023C95" w:rsidRPr="007B06DE" w:rsidRDefault="00023C95" w:rsidP="00023C95">
            <w:pPr>
              <w:rPr>
                <w:bCs/>
                <w:color w:val="000000"/>
                <w:lang w:eastAsia="lt-LT"/>
              </w:rPr>
            </w:pPr>
            <w:r w:rsidRPr="007B06DE">
              <w:rPr>
                <w:bCs/>
                <w:color w:val="000000"/>
                <w:lang w:eastAsia="lt-LT"/>
              </w:rPr>
              <w:t>Pareiškėjo teikiama (-os) kompensuoti vaistinio preparato indikacija (-os)</w:t>
            </w:r>
          </w:p>
          <w:p w14:paraId="3FB07EE5" w14:textId="77777777" w:rsidR="00023C95" w:rsidRPr="007B06DE" w:rsidRDefault="00023C95" w:rsidP="00023C95">
            <w:pPr>
              <w:rPr>
                <w:bCs/>
                <w:color w:val="000000"/>
                <w:lang w:eastAsia="lt-LT"/>
              </w:rPr>
            </w:pPr>
          </w:p>
          <w:p w14:paraId="3A6B054C" w14:textId="77777777" w:rsidR="00023C95" w:rsidRPr="007B06DE" w:rsidRDefault="00023C95" w:rsidP="00023C95">
            <w:pPr>
              <w:rPr>
                <w:bCs/>
                <w:color w:val="000000"/>
                <w:lang w:eastAsia="lt-LT"/>
              </w:rPr>
            </w:pPr>
          </w:p>
          <w:p w14:paraId="6B4FEEC1" w14:textId="378668B0" w:rsidR="00023C95" w:rsidRPr="007B06DE" w:rsidRDefault="00023C95" w:rsidP="00023C95">
            <w:pPr>
              <w:rPr>
                <w:bCs/>
                <w:color w:val="000000"/>
                <w:lang w:eastAsia="lt-LT"/>
              </w:rPr>
            </w:pPr>
            <w:r w:rsidRPr="007B06DE">
              <w:rPr>
                <w:bCs/>
                <w:color w:val="000000"/>
                <w:lang w:eastAsia="lt-LT"/>
              </w:rPr>
              <w:t>Kodas pagal TLK-10 AM</w:t>
            </w:r>
          </w:p>
        </w:tc>
        <w:tc>
          <w:tcPr>
            <w:tcW w:w="5167" w:type="dxa"/>
          </w:tcPr>
          <w:p w14:paraId="4ACDA177" w14:textId="13F4A66F" w:rsidR="00023C95" w:rsidRPr="007B06DE" w:rsidRDefault="00023C95" w:rsidP="00023C95">
            <w:pPr>
              <w:jc w:val="both"/>
            </w:pPr>
            <w:r w:rsidRPr="007B06DE">
              <w:t>TECVAYLI kaip monoterapija yra skirtas gydyti suaugusiems pacientams, sergantiems atsinaujinusia ir atsparia daugine mieloma, kurie prieš tai yra gavę mažiausiai tris gydymo kursus, įskaitant gydymą imunomoduliatoriumi, prote</w:t>
            </w:r>
            <w:r w:rsidR="00460482" w:rsidRPr="007B06DE">
              <w:t>o</w:t>
            </w:r>
            <w:r w:rsidRPr="007B06DE">
              <w:t>somos inhibitoriumi ir antikūnu prieš CD38, ir kuriems pasireiškė ligos progresavimas paskutiniojo gydymo metu.</w:t>
            </w:r>
          </w:p>
          <w:p w14:paraId="13F7DFB0" w14:textId="4DB82E18" w:rsidR="00023C95" w:rsidRPr="007B06DE" w:rsidRDefault="00023C95" w:rsidP="00023C95">
            <w:pPr>
              <w:pStyle w:val="Sraopastraipa"/>
              <w:spacing w:after="120"/>
              <w:ind w:left="0"/>
              <w:contextualSpacing w:val="0"/>
              <w:jc w:val="both"/>
            </w:pPr>
            <w:r w:rsidRPr="007B06DE">
              <w:t>TLK kodas C90.0</w:t>
            </w:r>
          </w:p>
        </w:tc>
      </w:tr>
      <w:tr w:rsidR="00023C95" w:rsidRPr="007B06DE" w14:paraId="2F79DC08" w14:textId="77777777" w:rsidTr="00BE7489">
        <w:trPr>
          <w:trHeight w:val="378"/>
        </w:trPr>
        <w:tc>
          <w:tcPr>
            <w:tcW w:w="632" w:type="dxa"/>
          </w:tcPr>
          <w:p w14:paraId="547885A2" w14:textId="08AA8055" w:rsidR="00023C95" w:rsidRPr="007B06DE" w:rsidRDefault="00023C95" w:rsidP="00023C95">
            <w:pPr>
              <w:rPr>
                <w:rFonts w:eastAsia="Arial"/>
              </w:rPr>
            </w:pPr>
            <w:r w:rsidRPr="007B06DE">
              <w:rPr>
                <w:rFonts w:eastAsia="Arial"/>
              </w:rPr>
              <w:lastRenderedPageBreak/>
              <w:t>1.6</w:t>
            </w:r>
          </w:p>
        </w:tc>
        <w:tc>
          <w:tcPr>
            <w:tcW w:w="3694" w:type="dxa"/>
          </w:tcPr>
          <w:p w14:paraId="2EAB877F" w14:textId="39A36941" w:rsidR="00023C95" w:rsidRPr="007B06DE" w:rsidRDefault="00023C95" w:rsidP="00023C95">
            <w:pPr>
              <w:rPr>
                <w:bCs/>
                <w:color w:val="000000"/>
                <w:u w:val="single"/>
                <w:lang w:eastAsia="lt-LT"/>
              </w:rPr>
            </w:pPr>
            <w:r w:rsidRPr="007B06DE">
              <w:rPr>
                <w:bCs/>
                <w:color w:val="000000"/>
                <w:lang w:eastAsia="lt-LT"/>
              </w:rPr>
              <w:t xml:space="preserve">Pareiškėjo teikiamos skyrimo sąlygos </w:t>
            </w:r>
          </w:p>
        </w:tc>
        <w:tc>
          <w:tcPr>
            <w:tcW w:w="5167" w:type="dxa"/>
          </w:tcPr>
          <w:p w14:paraId="0579DF58" w14:textId="1BA23E5C" w:rsidR="00023C95" w:rsidRPr="007B06DE" w:rsidRDefault="00023C95" w:rsidP="00023C95">
            <w:r w:rsidRPr="007B06DE">
              <w:t>Nėra.</w:t>
            </w:r>
          </w:p>
        </w:tc>
      </w:tr>
      <w:tr w:rsidR="00B13D65" w:rsidRPr="007B06DE" w14:paraId="3B125269" w14:textId="77777777" w:rsidTr="00351302">
        <w:trPr>
          <w:trHeight w:val="1118"/>
        </w:trPr>
        <w:tc>
          <w:tcPr>
            <w:tcW w:w="632" w:type="dxa"/>
          </w:tcPr>
          <w:p w14:paraId="0058E11F" w14:textId="77777777" w:rsidR="00B13D65" w:rsidRPr="007B06DE" w:rsidRDefault="00B13D65" w:rsidP="00824B92">
            <w:pPr>
              <w:rPr>
                <w:rFonts w:eastAsia="Arial"/>
              </w:rPr>
            </w:pPr>
            <w:r w:rsidRPr="007B06DE">
              <w:rPr>
                <w:rFonts w:eastAsia="Arial"/>
              </w:rPr>
              <w:t>1.7</w:t>
            </w:r>
          </w:p>
        </w:tc>
        <w:tc>
          <w:tcPr>
            <w:tcW w:w="3694" w:type="dxa"/>
          </w:tcPr>
          <w:p w14:paraId="738E1926" w14:textId="77777777" w:rsidR="00B13D65" w:rsidRPr="007B06DE" w:rsidRDefault="007656B2" w:rsidP="00824B92">
            <w:pPr>
              <w:rPr>
                <w:bCs/>
                <w:color w:val="000000"/>
                <w:lang w:eastAsia="lt-LT"/>
              </w:rPr>
            </w:pPr>
            <w:r w:rsidRPr="007B06DE">
              <w:rPr>
                <w:bCs/>
                <w:color w:val="000000"/>
                <w:lang w:eastAsia="lt-LT"/>
              </w:rPr>
              <w:t>Pareiškėjo teikiamas p</w:t>
            </w:r>
            <w:r w:rsidR="00B13D65" w:rsidRPr="007B06DE">
              <w:rPr>
                <w:bCs/>
                <w:color w:val="000000"/>
                <w:lang w:eastAsia="lt-LT"/>
              </w:rPr>
              <w:t>alyginamasis</w:t>
            </w:r>
            <w:r w:rsidR="005B3756" w:rsidRPr="007B06DE">
              <w:rPr>
                <w:bCs/>
                <w:color w:val="000000"/>
                <w:lang w:eastAsia="lt-LT"/>
              </w:rPr>
              <w:t xml:space="preserve"> </w:t>
            </w:r>
            <w:r w:rsidR="00B13D65" w:rsidRPr="007B06DE">
              <w:rPr>
                <w:bCs/>
                <w:color w:val="000000"/>
                <w:lang w:eastAsia="lt-LT"/>
              </w:rPr>
              <w:t xml:space="preserve">gydymas </w:t>
            </w:r>
          </w:p>
          <w:p w14:paraId="61EC5BBD" w14:textId="7A8BD8B4" w:rsidR="009F4D66" w:rsidRPr="007B06DE" w:rsidRDefault="009F4D66" w:rsidP="00824B92">
            <w:pPr>
              <w:rPr>
                <w:bCs/>
                <w:color w:val="000000"/>
                <w:lang w:eastAsia="lt-LT"/>
              </w:rPr>
            </w:pPr>
          </w:p>
          <w:p w14:paraId="34B858F8" w14:textId="4D98EA28" w:rsidR="00135175" w:rsidRPr="007B06DE" w:rsidRDefault="00135175" w:rsidP="00824B92">
            <w:pPr>
              <w:rPr>
                <w:bCs/>
                <w:color w:val="000000"/>
                <w:lang w:eastAsia="lt-LT"/>
              </w:rPr>
            </w:pPr>
            <w:r w:rsidRPr="007B06DE">
              <w:rPr>
                <w:bCs/>
                <w:color w:val="000000"/>
                <w:lang w:eastAsia="lt-LT"/>
              </w:rPr>
              <w:t xml:space="preserve">Tiesioginis palyginimas </w:t>
            </w:r>
          </w:p>
          <w:p w14:paraId="22315C87" w14:textId="77777777" w:rsidR="00135175" w:rsidRPr="007B06DE" w:rsidRDefault="00135175" w:rsidP="00824B92">
            <w:pPr>
              <w:rPr>
                <w:bCs/>
                <w:color w:val="000000"/>
                <w:lang w:eastAsia="lt-LT"/>
              </w:rPr>
            </w:pPr>
          </w:p>
          <w:p w14:paraId="49D012B1" w14:textId="77777777" w:rsidR="00023C95" w:rsidRPr="007B06DE" w:rsidRDefault="00023C95" w:rsidP="00824B92">
            <w:pPr>
              <w:rPr>
                <w:bCs/>
                <w:color w:val="000000"/>
                <w:lang w:eastAsia="lt-LT"/>
              </w:rPr>
            </w:pPr>
          </w:p>
          <w:p w14:paraId="503CB944" w14:textId="77777777" w:rsidR="00023C95" w:rsidRPr="007B06DE" w:rsidRDefault="00023C95" w:rsidP="00824B92">
            <w:pPr>
              <w:rPr>
                <w:bCs/>
                <w:color w:val="000000"/>
                <w:lang w:eastAsia="lt-LT"/>
              </w:rPr>
            </w:pPr>
          </w:p>
          <w:p w14:paraId="449C4F94" w14:textId="79F7D659" w:rsidR="00023C95" w:rsidRPr="007B06DE" w:rsidRDefault="00023C95" w:rsidP="00023C95">
            <w:pPr>
              <w:rPr>
                <w:bCs/>
                <w:color w:val="000000"/>
                <w:lang w:eastAsia="lt-LT"/>
              </w:rPr>
            </w:pPr>
            <w:r w:rsidRPr="007B06DE">
              <w:rPr>
                <w:bCs/>
                <w:color w:val="000000"/>
                <w:lang w:eastAsia="lt-LT"/>
              </w:rPr>
              <w:t xml:space="preserve">Netiesioginis palyginimas </w:t>
            </w:r>
          </w:p>
          <w:p w14:paraId="6CC1022E" w14:textId="1A81E01C" w:rsidR="00023C95" w:rsidRPr="007B06DE" w:rsidRDefault="00023C95" w:rsidP="00824B92">
            <w:pPr>
              <w:rPr>
                <w:bCs/>
                <w:color w:val="000000"/>
                <w:lang w:eastAsia="lt-LT"/>
              </w:rPr>
            </w:pPr>
          </w:p>
        </w:tc>
        <w:tc>
          <w:tcPr>
            <w:tcW w:w="5167" w:type="dxa"/>
          </w:tcPr>
          <w:p w14:paraId="4ED4CC2B" w14:textId="304D6F29" w:rsidR="00135175" w:rsidRPr="007B06DE" w:rsidRDefault="00135175" w:rsidP="00824B92"/>
          <w:p w14:paraId="03181E5A" w14:textId="77777777" w:rsidR="00135175" w:rsidRPr="007B06DE" w:rsidRDefault="00135175" w:rsidP="00824B92"/>
          <w:p w14:paraId="673E4AE6" w14:textId="77777777" w:rsidR="00135175" w:rsidRPr="007B06DE" w:rsidRDefault="00135175" w:rsidP="00824B92"/>
          <w:p w14:paraId="1F113AC0" w14:textId="441C004C" w:rsidR="009F4D66" w:rsidRPr="007B06DE" w:rsidRDefault="007B06DE"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023C95" w:rsidRPr="007B06DE">
                  <w:rPr>
                    <w:rStyle w:val="Style2"/>
                    <w:rFonts w:ascii="MS Gothic" w:eastAsia="MS Gothic" w:hAnsi="MS Gothic" w:hint="eastAsia"/>
                    <w:sz w:val="24"/>
                  </w:rPr>
                  <w:t>☒</w:t>
                </w:r>
              </w:sdtContent>
            </w:sdt>
            <w:r w:rsidR="00135175" w:rsidRPr="007B06DE">
              <w:t xml:space="preserve"> </w:t>
            </w:r>
            <w:r w:rsidR="009F4D66" w:rsidRPr="007B06DE">
              <w:t>Tinkamas</w:t>
            </w:r>
          </w:p>
          <w:p w14:paraId="33842692" w14:textId="33E71BBB" w:rsidR="00135175" w:rsidRPr="007B06DE" w:rsidRDefault="007B06DE" w:rsidP="0035130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7B06DE">
                  <w:rPr>
                    <w:rStyle w:val="Style2"/>
                    <w:rFonts w:ascii="MS Gothic" w:eastAsia="MS Gothic" w:hAnsi="MS Gothic" w:hint="eastAsia"/>
                    <w:sz w:val="24"/>
                  </w:rPr>
                  <w:t>☐</w:t>
                </w:r>
              </w:sdtContent>
            </w:sdt>
            <w:r w:rsidR="009F4D66" w:rsidRPr="007B06DE">
              <w:t xml:space="preserve"> Netinkama</w:t>
            </w:r>
            <w:r w:rsidR="00023C95" w:rsidRPr="007B06DE">
              <w:t>s</w:t>
            </w:r>
          </w:p>
          <w:p w14:paraId="3A6A4944" w14:textId="77777777" w:rsidR="00023C95" w:rsidRPr="007B06DE" w:rsidRDefault="00023C95" w:rsidP="00351302"/>
          <w:p w14:paraId="5D648BA1" w14:textId="77777777" w:rsidR="00023C95" w:rsidRPr="007B06DE" w:rsidRDefault="00023C95" w:rsidP="00351302"/>
          <w:p w14:paraId="7067402F" w14:textId="77777777" w:rsidR="00023C95" w:rsidRPr="007B06DE" w:rsidRDefault="00023C95" w:rsidP="00023C95">
            <w:r w:rsidRPr="007B06DE">
              <w:rPr>
                <w:rFonts w:ascii="Segoe UI Symbol" w:hAnsi="Segoe UI Symbol" w:cs="Segoe UI Symbol"/>
              </w:rPr>
              <w:t>☒</w:t>
            </w:r>
            <w:r w:rsidRPr="007B06DE">
              <w:t xml:space="preserve"> Tinkamas</w:t>
            </w:r>
          </w:p>
          <w:p w14:paraId="41B44044" w14:textId="44164894" w:rsidR="00023C95" w:rsidRPr="007B06DE" w:rsidRDefault="00023C95" w:rsidP="00023C95">
            <w:r w:rsidRPr="007B06DE">
              <w:rPr>
                <w:rFonts w:ascii="Segoe UI Symbol" w:hAnsi="Segoe UI Symbol" w:cs="Segoe UI Symbol"/>
              </w:rPr>
              <w:t>☐</w:t>
            </w:r>
            <w:r w:rsidRPr="007B06DE">
              <w:t xml:space="preserve"> Netinkamas</w:t>
            </w:r>
          </w:p>
        </w:tc>
      </w:tr>
    </w:tbl>
    <w:p w14:paraId="108176F7" w14:textId="640C6F75" w:rsidR="00F70C9E" w:rsidRPr="007B06DE" w:rsidRDefault="00F70C9E" w:rsidP="00E03C3F">
      <w:pPr>
        <w:pStyle w:val="Sraopastraipa"/>
        <w:tabs>
          <w:tab w:val="left" w:pos="426"/>
        </w:tabs>
        <w:ind w:left="0"/>
        <w:rPr>
          <w:b/>
          <w:bCs/>
          <w:caps/>
        </w:rPr>
      </w:pPr>
    </w:p>
    <w:p w14:paraId="2871CA7F" w14:textId="2370BDDB" w:rsidR="00F70C9E" w:rsidRPr="007B06DE" w:rsidRDefault="00F70C9E" w:rsidP="00880A44">
      <w:pPr>
        <w:spacing w:line="276" w:lineRule="auto"/>
        <w:jc w:val="both"/>
        <w:rPr>
          <w:rFonts w:eastAsia="Arial"/>
          <w:b/>
        </w:rPr>
      </w:pPr>
      <w:r w:rsidRPr="007B06DE">
        <w:rPr>
          <w:rFonts w:eastAsia="Arial"/>
          <w:b/>
        </w:rPr>
        <w:t xml:space="preserve">1.8 Kitų </w:t>
      </w:r>
      <w:r w:rsidR="00DF583C" w:rsidRPr="007B06DE">
        <w:rPr>
          <w:rFonts w:eastAsia="Arial"/>
          <w:b/>
        </w:rPr>
        <w:t xml:space="preserve">valstybių </w:t>
      </w:r>
      <w:r w:rsidRPr="007B06DE">
        <w:rPr>
          <w:rFonts w:eastAsia="Arial"/>
          <w:b/>
        </w:rPr>
        <w:t xml:space="preserve">atsakingų institucijų atlikto </w:t>
      </w:r>
      <w:r w:rsidR="00DF583C" w:rsidRPr="007B06DE">
        <w:rPr>
          <w:rFonts w:eastAsia="Arial"/>
          <w:b/>
        </w:rPr>
        <w:t>Sveikatos technologijų vertinimo (toliau – STV)</w:t>
      </w:r>
      <w:r w:rsidRPr="007B06DE">
        <w:rPr>
          <w:rFonts w:eastAsia="Arial"/>
          <w:b/>
        </w:rPr>
        <w:t xml:space="preserve"> išvados</w:t>
      </w:r>
    </w:p>
    <w:p w14:paraId="30721FDD" w14:textId="77777777" w:rsidR="00F70C9E" w:rsidRPr="007B06DE" w:rsidRDefault="00F70C9E" w:rsidP="00F70C9E">
      <w:pPr>
        <w:spacing w:line="276" w:lineRule="auto"/>
        <w:rPr>
          <w:rFonts w:eastAsia="Arial"/>
        </w:rPr>
      </w:pPr>
    </w:p>
    <w:tbl>
      <w:tblPr>
        <w:tblStyle w:val="Lentelstinklelis"/>
        <w:tblW w:w="9493" w:type="dxa"/>
        <w:tblLook w:val="04A0" w:firstRow="1" w:lastRow="0" w:firstColumn="1" w:lastColumn="0" w:noHBand="0" w:noVBand="1"/>
      </w:tblPr>
      <w:tblGrid>
        <w:gridCol w:w="2927"/>
        <w:gridCol w:w="1915"/>
        <w:gridCol w:w="2351"/>
        <w:gridCol w:w="2300"/>
      </w:tblGrid>
      <w:tr w:rsidR="00135175" w:rsidRPr="007B06DE" w14:paraId="2F8F1E7E" w14:textId="77777777" w:rsidTr="00DF496E">
        <w:trPr>
          <w:trHeight w:val="924"/>
        </w:trPr>
        <w:tc>
          <w:tcPr>
            <w:tcW w:w="2927" w:type="dxa"/>
          </w:tcPr>
          <w:p w14:paraId="10B30A3B" w14:textId="77777777" w:rsidR="00135175" w:rsidRPr="007B06DE" w:rsidRDefault="00135175" w:rsidP="00DD3688">
            <w:pPr>
              <w:spacing w:line="276" w:lineRule="auto"/>
              <w:rPr>
                <w:rFonts w:eastAsia="Arial"/>
              </w:rPr>
            </w:pPr>
            <w:r w:rsidRPr="007B06DE">
              <w:rPr>
                <w:rFonts w:eastAsia="Arial"/>
              </w:rPr>
              <w:t>STV agentūros pavadinimas, šalis</w:t>
            </w:r>
          </w:p>
        </w:tc>
        <w:tc>
          <w:tcPr>
            <w:tcW w:w="1915" w:type="dxa"/>
          </w:tcPr>
          <w:p w14:paraId="3F9C30BB" w14:textId="77777777" w:rsidR="00135175" w:rsidRPr="007B06DE" w:rsidRDefault="00135175" w:rsidP="00DD3688">
            <w:pPr>
              <w:spacing w:line="276" w:lineRule="auto"/>
              <w:rPr>
                <w:rFonts w:eastAsia="Arial"/>
              </w:rPr>
            </w:pPr>
            <w:r w:rsidRPr="007B06DE">
              <w:rPr>
                <w:rFonts w:eastAsia="Arial"/>
              </w:rPr>
              <w:t>STV vertinimas atliktas</w:t>
            </w:r>
          </w:p>
        </w:tc>
        <w:tc>
          <w:tcPr>
            <w:tcW w:w="2351" w:type="dxa"/>
          </w:tcPr>
          <w:p w14:paraId="660651B8" w14:textId="77777777" w:rsidR="00135175" w:rsidRPr="007B06DE" w:rsidRDefault="00135175" w:rsidP="00DD3688">
            <w:pPr>
              <w:spacing w:line="276" w:lineRule="auto"/>
              <w:rPr>
                <w:rFonts w:eastAsia="Arial"/>
              </w:rPr>
            </w:pPr>
            <w:r w:rsidRPr="007B06DE">
              <w:rPr>
                <w:rFonts w:eastAsia="Arial"/>
              </w:rPr>
              <w:t>Klinikinio vertinimo išvada</w:t>
            </w:r>
          </w:p>
        </w:tc>
        <w:tc>
          <w:tcPr>
            <w:tcW w:w="2300" w:type="dxa"/>
          </w:tcPr>
          <w:p w14:paraId="1B79ED3E" w14:textId="77777777" w:rsidR="00135175" w:rsidRPr="007B06DE" w:rsidRDefault="00135175" w:rsidP="00DD3688">
            <w:pPr>
              <w:spacing w:line="276" w:lineRule="auto"/>
              <w:rPr>
                <w:rFonts w:eastAsia="Arial"/>
              </w:rPr>
            </w:pPr>
            <w:r w:rsidRPr="007B06DE">
              <w:rPr>
                <w:rFonts w:eastAsia="Arial"/>
              </w:rPr>
              <w:t>Farmakoekonominio vertinimo išvada</w:t>
            </w:r>
          </w:p>
        </w:tc>
      </w:tr>
      <w:tr w:rsidR="00DF496E" w:rsidRPr="007B06DE" w14:paraId="3AE59CB8" w14:textId="77777777" w:rsidTr="00DF496E">
        <w:trPr>
          <w:trHeight w:val="1765"/>
        </w:trPr>
        <w:tc>
          <w:tcPr>
            <w:tcW w:w="2927" w:type="dxa"/>
          </w:tcPr>
          <w:p w14:paraId="20919FBE" w14:textId="77777777" w:rsidR="00DF496E" w:rsidRPr="007B06DE" w:rsidRDefault="00DF496E" w:rsidP="00DF496E">
            <w:pPr>
              <w:autoSpaceDE w:val="0"/>
              <w:autoSpaceDN w:val="0"/>
              <w:adjustRightInd w:val="0"/>
              <w:rPr>
                <w:bCs/>
              </w:rPr>
            </w:pPr>
            <w:r w:rsidRPr="007B06DE">
              <w:rPr>
                <w:bCs/>
              </w:rPr>
              <w:t>Nacionalinis sveikatos ir klinikinės kompetencijos institutas, Didžioji Britanija</w:t>
            </w:r>
          </w:p>
          <w:p w14:paraId="0DA9F8F2" w14:textId="77777777" w:rsidR="00DF496E" w:rsidRPr="007B06DE" w:rsidRDefault="00DF496E" w:rsidP="00DF496E">
            <w:pPr>
              <w:spacing w:line="276" w:lineRule="auto"/>
              <w:rPr>
                <w:rFonts w:eastAsia="Arial"/>
              </w:rPr>
            </w:pPr>
            <w:r w:rsidRPr="007B06DE">
              <w:rPr>
                <w:rFonts w:eastAsia="Arial"/>
              </w:rPr>
              <w:t xml:space="preserve">(angl. </w:t>
            </w:r>
            <w:r w:rsidRPr="007B06DE">
              <w:rPr>
                <w:rFonts w:eastAsia="Arial"/>
                <w:i/>
              </w:rPr>
              <w:t>National Institute for Health and Care Excellence, NICE</w:t>
            </w:r>
            <w:r w:rsidRPr="007B06DE">
              <w:rPr>
                <w:rFonts w:eastAsia="Arial"/>
              </w:rPr>
              <w:t>)</w:t>
            </w:r>
          </w:p>
        </w:tc>
        <w:tc>
          <w:tcPr>
            <w:tcW w:w="1915" w:type="dxa"/>
          </w:tcPr>
          <w:p w14:paraId="48B794A3" w14:textId="77777777" w:rsidR="00DF496E" w:rsidRPr="007B06DE" w:rsidRDefault="007B06DE" w:rsidP="00DF496E">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Taip</w:t>
            </w:r>
          </w:p>
          <w:p w14:paraId="45CE1671" w14:textId="77777777" w:rsidR="00DF496E" w:rsidRPr="007B06DE" w:rsidRDefault="007B06DE" w:rsidP="00DF496E">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Ne</w:t>
            </w:r>
          </w:p>
          <w:p w14:paraId="63AA62A6" w14:textId="0E3FD61B" w:rsidR="00DF496E" w:rsidRPr="007B06DE" w:rsidRDefault="007B06DE" w:rsidP="00DF496E">
            <w:pPr>
              <w:rPr>
                <w:rFonts w:eastAsia="Arial"/>
              </w:rPr>
            </w:pPr>
            <w:sdt>
              <w:sdtPr>
                <w:alias w:val="Nurodykite konkrečią dieną"/>
                <w:tag w:val="Nurodykite pradžios datą"/>
                <w:id w:val="922837954"/>
                <w:placeholder>
                  <w:docPart w:val="E5F21B96CB654D689EC337968C37008D"/>
                </w:placeholder>
                <w15:color w:val="FFCC99"/>
                <w:date>
                  <w:dateFormat w:val="yyyy 'm.' MMMM d 'd.'"/>
                  <w:lid w:val="lt-LT"/>
                  <w:storeMappedDataAs w:val="dateTime"/>
                  <w:calendar w:val="gregorian"/>
                </w:date>
              </w:sdtPr>
              <w:sdtEndPr/>
              <w:sdtContent>
                <w:r w:rsidR="00DF496E" w:rsidRPr="007B06DE">
                  <w:t>2024 m. lapkričio 13 d.</w:t>
                </w:r>
              </w:sdtContent>
            </w:sdt>
          </w:p>
        </w:tc>
        <w:tc>
          <w:tcPr>
            <w:tcW w:w="4651" w:type="dxa"/>
            <w:gridSpan w:val="2"/>
          </w:tcPr>
          <w:p w14:paraId="1A9756B2" w14:textId="6B73D661" w:rsidR="00DF496E" w:rsidRPr="007B06DE" w:rsidRDefault="00DF496E" w:rsidP="00DF496E">
            <w:pPr>
              <w:spacing w:line="276" w:lineRule="auto"/>
              <w:jc w:val="both"/>
              <w:rPr>
                <w:rFonts w:eastAsia="Arial"/>
              </w:rPr>
            </w:pPr>
            <w:r w:rsidRPr="007B06DE">
              <w:rPr>
                <w:rFonts w:eastAsia="Arial"/>
              </w:rPr>
              <w:t xml:space="preserve">TECVAYLI </w:t>
            </w:r>
            <w:r w:rsidRPr="007B06DE">
              <w:rPr>
                <w:rFonts w:eastAsia="Arial"/>
                <w:b/>
                <w:bCs/>
              </w:rPr>
              <w:t>gali būti kompensuojamas</w:t>
            </w:r>
            <w:r w:rsidRPr="007B06DE">
              <w:rPr>
                <w:rFonts w:eastAsia="Arial"/>
              </w:rPr>
              <w:t xml:space="preserve"> </w:t>
            </w:r>
            <w:r w:rsidRPr="007B06DE">
              <w:t>kaip monoterapija pagal nurodytą indikaciją</w:t>
            </w:r>
            <w:r w:rsidRPr="007B06DE">
              <w:rPr>
                <w:rFonts w:eastAsia="Arial"/>
              </w:rPr>
              <w:t>. TECVAYLI rekomenduojamas tik tuo atveju, jei bendrovė jį teikia pagal komercinį susitarimą.</w:t>
            </w:r>
          </w:p>
        </w:tc>
      </w:tr>
      <w:tr w:rsidR="00DF496E" w:rsidRPr="007B06DE" w14:paraId="4E696CD2" w14:textId="77777777" w:rsidTr="00DF496E">
        <w:trPr>
          <w:trHeight w:val="1547"/>
        </w:trPr>
        <w:tc>
          <w:tcPr>
            <w:tcW w:w="2927" w:type="dxa"/>
          </w:tcPr>
          <w:p w14:paraId="15B9FF36" w14:textId="77777777" w:rsidR="00DF496E" w:rsidRPr="007B06DE" w:rsidRDefault="00DF496E" w:rsidP="00DF496E">
            <w:pPr>
              <w:spacing w:line="276" w:lineRule="auto"/>
              <w:rPr>
                <w:rFonts w:eastAsia="Arial"/>
              </w:rPr>
            </w:pPr>
            <w:r w:rsidRPr="007B06DE">
              <w:rPr>
                <w:rFonts w:eastAsia="Arial"/>
              </w:rPr>
              <w:t>Kanados sveikatos technologijų agentūra</w:t>
            </w:r>
          </w:p>
          <w:p w14:paraId="1B806F38" w14:textId="77777777" w:rsidR="00DF496E" w:rsidRPr="007B06DE" w:rsidRDefault="00DF496E" w:rsidP="00DF496E">
            <w:pPr>
              <w:spacing w:line="276" w:lineRule="auto"/>
              <w:rPr>
                <w:rFonts w:eastAsia="Arial"/>
              </w:rPr>
            </w:pPr>
            <w:r w:rsidRPr="007B06DE">
              <w:rPr>
                <w:rFonts w:eastAsia="Arial"/>
              </w:rPr>
              <w:t xml:space="preserve">(angl. </w:t>
            </w:r>
            <w:r w:rsidRPr="007B06DE">
              <w:rPr>
                <w:rFonts w:eastAsia="Arial"/>
                <w:i/>
              </w:rPr>
              <w:t>Canadian health Technology Assessment agency, CADTH</w:t>
            </w:r>
            <w:r w:rsidRPr="007B06DE">
              <w:rPr>
                <w:rFonts w:eastAsia="Arial"/>
              </w:rPr>
              <w:t>)</w:t>
            </w:r>
          </w:p>
        </w:tc>
        <w:tc>
          <w:tcPr>
            <w:tcW w:w="1915" w:type="dxa"/>
          </w:tcPr>
          <w:p w14:paraId="178DC9FD" w14:textId="77777777" w:rsidR="00DF496E" w:rsidRPr="007B06DE" w:rsidRDefault="007B06DE" w:rsidP="00DF496E">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Taip</w:t>
            </w:r>
          </w:p>
          <w:p w14:paraId="358ABBF0" w14:textId="77777777" w:rsidR="00DF496E" w:rsidRPr="007B06DE" w:rsidRDefault="007B06DE" w:rsidP="00DF496E">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Ne</w:t>
            </w:r>
          </w:p>
          <w:p w14:paraId="44F2D51C" w14:textId="2658B58A" w:rsidR="00DF496E" w:rsidRPr="007B06DE" w:rsidRDefault="007B06DE" w:rsidP="00DF496E">
            <w:pPr>
              <w:spacing w:line="276" w:lineRule="auto"/>
              <w:rPr>
                <w:rFonts w:eastAsia="Arial"/>
              </w:rPr>
            </w:pPr>
            <w:sdt>
              <w:sdtPr>
                <w:alias w:val="Nurodykite konkrečią dieną"/>
                <w:tag w:val="Nurodykite pradžios datą"/>
                <w:id w:val="1072468416"/>
                <w:placeholder>
                  <w:docPart w:val="723BB79678554A859DDACED0268726DC"/>
                </w:placeholder>
                <w15:color w:val="FFCC99"/>
                <w:date>
                  <w:dateFormat w:val="yyyy 'm.' MMMM d 'd.'"/>
                  <w:lid w:val="lt-LT"/>
                  <w:storeMappedDataAs w:val="dateTime"/>
                  <w:calendar w:val="gregorian"/>
                </w:date>
              </w:sdtPr>
              <w:sdtEndPr/>
              <w:sdtContent>
                <w:r w:rsidR="00DF496E" w:rsidRPr="007B06DE">
                  <w:t>2024 m. balandžio 08 d.</w:t>
                </w:r>
              </w:sdtContent>
            </w:sdt>
          </w:p>
        </w:tc>
        <w:tc>
          <w:tcPr>
            <w:tcW w:w="4651" w:type="dxa"/>
            <w:gridSpan w:val="2"/>
          </w:tcPr>
          <w:p w14:paraId="32E676D4" w14:textId="52F2859D" w:rsidR="00DF496E" w:rsidRPr="007B06DE" w:rsidRDefault="00DF496E" w:rsidP="00DF496E">
            <w:pPr>
              <w:spacing w:line="276" w:lineRule="auto"/>
              <w:rPr>
                <w:rFonts w:eastAsia="Arial"/>
              </w:rPr>
            </w:pPr>
            <w:r w:rsidRPr="007B06DE">
              <w:rPr>
                <w:rFonts w:eastAsia="Arial"/>
              </w:rPr>
              <w:t xml:space="preserve">TECVAYLI </w:t>
            </w:r>
            <w:r w:rsidRPr="007B06DE">
              <w:rPr>
                <w:rFonts w:eastAsia="Arial"/>
                <w:b/>
                <w:bCs/>
              </w:rPr>
              <w:t>gali būti kompensuojamas</w:t>
            </w:r>
            <w:r w:rsidRPr="007B06DE">
              <w:rPr>
                <w:rFonts w:eastAsia="Arial"/>
              </w:rPr>
              <w:t xml:space="preserve"> </w:t>
            </w:r>
            <w:r w:rsidRPr="007B06DE">
              <w:t>kaip monoterapija gydyti suaugusiems pacientams, sergantiems atsinaujinusia ir atsparia daugine mieloma pacientams, kurie prieš tai yra gavę mažiausiai tris gydymo kursus, įskaitant gydymą imunomoduliatoriumi, prote</w:t>
            </w:r>
            <w:r w:rsidR="00460482" w:rsidRPr="007B06DE">
              <w:t>o</w:t>
            </w:r>
            <w:r w:rsidRPr="007B06DE">
              <w:t>somos inhibitoriumi ir antikūnu prieš CD38, ir kuriems pasireiškė ligos progresavimas paskutiniojo gydymo metu.</w:t>
            </w:r>
          </w:p>
        </w:tc>
      </w:tr>
      <w:tr w:rsidR="00DF496E" w:rsidRPr="007B06DE" w14:paraId="4F35F96B" w14:textId="77777777" w:rsidTr="00DF496E">
        <w:trPr>
          <w:trHeight w:val="1927"/>
        </w:trPr>
        <w:tc>
          <w:tcPr>
            <w:tcW w:w="2927" w:type="dxa"/>
          </w:tcPr>
          <w:p w14:paraId="3D808AE8" w14:textId="77777777" w:rsidR="00DF496E" w:rsidRPr="007B06DE" w:rsidRDefault="00DF496E" w:rsidP="00DF496E">
            <w:pPr>
              <w:spacing w:line="276" w:lineRule="auto"/>
              <w:rPr>
                <w:rFonts w:eastAsia="Arial"/>
              </w:rPr>
            </w:pPr>
            <w:r w:rsidRPr="007B06DE">
              <w:rPr>
                <w:rFonts w:eastAsia="Arial"/>
              </w:rPr>
              <w:t>Nacionalinis farmakoekonomikos centras, Airija</w:t>
            </w:r>
          </w:p>
          <w:p w14:paraId="075DBF3A" w14:textId="77777777" w:rsidR="00DF496E" w:rsidRPr="007B06DE" w:rsidRDefault="00DF496E" w:rsidP="00DF496E">
            <w:pPr>
              <w:spacing w:line="276" w:lineRule="auto"/>
              <w:rPr>
                <w:rFonts w:eastAsia="Arial"/>
              </w:rPr>
            </w:pPr>
            <w:r w:rsidRPr="007B06DE">
              <w:rPr>
                <w:rFonts w:eastAsia="Arial"/>
              </w:rPr>
              <w:t>(angl.</w:t>
            </w:r>
            <w:r w:rsidRPr="007B06DE">
              <w:rPr>
                <w:rFonts w:eastAsia="Arial"/>
                <w:i/>
              </w:rPr>
              <w:t xml:space="preserve"> National Centre for Pharmacoeconomics, NCPE</w:t>
            </w:r>
            <w:r w:rsidRPr="007B06DE">
              <w:rPr>
                <w:rFonts w:eastAsia="Arial"/>
              </w:rPr>
              <w:t>)</w:t>
            </w:r>
          </w:p>
        </w:tc>
        <w:tc>
          <w:tcPr>
            <w:tcW w:w="1915" w:type="dxa"/>
          </w:tcPr>
          <w:p w14:paraId="08879AD7" w14:textId="77777777" w:rsidR="00DF496E" w:rsidRPr="007B06DE" w:rsidRDefault="007B06DE" w:rsidP="00DF496E">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Taip</w:t>
            </w:r>
          </w:p>
          <w:p w14:paraId="554BD929" w14:textId="77777777" w:rsidR="00DF496E" w:rsidRPr="007B06DE" w:rsidRDefault="007B06DE" w:rsidP="00DF496E">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DF496E" w:rsidRPr="007B06DE">
                  <w:rPr>
                    <w:rStyle w:val="Style2"/>
                    <w:rFonts w:ascii="MS Gothic" w:eastAsia="MS Gothic" w:hAnsi="MS Gothic" w:hint="eastAsia"/>
                  </w:rPr>
                  <w:t>☐</w:t>
                </w:r>
              </w:sdtContent>
            </w:sdt>
            <w:r w:rsidR="00DF496E" w:rsidRPr="007B06DE">
              <w:t xml:space="preserve"> Ne</w:t>
            </w:r>
          </w:p>
          <w:p w14:paraId="5F1371C5" w14:textId="59D6D66E" w:rsidR="00DF496E" w:rsidRPr="007B06DE" w:rsidRDefault="007B06DE" w:rsidP="00DF496E">
            <w:pPr>
              <w:spacing w:line="276" w:lineRule="auto"/>
              <w:rPr>
                <w:rFonts w:eastAsia="Arial"/>
              </w:rPr>
            </w:pPr>
            <w:sdt>
              <w:sdtPr>
                <w:alias w:val="Nurodykite konkrečią dieną"/>
                <w:tag w:val="Nurodykite pradžios datą"/>
                <w:id w:val="-198323198"/>
                <w:placeholder>
                  <w:docPart w:val="54D1B5F368B64CA3B7AA6C00369B69BE"/>
                </w:placeholder>
                <w15:color w:val="FFCC99"/>
                <w:date>
                  <w:dateFormat w:val="yyyy 'm.' MMMM d 'd.'"/>
                  <w:lid w:val="lt-LT"/>
                  <w:storeMappedDataAs w:val="dateTime"/>
                  <w:calendar w:val="gregorian"/>
                </w:date>
              </w:sdtPr>
              <w:sdtEndPr/>
              <w:sdtContent>
                <w:r w:rsidR="00DF496E" w:rsidRPr="007B06DE">
                  <w:t>2024 m. liepos 04 d.</w:t>
                </w:r>
              </w:sdtContent>
            </w:sdt>
          </w:p>
        </w:tc>
        <w:tc>
          <w:tcPr>
            <w:tcW w:w="4651" w:type="dxa"/>
            <w:gridSpan w:val="2"/>
          </w:tcPr>
          <w:p w14:paraId="178472D4" w14:textId="7E38DE61" w:rsidR="00DF496E" w:rsidRPr="007B06DE" w:rsidRDefault="00DF496E" w:rsidP="00DF496E">
            <w:pPr>
              <w:spacing w:line="276" w:lineRule="auto"/>
              <w:rPr>
                <w:rFonts w:eastAsia="Arial"/>
              </w:rPr>
            </w:pPr>
            <w:r w:rsidRPr="007B06DE">
              <w:rPr>
                <w:rFonts w:eastAsia="Arial"/>
              </w:rPr>
              <w:t xml:space="preserve">TECVAYLI </w:t>
            </w:r>
            <w:r w:rsidRPr="007B06DE">
              <w:rPr>
                <w:rFonts w:eastAsia="Arial"/>
                <w:b/>
                <w:bCs/>
              </w:rPr>
              <w:t>nerekomenduojamas</w:t>
            </w:r>
            <w:r w:rsidRPr="007B06DE">
              <w:rPr>
                <w:rFonts w:eastAsia="Arial"/>
              </w:rPr>
              <w:t xml:space="preserve"> </w:t>
            </w:r>
            <w:r w:rsidRPr="007B06DE">
              <w:rPr>
                <w:rFonts w:eastAsia="Arial"/>
                <w:b/>
                <w:bCs/>
              </w:rPr>
              <w:t>kompensuoti</w:t>
            </w:r>
            <w:r w:rsidRPr="007B06DE">
              <w:rPr>
                <w:rFonts w:eastAsia="Arial"/>
              </w:rPr>
              <w:t>, nebent kaštų naudingumas gali būti pasiektas lyginant su šiuo metu esamais gydymo metodais.</w:t>
            </w:r>
          </w:p>
        </w:tc>
      </w:tr>
    </w:tbl>
    <w:p w14:paraId="73290081" w14:textId="77777777" w:rsidR="007A2B68" w:rsidRPr="007B06DE" w:rsidRDefault="007A2B68">
      <w:pPr>
        <w:rPr>
          <w:b/>
          <w:bCs/>
          <w:caps/>
        </w:rPr>
      </w:pPr>
      <w:r w:rsidRPr="007B06DE">
        <w:rPr>
          <w:b/>
          <w:bCs/>
          <w:caps/>
        </w:rPr>
        <w:br w:type="page"/>
      </w:r>
    </w:p>
    <w:p w14:paraId="5055E8A8" w14:textId="471A9757" w:rsidR="002E6F80" w:rsidRPr="007B06DE" w:rsidRDefault="00CC7832" w:rsidP="00CC09D4">
      <w:pPr>
        <w:pStyle w:val="Sraopastraipa"/>
        <w:numPr>
          <w:ilvl w:val="0"/>
          <w:numId w:val="12"/>
        </w:numPr>
        <w:tabs>
          <w:tab w:val="left" w:pos="567"/>
        </w:tabs>
        <w:ind w:hanging="720"/>
        <w:rPr>
          <w:b/>
          <w:bCs/>
          <w:caps/>
        </w:rPr>
      </w:pPr>
      <w:r w:rsidRPr="007B06DE">
        <w:rPr>
          <w:b/>
          <w:bCs/>
          <w:caps/>
        </w:rPr>
        <w:lastRenderedPageBreak/>
        <w:t>Klinikinio vertinimo a</w:t>
      </w:r>
      <w:r w:rsidR="00D4485B" w:rsidRPr="007B06DE">
        <w:rPr>
          <w:b/>
          <w:bCs/>
          <w:caps/>
        </w:rPr>
        <w:t>pibendrinimas</w:t>
      </w:r>
    </w:p>
    <w:p w14:paraId="61039A30" w14:textId="77777777" w:rsidR="00861400" w:rsidRPr="007B06DE" w:rsidRDefault="00861400" w:rsidP="00135175">
      <w:pPr>
        <w:tabs>
          <w:tab w:val="left" w:pos="426"/>
        </w:tabs>
        <w:spacing w:line="276" w:lineRule="auto"/>
        <w:jc w:val="both"/>
        <w:rPr>
          <w:rFonts w:eastAsia="Arial"/>
          <w:color w:val="000000" w:themeColor="text1"/>
        </w:rPr>
      </w:pPr>
      <w:r w:rsidRPr="007B06DE">
        <w:rPr>
          <w:rFonts w:eastAsia="Arial"/>
          <w:color w:val="000000" w:themeColor="text1"/>
        </w:rPr>
        <w:tab/>
      </w:r>
    </w:p>
    <w:p w14:paraId="0EB77B1D" w14:textId="21BB6423" w:rsidR="00024DC2" w:rsidRPr="007B06DE" w:rsidRDefault="00024DC2" w:rsidP="00005551">
      <w:pPr>
        <w:spacing w:line="276" w:lineRule="auto"/>
        <w:ind w:firstLine="720"/>
        <w:jc w:val="both"/>
        <w:rPr>
          <w:color w:val="000000"/>
        </w:rPr>
      </w:pPr>
      <w:r w:rsidRPr="007B06DE">
        <w:rPr>
          <w:color w:val="000000"/>
        </w:rPr>
        <w:t>Dauginė mieloma (DM) yra labai nevienalytis ir genetiškai sudėtingas hematologinis vėžys, pažeidžiantis plazmos ląsteles, baltųjų kraujo kūnelių tipą, atsakingą už antikūnų gamybą. DM yra retas piktybinis navikas, įrašytas į Bendrijos retųjų vaistinių preparatų registrą. Iš maždaug 140 000 asmenų Europos Sąjungoje (ES) ir 91 000 asmenų JAV, sergančių DM, apskaičiuota, kad 4–12</w:t>
      </w:r>
      <w:r w:rsidR="004E6023" w:rsidRPr="007B06DE">
        <w:rPr>
          <w:color w:val="000000"/>
        </w:rPr>
        <w:t>proc.</w:t>
      </w:r>
      <w:r w:rsidRPr="007B06DE">
        <w:rPr>
          <w:color w:val="000000"/>
        </w:rPr>
        <w:t xml:space="preserve"> pacientų yra gydyti trimis gydymo eilėmis, t.y. jiems taikytas standartinis gydymas proteosomos inhibitoriumi (PI), imunomoduliuojančiu vaistu (IMiD) ir anti-CD38 monokloniniu antikūnu (mAb).</w:t>
      </w:r>
    </w:p>
    <w:p w14:paraId="1775D584" w14:textId="0B09AEFE" w:rsidR="00C9438B" w:rsidRPr="007B06DE" w:rsidRDefault="00C9438B" w:rsidP="00C9438B">
      <w:pPr>
        <w:spacing w:line="276" w:lineRule="auto"/>
        <w:ind w:firstLine="720"/>
        <w:jc w:val="both"/>
      </w:pPr>
      <w:bookmarkStart w:id="1" w:name="_Hlk205381542"/>
      <w:r w:rsidRPr="007B06DE">
        <w:rPr>
          <w:color w:val="000000"/>
        </w:rPr>
        <w:t>******************************************************************************************************************************************************************************************************************************************************************************************************************************************************************************************************************************************************************************************************************************************************************************************************************************************************************************************************************************************************************************************************************************************************************************************************************************************************************************************************************************************************************************************************************************************************************************************************************************</w:t>
      </w:r>
      <w:r w:rsidR="00024DC2" w:rsidRPr="007B06DE">
        <w:t xml:space="preserve">. </w:t>
      </w:r>
    </w:p>
    <w:p w14:paraId="44072FAE" w14:textId="1AFA82BA" w:rsidR="00024DC2" w:rsidRPr="007B06DE" w:rsidRDefault="00024DC2" w:rsidP="00005551">
      <w:pPr>
        <w:pStyle w:val="Tekstas"/>
        <w:spacing w:after="0" w:line="276" w:lineRule="auto"/>
        <w:ind w:firstLine="720"/>
        <w:rPr>
          <w:i/>
          <w:iCs/>
          <w:color w:val="000000"/>
        </w:rPr>
      </w:pPr>
      <w:r w:rsidRPr="007B06DE">
        <w:rPr>
          <w:color w:val="000000"/>
        </w:rPr>
        <w:t xml:space="preserve">Šiuo metu Lietuvoje nėra DM gydymo tvarkos aprašo, todėl gydymas remiasi tarptautinių organizacijų paskelbtomis rekomendacijomis: </w:t>
      </w:r>
      <w:r w:rsidRPr="007B06DE">
        <w:rPr>
          <w:rFonts w:eastAsia="Arial"/>
          <w:iCs/>
        </w:rPr>
        <w:t xml:space="preserve">Europos medicinos onkologų draugijos (angl. European Society of Medical Oncology; ESMO) ir </w:t>
      </w:r>
      <w:r w:rsidRPr="007B06DE">
        <w:rPr>
          <w:rFonts w:eastAsia="Arial"/>
        </w:rPr>
        <w:t>Nacionalinio išplėstinio vėžio tinklo (angl. National Comprehensive Cancer Network, NCCN)</w:t>
      </w:r>
      <w:r w:rsidRPr="007B06DE">
        <w:rPr>
          <w:rFonts w:eastAsia="Arial"/>
          <w:iCs/>
        </w:rPr>
        <w:t>.</w:t>
      </w:r>
      <w:r w:rsidRPr="007B06DE">
        <w:t xml:space="preserve"> ESMO rekomendacijos ekspertų nuomone paskutinį kartą buvo atnaujintos 2021 metais, todėl laikomos neaktualiomis šiuo metu, vertinant naujų gydymo galimybių prieinamumą Europoje ir pasaulyje. Lietuvos klinikinėje praktikoje vadovaujamasi NCCN gairėmis, nes jos reguliariai atnaujinamos ir šiuo metu yra galiojanti 2025 m. 1-a versija (šaltinis NCCN v1.2025), kurioje pateikiamos atskiros rekomendacijos pacientams su atsinaujinusia ir/ar atsparia daugine mieloma, gydytiems keturioms gydymo eilėmis (įskaitant gydymą imunomoduliatoriumi, prote</w:t>
      </w:r>
      <w:r w:rsidR="00460482" w:rsidRPr="007B06DE">
        <w:t>o</w:t>
      </w:r>
      <w:r w:rsidRPr="007B06DE">
        <w:t xml:space="preserve">somos inhibitoriumi ir antikūnu prieš CD38). Teklistamabas šiai klinikinei situacijai NCCN gairėse yra rekomenduojamas kaip pirmo pasirinkimo gydymas. </w:t>
      </w:r>
    </w:p>
    <w:p w14:paraId="07D1A33C" w14:textId="77777777" w:rsidR="00024DC2" w:rsidRPr="007B06DE" w:rsidRDefault="00024DC2" w:rsidP="00005551">
      <w:pPr>
        <w:tabs>
          <w:tab w:val="left" w:pos="426"/>
        </w:tabs>
        <w:spacing w:line="276" w:lineRule="auto"/>
        <w:jc w:val="both"/>
        <w:rPr>
          <w:rFonts w:eastAsia="Arial"/>
        </w:rPr>
      </w:pPr>
      <w:r w:rsidRPr="007B06DE">
        <w:rPr>
          <w:color w:val="000000"/>
        </w:rPr>
        <w:tab/>
      </w:r>
      <w:r w:rsidRPr="007B06DE">
        <w:rPr>
          <w:color w:val="000000"/>
        </w:rPr>
        <w:tab/>
        <w:t>Teklistamabas yra pilno dydžio bispecifinis IgG4-PAA antikūnas, prisijungiantis prie T ląstelių paviršiuje ekspresuojamo CD3 receptoriaus ir B ląstelių brendimo antigeno (angl. the B cell maturation antigen, BCMA), ekspresuojamo piktybinės dauginės mielomos B linijos ląstelių, taip pat vėlyvosios stadijos B ląstelių ir plazminių ląstelių paviršiuje. Dėl tokio dvigubo prisijungimo teklistamabas gali pritraukti CD3+ T ląsteles labai arti BCMA+ ląstelių, taip aktyvinamos T ląstelės ir dėl to sukeliama BCMA+ ląstelių lizė ir mirtis, veikiant išsiskyrusiems perforinui ir įvairiems granzimams, kurie laikomi citotoksinių T ląstelių sekrecinėse pūslelėse. Toks poveikis pasireiškia nepriklausomai nuo T ląstelių receptorių specifiškumo ar pagrindinio audinių suderinamumo komplekso (angl. major histocompatibility complex, MHC) 1 klasės molekulių, esančių antigeną pateikiančių ląstelių paviršiuje.</w:t>
      </w:r>
    </w:p>
    <w:p w14:paraId="106FE91A" w14:textId="2E8C70C4" w:rsidR="00024DC2" w:rsidRPr="007B06DE" w:rsidRDefault="00024DC2" w:rsidP="00005551">
      <w:pPr>
        <w:tabs>
          <w:tab w:val="left" w:pos="426"/>
        </w:tabs>
        <w:spacing w:line="276" w:lineRule="auto"/>
        <w:jc w:val="both"/>
        <w:rPr>
          <w:rFonts w:eastAsia="Arial"/>
        </w:rPr>
      </w:pPr>
      <w:r w:rsidRPr="007B06DE">
        <w:rPr>
          <w:rFonts w:eastAsia="Arial"/>
        </w:rPr>
        <w:tab/>
      </w:r>
      <w:r w:rsidRPr="007B06DE">
        <w:rPr>
          <w:rFonts w:eastAsia="Arial"/>
        </w:rPr>
        <w:tab/>
      </w:r>
      <w:r w:rsidRPr="007B06DE">
        <w:rPr>
          <w:bCs/>
          <w:lang w:eastAsia="lt-LT"/>
        </w:rPr>
        <w:t>Pagal Lietuvos Respublikos sveikatos apsaugos ministro 2002 m. balandžio 5 d. įsakymą Nr. V-159 „Dė</w:t>
      </w:r>
      <w:r w:rsidRPr="007B06DE">
        <w:rPr>
          <w:bCs/>
        </w:rPr>
        <w:t xml:space="preserve">l vaistinių preparatų ir medicinos pagalbos priemonių įrašymo į kompensavimo sąrašus ir </w:t>
      </w:r>
      <w:r w:rsidRPr="007B06DE">
        <w:rPr>
          <w:bCs/>
        </w:rPr>
        <w:lastRenderedPageBreak/>
        <w:t>jų keitimo tvarkos aprašo patvirtinimo“ 116-119 p</w:t>
      </w:r>
      <w:r w:rsidR="002F506E" w:rsidRPr="007B06DE">
        <w:rPr>
          <w:bCs/>
        </w:rPr>
        <w:t>unktus</w:t>
      </w:r>
      <w:r w:rsidRPr="007B06DE">
        <w:rPr>
          <w:bCs/>
        </w:rPr>
        <w:t xml:space="preserve"> tinkamas palyginamasis gydymas – </w:t>
      </w:r>
      <w:r w:rsidR="003700C7" w:rsidRPr="007B06DE">
        <w:rPr>
          <w:rFonts w:eastAsia="Arial"/>
        </w:rPr>
        <w:t>****************************</w:t>
      </w:r>
      <w:r w:rsidR="00772765" w:rsidRPr="007B06DE">
        <w:rPr>
          <w:color w:val="000000"/>
        </w:rPr>
        <w:t>******.</w:t>
      </w:r>
      <w:r w:rsidRPr="007B06DE">
        <w:rPr>
          <w:bCs/>
        </w:rPr>
        <w:t xml:space="preserve"> </w:t>
      </w:r>
    </w:p>
    <w:p w14:paraId="304E35AE" w14:textId="77777777" w:rsidR="00024DC2" w:rsidRPr="007B06DE" w:rsidRDefault="00024DC2" w:rsidP="00005551">
      <w:pPr>
        <w:spacing w:line="276" w:lineRule="auto"/>
        <w:jc w:val="both"/>
        <w:rPr>
          <w:rFonts w:eastAsia="Arial"/>
          <w:i/>
          <w:color w:val="00B050"/>
        </w:rPr>
      </w:pPr>
    </w:p>
    <w:p w14:paraId="436E26A2" w14:textId="77777777" w:rsidR="00024DC2" w:rsidRPr="007B06DE" w:rsidRDefault="00024DC2" w:rsidP="00005551">
      <w:pPr>
        <w:pStyle w:val="prastasiniatinklio"/>
        <w:spacing w:before="0" w:beforeAutospacing="0" w:after="0" w:afterAutospacing="0" w:line="276" w:lineRule="auto"/>
        <w:jc w:val="both"/>
        <w:rPr>
          <w:b/>
          <w:bCs/>
          <w:i/>
          <w:iCs/>
        </w:rPr>
      </w:pPr>
      <w:r w:rsidRPr="007B06DE">
        <w:rPr>
          <w:rStyle w:val="Grietas"/>
          <w:b w:val="0"/>
          <w:bCs w:val="0"/>
          <w:i/>
          <w:iCs/>
        </w:rPr>
        <w:t>Registracinis tyrimas</w:t>
      </w:r>
    </w:p>
    <w:p w14:paraId="73CCE732" w14:textId="4FD19BB2" w:rsidR="00024DC2" w:rsidRPr="007B06DE" w:rsidRDefault="00024DC2" w:rsidP="00005551">
      <w:pPr>
        <w:pStyle w:val="prastasiniatinklio"/>
        <w:spacing w:before="0" w:beforeAutospacing="0" w:after="0" w:afterAutospacing="0" w:line="276" w:lineRule="auto"/>
        <w:ind w:firstLine="720"/>
        <w:jc w:val="both"/>
      </w:pPr>
      <w:r w:rsidRPr="007B06DE">
        <w:t>MajesTEC-1 yra tarptautinis, daugiacentris, atviro dizaino, I/II fazės klinikinis tyrimas, kuriuo buvo vertintas teklistamabo veiksmingumas ir saugumas pacientams, sergantiems atsinaujinusia arba atsparia dauginės mielomos forma, kai anksčiau taikytas gydymas apėmė bent tris skirtingas terapijas, įskaitant prote</w:t>
      </w:r>
      <w:r w:rsidR="00460482" w:rsidRPr="007B06DE">
        <w:t>o</w:t>
      </w:r>
      <w:r w:rsidRPr="007B06DE">
        <w:t>somų inhibitorių, imunomoduliatorių ir monokloninį CD38 antikūną.</w:t>
      </w:r>
    </w:p>
    <w:p w14:paraId="16CE5AE8" w14:textId="77777777" w:rsidR="00024DC2" w:rsidRPr="007B06DE" w:rsidRDefault="00024DC2" w:rsidP="00005551">
      <w:pPr>
        <w:pStyle w:val="prastasiniatinklio"/>
        <w:spacing w:before="0" w:beforeAutospacing="0" w:after="0" w:afterAutospacing="0" w:line="276" w:lineRule="auto"/>
        <w:ind w:firstLine="720"/>
        <w:jc w:val="both"/>
      </w:pPr>
      <w:r w:rsidRPr="007B06DE">
        <w:t>Į tyrimą buvo įtraukti 165 pacientai, kurių dauguma buvo sunkiai gydomi: 78 proc. buvo atsparūs visoms trims vaistų klasėms, 82 proc. buvo atliktas autologinis kamieninių ląstelių persodinimas, o 26 proc. turėjo didelės rizikos citogenetiką. Pacientams buvo skiriama pradinė dozės didinimo schema, o vėliau – 1,5 mg/kg palaikomoji teklistamabo dozė kartą per savaitę po oda.</w:t>
      </w:r>
    </w:p>
    <w:p w14:paraId="058245EF" w14:textId="683419AB" w:rsidR="00024DC2" w:rsidRPr="007B06DE" w:rsidRDefault="00024DC2" w:rsidP="00005551">
      <w:pPr>
        <w:pStyle w:val="prastasiniatinklio"/>
        <w:spacing w:before="0" w:beforeAutospacing="0" w:after="0" w:afterAutospacing="0" w:line="276" w:lineRule="auto"/>
        <w:ind w:firstLine="720"/>
        <w:jc w:val="both"/>
      </w:pPr>
      <w:r w:rsidRPr="007B06DE">
        <w:t xml:space="preserve">Pagrindinė tyrimo vertinamoji baigtis – bendras atsako dažnis (ORR), kuris pagal nepriklausomo vertinimo komiteto analizę siekė 63,0 proc. (95 </w:t>
      </w:r>
      <w:r w:rsidR="004E6023" w:rsidRPr="007B06DE">
        <w:t>proc.</w:t>
      </w:r>
      <w:r w:rsidRPr="007B06DE">
        <w:t xml:space="preserve"> PI: 55,2–70,4 proc.). Beveik 60 proc. pacientų pasiekė labai gerą dalinį atsaką ar geresnį (≥VGPR), o 46,1 proc. – visišką ar įtikinamą visišką atsaką. Dauguma atsakymų buvo pasiekti anksti ir laikui bėgant stiprėjo – atsako trukmės mediana (DOR) siekė 24,0 mėnesius.</w:t>
      </w:r>
    </w:p>
    <w:p w14:paraId="71C19885" w14:textId="77777777" w:rsidR="00024DC2" w:rsidRPr="007B06DE" w:rsidRDefault="00024DC2" w:rsidP="00005551">
      <w:pPr>
        <w:pStyle w:val="prastasiniatinklio"/>
        <w:spacing w:before="0" w:beforeAutospacing="0" w:after="0" w:afterAutospacing="0" w:line="276" w:lineRule="auto"/>
        <w:ind w:firstLine="720"/>
        <w:jc w:val="both"/>
      </w:pPr>
      <w:r w:rsidRPr="007B06DE">
        <w:t>Vidutinė išgyvenamumo be ligos progresavimo (PFS) trukmė buvo 11,4 mėnesio, o bendrojo išgyvenamumo (OS) – 22,2 mėnesio, kas laikoma reikšmingu rezultatu vėlai gydomiems ir terapijai atspariems pacientams. Subanalizės parodė ORR nuoseklumą tarp įvairių pogrupių, išskyrus pacientus su III ISS stadija ar ekstrameduliarinėmis formomis, kur atsakas buvo geresnis.</w:t>
      </w:r>
    </w:p>
    <w:p w14:paraId="2B051716" w14:textId="77777777" w:rsidR="00024DC2" w:rsidRPr="007B06DE" w:rsidRDefault="00024DC2" w:rsidP="00005551">
      <w:pPr>
        <w:pStyle w:val="prastasiniatinklio"/>
        <w:spacing w:before="0" w:beforeAutospacing="0" w:after="0" w:afterAutospacing="0" w:line="276" w:lineRule="auto"/>
        <w:ind w:firstLine="720"/>
        <w:jc w:val="both"/>
      </w:pPr>
      <w:r w:rsidRPr="007B06DE">
        <w:t>Be to, &gt;50 proc. atsaką pasiekusių pacientų turėjo neaptinkamą minimalią likutinę ligą, o gyvenimo kokybės vertinimai rodo reikšmingą pacientų būklės pagerėjimą (EQ-5D-5L, EORTC QLQ-C30, PGI-S klausimynais). Teklistamabo terapija buvo susijusi su greitu ir ilgalaikiu atsaku, atspindinčiu reikšmingą klinikinę naudą šiai sudėtingai gydomai pacientų populiacijai.</w:t>
      </w:r>
    </w:p>
    <w:p w14:paraId="7D5368B3" w14:textId="77777777" w:rsidR="00024DC2" w:rsidRPr="007B06DE" w:rsidRDefault="00024DC2" w:rsidP="00005551">
      <w:pPr>
        <w:spacing w:line="276" w:lineRule="auto"/>
        <w:jc w:val="both"/>
        <w:rPr>
          <w:rFonts w:eastAsia="Arial"/>
          <w:iCs/>
        </w:rPr>
      </w:pPr>
    </w:p>
    <w:p w14:paraId="03E4A6B3" w14:textId="77777777" w:rsidR="00024DC2" w:rsidRPr="007B06DE" w:rsidRDefault="00024DC2" w:rsidP="00005551">
      <w:pPr>
        <w:spacing w:line="276" w:lineRule="auto"/>
        <w:jc w:val="both"/>
        <w:rPr>
          <w:rFonts w:eastAsia="Arial"/>
          <w:i/>
        </w:rPr>
      </w:pPr>
      <w:r w:rsidRPr="007B06DE">
        <w:rPr>
          <w:rFonts w:eastAsia="Arial"/>
          <w:i/>
        </w:rPr>
        <w:t>Netiesioginis palyginimas</w:t>
      </w:r>
    </w:p>
    <w:p w14:paraId="75DBC451" w14:textId="4BEF35E0" w:rsidR="00024DC2" w:rsidRPr="007B06DE" w:rsidRDefault="00024DC2" w:rsidP="00005551">
      <w:pPr>
        <w:spacing w:line="276" w:lineRule="auto"/>
        <w:ind w:firstLine="720"/>
        <w:jc w:val="both"/>
        <w:rPr>
          <w:rFonts w:eastAsia="Arial"/>
          <w:iCs/>
        </w:rPr>
      </w:pPr>
      <w:r w:rsidRPr="007B06DE">
        <w:rPr>
          <w:rFonts w:eastAsia="Arial"/>
          <w:iCs/>
        </w:rPr>
        <w:t xml:space="preserve">Atsižvelgiant į tai, kad nėra tiesioginių klinikinių tyrimų, lyginančių teklistamabą su įprasta terapija </w:t>
      </w:r>
      <w:r w:rsidR="003700C7" w:rsidRPr="007B06DE">
        <w:rPr>
          <w:rFonts w:eastAsia="Arial"/>
          <w:iCs/>
        </w:rPr>
        <w:t>****</w:t>
      </w:r>
      <w:r w:rsidRPr="007B06DE">
        <w:rPr>
          <w:rFonts w:eastAsia="Arial"/>
          <w:iCs/>
        </w:rPr>
        <w:t xml:space="preserve">, buvo atliktas netiesioginis palyginimas su realiosios klinikinės praktikos duomenimis </w:t>
      </w:r>
      <w:r w:rsidR="004C18D4" w:rsidRPr="007B06DE">
        <w:rPr>
          <w:color w:val="000000"/>
        </w:rPr>
        <w:t>*******************************************************************************</w:t>
      </w:r>
      <w:r w:rsidRPr="007B06DE">
        <w:rPr>
          <w:rFonts w:eastAsia="Arial"/>
          <w:iCs/>
        </w:rPr>
        <w:t xml:space="preserve">, buvo pasirinktas kaip tinkamiausias šaltinis, nes geriausiai atspindi pacientų populiaciją, gydomą po trijų gydymo eilių, kurioje taikoma </w:t>
      </w:r>
      <w:r w:rsidR="003700C7" w:rsidRPr="007B06DE">
        <w:rPr>
          <w:rFonts w:eastAsia="Arial"/>
          <w:iCs/>
        </w:rPr>
        <w:t>****</w:t>
      </w:r>
      <w:r w:rsidR="00772765" w:rsidRPr="007B06DE">
        <w:rPr>
          <w:color w:val="000000"/>
        </w:rPr>
        <w:t>******.</w:t>
      </w:r>
      <w:r w:rsidRPr="007B06DE">
        <w:rPr>
          <w:rFonts w:eastAsia="Arial"/>
          <w:iCs/>
        </w:rPr>
        <w:t xml:space="preserve"> Šis tyrimas yra plačiai pripažintas: jo rezultatai įtraukti </w:t>
      </w:r>
      <w:r w:rsidR="00772765" w:rsidRPr="007B06DE">
        <w:rPr>
          <w:color w:val="000000"/>
        </w:rPr>
        <w:t>**********************</w:t>
      </w:r>
      <w:r w:rsidRPr="007B06DE">
        <w:rPr>
          <w:rFonts w:eastAsia="Arial"/>
          <w:iCs/>
        </w:rPr>
        <w:t xml:space="preserve"> ir buvo pristatyti Britų hematologų asociacijos 2024 m. konferencijoje.</w:t>
      </w:r>
    </w:p>
    <w:p w14:paraId="57EF8379" w14:textId="66EBCCCB" w:rsidR="003700C7" w:rsidRPr="007B06DE" w:rsidRDefault="003700C7" w:rsidP="003700C7">
      <w:pPr>
        <w:spacing w:line="276" w:lineRule="auto"/>
        <w:ind w:firstLine="720"/>
        <w:jc w:val="both"/>
        <w:rPr>
          <w:rFonts w:eastAsia="Arial"/>
        </w:rPr>
      </w:pPr>
      <w:r w:rsidRPr="007B06DE">
        <w:rPr>
          <w:color w:val="000000"/>
        </w:rPr>
        <w:t>*************************************************************************************************************************************************************************************************************************************************************************************************************************************************************************************************************************************************************************************************************************************************************************.</w:t>
      </w:r>
    </w:p>
    <w:p w14:paraId="71FC4E97" w14:textId="775FDDF4" w:rsidR="003700C7" w:rsidRPr="007B06DE" w:rsidRDefault="003700C7" w:rsidP="003700C7">
      <w:pPr>
        <w:spacing w:line="276" w:lineRule="auto"/>
        <w:ind w:firstLine="720"/>
        <w:jc w:val="both"/>
        <w:rPr>
          <w:color w:val="000000"/>
        </w:rPr>
      </w:pPr>
      <w:r w:rsidRPr="007B06DE">
        <w:rPr>
          <w:color w:val="000000"/>
        </w:rPr>
        <w:t>**********************************************************************************************************************************************************</w:t>
      </w:r>
    </w:p>
    <w:p w14:paraId="4B723E10" w14:textId="4894D6BD" w:rsidR="00024DC2" w:rsidRPr="007B06DE" w:rsidRDefault="003700C7" w:rsidP="003700C7">
      <w:pPr>
        <w:spacing w:line="276" w:lineRule="auto"/>
        <w:ind w:firstLine="720"/>
        <w:jc w:val="both"/>
        <w:rPr>
          <w:rFonts w:eastAsia="Arial"/>
          <w:iCs/>
        </w:rPr>
      </w:pPr>
      <w:r w:rsidRPr="007B06DE">
        <w:rPr>
          <w:rFonts w:eastAsia="Arial"/>
          <w:b/>
          <w:bCs/>
          <w:iCs/>
        </w:rPr>
        <w:t>Ben</w:t>
      </w:r>
      <w:r w:rsidR="00024DC2" w:rsidRPr="007B06DE">
        <w:rPr>
          <w:rFonts w:eastAsia="Arial"/>
          <w:b/>
          <w:bCs/>
          <w:iCs/>
        </w:rPr>
        <w:t>drasis išgyvenamumas:</w:t>
      </w:r>
    </w:p>
    <w:p w14:paraId="78C3CF17" w14:textId="0144711D" w:rsidR="00024DC2" w:rsidRPr="007B06DE" w:rsidRDefault="00024DC2" w:rsidP="00005551">
      <w:pPr>
        <w:spacing w:line="276" w:lineRule="auto"/>
        <w:ind w:firstLine="720"/>
        <w:rPr>
          <w:rFonts w:eastAsia="Arial"/>
          <w:iCs/>
        </w:rPr>
      </w:pPr>
      <w:r w:rsidRPr="007B06DE">
        <w:rPr>
          <w:rFonts w:eastAsia="Arial"/>
          <w:iCs/>
        </w:rPr>
        <w:t xml:space="preserve">Teklistamabas sumažino mirties riziką </w:t>
      </w:r>
      <w:r w:rsidR="004C18D4" w:rsidRPr="007B06DE">
        <w:rPr>
          <w:color w:val="000000"/>
        </w:rPr>
        <w:t>**************************************** ************************************************************</w:t>
      </w:r>
      <w:r w:rsidRPr="007B06DE">
        <w:rPr>
          <w:rFonts w:eastAsia="Arial"/>
          <w:iCs/>
        </w:rPr>
        <w:t>.</w:t>
      </w:r>
    </w:p>
    <w:p w14:paraId="0AEC990C" w14:textId="77777777" w:rsidR="00024DC2" w:rsidRPr="007B06DE" w:rsidRDefault="00024DC2" w:rsidP="00005551">
      <w:pPr>
        <w:numPr>
          <w:ilvl w:val="0"/>
          <w:numId w:val="13"/>
        </w:numPr>
        <w:spacing w:line="276" w:lineRule="auto"/>
        <w:rPr>
          <w:rFonts w:eastAsia="Arial"/>
          <w:iCs/>
        </w:rPr>
      </w:pPr>
      <w:r w:rsidRPr="007B06DE">
        <w:rPr>
          <w:rFonts w:eastAsia="Arial"/>
          <w:b/>
          <w:bCs/>
          <w:iCs/>
        </w:rPr>
        <w:lastRenderedPageBreak/>
        <w:t>Laikas iki kito gydymo (TTNT):</w:t>
      </w:r>
    </w:p>
    <w:p w14:paraId="31B82638" w14:textId="5D28B0E2" w:rsidR="00024DC2" w:rsidRPr="007B06DE" w:rsidRDefault="00024DC2" w:rsidP="00005551">
      <w:pPr>
        <w:spacing w:line="276" w:lineRule="auto"/>
        <w:ind w:firstLine="720"/>
        <w:rPr>
          <w:rFonts w:eastAsia="Arial"/>
          <w:iCs/>
        </w:rPr>
      </w:pPr>
      <w:r w:rsidRPr="007B06DE">
        <w:rPr>
          <w:rFonts w:eastAsia="Arial"/>
          <w:iCs/>
        </w:rPr>
        <w:t xml:space="preserve">Teklistamabas sumažino ligos progresavimo ar gydymo keitimo riziką </w:t>
      </w:r>
      <w:r w:rsidR="004C18D4" w:rsidRPr="007B06DE">
        <w:rPr>
          <w:color w:val="000000"/>
        </w:rPr>
        <w:t>************ ****************************************************************************.</w:t>
      </w:r>
    </w:p>
    <w:p w14:paraId="7038DD87" w14:textId="374ECB9D" w:rsidR="00024DC2" w:rsidRPr="007B06DE" w:rsidRDefault="00024DC2" w:rsidP="00005551">
      <w:pPr>
        <w:spacing w:line="276" w:lineRule="auto"/>
        <w:ind w:firstLine="720"/>
        <w:jc w:val="both"/>
        <w:rPr>
          <w:rFonts w:eastAsia="Arial"/>
          <w:iCs/>
          <w:color w:val="000000" w:themeColor="text1"/>
        </w:rPr>
      </w:pPr>
      <w:r w:rsidRPr="007B06DE">
        <w:rPr>
          <w:rFonts w:eastAsia="Arial"/>
          <w:iCs/>
          <w:color w:val="000000" w:themeColor="text1"/>
        </w:rPr>
        <w:t xml:space="preserve">Atsižvelgiant į netiesioginio palyginimo veiksmingumo ir klinikinio tyrimo </w:t>
      </w:r>
      <w:r w:rsidRPr="007B06DE">
        <w:t>MajesTEC-1</w:t>
      </w:r>
      <w:r w:rsidRPr="007B06DE">
        <w:rPr>
          <w:rFonts w:eastAsia="Arial"/>
          <w:iCs/>
          <w:color w:val="000000" w:themeColor="text1"/>
        </w:rPr>
        <w:t xml:space="preserve"> saugumo rezultatus bei stebėtą gyvenimo kokybės pagerėjimą, </w:t>
      </w:r>
      <w:r w:rsidRPr="007B06DE">
        <w:t xml:space="preserve">teklistamabo </w:t>
      </w:r>
      <w:r w:rsidRPr="007B06DE">
        <w:rPr>
          <w:rFonts w:eastAsia="Arial"/>
          <w:iCs/>
          <w:color w:val="000000" w:themeColor="text1"/>
        </w:rPr>
        <w:t xml:space="preserve">palyginamasis veiksmingumas yra  didesnis, lyginant su įprasta klinikine praktika </w:t>
      </w:r>
      <w:r w:rsidRPr="007B06DE">
        <w:t>suaugusiems pacientams, sergantiems atsinaujinusia ir atsparia daugine mieloma, kurie prieš tai yra gavę mažiausiai tris gydymo kursus, įskaitant gydymą imunomoduliatoriumi, prote</w:t>
      </w:r>
      <w:r w:rsidR="00460482" w:rsidRPr="007B06DE">
        <w:t>o</w:t>
      </w:r>
      <w:r w:rsidRPr="007B06DE">
        <w:t>somos inhibitoriumi ir antikūnu prieš CD38, ir kuriems pasireiškė ligos progresavimas paskutiniojo gydymo metu</w:t>
      </w:r>
      <w:r w:rsidRPr="007B06DE">
        <w:rPr>
          <w:rFonts w:eastAsia="Arial"/>
          <w:iCs/>
          <w:color w:val="000000" w:themeColor="text1"/>
        </w:rPr>
        <w:t>.</w:t>
      </w:r>
    </w:p>
    <w:bookmarkEnd w:id="1"/>
    <w:p w14:paraId="25F89291" w14:textId="0DAAE031" w:rsidR="00D4485B" w:rsidRPr="007B06DE" w:rsidRDefault="00D4485B" w:rsidP="0045089C">
      <w:pPr>
        <w:tabs>
          <w:tab w:val="left" w:pos="426"/>
        </w:tabs>
        <w:spacing w:line="276" w:lineRule="auto"/>
        <w:jc w:val="both"/>
        <w:rPr>
          <w:b/>
          <w:bCs/>
          <w:caps/>
        </w:rPr>
      </w:pPr>
    </w:p>
    <w:p w14:paraId="7DE09EB5" w14:textId="69E9DD74" w:rsidR="00E03C3F" w:rsidRPr="007B06DE" w:rsidRDefault="00CC7832" w:rsidP="00CC09D4">
      <w:pPr>
        <w:pStyle w:val="Sraopastraipa"/>
        <w:numPr>
          <w:ilvl w:val="0"/>
          <w:numId w:val="12"/>
        </w:numPr>
        <w:tabs>
          <w:tab w:val="left" w:pos="567"/>
        </w:tabs>
        <w:ind w:hanging="720"/>
        <w:rPr>
          <w:b/>
          <w:bCs/>
          <w:caps/>
        </w:rPr>
      </w:pPr>
      <w:r w:rsidRPr="007B06DE">
        <w:rPr>
          <w:b/>
          <w:bCs/>
          <w:caps/>
        </w:rPr>
        <w:t xml:space="preserve">ekonominio vertinimo </w:t>
      </w:r>
      <w:r w:rsidR="002F0E4F" w:rsidRPr="007B06DE">
        <w:rPr>
          <w:b/>
          <w:bCs/>
          <w:caps/>
        </w:rPr>
        <w:t>apibendrinimas</w:t>
      </w:r>
    </w:p>
    <w:p w14:paraId="2A42DC6B" w14:textId="12A86D34" w:rsidR="00BA6A88" w:rsidRPr="007B06DE" w:rsidRDefault="00BA6A88" w:rsidP="00BA6A88">
      <w:pPr>
        <w:shd w:val="clear" w:color="auto" w:fill="FFFFFF"/>
        <w:spacing w:line="276" w:lineRule="auto"/>
        <w:jc w:val="both"/>
        <w:rPr>
          <w:rFonts w:eastAsia="Arial"/>
        </w:rPr>
      </w:pPr>
    </w:p>
    <w:p w14:paraId="7E4DDFE2" w14:textId="1B337A89" w:rsidR="00A22449" w:rsidRPr="007B06DE" w:rsidRDefault="00A22449" w:rsidP="00A22449">
      <w:pPr>
        <w:spacing w:line="276" w:lineRule="auto"/>
        <w:ind w:firstLine="540"/>
        <w:jc w:val="both"/>
      </w:pPr>
      <w:r w:rsidRPr="007B06DE">
        <w:t>Kaštų naudingumo analizėje (KNA) įtraukta populiacija atitinka registruotą ir kompensavimui teikiamos indikacijos populiaciją: t.y. suaugusiems pacientams, sergantiems atsinaujinusia ir atsparia daugine mieloma, kurie prieš tai yra gavę mažiausiai tris gydymo kursus, įskaitant gydymą imunomoduliatoriumi, prote</w:t>
      </w:r>
      <w:r w:rsidR="00460482" w:rsidRPr="007B06DE">
        <w:t>o</w:t>
      </w:r>
      <w:r w:rsidRPr="007B06DE">
        <w:t>somos inhibitoriumi ir antikūnu prieš CD38, ir kuriems pasireiškė ligos progresavimas paskutiniojo gydymo metu (TLK-10: C90). Teklistamabo klinikininiai duomenys pagrįsti MajesTEC-1</w:t>
      </w:r>
      <w:r w:rsidRPr="007B06DE">
        <w:rPr>
          <w:color w:val="000000"/>
        </w:rPr>
        <w:t xml:space="preserve"> klininiu tyrimu (</w:t>
      </w:r>
      <w:r w:rsidRPr="007B06DE">
        <w:t xml:space="preserve">daugiacentris, atviras, 1/2 fazės tyrimas, kuriame dalyvavusiems pacientams buvo diagnozuota atsinaujinanti arba atspari dauginė mieloma). MajesTEC-1 yra vienos grupės tyrimas, todėl neegzistuoja lyginamieji duomenys tarp teklistamabo ir palyginamojo gydymo </w:t>
      </w:r>
      <w:r w:rsidR="004C18D4" w:rsidRPr="007B06DE">
        <w:rPr>
          <w:color w:val="000000"/>
        </w:rPr>
        <w:t>**</w:t>
      </w:r>
      <w:r w:rsidR="00C9438B" w:rsidRPr="007B06DE">
        <w:rPr>
          <w:color w:val="000000"/>
        </w:rPr>
        <w:t>********</w:t>
      </w:r>
      <w:r w:rsidR="004C18D4" w:rsidRPr="007B06DE">
        <w:rPr>
          <w:color w:val="000000"/>
        </w:rPr>
        <w:t>************************************************</w:t>
      </w:r>
      <w:r w:rsidRPr="007B06DE">
        <w:t xml:space="preserve">, </w:t>
      </w:r>
      <w:r w:rsidR="004C18D4" w:rsidRPr="007B06DE">
        <w:rPr>
          <w:color w:val="000000"/>
        </w:rPr>
        <w:t>************************************************************************************************************************************************************************************************************************************************************************************************************************************************************************************************************************************************************************************************************.</w:t>
      </w:r>
    </w:p>
    <w:p w14:paraId="0C92CC41" w14:textId="47296E63" w:rsidR="00A22449" w:rsidRPr="007B06DE" w:rsidRDefault="00A22449" w:rsidP="00A22449">
      <w:pPr>
        <w:spacing w:line="276" w:lineRule="auto"/>
        <w:ind w:firstLine="540"/>
        <w:jc w:val="both"/>
      </w:pPr>
      <w:r w:rsidRPr="007B06DE">
        <w:rPr>
          <w:rFonts w:eastAsia="Arial"/>
        </w:rPr>
        <w:t xml:space="preserve">Lietuvoje nesant DM gydymo tvarkos aprašo, </w:t>
      </w:r>
      <w:r w:rsidR="00C9438B" w:rsidRPr="007B06DE">
        <w:rPr>
          <w:color w:val="000000"/>
        </w:rPr>
        <w:t>**************************************</w:t>
      </w:r>
      <w:r w:rsidRPr="007B06DE">
        <w:rPr>
          <w:rFonts w:eastAsia="Arial"/>
        </w:rPr>
        <w:t xml:space="preserve"> tinkamas palyginamasis gydymas </w:t>
      </w:r>
      <w:r w:rsidR="004C18D4" w:rsidRPr="007B06DE">
        <w:rPr>
          <w:color w:val="000000"/>
        </w:rPr>
        <w:t>****************************************</w:t>
      </w:r>
      <w:r w:rsidRPr="007B06DE">
        <w:rPr>
          <w:rFonts w:eastAsia="Arial"/>
        </w:rPr>
        <w:t xml:space="preserve">. </w:t>
      </w:r>
      <w:r w:rsidRPr="007B06DE">
        <w:t xml:space="preserve">Netiesioginio palyginimo rezultatai rodo, kad teklistamabas statistiškai reikšmingai ir kliniškai reikšmingai pailgina BI ir laiką iki paskesnio gydymo atsinaujinusia ir atsparia daugine mieloma sergantiems pacientais, kuriems klinikinėje praktikoje yra skiriamas </w:t>
      </w:r>
      <w:r w:rsidR="00867964" w:rsidRPr="007B06DE">
        <w:rPr>
          <w:color w:val="000000"/>
        </w:rPr>
        <w:t>****</w:t>
      </w:r>
      <w:r w:rsidRPr="007B06DE">
        <w:rPr>
          <w:lang w:val="en-US"/>
        </w:rPr>
        <w:t>.</w:t>
      </w:r>
      <w:r w:rsidRPr="007B06DE">
        <w:rPr>
          <w:rFonts w:eastAsia="Arial"/>
        </w:rPr>
        <w:t xml:space="preserve"> Plačiau rezultatai aprašyti klinikinėje dalyje.</w:t>
      </w:r>
      <w:r w:rsidRPr="007B06DE">
        <w:t xml:space="preserve"> </w:t>
      </w:r>
      <w:r w:rsidRPr="007B06DE">
        <w:rPr>
          <w:bCs/>
        </w:rPr>
        <w:t xml:space="preserve">Pareiškėjo taikomas </w:t>
      </w:r>
      <w:r w:rsidRPr="007B06DE">
        <w:t>padalintos kohortos išgyvenamumo trijų sveikatos būklių modelis yra plačiai taikomas sveikatos technologijų vertinimo praktikoje onkologinių ligų KNA modeliavimui ir yra tinkamas ir priimtinas. Atsižvelgiant, kad vidutinis DM pacientų amžius – 66,79</w:t>
      </w:r>
      <w:r w:rsidRPr="007B06DE">
        <w:rPr>
          <w:rFonts w:asciiTheme="minorHAnsi" w:hAnsiTheme="minorHAnsi" w:cstheme="minorHAnsi"/>
          <w:sz w:val="20"/>
        </w:rPr>
        <w:t xml:space="preserve"> </w:t>
      </w:r>
      <w:r w:rsidRPr="007B06DE">
        <w:t>m. Tarnyba įprastinėje atvejo analizėje taiko 30 m. laiko perspektyvą, laikoma, kad laikotarpis yra pakankamas sveikatai sukuriamai naudai ir patiriamiems kaštams užfiksuoti.</w:t>
      </w:r>
      <w:r w:rsidRPr="007B06DE">
        <w:rPr>
          <w:bCs/>
        </w:rPr>
        <w:t xml:space="preserve"> </w:t>
      </w:r>
      <w:r w:rsidRPr="007B06DE">
        <w:t xml:space="preserve">Ekonominėje analizėje duomenys ekstrapoliuojami po klinikinio tyrimo pabaigos (taikoma viso gyvenimo laiko perspektyva). </w:t>
      </w:r>
      <w:r w:rsidRPr="007B06DE">
        <w:rPr>
          <w:color w:val="000000"/>
        </w:rPr>
        <w:t xml:space="preserve">Tarnyba vertina, kad Pareiškėjo taikomos prielaidos, vertinant efektyvumo skirtumus tarp siūlomo ir palyginamojo gydymo ilgajame laikotarpyje yra pagrįstos. Tarnybos keičiamos prielaidos detalizuojamos vertinimo protokole. Svarbu atkreipti dėmesį, kad KNA įtrauktos klinikinės baigtys (IBLP, BI ir gydymo trukmės iki nuraukimo) pagrįstos skirtingų klinikinių tyrimų šaltiniais (atitinkamai Majestec-1 ir </w:t>
      </w:r>
      <w:r w:rsidR="00867964" w:rsidRPr="007B06DE">
        <w:rPr>
          <w:color w:val="000000"/>
        </w:rPr>
        <w:t xml:space="preserve">**************** </w:t>
      </w:r>
      <w:r w:rsidRPr="007B06DE">
        <w:t>tyrimais)</w:t>
      </w:r>
      <w:r w:rsidRPr="007B06DE">
        <w:rPr>
          <w:color w:val="000000"/>
        </w:rPr>
        <w:t>, modeliuojami duomenys atitinkamai koreguojami.</w:t>
      </w:r>
      <w:r w:rsidRPr="007B06DE">
        <w:t xml:space="preserve"> Duomenų ekstrapoliacijos metodų parinkimui ilguoju laikotarpiu taikomas vidinis duomenų validavimas: vaizdinė apžvalga (parametrinių modelių atitiktis klinikinių tyrimų KM </w:t>
      </w:r>
      <w:r w:rsidRPr="007B06DE">
        <w:lastRenderedPageBreak/>
        <w:t xml:space="preserve">kreivėms), rizikos plokštumos (angl. </w:t>
      </w:r>
      <w:r w:rsidRPr="007B06DE">
        <w:rPr>
          <w:i/>
          <w:lang w:val="en-GB"/>
        </w:rPr>
        <w:t>log-cumulative hazard plots Schoenfeld</w:t>
      </w:r>
      <w:r w:rsidRPr="007B06DE">
        <w:rPr>
          <w:i/>
        </w:rPr>
        <w:t>, SE Kernel</w:t>
      </w:r>
      <w:r w:rsidRPr="007B06DE">
        <w:t xml:space="preserve">), statistinis tinkamumas (statistiniai informaciniai kriterijai (AIC/BIC)) ir išorinis: </w:t>
      </w:r>
      <w:r w:rsidR="00867964" w:rsidRPr="007B06DE">
        <w:rPr>
          <w:color w:val="000000"/>
        </w:rPr>
        <w:t>********************************************</w:t>
      </w:r>
      <w:r w:rsidRPr="007B06DE">
        <w:t>.</w:t>
      </w:r>
    </w:p>
    <w:p w14:paraId="76B2837F" w14:textId="77777777" w:rsidR="00A22449" w:rsidRPr="007B06DE" w:rsidRDefault="00A22449" w:rsidP="00A22449">
      <w:pPr>
        <w:spacing w:line="276" w:lineRule="auto"/>
        <w:ind w:firstLine="540"/>
        <w:jc w:val="both"/>
      </w:pPr>
      <w:r w:rsidRPr="007B06DE">
        <w:t>Analizė atlikta iš PSDF biudžeto perspektyvos, įtraukti tiesiogiai su sveikatos sistema susiję kaštai. Tai atitinka teisės aktuose nustatytus paraiškos rengimo taisyklių reikalavimus. Tarnyba atnaujino kaštus pagal 2025 m. II pusm. įkainius.</w:t>
      </w:r>
    </w:p>
    <w:p w14:paraId="396B8D95" w14:textId="24692819" w:rsidR="00A22449" w:rsidRPr="007B06DE" w:rsidRDefault="00A22449" w:rsidP="00A22449">
      <w:pPr>
        <w:spacing w:line="276" w:lineRule="auto"/>
        <w:ind w:firstLine="540"/>
        <w:jc w:val="both"/>
        <w:rPr>
          <w:lang w:val="en-GB"/>
        </w:rPr>
      </w:pPr>
      <w:r w:rsidRPr="007B06DE">
        <w:t xml:space="preserve">Teklistamabo sveikatai sukuriama nauda buvo vertinama pagal su sveikata susijusią gyvenimo kokybę (angl. </w:t>
      </w:r>
      <w:r w:rsidRPr="007B06DE">
        <w:rPr>
          <w:i/>
          <w:iCs/>
        </w:rPr>
        <w:t xml:space="preserve">Health realated quality of life, </w:t>
      </w:r>
      <w:r w:rsidRPr="007B06DE">
        <w:t xml:space="preserve">HRQoL), kuri buvo įvertinta naudojant EQ-5D klausimyną, MajesTEC-1 klinikinio tyrimo metu. Neturint naudingumo duomenų </w:t>
      </w:r>
      <w:r w:rsidR="00867964" w:rsidRPr="007B06DE">
        <w:rPr>
          <w:color w:val="000000"/>
        </w:rPr>
        <w:t>******************************************************************************** *****************************************************************************************************************************************************************************</w:t>
      </w:r>
      <w:r w:rsidRPr="007B06DE">
        <w:t>.</w:t>
      </w:r>
      <w:r w:rsidRPr="007B06DE">
        <w:rPr>
          <w:lang w:val="en-GB"/>
        </w:rPr>
        <w:t xml:space="preserve"> </w:t>
      </w:r>
      <w:proofErr w:type="spellStart"/>
      <w:r w:rsidRPr="007B06DE">
        <w:rPr>
          <w:lang w:val="en-GB"/>
        </w:rPr>
        <w:t>Įprastinėje</w:t>
      </w:r>
      <w:proofErr w:type="spellEnd"/>
      <w:r w:rsidRPr="007B06DE">
        <w:rPr>
          <w:lang w:val="en-GB"/>
        </w:rPr>
        <w:t xml:space="preserve"> </w:t>
      </w:r>
      <w:proofErr w:type="spellStart"/>
      <w:r w:rsidRPr="007B06DE">
        <w:rPr>
          <w:lang w:val="en-GB"/>
        </w:rPr>
        <w:t>atvejo</w:t>
      </w:r>
      <w:proofErr w:type="spellEnd"/>
      <w:r w:rsidRPr="007B06DE">
        <w:rPr>
          <w:lang w:val="en-GB"/>
        </w:rPr>
        <w:t xml:space="preserve"> </w:t>
      </w:r>
      <w:proofErr w:type="spellStart"/>
      <w:r w:rsidRPr="007B06DE">
        <w:rPr>
          <w:lang w:val="en-GB"/>
        </w:rPr>
        <w:t>analizėje</w:t>
      </w:r>
      <w:proofErr w:type="spellEnd"/>
      <w:r w:rsidRPr="007B06DE">
        <w:rPr>
          <w:lang w:val="en-GB"/>
        </w:rPr>
        <w:t xml:space="preserve"> </w:t>
      </w:r>
      <w:proofErr w:type="spellStart"/>
      <w:r w:rsidRPr="007B06DE">
        <w:rPr>
          <w:lang w:val="en-GB"/>
        </w:rPr>
        <w:t>Tarnyba</w:t>
      </w:r>
      <w:proofErr w:type="spellEnd"/>
      <w:r w:rsidRPr="007B06DE">
        <w:rPr>
          <w:lang w:val="en-GB"/>
        </w:rPr>
        <w:t xml:space="preserve"> taiko </w:t>
      </w:r>
      <w:proofErr w:type="spellStart"/>
      <w:r w:rsidRPr="007B06DE">
        <w:rPr>
          <w:lang w:val="en-GB"/>
        </w:rPr>
        <w:t>nepriklausomus</w:t>
      </w:r>
      <w:proofErr w:type="spellEnd"/>
      <w:r w:rsidRPr="007B06DE">
        <w:rPr>
          <w:lang w:val="en-GB"/>
        </w:rPr>
        <w:t xml:space="preserve"> </w:t>
      </w:r>
      <w:proofErr w:type="spellStart"/>
      <w:r w:rsidRPr="007B06DE">
        <w:rPr>
          <w:lang w:val="en-GB"/>
        </w:rPr>
        <w:t>nuo</w:t>
      </w:r>
      <w:proofErr w:type="spellEnd"/>
      <w:r w:rsidRPr="007B06DE">
        <w:rPr>
          <w:lang w:val="en-GB"/>
        </w:rPr>
        <w:t xml:space="preserve"> </w:t>
      </w:r>
      <w:proofErr w:type="spellStart"/>
      <w:r w:rsidRPr="007B06DE">
        <w:rPr>
          <w:lang w:val="en-GB"/>
        </w:rPr>
        <w:t>gydymo</w:t>
      </w:r>
      <w:proofErr w:type="spellEnd"/>
      <w:r w:rsidRPr="007B06DE">
        <w:rPr>
          <w:lang w:val="en-GB"/>
        </w:rPr>
        <w:t xml:space="preserve"> ir </w:t>
      </w:r>
      <w:proofErr w:type="spellStart"/>
      <w:r w:rsidRPr="007B06DE">
        <w:rPr>
          <w:lang w:val="en-GB"/>
        </w:rPr>
        <w:t>laiko</w:t>
      </w:r>
      <w:proofErr w:type="spellEnd"/>
      <w:r w:rsidRPr="007B06DE">
        <w:rPr>
          <w:lang w:val="en-GB"/>
        </w:rPr>
        <w:t xml:space="preserve"> </w:t>
      </w:r>
      <w:proofErr w:type="spellStart"/>
      <w:r w:rsidRPr="007B06DE">
        <w:rPr>
          <w:lang w:val="en-GB"/>
        </w:rPr>
        <w:t>sveikatos</w:t>
      </w:r>
      <w:proofErr w:type="spellEnd"/>
      <w:r w:rsidRPr="007B06DE">
        <w:rPr>
          <w:lang w:val="en-GB"/>
        </w:rPr>
        <w:t xml:space="preserve"> </w:t>
      </w:r>
      <w:proofErr w:type="spellStart"/>
      <w:r w:rsidRPr="007B06DE">
        <w:rPr>
          <w:lang w:val="en-GB"/>
        </w:rPr>
        <w:t>būklių</w:t>
      </w:r>
      <w:proofErr w:type="spellEnd"/>
      <w:r w:rsidRPr="007B06DE">
        <w:rPr>
          <w:lang w:val="en-GB"/>
        </w:rPr>
        <w:t xml:space="preserve"> </w:t>
      </w:r>
      <w:proofErr w:type="spellStart"/>
      <w:r w:rsidRPr="007B06DE">
        <w:rPr>
          <w:lang w:val="en-GB"/>
        </w:rPr>
        <w:t>gyvenimo</w:t>
      </w:r>
      <w:proofErr w:type="spellEnd"/>
      <w:r w:rsidRPr="007B06DE">
        <w:rPr>
          <w:lang w:val="en-GB"/>
        </w:rPr>
        <w:t xml:space="preserve"> </w:t>
      </w:r>
      <w:proofErr w:type="spellStart"/>
      <w:r w:rsidRPr="007B06DE">
        <w:rPr>
          <w:lang w:val="en-GB"/>
        </w:rPr>
        <w:t>kokybės</w:t>
      </w:r>
      <w:proofErr w:type="spellEnd"/>
      <w:r w:rsidRPr="007B06DE">
        <w:rPr>
          <w:lang w:val="en-GB"/>
        </w:rPr>
        <w:t xml:space="preserve"> </w:t>
      </w:r>
      <w:proofErr w:type="spellStart"/>
      <w:r w:rsidRPr="007B06DE">
        <w:rPr>
          <w:lang w:val="en-GB"/>
        </w:rPr>
        <w:t>įverčius</w:t>
      </w:r>
      <w:proofErr w:type="spellEnd"/>
      <w:r w:rsidRPr="007B06DE">
        <w:rPr>
          <w:lang w:val="en-GB"/>
        </w:rPr>
        <w:t xml:space="preserve">, </w:t>
      </w:r>
      <w:proofErr w:type="spellStart"/>
      <w:r w:rsidRPr="007B06DE">
        <w:rPr>
          <w:lang w:val="en-GB"/>
        </w:rPr>
        <w:t>t.y</w:t>
      </w:r>
      <w:proofErr w:type="spellEnd"/>
      <w:r w:rsidRPr="007B06DE">
        <w:rPr>
          <w:lang w:val="en-GB"/>
        </w:rPr>
        <w:t xml:space="preserve">. </w:t>
      </w:r>
      <w:proofErr w:type="spellStart"/>
      <w:r w:rsidRPr="007B06DE">
        <w:rPr>
          <w:lang w:val="en-GB"/>
        </w:rPr>
        <w:t>priklausomus</w:t>
      </w:r>
      <w:proofErr w:type="spellEnd"/>
      <w:r w:rsidRPr="007B06DE">
        <w:rPr>
          <w:lang w:val="en-GB"/>
        </w:rPr>
        <w:t xml:space="preserve"> </w:t>
      </w:r>
      <w:proofErr w:type="spellStart"/>
      <w:r w:rsidRPr="007B06DE">
        <w:rPr>
          <w:lang w:val="en-GB"/>
        </w:rPr>
        <w:t>nuo</w:t>
      </w:r>
      <w:proofErr w:type="spellEnd"/>
      <w:r w:rsidRPr="007B06DE">
        <w:rPr>
          <w:lang w:val="en-GB"/>
        </w:rPr>
        <w:t xml:space="preserve"> </w:t>
      </w:r>
      <w:proofErr w:type="spellStart"/>
      <w:r w:rsidRPr="007B06DE">
        <w:rPr>
          <w:lang w:val="en-GB"/>
        </w:rPr>
        <w:t>sveikatos</w:t>
      </w:r>
      <w:proofErr w:type="spellEnd"/>
      <w:r w:rsidRPr="007B06DE">
        <w:rPr>
          <w:lang w:val="en-GB"/>
        </w:rPr>
        <w:t xml:space="preserve"> </w:t>
      </w:r>
      <w:proofErr w:type="spellStart"/>
      <w:r w:rsidRPr="007B06DE">
        <w:rPr>
          <w:lang w:val="en-GB"/>
        </w:rPr>
        <w:t>būklės</w:t>
      </w:r>
      <w:proofErr w:type="spellEnd"/>
      <w:r w:rsidRPr="007B06DE">
        <w:rPr>
          <w:lang w:val="en-GB"/>
        </w:rPr>
        <w:t xml:space="preserve"> (</w:t>
      </w:r>
      <w:proofErr w:type="spellStart"/>
      <w:r w:rsidRPr="007B06DE">
        <w:rPr>
          <w:lang w:val="en-GB"/>
        </w:rPr>
        <w:t>ligos</w:t>
      </w:r>
      <w:proofErr w:type="spellEnd"/>
      <w:r w:rsidRPr="007B06DE">
        <w:rPr>
          <w:lang w:val="en-GB"/>
        </w:rPr>
        <w:t xml:space="preserve"> </w:t>
      </w:r>
      <w:proofErr w:type="spellStart"/>
      <w:r w:rsidRPr="007B06DE">
        <w:rPr>
          <w:lang w:val="en-GB"/>
        </w:rPr>
        <w:t>progreso</w:t>
      </w:r>
      <w:proofErr w:type="spellEnd"/>
      <w:r w:rsidRPr="007B06DE">
        <w:rPr>
          <w:lang w:val="en-GB"/>
        </w:rPr>
        <w:t xml:space="preserve">). KNA </w:t>
      </w:r>
      <w:proofErr w:type="spellStart"/>
      <w:r w:rsidRPr="007B06DE">
        <w:rPr>
          <w:lang w:val="en-GB"/>
        </w:rPr>
        <w:t>įtraukiami</w:t>
      </w:r>
      <w:proofErr w:type="spellEnd"/>
      <w:r w:rsidRPr="007B06DE">
        <w:rPr>
          <w:lang w:val="en-GB"/>
        </w:rPr>
        <w:t xml:space="preserve"> </w:t>
      </w:r>
      <w:proofErr w:type="spellStart"/>
      <w:r w:rsidRPr="007B06DE">
        <w:rPr>
          <w:lang w:val="en-GB"/>
        </w:rPr>
        <w:t>su</w:t>
      </w:r>
      <w:proofErr w:type="spellEnd"/>
      <w:r w:rsidRPr="007B06DE">
        <w:rPr>
          <w:lang w:val="en-GB"/>
        </w:rPr>
        <w:t xml:space="preserve"> </w:t>
      </w:r>
      <w:proofErr w:type="spellStart"/>
      <w:r w:rsidRPr="007B06DE">
        <w:rPr>
          <w:lang w:val="en-GB"/>
        </w:rPr>
        <w:t>nepageidaujamo</w:t>
      </w:r>
      <w:proofErr w:type="spellEnd"/>
      <w:r w:rsidRPr="007B06DE">
        <w:rPr>
          <w:lang w:val="en-GB"/>
        </w:rPr>
        <w:t xml:space="preserve"> </w:t>
      </w:r>
      <w:proofErr w:type="spellStart"/>
      <w:r w:rsidRPr="007B06DE">
        <w:rPr>
          <w:lang w:val="en-GB"/>
        </w:rPr>
        <w:t>poveikio</w:t>
      </w:r>
      <w:proofErr w:type="spellEnd"/>
      <w:r w:rsidRPr="007B06DE">
        <w:rPr>
          <w:lang w:val="en-GB"/>
        </w:rPr>
        <w:t xml:space="preserve"> </w:t>
      </w:r>
      <w:proofErr w:type="spellStart"/>
      <w:r w:rsidRPr="007B06DE">
        <w:rPr>
          <w:lang w:val="en-GB"/>
        </w:rPr>
        <w:t>valdymu</w:t>
      </w:r>
      <w:proofErr w:type="spellEnd"/>
      <w:r w:rsidRPr="007B06DE">
        <w:rPr>
          <w:lang w:val="en-GB"/>
        </w:rPr>
        <w:t xml:space="preserve"> </w:t>
      </w:r>
      <w:proofErr w:type="spellStart"/>
      <w:r w:rsidRPr="007B06DE">
        <w:rPr>
          <w:lang w:val="en-GB"/>
        </w:rPr>
        <w:t>susiję</w:t>
      </w:r>
      <w:proofErr w:type="spellEnd"/>
      <w:r w:rsidRPr="007B06DE">
        <w:rPr>
          <w:lang w:val="en-GB"/>
        </w:rPr>
        <w:t xml:space="preserve"> </w:t>
      </w:r>
      <w:proofErr w:type="spellStart"/>
      <w:r w:rsidRPr="007B06DE">
        <w:rPr>
          <w:lang w:val="en-GB"/>
        </w:rPr>
        <w:t>gyvenimo</w:t>
      </w:r>
      <w:proofErr w:type="spellEnd"/>
      <w:r w:rsidRPr="007B06DE">
        <w:rPr>
          <w:lang w:val="en-GB"/>
        </w:rPr>
        <w:t xml:space="preserve"> </w:t>
      </w:r>
      <w:proofErr w:type="spellStart"/>
      <w:r w:rsidRPr="007B06DE">
        <w:rPr>
          <w:lang w:val="en-GB"/>
        </w:rPr>
        <w:t>kokybės</w:t>
      </w:r>
      <w:proofErr w:type="spellEnd"/>
      <w:r w:rsidRPr="007B06DE">
        <w:rPr>
          <w:lang w:val="en-GB"/>
        </w:rPr>
        <w:t xml:space="preserve"> </w:t>
      </w:r>
      <w:proofErr w:type="spellStart"/>
      <w:r w:rsidRPr="007B06DE">
        <w:rPr>
          <w:lang w:val="en-GB"/>
        </w:rPr>
        <w:t>praradimai</w:t>
      </w:r>
      <w:proofErr w:type="spellEnd"/>
      <w:r w:rsidRPr="007B06DE">
        <w:rPr>
          <w:lang w:val="en-GB"/>
        </w:rPr>
        <w:t xml:space="preserve"> (</w:t>
      </w:r>
      <w:proofErr w:type="spellStart"/>
      <w:r w:rsidRPr="007B06DE">
        <w:rPr>
          <w:lang w:val="en-GB"/>
        </w:rPr>
        <w:t>angl.</w:t>
      </w:r>
      <w:proofErr w:type="spellEnd"/>
      <w:r w:rsidRPr="007B06DE">
        <w:rPr>
          <w:lang w:val="en-GB"/>
        </w:rPr>
        <w:t xml:space="preserve"> </w:t>
      </w:r>
      <w:proofErr w:type="spellStart"/>
      <w:r w:rsidRPr="007B06DE">
        <w:rPr>
          <w:i/>
          <w:lang w:val="en-GB"/>
        </w:rPr>
        <w:t>disutilies</w:t>
      </w:r>
      <w:proofErr w:type="spellEnd"/>
      <w:r w:rsidRPr="007B06DE">
        <w:rPr>
          <w:lang w:val="en-GB"/>
        </w:rPr>
        <w:t>).</w:t>
      </w:r>
    </w:p>
    <w:p w14:paraId="5E23BE86" w14:textId="77777777" w:rsidR="0089316D" w:rsidRPr="007B06DE" w:rsidRDefault="0089316D" w:rsidP="0089316D">
      <w:pPr>
        <w:tabs>
          <w:tab w:val="left" w:pos="426"/>
        </w:tabs>
        <w:jc w:val="center"/>
        <w:rPr>
          <w:b/>
          <w:lang w:eastAsia="lt-LT"/>
        </w:rPr>
      </w:pPr>
      <w:r w:rsidRPr="007B06DE">
        <w:rPr>
          <w:b/>
          <w:lang w:eastAsia="lt-LT"/>
        </w:rPr>
        <w:t>Ekonominės analizės rezultatas</w:t>
      </w:r>
    </w:p>
    <w:p w14:paraId="1C510FDF" w14:textId="77777777" w:rsidR="0089316D" w:rsidRPr="007B06DE" w:rsidRDefault="0089316D" w:rsidP="0089316D">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89316D" w:rsidRPr="007B06DE" w14:paraId="188AB465" w14:textId="77777777" w:rsidTr="00482EAD">
        <w:trPr>
          <w:trHeight w:val="344"/>
          <w:jc w:val="center"/>
        </w:trPr>
        <w:tc>
          <w:tcPr>
            <w:tcW w:w="9439" w:type="dxa"/>
            <w:gridSpan w:val="2"/>
            <w:tcBorders>
              <w:top w:val="single" w:sz="12" w:space="0" w:color="auto"/>
              <w:left w:val="single" w:sz="4" w:space="0" w:color="auto"/>
              <w:right w:val="single" w:sz="4" w:space="0" w:color="auto"/>
            </w:tcBorders>
            <w:vAlign w:val="center"/>
          </w:tcPr>
          <w:p w14:paraId="6CDA94C8" w14:textId="77777777" w:rsidR="0089316D" w:rsidRPr="007B06DE" w:rsidRDefault="0089316D" w:rsidP="00482EAD">
            <w:pPr>
              <w:tabs>
                <w:tab w:val="left" w:pos="567"/>
              </w:tabs>
              <w:jc w:val="center"/>
              <w:rPr>
                <w:b/>
                <w:bCs/>
                <w:sz w:val="26"/>
                <w:szCs w:val="26"/>
                <w:lang w:eastAsia="lt-LT"/>
              </w:rPr>
            </w:pPr>
            <w:r w:rsidRPr="007B06DE">
              <w:rPr>
                <w:b/>
                <w:bCs/>
                <w:sz w:val="26"/>
                <w:szCs w:val="26"/>
                <w:lang w:eastAsia="lt-LT"/>
              </w:rPr>
              <w:t>Rezultatai</w:t>
            </w:r>
          </w:p>
        </w:tc>
      </w:tr>
      <w:tr w:rsidR="0089316D" w:rsidRPr="007B06DE" w14:paraId="15A038C5" w14:textId="77777777" w:rsidTr="00482EAD">
        <w:trPr>
          <w:trHeight w:val="267"/>
          <w:jc w:val="center"/>
        </w:trPr>
        <w:tc>
          <w:tcPr>
            <w:tcW w:w="6200" w:type="dxa"/>
            <w:tcBorders>
              <w:left w:val="single" w:sz="4" w:space="0" w:color="auto"/>
            </w:tcBorders>
          </w:tcPr>
          <w:p w14:paraId="1C37445C" w14:textId="77777777" w:rsidR="0089316D" w:rsidRPr="007B06DE" w:rsidRDefault="0089316D" w:rsidP="00482EAD">
            <w:pPr>
              <w:tabs>
                <w:tab w:val="left" w:pos="567"/>
              </w:tabs>
              <w:jc w:val="right"/>
              <w:rPr>
                <w:iCs/>
                <w:lang w:eastAsia="lt-LT"/>
              </w:rPr>
            </w:pPr>
            <w:r w:rsidRPr="007B06DE">
              <w:rPr>
                <w:iCs/>
                <w:lang w:eastAsia="lt-LT"/>
              </w:rPr>
              <w:t>Kaštų skirtumas</w:t>
            </w:r>
          </w:p>
        </w:tc>
        <w:tc>
          <w:tcPr>
            <w:tcW w:w="3239" w:type="dxa"/>
            <w:tcBorders>
              <w:right w:val="single" w:sz="4" w:space="0" w:color="auto"/>
            </w:tcBorders>
          </w:tcPr>
          <w:p w14:paraId="0F4643B5" w14:textId="1F408847" w:rsidR="0089316D" w:rsidRPr="007B06DE" w:rsidRDefault="00E01A16" w:rsidP="00482EAD">
            <w:pPr>
              <w:tabs>
                <w:tab w:val="left" w:pos="567"/>
              </w:tabs>
              <w:jc w:val="both"/>
              <w:rPr>
                <w:i/>
                <w:iCs/>
                <w:lang w:eastAsia="lt-LT"/>
              </w:rPr>
            </w:pPr>
            <w:r w:rsidRPr="007B06DE">
              <w:rPr>
                <w:color w:val="000000"/>
              </w:rPr>
              <w:t xml:space="preserve">**** </w:t>
            </w:r>
            <w:r w:rsidR="0089316D" w:rsidRPr="007B06DE">
              <w:t>Eur.</w:t>
            </w:r>
          </w:p>
        </w:tc>
      </w:tr>
      <w:tr w:rsidR="0089316D" w:rsidRPr="007B06DE" w14:paraId="75C1EE16" w14:textId="77777777" w:rsidTr="00482EAD">
        <w:trPr>
          <w:trHeight w:val="267"/>
          <w:jc w:val="center"/>
        </w:trPr>
        <w:tc>
          <w:tcPr>
            <w:tcW w:w="6200" w:type="dxa"/>
            <w:tcBorders>
              <w:left w:val="single" w:sz="4" w:space="0" w:color="auto"/>
            </w:tcBorders>
          </w:tcPr>
          <w:p w14:paraId="3EAE9204" w14:textId="77777777" w:rsidR="0089316D" w:rsidRPr="007B06DE" w:rsidRDefault="0089316D" w:rsidP="00482EAD">
            <w:pPr>
              <w:tabs>
                <w:tab w:val="left" w:pos="567"/>
              </w:tabs>
              <w:jc w:val="right"/>
              <w:rPr>
                <w:iCs/>
                <w:lang w:eastAsia="lt-LT"/>
              </w:rPr>
            </w:pPr>
            <w:r w:rsidRPr="007B06DE">
              <w:rPr>
                <w:iCs/>
                <w:lang w:eastAsia="lt-LT"/>
              </w:rPr>
              <w:t>Papildomi gyvenimo metai (LY)</w:t>
            </w:r>
          </w:p>
        </w:tc>
        <w:tc>
          <w:tcPr>
            <w:tcW w:w="3239" w:type="dxa"/>
            <w:tcBorders>
              <w:right w:val="single" w:sz="4" w:space="0" w:color="auto"/>
            </w:tcBorders>
          </w:tcPr>
          <w:p w14:paraId="4A2482FD" w14:textId="137C9E7A" w:rsidR="0089316D" w:rsidRPr="007B06DE" w:rsidRDefault="00E01A16" w:rsidP="00482EAD">
            <w:pPr>
              <w:tabs>
                <w:tab w:val="left" w:pos="567"/>
              </w:tabs>
              <w:jc w:val="both"/>
              <w:rPr>
                <w:i/>
                <w:iCs/>
                <w:lang w:eastAsia="lt-LT"/>
              </w:rPr>
            </w:pPr>
            <w:r w:rsidRPr="007B06DE">
              <w:rPr>
                <w:color w:val="000000"/>
              </w:rPr>
              <w:t>****</w:t>
            </w:r>
          </w:p>
        </w:tc>
      </w:tr>
      <w:tr w:rsidR="0089316D" w:rsidRPr="007B06DE" w14:paraId="252A95D8" w14:textId="77777777" w:rsidTr="00482EAD">
        <w:trPr>
          <w:trHeight w:val="267"/>
          <w:jc w:val="center"/>
        </w:trPr>
        <w:tc>
          <w:tcPr>
            <w:tcW w:w="6200" w:type="dxa"/>
            <w:tcBorders>
              <w:left w:val="single" w:sz="4" w:space="0" w:color="auto"/>
            </w:tcBorders>
          </w:tcPr>
          <w:p w14:paraId="2BD7BB74" w14:textId="77777777" w:rsidR="0089316D" w:rsidRPr="007B06DE" w:rsidRDefault="0089316D" w:rsidP="00482EAD">
            <w:pPr>
              <w:tabs>
                <w:tab w:val="left" w:pos="567"/>
              </w:tabs>
              <w:jc w:val="right"/>
              <w:rPr>
                <w:iCs/>
                <w:lang w:eastAsia="lt-LT"/>
              </w:rPr>
            </w:pPr>
            <w:r w:rsidRPr="007B06DE">
              <w:rPr>
                <w:iCs/>
                <w:lang w:eastAsia="lt-LT"/>
              </w:rPr>
              <w:t>Papildomi kokybiški gyvenimo metai (QALY)</w:t>
            </w:r>
          </w:p>
        </w:tc>
        <w:tc>
          <w:tcPr>
            <w:tcW w:w="3239" w:type="dxa"/>
            <w:tcBorders>
              <w:right w:val="single" w:sz="4" w:space="0" w:color="auto"/>
            </w:tcBorders>
          </w:tcPr>
          <w:p w14:paraId="0E3F158E" w14:textId="02034473" w:rsidR="0089316D" w:rsidRPr="007B06DE" w:rsidRDefault="00E01A16" w:rsidP="00482EAD">
            <w:pPr>
              <w:tabs>
                <w:tab w:val="left" w:pos="567"/>
              </w:tabs>
              <w:jc w:val="both"/>
              <w:rPr>
                <w:i/>
                <w:iCs/>
                <w:lang w:eastAsia="lt-LT"/>
              </w:rPr>
            </w:pPr>
            <w:r w:rsidRPr="007B06DE">
              <w:rPr>
                <w:color w:val="000000"/>
              </w:rPr>
              <w:t>****</w:t>
            </w:r>
          </w:p>
        </w:tc>
      </w:tr>
      <w:tr w:rsidR="0089316D" w:rsidRPr="007B06DE" w14:paraId="2960C73C" w14:textId="77777777" w:rsidTr="00482EAD">
        <w:trPr>
          <w:trHeight w:val="267"/>
          <w:jc w:val="center"/>
        </w:trPr>
        <w:tc>
          <w:tcPr>
            <w:tcW w:w="6200" w:type="dxa"/>
            <w:tcBorders>
              <w:left w:val="single" w:sz="4" w:space="0" w:color="auto"/>
            </w:tcBorders>
          </w:tcPr>
          <w:p w14:paraId="6DC34E37" w14:textId="77777777" w:rsidR="0089316D" w:rsidRPr="007B06DE" w:rsidRDefault="0089316D" w:rsidP="00482EAD">
            <w:pPr>
              <w:tabs>
                <w:tab w:val="left" w:pos="567"/>
              </w:tabs>
              <w:jc w:val="right"/>
              <w:rPr>
                <w:iCs/>
                <w:lang w:eastAsia="lt-LT"/>
              </w:rPr>
            </w:pPr>
            <w:r w:rsidRPr="007B06DE">
              <w:rPr>
                <w:iCs/>
                <w:lang w:eastAsia="lt-LT"/>
              </w:rPr>
              <w:t>ICER už LY</w:t>
            </w:r>
          </w:p>
        </w:tc>
        <w:tc>
          <w:tcPr>
            <w:tcW w:w="3239" w:type="dxa"/>
            <w:tcBorders>
              <w:right w:val="single" w:sz="4" w:space="0" w:color="auto"/>
            </w:tcBorders>
          </w:tcPr>
          <w:p w14:paraId="789C9082" w14:textId="7B082878" w:rsidR="0089316D" w:rsidRPr="007B06DE" w:rsidRDefault="00E01A16" w:rsidP="00482EAD">
            <w:pPr>
              <w:jc w:val="both"/>
              <w:rPr>
                <w:bCs/>
              </w:rPr>
            </w:pPr>
            <w:r w:rsidRPr="007B06DE">
              <w:rPr>
                <w:color w:val="000000"/>
              </w:rPr>
              <w:t>****</w:t>
            </w:r>
          </w:p>
        </w:tc>
      </w:tr>
      <w:tr w:rsidR="0089316D" w:rsidRPr="007B06DE" w14:paraId="4D3E0349" w14:textId="77777777" w:rsidTr="00482EAD">
        <w:trPr>
          <w:trHeight w:val="267"/>
          <w:jc w:val="center"/>
        </w:trPr>
        <w:tc>
          <w:tcPr>
            <w:tcW w:w="6200" w:type="dxa"/>
            <w:tcBorders>
              <w:left w:val="single" w:sz="4" w:space="0" w:color="auto"/>
            </w:tcBorders>
          </w:tcPr>
          <w:p w14:paraId="00C813F4" w14:textId="77777777" w:rsidR="0089316D" w:rsidRPr="007B06DE" w:rsidRDefault="0089316D" w:rsidP="00482EAD">
            <w:pPr>
              <w:tabs>
                <w:tab w:val="left" w:pos="567"/>
              </w:tabs>
              <w:jc w:val="right"/>
              <w:rPr>
                <w:iCs/>
                <w:lang w:eastAsia="lt-LT"/>
              </w:rPr>
            </w:pPr>
            <w:r w:rsidRPr="007B06DE">
              <w:rPr>
                <w:iCs/>
                <w:lang w:eastAsia="lt-LT"/>
              </w:rPr>
              <w:t>ICER už QALY</w:t>
            </w:r>
          </w:p>
        </w:tc>
        <w:tc>
          <w:tcPr>
            <w:tcW w:w="3239" w:type="dxa"/>
            <w:tcBorders>
              <w:right w:val="single" w:sz="4" w:space="0" w:color="auto"/>
            </w:tcBorders>
          </w:tcPr>
          <w:p w14:paraId="16B2323D" w14:textId="015250FC" w:rsidR="0089316D" w:rsidRPr="007B06DE" w:rsidRDefault="00E01A16" w:rsidP="00482EAD">
            <w:pPr>
              <w:tabs>
                <w:tab w:val="left" w:pos="567"/>
              </w:tabs>
              <w:jc w:val="both"/>
              <w:rPr>
                <w:i/>
                <w:iCs/>
                <w:lang w:eastAsia="lt-LT"/>
              </w:rPr>
            </w:pPr>
            <w:r w:rsidRPr="007B06DE">
              <w:rPr>
                <w:color w:val="000000"/>
              </w:rPr>
              <w:t xml:space="preserve">**** </w:t>
            </w:r>
            <w:r w:rsidR="0089316D" w:rsidRPr="007B06DE">
              <w:rPr>
                <w:color w:val="000000"/>
              </w:rPr>
              <w:t>Eur./QALY</w:t>
            </w:r>
          </w:p>
        </w:tc>
      </w:tr>
      <w:tr w:rsidR="0089316D" w:rsidRPr="007B06DE" w14:paraId="2EC98E87" w14:textId="77777777" w:rsidTr="00482EAD">
        <w:trPr>
          <w:trHeight w:val="267"/>
          <w:jc w:val="center"/>
        </w:trPr>
        <w:tc>
          <w:tcPr>
            <w:tcW w:w="6200" w:type="dxa"/>
            <w:tcBorders>
              <w:left w:val="single" w:sz="4" w:space="0" w:color="auto"/>
              <w:bottom w:val="single" w:sz="4" w:space="0" w:color="auto"/>
              <w:right w:val="single" w:sz="4" w:space="0" w:color="auto"/>
            </w:tcBorders>
          </w:tcPr>
          <w:p w14:paraId="5F10E48B" w14:textId="77777777" w:rsidR="0089316D" w:rsidRPr="007B06DE" w:rsidRDefault="0089316D" w:rsidP="00482EAD">
            <w:pPr>
              <w:tabs>
                <w:tab w:val="left" w:pos="567"/>
              </w:tabs>
              <w:jc w:val="right"/>
              <w:rPr>
                <w:iCs/>
                <w:lang w:eastAsia="lt-LT"/>
              </w:rPr>
            </w:pPr>
            <w:r w:rsidRPr="007B06DE">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261C8290" w14:textId="19BE13F0" w:rsidR="0089316D" w:rsidRPr="007B06DE" w:rsidRDefault="00E01A16" w:rsidP="00482EAD">
            <w:pPr>
              <w:tabs>
                <w:tab w:val="left" w:pos="567"/>
              </w:tabs>
              <w:jc w:val="both"/>
              <w:rPr>
                <w:i/>
                <w:iCs/>
                <w:lang w:eastAsia="lt-LT"/>
              </w:rPr>
            </w:pPr>
            <w:r w:rsidRPr="007B06DE">
              <w:rPr>
                <w:color w:val="000000"/>
              </w:rPr>
              <w:t>****</w:t>
            </w:r>
            <w:r w:rsidR="0089316D" w:rsidRPr="007B06DE">
              <w:rPr>
                <w:color w:val="000000"/>
              </w:rPr>
              <w:t xml:space="preserve"> Eur.</w:t>
            </w:r>
          </w:p>
        </w:tc>
      </w:tr>
    </w:tbl>
    <w:p w14:paraId="056D9E13" w14:textId="77777777" w:rsidR="0089316D" w:rsidRPr="007B06DE" w:rsidRDefault="0089316D" w:rsidP="0089316D">
      <w:pPr>
        <w:tabs>
          <w:tab w:val="left" w:pos="567"/>
        </w:tabs>
        <w:jc w:val="both"/>
        <w:rPr>
          <w:iCs/>
          <w:sz w:val="20"/>
          <w:lang w:eastAsia="lt-LT"/>
        </w:rPr>
      </w:pPr>
      <w:r w:rsidRPr="007B06DE">
        <w:rPr>
          <w:iCs/>
          <w:sz w:val="20"/>
          <w:lang w:eastAsia="lt-LT"/>
        </w:rPr>
        <w:t>ICER – (</w:t>
      </w:r>
      <w:r w:rsidRPr="007B06DE">
        <w:rPr>
          <w:i/>
          <w:sz w:val="20"/>
          <w:lang w:eastAsia="lt-LT"/>
        </w:rPr>
        <w:t>angl. incremental cost-effectiveness ratio</w:t>
      </w:r>
      <w:r w:rsidRPr="007B06DE">
        <w:rPr>
          <w:iCs/>
          <w:sz w:val="20"/>
          <w:lang w:eastAsia="lt-LT"/>
        </w:rPr>
        <w:t>) inkrementinis kaštų naudingumo koeficientas; LY – (</w:t>
      </w:r>
      <w:r w:rsidRPr="007B06DE">
        <w:rPr>
          <w:i/>
          <w:sz w:val="20"/>
          <w:lang w:eastAsia="lt-LT"/>
        </w:rPr>
        <w:t>angl. life years</w:t>
      </w:r>
      <w:r w:rsidRPr="007B06DE">
        <w:rPr>
          <w:iCs/>
          <w:sz w:val="20"/>
          <w:lang w:eastAsia="lt-LT"/>
        </w:rPr>
        <w:t>) gyvenimo metai; QALY- (</w:t>
      </w:r>
      <w:r w:rsidRPr="007B06DE">
        <w:rPr>
          <w:i/>
          <w:sz w:val="20"/>
          <w:lang w:eastAsia="lt-LT"/>
        </w:rPr>
        <w:t xml:space="preserve">angl. quality adjusted life years) </w:t>
      </w:r>
      <w:r w:rsidRPr="007B06DE">
        <w:rPr>
          <w:iCs/>
          <w:sz w:val="20"/>
          <w:lang w:eastAsia="lt-LT"/>
        </w:rPr>
        <w:t>kokybiški gyvenimo metai.</w:t>
      </w:r>
    </w:p>
    <w:p w14:paraId="2BB710AE" w14:textId="23F7DE4B" w:rsidR="0089316D" w:rsidRPr="007B06DE" w:rsidRDefault="0089316D" w:rsidP="00A22449">
      <w:pPr>
        <w:spacing w:line="276" w:lineRule="auto"/>
        <w:ind w:firstLine="540"/>
        <w:jc w:val="both"/>
        <w:rPr>
          <w:lang w:val="en-GB"/>
        </w:rPr>
      </w:pPr>
    </w:p>
    <w:p w14:paraId="33875138" w14:textId="6EF075BD" w:rsidR="0035172D" w:rsidRPr="007B06DE" w:rsidRDefault="00A22449" w:rsidP="00BB1A9E">
      <w:pPr>
        <w:spacing w:line="276" w:lineRule="auto"/>
        <w:ind w:firstLine="360"/>
        <w:jc w:val="both"/>
        <w:rPr>
          <w:rFonts w:eastAsia="Arial"/>
        </w:rPr>
      </w:pPr>
      <w:r w:rsidRPr="007B06DE">
        <w:rPr>
          <w:rFonts w:eastAsia="Arial"/>
        </w:rPr>
        <w:t xml:space="preserve">Gautais ekonominės analizės rezultatais, teklistamabą lyginant su </w:t>
      </w:r>
      <w:r w:rsidR="00867964" w:rsidRPr="007B06DE">
        <w:rPr>
          <w:color w:val="000000"/>
        </w:rPr>
        <w:t>****</w:t>
      </w:r>
      <w:r w:rsidRPr="007B06DE">
        <w:rPr>
          <w:rFonts w:eastAsia="Arial"/>
        </w:rPr>
        <w:t xml:space="preserve"> sveikatai sukuriama nauda (inkrementiniai QALYS) – </w:t>
      </w:r>
      <w:bookmarkStart w:id="2" w:name="_Hlk207005892"/>
      <w:r w:rsidR="00E01A16" w:rsidRPr="007B06DE">
        <w:rPr>
          <w:color w:val="000000"/>
        </w:rPr>
        <w:t>****</w:t>
      </w:r>
      <w:bookmarkEnd w:id="2"/>
      <w:r w:rsidRPr="007B06DE">
        <w:rPr>
          <w:rFonts w:eastAsia="Arial"/>
        </w:rPr>
        <w:t xml:space="preserve">, </w:t>
      </w:r>
      <w:r w:rsidR="00910224" w:rsidRPr="007B06DE">
        <w:t xml:space="preserve">o gydymo teklistamabu kaštai yra </w:t>
      </w:r>
      <w:r w:rsidR="00E01A16" w:rsidRPr="007B06DE">
        <w:rPr>
          <w:color w:val="000000"/>
        </w:rPr>
        <w:t xml:space="preserve">**** </w:t>
      </w:r>
      <w:r w:rsidR="00910224" w:rsidRPr="007B06DE">
        <w:t xml:space="preserve">Eur. didesni nei standartinio šiuo metu Lietuvoje taikomo gydymo. Apskaičiuotas ICER – </w:t>
      </w:r>
      <w:r w:rsidR="00E01A16" w:rsidRPr="007B06DE">
        <w:rPr>
          <w:color w:val="000000"/>
        </w:rPr>
        <w:t xml:space="preserve">**** </w:t>
      </w:r>
      <w:r w:rsidR="00910224" w:rsidRPr="007B06DE">
        <w:rPr>
          <w:color w:val="000000"/>
        </w:rPr>
        <w:t>Eur./QALY</w:t>
      </w:r>
      <w:r w:rsidRPr="007B06DE">
        <w:rPr>
          <w:color w:val="000000"/>
        </w:rPr>
        <w:t xml:space="preserve"> </w:t>
      </w:r>
      <w:r w:rsidRPr="007B06DE">
        <w:t>atitinka sunkiai ligos naštai taikomą referencinę kaštų naudingumo vertę (&lt;</w:t>
      </w:r>
      <w:r w:rsidR="00E01A16" w:rsidRPr="007B06DE">
        <w:rPr>
          <w:color w:val="000000"/>
        </w:rPr>
        <w:t xml:space="preserve">**** </w:t>
      </w:r>
      <w:r w:rsidRPr="007B06DE">
        <w:rPr>
          <w:color w:val="000000"/>
        </w:rPr>
        <w:t>Eur.)</w:t>
      </w:r>
      <w:r w:rsidRPr="007B06DE">
        <w:t>. Jautrumo analizės rezultatai patvirtina įprastinės atvejo analizės rezultatus, t.y. keičiant prielaidas nė vienu atveju nėra viršijamas sunkiai ligos naštai taikomas referencinės kaštų naudingumo vertės slenkstis.</w:t>
      </w:r>
    </w:p>
    <w:p w14:paraId="6C5DCA70" w14:textId="77777777" w:rsidR="0045089C" w:rsidRPr="007B06DE" w:rsidRDefault="0045089C" w:rsidP="00A93AA6">
      <w:pPr>
        <w:tabs>
          <w:tab w:val="left" w:pos="426"/>
        </w:tabs>
        <w:rPr>
          <w:b/>
          <w:bCs/>
          <w:caps/>
        </w:rPr>
      </w:pPr>
    </w:p>
    <w:p w14:paraId="4FC424F9" w14:textId="4E767245" w:rsidR="00C62B36" w:rsidRPr="007B06DE" w:rsidRDefault="00C62B36" w:rsidP="00CC09D4">
      <w:pPr>
        <w:pStyle w:val="Sraopastraipa"/>
        <w:numPr>
          <w:ilvl w:val="0"/>
          <w:numId w:val="12"/>
        </w:numPr>
        <w:tabs>
          <w:tab w:val="left" w:pos="567"/>
        </w:tabs>
        <w:ind w:hanging="720"/>
        <w:rPr>
          <w:b/>
          <w:bCs/>
          <w:caps/>
        </w:rPr>
      </w:pPr>
      <w:r w:rsidRPr="007B06DE">
        <w:rPr>
          <w:b/>
          <w:bCs/>
          <w:caps/>
        </w:rPr>
        <w:t xml:space="preserve">Pacientų organizacijų pateikti duomenys </w:t>
      </w:r>
    </w:p>
    <w:p w14:paraId="79BCFF40" w14:textId="1992DF4A" w:rsidR="00937907" w:rsidRPr="007B06DE" w:rsidRDefault="007B06DE"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7B06DE">
            <w:rPr>
              <w:rStyle w:val="Style2"/>
              <w:rFonts w:ascii="MS Gothic" w:eastAsia="MS Gothic" w:hAnsi="MS Gothic" w:hint="eastAsia"/>
              <w:sz w:val="24"/>
            </w:rPr>
            <w:t>☐</w:t>
          </w:r>
        </w:sdtContent>
      </w:sdt>
      <w:r w:rsidR="00937907" w:rsidRPr="007B06DE">
        <w:t xml:space="preserve"> Pacientų organizacijos pozicija pateikta. Žr. priedą.</w:t>
      </w:r>
    </w:p>
    <w:p w14:paraId="62992180" w14:textId="337C8B97" w:rsidR="00937907" w:rsidRPr="007B06DE" w:rsidRDefault="007B06DE"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BE3577" w:rsidRPr="007B06DE">
            <w:rPr>
              <w:rStyle w:val="Style2"/>
              <w:rFonts w:ascii="MS Gothic" w:eastAsia="MS Gothic" w:hAnsi="MS Gothic" w:hint="eastAsia"/>
              <w:sz w:val="24"/>
            </w:rPr>
            <w:t>☒</w:t>
          </w:r>
        </w:sdtContent>
      </w:sdt>
      <w:r w:rsidR="00937907" w:rsidRPr="007B06DE">
        <w:t xml:space="preserve"> Pacientų organizacijos pozicija </w:t>
      </w:r>
      <w:r w:rsidR="00880A44" w:rsidRPr="007B06DE">
        <w:t>ne</w:t>
      </w:r>
      <w:r w:rsidR="00937907" w:rsidRPr="007B06DE">
        <w:t>pateikta.</w:t>
      </w:r>
    </w:p>
    <w:p w14:paraId="03E73D82" w14:textId="77777777" w:rsidR="00D417D2" w:rsidRPr="007B06DE" w:rsidRDefault="00D417D2" w:rsidP="00937907">
      <w:pPr>
        <w:spacing w:after="120"/>
        <w:jc w:val="both"/>
      </w:pPr>
    </w:p>
    <w:p w14:paraId="3D3277FA" w14:textId="3CEEB2D2" w:rsidR="00C62B36" w:rsidRPr="007B06DE" w:rsidRDefault="00C62B36" w:rsidP="00CC09D4">
      <w:pPr>
        <w:pStyle w:val="Sraopastraipa"/>
        <w:numPr>
          <w:ilvl w:val="0"/>
          <w:numId w:val="12"/>
        </w:numPr>
        <w:tabs>
          <w:tab w:val="left" w:pos="567"/>
        </w:tabs>
        <w:ind w:hanging="720"/>
        <w:rPr>
          <w:b/>
          <w:bCs/>
          <w:caps/>
        </w:rPr>
      </w:pPr>
      <w:r w:rsidRPr="007B06DE">
        <w:rPr>
          <w:b/>
          <w:bCs/>
          <w:caps/>
        </w:rPr>
        <w:t>Gydytojų organizacijų pateikti duomenys</w:t>
      </w:r>
    </w:p>
    <w:p w14:paraId="389A346C" w14:textId="17184B64" w:rsidR="00937907" w:rsidRPr="007B06DE" w:rsidRDefault="007B06DE"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7B06DE">
            <w:rPr>
              <w:rStyle w:val="Style2"/>
              <w:rFonts w:ascii="MS Gothic" w:eastAsia="MS Gothic" w:hAnsi="MS Gothic" w:hint="eastAsia"/>
              <w:sz w:val="24"/>
            </w:rPr>
            <w:t>☐</w:t>
          </w:r>
        </w:sdtContent>
      </w:sdt>
      <w:r w:rsidR="00662983" w:rsidRPr="007B06DE">
        <w:t xml:space="preserve"> </w:t>
      </w:r>
      <w:r w:rsidR="00937907" w:rsidRPr="007B06DE">
        <w:t xml:space="preserve">Gydytojų specialistų organizacijos pozicija pateikta. </w:t>
      </w:r>
      <w:r w:rsidR="00662983" w:rsidRPr="007B06DE">
        <w:t>Žr. priedą</w:t>
      </w:r>
      <w:r w:rsidR="00937907" w:rsidRPr="007B06DE">
        <w:t>.</w:t>
      </w:r>
    </w:p>
    <w:p w14:paraId="5D8CC48C" w14:textId="61EA4D71" w:rsidR="00662983" w:rsidRPr="007B06DE" w:rsidRDefault="007B06DE"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BE3577" w:rsidRPr="007B06DE">
            <w:rPr>
              <w:rStyle w:val="Style2"/>
              <w:rFonts w:ascii="MS Gothic" w:eastAsia="MS Gothic" w:hAnsi="MS Gothic" w:hint="eastAsia"/>
              <w:sz w:val="24"/>
            </w:rPr>
            <w:t>☒</w:t>
          </w:r>
        </w:sdtContent>
      </w:sdt>
      <w:r w:rsidR="00662983" w:rsidRPr="007B06DE">
        <w:t xml:space="preserve"> </w:t>
      </w:r>
      <w:r w:rsidR="00937907" w:rsidRPr="007B06DE">
        <w:t xml:space="preserve">Gydytojų specialistų organizacijos pozicija </w:t>
      </w:r>
      <w:r w:rsidR="00880A44" w:rsidRPr="007B06DE">
        <w:t>ne</w:t>
      </w:r>
      <w:r w:rsidR="00937907" w:rsidRPr="007B06DE">
        <w:t>pateikta.</w:t>
      </w:r>
    </w:p>
    <w:p w14:paraId="3701D46A" w14:textId="77777777" w:rsidR="00A042B9" w:rsidRPr="007B06DE" w:rsidRDefault="00A042B9" w:rsidP="00662983">
      <w:pPr>
        <w:spacing w:after="120"/>
        <w:jc w:val="both"/>
      </w:pPr>
    </w:p>
    <w:p w14:paraId="78F23ECB" w14:textId="23A3A002" w:rsidR="002F0E4F" w:rsidRPr="007B06DE" w:rsidRDefault="002F0E4F" w:rsidP="00CC09D4">
      <w:pPr>
        <w:pStyle w:val="Sraopastraipa"/>
        <w:numPr>
          <w:ilvl w:val="0"/>
          <w:numId w:val="12"/>
        </w:numPr>
        <w:tabs>
          <w:tab w:val="left" w:pos="567"/>
        </w:tabs>
        <w:ind w:hanging="720"/>
        <w:rPr>
          <w:b/>
          <w:bCs/>
          <w:caps/>
        </w:rPr>
      </w:pPr>
      <w:r w:rsidRPr="007B06DE">
        <w:rPr>
          <w:b/>
          <w:bCs/>
          <w:caps/>
        </w:rPr>
        <w:t xml:space="preserve">Išvada </w:t>
      </w:r>
    </w:p>
    <w:p w14:paraId="30069D85" w14:textId="77777777" w:rsidR="0061611B" w:rsidRPr="007B06DE" w:rsidRDefault="0061611B" w:rsidP="0061611B">
      <w:pPr>
        <w:ind w:left="360"/>
        <w:rPr>
          <w:i/>
          <w:color w:val="000000" w:themeColor="text1"/>
          <w:szCs w:val="22"/>
        </w:rPr>
      </w:pPr>
    </w:p>
    <w:tbl>
      <w:tblPr>
        <w:tblStyle w:val="Lentelstinklelis"/>
        <w:tblW w:w="0" w:type="auto"/>
        <w:tblLook w:val="04A0" w:firstRow="1" w:lastRow="0" w:firstColumn="1" w:lastColumn="0" w:noHBand="0" w:noVBand="1"/>
      </w:tblPr>
      <w:tblGrid>
        <w:gridCol w:w="4815"/>
        <w:gridCol w:w="4814"/>
      </w:tblGrid>
      <w:tr w:rsidR="00BB1A9E" w:rsidRPr="007B06DE" w14:paraId="34D72291" w14:textId="77777777" w:rsidTr="00482EAD">
        <w:trPr>
          <w:trHeight w:val="510"/>
        </w:trPr>
        <w:tc>
          <w:tcPr>
            <w:tcW w:w="9629" w:type="dxa"/>
            <w:gridSpan w:val="2"/>
            <w:vAlign w:val="center"/>
          </w:tcPr>
          <w:p w14:paraId="7C326845"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3" w:name="_Hlk185374656"/>
            <w:r w:rsidRPr="007B06DE">
              <w:rPr>
                <w:rStyle w:val="Style2"/>
                <w:rFonts w:eastAsia="MS Gothic"/>
                <w:b/>
                <w:bCs/>
                <w:sz w:val="24"/>
              </w:rPr>
              <w:lastRenderedPageBreak/>
              <w:t>Palyginamasis veiksmingumas</w:t>
            </w:r>
          </w:p>
        </w:tc>
      </w:tr>
      <w:tr w:rsidR="00BB1A9E" w:rsidRPr="007B06DE" w14:paraId="6EEAD685" w14:textId="77777777" w:rsidTr="00482EAD">
        <w:tc>
          <w:tcPr>
            <w:tcW w:w="4815" w:type="dxa"/>
          </w:tcPr>
          <w:p w14:paraId="3C55E620"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685207295"/>
                <w15:color w:val="FFCC00"/>
                <w14:checkbox>
                  <w14:checked w14:val="1"/>
                  <w14:checkedState w14:val="2612" w14:font="MS Gothic"/>
                  <w14:uncheckedState w14:val="2610" w14:font="MS Gothic"/>
                </w14:checkbox>
              </w:sdtPr>
              <w:sdtEndPr>
                <w:rPr>
                  <w:rStyle w:val="Style2"/>
                </w:rPr>
              </w:sdtEndPr>
              <w:sdtContent>
                <w:r w:rsidR="00BB1A9E" w:rsidRPr="007B06DE">
                  <w:rPr>
                    <w:rStyle w:val="Style2"/>
                    <w:rFonts w:ascii="MS Gothic" w:eastAsia="MS Gothic" w:hAnsi="MS Gothic" w:hint="eastAsia"/>
                    <w:sz w:val="24"/>
                  </w:rPr>
                  <w:t>☒</w:t>
                </w:r>
              </w:sdtContent>
            </w:sdt>
            <w:r w:rsidR="00BB1A9E" w:rsidRPr="007B06DE">
              <w:rPr>
                <w:rStyle w:val="Style2"/>
                <w:sz w:val="24"/>
              </w:rPr>
              <w:t xml:space="preserve"> 29</w:t>
            </w:r>
            <w:r w:rsidR="00BB1A9E" w:rsidRPr="007B06DE">
              <w:t>.1.1 yra didesnis, lyginant su įprasta klinikine praktika</w:t>
            </w:r>
          </w:p>
          <w:p w14:paraId="466A1E1C"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011F2C2"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914471956"/>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MS Gothic" w:eastAsia="MS Gothic" w:hAnsi="MS Gothic" w:hint="eastAsia"/>
                    <w:sz w:val="24"/>
                  </w:rPr>
                  <w:t>☐</w:t>
                </w:r>
              </w:sdtContent>
            </w:sdt>
            <w:r w:rsidR="00BB1A9E" w:rsidRPr="007B06DE">
              <w:t xml:space="preserve"> </w:t>
            </w:r>
            <w:r w:rsidR="00BB1A9E" w:rsidRPr="007B06DE">
              <w:rPr>
                <w:rStyle w:val="Style2"/>
                <w:sz w:val="24"/>
              </w:rPr>
              <w:t>29</w:t>
            </w:r>
            <w:r w:rsidR="00BB1A9E" w:rsidRPr="007B06DE">
              <w:t>.1.2 iš esmės nesiskiria, lyginant su įprasta klinikine praktika</w:t>
            </w:r>
          </w:p>
        </w:tc>
        <w:tc>
          <w:tcPr>
            <w:tcW w:w="4814" w:type="dxa"/>
          </w:tcPr>
          <w:p w14:paraId="7B9AED77"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4200549"/>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Segoe UI Symbol" w:eastAsia="MS Gothic" w:hAnsi="Segoe UI Symbol" w:cs="Segoe UI Symbol"/>
                    <w:sz w:val="24"/>
                  </w:rPr>
                  <w:t>☐</w:t>
                </w:r>
              </w:sdtContent>
            </w:sdt>
            <w:r w:rsidR="00BB1A9E" w:rsidRPr="007B06DE">
              <w:t xml:space="preserve"> </w:t>
            </w:r>
            <w:r w:rsidR="00BB1A9E" w:rsidRPr="007B06DE">
              <w:rPr>
                <w:rStyle w:val="Style2"/>
                <w:sz w:val="24"/>
              </w:rPr>
              <w:t>29</w:t>
            </w:r>
            <w:r w:rsidR="00BB1A9E" w:rsidRPr="007B06DE">
              <w:t xml:space="preserve">.1.3 yra neįrodytas kaip didesnis  ar iš esmės nesiskiriantis, lyginant su įprasta klinikine praktika  </w:t>
            </w:r>
          </w:p>
          <w:p w14:paraId="0194EB24"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0D6FC3"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2178579"/>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Segoe UI Symbol" w:eastAsia="MS Gothic" w:hAnsi="Segoe UI Symbol" w:cs="Segoe UI Symbol"/>
                    <w:sz w:val="24"/>
                  </w:rPr>
                  <w:t>☐</w:t>
                </w:r>
              </w:sdtContent>
            </w:sdt>
            <w:r w:rsidR="00BB1A9E" w:rsidRPr="007B06DE">
              <w:t xml:space="preserve"> </w:t>
            </w:r>
            <w:r w:rsidR="00BB1A9E" w:rsidRPr="007B06DE">
              <w:rPr>
                <w:rStyle w:val="Style2"/>
                <w:sz w:val="24"/>
              </w:rPr>
              <w:t>29</w:t>
            </w:r>
            <w:r w:rsidR="00BB1A9E" w:rsidRPr="007B06DE">
              <w:t>.1.4 yra mažesnis, lyginant su įprasta klinikine praktika</w:t>
            </w:r>
          </w:p>
          <w:p w14:paraId="238561B6"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024833"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65324558"/>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Segoe UI Symbol" w:eastAsia="MS Gothic" w:hAnsi="Segoe UI Symbol" w:cs="Segoe UI Symbol"/>
                    <w:sz w:val="24"/>
                  </w:rPr>
                  <w:t>☐</w:t>
                </w:r>
              </w:sdtContent>
            </w:sdt>
            <w:r w:rsidR="00BB1A9E" w:rsidRPr="007B06DE">
              <w:t xml:space="preserve">  </w:t>
            </w:r>
            <w:r w:rsidR="00BB1A9E" w:rsidRPr="007B06DE">
              <w:rPr>
                <w:rStyle w:val="Style2"/>
                <w:sz w:val="24"/>
              </w:rPr>
              <w:t>29</w:t>
            </w:r>
            <w:r w:rsidR="00BB1A9E" w:rsidRPr="007B06DE">
              <w:t>.1.5 pateikti duomenys apie palyginamąjį veiksmingumą yra netinkami vertinti</w:t>
            </w:r>
          </w:p>
          <w:p w14:paraId="2598B880"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B1A9E" w:rsidRPr="007B06DE" w14:paraId="79BFBC94" w14:textId="77777777" w:rsidTr="00482EAD">
        <w:trPr>
          <w:trHeight w:val="510"/>
        </w:trPr>
        <w:tc>
          <w:tcPr>
            <w:tcW w:w="9629" w:type="dxa"/>
            <w:gridSpan w:val="2"/>
            <w:vAlign w:val="center"/>
          </w:tcPr>
          <w:p w14:paraId="4234AC38"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4" w:name="_Hlk185374787"/>
            <w:r w:rsidRPr="007B06DE">
              <w:rPr>
                <w:rStyle w:val="Style2"/>
                <w:rFonts w:eastAsia="MS Gothic"/>
                <w:b/>
                <w:bCs/>
                <w:sz w:val="24"/>
              </w:rPr>
              <w:t>Kaštų naudingumas</w:t>
            </w:r>
          </w:p>
        </w:tc>
      </w:tr>
      <w:tr w:rsidR="00BB1A9E" w:rsidRPr="007B06DE" w14:paraId="77A0EAFF" w14:textId="77777777" w:rsidTr="00482EAD">
        <w:tc>
          <w:tcPr>
            <w:tcW w:w="4815" w:type="dxa"/>
          </w:tcPr>
          <w:p w14:paraId="4BB26A9B"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BB1A9E" w:rsidRPr="007B06DE">
                  <w:rPr>
                    <w:rStyle w:val="Style2"/>
                    <w:rFonts w:ascii="MS Gothic" w:eastAsia="MS Gothic" w:hAnsi="MS Gothic" w:hint="eastAsia"/>
                    <w:sz w:val="24"/>
                  </w:rPr>
                  <w:t>☒</w:t>
                </w:r>
              </w:sdtContent>
            </w:sdt>
            <w:r w:rsidR="00BB1A9E" w:rsidRPr="007B06DE">
              <w:t xml:space="preserve"> 29.2.1 atitinka referencinę naudingumo vertę</w:t>
            </w:r>
          </w:p>
          <w:p w14:paraId="16B0AB6E"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2AD5CC0"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Segoe UI Symbol" w:eastAsia="MS Gothic" w:hAnsi="Segoe UI Symbol" w:cs="Segoe UI Symbol"/>
                    <w:sz w:val="24"/>
                  </w:rPr>
                  <w:t>☐</w:t>
                </w:r>
              </w:sdtContent>
            </w:sdt>
            <w:r w:rsidR="00BB1A9E" w:rsidRPr="007B06DE">
              <w:t xml:space="preserve"> 29.2.2 gydymo juo kaštai yra mažesni ar tokie patys esant iš esmės nesiskiriančiam palyginamajam efektyvumui, taikant arba netaikant  PGS</w:t>
            </w:r>
          </w:p>
        </w:tc>
        <w:tc>
          <w:tcPr>
            <w:tcW w:w="4814" w:type="dxa"/>
          </w:tcPr>
          <w:p w14:paraId="1FCBF7A9"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MS Gothic" w:eastAsia="MS Gothic" w:hAnsi="MS Gothic" w:hint="eastAsia"/>
                    <w:sz w:val="24"/>
                  </w:rPr>
                  <w:t>☐</w:t>
                </w:r>
              </w:sdtContent>
            </w:sdt>
            <w:r w:rsidR="00BB1A9E" w:rsidRPr="007B06DE">
              <w:t xml:space="preserve"> 29.2.3 neatitinka referencinės naudingumo vertės taikant arba netaikant PGS</w:t>
            </w:r>
          </w:p>
          <w:p w14:paraId="6EE8D3ED"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171A83"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MS Gothic" w:eastAsia="MS Gothic" w:hAnsi="MS Gothic" w:hint="eastAsia"/>
                    <w:sz w:val="24"/>
                  </w:rPr>
                  <w:t>☐</w:t>
                </w:r>
              </w:sdtContent>
            </w:sdt>
            <w:r w:rsidR="00BB1A9E" w:rsidRPr="007B06DE">
              <w:t xml:space="preserve"> 29.2.4 gydymo juo kaštai yra didesni esant iš esmės nesiskiriančiam palyginamajam veiksmingumui, taikant arba netaikant PGS</w:t>
            </w:r>
          </w:p>
          <w:p w14:paraId="126117B1"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69DC5" w14:textId="77777777" w:rsidR="00BB1A9E" w:rsidRPr="007B06DE" w:rsidRDefault="007B06D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B1A9E" w:rsidRPr="007B06DE">
                  <w:rPr>
                    <w:rStyle w:val="Style2"/>
                    <w:rFonts w:ascii="Segoe UI Symbol" w:eastAsia="MS Gothic" w:hAnsi="Segoe UI Symbol" w:cs="Segoe UI Symbol"/>
                    <w:sz w:val="24"/>
                  </w:rPr>
                  <w:t>☐</w:t>
                </w:r>
              </w:sdtContent>
            </w:sdt>
            <w:r w:rsidR="00BB1A9E" w:rsidRPr="007B06DE">
              <w:t xml:space="preserve"> 29.2.5 pateikti duomenys apie kaštų naudingumą yra netinkami vertinti</w:t>
            </w:r>
          </w:p>
          <w:p w14:paraId="116F5873" w14:textId="77777777" w:rsidR="00BB1A9E" w:rsidRPr="007B06DE" w:rsidRDefault="00BB1A9E" w:rsidP="0048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3"/>
      <w:bookmarkEnd w:id="4"/>
    </w:tbl>
    <w:p w14:paraId="08DB7B85" w14:textId="77777777" w:rsidR="00005551" w:rsidRPr="007B06DE" w:rsidRDefault="00005551" w:rsidP="00005551">
      <w:pPr>
        <w:rPr>
          <w:rFonts w:eastAsia="Arial"/>
          <w:b/>
          <w:szCs w:val="22"/>
        </w:rPr>
      </w:pPr>
    </w:p>
    <w:p w14:paraId="3B2D1F25" w14:textId="3A80E19F" w:rsidR="000001B0" w:rsidRPr="007B06DE" w:rsidRDefault="000001B0" w:rsidP="00CC09D4">
      <w:pPr>
        <w:pStyle w:val="Sraopastraipa"/>
        <w:numPr>
          <w:ilvl w:val="0"/>
          <w:numId w:val="12"/>
        </w:numPr>
        <w:ind w:left="567" w:hanging="567"/>
      </w:pPr>
      <w:r w:rsidRPr="007B06DE">
        <w:rPr>
          <w:b/>
        </w:rPr>
        <w:t>REKOME</w:t>
      </w:r>
      <w:r w:rsidR="00D83182" w:rsidRPr="007B06DE">
        <w:rPr>
          <w:b/>
        </w:rPr>
        <w:t>N</w:t>
      </w:r>
      <w:r w:rsidRPr="007B06DE">
        <w:rPr>
          <w:b/>
        </w:rPr>
        <w:t>DACIJA</w:t>
      </w:r>
    </w:p>
    <w:p w14:paraId="0264D04C" w14:textId="71D2C3FE" w:rsidR="00BB1A9E" w:rsidRPr="007B06DE" w:rsidRDefault="00BB1A9E" w:rsidP="00BB1A9E"/>
    <w:p w14:paraId="7097AB94" w14:textId="77777777" w:rsidR="00BB1A9E" w:rsidRPr="007B06DE" w:rsidRDefault="00BB1A9E" w:rsidP="00BB1A9E">
      <w:pPr>
        <w:spacing w:line="276" w:lineRule="auto"/>
        <w:jc w:val="both"/>
      </w:pPr>
      <w:r w:rsidRPr="007B06DE">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Pr="007B06DE">
        <w:rPr>
          <w:color w:val="000000"/>
        </w:rPr>
        <w:t>30</w:t>
      </w:r>
      <w:r w:rsidRPr="007B06DE">
        <w:rPr>
          <w:color w:val="000000"/>
          <w:vertAlign w:val="superscript"/>
        </w:rPr>
        <w:t>1</w:t>
      </w:r>
      <w:r w:rsidRPr="007B06DE">
        <w:rPr>
          <w:color w:val="000000"/>
        </w:rPr>
        <w:t xml:space="preserve">.1. kai vertinimo išvados atitinka Aprašo 29.1.1 ir 29.2.1 papunkčiuose numatytas sąlygas arba Aprašo 29.1.2 ir 29.2.2 papunkčiuose numatytas sąlygas, teikiama rekomendacija </w:t>
      </w:r>
      <w:r w:rsidRPr="007B06DE">
        <w:rPr>
          <w:i/>
          <w:color w:val="000000"/>
        </w:rPr>
        <w:t>kompensuoti</w:t>
      </w:r>
      <w:r w:rsidRPr="007B06DE">
        <w:rPr>
          <w:color w:val="000000"/>
        </w:rPr>
        <w:t xml:space="preserve"> vaistinį preparatą pagal paraiškoje nurodytą indikaciją (arba jos dalį) su arba be skyrimo sąlygų, taikant ar netaikant PGS</w:t>
      </w:r>
      <w:r w:rsidRPr="007B06DE">
        <w:rPr>
          <w:color w:val="000000"/>
          <w:lang w:eastAsia="lt-LT"/>
        </w:rPr>
        <w:t>.</w:t>
      </w:r>
    </w:p>
    <w:p w14:paraId="06BC01EE" w14:textId="44333E0B" w:rsidR="000723FF" w:rsidRPr="007B06DE" w:rsidRDefault="000723FF" w:rsidP="00381024"/>
    <w:p w14:paraId="18B4292E" w14:textId="74A6B04D" w:rsidR="000723FF" w:rsidRPr="007B06DE" w:rsidRDefault="00CC09D4" w:rsidP="00CC09D4">
      <w:pPr>
        <w:tabs>
          <w:tab w:val="left" w:pos="567"/>
        </w:tabs>
        <w:ind w:left="567" w:hanging="567"/>
        <w:jc w:val="both"/>
        <w:rPr>
          <w:b/>
          <w:color w:val="000000"/>
          <w:lang w:eastAsia="lt-LT"/>
        </w:rPr>
      </w:pPr>
      <w:r w:rsidRPr="007B06DE">
        <w:rPr>
          <w:b/>
          <w:color w:val="000000"/>
          <w:lang w:eastAsia="lt-LT"/>
        </w:rPr>
        <w:t>8.</w:t>
      </w:r>
      <w:r w:rsidRPr="007B06DE">
        <w:rPr>
          <w:b/>
          <w:color w:val="000000"/>
          <w:lang w:eastAsia="lt-LT"/>
        </w:rPr>
        <w:tab/>
      </w:r>
      <w:r w:rsidR="000723FF" w:rsidRPr="007B06DE">
        <w:rPr>
          <w:b/>
          <w:color w:val="000000"/>
          <w:lang w:eastAsia="lt-LT"/>
        </w:rPr>
        <w:t>SIŪLOMOS KOMPENSUOTI TERAPINĖS INDIKACIJOS IR SKYRIMO SĄLYGOS</w:t>
      </w:r>
    </w:p>
    <w:p w14:paraId="691340BB" w14:textId="77777777" w:rsidR="000723FF" w:rsidRPr="007B06DE" w:rsidRDefault="000723FF" w:rsidP="000723FF">
      <w:pPr>
        <w:tabs>
          <w:tab w:val="left" w:pos="426"/>
        </w:tabs>
        <w:jc w:val="both"/>
        <w:rPr>
          <w:b/>
          <w:color w:val="000000"/>
          <w:lang w:eastAsia="lt-LT"/>
        </w:rPr>
      </w:pPr>
    </w:p>
    <w:p w14:paraId="68080E05" w14:textId="77777777" w:rsidR="003255BC" w:rsidRPr="007B06DE" w:rsidRDefault="003255BC" w:rsidP="003255BC">
      <w:pPr>
        <w:pStyle w:val="Betarp"/>
        <w:rPr>
          <w:rFonts w:ascii="Times New Roman" w:hAnsi="Times New Roman"/>
          <w:b/>
          <w:sz w:val="24"/>
          <w:szCs w:val="24"/>
          <w:lang w:eastAsia="lt-LT"/>
        </w:rPr>
      </w:pPr>
      <w:r w:rsidRPr="007B06DE">
        <w:rPr>
          <w:rFonts w:ascii="Times New Roman" w:hAnsi="Times New Roman"/>
          <w:b/>
          <w:sz w:val="24"/>
          <w:szCs w:val="24"/>
          <w:lang w:eastAsia="lt-LT"/>
        </w:rPr>
        <w:t>Terapinės indikacijos</w:t>
      </w:r>
    </w:p>
    <w:p w14:paraId="180ECB75" w14:textId="77777777" w:rsidR="003255BC" w:rsidRPr="007B06DE" w:rsidRDefault="007B06DE" w:rsidP="003255BC">
      <w:pPr>
        <w:pStyle w:val="Betarp"/>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3255BC" w:rsidRPr="007B06DE">
            <w:rPr>
              <w:rStyle w:val="Style2"/>
              <w:rFonts w:ascii="MS Gothic" w:eastAsia="MS Gothic" w:hAnsi="MS Gothic" w:hint="eastAsia"/>
              <w:sz w:val="24"/>
              <w:szCs w:val="24"/>
            </w:rPr>
            <w:t>☒</w:t>
          </w:r>
        </w:sdtContent>
      </w:sdt>
      <w:r w:rsidR="003255BC" w:rsidRPr="007B06DE">
        <w:rPr>
          <w:rFonts w:ascii="Times New Roman" w:hAnsi="Times New Roman"/>
          <w:sz w:val="24"/>
          <w:szCs w:val="24"/>
        </w:rPr>
        <w:t xml:space="preserve"> Siūloma kompensuoti Pareiškėjo teikiamą indikaciją be pakeitimų.</w:t>
      </w:r>
    </w:p>
    <w:p w14:paraId="65F4056C" w14:textId="77777777" w:rsidR="00513BE7" w:rsidRPr="007B06DE" w:rsidRDefault="00513BE7" w:rsidP="00D37D9D">
      <w:pPr>
        <w:spacing w:line="276" w:lineRule="auto"/>
        <w:jc w:val="both"/>
      </w:pPr>
      <w:r w:rsidRPr="007B06DE">
        <w:t>TECVAYLI kaip monoterapija yra skirtas gydyti suaugusiems pacientams, sergantiems atsinaujinusia ir atsparia daugine mieloma, kurie prieš tai yra gavę mažiausiai tris gydymo kursus, įskaitant gydymą imunomoduliatoriumi, proteosomos inhibitoriumi ir antikūnu prieš CD38, ir kuriems pasireiškė ligos progresavimas paskutiniojo gydymo metu.</w:t>
      </w:r>
    </w:p>
    <w:p w14:paraId="376EF538" w14:textId="77777777" w:rsidR="003255BC" w:rsidRPr="007B06DE" w:rsidRDefault="003255BC" w:rsidP="003255BC">
      <w:pPr>
        <w:pStyle w:val="Betarp"/>
        <w:rPr>
          <w:rFonts w:ascii="Times New Roman" w:hAnsi="Times New Roman"/>
          <w:sz w:val="24"/>
          <w:szCs w:val="24"/>
        </w:rPr>
      </w:pPr>
    </w:p>
    <w:p w14:paraId="36C2251C" w14:textId="77777777" w:rsidR="003255BC" w:rsidRPr="007B06DE" w:rsidRDefault="003255BC" w:rsidP="003255BC">
      <w:pPr>
        <w:pStyle w:val="Betarp"/>
        <w:rPr>
          <w:rFonts w:ascii="Times New Roman" w:hAnsi="Times New Roman"/>
          <w:b/>
          <w:sz w:val="24"/>
          <w:szCs w:val="24"/>
        </w:rPr>
      </w:pPr>
      <w:r w:rsidRPr="007B06DE">
        <w:rPr>
          <w:rFonts w:ascii="Times New Roman" w:hAnsi="Times New Roman"/>
          <w:b/>
          <w:sz w:val="24"/>
          <w:szCs w:val="24"/>
        </w:rPr>
        <w:t>Skyrimo sąlygos</w:t>
      </w:r>
    </w:p>
    <w:p w14:paraId="6456E9D3" w14:textId="2720E19D" w:rsidR="003255BC" w:rsidRPr="007B06DE" w:rsidRDefault="007B06DE" w:rsidP="003255BC">
      <w:pPr>
        <w:pStyle w:val="Betarp"/>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513BE7" w:rsidRPr="007B06DE">
            <w:rPr>
              <w:rStyle w:val="Style2"/>
              <w:rFonts w:ascii="MS Gothic" w:eastAsia="MS Gothic" w:hAnsi="MS Gothic"/>
              <w:sz w:val="24"/>
              <w:szCs w:val="24"/>
            </w:rPr>
            <w:t>☒</w:t>
          </w:r>
        </w:sdtContent>
      </w:sdt>
      <w:r w:rsidR="003255BC" w:rsidRPr="007B06DE">
        <w:rPr>
          <w:rFonts w:ascii="Times New Roman" w:hAnsi="Times New Roman"/>
          <w:sz w:val="24"/>
          <w:szCs w:val="24"/>
        </w:rPr>
        <w:t xml:space="preserve"> Pareiškėjo siūlomos skyrimo sąlygos nepriimtinos. </w:t>
      </w:r>
    </w:p>
    <w:p w14:paraId="109D5601" w14:textId="77777777" w:rsidR="006F0BD0" w:rsidRPr="007B06DE" w:rsidRDefault="006F0BD0" w:rsidP="006F0BD0">
      <w:pPr>
        <w:tabs>
          <w:tab w:val="left" w:pos="426"/>
        </w:tabs>
        <w:spacing w:line="276" w:lineRule="auto"/>
        <w:jc w:val="both"/>
        <w:rPr>
          <w:bCs/>
          <w:i/>
          <w:iCs/>
          <w:color w:val="000000"/>
          <w:lang w:eastAsia="lt-LT"/>
        </w:rPr>
      </w:pPr>
    </w:p>
    <w:p w14:paraId="011E8822" w14:textId="7C4C27BC" w:rsidR="006F0BD0" w:rsidRPr="00BE7485" w:rsidRDefault="006F0BD0" w:rsidP="006F0BD0">
      <w:pPr>
        <w:tabs>
          <w:tab w:val="left" w:pos="426"/>
        </w:tabs>
        <w:spacing w:line="276" w:lineRule="auto"/>
        <w:jc w:val="both"/>
        <w:rPr>
          <w:bCs/>
          <w:color w:val="000000"/>
          <w:lang w:eastAsia="lt-LT"/>
        </w:rPr>
      </w:pPr>
      <w:r w:rsidRPr="007B06DE">
        <w:rPr>
          <w:bCs/>
          <w:color w:val="000000"/>
          <w:lang w:eastAsia="lt-LT"/>
        </w:rPr>
        <w:t xml:space="preserve">Skiriamas monoterapijai suaugusiems pacientams, sergantiems atsinaujinusia ir atsparia daugine mieloma, kurie prieš tai yra gavę mažiausiai tris gydymo kursus, įskaitant gydymą </w:t>
      </w:r>
      <w:r w:rsidRPr="007B06DE">
        <w:rPr>
          <w:bCs/>
          <w:color w:val="000000"/>
          <w:lang w:eastAsia="lt-LT"/>
        </w:rPr>
        <w:lastRenderedPageBreak/>
        <w:t>imunomoduliatoriumi, proteasomos inhibitoriumi ir antikūnu prieš CD38, ir kuriems pasireiškė ligos progresavimas paskutiniojo gydymo metu. Gydymas tęsiamas iki ligos progresavimo arba nepriimtino toksinio poveikio atsiradimo.</w:t>
      </w:r>
      <w:r w:rsidRPr="00BE7485">
        <w:rPr>
          <w:bCs/>
          <w:color w:val="000000"/>
          <w:lang w:eastAsia="lt-LT"/>
        </w:rPr>
        <w:t xml:space="preserve"> </w:t>
      </w:r>
    </w:p>
    <w:p w14:paraId="3E95B8B8" w14:textId="2D286103" w:rsidR="003255BC" w:rsidRPr="00D37D9D" w:rsidRDefault="003255BC" w:rsidP="006F0BD0">
      <w:pPr>
        <w:tabs>
          <w:tab w:val="left" w:pos="426"/>
        </w:tabs>
        <w:spacing w:line="276" w:lineRule="auto"/>
        <w:jc w:val="both"/>
        <w:rPr>
          <w:bCs/>
          <w:color w:val="000000"/>
          <w:lang w:eastAsia="lt-LT"/>
        </w:rPr>
      </w:pPr>
    </w:p>
    <w:sectPr w:rsidR="003255BC" w:rsidRPr="00D37D9D"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DC0F" w14:textId="77777777" w:rsidR="00D62DD6" w:rsidRDefault="00D62DD6">
      <w:r>
        <w:separator/>
      </w:r>
    </w:p>
  </w:endnote>
  <w:endnote w:type="continuationSeparator" w:id="0">
    <w:p w14:paraId="1F4E0E65" w14:textId="77777777" w:rsidR="00D62DD6" w:rsidRDefault="00D6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0FF5" w14:textId="77777777" w:rsidR="00D62DD6" w:rsidRDefault="00D62DD6">
      <w:r>
        <w:separator/>
      </w:r>
    </w:p>
  </w:footnote>
  <w:footnote w:type="continuationSeparator" w:id="0">
    <w:p w14:paraId="59DBE8D2" w14:textId="77777777" w:rsidR="00D62DD6" w:rsidRDefault="00D6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D776B"/>
    <w:multiLevelType w:val="multilevel"/>
    <w:tmpl w:val="412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51196">
    <w:abstractNumId w:val="6"/>
  </w:num>
  <w:num w:numId="2" w16cid:durableId="1990590661">
    <w:abstractNumId w:val="1"/>
  </w:num>
  <w:num w:numId="3" w16cid:durableId="562566180">
    <w:abstractNumId w:val="8"/>
  </w:num>
  <w:num w:numId="4" w16cid:durableId="1836997262">
    <w:abstractNumId w:val="7"/>
  </w:num>
  <w:num w:numId="5" w16cid:durableId="1774861505">
    <w:abstractNumId w:val="5"/>
  </w:num>
  <w:num w:numId="6" w16cid:durableId="1107963391">
    <w:abstractNumId w:val="4"/>
  </w:num>
  <w:num w:numId="7" w16cid:durableId="175509423">
    <w:abstractNumId w:val="3"/>
  </w:num>
  <w:num w:numId="8" w16cid:durableId="541017385">
    <w:abstractNumId w:val="12"/>
  </w:num>
  <w:num w:numId="9" w16cid:durableId="1263997234">
    <w:abstractNumId w:val="0"/>
  </w:num>
  <w:num w:numId="10" w16cid:durableId="1759904512">
    <w:abstractNumId w:val="9"/>
  </w:num>
  <w:num w:numId="11" w16cid:durableId="275406140">
    <w:abstractNumId w:val="10"/>
  </w:num>
  <w:num w:numId="12" w16cid:durableId="1075127659">
    <w:abstractNumId w:val="2"/>
  </w:num>
  <w:num w:numId="13" w16cid:durableId="482356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5551"/>
    <w:rsid w:val="000114DD"/>
    <w:rsid w:val="00012154"/>
    <w:rsid w:val="000136F7"/>
    <w:rsid w:val="00023C95"/>
    <w:rsid w:val="00024DC2"/>
    <w:rsid w:val="0002686C"/>
    <w:rsid w:val="00031D0E"/>
    <w:rsid w:val="000337E6"/>
    <w:rsid w:val="0003402E"/>
    <w:rsid w:val="00034EAE"/>
    <w:rsid w:val="00042924"/>
    <w:rsid w:val="000503A3"/>
    <w:rsid w:val="00053975"/>
    <w:rsid w:val="00057A2B"/>
    <w:rsid w:val="000606BE"/>
    <w:rsid w:val="000723FF"/>
    <w:rsid w:val="000736B8"/>
    <w:rsid w:val="0008190F"/>
    <w:rsid w:val="00081D9C"/>
    <w:rsid w:val="00082907"/>
    <w:rsid w:val="0008378D"/>
    <w:rsid w:val="000908A5"/>
    <w:rsid w:val="00092805"/>
    <w:rsid w:val="000C454C"/>
    <w:rsid w:val="000D06F9"/>
    <w:rsid w:val="000D5038"/>
    <w:rsid w:val="000E29D4"/>
    <w:rsid w:val="000F3540"/>
    <w:rsid w:val="00100491"/>
    <w:rsid w:val="00104E2E"/>
    <w:rsid w:val="00107287"/>
    <w:rsid w:val="00117406"/>
    <w:rsid w:val="00121EF0"/>
    <w:rsid w:val="0012372F"/>
    <w:rsid w:val="00124A9E"/>
    <w:rsid w:val="00130703"/>
    <w:rsid w:val="0013153F"/>
    <w:rsid w:val="00135175"/>
    <w:rsid w:val="001408B8"/>
    <w:rsid w:val="001517E2"/>
    <w:rsid w:val="001521D9"/>
    <w:rsid w:val="001554E2"/>
    <w:rsid w:val="00164146"/>
    <w:rsid w:val="0017369C"/>
    <w:rsid w:val="00175D57"/>
    <w:rsid w:val="00180C39"/>
    <w:rsid w:val="00180D96"/>
    <w:rsid w:val="00184BD3"/>
    <w:rsid w:val="001921F3"/>
    <w:rsid w:val="001B3C5B"/>
    <w:rsid w:val="001B5BC8"/>
    <w:rsid w:val="001D746F"/>
    <w:rsid w:val="001E0832"/>
    <w:rsid w:val="001E4BBB"/>
    <w:rsid w:val="001E6304"/>
    <w:rsid w:val="00202EB5"/>
    <w:rsid w:val="0020381E"/>
    <w:rsid w:val="00213471"/>
    <w:rsid w:val="00215906"/>
    <w:rsid w:val="00240E5E"/>
    <w:rsid w:val="00241A50"/>
    <w:rsid w:val="00241CD8"/>
    <w:rsid w:val="00244B09"/>
    <w:rsid w:val="00251116"/>
    <w:rsid w:val="002519CB"/>
    <w:rsid w:val="0025697F"/>
    <w:rsid w:val="00260258"/>
    <w:rsid w:val="0026588E"/>
    <w:rsid w:val="00272428"/>
    <w:rsid w:val="00272948"/>
    <w:rsid w:val="00284F43"/>
    <w:rsid w:val="002850A2"/>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506E"/>
    <w:rsid w:val="003061B7"/>
    <w:rsid w:val="00310545"/>
    <w:rsid w:val="003133DA"/>
    <w:rsid w:val="00317B0E"/>
    <w:rsid w:val="003255BC"/>
    <w:rsid w:val="003466E8"/>
    <w:rsid w:val="00347315"/>
    <w:rsid w:val="00347FAA"/>
    <w:rsid w:val="00351302"/>
    <w:rsid w:val="0035172D"/>
    <w:rsid w:val="0036187D"/>
    <w:rsid w:val="00367EDB"/>
    <w:rsid w:val="003700C7"/>
    <w:rsid w:val="003715F1"/>
    <w:rsid w:val="00381024"/>
    <w:rsid w:val="00386307"/>
    <w:rsid w:val="003874DE"/>
    <w:rsid w:val="00393E9F"/>
    <w:rsid w:val="0039696E"/>
    <w:rsid w:val="003B211A"/>
    <w:rsid w:val="003B5F6E"/>
    <w:rsid w:val="003C141F"/>
    <w:rsid w:val="003C6B0E"/>
    <w:rsid w:val="003C7257"/>
    <w:rsid w:val="003C7E35"/>
    <w:rsid w:val="003D1E99"/>
    <w:rsid w:val="003D6208"/>
    <w:rsid w:val="003D7315"/>
    <w:rsid w:val="004049CC"/>
    <w:rsid w:val="00404E8A"/>
    <w:rsid w:val="0040622F"/>
    <w:rsid w:val="00413F24"/>
    <w:rsid w:val="00422853"/>
    <w:rsid w:val="00423160"/>
    <w:rsid w:val="00450728"/>
    <w:rsid w:val="0045089C"/>
    <w:rsid w:val="00453862"/>
    <w:rsid w:val="0045469B"/>
    <w:rsid w:val="00460482"/>
    <w:rsid w:val="00461338"/>
    <w:rsid w:val="004677DB"/>
    <w:rsid w:val="00476256"/>
    <w:rsid w:val="00483703"/>
    <w:rsid w:val="0048630F"/>
    <w:rsid w:val="004947A1"/>
    <w:rsid w:val="0049482A"/>
    <w:rsid w:val="004979D3"/>
    <w:rsid w:val="004A00E7"/>
    <w:rsid w:val="004A3A61"/>
    <w:rsid w:val="004A605F"/>
    <w:rsid w:val="004B59BA"/>
    <w:rsid w:val="004B5A03"/>
    <w:rsid w:val="004C18D4"/>
    <w:rsid w:val="004C224C"/>
    <w:rsid w:val="004C263A"/>
    <w:rsid w:val="004D48A6"/>
    <w:rsid w:val="004D7B8F"/>
    <w:rsid w:val="004E6023"/>
    <w:rsid w:val="004E6458"/>
    <w:rsid w:val="004E6E7D"/>
    <w:rsid w:val="004F1AAC"/>
    <w:rsid w:val="004F1AE2"/>
    <w:rsid w:val="004F34F0"/>
    <w:rsid w:val="004F3B2B"/>
    <w:rsid w:val="004F6050"/>
    <w:rsid w:val="005005EF"/>
    <w:rsid w:val="005123C2"/>
    <w:rsid w:val="00513BE7"/>
    <w:rsid w:val="0052144B"/>
    <w:rsid w:val="00524066"/>
    <w:rsid w:val="00534E11"/>
    <w:rsid w:val="005378D8"/>
    <w:rsid w:val="005400D9"/>
    <w:rsid w:val="005476A4"/>
    <w:rsid w:val="0055019B"/>
    <w:rsid w:val="00553359"/>
    <w:rsid w:val="00556E63"/>
    <w:rsid w:val="005601A4"/>
    <w:rsid w:val="00566DBB"/>
    <w:rsid w:val="005767DB"/>
    <w:rsid w:val="005815E6"/>
    <w:rsid w:val="0058712F"/>
    <w:rsid w:val="005976CE"/>
    <w:rsid w:val="005A23D4"/>
    <w:rsid w:val="005A2D1E"/>
    <w:rsid w:val="005A420C"/>
    <w:rsid w:val="005B3756"/>
    <w:rsid w:val="005B5E7A"/>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2FDC"/>
    <w:rsid w:val="006834D3"/>
    <w:rsid w:val="00692625"/>
    <w:rsid w:val="00695CD3"/>
    <w:rsid w:val="006A38B6"/>
    <w:rsid w:val="006B1987"/>
    <w:rsid w:val="006B5B71"/>
    <w:rsid w:val="006B6CB0"/>
    <w:rsid w:val="006C0296"/>
    <w:rsid w:val="006C2B64"/>
    <w:rsid w:val="006D4A72"/>
    <w:rsid w:val="006D4C85"/>
    <w:rsid w:val="006D66AC"/>
    <w:rsid w:val="006E33F6"/>
    <w:rsid w:val="006F0BD0"/>
    <w:rsid w:val="006F1251"/>
    <w:rsid w:val="006F1C23"/>
    <w:rsid w:val="00702C18"/>
    <w:rsid w:val="00703166"/>
    <w:rsid w:val="007127F3"/>
    <w:rsid w:val="007301CF"/>
    <w:rsid w:val="007316FB"/>
    <w:rsid w:val="007374D0"/>
    <w:rsid w:val="00737E2D"/>
    <w:rsid w:val="007424D5"/>
    <w:rsid w:val="00750A88"/>
    <w:rsid w:val="007523DD"/>
    <w:rsid w:val="007556F5"/>
    <w:rsid w:val="0075737B"/>
    <w:rsid w:val="00757B7E"/>
    <w:rsid w:val="00763571"/>
    <w:rsid w:val="007656B2"/>
    <w:rsid w:val="0077016F"/>
    <w:rsid w:val="007713AD"/>
    <w:rsid w:val="00772765"/>
    <w:rsid w:val="00795DC5"/>
    <w:rsid w:val="00797153"/>
    <w:rsid w:val="007A21F7"/>
    <w:rsid w:val="007A2B68"/>
    <w:rsid w:val="007B06DE"/>
    <w:rsid w:val="007B0DDA"/>
    <w:rsid w:val="007B4CC0"/>
    <w:rsid w:val="007B7F59"/>
    <w:rsid w:val="007D3347"/>
    <w:rsid w:val="007E037F"/>
    <w:rsid w:val="007E5466"/>
    <w:rsid w:val="007F1949"/>
    <w:rsid w:val="007F2592"/>
    <w:rsid w:val="00800A08"/>
    <w:rsid w:val="00817A84"/>
    <w:rsid w:val="008225A4"/>
    <w:rsid w:val="00824B92"/>
    <w:rsid w:val="00826D5E"/>
    <w:rsid w:val="00832013"/>
    <w:rsid w:val="00832DB7"/>
    <w:rsid w:val="00834732"/>
    <w:rsid w:val="0084348E"/>
    <w:rsid w:val="0085200C"/>
    <w:rsid w:val="0085384E"/>
    <w:rsid w:val="00857C52"/>
    <w:rsid w:val="00860C86"/>
    <w:rsid w:val="00860D5F"/>
    <w:rsid w:val="00861400"/>
    <w:rsid w:val="008677A7"/>
    <w:rsid w:val="00867964"/>
    <w:rsid w:val="00880A44"/>
    <w:rsid w:val="0088345E"/>
    <w:rsid w:val="0088656F"/>
    <w:rsid w:val="00890BA8"/>
    <w:rsid w:val="00891EF6"/>
    <w:rsid w:val="0089316D"/>
    <w:rsid w:val="008A0303"/>
    <w:rsid w:val="008A5FDD"/>
    <w:rsid w:val="008C3947"/>
    <w:rsid w:val="008C48F0"/>
    <w:rsid w:val="008E473B"/>
    <w:rsid w:val="008E51A6"/>
    <w:rsid w:val="008E7329"/>
    <w:rsid w:val="008F2ED5"/>
    <w:rsid w:val="00910224"/>
    <w:rsid w:val="00910ED7"/>
    <w:rsid w:val="0092297E"/>
    <w:rsid w:val="00923651"/>
    <w:rsid w:val="00927B56"/>
    <w:rsid w:val="009341BF"/>
    <w:rsid w:val="00937907"/>
    <w:rsid w:val="00941739"/>
    <w:rsid w:val="00951573"/>
    <w:rsid w:val="00952107"/>
    <w:rsid w:val="00963003"/>
    <w:rsid w:val="00966EEF"/>
    <w:rsid w:val="00971B28"/>
    <w:rsid w:val="00983471"/>
    <w:rsid w:val="009909AB"/>
    <w:rsid w:val="009B37DB"/>
    <w:rsid w:val="009C7324"/>
    <w:rsid w:val="009C7A8C"/>
    <w:rsid w:val="009D23F9"/>
    <w:rsid w:val="009D4FA8"/>
    <w:rsid w:val="009E44AE"/>
    <w:rsid w:val="009E6CD6"/>
    <w:rsid w:val="009F4D66"/>
    <w:rsid w:val="00A00C3C"/>
    <w:rsid w:val="00A01091"/>
    <w:rsid w:val="00A042B9"/>
    <w:rsid w:val="00A06DBB"/>
    <w:rsid w:val="00A22449"/>
    <w:rsid w:val="00A22ADF"/>
    <w:rsid w:val="00A31E86"/>
    <w:rsid w:val="00A37EED"/>
    <w:rsid w:val="00A40564"/>
    <w:rsid w:val="00A54D87"/>
    <w:rsid w:val="00A5553C"/>
    <w:rsid w:val="00A6167E"/>
    <w:rsid w:val="00A61928"/>
    <w:rsid w:val="00A701C9"/>
    <w:rsid w:val="00A81785"/>
    <w:rsid w:val="00A84803"/>
    <w:rsid w:val="00A84C51"/>
    <w:rsid w:val="00A86F2B"/>
    <w:rsid w:val="00A91366"/>
    <w:rsid w:val="00A93AA6"/>
    <w:rsid w:val="00A97B51"/>
    <w:rsid w:val="00AA4E48"/>
    <w:rsid w:val="00AA6202"/>
    <w:rsid w:val="00AA7B57"/>
    <w:rsid w:val="00AC26FC"/>
    <w:rsid w:val="00AC4A99"/>
    <w:rsid w:val="00AC64D2"/>
    <w:rsid w:val="00AD02E7"/>
    <w:rsid w:val="00AE0FE8"/>
    <w:rsid w:val="00AE1322"/>
    <w:rsid w:val="00AF60D5"/>
    <w:rsid w:val="00AF79B9"/>
    <w:rsid w:val="00B00959"/>
    <w:rsid w:val="00B04415"/>
    <w:rsid w:val="00B06509"/>
    <w:rsid w:val="00B11D60"/>
    <w:rsid w:val="00B13279"/>
    <w:rsid w:val="00B13D65"/>
    <w:rsid w:val="00B21805"/>
    <w:rsid w:val="00B3072E"/>
    <w:rsid w:val="00B36E15"/>
    <w:rsid w:val="00B37245"/>
    <w:rsid w:val="00B4017A"/>
    <w:rsid w:val="00B43334"/>
    <w:rsid w:val="00B4468D"/>
    <w:rsid w:val="00B71C72"/>
    <w:rsid w:val="00B77902"/>
    <w:rsid w:val="00B81E92"/>
    <w:rsid w:val="00B908D7"/>
    <w:rsid w:val="00B915AB"/>
    <w:rsid w:val="00B935E8"/>
    <w:rsid w:val="00B93B30"/>
    <w:rsid w:val="00B94CB5"/>
    <w:rsid w:val="00BA0DD9"/>
    <w:rsid w:val="00BA5DBC"/>
    <w:rsid w:val="00BA6A88"/>
    <w:rsid w:val="00BB1A9E"/>
    <w:rsid w:val="00BB3B54"/>
    <w:rsid w:val="00BB3BF2"/>
    <w:rsid w:val="00BB6312"/>
    <w:rsid w:val="00BC0B0A"/>
    <w:rsid w:val="00BC4D06"/>
    <w:rsid w:val="00BD585E"/>
    <w:rsid w:val="00BD6919"/>
    <w:rsid w:val="00BE1EA7"/>
    <w:rsid w:val="00BE3577"/>
    <w:rsid w:val="00BE7485"/>
    <w:rsid w:val="00BE7489"/>
    <w:rsid w:val="00BF2E0D"/>
    <w:rsid w:val="00BF3927"/>
    <w:rsid w:val="00BF3F8B"/>
    <w:rsid w:val="00BF76DA"/>
    <w:rsid w:val="00C0306A"/>
    <w:rsid w:val="00C07C7B"/>
    <w:rsid w:val="00C16245"/>
    <w:rsid w:val="00C22DC5"/>
    <w:rsid w:val="00C24479"/>
    <w:rsid w:val="00C273F2"/>
    <w:rsid w:val="00C308C3"/>
    <w:rsid w:val="00C31C5B"/>
    <w:rsid w:val="00C37B53"/>
    <w:rsid w:val="00C517D2"/>
    <w:rsid w:val="00C5772E"/>
    <w:rsid w:val="00C62B36"/>
    <w:rsid w:val="00C7012C"/>
    <w:rsid w:val="00C70688"/>
    <w:rsid w:val="00C712EA"/>
    <w:rsid w:val="00C9438B"/>
    <w:rsid w:val="00CA217D"/>
    <w:rsid w:val="00CB0299"/>
    <w:rsid w:val="00CC09D4"/>
    <w:rsid w:val="00CC668D"/>
    <w:rsid w:val="00CC7832"/>
    <w:rsid w:val="00CF0C1C"/>
    <w:rsid w:val="00CF27FD"/>
    <w:rsid w:val="00CF5F12"/>
    <w:rsid w:val="00D00D8F"/>
    <w:rsid w:val="00D21F3A"/>
    <w:rsid w:val="00D23808"/>
    <w:rsid w:val="00D3016A"/>
    <w:rsid w:val="00D349DB"/>
    <w:rsid w:val="00D37D9D"/>
    <w:rsid w:val="00D417D2"/>
    <w:rsid w:val="00D42960"/>
    <w:rsid w:val="00D43BD7"/>
    <w:rsid w:val="00D4485B"/>
    <w:rsid w:val="00D4708D"/>
    <w:rsid w:val="00D4744C"/>
    <w:rsid w:val="00D521DE"/>
    <w:rsid w:val="00D5470B"/>
    <w:rsid w:val="00D62DD6"/>
    <w:rsid w:val="00D63068"/>
    <w:rsid w:val="00D6498C"/>
    <w:rsid w:val="00D6526A"/>
    <w:rsid w:val="00D76A70"/>
    <w:rsid w:val="00D83182"/>
    <w:rsid w:val="00D8521E"/>
    <w:rsid w:val="00D9291C"/>
    <w:rsid w:val="00D93A97"/>
    <w:rsid w:val="00D949DB"/>
    <w:rsid w:val="00DB1F64"/>
    <w:rsid w:val="00DC2F53"/>
    <w:rsid w:val="00DC5BAC"/>
    <w:rsid w:val="00DC6816"/>
    <w:rsid w:val="00DC76C2"/>
    <w:rsid w:val="00DD1CF2"/>
    <w:rsid w:val="00DD4764"/>
    <w:rsid w:val="00DD6247"/>
    <w:rsid w:val="00DE2C77"/>
    <w:rsid w:val="00DE4484"/>
    <w:rsid w:val="00DF41B7"/>
    <w:rsid w:val="00DF496E"/>
    <w:rsid w:val="00DF4A4A"/>
    <w:rsid w:val="00DF583C"/>
    <w:rsid w:val="00E01A16"/>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761C6"/>
    <w:rsid w:val="00E81529"/>
    <w:rsid w:val="00E83A13"/>
    <w:rsid w:val="00E944DD"/>
    <w:rsid w:val="00EB23EA"/>
    <w:rsid w:val="00EB32CF"/>
    <w:rsid w:val="00EB6FC5"/>
    <w:rsid w:val="00EC2356"/>
    <w:rsid w:val="00EC2582"/>
    <w:rsid w:val="00EC337C"/>
    <w:rsid w:val="00ED0CFF"/>
    <w:rsid w:val="00ED31D2"/>
    <w:rsid w:val="00EE0DC9"/>
    <w:rsid w:val="00EE0EAC"/>
    <w:rsid w:val="00EE3322"/>
    <w:rsid w:val="00EE33CB"/>
    <w:rsid w:val="00F0061A"/>
    <w:rsid w:val="00F02834"/>
    <w:rsid w:val="00F04EEB"/>
    <w:rsid w:val="00F05467"/>
    <w:rsid w:val="00F055D2"/>
    <w:rsid w:val="00F07CD7"/>
    <w:rsid w:val="00F127E9"/>
    <w:rsid w:val="00F14B5D"/>
    <w:rsid w:val="00F17798"/>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B7D17"/>
    <w:rsid w:val="00FC140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YHEC table,Tabellengitternetz 9pt,Table Grid nm,Lash Style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table" w:customStyle="1" w:styleId="Keymessagesbox1">
    <w:name w:val="Key messages box1"/>
    <w:basedOn w:val="prastojilentel"/>
    <w:next w:val="Lentelstinklelis"/>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qFormat/>
    <w:locked/>
    <w:rsid w:val="00135175"/>
    <w:rPr>
      <w:sz w:val="24"/>
      <w:szCs w:val="24"/>
      <w:lang w:eastAsia="en-US"/>
    </w:rPr>
  </w:style>
  <w:style w:type="paragraph" w:styleId="prastasiniatinklio">
    <w:name w:val="Normal (Web)"/>
    <w:basedOn w:val="prastasis"/>
    <w:uiPriority w:val="99"/>
    <w:semiHidden/>
    <w:unhideWhenUsed/>
    <w:rsid w:val="00024DC2"/>
    <w:pPr>
      <w:spacing w:before="100" w:beforeAutospacing="1" w:after="100" w:afterAutospacing="1"/>
    </w:pPr>
    <w:rPr>
      <w:lang w:eastAsia="lt-LT"/>
    </w:rPr>
  </w:style>
  <w:style w:type="paragraph" w:customStyle="1" w:styleId="Tekstas">
    <w:name w:val="Tekstas"/>
    <w:basedOn w:val="prastasis"/>
    <w:link w:val="TekstasChar"/>
    <w:qFormat/>
    <w:rsid w:val="00024DC2"/>
    <w:pPr>
      <w:spacing w:after="120"/>
      <w:jc w:val="both"/>
    </w:pPr>
    <w:rPr>
      <w:color w:val="000000" w:themeColor="text1"/>
    </w:rPr>
  </w:style>
  <w:style w:type="character" w:customStyle="1" w:styleId="TekstasChar">
    <w:name w:val="Tekstas Char"/>
    <w:link w:val="Tekstas"/>
    <w:rsid w:val="00024DC2"/>
    <w:rPr>
      <w:color w:val="000000" w:themeColor="text1"/>
      <w:sz w:val="24"/>
      <w:szCs w:val="24"/>
      <w:lang w:eastAsia="en-US"/>
    </w:rPr>
  </w:style>
  <w:style w:type="character" w:styleId="Grietas">
    <w:name w:val="Strong"/>
    <w:basedOn w:val="Numatytasispastraiposriftas"/>
    <w:uiPriority w:val="22"/>
    <w:qFormat/>
    <w:rsid w:val="00024DC2"/>
    <w:rPr>
      <w:b/>
      <w:bCs/>
    </w:rPr>
  </w:style>
  <w:style w:type="table" w:styleId="1paprastojilentel">
    <w:name w:val="Plain Table 1"/>
    <w:basedOn w:val="prastojilentel"/>
    <w:rsid w:val="003700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181">
      <w:bodyDiv w:val="1"/>
      <w:marLeft w:val="0"/>
      <w:marRight w:val="0"/>
      <w:marTop w:val="0"/>
      <w:marBottom w:val="0"/>
      <w:divBdr>
        <w:top w:val="none" w:sz="0" w:space="0" w:color="auto"/>
        <w:left w:val="none" w:sz="0" w:space="0" w:color="auto"/>
        <w:bottom w:val="none" w:sz="0" w:space="0" w:color="auto"/>
        <w:right w:val="none" w:sz="0" w:space="0" w:color="auto"/>
      </w:divBdr>
    </w:div>
    <w:div w:id="38379958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71CB974354ABEA7000B0DAD931FF8"/>
        <w:category>
          <w:name w:val="Bendrosios nuostatos"/>
          <w:gallery w:val="placeholder"/>
        </w:category>
        <w:types>
          <w:type w:val="bbPlcHdr"/>
        </w:types>
        <w:behaviors>
          <w:behavior w:val="content"/>
        </w:behaviors>
        <w:guid w:val="{26097EF5-1164-440B-9FE6-5A3988B11125}"/>
      </w:docPartPr>
      <w:docPartBody>
        <w:p w:rsidR="00EC5C48" w:rsidRDefault="00EC5C48" w:rsidP="00EC5C48">
          <w:pPr>
            <w:pStyle w:val="CAD71CB974354ABEA7000B0DAD931FF8"/>
          </w:pPr>
          <w:r>
            <w:rPr>
              <w:rStyle w:val="Vietosrezervavimoenklotekstas"/>
            </w:rPr>
            <w:t>Click here to enter a date.</w:t>
          </w:r>
        </w:p>
      </w:docPartBody>
    </w:docPart>
    <w:docPart>
      <w:docPartPr>
        <w:name w:val="E5F21B96CB654D689EC337968C37008D"/>
        <w:category>
          <w:name w:val="Bendrosios nuostatos"/>
          <w:gallery w:val="placeholder"/>
        </w:category>
        <w:types>
          <w:type w:val="bbPlcHdr"/>
        </w:types>
        <w:behaviors>
          <w:behavior w:val="content"/>
        </w:behaviors>
        <w:guid w:val="{F3B6B8A3-F23E-457F-8643-6EC85D72F982}"/>
      </w:docPartPr>
      <w:docPartBody>
        <w:p w:rsidR="00EC5C48" w:rsidRDefault="00EC5C48" w:rsidP="00EC5C48">
          <w:pPr>
            <w:pStyle w:val="E5F21B96CB654D689EC337968C37008D"/>
          </w:pPr>
          <w:r>
            <w:rPr>
              <w:rStyle w:val="Vietosrezervavimoenklotekstas"/>
            </w:rPr>
            <w:t>Click here to enter a date.</w:t>
          </w:r>
        </w:p>
      </w:docPartBody>
    </w:docPart>
    <w:docPart>
      <w:docPartPr>
        <w:name w:val="723BB79678554A859DDACED0268726DC"/>
        <w:category>
          <w:name w:val="Bendrosios nuostatos"/>
          <w:gallery w:val="placeholder"/>
        </w:category>
        <w:types>
          <w:type w:val="bbPlcHdr"/>
        </w:types>
        <w:behaviors>
          <w:behavior w:val="content"/>
        </w:behaviors>
        <w:guid w:val="{85684D21-F855-44F0-901F-494776223388}"/>
      </w:docPartPr>
      <w:docPartBody>
        <w:p w:rsidR="00EC5C48" w:rsidRDefault="00EC5C48" w:rsidP="00EC5C48">
          <w:pPr>
            <w:pStyle w:val="723BB79678554A859DDACED0268726DC"/>
          </w:pPr>
          <w:r>
            <w:rPr>
              <w:rStyle w:val="Vietosrezervavimoenklotekstas"/>
            </w:rPr>
            <w:t>Click here to enter a date.</w:t>
          </w:r>
        </w:p>
      </w:docPartBody>
    </w:docPart>
    <w:docPart>
      <w:docPartPr>
        <w:name w:val="54D1B5F368B64CA3B7AA6C00369B69BE"/>
        <w:category>
          <w:name w:val="Bendrosios nuostatos"/>
          <w:gallery w:val="placeholder"/>
        </w:category>
        <w:types>
          <w:type w:val="bbPlcHdr"/>
        </w:types>
        <w:behaviors>
          <w:behavior w:val="content"/>
        </w:behaviors>
        <w:guid w:val="{D8FC4954-423A-4A0F-ACD8-42B80C6EC028}"/>
      </w:docPartPr>
      <w:docPartBody>
        <w:p w:rsidR="00EC5C48" w:rsidRDefault="00EC5C48" w:rsidP="00EC5C48">
          <w:pPr>
            <w:pStyle w:val="54D1B5F368B64CA3B7AA6C00369B69B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6FE9"/>
    <w:rsid w:val="000503A3"/>
    <w:rsid w:val="00061157"/>
    <w:rsid w:val="000937FE"/>
    <w:rsid w:val="000A559A"/>
    <w:rsid w:val="000D24D4"/>
    <w:rsid w:val="000F6366"/>
    <w:rsid w:val="0012372F"/>
    <w:rsid w:val="001A63FE"/>
    <w:rsid w:val="001C35A9"/>
    <w:rsid w:val="001F640C"/>
    <w:rsid w:val="00237556"/>
    <w:rsid w:val="00241A50"/>
    <w:rsid w:val="002850A2"/>
    <w:rsid w:val="00336BA1"/>
    <w:rsid w:val="0039303B"/>
    <w:rsid w:val="00393DCF"/>
    <w:rsid w:val="004144A3"/>
    <w:rsid w:val="004160E7"/>
    <w:rsid w:val="004416C6"/>
    <w:rsid w:val="00450728"/>
    <w:rsid w:val="004A605F"/>
    <w:rsid w:val="004D33EE"/>
    <w:rsid w:val="004F5AB2"/>
    <w:rsid w:val="005074B9"/>
    <w:rsid w:val="00553359"/>
    <w:rsid w:val="005627DC"/>
    <w:rsid w:val="005B5E7A"/>
    <w:rsid w:val="005E40DD"/>
    <w:rsid w:val="006F1352"/>
    <w:rsid w:val="007219C1"/>
    <w:rsid w:val="00753462"/>
    <w:rsid w:val="007556F5"/>
    <w:rsid w:val="00772325"/>
    <w:rsid w:val="007A2FE0"/>
    <w:rsid w:val="007C6D1D"/>
    <w:rsid w:val="008677A7"/>
    <w:rsid w:val="0090074D"/>
    <w:rsid w:val="009638A8"/>
    <w:rsid w:val="009B3BF0"/>
    <w:rsid w:val="009D5E5E"/>
    <w:rsid w:val="009F1BB4"/>
    <w:rsid w:val="00A6763E"/>
    <w:rsid w:val="00AB6ED4"/>
    <w:rsid w:val="00AF79B9"/>
    <w:rsid w:val="00B14210"/>
    <w:rsid w:val="00B23DC0"/>
    <w:rsid w:val="00B33701"/>
    <w:rsid w:val="00B43334"/>
    <w:rsid w:val="00B96656"/>
    <w:rsid w:val="00BB3BF2"/>
    <w:rsid w:val="00BC4B41"/>
    <w:rsid w:val="00BE29C1"/>
    <w:rsid w:val="00C2401D"/>
    <w:rsid w:val="00C332DD"/>
    <w:rsid w:val="00C53A68"/>
    <w:rsid w:val="00CA5BB4"/>
    <w:rsid w:val="00CA7279"/>
    <w:rsid w:val="00CB4BD1"/>
    <w:rsid w:val="00CE2DA9"/>
    <w:rsid w:val="00CE44BE"/>
    <w:rsid w:val="00CF7D5F"/>
    <w:rsid w:val="00D4356B"/>
    <w:rsid w:val="00D6526A"/>
    <w:rsid w:val="00D7162F"/>
    <w:rsid w:val="00D85637"/>
    <w:rsid w:val="00D949DB"/>
    <w:rsid w:val="00DE2C77"/>
    <w:rsid w:val="00E44A86"/>
    <w:rsid w:val="00E522EB"/>
    <w:rsid w:val="00E60827"/>
    <w:rsid w:val="00E73FF6"/>
    <w:rsid w:val="00E761C6"/>
    <w:rsid w:val="00E944DD"/>
    <w:rsid w:val="00EC5C48"/>
    <w:rsid w:val="00EE0DC9"/>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C5C48"/>
    <w:rPr>
      <w:color w:val="808080"/>
    </w:rPr>
  </w:style>
  <w:style w:type="paragraph" w:customStyle="1" w:styleId="CAD71CB974354ABEA7000B0DAD931FF8">
    <w:name w:val="CAD71CB974354ABEA7000B0DAD931FF8"/>
    <w:rsid w:val="00EC5C48"/>
    <w:pPr>
      <w:spacing w:line="278" w:lineRule="auto"/>
    </w:pPr>
    <w:rPr>
      <w:kern w:val="2"/>
      <w:sz w:val="24"/>
      <w:szCs w:val="24"/>
      <w14:ligatures w14:val="standardContextual"/>
    </w:rPr>
  </w:style>
  <w:style w:type="paragraph" w:customStyle="1" w:styleId="E5F21B96CB654D689EC337968C37008D">
    <w:name w:val="E5F21B96CB654D689EC337968C37008D"/>
    <w:rsid w:val="00EC5C48"/>
    <w:pPr>
      <w:spacing w:line="278" w:lineRule="auto"/>
    </w:pPr>
    <w:rPr>
      <w:kern w:val="2"/>
      <w:sz w:val="24"/>
      <w:szCs w:val="24"/>
      <w14:ligatures w14:val="standardContextual"/>
    </w:rPr>
  </w:style>
  <w:style w:type="paragraph" w:customStyle="1" w:styleId="723BB79678554A859DDACED0268726DC">
    <w:name w:val="723BB79678554A859DDACED0268726DC"/>
    <w:rsid w:val="00EC5C48"/>
    <w:pPr>
      <w:spacing w:line="278" w:lineRule="auto"/>
    </w:pPr>
    <w:rPr>
      <w:kern w:val="2"/>
      <w:sz w:val="24"/>
      <w:szCs w:val="24"/>
      <w14:ligatures w14:val="standardContextual"/>
    </w:rPr>
  </w:style>
  <w:style w:type="paragraph" w:customStyle="1" w:styleId="54D1B5F368B64CA3B7AA6C00369B69BE">
    <w:name w:val="54D1B5F368B64CA3B7AA6C00369B69BE"/>
    <w:rsid w:val="00EC5C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17625</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2025-08-25T07:01:00Z</dcterms:created>
  <dcterms:modified xsi:type="dcterms:W3CDTF">2025-08-25T07:08:00Z</dcterms:modified>
</cp:coreProperties>
</file>