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62156074" w14:textId="258069D0" w:rsidR="00075379" w:rsidRPr="0089522B" w:rsidRDefault="0089522B" w:rsidP="00075379">
      <w:pPr>
        <w:jc w:val="center"/>
        <w:rPr>
          <w:b/>
          <w:bCs/>
        </w:rPr>
      </w:pPr>
      <w:r w:rsidRPr="0089522B">
        <w:rPr>
          <w:b/>
          <w:bCs/>
        </w:rPr>
        <w:t>Elahere</w:t>
      </w:r>
      <w:r w:rsidR="00075379" w:rsidRPr="0089522B">
        <w:rPr>
          <w:b/>
          <w:bCs/>
        </w:rPr>
        <w:t xml:space="preserve"> 5 mg/ml</w:t>
      </w:r>
      <w:r w:rsidRPr="0089522B">
        <w:rPr>
          <w:b/>
          <w:bCs/>
        </w:rPr>
        <w:t xml:space="preserve"> </w:t>
      </w:r>
      <w:r w:rsidR="00075379" w:rsidRPr="0089522B">
        <w:rPr>
          <w:b/>
          <w:bCs/>
        </w:rPr>
        <w:t>koncentratas infuziniam tirpalui</w:t>
      </w:r>
    </w:p>
    <w:p w14:paraId="394035AD" w14:textId="77777777" w:rsidR="0089522B" w:rsidRDefault="00075379" w:rsidP="00075379">
      <w:pPr>
        <w:jc w:val="center"/>
        <w:rPr>
          <w:b/>
          <w:bCs/>
        </w:rPr>
      </w:pPr>
      <w:r w:rsidRPr="0089522B">
        <w:rPr>
          <w:b/>
          <w:bCs/>
        </w:rPr>
        <w:t xml:space="preserve"> </w:t>
      </w:r>
    </w:p>
    <w:p w14:paraId="60B16EA6" w14:textId="3FEB198E" w:rsidR="00075379" w:rsidRPr="002978D5" w:rsidRDefault="0089522B" w:rsidP="00075379">
      <w:pPr>
        <w:jc w:val="center"/>
      </w:pPr>
      <w:r w:rsidRPr="002978D5">
        <w:rPr>
          <w:b/>
        </w:rPr>
        <w:t>Mirvetuksimabas soravtansinas</w:t>
      </w:r>
    </w:p>
    <w:p w14:paraId="7245D69E" w14:textId="77777777" w:rsidR="00937907" w:rsidRPr="00E33EFF" w:rsidRDefault="00937907" w:rsidP="00937907">
      <w:pPr>
        <w:jc w:val="center"/>
      </w:pPr>
    </w:p>
    <w:p w14:paraId="5BC2EA5D" w14:textId="1C1D611E" w:rsidR="00937907" w:rsidRPr="00E33EFF" w:rsidRDefault="00937907" w:rsidP="003B211A">
      <w:pPr>
        <w:jc w:val="center"/>
        <w:rPr>
          <w:b/>
        </w:rPr>
      </w:pPr>
      <w:r w:rsidRPr="00E33EFF">
        <w:rPr>
          <w:b/>
        </w:rPr>
        <w:t>Paraiškos numeris</w:t>
      </w:r>
      <w:r w:rsidR="002D002B">
        <w:rPr>
          <w:b/>
        </w:rPr>
        <w:t xml:space="preserve"> STV-225</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333201" w:rsidRPr="00E33EFF" w14:paraId="18A83EC2" w14:textId="77777777" w:rsidTr="00BE7489">
        <w:trPr>
          <w:trHeight w:val="538"/>
        </w:trPr>
        <w:tc>
          <w:tcPr>
            <w:tcW w:w="632" w:type="dxa"/>
          </w:tcPr>
          <w:p w14:paraId="0646FBEA" w14:textId="77777777" w:rsidR="00333201" w:rsidRPr="00E33EFF" w:rsidRDefault="00333201" w:rsidP="00333201">
            <w:pPr>
              <w:rPr>
                <w:rFonts w:eastAsia="Arial"/>
              </w:rPr>
            </w:pPr>
            <w:r w:rsidRPr="00E33EFF">
              <w:rPr>
                <w:rFonts w:eastAsia="Arial"/>
              </w:rPr>
              <w:t>1.1</w:t>
            </w:r>
          </w:p>
        </w:tc>
        <w:tc>
          <w:tcPr>
            <w:tcW w:w="3694" w:type="dxa"/>
          </w:tcPr>
          <w:p w14:paraId="6C3AE864" w14:textId="77777777" w:rsidR="00333201" w:rsidRPr="00E33EFF" w:rsidRDefault="00333201" w:rsidP="00333201">
            <w:pPr>
              <w:rPr>
                <w:rFonts w:eastAsia="Arial"/>
              </w:rPr>
            </w:pPr>
            <w:r w:rsidRPr="00E33EFF">
              <w:rPr>
                <w:rFonts w:eastAsia="Arial"/>
              </w:rPr>
              <w:t>Pareiškėjas</w:t>
            </w:r>
          </w:p>
          <w:p w14:paraId="2AF240DC" w14:textId="77777777" w:rsidR="00333201" w:rsidRPr="00E33EFF" w:rsidRDefault="00333201" w:rsidP="00333201">
            <w:pPr>
              <w:rPr>
                <w:rFonts w:eastAsia="Arial"/>
              </w:rPr>
            </w:pPr>
          </w:p>
        </w:tc>
        <w:tc>
          <w:tcPr>
            <w:tcW w:w="5167" w:type="dxa"/>
          </w:tcPr>
          <w:p w14:paraId="2AAF0D91" w14:textId="3A8FE68C" w:rsidR="00333201" w:rsidRPr="00E33EFF" w:rsidRDefault="00333201" w:rsidP="00333201">
            <w:pPr>
              <w:rPr>
                <w:rFonts w:eastAsia="Arial"/>
              </w:rPr>
            </w:pPr>
            <w:r w:rsidRPr="00E211F7">
              <w:t>UAB „AbbVie“</w:t>
            </w:r>
          </w:p>
        </w:tc>
      </w:tr>
      <w:tr w:rsidR="00333201" w:rsidRPr="00E33EFF" w14:paraId="31998B0D" w14:textId="77777777" w:rsidTr="00BE7489">
        <w:trPr>
          <w:trHeight w:val="538"/>
        </w:trPr>
        <w:tc>
          <w:tcPr>
            <w:tcW w:w="632" w:type="dxa"/>
          </w:tcPr>
          <w:p w14:paraId="2005EC67" w14:textId="662300D0" w:rsidR="00333201" w:rsidRPr="00E33EFF" w:rsidRDefault="00333201" w:rsidP="00333201">
            <w:pPr>
              <w:rPr>
                <w:rFonts w:eastAsia="Arial"/>
              </w:rPr>
            </w:pPr>
            <w:r w:rsidRPr="00E33EFF">
              <w:rPr>
                <w:rFonts w:eastAsia="Arial"/>
              </w:rPr>
              <w:t>1.2</w:t>
            </w:r>
          </w:p>
        </w:tc>
        <w:tc>
          <w:tcPr>
            <w:tcW w:w="3694" w:type="dxa"/>
          </w:tcPr>
          <w:p w14:paraId="1E4AE3B1" w14:textId="77777777" w:rsidR="00333201" w:rsidRPr="00E33EFF" w:rsidRDefault="00333201" w:rsidP="00333201">
            <w:pPr>
              <w:rPr>
                <w:bCs/>
                <w:color w:val="000000"/>
                <w:lang w:eastAsia="lt-LT"/>
              </w:rPr>
            </w:pPr>
            <w:r w:rsidRPr="00E33EFF">
              <w:rPr>
                <w:bCs/>
                <w:color w:val="000000"/>
                <w:lang w:eastAsia="lt-LT"/>
              </w:rPr>
              <w:t xml:space="preserve">Registracijos data </w:t>
            </w:r>
          </w:p>
          <w:p w14:paraId="3A0DC096" w14:textId="77777777" w:rsidR="00333201" w:rsidRPr="00E33EFF" w:rsidRDefault="00333201" w:rsidP="00333201">
            <w:pPr>
              <w:rPr>
                <w:bCs/>
                <w:color w:val="000000"/>
                <w:lang w:eastAsia="lt-LT"/>
              </w:rPr>
            </w:pPr>
          </w:p>
        </w:tc>
        <w:tc>
          <w:tcPr>
            <w:tcW w:w="5167" w:type="dxa"/>
          </w:tcPr>
          <w:p w14:paraId="3CA218AD" w14:textId="4B6E98D3" w:rsidR="00333201" w:rsidRPr="00E33EFF" w:rsidRDefault="003B55E9" w:rsidP="00333201">
            <w:pPr>
              <w:rPr>
                <w:rStyle w:val="Style2"/>
              </w:rPr>
            </w:pPr>
            <w:sdt>
              <w:sdtPr>
                <w:rPr>
                  <w:sz w:val="32"/>
                </w:rPr>
                <w:alias w:val="Nurodykite konkrečią dieną"/>
                <w:tag w:val="Nurodykite pradžios datą"/>
                <w:id w:val="423238108"/>
                <w:placeholder>
                  <w:docPart w:val="8F2A6EA150044A1CB4EC3C06D702A663"/>
                </w:placeholder>
                <w15:color w:val="FFCC99"/>
                <w:date w:fullDate="2024-11-14T00:00:00Z">
                  <w:dateFormat w:val="yyyy 'm.' MMMM d 'd.'"/>
                  <w:lid w:val="lt-LT"/>
                  <w:storeMappedDataAs w:val="dateTime"/>
                  <w:calendar w:val="gregorian"/>
                </w:date>
              </w:sdtPr>
              <w:sdtEndPr/>
              <w:sdtContent>
                <w:r w:rsidR="00333201" w:rsidRPr="001A33BC">
                  <w:t>2024 m. lapkričio 14 d.</w:t>
                </w:r>
              </w:sdtContent>
            </w:sdt>
          </w:p>
        </w:tc>
      </w:tr>
      <w:tr w:rsidR="00333201" w:rsidRPr="00E33EFF" w14:paraId="15968AE1" w14:textId="77777777" w:rsidTr="00BE7489">
        <w:trPr>
          <w:trHeight w:val="1500"/>
        </w:trPr>
        <w:tc>
          <w:tcPr>
            <w:tcW w:w="632" w:type="dxa"/>
          </w:tcPr>
          <w:p w14:paraId="6A784245" w14:textId="1E461489" w:rsidR="00333201" w:rsidRPr="00E33EFF" w:rsidRDefault="00333201" w:rsidP="00333201">
            <w:pPr>
              <w:rPr>
                <w:rFonts w:eastAsia="Arial"/>
              </w:rPr>
            </w:pPr>
            <w:r w:rsidRPr="00E33EFF">
              <w:rPr>
                <w:rFonts w:eastAsia="Arial"/>
              </w:rPr>
              <w:t>1.3</w:t>
            </w:r>
          </w:p>
        </w:tc>
        <w:tc>
          <w:tcPr>
            <w:tcW w:w="3694" w:type="dxa"/>
          </w:tcPr>
          <w:p w14:paraId="22933506" w14:textId="77777777" w:rsidR="00333201" w:rsidRPr="00E33EFF" w:rsidRDefault="00333201" w:rsidP="00333201">
            <w:r w:rsidRPr="00E33EFF">
              <w:t xml:space="preserve">Paraiškos tipas </w:t>
            </w:r>
          </w:p>
          <w:p w14:paraId="0465E680" w14:textId="3D64DC48" w:rsidR="00333201" w:rsidRPr="00E33EFF" w:rsidRDefault="00333201" w:rsidP="00333201">
            <w:r w:rsidRPr="00E33EFF">
              <w:t xml:space="preserve">(pagal </w:t>
            </w:r>
            <w:r w:rsidRPr="00E33EFF">
              <w:rPr>
                <w:color w:val="333333"/>
                <w:shd w:val="clear" w:color="auto" w:fill="FFFFFF"/>
              </w:rPr>
              <w:t>vaistinio preparato registracijos tipą, įtvirtintą</w:t>
            </w:r>
            <w:r w:rsidRPr="00E33EFF">
              <w:t xml:space="preserve"> Direktyvos 2001/83/EB </w:t>
            </w:r>
            <w:r w:rsidR="00787D63" w:rsidRPr="00E33EFF">
              <w:t>straipsniuose</w:t>
            </w:r>
            <w:r w:rsidRPr="00E33EFF">
              <w:t>)</w:t>
            </w:r>
          </w:p>
          <w:p w14:paraId="77089D80" w14:textId="6681D72A" w:rsidR="00333201" w:rsidRPr="00E33EFF" w:rsidRDefault="00333201" w:rsidP="00333201">
            <w:pPr>
              <w:rPr>
                <w:bCs/>
                <w:color w:val="000000"/>
                <w:lang w:eastAsia="lt-LT"/>
              </w:rPr>
            </w:pPr>
          </w:p>
        </w:tc>
        <w:tc>
          <w:tcPr>
            <w:tcW w:w="5167" w:type="dxa"/>
          </w:tcPr>
          <w:p w14:paraId="68795313" w14:textId="77777777" w:rsidR="00333201" w:rsidRPr="002978D5" w:rsidRDefault="003B55E9" w:rsidP="00333201">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333201" w:rsidRPr="002978D5">
                  <w:rPr>
                    <w:rStyle w:val="Style2"/>
                    <w:rFonts w:ascii="MS Gothic" w:eastAsia="MS Gothic" w:hAnsi="MS Gothic"/>
                  </w:rPr>
                  <w:t>☒</w:t>
                </w:r>
              </w:sdtContent>
            </w:sdt>
            <w:r w:rsidR="00333201" w:rsidRPr="002978D5">
              <w:t xml:space="preserve"> 8.3 str. (pilna byla, pagrįsta savais tyrimais) </w:t>
            </w:r>
          </w:p>
          <w:p w14:paraId="1174DF84" w14:textId="77777777" w:rsidR="00333201" w:rsidRPr="002978D5" w:rsidRDefault="003B55E9" w:rsidP="00333201">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333201" w:rsidRPr="002978D5">
                  <w:rPr>
                    <w:rStyle w:val="Style2"/>
                    <w:rFonts w:ascii="Segoe UI Symbol" w:eastAsia="MS Gothic" w:hAnsi="Segoe UI Symbol" w:cs="Segoe UI Symbol"/>
                  </w:rPr>
                  <w:t>☐</w:t>
                </w:r>
              </w:sdtContent>
            </w:sdt>
            <w:r w:rsidR="00333201" w:rsidRPr="002978D5">
              <w:t xml:space="preserve"> 10 a str. (pripažintas medicininis vartojimas) </w:t>
            </w:r>
          </w:p>
          <w:p w14:paraId="4BAF75BD" w14:textId="77777777" w:rsidR="00333201" w:rsidRPr="002978D5" w:rsidRDefault="003B55E9" w:rsidP="00333201">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333201" w:rsidRPr="002978D5">
                  <w:rPr>
                    <w:rStyle w:val="Style2"/>
                    <w:rFonts w:ascii="MS Gothic" w:eastAsia="MS Gothic" w:hAnsi="MS Gothic"/>
                  </w:rPr>
                  <w:t>☐</w:t>
                </w:r>
              </w:sdtContent>
            </w:sdt>
            <w:r w:rsidR="00333201" w:rsidRPr="002978D5">
              <w:t xml:space="preserve"> 10.1 str. (generinis)</w:t>
            </w:r>
          </w:p>
          <w:p w14:paraId="3B0A4F72" w14:textId="2544A2A3" w:rsidR="00333201" w:rsidRPr="00E33EFF" w:rsidRDefault="003B55E9" w:rsidP="00333201">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333201" w:rsidRPr="002978D5">
                  <w:rPr>
                    <w:rStyle w:val="Style2"/>
                    <w:rFonts w:ascii="Segoe UI Symbol" w:eastAsia="MS Gothic" w:hAnsi="Segoe UI Symbol" w:cs="Segoe UI Symbol"/>
                  </w:rPr>
                  <w:t>☐</w:t>
                </w:r>
              </w:sdtContent>
            </w:sdt>
            <w:r w:rsidR="00333201" w:rsidRPr="002978D5">
              <w:t xml:space="preserve"> 10.3 str. (hibridinis)</w:t>
            </w:r>
          </w:p>
        </w:tc>
      </w:tr>
      <w:tr w:rsidR="00A17E7F" w:rsidRPr="00E33EFF" w14:paraId="310E9662" w14:textId="77777777" w:rsidTr="00BE7489">
        <w:trPr>
          <w:trHeight w:val="1442"/>
        </w:trPr>
        <w:tc>
          <w:tcPr>
            <w:tcW w:w="632" w:type="dxa"/>
          </w:tcPr>
          <w:p w14:paraId="4B5A91A2" w14:textId="561B5E5F" w:rsidR="00A17E7F" w:rsidRPr="00E33EFF" w:rsidRDefault="00A17E7F" w:rsidP="00A17E7F">
            <w:pPr>
              <w:rPr>
                <w:rFonts w:eastAsia="Arial"/>
              </w:rPr>
            </w:pPr>
            <w:r w:rsidRPr="00E33EFF">
              <w:rPr>
                <w:rFonts w:eastAsia="Arial"/>
              </w:rPr>
              <w:t>1.4</w:t>
            </w:r>
          </w:p>
        </w:tc>
        <w:tc>
          <w:tcPr>
            <w:tcW w:w="3694" w:type="dxa"/>
          </w:tcPr>
          <w:p w14:paraId="6C91E105" w14:textId="77777777" w:rsidR="00A17E7F" w:rsidRPr="00E33EFF" w:rsidRDefault="00A17E7F" w:rsidP="00A17E7F">
            <w:pPr>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A17E7F" w:rsidRPr="00E33EFF" w:rsidRDefault="00A17E7F" w:rsidP="00A17E7F">
            <w:pPr>
              <w:rPr>
                <w:bCs/>
                <w:i/>
                <w:color w:val="000000"/>
                <w:lang w:eastAsia="lt-LT"/>
              </w:rPr>
            </w:pPr>
          </w:p>
          <w:p w14:paraId="483071A3" w14:textId="771B5DF0" w:rsidR="00A17E7F" w:rsidRPr="00E33EFF" w:rsidRDefault="00A17E7F" w:rsidP="00A17E7F">
            <w:pPr>
              <w:rPr>
                <w:bCs/>
                <w:color w:val="000000"/>
                <w:lang w:eastAsia="lt-LT"/>
              </w:rPr>
            </w:pPr>
          </w:p>
        </w:tc>
        <w:tc>
          <w:tcPr>
            <w:tcW w:w="5167" w:type="dxa"/>
          </w:tcPr>
          <w:p w14:paraId="57C59AF4" w14:textId="00D0C6B3" w:rsidR="00A17E7F" w:rsidRPr="002978D5" w:rsidRDefault="003B55E9" w:rsidP="00A17E7F">
            <w:sdt>
              <w:sdtPr>
                <w:rPr>
                  <w:rStyle w:val="Style2"/>
                </w:rPr>
                <w:id w:val="2024432173"/>
                <w15:color w:val="FFCC00"/>
                <w14:checkbox>
                  <w14:checked w14:val="1"/>
                  <w14:checkedState w14:val="2612" w14:font="MS Gothic"/>
                  <w14:uncheckedState w14:val="2610" w14:font="MS Gothic"/>
                </w14:checkbox>
              </w:sdtPr>
              <w:sdtEndPr>
                <w:rPr>
                  <w:rStyle w:val="Style2"/>
                </w:rPr>
              </w:sdtEndPr>
              <w:sdtContent>
                <w:r w:rsidR="0022538E">
                  <w:rPr>
                    <w:rStyle w:val="Style2"/>
                    <w:rFonts w:ascii="MS Gothic" w:eastAsia="MS Gothic" w:hAnsi="MS Gothic" w:hint="eastAsia"/>
                  </w:rPr>
                  <w:t>☒</w:t>
                </w:r>
              </w:sdtContent>
            </w:sdt>
            <w:r w:rsidR="00A17E7F" w:rsidRPr="002978D5">
              <w:t xml:space="preserve"> Taip</w:t>
            </w:r>
          </w:p>
          <w:p w14:paraId="52D669E4" w14:textId="77777777" w:rsidR="00A17E7F" w:rsidRPr="002978D5" w:rsidRDefault="003B55E9" w:rsidP="00A17E7F">
            <w:sdt>
              <w:sdtPr>
                <w:rPr>
                  <w:rStyle w:val="Style2"/>
                </w:rPr>
                <w:id w:val="-970507926"/>
                <w15:color w:val="FFCC00"/>
                <w14:checkbox>
                  <w14:checked w14:val="0"/>
                  <w14:checkedState w14:val="2612" w14:font="MS Gothic"/>
                  <w14:uncheckedState w14:val="2610" w14:font="MS Gothic"/>
                </w14:checkbox>
              </w:sdtPr>
              <w:sdtEndPr>
                <w:rPr>
                  <w:rStyle w:val="Style2"/>
                </w:rPr>
              </w:sdtEndPr>
              <w:sdtContent>
                <w:r w:rsidR="00A17E7F" w:rsidRPr="002978D5">
                  <w:rPr>
                    <w:rStyle w:val="Style2"/>
                    <w:rFonts w:ascii="MS Gothic" w:eastAsia="MS Gothic" w:hAnsi="MS Gothic"/>
                  </w:rPr>
                  <w:t>☐</w:t>
                </w:r>
              </w:sdtContent>
            </w:sdt>
            <w:r w:rsidR="00A17E7F" w:rsidRPr="002978D5">
              <w:t xml:space="preserve"> Ne</w:t>
            </w:r>
          </w:p>
          <w:p w14:paraId="06A93536" w14:textId="77777777" w:rsidR="00A17E7F" w:rsidRPr="002978D5" w:rsidRDefault="003B55E9" w:rsidP="00A17E7F">
            <w:sdt>
              <w:sdtPr>
                <w:alias w:val="Nurodykite konkrečią dieną"/>
                <w:tag w:val="Nurodykite pradžios datą"/>
                <w:id w:val="693498901"/>
                <w:placeholder>
                  <w:docPart w:val="FF29373013254FD9B5BF09E30473E983"/>
                </w:placeholder>
                <w15:color w:val="FFCC99"/>
                <w:date w:fullDate="2024-11-15T00:00:00Z">
                  <w:dateFormat w:val="yyyy 'm.' MMMM d 'd.'"/>
                  <w:lid w:val="lt-LT"/>
                  <w:storeMappedDataAs w:val="dateTime"/>
                  <w:calendar w:val="gregorian"/>
                </w:date>
              </w:sdtPr>
              <w:sdtEndPr/>
              <w:sdtContent>
                <w:r w:rsidR="00A17E7F" w:rsidRPr="002978D5">
                  <w:t>2024 m. lapkričio 15 d.</w:t>
                </w:r>
              </w:sdtContent>
            </w:sdt>
          </w:p>
          <w:p w14:paraId="29C2CBBB" w14:textId="246B02E1" w:rsidR="00A17E7F" w:rsidRPr="0089522B" w:rsidRDefault="00A17E7F" w:rsidP="00A17E7F">
            <w:pPr>
              <w:rPr>
                <w:rFonts w:eastAsia="Arial"/>
              </w:rPr>
            </w:pPr>
            <w:hyperlink r:id="rId8" w:history="1">
              <w:r w:rsidRPr="0089522B">
                <w:rPr>
                  <w:rStyle w:val="Hyperlink"/>
                  <w:rFonts w:eastAsia="Arial"/>
                  <w:color w:val="auto"/>
                  <w:u w:val="none"/>
                </w:rPr>
                <w:t>EU/3/15/1458</w:t>
              </w:r>
            </w:hyperlink>
          </w:p>
        </w:tc>
      </w:tr>
      <w:tr w:rsidR="00A17E7F" w:rsidRPr="00E33EFF" w14:paraId="7841E5F8" w14:textId="77777777" w:rsidTr="00BE7489">
        <w:trPr>
          <w:trHeight w:val="476"/>
        </w:trPr>
        <w:tc>
          <w:tcPr>
            <w:tcW w:w="632" w:type="dxa"/>
          </w:tcPr>
          <w:p w14:paraId="109D2861" w14:textId="73BF27DF" w:rsidR="00A17E7F" w:rsidRPr="00E33EFF" w:rsidRDefault="00A17E7F" w:rsidP="00A17E7F">
            <w:pPr>
              <w:rPr>
                <w:rFonts w:eastAsia="Arial"/>
              </w:rPr>
            </w:pPr>
            <w:r w:rsidRPr="00E33EFF">
              <w:rPr>
                <w:rFonts w:eastAsia="Arial"/>
              </w:rPr>
              <w:t>1.5</w:t>
            </w:r>
          </w:p>
        </w:tc>
        <w:tc>
          <w:tcPr>
            <w:tcW w:w="3694" w:type="dxa"/>
          </w:tcPr>
          <w:p w14:paraId="7822D63E" w14:textId="68C38334" w:rsidR="00A17E7F" w:rsidRPr="00E33EFF" w:rsidRDefault="00A17E7F" w:rsidP="00A17E7F">
            <w:pPr>
              <w:rPr>
                <w:bCs/>
                <w:color w:val="000000"/>
                <w:lang w:eastAsia="lt-LT"/>
              </w:rPr>
            </w:pPr>
            <w:r w:rsidRPr="00E33EFF">
              <w:t>STV paraiškos pobūdis</w:t>
            </w:r>
          </w:p>
        </w:tc>
        <w:tc>
          <w:tcPr>
            <w:tcW w:w="5167" w:type="dxa"/>
          </w:tcPr>
          <w:p w14:paraId="39B78C0A" w14:textId="77777777" w:rsidR="00A17E7F" w:rsidRPr="002978D5" w:rsidRDefault="003B55E9" w:rsidP="00A17E7F">
            <w:sdt>
              <w:sdtPr>
                <w:rPr>
                  <w:rStyle w:val="Style2"/>
                </w:rPr>
                <w:id w:val="-468433535"/>
                <w15:color w:val="FFCC00"/>
                <w14:checkbox>
                  <w14:checked w14:val="1"/>
                  <w14:checkedState w14:val="2612" w14:font="MS Gothic"/>
                  <w14:uncheckedState w14:val="2610" w14:font="MS Gothic"/>
                </w14:checkbox>
              </w:sdtPr>
              <w:sdtEndPr>
                <w:rPr>
                  <w:rStyle w:val="Style2"/>
                </w:rPr>
              </w:sdtEndPr>
              <w:sdtContent>
                <w:r w:rsidR="00A17E7F" w:rsidRPr="002978D5">
                  <w:rPr>
                    <w:rStyle w:val="Style2"/>
                    <w:rFonts w:ascii="MS Gothic" w:eastAsia="MS Gothic" w:hAnsi="MS Gothic"/>
                  </w:rPr>
                  <w:t>☒</w:t>
                </w:r>
              </w:sdtContent>
            </w:sdt>
            <w:r w:rsidR="00A17E7F" w:rsidRPr="002978D5">
              <w:t xml:space="preserve"> Pilna paraiška</w:t>
            </w:r>
          </w:p>
          <w:p w14:paraId="6B8213E3" w14:textId="51843698" w:rsidR="00A17E7F" w:rsidRPr="00E33EFF" w:rsidRDefault="003B55E9" w:rsidP="00A17E7F">
            <w:sdt>
              <w:sdtPr>
                <w:rPr>
                  <w:rStyle w:val="Style2"/>
                </w:rPr>
                <w:id w:val="-1489014904"/>
                <w15:color w:val="FFCC00"/>
                <w14:checkbox>
                  <w14:checked w14:val="0"/>
                  <w14:checkedState w14:val="2612" w14:font="MS Gothic"/>
                  <w14:uncheckedState w14:val="2610" w14:font="MS Gothic"/>
                </w14:checkbox>
              </w:sdtPr>
              <w:sdtEndPr>
                <w:rPr>
                  <w:rStyle w:val="Style2"/>
                </w:rPr>
              </w:sdtEndPr>
              <w:sdtContent>
                <w:r w:rsidR="00A17E7F" w:rsidRPr="002978D5">
                  <w:rPr>
                    <w:rStyle w:val="Style2"/>
                    <w:rFonts w:ascii="MS Gothic" w:eastAsia="MS Gothic" w:hAnsi="MS Gothic"/>
                  </w:rPr>
                  <w:t>☐</w:t>
                </w:r>
              </w:sdtContent>
            </w:sdt>
            <w:r w:rsidR="00A17E7F" w:rsidRPr="002978D5">
              <w:t xml:space="preserve"> Supaprastinta paraiška</w:t>
            </w:r>
          </w:p>
        </w:tc>
      </w:tr>
      <w:tr w:rsidR="00A17E7F" w:rsidRPr="00E33EFF" w14:paraId="274D1DAF" w14:textId="77777777" w:rsidTr="009E6032">
        <w:trPr>
          <w:trHeight w:val="416"/>
        </w:trPr>
        <w:tc>
          <w:tcPr>
            <w:tcW w:w="632" w:type="dxa"/>
          </w:tcPr>
          <w:p w14:paraId="17ABF217" w14:textId="14AC00D7" w:rsidR="00A17E7F" w:rsidRPr="00E33EFF" w:rsidRDefault="00A17E7F" w:rsidP="00A17E7F">
            <w:pPr>
              <w:rPr>
                <w:rFonts w:eastAsia="Arial"/>
              </w:rPr>
            </w:pPr>
            <w:r w:rsidRPr="00E33EFF">
              <w:rPr>
                <w:rFonts w:eastAsia="Arial"/>
              </w:rPr>
              <w:t>1.6</w:t>
            </w:r>
          </w:p>
        </w:tc>
        <w:tc>
          <w:tcPr>
            <w:tcW w:w="3694" w:type="dxa"/>
          </w:tcPr>
          <w:p w14:paraId="4D49DBF5" w14:textId="77777777" w:rsidR="00A17E7F" w:rsidRPr="00E33EFF" w:rsidRDefault="00A17E7F" w:rsidP="00A17E7F">
            <w:pPr>
              <w:rPr>
                <w:bCs/>
                <w:color w:val="000000"/>
                <w:lang w:eastAsia="lt-LT"/>
              </w:rPr>
            </w:pPr>
            <w:r w:rsidRPr="00E33EFF">
              <w:rPr>
                <w:bCs/>
                <w:color w:val="000000"/>
                <w:lang w:eastAsia="lt-LT"/>
              </w:rPr>
              <w:t>Pareiškėjo teikiama (-os) kompensuoti vaistinio preparato indikacija (-os)</w:t>
            </w:r>
          </w:p>
          <w:p w14:paraId="3FB07EE5" w14:textId="77777777" w:rsidR="00A17E7F" w:rsidRDefault="00A17E7F" w:rsidP="00A17E7F">
            <w:pPr>
              <w:rPr>
                <w:bCs/>
                <w:color w:val="000000"/>
                <w:lang w:eastAsia="lt-LT"/>
              </w:rPr>
            </w:pPr>
          </w:p>
          <w:p w14:paraId="3A6B054C" w14:textId="77777777" w:rsidR="00A17E7F" w:rsidRDefault="00A17E7F" w:rsidP="00A17E7F">
            <w:pPr>
              <w:rPr>
                <w:bCs/>
                <w:color w:val="000000"/>
                <w:lang w:eastAsia="lt-LT"/>
              </w:rPr>
            </w:pPr>
          </w:p>
          <w:p w14:paraId="6B4FEEC1" w14:textId="378668B0" w:rsidR="00A17E7F" w:rsidRPr="00E33EFF" w:rsidRDefault="00A17E7F" w:rsidP="00A17E7F">
            <w:pPr>
              <w:rPr>
                <w:bCs/>
                <w:color w:val="000000"/>
                <w:lang w:eastAsia="lt-LT"/>
              </w:rPr>
            </w:pPr>
            <w:r w:rsidRPr="00E33EFF">
              <w:rPr>
                <w:bCs/>
                <w:color w:val="000000"/>
                <w:lang w:eastAsia="lt-LT"/>
              </w:rPr>
              <w:t>Kodas pagal TLK-10 AM</w:t>
            </w:r>
          </w:p>
        </w:tc>
        <w:tc>
          <w:tcPr>
            <w:tcW w:w="5167" w:type="dxa"/>
          </w:tcPr>
          <w:p w14:paraId="490CA233" w14:textId="77777777" w:rsidR="00A17E7F" w:rsidRPr="002978D5" w:rsidRDefault="00A17E7F" w:rsidP="00A17E7F">
            <w:pPr>
              <w:spacing w:before="60" w:after="120"/>
              <w:jc w:val="both"/>
              <w:rPr>
                <w:rFonts w:eastAsia="Arial"/>
                <w:iCs/>
              </w:rPr>
            </w:pPr>
            <w:r w:rsidRPr="002978D5">
              <w:rPr>
                <w:rFonts w:eastAsia="Arial"/>
                <w:iCs/>
              </w:rPr>
              <w:t>ELAHERE monoterapija skirta gydyti suaugusias pacientes, sergančias platinos vaistiniams preparatams atspariu didelio piktybiškumo laipsnio epiteliniu kiaušidžių, kiaušintakių arba pirminiu pilvaplėvės vėžiu, turinčiu teigiamą folatų recetorių alfa (FRα) rodmenį, kurios jau buvo gydytos nuo vieno iki trijų sisteminio gydymo režimais.</w:t>
            </w:r>
          </w:p>
          <w:p w14:paraId="13F7DFB0" w14:textId="04B7567F" w:rsidR="00A17E7F" w:rsidRPr="00E33EFF" w:rsidRDefault="00A17E7F" w:rsidP="00A17E7F">
            <w:r w:rsidRPr="002978D5">
              <w:t>C48, C56, C57.</w:t>
            </w:r>
          </w:p>
        </w:tc>
      </w:tr>
      <w:tr w:rsidR="00A17E7F" w:rsidRPr="00E33EFF" w14:paraId="2F79DC08" w14:textId="77777777" w:rsidTr="00BE7489">
        <w:trPr>
          <w:trHeight w:val="378"/>
        </w:trPr>
        <w:tc>
          <w:tcPr>
            <w:tcW w:w="632" w:type="dxa"/>
          </w:tcPr>
          <w:p w14:paraId="547885A2" w14:textId="08AA8055" w:rsidR="00A17E7F" w:rsidRPr="00E33EFF" w:rsidRDefault="00A17E7F" w:rsidP="00A17E7F">
            <w:pPr>
              <w:rPr>
                <w:rFonts w:eastAsia="Arial"/>
              </w:rPr>
            </w:pPr>
            <w:r w:rsidRPr="00E33EFF">
              <w:rPr>
                <w:rFonts w:eastAsia="Arial"/>
              </w:rPr>
              <w:lastRenderedPageBreak/>
              <w:t>1.6</w:t>
            </w:r>
          </w:p>
        </w:tc>
        <w:tc>
          <w:tcPr>
            <w:tcW w:w="3694" w:type="dxa"/>
          </w:tcPr>
          <w:p w14:paraId="2EAB877F" w14:textId="39A36941" w:rsidR="00A17E7F" w:rsidRPr="00E33EFF" w:rsidRDefault="00A17E7F" w:rsidP="00A17E7F">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46CD5771" w:rsidR="00A17E7F" w:rsidRPr="00E33EFF" w:rsidRDefault="009E6032" w:rsidP="00A17E7F">
            <w:r w:rsidRPr="002978D5">
              <w:t>Neteikiamos</w:t>
            </w:r>
          </w:p>
        </w:tc>
      </w:tr>
      <w:tr w:rsidR="00A17E7F" w:rsidRPr="00E33EFF" w14:paraId="3B125269" w14:textId="77777777" w:rsidTr="00BE7489">
        <w:trPr>
          <w:trHeight w:val="378"/>
        </w:trPr>
        <w:tc>
          <w:tcPr>
            <w:tcW w:w="632" w:type="dxa"/>
          </w:tcPr>
          <w:p w14:paraId="0058E11F" w14:textId="77777777" w:rsidR="00A17E7F" w:rsidRPr="00E33EFF" w:rsidRDefault="00A17E7F" w:rsidP="00A17E7F">
            <w:pPr>
              <w:rPr>
                <w:rFonts w:eastAsia="Arial"/>
              </w:rPr>
            </w:pPr>
            <w:r w:rsidRPr="00E33EFF">
              <w:rPr>
                <w:rFonts w:eastAsia="Arial"/>
              </w:rPr>
              <w:t>1.7</w:t>
            </w:r>
          </w:p>
        </w:tc>
        <w:tc>
          <w:tcPr>
            <w:tcW w:w="3694" w:type="dxa"/>
          </w:tcPr>
          <w:p w14:paraId="738E1926" w14:textId="77777777" w:rsidR="00A17E7F" w:rsidRPr="00E33EFF" w:rsidRDefault="00A17E7F" w:rsidP="00A17E7F">
            <w:pPr>
              <w:rPr>
                <w:bCs/>
                <w:color w:val="000000"/>
                <w:lang w:eastAsia="lt-LT"/>
              </w:rPr>
            </w:pPr>
            <w:r w:rsidRPr="00E33EFF">
              <w:rPr>
                <w:bCs/>
                <w:color w:val="000000"/>
                <w:lang w:eastAsia="lt-LT"/>
              </w:rPr>
              <w:t xml:space="preserve">Pareiškėjo teikiamas palyginamasis gydymas </w:t>
            </w:r>
          </w:p>
          <w:p w14:paraId="61EC5BBD" w14:textId="7A8BD8B4" w:rsidR="00A17E7F" w:rsidRPr="00E33EFF" w:rsidRDefault="00A17E7F" w:rsidP="00A17E7F">
            <w:pPr>
              <w:rPr>
                <w:bCs/>
                <w:color w:val="000000"/>
                <w:lang w:eastAsia="lt-LT"/>
              </w:rPr>
            </w:pPr>
          </w:p>
          <w:p w14:paraId="62057D94" w14:textId="77777777" w:rsidR="00A17E7F" w:rsidRPr="00E33EFF" w:rsidRDefault="00A17E7F" w:rsidP="00A17E7F">
            <w:pPr>
              <w:rPr>
                <w:bCs/>
                <w:color w:val="000000"/>
                <w:lang w:eastAsia="lt-LT"/>
              </w:rPr>
            </w:pPr>
          </w:p>
          <w:p w14:paraId="6CC1022E" w14:textId="2B6BCEE1" w:rsidR="00A17E7F" w:rsidRPr="00E33EFF" w:rsidRDefault="00A17E7F" w:rsidP="00A17E7F">
            <w:pPr>
              <w:rPr>
                <w:bCs/>
                <w:color w:val="000000"/>
                <w:lang w:eastAsia="lt-LT"/>
              </w:rPr>
            </w:pPr>
          </w:p>
        </w:tc>
        <w:tc>
          <w:tcPr>
            <w:tcW w:w="5167" w:type="dxa"/>
          </w:tcPr>
          <w:p w14:paraId="1F113AC0" w14:textId="29A00862" w:rsidR="00A17E7F" w:rsidRPr="00E33EFF" w:rsidRDefault="003B55E9" w:rsidP="00A17E7F">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9E6032">
                  <w:rPr>
                    <w:rStyle w:val="Style2"/>
                    <w:rFonts w:ascii="MS Gothic" w:eastAsia="MS Gothic" w:hAnsi="MS Gothic" w:hint="eastAsia"/>
                    <w:sz w:val="24"/>
                  </w:rPr>
                  <w:t>☒</w:t>
                </w:r>
              </w:sdtContent>
            </w:sdt>
            <w:r w:rsidR="00A17E7F" w:rsidRPr="00E33EFF">
              <w:t xml:space="preserve"> Tinkamas</w:t>
            </w:r>
          </w:p>
          <w:p w14:paraId="41B44044" w14:textId="199BD9DF" w:rsidR="00A17E7F" w:rsidRPr="00E33EFF" w:rsidRDefault="003B55E9" w:rsidP="00A17E7F">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A17E7F" w:rsidRPr="00E33EFF">
                  <w:rPr>
                    <w:rStyle w:val="Style2"/>
                    <w:rFonts w:ascii="MS Gothic" w:eastAsia="MS Gothic" w:hAnsi="MS Gothic" w:hint="eastAsia"/>
                    <w:sz w:val="24"/>
                  </w:rPr>
                  <w:t>☐</w:t>
                </w:r>
              </w:sdtContent>
            </w:sdt>
            <w:r w:rsidR="00A17E7F" w:rsidRPr="00E33EFF">
              <w:t xml:space="preserve"> Netinkama</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926724" w:rsidRPr="002978D5" w14:paraId="49F0050D" w14:textId="77777777" w:rsidTr="00BC7B16">
        <w:trPr>
          <w:trHeight w:val="924"/>
        </w:trPr>
        <w:tc>
          <w:tcPr>
            <w:tcW w:w="2927" w:type="dxa"/>
          </w:tcPr>
          <w:p w14:paraId="2D57D1B9" w14:textId="77777777" w:rsidR="00926724" w:rsidRPr="002978D5" w:rsidRDefault="00926724" w:rsidP="00BC7B16">
            <w:pPr>
              <w:spacing w:line="276" w:lineRule="auto"/>
              <w:rPr>
                <w:rFonts w:eastAsia="Arial"/>
              </w:rPr>
            </w:pPr>
            <w:r w:rsidRPr="002978D5">
              <w:rPr>
                <w:rFonts w:eastAsia="Arial"/>
              </w:rPr>
              <w:t>STV agentūros pavadinimas, šalis</w:t>
            </w:r>
          </w:p>
        </w:tc>
        <w:tc>
          <w:tcPr>
            <w:tcW w:w="1915" w:type="dxa"/>
          </w:tcPr>
          <w:p w14:paraId="1D155FFB" w14:textId="77777777" w:rsidR="00926724" w:rsidRPr="002978D5" w:rsidRDefault="00926724" w:rsidP="00BC7B16">
            <w:pPr>
              <w:spacing w:line="276" w:lineRule="auto"/>
              <w:rPr>
                <w:rFonts w:eastAsia="Arial"/>
              </w:rPr>
            </w:pPr>
            <w:r w:rsidRPr="002978D5">
              <w:rPr>
                <w:rFonts w:eastAsia="Arial"/>
              </w:rPr>
              <w:t>STV vertinimas atliktas</w:t>
            </w:r>
          </w:p>
        </w:tc>
        <w:tc>
          <w:tcPr>
            <w:tcW w:w="2351" w:type="dxa"/>
          </w:tcPr>
          <w:p w14:paraId="580FD562" w14:textId="77777777" w:rsidR="00926724" w:rsidRPr="002978D5" w:rsidRDefault="00926724" w:rsidP="00BC7B16">
            <w:pPr>
              <w:spacing w:line="276" w:lineRule="auto"/>
              <w:rPr>
                <w:rFonts w:eastAsia="Arial"/>
              </w:rPr>
            </w:pPr>
            <w:r w:rsidRPr="002978D5">
              <w:rPr>
                <w:rFonts w:eastAsia="Arial"/>
              </w:rPr>
              <w:t>Klinikinio vertinimo išvada</w:t>
            </w:r>
          </w:p>
        </w:tc>
        <w:tc>
          <w:tcPr>
            <w:tcW w:w="2725" w:type="dxa"/>
          </w:tcPr>
          <w:p w14:paraId="7279E917" w14:textId="77777777" w:rsidR="00926724" w:rsidRPr="002978D5" w:rsidRDefault="00926724" w:rsidP="00BC7B16">
            <w:pPr>
              <w:spacing w:line="276" w:lineRule="auto"/>
              <w:rPr>
                <w:rFonts w:eastAsia="Arial"/>
              </w:rPr>
            </w:pPr>
            <w:r w:rsidRPr="002978D5">
              <w:rPr>
                <w:rFonts w:eastAsia="Arial"/>
              </w:rPr>
              <w:t>Farmakoekonominio vertinimo išvada</w:t>
            </w:r>
          </w:p>
        </w:tc>
      </w:tr>
      <w:tr w:rsidR="00926724" w:rsidRPr="002978D5" w14:paraId="44476521" w14:textId="77777777" w:rsidTr="00BC7B16">
        <w:trPr>
          <w:trHeight w:val="1765"/>
        </w:trPr>
        <w:tc>
          <w:tcPr>
            <w:tcW w:w="2927" w:type="dxa"/>
          </w:tcPr>
          <w:p w14:paraId="17FE9A91" w14:textId="77777777" w:rsidR="00926724" w:rsidRPr="002978D5" w:rsidRDefault="00926724" w:rsidP="00BC7B16">
            <w:pPr>
              <w:autoSpaceDE w:val="0"/>
              <w:autoSpaceDN w:val="0"/>
              <w:adjustRightInd w:val="0"/>
              <w:rPr>
                <w:bCs/>
              </w:rPr>
            </w:pPr>
            <w:r w:rsidRPr="002978D5">
              <w:rPr>
                <w:bCs/>
              </w:rPr>
              <w:t>Nacionalinis sveikatos ir klinikinės kompetencijos institutas, Didžioji Britanija</w:t>
            </w:r>
          </w:p>
          <w:p w14:paraId="1D7C7429" w14:textId="77777777" w:rsidR="00926724" w:rsidRPr="002978D5" w:rsidRDefault="00926724" w:rsidP="00BC7B16">
            <w:pPr>
              <w:spacing w:line="276" w:lineRule="auto"/>
              <w:rPr>
                <w:rFonts w:eastAsia="Arial"/>
              </w:rPr>
            </w:pPr>
            <w:r w:rsidRPr="002978D5">
              <w:rPr>
                <w:rFonts w:eastAsia="Arial"/>
              </w:rPr>
              <w:t xml:space="preserve">(angl. </w:t>
            </w:r>
            <w:r w:rsidRPr="002978D5">
              <w:rPr>
                <w:rFonts w:eastAsia="Arial"/>
                <w:i/>
              </w:rPr>
              <w:t>National Institute for Health and Care Excellence, NICE</w:t>
            </w:r>
            <w:r w:rsidRPr="002978D5">
              <w:rPr>
                <w:rFonts w:eastAsia="Arial"/>
              </w:rPr>
              <w:t>)</w:t>
            </w:r>
          </w:p>
        </w:tc>
        <w:tc>
          <w:tcPr>
            <w:tcW w:w="1915" w:type="dxa"/>
          </w:tcPr>
          <w:p w14:paraId="4A81074F" w14:textId="77777777" w:rsidR="00926724" w:rsidRPr="002978D5" w:rsidRDefault="003B55E9" w:rsidP="00BC7B16">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926724" w:rsidRPr="002978D5">
                  <w:rPr>
                    <w:rStyle w:val="Style2"/>
                    <w:rFonts w:ascii="MS Gothic" w:eastAsia="MS Gothic" w:hAnsi="MS Gothic"/>
                  </w:rPr>
                  <w:t>☐</w:t>
                </w:r>
              </w:sdtContent>
            </w:sdt>
            <w:r w:rsidR="00926724" w:rsidRPr="002978D5">
              <w:t xml:space="preserve"> Taip</w:t>
            </w:r>
          </w:p>
          <w:p w14:paraId="5302474D" w14:textId="77777777" w:rsidR="00926724" w:rsidRPr="002978D5" w:rsidRDefault="003B55E9" w:rsidP="00BC7B16">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926724">
                  <w:rPr>
                    <w:rStyle w:val="Style2"/>
                    <w:rFonts w:ascii="MS Gothic" w:eastAsia="MS Gothic" w:hAnsi="MS Gothic" w:hint="eastAsia"/>
                  </w:rPr>
                  <w:t>☒</w:t>
                </w:r>
              </w:sdtContent>
            </w:sdt>
            <w:r w:rsidR="00926724" w:rsidRPr="002978D5">
              <w:t xml:space="preserve"> Ne</w:t>
            </w:r>
          </w:p>
          <w:p w14:paraId="19763A81" w14:textId="77777777" w:rsidR="00926724" w:rsidRPr="002978D5" w:rsidRDefault="003B55E9" w:rsidP="00BC7B16">
            <w:pPr>
              <w:rPr>
                <w:rFonts w:eastAsia="Arial"/>
              </w:rPr>
            </w:pPr>
            <w:sdt>
              <w:sdtPr>
                <w:alias w:val="Nurodykite konkrečią dieną"/>
                <w:tag w:val="Nurodykite pradžios datą"/>
                <w:id w:val="922837954"/>
                <w:placeholder>
                  <w:docPart w:val="389EBD648E6042E4AC546C67DF0ED4B7"/>
                </w:placeholder>
                <w:showingPlcHdr/>
                <w15:color w:val="FFCC99"/>
                <w:date w:fullDate="2022-05-18T00:00:00Z">
                  <w:dateFormat w:val="yyyy 'm.' MMMM d 'd.'"/>
                  <w:lid w:val="lt-LT"/>
                  <w:storeMappedDataAs w:val="dateTime"/>
                  <w:calendar w:val="gregorian"/>
                </w:date>
              </w:sdtPr>
              <w:sdtEndPr/>
              <w:sdtContent>
                <w:r w:rsidR="00926724" w:rsidRPr="002978D5">
                  <w:rPr>
                    <w:rStyle w:val="PlaceholderText"/>
                  </w:rPr>
                  <w:t>Click here to enter a date.</w:t>
                </w:r>
              </w:sdtContent>
            </w:sdt>
          </w:p>
        </w:tc>
        <w:tc>
          <w:tcPr>
            <w:tcW w:w="5076" w:type="dxa"/>
            <w:gridSpan w:val="2"/>
          </w:tcPr>
          <w:p w14:paraId="67AF1F0F" w14:textId="77777777" w:rsidR="00926724" w:rsidRPr="002978D5" w:rsidRDefault="00926724" w:rsidP="00BC7B16">
            <w:pPr>
              <w:spacing w:line="276" w:lineRule="auto"/>
              <w:rPr>
                <w:rFonts w:eastAsia="Arial"/>
              </w:rPr>
            </w:pPr>
            <w:r>
              <w:rPr>
                <w:rFonts w:eastAsia="Arial"/>
              </w:rPr>
              <w:t>Vyksta vertinimas, vertinimo išvada planuojama 2026 sausio mėn.</w:t>
            </w:r>
          </w:p>
        </w:tc>
      </w:tr>
      <w:tr w:rsidR="00926724" w:rsidRPr="002978D5" w14:paraId="060378A8" w14:textId="77777777" w:rsidTr="00BC7B16">
        <w:trPr>
          <w:trHeight w:val="1547"/>
        </w:trPr>
        <w:tc>
          <w:tcPr>
            <w:tcW w:w="2927" w:type="dxa"/>
          </w:tcPr>
          <w:p w14:paraId="01FF854C" w14:textId="77777777" w:rsidR="00926724" w:rsidRPr="002978D5" w:rsidRDefault="00926724" w:rsidP="00BC7B16">
            <w:pPr>
              <w:spacing w:line="276" w:lineRule="auto"/>
              <w:rPr>
                <w:rFonts w:eastAsia="Arial"/>
              </w:rPr>
            </w:pPr>
            <w:r w:rsidRPr="002978D5">
              <w:rPr>
                <w:rFonts w:eastAsia="Arial"/>
              </w:rPr>
              <w:t>Kanados sveikatos technologijų agentūra</w:t>
            </w:r>
          </w:p>
          <w:p w14:paraId="42A97413" w14:textId="77777777" w:rsidR="00926724" w:rsidRPr="002978D5" w:rsidRDefault="00926724" w:rsidP="00BC7B16">
            <w:pPr>
              <w:spacing w:line="276" w:lineRule="auto"/>
              <w:rPr>
                <w:rFonts w:eastAsia="Arial"/>
              </w:rPr>
            </w:pPr>
            <w:r w:rsidRPr="002978D5">
              <w:rPr>
                <w:rFonts w:eastAsia="Arial"/>
              </w:rPr>
              <w:t xml:space="preserve">(angl. </w:t>
            </w:r>
            <w:r w:rsidRPr="002978D5">
              <w:rPr>
                <w:rFonts w:eastAsia="Arial"/>
                <w:i/>
              </w:rPr>
              <w:t>Canadian health Technology Assessment agency, CADTH</w:t>
            </w:r>
            <w:r w:rsidRPr="002978D5">
              <w:rPr>
                <w:rFonts w:eastAsia="Arial"/>
              </w:rPr>
              <w:t>)</w:t>
            </w:r>
          </w:p>
        </w:tc>
        <w:tc>
          <w:tcPr>
            <w:tcW w:w="1915" w:type="dxa"/>
          </w:tcPr>
          <w:p w14:paraId="79D6D0F9" w14:textId="77777777" w:rsidR="00926724" w:rsidRPr="002978D5" w:rsidRDefault="003B55E9" w:rsidP="00BC7B16">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926724" w:rsidRPr="002978D5">
                  <w:rPr>
                    <w:rStyle w:val="Style2"/>
                    <w:rFonts w:ascii="Segoe UI Symbol" w:eastAsia="MS Gothic" w:hAnsi="Segoe UI Symbol" w:cs="Segoe UI Symbol"/>
                  </w:rPr>
                  <w:t>☐</w:t>
                </w:r>
              </w:sdtContent>
            </w:sdt>
            <w:r w:rsidR="00926724" w:rsidRPr="002978D5">
              <w:t xml:space="preserve"> Taip</w:t>
            </w:r>
          </w:p>
          <w:p w14:paraId="411BC9A8" w14:textId="77777777" w:rsidR="00926724" w:rsidRPr="002978D5" w:rsidRDefault="003B55E9" w:rsidP="00BC7B16">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926724">
                  <w:rPr>
                    <w:rStyle w:val="Style2"/>
                    <w:rFonts w:ascii="MS Gothic" w:eastAsia="MS Gothic" w:hAnsi="MS Gothic" w:hint="eastAsia"/>
                  </w:rPr>
                  <w:t>☒</w:t>
                </w:r>
              </w:sdtContent>
            </w:sdt>
            <w:r w:rsidR="00926724" w:rsidRPr="002978D5">
              <w:t xml:space="preserve"> Ne</w:t>
            </w:r>
          </w:p>
          <w:p w14:paraId="62140CC5" w14:textId="77777777" w:rsidR="00926724" w:rsidRPr="002978D5" w:rsidRDefault="003B55E9" w:rsidP="00BC7B16">
            <w:pPr>
              <w:spacing w:line="276" w:lineRule="auto"/>
              <w:rPr>
                <w:rFonts w:eastAsia="Arial"/>
              </w:rPr>
            </w:pPr>
            <w:sdt>
              <w:sdtPr>
                <w:alias w:val="Nurodykite konkrečią dieną"/>
                <w:tag w:val="Nurodykite pradžios datą"/>
                <w:id w:val="1072468416"/>
                <w:placeholder>
                  <w:docPart w:val="ED551529757F4B01B0192395716F556A"/>
                </w:placeholder>
                <w:showingPlcHdr/>
                <w15:color w:val="FFCC99"/>
                <w:date w:fullDate="2022-05-18T00:00:00Z">
                  <w:dateFormat w:val="yyyy 'm.' MMMM d 'd.'"/>
                  <w:lid w:val="lt-LT"/>
                  <w:storeMappedDataAs w:val="dateTime"/>
                  <w:calendar w:val="gregorian"/>
                </w:date>
              </w:sdtPr>
              <w:sdtEndPr/>
              <w:sdtContent>
                <w:r w:rsidR="00926724" w:rsidRPr="002978D5">
                  <w:rPr>
                    <w:rStyle w:val="PlaceholderText"/>
                  </w:rPr>
                  <w:t>Click here to enter a date.</w:t>
                </w:r>
              </w:sdtContent>
            </w:sdt>
          </w:p>
        </w:tc>
        <w:tc>
          <w:tcPr>
            <w:tcW w:w="5076" w:type="dxa"/>
            <w:gridSpan w:val="2"/>
          </w:tcPr>
          <w:p w14:paraId="363ABA22" w14:textId="77777777" w:rsidR="00926724" w:rsidRPr="002978D5" w:rsidRDefault="00926724" w:rsidP="00BC7B16">
            <w:pPr>
              <w:spacing w:line="276" w:lineRule="auto"/>
              <w:rPr>
                <w:rFonts w:eastAsia="Arial"/>
              </w:rPr>
            </w:pPr>
            <w:r>
              <w:rPr>
                <w:rFonts w:eastAsia="Arial"/>
              </w:rPr>
              <w:t>Vyksta vertinimas (2025 rugpjūčio mėn.), išvada nepateikta</w:t>
            </w:r>
          </w:p>
        </w:tc>
      </w:tr>
      <w:tr w:rsidR="00926724" w:rsidRPr="002978D5" w14:paraId="265D8829" w14:textId="77777777" w:rsidTr="00BC7B16">
        <w:trPr>
          <w:trHeight w:val="1927"/>
        </w:trPr>
        <w:tc>
          <w:tcPr>
            <w:tcW w:w="2927" w:type="dxa"/>
          </w:tcPr>
          <w:p w14:paraId="4E387163" w14:textId="77777777" w:rsidR="00926724" w:rsidRPr="002978D5" w:rsidRDefault="00926724" w:rsidP="00BC7B16">
            <w:pPr>
              <w:spacing w:line="276" w:lineRule="auto"/>
              <w:rPr>
                <w:rFonts w:eastAsia="Arial"/>
              </w:rPr>
            </w:pPr>
            <w:r w:rsidRPr="002978D5">
              <w:rPr>
                <w:rFonts w:eastAsia="Arial"/>
              </w:rPr>
              <w:t>Nacionalinis farmakoekonomikos centras, Airija</w:t>
            </w:r>
          </w:p>
          <w:p w14:paraId="6662D12F" w14:textId="77777777" w:rsidR="00926724" w:rsidRPr="002978D5" w:rsidRDefault="00926724" w:rsidP="00BC7B16">
            <w:pPr>
              <w:spacing w:line="276" w:lineRule="auto"/>
              <w:rPr>
                <w:rFonts w:eastAsia="Arial"/>
              </w:rPr>
            </w:pPr>
            <w:r w:rsidRPr="002978D5">
              <w:rPr>
                <w:rFonts w:eastAsia="Arial"/>
              </w:rPr>
              <w:t>(angl.</w:t>
            </w:r>
            <w:r w:rsidRPr="002978D5">
              <w:rPr>
                <w:rFonts w:eastAsia="Arial"/>
                <w:i/>
              </w:rPr>
              <w:t xml:space="preserve"> National Centre for Pharmacoeconomics, NCPE</w:t>
            </w:r>
            <w:r w:rsidRPr="002978D5">
              <w:rPr>
                <w:rFonts w:eastAsia="Arial"/>
              </w:rPr>
              <w:t>)</w:t>
            </w:r>
          </w:p>
        </w:tc>
        <w:tc>
          <w:tcPr>
            <w:tcW w:w="1915" w:type="dxa"/>
          </w:tcPr>
          <w:p w14:paraId="77FFD954" w14:textId="77777777" w:rsidR="00926724" w:rsidRPr="002978D5" w:rsidRDefault="003B55E9" w:rsidP="00BC7B16">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926724" w:rsidRPr="002978D5">
                  <w:rPr>
                    <w:rStyle w:val="Style2"/>
                    <w:rFonts w:ascii="Segoe UI Symbol" w:eastAsia="MS Gothic" w:hAnsi="Segoe UI Symbol" w:cs="Segoe UI Symbol"/>
                  </w:rPr>
                  <w:t>☐</w:t>
                </w:r>
              </w:sdtContent>
            </w:sdt>
            <w:r w:rsidR="00926724" w:rsidRPr="002978D5">
              <w:t xml:space="preserve"> Taip</w:t>
            </w:r>
          </w:p>
          <w:p w14:paraId="2D4162E1" w14:textId="77777777" w:rsidR="00926724" w:rsidRPr="002978D5" w:rsidRDefault="003B55E9" w:rsidP="00BC7B16">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926724">
                  <w:rPr>
                    <w:rStyle w:val="Style2"/>
                    <w:rFonts w:ascii="MS Gothic" w:eastAsia="MS Gothic" w:hAnsi="MS Gothic" w:hint="eastAsia"/>
                  </w:rPr>
                  <w:t>☒</w:t>
                </w:r>
              </w:sdtContent>
            </w:sdt>
            <w:r w:rsidR="00926724" w:rsidRPr="002978D5">
              <w:t xml:space="preserve"> Ne</w:t>
            </w:r>
          </w:p>
          <w:p w14:paraId="407B12DA" w14:textId="77777777" w:rsidR="00926724" w:rsidRPr="002978D5" w:rsidRDefault="003B55E9" w:rsidP="00BC7B16">
            <w:pPr>
              <w:spacing w:line="276" w:lineRule="auto"/>
              <w:rPr>
                <w:rFonts w:eastAsia="Arial"/>
              </w:rPr>
            </w:pPr>
            <w:sdt>
              <w:sdtPr>
                <w:alias w:val="Nurodykite konkrečią dieną"/>
                <w:tag w:val="Nurodykite pradžios datą"/>
                <w:id w:val="-198323198"/>
                <w:placeholder>
                  <w:docPart w:val="22CEAE660C9D47608BE4812CA7C043F1"/>
                </w:placeholder>
                <w:showingPlcHdr/>
                <w15:color w:val="FFCC99"/>
                <w:date w:fullDate="2022-05-18T00:00:00Z">
                  <w:dateFormat w:val="yyyy 'm.' MMMM d 'd.'"/>
                  <w:lid w:val="lt-LT"/>
                  <w:storeMappedDataAs w:val="dateTime"/>
                  <w:calendar w:val="gregorian"/>
                </w:date>
              </w:sdtPr>
              <w:sdtEndPr/>
              <w:sdtContent>
                <w:r w:rsidR="00926724" w:rsidRPr="002978D5">
                  <w:rPr>
                    <w:rStyle w:val="PlaceholderText"/>
                  </w:rPr>
                  <w:t>Click here to enter a date.</w:t>
                </w:r>
              </w:sdtContent>
            </w:sdt>
          </w:p>
        </w:tc>
        <w:tc>
          <w:tcPr>
            <w:tcW w:w="5076" w:type="dxa"/>
            <w:gridSpan w:val="2"/>
          </w:tcPr>
          <w:p w14:paraId="4C8F091D" w14:textId="77777777" w:rsidR="00926724" w:rsidRPr="002978D5" w:rsidRDefault="00926724" w:rsidP="00BC7B16">
            <w:pPr>
              <w:spacing w:line="276" w:lineRule="auto"/>
              <w:rPr>
                <w:rFonts w:eastAsia="Arial"/>
              </w:rPr>
            </w:pPr>
            <w:r>
              <w:rPr>
                <w:rFonts w:eastAsia="Arial"/>
              </w:rPr>
              <w:t>Rekomenduojama atlikti pilną farma-ekonominę vertinimą.</w:t>
            </w: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53E280AA" w:rsidR="00D4485B" w:rsidRDefault="00D4485B" w:rsidP="00A93AA6">
      <w:pPr>
        <w:pStyle w:val="ListParagraph"/>
        <w:tabs>
          <w:tab w:val="left" w:pos="426"/>
        </w:tabs>
        <w:ind w:left="0"/>
        <w:rPr>
          <w:b/>
          <w:bCs/>
          <w:caps/>
        </w:rPr>
      </w:pPr>
    </w:p>
    <w:p w14:paraId="23BEA6AD" w14:textId="27C7DA6E" w:rsidR="00926724" w:rsidRDefault="00926724" w:rsidP="00926724">
      <w:pPr>
        <w:pStyle w:val="Tekstas"/>
        <w:spacing w:line="276" w:lineRule="auto"/>
        <w:ind w:firstLine="720"/>
        <w:rPr>
          <w:rFonts w:eastAsia="Arial"/>
          <w:lang w:val="lt-LT"/>
        </w:rPr>
      </w:pPr>
      <w:r w:rsidRPr="002978D5">
        <w:rPr>
          <w:rFonts w:eastAsia="Arial"/>
          <w:lang w:val="lt-LT"/>
        </w:rPr>
        <w:t xml:space="preserve">Kiaušidžių vėžys apibendrintai reiškia kiaušidžių, kiaušintakių arba pirminį pilvaplėvės vėžį, pagal TLK-10-AM klasifikaciją yra kiaušidės piktybinis navikas (C56), kiaušintakio piktybinis navikas (C57.0) ir pilvaplėvės piktybinis navikas (C48). Remiantis Higienos instituto duomenimis, 2020 metais Lietuvoje nustatyti 977 nauji kiaušidžių vėžio atvejai (TLK C56, C57.0 ir C48). Ligotumas Lietuvoje 2018 m. buvo 2 336 atvejai, 2019 – 2 374 atvejai ir 2020 – 3421 atvejai.  Lietuvoje nuo kiaušidžių vėžio mirė 262 moterys 2018 m., 222 moterys - 2019 m. ir 288 moterys – 2020 m. Beveik du trečdaliai kiaušidžių vėžio atvejų Lietuvoje diagnozuojama esant III ar IV stadijai. Lietuvos vėžio registro (LVR) duomenimis, lyginant su kitais moterų vėžiniais susirgimais, būtent kiaušidžių vėžys dažniausiai nustatomas III ir IV stadijos, kas yra blogas prognostinis faktorius. Per 2017-2019 metus sergančių skaičius per metus augo mažiau kaip 2 proc. </w:t>
      </w:r>
      <w:r w:rsidRPr="002978D5">
        <w:rPr>
          <w:rFonts w:eastAsia="Arial"/>
          <w:lang w:val="lt-LT"/>
        </w:rPr>
        <w:tab/>
        <w:t xml:space="preserve">Lietuvos klinikinių ekspertų duomenimis, kiaušidžių vėžys dažniausiai diagnozuojamas vyresnėms nei 50 m. amžiaus moterims. Susirgimų pikas stebimas 6-7 amžiaus dešimtmetyje. </w:t>
      </w:r>
      <w:r w:rsidRPr="00A87C02">
        <w:rPr>
          <w:rFonts w:eastAsia="Arial"/>
          <w:lang w:val="lt-LT"/>
        </w:rPr>
        <w:t xml:space="preserve">Apie </w:t>
      </w:r>
      <w:r w:rsidR="001D04AF" w:rsidRPr="00A87C02">
        <w:rPr>
          <w:rFonts w:eastAsia="Arial"/>
        </w:rPr>
        <w:t xml:space="preserve">70 </w:t>
      </w:r>
      <w:r w:rsidRPr="00A87C02">
        <w:rPr>
          <w:rFonts w:eastAsia="Arial"/>
          <w:lang w:val="lt-LT"/>
        </w:rPr>
        <w:t>proc. atvejų nustatomas pažengęs kiaušidžių vėžys. Gydymo prognozė priklauso nuo ligos stadijos diagnozės metu. Vienerių metų išgyvenamumas siekia apie 72 proc., 5 m. išgyvena apie 5</w:t>
      </w:r>
      <w:r w:rsidRPr="002978D5">
        <w:rPr>
          <w:rFonts w:eastAsia="Arial"/>
          <w:lang w:val="lt-LT"/>
        </w:rPr>
        <w:t>0 proc., o 10 m. – apie 30 proc..</w:t>
      </w:r>
      <w:r w:rsidRPr="00834A32">
        <w:t xml:space="preserve"> </w:t>
      </w:r>
      <w:r w:rsidRPr="00834A32">
        <w:rPr>
          <w:rFonts w:eastAsia="Arial"/>
          <w:lang w:val="lt-LT"/>
        </w:rPr>
        <w:t>Kiaušidžių vėžys gali būti klasifikuojamas į 3 pogrupius. Refrakterinis vėžys - kai onkologinis procesas yra atsparus taikomam gydymui ir progresuoja chemoterapijos metu. Platinai rezistentiškas vėžys - kai onkologinis procesas atsinaujina per mažiau nei 6 mėn. nuo taikytos pirmos eilės (1L) chemoterapijos platinos preparatais pabaigos.</w:t>
      </w:r>
    </w:p>
    <w:p w14:paraId="640D1057" w14:textId="77777777" w:rsidR="00926724" w:rsidRDefault="00926724" w:rsidP="00926724">
      <w:pPr>
        <w:pStyle w:val="Tekstas"/>
        <w:spacing w:line="276" w:lineRule="auto"/>
        <w:ind w:firstLine="720"/>
        <w:rPr>
          <w:lang w:val="lt-LT"/>
        </w:rPr>
      </w:pPr>
      <w:r>
        <w:rPr>
          <w:rFonts w:eastAsia="Arial"/>
          <w:lang w:val="lt-LT"/>
        </w:rPr>
        <w:t>Šios paraiškos vertinimo objektas - p</w:t>
      </w:r>
      <w:r w:rsidRPr="002978D5">
        <w:rPr>
          <w:lang w:val="lt-LT"/>
        </w:rPr>
        <w:t>latinai rezistentiškas vėžys - kai onkologinis procesas atsinaujina per mažiau nei 6 mėn. nuo taikytos pirmos eilės (1L) chemoterapijos platinos preparatais pabaigos.</w:t>
      </w:r>
      <w:r>
        <w:rPr>
          <w:lang w:val="lt-LT"/>
        </w:rPr>
        <w:t xml:space="preserve"> </w:t>
      </w:r>
      <w:r w:rsidRPr="002978D5">
        <w:rPr>
          <w:lang w:val="lt-LT"/>
        </w:rPr>
        <w:t>Įprastai (apie 80-90% atvejų)</w:t>
      </w:r>
      <w:r>
        <w:rPr>
          <w:lang w:val="lt-LT"/>
        </w:rPr>
        <w:t xml:space="preserve"> </w:t>
      </w:r>
      <w:r w:rsidRPr="002978D5">
        <w:rPr>
          <w:lang w:val="lt-LT"/>
        </w:rPr>
        <w:t>platinai rezistentiško kiaušidžių PROC vėžio gydymui Lietuvoje yra taikoma chemoterapija be platinos preparatų. Dažniausiai skiriamas gydymas liposominiu doksorubicinu (~70%), paklitakseliu (~20%) ir topotekanu (~10%) renkantis gydymą yra atsižvelgiama į paciento gretutines ligas, ir vaisto toksiškumą. Ekspertų nuomone, šių chemoterapijų veiksmingumas tarpusavyje yra iš esmės nesiskiriantis. Centralizuotai perkamas bevacizumabas pažengusios aukštos rizikos kiaušidžių karcinomos gydymui dažniausiai skiriamas ankstyvesniuose gydymo etapuose t.y. iki atsparumo platinai atsiradimo, ko pasėkoje yra nebeskirtinas pakartotinai vėlesnėse gydymo eilėse išsivysčius atsparumai platinos preparatams. Jokių vaistinių preparatų kurie specifiškai veiktų teigiamą folatų recetorių alfa (FRα) rodmenį turinčią kiaušidžių karcinomą nėra kompensuojama.</w:t>
      </w:r>
    </w:p>
    <w:p w14:paraId="6438BD1C" w14:textId="77777777" w:rsidR="00926724" w:rsidRPr="002978D5" w:rsidRDefault="00926724" w:rsidP="00926724">
      <w:pPr>
        <w:pStyle w:val="Tekstas"/>
        <w:spacing w:line="276" w:lineRule="auto"/>
        <w:ind w:firstLine="720"/>
        <w:rPr>
          <w:lang w:val="lt-LT"/>
        </w:rPr>
      </w:pPr>
      <w:r w:rsidRPr="002978D5">
        <w:rPr>
          <w:lang w:val="lt-LT"/>
        </w:rPr>
        <w:t>Mirvetuksimabas soravtansinas yra antikūno ir vaisto konjugatas. Antikūnas yra modifikuotas IgG1, nukreiptas prieš folatų receptorių alfa (FRα). Antikūno dalies funkcija yra jungtis prie FRα, kurio raiška aptinkama ant kiaušidžių vėžio ląstelių paviršiaus. DM4 yra mikrovamzdelių inhibitorius, prijungtas prie antikūno skaidoma jungtimi. Prisijungęs prie FRα, mirvetuksimabas soravtansinas yra internalizuojamas, po to ląstelės viduje proteolizinio skaidymo būdu DM4 atpalaiduojamas. DM4 suardo mikrovamzdelių tinklą ląstelėje, tai sukelia ląstelių ciklo sustabdymą ir apoptozinę ląstelių žūtį.</w:t>
      </w:r>
    </w:p>
    <w:p w14:paraId="6FBBBD66" w14:textId="77777777" w:rsidR="00926724" w:rsidRDefault="00926724" w:rsidP="00926724">
      <w:pPr>
        <w:tabs>
          <w:tab w:val="left" w:pos="492"/>
        </w:tabs>
        <w:spacing w:line="276" w:lineRule="auto"/>
        <w:jc w:val="both"/>
        <w:outlineLvl w:val="1"/>
        <w:rPr>
          <w:rFonts w:eastAsia="Arial"/>
        </w:rPr>
      </w:pPr>
      <w:r>
        <w:rPr>
          <w:rFonts w:eastAsia="Arial"/>
        </w:rPr>
        <w:tab/>
      </w:r>
      <w:r w:rsidRPr="002978D5">
        <w:rPr>
          <w:rFonts w:eastAsia="Arial"/>
        </w:rPr>
        <w:t xml:space="preserve">Mirvetuksimabo soravtansino efektyvumas yra lyginamas su įprastu ir dažniausiai Lietuvoje taikomu gydymu t.y. chemoterapija be platinos preparatu remiantis tiesioginio efektyvumo palyginimo klinikiniu tyrimu MIRASOL. MIRASOL - III fazės atsitiktinių imčių tyrimas (IMGN853-0416), kuriame dalyvavo platinos vaistiniams preparatams atspariu pažengusiu didelio piktybiškumo laipsnio seroziniu epiteliniu kiaušidžių, pirminiu pilvaplėvės arba kiaušintakių vėžiu sergančios pacientės, kurių vėžys buvo FRα teigiamas. Platinos vaistiniams preparatams atspari liga </w:t>
      </w:r>
      <w:r w:rsidRPr="002978D5">
        <w:rPr>
          <w:rFonts w:eastAsia="Arial"/>
        </w:rPr>
        <w:lastRenderedPageBreak/>
        <w:t>buvo apibrėžiama kaip EKV, kuris pasikartojo per 6 mėnesius nuo paskutinės platinos vaistinio preparato dozės vartojimo.</w:t>
      </w:r>
    </w:p>
    <w:p w14:paraId="105DF748" w14:textId="77777777" w:rsidR="00926724" w:rsidRDefault="00926724" w:rsidP="00926724">
      <w:pPr>
        <w:tabs>
          <w:tab w:val="left" w:pos="492"/>
        </w:tabs>
        <w:spacing w:line="276" w:lineRule="auto"/>
        <w:jc w:val="both"/>
        <w:outlineLvl w:val="1"/>
        <w:rPr>
          <w:rFonts w:eastAsia="Arial"/>
          <w:i/>
          <w:iCs/>
        </w:rPr>
      </w:pPr>
      <w:r w:rsidRPr="00F90E87">
        <w:rPr>
          <w:rFonts w:eastAsia="Arial"/>
          <w:i/>
          <w:iCs/>
        </w:rPr>
        <w:t>Tiesioginis palyginimas</w:t>
      </w:r>
    </w:p>
    <w:p w14:paraId="7FE43721" w14:textId="77777777" w:rsidR="00926724" w:rsidRDefault="00926724" w:rsidP="00926724">
      <w:pPr>
        <w:tabs>
          <w:tab w:val="left" w:pos="492"/>
        </w:tabs>
        <w:spacing w:line="276" w:lineRule="auto"/>
        <w:jc w:val="both"/>
        <w:outlineLvl w:val="1"/>
        <w:rPr>
          <w:rFonts w:eastAsia="Arial"/>
        </w:rPr>
      </w:pPr>
      <w:r>
        <w:rPr>
          <w:rFonts w:eastAsia="Arial"/>
        </w:rPr>
        <w:tab/>
        <w:t xml:space="preserve">Detalus vertinima parodė, kad </w:t>
      </w:r>
      <w:r w:rsidRPr="00F90E87">
        <w:rPr>
          <w:rFonts w:eastAsia="Arial"/>
        </w:rPr>
        <w:t xml:space="preserve">Įtraukimo kriterijai atitinka siūloma kompensuoti terapinę indikacija, tačiau atkreiptinas dėmėsis, kad terapinės indikacijos pacienčių populiacija pasižymi heterogeniškumu dėl taikytų sisteminių terapijų skaičiaus (įskaitant palaikomąjį gydymą olaparibu, nustačus BRCA mutaciją, arba bevacizumabu, nesant BRCA mutacijai). </w:t>
      </w:r>
      <w:r>
        <w:rPr>
          <w:rFonts w:eastAsia="Arial"/>
        </w:rPr>
        <w:t>Į</w:t>
      </w:r>
      <w:r w:rsidRPr="006511C9">
        <w:rPr>
          <w:rFonts w:eastAsia="Arial"/>
        </w:rPr>
        <w:t>vertinus pradinės pacientų bazinės charakteristikos, nustatyta, kad 43 proc. pacienčių klinikiniame tyrime MIRASOL anksčiau nebuvo gydomi liposominiu doksorubicinu, 99 proc. nebuvo gydomi topotekanu bei apie 47 proc. visų pacienčių prieš tai buvo gydomos 3 sisteminėmis terapijomis, daroma išvada, kad tyrimo MIRASOL populiacija labiau atitinka Lietuvos pacienčių populiacijai, kuriai reikalingas trečios eilės gydymas dėl ligos progresijos.</w:t>
      </w:r>
      <w:r>
        <w:rPr>
          <w:rFonts w:eastAsia="Arial"/>
        </w:rPr>
        <w:t xml:space="preserve"> </w:t>
      </w:r>
      <w:r>
        <w:rPr>
          <w:rFonts w:eastAsia="Arial"/>
          <w:iCs/>
          <w:color w:val="000000" w:themeColor="text1"/>
        </w:rPr>
        <w:t>P</w:t>
      </w:r>
      <w:r w:rsidRPr="00762C02">
        <w:rPr>
          <w:rFonts w:eastAsia="Arial"/>
          <w:iCs/>
          <w:color w:val="000000" w:themeColor="text1"/>
        </w:rPr>
        <w:t>alyginamasis gydymas chemoterapija</w:t>
      </w:r>
      <w:r>
        <w:rPr>
          <w:rFonts w:eastAsia="Arial"/>
          <w:iCs/>
          <w:color w:val="000000" w:themeColor="text1"/>
        </w:rPr>
        <w:t xml:space="preserve"> - </w:t>
      </w:r>
      <w:r w:rsidRPr="00762C02">
        <w:rPr>
          <w:rFonts w:eastAsia="Arial"/>
          <w:iCs/>
          <w:color w:val="000000" w:themeColor="text1"/>
        </w:rPr>
        <w:t>monoterapija topotekanu arba liposominiu doksorubicinu arba paklitakseli</w:t>
      </w:r>
      <w:r>
        <w:rPr>
          <w:rFonts w:eastAsia="Arial"/>
          <w:iCs/>
          <w:color w:val="000000" w:themeColor="text1"/>
        </w:rPr>
        <w:t xml:space="preserve">u - </w:t>
      </w:r>
      <w:r w:rsidRPr="00762C02">
        <w:rPr>
          <w:rFonts w:eastAsia="Arial"/>
          <w:iCs/>
          <w:color w:val="000000" w:themeColor="text1"/>
        </w:rPr>
        <w:t>laikomas tinkamu.</w:t>
      </w:r>
      <w:r w:rsidRPr="00342664">
        <w:rPr>
          <w:rFonts w:eastAsia="Arial"/>
          <w:i/>
        </w:rPr>
        <w:t xml:space="preserve"> </w:t>
      </w:r>
      <w:r w:rsidRPr="00517E32">
        <w:rPr>
          <w:rFonts w:eastAsia="Arial"/>
        </w:rPr>
        <w:t>Pirminė (</w:t>
      </w:r>
      <w:r>
        <w:rPr>
          <w:rFonts w:eastAsia="Arial"/>
        </w:rPr>
        <w:t>išgyvenamumas be ligos progreavimo (IBLP)</w:t>
      </w:r>
      <w:r w:rsidRPr="00517E32">
        <w:rPr>
          <w:rFonts w:eastAsia="Arial"/>
        </w:rPr>
        <w:t xml:space="preserve"> vertinta tyrėjo) ir antrinės vertinamosios</w:t>
      </w:r>
      <w:r>
        <w:rPr>
          <w:rFonts w:eastAsia="Arial"/>
        </w:rPr>
        <w:t xml:space="preserve"> </w:t>
      </w:r>
      <w:r w:rsidRPr="00517E32">
        <w:rPr>
          <w:rFonts w:eastAsia="Arial"/>
        </w:rPr>
        <w:t>(</w:t>
      </w:r>
      <w:r>
        <w:rPr>
          <w:rFonts w:eastAsia="Arial"/>
        </w:rPr>
        <w:t>bendras išgyvenamumas (BI)</w:t>
      </w:r>
      <w:r w:rsidRPr="00517E32">
        <w:rPr>
          <w:rFonts w:eastAsia="Arial"/>
        </w:rPr>
        <w:t xml:space="preserve">, IBLP vertinta nepriklausomo peržiūros komiteto) baigtys yra tinkamos, nes gydymo efektyvumas klinikinėje praktikoje vertinamas pagal ligos progresijos atitolinimą ir paciento gyvenimo trukmę nuo gydymo pradžios. Ligos progresijos vertinimas pagal RECIST v1.1. kriterijus, ligos progresija nustatoma radiologiniais tyrimais (KT, MRT arba rentgeno tyrimas). Taikomi statistiniai metodai rezultatams įvertinti laikomi tinkamais. Ligos progresijos bei atsako į gydymo vertinimas atlikdavo tyrėjai. Nepriklausomas peržiūros komitetas buvo numatytas įvertinti IBLP – pateikta kaip antrinė vertinamoji baigtis kartu su BI.  </w:t>
      </w:r>
    </w:p>
    <w:p w14:paraId="7123F31B" w14:textId="77777777" w:rsidR="00926724" w:rsidRPr="00536B66" w:rsidRDefault="00926724" w:rsidP="00926724">
      <w:pPr>
        <w:tabs>
          <w:tab w:val="left" w:pos="426"/>
        </w:tabs>
        <w:spacing w:line="276" w:lineRule="auto"/>
        <w:jc w:val="both"/>
        <w:rPr>
          <w:rFonts w:eastAsia="Arial"/>
          <w:iCs/>
        </w:rPr>
      </w:pPr>
      <w:r>
        <w:rPr>
          <w:rFonts w:eastAsia="Arial"/>
          <w:iCs/>
          <w:color w:val="000000" w:themeColor="text1"/>
        </w:rPr>
        <w:tab/>
      </w:r>
      <w:r w:rsidRPr="00762C02">
        <w:rPr>
          <w:rFonts w:eastAsia="Arial"/>
          <w:iCs/>
          <w:color w:val="000000" w:themeColor="text1"/>
        </w:rPr>
        <w:t>Palyginamųjų tiriamųjų grupių pacientų pradinės charakteristikos buvo subalansuotos, t. y. atitiko demografinius rodiklius, prognozuojamus veiksnius (ligos stadijas, laiką iki ligos atsinaujinimo po taikytos platinos pagrindu terapijos), prieš tai taikyto gydymo ir taikytų sisteminių terapijų skaičių.</w:t>
      </w:r>
      <w:r>
        <w:rPr>
          <w:rFonts w:eastAsia="Arial"/>
          <w:iCs/>
          <w:color w:val="000000" w:themeColor="text1"/>
        </w:rPr>
        <w:t xml:space="preserve"> </w:t>
      </w:r>
      <w:r w:rsidRPr="00536B66">
        <w:rPr>
          <w:rFonts w:eastAsia="Arial"/>
          <w:iCs/>
        </w:rPr>
        <w:t xml:space="preserve">Pirminės ir antrinių baigčių rezultatai parodė, kad bendroje pacienčių populiacijoje (ITT populiacija) pacienčių, gydytų MS, IBLP vertintas tyrėjo statistiškai reikšmingai geresnis nei pacienčių, gydytų ChT. </w:t>
      </w:r>
      <w:r>
        <w:rPr>
          <w:rFonts w:eastAsia="Arial"/>
          <w:iCs/>
        </w:rPr>
        <w:t xml:space="preserve">IBLP mediana buvo 5,62 mėn. (95 PI: 4,34-5,96) </w:t>
      </w:r>
      <w:r w:rsidRPr="000F1B22">
        <w:rPr>
          <w:rFonts w:eastAsia="Arial"/>
          <w:iCs/>
        </w:rPr>
        <w:t>ir 3,98 mėn</w:t>
      </w:r>
      <w:r>
        <w:rPr>
          <w:rFonts w:eastAsia="Arial"/>
          <w:iCs/>
        </w:rPr>
        <w:t xml:space="preserve">. (95 PI: 2,86-4,47) (P&lt;0,001), atitinkamai. </w:t>
      </w:r>
      <w:r w:rsidRPr="00536B66">
        <w:rPr>
          <w:rFonts w:eastAsia="Arial"/>
          <w:iCs/>
        </w:rPr>
        <w:t>Tikėtina, kad ligos progresijos arba mirties nuo bet kokios priežasties rizika yra 28 proc. mažesnė gydant pacientus MS, palyginus su ChT pagal nepriklausomo peržiūros komiteto vertinimo rezultatus</w:t>
      </w:r>
      <w:r>
        <w:rPr>
          <w:rFonts w:eastAsia="Arial"/>
          <w:iCs/>
        </w:rPr>
        <w:t xml:space="preserve"> (rizikos santykis (RS) </w:t>
      </w:r>
      <w:r>
        <w:t xml:space="preserve">– </w:t>
      </w:r>
      <w:r w:rsidRPr="00C076F5">
        <w:t>0</w:t>
      </w:r>
      <w:r>
        <w:t>,</w:t>
      </w:r>
      <w:r w:rsidRPr="00C076F5">
        <w:t>72</w:t>
      </w:r>
      <w:r>
        <w:t xml:space="preserve"> (</w:t>
      </w:r>
      <w:r w:rsidRPr="00C076F5">
        <w:t>9</w:t>
      </w:r>
      <w:r>
        <w:t>5 proc.</w:t>
      </w:r>
      <w:r w:rsidRPr="00C076F5">
        <w:t xml:space="preserve"> </w:t>
      </w:r>
      <w:r>
        <w:t>P</w:t>
      </w:r>
      <w:r w:rsidRPr="00C076F5">
        <w:t>I: 0</w:t>
      </w:r>
      <w:r>
        <w:t>,</w:t>
      </w:r>
      <w:r w:rsidRPr="00C076F5">
        <w:t>56–0</w:t>
      </w:r>
      <w:r>
        <w:t>,</w:t>
      </w:r>
      <w:r w:rsidRPr="00C076F5">
        <w:t>92</w:t>
      </w:r>
      <w:r>
        <w:t>; P&lt;0,001)</w:t>
      </w:r>
      <w:r w:rsidRPr="00536B66">
        <w:rPr>
          <w:rFonts w:eastAsia="Arial"/>
          <w:iCs/>
        </w:rPr>
        <w:t xml:space="preserve">. </w:t>
      </w:r>
      <w:r w:rsidRPr="000F1B22">
        <w:rPr>
          <w:rFonts w:eastAsia="Arial"/>
          <w:iCs/>
        </w:rPr>
        <w:t xml:space="preserve">Bendro išgyvenamumo </w:t>
      </w:r>
      <w:r>
        <w:rPr>
          <w:rFonts w:eastAsia="Arial"/>
          <w:iCs/>
        </w:rPr>
        <w:t xml:space="preserve">(BI) </w:t>
      </w:r>
      <w:r w:rsidRPr="000F1B22">
        <w:rPr>
          <w:rFonts w:eastAsia="Arial"/>
          <w:iCs/>
        </w:rPr>
        <w:t>mediana</w:t>
      </w:r>
      <w:r>
        <w:rPr>
          <w:rFonts w:eastAsia="Arial"/>
          <w:iCs/>
        </w:rPr>
        <w:t xml:space="preserve"> MS grupėje buvo 16,46 mėn. (95 proc. PI: 14,46-24,57) ir ChT grupėje - 12,75 mėn. (95 proc. PI: 10,91-14,36). RS buvo 0,67 (95 proc. PI: 0,5-0,89; P</w:t>
      </w:r>
      <w:r>
        <w:rPr>
          <w:rFonts w:eastAsia="Arial"/>
          <w:iCs/>
          <w:lang w:val="en-GB"/>
        </w:rPr>
        <w:t>=</w:t>
      </w:r>
      <w:r>
        <w:rPr>
          <w:rFonts w:eastAsia="Arial"/>
          <w:iCs/>
          <w:lang w:val="en-US"/>
        </w:rPr>
        <w:t xml:space="preserve">0,005), </w:t>
      </w:r>
      <w:proofErr w:type="spellStart"/>
      <w:r>
        <w:rPr>
          <w:rFonts w:eastAsia="Arial"/>
          <w:iCs/>
          <w:lang w:val="en-US"/>
        </w:rPr>
        <w:t>t.y</w:t>
      </w:r>
      <w:proofErr w:type="spellEnd"/>
      <w:r>
        <w:rPr>
          <w:rFonts w:eastAsia="Arial"/>
          <w:iCs/>
          <w:lang w:val="en-US"/>
        </w:rPr>
        <w:t>. g</w:t>
      </w:r>
      <w:r w:rsidRPr="00536B66">
        <w:rPr>
          <w:rFonts w:eastAsia="Arial"/>
          <w:iCs/>
        </w:rPr>
        <w:t>ydymas MS mažina 33 proc. mirties nuo bet kokios priežasties riziką, palyginus su gydymu ChT.</w:t>
      </w:r>
    </w:p>
    <w:p w14:paraId="0B325869" w14:textId="720B4FCF" w:rsidR="00926724" w:rsidRDefault="003B55E9" w:rsidP="00926724">
      <w:pPr>
        <w:tabs>
          <w:tab w:val="left" w:pos="426"/>
        </w:tabs>
        <w:spacing w:line="276" w:lineRule="auto"/>
        <w:jc w:val="both"/>
        <w:rPr>
          <w:rFonts w:eastAsia="Arial"/>
          <w:bCs/>
          <w:iCs/>
        </w:rPr>
      </w:pPr>
      <w:r>
        <w:rPr>
          <w:rFonts w:eastAsia="Arial"/>
          <w:bCs/>
          <w:iCs/>
        </w:rPr>
        <w:tab/>
        <w:t>*****************************************************************************************************************************************************************************************************************************************************************************************************************************************************************************************************************************************************************************************************************************************************************************************************************************</w:t>
      </w:r>
    </w:p>
    <w:p w14:paraId="25766287" w14:textId="77777777" w:rsidR="00926724" w:rsidRPr="00E8395D" w:rsidRDefault="00926724" w:rsidP="00926724">
      <w:pPr>
        <w:spacing w:line="276" w:lineRule="auto"/>
        <w:ind w:firstLine="720"/>
        <w:jc w:val="both"/>
        <w:rPr>
          <w:rFonts w:eastAsia="Arial"/>
          <w:bCs/>
        </w:rPr>
      </w:pPr>
      <w:r>
        <w:rPr>
          <w:rFonts w:eastAsia="Arial"/>
          <w:bCs/>
        </w:rPr>
        <w:t>Visiškas gydymo nutraukimas tyrimo metu pasitaikė dažniau ChT grupėje nei MS grupėje Tačiau gydymas MS gali sukelti a</w:t>
      </w:r>
      <w:r w:rsidRPr="00E8395D">
        <w:rPr>
          <w:rFonts w:eastAsia="Arial"/>
          <w:bCs/>
        </w:rPr>
        <w:t>ki</w:t>
      </w:r>
      <w:r w:rsidRPr="00E8395D">
        <w:rPr>
          <w:rFonts w:eastAsia="Arial" w:hint="eastAsia"/>
          <w:bCs/>
        </w:rPr>
        <w:t>ų</w:t>
      </w:r>
      <w:r w:rsidRPr="00E8395D">
        <w:rPr>
          <w:rFonts w:eastAsia="Arial"/>
          <w:bCs/>
        </w:rPr>
        <w:t xml:space="preserve"> nepageidaujamos reakcijos</w:t>
      </w:r>
      <w:r>
        <w:rPr>
          <w:rFonts w:eastAsia="Arial"/>
          <w:bCs/>
        </w:rPr>
        <w:t xml:space="preserve"> (ANR). </w:t>
      </w:r>
      <w:r w:rsidRPr="00E8395D">
        <w:rPr>
          <w:rFonts w:eastAsia="Arial"/>
          <w:bCs/>
        </w:rPr>
        <w:t xml:space="preserve"> </w:t>
      </w:r>
      <w:r>
        <w:rPr>
          <w:rFonts w:eastAsia="Arial"/>
          <w:bCs/>
        </w:rPr>
        <w:t xml:space="preserve">Iš viso MS grupėje ANR buvo užregistruotos </w:t>
      </w:r>
      <w:r w:rsidRPr="00E8395D">
        <w:rPr>
          <w:rFonts w:eastAsia="Arial"/>
          <w:bCs/>
        </w:rPr>
        <w:t xml:space="preserve"> 59</w:t>
      </w:r>
      <w:r>
        <w:rPr>
          <w:rFonts w:eastAsia="Arial"/>
          <w:bCs/>
        </w:rPr>
        <w:t xml:space="preserve"> proc. </w:t>
      </w:r>
      <w:r w:rsidRPr="00E8395D">
        <w:rPr>
          <w:rFonts w:eastAsia="Arial"/>
          <w:bCs/>
        </w:rPr>
        <w:t>pacien</w:t>
      </w:r>
      <w:r w:rsidRPr="00E8395D">
        <w:rPr>
          <w:rFonts w:eastAsia="Arial" w:hint="eastAsia"/>
          <w:bCs/>
        </w:rPr>
        <w:t>č</w:t>
      </w:r>
      <w:r w:rsidRPr="00E8395D">
        <w:rPr>
          <w:rFonts w:eastAsia="Arial"/>
          <w:bCs/>
        </w:rPr>
        <w:t>i</w:t>
      </w:r>
      <w:r w:rsidRPr="00E8395D">
        <w:rPr>
          <w:rFonts w:eastAsia="Arial" w:hint="eastAsia"/>
          <w:bCs/>
        </w:rPr>
        <w:t>ų</w:t>
      </w:r>
      <w:r>
        <w:rPr>
          <w:rFonts w:eastAsia="Arial"/>
          <w:bCs/>
        </w:rPr>
        <w:t xml:space="preserve">, </w:t>
      </w:r>
      <w:r w:rsidRPr="00E8395D">
        <w:rPr>
          <w:rFonts w:eastAsia="Arial"/>
          <w:bCs/>
        </w:rPr>
        <w:t>gydyt</w:t>
      </w:r>
      <w:r w:rsidRPr="00E8395D">
        <w:rPr>
          <w:rFonts w:eastAsia="Arial" w:hint="eastAsia"/>
          <w:bCs/>
        </w:rPr>
        <w:t>ų</w:t>
      </w:r>
      <w:r w:rsidRPr="00E8395D">
        <w:rPr>
          <w:rFonts w:eastAsia="Arial"/>
          <w:bCs/>
        </w:rPr>
        <w:t xml:space="preserve"> mirvetuksimabu soravtansinu. Vienuolikai procent</w:t>
      </w:r>
      <w:r w:rsidRPr="00E8395D">
        <w:rPr>
          <w:rFonts w:eastAsia="Arial" w:hint="eastAsia"/>
          <w:bCs/>
        </w:rPr>
        <w:t>ų</w:t>
      </w:r>
      <w:r w:rsidRPr="00E8395D">
        <w:rPr>
          <w:rFonts w:eastAsia="Arial"/>
          <w:bCs/>
        </w:rPr>
        <w:t xml:space="preserve"> (11 </w:t>
      </w:r>
      <w:r>
        <w:rPr>
          <w:rFonts w:eastAsia="Arial"/>
          <w:bCs/>
        </w:rPr>
        <w:t>proc.</w:t>
      </w:r>
      <w:r w:rsidRPr="00E8395D">
        <w:rPr>
          <w:rFonts w:eastAsia="Arial"/>
          <w:bCs/>
        </w:rPr>
        <w:t>) pacien</w:t>
      </w:r>
      <w:r w:rsidRPr="00E8395D">
        <w:rPr>
          <w:rFonts w:eastAsia="Arial" w:hint="eastAsia"/>
          <w:bCs/>
        </w:rPr>
        <w:t>č</w:t>
      </w:r>
      <w:r w:rsidRPr="00E8395D">
        <w:rPr>
          <w:rFonts w:eastAsia="Arial"/>
          <w:bCs/>
        </w:rPr>
        <w:t>i</w:t>
      </w:r>
      <w:r w:rsidRPr="00E8395D">
        <w:rPr>
          <w:rFonts w:eastAsia="Arial" w:hint="eastAsia"/>
          <w:bCs/>
        </w:rPr>
        <w:t>ų</w:t>
      </w:r>
      <w:r w:rsidRPr="00E8395D">
        <w:rPr>
          <w:rFonts w:eastAsia="Arial"/>
          <w:bCs/>
        </w:rPr>
        <w:t xml:space="preserve"> pasirei</w:t>
      </w:r>
      <w:r w:rsidRPr="00E8395D">
        <w:rPr>
          <w:rFonts w:eastAsia="Arial" w:hint="eastAsia"/>
          <w:bCs/>
        </w:rPr>
        <w:t>š</w:t>
      </w:r>
      <w:r w:rsidRPr="00E8395D">
        <w:rPr>
          <w:rFonts w:eastAsia="Arial"/>
          <w:bCs/>
        </w:rPr>
        <w:t>k</w:t>
      </w:r>
      <w:r w:rsidRPr="00E8395D">
        <w:rPr>
          <w:rFonts w:eastAsia="Arial" w:hint="eastAsia"/>
          <w:bCs/>
        </w:rPr>
        <w:t>ė</w:t>
      </w:r>
      <w:r w:rsidRPr="00E8395D">
        <w:rPr>
          <w:rFonts w:eastAsia="Arial"/>
          <w:bCs/>
        </w:rPr>
        <w:t xml:space="preserve"> 3 laipsnio</w:t>
      </w:r>
      <w:r>
        <w:rPr>
          <w:rFonts w:eastAsia="Arial"/>
          <w:bCs/>
        </w:rPr>
        <w:t xml:space="preserve"> </w:t>
      </w:r>
      <w:r w:rsidRPr="00E8395D">
        <w:rPr>
          <w:rFonts w:eastAsia="Arial"/>
          <w:bCs/>
        </w:rPr>
        <w:t>aki</w:t>
      </w:r>
      <w:r w:rsidRPr="00E8395D">
        <w:rPr>
          <w:rFonts w:eastAsia="Arial" w:hint="eastAsia"/>
          <w:bCs/>
        </w:rPr>
        <w:t>ų</w:t>
      </w:r>
      <w:r w:rsidRPr="00E8395D">
        <w:rPr>
          <w:rFonts w:eastAsia="Arial"/>
          <w:bCs/>
        </w:rPr>
        <w:t xml:space="preserve"> nepageidaujam</w:t>
      </w:r>
      <w:r w:rsidRPr="00E8395D">
        <w:rPr>
          <w:rFonts w:eastAsia="Arial" w:hint="eastAsia"/>
          <w:bCs/>
        </w:rPr>
        <w:t>ų</w:t>
      </w:r>
      <w:r w:rsidRPr="00E8395D">
        <w:rPr>
          <w:rFonts w:eastAsia="Arial"/>
          <w:bCs/>
        </w:rPr>
        <w:t xml:space="preserve"> reakcij</w:t>
      </w:r>
      <w:r w:rsidRPr="00E8395D">
        <w:rPr>
          <w:rFonts w:eastAsia="Arial" w:hint="eastAsia"/>
          <w:bCs/>
        </w:rPr>
        <w:t>ų</w:t>
      </w:r>
      <w:r w:rsidRPr="00E8395D">
        <w:rPr>
          <w:rFonts w:eastAsia="Arial"/>
          <w:bCs/>
        </w:rPr>
        <w:t xml:space="preserve"> ir &lt; 1 </w:t>
      </w:r>
      <w:r>
        <w:rPr>
          <w:rFonts w:eastAsia="Arial"/>
          <w:bCs/>
        </w:rPr>
        <w:t>proc.</w:t>
      </w:r>
      <w:r w:rsidRPr="00E8395D">
        <w:rPr>
          <w:rFonts w:eastAsia="Arial"/>
          <w:bCs/>
        </w:rPr>
        <w:t xml:space="preserve"> pasirei</w:t>
      </w:r>
      <w:r w:rsidRPr="00E8395D">
        <w:rPr>
          <w:rFonts w:eastAsia="Arial" w:hint="eastAsia"/>
          <w:bCs/>
        </w:rPr>
        <w:t>š</w:t>
      </w:r>
      <w:r w:rsidRPr="00E8395D">
        <w:rPr>
          <w:rFonts w:eastAsia="Arial"/>
          <w:bCs/>
        </w:rPr>
        <w:t>k</w:t>
      </w:r>
      <w:r w:rsidRPr="00E8395D">
        <w:rPr>
          <w:rFonts w:eastAsia="Arial" w:hint="eastAsia"/>
          <w:bCs/>
        </w:rPr>
        <w:t>ė</w:t>
      </w:r>
      <w:r w:rsidRPr="00E8395D">
        <w:rPr>
          <w:rFonts w:eastAsia="Arial"/>
          <w:bCs/>
        </w:rPr>
        <w:t xml:space="preserve"> 4 </w:t>
      </w:r>
      <w:r w:rsidRPr="00E8395D">
        <w:rPr>
          <w:rFonts w:eastAsia="Arial"/>
          <w:bCs/>
        </w:rPr>
        <w:lastRenderedPageBreak/>
        <w:t>laipsnio rei</w:t>
      </w:r>
      <w:r w:rsidRPr="00E8395D">
        <w:rPr>
          <w:rFonts w:eastAsia="Arial" w:hint="eastAsia"/>
          <w:bCs/>
        </w:rPr>
        <w:t>š</w:t>
      </w:r>
      <w:r w:rsidRPr="00E8395D">
        <w:rPr>
          <w:rFonts w:eastAsia="Arial"/>
          <w:bCs/>
        </w:rPr>
        <w:t>kini</w:t>
      </w:r>
      <w:r w:rsidRPr="00E8395D">
        <w:rPr>
          <w:rFonts w:eastAsia="Arial" w:hint="eastAsia"/>
          <w:bCs/>
        </w:rPr>
        <w:t>ų</w:t>
      </w:r>
      <w:r w:rsidRPr="00E8395D">
        <w:rPr>
          <w:rFonts w:eastAsia="Arial"/>
          <w:bCs/>
        </w:rPr>
        <w:t>. Da</w:t>
      </w:r>
      <w:r w:rsidRPr="00E8395D">
        <w:rPr>
          <w:rFonts w:eastAsia="Arial" w:hint="eastAsia"/>
          <w:bCs/>
        </w:rPr>
        <w:t>ž</w:t>
      </w:r>
      <w:r w:rsidRPr="00E8395D">
        <w:rPr>
          <w:rFonts w:eastAsia="Arial"/>
          <w:bCs/>
        </w:rPr>
        <w:t xml:space="preserve">niausios </w:t>
      </w:r>
      <w:r w:rsidRPr="00E8395D">
        <w:rPr>
          <w:rFonts w:eastAsia="Arial" w:hint="eastAsia"/>
          <w:bCs/>
        </w:rPr>
        <w:t>≥</w:t>
      </w:r>
      <w:r w:rsidRPr="00E8395D">
        <w:rPr>
          <w:rFonts w:eastAsia="Arial"/>
          <w:bCs/>
        </w:rPr>
        <w:t xml:space="preserve"> 3 laipsnio aki</w:t>
      </w:r>
      <w:r w:rsidRPr="00E8395D">
        <w:rPr>
          <w:rFonts w:eastAsia="Arial" w:hint="eastAsia"/>
          <w:bCs/>
        </w:rPr>
        <w:t>ų</w:t>
      </w:r>
      <w:r>
        <w:rPr>
          <w:rFonts w:eastAsia="Arial"/>
          <w:bCs/>
        </w:rPr>
        <w:t xml:space="preserve"> </w:t>
      </w:r>
      <w:r w:rsidRPr="00E8395D">
        <w:rPr>
          <w:rFonts w:eastAsia="Arial"/>
          <w:bCs/>
        </w:rPr>
        <w:t>nepageidaujamos reakcijos buvo nery</w:t>
      </w:r>
      <w:r w:rsidRPr="00E8395D">
        <w:rPr>
          <w:rFonts w:eastAsia="Arial" w:hint="eastAsia"/>
          <w:bCs/>
        </w:rPr>
        <w:t>š</w:t>
      </w:r>
      <w:r w:rsidRPr="00E8395D">
        <w:rPr>
          <w:rFonts w:eastAsia="Arial"/>
          <w:bCs/>
        </w:rPr>
        <w:t xml:space="preserve">kus matymas ir keratopatija (po 5 </w:t>
      </w:r>
      <w:r>
        <w:rPr>
          <w:rFonts w:eastAsia="Arial"/>
          <w:bCs/>
        </w:rPr>
        <w:t>proc.</w:t>
      </w:r>
      <w:r w:rsidRPr="00E8395D">
        <w:rPr>
          <w:rFonts w:eastAsia="Arial"/>
          <w:bCs/>
        </w:rPr>
        <w:t>, grupiniai terminai) ir</w:t>
      </w:r>
      <w:r>
        <w:rPr>
          <w:rFonts w:eastAsia="Arial"/>
          <w:bCs/>
        </w:rPr>
        <w:t xml:space="preserve"> </w:t>
      </w:r>
      <w:r w:rsidRPr="00E8395D">
        <w:rPr>
          <w:rFonts w:eastAsia="Arial"/>
          <w:bCs/>
        </w:rPr>
        <w:t>katarakta (4</w:t>
      </w:r>
      <w:r>
        <w:rPr>
          <w:rFonts w:eastAsia="Arial"/>
          <w:bCs/>
        </w:rPr>
        <w:t xml:space="preserve"> proc.). </w:t>
      </w:r>
      <w:r w:rsidRPr="00021EFC">
        <w:rPr>
          <w:rFonts w:eastAsia="Arial"/>
          <w:bCs/>
        </w:rPr>
        <w:t>Be</w:t>
      </w:r>
      <w:r>
        <w:rPr>
          <w:rFonts w:eastAsia="Arial"/>
          <w:bCs/>
        </w:rPr>
        <w:t xml:space="preserve">ndrai, sunkių nepageidaujamų reakcijų (SNR) skaičius buvo mažesnis MS grupėje nei ChT grupėje. SNR santykinė rizika buvo reikšmingai mažesnė gydant MS nei ChT (RS </w:t>
      </w:r>
      <w:r>
        <w:rPr>
          <w:rFonts w:eastAsia="Arial"/>
          <w:bCs/>
          <w:lang w:val="en-GB"/>
        </w:rPr>
        <w:t xml:space="preserve">= </w:t>
      </w:r>
      <w:r>
        <w:rPr>
          <w:rFonts w:eastAsia="Arial"/>
          <w:bCs/>
        </w:rPr>
        <w:t>0,73 (95 pro. PI: 0,55-0,93).</w:t>
      </w:r>
    </w:p>
    <w:p w14:paraId="336EE5CE" w14:textId="5EBDF713" w:rsidR="00926724" w:rsidRPr="00926724" w:rsidRDefault="00926724" w:rsidP="00926724">
      <w:pPr>
        <w:tabs>
          <w:tab w:val="left" w:pos="426"/>
        </w:tabs>
        <w:spacing w:line="276" w:lineRule="auto"/>
        <w:jc w:val="both"/>
        <w:rPr>
          <w:rFonts w:eastAsia="Arial"/>
          <w:bCs/>
          <w:iCs/>
        </w:rPr>
      </w:pPr>
      <w:r>
        <w:rPr>
          <w:rFonts w:eastAsia="Arial"/>
          <w:bCs/>
          <w:iCs/>
        </w:rPr>
        <w:tab/>
      </w:r>
      <w:r w:rsidRPr="00634A23">
        <w:rPr>
          <w:rFonts w:eastAsia="Arial"/>
          <w:bCs/>
          <w:iCs/>
        </w:rPr>
        <w:t>Apibendrinant tiesioginio palyginimo rezultatus, atsižvelgiant į MIRASOL tyrimo populiacijos pradines demografines ir klinikines charakteristikas bei įprastą klinikinę praktiką Lietuvoj</w:t>
      </w:r>
      <w:r>
        <w:rPr>
          <w:rFonts w:eastAsia="Arial"/>
          <w:bCs/>
          <w:iCs/>
        </w:rPr>
        <w:t xml:space="preserve">, </w:t>
      </w:r>
      <w:r w:rsidRPr="00634A23">
        <w:rPr>
          <w:rFonts w:eastAsia="Arial"/>
          <w:bCs/>
          <w:iCs/>
        </w:rPr>
        <w:t>gydymas mirvetuksimabu soravtansinu yra veiksmingesnis nei chemoterapija taikant kaip trečios eilės gydymą, t.y. pacientėms su platinos vaistiniams preparatams atspariu didelio piktybiškumo laipsnio epiteliniu kiaušidžių, kiaušintakių arba pirminiu pilvaplėvės vėžiu, turinčiu teigiamą folatų recetorių alfa (FRα) rodmenį, kurios jau buvo gydytos 3 sisteminėmis terapijomis (įskaitant palaikomąjį gydymą olaparibu, nustačus BRCA mutaciją, arba bevacizumabu, nesant BRCA mutacijai).</w:t>
      </w:r>
    </w:p>
    <w:p w14:paraId="5098719F" w14:textId="77777777" w:rsidR="00926724" w:rsidRPr="00E33EFF" w:rsidRDefault="00926724"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6416870A" w:rsidR="00C62B36" w:rsidRDefault="00C62B36" w:rsidP="00A93AA6">
      <w:pPr>
        <w:tabs>
          <w:tab w:val="left" w:pos="426"/>
        </w:tabs>
        <w:rPr>
          <w:i/>
          <w:color w:val="00B050"/>
          <w:sz w:val="22"/>
          <w:szCs w:val="22"/>
        </w:rPr>
      </w:pPr>
    </w:p>
    <w:p w14:paraId="0A03A9DD" w14:textId="77777777" w:rsidR="00926724" w:rsidRPr="00E7714B" w:rsidRDefault="00926724" w:rsidP="00E7714B">
      <w:pPr>
        <w:pStyle w:val="Tekstas"/>
        <w:spacing w:line="276" w:lineRule="auto"/>
        <w:rPr>
          <w:lang w:val="lt-LT"/>
        </w:rPr>
      </w:pPr>
      <w:r w:rsidRPr="00E7714B">
        <w:rPr>
          <w:rFonts w:eastAsia="Arial"/>
          <w:lang w:val="lt-LT"/>
        </w:rPr>
        <w:t xml:space="preserve">Pateikta kaštų naudingumo analizė, kurioje nagrinėjami pacientės, </w:t>
      </w:r>
      <w:r w:rsidRPr="00E7714B">
        <w:rPr>
          <w:lang w:val="lt-LT"/>
        </w:rPr>
        <w:t xml:space="preserve">sergančios </w:t>
      </w:r>
      <w:r w:rsidRPr="00E7714B">
        <w:rPr>
          <w:rFonts w:eastAsia="Arial"/>
          <w:iCs/>
          <w:lang w:val="lt-LT"/>
        </w:rPr>
        <w:t>platinos vaistiniams preparatams atspariu didelio piktybiškumo laipsnio epiteliniu kiaušidžių, kiaušintakių arba pirminiu pilvaplėvės vėžiu, kurios jau buvo gydytos nuo vieno iki trijų sisteminio gydymo režimų. Šią pacientų populiaciją atitinka MIRASOL klinikinio tyrimo populiacija.</w:t>
      </w:r>
      <w:r w:rsidRPr="00E7714B">
        <w:rPr>
          <w:lang w:val="lt-LT"/>
        </w:rPr>
        <w:t xml:space="preserve"> Paraiškoje mirvetuksimabo soravtansino efektyvumas yra lyginamas su įprastu ir dažniausiai Lietuvoje taikomu gydymu t.y. chemoterapija be platinos preparatų, remiantis tiesioginio efektyvumo palyginimo klinikiniu tyrimu MIRASOL. MIRASOL tyrime taikytas palyginamasis gydymas chemoterapijos preparatais yra kompensuojamas ir atitinka Lietuvos klinikinę praktiką.</w:t>
      </w:r>
    </w:p>
    <w:p w14:paraId="4998449F" w14:textId="77777777" w:rsidR="00926724" w:rsidRPr="00E7714B" w:rsidRDefault="00926724" w:rsidP="00E7714B">
      <w:pPr>
        <w:pStyle w:val="Tekstas"/>
        <w:spacing w:line="276" w:lineRule="auto"/>
        <w:rPr>
          <w:lang w:val="lt-LT"/>
        </w:rPr>
      </w:pPr>
      <w:r w:rsidRPr="00E7714B">
        <w:rPr>
          <w:rFonts w:eastAsia="Arial"/>
          <w:lang w:val="lt-LT"/>
        </w:rPr>
        <w:t xml:space="preserve">Analizėje </w:t>
      </w:r>
      <w:r w:rsidRPr="00E7714B">
        <w:rPr>
          <w:lang w:val="lt-LT"/>
        </w:rPr>
        <w:t>taikytas trijų būklių padalintos kohortos išgyvenamumo modelis. Pacientai į modelį patenka sveikatos būklėje iki progresijos ir patiria ligos progresavimo ar mirties riziką. Šioje būklėje pacientai gauna gydymą. Ligai progresavus, pacientai patenka į sveikatos būklę po progresijos, kur lieka iki mirties. Mirtis – absorbuojanti būklė. Pagrindinis įrodymų šaltinis analizėje yra MIRASOL klinikinis tyrimas. Tai trečios fazes, multicentrinis tyrimas, kuriame nagrinėjamas mirventuksimabo efektyvumas palyginus su gydytojo pasirinkta chemoterapija.</w:t>
      </w:r>
    </w:p>
    <w:p w14:paraId="718D7095" w14:textId="77777777" w:rsidR="00926724" w:rsidRPr="00E7714B" w:rsidRDefault="00926724" w:rsidP="00E7714B">
      <w:pPr>
        <w:pStyle w:val="Tekstas"/>
        <w:spacing w:line="276" w:lineRule="auto"/>
        <w:rPr>
          <w:color w:val="000000"/>
          <w:lang w:val="lt-LT" w:eastAsia="lt-LT"/>
        </w:rPr>
      </w:pPr>
      <w:r w:rsidRPr="00E7714B">
        <w:rPr>
          <w:lang w:val="lt-LT"/>
        </w:rPr>
        <w:t xml:space="preserve">Vertinamųjų baigčių ekstrapoliacijai taikomi statistiniu požiūriu tinkamiausios parametrinės funkcijos. Laikoma, jog pareiškėjo </w:t>
      </w:r>
      <w:r w:rsidRPr="00E7714B">
        <w:rPr>
          <w:color w:val="000000"/>
          <w:lang w:val="lt-LT" w:eastAsia="lt-LT"/>
        </w:rPr>
        <w:t>taikomos prielaidos, vertinant efektyvumo skirtumus tarp siūlomo ir palyginamojo gydymo ilgajame laikotarpyje yra pagrįstos.</w:t>
      </w:r>
    </w:p>
    <w:p w14:paraId="5A2508C0" w14:textId="77777777" w:rsidR="00926724" w:rsidRPr="00E7714B" w:rsidRDefault="00926724" w:rsidP="00E7714B">
      <w:pPr>
        <w:tabs>
          <w:tab w:val="left" w:pos="567"/>
        </w:tabs>
        <w:spacing w:line="276" w:lineRule="auto"/>
        <w:jc w:val="both"/>
        <w:rPr>
          <w:lang w:eastAsia="lt-LT"/>
        </w:rPr>
      </w:pPr>
      <w:r w:rsidRPr="00E7714B">
        <w:rPr>
          <w:color w:val="000000"/>
          <w:lang w:eastAsia="lt-LT"/>
        </w:rPr>
        <w:t>Analizėje taikoma viso gyvenimo</w:t>
      </w:r>
      <w:r w:rsidRPr="00E7714B">
        <w:rPr>
          <w:color w:val="00B050"/>
          <w:lang w:eastAsia="lt-LT"/>
        </w:rPr>
        <w:t xml:space="preserve"> </w:t>
      </w:r>
      <w:r w:rsidRPr="00E7714B">
        <w:rPr>
          <w:color w:val="000000"/>
          <w:lang w:eastAsia="lt-LT"/>
        </w:rPr>
        <w:t xml:space="preserve">laiko perspektyva. Pasirinkta laiko perspektyva yra </w:t>
      </w:r>
      <w:r w:rsidRPr="00E7714B">
        <w:rPr>
          <w:lang w:eastAsia="lt-LT"/>
        </w:rPr>
        <w:t xml:space="preserve">tinkama, atsižvelgiant į tai, jog liga turi įtakos pacientų išgyvenamui. </w:t>
      </w:r>
    </w:p>
    <w:p w14:paraId="59CD9B12" w14:textId="77777777" w:rsidR="00926724" w:rsidRPr="00E7714B" w:rsidRDefault="00926724" w:rsidP="00E7714B">
      <w:pPr>
        <w:tabs>
          <w:tab w:val="left" w:pos="567"/>
        </w:tabs>
        <w:spacing w:line="276" w:lineRule="auto"/>
        <w:jc w:val="both"/>
      </w:pPr>
      <w:r w:rsidRPr="00E7714B">
        <w:t xml:space="preserve">Laikoma, jog gyvenimo kokybės įverčiai analizėje nepriklauso nuo gydymo. EQ-5D-5L duomenys buvo konvertuoti į EQ-5D-3L pagal NICE DSU rekomendacijas, naudojantis EEPRU duomenimis. </w:t>
      </w:r>
    </w:p>
    <w:p w14:paraId="3FC2DBE7" w14:textId="77777777" w:rsidR="00926724" w:rsidRPr="00E7714B" w:rsidRDefault="00926724" w:rsidP="00E7714B">
      <w:pPr>
        <w:tabs>
          <w:tab w:val="left" w:pos="567"/>
        </w:tabs>
        <w:spacing w:line="276" w:lineRule="auto"/>
        <w:jc w:val="both"/>
      </w:pPr>
      <w:r w:rsidRPr="00E7714B">
        <w:t>Tarnyba kreipėsi į Pareiškėją, nurodydama reikalingus pakeitimus pagrindinio atvejo analizėje:</w:t>
      </w:r>
    </w:p>
    <w:p w14:paraId="317B0902" w14:textId="77777777" w:rsidR="00926724" w:rsidRPr="00E7714B" w:rsidRDefault="00926724" w:rsidP="00E7714B">
      <w:pPr>
        <w:pStyle w:val="Tekstas"/>
        <w:spacing w:line="276" w:lineRule="auto"/>
        <w:rPr>
          <w:lang w:val="lt-LT"/>
        </w:rPr>
      </w:pPr>
      <w:r w:rsidRPr="00E7714B">
        <w:rPr>
          <w:lang w:val="lt-LT"/>
        </w:rPr>
        <w:tab/>
        <w:t>- BI mirvetuksimabo grupėje – gamma funkcija;</w:t>
      </w:r>
    </w:p>
    <w:p w14:paraId="58154E44" w14:textId="77777777" w:rsidR="00926724" w:rsidRPr="00E7714B" w:rsidRDefault="00926724" w:rsidP="00E7714B">
      <w:pPr>
        <w:pStyle w:val="Tekstas"/>
        <w:spacing w:line="276" w:lineRule="auto"/>
        <w:rPr>
          <w:lang w:val="lt-LT"/>
        </w:rPr>
      </w:pPr>
      <w:r w:rsidRPr="00E7714B">
        <w:rPr>
          <w:lang w:val="lt-LT"/>
        </w:rPr>
        <w:tab/>
        <w:t>- IBLP mirvetuksimabo ir chemoterapijos grupėse – log normal;</w:t>
      </w:r>
    </w:p>
    <w:p w14:paraId="44687DEA" w14:textId="77777777" w:rsidR="00926724" w:rsidRPr="00E7714B" w:rsidRDefault="00926724" w:rsidP="00E7714B">
      <w:pPr>
        <w:pStyle w:val="Tekstas"/>
        <w:spacing w:line="276" w:lineRule="auto"/>
        <w:rPr>
          <w:lang w:val="lt-LT"/>
        </w:rPr>
      </w:pPr>
      <w:r w:rsidRPr="00E7714B">
        <w:rPr>
          <w:lang w:val="lt-LT"/>
        </w:rPr>
        <w:tab/>
        <w:t>- 100 proc. RDI visiems gydymams;</w:t>
      </w:r>
    </w:p>
    <w:p w14:paraId="77B35378" w14:textId="77777777" w:rsidR="00926724" w:rsidRPr="00E7714B" w:rsidRDefault="00926724" w:rsidP="00E7714B">
      <w:pPr>
        <w:pStyle w:val="Tekstas"/>
        <w:spacing w:line="276" w:lineRule="auto"/>
        <w:rPr>
          <w:lang w:val="lt-LT"/>
        </w:rPr>
      </w:pPr>
      <w:r w:rsidRPr="00E7714B">
        <w:rPr>
          <w:lang w:val="lt-LT"/>
        </w:rPr>
        <w:tab/>
        <w:t>- Po ligos progresijos chemoterapijos grupėje negalimas mirvetuksimabas.</w:t>
      </w:r>
    </w:p>
    <w:p w14:paraId="35961E27" w14:textId="77777777" w:rsidR="00926724" w:rsidRPr="00F84761" w:rsidRDefault="00926724" w:rsidP="00E7714B">
      <w:pPr>
        <w:tabs>
          <w:tab w:val="left" w:pos="567"/>
        </w:tabs>
        <w:spacing w:line="276" w:lineRule="auto"/>
        <w:jc w:val="both"/>
        <w:rPr>
          <w:lang w:eastAsia="lt-LT"/>
        </w:rPr>
      </w:pPr>
      <w:r w:rsidRPr="00E7714B">
        <w:rPr>
          <w:lang w:eastAsia="lt-LT"/>
        </w:rPr>
        <w:t xml:space="preserve">Atitinkamai, Pareiškėjas atsižvelgė į Tarnybos pastabas ir pateikė papildomą mirvetuksimabo kainos nuolaidą, jog gautas pagrindinio tavejo analizės rezultatas būtų mažesnis už nustatytą referencinę </w:t>
      </w:r>
      <w:r w:rsidRPr="00E7714B">
        <w:rPr>
          <w:lang w:eastAsia="lt-LT"/>
        </w:rPr>
        <w:lastRenderedPageBreak/>
        <w:t>kaštų naudingumo vertę, kai ligos našta įvertinta kaip sunki, o referencinė kaštų naudingumo vertė atitiko 5 BVP per capita</w:t>
      </w:r>
      <w:r>
        <w:rPr>
          <w:lang w:eastAsia="lt-LT"/>
        </w:rPr>
        <w:t>.</w:t>
      </w:r>
    </w:p>
    <w:p w14:paraId="4F47740E" w14:textId="77777777" w:rsidR="00926724" w:rsidRPr="00E33EFF" w:rsidRDefault="00926724"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6"/>
        <w:gridCol w:w="1656"/>
        <w:gridCol w:w="2015"/>
        <w:gridCol w:w="3551"/>
      </w:tblGrid>
      <w:tr w:rsidR="00926724" w:rsidRPr="002978D5" w14:paraId="5BD52DBC" w14:textId="77777777" w:rsidTr="00BC7B16">
        <w:trPr>
          <w:trHeight w:val="364"/>
          <w:jc w:val="center"/>
        </w:trPr>
        <w:tc>
          <w:tcPr>
            <w:tcW w:w="9908" w:type="dxa"/>
            <w:gridSpan w:val="4"/>
            <w:tcBorders>
              <w:top w:val="single" w:sz="12" w:space="0" w:color="auto"/>
              <w:bottom w:val="single" w:sz="4" w:space="0" w:color="auto"/>
            </w:tcBorders>
            <w:vAlign w:val="center"/>
          </w:tcPr>
          <w:p w14:paraId="452C9ECE" w14:textId="77777777" w:rsidR="00926724" w:rsidRPr="002978D5" w:rsidRDefault="00926724" w:rsidP="00BC7B16">
            <w:pPr>
              <w:tabs>
                <w:tab w:val="left" w:pos="567"/>
              </w:tabs>
              <w:jc w:val="center"/>
              <w:rPr>
                <w:b/>
                <w:i/>
                <w:iCs/>
                <w:color w:val="00B050"/>
                <w:sz w:val="22"/>
                <w:szCs w:val="22"/>
                <w:lang w:eastAsia="lt-LT"/>
              </w:rPr>
            </w:pPr>
            <w:r w:rsidRPr="002978D5">
              <w:rPr>
                <w:b/>
                <w:lang w:eastAsia="lt-LT"/>
              </w:rPr>
              <w:t>Kaštai</w:t>
            </w:r>
          </w:p>
        </w:tc>
      </w:tr>
      <w:tr w:rsidR="00926724" w:rsidRPr="002978D5" w14:paraId="0310EF5D" w14:textId="77777777" w:rsidTr="00BC7B16">
        <w:trPr>
          <w:jc w:val="center"/>
        </w:trPr>
        <w:tc>
          <w:tcPr>
            <w:tcW w:w="2686" w:type="dxa"/>
            <w:tcBorders>
              <w:top w:val="single" w:sz="4" w:space="0" w:color="auto"/>
              <w:bottom w:val="single" w:sz="4" w:space="0" w:color="auto"/>
            </w:tcBorders>
          </w:tcPr>
          <w:p w14:paraId="1C486A87" w14:textId="77777777" w:rsidR="00926724" w:rsidRPr="002978D5" w:rsidRDefault="00926724" w:rsidP="00BC7B16">
            <w:pPr>
              <w:tabs>
                <w:tab w:val="left" w:pos="567"/>
              </w:tabs>
              <w:jc w:val="both"/>
              <w:rPr>
                <w:color w:val="00B050"/>
                <w:lang w:eastAsia="lt-LT"/>
              </w:rPr>
            </w:pPr>
          </w:p>
        </w:tc>
        <w:tc>
          <w:tcPr>
            <w:tcW w:w="1656" w:type="dxa"/>
            <w:tcBorders>
              <w:top w:val="single" w:sz="4" w:space="0" w:color="auto"/>
              <w:bottom w:val="single" w:sz="4" w:space="0" w:color="auto"/>
            </w:tcBorders>
          </w:tcPr>
          <w:p w14:paraId="212B7FBB" w14:textId="77777777" w:rsidR="00926724" w:rsidRPr="002978D5" w:rsidRDefault="00926724" w:rsidP="00BC7B16">
            <w:pPr>
              <w:tabs>
                <w:tab w:val="left" w:pos="567"/>
              </w:tabs>
              <w:jc w:val="both"/>
              <w:rPr>
                <w:i/>
                <w:iCs/>
                <w:lang w:eastAsia="lt-LT"/>
              </w:rPr>
            </w:pPr>
            <w:r>
              <w:rPr>
                <w:i/>
                <w:iCs/>
                <w:lang w:eastAsia="lt-LT"/>
              </w:rPr>
              <w:t>Mirvetuksimab</w:t>
            </w:r>
          </w:p>
        </w:tc>
        <w:tc>
          <w:tcPr>
            <w:tcW w:w="2015" w:type="dxa"/>
            <w:tcBorders>
              <w:top w:val="single" w:sz="4" w:space="0" w:color="auto"/>
              <w:bottom w:val="single" w:sz="4" w:space="0" w:color="auto"/>
            </w:tcBorders>
          </w:tcPr>
          <w:p w14:paraId="1CCFF5BD" w14:textId="77777777" w:rsidR="00926724" w:rsidRPr="002978D5" w:rsidRDefault="00926724" w:rsidP="00BC7B16">
            <w:pPr>
              <w:tabs>
                <w:tab w:val="left" w:pos="567"/>
              </w:tabs>
              <w:jc w:val="both"/>
              <w:rPr>
                <w:i/>
                <w:iCs/>
                <w:lang w:eastAsia="lt-LT"/>
              </w:rPr>
            </w:pPr>
            <w:r>
              <w:rPr>
                <w:i/>
                <w:iCs/>
                <w:lang w:eastAsia="lt-LT"/>
              </w:rPr>
              <w:t>Chemoterapija</w:t>
            </w:r>
          </w:p>
        </w:tc>
        <w:tc>
          <w:tcPr>
            <w:tcW w:w="3551" w:type="dxa"/>
            <w:tcBorders>
              <w:top w:val="single" w:sz="4" w:space="0" w:color="auto"/>
              <w:bottom w:val="single" w:sz="4" w:space="0" w:color="auto"/>
            </w:tcBorders>
          </w:tcPr>
          <w:p w14:paraId="71130E1A" w14:textId="77777777" w:rsidR="00926724" w:rsidRPr="002978D5" w:rsidRDefault="00926724" w:rsidP="00BC7B16">
            <w:pPr>
              <w:tabs>
                <w:tab w:val="left" w:pos="567"/>
              </w:tabs>
              <w:jc w:val="both"/>
              <w:rPr>
                <w:i/>
                <w:lang w:eastAsia="lt-LT"/>
              </w:rPr>
            </w:pPr>
            <w:r w:rsidRPr="002978D5">
              <w:rPr>
                <w:i/>
                <w:lang w:eastAsia="lt-LT"/>
              </w:rPr>
              <w:t>Skirtumas</w:t>
            </w:r>
          </w:p>
        </w:tc>
      </w:tr>
      <w:tr w:rsidR="00354192" w:rsidRPr="002978D5" w14:paraId="4145CCD5" w14:textId="77777777" w:rsidTr="00BC7B16">
        <w:trPr>
          <w:jc w:val="center"/>
        </w:trPr>
        <w:tc>
          <w:tcPr>
            <w:tcW w:w="2686" w:type="dxa"/>
            <w:tcBorders>
              <w:top w:val="single" w:sz="4" w:space="0" w:color="auto"/>
              <w:bottom w:val="single" w:sz="4" w:space="0" w:color="auto"/>
            </w:tcBorders>
          </w:tcPr>
          <w:p w14:paraId="3BBB7643" w14:textId="77777777" w:rsidR="00354192" w:rsidRPr="002978D5" w:rsidRDefault="00354192" w:rsidP="00354192">
            <w:pPr>
              <w:tabs>
                <w:tab w:val="left" w:pos="567"/>
              </w:tabs>
              <w:jc w:val="both"/>
              <w:rPr>
                <w:iCs/>
                <w:color w:val="00B050"/>
                <w:lang w:eastAsia="lt-LT"/>
              </w:rPr>
            </w:pPr>
            <w:r w:rsidRPr="002978D5">
              <w:rPr>
                <w:iCs/>
                <w:color w:val="000000"/>
                <w:lang w:eastAsia="lt-LT"/>
              </w:rPr>
              <w:t>Gydymo kaštai</w:t>
            </w:r>
            <w:r>
              <w:rPr>
                <w:iCs/>
                <w:color w:val="000000"/>
                <w:lang w:eastAsia="lt-LT"/>
              </w:rPr>
              <w:t xml:space="preserve"> (prieš progresiją)</w:t>
            </w:r>
          </w:p>
        </w:tc>
        <w:tc>
          <w:tcPr>
            <w:tcW w:w="1656" w:type="dxa"/>
            <w:tcBorders>
              <w:top w:val="single" w:sz="4" w:space="0" w:color="auto"/>
              <w:bottom w:val="single" w:sz="4" w:space="0" w:color="auto"/>
            </w:tcBorders>
          </w:tcPr>
          <w:p w14:paraId="21B4BA04" w14:textId="778CB209" w:rsidR="00354192" w:rsidRPr="00BF15A4" w:rsidRDefault="00354192" w:rsidP="00354192">
            <w:pPr>
              <w:tabs>
                <w:tab w:val="left" w:pos="567"/>
              </w:tabs>
              <w:jc w:val="both"/>
              <w:rPr>
                <w:b/>
                <w:bCs/>
                <w:lang w:eastAsia="lt-LT"/>
              </w:rPr>
            </w:pPr>
            <w:r w:rsidRPr="00BF15A4">
              <w:rPr>
                <w:b/>
                <w:bCs/>
                <w:lang w:eastAsia="lt-LT"/>
              </w:rPr>
              <w:t>****</w:t>
            </w:r>
          </w:p>
        </w:tc>
        <w:tc>
          <w:tcPr>
            <w:tcW w:w="2015" w:type="dxa"/>
            <w:tcBorders>
              <w:top w:val="single" w:sz="4" w:space="0" w:color="auto"/>
              <w:bottom w:val="single" w:sz="4" w:space="0" w:color="auto"/>
            </w:tcBorders>
          </w:tcPr>
          <w:p w14:paraId="2D50F57C" w14:textId="2B75FAEC" w:rsidR="00354192" w:rsidRPr="00BF15A4" w:rsidRDefault="00354192" w:rsidP="00354192">
            <w:pPr>
              <w:tabs>
                <w:tab w:val="left" w:pos="567"/>
              </w:tabs>
              <w:jc w:val="both"/>
              <w:rPr>
                <w:i/>
                <w:iCs/>
                <w:lang w:eastAsia="lt-LT"/>
              </w:rPr>
            </w:pPr>
            <w:r w:rsidRPr="00306EB2">
              <w:rPr>
                <w:b/>
                <w:bCs/>
                <w:lang w:eastAsia="lt-LT"/>
              </w:rPr>
              <w:t>****</w:t>
            </w:r>
          </w:p>
        </w:tc>
        <w:tc>
          <w:tcPr>
            <w:tcW w:w="3551" w:type="dxa"/>
            <w:tcBorders>
              <w:top w:val="single" w:sz="4" w:space="0" w:color="auto"/>
              <w:bottom w:val="single" w:sz="4" w:space="0" w:color="auto"/>
            </w:tcBorders>
          </w:tcPr>
          <w:p w14:paraId="15E65B35" w14:textId="60271F0D" w:rsidR="00354192" w:rsidRPr="00BF15A4" w:rsidRDefault="00354192" w:rsidP="00354192">
            <w:pPr>
              <w:tabs>
                <w:tab w:val="left" w:pos="567"/>
              </w:tabs>
              <w:jc w:val="both"/>
              <w:rPr>
                <w:lang w:eastAsia="lt-LT"/>
              </w:rPr>
            </w:pPr>
            <w:r w:rsidRPr="00306EB2">
              <w:rPr>
                <w:b/>
                <w:bCs/>
                <w:lang w:eastAsia="lt-LT"/>
              </w:rPr>
              <w:t>****</w:t>
            </w:r>
          </w:p>
        </w:tc>
      </w:tr>
      <w:tr w:rsidR="00354192" w:rsidRPr="002978D5" w14:paraId="5CCC3AC8" w14:textId="77777777" w:rsidTr="00BC7B16">
        <w:trPr>
          <w:jc w:val="center"/>
        </w:trPr>
        <w:tc>
          <w:tcPr>
            <w:tcW w:w="2686" w:type="dxa"/>
            <w:tcBorders>
              <w:top w:val="single" w:sz="4" w:space="0" w:color="auto"/>
              <w:bottom w:val="single" w:sz="4" w:space="0" w:color="auto"/>
            </w:tcBorders>
          </w:tcPr>
          <w:p w14:paraId="2DCFD348" w14:textId="77777777" w:rsidR="00354192" w:rsidRPr="002978D5" w:rsidRDefault="00354192" w:rsidP="00354192">
            <w:pPr>
              <w:tabs>
                <w:tab w:val="left" w:pos="567"/>
              </w:tabs>
              <w:jc w:val="both"/>
              <w:rPr>
                <w:iCs/>
                <w:color w:val="000000"/>
                <w:lang w:eastAsia="lt-LT"/>
              </w:rPr>
            </w:pPr>
            <w:r w:rsidRPr="002978D5">
              <w:rPr>
                <w:iCs/>
                <w:color w:val="000000"/>
                <w:lang w:eastAsia="lt-LT"/>
              </w:rPr>
              <w:t>Gydymo kaštai</w:t>
            </w:r>
            <w:r>
              <w:rPr>
                <w:iCs/>
                <w:color w:val="000000"/>
                <w:lang w:eastAsia="lt-LT"/>
              </w:rPr>
              <w:t xml:space="preserve"> (po progresijos)</w:t>
            </w:r>
          </w:p>
        </w:tc>
        <w:tc>
          <w:tcPr>
            <w:tcW w:w="1656" w:type="dxa"/>
            <w:tcBorders>
              <w:top w:val="single" w:sz="4" w:space="0" w:color="auto"/>
              <w:bottom w:val="single" w:sz="4" w:space="0" w:color="auto"/>
            </w:tcBorders>
          </w:tcPr>
          <w:p w14:paraId="18E94B13" w14:textId="20C6C3AD" w:rsidR="00354192" w:rsidRPr="00BF15A4" w:rsidRDefault="00354192" w:rsidP="00354192">
            <w:pPr>
              <w:tabs>
                <w:tab w:val="left" w:pos="567"/>
              </w:tabs>
              <w:jc w:val="both"/>
              <w:rPr>
                <w:i/>
                <w:iCs/>
                <w:lang w:eastAsia="lt-LT"/>
              </w:rPr>
            </w:pPr>
            <w:r w:rsidRPr="008F1805">
              <w:rPr>
                <w:b/>
                <w:bCs/>
                <w:lang w:eastAsia="lt-LT"/>
              </w:rPr>
              <w:t>****</w:t>
            </w:r>
          </w:p>
        </w:tc>
        <w:tc>
          <w:tcPr>
            <w:tcW w:w="2015" w:type="dxa"/>
            <w:tcBorders>
              <w:top w:val="single" w:sz="4" w:space="0" w:color="auto"/>
              <w:bottom w:val="single" w:sz="4" w:space="0" w:color="auto"/>
            </w:tcBorders>
          </w:tcPr>
          <w:p w14:paraId="48F1CA2E" w14:textId="55357192" w:rsidR="00354192" w:rsidRPr="00BF15A4" w:rsidRDefault="00354192" w:rsidP="00354192">
            <w:pPr>
              <w:tabs>
                <w:tab w:val="left" w:pos="567"/>
              </w:tabs>
              <w:jc w:val="both"/>
              <w:rPr>
                <w:i/>
                <w:iCs/>
                <w:lang w:eastAsia="lt-LT"/>
              </w:rPr>
            </w:pPr>
            <w:r w:rsidRPr="008F1805">
              <w:rPr>
                <w:b/>
                <w:bCs/>
                <w:lang w:eastAsia="lt-LT"/>
              </w:rPr>
              <w:t>****</w:t>
            </w:r>
          </w:p>
        </w:tc>
        <w:tc>
          <w:tcPr>
            <w:tcW w:w="3551" w:type="dxa"/>
            <w:tcBorders>
              <w:top w:val="single" w:sz="4" w:space="0" w:color="auto"/>
              <w:bottom w:val="single" w:sz="4" w:space="0" w:color="auto"/>
            </w:tcBorders>
          </w:tcPr>
          <w:p w14:paraId="7EE61BFA" w14:textId="4A4D2CFF" w:rsidR="00354192" w:rsidRPr="00BF15A4" w:rsidRDefault="00354192" w:rsidP="00354192">
            <w:pPr>
              <w:tabs>
                <w:tab w:val="left" w:pos="567"/>
              </w:tabs>
              <w:jc w:val="both"/>
              <w:rPr>
                <w:lang w:eastAsia="lt-LT"/>
              </w:rPr>
            </w:pPr>
            <w:r w:rsidRPr="008F1805">
              <w:rPr>
                <w:b/>
                <w:bCs/>
                <w:lang w:eastAsia="lt-LT"/>
              </w:rPr>
              <w:t>****</w:t>
            </w:r>
          </w:p>
        </w:tc>
      </w:tr>
      <w:tr w:rsidR="00354192" w:rsidRPr="002978D5" w14:paraId="02AED3F7" w14:textId="77777777" w:rsidTr="00BC7B16">
        <w:trPr>
          <w:jc w:val="center"/>
        </w:trPr>
        <w:tc>
          <w:tcPr>
            <w:tcW w:w="2686" w:type="dxa"/>
            <w:tcBorders>
              <w:top w:val="single" w:sz="4" w:space="0" w:color="auto"/>
              <w:bottom w:val="single" w:sz="4" w:space="0" w:color="auto"/>
            </w:tcBorders>
          </w:tcPr>
          <w:p w14:paraId="21F7F954" w14:textId="77777777" w:rsidR="00354192" w:rsidRPr="002978D5" w:rsidRDefault="00354192" w:rsidP="00354192">
            <w:pPr>
              <w:tabs>
                <w:tab w:val="left" w:pos="567"/>
              </w:tabs>
              <w:rPr>
                <w:iCs/>
                <w:color w:val="000000"/>
                <w:lang w:eastAsia="lt-LT"/>
              </w:rPr>
            </w:pPr>
            <w:r>
              <w:rPr>
                <w:iCs/>
                <w:color w:val="000000"/>
                <w:lang w:eastAsia="lt-LT"/>
              </w:rPr>
              <w:t>Ligos valdymo kaštai prieš progresiją</w:t>
            </w:r>
          </w:p>
        </w:tc>
        <w:tc>
          <w:tcPr>
            <w:tcW w:w="1656" w:type="dxa"/>
            <w:tcBorders>
              <w:top w:val="single" w:sz="4" w:space="0" w:color="auto"/>
              <w:bottom w:val="single" w:sz="4" w:space="0" w:color="auto"/>
            </w:tcBorders>
          </w:tcPr>
          <w:p w14:paraId="4124C9DB" w14:textId="2F28EBD0" w:rsidR="00354192" w:rsidRPr="00BF15A4" w:rsidRDefault="00354192" w:rsidP="00354192">
            <w:pPr>
              <w:tabs>
                <w:tab w:val="left" w:pos="567"/>
              </w:tabs>
              <w:jc w:val="both"/>
              <w:rPr>
                <w:i/>
                <w:iCs/>
                <w:lang w:eastAsia="lt-LT"/>
              </w:rPr>
            </w:pPr>
            <w:r w:rsidRPr="008F1805">
              <w:rPr>
                <w:b/>
                <w:bCs/>
                <w:lang w:eastAsia="lt-LT"/>
              </w:rPr>
              <w:t>****</w:t>
            </w:r>
          </w:p>
        </w:tc>
        <w:tc>
          <w:tcPr>
            <w:tcW w:w="2015" w:type="dxa"/>
            <w:tcBorders>
              <w:top w:val="single" w:sz="4" w:space="0" w:color="auto"/>
              <w:bottom w:val="single" w:sz="4" w:space="0" w:color="auto"/>
            </w:tcBorders>
          </w:tcPr>
          <w:p w14:paraId="3B60B532" w14:textId="4C880958" w:rsidR="00354192" w:rsidRPr="00BF15A4" w:rsidRDefault="00354192" w:rsidP="00354192">
            <w:pPr>
              <w:tabs>
                <w:tab w:val="left" w:pos="567"/>
              </w:tabs>
              <w:jc w:val="both"/>
              <w:rPr>
                <w:i/>
                <w:iCs/>
                <w:lang w:eastAsia="lt-LT"/>
              </w:rPr>
            </w:pPr>
            <w:r w:rsidRPr="008F1805">
              <w:rPr>
                <w:b/>
                <w:bCs/>
                <w:lang w:eastAsia="lt-LT"/>
              </w:rPr>
              <w:t>****</w:t>
            </w:r>
          </w:p>
        </w:tc>
        <w:tc>
          <w:tcPr>
            <w:tcW w:w="3551" w:type="dxa"/>
            <w:tcBorders>
              <w:top w:val="single" w:sz="4" w:space="0" w:color="auto"/>
              <w:bottom w:val="single" w:sz="4" w:space="0" w:color="auto"/>
            </w:tcBorders>
          </w:tcPr>
          <w:p w14:paraId="08140274" w14:textId="34F737CE" w:rsidR="00354192" w:rsidRPr="00BF15A4" w:rsidRDefault="00354192" w:rsidP="00354192">
            <w:pPr>
              <w:tabs>
                <w:tab w:val="left" w:pos="567"/>
              </w:tabs>
              <w:jc w:val="both"/>
              <w:rPr>
                <w:lang w:eastAsia="lt-LT"/>
              </w:rPr>
            </w:pPr>
            <w:r w:rsidRPr="008F1805">
              <w:rPr>
                <w:b/>
                <w:bCs/>
                <w:lang w:eastAsia="lt-LT"/>
              </w:rPr>
              <w:t>****</w:t>
            </w:r>
          </w:p>
        </w:tc>
      </w:tr>
      <w:tr w:rsidR="00354192" w:rsidRPr="002978D5" w14:paraId="0CE355F9" w14:textId="77777777" w:rsidTr="00BC7B16">
        <w:trPr>
          <w:jc w:val="center"/>
        </w:trPr>
        <w:tc>
          <w:tcPr>
            <w:tcW w:w="2686" w:type="dxa"/>
            <w:tcBorders>
              <w:top w:val="single" w:sz="4" w:space="0" w:color="auto"/>
              <w:bottom w:val="single" w:sz="4" w:space="0" w:color="auto"/>
            </w:tcBorders>
          </w:tcPr>
          <w:p w14:paraId="08066A93" w14:textId="77777777" w:rsidR="00354192" w:rsidRPr="002978D5" w:rsidRDefault="00354192" w:rsidP="00354192">
            <w:pPr>
              <w:tabs>
                <w:tab w:val="left" w:pos="567"/>
              </w:tabs>
              <w:rPr>
                <w:iCs/>
                <w:color w:val="000000"/>
                <w:lang w:eastAsia="lt-LT"/>
              </w:rPr>
            </w:pPr>
            <w:r>
              <w:rPr>
                <w:iCs/>
                <w:color w:val="000000"/>
                <w:lang w:eastAsia="lt-LT"/>
              </w:rPr>
              <w:t>Ligos valdymo kaštai po progresijos</w:t>
            </w:r>
          </w:p>
        </w:tc>
        <w:tc>
          <w:tcPr>
            <w:tcW w:w="1656" w:type="dxa"/>
            <w:tcBorders>
              <w:top w:val="single" w:sz="4" w:space="0" w:color="auto"/>
              <w:bottom w:val="single" w:sz="4" w:space="0" w:color="auto"/>
            </w:tcBorders>
          </w:tcPr>
          <w:p w14:paraId="79333396" w14:textId="104D2513" w:rsidR="00354192" w:rsidRPr="00BF15A4" w:rsidRDefault="00354192" w:rsidP="00354192">
            <w:pPr>
              <w:tabs>
                <w:tab w:val="left" w:pos="567"/>
              </w:tabs>
              <w:jc w:val="both"/>
              <w:rPr>
                <w:i/>
                <w:iCs/>
                <w:lang w:eastAsia="lt-LT"/>
              </w:rPr>
            </w:pPr>
            <w:r w:rsidRPr="008F1805">
              <w:rPr>
                <w:b/>
                <w:bCs/>
                <w:lang w:eastAsia="lt-LT"/>
              </w:rPr>
              <w:t>****</w:t>
            </w:r>
          </w:p>
        </w:tc>
        <w:tc>
          <w:tcPr>
            <w:tcW w:w="2015" w:type="dxa"/>
            <w:tcBorders>
              <w:top w:val="single" w:sz="4" w:space="0" w:color="auto"/>
              <w:bottom w:val="single" w:sz="4" w:space="0" w:color="auto"/>
            </w:tcBorders>
          </w:tcPr>
          <w:p w14:paraId="3C4EFC71" w14:textId="0EAD1E64" w:rsidR="00354192" w:rsidRPr="00BF15A4" w:rsidRDefault="00354192" w:rsidP="00354192">
            <w:pPr>
              <w:tabs>
                <w:tab w:val="left" w:pos="567"/>
              </w:tabs>
              <w:jc w:val="both"/>
              <w:rPr>
                <w:i/>
                <w:iCs/>
                <w:lang w:eastAsia="lt-LT"/>
              </w:rPr>
            </w:pPr>
            <w:r w:rsidRPr="008F1805">
              <w:rPr>
                <w:b/>
                <w:bCs/>
                <w:lang w:eastAsia="lt-LT"/>
              </w:rPr>
              <w:t>****</w:t>
            </w:r>
          </w:p>
        </w:tc>
        <w:tc>
          <w:tcPr>
            <w:tcW w:w="3551" w:type="dxa"/>
            <w:tcBorders>
              <w:top w:val="single" w:sz="4" w:space="0" w:color="auto"/>
              <w:bottom w:val="single" w:sz="4" w:space="0" w:color="auto"/>
            </w:tcBorders>
          </w:tcPr>
          <w:p w14:paraId="3D374874" w14:textId="17226726" w:rsidR="00354192" w:rsidRPr="00BF15A4" w:rsidRDefault="00354192" w:rsidP="00354192">
            <w:pPr>
              <w:tabs>
                <w:tab w:val="left" w:pos="567"/>
              </w:tabs>
              <w:jc w:val="both"/>
              <w:rPr>
                <w:lang w:eastAsia="lt-LT"/>
              </w:rPr>
            </w:pPr>
            <w:r w:rsidRPr="008F1805">
              <w:rPr>
                <w:b/>
                <w:bCs/>
                <w:lang w:eastAsia="lt-LT"/>
              </w:rPr>
              <w:t>****</w:t>
            </w:r>
          </w:p>
        </w:tc>
      </w:tr>
      <w:tr w:rsidR="00354192" w:rsidRPr="002978D5" w14:paraId="1632F8E0" w14:textId="77777777" w:rsidTr="00BC7B16">
        <w:trPr>
          <w:jc w:val="center"/>
        </w:trPr>
        <w:tc>
          <w:tcPr>
            <w:tcW w:w="2686" w:type="dxa"/>
            <w:tcBorders>
              <w:top w:val="single" w:sz="4" w:space="0" w:color="auto"/>
              <w:bottom w:val="single" w:sz="4" w:space="0" w:color="auto"/>
            </w:tcBorders>
          </w:tcPr>
          <w:p w14:paraId="0865DE0B" w14:textId="77777777" w:rsidR="00354192" w:rsidRPr="002978D5" w:rsidRDefault="00354192" w:rsidP="00354192">
            <w:pPr>
              <w:tabs>
                <w:tab w:val="left" w:pos="567"/>
              </w:tabs>
              <w:jc w:val="both"/>
              <w:rPr>
                <w:iCs/>
                <w:color w:val="00B050"/>
                <w:lang w:eastAsia="lt-LT"/>
              </w:rPr>
            </w:pPr>
            <w:r>
              <w:rPr>
                <w:iCs/>
                <w:color w:val="000000"/>
                <w:lang w:eastAsia="lt-LT"/>
              </w:rPr>
              <w:t>Kaštai, susiję su saugumu</w:t>
            </w:r>
          </w:p>
        </w:tc>
        <w:tc>
          <w:tcPr>
            <w:tcW w:w="1656" w:type="dxa"/>
            <w:tcBorders>
              <w:top w:val="single" w:sz="4" w:space="0" w:color="auto"/>
              <w:bottom w:val="single" w:sz="4" w:space="0" w:color="auto"/>
            </w:tcBorders>
          </w:tcPr>
          <w:p w14:paraId="47040265" w14:textId="19836E63" w:rsidR="00354192" w:rsidRPr="00BF15A4" w:rsidRDefault="00354192" w:rsidP="00354192">
            <w:pPr>
              <w:tabs>
                <w:tab w:val="left" w:pos="567"/>
              </w:tabs>
              <w:jc w:val="both"/>
              <w:rPr>
                <w:i/>
                <w:iCs/>
                <w:lang w:eastAsia="lt-LT"/>
              </w:rPr>
            </w:pPr>
            <w:r w:rsidRPr="008F1805">
              <w:rPr>
                <w:b/>
                <w:bCs/>
                <w:lang w:eastAsia="lt-LT"/>
              </w:rPr>
              <w:t>****</w:t>
            </w:r>
          </w:p>
        </w:tc>
        <w:tc>
          <w:tcPr>
            <w:tcW w:w="2015" w:type="dxa"/>
            <w:tcBorders>
              <w:top w:val="single" w:sz="4" w:space="0" w:color="auto"/>
              <w:bottom w:val="single" w:sz="4" w:space="0" w:color="auto"/>
            </w:tcBorders>
          </w:tcPr>
          <w:p w14:paraId="7FDCB195" w14:textId="4707945A" w:rsidR="00354192" w:rsidRPr="00BF15A4" w:rsidRDefault="00354192" w:rsidP="00354192">
            <w:pPr>
              <w:tabs>
                <w:tab w:val="left" w:pos="567"/>
              </w:tabs>
              <w:jc w:val="both"/>
              <w:rPr>
                <w:i/>
                <w:iCs/>
                <w:lang w:eastAsia="lt-LT"/>
              </w:rPr>
            </w:pPr>
            <w:r w:rsidRPr="008F1805">
              <w:rPr>
                <w:b/>
                <w:bCs/>
                <w:lang w:eastAsia="lt-LT"/>
              </w:rPr>
              <w:t>****</w:t>
            </w:r>
          </w:p>
        </w:tc>
        <w:tc>
          <w:tcPr>
            <w:tcW w:w="3551" w:type="dxa"/>
            <w:tcBorders>
              <w:top w:val="single" w:sz="4" w:space="0" w:color="auto"/>
              <w:bottom w:val="single" w:sz="4" w:space="0" w:color="auto"/>
            </w:tcBorders>
          </w:tcPr>
          <w:p w14:paraId="5095999D" w14:textId="14597143" w:rsidR="00354192" w:rsidRPr="00BF15A4" w:rsidRDefault="00354192" w:rsidP="00354192">
            <w:pPr>
              <w:tabs>
                <w:tab w:val="left" w:pos="567"/>
              </w:tabs>
              <w:jc w:val="both"/>
              <w:rPr>
                <w:i/>
                <w:iCs/>
                <w:lang w:eastAsia="lt-LT"/>
              </w:rPr>
            </w:pPr>
            <w:r w:rsidRPr="008F1805">
              <w:rPr>
                <w:b/>
                <w:bCs/>
                <w:lang w:eastAsia="lt-LT"/>
              </w:rPr>
              <w:t>****</w:t>
            </w:r>
          </w:p>
        </w:tc>
      </w:tr>
      <w:tr w:rsidR="00354192" w:rsidRPr="002978D5" w14:paraId="255489A4" w14:textId="77777777" w:rsidTr="00BC7B16">
        <w:trPr>
          <w:jc w:val="center"/>
        </w:trPr>
        <w:tc>
          <w:tcPr>
            <w:tcW w:w="2686" w:type="dxa"/>
            <w:tcBorders>
              <w:top w:val="single" w:sz="4" w:space="0" w:color="auto"/>
              <w:bottom w:val="single" w:sz="4" w:space="0" w:color="auto"/>
            </w:tcBorders>
          </w:tcPr>
          <w:p w14:paraId="3C825EE0" w14:textId="77777777" w:rsidR="00354192" w:rsidRPr="002978D5" w:rsidRDefault="00354192" w:rsidP="00354192">
            <w:pPr>
              <w:tabs>
                <w:tab w:val="left" w:pos="567"/>
              </w:tabs>
              <w:rPr>
                <w:iCs/>
                <w:color w:val="000000"/>
                <w:lang w:eastAsia="lt-LT"/>
              </w:rPr>
            </w:pPr>
            <w:r>
              <w:rPr>
                <w:iCs/>
                <w:color w:val="000000"/>
                <w:lang w:eastAsia="lt-LT"/>
              </w:rPr>
              <w:t>Terminalinės priežiūros kaštai</w:t>
            </w:r>
          </w:p>
        </w:tc>
        <w:tc>
          <w:tcPr>
            <w:tcW w:w="1656" w:type="dxa"/>
            <w:tcBorders>
              <w:top w:val="single" w:sz="4" w:space="0" w:color="auto"/>
              <w:bottom w:val="single" w:sz="4" w:space="0" w:color="auto"/>
            </w:tcBorders>
          </w:tcPr>
          <w:p w14:paraId="707E855F" w14:textId="30D575F1" w:rsidR="00354192" w:rsidRPr="00BF15A4" w:rsidRDefault="00354192" w:rsidP="00354192">
            <w:pPr>
              <w:tabs>
                <w:tab w:val="left" w:pos="567"/>
              </w:tabs>
              <w:jc w:val="both"/>
              <w:rPr>
                <w:i/>
                <w:iCs/>
                <w:lang w:eastAsia="lt-LT"/>
              </w:rPr>
            </w:pPr>
            <w:r w:rsidRPr="008F1805">
              <w:rPr>
                <w:b/>
                <w:bCs/>
                <w:lang w:eastAsia="lt-LT"/>
              </w:rPr>
              <w:t>****</w:t>
            </w:r>
          </w:p>
        </w:tc>
        <w:tc>
          <w:tcPr>
            <w:tcW w:w="2015" w:type="dxa"/>
            <w:tcBorders>
              <w:top w:val="single" w:sz="4" w:space="0" w:color="auto"/>
              <w:bottom w:val="single" w:sz="4" w:space="0" w:color="auto"/>
            </w:tcBorders>
          </w:tcPr>
          <w:p w14:paraId="40CF9116" w14:textId="27B3342A" w:rsidR="00354192" w:rsidRPr="00BF15A4" w:rsidRDefault="00354192" w:rsidP="00354192">
            <w:pPr>
              <w:tabs>
                <w:tab w:val="left" w:pos="567"/>
              </w:tabs>
              <w:jc w:val="both"/>
              <w:rPr>
                <w:i/>
                <w:iCs/>
                <w:lang w:eastAsia="lt-LT"/>
              </w:rPr>
            </w:pPr>
            <w:r w:rsidRPr="008F1805">
              <w:rPr>
                <w:b/>
                <w:bCs/>
                <w:lang w:eastAsia="lt-LT"/>
              </w:rPr>
              <w:t>****</w:t>
            </w:r>
          </w:p>
        </w:tc>
        <w:tc>
          <w:tcPr>
            <w:tcW w:w="3551" w:type="dxa"/>
            <w:tcBorders>
              <w:top w:val="single" w:sz="4" w:space="0" w:color="auto"/>
              <w:bottom w:val="single" w:sz="4" w:space="0" w:color="auto"/>
            </w:tcBorders>
          </w:tcPr>
          <w:p w14:paraId="75FDD154" w14:textId="2703647E" w:rsidR="00354192" w:rsidRPr="00BF15A4" w:rsidRDefault="00354192" w:rsidP="00354192">
            <w:pPr>
              <w:tabs>
                <w:tab w:val="left" w:pos="567"/>
              </w:tabs>
              <w:jc w:val="both"/>
              <w:rPr>
                <w:i/>
                <w:iCs/>
                <w:lang w:eastAsia="lt-LT"/>
              </w:rPr>
            </w:pPr>
            <w:r w:rsidRPr="008F1805">
              <w:rPr>
                <w:b/>
                <w:bCs/>
                <w:lang w:eastAsia="lt-LT"/>
              </w:rPr>
              <w:t>****</w:t>
            </w:r>
          </w:p>
        </w:tc>
      </w:tr>
      <w:tr w:rsidR="00354192" w:rsidRPr="002978D5" w14:paraId="21383A91" w14:textId="77777777" w:rsidTr="00BC7B16">
        <w:trPr>
          <w:jc w:val="center"/>
        </w:trPr>
        <w:tc>
          <w:tcPr>
            <w:tcW w:w="2686" w:type="dxa"/>
            <w:tcBorders>
              <w:top w:val="single" w:sz="4" w:space="0" w:color="auto"/>
              <w:bottom w:val="single" w:sz="12" w:space="0" w:color="auto"/>
            </w:tcBorders>
          </w:tcPr>
          <w:p w14:paraId="37311173" w14:textId="77777777" w:rsidR="00354192" w:rsidRPr="002978D5" w:rsidRDefault="00354192" w:rsidP="00354192">
            <w:pPr>
              <w:tabs>
                <w:tab w:val="left" w:pos="567"/>
              </w:tabs>
              <w:jc w:val="both"/>
              <w:rPr>
                <w:iCs/>
                <w:lang w:eastAsia="lt-LT"/>
              </w:rPr>
            </w:pPr>
            <w:r>
              <w:rPr>
                <w:iCs/>
                <w:lang w:eastAsia="lt-LT"/>
              </w:rPr>
              <w:t>Viso:</w:t>
            </w:r>
          </w:p>
        </w:tc>
        <w:tc>
          <w:tcPr>
            <w:tcW w:w="1656" w:type="dxa"/>
            <w:tcBorders>
              <w:top w:val="single" w:sz="4" w:space="0" w:color="auto"/>
              <w:bottom w:val="single" w:sz="12" w:space="0" w:color="auto"/>
            </w:tcBorders>
          </w:tcPr>
          <w:p w14:paraId="70773D72" w14:textId="7A4FE895" w:rsidR="00354192" w:rsidRPr="00BF15A4" w:rsidRDefault="00354192" w:rsidP="00354192">
            <w:pPr>
              <w:tabs>
                <w:tab w:val="left" w:pos="567"/>
              </w:tabs>
              <w:jc w:val="both"/>
              <w:rPr>
                <w:i/>
                <w:iCs/>
                <w:lang w:eastAsia="lt-LT"/>
              </w:rPr>
            </w:pPr>
            <w:r w:rsidRPr="008F1805">
              <w:rPr>
                <w:b/>
                <w:bCs/>
                <w:lang w:eastAsia="lt-LT"/>
              </w:rPr>
              <w:t>****</w:t>
            </w:r>
          </w:p>
        </w:tc>
        <w:tc>
          <w:tcPr>
            <w:tcW w:w="2015" w:type="dxa"/>
            <w:tcBorders>
              <w:top w:val="single" w:sz="4" w:space="0" w:color="auto"/>
              <w:bottom w:val="single" w:sz="12" w:space="0" w:color="auto"/>
            </w:tcBorders>
          </w:tcPr>
          <w:p w14:paraId="297D21FF" w14:textId="0B9B2CC7" w:rsidR="00354192" w:rsidRPr="00BF15A4" w:rsidRDefault="00354192" w:rsidP="00354192">
            <w:pPr>
              <w:tabs>
                <w:tab w:val="left" w:pos="567"/>
              </w:tabs>
              <w:jc w:val="both"/>
              <w:rPr>
                <w:i/>
                <w:iCs/>
                <w:lang w:eastAsia="lt-LT"/>
              </w:rPr>
            </w:pPr>
            <w:r w:rsidRPr="008F1805">
              <w:rPr>
                <w:b/>
                <w:bCs/>
                <w:lang w:eastAsia="lt-LT"/>
              </w:rPr>
              <w:t>****</w:t>
            </w:r>
          </w:p>
        </w:tc>
        <w:tc>
          <w:tcPr>
            <w:tcW w:w="3551" w:type="dxa"/>
            <w:tcBorders>
              <w:top w:val="single" w:sz="4" w:space="0" w:color="auto"/>
              <w:bottom w:val="single" w:sz="12" w:space="0" w:color="auto"/>
            </w:tcBorders>
          </w:tcPr>
          <w:p w14:paraId="408DF68C" w14:textId="66F9AD97" w:rsidR="00354192" w:rsidRPr="00BF15A4" w:rsidRDefault="00354192" w:rsidP="00354192">
            <w:pPr>
              <w:tabs>
                <w:tab w:val="left" w:pos="567"/>
              </w:tabs>
              <w:jc w:val="both"/>
              <w:rPr>
                <w:i/>
                <w:iCs/>
                <w:lang w:eastAsia="lt-LT"/>
              </w:rPr>
            </w:pPr>
            <w:r w:rsidRPr="008F1805">
              <w:rPr>
                <w:b/>
                <w:bCs/>
                <w:lang w:eastAsia="lt-LT"/>
              </w:rPr>
              <w:t>****</w:t>
            </w:r>
          </w:p>
        </w:tc>
      </w:tr>
      <w:tr w:rsidR="00926724" w:rsidRPr="002978D5" w14:paraId="75D0F0EF" w14:textId="77777777" w:rsidTr="00BC7B16">
        <w:trPr>
          <w:jc w:val="center"/>
        </w:trPr>
        <w:tc>
          <w:tcPr>
            <w:tcW w:w="9908" w:type="dxa"/>
            <w:gridSpan w:val="4"/>
            <w:tcBorders>
              <w:top w:val="single" w:sz="12" w:space="0" w:color="auto"/>
              <w:bottom w:val="single" w:sz="4" w:space="0" w:color="auto"/>
            </w:tcBorders>
          </w:tcPr>
          <w:p w14:paraId="052BA120" w14:textId="77777777" w:rsidR="00926724" w:rsidRPr="00BF15A4" w:rsidRDefault="00926724" w:rsidP="00BC7B16">
            <w:pPr>
              <w:tabs>
                <w:tab w:val="left" w:pos="567"/>
              </w:tabs>
              <w:jc w:val="center"/>
              <w:rPr>
                <w:iCs/>
                <w:lang w:eastAsia="lt-LT"/>
              </w:rPr>
            </w:pPr>
            <w:r w:rsidRPr="00BF15A4">
              <w:rPr>
                <w:lang w:eastAsia="lt-LT"/>
              </w:rPr>
              <w:t>Papildomi gyvenimo metai (LY)</w:t>
            </w:r>
          </w:p>
        </w:tc>
      </w:tr>
      <w:tr w:rsidR="00354192" w:rsidRPr="002978D5" w14:paraId="784C85B4" w14:textId="77777777" w:rsidTr="00BC7B16">
        <w:trPr>
          <w:jc w:val="center"/>
        </w:trPr>
        <w:tc>
          <w:tcPr>
            <w:tcW w:w="2686" w:type="dxa"/>
            <w:tcBorders>
              <w:top w:val="single" w:sz="4" w:space="0" w:color="auto"/>
              <w:bottom w:val="single" w:sz="4" w:space="0" w:color="auto"/>
            </w:tcBorders>
          </w:tcPr>
          <w:p w14:paraId="6BB7F662" w14:textId="77777777" w:rsidR="00354192" w:rsidRPr="002978D5" w:rsidRDefault="00354192" w:rsidP="00354192">
            <w:pPr>
              <w:tabs>
                <w:tab w:val="left" w:pos="567"/>
              </w:tabs>
              <w:jc w:val="both"/>
              <w:rPr>
                <w:lang w:eastAsia="lt-LT"/>
              </w:rPr>
            </w:pPr>
            <w:r>
              <w:rPr>
                <w:iCs/>
                <w:lang w:eastAsia="lt-LT"/>
              </w:rPr>
              <w:t>mirvetuksimab</w:t>
            </w:r>
          </w:p>
        </w:tc>
        <w:tc>
          <w:tcPr>
            <w:tcW w:w="3671" w:type="dxa"/>
            <w:gridSpan w:val="2"/>
            <w:tcBorders>
              <w:top w:val="single" w:sz="4" w:space="0" w:color="auto"/>
              <w:bottom w:val="single" w:sz="4" w:space="0" w:color="auto"/>
            </w:tcBorders>
          </w:tcPr>
          <w:p w14:paraId="0B740DA8" w14:textId="2FF3CACA" w:rsidR="00354192" w:rsidRPr="00BF15A4" w:rsidRDefault="00354192" w:rsidP="00354192">
            <w:pPr>
              <w:tabs>
                <w:tab w:val="left" w:pos="567"/>
              </w:tabs>
              <w:jc w:val="both"/>
              <w:rPr>
                <w:i/>
                <w:iCs/>
                <w:lang w:eastAsia="lt-LT"/>
              </w:rPr>
            </w:pPr>
            <w:r w:rsidRPr="00AE3061">
              <w:rPr>
                <w:b/>
                <w:bCs/>
                <w:lang w:eastAsia="lt-LT"/>
              </w:rPr>
              <w:t>****</w:t>
            </w:r>
          </w:p>
        </w:tc>
        <w:tc>
          <w:tcPr>
            <w:tcW w:w="3551" w:type="dxa"/>
            <w:vMerge w:val="restart"/>
            <w:tcBorders>
              <w:top w:val="single" w:sz="4" w:space="0" w:color="auto"/>
            </w:tcBorders>
          </w:tcPr>
          <w:p w14:paraId="7E3CA9D6" w14:textId="25A92453" w:rsidR="00354192" w:rsidRPr="00BF15A4" w:rsidRDefault="00354192" w:rsidP="00354192">
            <w:pPr>
              <w:tabs>
                <w:tab w:val="left" w:pos="567"/>
              </w:tabs>
              <w:jc w:val="both"/>
              <w:rPr>
                <w:lang w:eastAsia="lt-LT"/>
              </w:rPr>
            </w:pPr>
            <w:r w:rsidRPr="00BF15A4">
              <w:rPr>
                <w:b/>
                <w:bCs/>
                <w:lang w:eastAsia="lt-LT"/>
              </w:rPr>
              <w:t>****</w:t>
            </w:r>
          </w:p>
        </w:tc>
      </w:tr>
      <w:tr w:rsidR="00354192" w:rsidRPr="002978D5" w14:paraId="29E8EDDA" w14:textId="77777777" w:rsidTr="00BC7B16">
        <w:trPr>
          <w:jc w:val="center"/>
        </w:trPr>
        <w:tc>
          <w:tcPr>
            <w:tcW w:w="2686" w:type="dxa"/>
            <w:tcBorders>
              <w:top w:val="single" w:sz="4" w:space="0" w:color="auto"/>
              <w:bottom w:val="single" w:sz="12" w:space="0" w:color="auto"/>
            </w:tcBorders>
          </w:tcPr>
          <w:p w14:paraId="2AB23A1C" w14:textId="77777777" w:rsidR="00354192" w:rsidRPr="002978D5" w:rsidRDefault="00354192" w:rsidP="00354192">
            <w:pPr>
              <w:tabs>
                <w:tab w:val="left" w:pos="567"/>
              </w:tabs>
              <w:jc w:val="both"/>
              <w:rPr>
                <w:lang w:eastAsia="lt-LT"/>
              </w:rPr>
            </w:pPr>
            <w:r>
              <w:rPr>
                <w:iCs/>
                <w:lang w:eastAsia="lt-LT"/>
              </w:rPr>
              <w:t>chemoterapija</w:t>
            </w:r>
          </w:p>
        </w:tc>
        <w:tc>
          <w:tcPr>
            <w:tcW w:w="3671" w:type="dxa"/>
            <w:gridSpan w:val="2"/>
            <w:tcBorders>
              <w:top w:val="single" w:sz="4" w:space="0" w:color="auto"/>
              <w:bottom w:val="single" w:sz="12" w:space="0" w:color="auto"/>
            </w:tcBorders>
          </w:tcPr>
          <w:p w14:paraId="126C176C" w14:textId="3502A620" w:rsidR="00354192" w:rsidRPr="00BF15A4" w:rsidRDefault="00354192" w:rsidP="00354192">
            <w:pPr>
              <w:tabs>
                <w:tab w:val="left" w:pos="567"/>
              </w:tabs>
              <w:jc w:val="both"/>
              <w:rPr>
                <w:i/>
                <w:iCs/>
                <w:lang w:eastAsia="lt-LT"/>
              </w:rPr>
            </w:pPr>
            <w:r w:rsidRPr="00AE3061">
              <w:rPr>
                <w:b/>
                <w:bCs/>
                <w:lang w:eastAsia="lt-LT"/>
              </w:rPr>
              <w:t>****</w:t>
            </w:r>
          </w:p>
        </w:tc>
        <w:tc>
          <w:tcPr>
            <w:tcW w:w="3551" w:type="dxa"/>
            <w:vMerge/>
            <w:tcBorders>
              <w:bottom w:val="single" w:sz="12" w:space="0" w:color="auto"/>
            </w:tcBorders>
          </w:tcPr>
          <w:p w14:paraId="57CB3624" w14:textId="77777777" w:rsidR="00354192" w:rsidRPr="00BF15A4" w:rsidRDefault="00354192" w:rsidP="00354192">
            <w:pPr>
              <w:tabs>
                <w:tab w:val="left" w:pos="567"/>
              </w:tabs>
              <w:jc w:val="both"/>
              <w:rPr>
                <w:i/>
                <w:iCs/>
                <w:lang w:eastAsia="lt-LT"/>
              </w:rPr>
            </w:pPr>
          </w:p>
        </w:tc>
      </w:tr>
      <w:tr w:rsidR="00926724" w:rsidRPr="002978D5" w14:paraId="6D41FBAC" w14:textId="77777777" w:rsidTr="00BC7B16">
        <w:trPr>
          <w:jc w:val="center"/>
        </w:trPr>
        <w:tc>
          <w:tcPr>
            <w:tcW w:w="9908" w:type="dxa"/>
            <w:gridSpan w:val="4"/>
            <w:tcBorders>
              <w:top w:val="single" w:sz="12" w:space="0" w:color="auto"/>
              <w:bottom w:val="single" w:sz="4" w:space="0" w:color="auto"/>
            </w:tcBorders>
          </w:tcPr>
          <w:p w14:paraId="67F997D0" w14:textId="77777777" w:rsidR="00926724" w:rsidRPr="00BF15A4" w:rsidRDefault="00926724" w:rsidP="00BC7B16">
            <w:pPr>
              <w:tabs>
                <w:tab w:val="left" w:pos="567"/>
              </w:tabs>
              <w:jc w:val="center"/>
              <w:rPr>
                <w:iCs/>
                <w:lang w:eastAsia="lt-LT"/>
              </w:rPr>
            </w:pPr>
            <w:r w:rsidRPr="00BF15A4">
              <w:rPr>
                <w:lang w:eastAsia="lt-LT"/>
              </w:rPr>
              <w:t>Kokybiški gyvenimo metai (QALY)</w:t>
            </w:r>
          </w:p>
        </w:tc>
      </w:tr>
      <w:tr w:rsidR="00354192" w:rsidRPr="002978D5" w14:paraId="0605020A" w14:textId="77777777" w:rsidTr="00BC7B16">
        <w:trPr>
          <w:jc w:val="center"/>
        </w:trPr>
        <w:tc>
          <w:tcPr>
            <w:tcW w:w="2686" w:type="dxa"/>
            <w:tcBorders>
              <w:top w:val="single" w:sz="4" w:space="0" w:color="auto"/>
              <w:bottom w:val="single" w:sz="4" w:space="0" w:color="auto"/>
            </w:tcBorders>
          </w:tcPr>
          <w:p w14:paraId="1760F205" w14:textId="77777777" w:rsidR="00354192" w:rsidRPr="002978D5" w:rsidRDefault="00354192" w:rsidP="00354192">
            <w:pPr>
              <w:tabs>
                <w:tab w:val="left" w:pos="567"/>
              </w:tabs>
              <w:jc w:val="both"/>
              <w:rPr>
                <w:iCs/>
                <w:lang w:eastAsia="lt-LT"/>
              </w:rPr>
            </w:pPr>
            <w:r>
              <w:rPr>
                <w:iCs/>
                <w:lang w:eastAsia="lt-LT"/>
              </w:rPr>
              <w:t>mirvetuksimab</w:t>
            </w:r>
          </w:p>
        </w:tc>
        <w:tc>
          <w:tcPr>
            <w:tcW w:w="3671" w:type="dxa"/>
            <w:gridSpan w:val="2"/>
            <w:tcBorders>
              <w:top w:val="single" w:sz="4" w:space="0" w:color="auto"/>
              <w:bottom w:val="single" w:sz="4" w:space="0" w:color="auto"/>
            </w:tcBorders>
          </w:tcPr>
          <w:p w14:paraId="7D315918" w14:textId="026F6C14" w:rsidR="00354192" w:rsidRPr="00BF15A4" w:rsidRDefault="00354192" w:rsidP="00354192">
            <w:pPr>
              <w:tabs>
                <w:tab w:val="left" w:pos="567"/>
              </w:tabs>
              <w:jc w:val="both"/>
              <w:rPr>
                <w:i/>
                <w:iCs/>
                <w:lang w:eastAsia="lt-LT"/>
              </w:rPr>
            </w:pPr>
            <w:r w:rsidRPr="003B081C">
              <w:rPr>
                <w:b/>
                <w:bCs/>
                <w:lang w:eastAsia="lt-LT"/>
              </w:rPr>
              <w:t>****</w:t>
            </w:r>
          </w:p>
        </w:tc>
        <w:tc>
          <w:tcPr>
            <w:tcW w:w="3551" w:type="dxa"/>
            <w:vMerge w:val="restart"/>
            <w:tcBorders>
              <w:top w:val="single" w:sz="4" w:space="0" w:color="auto"/>
            </w:tcBorders>
          </w:tcPr>
          <w:p w14:paraId="6933DF28" w14:textId="7C75262C" w:rsidR="00354192" w:rsidRPr="00BF15A4" w:rsidRDefault="00354192" w:rsidP="00354192">
            <w:pPr>
              <w:tabs>
                <w:tab w:val="left" w:pos="567"/>
              </w:tabs>
              <w:jc w:val="both"/>
              <w:rPr>
                <w:lang w:eastAsia="lt-LT"/>
              </w:rPr>
            </w:pPr>
            <w:r w:rsidRPr="00BF15A4">
              <w:rPr>
                <w:b/>
                <w:bCs/>
                <w:lang w:eastAsia="lt-LT"/>
              </w:rPr>
              <w:t>****</w:t>
            </w:r>
          </w:p>
        </w:tc>
      </w:tr>
      <w:tr w:rsidR="00354192" w:rsidRPr="002978D5" w14:paraId="5E20BAA8" w14:textId="77777777" w:rsidTr="00BC7B16">
        <w:trPr>
          <w:jc w:val="center"/>
        </w:trPr>
        <w:tc>
          <w:tcPr>
            <w:tcW w:w="2686" w:type="dxa"/>
            <w:tcBorders>
              <w:top w:val="single" w:sz="4" w:space="0" w:color="auto"/>
              <w:bottom w:val="single" w:sz="12" w:space="0" w:color="auto"/>
            </w:tcBorders>
          </w:tcPr>
          <w:p w14:paraId="092BDA75" w14:textId="77777777" w:rsidR="00354192" w:rsidRPr="002978D5" w:rsidRDefault="00354192" w:rsidP="00354192">
            <w:pPr>
              <w:tabs>
                <w:tab w:val="left" w:pos="567"/>
              </w:tabs>
              <w:jc w:val="both"/>
              <w:rPr>
                <w:iCs/>
                <w:lang w:eastAsia="lt-LT"/>
              </w:rPr>
            </w:pPr>
            <w:r>
              <w:rPr>
                <w:iCs/>
                <w:lang w:eastAsia="lt-LT"/>
              </w:rPr>
              <w:t>chemoterapija</w:t>
            </w:r>
          </w:p>
        </w:tc>
        <w:tc>
          <w:tcPr>
            <w:tcW w:w="3671" w:type="dxa"/>
            <w:gridSpan w:val="2"/>
            <w:tcBorders>
              <w:top w:val="single" w:sz="4" w:space="0" w:color="auto"/>
              <w:bottom w:val="single" w:sz="12" w:space="0" w:color="auto"/>
            </w:tcBorders>
          </w:tcPr>
          <w:p w14:paraId="72685D0B" w14:textId="03476ECC" w:rsidR="00354192" w:rsidRPr="00BF15A4" w:rsidRDefault="00354192" w:rsidP="00354192">
            <w:pPr>
              <w:tabs>
                <w:tab w:val="left" w:pos="567"/>
              </w:tabs>
              <w:jc w:val="both"/>
              <w:rPr>
                <w:i/>
                <w:iCs/>
                <w:lang w:eastAsia="lt-LT"/>
              </w:rPr>
            </w:pPr>
            <w:r w:rsidRPr="003B081C">
              <w:rPr>
                <w:b/>
                <w:bCs/>
                <w:lang w:eastAsia="lt-LT"/>
              </w:rPr>
              <w:t>****</w:t>
            </w:r>
          </w:p>
        </w:tc>
        <w:tc>
          <w:tcPr>
            <w:tcW w:w="3551" w:type="dxa"/>
            <w:vMerge/>
            <w:tcBorders>
              <w:bottom w:val="single" w:sz="12" w:space="0" w:color="auto"/>
            </w:tcBorders>
          </w:tcPr>
          <w:p w14:paraId="28C66516" w14:textId="77777777" w:rsidR="00354192" w:rsidRPr="00BF15A4" w:rsidRDefault="00354192" w:rsidP="00354192">
            <w:pPr>
              <w:tabs>
                <w:tab w:val="left" w:pos="567"/>
              </w:tabs>
              <w:jc w:val="both"/>
              <w:rPr>
                <w:i/>
                <w:iCs/>
                <w:lang w:eastAsia="lt-LT"/>
              </w:rPr>
            </w:pPr>
          </w:p>
        </w:tc>
      </w:tr>
      <w:tr w:rsidR="00926724" w:rsidRPr="002978D5" w14:paraId="76B7F438" w14:textId="77777777" w:rsidTr="00BC7B16">
        <w:trPr>
          <w:trHeight w:val="347"/>
          <w:jc w:val="center"/>
        </w:trPr>
        <w:tc>
          <w:tcPr>
            <w:tcW w:w="9908" w:type="dxa"/>
            <w:gridSpan w:val="4"/>
            <w:tcBorders>
              <w:top w:val="single" w:sz="12" w:space="0" w:color="auto"/>
            </w:tcBorders>
            <w:vAlign w:val="center"/>
          </w:tcPr>
          <w:p w14:paraId="28A5ABAE" w14:textId="77777777" w:rsidR="00926724" w:rsidRPr="00BF15A4" w:rsidRDefault="00926724" w:rsidP="00BC7B16">
            <w:pPr>
              <w:tabs>
                <w:tab w:val="left" w:pos="567"/>
              </w:tabs>
              <w:jc w:val="center"/>
              <w:rPr>
                <w:b/>
                <w:bCs/>
                <w:sz w:val="26"/>
                <w:szCs w:val="26"/>
                <w:lang w:eastAsia="lt-LT"/>
              </w:rPr>
            </w:pPr>
            <w:r w:rsidRPr="00BF15A4">
              <w:rPr>
                <w:b/>
                <w:bCs/>
                <w:sz w:val="26"/>
                <w:szCs w:val="26"/>
                <w:lang w:eastAsia="lt-LT"/>
              </w:rPr>
              <w:t>Rezultatai</w:t>
            </w:r>
          </w:p>
        </w:tc>
      </w:tr>
      <w:tr w:rsidR="00354192" w:rsidRPr="002978D5" w14:paraId="631AFF5F" w14:textId="77777777" w:rsidTr="00BC7B16">
        <w:trPr>
          <w:jc w:val="center"/>
        </w:trPr>
        <w:tc>
          <w:tcPr>
            <w:tcW w:w="6357" w:type="dxa"/>
            <w:gridSpan w:val="3"/>
          </w:tcPr>
          <w:p w14:paraId="0A210986" w14:textId="77777777" w:rsidR="00354192" w:rsidRPr="00BF15A4" w:rsidRDefault="00354192" w:rsidP="00354192">
            <w:pPr>
              <w:tabs>
                <w:tab w:val="left" w:pos="567"/>
              </w:tabs>
              <w:jc w:val="right"/>
              <w:rPr>
                <w:iCs/>
                <w:lang w:eastAsia="lt-LT"/>
              </w:rPr>
            </w:pPr>
            <w:r w:rsidRPr="00BF15A4">
              <w:rPr>
                <w:iCs/>
                <w:lang w:eastAsia="lt-LT"/>
              </w:rPr>
              <w:t>ICER už LY</w:t>
            </w:r>
          </w:p>
        </w:tc>
        <w:tc>
          <w:tcPr>
            <w:tcW w:w="3551" w:type="dxa"/>
          </w:tcPr>
          <w:p w14:paraId="307712DA" w14:textId="622EFE70" w:rsidR="00354192" w:rsidRPr="00BF15A4" w:rsidRDefault="00354192" w:rsidP="00354192">
            <w:pPr>
              <w:tabs>
                <w:tab w:val="left" w:pos="567"/>
              </w:tabs>
              <w:jc w:val="both"/>
              <w:rPr>
                <w:i/>
                <w:iCs/>
                <w:lang w:eastAsia="lt-LT"/>
              </w:rPr>
            </w:pPr>
            <w:r w:rsidRPr="0021322C">
              <w:rPr>
                <w:b/>
                <w:bCs/>
                <w:lang w:eastAsia="lt-LT"/>
              </w:rPr>
              <w:t>****</w:t>
            </w:r>
          </w:p>
        </w:tc>
      </w:tr>
      <w:tr w:rsidR="00354192" w:rsidRPr="002978D5" w14:paraId="08911467" w14:textId="77777777" w:rsidTr="00BC7B16">
        <w:trPr>
          <w:jc w:val="center"/>
        </w:trPr>
        <w:tc>
          <w:tcPr>
            <w:tcW w:w="6357" w:type="dxa"/>
            <w:gridSpan w:val="3"/>
          </w:tcPr>
          <w:p w14:paraId="1DC3D8F9" w14:textId="77777777" w:rsidR="00354192" w:rsidRPr="00BF15A4" w:rsidRDefault="00354192" w:rsidP="00354192">
            <w:pPr>
              <w:tabs>
                <w:tab w:val="left" w:pos="567"/>
              </w:tabs>
              <w:jc w:val="right"/>
              <w:rPr>
                <w:iCs/>
                <w:lang w:eastAsia="lt-LT"/>
              </w:rPr>
            </w:pPr>
            <w:r w:rsidRPr="00BF15A4">
              <w:rPr>
                <w:iCs/>
                <w:lang w:eastAsia="lt-LT"/>
              </w:rPr>
              <w:t>ICER už QALY</w:t>
            </w:r>
          </w:p>
        </w:tc>
        <w:tc>
          <w:tcPr>
            <w:tcW w:w="3551" w:type="dxa"/>
          </w:tcPr>
          <w:p w14:paraId="7D678CCA" w14:textId="2A86993A" w:rsidR="00354192" w:rsidRPr="00BF15A4" w:rsidRDefault="00354192" w:rsidP="00354192">
            <w:pPr>
              <w:tabs>
                <w:tab w:val="left" w:pos="567"/>
              </w:tabs>
              <w:jc w:val="both"/>
              <w:rPr>
                <w:i/>
                <w:iCs/>
                <w:lang w:eastAsia="lt-LT"/>
              </w:rPr>
            </w:pPr>
            <w:r w:rsidRPr="0021322C">
              <w:rPr>
                <w:b/>
                <w:bCs/>
                <w:lang w:eastAsia="lt-LT"/>
              </w:rPr>
              <w:t>****</w:t>
            </w:r>
          </w:p>
        </w:tc>
      </w:tr>
      <w:tr w:rsidR="00354192" w:rsidRPr="002978D5" w14:paraId="43B159BC" w14:textId="77777777" w:rsidTr="00BC7B16">
        <w:trPr>
          <w:jc w:val="center"/>
        </w:trPr>
        <w:tc>
          <w:tcPr>
            <w:tcW w:w="6357" w:type="dxa"/>
            <w:gridSpan w:val="3"/>
          </w:tcPr>
          <w:p w14:paraId="40C86000" w14:textId="77777777" w:rsidR="00354192" w:rsidRPr="00BF15A4" w:rsidRDefault="00354192" w:rsidP="00354192">
            <w:pPr>
              <w:tabs>
                <w:tab w:val="left" w:pos="567"/>
              </w:tabs>
              <w:jc w:val="right"/>
              <w:rPr>
                <w:iCs/>
                <w:lang w:eastAsia="lt-LT"/>
              </w:rPr>
            </w:pPr>
            <w:r w:rsidRPr="00BF15A4">
              <w:rPr>
                <w:iCs/>
                <w:lang w:eastAsia="lt-LT"/>
              </w:rPr>
              <w:t>Referencinė kaštų naudingumo vertė</w:t>
            </w:r>
          </w:p>
        </w:tc>
        <w:tc>
          <w:tcPr>
            <w:tcW w:w="3551" w:type="dxa"/>
          </w:tcPr>
          <w:p w14:paraId="6217BCC2" w14:textId="0BAF5B83" w:rsidR="00354192" w:rsidRPr="00BF15A4" w:rsidRDefault="00354192" w:rsidP="00354192">
            <w:pPr>
              <w:tabs>
                <w:tab w:val="left" w:pos="567"/>
              </w:tabs>
              <w:jc w:val="both"/>
              <w:rPr>
                <w:i/>
                <w:iCs/>
                <w:lang w:eastAsia="lt-LT"/>
              </w:rPr>
            </w:pPr>
            <w:r w:rsidRPr="0021322C">
              <w:rPr>
                <w:b/>
                <w:bCs/>
                <w:lang w:eastAsia="lt-LT"/>
              </w:rPr>
              <w:t>****</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3B55E9"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0968061" w:rsidR="00937907" w:rsidRPr="00E33EFF" w:rsidRDefault="003B55E9"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F63AD">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3B55E9"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2A51E63" w:rsidR="00662983" w:rsidRPr="00E33EFF" w:rsidRDefault="003B55E9"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F63AD">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30069D85" w14:textId="1FFE92BC" w:rsidR="0061611B" w:rsidRDefault="0061611B" w:rsidP="0061611B">
      <w:pPr>
        <w:ind w:left="360"/>
        <w:rPr>
          <w:i/>
          <w:color w:val="000000" w:themeColor="text1"/>
          <w:szCs w:val="22"/>
        </w:rPr>
      </w:pPr>
    </w:p>
    <w:p w14:paraId="044FF0F8" w14:textId="77777777" w:rsidR="00926724" w:rsidRPr="00BF3927" w:rsidRDefault="00926724" w:rsidP="0061611B">
      <w:pPr>
        <w:ind w:left="360"/>
        <w:rPr>
          <w:i/>
          <w:color w:val="000000" w:themeColor="text1"/>
          <w:szCs w:val="22"/>
        </w:rPr>
      </w:pPr>
    </w:p>
    <w:tbl>
      <w:tblPr>
        <w:tblStyle w:val="TableGrid"/>
        <w:tblW w:w="0" w:type="auto"/>
        <w:tblInd w:w="-5" w:type="dxa"/>
        <w:tblLook w:val="04A0" w:firstRow="1" w:lastRow="0" w:firstColumn="1" w:lastColumn="0" w:noHBand="0" w:noVBand="1"/>
      </w:tblPr>
      <w:tblGrid>
        <w:gridCol w:w="4820"/>
        <w:gridCol w:w="4814"/>
      </w:tblGrid>
      <w:tr w:rsidR="00926724" w:rsidRPr="00926724" w14:paraId="18440E5A" w14:textId="77777777" w:rsidTr="00926724">
        <w:trPr>
          <w:trHeight w:val="510"/>
        </w:trPr>
        <w:tc>
          <w:tcPr>
            <w:tcW w:w="9629" w:type="dxa"/>
            <w:gridSpan w:val="2"/>
            <w:vAlign w:val="center"/>
          </w:tcPr>
          <w:p w14:paraId="22A4685A" w14:textId="77777777" w:rsidR="00926724" w:rsidRPr="00926724"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0" w:name="_Hlk185374656"/>
            <w:r w:rsidRPr="00926724">
              <w:rPr>
                <w:rStyle w:val="Style2"/>
                <w:rFonts w:eastAsia="MS Gothic"/>
                <w:b/>
                <w:bCs/>
                <w:sz w:val="24"/>
              </w:rPr>
              <w:t>Palyginamasis veiksmingumas</w:t>
            </w:r>
          </w:p>
        </w:tc>
      </w:tr>
      <w:tr w:rsidR="00926724" w:rsidRPr="00926724" w14:paraId="7694C2B3" w14:textId="77777777" w:rsidTr="00926724">
        <w:tc>
          <w:tcPr>
            <w:tcW w:w="4815" w:type="dxa"/>
          </w:tcPr>
          <w:p w14:paraId="05E75B61" w14:textId="77777777" w:rsidR="00926724" w:rsidRPr="00926724"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926724" w:rsidRPr="00926724">
                  <w:rPr>
                    <w:rStyle w:val="Style2"/>
                    <w:rFonts w:ascii="MS Gothic" w:eastAsia="MS Gothic" w:hAnsi="MS Gothic" w:hint="eastAsia"/>
                    <w:sz w:val="24"/>
                  </w:rPr>
                  <w:t>☒</w:t>
                </w:r>
              </w:sdtContent>
            </w:sdt>
            <w:r w:rsidR="00926724" w:rsidRPr="00926724">
              <w:rPr>
                <w:rStyle w:val="Style2"/>
                <w:sz w:val="24"/>
              </w:rPr>
              <w:t xml:space="preserve"> 29</w:t>
            </w:r>
            <w:r w:rsidR="00926724" w:rsidRPr="00926724">
              <w:t>.1.1 yra didesnis, lyginant su įprasta klinikine praktika</w:t>
            </w:r>
          </w:p>
          <w:p w14:paraId="17A9530F" w14:textId="77777777" w:rsidR="00926724" w:rsidRPr="00926724"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5E4307A" w14:textId="77777777" w:rsidR="00926724" w:rsidRPr="00926724"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926724" w:rsidRPr="00926724">
                  <w:rPr>
                    <w:rStyle w:val="Style2"/>
                    <w:rFonts w:ascii="MS Gothic" w:eastAsia="MS Gothic" w:hAnsi="MS Gothic"/>
                    <w:sz w:val="24"/>
                  </w:rPr>
                  <w:t>☐</w:t>
                </w:r>
              </w:sdtContent>
            </w:sdt>
            <w:r w:rsidR="00926724" w:rsidRPr="00926724">
              <w:t xml:space="preserve"> </w:t>
            </w:r>
            <w:r w:rsidR="00926724" w:rsidRPr="00926724">
              <w:rPr>
                <w:rStyle w:val="Style2"/>
                <w:sz w:val="24"/>
              </w:rPr>
              <w:t>29</w:t>
            </w:r>
            <w:r w:rsidR="00926724" w:rsidRPr="00926724">
              <w:t>.1.2 iš esmės nesiskiria, lyginant su įprasta klinikine praktika</w:t>
            </w:r>
          </w:p>
        </w:tc>
        <w:tc>
          <w:tcPr>
            <w:tcW w:w="4814" w:type="dxa"/>
          </w:tcPr>
          <w:p w14:paraId="2E24A3D8" w14:textId="77777777" w:rsidR="00926724" w:rsidRPr="00926724"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926724" w:rsidRPr="00926724">
                  <w:rPr>
                    <w:rStyle w:val="Style2"/>
                    <w:rFonts w:ascii="Segoe UI Symbol" w:eastAsia="MS Gothic" w:hAnsi="Segoe UI Symbol" w:cs="Segoe UI Symbol"/>
                    <w:sz w:val="24"/>
                  </w:rPr>
                  <w:t>☐</w:t>
                </w:r>
              </w:sdtContent>
            </w:sdt>
            <w:r w:rsidR="00926724" w:rsidRPr="00926724">
              <w:t xml:space="preserve"> </w:t>
            </w:r>
            <w:r w:rsidR="00926724" w:rsidRPr="00926724">
              <w:rPr>
                <w:rStyle w:val="Style2"/>
                <w:sz w:val="24"/>
              </w:rPr>
              <w:t>29</w:t>
            </w:r>
            <w:r w:rsidR="00926724" w:rsidRPr="00926724">
              <w:t xml:space="preserve">.1.3 yra neįrodytas kaip didesnis  ar iš esmės nesiskiriantis, lyginant su įprasta klinikine praktika  </w:t>
            </w:r>
          </w:p>
          <w:p w14:paraId="4EAE620B" w14:textId="77777777" w:rsidR="00926724" w:rsidRPr="00926724"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2F43244" w14:textId="77777777" w:rsidR="00926724" w:rsidRPr="00926724"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926724" w:rsidRPr="00926724">
                  <w:rPr>
                    <w:rStyle w:val="Style2"/>
                    <w:rFonts w:ascii="Segoe UI Symbol" w:eastAsia="MS Gothic" w:hAnsi="Segoe UI Symbol" w:cs="Segoe UI Symbol"/>
                    <w:sz w:val="24"/>
                  </w:rPr>
                  <w:t>☐</w:t>
                </w:r>
              </w:sdtContent>
            </w:sdt>
            <w:r w:rsidR="00926724" w:rsidRPr="00926724">
              <w:t xml:space="preserve"> </w:t>
            </w:r>
            <w:r w:rsidR="00926724" w:rsidRPr="00926724">
              <w:rPr>
                <w:rStyle w:val="Style2"/>
                <w:sz w:val="24"/>
              </w:rPr>
              <w:t>29</w:t>
            </w:r>
            <w:r w:rsidR="00926724" w:rsidRPr="00926724">
              <w:t>.1.4 yra mažesnis, lyginant su įprasta klinikine praktika</w:t>
            </w:r>
          </w:p>
          <w:p w14:paraId="3D390E41" w14:textId="77777777" w:rsidR="00926724" w:rsidRPr="00926724"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0E4AC41" w14:textId="77777777" w:rsidR="00926724" w:rsidRPr="00926724"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926724" w:rsidRPr="00926724">
                  <w:rPr>
                    <w:rStyle w:val="Style2"/>
                    <w:rFonts w:ascii="Segoe UI Symbol" w:eastAsia="MS Gothic" w:hAnsi="Segoe UI Symbol" w:cs="Segoe UI Symbol"/>
                    <w:sz w:val="24"/>
                  </w:rPr>
                  <w:t>☐</w:t>
                </w:r>
              </w:sdtContent>
            </w:sdt>
            <w:r w:rsidR="00926724" w:rsidRPr="00926724">
              <w:t xml:space="preserve">  </w:t>
            </w:r>
            <w:r w:rsidR="00926724" w:rsidRPr="00926724">
              <w:rPr>
                <w:rStyle w:val="Style2"/>
                <w:sz w:val="24"/>
              </w:rPr>
              <w:t>29</w:t>
            </w:r>
            <w:r w:rsidR="00926724" w:rsidRPr="00926724">
              <w:t>.1.5 pateikti duomenys apie palyginamąjį veiksmingumą yra netinkami vertinti</w:t>
            </w:r>
          </w:p>
          <w:p w14:paraId="6FB10EE1" w14:textId="77777777" w:rsidR="00926724" w:rsidRPr="00926724"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tr w:rsidR="00926724" w:rsidRPr="00603B3A" w14:paraId="0B12BF5C" w14:textId="77777777" w:rsidTr="00926724">
        <w:trPr>
          <w:trHeight w:val="510"/>
        </w:trPr>
        <w:tc>
          <w:tcPr>
            <w:tcW w:w="9634" w:type="dxa"/>
            <w:gridSpan w:val="2"/>
            <w:vAlign w:val="center"/>
          </w:tcPr>
          <w:p w14:paraId="7D002EDD" w14:textId="77777777" w:rsidR="00926724" w:rsidRPr="00603B3A"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603B3A">
              <w:rPr>
                <w:rStyle w:val="Style2"/>
                <w:rFonts w:eastAsia="MS Gothic"/>
                <w:b/>
                <w:bCs/>
                <w:sz w:val="23"/>
                <w:szCs w:val="23"/>
              </w:rPr>
              <w:t>Kaštų naudingumas</w:t>
            </w:r>
          </w:p>
        </w:tc>
      </w:tr>
      <w:tr w:rsidR="00926724" w:rsidRPr="00603B3A" w14:paraId="22891420" w14:textId="77777777" w:rsidTr="00926724">
        <w:tc>
          <w:tcPr>
            <w:tcW w:w="4820" w:type="dxa"/>
          </w:tcPr>
          <w:p w14:paraId="6943F5A0" w14:textId="77777777" w:rsidR="00926724" w:rsidRPr="00603B3A"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EndPr>
                <w:rPr>
                  <w:rStyle w:val="Style2"/>
                </w:rPr>
              </w:sdtEndPr>
              <w:sdtContent>
                <w:r w:rsidR="00926724">
                  <w:rPr>
                    <w:rStyle w:val="Style2"/>
                    <w:rFonts w:ascii="MS Gothic" w:eastAsia="MS Gothic" w:hAnsi="MS Gothic" w:hint="eastAsia"/>
                    <w:sz w:val="23"/>
                    <w:szCs w:val="23"/>
                  </w:rPr>
                  <w:t>☒</w:t>
                </w:r>
              </w:sdtContent>
            </w:sdt>
            <w:r w:rsidR="00926724" w:rsidRPr="00603B3A">
              <w:rPr>
                <w:sz w:val="23"/>
                <w:szCs w:val="23"/>
              </w:rPr>
              <w:t xml:space="preserve"> 29.2.1 atitinka referencinę naudingumo vertę taikant PGS</w:t>
            </w:r>
          </w:p>
          <w:p w14:paraId="6F32E6B8" w14:textId="77777777" w:rsidR="00926724" w:rsidRPr="00603B3A"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ECA1AC1" w14:textId="77777777" w:rsidR="00926724" w:rsidRPr="00603B3A"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7A7125F7" w14:textId="77777777" w:rsidR="00926724" w:rsidRPr="00603B3A"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926724" w:rsidRPr="00603B3A">
                  <w:rPr>
                    <w:rStyle w:val="Style2"/>
                    <w:rFonts w:ascii="Segoe UI Symbol" w:eastAsia="MS Gothic" w:hAnsi="Segoe UI Symbol" w:cs="Segoe UI Symbol"/>
                    <w:sz w:val="23"/>
                    <w:szCs w:val="23"/>
                  </w:rPr>
                  <w:t>☐</w:t>
                </w:r>
              </w:sdtContent>
            </w:sdt>
            <w:r w:rsidR="00926724" w:rsidRPr="00603B3A">
              <w:rPr>
                <w:sz w:val="23"/>
                <w:szCs w:val="23"/>
              </w:rPr>
              <w:t xml:space="preserve"> 29.2.3 neatitinka referencinės naudingumo vertės taikant arba netaikant PGS</w:t>
            </w:r>
          </w:p>
          <w:p w14:paraId="61CA7C59" w14:textId="77777777" w:rsidR="00926724" w:rsidRPr="00603B3A"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301159D8" w14:textId="77777777" w:rsidR="00926724" w:rsidRPr="00603B3A"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926724" w:rsidRPr="00603B3A">
                  <w:rPr>
                    <w:rStyle w:val="Style2"/>
                    <w:rFonts w:ascii="Segoe UI Symbol" w:eastAsia="MS Gothic" w:hAnsi="Segoe UI Symbol" w:cs="Segoe UI Symbol"/>
                    <w:sz w:val="23"/>
                    <w:szCs w:val="23"/>
                  </w:rPr>
                  <w:t>☐</w:t>
                </w:r>
              </w:sdtContent>
            </w:sdt>
            <w:r w:rsidR="00926724" w:rsidRPr="00603B3A">
              <w:rPr>
                <w:sz w:val="23"/>
                <w:szCs w:val="23"/>
              </w:rPr>
              <w:t xml:space="preserve"> 29.2.5 pateikti duomenys apie kaštų naudingumą yra netinkami vertinti</w:t>
            </w:r>
          </w:p>
          <w:p w14:paraId="24B08272" w14:textId="77777777" w:rsidR="00926724" w:rsidRPr="00603B3A" w:rsidRDefault="00926724"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926724" w:rsidRPr="00603B3A" w14:paraId="49E948BE" w14:textId="77777777" w:rsidTr="00926724">
        <w:tc>
          <w:tcPr>
            <w:tcW w:w="9634" w:type="dxa"/>
            <w:gridSpan w:val="2"/>
          </w:tcPr>
          <w:p w14:paraId="7FD5D8C0" w14:textId="77777777" w:rsidR="00926724" w:rsidRPr="00603B3A" w:rsidRDefault="003B55E9" w:rsidP="00BC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926724" w:rsidRPr="00603B3A">
                  <w:rPr>
                    <w:rStyle w:val="Style2"/>
                    <w:rFonts w:ascii="Segoe UI Symbol" w:eastAsia="MS Gothic" w:hAnsi="Segoe UI Symbol" w:cs="Segoe UI Symbol"/>
                    <w:sz w:val="23"/>
                    <w:szCs w:val="23"/>
                  </w:rPr>
                  <w:t>☐</w:t>
                </w:r>
              </w:sdtContent>
            </w:sdt>
            <w:r w:rsidR="00926724" w:rsidRPr="00603B3A">
              <w:rPr>
                <w:sz w:val="23"/>
                <w:szCs w:val="23"/>
              </w:rPr>
              <w:t xml:space="preserve"> Vykdant Aprašo &lt;17</w:t>
            </w:r>
            <w:r w:rsidR="00926724" w:rsidRPr="00603B3A">
              <w:rPr>
                <w:sz w:val="23"/>
                <w:szCs w:val="23"/>
                <w:vertAlign w:val="superscript"/>
              </w:rPr>
              <w:t>3</w:t>
            </w:r>
            <w:r w:rsidR="00926724" w:rsidRPr="00603B3A">
              <w:rPr>
                <w:sz w:val="23"/>
                <w:szCs w:val="23"/>
              </w:rPr>
              <w:t>.1&gt;&lt;17</w:t>
            </w:r>
            <w:r w:rsidR="00926724" w:rsidRPr="00603B3A">
              <w:rPr>
                <w:sz w:val="23"/>
                <w:szCs w:val="23"/>
                <w:vertAlign w:val="superscript"/>
              </w:rPr>
              <w:t>3</w:t>
            </w:r>
            <w:r w:rsidR="00926724" w:rsidRPr="00603B3A">
              <w:rPr>
                <w:sz w:val="23"/>
                <w:szCs w:val="23"/>
              </w:rPr>
              <w:t>.2&gt;&lt;17</w:t>
            </w:r>
            <w:r w:rsidR="00926724" w:rsidRPr="00603B3A">
              <w:rPr>
                <w:sz w:val="23"/>
                <w:szCs w:val="23"/>
                <w:vertAlign w:val="superscript"/>
              </w:rPr>
              <w:t>3</w:t>
            </w:r>
            <w:r w:rsidR="00926724" w:rsidRPr="00603B3A">
              <w:rPr>
                <w:sz w:val="23"/>
                <w:szCs w:val="23"/>
              </w:rPr>
              <w:t xml:space="preserve">.3&gt; punktą vaistinio (-ų) preparato (-ų) ekonominis vertinimas neatliekamas, išvados dėl kaštų naudingumo neteikiamos </w:t>
            </w:r>
          </w:p>
        </w:tc>
      </w:tr>
    </w:tbl>
    <w:p w14:paraId="29A90384" w14:textId="5513C91F"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47643EED" w14:textId="6F5B5074" w:rsidR="00926724" w:rsidRDefault="00926724" w:rsidP="00CC09D4">
      <w:pPr>
        <w:tabs>
          <w:tab w:val="left" w:pos="567"/>
        </w:tabs>
        <w:ind w:left="567" w:hanging="567"/>
        <w:jc w:val="both"/>
        <w:rPr>
          <w:b/>
          <w:color w:val="000000"/>
          <w:lang w:eastAsia="lt-LT"/>
        </w:rPr>
      </w:pPr>
    </w:p>
    <w:p w14:paraId="621B21A2" w14:textId="77777777" w:rsidR="00926724" w:rsidRPr="0050508C" w:rsidRDefault="00926724" w:rsidP="00926724">
      <w:pPr>
        <w:jc w:val="both"/>
        <w:rPr>
          <w:i/>
          <w:iCs/>
          <w:szCs w:val="20"/>
        </w:rPr>
      </w:pPr>
      <w:r w:rsidRPr="00603B3A">
        <w:t>Vadovaujantis Aprašo</w:t>
      </w:r>
      <w:bookmarkStart w:id="1" w:name="part_2e1d9dd50ec54141ab7a1b19970b9847"/>
      <w:bookmarkEnd w:id="1"/>
      <w:r>
        <w:t xml:space="preserve"> </w:t>
      </w:r>
      <w:r w:rsidRPr="00603B3A">
        <w:rPr>
          <w:lang w:eastAsia="lt-LT"/>
        </w:rPr>
        <w:t>30</w:t>
      </w:r>
      <w:r w:rsidRPr="00603B3A">
        <w:rPr>
          <w:vertAlign w:val="superscript"/>
          <w:lang w:eastAsia="lt-LT"/>
        </w:rPr>
        <w:t>1</w:t>
      </w:r>
      <w:r w:rsidRPr="00603B3A">
        <w:rPr>
          <w:lang w:eastAsia="lt-LT"/>
        </w:rPr>
        <w:t>.1. papunkčiu rekomenduojama kompensuoti vaistinį preparatą pagal paraiškoje nurodytą indikaciją (arba jos dalį) su arba be skyrimo sąlygų, taikant ar netaikant PGS, kai vertinimo išvados atitinka &lt;Aprašo 29.1.1 ir 29.2.1 papunkčiuose numatytas sąlygas.</w:t>
      </w:r>
    </w:p>
    <w:p w14:paraId="1D2A56EC" w14:textId="77777777" w:rsidR="00926724" w:rsidRDefault="00926724" w:rsidP="00CC09D4">
      <w:pPr>
        <w:tabs>
          <w:tab w:val="left" w:pos="567"/>
        </w:tabs>
        <w:ind w:left="567" w:hanging="567"/>
        <w:jc w:val="both"/>
        <w:rPr>
          <w:b/>
          <w:color w:val="000000"/>
          <w:lang w:eastAsia="lt-LT"/>
        </w:rPr>
      </w:pPr>
    </w:p>
    <w:p w14:paraId="51499C64" w14:textId="77777777" w:rsidR="00926724" w:rsidRDefault="00926724" w:rsidP="00CC09D4">
      <w:pPr>
        <w:tabs>
          <w:tab w:val="left" w:pos="567"/>
        </w:tabs>
        <w:ind w:left="567" w:hanging="567"/>
        <w:jc w:val="both"/>
        <w:rPr>
          <w:b/>
          <w:color w:val="000000"/>
          <w:lang w:eastAsia="lt-LT"/>
        </w:rPr>
      </w:pPr>
    </w:p>
    <w:p w14:paraId="18B4292E" w14:textId="64DE910C"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06D6A296" w14:textId="77777777" w:rsidR="00FB3963" w:rsidRPr="002978D5" w:rsidRDefault="00FB3963" w:rsidP="00FB3963">
      <w:pPr>
        <w:pStyle w:val="NoSpacing"/>
        <w:rPr>
          <w:rFonts w:ascii="Times New Roman" w:hAnsi="Times New Roman"/>
          <w:b/>
          <w:sz w:val="24"/>
          <w:szCs w:val="24"/>
          <w:lang w:eastAsia="lt-LT"/>
        </w:rPr>
      </w:pPr>
      <w:r w:rsidRPr="002978D5">
        <w:rPr>
          <w:rFonts w:ascii="Times New Roman" w:hAnsi="Times New Roman"/>
          <w:b/>
          <w:sz w:val="24"/>
          <w:szCs w:val="24"/>
          <w:lang w:eastAsia="lt-LT"/>
        </w:rPr>
        <w:t>Terapinės indikacijos</w:t>
      </w:r>
    </w:p>
    <w:p w14:paraId="732810E2" w14:textId="77777777" w:rsidR="00FB3963" w:rsidRPr="002978D5" w:rsidRDefault="003B55E9" w:rsidP="00FB3963">
      <w:pPr>
        <w:pStyle w:val="NoSpacing"/>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FB3963">
            <w:rPr>
              <w:rStyle w:val="Style2"/>
              <w:rFonts w:ascii="MS Gothic" w:eastAsia="MS Gothic" w:hAnsi="MS Gothic" w:hint="eastAsia"/>
              <w:sz w:val="24"/>
              <w:szCs w:val="24"/>
            </w:rPr>
            <w:t>☒</w:t>
          </w:r>
        </w:sdtContent>
      </w:sdt>
      <w:r w:rsidR="00FB3963" w:rsidRPr="002978D5">
        <w:rPr>
          <w:rFonts w:ascii="Times New Roman" w:hAnsi="Times New Roman"/>
          <w:sz w:val="24"/>
          <w:szCs w:val="24"/>
        </w:rPr>
        <w:t xml:space="preserve"> Siūloma kompensuoti Pareiškėjo teikiamą indikaciją be pakeitimų.</w:t>
      </w:r>
    </w:p>
    <w:p w14:paraId="631C9760" w14:textId="77777777" w:rsidR="00FB3963" w:rsidRPr="005B5C8A" w:rsidRDefault="00FB3963" w:rsidP="00FB3963">
      <w:pPr>
        <w:spacing w:before="60" w:after="120"/>
        <w:jc w:val="both"/>
        <w:rPr>
          <w:rFonts w:eastAsia="Arial"/>
          <w:i/>
        </w:rPr>
      </w:pPr>
      <w:r w:rsidRPr="005B5C8A">
        <w:rPr>
          <w:rFonts w:eastAsia="Arial"/>
          <w:i/>
        </w:rPr>
        <w:t>ELAHERE monoterapija skirta gydyti suaugusias pacientes, sergančias platinos vaistiniams preparatams atspariu didelio piktybiškumo laipsnio epiteliniu kiaušidžių, kiaušintakių arba pirminiu pilvaplėvės vėžiu, turinčiu teigiamą folatų recetorių alfa (FRα) rodmenį, kurios jau buvo gydytos nuo vieno iki trijų sisteminio gydymo režimais.</w:t>
      </w:r>
    </w:p>
    <w:p w14:paraId="78841F1D" w14:textId="77777777" w:rsidR="00287636" w:rsidRPr="005B5C8A" w:rsidRDefault="00287636" w:rsidP="00287636">
      <w:pPr>
        <w:spacing w:before="60" w:after="120"/>
        <w:jc w:val="both"/>
        <w:rPr>
          <w:rFonts w:eastAsia="Arial"/>
          <w:i/>
        </w:rPr>
      </w:pPr>
      <w:r>
        <w:t xml:space="preserve">TLK 10 AM kodai: </w:t>
      </w:r>
      <w:r w:rsidRPr="002978D5">
        <w:t>C48, C56, C57</w:t>
      </w:r>
    </w:p>
    <w:p w14:paraId="093F538B" w14:textId="77777777" w:rsidR="0089522B" w:rsidRPr="002978D5" w:rsidRDefault="0089522B" w:rsidP="00FB3963">
      <w:pPr>
        <w:pStyle w:val="NoSpacing"/>
        <w:rPr>
          <w:rFonts w:ascii="Times New Roman" w:hAnsi="Times New Roman"/>
          <w:sz w:val="24"/>
          <w:szCs w:val="24"/>
        </w:rPr>
      </w:pPr>
    </w:p>
    <w:p w14:paraId="16134B72" w14:textId="77777777" w:rsidR="00FB3963" w:rsidRPr="002978D5" w:rsidRDefault="00FB3963" w:rsidP="00FB3963">
      <w:pPr>
        <w:pStyle w:val="NoSpacing"/>
        <w:rPr>
          <w:rFonts w:ascii="Times New Roman" w:hAnsi="Times New Roman"/>
          <w:b/>
          <w:sz w:val="24"/>
          <w:szCs w:val="24"/>
        </w:rPr>
      </w:pPr>
      <w:r w:rsidRPr="002978D5">
        <w:rPr>
          <w:rFonts w:ascii="Times New Roman" w:hAnsi="Times New Roman"/>
          <w:b/>
          <w:sz w:val="24"/>
          <w:szCs w:val="24"/>
        </w:rPr>
        <w:t>Skyrimo sąlygos</w:t>
      </w:r>
    </w:p>
    <w:p w14:paraId="7D421EF7" w14:textId="77777777" w:rsidR="00FB3963" w:rsidRPr="002978D5" w:rsidRDefault="003B55E9" w:rsidP="00FB3963">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FB3963">
            <w:rPr>
              <w:rStyle w:val="Style2"/>
              <w:rFonts w:ascii="MS Gothic" w:eastAsia="MS Gothic" w:hAnsi="MS Gothic" w:hint="eastAsia"/>
              <w:sz w:val="24"/>
              <w:szCs w:val="24"/>
            </w:rPr>
            <w:t>☒</w:t>
          </w:r>
        </w:sdtContent>
      </w:sdt>
      <w:r w:rsidR="00FB3963" w:rsidRPr="002978D5">
        <w:rPr>
          <w:rFonts w:ascii="Times New Roman" w:hAnsi="Times New Roman"/>
          <w:sz w:val="24"/>
          <w:szCs w:val="24"/>
        </w:rPr>
        <w:t xml:space="preserve"> Pareiškėjo siūlomos skyrimo sąlygos nepriimtinos. </w:t>
      </w:r>
    </w:p>
    <w:p w14:paraId="6CAADFAA" w14:textId="77777777" w:rsidR="00FB3963" w:rsidRDefault="00FB3963" w:rsidP="00FB3963">
      <w:pPr>
        <w:pStyle w:val="NoSpacing"/>
        <w:rPr>
          <w:rFonts w:ascii="Times New Roman" w:hAnsi="Times New Roman"/>
          <w:sz w:val="24"/>
          <w:szCs w:val="24"/>
        </w:rPr>
      </w:pPr>
      <w:r w:rsidRPr="002978D5">
        <w:rPr>
          <w:rFonts w:ascii="Times New Roman" w:hAnsi="Times New Roman"/>
          <w:sz w:val="24"/>
          <w:szCs w:val="24"/>
        </w:rPr>
        <w:t>Siūloma skyrimo sąlygų formuluotė</w:t>
      </w:r>
      <w:r>
        <w:rPr>
          <w:rFonts w:ascii="Times New Roman" w:hAnsi="Times New Roman"/>
          <w:sz w:val="24"/>
          <w:szCs w:val="24"/>
        </w:rPr>
        <w:t>:</w:t>
      </w:r>
    </w:p>
    <w:p w14:paraId="2955658A" w14:textId="010627E1" w:rsidR="00572361" w:rsidRPr="00572361" w:rsidRDefault="00FB3963" w:rsidP="00572361">
      <w:pPr>
        <w:spacing w:before="60" w:after="120"/>
        <w:jc w:val="both"/>
        <w:rPr>
          <w:rFonts w:eastAsia="Arial"/>
          <w:b/>
          <w:bCs/>
          <w:i/>
          <w:iCs/>
        </w:rPr>
      </w:pPr>
      <w:bookmarkStart w:id="2" w:name="_Hlk210062004"/>
      <w:r w:rsidRPr="00572361">
        <w:rPr>
          <w:i/>
          <w:iCs/>
        </w:rPr>
        <w:t>Skiriamas monoterapija</w:t>
      </w:r>
      <w:r w:rsidR="0089522B" w:rsidRPr="00572361">
        <w:rPr>
          <w:i/>
          <w:iCs/>
        </w:rPr>
        <w:t>i</w:t>
      </w:r>
      <w:r w:rsidRPr="00572361">
        <w:rPr>
          <w:i/>
          <w:iCs/>
        </w:rPr>
        <w:t xml:space="preserve"> </w:t>
      </w:r>
      <w:r w:rsidRPr="00572361">
        <w:rPr>
          <w:rFonts w:eastAsia="Arial"/>
          <w:i/>
          <w:iCs/>
        </w:rPr>
        <w:t>suaugusi</w:t>
      </w:r>
      <w:r w:rsidR="0089522B" w:rsidRPr="00572361">
        <w:rPr>
          <w:rFonts w:eastAsia="Arial"/>
          <w:i/>
          <w:iCs/>
        </w:rPr>
        <w:t>ų</w:t>
      </w:r>
      <w:r w:rsidRPr="00572361">
        <w:rPr>
          <w:rFonts w:eastAsia="Arial"/>
          <w:i/>
          <w:iCs/>
        </w:rPr>
        <w:t xml:space="preserve"> pacien</w:t>
      </w:r>
      <w:r w:rsidR="0089522B" w:rsidRPr="00572361">
        <w:rPr>
          <w:rFonts w:eastAsia="Arial"/>
          <w:i/>
          <w:iCs/>
        </w:rPr>
        <w:t>čių</w:t>
      </w:r>
      <w:r w:rsidRPr="00572361">
        <w:rPr>
          <w:rFonts w:eastAsia="Arial"/>
          <w:i/>
          <w:iCs/>
        </w:rPr>
        <w:t>, serganči</w:t>
      </w:r>
      <w:r w:rsidR="0089522B" w:rsidRPr="00572361">
        <w:rPr>
          <w:rFonts w:eastAsia="Arial"/>
          <w:i/>
          <w:iCs/>
        </w:rPr>
        <w:t>ų</w:t>
      </w:r>
      <w:r w:rsidRPr="00572361">
        <w:rPr>
          <w:rFonts w:eastAsia="Arial"/>
          <w:i/>
          <w:iCs/>
        </w:rPr>
        <w:t xml:space="preserve"> platin</w:t>
      </w:r>
      <w:r w:rsidR="0089522B" w:rsidRPr="00572361">
        <w:rPr>
          <w:rFonts w:eastAsia="Arial"/>
          <w:i/>
          <w:iCs/>
        </w:rPr>
        <w:t>ai</w:t>
      </w:r>
      <w:r w:rsidRPr="00572361">
        <w:rPr>
          <w:rFonts w:eastAsia="Arial"/>
          <w:i/>
          <w:iCs/>
        </w:rPr>
        <w:t xml:space="preserve"> atspariu didelio piktybiškumo laipsnio epiteliniu kiaušidžių, kiaušintakių arba pirminiu pilvaplėvės vėžiu, turinčiu teigiamą folatų recetorių alfa (FRα) rodmenį, kurios jau buvo gydytos </w:t>
      </w:r>
      <w:r w:rsidR="00572361" w:rsidRPr="00572361">
        <w:rPr>
          <w:rFonts w:eastAsia="Arial"/>
          <w:i/>
          <w:iCs/>
        </w:rPr>
        <w:t>trimis</w:t>
      </w:r>
      <w:r w:rsidRPr="00572361">
        <w:rPr>
          <w:rFonts w:eastAsia="Arial"/>
          <w:i/>
          <w:iCs/>
        </w:rPr>
        <w:t xml:space="preserve"> sistemin</w:t>
      </w:r>
      <w:r w:rsidR="00572361" w:rsidRPr="00572361">
        <w:rPr>
          <w:rFonts w:eastAsia="Arial"/>
          <w:i/>
          <w:iCs/>
        </w:rPr>
        <w:t>io gydymo režimais</w:t>
      </w:r>
      <w:r w:rsidRPr="00572361">
        <w:rPr>
          <w:rFonts w:eastAsia="Arial"/>
          <w:i/>
          <w:iCs/>
        </w:rPr>
        <w:t>.</w:t>
      </w:r>
      <w:r w:rsidRPr="00572361">
        <w:rPr>
          <w:i/>
          <w:iCs/>
        </w:rPr>
        <w:t xml:space="preserve"> </w:t>
      </w:r>
      <w:r w:rsidR="00572361" w:rsidRPr="00572361">
        <w:rPr>
          <w:i/>
          <w:iCs/>
        </w:rPr>
        <w:t xml:space="preserve">Gydymas tęsiamas iki ligos progresavimo arba nepriimtino toksinio poveikio atsiradimo. </w:t>
      </w:r>
      <w:bookmarkEnd w:id="2"/>
    </w:p>
    <w:sectPr w:rsidR="00572361" w:rsidRPr="00572361" w:rsidSect="005D30E1">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A62D" w14:textId="77777777" w:rsidR="00B522E4" w:rsidRDefault="00B522E4">
      <w:r>
        <w:separator/>
      </w:r>
    </w:p>
  </w:endnote>
  <w:endnote w:type="continuationSeparator" w:id="0">
    <w:p w14:paraId="78829012" w14:textId="77777777" w:rsidR="00B522E4" w:rsidRDefault="00B5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1524" w14:textId="77777777" w:rsidR="00B522E4" w:rsidRDefault="00B522E4">
      <w:r>
        <w:separator/>
      </w:r>
    </w:p>
  </w:footnote>
  <w:footnote w:type="continuationSeparator" w:id="0">
    <w:p w14:paraId="58E1E8C1" w14:textId="77777777" w:rsidR="00B522E4" w:rsidRDefault="00B5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1014165">
    <w:abstractNumId w:val="6"/>
  </w:num>
  <w:num w:numId="2" w16cid:durableId="263854108">
    <w:abstractNumId w:val="1"/>
  </w:num>
  <w:num w:numId="3" w16cid:durableId="1299341744">
    <w:abstractNumId w:val="8"/>
  </w:num>
  <w:num w:numId="4" w16cid:durableId="525678658">
    <w:abstractNumId w:val="7"/>
  </w:num>
  <w:num w:numId="5" w16cid:durableId="2047900475">
    <w:abstractNumId w:val="5"/>
  </w:num>
  <w:num w:numId="6" w16cid:durableId="156194523">
    <w:abstractNumId w:val="4"/>
  </w:num>
  <w:num w:numId="7" w16cid:durableId="1176575789">
    <w:abstractNumId w:val="3"/>
  </w:num>
  <w:num w:numId="8" w16cid:durableId="1940402897">
    <w:abstractNumId w:val="11"/>
  </w:num>
  <w:num w:numId="9" w16cid:durableId="325329608">
    <w:abstractNumId w:val="0"/>
  </w:num>
  <w:num w:numId="10" w16cid:durableId="778574416">
    <w:abstractNumId w:val="9"/>
  </w:num>
  <w:num w:numId="11" w16cid:durableId="1056708450">
    <w:abstractNumId w:val="10"/>
  </w:num>
  <w:num w:numId="12" w16cid:durableId="15434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27AF6"/>
    <w:rsid w:val="00031D0E"/>
    <w:rsid w:val="000337E6"/>
    <w:rsid w:val="0003402E"/>
    <w:rsid w:val="00034EAE"/>
    <w:rsid w:val="00042924"/>
    <w:rsid w:val="00044D91"/>
    <w:rsid w:val="00053975"/>
    <w:rsid w:val="00057A2B"/>
    <w:rsid w:val="000606BE"/>
    <w:rsid w:val="000723FF"/>
    <w:rsid w:val="000736B8"/>
    <w:rsid w:val="00075379"/>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04AF"/>
    <w:rsid w:val="001D746F"/>
    <w:rsid w:val="001E4BBB"/>
    <w:rsid w:val="001E6304"/>
    <w:rsid w:val="0020381E"/>
    <w:rsid w:val="00213471"/>
    <w:rsid w:val="00215906"/>
    <w:rsid w:val="0022538E"/>
    <w:rsid w:val="00241CD8"/>
    <w:rsid w:val="00244B09"/>
    <w:rsid w:val="002519CB"/>
    <w:rsid w:val="0025697F"/>
    <w:rsid w:val="00260258"/>
    <w:rsid w:val="0026588E"/>
    <w:rsid w:val="00272428"/>
    <w:rsid w:val="00272948"/>
    <w:rsid w:val="00287636"/>
    <w:rsid w:val="00292392"/>
    <w:rsid w:val="002946C7"/>
    <w:rsid w:val="002B3CC1"/>
    <w:rsid w:val="002C023D"/>
    <w:rsid w:val="002C09E0"/>
    <w:rsid w:val="002C1BB1"/>
    <w:rsid w:val="002C2786"/>
    <w:rsid w:val="002C3A10"/>
    <w:rsid w:val="002C4A90"/>
    <w:rsid w:val="002C4ED5"/>
    <w:rsid w:val="002D002B"/>
    <w:rsid w:val="002D02EF"/>
    <w:rsid w:val="002E0702"/>
    <w:rsid w:val="002E57AD"/>
    <w:rsid w:val="002E6F80"/>
    <w:rsid w:val="002F0E4F"/>
    <w:rsid w:val="002F1053"/>
    <w:rsid w:val="00317B0E"/>
    <w:rsid w:val="00333201"/>
    <w:rsid w:val="00347FAA"/>
    <w:rsid w:val="0035172D"/>
    <w:rsid w:val="00354192"/>
    <w:rsid w:val="0036187D"/>
    <w:rsid w:val="00367EDB"/>
    <w:rsid w:val="00381024"/>
    <w:rsid w:val="00386307"/>
    <w:rsid w:val="003874DE"/>
    <w:rsid w:val="00393E9F"/>
    <w:rsid w:val="0039696E"/>
    <w:rsid w:val="003B211A"/>
    <w:rsid w:val="003B55E9"/>
    <w:rsid w:val="003C141F"/>
    <w:rsid w:val="003C6B0E"/>
    <w:rsid w:val="003C7257"/>
    <w:rsid w:val="003C7E35"/>
    <w:rsid w:val="003D1E99"/>
    <w:rsid w:val="003D6208"/>
    <w:rsid w:val="00400F8E"/>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2361"/>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87D63"/>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3771"/>
    <w:rsid w:val="00834732"/>
    <w:rsid w:val="0085200C"/>
    <w:rsid w:val="00857C52"/>
    <w:rsid w:val="00860D5F"/>
    <w:rsid w:val="00880A44"/>
    <w:rsid w:val="0088345E"/>
    <w:rsid w:val="0088656F"/>
    <w:rsid w:val="00891EF6"/>
    <w:rsid w:val="0089522B"/>
    <w:rsid w:val="008A0303"/>
    <w:rsid w:val="008A5FDD"/>
    <w:rsid w:val="008C3947"/>
    <w:rsid w:val="008E473B"/>
    <w:rsid w:val="008E51A6"/>
    <w:rsid w:val="008E7329"/>
    <w:rsid w:val="008F2ED5"/>
    <w:rsid w:val="009017F0"/>
    <w:rsid w:val="0092297E"/>
    <w:rsid w:val="00923651"/>
    <w:rsid w:val="00926724"/>
    <w:rsid w:val="00927B56"/>
    <w:rsid w:val="009341BF"/>
    <w:rsid w:val="00937907"/>
    <w:rsid w:val="00941739"/>
    <w:rsid w:val="00951573"/>
    <w:rsid w:val="00963003"/>
    <w:rsid w:val="00966EEF"/>
    <w:rsid w:val="00971B28"/>
    <w:rsid w:val="00983471"/>
    <w:rsid w:val="009909AB"/>
    <w:rsid w:val="009B37DB"/>
    <w:rsid w:val="009C0527"/>
    <w:rsid w:val="009C740B"/>
    <w:rsid w:val="009C7A8C"/>
    <w:rsid w:val="009D23F9"/>
    <w:rsid w:val="009D4FA8"/>
    <w:rsid w:val="009E44AE"/>
    <w:rsid w:val="009E6032"/>
    <w:rsid w:val="009E6CD6"/>
    <w:rsid w:val="009F4D66"/>
    <w:rsid w:val="00A00C3C"/>
    <w:rsid w:val="00A01091"/>
    <w:rsid w:val="00A042B9"/>
    <w:rsid w:val="00A06DBB"/>
    <w:rsid w:val="00A17E7F"/>
    <w:rsid w:val="00A22ADF"/>
    <w:rsid w:val="00A31E86"/>
    <w:rsid w:val="00A54D87"/>
    <w:rsid w:val="00A5553C"/>
    <w:rsid w:val="00A701C9"/>
    <w:rsid w:val="00A81785"/>
    <w:rsid w:val="00A84803"/>
    <w:rsid w:val="00A84C51"/>
    <w:rsid w:val="00A86F2B"/>
    <w:rsid w:val="00A87C02"/>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522E4"/>
    <w:rsid w:val="00B52B8E"/>
    <w:rsid w:val="00B71C72"/>
    <w:rsid w:val="00B81E92"/>
    <w:rsid w:val="00B908D7"/>
    <w:rsid w:val="00B915AB"/>
    <w:rsid w:val="00B935E8"/>
    <w:rsid w:val="00B93B30"/>
    <w:rsid w:val="00B94CB5"/>
    <w:rsid w:val="00BA0DD9"/>
    <w:rsid w:val="00BA5DBC"/>
    <w:rsid w:val="00BB5F54"/>
    <w:rsid w:val="00BB6312"/>
    <w:rsid w:val="00BC4D06"/>
    <w:rsid w:val="00BD585E"/>
    <w:rsid w:val="00BD6919"/>
    <w:rsid w:val="00BE1EA7"/>
    <w:rsid w:val="00BE7489"/>
    <w:rsid w:val="00BF15A4"/>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0D82"/>
    <w:rsid w:val="00CC668D"/>
    <w:rsid w:val="00CC7832"/>
    <w:rsid w:val="00CF0C1C"/>
    <w:rsid w:val="00CF27FD"/>
    <w:rsid w:val="00CF5F12"/>
    <w:rsid w:val="00CF63AD"/>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3D07"/>
    <w:rsid w:val="00DB1F64"/>
    <w:rsid w:val="00DC2F53"/>
    <w:rsid w:val="00DC5BAC"/>
    <w:rsid w:val="00DC6816"/>
    <w:rsid w:val="00DC76C2"/>
    <w:rsid w:val="00DD1CF2"/>
    <w:rsid w:val="00DE4484"/>
    <w:rsid w:val="00DF41B7"/>
    <w:rsid w:val="00DF4A4A"/>
    <w:rsid w:val="00DF583C"/>
    <w:rsid w:val="00E03C3F"/>
    <w:rsid w:val="00E06FD7"/>
    <w:rsid w:val="00E07417"/>
    <w:rsid w:val="00E24966"/>
    <w:rsid w:val="00E24D45"/>
    <w:rsid w:val="00E27FFA"/>
    <w:rsid w:val="00E33DB8"/>
    <w:rsid w:val="00E33EFF"/>
    <w:rsid w:val="00E34387"/>
    <w:rsid w:val="00E348BA"/>
    <w:rsid w:val="00E369FE"/>
    <w:rsid w:val="00E37C6F"/>
    <w:rsid w:val="00E475F8"/>
    <w:rsid w:val="00E5102E"/>
    <w:rsid w:val="00E5721C"/>
    <w:rsid w:val="00E619C6"/>
    <w:rsid w:val="00E745A1"/>
    <w:rsid w:val="00E7714B"/>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B3963"/>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Tabellengitternetz 9pt,Dossier table,Section 3- footnotes,Legemiddelverket 3,Summary Table,ASD Table,Key messages box,YHEC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Tekstas">
    <w:name w:val="Tekstas"/>
    <w:basedOn w:val="Normal"/>
    <w:link w:val="TekstasChar"/>
    <w:qFormat/>
    <w:rsid w:val="00926724"/>
    <w:pPr>
      <w:spacing w:after="120"/>
      <w:jc w:val="both"/>
    </w:pPr>
    <w:rPr>
      <w:color w:val="000000" w:themeColor="text1"/>
      <w:lang w:val="en-US"/>
    </w:rPr>
  </w:style>
  <w:style w:type="character" w:customStyle="1" w:styleId="TekstasChar">
    <w:name w:val="Tekstas Char"/>
    <w:link w:val="Tekstas"/>
    <w:rsid w:val="00926724"/>
    <w:rPr>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health/documents/community-register/html/o145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9EBD648E6042E4AC546C67DF0ED4B7"/>
        <w:category>
          <w:name w:val="General"/>
          <w:gallery w:val="placeholder"/>
        </w:category>
        <w:types>
          <w:type w:val="bbPlcHdr"/>
        </w:types>
        <w:behaviors>
          <w:behavior w:val="content"/>
        </w:behaviors>
        <w:guid w:val="{34CD60EB-04CF-4EE4-8DF9-EB8DDF253FFE}"/>
      </w:docPartPr>
      <w:docPartBody>
        <w:p w:rsidR="00A17035" w:rsidRDefault="00451BCC" w:rsidP="00451BCC">
          <w:pPr>
            <w:pStyle w:val="389EBD648E6042E4AC546C67DF0ED4B7"/>
          </w:pPr>
          <w:r>
            <w:rPr>
              <w:rStyle w:val="PlaceholderText"/>
            </w:rPr>
            <w:t>Click here to enter a date.</w:t>
          </w:r>
        </w:p>
      </w:docPartBody>
    </w:docPart>
    <w:docPart>
      <w:docPartPr>
        <w:name w:val="ED551529757F4B01B0192395716F556A"/>
        <w:category>
          <w:name w:val="General"/>
          <w:gallery w:val="placeholder"/>
        </w:category>
        <w:types>
          <w:type w:val="bbPlcHdr"/>
        </w:types>
        <w:behaviors>
          <w:behavior w:val="content"/>
        </w:behaviors>
        <w:guid w:val="{8F0F5BAB-845D-4CA3-A02C-0E65DE0209FA}"/>
      </w:docPartPr>
      <w:docPartBody>
        <w:p w:rsidR="00A17035" w:rsidRDefault="00451BCC" w:rsidP="00451BCC">
          <w:pPr>
            <w:pStyle w:val="ED551529757F4B01B0192395716F556A"/>
          </w:pPr>
          <w:r>
            <w:rPr>
              <w:rStyle w:val="PlaceholderText"/>
            </w:rPr>
            <w:t>Click here to enter a date.</w:t>
          </w:r>
        </w:p>
      </w:docPartBody>
    </w:docPart>
    <w:docPart>
      <w:docPartPr>
        <w:name w:val="22CEAE660C9D47608BE4812CA7C043F1"/>
        <w:category>
          <w:name w:val="General"/>
          <w:gallery w:val="placeholder"/>
        </w:category>
        <w:types>
          <w:type w:val="bbPlcHdr"/>
        </w:types>
        <w:behaviors>
          <w:behavior w:val="content"/>
        </w:behaviors>
        <w:guid w:val="{9706174B-8371-478E-B435-4980B1D81AB8}"/>
      </w:docPartPr>
      <w:docPartBody>
        <w:p w:rsidR="00A17035" w:rsidRDefault="00451BCC" w:rsidP="00451BCC">
          <w:pPr>
            <w:pStyle w:val="22CEAE660C9D47608BE4812CA7C043F1"/>
          </w:pPr>
          <w:r>
            <w:rPr>
              <w:rStyle w:val="PlaceholderText"/>
            </w:rPr>
            <w:t>Click here to enter a date.</w:t>
          </w:r>
        </w:p>
      </w:docPartBody>
    </w:docPart>
    <w:docPart>
      <w:docPartPr>
        <w:name w:val="8F2A6EA150044A1CB4EC3C06D702A663"/>
        <w:category>
          <w:name w:val="General"/>
          <w:gallery w:val="placeholder"/>
        </w:category>
        <w:types>
          <w:type w:val="bbPlcHdr"/>
        </w:types>
        <w:behaviors>
          <w:behavior w:val="content"/>
        </w:behaviors>
        <w:guid w:val="{F22F70B0-DAD4-4ECD-A0D8-E3F43800DFF3}"/>
      </w:docPartPr>
      <w:docPartBody>
        <w:p w:rsidR="00A17035" w:rsidRDefault="00A17035" w:rsidP="00A17035">
          <w:pPr>
            <w:pStyle w:val="8F2A6EA150044A1CB4EC3C06D702A663"/>
          </w:pPr>
          <w:r>
            <w:rPr>
              <w:rStyle w:val="PlaceholderText"/>
            </w:rPr>
            <w:t>Click here to enter a date.</w:t>
          </w:r>
        </w:p>
      </w:docPartBody>
    </w:docPart>
    <w:docPart>
      <w:docPartPr>
        <w:name w:val="FF29373013254FD9B5BF09E30473E983"/>
        <w:category>
          <w:name w:val="General"/>
          <w:gallery w:val="placeholder"/>
        </w:category>
        <w:types>
          <w:type w:val="bbPlcHdr"/>
        </w:types>
        <w:behaviors>
          <w:behavior w:val="content"/>
        </w:behaviors>
        <w:guid w:val="{8640BFF4-DFDE-450C-9F60-CC450E3A0DE2}"/>
      </w:docPartPr>
      <w:docPartBody>
        <w:p w:rsidR="00A17035" w:rsidRDefault="00A17035" w:rsidP="00A17035">
          <w:pPr>
            <w:pStyle w:val="FF29373013254FD9B5BF09E30473E983"/>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27AF6"/>
    <w:rsid w:val="00044D91"/>
    <w:rsid w:val="00061157"/>
    <w:rsid w:val="000937FE"/>
    <w:rsid w:val="000A559A"/>
    <w:rsid w:val="000D24D4"/>
    <w:rsid w:val="001C35A9"/>
    <w:rsid w:val="00237556"/>
    <w:rsid w:val="00341B32"/>
    <w:rsid w:val="0039303B"/>
    <w:rsid w:val="00400F8E"/>
    <w:rsid w:val="004144A3"/>
    <w:rsid w:val="004160E7"/>
    <w:rsid w:val="004416C6"/>
    <w:rsid w:val="00451BCC"/>
    <w:rsid w:val="004F5AB2"/>
    <w:rsid w:val="005074B9"/>
    <w:rsid w:val="005E40DD"/>
    <w:rsid w:val="007219C1"/>
    <w:rsid w:val="00753462"/>
    <w:rsid w:val="00772325"/>
    <w:rsid w:val="007A2FE0"/>
    <w:rsid w:val="007C6D1D"/>
    <w:rsid w:val="00833771"/>
    <w:rsid w:val="0090074D"/>
    <w:rsid w:val="009017F0"/>
    <w:rsid w:val="009B3BF0"/>
    <w:rsid w:val="009D5E5E"/>
    <w:rsid w:val="009F1BB4"/>
    <w:rsid w:val="00A17035"/>
    <w:rsid w:val="00AB6ED4"/>
    <w:rsid w:val="00B14210"/>
    <w:rsid w:val="00B23DC0"/>
    <w:rsid w:val="00B52B8E"/>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7035"/>
    <w:rPr>
      <w:color w:val="808080"/>
    </w:rPr>
  </w:style>
  <w:style w:type="paragraph" w:customStyle="1" w:styleId="8F2A6EA150044A1CB4EC3C06D702A663">
    <w:name w:val="8F2A6EA150044A1CB4EC3C06D702A663"/>
    <w:rsid w:val="00A17035"/>
    <w:pPr>
      <w:spacing w:line="278" w:lineRule="auto"/>
    </w:pPr>
    <w:rPr>
      <w:kern w:val="2"/>
      <w:sz w:val="24"/>
      <w:szCs w:val="24"/>
      <w14:ligatures w14:val="standardContextual"/>
    </w:rPr>
  </w:style>
  <w:style w:type="paragraph" w:customStyle="1" w:styleId="FF29373013254FD9B5BF09E30473E983">
    <w:name w:val="FF29373013254FD9B5BF09E30473E983"/>
    <w:rsid w:val="00A17035"/>
    <w:pPr>
      <w:spacing w:line="278" w:lineRule="auto"/>
    </w:pPr>
    <w:rPr>
      <w:kern w:val="2"/>
      <w:sz w:val="24"/>
      <w:szCs w:val="24"/>
      <w14:ligatures w14:val="standardContextual"/>
    </w:rPr>
  </w:style>
  <w:style w:type="paragraph" w:customStyle="1" w:styleId="389EBD648E6042E4AC546C67DF0ED4B7">
    <w:name w:val="389EBD648E6042E4AC546C67DF0ED4B7"/>
    <w:rsid w:val="00451BCC"/>
  </w:style>
  <w:style w:type="paragraph" w:customStyle="1" w:styleId="ED551529757F4B01B0192395716F556A">
    <w:name w:val="ED551529757F4B01B0192395716F556A"/>
    <w:rsid w:val="00451BCC"/>
  </w:style>
  <w:style w:type="paragraph" w:customStyle="1" w:styleId="22CEAE660C9D47608BE4812CA7C043F1">
    <w:name w:val="22CEAE660C9D47608BE4812CA7C043F1"/>
    <w:rsid w:val="00451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6826A-8263-4A56-9B4E-3DD4BF06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2074</Words>
  <Characters>15528</Characters>
  <Application>Microsoft Office Word</Application>
  <DocSecurity>0</DocSecurity>
  <Lines>129</Lines>
  <Paragraphs>35</Paragraphs>
  <ScaleCrop>false</ScaleCrop>
  <Company/>
  <LinksUpToDate>false</LinksUpToDate>
  <CharactersWithSpaces>17567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2025-09-29T16:48:00Z</dcterms:created>
  <dcterms:modified xsi:type="dcterms:W3CDTF">2025-10-02T14:58:00Z</dcterms:modified>
</cp:coreProperties>
</file>