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5067" w14:textId="77777777" w:rsidR="002E69C0" w:rsidRDefault="002E69C0" w:rsidP="002E69C0">
      <w:pPr>
        <w:ind w:left="5529"/>
      </w:pPr>
    </w:p>
    <w:p w14:paraId="6B0B81A4" w14:textId="77777777" w:rsidR="002E69C0" w:rsidRDefault="002E69C0" w:rsidP="002E69C0">
      <w:pPr>
        <w:ind w:left="6096"/>
      </w:pPr>
      <w:r>
        <w:t>Forma patvirtinta</w:t>
      </w:r>
    </w:p>
    <w:p w14:paraId="33796518" w14:textId="77777777" w:rsidR="002E69C0" w:rsidRDefault="002E69C0" w:rsidP="002E69C0">
      <w:pPr>
        <w:ind w:left="6096"/>
      </w:pPr>
      <w:r>
        <w:t>Valstybinės vaistų kontrolės tarnybos prie Lietuvos Respublikos sveikatos apsaugos ministerijos viršininko 2021 m. lapkričio 12 d. įsakymu Nr. (1.72E)1A-1418</w:t>
      </w:r>
    </w:p>
    <w:p w14:paraId="53280E94" w14:textId="77777777" w:rsidR="002E69C0" w:rsidRDefault="002E69C0" w:rsidP="002E69C0">
      <w:pPr>
        <w:ind w:left="6096"/>
      </w:pPr>
      <w:r>
        <w:t>(Valstybinės vaistų kontrolės tarnybos prie Lietuvos Respublikos sveikatos apsaugos ministerijos viršininko 2022 m.                         d. įsakymo Nr.                    redakcija)</w:t>
      </w:r>
    </w:p>
    <w:p w14:paraId="42C41AD5" w14:textId="77777777" w:rsidR="002E69C0" w:rsidRPr="000A2492" w:rsidRDefault="002E69C0" w:rsidP="002E69C0"/>
    <w:p w14:paraId="784639C3" w14:textId="77777777" w:rsidR="002E69C0" w:rsidRDefault="002E69C0" w:rsidP="002E69C0">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922EC9F" w14:textId="77777777" w:rsidR="002E69C0" w:rsidRDefault="002E69C0" w:rsidP="002E69C0">
      <w:pPr>
        <w:jc w:val="center"/>
        <w:rPr>
          <w:b/>
        </w:rPr>
      </w:pPr>
    </w:p>
    <w:p w14:paraId="1A2C8D2A" w14:textId="6F9C2832" w:rsidR="002E69C0" w:rsidRPr="00876C84" w:rsidRDefault="002E69C0" w:rsidP="002E69C0">
      <w:pPr>
        <w:jc w:val="center"/>
      </w:pPr>
      <w:r w:rsidRPr="00876C84">
        <w:rPr>
          <w:b/>
        </w:rPr>
        <w:t>Columvi</w:t>
      </w:r>
      <w:r w:rsidRPr="00876C84">
        <w:t xml:space="preserve"> </w:t>
      </w:r>
      <w:r w:rsidRPr="00876C84">
        <w:rPr>
          <w:b/>
        </w:rPr>
        <w:t>2,5 koncentratas infuziniam tirpalui</w:t>
      </w:r>
    </w:p>
    <w:p w14:paraId="3A304752" w14:textId="5A9D12CF" w:rsidR="002E69C0" w:rsidRDefault="00D45887" w:rsidP="002E69C0">
      <w:pPr>
        <w:jc w:val="center"/>
      </w:pPr>
      <w:r w:rsidRPr="00876C84">
        <w:rPr>
          <w:b/>
        </w:rPr>
        <w:t>Columvi</w:t>
      </w:r>
      <w:r w:rsidRPr="00876C84">
        <w:t xml:space="preserve"> </w:t>
      </w:r>
      <w:r w:rsidRPr="00876C84">
        <w:rPr>
          <w:b/>
        </w:rPr>
        <w:t>10 mg koncentratas infuziniam tirpalui</w:t>
      </w:r>
      <w:r w:rsidR="002E69C0" w:rsidRPr="00876C84">
        <w:t xml:space="preserve">  </w:t>
      </w:r>
    </w:p>
    <w:p w14:paraId="180E8671" w14:textId="77777777" w:rsidR="00D45887" w:rsidRPr="00876C84" w:rsidRDefault="00D45887" w:rsidP="002E69C0">
      <w:pPr>
        <w:jc w:val="center"/>
      </w:pPr>
    </w:p>
    <w:p w14:paraId="692CDE11" w14:textId="098CB597" w:rsidR="002E69C0" w:rsidRPr="00D45887" w:rsidRDefault="002E69C0" w:rsidP="002E69C0">
      <w:pPr>
        <w:jc w:val="center"/>
        <w:rPr>
          <w:b/>
          <w:bCs/>
        </w:rPr>
      </w:pPr>
      <w:r w:rsidRPr="00D45887">
        <w:rPr>
          <w:b/>
          <w:bCs/>
        </w:rPr>
        <w:t>Glofitamabas</w:t>
      </w:r>
    </w:p>
    <w:p w14:paraId="795024BD" w14:textId="77777777" w:rsidR="002E69C0" w:rsidRPr="00876C84" w:rsidRDefault="002E69C0" w:rsidP="002E69C0">
      <w:pPr>
        <w:jc w:val="center"/>
      </w:pPr>
    </w:p>
    <w:p w14:paraId="129E5C73" w14:textId="15CBFA98" w:rsidR="002E69C0" w:rsidRPr="00876C84" w:rsidRDefault="002E69C0" w:rsidP="002E69C0">
      <w:pPr>
        <w:jc w:val="center"/>
        <w:rPr>
          <w:b/>
        </w:rPr>
      </w:pPr>
      <w:r w:rsidRPr="00876C84">
        <w:rPr>
          <w:b/>
        </w:rPr>
        <w:t>STV 208</w:t>
      </w:r>
    </w:p>
    <w:p w14:paraId="206571F8" w14:textId="77777777" w:rsidR="002E69C0" w:rsidRPr="004C263A" w:rsidRDefault="002E69C0" w:rsidP="002E69C0">
      <w:pPr>
        <w:jc w:val="center"/>
        <w:rPr>
          <w:b/>
        </w:rPr>
      </w:pPr>
    </w:p>
    <w:p w14:paraId="6ED1F462" w14:textId="3AEA83CA" w:rsidR="002E69C0" w:rsidRDefault="002E69C0" w:rsidP="002E69C0">
      <w:pPr>
        <w:pStyle w:val="ListParagraph"/>
        <w:numPr>
          <w:ilvl w:val="0"/>
          <w:numId w:val="1"/>
        </w:numPr>
        <w:tabs>
          <w:tab w:val="left" w:pos="284"/>
        </w:tabs>
        <w:rPr>
          <w:b/>
          <w:bCs/>
          <w:caps/>
        </w:rPr>
      </w:pPr>
      <w:r>
        <w:rPr>
          <w:b/>
          <w:bCs/>
          <w:caps/>
        </w:rPr>
        <w:t>Bendroji dalis</w:t>
      </w:r>
    </w:p>
    <w:p w14:paraId="079943C6" w14:textId="77777777" w:rsidR="002E69C0" w:rsidRDefault="002E69C0" w:rsidP="002E69C0">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2E69C0" w:rsidRPr="00D45887" w14:paraId="4502BC1B" w14:textId="77777777" w:rsidTr="00A21C5E">
        <w:trPr>
          <w:trHeight w:val="538"/>
        </w:trPr>
        <w:tc>
          <w:tcPr>
            <w:tcW w:w="632" w:type="dxa"/>
          </w:tcPr>
          <w:p w14:paraId="1DC9B343"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1.1</w:t>
            </w:r>
          </w:p>
        </w:tc>
        <w:tc>
          <w:tcPr>
            <w:tcW w:w="3694" w:type="dxa"/>
          </w:tcPr>
          <w:p w14:paraId="5DEECAE2"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Pareiškėjas</w:t>
            </w:r>
          </w:p>
          <w:p w14:paraId="2CEA2D20" w14:textId="77777777" w:rsidR="002E69C0" w:rsidRPr="00D45887" w:rsidRDefault="002E69C0" w:rsidP="00A21C5E">
            <w:pPr>
              <w:tabs>
                <w:tab w:val="left" w:pos="284"/>
              </w:tabs>
              <w:spacing w:line="280" w:lineRule="atLeast"/>
              <w:rPr>
                <w:rFonts w:eastAsia="Arial"/>
                <w:b/>
                <w:sz w:val="24"/>
                <w:szCs w:val="24"/>
              </w:rPr>
            </w:pPr>
          </w:p>
        </w:tc>
        <w:tc>
          <w:tcPr>
            <w:tcW w:w="4713" w:type="dxa"/>
          </w:tcPr>
          <w:p w14:paraId="2ED1E31E" w14:textId="253B279C" w:rsidR="002E69C0" w:rsidRPr="00D45887" w:rsidRDefault="002E69C0" w:rsidP="00A21C5E">
            <w:pPr>
              <w:tabs>
                <w:tab w:val="left" w:pos="284"/>
              </w:tabs>
              <w:spacing w:line="280" w:lineRule="atLeast"/>
              <w:rPr>
                <w:rFonts w:eastAsia="Arial"/>
                <w:b/>
                <w:sz w:val="24"/>
                <w:szCs w:val="24"/>
              </w:rPr>
            </w:pPr>
            <w:r w:rsidRPr="00D45887">
              <w:rPr>
                <w:sz w:val="24"/>
                <w:szCs w:val="24"/>
              </w:rPr>
              <w:t>UAB „Roche Lietuva”</w:t>
            </w:r>
          </w:p>
        </w:tc>
      </w:tr>
      <w:tr w:rsidR="002E69C0" w:rsidRPr="00D45887" w14:paraId="6858593B" w14:textId="77777777" w:rsidTr="00A21C5E">
        <w:trPr>
          <w:trHeight w:val="538"/>
        </w:trPr>
        <w:tc>
          <w:tcPr>
            <w:tcW w:w="632" w:type="dxa"/>
          </w:tcPr>
          <w:p w14:paraId="14F73938"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1.2</w:t>
            </w:r>
          </w:p>
        </w:tc>
        <w:tc>
          <w:tcPr>
            <w:tcW w:w="3694" w:type="dxa"/>
          </w:tcPr>
          <w:p w14:paraId="6B5AD1EA" w14:textId="77777777" w:rsidR="002E69C0" w:rsidRPr="00D45887" w:rsidRDefault="002E69C0" w:rsidP="00A21C5E">
            <w:pPr>
              <w:tabs>
                <w:tab w:val="left" w:pos="284"/>
              </w:tabs>
              <w:spacing w:line="280" w:lineRule="atLeast"/>
              <w:rPr>
                <w:b/>
                <w:bCs/>
                <w:color w:val="000000"/>
                <w:sz w:val="24"/>
                <w:szCs w:val="24"/>
              </w:rPr>
            </w:pPr>
            <w:r w:rsidRPr="00D45887">
              <w:rPr>
                <w:b/>
                <w:bCs/>
                <w:color w:val="000000"/>
                <w:sz w:val="24"/>
                <w:szCs w:val="24"/>
              </w:rPr>
              <w:t xml:space="preserve">Registracijos data </w:t>
            </w:r>
          </w:p>
          <w:p w14:paraId="1633DD2B" w14:textId="77777777" w:rsidR="002E69C0" w:rsidRPr="00D45887" w:rsidRDefault="002E69C0" w:rsidP="00A21C5E">
            <w:pPr>
              <w:tabs>
                <w:tab w:val="left" w:pos="284"/>
              </w:tabs>
              <w:spacing w:line="280" w:lineRule="atLeast"/>
              <w:rPr>
                <w:bCs/>
                <w:color w:val="000000"/>
                <w:sz w:val="24"/>
                <w:szCs w:val="24"/>
              </w:rPr>
            </w:pPr>
          </w:p>
        </w:tc>
        <w:tc>
          <w:tcPr>
            <w:tcW w:w="4713" w:type="dxa"/>
          </w:tcPr>
          <w:p w14:paraId="5EB88878" w14:textId="79E68445" w:rsidR="002E69C0" w:rsidRPr="00D45887" w:rsidRDefault="00000000" w:rsidP="00A21C5E">
            <w:pPr>
              <w:pStyle w:val="ListParagraph"/>
              <w:spacing w:after="120"/>
              <w:ind w:left="0"/>
              <w:contextualSpacing w:val="0"/>
              <w:jc w:val="both"/>
              <w:rPr>
                <w:rStyle w:val="Style2"/>
                <w:sz w:val="24"/>
                <w:szCs w:val="24"/>
              </w:rPr>
            </w:pPr>
            <w:sdt>
              <w:sdtPr>
                <w:rPr>
                  <w:color w:val="333333"/>
                  <w:sz w:val="32"/>
                  <w:shd w:val="clear" w:color="auto" w:fill="FFFFFF"/>
                </w:rPr>
                <w:alias w:val="Nurodykite konkrečią dieną"/>
                <w:tag w:val="Nurodykite pradžios datą"/>
                <w:id w:val="423238108"/>
                <w:placeholder>
                  <w:docPart w:val="38C17180D981524CA3378EBF377B2B9F"/>
                </w:placeholder>
                <w15:color w:val="FFCC99"/>
                <w:date>
                  <w:dateFormat w:val="yyyy 'm.' MMMM d 'd.'"/>
                  <w:lid w:val="lt-LT"/>
                  <w:storeMappedDataAs w:val="dateTime"/>
                  <w:calendar w:val="gregorian"/>
                </w:date>
              </w:sdtPr>
              <w:sdtContent>
                <w:r w:rsidR="002E69C0" w:rsidRPr="00D45887">
                  <w:rPr>
                    <w:color w:val="333333"/>
                    <w:sz w:val="24"/>
                    <w:szCs w:val="24"/>
                    <w:shd w:val="clear" w:color="auto" w:fill="FFFFFF"/>
                  </w:rPr>
                  <w:t>2023 m. liepos 7 d.</w:t>
                </w:r>
              </w:sdtContent>
            </w:sdt>
          </w:p>
        </w:tc>
      </w:tr>
      <w:tr w:rsidR="002E69C0" w:rsidRPr="00D45887" w14:paraId="787E3EFD" w14:textId="77777777" w:rsidTr="00A21C5E">
        <w:trPr>
          <w:trHeight w:val="1500"/>
        </w:trPr>
        <w:tc>
          <w:tcPr>
            <w:tcW w:w="632" w:type="dxa"/>
          </w:tcPr>
          <w:p w14:paraId="20640D05"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1.3</w:t>
            </w:r>
          </w:p>
        </w:tc>
        <w:tc>
          <w:tcPr>
            <w:tcW w:w="3694" w:type="dxa"/>
          </w:tcPr>
          <w:p w14:paraId="39543177" w14:textId="77777777" w:rsidR="002E69C0" w:rsidRPr="00D45887" w:rsidRDefault="002E69C0" w:rsidP="00A21C5E">
            <w:pPr>
              <w:pStyle w:val="NoSpacing"/>
              <w:rPr>
                <w:rFonts w:ascii="Times New Roman" w:hAnsi="Times New Roman"/>
                <w:b/>
                <w:sz w:val="24"/>
                <w:szCs w:val="24"/>
              </w:rPr>
            </w:pPr>
            <w:r w:rsidRPr="00D45887">
              <w:rPr>
                <w:rFonts w:ascii="Times New Roman" w:hAnsi="Times New Roman"/>
                <w:b/>
                <w:sz w:val="24"/>
                <w:szCs w:val="24"/>
              </w:rPr>
              <w:t xml:space="preserve">Paraiškos tipas </w:t>
            </w:r>
          </w:p>
          <w:p w14:paraId="6DFA61FE" w14:textId="77777777" w:rsidR="002E69C0" w:rsidRPr="00D45887" w:rsidRDefault="002E69C0" w:rsidP="00A21C5E">
            <w:pPr>
              <w:rPr>
                <w:b/>
                <w:sz w:val="24"/>
                <w:szCs w:val="24"/>
              </w:rPr>
            </w:pPr>
            <w:r w:rsidRPr="00D45887">
              <w:rPr>
                <w:b/>
                <w:sz w:val="24"/>
                <w:szCs w:val="24"/>
              </w:rPr>
              <w:t xml:space="preserve">(pagal </w:t>
            </w:r>
            <w:r w:rsidRPr="00D45887">
              <w:rPr>
                <w:b/>
                <w:color w:val="333333"/>
                <w:sz w:val="24"/>
                <w:szCs w:val="24"/>
                <w:shd w:val="clear" w:color="auto" w:fill="FFFFFF"/>
              </w:rPr>
              <w:t>vaistinio preparato registracijos tipą, įtvirtintą</w:t>
            </w:r>
            <w:r w:rsidRPr="00D45887">
              <w:rPr>
                <w:b/>
                <w:sz w:val="24"/>
                <w:szCs w:val="24"/>
              </w:rPr>
              <w:t xml:space="preserve"> Direktyvos 2001/83/EB straipsiuose)</w:t>
            </w:r>
          </w:p>
          <w:p w14:paraId="398E3D38" w14:textId="77777777" w:rsidR="002E69C0" w:rsidRPr="00D45887" w:rsidRDefault="002E69C0" w:rsidP="00A21C5E">
            <w:pPr>
              <w:tabs>
                <w:tab w:val="left" w:pos="284"/>
              </w:tabs>
              <w:spacing w:line="280" w:lineRule="atLeast"/>
              <w:rPr>
                <w:b/>
                <w:bCs/>
                <w:color w:val="000000"/>
                <w:sz w:val="24"/>
                <w:szCs w:val="24"/>
              </w:rPr>
            </w:pPr>
          </w:p>
        </w:tc>
        <w:tc>
          <w:tcPr>
            <w:tcW w:w="4713" w:type="dxa"/>
          </w:tcPr>
          <w:p w14:paraId="20CF4F35" w14:textId="77777777" w:rsidR="002E69C0" w:rsidRPr="00D45887" w:rsidRDefault="00000000" w:rsidP="00A21C5E">
            <w:pPr>
              <w:pStyle w:val="ListParagraph"/>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 xml:space="preserve">8.3 str. (pilna byla, pagrįsta savais tyrimais) </w:t>
            </w:r>
          </w:p>
          <w:p w14:paraId="4C1E7121" w14:textId="77777777" w:rsidR="002E69C0" w:rsidRPr="00D45887" w:rsidRDefault="00000000" w:rsidP="00A21C5E">
            <w:pPr>
              <w:pStyle w:val="ListParagraph"/>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 xml:space="preserve">10 a str. (pripažintas medicininis vartojimas) </w:t>
            </w:r>
          </w:p>
          <w:p w14:paraId="46E6E6C4" w14:textId="77777777" w:rsidR="002E69C0" w:rsidRPr="00D45887" w:rsidRDefault="00000000" w:rsidP="00A21C5E">
            <w:pPr>
              <w:pStyle w:val="ListParagraph"/>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10.1 str. (generinis)</w:t>
            </w:r>
          </w:p>
          <w:p w14:paraId="232FB6A3" w14:textId="77777777" w:rsidR="002E69C0" w:rsidRPr="00D45887" w:rsidRDefault="00000000" w:rsidP="00A21C5E">
            <w:pPr>
              <w:pStyle w:val="ListParagraph"/>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10.3 str. (hibridinis)</w:t>
            </w:r>
          </w:p>
        </w:tc>
      </w:tr>
      <w:tr w:rsidR="002E69C0" w:rsidRPr="00D45887" w14:paraId="202F2A6F" w14:textId="77777777" w:rsidTr="00A21C5E">
        <w:trPr>
          <w:trHeight w:val="1442"/>
        </w:trPr>
        <w:tc>
          <w:tcPr>
            <w:tcW w:w="632" w:type="dxa"/>
          </w:tcPr>
          <w:p w14:paraId="1E435D75"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1.4</w:t>
            </w:r>
          </w:p>
        </w:tc>
        <w:tc>
          <w:tcPr>
            <w:tcW w:w="3694" w:type="dxa"/>
          </w:tcPr>
          <w:p w14:paraId="19651A90" w14:textId="77777777" w:rsidR="002E69C0" w:rsidRPr="00D45887" w:rsidRDefault="002E69C0" w:rsidP="00A21C5E">
            <w:pPr>
              <w:tabs>
                <w:tab w:val="left" w:pos="284"/>
              </w:tabs>
              <w:spacing w:line="280" w:lineRule="atLeast"/>
              <w:rPr>
                <w:b/>
                <w:bCs/>
                <w:color w:val="000000"/>
                <w:sz w:val="24"/>
                <w:szCs w:val="24"/>
              </w:rPr>
            </w:pPr>
            <w:r w:rsidRPr="00D45887">
              <w:rPr>
                <w:b/>
                <w:bCs/>
                <w:color w:val="000000"/>
                <w:sz w:val="24"/>
                <w:szCs w:val="24"/>
              </w:rPr>
              <w:t xml:space="preserve">Ar vaistinis preparatas įrašytas į Bendrijos retųjų vaistinių preparatų registrą? </w:t>
            </w:r>
          </w:p>
          <w:p w14:paraId="56B8BD9C" w14:textId="77777777" w:rsidR="002E69C0" w:rsidRPr="00D45887" w:rsidRDefault="002E69C0" w:rsidP="00A21C5E">
            <w:pPr>
              <w:tabs>
                <w:tab w:val="left" w:pos="284"/>
              </w:tabs>
              <w:spacing w:line="280" w:lineRule="atLeast"/>
              <w:rPr>
                <w:b/>
                <w:bCs/>
                <w:color w:val="000000"/>
                <w:sz w:val="24"/>
                <w:szCs w:val="24"/>
              </w:rPr>
            </w:pPr>
          </w:p>
        </w:tc>
        <w:tc>
          <w:tcPr>
            <w:tcW w:w="4713" w:type="dxa"/>
          </w:tcPr>
          <w:p w14:paraId="084EE576" w14:textId="77777777" w:rsidR="002E69C0" w:rsidRPr="00D45887" w:rsidRDefault="00000000" w:rsidP="00A21C5E">
            <w:pPr>
              <w:pStyle w:val="ListParagraph"/>
              <w:spacing w:after="120"/>
              <w:ind w:left="0"/>
              <w:contextualSpacing w:val="0"/>
              <w:jc w:val="both"/>
              <w:rPr>
                <w:sz w:val="24"/>
                <w:szCs w:val="24"/>
              </w:rPr>
            </w:pPr>
            <w:sdt>
              <w:sdtPr>
                <w:rPr>
                  <w:rStyle w:val="Style2"/>
                  <w:sz w:val="24"/>
                </w:rPr>
                <w:id w:val="2024432173"/>
                <w15:color w:val="FFCC00"/>
                <w14:checkbox>
                  <w14:checked w14:val="1"/>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 xml:space="preserve"> Taip</w:t>
            </w:r>
          </w:p>
          <w:p w14:paraId="55C5A6E6" w14:textId="77777777" w:rsidR="002E69C0" w:rsidRPr="00D45887" w:rsidRDefault="00000000" w:rsidP="00A21C5E">
            <w:pPr>
              <w:pStyle w:val="ListParagraph"/>
              <w:spacing w:after="120"/>
              <w:ind w:left="0"/>
              <w:contextualSpacing w:val="0"/>
              <w:jc w:val="both"/>
              <w:rPr>
                <w:sz w:val="24"/>
                <w:szCs w:val="24"/>
              </w:rPr>
            </w:pPr>
            <w:sdt>
              <w:sdtPr>
                <w:rPr>
                  <w:rStyle w:val="Style2"/>
                  <w:sz w:val="24"/>
                </w:rPr>
                <w:id w:val="-970507926"/>
                <w15:color w:val="FFCC00"/>
                <w14:checkbox>
                  <w14:checked w14:val="0"/>
                  <w14:checkedState w14:val="2612" w14:font="MS Gothic"/>
                  <w14:uncheckedState w14:val="2610" w14:font="MS Gothic"/>
                </w14:checkbox>
              </w:sdtPr>
              <w:sdtContent>
                <w:r w:rsidR="002E69C0" w:rsidRPr="00D45887">
                  <w:rPr>
                    <w:rStyle w:val="Style2"/>
                    <w:rFonts w:ascii="Segoe UI Symbol" w:eastAsia="MS Gothic" w:hAnsi="Segoe UI Symbol" w:cs="Segoe UI Symbol"/>
                    <w:sz w:val="24"/>
                    <w:szCs w:val="24"/>
                  </w:rPr>
                  <w:t>☐</w:t>
                </w:r>
              </w:sdtContent>
            </w:sdt>
            <w:r w:rsidR="002E69C0" w:rsidRPr="00D45887">
              <w:rPr>
                <w:sz w:val="24"/>
                <w:szCs w:val="24"/>
              </w:rPr>
              <w:t xml:space="preserve"> Ne</w:t>
            </w:r>
          </w:p>
          <w:p w14:paraId="1AA0A6E4" w14:textId="54B17D13" w:rsidR="002E69C0" w:rsidRPr="00D45887" w:rsidRDefault="00000000" w:rsidP="00A21C5E">
            <w:pPr>
              <w:rPr>
                <w:sz w:val="24"/>
                <w:szCs w:val="24"/>
              </w:rPr>
            </w:pPr>
            <w:sdt>
              <w:sdtPr>
                <w:alias w:val="Nurodykite konkrečią dieną"/>
                <w:tag w:val="Nurodykite pradžios datą"/>
                <w:id w:val="693498901"/>
                <w:placeholder>
                  <w:docPart w:val="E8A66BE02DCBE24785F87D5ED7165048"/>
                </w:placeholder>
                <w15:color w:val="FFCC99"/>
                <w:date>
                  <w:dateFormat w:val="yyyy 'm.' MMMM d 'd.'"/>
                  <w:lid w:val="lt-LT"/>
                  <w:storeMappedDataAs w:val="dateTime"/>
                  <w:calendar w:val="gregorian"/>
                </w:date>
              </w:sdtPr>
              <w:sdtContent>
                <w:r w:rsidR="002E69C0" w:rsidRPr="00D45887">
                  <w:rPr>
                    <w:sz w:val="24"/>
                    <w:szCs w:val="24"/>
                  </w:rPr>
                  <w:t>2023 m. birželio 10 d.</w:t>
                </w:r>
              </w:sdtContent>
            </w:sdt>
          </w:p>
        </w:tc>
      </w:tr>
      <w:tr w:rsidR="002E69C0" w:rsidRPr="00D45887" w14:paraId="5CF2FEBA" w14:textId="77777777" w:rsidTr="00A21C5E">
        <w:trPr>
          <w:trHeight w:val="1922"/>
        </w:trPr>
        <w:tc>
          <w:tcPr>
            <w:tcW w:w="632" w:type="dxa"/>
          </w:tcPr>
          <w:p w14:paraId="4C7BA13E"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1.5</w:t>
            </w:r>
          </w:p>
        </w:tc>
        <w:tc>
          <w:tcPr>
            <w:tcW w:w="3694" w:type="dxa"/>
          </w:tcPr>
          <w:p w14:paraId="3DE594DA" w14:textId="77777777" w:rsidR="002E69C0" w:rsidRPr="00D45887" w:rsidRDefault="002E69C0" w:rsidP="00A21C5E">
            <w:pPr>
              <w:tabs>
                <w:tab w:val="left" w:pos="284"/>
              </w:tabs>
              <w:spacing w:line="280" w:lineRule="atLeast"/>
              <w:rPr>
                <w:b/>
                <w:bCs/>
                <w:color w:val="000000"/>
                <w:sz w:val="24"/>
                <w:szCs w:val="24"/>
              </w:rPr>
            </w:pPr>
            <w:r w:rsidRPr="00D45887">
              <w:rPr>
                <w:b/>
                <w:bCs/>
                <w:color w:val="000000"/>
                <w:sz w:val="24"/>
                <w:szCs w:val="24"/>
              </w:rPr>
              <w:t xml:space="preserve">Teikiama (-os) kompensuoti registruota (-os) vaistinio preparato indikacija (-os), </w:t>
            </w:r>
          </w:p>
          <w:p w14:paraId="2B8C340E" w14:textId="77777777" w:rsidR="002E69C0" w:rsidRPr="00D45887" w:rsidRDefault="002E69C0" w:rsidP="00A21C5E">
            <w:pPr>
              <w:tabs>
                <w:tab w:val="left" w:pos="284"/>
              </w:tabs>
              <w:spacing w:line="280" w:lineRule="atLeast"/>
              <w:rPr>
                <w:b/>
                <w:bCs/>
                <w:color w:val="000000"/>
                <w:sz w:val="24"/>
                <w:szCs w:val="24"/>
              </w:rPr>
            </w:pPr>
            <w:r w:rsidRPr="00D45887">
              <w:rPr>
                <w:b/>
                <w:bCs/>
                <w:color w:val="000000"/>
                <w:sz w:val="24"/>
                <w:szCs w:val="24"/>
              </w:rPr>
              <w:t>TLK kodas</w:t>
            </w:r>
          </w:p>
        </w:tc>
        <w:tc>
          <w:tcPr>
            <w:tcW w:w="4713" w:type="dxa"/>
          </w:tcPr>
          <w:p w14:paraId="6AE1A490" w14:textId="77777777" w:rsidR="002E69C0" w:rsidRPr="00D45887" w:rsidRDefault="002E69C0" w:rsidP="002E69C0">
            <w:pPr>
              <w:pStyle w:val="ListParagraph"/>
              <w:spacing w:after="120"/>
              <w:ind w:left="0"/>
              <w:contextualSpacing w:val="0"/>
              <w:jc w:val="both"/>
              <w:rPr>
                <w:sz w:val="24"/>
                <w:szCs w:val="24"/>
              </w:rPr>
            </w:pPr>
            <w:r w:rsidRPr="00D45887">
              <w:rPr>
                <w:sz w:val="24"/>
                <w:szCs w:val="24"/>
              </w:rPr>
              <w:t>Columvi monoterapija skirta recidyvavusia ar atsparia difuzine didelių B ląstelių limfoma (DDBLL) sergančių suaugusių pacientų gydymui, kuriems anksčiau buvo skirti du ar daugiau sisteminio poveikio gydymo būdų</w:t>
            </w:r>
          </w:p>
          <w:p w14:paraId="6D73248B" w14:textId="77777777" w:rsidR="002E69C0" w:rsidRPr="00D45887" w:rsidRDefault="002E69C0" w:rsidP="002E69C0">
            <w:pPr>
              <w:pStyle w:val="ListParagraph"/>
              <w:spacing w:after="120"/>
              <w:ind w:left="0"/>
              <w:contextualSpacing w:val="0"/>
              <w:jc w:val="both"/>
              <w:rPr>
                <w:sz w:val="24"/>
                <w:szCs w:val="24"/>
              </w:rPr>
            </w:pPr>
          </w:p>
          <w:p w14:paraId="4BECF800" w14:textId="754DC8A0" w:rsidR="002E69C0" w:rsidRPr="00D45887" w:rsidRDefault="002E69C0" w:rsidP="002E69C0">
            <w:pPr>
              <w:pStyle w:val="ListParagraph"/>
              <w:spacing w:after="120"/>
              <w:ind w:left="0"/>
              <w:contextualSpacing w:val="0"/>
              <w:jc w:val="both"/>
              <w:rPr>
                <w:sz w:val="24"/>
                <w:szCs w:val="24"/>
              </w:rPr>
            </w:pPr>
            <w:r w:rsidRPr="00D45887">
              <w:rPr>
                <w:sz w:val="24"/>
                <w:szCs w:val="24"/>
              </w:rPr>
              <w:t xml:space="preserve">TLK-10 AM - </w:t>
            </w:r>
            <w:r w:rsidRPr="00D45887">
              <w:rPr>
                <w:rStyle w:val="resultoftext"/>
                <w:sz w:val="24"/>
                <w:szCs w:val="24"/>
              </w:rPr>
              <w:t>C83</w:t>
            </w:r>
            <w:r w:rsidRPr="00D45887">
              <w:rPr>
                <w:color w:val="000000"/>
                <w:sz w:val="24"/>
                <w:szCs w:val="24"/>
                <w:shd w:val="clear" w:color="auto" w:fill="FFFFFF"/>
              </w:rPr>
              <w:t xml:space="preserve">.3, </w:t>
            </w:r>
            <w:r w:rsidRPr="00D45887">
              <w:rPr>
                <w:color w:val="000000"/>
                <w:sz w:val="24"/>
                <w:szCs w:val="24"/>
              </w:rPr>
              <w:t>C85.2</w:t>
            </w:r>
          </w:p>
        </w:tc>
      </w:tr>
      <w:tr w:rsidR="002E69C0" w:rsidRPr="00D45887" w14:paraId="046CD391" w14:textId="77777777" w:rsidTr="00A21C5E">
        <w:trPr>
          <w:trHeight w:val="378"/>
        </w:trPr>
        <w:tc>
          <w:tcPr>
            <w:tcW w:w="632" w:type="dxa"/>
          </w:tcPr>
          <w:p w14:paraId="71230088"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t>1.6</w:t>
            </w:r>
          </w:p>
        </w:tc>
        <w:tc>
          <w:tcPr>
            <w:tcW w:w="3694" w:type="dxa"/>
          </w:tcPr>
          <w:p w14:paraId="66D84EE0" w14:textId="77777777" w:rsidR="002E69C0" w:rsidRPr="00D45887" w:rsidRDefault="002E69C0" w:rsidP="00A21C5E">
            <w:pPr>
              <w:tabs>
                <w:tab w:val="left" w:pos="284"/>
              </w:tabs>
              <w:spacing w:line="280" w:lineRule="atLeast"/>
              <w:rPr>
                <w:bCs/>
                <w:color w:val="000000"/>
                <w:sz w:val="24"/>
                <w:szCs w:val="24"/>
                <w:u w:val="single"/>
              </w:rPr>
            </w:pPr>
            <w:r w:rsidRPr="00D45887">
              <w:rPr>
                <w:b/>
                <w:bCs/>
                <w:color w:val="000000"/>
                <w:sz w:val="24"/>
                <w:szCs w:val="24"/>
              </w:rPr>
              <w:t xml:space="preserve">Teikiamos skyrimo sąlygos </w:t>
            </w:r>
          </w:p>
        </w:tc>
        <w:tc>
          <w:tcPr>
            <w:tcW w:w="4713" w:type="dxa"/>
          </w:tcPr>
          <w:p w14:paraId="1356CFC1" w14:textId="77777777" w:rsidR="002E69C0" w:rsidRPr="00D45887" w:rsidRDefault="002E69C0" w:rsidP="00A21C5E">
            <w:pPr>
              <w:pStyle w:val="ListParagraph"/>
              <w:spacing w:after="120"/>
              <w:ind w:left="0"/>
              <w:contextualSpacing w:val="0"/>
              <w:jc w:val="both"/>
              <w:rPr>
                <w:sz w:val="24"/>
                <w:szCs w:val="24"/>
              </w:rPr>
            </w:pPr>
            <w:r w:rsidRPr="00D45887">
              <w:rPr>
                <w:sz w:val="24"/>
                <w:szCs w:val="24"/>
                <w:shd w:val="clear" w:color="auto" w:fill="FFFFFF"/>
              </w:rPr>
              <w:t>-</w:t>
            </w:r>
          </w:p>
        </w:tc>
      </w:tr>
      <w:tr w:rsidR="002E69C0" w:rsidRPr="00D45887" w14:paraId="2271ECC6" w14:textId="77777777" w:rsidTr="00A21C5E">
        <w:trPr>
          <w:trHeight w:val="378"/>
        </w:trPr>
        <w:tc>
          <w:tcPr>
            <w:tcW w:w="632" w:type="dxa"/>
          </w:tcPr>
          <w:p w14:paraId="5DFD1AD8" w14:textId="77777777" w:rsidR="002E69C0" w:rsidRPr="00D45887" w:rsidRDefault="002E69C0" w:rsidP="00A21C5E">
            <w:pPr>
              <w:tabs>
                <w:tab w:val="left" w:pos="284"/>
              </w:tabs>
              <w:spacing w:line="280" w:lineRule="atLeast"/>
              <w:rPr>
                <w:rFonts w:eastAsia="Arial"/>
                <w:b/>
                <w:sz w:val="24"/>
                <w:szCs w:val="24"/>
              </w:rPr>
            </w:pPr>
            <w:r w:rsidRPr="00D45887">
              <w:rPr>
                <w:rFonts w:eastAsia="Arial"/>
                <w:b/>
                <w:sz w:val="24"/>
                <w:szCs w:val="24"/>
              </w:rPr>
              <w:lastRenderedPageBreak/>
              <w:t>1.7</w:t>
            </w:r>
          </w:p>
        </w:tc>
        <w:tc>
          <w:tcPr>
            <w:tcW w:w="3694" w:type="dxa"/>
          </w:tcPr>
          <w:p w14:paraId="51FBC103" w14:textId="77777777" w:rsidR="002E69C0" w:rsidRPr="00D45887" w:rsidRDefault="002E69C0" w:rsidP="00A21C5E">
            <w:pPr>
              <w:tabs>
                <w:tab w:val="left" w:pos="284"/>
              </w:tabs>
              <w:spacing w:line="280" w:lineRule="atLeast"/>
              <w:rPr>
                <w:b/>
                <w:bCs/>
                <w:color w:val="000000"/>
                <w:sz w:val="24"/>
                <w:szCs w:val="24"/>
              </w:rPr>
            </w:pPr>
            <w:r w:rsidRPr="00D45887">
              <w:rPr>
                <w:b/>
                <w:bCs/>
                <w:color w:val="000000"/>
                <w:sz w:val="24"/>
                <w:szCs w:val="24"/>
              </w:rPr>
              <w:t xml:space="preserve">Palyginamasis gydymas </w:t>
            </w:r>
          </w:p>
        </w:tc>
        <w:tc>
          <w:tcPr>
            <w:tcW w:w="4713" w:type="dxa"/>
          </w:tcPr>
          <w:p w14:paraId="4228632F" w14:textId="7754A11C" w:rsidR="002E69C0" w:rsidRPr="00D45887" w:rsidRDefault="002E69C0" w:rsidP="00A21C5E">
            <w:pPr>
              <w:spacing w:after="120"/>
              <w:jc w:val="both"/>
              <w:rPr>
                <w:sz w:val="24"/>
                <w:szCs w:val="24"/>
              </w:rPr>
            </w:pPr>
            <w:r w:rsidRPr="00D45887">
              <w:rPr>
                <w:sz w:val="24"/>
                <w:szCs w:val="24"/>
              </w:rPr>
              <w:t>Bendamustinas su/be rituksimabo (tinkamas)</w:t>
            </w:r>
          </w:p>
        </w:tc>
      </w:tr>
    </w:tbl>
    <w:p w14:paraId="07953496" w14:textId="77777777" w:rsidR="002E69C0" w:rsidRDefault="002E69C0" w:rsidP="002E69C0">
      <w:pPr>
        <w:pStyle w:val="ListParagraph"/>
        <w:tabs>
          <w:tab w:val="left" w:pos="426"/>
        </w:tabs>
        <w:ind w:left="0"/>
        <w:rPr>
          <w:b/>
          <w:bCs/>
          <w:caps/>
        </w:rPr>
      </w:pPr>
    </w:p>
    <w:p w14:paraId="020F0B01" w14:textId="18C17BCA" w:rsidR="002E69C0" w:rsidRPr="002E69C0" w:rsidRDefault="002E69C0" w:rsidP="002E69C0">
      <w:pPr>
        <w:pStyle w:val="ListParagraph"/>
        <w:numPr>
          <w:ilvl w:val="1"/>
          <w:numId w:val="1"/>
        </w:numPr>
        <w:spacing w:line="276" w:lineRule="auto"/>
        <w:jc w:val="both"/>
        <w:rPr>
          <w:rFonts w:eastAsia="Arial"/>
          <w:b/>
        </w:rPr>
      </w:pPr>
      <w:r w:rsidRPr="002E69C0">
        <w:rPr>
          <w:rFonts w:eastAsia="Arial"/>
          <w:b/>
        </w:rPr>
        <w:t>Kitų valstybių atsakingų institucijų atlikto Sveikatos technologijų vertinimo (toliau – STV) išvados</w:t>
      </w:r>
    </w:p>
    <w:p w14:paraId="26BF6CE6" w14:textId="150A7D12" w:rsidR="002E69C0" w:rsidRDefault="002E69C0" w:rsidP="002E69C0">
      <w:pPr>
        <w:spacing w:line="276" w:lineRule="auto"/>
        <w:jc w:val="both"/>
        <w:rPr>
          <w:rFonts w:eastAsia="Arial"/>
          <w:b/>
        </w:rPr>
      </w:pPr>
    </w:p>
    <w:tbl>
      <w:tblPr>
        <w:tblStyle w:val="TableGrid"/>
        <w:tblW w:w="9918" w:type="dxa"/>
        <w:tblLook w:val="04A0" w:firstRow="1" w:lastRow="0" w:firstColumn="1" w:lastColumn="0" w:noHBand="0" w:noVBand="1"/>
      </w:tblPr>
      <w:tblGrid>
        <w:gridCol w:w="2927"/>
        <w:gridCol w:w="1915"/>
        <w:gridCol w:w="2351"/>
        <w:gridCol w:w="2725"/>
      </w:tblGrid>
      <w:tr w:rsidR="002E69C0" w:rsidRPr="00876C84" w14:paraId="50B80B20" w14:textId="77777777" w:rsidTr="00A21C5E">
        <w:trPr>
          <w:trHeight w:val="924"/>
        </w:trPr>
        <w:tc>
          <w:tcPr>
            <w:tcW w:w="2927" w:type="dxa"/>
          </w:tcPr>
          <w:p w14:paraId="41C701AC" w14:textId="77777777" w:rsidR="002E69C0" w:rsidRPr="00876C84" w:rsidRDefault="002E69C0" w:rsidP="00A21C5E">
            <w:pPr>
              <w:spacing w:line="276" w:lineRule="auto"/>
              <w:rPr>
                <w:rFonts w:eastAsia="Arial"/>
              </w:rPr>
            </w:pPr>
            <w:r w:rsidRPr="00876C84">
              <w:rPr>
                <w:rFonts w:eastAsia="Arial"/>
              </w:rPr>
              <w:t>STV agentūros pavadinimas, šalis</w:t>
            </w:r>
          </w:p>
        </w:tc>
        <w:tc>
          <w:tcPr>
            <w:tcW w:w="1915" w:type="dxa"/>
          </w:tcPr>
          <w:p w14:paraId="0A980AF7" w14:textId="77777777" w:rsidR="002E69C0" w:rsidRPr="00876C84" w:rsidRDefault="002E69C0" w:rsidP="00A21C5E">
            <w:pPr>
              <w:spacing w:line="276" w:lineRule="auto"/>
              <w:rPr>
                <w:rFonts w:eastAsia="Arial"/>
              </w:rPr>
            </w:pPr>
            <w:r w:rsidRPr="00876C84">
              <w:rPr>
                <w:rFonts w:eastAsia="Arial"/>
              </w:rPr>
              <w:t>STV vertinimas atliktas</w:t>
            </w:r>
          </w:p>
        </w:tc>
        <w:tc>
          <w:tcPr>
            <w:tcW w:w="2351" w:type="dxa"/>
          </w:tcPr>
          <w:p w14:paraId="05E9534A" w14:textId="77777777" w:rsidR="002E69C0" w:rsidRPr="00876C84" w:rsidRDefault="002E69C0" w:rsidP="00A21C5E">
            <w:pPr>
              <w:spacing w:line="276" w:lineRule="auto"/>
              <w:rPr>
                <w:rFonts w:eastAsia="Arial"/>
              </w:rPr>
            </w:pPr>
            <w:r w:rsidRPr="00876C84">
              <w:rPr>
                <w:rFonts w:eastAsia="Arial"/>
              </w:rPr>
              <w:t>Klinikinio vertinimo išvada</w:t>
            </w:r>
          </w:p>
        </w:tc>
        <w:tc>
          <w:tcPr>
            <w:tcW w:w="2725" w:type="dxa"/>
          </w:tcPr>
          <w:p w14:paraId="632D0224" w14:textId="77777777" w:rsidR="002E69C0" w:rsidRPr="00876C84" w:rsidRDefault="002E69C0" w:rsidP="00A21C5E">
            <w:pPr>
              <w:spacing w:line="276" w:lineRule="auto"/>
              <w:rPr>
                <w:rFonts w:eastAsia="Arial"/>
              </w:rPr>
            </w:pPr>
            <w:r w:rsidRPr="00876C84">
              <w:rPr>
                <w:rFonts w:eastAsia="Arial"/>
              </w:rPr>
              <w:t>Farmakoekonominio vertinimo išvada</w:t>
            </w:r>
          </w:p>
        </w:tc>
      </w:tr>
      <w:tr w:rsidR="00A10C84" w:rsidRPr="002E69C0" w14:paraId="7F84C388" w14:textId="77777777" w:rsidTr="00D40DF9">
        <w:trPr>
          <w:trHeight w:val="1765"/>
        </w:trPr>
        <w:tc>
          <w:tcPr>
            <w:tcW w:w="2927" w:type="dxa"/>
          </w:tcPr>
          <w:p w14:paraId="3F8FA19E" w14:textId="77777777" w:rsidR="00A10C84" w:rsidRPr="00876C84" w:rsidRDefault="00A10C84" w:rsidP="00A21C5E">
            <w:pPr>
              <w:autoSpaceDE w:val="0"/>
              <w:autoSpaceDN w:val="0"/>
              <w:adjustRightInd w:val="0"/>
              <w:rPr>
                <w:bCs/>
              </w:rPr>
            </w:pPr>
            <w:r w:rsidRPr="00876C84">
              <w:rPr>
                <w:bCs/>
              </w:rPr>
              <w:t>Nacionalinis sveikatos ir klinikinės kompetencijos institutas, Didžioji Britanija</w:t>
            </w:r>
          </w:p>
          <w:p w14:paraId="0437FFD2" w14:textId="77777777" w:rsidR="00A10C84" w:rsidRPr="00876C84" w:rsidRDefault="00A10C84" w:rsidP="00A21C5E">
            <w:pPr>
              <w:spacing w:line="276" w:lineRule="auto"/>
              <w:rPr>
                <w:rFonts w:eastAsia="Arial"/>
              </w:rPr>
            </w:pPr>
            <w:r w:rsidRPr="00876C84">
              <w:rPr>
                <w:rFonts w:eastAsia="Arial"/>
              </w:rPr>
              <w:t xml:space="preserve">(angl. </w:t>
            </w:r>
            <w:r w:rsidRPr="00876C84">
              <w:rPr>
                <w:rFonts w:eastAsia="Arial"/>
                <w:i/>
              </w:rPr>
              <w:t>National Institute for Health and Care Excellence, NICE</w:t>
            </w:r>
            <w:r w:rsidRPr="00876C84">
              <w:rPr>
                <w:rFonts w:eastAsia="Arial"/>
              </w:rPr>
              <w:t>)</w:t>
            </w:r>
          </w:p>
        </w:tc>
        <w:tc>
          <w:tcPr>
            <w:tcW w:w="1915" w:type="dxa"/>
          </w:tcPr>
          <w:p w14:paraId="735DD176" w14:textId="77777777" w:rsidR="00A10C84" w:rsidRPr="00876C84" w:rsidRDefault="00000000" w:rsidP="00A21C5E">
            <w:sdt>
              <w:sdtPr>
                <w:rPr>
                  <w:rStyle w:val="Style2"/>
                  <w:sz w:val="24"/>
                </w:rPr>
                <w:id w:val="1558205022"/>
                <w15:color w:val="FFCC00"/>
                <w14:checkbox>
                  <w14:checked w14:val="1"/>
                  <w14:checkedState w14:val="2612" w14:font="MS Gothic"/>
                  <w14:uncheckedState w14:val="2610" w14:font="MS Gothic"/>
                </w14:checkbox>
              </w:sdtPr>
              <w:sdtContent>
                <w:r w:rsidR="00A10C84" w:rsidRPr="00876C84">
                  <w:rPr>
                    <w:rStyle w:val="Style2"/>
                    <w:rFonts w:ascii="MS Gothic" w:eastAsia="MS Gothic" w:hAnsi="MS Gothic"/>
                    <w:sz w:val="24"/>
                  </w:rPr>
                  <w:t>☒</w:t>
                </w:r>
              </w:sdtContent>
            </w:sdt>
            <w:r w:rsidR="00A10C84" w:rsidRPr="00876C84">
              <w:t xml:space="preserve"> Taip</w:t>
            </w:r>
          </w:p>
          <w:p w14:paraId="71398237" w14:textId="77777777" w:rsidR="00A10C84" w:rsidRPr="00876C84" w:rsidRDefault="00000000" w:rsidP="00A21C5E">
            <w:sdt>
              <w:sdtPr>
                <w:rPr>
                  <w:rStyle w:val="Style2"/>
                  <w:sz w:val="24"/>
                </w:rPr>
                <w:id w:val="866029625"/>
                <w15:color w:val="FFCC00"/>
                <w14:checkbox>
                  <w14:checked w14:val="0"/>
                  <w14:checkedState w14:val="2612" w14:font="MS Gothic"/>
                  <w14:uncheckedState w14:val="2610" w14:font="MS Gothic"/>
                </w14:checkbox>
              </w:sdtPr>
              <w:sdtContent>
                <w:r w:rsidR="00A10C84" w:rsidRPr="00876C84">
                  <w:rPr>
                    <w:rStyle w:val="Style2"/>
                    <w:rFonts w:ascii="MS Gothic" w:eastAsia="MS Gothic" w:hAnsi="MS Gothic"/>
                    <w:sz w:val="24"/>
                  </w:rPr>
                  <w:t>☐</w:t>
                </w:r>
              </w:sdtContent>
            </w:sdt>
            <w:r w:rsidR="00A10C84" w:rsidRPr="00876C84">
              <w:t xml:space="preserve"> Ne</w:t>
            </w:r>
          </w:p>
          <w:p w14:paraId="46457CFA" w14:textId="77777777" w:rsidR="00A10C84" w:rsidRPr="00876C84" w:rsidRDefault="00000000" w:rsidP="00A21C5E">
            <w:pPr>
              <w:rPr>
                <w:rFonts w:eastAsia="Arial"/>
              </w:rPr>
            </w:pPr>
            <w:sdt>
              <w:sdtPr>
                <w:alias w:val="Nurodykite konkrečią dieną"/>
                <w:tag w:val="Nurodykite pradžios datą"/>
                <w:id w:val="922837954"/>
                <w:placeholder>
                  <w:docPart w:val="7462DB3881404E538E3F89117FDD8619"/>
                </w:placeholder>
                <w15:color w:val="FFCC99"/>
                <w:date w:fullDate="2023-10-17T00:00:00Z">
                  <w:dateFormat w:val="yyyy 'm.' MMMM d 'd.'"/>
                  <w:lid w:val="lt-LT"/>
                  <w:storeMappedDataAs w:val="dateTime"/>
                  <w:calendar w:val="gregorian"/>
                </w:date>
              </w:sdtPr>
              <w:sdtContent>
                <w:r w:rsidR="00A10C84" w:rsidRPr="00876C84">
                  <w:t>2023 m. spalio 17 d.</w:t>
                </w:r>
              </w:sdtContent>
            </w:sdt>
          </w:p>
        </w:tc>
        <w:tc>
          <w:tcPr>
            <w:tcW w:w="5076" w:type="dxa"/>
            <w:gridSpan w:val="2"/>
          </w:tcPr>
          <w:p w14:paraId="73C8F5A5" w14:textId="5C628C70" w:rsidR="00A10C84" w:rsidRPr="00876C84" w:rsidRDefault="00A10C84" w:rsidP="00A21C5E">
            <w:pPr>
              <w:spacing w:line="276" w:lineRule="auto"/>
              <w:rPr>
                <w:rFonts w:eastAsia="Arial"/>
              </w:rPr>
            </w:pPr>
            <w:r w:rsidRPr="00876C84">
              <w:rPr>
                <w:rFonts w:eastAsia="Arial"/>
              </w:rPr>
              <w:t>Palyginimas parodė, kad glofitamabas buvo veiksmingesnis už BR pagal visus įvertintus veiksmingumo rezultatus (PFS, OS, bendrą atsaką ir visišką remisiją; čia negalima pateikti tikslių rezultatų, nes bendrovė juos laiko konfidencialiais). Komitetas padarė išvadą, kad nepaisant tam tikrų susirūpinimo dėl apibendrinimo ir mažo efektyvaus imties dydžio, palyginimas buvo pagrįstas ir parodė, kad glofitamabas buvo veiksmingesnis už BR.</w:t>
            </w:r>
          </w:p>
        </w:tc>
      </w:tr>
      <w:tr w:rsidR="00A10C84" w:rsidRPr="002E69C0" w14:paraId="1811A522" w14:textId="77777777" w:rsidTr="00B2286B">
        <w:trPr>
          <w:trHeight w:val="1547"/>
        </w:trPr>
        <w:tc>
          <w:tcPr>
            <w:tcW w:w="2927" w:type="dxa"/>
          </w:tcPr>
          <w:p w14:paraId="234E3DB5" w14:textId="77777777" w:rsidR="00A10C84" w:rsidRPr="00876C84" w:rsidRDefault="00A10C84" w:rsidP="00A21C5E">
            <w:pPr>
              <w:spacing w:line="276" w:lineRule="auto"/>
              <w:rPr>
                <w:rFonts w:eastAsia="Arial"/>
              </w:rPr>
            </w:pPr>
            <w:r w:rsidRPr="00876C84">
              <w:rPr>
                <w:rFonts w:eastAsia="Arial"/>
              </w:rPr>
              <w:t>Kanados sveikatos technologijų agentūra</w:t>
            </w:r>
          </w:p>
          <w:p w14:paraId="0BA201A1" w14:textId="77777777" w:rsidR="00A10C84" w:rsidRPr="00876C84" w:rsidRDefault="00A10C84" w:rsidP="00A21C5E">
            <w:pPr>
              <w:spacing w:line="276" w:lineRule="auto"/>
              <w:rPr>
                <w:rFonts w:eastAsia="Arial"/>
              </w:rPr>
            </w:pPr>
            <w:r w:rsidRPr="00876C84">
              <w:rPr>
                <w:rFonts w:eastAsia="Arial"/>
              </w:rPr>
              <w:t xml:space="preserve">(angl. </w:t>
            </w:r>
            <w:r w:rsidRPr="00876C84">
              <w:rPr>
                <w:rFonts w:eastAsia="Arial"/>
                <w:i/>
              </w:rPr>
              <w:t>Canadian health Technology Assessment agency, CADTH</w:t>
            </w:r>
            <w:r w:rsidRPr="00876C84">
              <w:rPr>
                <w:rFonts w:eastAsia="Arial"/>
              </w:rPr>
              <w:t>)</w:t>
            </w:r>
          </w:p>
        </w:tc>
        <w:tc>
          <w:tcPr>
            <w:tcW w:w="1915" w:type="dxa"/>
          </w:tcPr>
          <w:p w14:paraId="61252BCB" w14:textId="77777777" w:rsidR="00A10C84" w:rsidRPr="00876C84" w:rsidRDefault="00000000" w:rsidP="00A21C5E">
            <w:sdt>
              <w:sdtPr>
                <w:rPr>
                  <w:rStyle w:val="Style2"/>
                  <w:sz w:val="24"/>
                </w:rPr>
                <w:id w:val="-372539057"/>
                <w15:color w:val="FFCC00"/>
                <w14:checkbox>
                  <w14:checked w14:val="1"/>
                  <w14:checkedState w14:val="2612" w14:font="MS Gothic"/>
                  <w14:uncheckedState w14:val="2610" w14:font="MS Gothic"/>
                </w14:checkbox>
              </w:sdtPr>
              <w:sdtContent>
                <w:r w:rsidR="00A10C84" w:rsidRPr="00876C84">
                  <w:rPr>
                    <w:rStyle w:val="Style2"/>
                    <w:rFonts w:ascii="MS Gothic" w:eastAsia="MS Gothic" w:hAnsi="MS Gothic"/>
                    <w:sz w:val="24"/>
                  </w:rPr>
                  <w:t>☒</w:t>
                </w:r>
              </w:sdtContent>
            </w:sdt>
            <w:r w:rsidR="00A10C84" w:rsidRPr="00876C84">
              <w:t xml:space="preserve"> Taip</w:t>
            </w:r>
          </w:p>
          <w:p w14:paraId="6A0DEE53" w14:textId="77777777" w:rsidR="00A10C84" w:rsidRPr="00876C84" w:rsidRDefault="00000000" w:rsidP="00A21C5E">
            <w:sdt>
              <w:sdtPr>
                <w:rPr>
                  <w:rStyle w:val="Style2"/>
                  <w:sz w:val="24"/>
                </w:rPr>
                <w:id w:val="594442222"/>
                <w15:color w:val="FFCC00"/>
                <w14:checkbox>
                  <w14:checked w14:val="0"/>
                  <w14:checkedState w14:val="2612" w14:font="MS Gothic"/>
                  <w14:uncheckedState w14:val="2610" w14:font="MS Gothic"/>
                </w14:checkbox>
              </w:sdtPr>
              <w:sdtContent>
                <w:r w:rsidR="00A10C84" w:rsidRPr="00876C84">
                  <w:rPr>
                    <w:rStyle w:val="Style2"/>
                    <w:rFonts w:ascii="Segoe UI Symbol" w:eastAsia="MS Gothic" w:hAnsi="Segoe UI Symbol" w:cs="Segoe UI Symbol"/>
                    <w:sz w:val="24"/>
                  </w:rPr>
                  <w:t>☐</w:t>
                </w:r>
              </w:sdtContent>
            </w:sdt>
            <w:r w:rsidR="00A10C84" w:rsidRPr="00876C84">
              <w:t xml:space="preserve"> Ne</w:t>
            </w:r>
          </w:p>
          <w:p w14:paraId="337CCF5A" w14:textId="77777777" w:rsidR="00A10C84" w:rsidRPr="00876C84" w:rsidRDefault="00000000" w:rsidP="00A21C5E">
            <w:pPr>
              <w:spacing w:line="276" w:lineRule="auto"/>
              <w:rPr>
                <w:rFonts w:eastAsia="Arial"/>
              </w:rPr>
            </w:pPr>
            <w:sdt>
              <w:sdtPr>
                <w:alias w:val="Nurodykite konkrečią dieną"/>
                <w:tag w:val="Nurodykite pradžios datą"/>
                <w:id w:val="1072468416"/>
                <w:placeholder>
                  <w:docPart w:val="FDC64B16B83C4B3D81214D4575DB818C"/>
                </w:placeholder>
                <w15:color w:val="FFCC99"/>
                <w:date w:fullDate="2024-01-01T00:00:00Z">
                  <w:dateFormat w:val="yyyy 'm.' MMMM d 'd.'"/>
                  <w:lid w:val="lt-LT"/>
                  <w:storeMappedDataAs w:val="dateTime"/>
                  <w:calendar w:val="gregorian"/>
                </w:date>
              </w:sdtPr>
              <w:sdtContent>
                <w:r w:rsidR="00A10C84" w:rsidRPr="00876C84">
                  <w:t>2024-01</w:t>
                </w:r>
              </w:sdtContent>
            </w:sdt>
          </w:p>
        </w:tc>
        <w:tc>
          <w:tcPr>
            <w:tcW w:w="5076" w:type="dxa"/>
            <w:gridSpan w:val="2"/>
          </w:tcPr>
          <w:p w14:paraId="5F6A9CE3" w14:textId="047F6576" w:rsidR="00A10C84" w:rsidRPr="00876C84" w:rsidRDefault="00A10C84" w:rsidP="00A21C5E">
            <w:pPr>
              <w:spacing w:line="276" w:lineRule="auto"/>
              <w:rPr>
                <w:rFonts w:eastAsia="Arial"/>
              </w:rPr>
            </w:pPr>
            <w:r w:rsidRPr="00876C84">
              <w:rPr>
                <w:rFonts w:eastAsia="Arial"/>
              </w:rPr>
              <w:t>CADTH pCODR ekspertų peržiūros komitetas (pERC) rekomenduoja kompensuoti glofitamabo išlaidas suaugusiems pacientams, sergantiems recidyvuojančia arba refrakterine difuzine stambiųjų B ląstelių limfoma (DLBCL), nenurodyta kitaip, DLBCL, atsiradusia dėl folikulinės limfomos (trFL) arba pirminės tarpuplaučio B ląstelių limfomos, kuriems taikoma dvi ar daugiau sisteminės terapijos (PMBCL). arba negali gauti terapijos CAR-T ląstelėmis arba anksčiau buvo taikyta CAR-T ląstelių terapija.</w:t>
            </w:r>
          </w:p>
        </w:tc>
      </w:tr>
      <w:tr w:rsidR="00A10C84" w:rsidRPr="00876C84" w14:paraId="3F322E02" w14:textId="77777777" w:rsidTr="00CD103F">
        <w:trPr>
          <w:trHeight w:val="1927"/>
        </w:trPr>
        <w:tc>
          <w:tcPr>
            <w:tcW w:w="2927" w:type="dxa"/>
          </w:tcPr>
          <w:p w14:paraId="77F8B5B5" w14:textId="77777777" w:rsidR="00A10C84" w:rsidRPr="00876C84" w:rsidRDefault="00A10C84" w:rsidP="00A21C5E">
            <w:pPr>
              <w:spacing w:line="276" w:lineRule="auto"/>
              <w:rPr>
                <w:rFonts w:eastAsia="Arial"/>
              </w:rPr>
            </w:pPr>
            <w:r w:rsidRPr="00876C84">
              <w:rPr>
                <w:rFonts w:eastAsia="Arial"/>
              </w:rPr>
              <w:t>Nacionalinis farmakoekonomikos centras, Airija</w:t>
            </w:r>
          </w:p>
          <w:p w14:paraId="1B5FCEFA" w14:textId="77777777" w:rsidR="00A10C84" w:rsidRPr="00876C84" w:rsidRDefault="00A10C84" w:rsidP="00A21C5E">
            <w:pPr>
              <w:spacing w:line="276" w:lineRule="auto"/>
              <w:rPr>
                <w:rFonts w:eastAsia="Arial"/>
              </w:rPr>
            </w:pPr>
            <w:r w:rsidRPr="00876C84">
              <w:rPr>
                <w:rFonts w:eastAsia="Arial"/>
              </w:rPr>
              <w:t>(angl.</w:t>
            </w:r>
            <w:r w:rsidRPr="00876C84">
              <w:rPr>
                <w:rFonts w:eastAsia="Arial"/>
                <w:i/>
              </w:rPr>
              <w:t xml:space="preserve"> National Centre for Pharmacoeconomics, NCPE</w:t>
            </w:r>
            <w:r w:rsidRPr="00876C84">
              <w:rPr>
                <w:rFonts w:eastAsia="Arial"/>
              </w:rPr>
              <w:t>)</w:t>
            </w:r>
          </w:p>
        </w:tc>
        <w:tc>
          <w:tcPr>
            <w:tcW w:w="1915" w:type="dxa"/>
          </w:tcPr>
          <w:p w14:paraId="459407CA" w14:textId="77777777" w:rsidR="00A10C84" w:rsidRPr="00876C84" w:rsidRDefault="00000000" w:rsidP="00A21C5E">
            <w:sdt>
              <w:sdtPr>
                <w:rPr>
                  <w:rStyle w:val="Style2"/>
                  <w:sz w:val="24"/>
                </w:rPr>
                <w:id w:val="-1888403732"/>
                <w15:color w:val="FFCC00"/>
                <w14:checkbox>
                  <w14:checked w14:val="0"/>
                  <w14:checkedState w14:val="2612" w14:font="MS Gothic"/>
                  <w14:uncheckedState w14:val="2610" w14:font="MS Gothic"/>
                </w14:checkbox>
              </w:sdtPr>
              <w:sdtContent>
                <w:r w:rsidR="00A10C84" w:rsidRPr="00876C84">
                  <w:rPr>
                    <w:rStyle w:val="Style2"/>
                    <w:rFonts w:ascii="Segoe UI Symbol" w:eastAsia="MS Gothic" w:hAnsi="Segoe UI Symbol" w:cs="Segoe UI Symbol"/>
                    <w:sz w:val="24"/>
                  </w:rPr>
                  <w:t>☐</w:t>
                </w:r>
              </w:sdtContent>
            </w:sdt>
            <w:r w:rsidR="00A10C84" w:rsidRPr="00876C84">
              <w:t xml:space="preserve"> Taip</w:t>
            </w:r>
          </w:p>
          <w:p w14:paraId="5AFBA859" w14:textId="77777777" w:rsidR="00A10C84" w:rsidRPr="00876C84" w:rsidRDefault="00000000" w:rsidP="00A21C5E">
            <w:sdt>
              <w:sdtPr>
                <w:rPr>
                  <w:rStyle w:val="Style2"/>
                  <w:sz w:val="24"/>
                </w:rPr>
                <w:id w:val="1092201793"/>
                <w15:color w:val="FFCC00"/>
                <w14:checkbox>
                  <w14:checked w14:val="1"/>
                  <w14:checkedState w14:val="2612" w14:font="MS Gothic"/>
                  <w14:uncheckedState w14:val="2610" w14:font="MS Gothic"/>
                </w14:checkbox>
              </w:sdtPr>
              <w:sdtContent>
                <w:r w:rsidR="00A10C84" w:rsidRPr="00876C84">
                  <w:rPr>
                    <w:rStyle w:val="Style2"/>
                    <w:rFonts w:ascii="MS Gothic" w:eastAsia="MS Gothic" w:hAnsi="MS Gothic"/>
                    <w:sz w:val="24"/>
                  </w:rPr>
                  <w:t>☒</w:t>
                </w:r>
              </w:sdtContent>
            </w:sdt>
            <w:r w:rsidR="00A10C84" w:rsidRPr="00876C84">
              <w:t xml:space="preserve"> Ne</w:t>
            </w:r>
          </w:p>
          <w:p w14:paraId="0376419E" w14:textId="77777777" w:rsidR="00A10C84" w:rsidRPr="00876C84" w:rsidRDefault="00000000" w:rsidP="00A21C5E">
            <w:pPr>
              <w:spacing w:line="276" w:lineRule="auto"/>
              <w:rPr>
                <w:rFonts w:eastAsia="Arial"/>
              </w:rPr>
            </w:pPr>
            <w:sdt>
              <w:sdtPr>
                <w:alias w:val="Nurodykite konkrečią dieną"/>
                <w:tag w:val="Nurodykite pradžios datą"/>
                <w:id w:val="-198323198"/>
                <w:placeholder>
                  <w:docPart w:val="DBAD507D451046F2B0FE1344FEB36080"/>
                </w:placeholder>
                <w:showingPlcHdr/>
                <w15:color w:val="FFCC99"/>
                <w:date w:fullDate="2022-05-18T00:00:00Z">
                  <w:dateFormat w:val="yyyy 'm.' MMMM d 'd.'"/>
                  <w:lid w:val="lt-LT"/>
                  <w:storeMappedDataAs w:val="dateTime"/>
                  <w:calendar w:val="gregorian"/>
                </w:date>
              </w:sdtPr>
              <w:sdtContent>
                <w:r w:rsidR="00A10C84" w:rsidRPr="00876C84">
                  <w:rPr>
                    <w:rStyle w:val="PlaceholderText"/>
                  </w:rPr>
                  <w:t>Click here to enter a date.</w:t>
                </w:r>
              </w:sdtContent>
            </w:sdt>
          </w:p>
        </w:tc>
        <w:tc>
          <w:tcPr>
            <w:tcW w:w="5076" w:type="dxa"/>
            <w:gridSpan w:val="2"/>
          </w:tcPr>
          <w:p w14:paraId="609B41A5" w14:textId="77777777" w:rsidR="00A10C84" w:rsidRPr="00876C84" w:rsidRDefault="00A10C84" w:rsidP="00A21C5E">
            <w:pPr>
              <w:spacing w:line="276" w:lineRule="auto"/>
              <w:rPr>
                <w:rFonts w:eastAsia="Arial"/>
              </w:rPr>
            </w:pPr>
          </w:p>
        </w:tc>
      </w:tr>
    </w:tbl>
    <w:p w14:paraId="4E6CDF80" w14:textId="77777777" w:rsidR="002E69C0" w:rsidRPr="002E69C0" w:rsidRDefault="002E69C0" w:rsidP="002E69C0">
      <w:pPr>
        <w:spacing w:line="276" w:lineRule="auto"/>
        <w:jc w:val="both"/>
        <w:rPr>
          <w:rFonts w:eastAsia="Arial"/>
          <w:b/>
        </w:rPr>
      </w:pPr>
    </w:p>
    <w:p w14:paraId="1625D4CC" w14:textId="77777777" w:rsidR="002E69C0" w:rsidRDefault="002E69C0" w:rsidP="002E69C0">
      <w:pPr>
        <w:spacing w:line="276" w:lineRule="auto"/>
        <w:rPr>
          <w:rFonts w:eastAsia="Arial"/>
        </w:rPr>
      </w:pPr>
    </w:p>
    <w:p w14:paraId="439384A7" w14:textId="77777777" w:rsidR="002E69C0" w:rsidRPr="00937907" w:rsidRDefault="002E69C0" w:rsidP="002E69C0">
      <w:pPr>
        <w:pStyle w:val="ListParagraph"/>
        <w:numPr>
          <w:ilvl w:val="0"/>
          <w:numId w:val="1"/>
        </w:numPr>
        <w:tabs>
          <w:tab w:val="left" w:pos="284"/>
        </w:tabs>
        <w:rPr>
          <w:b/>
          <w:bCs/>
          <w:caps/>
        </w:rPr>
      </w:pPr>
      <w:r w:rsidRPr="00937907">
        <w:rPr>
          <w:b/>
          <w:bCs/>
          <w:caps/>
        </w:rPr>
        <w:t>Klinikinio vertinimo apibendrinimas</w:t>
      </w:r>
    </w:p>
    <w:p w14:paraId="0D54C05B" w14:textId="77777777" w:rsidR="002E69C0" w:rsidRDefault="002E69C0" w:rsidP="002E69C0">
      <w:pPr>
        <w:spacing w:line="276" w:lineRule="auto"/>
        <w:rPr>
          <w:rFonts w:eastAsia="Arial"/>
          <w:i/>
        </w:rPr>
      </w:pPr>
    </w:p>
    <w:p w14:paraId="4C9B7536" w14:textId="7DCA1CA9" w:rsidR="002E69C0" w:rsidRPr="00876C84" w:rsidRDefault="002E69C0" w:rsidP="00A27C8A">
      <w:pPr>
        <w:spacing w:line="276" w:lineRule="auto"/>
        <w:ind w:firstLine="851"/>
        <w:jc w:val="both"/>
        <w:rPr>
          <w:rFonts w:eastAsia="Calibri"/>
        </w:rPr>
      </w:pPr>
      <w:r w:rsidRPr="00876C84">
        <w:rPr>
          <w:rFonts w:eastAsia="Calibri"/>
        </w:rPr>
        <w:t xml:space="preserve">Ne Hodžkino limfoma (NHL) yra vienas iš labiausiai paplitusių hematologinių piktybinių navikų. Tai nevienalytė limfoidinės sistemos limfoproliferacinių sutrikimų grupė. Difuzinė didelių B ląstelių limfoma (DDBLL) yra nevienalytė liga, ir labiausiai paplitęs histologinis NHL potipis, kuris sudaro iki 40 % visų naujai diagnozuotų NHL atvejų. Natūrali agresyvių limfomų, tokių kaip DDBLL, eiga pasižymi greitesniu progresavimu ir sumažėjusiu išgyvenamumu, palyginti su indolentine NHL. DDBLL dažnis didėja su amžiumi, o liga paprastai pasireiškia vyresniems nei 60 metų suaugusiems (ypač 65–74 metų amžiaus grupėje). JK vidutinis DDBLL pacientų amžius diagnozuojant yra 70,2 metų. Nepaisant to, DDBLL gali pasireikšti ir jaunesniems pacientams, įskaitant jaunus suaugusiuosius ir vaikus. Senyvų pacientų, sergančių DDBLL, prognozė ir rezultatai yra prastesni nei jaunesnių pacientų, net ir taikant panašų gydymą. </w:t>
      </w:r>
    </w:p>
    <w:p w14:paraId="02EC7708" w14:textId="77777777" w:rsidR="002E69C0" w:rsidRDefault="002E69C0" w:rsidP="002E69C0">
      <w:pPr>
        <w:spacing w:line="276" w:lineRule="auto"/>
        <w:ind w:firstLine="851"/>
        <w:jc w:val="both"/>
        <w:rPr>
          <w:rFonts w:eastAsia="Calibri"/>
        </w:rPr>
      </w:pPr>
      <w:r w:rsidRPr="00876C84">
        <w:rPr>
          <w:rFonts w:eastAsia="Calibri"/>
        </w:rPr>
        <w:t xml:space="preserve">Remiantis tarptautinėmis Nacionalinio išsamaus vėžio tinklo (NCCN) gairėmis, DDBLL glofitamabas yra rekomenduojamas kaip trečios eilės gydymas pacientams, kuriems 2 prieš tai taikyti </w:t>
      </w:r>
      <w:r w:rsidRPr="00876C84">
        <w:rPr>
          <w:rFonts w:eastAsia="Calibri"/>
        </w:rPr>
        <w:lastRenderedPageBreak/>
        <w:t>sisteminio gydymo būdai yra neveiksmingi, taip pat ir pacientams, kurių būklė progresavo po CAR-T terapijos ar AutoKKLT, arba CAR-T terapija jiems netinkama.</w:t>
      </w:r>
    </w:p>
    <w:p w14:paraId="449F1C49" w14:textId="77777777" w:rsidR="002E69C0" w:rsidRPr="00097398" w:rsidRDefault="002E69C0" w:rsidP="002E69C0">
      <w:pPr>
        <w:spacing w:line="276" w:lineRule="auto"/>
        <w:ind w:firstLine="851"/>
        <w:jc w:val="both"/>
      </w:pPr>
      <w:r w:rsidRPr="00876C84">
        <w:rPr>
          <w:rFonts w:eastAsia="Calibri"/>
        </w:rPr>
        <w:t xml:space="preserve">Nesant tiesioginių glofitamabo palyginimo duomenų, ir siekiant įvertinti santykinį glofitamabo veiksmingumą (remiantis pagrindine NP30179 tyrimo kohorta) Pareiškėjas atliko netiesioginį gydymo palyginimą. </w:t>
      </w:r>
    </w:p>
    <w:p w14:paraId="270D0712" w14:textId="77777777" w:rsidR="002E69C0" w:rsidRPr="00097398" w:rsidRDefault="002E69C0" w:rsidP="002E69C0">
      <w:pPr>
        <w:spacing w:line="276" w:lineRule="auto"/>
        <w:ind w:firstLine="851"/>
        <w:jc w:val="both"/>
        <w:rPr>
          <w:rFonts w:eastAsia="Calibri"/>
        </w:rPr>
      </w:pPr>
      <w:r w:rsidRPr="00876C84">
        <w:rPr>
          <w:rFonts w:eastAsia="Calibri"/>
        </w:rPr>
        <w:t xml:space="preserve">Pagal pareiškėjo atliktą sisteminę literatūros apžvalgą, viena iš dažniausiai gaunamų 3L+ DLBCL R-chemoterapijos modifikacijų pasaulyje ir ES yra R-GemOX. Pareiškėjas nesant kokybiškų, ir palyginimui su glofitamabo kohorta tinkamų publikuotų duomenų, palyginimui pasirinko duomenis apie kitos chemoterapijos su/be rituksimabu gydymo duomenis, </w:t>
      </w:r>
      <w:r w:rsidRPr="0040416A">
        <w:rPr>
          <w:rFonts w:eastAsia="Calibri"/>
        </w:rPr>
        <w:t>- bendamustinu  su/be rituksimabo  (BR) efektyvumą,</w:t>
      </w:r>
      <w:r w:rsidRPr="00876C84">
        <w:rPr>
          <w:rFonts w:eastAsia="Calibri"/>
        </w:rPr>
        <w:t xml:space="preserve"> kaip reprezentuojančius bet kokį  rituksimabo-chemoterapijos variantą.</w:t>
      </w:r>
      <w:r>
        <w:rPr>
          <w:rFonts w:eastAsia="Calibri"/>
        </w:rPr>
        <w:t xml:space="preserve"> </w:t>
      </w:r>
      <w:r w:rsidRPr="00876C84">
        <w:rPr>
          <w:bCs/>
          <w:lang w:eastAsia="lt-LT"/>
        </w:rPr>
        <w:t>Netiesioginio palyginimo analizėje palyginamasis</w:t>
      </w:r>
      <w:r>
        <w:rPr>
          <w:bCs/>
          <w:lang w:eastAsia="lt-LT"/>
        </w:rPr>
        <w:t>,</w:t>
      </w:r>
      <w:r w:rsidRPr="00876C84">
        <w:rPr>
          <w:bCs/>
          <w:lang w:eastAsia="lt-LT"/>
        </w:rPr>
        <w:t xml:space="preserve"> </w:t>
      </w:r>
      <w:r w:rsidRPr="0040416A">
        <w:rPr>
          <w:rFonts w:eastAsia="Calibri"/>
        </w:rPr>
        <w:t>bendamustin</w:t>
      </w:r>
      <w:r>
        <w:rPr>
          <w:rFonts w:eastAsia="Calibri"/>
        </w:rPr>
        <w:t>as</w:t>
      </w:r>
      <w:r w:rsidRPr="0040416A">
        <w:rPr>
          <w:rFonts w:eastAsia="Calibri"/>
        </w:rPr>
        <w:t xml:space="preserve">  su/be rituksimabo</w:t>
      </w:r>
      <w:r>
        <w:rPr>
          <w:rFonts w:eastAsia="Calibri"/>
        </w:rPr>
        <w:t xml:space="preserve">, </w:t>
      </w:r>
      <w:r w:rsidRPr="00876C84">
        <w:rPr>
          <w:bCs/>
          <w:lang w:eastAsia="lt-LT"/>
        </w:rPr>
        <w:t>atitinka įprastinę klinikinę praktiką Lietuvoje.</w:t>
      </w:r>
    </w:p>
    <w:p w14:paraId="39D51342" w14:textId="77777777" w:rsidR="002E69C0" w:rsidRDefault="002E69C0" w:rsidP="002E69C0">
      <w:pPr>
        <w:tabs>
          <w:tab w:val="left" w:pos="426"/>
        </w:tabs>
        <w:spacing w:line="276" w:lineRule="auto"/>
        <w:ind w:firstLine="851"/>
        <w:jc w:val="both"/>
        <w:rPr>
          <w:rFonts w:eastAsia="Arial"/>
        </w:rPr>
      </w:pPr>
      <w:r>
        <w:rPr>
          <w:bCs/>
          <w:lang w:eastAsia="lt-LT"/>
        </w:rPr>
        <w:t xml:space="preserve">Buvo atliktas netiesioginis palyginimas remiantis dviem tyrimais: polinkio balų analizė (PSA) ir </w:t>
      </w:r>
      <w:r w:rsidRPr="00876C84">
        <w:rPr>
          <w:rFonts w:eastAsia="Arial"/>
        </w:rPr>
        <w:t>pakoreguot</w:t>
      </w:r>
      <w:r>
        <w:rPr>
          <w:rFonts w:eastAsia="Arial"/>
        </w:rPr>
        <w:t>u</w:t>
      </w:r>
      <w:r w:rsidRPr="00876C84">
        <w:rPr>
          <w:rFonts w:eastAsia="Arial"/>
        </w:rPr>
        <w:t xml:space="preserve"> netiesioginiu palyginim</w:t>
      </w:r>
      <w:r>
        <w:rPr>
          <w:rFonts w:eastAsia="Arial"/>
        </w:rPr>
        <w:t>u (</w:t>
      </w:r>
      <w:r>
        <w:rPr>
          <w:bCs/>
          <w:lang w:eastAsia="lt-LT"/>
        </w:rPr>
        <w:t xml:space="preserve">MAIC). </w:t>
      </w:r>
      <w:r w:rsidRPr="00876C84">
        <w:rPr>
          <w:rFonts w:eastAsia="Arial"/>
        </w:rPr>
        <w:t>MAIC buvo pasirinktas kaip tinkamas metodas, atsižvelgiant į duomenų struktūrą ir galimą šališkumą.</w:t>
      </w:r>
      <w:r>
        <w:rPr>
          <w:rFonts w:eastAsia="Arial"/>
        </w:rPr>
        <w:t xml:space="preserve"> </w:t>
      </w:r>
      <w:r w:rsidRPr="00097398">
        <w:rPr>
          <w:rFonts w:eastAsia="Arial"/>
          <w:bCs/>
        </w:rPr>
        <w:t>Papildomai atlikta PSA,</w:t>
      </w:r>
      <w:r>
        <w:rPr>
          <w:rFonts w:eastAsia="Arial"/>
        </w:rPr>
        <w:t xml:space="preserve"> </w:t>
      </w:r>
      <w:r w:rsidRPr="00876C84">
        <w:rPr>
          <w:rFonts w:eastAsia="Arial"/>
        </w:rPr>
        <w:t>dėl ​​mažos imties ir išlikusio pacientų pogrupių disbalanso nebuvo pagrindinė analizė</w:t>
      </w:r>
      <w:r>
        <w:rPr>
          <w:rFonts w:eastAsia="Arial"/>
        </w:rPr>
        <w:t>, jos duomenys buvo naudojami kaip papildomi, iliustraciniai duomenys.</w:t>
      </w:r>
    </w:p>
    <w:p w14:paraId="64CD5DCB" w14:textId="0C542531" w:rsidR="002E69C0" w:rsidRPr="002E69C0" w:rsidRDefault="002E69C0" w:rsidP="002E69C0">
      <w:pPr>
        <w:tabs>
          <w:tab w:val="left" w:pos="426"/>
        </w:tabs>
        <w:spacing w:line="276" w:lineRule="auto"/>
        <w:ind w:firstLine="851"/>
        <w:jc w:val="both"/>
        <w:rPr>
          <w:rFonts w:eastAsia="Arial"/>
          <w:color w:val="000000" w:themeColor="text1"/>
        </w:rPr>
      </w:pPr>
      <w:r w:rsidRPr="00097398">
        <w:rPr>
          <w:rFonts w:eastAsia="Arial"/>
          <w:color w:val="000000" w:themeColor="text1"/>
        </w:rPr>
        <w:t>Nepaisant tam tikrų neapibrėžtumų dėl netiesioginio palyginimo būdo ir mažo</w:t>
      </w:r>
      <w:r w:rsidR="00D45887">
        <w:rPr>
          <w:rFonts w:eastAsia="Arial"/>
          <w:color w:val="000000" w:themeColor="text1"/>
        </w:rPr>
        <w:t>s</w:t>
      </w:r>
      <w:r w:rsidRPr="00097398">
        <w:rPr>
          <w:rFonts w:eastAsia="Arial"/>
          <w:color w:val="000000" w:themeColor="text1"/>
        </w:rPr>
        <w:t xml:space="preserve"> </w:t>
      </w:r>
      <w:r w:rsidR="00D45887">
        <w:rPr>
          <w:rFonts w:eastAsia="Arial"/>
          <w:color w:val="000000" w:themeColor="text1"/>
        </w:rPr>
        <w:t xml:space="preserve">tyrimo </w:t>
      </w:r>
      <w:r w:rsidRPr="00097398">
        <w:rPr>
          <w:rFonts w:eastAsia="Arial"/>
          <w:color w:val="000000" w:themeColor="text1"/>
        </w:rPr>
        <w:t>imties daroma išvada, kad gydymas glofitamabu galimai yra veiksmingesnis lygina</w:t>
      </w:r>
      <w:r w:rsidR="00D45887">
        <w:rPr>
          <w:rFonts w:eastAsia="Arial"/>
          <w:color w:val="000000" w:themeColor="text1"/>
        </w:rPr>
        <w:t>n</w:t>
      </w:r>
      <w:r w:rsidRPr="00097398">
        <w:rPr>
          <w:rFonts w:eastAsia="Arial"/>
          <w:color w:val="000000" w:themeColor="text1"/>
        </w:rPr>
        <w:t>t su įprast</w:t>
      </w:r>
      <w:r w:rsidR="00D45887">
        <w:rPr>
          <w:rFonts w:eastAsia="Arial"/>
          <w:color w:val="000000" w:themeColor="text1"/>
        </w:rPr>
        <w:t>a</w:t>
      </w:r>
      <w:r w:rsidRPr="00097398">
        <w:rPr>
          <w:rFonts w:eastAsia="Arial"/>
          <w:color w:val="000000" w:themeColor="text1"/>
        </w:rPr>
        <w:t xml:space="preserve"> klinikin</w:t>
      </w:r>
      <w:r w:rsidR="00D45887">
        <w:rPr>
          <w:rFonts w:eastAsia="Arial"/>
          <w:color w:val="000000" w:themeColor="text1"/>
        </w:rPr>
        <w:t>e</w:t>
      </w:r>
      <w:r w:rsidRPr="00097398">
        <w:rPr>
          <w:rFonts w:eastAsia="Arial"/>
          <w:color w:val="000000" w:themeColor="text1"/>
        </w:rPr>
        <w:t xml:space="preserve"> praktik</w:t>
      </w:r>
      <w:r w:rsidR="00D45887">
        <w:rPr>
          <w:rFonts w:eastAsia="Arial"/>
          <w:color w:val="000000" w:themeColor="text1"/>
        </w:rPr>
        <w:t>a</w:t>
      </w:r>
      <w:r w:rsidRPr="00097398">
        <w:rPr>
          <w:rFonts w:eastAsia="Arial"/>
          <w:color w:val="000000" w:themeColor="text1"/>
        </w:rPr>
        <w:t xml:space="preserve"> Lietuvoje. Manoma, kad šis gydymas bus geresnė alternatyva bendamustino ir rituksimabo deriniui, kai </w:t>
      </w:r>
      <w:r w:rsidR="00D45887">
        <w:rPr>
          <w:rFonts w:eastAsia="Arial"/>
          <w:color w:val="000000" w:themeColor="text1"/>
        </w:rPr>
        <w:t xml:space="preserve">kitokie nei </w:t>
      </w:r>
      <w:r w:rsidRPr="00097398">
        <w:rPr>
          <w:rFonts w:eastAsia="Arial"/>
          <w:color w:val="000000" w:themeColor="text1"/>
        </w:rPr>
        <w:t>chemoterapij</w:t>
      </w:r>
      <w:r w:rsidR="00D45887">
        <w:rPr>
          <w:rFonts w:eastAsia="Arial"/>
          <w:color w:val="000000" w:themeColor="text1"/>
        </w:rPr>
        <w:t>a</w:t>
      </w:r>
      <w:r w:rsidRPr="00097398">
        <w:rPr>
          <w:rFonts w:eastAsia="Arial"/>
          <w:color w:val="000000" w:themeColor="text1"/>
        </w:rPr>
        <w:t xml:space="preserve"> gydymo būdai yra ne</w:t>
      </w:r>
      <w:r>
        <w:rPr>
          <w:rFonts w:eastAsia="Arial"/>
          <w:color w:val="000000" w:themeColor="text1"/>
        </w:rPr>
        <w:t>t</w:t>
      </w:r>
      <w:r w:rsidRPr="00097398">
        <w:rPr>
          <w:rFonts w:eastAsia="Arial"/>
          <w:color w:val="000000" w:themeColor="text1"/>
        </w:rPr>
        <w:t>inkami.</w:t>
      </w:r>
    </w:p>
    <w:p w14:paraId="35941E19" w14:textId="77777777" w:rsidR="002E69C0" w:rsidRPr="00A648AF" w:rsidRDefault="002E69C0" w:rsidP="002E69C0">
      <w:pPr>
        <w:pStyle w:val="BodyText"/>
        <w:spacing w:line="276" w:lineRule="auto"/>
        <w:jc w:val="both"/>
      </w:pPr>
    </w:p>
    <w:p w14:paraId="0E536766" w14:textId="77777777" w:rsidR="002E69C0" w:rsidRPr="00A93AA6" w:rsidRDefault="002E69C0" w:rsidP="002E69C0">
      <w:pPr>
        <w:pStyle w:val="ListParagraph"/>
        <w:numPr>
          <w:ilvl w:val="0"/>
          <w:numId w:val="1"/>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Pr="00A93AA6">
        <w:rPr>
          <w:b/>
          <w:bCs/>
          <w:caps/>
        </w:rPr>
        <w:t>apibendrinimas</w:t>
      </w:r>
    </w:p>
    <w:p w14:paraId="30B25E04" w14:textId="77777777" w:rsidR="002E69C0" w:rsidRDefault="002E69C0" w:rsidP="002E69C0">
      <w:pPr>
        <w:tabs>
          <w:tab w:val="left" w:pos="426"/>
        </w:tabs>
        <w:rPr>
          <w:i/>
          <w:color w:val="00B050"/>
          <w:sz w:val="22"/>
          <w:szCs w:val="22"/>
        </w:rPr>
      </w:pPr>
    </w:p>
    <w:p w14:paraId="3846D66D" w14:textId="77777777" w:rsidR="0079727D" w:rsidRDefault="00CE38E0" w:rsidP="00CE38E0">
      <w:pPr>
        <w:shd w:val="clear" w:color="auto" w:fill="FFFFFF"/>
        <w:spacing w:line="276" w:lineRule="auto"/>
        <w:jc w:val="both"/>
        <w:rPr>
          <w:rFonts w:eastAsia="Arial"/>
          <w:bCs/>
        </w:rPr>
      </w:pPr>
      <w:r>
        <w:rPr>
          <w:rFonts w:eastAsia="Arial"/>
          <w:bCs/>
        </w:rPr>
        <w:tab/>
        <w:t>Farmakoekonominė a</w:t>
      </w:r>
      <w:r w:rsidRPr="005A6EB0">
        <w:rPr>
          <w:rFonts w:eastAsia="Arial"/>
          <w:bCs/>
        </w:rPr>
        <w:t>nalizė atliek</w:t>
      </w:r>
      <w:r>
        <w:rPr>
          <w:rFonts w:eastAsia="Arial"/>
          <w:bCs/>
        </w:rPr>
        <w:t>ta</w:t>
      </w:r>
      <w:r w:rsidRPr="005A6EB0">
        <w:rPr>
          <w:rFonts w:eastAsia="Arial"/>
          <w:bCs/>
        </w:rPr>
        <w:t xml:space="preserve"> siekiant įvertinti glofitamabo monoterapij</w:t>
      </w:r>
      <w:r>
        <w:rPr>
          <w:rFonts w:eastAsia="Arial"/>
          <w:bCs/>
        </w:rPr>
        <w:t>os</w:t>
      </w:r>
      <w:r w:rsidRPr="005A6EB0">
        <w:rPr>
          <w:rFonts w:eastAsia="Arial"/>
          <w:bCs/>
        </w:rPr>
        <w:t xml:space="preserve"> kaštų naudingumą pacientams, sergantiems recidyvavusia ar atsparia difuzine didelių B ląstelių limfoma (DDBLL), kuriems anksčiau buvo skirti du ar daugiau sisteminio poveikio gydymo būdų, kurių būklė progresavo po CAR-T terapijos ar AutoKKLT, arba CAR-T terapija jiems netinkama. Pacientų populiacija atitinka NP30179  klinikinio tyrimo D3, D5 ir D2 pogrupių populiaciją. </w:t>
      </w:r>
    </w:p>
    <w:p w14:paraId="4EAB36BC" w14:textId="109CE5CC" w:rsidR="00CE38E0" w:rsidRDefault="0079727D" w:rsidP="00CE38E0">
      <w:pPr>
        <w:shd w:val="clear" w:color="auto" w:fill="FFFFFF"/>
        <w:spacing w:line="276" w:lineRule="auto"/>
        <w:jc w:val="both"/>
        <w:rPr>
          <w:rFonts w:eastAsia="Arial"/>
          <w:bCs/>
        </w:rPr>
      </w:pPr>
      <w:r>
        <w:rPr>
          <w:rFonts w:eastAsia="Arial"/>
          <w:bCs/>
        </w:rPr>
        <w:tab/>
      </w:r>
      <w:r w:rsidR="00CE38E0" w:rsidRPr="005A6EB0">
        <w:rPr>
          <w:rFonts w:eastAsia="Arial"/>
          <w:bCs/>
        </w:rPr>
        <w:t xml:space="preserve">Glofitamab gydymas pradedamas obinutuzumabu 1000 mg, tada skiriamas </w:t>
      </w:r>
      <w:r w:rsidR="00CE38E0">
        <w:rPr>
          <w:rFonts w:eastAsia="Arial"/>
          <w:bCs/>
        </w:rPr>
        <w:t>laipsniškai didinant dozę</w:t>
      </w:r>
      <w:r w:rsidR="00CE38E0" w:rsidRPr="005A6EB0">
        <w:rPr>
          <w:rFonts w:eastAsia="Arial"/>
          <w:bCs/>
        </w:rPr>
        <w:t xml:space="preserve"> (2,5 mg → 10 mg → 30 mg kas 3 sav.), iki 12 ciklų.</w:t>
      </w:r>
      <w:r w:rsidR="00CE38E0" w:rsidRPr="00AD16E0">
        <w:rPr>
          <w:rFonts w:eastAsia="Calibri"/>
        </w:rPr>
        <w:t xml:space="preserve"> </w:t>
      </w:r>
      <w:r w:rsidR="00CE38E0">
        <w:rPr>
          <w:rFonts w:eastAsia="Calibri"/>
        </w:rPr>
        <w:t>Kaip nurodyta klinikinio vertinimo dalyje, p</w:t>
      </w:r>
      <w:r w:rsidR="00CE38E0" w:rsidRPr="00876C84">
        <w:rPr>
          <w:rFonts w:eastAsia="Calibri"/>
        </w:rPr>
        <w:t xml:space="preserve">agal pareiškėjo atliktą sisteminę literatūros apžvalgą, viena iš dažniausiai gaunamų 3L+ DLBCL R-chemoterapijos modifikacijų pasaulyje ir ES </w:t>
      </w:r>
      <w:r w:rsidR="00CE38E0" w:rsidRPr="00996F5B">
        <w:rPr>
          <w:rFonts w:eastAsia="Calibri"/>
        </w:rPr>
        <w:t>yra R-GemOX (gemcitabinas su oksaliplatina ir su/be rituksimabo). Pareiškėjas, nesant kokybiškų, ir palyginimui su glofitamabo kohorta tinkamų publikuotų duomenų, palyginimui pasirinko duomenis apie kitos chemoterpijos su/be rituksimabu gydymo duomenis, - bendamustinu  su/be rituksimabo  (BR) efektyvumą, kaip reprezentuojančius bet kokį chemoterapijos su/be rituksimabu variantą.</w:t>
      </w:r>
      <w:r w:rsidR="00CE38E0" w:rsidRPr="0016156B">
        <w:rPr>
          <w:rFonts w:eastAsia="Calibri"/>
        </w:rPr>
        <w:t xml:space="preserve"> Tokią</w:t>
      </w:r>
      <w:r w:rsidR="00CE38E0" w:rsidRPr="00876C84">
        <w:rPr>
          <w:rFonts w:eastAsia="Calibri"/>
        </w:rPr>
        <w:t xml:space="preserve"> prielaidą pareiškėjas pagrindė pateikta identifikuota publikacija, apie tai, kad šių dviejų gydymo schemų efektyvumas yra labai panašus</w:t>
      </w:r>
      <w:r w:rsidR="00CE38E0">
        <w:rPr>
          <w:rFonts w:eastAsia="Calibri"/>
        </w:rPr>
        <w:t xml:space="preserve">. </w:t>
      </w:r>
    </w:p>
    <w:p w14:paraId="738727E0" w14:textId="77777777" w:rsidR="00CE38E0" w:rsidRDefault="00CE38E0" w:rsidP="00CE38E0">
      <w:pPr>
        <w:shd w:val="clear" w:color="auto" w:fill="FFFFFF"/>
        <w:spacing w:line="276" w:lineRule="auto"/>
        <w:jc w:val="both"/>
        <w:rPr>
          <w:rFonts w:eastAsia="Arial"/>
          <w:bCs/>
        </w:rPr>
      </w:pPr>
      <w:r>
        <w:rPr>
          <w:rFonts w:eastAsia="Arial"/>
          <w:bCs/>
        </w:rPr>
        <w:tab/>
        <w:t xml:space="preserve">Pareiškėjas </w:t>
      </w:r>
      <w:r w:rsidRPr="005A6EB0">
        <w:rPr>
          <w:rFonts w:eastAsia="Arial"/>
          <w:bCs/>
        </w:rPr>
        <w:t>taikė netiesioginį palyginimą remiantis dviem tyrimais: polinkio balų analize (PSA) ir pakoreguotu netiesioginiu palyginimu (MAIC), kad supana</w:t>
      </w:r>
      <w:r>
        <w:rPr>
          <w:rFonts w:eastAsia="Arial"/>
          <w:bCs/>
        </w:rPr>
        <w:t>šintų pacientų populiacijas, gautas iš skirtingų</w:t>
      </w:r>
      <w:r w:rsidRPr="005A6EB0">
        <w:rPr>
          <w:rFonts w:eastAsia="Arial"/>
          <w:bCs/>
        </w:rPr>
        <w:t xml:space="preserve"> klinikinių tyrimų. </w:t>
      </w:r>
      <w:r w:rsidRPr="00AD16E0">
        <w:rPr>
          <w:rFonts w:eastAsia="Arial"/>
          <w:bCs/>
        </w:rPr>
        <w:t>Bendamustinas nėra įtrauktas į kompensuojamųjų vaistinių preparatų sąrašus Lietuvoje, dėl šios priežasties Tarnyba nega</w:t>
      </w:r>
      <w:r>
        <w:rPr>
          <w:rFonts w:eastAsia="Arial"/>
          <w:bCs/>
        </w:rPr>
        <w:t xml:space="preserve">lėjo </w:t>
      </w:r>
      <w:r w:rsidRPr="00AD16E0">
        <w:rPr>
          <w:rFonts w:eastAsia="Arial"/>
          <w:bCs/>
        </w:rPr>
        <w:t xml:space="preserve">įvertinti šio gydymo sugeneruojamų kaštų Lietuvoje. Įvertinus didelį galimų palyginamųjų gydymų pasirinkimą, kuris yra parenkamas individualiai pacientui pagal paciento būklę, gydančio centro patirtį, toksiškumo profilį, ligos ypatybes, ir Pareiškėjui įrodžius panašų bendamustino be/su rituksimabu ir kitų chemoterapijų </w:t>
      </w:r>
      <w:r w:rsidRPr="00AD16E0">
        <w:rPr>
          <w:rFonts w:eastAsia="Arial"/>
          <w:bCs/>
        </w:rPr>
        <w:lastRenderedPageBreak/>
        <w:t>rituksimabo pagrindu efektyvumą, analizėje vertindama palyginamojo gydymo sugeneruojamus kaštus, Tarnyba vertin</w:t>
      </w:r>
      <w:r>
        <w:rPr>
          <w:rFonts w:eastAsia="Arial"/>
          <w:bCs/>
        </w:rPr>
        <w:t>o</w:t>
      </w:r>
      <w:r w:rsidRPr="00AD16E0">
        <w:rPr>
          <w:rFonts w:eastAsia="Arial"/>
          <w:bCs/>
        </w:rPr>
        <w:t xml:space="preserve"> gemcitabino, rituksimabo ir oksaliplatinos kaštus.</w:t>
      </w:r>
    </w:p>
    <w:p w14:paraId="77168151" w14:textId="77777777" w:rsidR="00CE38E0" w:rsidRDefault="00CE38E0" w:rsidP="00CE38E0">
      <w:pPr>
        <w:shd w:val="clear" w:color="auto" w:fill="FFFFFF"/>
        <w:spacing w:line="276" w:lineRule="auto"/>
        <w:jc w:val="both"/>
        <w:rPr>
          <w:rFonts w:eastAsia="Arial"/>
          <w:bCs/>
        </w:rPr>
      </w:pPr>
      <w:r>
        <w:rPr>
          <w:rFonts w:eastAsia="Arial"/>
          <w:bCs/>
        </w:rPr>
        <w:tab/>
      </w:r>
      <w:r w:rsidRPr="005A6EB0">
        <w:rPr>
          <w:rFonts w:eastAsia="Arial"/>
          <w:bCs/>
        </w:rPr>
        <w:t xml:space="preserve">Analizėje taikomas suskirstytos išgyvenamumo analizės (PSM) modelis. PSM modelyje yra trys sveikatos būklės, </w:t>
      </w:r>
      <w:r>
        <w:rPr>
          <w:rFonts w:eastAsia="Arial"/>
          <w:bCs/>
        </w:rPr>
        <w:t>tai yra: išgyvenamumas be įvykiŲ</w:t>
      </w:r>
      <w:r w:rsidRPr="005A6EB0">
        <w:rPr>
          <w:rFonts w:eastAsia="Arial"/>
          <w:bCs/>
        </w:rPr>
        <w:t xml:space="preserve"> (PFS), ligos progresija (PS), bei mirtis (</w:t>
      </w:r>
      <w:r w:rsidRPr="00AD16E0">
        <w:rPr>
          <w:rFonts w:eastAsia="Arial"/>
          <w:bCs/>
          <w:i/>
          <w:iCs/>
        </w:rPr>
        <w:t>Death</w:t>
      </w:r>
      <w:r w:rsidRPr="005A6EB0">
        <w:rPr>
          <w:rFonts w:eastAsia="Arial"/>
          <w:bCs/>
        </w:rPr>
        <w:t xml:space="preserve">). Modelyje būklių perėjimas apskaičiuojamas pagal IBĮ (išgyvenamumo be įvykių) ir BI (bendro išgyvenamumo) kreives, remiantis klinikinio tyrimo duomenimis. Siekiant įvertinti struktūrinę neapibrėžtį modelyje, buvo atlikta platesnė scenarijų analizė, apimanti skirtingas ekstrapoliacinių kreivių kombinacijas, kuriose kiekvienam perėjimui iš sveikatos būsenų buvo pritaikytos skirtingos parametrinės funkcijos.  </w:t>
      </w:r>
    </w:p>
    <w:p w14:paraId="797666B5" w14:textId="1C74FB90" w:rsidR="00CE38E0" w:rsidRDefault="00CE38E0" w:rsidP="00CE38E0">
      <w:pPr>
        <w:shd w:val="clear" w:color="auto" w:fill="FFFFFF"/>
        <w:spacing w:line="276" w:lineRule="auto"/>
        <w:jc w:val="both"/>
        <w:rPr>
          <w:rFonts w:eastAsia="Arial"/>
          <w:bCs/>
        </w:rPr>
      </w:pPr>
      <w:r>
        <w:rPr>
          <w:rFonts w:eastAsia="Arial"/>
          <w:bCs/>
        </w:rPr>
        <w:tab/>
      </w:r>
      <w:r w:rsidRPr="00962055">
        <w:rPr>
          <w:rFonts w:eastAsia="Arial"/>
          <w:bCs/>
        </w:rPr>
        <w:t xml:space="preserve">Tarnyba atnaujino Pareiškėjo prielaidas bei pateiktus. Tarnyba analizėje taikė glofitamabo palyginimą su rituksimabo pagrindu skirta chemoterapija (konkrečiai – R-GEMOX režimu), pakoregavo ekstrapoliacinių išgyvenamumo kreivių pasirinkimus (OS: glofitamab – Gompertz, R-GEMOX – log-normal; PFS: abiem režimams – generalizuota gamma), netaikė ilgalaikės remisijos ar išgyvenamumo prielaidos, o kaip tinkamiausią TTOT parametrinę kreivę naudojo generalizuotą gammą, remdamasi vizualiniu atitinkamumu bei AIC ir BIC rodikliais. Be to, Tarnyba atnaujino kaštus pagal naujausią prieinamą informaciją: modelyje įtraukė </w:t>
      </w:r>
      <w:r>
        <w:rPr>
          <w:rFonts w:eastAsia="Arial"/>
          <w:bCs/>
        </w:rPr>
        <w:t xml:space="preserve">atnaujintus gydymo kaštus bei </w:t>
      </w:r>
      <w:r w:rsidRPr="00962055">
        <w:rPr>
          <w:rFonts w:eastAsia="Arial"/>
          <w:bCs/>
        </w:rPr>
        <w:t>konfidencialių susitarimų su VLK kainas, nepageidaujamų reiškinių valdymo kaštus perskaičiavo pagal DRG metodologiją, o sekančių gydymo eilių pasiskirstymą pakoregavo pagal</w:t>
      </w:r>
      <w:r>
        <w:rPr>
          <w:rFonts w:eastAsia="Arial"/>
          <w:bCs/>
        </w:rPr>
        <w:t xml:space="preserve"> Lietuvoje kompensuojamą gydymą -</w:t>
      </w:r>
      <w:r w:rsidRPr="00962055">
        <w:rPr>
          <w:rFonts w:eastAsia="Arial"/>
          <w:bCs/>
        </w:rPr>
        <w:t xml:space="preserve"> nesant pagrindimo, sekančių eilių terapijų pasiskirstymą suvienodino tarp pacientų grupių.</w:t>
      </w:r>
    </w:p>
    <w:p w14:paraId="34C75554" w14:textId="19833056" w:rsidR="00CE38E0" w:rsidRDefault="00CE38E0" w:rsidP="00CE38E0">
      <w:pPr>
        <w:shd w:val="clear" w:color="auto" w:fill="FFFFFF"/>
        <w:spacing w:line="276" w:lineRule="auto"/>
        <w:jc w:val="both"/>
        <w:rPr>
          <w:rFonts w:eastAsia="Arial"/>
          <w:bCs/>
        </w:rPr>
      </w:pPr>
      <w:r>
        <w:rPr>
          <w:rFonts w:eastAsia="Arial"/>
          <w:bCs/>
        </w:rPr>
        <w:tab/>
      </w:r>
      <w:r w:rsidRPr="00AD16E0">
        <w:rPr>
          <w:rFonts w:eastAsia="Arial"/>
          <w:bCs/>
        </w:rPr>
        <w:t xml:space="preserve">Scenarijų analizėje gauti ICER rezultatai svyruoja intervale nuo </w:t>
      </w:r>
      <w:r w:rsidR="00A27C8A">
        <w:rPr>
          <w:lang w:eastAsia="lt-LT"/>
        </w:rPr>
        <w:t>*****</w:t>
      </w:r>
      <w:r w:rsidRPr="00AD16E0">
        <w:rPr>
          <w:rFonts w:eastAsia="Arial"/>
          <w:bCs/>
        </w:rPr>
        <w:t xml:space="preserve"> iki </w:t>
      </w:r>
      <w:r w:rsidR="00A27C8A">
        <w:rPr>
          <w:lang w:eastAsia="lt-LT"/>
        </w:rPr>
        <w:t>*****</w:t>
      </w:r>
      <w:r w:rsidRPr="00AD16E0">
        <w:rPr>
          <w:rFonts w:eastAsia="Arial"/>
          <w:bCs/>
        </w:rPr>
        <w:t>eurų, todėl vertiname, jog pagrindinio atvejo analizės scenarijus negali būti laikomas nei konservatyviu, nei tiksliai atspindinčiu visą galimų baigčių spektrą. Tai rodo, kad analizė pasižymi tam tikru neapibrėžtumu. Vis dėlto referencinė kaštų naudingumo riba nėra viršijama, todėl laikome, jog glofitamabas gali būti pripažintas kaštams naudingas gydymo pasirinkimas, tačiau siekiant sumažinti klaidingo teigiamo sprendimo priėmimo riziką, manome, jog būtų pagrįsta svarstyti mažesnę glofitamabo kainą.</w:t>
      </w:r>
    </w:p>
    <w:p w14:paraId="0844A1D1" w14:textId="77777777" w:rsidR="00CE38E0" w:rsidRDefault="00CE38E0" w:rsidP="00CE38E0">
      <w:pPr>
        <w:shd w:val="clear" w:color="auto" w:fill="FFFFFF"/>
        <w:spacing w:line="276" w:lineRule="auto"/>
        <w:jc w:val="both"/>
        <w:rPr>
          <w:rFonts w:eastAsia="Arial"/>
          <w:bCs/>
        </w:rPr>
      </w:pPr>
    </w:p>
    <w:p w14:paraId="1EE64F71" w14:textId="4185A45D" w:rsidR="00CE38E0" w:rsidRDefault="00CE38E0" w:rsidP="00CE38E0">
      <w:pPr>
        <w:tabs>
          <w:tab w:val="left" w:pos="567"/>
        </w:tabs>
        <w:jc w:val="both"/>
        <w:rPr>
          <w:lang w:eastAsia="lt-LT"/>
        </w:rPr>
      </w:pPr>
      <w:r w:rsidRPr="00CE38E0">
        <w:rPr>
          <w:b/>
          <w:bCs/>
          <w:lang w:eastAsia="lt-LT"/>
        </w:rPr>
        <w:t>3.1 Ekonominės analizės rezultatas</w:t>
      </w:r>
      <w:r w:rsidRPr="00CE38E0">
        <w:rPr>
          <w:lang w:eastAsia="lt-LT"/>
        </w:rPr>
        <w:t> </w:t>
      </w:r>
    </w:p>
    <w:p w14:paraId="3CE5EA4F" w14:textId="77777777" w:rsidR="00261A7B" w:rsidRDefault="00261A7B" w:rsidP="00CE38E0">
      <w:pPr>
        <w:tabs>
          <w:tab w:val="left" w:pos="567"/>
        </w:tabs>
        <w:jc w:val="both"/>
        <w:rPr>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5"/>
        <w:gridCol w:w="3240"/>
      </w:tblGrid>
      <w:tr w:rsidR="00261A7B" w:rsidRPr="00261A7B" w14:paraId="79C5A652" w14:textId="77777777">
        <w:trPr>
          <w:trHeight w:val="300"/>
        </w:trPr>
        <w:tc>
          <w:tcPr>
            <w:tcW w:w="9435" w:type="dxa"/>
            <w:gridSpan w:val="2"/>
            <w:tcBorders>
              <w:top w:val="single" w:sz="12" w:space="0" w:color="auto"/>
              <w:left w:val="single" w:sz="6" w:space="0" w:color="auto"/>
              <w:bottom w:val="single" w:sz="6" w:space="0" w:color="auto"/>
              <w:right w:val="single" w:sz="6" w:space="0" w:color="auto"/>
            </w:tcBorders>
            <w:vAlign w:val="center"/>
            <w:hideMark/>
          </w:tcPr>
          <w:p w14:paraId="5D2F470D" w14:textId="77777777" w:rsidR="00261A7B" w:rsidRPr="00261A7B" w:rsidRDefault="00261A7B" w:rsidP="00261A7B">
            <w:pPr>
              <w:tabs>
                <w:tab w:val="left" w:pos="567"/>
              </w:tabs>
              <w:jc w:val="both"/>
              <w:rPr>
                <w:lang w:eastAsia="lt-LT"/>
              </w:rPr>
            </w:pPr>
            <w:r w:rsidRPr="00261A7B">
              <w:rPr>
                <w:b/>
                <w:bCs/>
                <w:lang w:eastAsia="lt-LT"/>
              </w:rPr>
              <w:t>Rezultatai</w:t>
            </w:r>
            <w:r w:rsidRPr="00261A7B">
              <w:rPr>
                <w:lang w:eastAsia="lt-LT"/>
              </w:rPr>
              <w:t> </w:t>
            </w:r>
          </w:p>
        </w:tc>
      </w:tr>
      <w:tr w:rsidR="00261A7B" w:rsidRPr="00261A7B" w14:paraId="4ADE493A"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2E8A8782" w14:textId="77777777" w:rsidR="00261A7B" w:rsidRPr="00261A7B" w:rsidRDefault="00261A7B" w:rsidP="00261A7B">
            <w:pPr>
              <w:tabs>
                <w:tab w:val="left" w:pos="567"/>
              </w:tabs>
              <w:jc w:val="both"/>
              <w:rPr>
                <w:lang w:eastAsia="lt-LT"/>
              </w:rPr>
            </w:pPr>
            <w:r w:rsidRPr="00261A7B">
              <w:rPr>
                <w:lang w:eastAsia="lt-LT"/>
              </w:rPr>
              <w:t>Kaštų skirtumas </w:t>
            </w:r>
          </w:p>
        </w:tc>
        <w:tc>
          <w:tcPr>
            <w:tcW w:w="3225" w:type="dxa"/>
            <w:tcBorders>
              <w:top w:val="single" w:sz="6" w:space="0" w:color="auto"/>
              <w:left w:val="single" w:sz="6" w:space="0" w:color="auto"/>
              <w:bottom w:val="single" w:sz="6" w:space="0" w:color="auto"/>
              <w:right w:val="single" w:sz="6" w:space="0" w:color="auto"/>
            </w:tcBorders>
            <w:hideMark/>
          </w:tcPr>
          <w:p w14:paraId="137D597A" w14:textId="3267981D" w:rsidR="00261A7B" w:rsidRPr="00261A7B" w:rsidRDefault="00261A7B" w:rsidP="00BE0E35">
            <w:pPr>
              <w:tabs>
                <w:tab w:val="left" w:pos="567"/>
              </w:tabs>
              <w:jc w:val="both"/>
              <w:rPr>
                <w:lang w:eastAsia="lt-LT"/>
              </w:rPr>
            </w:pPr>
            <w:r w:rsidRPr="00261A7B">
              <w:rPr>
                <w:lang w:eastAsia="lt-LT"/>
              </w:rPr>
              <w:t> </w:t>
            </w:r>
            <w:r w:rsidR="00BE0E35">
              <w:rPr>
                <w:lang w:eastAsia="lt-LT"/>
              </w:rPr>
              <w:t>*****</w:t>
            </w:r>
          </w:p>
        </w:tc>
      </w:tr>
      <w:tr w:rsidR="00261A7B" w:rsidRPr="00261A7B" w14:paraId="56AC8B1B"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4CAC20D8" w14:textId="77777777" w:rsidR="00261A7B" w:rsidRPr="00261A7B" w:rsidRDefault="00261A7B" w:rsidP="00261A7B">
            <w:pPr>
              <w:tabs>
                <w:tab w:val="left" w:pos="567"/>
              </w:tabs>
              <w:jc w:val="both"/>
              <w:rPr>
                <w:lang w:eastAsia="lt-LT"/>
              </w:rPr>
            </w:pPr>
            <w:r w:rsidRPr="00261A7B">
              <w:rPr>
                <w:lang w:eastAsia="lt-LT"/>
              </w:rPr>
              <w:t>Papildomi gyvenimo metai (LY) </w:t>
            </w:r>
          </w:p>
        </w:tc>
        <w:tc>
          <w:tcPr>
            <w:tcW w:w="3225" w:type="dxa"/>
            <w:tcBorders>
              <w:top w:val="single" w:sz="6" w:space="0" w:color="auto"/>
              <w:left w:val="single" w:sz="6" w:space="0" w:color="auto"/>
              <w:bottom w:val="single" w:sz="6" w:space="0" w:color="auto"/>
              <w:right w:val="single" w:sz="6" w:space="0" w:color="auto"/>
            </w:tcBorders>
            <w:hideMark/>
          </w:tcPr>
          <w:p w14:paraId="0274D218" w14:textId="7E0D5B68" w:rsidR="00261A7B" w:rsidRPr="00261A7B" w:rsidRDefault="00261A7B" w:rsidP="00261A7B">
            <w:pPr>
              <w:tabs>
                <w:tab w:val="left" w:pos="567"/>
              </w:tabs>
              <w:jc w:val="both"/>
              <w:rPr>
                <w:lang w:eastAsia="lt-LT"/>
              </w:rPr>
            </w:pPr>
            <w:r w:rsidRPr="00261A7B">
              <w:rPr>
                <w:lang w:eastAsia="lt-LT"/>
              </w:rPr>
              <w:t> </w:t>
            </w:r>
            <w:r w:rsidR="00920072">
              <w:rPr>
                <w:lang w:eastAsia="lt-LT"/>
              </w:rPr>
              <w:t>*****</w:t>
            </w:r>
          </w:p>
        </w:tc>
      </w:tr>
      <w:tr w:rsidR="00261A7B" w:rsidRPr="00261A7B" w14:paraId="1B6D54DE"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346160FB" w14:textId="77777777" w:rsidR="00261A7B" w:rsidRPr="00261A7B" w:rsidRDefault="00261A7B" w:rsidP="00261A7B">
            <w:pPr>
              <w:tabs>
                <w:tab w:val="left" w:pos="567"/>
              </w:tabs>
              <w:jc w:val="both"/>
              <w:rPr>
                <w:lang w:eastAsia="lt-LT"/>
              </w:rPr>
            </w:pPr>
            <w:r w:rsidRPr="00261A7B">
              <w:rPr>
                <w:lang w:eastAsia="lt-LT"/>
              </w:rPr>
              <w:t>Papildomi kokybiški gyvenimo metai (QALY) </w:t>
            </w:r>
          </w:p>
        </w:tc>
        <w:tc>
          <w:tcPr>
            <w:tcW w:w="3225" w:type="dxa"/>
            <w:tcBorders>
              <w:top w:val="single" w:sz="6" w:space="0" w:color="auto"/>
              <w:left w:val="single" w:sz="6" w:space="0" w:color="auto"/>
              <w:bottom w:val="single" w:sz="6" w:space="0" w:color="auto"/>
              <w:right w:val="single" w:sz="6" w:space="0" w:color="auto"/>
            </w:tcBorders>
            <w:hideMark/>
          </w:tcPr>
          <w:p w14:paraId="16D24352" w14:textId="6178A37C" w:rsidR="00261A7B" w:rsidRPr="00261A7B" w:rsidRDefault="00261A7B" w:rsidP="00261A7B">
            <w:pPr>
              <w:tabs>
                <w:tab w:val="left" w:pos="567"/>
              </w:tabs>
              <w:jc w:val="both"/>
              <w:rPr>
                <w:lang w:eastAsia="lt-LT"/>
              </w:rPr>
            </w:pPr>
            <w:r w:rsidRPr="00261A7B">
              <w:rPr>
                <w:lang w:eastAsia="lt-LT"/>
              </w:rPr>
              <w:t> </w:t>
            </w:r>
            <w:r w:rsidR="00920072">
              <w:rPr>
                <w:lang w:eastAsia="lt-LT"/>
              </w:rPr>
              <w:t>*****</w:t>
            </w:r>
          </w:p>
        </w:tc>
      </w:tr>
      <w:tr w:rsidR="00261A7B" w:rsidRPr="00261A7B" w14:paraId="0793828E"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4C5D8557" w14:textId="77777777" w:rsidR="00261A7B" w:rsidRPr="00261A7B" w:rsidRDefault="00261A7B" w:rsidP="00261A7B">
            <w:pPr>
              <w:tabs>
                <w:tab w:val="left" w:pos="567"/>
              </w:tabs>
              <w:jc w:val="both"/>
              <w:rPr>
                <w:lang w:eastAsia="lt-LT"/>
              </w:rPr>
            </w:pPr>
            <w:r w:rsidRPr="00261A7B">
              <w:rPr>
                <w:lang w:eastAsia="lt-LT"/>
              </w:rPr>
              <w:t>ICER už LY </w:t>
            </w:r>
          </w:p>
        </w:tc>
        <w:tc>
          <w:tcPr>
            <w:tcW w:w="3225" w:type="dxa"/>
            <w:tcBorders>
              <w:top w:val="single" w:sz="6" w:space="0" w:color="auto"/>
              <w:left w:val="single" w:sz="6" w:space="0" w:color="auto"/>
              <w:bottom w:val="single" w:sz="6" w:space="0" w:color="auto"/>
              <w:right w:val="single" w:sz="6" w:space="0" w:color="auto"/>
            </w:tcBorders>
            <w:hideMark/>
          </w:tcPr>
          <w:p w14:paraId="3AD13964" w14:textId="6C24ABE1" w:rsidR="00261A7B" w:rsidRPr="00261A7B" w:rsidRDefault="00261A7B" w:rsidP="00261A7B">
            <w:pPr>
              <w:tabs>
                <w:tab w:val="left" w:pos="567"/>
              </w:tabs>
              <w:jc w:val="both"/>
              <w:rPr>
                <w:lang w:eastAsia="lt-LT"/>
              </w:rPr>
            </w:pPr>
            <w:r w:rsidRPr="00261A7B">
              <w:rPr>
                <w:lang w:eastAsia="lt-LT"/>
              </w:rPr>
              <w:t> </w:t>
            </w:r>
            <w:r w:rsidR="00920072">
              <w:rPr>
                <w:lang w:eastAsia="lt-LT"/>
              </w:rPr>
              <w:t>*****</w:t>
            </w:r>
          </w:p>
        </w:tc>
      </w:tr>
      <w:tr w:rsidR="00261A7B" w:rsidRPr="00261A7B" w14:paraId="7DF1841E"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4104312A" w14:textId="77777777" w:rsidR="00261A7B" w:rsidRPr="00261A7B" w:rsidRDefault="00261A7B" w:rsidP="00261A7B">
            <w:pPr>
              <w:tabs>
                <w:tab w:val="left" w:pos="567"/>
              </w:tabs>
              <w:jc w:val="both"/>
              <w:rPr>
                <w:lang w:eastAsia="lt-LT"/>
              </w:rPr>
            </w:pPr>
            <w:r w:rsidRPr="00261A7B">
              <w:rPr>
                <w:lang w:eastAsia="lt-LT"/>
              </w:rPr>
              <w:t>ICER už QALY </w:t>
            </w:r>
          </w:p>
        </w:tc>
        <w:tc>
          <w:tcPr>
            <w:tcW w:w="3225" w:type="dxa"/>
            <w:tcBorders>
              <w:top w:val="single" w:sz="6" w:space="0" w:color="auto"/>
              <w:left w:val="single" w:sz="6" w:space="0" w:color="auto"/>
              <w:bottom w:val="single" w:sz="6" w:space="0" w:color="auto"/>
              <w:right w:val="single" w:sz="6" w:space="0" w:color="auto"/>
            </w:tcBorders>
            <w:hideMark/>
          </w:tcPr>
          <w:p w14:paraId="58DEFF35" w14:textId="55E2BCCA" w:rsidR="00261A7B" w:rsidRPr="00261A7B" w:rsidRDefault="00261A7B" w:rsidP="00261A7B">
            <w:pPr>
              <w:tabs>
                <w:tab w:val="left" w:pos="567"/>
              </w:tabs>
              <w:jc w:val="both"/>
              <w:rPr>
                <w:lang w:eastAsia="lt-LT"/>
              </w:rPr>
            </w:pPr>
            <w:r w:rsidRPr="00261A7B">
              <w:rPr>
                <w:lang w:eastAsia="lt-LT"/>
              </w:rPr>
              <w:t> </w:t>
            </w:r>
            <w:r w:rsidR="00920072">
              <w:rPr>
                <w:lang w:eastAsia="lt-LT"/>
              </w:rPr>
              <w:t>*****</w:t>
            </w:r>
          </w:p>
        </w:tc>
      </w:tr>
      <w:tr w:rsidR="00261A7B" w:rsidRPr="00261A7B" w14:paraId="11533DAF" w14:textId="77777777">
        <w:trPr>
          <w:trHeight w:val="300"/>
        </w:trPr>
        <w:tc>
          <w:tcPr>
            <w:tcW w:w="6195" w:type="dxa"/>
            <w:tcBorders>
              <w:top w:val="single" w:sz="6" w:space="0" w:color="auto"/>
              <w:left w:val="single" w:sz="6" w:space="0" w:color="auto"/>
              <w:bottom w:val="single" w:sz="6" w:space="0" w:color="auto"/>
              <w:right w:val="single" w:sz="6" w:space="0" w:color="auto"/>
            </w:tcBorders>
            <w:hideMark/>
          </w:tcPr>
          <w:p w14:paraId="35667A5F" w14:textId="77777777" w:rsidR="00261A7B" w:rsidRPr="00261A7B" w:rsidRDefault="00261A7B" w:rsidP="00261A7B">
            <w:pPr>
              <w:tabs>
                <w:tab w:val="left" w:pos="567"/>
              </w:tabs>
              <w:jc w:val="both"/>
              <w:rPr>
                <w:lang w:eastAsia="lt-LT"/>
              </w:rPr>
            </w:pPr>
            <w:r w:rsidRPr="00261A7B">
              <w:rPr>
                <w:lang w:eastAsia="lt-LT"/>
              </w:rPr>
              <w:t>Referencinė kaštų naudingumo vertė </w:t>
            </w:r>
          </w:p>
        </w:tc>
        <w:tc>
          <w:tcPr>
            <w:tcW w:w="3225" w:type="dxa"/>
            <w:tcBorders>
              <w:top w:val="single" w:sz="6" w:space="0" w:color="auto"/>
              <w:left w:val="single" w:sz="6" w:space="0" w:color="auto"/>
              <w:bottom w:val="single" w:sz="6" w:space="0" w:color="auto"/>
              <w:right w:val="single" w:sz="6" w:space="0" w:color="auto"/>
            </w:tcBorders>
            <w:hideMark/>
          </w:tcPr>
          <w:p w14:paraId="37715193" w14:textId="76717A81" w:rsidR="00261A7B" w:rsidRPr="00261A7B" w:rsidRDefault="00261A7B" w:rsidP="00261A7B">
            <w:pPr>
              <w:tabs>
                <w:tab w:val="left" w:pos="567"/>
              </w:tabs>
              <w:jc w:val="both"/>
              <w:rPr>
                <w:lang w:eastAsia="lt-LT"/>
              </w:rPr>
            </w:pPr>
            <w:r w:rsidRPr="00261A7B">
              <w:rPr>
                <w:lang w:eastAsia="lt-LT"/>
              </w:rPr>
              <w:t> </w:t>
            </w:r>
            <w:r w:rsidR="00920072">
              <w:rPr>
                <w:lang w:eastAsia="lt-LT"/>
              </w:rPr>
              <w:t>*****</w:t>
            </w:r>
          </w:p>
        </w:tc>
      </w:tr>
    </w:tbl>
    <w:p w14:paraId="41722EC7" w14:textId="77777777" w:rsidR="00261A7B" w:rsidRPr="00261A7B" w:rsidRDefault="00261A7B" w:rsidP="00261A7B">
      <w:pPr>
        <w:tabs>
          <w:tab w:val="left" w:pos="567"/>
        </w:tabs>
        <w:jc w:val="both"/>
        <w:rPr>
          <w:lang w:eastAsia="lt-LT"/>
        </w:rPr>
      </w:pPr>
      <w:r w:rsidRPr="00261A7B">
        <w:rPr>
          <w:lang w:eastAsia="lt-LT"/>
        </w:rPr>
        <w:t>ICER – (</w:t>
      </w:r>
      <w:r w:rsidRPr="00261A7B">
        <w:rPr>
          <w:i/>
          <w:iCs/>
          <w:lang w:eastAsia="lt-LT"/>
        </w:rPr>
        <w:t>angl. incremental cost-effectiveness ratio</w:t>
      </w:r>
      <w:r w:rsidRPr="00261A7B">
        <w:rPr>
          <w:lang w:eastAsia="lt-LT"/>
        </w:rPr>
        <w:t>) inkrementinis kaštų naudingumo koeficientas; LY – (</w:t>
      </w:r>
      <w:r w:rsidRPr="00261A7B">
        <w:rPr>
          <w:i/>
          <w:iCs/>
          <w:lang w:eastAsia="lt-LT"/>
        </w:rPr>
        <w:t>angl. life years</w:t>
      </w:r>
      <w:r w:rsidRPr="00261A7B">
        <w:rPr>
          <w:lang w:eastAsia="lt-LT"/>
        </w:rPr>
        <w:t>) gyvenimo metai; QALY- (</w:t>
      </w:r>
      <w:r w:rsidRPr="00261A7B">
        <w:rPr>
          <w:i/>
          <w:iCs/>
          <w:lang w:eastAsia="lt-LT"/>
        </w:rPr>
        <w:t xml:space="preserve">angl. quality adjusted life years) </w:t>
      </w:r>
      <w:r w:rsidRPr="00261A7B">
        <w:rPr>
          <w:lang w:eastAsia="lt-LT"/>
        </w:rPr>
        <w:t>kokybiški gyvenimo metai. </w:t>
      </w:r>
    </w:p>
    <w:p w14:paraId="45CD8E81" w14:textId="77777777" w:rsidR="002E69C0" w:rsidRPr="006D52FA" w:rsidRDefault="002E69C0" w:rsidP="002E69C0">
      <w:pPr>
        <w:tabs>
          <w:tab w:val="left" w:pos="426"/>
        </w:tabs>
        <w:rPr>
          <w:b/>
          <w:bCs/>
          <w:caps/>
          <w:color w:val="FF0000"/>
        </w:rPr>
      </w:pPr>
    </w:p>
    <w:p w14:paraId="79E0B68A" w14:textId="77777777" w:rsidR="002E69C0" w:rsidRPr="006D52FA" w:rsidRDefault="002E69C0" w:rsidP="002E69C0">
      <w:pPr>
        <w:pStyle w:val="ListParagraph"/>
        <w:numPr>
          <w:ilvl w:val="0"/>
          <w:numId w:val="1"/>
        </w:numPr>
        <w:tabs>
          <w:tab w:val="left" w:pos="284"/>
        </w:tabs>
        <w:rPr>
          <w:b/>
          <w:bCs/>
          <w:caps/>
        </w:rPr>
      </w:pPr>
      <w:r w:rsidRPr="006D52FA">
        <w:rPr>
          <w:b/>
          <w:bCs/>
          <w:caps/>
        </w:rPr>
        <w:t xml:space="preserve">Pacientų organizacijų pateikti duomenys </w:t>
      </w:r>
    </w:p>
    <w:p w14:paraId="3CC7B781" w14:textId="77777777" w:rsidR="002E69C0" w:rsidRPr="006D52FA" w:rsidRDefault="00000000" w:rsidP="002E69C0">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2E69C0" w:rsidRPr="006D52FA">
            <w:rPr>
              <w:rStyle w:val="Style2"/>
              <w:rFonts w:ascii="MS Gothic" w:eastAsia="MS Gothic" w:hAnsi="MS Gothic" w:hint="eastAsia"/>
            </w:rPr>
            <w:t>☐</w:t>
          </w:r>
        </w:sdtContent>
      </w:sdt>
      <w:r w:rsidR="002E69C0" w:rsidRPr="006D52FA">
        <w:t xml:space="preserve"> Pacientų organizacijos pozicija pateikta. Žr. priedą.</w:t>
      </w:r>
    </w:p>
    <w:p w14:paraId="54D7B4F1" w14:textId="250AB211" w:rsidR="002E69C0" w:rsidRPr="006D52FA" w:rsidRDefault="00000000" w:rsidP="002E69C0">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FE7ABB">
            <w:rPr>
              <w:rStyle w:val="Style2"/>
              <w:rFonts w:ascii="MS Gothic" w:eastAsia="MS Gothic" w:hAnsi="MS Gothic" w:hint="eastAsia"/>
            </w:rPr>
            <w:t>☒</w:t>
          </w:r>
        </w:sdtContent>
      </w:sdt>
      <w:r w:rsidR="002E69C0" w:rsidRPr="006D52FA">
        <w:t xml:space="preserve"> Pacientų organizacijos pozicija nepateikta.</w:t>
      </w:r>
    </w:p>
    <w:p w14:paraId="72455CA9" w14:textId="77777777" w:rsidR="002E69C0" w:rsidRPr="006D52FA" w:rsidRDefault="002E69C0" w:rsidP="002E69C0">
      <w:pPr>
        <w:pStyle w:val="ListParagraph"/>
        <w:numPr>
          <w:ilvl w:val="0"/>
          <w:numId w:val="1"/>
        </w:numPr>
        <w:tabs>
          <w:tab w:val="left" w:pos="426"/>
        </w:tabs>
        <w:rPr>
          <w:b/>
          <w:bCs/>
          <w:caps/>
        </w:rPr>
      </w:pPr>
      <w:r w:rsidRPr="006D52FA">
        <w:rPr>
          <w:b/>
          <w:bCs/>
          <w:caps/>
        </w:rPr>
        <w:t>Gydytojų organizacijų pateikti duomenys</w:t>
      </w:r>
    </w:p>
    <w:p w14:paraId="6A00BACD" w14:textId="220577C4" w:rsidR="002E69C0" w:rsidRPr="006D52FA" w:rsidRDefault="00000000" w:rsidP="002E69C0">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2E69C0">
            <w:rPr>
              <w:rStyle w:val="Style2"/>
              <w:rFonts w:ascii="MS Gothic" w:eastAsia="MS Gothic" w:hAnsi="MS Gothic" w:hint="eastAsia"/>
            </w:rPr>
            <w:t>☐</w:t>
          </w:r>
        </w:sdtContent>
      </w:sdt>
      <w:r w:rsidR="002E69C0" w:rsidRPr="006D52FA">
        <w:t xml:space="preserve"> Gydytojų specialistų organizacijos pozicija pateikta. Žr. priedą.</w:t>
      </w:r>
    </w:p>
    <w:p w14:paraId="390B2A9B" w14:textId="00A52A14" w:rsidR="002E69C0" w:rsidRPr="006D52FA" w:rsidRDefault="00000000" w:rsidP="002E69C0">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FE7ABB">
            <w:rPr>
              <w:rStyle w:val="Style2"/>
              <w:rFonts w:ascii="MS Gothic" w:eastAsia="MS Gothic" w:hAnsi="MS Gothic" w:hint="eastAsia"/>
            </w:rPr>
            <w:t>☒</w:t>
          </w:r>
        </w:sdtContent>
      </w:sdt>
      <w:r w:rsidR="002E69C0" w:rsidRPr="006D52FA">
        <w:t xml:space="preserve"> Gydytojų specialistų organizacijos pozicija nepateikta.</w:t>
      </w:r>
    </w:p>
    <w:p w14:paraId="7C6E57DE" w14:textId="77777777" w:rsidR="002E69C0" w:rsidRPr="006D52FA" w:rsidRDefault="002E69C0" w:rsidP="002E69C0">
      <w:pPr>
        <w:pStyle w:val="ListParagraph"/>
        <w:numPr>
          <w:ilvl w:val="0"/>
          <w:numId w:val="1"/>
        </w:numPr>
        <w:tabs>
          <w:tab w:val="left" w:pos="426"/>
        </w:tabs>
        <w:rPr>
          <w:b/>
          <w:bCs/>
          <w:caps/>
        </w:rPr>
      </w:pPr>
      <w:r w:rsidRPr="006D52FA">
        <w:rPr>
          <w:b/>
          <w:bCs/>
          <w:caps/>
        </w:rPr>
        <w:t xml:space="preserve">Išvada </w:t>
      </w:r>
    </w:p>
    <w:p w14:paraId="302DDE81" w14:textId="77777777" w:rsidR="002E69C0" w:rsidRPr="00797153" w:rsidRDefault="002E69C0" w:rsidP="002E69C0">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2E69C0" w:rsidRPr="00EA0893" w14:paraId="59FE3A1A" w14:textId="77777777" w:rsidTr="00A21C5E">
        <w:trPr>
          <w:trHeight w:val="510"/>
        </w:trPr>
        <w:tc>
          <w:tcPr>
            <w:tcW w:w="9629" w:type="dxa"/>
            <w:gridSpan w:val="2"/>
            <w:vAlign w:val="center"/>
          </w:tcPr>
          <w:p w14:paraId="6E1941CD"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EA0893">
              <w:rPr>
                <w:rStyle w:val="Style2"/>
                <w:rFonts w:eastAsia="MS Gothic"/>
                <w:b/>
                <w:bCs/>
                <w:sz w:val="24"/>
                <w:szCs w:val="24"/>
              </w:rPr>
              <w:t>Palyginamasis veiksmingumas</w:t>
            </w:r>
          </w:p>
        </w:tc>
      </w:tr>
      <w:tr w:rsidR="002E69C0" w:rsidRPr="00EA0893" w14:paraId="050B8003" w14:textId="77777777" w:rsidTr="00A21C5E">
        <w:tc>
          <w:tcPr>
            <w:tcW w:w="4815" w:type="dxa"/>
          </w:tcPr>
          <w:p w14:paraId="0907CF31" w14:textId="7777777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1"/>
                  <w14:checkedState w14:val="2612" w14:font="MS Gothic"/>
                  <w14:uncheckedState w14:val="2610" w14:font="MS Gothic"/>
                </w14:checkbox>
              </w:sdtPr>
              <w:sdtContent>
                <w:r w:rsidR="002E69C0" w:rsidRPr="00EA0893">
                  <w:rPr>
                    <w:rStyle w:val="Style2"/>
                    <w:rFonts w:ascii="Segoe UI Symbol" w:eastAsia="MS Gothic" w:hAnsi="Segoe UI Symbol" w:cs="Segoe UI Symbol"/>
                    <w:sz w:val="24"/>
                    <w:szCs w:val="24"/>
                  </w:rPr>
                  <w:t>☒</w:t>
                </w:r>
              </w:sdtContent>
            </w:sdt>
            <w:r w:rsidR="002E69C0" w:rsidRPr="00EA0893">
              <w:rPr>
                <w:rStyle w:val="Style2"/>
                <w:sz w:val="24"/>
                <w:szCs w:val="24"/>
              </w:rPr>
              <w:t xml:space="preserve"> 29</w:t>
            </w:r>
            <w:r w:rsidR="002E69C0" w:rsidRPr="00EA0893">
              <w:rPr>
                <w:sz w:val="24"/>
                <w:szCs w:val="24"/>
              </w:rPr>
              <w:t>.1.1 yra didesnis, lyginant su įprasta klinikine praktika</w:t>
            </w:r>
          </w:p>
          <w:p w14:paraId="0BA432D1"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53E2F41" w14:textId="7777777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0"/>
                  <w14:checkedState w14:val="2612" w14:font="MS Gothic"/>
                  <w14:uncheckedState w14:val="2610" w14:font="MS Gothic"/>
                </w14:checkbox>
              </w:sdtPr>
              <w:sdtContent>
                <w:r w:rsidR="002E69C0" w:rsidRPr="00EA0893">
                  <w:rPr>
                    <w:rStyle w:val="Style2"/>
                    <w:rFonts w:ascii="Segoe UI Symbol" w:eastAsia="MS Gothic" w:hAnsi="Segoe UI Symbol" w:cs="Segoe UI Symbol"/>
                    <w:sz w:val="24"/>
                    <w:szCs w:val="24"/>
                  </w:rPr>
                  <w:t>☐</w:t>
                </w:r>
              </w:sdtContent>
            </w:sdt>
            <w:r w:rsidR="002E69C0" w:rsidRPr="00EA0893">
              <w:rPr>
                <w:sz w:val="24"/>
                <w:szCs w:val="24"/>
              </w:rPr>
              <w:t xml:space="preserve"> </w:t>
            </w:r>
            <w:r w:rsidR="002E69C0" w:rsidRPr="00EA0893">
              <w:rPr>
                <w:rStyle w:val="Style2"/>
                <w:sz w:val="24"/>
                <w:szCs w:val="24"/>
              </w:rPr>
              <w:t>29</w:t>
            </w:r>
            <w:r w:rsidR="002E69C0" w:rsidRPr="00EA0893">
              <w:rPr>
                <w:sz w:val="24"/>
                <w:szCs w:val="24"/>
              </w:rPr>
              <w:t>.1.2 iš esmės nesiskiria, lyginant su įprasta klinikine praktika</w:t>
            </w:r>
          </w:p>
        </w:tc>
        <w:tc>
          <w:tcPr>
            <w:tcW w:w="4814" w:type="dxa"/>
          </w:tcPr>
          <w:p w14:paraId="2DA7945A" w14:textId="7777777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Content>
                <w:r w:rsidR="002E69C0" w:rsidRPr="00EA0893">
                  <w:rPr>
                    <w:rStyle w:val="Style2"/>
                    <w:rFonts w:ascii="Segoe UI Symbol" w:eastAsia="MS Gothic" w:hAnsi="Segoe UI Symbol" w:cs="Segoe UI Symbol"/>
                    <w:sz w:val="24"/>
                    <w:szCs w:val="24"/>
                  </w:rPr>
                  <w:t>☐</w:t>
                </w:r>
              </w:sdtContent>
            </w:sdt>
            <w:r w:rsidR="002E69C0" w:rsidRPr="00EA0893">
              <w:rPr>
                <w:sz w:val="24"/>
                <w:szCs w:val="24"/>
              </w:rPr>
              <w:t xml:space="preserve"> </w:t>
            </w:r>
            <w:r w:rsidR="002E69C0" w:rsidRPr="00EA0893">
              <w:rPr>
                <w:rStyle w:val="Style2"/>
                <w:sz w:val="24"/>
                <w:szCs w:val="24"/>
              </w:rPr>
              <w:t>29</w:t>
            </w:r>
            <w:r w:rsidR="002E69C0" w:rsidRPr="00EA0893">
              <w:rPr>
                <w:sz w:val="24"/>
                <w:szCs w:val="24"/>
              </w:rPr>
              <w:t xml:space="preserve">.1.3 yra neįrodytas kaip didesnis  ar iš esmės nesiskiriantis, lyginant su įprasta klinikine praktika  </w:t>
            </w:r>
          </w:p>
          <w:p w14:paraId="10F2FBF7"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4B90035" w14:textId="7777777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Content>
                <w:r w:rsidR="002E69C0" w:rsidRPr="00EA0893">
                  <w:rPr>
                    <w:rStyle w:val="Style2"/>
                    <w:rFonts w:ascii="Segoe UI Symbol" w:eastAsia="MS Gothic" w:hAnsi="Segoe UI Symbol" w:cs="Segoe UI Symbol"/>
                    <w:sz w:val="24"/>
                    <w:szCs w:val="24"/>
                  </w:rPr>
                  <w:t>☐</w:t>
                </w:r>
              </w:sdtContent>
            </w:sdt>
            <w:r w:rsidR="002E69C0" w:rsidRPr="00EA0893">
              <w:rPr>
                <w:sz w:val="24"/>
                <w:szCs w:val="24"/>
              </w:rPr>
              <w:t xml:space="preserve"> </w:t>
            </w:r>
            <w:r w:rsidR="002E69C0" w:rsidRPr="00EA0893">
              <w:rPr>
                <w:rStyle w:val="Style2"/>
                <w:sz w:val="24"/>
                <w:szCs w:val="24"/>
              </w:rPr>
              <w:t>29</w:t>
            </w:r>
            <w:r w:rsidR="002E69C0" w:rsidRPr="00EA0893">
              <w:rPr>
                <w:sz w:val="24"/>
                <w:szCs w:val="24"/>
              </w:rPr>
              <w:t>.1.4 yra mažesnis, lyginant su įprasta klinikine praktika</w:t>
            </w:r>
          </w:p>
          <w:p w14:paraId="5849C40C"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0F2F58D" w14:textId="7777777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Content>
                <w:r w:rsidR="002E69C0" w:rsidRPr="00EA0893">
                  <w:rPr>
                    <w:rStyle w:val="Style2"/>
                    <w:rFonts w:ascii="Segoe UI Symbol" w:eastAsia="MS Gothic" w:hAnsi="Segoe UI Symbol" w:cs="Segoe UI Symbol"/>
                    <w:sz w:val="24"/>
                    <w:szCs w:val="24"/>
                  </w:rPr>
                  <w:t>☐</w:t>
                </w:r>
              </w:sdtContent>
            </w:sdt>
            <w:r w:rsidR="002E69C0" w:rsidRPr="00EA0893">
              <w:rPr>
                <w:sz w:val="24"/>
                <w:szCs w:val="24"/>
              </w:rPr>
              <w:t xml:space="preserve">  </w:t>
            </w:r>
            <w:r w:rsidR="002E69C0" w:rsidRPr="00EA0893">
              <w:rPr>
                <w:rStyle w:val="Style2"/>
                <w:sz w:val="24"/>
                <w:szCs w:val="24"/>
              </w:rPr>
              <w:t>29</w:t>
            </w:r>
            <w:r w:rsidR="002E69C0" w:rsidRPr="00EA0893">
              <w:rPr>
                <w:sz w:val="24"/>
                <w:szCs w:val="24"/>
              </w:rPr>
              <w:t>.1.5 pateikti duomenys apie palyginamąjį veiksmingumą yra netinkami vertinti</w:t>
            </w:r>
          </w:p>
          <w:p w14:paraId="23C2D8FF"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2E69C0" w:rsidRPr="00EA0893" w14:paraId="57960904" w14:textId="77777777" w:rsidTr="00A21C5E">
        <w:trPr>
          <w:trHeight w:val="510"/>
        </w:trPr>
        <w:tc>
          <w:tcPr>
            <w:tcW w:w="9629" w:type="dxa"/>
            <w:gridSpan w:val="2"/>
            <w:vAlign w:val="center"/>
          </w:tcPr>
          <w:p w14:paraId="253AB09C"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EA0893">
              <w:rPr>
                <w:rStyle w:val="Style2"/>
                <w:rFonts w:eastAsia="MS Gothic"/>
                <w:b/>
                <w:bCs/>
                <w:sz w:val="24"/>
                <w:szCs w:val="24"/>
              </w:rPr>
              <w:t>Kaštų naudingumas</w:t>
            </w:r>
          </w:p>
        </w:tc>
      </w:tr>
      <w:tr w:rsidR="002E69C0" w:rsidRPr="00EA0893" w14:paraId="4A4D4A3A" w14:textId="77777777" w:rsidTr="00A21C5E">
        <w:tc>
          <w:tcPr>
            <w:tcW w:w="4815" w:type="dxa"/>
          </w:tcPr>
          <w:p w14:paraId="31E4CF12" w14:textId="4C006FC7"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1"/>
                  <w14:checkedState w14:val="2612" w14:font="MS Gothic"/>
                  <w14:uncheckedState w14:val="2610" w14:font="MS Gothic"/>
                </w14:checkbox>
              </w:sdtPr>
              <w:sdtContent>
                <w:r w:rsidR="00261A7B">
                  <w:rPr>
                    <w:rStyle w:val="Style2"/>
                    <w:rFonts w:ascii="MS Gothic" w:eastAsia="MS Gothic" w:hAnsi="MS Gothic" w:hint="eastAsia"/>
                    <w:sz w:val="24"/>
                  </w:rPr>
                  <w:t>☒</w:t>
                </w:r>
              </w:sdtContent>
            </w:sdt>
            <w:r w:rsidR="002E69C0" w:rsidRPr="00EA0893">
              <w:rPr>
                <w:sz w:val="24"/>
                <w:szCs w:val="24"/>
              </w:rPr>
              <w:t xml:space="preserve"> 29.2.1 </w:t>
            </w:r>
            <w:r w:rsidR="00261A7B" w:rsidRPr="00261A7B">
              <w:rPr>
                <w:sz w:val="24"/>
                <w:szCs w:val="24"/>
              </w:rPr>
              <w:t>atitinka referencinę naudingumo vertę taikant arba netaikant</w:t>
            </w:r>
            <w:r w:rsidR="00261A7B" w:rsidRPr="00261A7B">
              <w:rPr>
                <w:b/>
                <w:bCs/>
                <w:sz w:val="24"/>
                <w:szCs w:val="24"/>
              </w:rPr>
              <w:t xml:space="preserve"> </w:t>
            </w:r>
            <w:r w:rsidR="00261A7B" w:rsidRPr="00261A7B">
              <w:rPr>
                <w:sz w:val="24"/>
                <w:szCs w:val="24"/>
              </w:rPr>
              <w:t>PGS</w:t>
            </w:r>
          </w:p>
          <w:p w14:paraId="490B5D86" w14:textId="43E46AE1"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4814" w:type="dxa"/>
          </w:tcPr>
          <w:p w14:paraId="540FAAB4" w14:textId="16F4CD69"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0"/>
                  <w14:checkedState w14:val="2612" w14:font="MS Gothic"/>
                  <w14:uncheckedState w14:val="2610" w14:font="MS Gothic"/>
                </w14:checkbox>
              </w:sdtPr>
              <w:sdtContent>
                <w:r w:rsidR="002E69C0">
                  <w:rPr>
                    <w:rStyle w:val="Style2"/>
                    <w:rFonts w:ascii="MS Gothic" w:eastAsia="MS Gothic" w:hAnsi="MS Gothic" w:hint="eastAsia"/>
                    <w:sz w:val="24"/>
                  </w:rPr>
                  <w:t>☐</w:t>
                </w:r>
              </w:sdtContent>
            </w:sdt>
            <w:r w:rsidR="002E69C0" w:rsidRPr="00EA0893">
              <w:rPr>
                <w:sz w:val="24"/>
                <w:szCs w:val="24"/>
              </w:rPr>
              <w:t xml:space="preserve"> 29.2.3 neatitinka referencinės naudingumo vertės taikant arba netaikant PGS</w:t>
            </w:r>
          </w:p>
          <w:p w14:paraId="7814B11A" w14:textId="77777777" w:rsidR="002E69C0" w:rsidRPr="00EA0893" w:rsidRDefault="002E69C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CDB19FF" w14:textId="4B71D109" w:rsidR="002E69C0" w:rsidRPr="00EA0893"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135473618"/>
                <w15:color w:val="FFCC00"/>
                <w14:checkbox>
                  <w14:checked w14:val="0"/>
                  <w14:checkedState w14:val="2612" w14:font="MS Gothic"/>
                  <w14:uncheckedState w14:val="2610" w14:font="MS Gothic"/>
                </w14:checkbox>
              </w:sdtPr>
              <w:sdtContent>
                <w:r w:rsidR="00261A7B">
                  <w:rPr>
                    <w:rStyle w:val="Style2"/>
                    <w:rFonts w:ascii="MS Gothic" w:eastAsia="MS Gothic" w:hAnsi="MS Gothic" w:hint="eastAsia"/>
                    <w:sz w:val="24"/>
                  </w:rPr>
                  <w:t>☐</w:t>
                </w:r>
              </w:sdtContent>
            </w:sdt>
            <w:r w:rsidR="002E69C0" w:rsidRPr="00EA0893">
              <w:rPr>
                <w:sz w:val="24"/>
                <w:szCs w:val="24"/>
              </w:rPr>
              <w:t xml:space="preserve"> 29.2.</w:t>
            </w:r>
            <w:r w:rsidR="00261A7B">
              <w:rPr>
                <w:sz w:val="24"/>
                <w:szCs w:val="24"/>
              </w:rPr>
              <w:t>5</w:t>
            </w:r>
            <w:r w:rsidR="002E69C0" w:rsidRPr="00EA0893">
              <w:rPr>
                <w:sz w:val="24"/>
                <w:szCs w:val="24"/>
              </w:rPr>
              <w:t xml:space="preserve"> </w:t>
            </w:r>
            <w:r w:rsidR="00261A7B" w:rsidRPr="00261A7B">
              <w:rPr>
                <w:sz w:val="24"/>
                <w:szCs w:val="24"/>
              </w:rPr>
              <w:t>pateikti duomenys apie kaštų naudingumą yra netinkami vertinti</w:t>
            </w:r>
          </w:p>
          <w:p w14:paraId="3C52A9EA" w14:textId="77777777" w:rsidR="002E69C0" w:rsidRPr="00EA0893" w:rsidRDefault="002E69C0" w:rsidP="00261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sz w:val="24"/>
                <w:szCs w:val="24"/>
              </w:rPr>
            </w:pPr>
          </w:p>
        </w:tc>
      </w:tr>
      <w:tr w:rsidR="00261A7B" w:rsidRPr="00EA0893" w14:paraId="653653BE" w14:textId="77777777" w:rsidTr="008923F5">
        <w:tc>
          <w:tcPr>
            <w:tcW w:w="9629" w:type="dxa"/>
            <w:gridSpan w:val="2"/>
          </w:tcPr>
          <w:p w14:paraId="03169D4E" w14:textId="19BDF664" w:rsidR="00261A7B" w:rsidRDefault="00000000"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sdt>
              <w:sdtPr>
                <w:rPr>
                  <w:rStyle w:val="Style2"/>
                  <w:sz w:val="24"/>
                </w:rPr>
                <w:id w:val="-1605652212"/>
                <w15:color w:val="FFCC00"/>
                <w14:checkbox>
                  <w14:checked w14:val="0"/>
                  <w14:checkedState w14:val="2612" w14:font="MS Gothic"/>
                  <w14:uncheckedState w14:val="2610" w14:font="MS Gothic"/>
                </w14:checkbox>
              </w:sdtPr>
              <w:sdtContent>
                <w:r w:rsidR="00D45887">
                  <w:rPr>
                    <w:rStyle w:val="Style2"/>
                    <w:rFonts w:ascii="MS Gothic" w:eastAsia="MS Gothic" w:hAnsi="MS Gothic" w:hint="eastAsia"/>
                    <w:sz w:val="24"/>
                  </w:rPr>
                  <w:t>☐</w:t>
                </w:r>
              </w:sdtContent>
            </w:sdt>
            <w:r w:rsidR="00261A7B" w:rsidRPr="00261A7B">
              <w:rPr>
                <w:sz w:val="24"/>
              </w:rPr>
              <w:t xml:space="preserve"> Vykdant Aprašo &lt;17</w:t>
            </w:r>
            <w:r w:rsidR="00261A7B" w:rsidRPr="00261A7B">
              <w:rPr>
                <w:sz w:val="24"/>
                <w:vertAlign w:val="superscript"/>
              </w:rPr>
              <w:t>3</w:t>
            </w:r>
            <w:r w:rsidR="00261A7B" w:rsidRPr="00261A7B">
              <w:rPr>
                <w:sz w:val="24"/>
              </w:rPr>
              <w:t>.1&gt;&lt;17</w:t>
            </w:r>
            <w:r w:rsidR="00261A7B" w:rsidRPr="00261A7B">
              <w:rPr>
                <w:sz w:val="24"/>
                <w:vertAlign w:val="superscript"/>
              </w:rPr>
              <w:t>3</w:t>
            </w:r>
            <w:r w:rsidR="00261A7B" w:rsidRPr="00261A7B">
              <w:rPr>
                <w:sz w:val="24"/>
              </w:rPr>
              <w:t>.2&gt;&lt;17</w:t>
            </w:r>
            <w:r w:rsidR="00261A7B" w:rsidRPr="00261A7B">
              <w:rPr>
                <w:sz w:val="24"/>
                <w:vertAlign w:val="superscript"/>
              </w:rPr>
              <w:t>3</w:t>
            </w:r>
            <w:r w:rsidR="00261A7B" w:rsidRPr="00261A7B">
              <w:rPr>
                <w:sz w:val="24"/>
              </w:rPr>
              <w:t>.3&gt; punktą vaistinio (-ų) preparato (-ų) ekonominis vertinimas neatliekamas, išvados dėl kaštų naudingumo neteikiamos </w:t>
            </w:r>
          </w:p>
          <w:p w14:paraId="39FE209F" w14:textId="49988D7A" w:rsidR="00C46F7E" w:rsidRDefault="00C46F7E" w:rsidP="00A2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r>
    </w:tbl>
    <w:p w14:paraId="391CD986" w14:textId="77777777" w:rsidR="002E69C0" w:rsidRDefault="002E69C0" w:rsidP="002E69C0">
      <w:pPr>
        <w:pStyle w:val="ListParagraph"/>
        <w:shd w:val="clear" w:color="auto" w:fill="FFFFFF"/>
        <w:tabs>
          <w:tab w:val="left" w:pos="284"/>
        </w:tabs>
        <w:spacing w:line="276" w:lineRule="auto"/>
        <w:rPr>
          <w:rFonts w:eastAsia="Arial"/>
          <w:b/>
        </w:rPr>
      </w:pPr>
    </w:p>
    <w:p w14:paraId="22D1AE9E" w14:textId="77777777" w:rsidR="002E69C0" w:rsidRPr="00253CF8" w:rsidRDefault="002E69C0" w:rsidP="002E69C0">
      <w:pPr>
        <w:pStyle w:val="ListParagraph"/>
        <w:numPr>
          <w:ilvl w:val="0"/>
          <w:numId w:val="1"/>
        </w:numPr>
        <w:shd w:val="clear" w:color="auto" w:fill="FFFFFF"/>
        <w:tabs>
          <w:tab w:val="left" w:pos="284"/>
        </w:tabs>
        <w:spacing w:line="276" w:lineRule="auto"/>
        <w:rPr>
          <w:rFonts w:eastAsia="Arial"/>
          <w:b/>
        </w:rPr>
      </w:pPr>
      <w:r w:rsidRPr="00253CF8">
        <w:rPr>
          <w:rFonts w:eastAsia="Arial"/>
          <w:b/>
        </w:rPr>
        <w:t>REKOMENDACIJA</w:t>
      </w:r>
    </w:p>
    <w:p w14:paraId="61249B12" w14:textId="77777777" w:rsidR="002E69C0" w:rsidRPr="005F26B1" w:rsidRDefault="002E69C0" w:rsidP="002E69C0">
      <w:pPr>
        <w:pStyle w:val="ListParagraph"/>
        <w:shd w:val="clear" w:color="auto" w:fill="FFFFFF"/>
        <w:tabs>
          <w:tab w:val="left" w:pos="284"/>
        </w:tabs>
        <w:spacing w:line="276" w:lineRule="auto"/>
        <w:ind w:left="426"/>
        <w:rPr>
          <w:rFonts w:eastAsia="Arial"/>
          <w:b/>
        </w:rPr>
      </w:pPr>
    </w:p>
    <w:p w14:paraId="7DF060E4" w14:textId="35956BD4" w:rsidR="000E4B5C" w:rsidRPr="000203E1" w:rsidRDefault="000E4B5C" w:rsidP="000E4B5C">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kai vertinimo išvados atitinka Aprašo 29.1.1 ir 29.2.1 papunkčiuose numatytas sąlygas arba Aprašo 29.1.2 ir 29.2.2 papunkčiuose numatytas sąlygas, teikiama rekomendacija </w:t>
      </w:r>
      <w:r w:rsidRPr="005C6809">
        <w:rPr>
          <w:i/>
          <w:color w:val="000000"/>
        </w:rPr>
        <w:t>kompensuoti</w:t>
      </w:r>
      <w:r>
        <w:rPr>
          <w:color w:val="000000"/>
        </w:rPr>
        <w:t xml:space="preserve"> vaistinį preparatą pagal paraiškoje nurodytą indikaciją (arba jos dalį) su skyrimo sąlygomis, netaikant PGS</w:t>
      </w:r>
      <w:r>
        <w:rPr>
          <w:color w:val="000000"/>
          <w:lang w:eastAsia="lt-LT"/>
        </w:rPr>
        <w:t>.</w:t>
      </w:r>
    </w:p>
    <w:p w14:paraId="545DD9CE" w14:textId="77777777" w:rsidR="002E69C0" w:rsidRDefault="002E69C0" w:rsidP="002E69C0"/>
    <w:p w14:paraId="2F798CA1" w14:textId="77777777" w:rsidR="002E69C0" w:rsidRDefault="002E69C0" w:rsidP="002E69C0"/>
    <w:p w14:paraId="6EF228C9" w14:textId="77777777" w:rsidR="00FE7ABB" w:rsidRPr="00FE7ABB" w:rsidRDefault="00FE7ABB" w:rsidP="00FE7ABB">
      <w:pPr>
        <w:numPr>
          <w:ilvl w:val="0"/>
          <w:numId w:val="1"/>
        </w:numPr>
        <w:shd w:val="clear" w:color="auto" w:fill="FFFFFF"/>
        <w:tabs>
          <w:tab w:val="left" w:pos="284"/>
        </w:tabs>
        <w:spacing w:line="276" w:lineRule="auto"/>
        <w:contextualSpacing/>
        <w:rPr>
          <w:b/>
        </w:rPr>
      </w:pPr>
      <w:r w:rsidRPr="00FE7ABB">
        <w:rPr>
          <w:b/>
        </w:rPr>
        <w:t>SKYRIMO SĄLYGOS</w:t>
      </w:r>
    </w:p>
    <w:p w14:paraId="44273965" w14:textId="5180ED59" w:rsidR="00996F5B" w:rsidRDefault="00996F5B"/>
    <w:p w14:paraId="5A1E4E57" w14:textId="4E244C1F" w:rsidR="00FE7ABB" w:rsidRPr="00FE7ABB" w:rsidRDefault="00FE7ABB">
      <w:pPr>
        <w:rPr>
          <w:b/>
        </w:rPr>
      </w:pPr>
      <w:r w:rsidRPr="00FE7ABB">
        <w:rPr>
          <w:b/>
        </w:rPr>
        <w:t>Terapinės indikacijos</w:t>
      </w:r>
    </w:p>
    <w:p w14:paraId="61892C8F" w14:textId="43F00947" w:rsidR="00FE7ABB" w:rsidRDefault="00FE7ABB"/>
    <w:p w14:paraId="0009E3CD" w14:textId="77777777" w:rsidR="00FE7ABB" w:rsidRPr="00FE7ABB" w:rsidRDefault="00FE7ABB" w:rsidP="00FE7ABB">
      <w:pPr>
        <w:spacing w:after="120"/>
        <w:jc w:val="both"/>
      </w:pPr>
      <w:r w:rsidRPr="00FE7ABB">
        <w:t xml:space="preserve">Columvi monoterapija skirta recidyvavusia ar atsparia difuzine didelių B ląstelių limfoma (DDBLL) sergančių suaugusių pacientų gydymui, kuriems anksčiau buvo skirti du ar daugiau sisteminio poveikio gydymo būdų. </w:t>
      </w:r>
    </w:p>
    <w:p w14:paraId="6AA0B1C5" w14:textId="08A064C8" w:rsidR="00FE7ABB" w:rsidRDefault="00FE7ABB"/>
    <w:p w14:paraId="0C46FA24" w14:textId="75B3B950" w:rsidR="00FE7ABB" w:rsidRPr="00FE7ABB" w:rsidRDefault="00FE7ABB">
      <w:pPr>
        <w:rPr>
          <w:b/>
        </w:rPr>
      </w:pPr>
      <w:r w:rsidRPr="00FE7ABB">
        <w:rPr>
          <w:b/>
        </w:rPr>
        <w:t>Skyrimo sąlygos</w:t>
      </w:r>
    </w:p>
    <w:p w14:paraId="0AD934BE" w14:textId="2CC00DDF" w:rsidR="00FE7ABB" w:rsidRDefault="00FE7ABB"/>
    <w:p w14:paraId="5EE0F5FB" w14:textId="70A87882" w:rsidR="00FE7ABB" w:rsidRDefault="00892C81" w:rsidP="00FE7ABB">
      <w:pPr>
        <w:spacing w:after="120"/>
        <w:jc w:val="both"/>
      </w:pPr>
      <w:r>
        <w:t xml:space="preserve">Skiriamas </w:t>
      </w:r>
      <w:r w:rsidR="00FE7ABB" w:rsidRPr="00FE7ABB">
        <w:t>monoterapija</w:t>
      </w:r>
      <w:r>
        <w:t xml:space="preserve">i </w:t>
      </w:r>
      <w:r w:rsidR="00FE7ABB" w:rsidRPr="00FE7ABB">
        <w:t>recidyvavusia ar atsparia difuzine didelių B ląstelių limfoma sergan</w:t>
      </w:r>
      <w:r>
        <w:t>tiems</w:t>
      </w:r>
      <w:r w:rsidR="00FE7ABB" w:rsidRPr="00FE7ABB">
        <w:t xml:space="preserve"> suaugusi</w:t>
      </w:r>
      <w:r>
        <w:t>ems</w:t>
      </w:r>
      <w:r w:rsidR="00FE7ABB" w:rsidRPr="00FE7ABB">
        <w:t xml:space="preserve"> pacient</w:t>
      </w:r>
      <w:r>
        <w:t>ams</w:t>
      </w:r>
      <w:r w:rsidR="00FE7ABB" w:rsidRPr="00FE7ABB">
        <w:t>, kuriems anksčiau buvo skirti du ar daugiau sisteminio poveikio gydymo būdų</w:t>
      </w:r>
      <w:r>
        <w:t xml:space="preserve"> ir</w:t>
      </w:r>
      <w:r w:rsidR="00FE7ABB" w:rsidRPr="00FE7ABB">
        <w:t xml:space="preserve"> </w:t>
      </w:r>
      <w:r w:rsidR="00FE7ABB" w:rsidRPr="00FE7ABB">
        <w:rPr>
          <w:szCs w:val="20"/>
        </w:rPr>
        <w:t xml:space="preserve">kurių būklė progresavo po CAR-T terapijos ar </w:t>
      </w:r>
      <w:r w:rsidRPr="00876C84">
        <w:rPr>
          <w:rFonts w:eastAsia="Calibri"/>
        </w:rPr>
        <w:t>autologinė</w:t>
      </w:r>
      <w:r>
        <w:rPr>
          <w:rFonts w:eastAsia="Calibri"/>
        </w:rPr>
        <w:t>s</w:t>
      </w:r>
      <w:r w:rsidRPr="00876C84">
        <w:rPr>
          <w:rFonts w:eastAsia="Calibri"/>
        </w:rPr>
        <w:t xml:space="preserve"> transplantacij</w:t>
      </w:r>
      <w:r>
        <w:rPr>
          <w:rFonts w:eastAsia="Calibri"/>
        </w:rPr>
        <w:t>os</w:t>
      </w:r>
      <w:r w:rsidR="00FE7ABB" w:rsidRPr="00FE7ABB">
        <w:rPr>
          <w:szCs w:val="20"/>
        </w:rPr>
        <w:t xml:space="preserve"> arba CAR-T terapija jiems netinkama.</w:t>
      </w:r>
    </w:p>
    <w:sectPr w:rsidR="00FE7ABB"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5950" w14:textId="77777777" w:rsidR="002B466E" w:rsidRDefault="002B466E">
      <w:r>
        <w:separator/>
      </w:r>
    </w:p>
  </w:endnote>
  <w:endnote w:type="continuationSeparator" w:id="0">
    <w:p w14:paraId="6A68042F" w14:textId="77777777" w:rsidR="002B466E" w:rsidRDefault="002B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E2DC" w14:textId="77777777" w:rsidR="00996F5B" w:rsidRDefault="00996F5B">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D2E8" w14:textId="77777777" w:rsidR="002B466E" w:rsidRDefault="002B466E">
      <w:r>
        <w:separator/>
      </w:r>
    </w:p>
  </w:footnote>
  <w:footnote w:type="continuationSeparator" w:id="0">
    <w:p w14:paraId="41F43F65" w14:textId="77777777" w:rsidR="002B466E" w:rsidRDefault="002B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2491" w14:textId="77777777" w:rsidR="00996F5B" w:rsidRDefault="00996F5B"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A2E"/>
    <w:multiLevelType w:val="hybridMultilevel"/>
    <w:tmpl w:val="2B54A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E7A28"/>
    <w:multiLevelType w:val="multilevel"/>
    <w:tmpl w:val="E9702C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A36CCFCE"/>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B74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0999551">
    <w:abstractNumId w:val="2"/>
  </w:num>
  <w:num w:numId="2" w16cid:durableId="1794903742">
    <w:abstractNumId w:val="0"/>
  </w:num>
  <w:num w:numId="3" w16cid:durableId="1921137918">
    <w:abstractNumId w:val="3"/>
  </w:num>
  <w:num w:numId="4" w16cid:durableId="4692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C0"/>
    <w:rsid w:val="00025E44"/>
    <w:rsid w:val="00080DB9"/>
    <w:rsid w:val="000B4191"/>
    <w:rsid w:val="000D345D"/>
    <w:rsid w:val="000E4B5C"/>
    <w:rsid w:val="001137F1"/>
    <w:rsid w:val="001369E5"/>
    <w:rsid w:val="001662EF"/>
    <w:rsid w:val="00197042"/>
    <w:rsid w:val="001A465F"/>
    <w:rsid w:val="001D516F"/>
    <w:rsid w:val="00216C5F"/>
    <w:rsid w:val="00261A7B"/>
    <w:rsid w:val="002A0C91"/>
    <w:rsid w:val="002A4216"/>
    <w:rsid w:val="002B466E"/>
    <w:rsid w:val="002C0709"/>
    <w:rsid w:val="002E69C0"/>
    <w:rsid w:val="0030743D"/>
    <w:rsid w:val="00312BC5"/>
    <w:rsid w:val="003133E0"/>
    <w:rsid w:val="003607DF"/>
    <w:rsid w:val="0038441A"/>
    <w:rsid w:val="004039B0"/>
    <w:rsid w:val="004A479F"/>
    <w:rsid w:val="004C47BC"/>
    <w:rsid w:val="004D1F5A"/>
    <w:rsid w:val="004E2B3F"/>
    <w:rsid w:val="00536A57"/>
    <w:rsid w:val="00563FAC"/>
    <w:rsid w:val="00595C48"/>
    <w:rsid w:val="00613362"/>
    <w:rsid w:val="00622897"/>
    <w:rsid w:val="006C0BDD"/>
    <w:rsid w:val="006C6423"/>
    <w:rsid w:val="006F64F1"/>
    <w:rsid w:val="006F7769"/>
    <w:rsid w:val="006F7D17"/>
    <w:rsid w:val="00745AE1"/>
    <w:rsid w:val="0079727D"/>
    <w:rsid w:val="007B77CC"/>
    <w:rsid w:val="007D62AA"/>
    <w:rsid w:val="007F376F"/>
    <w:rsid w:val="00892C81"/>
    <w:rsid w:val="00892F58"/>
    <w:rsid w:val="0091634E"/>
    <w:rsid w:val="00920072"/>
    <w:rsid w:val="00954853"/>
    <w:rsid w:val="00996F5B"/>
    <w:rsid w:val="009F06B7"/>
    <w:rsid w:val="00A10C84"/>
    <w:rsid w:val="00A27C8A"/>
    <w:rsid w:val="00A72C58"/>
    <w:rsid w:val="00A7383B"/>
    <w:rsid w:val="00A85803"/>
    <w:rsid w:val="00A94D2C"/>
    <w:rsid w:val="00A97A26"/>
    <w:rsid w:val="00AF15D3"/>
    <w:rsid w:val="00AF69D9"/>
    <w:rsid w:val="00BA7346"/>
    <w:rsid w:val="00BE0E35"/>
    <w:rsid w:val="00C24B8C"/>
    <w:rsid w:val="00C363BD"/>
    <w:rsid w:val="00C46F7E"/>
    <w:rsid w:val="00C5157C"/>
    <w:rsid w:val="00CB35AC"/>
    <w:rsid w:val="00CC02AB"/>
    <w:rsid w:val="00CE38E0"/>
    <w:rsid w:val="00CF7088"/>
    <w:rsid w:val="00D030A5"/>
    <w:rsid w:val="00D45887"/>
    <w:rsid w:val="00D46E0B"/>
    <w:rsid w:val="00D55F0F"/>
    <w:rsid w:val="00DF2DB6"/>
    <w:rsid w:val="00E47690"/>
    <w:rsid w:val="00E75EED"/>
    <w:rsid w:val="00E77AC0"/>
    <w:rsid w:val="00EC0FC7"/>
    <w:rsid w:val="00EF5063"/>
    <w:rsid w:val="00F104D7"/>
    <w:rsid w:val="00F94DF9"/>
    <w:rsid w:val="00FB33E3"/>
    <w:rsid w:val="00FE7ABB"/>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AF844"/>
  <w14:defaultImageDpi w14:val="32767"/>
  <w15:chartTrackingRefBased/>
  <w15:docId w15:val="{58E42643-4981-42CF-A401-5F330CB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C0"/>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69C0"/>
    <w:pPr>
      <w:tabs>
        <w:tab w:val="center" w:pos="4986"/>
        <w:tab w:val="right" w:pos="9972"/>
      </w:tabs>
    </w:pPr>
  </w:style>
  <w:style w:type="character" w:customStyle="1" w:styleId="HeaderChar">
    <w:name w:val="Header Char"/>
    <w:basedOn w:val="DefaultParagraphFont"/>
    <w:link w:val="Header"/>
    <w:rsid w:val="002E69C0"/>
    <w:rPr>
      <w:rFonts w:ascii="Times New Roman" w:eastAsia="Times New Roman" w:hAnsi="Times New Roman" w:cs="Times New Roman"/>
      <w:lang w:val="lt-LT"/>
    </w:rPr>
  </w:style>
  <w:style w:type="paragraph" w:styleId="Footer">
    <w:name w:val="footer"/>
    <w:basedOn w:val="Normal"/>
    <w:link w:val="FooterChar"/>
    <w:uiPriority w:val="99"/>
    <w:rsid w:val="002E69C0"/>
    <w:pPr>
      <w:tabs>
        <w:tab w:val="center" w:pos="4986"/>
        <w:tab w:val="right" w:pos="9972"/>
      </w:tabs>
    </w:pPr>
  </w:style>
  <w:style w:type="character" w:customStyle="1" w:styleId="FooterChar">
    <w:name w:val="Footer Char"/>
    <w:basedOn w:val="DefaultParagraphFont"/>
    <w:link w:val="Footer"/>
    <w:uiPriority w:val="99"/>
    <w:rsid w:val="002E69C0"/>
    <w:rPr>
      <w:rFonts w:ascii="Times New Roman" w:eastAsia="Times New Roman" w:hAnsi="Times New Roman" w:cs="Times New Roman"/>
      <w:lang w:val="lt-LT"/>
    </w:rPr>
  </w:style>
  <w:style w:type="character" w:styleId="PageNumber">
    <w:name w:val="page number"/>
    <w:basedOn w:val="DefaultParagraphFont"/>
    <w:rsid w:val="002E69C0"/>
  </w:style>
  <w:style w:type="table" w:styleId="TableGrid">
    <w:name w:val="Table Grid"/>
    <w:aliases w:val="Summary box,Dossier Table,YHEC table,Tabellengitternetz 9pt,Lash Style Table,Nexus Values grey,Dossier table,Section 3- footnotes"/>
    <w:basedOn w:val="TableNormal"/>
    <w:rsid w:val="002E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
    <w:basedOn w:val="Normal"/>
    <w:link w:val="ListParagraphChar"/>
    <w:uiPriority w:val="34"/>
    <w:qFormat/>
    <w:rsid w:val="002E69C0"/>
    <w:pPr>
      <w:ind w:left="720"/>
      <w:contextualSpacing/>
    </w:pPr>
  </w:style>
  <w:style w:type="character" w:customStyle="1" w:styleId="Style2">
    <w:name w:val="Style2"/>
    <w:basedOn w:val="DefaultParagraphFont"/>
    <w:uiPriority w:val="1"/>
    <w:rsid w:val="002E69C0"/>
    <w:rPr>
      <w:sz w:val="32"/>
    </w:rPr>
  </w:style>
  <w:style w:type="paragraph" w:styleId="NoSpacing">
    <w:name w:val="No Spacing"/>
    <w:uiPriority w:val="1"/>
    <w:qFormat/>
    <w:rsid w:val="002E69C0"/>
    <w:rPr>
      <w:rFonts w:ascii="Calibri" w:eastAsia="Calibri" w:hAnsi="Calibri" w:cs="Times New Roman"/>
      <w:sz w:val="22"/>
      <w:szCs w:val="22"/>
      <w:lang w:val="lt-LT"/>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2E69C0"/>
    <w:rPr>
      <w:rFonts w:ascii="Times New Roman" w:eastAsia="Times New Roman" w:hAnsi="Times New Roman" w:cs="Times New Roman"/>
      <w:lang w:val="lt-LT"/>
    </w:rPr>
  </w:style>
  <w:style w:type="paragraph" w:styleId="BodyText">
    <w:name w:val="Body Text"/>
    <w:basedOn w:val="Normal"/>
    <w:link w:val="BodyTextChar"/>
    <w:uiPriority w:val="1"/>
    <w:unhideWhenUsed/>
    <w:qFormat/>
    <w:rsid w:val="002E69C0"/>
    <w:pPr>
      <w:spacing w:after="120"/>
    </w:pPr>
    <w:rPr>
      <w:szCs w:val="20"/>
    </w:rPr>
  </w:style>
  <w:style w:type="character" w:customStyle="1" w:styleId="BodyTextChar">
    <w:name w:val="Body Text Char"/>
    <w:basedOn w:val="DefaultParagraphFont"/>
    <w:link w:val="BodyText"/>
    <w:uiPriority w:val="1"/>
    <w:rsid w:val="002E69C0"/>
    <w:rPr>
      <w:rFonts w:ascii="Times New Roman" w:eastAsia="Times New Roman" w:hAnsi="Times New Roman" w:cs="Times New Roman"/>
      <w:szCs w:val="20"/>
      <w:lang w:val="lt-LT"/>
    </w:rPr>
  </w:style>
  <w:style w:type="paragraph" w:customStyle="1" w:styleId="TableHeading">
    <w:name w:val="Table Heading"/>
    <w:basedOn w:val="Normal"/>
    <w:next w:val="Normal"/>
    <w:link w:val="TableHeadingChar"/>
    <w:qFormat/>
    <w:rsid w:val="002E69C0"/>
    <w:pPr>
      <w:keepNext/>
      <w:keepLines/>
      <w:spacing w:before="40" w:after="40" w:line="288" w:lineRule="auto"/>
    </w:pPr>
    <w:rPr>
      <w:rFonts w:ascii="Verdana" w:eastAsiaTheme="minorHAnsi" w:hAnsi="Verdana" w:cstheme="minorBidi"/>
      <w:b/>
      <w:color w:val="F8F8F8"/>
      <w:sz w:val="20"/>
      <w:lang w:val="en-GB"/>
    </w:rPr>
  </w:style>
  <w:style w:type="character" w:customStyle="1" w:styleId="TableHeadingChar">
    <w:name w:val="Table Heading Char"/>
    <w:basedOn w:val="DefaultParagraphFont"/>
    <w:link w:val="TableHeading"/>
    <w:rsid w:val="002E69C0"/>
    <w:rPr>
      <w:rFonts w:ascii="Verdana" w:hAnsi="Verdana"/>
      <w:b/>
      <w:color w:val="F8F8F8"/>
      <w:sz w:val="20"/>
    </w:rPr>
  </w:style>
  <w:style w:type="paragraph" w:styleId="BalloonText">
    <w:name w:val="Balloon Text"/>
    <w:basedOn w:val="Normal"/>
    <w:link w:val="BalloonTextChar"/>
    <w:semiHidden/>
    <w:unhideWhenUsed/>
    <w:rsid w:val="002E69C0"/>
    <w:rPr>
      <w:rFonts w:ascii="Segoe UI" w:hAnsi="Segoe UI" w:cs="Segoe UI"/>
      <w:sz w:val="18"/>
      <w:szCs w:val="18"/>
    </w:rPr>
  </w:style>
  <w:style w:type="character" w:customStyle="1" w:styleId="BalloonTextChar">
    <w:name w:val="Balloon Text Char"/>
    <w:basedOn w:val="DefaultParagraphFont"/>
    <w:link w:val="BalloonText"/>
    <w:semiHidden/>
    <w:rsid w:val="002E69C0"/>
    <w:rPr>
      <w:rFonts w:ascii="Segoe UI" w:eastAsia="Times New Roman" w:hAnsi="Segoe UI" w:cs="Segoe UI"/>
      <w:sz w:val="18"/>
      <w:szCs w:val="18"/>
      <w:lang w:val="lt-LT"/>
    </w:rPr>
  </w:style>
  <w:style w:type="character" w:customStyle="1" w:styleId="resultoftext">
    <w:name w:val="resultoftext"/>
    <w:basedOn w:val="DefaultParagraphFont"/>
    <w:rsid w:val="002E69C0"/>
  </w:style>
  <w:style w:type="character" w:styleId="PlaceholderText">
    <w:name w:val="Placeholder Text"/>
    <w:basedOn w:val="DefaultParagraphFont"/>
    <w:uiPriority w:val="99"/>
    <w:rsid w:val="002E69C0"/>
    <w:rPr>
      <w:color w:val="808080"/>
    </w:rPr>
  </w:style>
  <w:style w:type="character" w:styleId="CommentReference">
    <w:name w:val="annotation reference"/>
    <w:basedOn w:val="DefaultParagraphFont"/>
    <w:uiPriority w:val="99"/>
    <w:semiHidden/>
    <w:unhideWhenUsed/>
    <w:rsid w:val="00F94DF9"/>
    <w:rPr>
      <w:sz w:val="16"/>
      <w:szCs w:val="16"/>
    </w:rPr>
  </w:style>
  <w:style w:type="paragraph" w:styleId="CommentText">
    <w:name w:val="annotation text"/>
    <w:basedOn w:val="Normal"/>
    <w:link w:val="CommentTextChar"/>
    <w:uiPriority w:val="99"/>
    <w:unhideWhenUsed/>
    <w:rsid w:val="00F94DF9"/>
    <w:rPr>
      <w:sz w:val="20"/>
      <w:szCs w:val="20"/>
    </w:rPr>
  </w:style>
  <w:style w:type="character" w:customStyle="1" w:styleId="CommentTextChar">
    <w:name w:val="Comment Text Char"/>
    <w:basedOn w:val="DefaultParagraphFont"/>
    <w:link w:val="CommentText"/>
    <w:uiPriority w:val="99"/>
    <w:rsid w:val="00F94DF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94DF9"/>
    <w:rPr>
      <w:b/>
      <w:bCs/>
    </w:rPr>
  </w:style>
  <w:style w:type="character" w:customStyle="1" w:styleId="CommentSubjectChar">
    <w:name w:val="Comment Subject Char"/>
    <w:basedOn w:val="CommentTextChar"/>
    <w:link w:val="CommentSubject"/>
    <w:uiPriority w:val="99"/>
    <w:semiHidden/>
    <w:rsid w:val="00F94DF9"/>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C17180D981524CA3378EBF377B2B9F"/>
        <w:category>
          <w:name w:val="General"/>
          <w:gallery w:val="placeholder"/>
        </w:category>
        <w:types>
          <w:type w:val="bbPlcHdr"/>
        </w:types>
        <w:behaviors>
          <w:behavior w:val="content"/>
        </w:behaviors>
        <w:guid w:val="{5418FC98-B6AB-ED40-ACE7-AF32471D82C8}"/>
      </w:docPartPr>
      <w:docPartBody>
        <w:p w:rsidR="005F0FAA" w:rsidRDefault="00875ED8" w:rsidP="00875ED8">
          <w:pPr>
            <w:pStyle w:val="38C17180D981524CA3378EBF377B2B9F"/>
          </w:pPr>
          <w:r>
            <w:rPr>
              <w:rStyle w:val="PlaceholderText"/>
            </w:rPr>
            <w:t>Click here to enter a date.</w:t>
          </w:r>
        </w:p>
      </w:docPartBody>
    </w:docPart>
    <w:docPart>
      <w:docPartPr>
        <w:name w:val="E8A66BE02DCBE24785F87D5ED7165048"/>
        <w:category>
          <w:name w:val="General"/>
          <w:gallery w:val="placeholder"/>
        </w:category>
        <w:types>
          <w:type w:val="bbPlcHdr"/>
        </w:types>
        <w:behaviors>
          <w:behavior w:val="content"/>
        </w:behaviors>
        <w:guid w:val="{743C37C1-541C-BD45-854D-B418A0D52FF1}"/>
      </w:docPartPr>
      <w:docPartBody>
        <w:p w:rsidR="005F0FAA" w:rsidRDefault="00875ED8" w:rsidP="00875ED8">
          <w:pPr>
            <w:pStyle w:val="E8A66BE02DCBE24785F87D5ED7165048"/>
          </w:pPr>
          <w:r>
            <w:rPr>
              <w:rStyle w:val="PlaceholderText"/>
            </w:rPr>
            <w:t>Click here to enter a date.</w:t>
          </w:r>
        </w:p>
      </w:docPartBody>
    </w:docPart>
    <w:docPart>
      <w:docPartPr>
        <w:name w:val="7462DB3881404E538E3F89117FDD8619"/>
        <w:category>
          <w:name w:val="General"/>
          <w:gallery w:val="placeholder"/>
        </w:category>
        <w:types>
          <w:type w:val="bbPlcHdr"/>
        </w:types>
        <w:behaviors>
          <w:behavior w:val="content"/>
        </w:behaviors>
        <w:guid w:val="{AB5161DA-3082-4989-981B-79BFB1FB5CF6}"/>
      </w:docPartPr>
      <w:docPartBody>
        <w:p w:rsidR="00254F48" w:rsidRDefault="00254F48" w:rsidP="00254F48">
          <w:pPr>
            <w:pStyle w:val="7462DB3881404E538E3F89117FDD8619"/>
          </w:pPr>
          <w:r>
            <w:rPr>
              <w:rStyle w:val="PlaceholderText"/>
            </w:rPr>
            <w:t>Click here to enter a date.</w:t>
          </w:r>
        </w:p>
      </w:docPartBody>
    </w:docPart>
    <w:docPart>
      <w:docPartPr>
        <w:name w:val="FDC64B16B83C4B3D81214D4575DB818C"/>
        <w:category>
          <w:name w:val="General"/>
          <w:gallery w:val="placeholder"/>
        </w:category>
        <w:types>
          <w:type w:val="bbPlcHdr"/>
        </w:types>
        <w:behaviors>
          <w:behavior w:val="content"/>
        </w:behaviors>
        <w:guid w:val="{7BA8D3A7-FFCD-41C6-A3AE-A3DD5492CE83}"/>
      </w:docPartPr>
      <w:docPartBody>
        <w:p w:rsidR="00254F48" w:rsidRDefault="00254F48" w:rsidP="00254F48">
          <w:pPr>
            <w:pStyle w:val="FDC64B16B83C4B3D81214D4575DB818C"/>
          </w:pPr>
          <w:r>
            <w:rPr>
              <w:rStyle w:val="PlaceholderText"/>
            </w:rPr>
            <w:t>Click here to enter a date.</w:t>
          </w:r>
        </w:p>
      </w:docPartBody>
    </w:docPart>
    <w:docPart>
      <w:docPartPr>
        <w:name w:val="DBAD507D451046F2B0FE1344FEB36080"/>
        <w:category>
          <w:name w:val="General"/>
          <w:gallery w:val="placeholder"/>
        </w:category>
        <w:types>
          <w:type w:val="bbPlcHdr"/>
        </w:types>
        <w:behaviors>
          <w:behavior w:val="content"/>
        </w:behaviors>
        <w:guid w:val="{44B7D24D-CAA9-495C-9CFB-7E4CA6E48AD3}"/>
      </w:docPartPr>
      <w:docPartBody>
        <w:p w:rsidR="00254F48" w:rsidRDefault="00254F48" w:rsidP="00254F48">
          <w:pPr>
            <w:pStyle w:val="DBAD507D451046F2B0FE1344FEB3608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D8"/>
    <w:rsid w:val="001662EF"/>
    <w:rsid w:val="00216C5F"/>
    <w:rsid w:val="00254F48"/>
    <w:rsid w:val="003564D7"/>
    <w:rsid w:val="003A77DB"/>
    <w:rsid w:val="005F0FAA"/>
    <w:rsid w:val="00875ED8"/>
    <w:rsid w:val="009D133D"/>
    <w:rsid w:val="00A0382F"/>
    <w:rsid w:val="00A63E27"/>
    <w:rsid w:val="00A97A26"/>
    <w:rsid w:val="00AF69D9"/>
    <w:rsid w:val="00BA7346"/>
    <w:rsid w:val="00C24B8C"/>
    <w:rsid w:val="00C363BD"/>
    <w:rsid w:val="00C56A01"/>
    <w:rsid w:val="00CB0891"/>
    <w:rsid w:val="00F1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4F48"/>
    <w:rPr>
      <w:color w:val="808080"/>
    </w:rPr>
  </w:style>
  <w:style w:type="paragraph" w:customStyle="1" w:styleId="38C17180D981524CA3378EBF377B2B9F">
    <w:name w:val="38C17180D981524CA3378EBF377B2B9F"/>
    <w:rsid w:val="00875ED8"/>
  </w:style>
  <w:style w:type="paragraph" w:customStyle="1" w:styleId="E8A66BE02DCBE24785F87D5ED7165048">
    <w:name w:val="E8A66BE02DCBE24785F87D5ED7165048"/>
    <w:rsid w:val="00875ED8"/>
  </w:style>
  <w:style w:type="paragraph" w:customStyle="1" w:styleId="7462DB3881404E538E3F89117FDD8619">
    <w:name w:val="7462DB3881404E538E3F89117FDD8619"/>
    <w:rsid w:val="00254F48"/>
    <w:pPr>
      <w:spacing w:after="160" w:line="278" w:lineRule="auto"/>
    </w:pPr>
    <w:rPr>
      <w:kern w:val="2"/>
      <w:lang w:val="lt-LT" w:eastAsia="lt-LT"/>
      <w14:ligatures w14:val="standardContextual"/>
    </w:rPr>
  </w:style>
  <w:style w:type="paragraph" w:customStyle="1" w:styleId="FDC64B16B83C4B3D81214D4575DB818C">
    <w:name w:val="FDC64B16B83C4B3D81214D4575DB818C"/>
    <w:rsid w:val="00254F48"/>
    <w:pPr>
      <w:spacing w:after="160" w:line="278" w:lineRule="auto"/>
    </w:pPr>
    <w:rPr>
      <w:kern w:val="2"/>
      <w:lang w:val="lt-LT" w:eastAsia="lt-LT"/>
      <w14:ligatures w14:val="standardContextual"/>
    </w:rPr>
  </w:style>
  <w:style w:type="paragraph" w:customStyle="1" w:styleId="DBAD507D451046F2B0FE1344FEB36080">
    <w:name w:val="DBAD507D451046F2B0FE1344FEB36080"/>
    <w:rsid w:val="00254F48"/>
    <w:pPr>
      <w:spacing w:after="160" w:line="278" w:lineRule="auto"/>
    </w:pPr>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8456</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Vilkiene, Egle {MWJC~VILNIUS}</dc:creator>
  <cp:keywords/>
  <dc:description/>
  <cp:lastModifiedBy>Vilkiene, Egle {MWJC~VILNIUS}</cp:lastModifiedBy>
  <cp:revision>2</cp:revision>
  <dcterms:created xsi:type="dcterms:W3CDTF">2025-10-07T09:10:00Z</dcterms:created>
  <dcterms:modified xsi:type="dcterms:W3CDTF">2025-10-07T09:10:00Z</dcterms:modified>
</cp:coreProperties>
</file>