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Default="005F7602" w:rsidP="002946C7">
      <w:pPr>
        <w:ind w:left="5529"/>
      </w:pPr>
    </w:p>
    <w:p w14:paraId="12FA4B9E" w14:textId="77777777" w:rsidR="001B3C5B" w:rsidRPr="006E448F" w:rsidRDefault="001B3C5B" w:rsidP="001B3C5B">
      <w:pPr>
        <w:ind w:left="6096"/>
      </w:pPr>
      <w:r w:rsidRPr="006E448F">
        <w:t>Forma patvirtinta</w:t>
      </w:r>
    </w:p>
    <w:p w14:paraId="7206970B" w14:textId="70E9BD2E" w:rsidR="004C263A" w:rsidRPr="006E448F" w:rsidRDefault="001B3C5B" w:rsidP="001B3C5B">
      <w:pPr>
        <w:ind w:left="6096"/>
      </w:pPr>
      <w:r w:rsidRPr="006E448F">
        <w:t>Valstybinės vaistų kontrolės tarnybos prie Lietuvos Respublikos sveikatos apsaugos ministerijos viršininko 2021 m</w:t>
      </w:r>
      <w:r w:rsidR="004C263A" w:rsidRPr="006E448F">
        <w:t xml:space="preserve">. lapkričio 12 </w:t>
      </w:r>
      <w:r w:rsidRPr="006E448F">
        <w:t>d. įsakymu Nr.</w:t>
      </w:r>
      <w:r w:rsidR="004C263A" w:rsidRPr="006E448F">
        <w:t xml:space="preserve"> (1.72E)1A-1418</w:t>
      </w:r>
    </w:p>
    <w:p w14:paraId="5B219AA6" w14:textId="520B9136" w:rsidR="001B3C5B" w:rsidRPr="006E448F" w:rsidRDefault="004C263A" w:rsidP="001B3C5B">
      <w:pPr>
        <w:ind w:left="6096"/>
      </w:pPr>
      <w:r w:rsidRPr="006E448F">
        <w:t>(Valstybinės vaistų kontrolės tarnybos prie Lietuvos Respublikos sveikatos apsaugos ministerijos viršininko 2022 m.                         d. įsakymo Nr.                    redakcija)</w:t>
      </w:r>
    </w:p>
    <w:p w14:paraId="3336BD74" w14:textId="77777777" w:rsidR="001B3C5B" w:rsidRPr="006E448F" w:rsidRDefault="001B3C5B" w:rsidP="00FA4169"/>
    <w:p w14:paraId="77AFB67E" w14:textId="16397257" w:rsidR="00613501" w:rsidRPr="006E448F" w:rsidRDefault="002F0E4F" w:rsidP="003B211A">
      <w:pPr>
        <w:jc w:val="center"/>
        <w:rPr>
          <w:b/>
          <w:bCs/>
          <w:caps/>
        </w:rPr>
      </w:pPr>
      <w:r w:rsidRPr="006E448F">
        <w:rPr>
          <w:b/>
        </w:rPr>
        <w:t xml:space="preserve">REKOMENDACIJA DĖL VAISTINIO PREPARATO </w:t>
      </w:r>
      <w:r w:rsidRPr="006E448F">
        <w:rPr>
          <w:b/>
          <w:bCs/>
          <w:caps/>
        </w:rPr>
        <w:t>Lietuvos Respublikos Sveikatos apsaugos ministerijos vaistinių preparatų ir medicinos pagalbos priemonių kompensavimo komisijai</w:t>
      </w:r>
    </w:p>
    <w:p w14:paraId="34E4395D" w14:textId="15FB10DF" w:rsidR="00B13D65" w:rsidRPr="006E448F" w:rsidRDefault="00B13D65" w:rsidP="003B211A">
      <w:pPr>
        <w:jc w:val="center"/>
        <w:rPr>
          <w:b/>
        </w:rPr>
      </w:pPr>
    </w:p>
    <w:p w14:paraId="204A92A9" w14:textId="0FC26D78" w:rsidR="00D66CCF" w:rsidRPr="006E448F" w:rsidRDefault="00D66CCF" w:rsidP="00D66CCF">
      <w:pPr>
        <w:spacing w:line="276" w:lineRule="auto"/>
        <w:jc w:val="center"/>
        <w:rPr>
          <w:color w:val="000000" w:themeColor="text1"/>
        </w:rPr>
      </w:pPr>
      <w:r w:rsidRPr="006E448F">
        <w:rPr>
          <w:b/>
          <w:color w:val="000000" w:themeColor="text1"/>
        </w:rPr>
        <w:t>FRUZAQLA</w:t>
      </w:r>
      <w:r w:rsidRPr="006E448F">
        <w:rPr>
          <w:color w:val="000000" w:themeColor="text1"/>
        </w:rPr>
        <w:t xml:space="preserve"> </w:t>
      </w:r>
      <w:r w:rsidRPr="006E448F">
        <w:rPr>
          <w:b/>
          <w:color w:val="000000" w:themeColor="text1"/>
          <w:lang w:val="en-US"/>
        </w:rPr>
        <w:t>1</w:t>
      </w:r>
      <w:r w:rsidRPr="006E448F">
        <w:rPr>
          <w:b/>
          <w:color w:val="000000" w:themeColor="text1"/>
        </w:rPr>
        <w:t xml:space="preserve"> mg kietosios kapsulės</w:t>
      </w:r>
    </w:p>
    <w:p w14:paraId="08021962" w14:textId="699E9A59" w:rsidR="005C672F" w:rsidRPr="006E448F" w:rsidRDefault="005C672F" w:rsidP="005C672F">
      <w:pPr>
        <w:spacing w:line="276" w:lineRule="auto"/>
        <w:jc w:val="center"/>
        <w:rPr>
          <w:color w:val="000000" w:themeColor="text1"/>
        </w:rPr>
      </w:pPr>
      <w:r w:rsidRPr="006E448F">
        <w:rPr>
          <w:b/>
          <w:color w:val="000000" w:themeColor="text1"/>
        </w:rPr>
        <w:t>FRUZAQLA</w:t>
      </w:r>
      <w:r w:rsidRPr="006E448F">
        <w:rPr>
          <w:color w:val="000000" w:themeColor="text1"/>
        </w:rPr>
        <w:t xml:space="preserve"> </w:t>
      </w:r>
      <w:r w:rsidRPr="006E448F">
        <w:rPr>
          <w:b/>
          <w:color w:val="000000" w:themeColor="text1"/>
        </w:rPr>
        <w:t>5 mg kietosios kapsulės</w:t>
      </w:r>
    </w:p>
    <w:p w14:paraId="67E9270C" w14:textId="77777777" w:rsidR="00D66CCF" w:rsidRPr="006E448F" w:rsidRDefault="00D66CCF" w:rsidP="00D66CCF">
      <w:pPr>
        <w:spacing w:line="276" w:lineRule="auto"/>
        <w:jc w:val="center"/>
        <w:rPr>
          <w:color w:val="000000" w:themeColor="text1"/>
        </w:rPr>
      </w:pPr>
    </w:p>
    <w:p w14:paraId="768BE666" w14:textId="77777777" w:rsidR="00D66CCF" w:rsidRPr="006E448F" w:rsidRDefault="00D66CCF" w:rsidP="00D66CCF">
      <w:pPr>
        <w:spacing w:line="276" w:lineRule="auto"/>
        <w:jc w:val="center"/>
        <w:rPr>
          <w:color w:val="000000" w:themeColor="text1"/>
        </w:rPr>
      </w:pPr>
      <w:r w:rsidRPr="006E448F">
        <w:rPr>
          <w:color w:val="000000" w:themeColor="text1"/>
        </w:rPr>
        <w:t>(</w:t>
      </w:r>
      <w:r w:rsidRPr="006E448F">
        <w:rPr>
          <w:rFonts w:eastAsia="Arial"/>
          <w:color w:val="000000" w:themeColor="text1"/>
        </w:rPr>
        <w:t>Frukvintinibas</w:t>
      </w:r>
      <w:r w:rsidRPr="006E448F">
        <w:rPr>
          <w:color w:val="000000" w:themeColor="text1"/>
        </w:rPr>
        <w:t>)</w:t>
      </w:r>
    </w:p>
    <w:p w14:paraId="7012DE99" w14:textId="77777777" w:rsidR="00D66CCF" w:rsidRPr="006E448F" w:rsidRDefault="00D66CCF" w:rsidP="00D66CCF">
      <w:pPr>
        <w:spacing w:line="276" w:lineRule="auto"/>
        <w:jc w:val="center"/>
      </w:pPr>
    </w:p>
    <w:p w14:paraId="1EF2840D" w14:textId="77777777" w:rsidR="00D66CCF" w:rsidRPr="006E448F" w:rsidRDefault="00D66CCF" w:rsidP="00D66CCF">
      <w:pPr>
        <w:spacing w:line="276" w:lineRule="auto"/>
        <w:jc w:val="center"/>
        <w:rPr>
          <w:b/>
        </w:rPr>
      </w:pPr>
      <w:r w:rsidRPr="006E448F">
        <w:rPr>
          <w:b/>
        </w:rPr>
        <w:t>Paraiškos numeris STV 205</w:t>
      </w:r>
    </w:p>
    <w:p w14:paraId="5BC2EA5D" w14:textId="45A77B4A" w:rsidR="00937907" w:rsidRPr="006E448F" w:rsidRDefault="00937907" w:rsidP="003B211A">
      <w:pPr>
        <w:jc w:val="center"/>
        <w:rPr>
          <w:b/>
        </w:rPr>
      </w:pPr>
    </w:p>
    <w:p w14:paraId="453197C8" w14:textId="77777777" w:rsidR="00D4708D" w:rsidRPr="006E448F" w:rsidRDefault="00D4708D" w:rsidP="003B211A">
      <w:pPr>
        <w:jc w:val="center"/>
        <w:rPr>
          <w:b/>
        </w:rPr>
      </w:pPr>
    </w:p>
    <w:p w14:paraId="78C89D1C" w14:textId="0DEFFAA5" w:rsidR="00D4485B" w:rsidRPr="006E448F" w:rsidRDefault="00B13D65" w:rsidP="00CC09D4">
      <w:pPr>
        <w:pStyle w:val="ListParagraph"/>
        <w:numPr>
          <w:ilvl w:val="0"/>
          <w:numId w:val="12"/>
        </w:numPr>
        <w:tabs>
          <w:tab w:val="left" w:pos="567"/>
        </w:tabs>
        <w:ind w:left="567" w:hanging="567"/>
        <w:rPr>
          <w:b/>
          <w:bCs/>
          <w:caps/>
        </w:rPr>
      </w:pPr>
      <w:r w:rsidRPr="006E448F">
        <w:rPr>
          <w:b/>
          <w:bCs/>
          <w:caps/>
        </w:rPr>
        <w:t>Bendroji dalis</w:t>
      </w:r>
    </w:p>
    <w:p w14:paraId="0F5C170F" w14:textId="77777777" w:rsidR="00704571" w:rsidRPr="006E448F" w:rsidRDefault="00704571" w:rsidP="00704571">
      <w:pPr>
        <w:tabs>
          <w:tab w:val="left" w:pos="567"/>
        </w:tabs>
        <w:rPr>
          <w:b/>
          <w:bCs/>
          <w:caps/>
        </w:rPr>
      </w:pPr>
    </w:p>
    <w:tbl>
      <w:tblPr>
        <w:tblStyle w:val="TableGrid"/>
        <w:tblW w:w="9918" w:type="dxa"/>
        <w:tblLook w:val="04A0" w:firstRow="1" w:lastRow="0" w:firstColumn="1" w:lastColumn="0" w:noHBand="0" w:noVBand="1"/>
      </w:tblPr>
      <w:tblGrid>
        <w:gridCol w:w="705"/>
        <w:gridCol w:w="4117"/>
        <w:gridCol w:w="5096"/>
      </w:tblGrid>
      <w:tr w:rsidR="00D66CCF" w:rsidRPr="006E448F" w14:paraId="0A10C9BB" w14:textId="77777777" w:rsidTr="00E16073">
        <w:trPr>
          <w:trHeight w:val="342"/>
        </w:trPr>
        <w:tc>
          <w:tcPr>
            <w:tcW w:w="705" w:type="dxa"/>
          </w:tcPr>
          <w:p w14:paraId="0F40072E" w14:textId="77777777" w:rsidR="00D66CCF" w:rsidRPr="006E448F" w:rsidRDefault="00D66CCF" w:rsidP="00E16073">
            <w:pPr>
              <w:tabs>
                <w:tab w:val="left" w:pos="284"/>
              </w:tabs>
              <w:spacing w:line="276" w:lineRule="auto"/>
              <w:jc w:val="both"/>
              <w:rPr>
                <w:rFonts w:eastAsia="Arial"/>
                <w:b/>
              </w:rPr>
            </w:pPr>
            <w:r w:rsidRPr="006E448F">
              <w:rPr>
                <w:rFonts w:eastAsia="Arial"/>
                <w:b/>
              </w:rPr>
              <w:t>1.1</w:t>
            </w:r>
          </w:p>
        </w:tc>
        <w:tc>
          <w:tcPr>
            <w:tcW w:w="4117" w:type="dxa"/>
          </w:tcPr>
          <w:p w14:paraId="26603386" w14:textId="77777777" w:rsidR="00D66CCF" w:rsidRPr="006E448F" w:rsidRDefault="00D66CCF" w:rsidP="00E16073">
            <w:pPr>
              <w:tabs>
                <w:tab w:val="left" w:pos="284"/>
              </w:tabs>
              <w:spacing w:line="276" w:lineRule="auto"/>
              <w:jc w:val="both"/>
              <w:rPr>
                <w:b/>
                <w:bCs/>
                <w:lang w:eastAsia="lt-LT"/>
              </w:rPr>
            </w:pPr>
            <w:r w:rsidRPr="006E448F">
              <w:rPr>
                <w:b/>
                <w:bCs/>
                <w:lang w:eastAsia="lt-LT"/>
              </w:rPr>
              <w:t>Pareiškėjas</w:t>
            </w:r>
          </w:p>
        </w:tc>
        <w:tc>
          <w:tcPr>
            <w:tcW w:w="5096" w:type="dxa"/>
          </w:tcPr>
          <w:p w14:paraId="53A55DEA" w14:textId="77777777" w:rsidR="00D66CCF" w:rsidRPr="006E448F" w:rsidRDefault="00D66CCF" w:rsidP="00E16073">
            <w:pPr>
              <w:pStyle w:val="ListParagraph"/>
              <w:spacing w:after="120" w:line="276" w:lineRule="auto"/>
              <w:ind w:left="0"/>
              <w:contextualSpacing w:val="0"/>
              <w:jc w:val="both"/>
              <w:rPr>
                <w:color w:val="FF0000"/>
              </w:rPr>
            </w:pPr>
            <w:r w:rsidRPr="006E448F">
              <w:rPr>
                <w:color w:val="000000" w:themeColor="text1"/>
              </w:rPr>
              <w:t>Arvydas Mockus, UAB „Takeda“</w:t>
            </w:r>
          </w:p>
        </w:tc>
      </w:tr>
      <w:tr w:rsidR="00D66CCF" w:rsidRPr="006E448F" w14:paraId="5E082194" w14:textId="77777777" w:rsidTr="00E16073">
        <w:trPr>
          <w:trHeight w:val="479"/>
        </w:trPr>
        <w:tc>
          <w:tcPr>
            <w:tcW w:w="705" w:type="dxa"/>
          </w:tcPr>
          <w:p w14:paraId="4117B7BE" w14:textId="77777777" w:rsidR="00D66CCF" w:rsidRPr="006E448F" w:rsidRDefault="00D66CCF" w:rsidP="00E16073">
            <w:pPr>
              <w:tabs>
                <w:tab w:val="left" w:pos="284"/>
              </w:tabs>
              <w:spacing w:line="276" w:lineRule="auto"/>
              <w:jc w:val="both"/>
              <w:rPr>
                <w:rFonts w:eastAsia="Arial"/>
                <w:b/>
              </w:rPr>
            </w:pPr>
            <w:r w:rsidRPr="006E448F">
              <w:rPr>
                <w:rFonts w:eastAsia="Arial"/>
                <w:b/>
              </w:rPr>
              <w:t>1.2</w:t>
            </w:r>
          </w:p>
        </w:tc>
        <w:tc>
          <w:tcPr>
            <w:tcW w:w="4117" w:type="dxa"/>
          </w:tcPr>
          <w:p w14:paraId="45F0BF54" w14:textId="77777777" w:rsidR="00D66CCF" w:rsidRPr="006E448F" w:rsidRDefault="00D66CCF" w:rsidP="00E16073">
            <w:pPr>
              <w:tabs>
                <w:tab w:val="left" w:pos="284"/>
              </w:tabs>
              <w:spacing w:line="276" w:lineRule="auto"/>
              <w:jc w:val="both"/>
              <w:rPr>
                <w:b/>
                <w:bCs/>
                <w:color w:val="000000" w:themeColor="text1"/>
                <w:lang w:eastAsia="lt-LT"/>
              </w:rPr>
            </w:pPr>
            <w:r w:rsidRPr="006E448F">
              <w:rPr>
                <w:b/>
                <w:bCs/>
                <w:color w:val="000000" w:themeColor="text1"/>
                <w:lang w:eastAsia="lt-LT"/>
              </w:rPr>
              <w:t>Registracijos data (EVA)</w:t>
            </w:r>
          </w:p>
          <w:p w14:paraId="3FE8C20C" w14:textId="77777777" w:rsidR="00D66CCF" w:rsidRPr="006E448F" w:rsidRDefault="00D66CCF" w:rsidP="00E16073">
            <w:pPr>
              <w:tabs>
                <w:tab w:val="left" w:pos="284"/>
              </w:tabs>
              <w:spacing w:line="276" w:lineRule="auto"/>
              <w:jc w:val="both"/>
              <w:rPr>
                <w:bCs/>
                <w:color w:val="000000" w:themeColor="text1"/>
                <w:lang w:eastAsia="lt-LT"/>
              </w:rPr>
            </w:pPr>
          </w:p>
        </w:tc>
        <w:tc>
          <w:tcPr>
            <w:tcW w:w="5096" w:type="dxa"/>
          </w:tcPr>
          <w:p w14:paraId="5F69199A" w14:textId="77777777" w:rsidR="00D66CCF" w:rsidRPr="006E448F" w:rsidRDefault="00000000" w:rsidP="00E16073">
            <w:pPr>
              <w:pStyle w:val="ListParagraph"/>
              <w:spacing w:after="120" w:line="276" w:lineRule="auto"/>
              <w:ind w:left="0"/>
              <w:contextualSpacing w:val="0"/>
              <w:jc w:val="both"/>
              <w:rPr>
                <w:rStyle w:val="Style2"/>
                <w:color w:val="000000" w:themeColor="text1"/>
                <w:sz w:val="24"/>
              </w:rPr>
            </w:pPr>
            <w:sdt>
              <w:sdtPr>
                <w:rPr>
                  <w:color w:val="000000" w:themeColor="text1"/>
                  <w:sz w:val="32"/>
                </w:rPr>
                <w:alias w:val="Nurodykite konkrečią dieną"/>
                <w:tag w:val="Nurodykite pradžios datą"/>
                <w:id w:val="1534998005"/>
                <w:placeholder>
                  <w:docPart w:val="7A45035241065E4EBF5D1E0C3914DF50"/>
                </w:placeholder>
                <w15:color w:val="FFCC99"/>
                <w:date>
                  <w:dateFormat w:val="yyyy 'm.' MMMM d 'd.'"/>
                  <w:lid w:val="lt-LT"/>
                  <w:storeMappedDataAs w:val="dateTime"/>
                  <w:calendar w:val="gregorian"/>
                </w:date>
              </w:sdtPr>
              <w:sdtContent>
                <w:r w:rsidR="00D66CCF" w:rsidRPr="006E448F">
                  <w:rPr>
                    <w:color w:val="000000" w:themeColor="text1"/>
                  </w:rPr>
                  <w:t>2024 m. birželio 20 d.</w:t>
                </w:r>
              </w:sdtContent>
            </w:sdt>
          </w:p>
        </w:tc>
      </w:tr>
      <w:tr w:rsidR="00D66CCF" w:rsidRPr="006E448F" w14:paraId="61F35036" w14:textId="77777777" w:rsidTr="00E16073">
        <w:trPr>
          <w:trHeight w:val="1328"/>
        </w:trPr>
        <w:tc>
          <w:tcPr>
            <w:tcW w:w="705" w:type="dxa"/>
          </w:tcPr>
          <w:p w14:paraId="78FD1589" w14:textId="77777777" w:rsidR="00D66CCF" w:rsidRPr="006E448F" w:rsidRDefault="00D66CCF" w:rsidP="00E16073">
            <w:pPr>
              <w:tabs>
                <w:tab w:val="left" w:pos="284"/>
              </w:tabs>
              <w:spacing w:line="276" w:lineRule="auto"/>
              <w:jc w:val="both"/>
              <w:rPr>
                <w:rFonts w:eastAsia="Arial"/>
                <w:b/>
              </w:rPr>
            </w:pPr>
            <w:r w:rsidRPr="006E448F">
              <w:rPr>
                <w:rFonts w:eastAsia="Arial"/>
                <w:b/>
              </w:rPr>
              <w:t>1.3</w:t>
            </w:r>
          </w:p>
        </w:tc>
        <w:tc>
          <w:tcPr>
            <w:tcW w:w="4117" w:type="dxa"/>
          </w:tcPr>
          <w:p w14:paraId="203022C1" w14:textId="77777777" w:rsidR="00D66CCF" w:rsidRPr="006E448F" w:rsidRDefault="00D66CCF" w:rsidP="00E16073">
            <w:pPr>
              <w:pStyle w:val="NoSpacing"/>
              <w:spacing w:line="276" w:lineRule="auto"/>
              <w:jc w:val="both"/>
              <w:rPr>
                <w:rFonts w:ascii="Times New Roman" w:hAnsi="Times New Roman"/>
                <w:b/>
                <w:color w:val="000000" w:themeColor="text1"/>
                <w:sz w:val="24"/>
                <w:szCs w:val="24"/>
              </w:rPr>
            </w:pPr>
            <w:r w:rsidRPr="006E448F">
              <w:rPr>
                <w:rFonts w:ascii="Times New Roman" w:hAnsi="Times New Roman"/>
                <w:b/>
                <w:color w:val="000000" w:themeColor="text1"/>
                <w:sz w:val="24"/>
                <w:szCs w:val="24"/>
              </w:rPr>
              <w:t xml:space="preserve">Paraiškos tipas </w:t>
            </w:r>
          </w:p>
          <w:p w14:paraId="71B214DC" w14:textId="77777777" w:rsidR="00D66CCF" w:rsidRPr="006E448F" w:rsidRDefault="00D66CCF" w:rsidP="005C672F">
            <w:pPr>
              <w:spacing w:line="276" w:lineRule="auto"/>
              <w:rPr>
                <w:b/>
                <w:color w:val="000000" w:themeColor="text1"/>
              </w:rPr>
            </w:pPr>
            <w:r w:rsidRPr="006E448F">
              <w:rPr>
                <w:b/>
                <w:color w:val="000000" w:themeColor="text1"/>
              </w:rPr>
              <w:t xml:space="preserve">(pagal </w:t>
            </w:r>
            <w:r w:rsidRPr="006E448F">
              <w:rPr>
                <w:b/>
                <w:color w:val="000000" w:themeColor="text1"/>
                <w:shd w:val="clear" w:color="auto" w:fill="FFFFFF"/>
              </w:rPr>
              <w:t>vaistinio preparato registracijos tipą, įtvirtintą</w:t>
            </w:r>
            <w:r w:rsidRPr="006E448F">
              <w:rPr>
                <w:b/>
                <w:color w:val="000000" w:themeColor="text1"/>
              </w:rPr>
              <w:t xml:space="preserve"> Direktyvos 2001/83/EB straipsniuose)</w:t>
            </w:r>
          </w:p>
          <w:p w14:paraId="57D73874" w14:textId="77777777" w:rsidR="00D66CCF" w:rsidRPr="006E448F" w:rsidRDefault="00D66CCF" w:rsidP="00E16073">
            <w:pPr>
              <w:tabs>
                <w:tab w:val="left" w:pos="284"/>
              </w:tabs>
              <w:spacing w:line="276" w:lineRule="auto"/>
              <w:jc w:val="both"/>
              <w:rPr>
                <w:b/>
                <w:bCs/>
                <w:color w:val="000000" w:themeColor="text1"/>
                <w:lang w:eastAsia="lt-LT"/>
              </w:rPr>
            </w:pPr>
          </w:p>
        </w:tc>
        <w:tc>
          <w:tcPr>
            <w:tcW w:w="5096" w:type="dxa"/>
          </w:tcPr>
          <w:p w14:paraId="769D8FA1" w14:textId="77777777" w:rsidR="00D66CCF" w:rsidRPr="006E448F" w:rsidRDefault="00000000" w:rsidP="00E16073">
            <w:pPr>
              <w:spacing w:line="276" w:lineRule="auto"/>
              <w:jc w:val="both"/>
              <w:rPr>
                <w:color w:val="000000" w:themeColor="text1"/>
              </w:rPr>
            </w:pPr>
            <w:sdt>
              <w:sdtPr>
                <w:rPr>
                  <w:rStyle w:val="Style2"/>
                  <w:color w:val="000000" w:themeColor="text1"/>
                </w:rPr>
                <w:id w:val="-366596377"/>
                <w15:color w:val="FFCC00"/>
                <w14:checkbox>
                  <w14:checked w14:val="1"/>
                  <w14:checkedState w14:val="2612" w14:font="MS Gothic"/>
                  <w14:uncheckedState w14:val="2610" w14:font="MS Gothic"/>
                </w14:checkbox>
              </w:sdtPr>
              <w:sdtContent>
                <w:r w:rsidR="00D66CCF" w:rsidRPr="006E448F">
                  <w:rPr>
                    <w:rStyle w:val="Style2"/>
                    <w:rFonts w:ascii="MS Gothic" w:eastAsia="MS Gothic" w:hAnsi="MS Gothic" w:hint="eastAsia"/>
                    <w:color w:val="000000" w:themeColor="text1"/>
                  </w:rPr>
                  <w:t>☒</w:t>
                </w:r>
              </w:sdtContent>
            </w:sdt>
            <w:r w:rsidR="00D66CCF" w:rsidRPr="006E448F">
              <w:rPr>
                <w:color w:val="000000" w:themeColor="text1"/>
              </w:rPr>
              <w:t xml:space="preserve"> 8.3 str. (pilna byla, pagrįsta savais tyrimais) </w:t>
            </w:r>
          </w:p>
          <w:p w14:paraId="159C1D5C" w14:textId="77777777" w:rsidR="00D66CCF" w:rsidRPr="006E448F" w:rsidRDefault="00000000" w:rsidP="00E16073">
            <w:pPr>
              <w:spacing w:line="276" w:lineRule="auto"/>
              <w:jc w:val="both"/>
              <w:rPr>
                <w:color w:val="000000" w:themeColor="text1"/>
              </w:rPr>
            </w:pPr>
            <w:sdt>
              <w:sdtPr>
                <w:rPr>
                  <w:rStyle w:val="Style2"/>
                  <w:color w:val="000000" w:themeColor="text1"/>
                </w:rPr>
                <w:id w:val="675462298"/>
                <w15:color w:val="FFCC00"/>
                <w14:checkbox>
                  <w14:checked w14:val="0"/>
                  <w14:checkedState w14:val="2612" w14:font="MS Gothic"/>
                  <w14:uncheckedState w14:val="2610" w14:font="MS Gothic"/>
                </w14:checkbox>
              </w:sdtPr>
              <w:sdtContent>
                <w:r w:rsidR="00D66CCF" w:rsidRPr="006E448F">
                  <w:rPr>
                    <w:rStyle w:val="Style2"/>
                    <w:rFonts w:ascii="Segoe UI Symbol" w:eastAsia="MS Gothic" w:hAnsi="Segoe UI Symbol" w:cs="Segoe UI Symbol"/>
                    <w:color w:val="000000" w:themeColor="text1"/>
                  </w:rPr>
                  <w:t>☐</w:t>
                </w:r>
              </w:sdtContent>
            </w:sdt>
            <w:r w:rsidR="00D66CCF" w:rsidRPr="006E448F">
              <w:rPr>
                <w:color w:val="000000" w:themeColor="text1"/>
              </w:rPr>
              <w:t xml:space="preserve"> 10 a str. (pripažintas medicininis vartojimas) </w:t>
            </w:r>
          </w:p>
          <w:p w14:paraId="211F0E4B" w14:textId="77777777" w:rsidR="00D66CCF" w:rsidRPr="006E448F" w:rsidRDefault="00000000" w:rsidP="00E16073">
            <w:pPr>
              <w:spacing w:line="276" w:lineRule="auto"/>
              <w:jc w:val="both"/>
              <w:rPr>
                <w:color w:val="000000" w:themeColor="text1"/>
              </w:rPr>
            </w:pPr>
            <w:sdt>
              <w:sdtPr>
                <w:rPr>
                  <w:rStyle w:val="Style2"/>
                  <w:color w:val="000000" w:themeColor="text1"/>
                </w:rPr>
                <w:id w:val="-1290435890"/>
                <w15:color w:val="FFCC00"/>
                <w14:checkbox>
                  <w14:checked w14:val="0"/>
                  <w14:checkedState w14:val="2612" w14:font="MS Gothic"/>
                  <w14:uncheckedState w14:val="2610" w14:font="MS Gothic"/>
                </w14:checkbox>
              </w:sdtPr>
              <w:sdtContent>
                <w:r w:rsidR="00D66CCF" w:rsidRPr="006E448F">
                  <w:rPr>
                    <w:rStyle w:val="Style2"/>
                    <w:rFonts w:ascii="MS Gothic" w:eastAsia="MS Gothic" w:hAnsi="MS Gothic" w:hint="eastAsia"/>
                    <w:color w:val="000000" w:themeColor="text1"/>
                  </w:rPr>
                  <w:t>☐</w:t>
                </w:r>
              </w:sdtContent>
            </w:sdt>
            <w:r w:rsidR="00D66CCF" w:rsidRPr="006E448F">
              <w:rPr>
                <w:color w:val="000000" w:themeColor="text1"/>
              </w:rPr>
              <w:t xml:space="preserve"> 10.1 str. (generinis)</w:t>
            </w:r>
          </w:p>
          <w:p w14:paraId="3F740BBE" w14:textId="77777777" w:rsidR="00D66CCF" w:rsidRPr="006E448F" w:rsidRDefault="00000000" w:rsidP="00E16073">
            <w:pPr>
              <w:spacing w:line="276" w:lineRule="auto"/>
              <w:jc w:val="both"/>
              <w:rPr>
                <w:rStyle w:val="Style2"/>
                <w:color w:val="000000" w:themeColor="text1"/>
              </w:rPr>
            </w:pPr>
            <w:sdt>
              <w:sdtPr>
                <w:rPr>
                  <w:rStyle w:val="Style2"/>
                  <w:color w:val="000000" w:themeColor="text1"/>
                </w:rPr>
                <w:id w:val="-124545030"/>
                <w15:color w:val="FFCC00"/>
                <w14:checkbox>
                  <w14:checked w14:val="0"/>
                  <w14:checkedState w14:val="2612" w14:font="MS Gothic"/>
                  <w14:uncheckedState w14:val="2610" w14:font="MS Gothic"/>
                </w14:checkbox>
              </w:sdtPr>
              <w:sdtContent>
                <w:r w:rsidR="00D66CCF" w:rsidRPr="006E448F">
                  <w:rPr>
                    <w:rStyle w:val="Style2"/>
                    <w:rFonts w:ascii="Segoe UI Symbol" w:eastAsia="MS Gothic" w:hAnsi="Segoe UI Symbol" w:cs="Segoe UI Symbol"/>
                    <w:color w:val="000000" w:themeColor="text1"/>
                  </w:rPr>
                  <w:t>☐</w:t>
                </w:r>
              </w:sdtContent>
            </w:sdt>
            <w:r w:rsidR="00D66CCF" w:rsidRPr="006E448F">
              <w:rPr>
                <w:color w:val="000000" w:themeColor="text1"/>
              </w:rPr>
              <w:t xml:space="preserve"> 10.3 str. (hibridinis)</w:t>
            </w:r>
          </w:p>
        </w:tc>
      </w:tr>
      <w:tr w:rsidR="00D66CCF" w:rsidRPr="006E448F" w14:paraId="59503B3A" w14:textId="77777777" w:rsidTr="00E16073">
        <w:trPr>
          <w:trHeight w:val="1109"/>
        </w:trPr>
        <w:tc>
          <w:tcPr>
            <w:tcW w:w="705" w:type="dxa"/>
          </w:tcPr>
          <w:p w14:paraId="4E591FCD" w14:textId="77777777" w:rsidR="00D66CCF" w:rsidRPr="006E448F" w:rsidRDefault="00D66CCF" w:rsidP="00E16073">
            <w:pPr>
              <w:tabs>
                <w:tab w:val="left" w:pos="284"/>
              </w:tabs>
              <w:spacing w:line="276" w:lineRule="auto"/>
              <w:jc w:val="both"/>
              <w:rPr>
                <w:rFonts w:eastAsia="Arial"/>
                <w:b/>
              </w:rPr>
            </w:pPr>
            <w:r w:rsidRPr="006E448F">
              <w:rPr>
                <w:rFonts w:eastAsia="Arial"/>
                <w:b/>
              </w:rPr>
              <w:t>1.4</w:t>
            </w:r>
          </w:p>
        </w:tc>
        <w:tc>
          <w:tcPr>
            <w:tcW w:w="4117" w:type="dxa"/>
          </w:tcPr>
          <w:p w14:paraId="4C25E2CC" w14:textId="77777777" w:rsidR="00D66CCF" w:rsidRPr="006E448F" w:rsidRDefault="00D66CCF" w:rsidP="00E16073">
            <w:pPr>
              <w:tabs>
                <w:tab w:val="left" w:pos="284"/>
              </w:tabs>
              <w:spacing w:line="276" w:lineRule="auto"/>
              <w:jc w:val="both"/>
              <w:rPr>
                <w:b/>
                <w:bCs/>
                <w:color w:val="000000" w:themeColor="text1"/>
                <w:lang w:eastAsia="lt-LT"/>
              </w:rPr>
            </w:pPr>
            <w:r w:rsidRPr="006E448F">
              <w:rPr>
                <w:b/>
                <w:bCs/>
                <w:color w:val="000000" w:themeColor="text1"/>
                <w:lang w:eastAsia="lt-LT"/>
              </w:rPr>
              <w:t>Ar vaistinis preparatas įrašytas į Bendrijos retųjų vaistinių preparatų registrą?</w:t>
            </w:r>
          </w:p>
          <w:p w14:paraId="647A9874" w14:textId="77777777" w:rsidR="00D66CCF" w:rsidRPr="006E448F" w:rsidRDefault="00D66CCF" w:rsidP="00E16073">
            <w:pPr>
              <w:tabs>
                <w:tab w:val="left" w:pos="284"/>
              </w:tabs>
              <w:spacing w:line="276" w:lineRule="auto"/>
              <w:jc w:val="both"/>
              <w:rPr>
                <w:b/>
                <w:bCs/>
                <w:color w:val="000000" w:themeColor="text1"/>
                <w:sz w:val="22"/>
                <w:szCs w:val="22"/>
                <w:lang w:eastAsia="lt-LT"/>
              </w:rPr>
            </w:pPr>
          </w:p>
        </w:tc>
        <w:tc>
          <w:tcPr>
            <w:tcW w:w="5096" w:type="dxa"/>
          </w:tcPr>
          <w:p w14:paraId="4E378D01" w14:textId="77777777" w:rsidR="00D66CCF" w:rsidRPr="006E448F" w:rsidRDefault="00000000" w:rsidP="00E16073">
            <w:pPr>
              <w:spacing w:line="276" w:lineRule="auto"/>
              <w:jc w:val="both"/>
              <w:rPr>
                <w:color w:val="000000" w:themeColor="text1"/>
              </w:rPr>
            </w:pPr>
            <w:sdt>
              <w:sdtPr>
                <w:rPr>
                  <w:rStyle w:val="Style2"/>
                  <w:color w:val="000000" w:themeColor="text1"/>
                </w:rPr>
                <w:id w:val="1059362503"/>
                <w15:color w:val="FFCC00"/>
                <w14:checkbox>
                  <w14:checked w14:val="0"/>
                  <w14:checkedState w14:val="2612" w14:font="MS Gothic"/>
                  <w14:uncheckedState w14:val="2610" w14:font="MS Gothic"/>
                </w14:checkbox>
              </w:sdtPr>
              <w:sdtContent>
                <w:r w:rsidR="00D66CCF" w:rsidRPr="006E448F">
                  <w:rPr>
                    <w:rStyle w:val="Style2"/>
                    <w:rFonts w:ascii="Segoe UI Symbol" w:eastAsia="MS Gothic" w:hAnsi="Segoe UI Symbol" w:cs="Segoe UI Symbol"/>
                    <w:color w:val="000000" w:themeColor="text1"/>
                  </w:rPr>
                  <w:t>☐</w:t>
                </w:r>
              </w:sdtContent>
            </w:sdt>
            <w:r w:rsidR="00D66CCF" w:rsidRPr="006E448F">
              <w:rPr>
                <w:color w:val="000000" w:themeColor="text1"/>
              </w:rPr>
              <w:t xml:space="preserve"> Taip</w:t>
            </w:r>
          </w:p>
          <w:p w14:paraId="44294AA9" w14:textId="77777777" w:rsidR="00D66CCF" w:rsidRPr="006E448F" w:rsidRDefault="00000000" w:rsidP="00E16073">
            <w:pPr>
              <w:spacing w:line="276" w:lineRule="auto"/>
              <w:jc w:val="both"/>
              <w:rPr>
                <w:color w:val="000000" w:themeColor="text1"/>
              </w:rPr>
            </w:pPr>
            <w:sdt>
              <w:sdtPr>
                <w:rPr>
                  <w:rStyle w:val="Style2"/>
                  <w:color w:val="000000" w:themeColor="text1"/>
                </w:rPr>
                <w:id w:val="-1040577734"/>
                <w15:color w:val="FFCC00"/>
                <w14:checkbox>
                  <w14:checked w14:val="1"/>
                  <w14:checkedState w14:val="2612" w14:font="MS Gothic"/>
                  <w14:uncheckedState w14:val="2610" w14:font="MS Gothic"/>
                </w14:checkbox>
              </w:sdtPr>
              <w:sdtContent>
                <w:r w:rsidR="00D66CCF" w:rsidRPr="006E448F">
                  <w:rPr>
                    <w:rStyle w:val="Style2"/>
                    <w:rFonts w:ascii="MS Gothic" w:eastAsia="MS Gothic" w:hAnsi="MS Gothic" w:hint="eastAsia"/>
                    <w:color w:val="000000" w:themeColor="text1"/>
                  </w:rPr>
                  <w:t>☒</w:t>
                </w:r>
              </w:sdtContent>
            </w:sdt>
            <w:r w:rsidR="00D66CCF" w:rsidRPr="006E448F">
              <w:rPr>
                <w:color w:val="000000" w:themeColor="text1"/>
              </w:rPr>
              <w:t xml:space="preserve"> Ne</w:t>
            </w:r>
          </w:p>
          <w:p w14:paraId="7F22136D" w14:textId="77777777" w:rsidR="00D66CCF" w:rsidRPr="006E448F" w:rsidRDefault="00000000" w:rsidP="00E16073">
            <w:pPr>
              <w:spacing w:line="276" w:lineRule="auto"/>
              <w:jc w:val="both"/>
              <w:rPr>
                <w:rFonts w:eastAsia="Arial"/>
                <w:b/>
                <w:color w:val="000000" w:themeColor="text1"/>
              </w:rPr>
            </w:pPr>
            <w:sdt>
              <w:sdtPr>
                <w:rPr>
                  <w:color w:val="000000" w:themeColor="text1"/>
                </w:rPr>
                <w:alias w:val="Nurodykite konkrečią dieną"/>
                <w:tag w:val="Nurodykite pradžios datą"/>
                <w:id w:val="5021172"/>
                <w:placeholder>
                  <w:docPart w:val="5E632FB43076C44B9F17026BD83E6F8E"/>
                </w:placeholder>
                <w:showingPlcHdr/>
                <w15:color w:val="FFCC99"/>
                <w:date w:fullDate="2022-05-18T00:00:00Z">
                  <w:dateFormat w:val="yyyy 'm.' MMMM d 'd.'"/>
                  <w:lid w:val="lt-LT"/>
                  <w:storeMappedDataAs w:val="dateTime"/>
                  <w:calendar w:val="gregorian"/>
                </w:date>
              </w:sdtPr>
              <w:sdtContent>
                <w:r w:rsidR="00D66CCF" w:rsidRPr="006E448F">
                  <w:rPr>
                    <w:rStyle w:val="PlaceholderText"/>
                    <w:color w:val="000000" w:themeColor="text1"/>
                  </w:rPr>
                  <w:t>Click here to enter a date.</w:t>
                </w:r>
              </w:sdtContent>
            </w:sdt>
          </w:p>
        </w:tc>
      </w:tr>
      <w:tr w:rsidR="00D66CCF" w:rsidRPr="006E448F" w14:paraId="78C4A37C" w14:textId="77777777" w:rsidTr="00E16073">
        <w:trPr>
          <w:trHeight w:val="958"/>
        </w:trPr>
        <w:tc>
          <w:tcPr>
            <w:tcW w:w="705" w:type="dxa"/>
            <w:tcBorders>
              <w:bottom w:val="single" w:sz="4" w:space="0" w:color="auto"/>
            </w:tcBorders>
          </w:tcPr>
          <w:p w14:paraId="75FCF8DB" w14:textId="77777777" w:rsidR="00D66CCF" w:rsidRPr="006E448F" w:rsidRDefault="00D66CCF" w:rsidP="00E16073">
            <w:pPr>
              <w:tabs>
                <w:tab w:val="left" w:pos="284"/>
              </w:tabs>
              <w:spacing w:line="276" w:lineRule="auto"/>
              <w:jc w:val="both"/>
              <w:rPr>
                <w:rFonts w:eastAsia="Arial"/>
                <w:b/>
              </w:rPr>
            </w:pPr>
            <w:r w:rsidRPr="006E448F">
              <w:rPr>
                <w:rFonts w:eastAsia="Arial"/>
                <w:b/>
              </w:rPr>
              <w:t>1.5</w:t>
            </w:r>
          </w:p>
        </w:tc>
        <w:tc>
          <w:tcPr>
            <w:tcW w:w="4117" w:type="dxa"/>
            <w:tcBorders>
              <w:bottom w:val="single" w:sz="4" w:space="0" w:color="auto"/>
            </w:tcBorders>
          </w:tcPr>
          <w:p w14:paraId="04E3F322" w14:textId="77777777" w:rsidR="00D66CCF" w:rsidRPr="006E448F" w:rsidRDefault="00D66CCF" w:rsidP="00E16073">
            <w:pPr>
              <w:tabs>
                <w:tab w:val="left" w:pos="284"/>
              </w:tabs>
              <w:spacing w:line="276" w:lineRule="auto"/>
              <w:jc w:val="both"/>
              <w:rPr>
                <w:b/>
                <w:bCs/>
                <w:color w:val="000000" w:themeColor="text1"/>
                <w:lang w:eastAsia="lt-LT"/>
              </w:rPr>
            </w:pPr>
            <w:r w:rsidRPr="006E448F">
              <w:rPr>
                <w:b/>
                <w:bCs/>
                <w:color w:val="000000" w:themeColor="text1"/>
                <w:lang w:eastAsia="lt-LT"/>
              </w:rPr>
              <w:t>Pareiškėjo teikiama (-os) kompensuoti preparato indikacija (-os)</w:t>
            </w:r>
          </w:p>
          <w:p w14:paraId="37F2FF59" w14:textId="77777777" w:rsidR="00D66CCF" w:rsidRPr="006E448F" w:rsidRDefault="00D66CCF" w:rsidP="00E16073">
            <w:pPr>
              <w:tabs>
                <w:tab w:val="left" w:pos="284"/>
              </w:tabs>
              <w:spacing w:line="276" w:lineRule="auto"/>
              <w:jc w:val="both"/>
              <w:rPr>
                <w:b/>
                <w:bCs/>
                <w:color w:val="000000" w:themeColor="text1"/>
                <w:lang w:eastAsia="lt-LT"/>
              </w:rPr>
            </w:pPr>
          </w:p>
          <w:p w14:paraId="003AC251" w14:textId="77777777" w:rsidR="00D66CCF" w:rsidRPr="006E448F" w:rsidRDefault="00D66CCF" w:rsidP="00E16073">
            <w:pPr>
              <w:tabs>
                <w:tab w:val="left" w:pos="284"/>
              </w:tabs>
              <w:spacing w:line="276" w:lineRule="auto"/>
              <w:jc w:val="both"/>
              <w:rPr>
                <w:b/>
                <w:bCs/>
                <w:color w:val="000000" w:themeColor="text1"/>
                <w:lang w:eastAsia="lt-LT"/>
              </w:rPr>
            </w:pPr>
          </w:p>
          <w:p w14:paraId="693D4DC1" w14:textId="77777777" w:rsidR="00D66CCF" w:rsidRPr="006E448F" w:rsidRDefault="00D66CCF" w:rsidP="00E16073">
            <w:pPr>
              <w:tabs>
                <w:tab w:val="left" w:pos="284"/>
              </w:tabs>
              <w:spacing w:line="276" w:lineRule="auto"/>
              <w:jc w:val="both"/>
              <w:rPr>
                <w:b/>
                <w:bCs/>
                <w:color w:val="000000" w:themeColor="text1"/>
                <w:lang w:eastAsia="lt-LT"/>
              </w:rPr>
            </w:pPr>
          </w:p>
          <w:p w14:paraId="6FDCC505" w14:textId="77777777" w:rsidR="00D66CCF" w:rsidRPr="006E448F" w:rsidRDefault="00D66CCF" w:rsidP="00E16073">
            <w:pPr>
              <w:tabs>
                <w:tab w:val="left" w:pos="284"/>
              </w:tabs>
              <w:spacing w:line="276" w:lineRule="auto"/>
              <w:jc w:val="both"/>
              <w:rPr>
                <w:b/>
                <w:bCs/>
                <w:color w:val="000000" w:themeColor="text1"/>
                <w:lang w:eastAsia="lt-LT"/>
              </w:rPr>
            </w:pPr>
          </w:p>
          <w:p w14:paraId="037F4C3A" w14:textId="77777777" w:rsidR="00D66CCF" w:rsidRPr="006E448F" w:rsidRDefault="00D66CCF" w:rsidP="00E16073">
            <w:pPr>
              <w:tabs>
                <w:tab w:val="left" w:pos="284"/>
              </w:tabs>
              <w:spacing w:line="276" w:lineRule="auto"/>
              <w:jc w:val="both"/>
              <w:rPr>
                <w:b/>
                <w:bCs/>
                <w:color w:val="000000" w:themeColor="text1"/>
                <w:lang w:eastAsia="lt-LT"/>
              </w:rPr>
            </w:pPr>
          </w:p>
          <w:p w14:paraId="459C06D7" w14:textId="77777777" w:rsidR="00D66CCF" w:rsidRPr="006E448F" w:rsidRDefault="00D66CCF" w:rsidP="00E16073">
            <w:pPr>
              <w:tabs>
                <w:tab w:val="left" w:pos="284"/>
              </w:tabs>
              <w:spacing w:line="276" w:lineRule="auto"/>
              <w:jc w:val="both"/>
              <w:rPr>
                <w:b/>
                <w:bCs/>
                <w:color w:val="000000" w:themeColor="text1"/>
                <w:lang w:eastAsia="lt-LT"/>
              </w:rPr>
            </w:pPr>
          </w:p>
          <w:p w14:paraId="0DBF41AC" w14:textId="77777777" w:rsidR="00D66CCF" w:rsidRPr="006E448F" w:rsidRDefault="00D66CCF" w:rsidP="00E16073">
            <w:pPr>
              <w:tabs>
                <w:tab w:val="left" w:pos="284"/>
              </w:tabs>
              <w:spacing w:line="276" w:lineRule="auto"/>
              <w:jc w:val="both"/>
              <w:rPr>
                <w:b/>
                <w:bCs/>
                <w:color w:val="000000" w:themeColor="text1"/>
                <w:lang w:eastAsia="lt-LT"/>
              </w:rPr>
            </w:pPr>
          </w:p>
          <w:p w14:paraId="7D47159C" w14:textId="77777777" w:rsidR="00D66CCF" w:rsidRPr="006E448F" w:rsidRDefault="00D66CCF" w:rsidP="00E16073">
            <w:pPr>
              <w:tabs>
                <w:tab w:val="left" w:pos="284"/>
              </w:tabs>
              <w:spacing w:line="276" w:lineRule="auto"/>
              <w:jc w:val="both"/>
              <w:rPr>
                <w:b/>
                <w:bCs/>
                <w:color w:val="000000" w:themeColor="text1"/>
                <w:lang w:eastAsia="lt-LT"/>
              </w:rPr>
            </w:pPr>
          </w:p>
          <w:p w14:paraId="2B14EF5E" w14:textId="77777777" w:rsidR="00D66CCF" w:rsidRPr="006E448F" w:rsidRDefault="00D66CCF" w:rsidP="00E16073">
            <w:pPr>
              <w:tabs>
                <w:tab w:val="left" w:pos="284"/>
              </w:tabs>
              <w:spacing w:line="276" w:lineRule="auto"/>
              <w:jc w:val="both"/>
              <w:rPr>
                <w:b/>
                <w:bCs/>
                <w:color w:val="000000" w:themeColor="text1"/>
                <w:lang w:eastAsia="lt-LT"/>
              </w:rPr>
            </w:pPr>
          </w:p>
          <w:p w14:paraId="5D2FBFFD" w14:textId="77777777" w:rsidR="00D66CCF" w:rsidRPr="006E448F" w:rsidRDefault="00D66CCF" w:rsidP="00E16073">
            <w:pPr>
              <w:tabs>
                <w:tab w:val="left" w:pos="284"/>
              </w:tabs>
              <w:spacing w:line="276" w:lineRule="auto"/>
              <w:jc w:val="both"/>
              <w:rPr>
                <w:b/>
                <w:bCs/>
                <w:color w:val="000000" w:themeColor="text1"/>
                <w:lang w:eastAsia="lt-LT"/>
              </w:rPr>
            </w:pPr>
          </w:p>
          <w:p w14:paraId="250A71D4" w14:textId="77777777" w:rsidR="005C672F" w:rsidRPr="006E448F" w:rsidRDefault="005C672F" w:rsidP="00E16073">
            <w:pPr>
              <w:tabs>
                <w:tab w:val="left" w:pos="284"/>
              </w:tabs>
              <w:spacing w:line="276" w:lineRule="auto"/>
              <w:jc w:val="both"/>
              <w:rPr>
                <w:b/>
                <w:bCs/>
                <w:color w:val="000000" w:themeColor="text1"/>
                <w:lang w:eastAsia="lt-LT"/>
              </w:rPr>
            </w:pPr>
          </w:p>
          <w:p w14:paraId="2F469278" w14:textId="77777777" w:rsidR="005C672F" w:rsidRPr="006E448F" w:rsidRDefault="005C672F" w:rsidP="00E16073">
            <w:pPr>
              <w:tabs>
                <w:tab w:val="left" w:pos="284"/>
              </w:tabs>
              <w:spacing w:line="276" w:lineRule="auto"/>
              <w:jc w:val="both"/>
              <w:rPr>
                <w:b/>
                <w:bCs/>
                <w:color w:val="000000" w:themeColor="text1"/>
                <w:lang w:eastAsia="lt-LT"/>
              </w:rPr>
            </w:pPr>
          </w:p>
          <w:p w14:paraId="0BE53AC2" w14:textId="77777777" w:rsidR="00D66CCF" w:rsidRPr="006E448F" w:rsidRDefault="00D66CCF" w:rsidP="00E16073">
            <w:pPr>
              <w:tabs>
                <w:tab w:val="left" w:pos="284"/>
              </w:tabs>
              <w:spacing w:line="276" w:lineRule="auto"/>
              <w:jc w:val="both"/>
              <w:rPr>
                <w:b/>
                <w:bCs/>
                <w:color w:val="000000" w:themeColor="text1"/>
                <w:lang w:eastAsia="lt-LT"/>
              </w:rPr>
            </w:pPr>
            <w:r w:rsidRPr="006E448F">
              <w:rPr>
                <w:b/>
                <w:bCs/>
                <w:color w:val="000000" w:themeColor="text1"/>
                <w:lang w:eastAsia="lt-LT"/>
              </w:rPr>
              <w:t xml:space="preserve">Kodas pagal TLK-10 AM  </w:t>
            </w:r>
          </w:p>
        </w:tc>
        <w:tc>
          <w:tcPr>
            <w:tcW w:w="5096" w:type="dxa"/>
            <w:tcBorders>
              <w:bottom w:val="single" w:sz="4" w:space="0" w:color="auto"/>
            </w:tcBorders>
          </w:tcPr>
          <w:p w14:paraId="740BE2E4" w14:textId="77777777" w:rsidR="00D66CCF" w:rsidRPr="006E448F" w:rsidRDefault="00D66CCF" w:rsidP="00E16073">
            <w:pPr>
              <w:spacing w:line="276" w:lineRule="auto"/>
              <w:rPr>
                <w:color w:val="000000" w:themeColor="text1"/>
              </w:rPr>
            </w:pPr>
            <w:r w:rsidRPr="006E448F">
              <w:rPr>
                <w:color w:val="000000" w:themeColor="text1"/>
              </w:rPr>
              <w:lastRenderedPageBreak/>
              <w:t xml:space="preserve">FRUZAQLA monoterapija skirta suaugusiems pacientams, sergantiems metastaziniu storosios (gaubtinės) ir tiesiosios žarnos vėžiu (angl. </w:t>
            </w:r>
            <w:r w:rsidRPr="006E448F">
              <w:rPr>
                <w:i/>
                <w:iCs/>
                <w:color w:val="000000" w:themeColor="text1"/>
              </w:rPr>
              <w:t>metastatic colorectal cancer</w:t>
            </w:r>
            <w:r w:rsidRPr="006E448F">
              <w:rPr>
                <w:color w:val="000000" w:themeColor="text1"/>
              </w:rPr>
              <w:t xml:space="preserve">, mCRC), kurie anksčiau buvo gydyti esamais standartiniais gydymo būdais, įskaitant chemoterapiją fluoropirimidino, oksaliplatinos ir irinotekano </w:t>
            </w:r>
            <w:r w:rsidRPr="006E448F">
              <w:rPr>
                <w:color w:val="000000" w:themeColor="text1"/>
              </w:rPr>
              <w:lastRenderedPageBreak/>
              <w:t xml:space="preserve">pagrindu, kraujagyslių endotelio augimo faktoriaus inhibitorius (angl. </w:t>
            </w:r>
            <w:r w:rsidRPr="006E448F">
              <w:rPr>
                <w:i/>
                <w:iCs/>
                <w:color w:val="000000" w:themeColor="text1"/>
              </w:rPr>
              <w:t>anti VEGF</w:t>
            </w:r>
            <w:r w:rsidRPr="006E448F">
              <w:rPr>
                <w:color w:val="000000" w:themeColor="text1"/>
              </w:rPr>
              <w:t xml:space="preserve">) ir epidermio augimo faktoriaus receptorių inhibitorius (angl. </w:t>
            </w:r>
            <w:r w:rsidRPr="006E448F">
              <w:rPr>
                <w:i/>
                <w:iCs/>
                <w:color w:val="000000" w:themeColor="text1"/>
              </w:rPr>
              <w:t>anti-EGFR</w:t>
            </w:r>
            <w:r w:rsidRPr="006E448F">
              <w:rPr>
                <w:color w:val="000000" w:themeColor="text1"/>
              </w:rPr>
              <w:t>), ir kurių liga progresavo gydant trifluridinu-tipiracilu arba regorafenibu arba kurie netoleruoja bet kurio iš pastarųjų gydymo būdų.</w:t>
            </w:r>
          </w:p>
          <w:p w14:paraId="070C2A6F" w14:textId="77777777" w:rsidR="00D66CCF" w:rsidRPr="006E448F" w:rsidRDefault="00D66CCF" w:rsidP="00E16073">
            <w:pPr>
              <w:pStyle w:val="ListParagraph"/>
              <w:spacing w:after="120" w:line="276" w:lineRule="auto"/>
              <w:ind w:left="0"/>
              <w:contextualSpacing w:val="0"/>
              <w:jc w:val="both"/>
              <w:rPr>
                <w:color w:val="000000" w:themeColor="text1"/>
              </w:rPr>
            </w:pPr>
            <w:r w:rsidRPr="006E448F">
              <w:rPr>
                <w:color w:val="000000" w:themeColor="text1"/>
              </w:rPr>
              <w:t>TLK-10 AM kodas - C18–C20</w:t>
            </w:r>
            <w:r w:rsidRPr="006E448F">
              <w:rPr>
                <w:color w:val="000000" w:themeColor="text1"/>
                <w:lang w:val="en-US"/>
              </w:rPr>
              <w:t>.</w:t>
            </w:r>
          </w:p>
        </w:tc>
      </w:tr>
      <w:tr w:rsidR="00D66CCF" w:rsidRPr="006E448F" w14:paraId="740AF59F" w14:textId="77777777" w:rsidTr="00E16073">
        <w:trPr>
          <w:trHeight w:val="479"/>
        </w:trPr>
        <w:tc>
          <w:tcPr>
            <w:tcW w:w="705" w:type="dxa"/>
            <w:tcBorders>
              <w:top w:val="single" w:sz="4" w:space="0" w:color="auto"/>
              <w:left w:val="single" w:sz="4" w:space="0" w:color="auto"/>
              <w:bottom w:val="single" w:sz="4" w:space="0" w:color="auto"/>
              <w:right w:val="single" w:sz="4" w:space="0" w:color="auto"/>
            </w:tcBorders>
          </w:tcPr>
          <w:p w14:paraId="2AC0D0F9" w14:textId="77777777" w:rsidR="00D66CCF" w:rsidRPr="006E448F" w:rsidRDefault="00D66CCF" w:rsidP="00E16073">
            <w:pPr>
              <w:tabs>
                <w:tab w:val="left" w:pos="284"/>
              </w:tabs>
              <w:spacing w:line="276" w:lineRule="auto"/>
              <w:jc w:val="both"/>
              <w:rPr>
                <w:rFonts w:eastAsia="Arial"/>
                <w:b/>
              </w:rPr>
            </w:pPr>
            <w:r w:rsidRPr="006E448F">
              <w:rPr>
                <w:rFonts w:eastAsia="Arial"/>
                <w:b/>
              </w:rPr>
              <w:lastRenderedPageBreak/>
              <w:t>1.6</w:t>
            </w:r>
          </w:p>
        </w:tc>
        <w:tc>
          <w:tcPr>
            <w:tcW w:w="4117" w:type="dxa"/>
            <w:tcBorders>
              <w:top w:val="single" w:sz="4" w:space="0" w:color="auto"/>
              <w:left w:val="single" w:sz="4" w:space="0" w:color="auto"/>
              <w:bottom w:val="single" w:sz="4" w:space="0" w:color="auto"/>
              <w:right w:val="single" w:sz="4" w:space="0" w:color="auto"/>
            </w:tcBorders>
          </w:tcPr>
          <w:p w14:paraId="421D9CC6" w14:textId="77777777" w:rsidR="00D66CCF" w:rsidRPr="006E448F" w:rsidRDefault="00D66CCF" w:rsidP="00E16073">
            <w:pPr>
              <w:tabs>
                <w:tab w:val="left" w:pos="284"/>
              </w:tabs>
              <w:spacing w:line="276" w:lineRule="auto"/>
              <w:jc w:val="both"/>
              <w:rPr>
                <w:bCs/>
                <w:color w:val="000000" w:themeColor="text1"/>
                <w:u w:val="single"/>
                <w:lang w:eastAsia="lt-LT"/>
              </w:rPr>
            </w:pPr>
            <w:r w:rsidRPr="006E448F">
              <w:rPr>
                <w:b/>
                <w:bCs/>
                <w:color w:val="000000" w:themeColor="text1"/>
                <w:lang w:eastAsia="lt-LT"/>
              </w:rPr>
              <w:t xml:space="preserve">Pareiškėjo teikiamos skyrimo sąlygos </w:t>
            </w:r>
          </w:p>
        </w:tc>
        <w:tc>
          <w:tcPr>
            <w:tcW w:w="5096" w:type="dxa"/>
            <w:tcBorders>
              <w:top w:val="single" w:sz="4" w:space="0" w:color="auto"/>
              <w:left w:val="single" w:sz="4" w:space="0" w:color="auto"/>
              <w:bottom w:val="single" w:sz="4" w:space="0" w:color="auto"/>
              <w:right w:val="single" w:sz="4" w:space="0" w:color="auto"/>
            </w:tcBorders>
          </w:tcPr>
          <w:p w14:paraId="05143A3D" w14:textId="77777777" w:rsidR="00D66CCF" w:rsidRPr="006E448F" w:rsidRDefault="00D66CCF" w:rsidP="00E16073">
            <w:pPr>
              <w:pStyle w:val="ListParagraph"/>
              <w:spacing w:after="120" w:line="276" w:lineRule="auto"/>
              <w:ind w:left="0"/>
              <w:contextualSpacing w:val="0"/>
              <w:jc w:val="both"/>
              <w:rPr>
                <w:color w:val="000000" w:themeColor="text1"/>
              </w:rPr>
            </w:pPr>
            <w:r w:rsidRPr="006E448F">
              <w:rPr>
                <w:color w:val="000000" w:themeColor="text1"/>
              </w:rPr>
              <w:t>Neteikiamos</w:t>
            </w:r>
          </w:p>
        </w:tc>
      </w:tr>
      <w:tr w:rsidR="00D66CCF" w:rsidRPr="006E448F" w14:paraId="3EBDC5F0" w14:textId="77777777" w:rsidTr="00E16073">
        <w:trPr>
          <w:trHeight w:val="479"/>
        </w:trPr>
        <w:tc>
          <w:tcPr>
            <w:tcW w:w="705" w:type="dxa"/>
            <w:tcBorders>
              <w:top w:val="single" w:sz="4" w:space="0" w:color="auto"/>
              <w:left w:val="single" w:sz="4" w:space="0" w:color="auto"/>
              <w:bottom w:val="single" w:sz="4" w:space="0" w:color="auto"/>
              <w:right w:val="single" w:sz="4" w:space="0" w:color="auto"/>
            </w:tcBorders>
          </w:tcPr>
          <w:p w14:paraId="637DCF31" w14:textId="77777777" w:rsidR="00D66CCF" w:rsidRPr="006E448F" w:rsidRDefault="00D66CCF" w:rsidP="00E16073">
            <w:pPr>
              <w:tabs>
                <w:tab w:val="left" w:pos="284"/>
              </w:tabs>
              <w:spacing w:line="276" w:lineRule="auto"/>
              <w:jc w:val="both"/>
              <w:rPr>
                <w:rFonts w:eastAsia="Arial"/>
                <w:b/>
              </w:rPr>
            </w:pPr>
            <w:r w:rsidRPr="006E448F">
              <w:rPr>
                <w:rFonts w:eastAsia="Arial"/>
                <w:b/>
              </w:rPr>
              <w:t>1.7</w:t>
            </w:r>
          </w:p>
        </w:tc>
        <w:tc>
          <w:tcPr>
            <w:tcW w:w="4117" w:type="dxa"/>
            <w:tcBorders>
              <w:top w:val="single" w:sz="4" w:space="0" w:color="auto"/>
              <w:left w:val="single" w:sz="4" w:space="0" w:color="auto"/>
              <w:bottom w:val="single" w:sz="4" w:space="0" w:color="auto"/>
              <w:right w:val="single" w:sz="4" w:space="0" w:color="auto"/>
            </w:tcBorders>
          </w:tcPr>
          <w:p w14:paraId="6C82835C" w14:textId="77777777" w:rsidR="00D66CCF" w:rsidRPr="006E448F" w:rsidRDefault="00D66CCF" w:rsidP="00E16073">
            <w:pPr>
              <w:tabs>
                <w:tab w:val="left" w:pos="284"/>
              </w:tabs>
              <w:spacing w:line="276" w:lineRule="auto"/>
              <w:jc w:val="both"/>
              <w:rPr>
                <w:b/>
                <w:bCs/>
                <w:color w:val="000000" w:themeColor="text1"/>
                <w:lang w:eastAsia="lt-LT"/>
              </w:rPr>
            </w:pPr>
            <w:r w:rsidRPr="006E448F">
              <w:rPr>
                <w:b/>
                <w:color w:val="000000" w:themeColor="text1"/>
              </w:rPr>
              <w:t>STV paraiškos pobūdis</w:t>
            </w:r>
          </w:p>
        </w:tc>
        <w:tc>
          <w:tcPr>
            <w:tcW w:w="5096" w:type="dxa"/>
            <w:tcBorders>
              <w:top w:val="single" w:sz="4" w:space="0" w:color="auto"/>
              <w:left w:val="single" w:sz="4" w:space="0" w:color="auto"/>
              <w:bottom w:val="single" w:sz="4" w:space="0" w:color="auto"/>
              <w:right w:val="single" w:sz="4" w:space="0" w:color="auto"/>
            </w:tcBorders>
          </w:tcPr>
          <w:p w14:paraId="65F64439" w14:textId="77777777" w:rsidR="00D66CCF" w:rsidRPr="006E448F" w:rsidRDefault="00000000" w:rsidP="00E16073">
            <w:pPr>
              <w:spacing w:line="276" w:lineRule="auto"/>
              <w:jc w:val="both"/>
              <w:rPr>
                <w:color w:val="000000" w:themeColor="text1"/>
              </w:rPr>
            </w:pPr>
            <w:sdt>
              <w:sdtPr>
                <w:rPr>
                  <w:rStyle w:val="Style2"/>
                  <w:color w:val="000000" w:themeColor="text1"/>
                </w:rPr>
                <w:id w:val="-115833747"/>
                <w15:color w:val="FFCC00"/>
                <w14:checkbox>
                  <w14:checked w14:val="1"/>
                  <w14:checkedState w14:val="2612" w14:font="MS Gothic"/>
                  <w14:uncheckedState w14:val="2610" w14:font="MS Gothic"/>
                </w14:checkbox>
              </w:sdtPr>
              <w:sdtContent>
                <w:r w:rsidR="00D66CCF" w:rsidRPr="006E448F">
                  <w:rPr>
                    <w:rStyle w:val="Style2"/>
                    <w:rFonts w:ascii="MS Gothic" w:eastAsia="MS Gothic" w:hAnsi="MS Gothic" w:hint="eastAsia"/>
                    <w:color w:val="000000" w:themeColor="text1"/>
                  </w:rPr>
                  <w:t>☒</w:t>
                </w:r>
              </w:sdtContent>
            </w:sdt>
            <w:r w:rsidR="00D66CCF" w:rsidRPr="006E448F">
              <w:rPr>
                <w:color w:val="000000" w:themeColor="text1"/>
              </w:rPr>
              <w:t xml:space="preserve"> Pilna paraiška</w:t>
            </w:r>
          </w:p>
          <w:p w14:paraId="33A43CD0" w14:textId="77777777" w:rsidR="00D66CCF" w:rsidRPr="006E448F" w:rsidRDefault="00000000" w:rsidP="00E16073">
            <w:pPr>
              <w:spacing w:line="276" w:lineRule="auto"/>
              <w:jc w:val="both"/>
              <w:rPr>
                <w:rStyle w:val="Style2"/>
                <w:color w:val="000000" w:themeColor="text1"/>
              </w:rPr>
            </w:pPr>
            <w:sdt>
              <w:sdtPr>
                <w:rPr>
                  <w:rStyle w:val="Style2"/>
                  <w:color w:val="000000" w:themeColor="text1"/>
                </w:rPr>
                <w:id w:val="-1480060715"/>
                <w15:color w:val="FFCC00"/>
                <w14:checkbox>
                  <w14:checked w14:val="0"/>
                  <w14:checkedState w14:val="2612" w14:font="MS Gothic"/>
                  <w14:uncheckedState w14:val="2610" w14:font="MS Gothic"/>
                </w14:checkbox>
              </w:sdtPr>
              <w:sdtContent>
                <w:r w:rsidR="00D66CCF" w:rsidRPr="006E448F">
                  <w:rPr>
                    <w:rStyle w:val="Style2"/>
                    <w:rFonts w:ascii="MS Gothic" w:eastAsia="MS Gothic" w:hAnsi="MS Gothic" w:hint="eastAsia"/>
                    <w:color w:val="000000" w:themeColor="text1"/>
                  </w:rPr>
                  <w:t>☐</w:t>
                </w:r>
              </w:sdtContent>
            </w:sdt>
            <w:r w:rsidR="00D66CCF" w:rsidRPr="006E448F">
              <w:rPr>
                <w:color w:val="000000" w:themeColor="text1"/>
              </w:rPr>
              <w:t xml:space="preserve"> Supaprastinta paraiška</w:t>
            </w:r>
          </w:p>
        </w:tc>
      </w:tr>
      <w:tr w:rsidR="00D66CCF" w:rsidRPr="006E448F" w14:paraId="0EC278AE" w14:textId="77777777" w:rsidTr="00E16073">
        <w:trPr>
          <w:trHeight w:val="479"/>
        </w:trPr>
        <w:tc>
          <w:tcPr>
            <w:tcW w:w="705" w:type="dxa"/>
            <w:tcBorders>
              <w:top w:val="single" w:sz="4" w:space="0" w:color="auto"/>
              <w:left w:val="single" w:sz="4" w:space="0" w:color="auto"/>
              <w:bottom w:val="single" w:sz="4" w:space="0" w:color="auto"/>
              <w:right w:val="single" w:sz="4" w:space="0" w:color="auto"/>
            </w:tcBorders>
          </w:tcPr>
          <w:p w14:paraId="115F61E1" w14:textId="77777777" w:rsidR="00D66CCF" w:rsidRPr="006E448F" w:rsidRDefault="00D66CCF" w:rsidP="00E16073">
            <w:pPr>
              <w:tabs>
                <w:tab w:val="left" w:pos="284"/>
              </w:tabs>
              <w:spacing w:line="276" w:lineRule="auto"/>
              <w:jc w:val="both"/>
              <w:rPr>
                <w:rFonts w:eastAsia="Arial"/>
                <w:b/>
              </w:rPr>
            </w:pPr>
            <w:r w:rsidRPr="006E448F">
              <w:rPr>
                <w:rFonts w:eastAsia="Arial"/>
                <w:b/>
              </w:rPr>
              <w:t>1.8</w:t>
            </w:r>
          </w:p>
        </w:tc>
        <w:tc>
          <w:tcPr>
            <w:tcW w:w="4117" w:type="dxa"/>
            <w:tcBorders>
              <w:top w:val="single" w:sz="4" w:space="0" w:color="auto"/>
              <w:left w:val="single" w:sz="4" w:space="0" w:color="auto"/>
              <w:bottom w:val="single" w:sz="4" w:space="0" w:color="auto"/>
              <w:right w:val="single" w:sz="4" w:space="0" w:color="auto"/>
            </w:tcBorders>
          </w:tcPr>
          <w:p w14:paraId="133AB87A" w14:textId="77777777" w:rsidR="00D66CCF" w:rsidRPr="006E448F" w:rsidRDefault="00D66CCF" w:rsidP="00E16073">
            <w:pPr>
              <w:tabs>
                <w:tab w:val="left" w:pos="284"/>
              </w:tabs>
              <w:spacing w:line="276" w:lineRule="auto"/>
              <w:jc w:val="both"/>
              <w:rPr>
                <w:b/>
                <w:bCs/>
                <w:color w:val="000000" w:themeColor="text1"/>
                <w:lang w:eastAsia="lt-LT"/>
              </w:rPr>
            </w:pPr>
            <w:r w:rsidRPr="006E448F">
              <w:rPr>
                <w:b/>
                <w:bCs/>
                <w:color w:val="000000" w:themeColor="text1"/>
                <w:lang w:eastAsia="lt-LT"/>
              </w:rPr>
              <w:t xml:space="preserve">Klinikinių tyrimų tipas </w:t>
            </w:r>
          </w:p>
        </w:tc>
        <w:tc>
          <w:tcPr>
            <w:tcW w:w="5096" w:type="dxa"/>
            <w:tcBorders>
              <w:top w:val="single" w:sz="4" w:space="0" w:color="auto"/>
              <w:left w:val="single" w:sz="4" w:space="0" w:color="auto"/>
              <w:bottom w:val="single" w:sz="4" w:space="0" w:color="auto"/>
              <w:right w:val="single" w:sz="4" w:space="0" w:color="auto"/>
            </w:tcBorders>
          </w:tcPr>
          <w:p w14:paraId="4EC3DB97" w14:textId="77777777" w:rsidR="00D66CCF" w:rsidRPr="006E448F" w:rsidRDefault="00000000" w:rsidP="00E16073">
            <w:pPr>
              <w:spacing w:line="276" w:lineRule="auto"/>
              <w:jc w:val="both"/>
              <w:rPr>
                <w:color w:val="000000" w:themeColor="text1"/>
              </w:rPr>
            </w:pPr>
            <w:sdt>
              <w:sdtPr>
                <w:rPr>
                  <w:rStyle w:val="Style2"/>
                  <w:color w:val="000000" w:themeColor="text1"/>
                </w:rPr>
                <w:id w:val="1348903796"/>
                <w15:color w:val="FFCC00"/>
                <w14:checkbox>
                  <w14:checked w14:val="1"/>
                  <w14:checkedState w14:val="2612" w14:font="MS Gothic"/>
                  <w14:uncheckedState w14:val="2610" w14:font="MS Gothic"/>
                </w14:checkbox>
              </w:sdtPr>
              <w:sdtContent>
                <w:r w:rsidR="00D66CCF" w:rsidRPr="006E448F">
                  <w:rPr>
                    <w:rStyle w:val="Style2"/>
                    <w:rFonts w:ascii="MS Gothic" w:eastAsia="MS Gothic" w:hAnsi="MS Gothic" w:hint="eastAsia"/>
                    <w:color w:val="000000" w:themeColor="text1"/>
                  </w:rPr>
                  <w:t>☒</w:t>
                </w:r>
              </w:sdtContent>
            </w:sdt>
            <w:r w:rsidR="00D66CCF" w:rsidRPr="006E448F">
              <w:rPr>
                <w:color w:val="000000" w:themeColor="text1"/>
              </w:rPr>
              <w:t xml:space="preserve"> Tiesioginis palyginimas</w:t>
            </w:r>
          </w:p>
          <w:p w14:paraId="4ACBFD55" w14:textId="77777777" w:rsidR="00D66CCF" w:rsidRPr="006E448F" w:rsidRDefault="00000000" w:rsidP="00E16073">
            <w:pPr>
              <w:spacing w:line="276" w:lineRule="auto"/>
              <w:jc w:val="both"/>
              <w:rPr>
                <w:color w:val="000000" w:themeColor="text1"/>
              </w:rPr>
            </w:pPr>
            <w:sdt>
              <w:sdtPr>
                <w:rPr>
                  <w:color w:val="000000" w:themeColor="text1"/>
                </w:rPr>
                <w:id w:val="-210416744"/>
                <w15:color w:val="FFCC00"/>
                <w14:checkbox>
                  <w14:checked w14:val="0"/>
                  <w14:checkedState w14:val="2612" w14:font="MS Gothic"/>
                  <w14:uncheckedState w14:val="2610" w14:font="MS Gothic"/>
                </w14:checkbox>
              </w:sdtPr>
              <w:sdtContent>
                <w:r w:rsidR="00D66CCF" w:rsidRPr="006E448F">
                  <w:rPr>
                    <w:rFonts w:ascii="Segoe UI Symbol" w:eastAsia="MS Gothic" w:hAnsi="Segoe UI Symbol" w:cs="Segoe UI Symbol"/>
                    <w:color w:val="000000" w:themeColor="text1"/>
                  </w:rPr>
                  <w:t>☐</w:t>
                </w:r>
              </w:sdtContent>
            </w:sdt>
            <w:r w:rsidR="00D66CCF" w:rsidRPr="006E448F">
              <w:rPr>
                <w:color w:val="000000" w:themeColor="text1"/>
              </w:rPr>
              <w:t xml:space="preserve"> Netiesioginis palyginimas</w:t>
            </w:r>
          </w:p>
        </w:tc>
      </w:tr>
      <w:tr w:rsidR="00D66CCF" w:rsidRPr="006E448F" w14:paraId="6D9072B1" w14:textId="77777777" w:rsidTr="00E16073">
        <w:trPr>
          <w:trHeight w:val="479"/>
        </w:trPr>
        <w:tc>
          <w:tcPr>
            <w:tcW w:w="705" w:type="dxa"/>
            <w:tcBorders>
              <w:top w:val="single" w:sz="4" w:space="0" w:color="auto"/>
              <w:left w:val="single" w:sz="4" w:space="0" w:color="auto"/>
              <w:bottom w:val="single" w:sz="4" w:space="0" w:color="auto"/>
              <w:right w:val="single" w:sz="4" w:space="0" w:color="auto"/>
            </w:tcBorders>
          </w:tcPr>
          <w:p w14:paraId="559C53AC" w14:textId="77777777" w:rsidR="00D66CCF" w:rsidRPr="006E448F" w:rsidRDefault="00D66CCF" w:rsidP="00E16073">
            <w:pPr>
              <w:tabs>
                <w:tab w:val="left" w:pos="284"/>
              </w:tabs>
              <w:spacing w:line="276" w:lineRule="auto"/>
              <w:jc w:val="both"/>
              <w:rPr>
                <w:rFonts w:eastAsia="Arial"/>
                <w:b/>
              </w:rPr>
            </w:pPr>
            <w:r w:rsidRPr="006E448F">
              <w:rPr>
                <w:rFonts w:eastAsia="Arial"/>
                <w:b/>
              </w:rPr>
              <w:t>1.9</w:t>
            </w:r>
          </w:p>
        </w:tc>
        <w:tc>
          <w:tcPr>
            <w:tcW w:w="4117" w:type="dxa"/>
            <w:tcBorders>
              <w:top w:val="single" w:sz="4" w:space="0" w:color="auto"/>
              <w:left w:val="single" w:sz="4" w:space="0" w:color="auto"/>
              <w:bottom w:val="single" w:sz="4" w:space="0" w:color="auto"/>
              <w:right w:val="single" w:sz="4" w:space="0" w:color="auto"/>
            </w:tcBorders>
          </w:tcPr>
          <w:p w14:paraId="6942CA9E" w14:textId="77777777" w:rsidR="00D66CCF" w:rsidRPr="006E448F" w:rsidRDefault="00D66CCF" w:rsidP="00E16073">
            <w:pPr>
              <w:tabs>
                <w:tab w:val="left" w:pos="284"/>
              </w:tabs>
              <w:spacing w:line="276" w:lineRule="auto"/>
              <w:jc w:val="both"/>
              <w:rPr>
                <w:b/>
                <w:bCs/>
                <w:lang w:eastAsia="lt-LT"/>
              </w:rPr>
            </w:pPr>
            <w:r w:rsidRPr="006E448F">
              <w:rPr>
                <w:b/>
                <w:bCs/>
                <w:lang w:eastAsia="lt-LT"/>
              </w:rPr>
              <w:t>Ekonominės analizės rūšis</w:t>
            </w:r>
          </w:p>
        </w:tc>
        <w:tc>
          <w:tcPr>
            <w:tcW w:w="5096" w:type="dxa"/>
            <w:tcBorders>
              <w:top w:val="single" w:sz="4" w:space="0" w:color="auto"/>
              <w:left w:val="single" w:sz="4" w:space="0" w:color="auto"/>
              <w:bottom w:val="single" w:sz="4" w:space="0" w:color="auto"/>
              <w:right w:val="single" w:sz="4" w:space="0" w:color="auto"/>
            </w:tcBorders>
          </w:tcPr>
          <w:p w14:paraId="42640722" w14:textId="77777777" w:rsidR="00D66CCF" w:rsidRPr="006E448F" w:rsidRDefault="00000000" w:rsidP="00E16073">
            <w:pPr>
              <w:spacing w:line="276" w:lineRule="auto"/>
              <w:jc w:val="both"/>
              <w:rPr>
                <w:color w:val="000000" w:themeColor="text1"/>
              </w:rPr>
            </w:pPr>
            <w:sdt>
              <w:sdtPr>
                <w:rPr>
                  <w:rStyle w:val="Style2"/>
                  <w:color w:val="000000" w:themeColor="text1"/>
                </w:rPr>
                <w:id w:val="-836689216"/>
                <w15:color w:val="FFCC00"/>
                <w14:checkbox>
                  <w14:checked w14:val="0"/>
                  <w14:checkedState w14:val="2612" w14:font="MS Gothic"/>
                  <w14:uncheckedState w14:val="2610" w14:font="MS Gothic"/>
                </w14:checkbox>
              </w:sdtPr>
              <w:sdtContent>
                <w:r w:rsidR="00D66CCF" w:rsidRPr="006E448F">
                  <w:rPr>
                    <w:rStyle w:val="Style2"/>
                    <w:rFonts w:ascii="Segoe UI Symbol" w:eastAsia="MS Gothic" w:hAnsi="Segoe UI Symbol" w:cs="Segoe UI Symbol"/>
                    <w:color w:val="000000" w:themeColor="text1"/>
                  </w:rPr>
                  <w:t>☐</w:t>
                </w:r>
              </w:sdtContent>
            </w:sdt>
            <w:r w:rsidR="00D66CCF" w:rsidRPr="006E448F">
              <w:rPr>
                <w:color w:val="000000" w:themeColor="text1"/>
              </w:rPr>
              <w:t xml:space="preserve"> Kaštų naudingumo analizė</w:t>
            </w:r>
          </w:p>
          <w:p w14:paraId="1272873C" w14:textId="77777777" w:rsidR="00D66CCF" w:rsidRPr="006E448F" w:rsidRDefault="00000000" w:rsidP="00E16073">
            <w:pPr>
              <w:spacing w:line="276" w:lineRule="auto"/>
              <w:jc w:val="both"/>
              <w:rPr>
                <w:color w:val="000000" w:themeColor="text1"/>
              </w:rPr>
            </w:pPr>
            <w:sdt>
              <w:sdtPr>
                <w:rPr>
                  <w:rStyle w:val="Style2"/>
                  <w:color w:val="000000" w:themeColor="text1"/>
                </w:rPr>
                <w:id w:val="2013950720"/>
                <w15:color w:val="FFCC00"/>
                <w14:checkbox>
                  <w14:checked w14:val="0"/>
                  <w14:checkedState w14:val="2612" w14:font="MS Gothic"/>
                  <w14:uncheckedState w14:val="2610" w14:font="MS Gothic"/>
                </w14:checkbox>
              </w:sdtPr>
              <w:sdtContent>
                <w:r w:rsidR="00D66CCF" w:rsidRPr="006E448F">
                  <w:rPr>
                    <w:rStyle w:val="Style2"/>
                    <w:rFonts w:ascii="MS Gothic" w:eastAsia="MS Gothic" w:hAnsi="MS Gothic"/>
                    <w:color w:val="000000" w:themeColor="text1"/>
                  </w:rPr>
                  <w:t>☐</w:t>
                </w:r>
              </w:sdtContent>
            </w:sdt>
            <w:r w:rsidR="00D66CCF" w:rsidRPr="006E448F">
              <w:rPr>
                <w:color w:val="000000" w:themeColor="text1"/>
              </w:rPr>
              <w:t xml:space="preserve"> Kaštų mažinimo analizė</w:t>
            </w:r>
          </w:p>
          <w:p w14:paraId="4EBAC124" w14:textId="77777777" w:rsidR="00D66CCF" w:rsidRPr="006E448F" w:rsidRDefault="00000000" w:rsidP="00E16073">
            <w:pPr>
              <w:spacing w:line="276" w:lineRule="auto"/>
              <w:jc w:val="both"/>
              <w:rPr>
                <w:color w:val="000000" w:themeColor="text1"/>
              </w:rPr>
            </w:pPr>
            <w:sdt>
              <w:sdtPr>
                <w:rPr>
                  <w:rStyle w:val="Style2"/>
                  <w:color w:val="000000" w:themeColor="text1"/>
                </w:rPr>
                <w:id w:val="362025833"/>
                <w15:color w:val="FFCC00"/>
                <w14:checkbox>
                  <w14:checked w14:val="0"/>
                  <w14:checkedState w14:val="2612" w14:font="MS Gothic"/>
                  <w14:uncheckedState w14:val="2610" w14:font="MS Gothic"/>
                </w14:checkbox>
              </w:sdtPr>
              <w:sdtContent>
                <w:r w:rsidR="00D66CCF" w:rsidRPr="006E448F">
                  <w:rPr>
                    <w:rStyle w:val="Style2"/>
                    <w:rFonts w:ascii="Segoe UI Symbol" w:eastAsia="MS Gothic" w:hAnsi="Segoe UI Symbol" w:cs="Segoe UI Symbol"/>
                    <w:color w:val="000000" w:themeColor="text1"/>
                  </w:rPr>
                  <w:t>☐</w:t>
                </w:r>
              </w:sdtContent>
            </w:sdt>
            <w:r w:rsidR="00D66CCF" w:rsidRPr="006E448F">
              <w:rPr>
                <w:color w:val="000000" w:themeColor="text1"/>
              </w:rPr>
              <w:t xml:space="preserve"> Kita: </w:t>
            </w:r>
            <w:sdt>
              <w:sdtPr>
                <w:rPr>
                  <w:color w:val="000000" w:themeColor="text1"/>
                </w:rPr>
                <w:alias w:val="Įrašykite"/>
                <w:tag w:val="Įrašykite"/>
                <w:id w:val="-16472040"/>
                <w:placeholder>
                  <w:docPart w:val="5D4400608B93B744B3635189ABFE28F3"/>
                </w:placeholder>
                <w15:color w:val="FFCC99"/>
              </w:sdtPr>
              <w:sdtContent>
                <w:r w:rsidR="00D66CCF" w:rsidRPr="006E448F">
                  <w:rPr>
                    <w:color w:val="000000" w:themeColor="text1"/>
                  </w:rPr>
                  <w:t>_________________</w:t>
                </w:r>
              </w:sdtContent>
            </w:sdt>
            <w:r w:rsidR="00D66CCF" w:rsidRPr="006E448F">
              <w:rPr>
                <w:color w:val="000000" w:themeColor="text1"/>
              </w:rPr>
              <w:t xml:space="preserve"> </w:t>
            </w:r>
          </w:p>
        </w:tc>
      </w:tr>
    </w:tbl>
    <w:p w14:paraId="28B49E1A" w14:textId="77777777" w:rsidR="00D66CCF" w:rsidRPr="006E448F" w:rsidRDefault="00D66CCF" w:rsidP="00D66CCF">
      <w:pPr>
        <w:pStyle w:val="ListParagraph"/>
        <w:spacing w:line="276" w:lineRule="auto"/>
        <w:jc w:val="both"/>
        <w:rPr>
          <w:rFonts w:eastAsia="Arial"/>
          <w:b/>
        </w:rPr>
      </w:pPr>
    </w:p>
    <w:p w14:paraId="1B7644C8" w14:textId="77777777" w:rsidR="00D66CCF" w:rsidRPr="006E448F" w:rsidRDefault="00D66CCF" w:rsidP="00D66CCF">
      <w:pPr>
        <w:spacing w:line="276" w:lineRule="auto"/>
        <w:ind w:left="360"/>
        <w:jc w:val="both"/>
        <w:rPr>
          <w:rFonts w:eastAsia="Arial"/>
          <w:b/>
        </w:rPr>
      </w:pPr>
    </w:p>
    <w:p w14:paraId="2871CA7F" w14:textId="34221B18" w:rsidR="00F70C9E" w:rsidRPr="006E448F" w:rsidRDefault="00F70C9E" w:rsidP="004537D0">
      <w:pPr>
        <w:pStyle w:val="ListParagraph"/>
        <w:numPr>
          <w:ilvl w:val="1"/>
          <w:numId w:val="12"/>
        </w:numPr>
        <w:spacing w:line="276" w:lineRule="auto"/>
        <w:jc w:val="both"/>
        <w:rPr>
          <w:rFonts w:eastAsia="Arial"/>
          <w:b/>
        </w:rPr>
      </w:pPr>
      <w:r w:rsidRPr="006E448F">
        <w:rPr>
          <w:rFonts w:eastAsia="Arial"/>
          <w:b/>
        </w:rPr>
        <w:t xml:space="preserve">Kitų </w:t>
      </w:r>
      <w:r w:rsidR="00DF583C" w:rsidRPr="006E448F">
        <w:rPr>
          <w:rFonts w:eastAsia="Arial"/>
          <w:b/>
        </w:rPr>
        <w:t xml:space="preserve">valstybių </w:t>
      </w:r>
      <w:r w:rsidRPr="006E448F">
        <w:rPr>
          <w:rFonts w:eastAsia="Arial"/>
          <w:b/>
        </w:rPr>
        <w:t xml:space="preserve">atsakingų institucijų atlikto </w:t>
      </w:r>
      <w:r w:rsidR="00DF583C" w:rsidRPr="006E448F">
        <w:rPr>
          <w:rFonts w:eastAsia="Arial"/>
          <w:b/>
        </w:rPr>
        <w:t>Sveikatos technologijų vertinimo (toliau – STV)</w:t>
      </w:r>
      <w:r w:rsidRPr="006E448F">
        <w:rPr>
          <w:rFonts w:eastAsia="Arial"/>
          <w:b/>
        </w:rPr>
        <w:t xml:space="preserve"> išvados</w:t>
      </w:r>
    </w:p>
    <w:p w14:paraId="3A30D5AF" w14:textId="77777777" w:rsidR="00997A8D" w:rsidRPr="006E448F" w:rsidRDefault="00997A8D" w:rsidP="00997A8D">
      <w:pPr>
        <w:spacing w:line="276" w:lineRule="auto"/>
        <w:jc w:val="both"/>
        <w:rPr>
          <w:rFonts w:eastAsia="Arial"/>
          <w:b/>
        </w:rPr>
      </w:pPr>
    </w:p>
    <w:p w14:paraId="2A62CCC2" w14:textId="77777777" w:rsidR="00D66CCF" w:rsidRPr="006E448F" w:rsidRDefault="00D66CCF" w:rsidP="00D66CCF">
      <w:pPr>
        <w:spacing w:line="276" w:lineRule="auto"/>
        <w:jc w:val="both"/>
        <w:rPr>
          <w:rFonts w:eastAsia="Arial"/>
        </w:rPr>
      </w:pPr>
    </w:p>
    <w:tbl>
      <w:tblPr>
        <w:tblStyle w:val="TableGrid"/>
        <w:tblW w:w="9918" w:type="dxa"/>
        <w:tblLook w:val="04A0" w:firstRow="1" w:lastRow="0" w:firstColumn="1" w:lastColumn="0" w:noHBand="0" w:noVBand="1"/>
      </w:tblPr>
      <w:tblGrid>
        <w:gridCol w:w="3539"/>
        <w:gridCol w:w="1843"/>
        <w:gridCol w:w="2268"/>
        <w:gridCol w:w="2268"/>
      </w:tblGrid>
      <w:tr w:rsidR="00D66CCF" w:rsidRPr="006E448F" w14:paraId="786A9726" w14:textId="77777777" w:rsidTr="00E16073">
        <w:trPr>
          <w:trHeight w:val="924"/>
        </w:trPr>
        <w:tc>
          <w:tcPr>
            <w:tcW w:w="3539" w:type="dxa"/>
          </w:tcPr>
          <w:p w14:paraId="2B5602B3" w14:textId="77777777" w:rsidR="00D66CCF" w:rsidRPr="006E448F" w:rsidRDefault="00D66CCF" w:rsidP="00E16073">
            <w:pPr>
              <w:spacing w:line="276" w:lineRule="auto"/>
              <w:jc w:val="both"/>
              <w:rPr>
                <w:rFonts w:eastAsia="Arial"/>
              </w:rPr>
            </w:pPr>
            <w:r w:rsidRPr="006E448F">
              <w:rPr>
                <w:rFonts w:eastAsia="Arial"/>
              </w:rPr>
              <w:t>STV agentūros pavadinimas, šalis</w:t>
            </w:r>
          </w:p>
        </w:tc>
        <w:tc>
          <w:tcPr>
            <w:tcW w:w="1843" w:type="dxa"/>
          </w:tcPr>
          <w:p w14:paraId="1DB246CD" w14:textId="77777777" w:rsidR="00D66CCF" w:rsidRPr="006E448F" w:rsidRDefault="00D66CCF" w:rsidP="00E16073">
            <w:pPr>
              <w:spacing w:line="276" w:lineRule="auto"/>
              <w:jc w:val="both"/>
              <w:rPr>
                <w:rFonts w:eastAsia="Arial"/>
              </w:rPr>
            </w:pPr>
            <w:r w:rsidRPr="006E448F">
              <w:rPr>
                <w:rFonts w:eastAsia="Arial"/>
              </w:rPr>
              <w:t>STV vertinimas atliktas</w:t>
            </w:r>
          </w:p>
        </w:tc>
        <w:tc>
          <w:tcPr>
            <w:tcW w:w="2268" w:type="dxa"/>
          </w:tcPr>
          <w:p w14:paraId="5B52DBAC" w14:textId="77777777" w:rsidR="00D66CCF" w:rsidRPr="006E448F" w:rsidRDefault="00D66CCF" w:rsidP="00E16073">
            <w:pPr>
              <w:spacing w:line="276" w:lineRule="auto"/>
              <w:jc w:val="both"/>
              <w:rPr>
                <w:rFonts w:eastAsia="Arial"/>
              </w:rPr>
            </w:pPr>
            <w:r w:rsidRPr="006E448F">
              <w:rPr>
                <w:rFonts w:eastAsia="Arial"/>
              </w:rPr>
              <w:t>Klinikinio vertinimo išvada</w:t>
            </w:r>
          </w:p>
        </w:tc>
        <w:tc>
          <w:tcPr>
            <w:tcW w:w="2268" w:type="dxa"/>
          </w:tcPr>
          <w:p w14:paraId="14C22DFA" w14:textId="77777777" w:rsidR="00D66CCF" w:rsidRPr="006E448F" w:rsidRDefault="00D66CCF" w:rsidP="00E16073">
            <w:pPr>
              <w:spacing w:line="276" w:lineRule="auto"/>
              <w:jc w:val="both"/>
              <w:rPr>
                <w:rFonts w:eastAsia="Arial"/>
              </w:rPr>
            </w:pPr>
            <w:r w:rsidRPr="006E448F">
              <w:rPr>
                <w:rFonts w:eastAsia="Arial"/>
              </w:rPr>
              <w:t>Farmakoekonominio vertinimo išvada</w:t>
            </w:r>
          </w:p>
        </w:tc>
      </w:tr>
      <w:tr w:rsidR="00D66CCF" w:rsidRPr="006E448F" w14:paraId="66D1AA2B" w14:textId="77777777" w:rsidTr="00E16073">
        <w:trPr>
          <w:trHeight w:val="1984"/>
        </w:trPr>
        <w:tc>
          <w:tcPr>
            <w:tcW w:w="3539" w:type="dxa"/>
          </w:tcPr>
          <w:p w14:paraId="2C358A03" w14:textId="77777777" w:rsidR="00D66CCF" w:rsidRPr="006E448F" w:rsidRDefault="00D66CCF" w:rsidP="00E16073">
            <w:pPr>
              <w:autoSpaceDE w:val="0"/>
              <w:autoSpaceDN w:val="0"/>
              <w:adjustRightInd w:val="0"/>
              <w:spacing w:line="276" w:lineRule="auto"/>
              <w:jc w:val="both"/>
              <w:rPr>
                <w:bCs/>
                <w:color w:val="000000" w:themeColor="text1"/>
              </w:rPr>
            </w:pPr>
            <w:r w:rsidRPr="006E448F">
              <w:rPr>
                <w:bCs/>
                <w:color w:val="000000" w:themeColor="text1"/>
              </w:rPr>
              <w:t>Nacionalinis sveikatos ir klinikinės kompetencijos institutas, Didžioji Britanija</w:t>
            </w:r>
          </w:p>
          <w:p w14:paraId="1CFC5CA6" w14:textId="77777777" w:rsidR="00D66CCF" w:rsidRPr="006E448F" w:rsidRDefault="00D66CCF" w:rsidP="00E16073">
            <w:pPr>
              <w:spacing w:line="276" w:lineRule="auto"/>
              <w:jc w:val="both"/>
              <w:rPr>
                <w:rFonts w:eastAsia="Arial"/>
                <w:color w:val="000000" w:themeColor="text1"/>
              </w:rPr>
            </w:pPr>
            <w:r w:rsidRPr="006E448F">
              <w:rPr>
                <w:rFonts w:eastAsia="Arial"/>
                <w:color w:val="000000" w:themeColor="text1"/>
              </w:rPr>
              <w:t xml:space="preserve">(angl. </w:t>
            </w:r>
            <w:r w:rsidRPr="006E448F">
              <w:rPr>
                <w:rFonts w:eastAsia="Arial"/>
                <w:i/>
                <w:color w:val="000000" w:themeColor="text1"/>
              </w:rPr>
              <w:t>National Institute for Health and Care Excellence, NICE</w:t>
            </w:r>
            <w:r w:rsidRPr="006E448F">
              <w:rPr>
                <w:rFonts w:eastAsia="Arial"/>
                <w:color w:val="000000" w:themeColor="text1"/>
              </w:rPr>
              <w:t>)</w:t>
            </w:r>
          </w:p>
        </w:tc>
        <w:tc>
          <w:tcPr>
            <w:tcW w:w="1843" w:type="dxa"/>
          </w:tcPr>
          <w:p w14:paraId="187B11B1" w14:textId="77777777" w:rsidR="00D66CCF" w:rsidRPr="006E448F" w:rsidRDefault="00000000" w:rsidP="00E16073">
            <w:pPr>
              <w:spacing w:line="276" w:lineRule="auto"/>
              <w:jc w:val="both"/>
              <w:rPr>
                <w:color w:val="000000" w:themeColor="text1"/>
              </w:rPr>
            </w:pPr>
            <w:sdt>
              <w:sdtPr>
                <w:rPr>
                  <w:rStyle w:val="Style2"/>
                  <w:color w:val="000000" w:themeColor="text1"/>
                </w:rPr>
                <w:id w:val="1558205022"/>
                <w15:color w:val="FFCC00"/>
                <w14:checkbox>
                  <w14:checked w14:val="0"/>
                  <w14:checkedState w14:val="2612" w14:font="MS Gothic"/>
                  <w14:uncheckedState w14:val="2610" w14:font="MS Gothic"/>
                </w14:checkbox>
              </w:sdtPr>
              <w:sdtContent>
                <w:r w:rsidR="00D66CCF" w:rsidRPr="006E448F">
                  <w:rPr>
                    <w:rStyle w:val="Style2"/>
                    <w:rFonts w:ascii="MS Gothic" w:eastAsia="MS Gothic" w:hAnsi="MS Gothic" w:hint="eastAsia"/>
                    <w:color w:val="000000" w:themeColor="text1"/>
                  </w:rPr>
                  <w:t>☐</w:t>
                </w:r>
              </w:sdtContent>
            </w:sdt>
            <w:r w:rsidR="00D66CCF" w:rsidRPr="006E448F">
              <w:rPr>
                <w:color w:val="000000" w:themeColor="text1"/>
              </w:rPr>
              <w:t xml:space="preserve"> Taip</w:t>
            </w:r>
          </w:p>
          <w:p w14:paraId="44626E6B" w14:textId="77777777" w:rsidR="00D66CCF" w:rsidRPr="006E448F" w:rsidRDefault="00000000" w:rsidP="00E16073">
            <w:pPr>
              <w:spacing w:line="276" w:lineRule="auto"/>
              <w:jc w:val="both"/>
              <w:rPr>
                <w:color w:val="000000" w:themeColor="text1"/>
              </w:rPr>
            </w:pPr>
            <w:sdt>
              <w:sdtPr>
                <w:rPr>
                  <w:rStyle w:val="Style2"/>
                  <w:color w:val="000000" w:themeColor="text1"/>
                </w:rPr>
                <w:id w:val="866029625"/>
                <w15:color w:val="FFCC00"/>
                <w14:checkbox>
                  <w14:checked w14:val="1"/>
                  <w14:checkedState w14:val="2612" w14:font="MS Gothic"/>
                  <w14:uncheckedState w14:val="2610" w14:font="MS Gothic"/>
                </w14:checkbox>
              </w:sdtPr>
              <w:sdtContent>
                <w:r w:rsidR="00D66CCF" w:rsidRPr="006E448F">
                  <w:rPr>
                    <w:rStyle w:val="Style2"/>
                    <w:rFonts w:ascii="MS Gothic" w:eastAsia="MS Gothic" w:hAnsi="MS Gothic" w:hint="eastAsia"/>
                    <w:color w:val="000000" w:themeColor="text1"/>
                  </w:rPr>
                  <w:t>☒</w:t>
                </w:r>
              </w:sdtContent>
            </w:sdt>
            <w:r w:rsidR="00D66CCF" w:rsidRPr="006E448F">
              <w:rPr>
                <w:color w:val="000000" w:themeColor="text1"/>
              </w:rPr>
              <w:t xml:space="preserve"> Ne</w:t>
            </w:r>
          </w:p>
          <w:p w14:paraId="0F32E4C7" w14:textId="77777777" w:rsidR="00D66CCF" w:rsidRPr="006E448F" w:rsidRDefault="00000000" w:rsidP="00E16073">
            <w:pPr>
              <w:spacing w:line="276" w:lineRule="auto"/>
              <w:jc w:val="both"/>
              <w:rPr>
                <w:rFonts w:eastAsia="Arial"/>
                <w:color w:val="000000" w:themeColor="text1"/>
              </w:rPr>
            </w:pPr>
            <w:sdt>
              <w:sdtPr>
                <w:rPr>
                  <w:color w:val="000000" w:themeColor="text1"/>
                </w:rPr>
                <w:alias w:val="Nurodykite konkrečią dieną"/>
                <w:tag w:val="Nurodykite pradžios datą"/>
                <w:id w:val="922837954"/>
                <w:placeholder>
                  <w:docPart w:val="4ADC47E27268CE4DB8E725BE6DDBBAFA"/>
                </w:placeholder>
                <w:showingPlcHdr/>
                <w15:color w:val="FFCC99"/>
                <w:date w:fullDate="2024-01-10T00:00:00Z">
                  <w:dateFormat w:val="yyyy 'm.' MMMM d 'd.'"/>
                  <w:lid w:val="lt-LT"/>
                  <w:storeMappedDataAs w:val="dateTime"/>
                  <w:calendar w:val="gregorian"/>
                </w:date>
              </w:sdtPr>
              <w:sdtContent>
                <w:r w:rsidR="00D66CCF" w:rsidRPr="006E448F">
                  <w:rPr>
                    <w:rStyle w:val="PlaceholderText"/>
                  </w:rPr>
                  <w:t>Click here to enter a date.</w:t>
                </w:r>
              </w:sdtContent>
            </w:sdt>
          </w:p>
        </w:tc>
        <w:tc>
          <w:tcPr>
            <w:tcW w:w="4536" w:type="dxa"/>
            <w:gridSpan w:val="2"/>
          </w:tcPr>
          <w:p w14:paraId="2E7F5AF8" w14:textId="77777777" w:rsidR="00D66CCF" w:rsidRPr="006E448F" w:rsidRDefault="00D66CCF" w:rsidP="00E16073">
            <w:pPr>
              <w:spacing w:line="276" w:lineRule="auto"/>
              <w:jc w:val="both"/>
              <w:rPr>
                <w:rFonts w:eastAsia="Arial"/>
                <w:color w:val="000000" w:themeColor="text1"/>
              </w:rPr>
            </w:pPr>
            <w:r w:rsidRPr="006E448F">
              <w:rPr>
                <w:rFonts w:eastAsia="Arial"/>
                <w:color w:val="000000" w:themeColor="text1"/>
              </w:rPr>
              <w:t>Vertinimas atliekamas.</w:t>
            </w:r>
          </w:p>
        </w:tc>
      </w:tr>
      <w:tr w:rsidR="00D66CCF" w:rsidRPr="006E448F" w14:paraId="362EAE08" w14:textId="77777777" w:rsidTr="00E16073">
        <w:trPr>
          <w:trHeight w:val="1547"/>
        </w:trPr>
        <w:tc>
          <w:tcPr>
            <w:tcW w:w="3539" w:type="dxa"/>
          </w:tcPr>
          <w:p w14:paraId="147A17CE" w14:textId="77777777" w:rsidR="00D66CCF" w:rsidRPr="006E448F" w:rsidRDefault="00D66CCF" w:rsidP="00E16073">
            <w:pPr>
              <w:spacing w:line="276" w:lineRule="auto"/>
              <w:jc w:val="both"/>
              <w:rPr>
                <w:rFonts w:eastAsia="Arial"/>
                <w:color w:val="000000" w:themeColor="text1"/>
              </w:rPr>
            </w:pPr>
            <w:r w:rsidRPr="006E448F">
              <w:rPr>
                <w:rFonts w:eastAsia="Arial"/>
                <w:color w:val="000000" w:themeColor="text1"/>
              </w:rPr>
              <w:t>Kanados sveikatos technologijų agentūra</w:t>
            </w:r>
          </w:p>
          <w:p w14:paraId="2AEFE7B2" w14:textId="77777777" w:rsidR="00D66CCF" w:rsidRPr="006E448F" w:rsidRDefault="00D66CCF" w:rsidP="00E16073">
            <w:pPr>
              <w:spacing w:line="276" w:lineRule="auto"/>
              <w:jc w:val="both"/>
              <w:rPr>
                <w:rFonts w:eastAsia="Arial"/>
                <w:color w:val="000000" w:themeColor="text1"/>
              </w:rPr>
            </w:pPr>
            <w:r w:rsidRPr="006E448F">
              <w:rPr>
                <w:rFonts w:eastAsia="Arial"/>
                <w:color w:val="000000" w:themeColor="text1"/>
              </w:rPr>
              <w:t xml:space="preserve">(angl. </w:t>
            </w:r>
            <w:r w:rsidRPr="006E448F">
              <w:rPr>
                <w:rFonts w:eastAsia="Arial"/>
                <w:i/>
                <w:color w:val="000000" w:themeColor="text1"/>
              </w:rPr>
              <w:t>Canadian health Technology Assessment agency, CADTH</w:t>
            </w:r>
            <w:r w:rsidRPr="006E448F">
              <w:rPr>
                <w:rFonts w:eastAsia="Arial"/>
                <w:color w:val="000000" w:themeColor="text1"/>
              </w:rPr>
              <w:t>)</w:t>
            </w:r>
          </w:p>
        </w:tc>
        <w:tc>
          <w:tcPr>
            <w:tcW w:w="1843" w:type="dxa"/>
          </w:tcPr>
          <w:p w14:paraId="5098516F" w14:textId="77777777" w:rsidR="00D66CCF" w:rsidRPr="006E448F" w:rsidRDefault="00000000" w:rsidP="00E16073">
            <w:pPr>
              <w:spacing w:line="276" w:lineRule="auto"/>
              <w:jc w:val="both"/>
              <w:rPr>
                <w:color w:val="000000" w:themeColor="text1"/>
              </w:rPr>
            </w:pPr>
            <w:sdt>
              <w:sdtPr>
                <w:rPr>
                  <w:rStyle w:val="Style2"/>
                  <w:color w:val="000000" w:themeColor="text1"/>
                </w:rPr>
                <w:id w:val="-372539057"/>
                <w15:color w:val="FFCC00"/>
                <w14:checkbox>
                  <w14:checked w14:val="1"/>
                  <w14:checkedState w14:val="2612" w14:font="MS Gothic"/>
                  <w14:uncheckedState w14:val="2610" w14:font="MS Gothic"/>
                </w14:checkbox>
              </w:sdtPr>
              <w:sdtContent>
                <w:r w:rsidR="00D66CCF" w:rsidRPr="006E448F">
                  <w:rPr>
                    <w:rStyle w:val="Style2"/>
                    <w:rFonts w:ascii="MS Gothic" w:eastAsia="MS Gothic" w:hAnsi="MS Gothic" w:hint="eastAsia"/>
                    <w:color w:val="000000" w:themeColor="text1"/>
                  </w:rPr>
                  <w:t>☒</w:t>
                </w:r>
              </w:sdtContent>
            </w:sdt>
            <w:r w:rsidR="00D66CCF" w:rsidRPr="006E448F">
              <w:rPr>
                <w:color w:val="000000" w:themeColor="text1"/>
              </w:rPr>
              <w:t xml:space="preserve"> Taip</w:t>
            </w:r>
          </w:p>
          <w:p w14:paraId="7E78EAE2" w14:textId="77777777" w:rsidR="00D66CCF" w:rsidRPr="006E448F" w:rsidRDefault="00000000" w:rsidP="00E16073">
            <w:pPr>
              <w:spacing w:line="276" w:lineRule="auto"/>
              <w:jc w:val="both"/>
              <w:rPr>
                <w:color w:val="000000" w:themeColor="text1"/>
              </w:rPr>
            </w:pPr>
            <w:sdt>
              <w:sdtPr>
                <w:rPr>
                  <w:rStyle w:val="Style2"/>
                  <w:color w:val="000000" w:themeColor="text1"/>
                </w:rPr>
                <w:id w:val="594442222"/>
                <w15:color w:val="FFCC00"/>
                <w14:checkbox>
                  <w14:checked w14:val="1"/>
                  <w14:checkedState w14:val="2612" w14:font="MS Gothic"/>
                  <w14:uncheckedState w14:val="2610" w14:font="MS Gothic"/>
                </w14:checkbox>
              </w:sdtPr>
              <w:sdtContent>
                <w:r w:rsidR="00D66CCF" w:rsidRPr="006E448F">
                  <w:rPr>
                    <w:rStyle w:val="Style2"/>
                    <w:rFonts w:ascii="MS Gothic" w:eastAsia="MS Gothic" w:hAnsi="MS Gothic" w:hint="eastAsia"/>
                    <w:color w:val="000000" w:themeColor="text1"/>
                  </w:rPr>
                  <w:t>☒</w:t>
                </w:r>
              </w:sdtContent>
            </w:sdt>
            <w:r w:rsidR="00D66CCF" w:rsidRPr="006E448F">
              <w:rPr>
                <w:color w:val="000000" w:themeColor="text1"/>
              </w:rPr>
              <w:t xml:space="preserve"> Ne</w:t>
            </w:r>
          </w:p>
          <w:p w14:paraId="7FD7DEF4" w14:textId="77777777" w:rsidR="00D66CCF" w:rsidRPr="006E448F" w:rsidRDefault="00000000" w:rsidP="00E16073">
            <w:pPr>
              <w:spacing w:line="276" w:lineRule="auto"/>
              <w:jc w:val="both"/>
              <w:rPr>
                <w:rFonts w:eastAsia="Arial"/>
                <w:color w:val="000000" w:themeColor="text1"/>
              </w:rPr>
            </w:pPr>
            <w:sdt>
              <w:sdtPr>
                <w:rPr>
                  <w:color w:val="000000" w:themeColor="text1"/>
                </w:rPr>
                <w:alias w:val="Nurodykite konkrečią dieną"/>
                <w:tag w:val="Nurodykite pradžios datą"/>
                <w:id w:val="1072468416"/>
                <w:placeholder>
                  <w:docPart w:val="E477024ECC96F3449F3ED282DC6DE953"/>
                </w:placeholder>
                <w:showingPlcHdr/>
                <w15:color w:val="FFCC99"/>
                <w:date w:fullDate="2023-04-27T00:00:00Z">
                  <w:dateFormat w:val="yyyy 'm.' MMMM d 'd.'"/>
                  <w:lid w:val="lt-LT"/>
                  <w:storeMappedDataAs w:val="dateTime"/>
                  <w:calendar w:val="gregorian"/>
                </w:date>
              </w:sdtPr>
              <w:sdtContent>
                <w:r w:rsidR="00D66CCF" w:rsidRPr="006E448F">
                  <w:rPr>
                    <w:rStyle w:val="PlaceholderText"/>
                  </w:rPr>
                  <w:t>Click here to enter a date.</w:t>
                </w:r>
              </w:sdtContent>
            </w:sdt>
          </w:p>
        </w:tc>
        <w:tc>
          <w:tcPr>
            <w:tcW w:w="4536" w:type="dxa"/>
            <w:gridSpan w:val="2"/>
          </w:tcPr>
          <w:p w14:paraId="1791246A" w14:textId="77777777" w:rsidR="00D66CCF" w:rsidRPr="006E448F" w:rsidRDefault="00D66CCF" w:rsidP="00E16073">
            <w:pPr>
              <w:spacing w:line="276" w:lineRule="auto"/>
              <w:jc w:val="both"/>
              <w:rPr>
                <w:rFonts w:eastAsia="Arial"/>
                <w:color w:val="000000" w:themeColor="text1"/>
              </w:rPr>
            </w:pPr>
            <w:r w:rsidRPr="006E448F">
              <w:rPr>
                <w:rFonts w:eastAsia="Arial"/>
                <w:color w:val="000000" w:themeColor="text1"/>
              </w:rPr>
              <w:t>Vertinimas atliekamas.</w:t>
            </w:r>
          </w:p>
        </w:tc>
      </w:tr>
      <w:tr w:rsidR="00D66CCF" w:rsidRPr="006E448F" w14:paraId="4FCDC6D1" w14:textId="77777777" w:rsidTr="00E16073">
        <w:trPr>
          <w:trHeight w:val="1927"/>
        </w:trPr>
        <w:tc>
          <w:tcPr>
            <w:tcW w:w="3539" w:type="dxa"/>
          </w:tcPr>
          <w:p w14:paraId="37D7333C" w14:textId="77777777" w:rsidR="00D66CCF" w:rsidRPr="006E448F" w:rsidRDefault="00D66CCF" w:rsidP="00E16073">
            <w:pPr>
              <w:spacing w:line="276" w:lineRule="auto"/>
              <w:jc w:val="both"/>
              <w:rPr>
                <w:rFonts w:eastAsia="Arial"/>
                <w:color w:val="000000" w:themeColor="text1"/>
              </w:rPr>
            </w:pPr>
            <w:r w:rsidRPr="006E448F">
              <w:rPr>
                <w:rFonts w:eastAsia="Arial"/>
                <w:color w:val="000000" w:themeColor="text1"/>
              </w:rPr>
              <w:lastRenderedPageBreak/>
              <w:t>Nacionalinis farmakoekonomikos centras, Airija</w:t>
            </w:r>
          </w:p>
          <w:p w14:paraId="55D565D4" w14:textId="77777777" w:rsidR="00D66CCF" w:rsidRPr="006E448F" w:rsidRDefault="00D66CCF" w:rsidP="00E16073">
            <w:pPr>
              <w:spacing w:line="276" w:lineRule="auto"/>
              <w:jc w:val="both"/>
              <w:rPr>
                <w:rFonts w:eastAsia="Arial"/>
                <w:color w:val="000000" w:themeColor="text1"/>
              </w:rPr>
            </w:pPr>
            <w:r w:rsidRPr="006E448F">
              <w:rPr>
                <w:rFonts w:eastAsia="Arial"/>
                <w:color w:val="000000" w:themeColor="text1"/>
              </w:rPr>
              <w:t>(angl.</w:t>
            </w:r>
            <w:r w:rsidRPr="006E448F">
              <w:rPr>
                <w:rFonts w:eastAsia="Arial"/>
                <w:i/>
                <w:color w:val="000000" w:themeColor="text1"/>
              </w:rPr>
              <w:t xml:space="preserve"> National Centre for Pharmacoeconomics, NCPE</w:t>
            </w:r>
            <w:r w:rsidRPr="006E448F">
              <w:rPr>
                <w:rFonts w:eastAsia="Arial"/>
                <w:color w:val="000000" w:themeColor="text1"/>
              </w:rPr>
              <w:t>)</w:t>
            </w:r>
          </w:p>
        </w:tc>
        <w:tc>
          <w:tcPr>
            <w:tcW w:w="1843" w:type="dxa"/>
          </w:tcPr>
          <w:p w14:paraId="76B05878" w14:textId="77777777" w:rsidR="00D66CCF" w:rsidRPr="006E448F" w:rsidRDefault="00000000" w:rsidP="00E16073">
            <w:pPr>
              <w:spacing w:line="276" w:lineRule="auto"/>
              <w:jc w:val="both"/>
              <w:rPr>
                <w:color w:val="000000" w:themeColor="text1"/>
              </w:rPr>
            </w:pPr>
            <w:sdt>
              <w:sdtPr>
                <w:rPr>
                  <w:rStyle w:val="Style2"/>
                  <w:color w:val="000000" w:themeColor="text1"/>
                </w:rPr>
                <w:id w:val="-1888403732"/>
                <w15:color w:val="FFCC00"/>
                <w14:checkbox>
                  <w14:checked w14:val="0"/>
                  <w14:checkedState w14:val="2612" w14:font="MS Gothic"/>
                  <w14:uncheckedState w14:val="2610" w14:font="MS Gothic"/>
                </w14:checkbox>
              </w:sdtPr>
              <w:sdtContent>
                <w:r w:rsidR="00D66CCF" w:rsidRPr="006E448F">
                  <w:rPr>
                    <w:rStyle w:val="Style2"/>
                    <w:rFonts w:ascii="MS Gothic" w:eastAsia="MS Gothic" w:hAnsi="MS Gothic" w:hint="eastAsia"/>
                    <w:color w:val="000000" w:themeColor="text1"/>
                  </w:rPr>
                  <w:t>☐</w:t>
                </w:r>
              </w:sdtContent>
            </w:sdt>
            <w:r w:rsidR="00D66CCF" w:rsidRPr="006E448F">
              <w:rPr>
                <w:color w:val="000000" w:themeColor="text1"/>
              </w:rPr>
              <w:t xml:space="preserve"> Taip</w:t>
            </w:r>
          </w:p>
          <w:p w14:paraId="663EE75B" w14:textId="77777777" w:rsidR="00D66CCF" w:rsidRPr="006E448F" w:rsidRDefault="00000000" w:rsidP="00E16073">
            <w:pPr>
              <w:spacing w:line="276" w:lineRule="auto"/>
              <w:jc w:val="both"/>
              <w:rPr>
                <w:color w:val="000000" w:themeColor="text1"/>
              </w:rPr>
            </w:pPr>
            <w:sdt>
              <w:sdtPr>
                <w:rPr>
                  <w:rStyle w:val="Style2"/>
                  <w:color w:val="000000" w:themeColor="text1"/>
                </w:rPr>
                <w:id w:val="1092201793"/>
                <w15:color w:val="FFCC00"/>
                <w14:checkbox>
                  <w14:checked w14:val="1"/>
                  <w14:checkedState w14:val="2612" w14:font="MS Gothic"/>
                  <w14:uncheckedState w14:val="2610" w14:font="MS Gothic"/>
                </w14:checkbox>
              </w:sdtPr>
              <w:sdtContent>
                <w:r w:rsidR="00D66CCF" w:rsidRPr="006E448F">
                  <w:rPr>
                    <w:rStyle w:val="Style2"/>
                    <w:rFonts w:ascii="MS Gothic" w:eastAsia="MS Gothic" w:hAnsi="MS Gothic" w:hint="eastAsia"/>
                    <w:color w:val="000000" w:themeColor="text1"/>
                  </w:rPr>
                  <w:t>☒</w:t>
                </w:r>
              </w:sdtContent>
            </w:sdt>
            <w:r w:rsidR="00D66CCF" w:rsidRPr="006E448F">
              <w:rPr>
                <w:color w:val="000000" w:themeColor="text1"/>
              </w:rPr>
              <w:t xml:space="preserve"> Ne</w:t>
            </w:r>
          </w:p>
          <w:p w14:paraId="163E8054" w14:textId="77777777" w:rsidR="00D66CCF" w:rsidRPr="006E448F" w:rsidRDefault="00000000" w:rsidP="00E16073">
            <w:pPr>
              <w:spacing w:line="276" w:lineRule="auto"/>
              <w:jc w:val="both"/>
              <w:rPr>
                <w:rFonts w:eastAsia="Arial"/>
                <w:i/>
                <w:iCs/>
                <w:color w:val="000000" w:themeColor="text1"/>
              </w:rPr>
            </w:pPr>
            <w:sdt>
              <w:sdtPr>
                <w:rPr>
                  <w:color w:val="000000" w:themeColor="text1"/>
                </w:rPr>
                <w:alias w:val="Nurodykite konkrečią dieną"/>
                <w:tag w:val="Nurodykite pradžios datą"/>
                <w:id w:val="596295199"/>
                <w:placeholder>
                  <w:docPart w:val="C6E02B3330E92B4580ABEDE3780D5FFB"/>
                </w:placeholder>
                <w:showingPlcHdr/>
                <w15:color w:val="FFCC99"/>
                <w:date w:fullDate="2023-04-27T00:00:00Z">
                  <w:dateFormat w:val="yyyy 'm.' MMMM d 'd.'"/>
                  <w:lid w:val="lt-LT"/>
                  <w:storeMappedDataAs w:val="dateTime"/>
                  <w:calendar w:val="gregorian"/>
                </w:date>
              </w:sdtPr>
              <w:sdtContent>
                <w:r w:rsidR="00D66CCF" w:rsidRPr="006E448F">
                  <w:rPr>
                    <w:rStyle w:val="PlaceholderText"/>
                  </w:rPr>
                  <w:t>Click here to enter a date.</w:t>
                </w:r>
              </w:sdtContent>
            </w:sdt>
          </w:p>
        </w:tc>
        <w:tc>
          <w:tcPr>
            <w:tcW w:w="4536" w:type="dxa"/>
            <w:gridSpan w:val="2"/>
          </w:tcPr>
          <w:p w14:paraId="76CDCA10" w14:textId="77777777" w:rsidR="00D66CCF" w:rsidRPr="006E448F" w:rsidRDefault="00D66CCF" w:rsidP="00E16073">
            <w:pPr>
              <w:spacing w:line="276" w:lineRule="auto"/>
              <w:jc w:val="both"/>
              <w:rPr>
                <w:rFonts w:eastAsia="Arial"/>
                <w:color w:val="000000" w:themeColor="text1"/>
                <w:lang w:val="en-US"/>
              </w:rPr>
            </w:pPr>
            <w:r w:rsidRPr="006E448F">
              <w:rPr>
                <w:rFonts w:eastAsia="Arial"/>
                <w:color w:val="000000" w:themeColor="text1"/>
              </w:rPr>
              <w:t xml:space="preserve">Greitoji peržiūra atlikta </w:t>
            </w:r>
            <w:r w:rsidRPr="006E448F">
              <w:rPr>
                <w:rFonts w:eastAsia="Arial"/>
                <w:color w:val="000000" w:themeColor="text1"/>
                <w:lang w:val="en-US"/>
              </w:rPr>
              <w:t xml:space="preserve">2024-09-16, </w:t>
            </w:r>
            <w:proofErr w:type="spellStart"/>
            <w:r w:rsidRPr="006E448F">
              <w:rPr>
                <w:rFonts w:eastAsia="Arial"/>
                <w:color w:val="000000" w:themeColor="text1"/>
                <w:lang w:val="en-US"/>
              </w:rPr>
              <w:t>vertinimas</w:t>
            </w:r>
            <w:proofErr w:type="spellEnd"/>
            <w:r w:rsidRPr="006E448F">
              <w:rPr>
                <w:rFonts w:eastAsia="Arial"/>
                <w:color w:val="000000" w:themeColor="text1"/>
                <w:lang w:val="en-US"/>
              </w:rPr>
              <w:t xml:space="preserve"> </w:t>
            </w:r>
            <w:proofErr w:type="spellStart"/>
            <w:r w:rsidRPr="006E448F">
              <w:rPr>
                <w:rFonts w:eastAsia="Arial"/>
                <w:color w:val="000000" w:themeColor="text1"/>
                <w:lang w:val="en-US"/>
              </w:rPr>
              <w:t>atliekamas</w:t>
            </w:r>
            <w:proofErr w:type="spellEnd"/>
            <w:r w:rsidRPr="006E448F">
              <w:rPr>
                <w:rFonts w:eastAsia="Arial"/>
                <w:color w:val="000000" w:themeColor="text1"/>
                <w:lang w:val="en-US"/>
              </w:rPr>
              <w:t>.</w:t>
            </w:r>
          </w:p>
        </w:tc>
      </w:tr>
    </w:tbl>
    <w:p w14:paraId="24511545" w14:textId="77777777" w:rsidR="00D66CCF" w:rsidRPr="006E448F" w:rsidRDefault="00D66CCF" w:rsidP="00D66CCF">
      <w:pPr>
        <w:spacing w:line="276" w:lineRule="auto"/>
        <w:jc w:val="both"/>
        <w:rPr>
          <w:rFonts w:eastAsia="Arial"/>
        </w:rPr>
      </w:pPr>
    </w:p>
    <w:p w14:paraId="20E38D87" w14:textId="77777777" w:rsidR="00997A8D" w:rsidRPr="006E448F" w:rsidRDefault="00997A8D" w:rsidP="00997A8D">
      <w:pPr>
        <w:spacing w:line="276" w:lineRule="auto"/>
        <w:jc w:val="both"/>
        <w:rPr>
          <w:rFonts w:eastAsia="Arial"/>
          <w:b/>
        </w:rPr>
      </w:pPr>
    </w:p>
    <w:p w14:paraId="25F89291" w14:textId="03338545" w:rsidR="00D4485B" w:rsidRPr="006E448F" w:rsidRDefault="00CC7832" w:rsidP="004537D0">
      <w:pPr>
        <w:pStyle w:val="ListParagraph"/>
        <w:numPr>
          <w:ilvl w:val="0"/>
          <w:numId w:val="12"/>
        </w:numPr>
        <w:tabs>
          <w:tab w:val="left" w:pos="567"/>
        </w:tabs>
        <w:ind w:hanging="720"/>
        <w:rPr>
          <w:b/>
          <w:bCs/>
          <w:caps/>
        </w:rPr>
      </w:pPr>
      <w:r w:rsidRPr="006E448F">
        <w:rPr>
          <w:b/>
          <w:bCs/>
          <w:caps/>
        </w:rPr>
        <w:t>Klinikinio vertinimo a</w:t>
      </w:r>
      <w:r w:rsidR="00D4485B" w:rsidRPr="006E448F">
        <w:rPr>
          <w:b/>
          <w:bCs/>
          <w:caps/>
        </w:rPr>
        <w:t>pibendrinimas</w:t>
      </w:r>
    </w:p>
    <w:p w14:paraId="23702E64" w14:textId="77777777" w:rsidR="004537D0" w:rsidRPr="006E448F" w:rsidRDefault="004537D0" w:rsidP="004537D0">
      <w:pPr>
        <w:tabs>
          <w:tab w:val="left" w:pos="567"/>
        </w:tabs>
        <w:rPr>
          <w:b/>
          <w:bCs/>
          <w:caps/>
        </w:rPr>
      </w:pPr>
    </w:p>
    <w:p w14:paraId="1CB58802" w14:textId="77777777" w:rsidR="00D66CCF" w:rsidRPr="006E448F" w:rsidRDefault="004537D0" w:rsidP="00D66CCF">
      <w:pPr>
        <w:tabs>
          <w:tab w:val="left" w:pos="426"/>
        </w:tabs>
        <w:spacing w:line="276" w:lineRule="auto"/>
        <w:jc w:val="both"/>
        <w:rPr>
          <w:rFonts w:eastAsia="Arial"/>
        </w:rPr>
      </w:pPr>
      <w:r w:rsidRPr="006E448F">
        <w:rPr>
          <w:rFonts w:eastAsia="Arial"/>
        </w:rPr>
        <w:tab/>
      </w:r>
      <w:r w:rsidR="00D66CCF" w:rsidRPr="006E448F">
        <w:rPr>
          <w:rFonts w:eastAsia="Arial"/>
        </w:rPr>
        <w:t xml:space="preserve">Storosios (gaubtinės) ir tiesiosios žarnos vėžys (angl. </w:t>
      </w:r>
      <w:r w:rsidR="00D66CCF" w:rsidRPr="006E448F">
        <w:rPr>
          <w:rFonts w:eastAsia="Arial"/>
          <w:i/>
          <w:iCs/>
        </w:rPr>
        <w:t>colorectal cancer, CRC</w:t>
      </w:r>
      <w:r w:rsidR="00D66CCF" w:rsidRPr="006E448F">
        <w:rPr>
          <w:rFonts w:eastAsia="Arial"/>
        </w:rPr>
        <w:t xml:space="preserve">) yra trečias dažniausias vėžinis susirgimas pasaulyje, sudarantis apie </w:t>
      </w:r>
      <w:r w:rsidR="00D66CCF" w:rsidRPr="006E448F">
        <w:rPr>
          <w:rFonts w:eastAsia="Arial"/>
          <w:lang w:val="en-US"/>
        </w:rPr>
        <w:t xml:space="preserve">10 proc. </w:t>
      </w:r>
      <w:r w:rsidR="00D66CCF" w:rsidRPr="006E448F">
        <w:rPr>
          <w:rFonts w:eastAsia="Arial"/>
        </w:rPr>
        <w:t xml:space="preserve">visų diagnozuojamų navikų, bei mirčių dėl onkologinių susirgimų dalį. </w:t>
      </w:r>
    </w:p>
    <w:p w14:paraId="7B2F6B92" w14:textId="77777777" w:rsidR="00D66CCF" w:rsidRPr="006E448F" w:rsidRDefault="00D66CCF" w:rsidP="00D66CCF">
      <w:pPr>
        <w:tabs>
          <w:tab w:val="left" w:pos="426"/>
        </w:tabs>
        <w:spacing w:line="276" w:lineRule="auto"/>
        <w:jc w:val="both"/>
        <w:rPr>
          <w:lang w:val="en-GB"/>
        </w:rPr>
      </w:pPr>
      <w:r w:rsidRPr="006E448F">
        <w:rPr>
          <w:rFonts w:eastAsia="Arial"/>
        </w:rPr>
        <w:tab/>
        <w:t xml:space="preserve">Ši agresyvi vėžio forma dažnai diagnozuojama vėlyvose stadijose, kai chirurginis gydymas yra neįmanomas: </w:t>
      </w:r>
      <w:r w:rsidRPr="006E448F">
        <w:t xml:space="preserve">diagnozės metu, nuo </w:t>
      </w:r>
      <w:r w:rsidRPr="006E448F">
        <w:rPr>
          <w:lang w:val="en-US"/>
        </w:rPr>
        <w:t xml:space="preserve">19 </w:t>
      </w:r>
      <w:proofErr w:type="spellStart"/>
      <w:r w:rsidRPr="006E448F">
        <w:rPr>
          <w:lang w:val="en-US"/>
        </w:rPr>
        <w:t>iki</w:t>
      </w:r>
      <w:proofErr w:type="spellEnd"/>
      <w:r w:rsidRPr="006E448F">
        <w:rPr>
          <w:lang w:val="en-US"/>
        </w:rPr>
        <w:t xml:space="preserve"> 31 </w:t>
      </w:r>
      <w:r w:rsidRPr="006E448F">
        <w:t xml:space="preserve">proc. atvejų, liga jau būna metastazavusi (angl. </w:t>
      </w:r>
      <w:r w:rsidRPr="006E448F">
        <w:rPr>
          <w:i/>
          <w:iCs/>
        </w:rPr>
        <w:t>metastatic colorectal cancer, mCRC</w:t>
      </w:r>
      <w:r w:rsidRPr="006E448F">
        <w:t xml:space="preserve">). </w:t>
      </w:r>
      <w:r w:rsidRPr="006E448F">
        <w:rPr>
          <w:rFonts w:eastAsia="Arial"/>
        </w:rPr>
        <w:t xml:space="preserve">Kasmet dėl CRC miršta daugiau nei 900 000 žmonių visame pasaulyje, </w:t>
      </w:r>
      <w:r w:rsidRPr="006E448F">
        <w:t>prognozuojama, kad ilgainiui sergamumas CRC pasaulyje didės ir 2035 m. sieks iki 2-5 mln. daugiau naujų atvejų.</w:t>
      </w:r>
    </w:p>
    <w:p w14:paraId="653EBEBE" w14:textId="77777777" w:rsidR="00D66CCF" w:rsidRPr="006E448F" w:rsidRDefault="00D66CCF" w:rsidP="00D66CCF">
      <w:pPr>
        <w:tabs>
          <w:tab w:val="left" w:pos="426"/>
        </w:tabs>
        <w:spacing w:line="276" w:lineRule="auto"/>
        <w:jc w:val="both"/>
        <w:rPr>
          <w:rFonts w:eastAsia="Arial"/>
        </w:rPr>
      </w:pPr>
      <w:r w:rsidRPr="006E448F">
        <w:rPr>
          <w:rFonts w:eastAsia="Arial"/>
        </w:rPr>
        <w:tab/>
        <w:t xml:space="preserve">Remiantis </w:t>
      </w:r>
      <w:proofErr w:type="spellStart"/>
      <w:r w:rsidRPr="006E448F">
        <w:rPr>
          <w:lang w:val="en-GB"/>
        </w:rPr>
        <w:t>Nacionalinio</w:t>
      </w:r>
      <w:proofErr w:type="spellEnd"/>
      <w:r w:rsidRPr="006E448F">
        <w:rPr>
          <w:lang w:val="en-GB"/>
        </w:rPr>
        <w:t xml:space="preserve"> </w:t>
      </w:r>
      <w:proofErr w:type="spellStart"/>
      <w:r w:rsidRPr="006E448F">
        <w:rPr>
          <w:lang w:val="en-GB"/>
        </w:rPr>
        <w:t>vėžio</w:t>
      </w:r>
      <w:proofErr w:type="spellEnd"/>
      <w:r w:rsidRPr="006E448F">
        <w:rPr>
          <w:lang w:val="en-GB"/>
        </w:rPr>
        <w:t xml:space="preserve"> </w:t>
      </w:r>
      <w:proofErr w:type="spellStart"/>
      <w:r w:rsidRPr="006E448F">
        <w:rPr>
          <w:lang w:val="en-GB"/>
        </w:rPr>
        <w:t>instituto</w:t>
      </w:r>
      <w:proofErr w:type="spellEnd"/>
      <w:r w:rsidRPr="006E448F">
        <w:rPr>
          <w:lang w:val="en-GB"/>
        </w:rPr>
        <w:t xml:space="preserve"> </w:t>
      </w:r>
      <w:proofErr w:type="spellStart"/>
      <w:r w:rsidRPr="006E448F">
        <w:rPr>
          <w:lang w:val="en-GB"/>
        </w:rPr>
        <w:t>duomenimis</w:t>
      </w:r>
      <w:proofErr w:type="spellEnd"/>
      <w:r w:rsidRPr="006E448F">
        <w:rPr>
          <w:lang w:val="en-GB"/>
        </w:rPr>
        <w:t xml:space="preserve">, 2012 m. </w:t>
      </w:r>
      <w:proofErr w:type="spellStart"/>
      <w:r w:rsidRPr="006E448F">
        <w:rPr>
          <w:lang w:val="en-GB"/>
        </w:rPr>
        <w:t>Lietuvoje</w:t>
      </w:r>
      <w:proofErr w:type="spellEnd"/>
      <w:r w:rsidRPr="006E448F">
        <w:rPr>
          <w:lang w:val="en-GB"/>
        </w:rPr>
        <w:t xml:space="preserve"> </w:t>
      </w:r>
      <w:proofErr w:type="spellStart"/>
      <w:r w:rsidRPr="006E448F">
        <w:rPr>
          <w:lang w:val="en-GB"/>
        </w:rPr>
        <w:t>buvo</w:t>
      </w:r>
      <w:proofErr w:type="spellEnd"/>
      <w:r w:rsidRPr="006E448F">
        <w:rPr>
          <w:lang w:val="en-GB"/>
        </w:rPr>
        <w:t xml:space="preserve"> </w:t>
      </w:r>
      <w:proofErr w:type="spellStart"/>
      <w:r w:rsidRPr="006E448F">
        <w:rPr>
          <w:lang w:val="en-GB"/>
        </w:rPr>
        <w:t>diagnozuoti</w:t>
      </w:r>
      <w:proofErr w:type="spellEnd"/>
      <w:r w:rsidRPr="006E448F">
        <w:rPr>
          <w:lang w:val="en-GB"/>
        </w:rPr>
        <w:t xml:space="preserve"> 1 679 </w:t>
      </w:r>
      <w:proofErr w:type="spellStart"/>
      <w:r w:rsidRPr="006E448F">
        <w:rPr>
          <w:lang w:val="en-GB"/>
        </w:rPr>
        <w:t>nauji</w:t>
      </w:r>
      <w:proofErr w:type="spellEnd"/>
      <w:r w:rsidRPr="006E448F">
        <w:rPr>
          <w:rFonts w:eastAsia="Arial"/>
        </w:rPr>
        <w:t xml:space="preserve"> </w:t>
      </w:r>
      <w:proofErr w:type="spellStart"/>
      <w:r w:rsidRPr="006E448F">
        <w:rPr>
          <w:lang w:val="en-GB"/>
        </w:rPr>
        <w:t>storosios</w:t>
      </w:r>
      <w:proofErr w:type="spellEnd"/>
      <w:r w:rsidRPr="006E448F">
        <w:rPr>
          <w:lang w:val="en-GB"/>
        </w:rPr>
        <w:t xml:space="preserve"> </w:t>
      </w:r>
      <w:proofErr w:type="spellStart"/>
      <w:r w:rsidRPr="006E448F">
        <w:rPr>
          <w:lang w:val="en-GB"/>
        </w:rPr>
        <w:t>žarnos</w:t>
      </w:r>
      <w:proofErr w:type="spellEnd"/>
      <w:r w:rsidRPr="006E448F">
        <w:rPr>
          <w:lang w:val="en-GB"/>
        </w:rPr>
        <w:t xml:space="preserve"> </w:t>
      </w:r>
      <w:proofErr w:type="spellStart"/>
      <w:r w:rsidRPr="006E448F">
        <w:rPr>
          <w:lang w:val="en-GB"/>
        </w:rPr>
        <w:t>piktybinių</w:t>
      </w:r>
      <w:proofErr w:type="spellEnd"/>
      <w:r w:rsidRPr="006E448F">
        <w:rPr>
          <w:lang w:val="en-GB"/>
        </w:rPr>
        <w:t xml:space="preserve"> </w:t>
      </w:r>
      <w:proofErr w:type="spellStart"/>
      <w:r w:rsidRPr="006E448F">
        <w:rPr>
          <w:lang w:val="en-GB"/>
        </w:rPr>
        <w:t>navikų</w:t>
      </w:r>
      <w:proofErr w:type="spellEnd"/>
      <w:r w:rsidRPr="006E448F">
        <w:rPr>
          <w:lang w:val="en-GB"/>
        </w:rPr>
        <w:t xml:space="preserve"> </w:t>
      </w:r>
      <w:proofErr w:type="spellStart"/>
      <w:r w:rsidRPr="006E448F">
        <w:rPr>
          <w:lang w:val="en-GB"/>
        </w:rPr>
        <w:t>atvejai</w:t>
      </w:r>
      <w:proofErr w:type="spellEnd"/>
      <w:r w:rsidRPr="006E448F">
        <w:rPr>
          <w:lang w:val="en-GB"/>
        </w:rPr>
        <w:t xml:space="preserve"> (952 </w:t>
      </w:r>
      <w:proofErr w:type="spellStart"/>
      <w:r w:rsidRPr="006E448F">
        <w:rPr>
          <w:lang w:val="en-GB"/>
        </w:rPr>
        <w:t>gaubtinės</w:t>
      </w:r>
      <w:proofErr w:type="spellEnd"/>
      <w:r w:rsidRPr="006E448F">
        <w:rPr>
          <w:lang w:val="en-GB"/>
        </w:rPr>
        <w:t xml:space="preserve"> </w:t>
      </w:r>
      <w:proofErr w:type="spellStart"/>
      <w:r w:rsidRPr="006E448F">
        <w:rPr>
          <w:lang w:val="en-GB"/>
        </w:rPr>
        <w:t>žarnos</w:t>
      </w:r>
      <w:proofErr w:type="spellEnd"/>
      <w:r w:rsidRPr="006E448F">
        <w:rPr>
          <w:lang w:val="en-GB"/>
        </w:rPr>
        <w:t xml:space="preserve"> </w:t>
      </w:r>
      <w:proofErr w:type="spellStart"/>
      <w:r w:rsidRPr="006E448F">
        <w:rPr>
          <w:lang w:val="en-GB"/>
        </w:rPr>
        <w:t>ir</w:t>
      </w:r>
      <w:proofErr w:type="spellEnd"/>
      <w:r w:rsidRPr="006E448F">
        <w:rPr>
          <w:lang w:val="en-GB"/>
        </w:rPr>
        <w:t xml:space="preserve"> 727 </w:t>
      </w:r>
      <w:proofErr w:type="spellStart"/>
      <w:r w:rsidRPr="006E448F">
        <w:rPr>
          <w:lang w:val="en-GB"/>
        </w:rPr>
        <w:t>tiesiosios</w:t>
      </w:r>
      <w:proofErr w:type="spellEnd"/>
      <w:r w:rsidRPr="006E448F">
        <w:rPr>
          <w:lang w:val="en-GB"/>
        </w:rPr>
        <w:t xml:space="preserve"> </w:t>
      </w:r>
      <w:proofErr w:type="spellStart"/>
      <w:r w:rsidRPr="006E448F">
        <w:rPr>
          <w:lang w:val="en-GB"/>
        </w:rPr>
        <w:t>žarnos</w:t>
      </w:r>
      <w:proofErr w:type="spellEnd"/>
      <w:r w:rsidRPr="006E448F">
        <w:rPr>
          <w:lang w:val="en-GB"/>
        </w:rPr>
        <w:t>). 2012 m.</w:t>
      </w:r>
      <w:r w:rsidRPr="006E448F">
        <w:rPr>
          <w:rFonts w:eastAsia="Arial"/>
        </w:rPr>
        <w:t xml:space="preserve"> </w:t>
      </w:r>
      <w:proofErr w:type="spellStart"/>
      <w:r w:rsidRPr="006E448F">
        <w:rPr>
          <w:lang w:val="en-GB"/>
        </w:rPr>
        <w:t>nuo</w:t>
      </w:r>
      <w:proofErr w:type="spellEnd"/>
      <w:r w:rsidRPr="006E448F">
        <w:rPr>
          <w:lang w:val="en-GB"/>
        </w:rPr>
        <w:t xml:space="preserve"> </w:t>
      </w:r>
      <w:proofErr w:type="spellStart"/>
      <w:r w:rsidRPr="006E448F">
        <w:rPr>
          <w:lang w:val="en-GB"/>
        </w:rPr>
        <w:t>storosios</w:t>
      </w:r>
      <w:proofErr w:type="spellEnd"/>
      <w:r w:rsidRPr="006E448F">
        <w:rPr>
          <w:lang w:val="en-GB"/>
        </w:rPr>
        <w:t xml:space="preserve"> </w:t>
      </w:r>
      <w:proofErr w:type="spellStart"/>
      <w:r w:rsidRPr="006E448F">
        <w:rPr>
          <w:lang w:val="en-GB"/>
        </w:rPr>
        <w:t>žarnos</w:t>
      </w:r>
      <w:proofErr w:type="spellEnd"/>
      <w:r w:rsidRPr="006E448F">
        <w:rPr>
          <w:lang w:val="en-GB"/>
        </w:rPr>
        <w:t xml:space="preserve"> </w:t>
      </w:r>
      <w:proofErr w:type="spellStart"/>
      <w:r w:rsidRPr="006E448F">
        <w:rPr>
          <w:lang w:val="en-GB"/>
        </w:rPr>
        <w:t>piktybinių</w:t>
      </w:r>
      <w:proofErr w:type="spellEnd"/>
      <w:r w:rsidRPr="006E448F">
        <w:rPr>
          <w:lang w:val="en-GB"/>
        </w:rPr>
        <w:t xml:space="preserve"> </w:t>
      </w:r>
      <w:proofErr w:type="spellStart"/>
      <w:r w:rsidRPr="006E448F">
        <w:rPr>
          <w:lang w:val="en-GB"/>
        </w:rPr>
        <w:t>navikų</w:t>
      </w:r>
      <w:proofErr w:type="spellEnd"/>
      <w:r w:rsidRPr="006E448F">
        <w:rPr>
          <w:lang w:val="en-GB"/>
        </w:rPr>
        <w:t xml:space="preserve"> </w:t>
      </w:r>
      <w:proofErr w:type="spellStart"/>
      <w:r w:rsidRPr="006E448F">
        <w:rPr>
          <w:lang w:val="en-GB"/>
        </w:rPr>
        <w:t>mirė</w:t>
      </w:r>
      <w:proofErr w:type="spellEnd"/>
      <w:r w:rsidRPr="006E448F">
        <w:rPr>
          <w:lang w:val="en-GB"/>
        </w:rPr>
        <w:t xml:space="preserve"> 927 </w:t>
      </w:r>
      <w:proofErr w:type="spellStart"/>
      <w:r w:rsidRPr="006E448F">
        <w:rPr>
          <w:lang w:val="en-GB"/>
        </w:rPr>
        <w:t>asmenys</w:t>
      </w:r>
      <w:proofErr w:type="spellEnd"/>
      <w:r w:rsidRPr="006E448F">
        <w:rPr>
          <w:lang w:val="en-GB"/>
        </w:rPr>
        <w:t xml:space="preserve"> (516 </w:t>
      </w:r>
      <w:proofErr w:type="spellStart"/>
      <w:r w:rsidRPr="006E448F">
        <w:rPr>
          <w:lang w:val="en-GB"/>
        </w:rPr>
        <w:t>nuo</w:t>
      </w:r>
      <w:proofErr w:type="spellEnd"/>
      <w:r w:rsidRPr="006E448F">
        <w:rPr>
          <w:lang w:val="en-GB"/>
        </w:rPr>
        <w:t xml:space="preserve"> </w:t>
      </w:r>
      <w:proofErr w:type="spellStart"/>
      <w:r w:rsidRPr="006E448F">
        <w:rPr>
          <w:lang w:val="en-GB"/>
        </w:rPr>
        <w:t>gaubtinės</w:t>
      </w:r>
      <w:proofErr w:type="spellEnd"/>
      <w:r w:rsidRPr="006E448F">
        <w:rPr>
          <w:lang w:val="en-GB"/>
        </w:rPr>
        <w:t xml:space="preserve"> </w:t>
      </w:r>
      <w:proofErr w:type="spellStart"/>
      <w:r w:rsidRPr="006E448F">
        <w:rPr>
          <w:lang w:val="en-GB"/>
        </w:rPr>
        <w:t>žarnos</w:t>
      </w:r>
      <w:proofErr w:type="spellEnd"/>
      <w:r w:rsidRPr="006E448F">
        <w:rPr>
          <w:lang w:val="en-GB"/>
        </w:rPr>
        <w:t xml:space="preserve"> </w:t>
      </w:r>
      <w:proofErr w:type="spellStart"/>
      <w:r w:rsidRPr="006E448F">
        <w:rPr>
          <w:lang w:val="en-GB"/>
        </w:rPr>
        <w:t>piktybinio</w:t>
      </w:r>
      <w:proofErr w:type="spellEnd"/>
    </w:p>
    <w:p w14:paraId="33285EDC" w14:textId="77777777" w:rsidR="00D66CCF" w:rsidRPr="006E448F" w:rsidRDefault="00D66CCF" w:rsidP="00D66CCF">
      <w:pPr>
        <w:tabs>
          <w:tab w:val="left" w:pos="426"/>
        </w:tabs>
        <w:spacing w:line="276" w:lineRule="auto"/>
        <w:jc w:val="both"/>
        <w:rPr>
          <w:rFonts w:eastAsia="Arial"/>
        </w:rPr>
      </w:pPr>
      <w:proofErr w:type="spellStart"/>
      <w:r w:rsidRPr="006E448F">
        <w:rPr>
          <w:lang w:val="en-GB"/>
        </w:rPr>
        <w:t>naviko</w:t>
      </w:r>
      <w:proofErr w:type="spellEnd"/>
      <w:r w:rsidRPr="006E448F">
        <w:rPr>
          <w:lang w:val="en-GB"/>
        </w:rPr>
        <w:t xml:space="preserve"> </w:t>
      </w:r>
      <w:proofErr w:type="spellStart"/>
      <w:r w:rsidRPr="006E448F">
        <w:rPr>
          <w:lang w:val="en-GB"/>
        </w:rPr>
        <w:t>ir</w:t>
      </w:r>
      <w:proofErr w:type="spellEnd"/>
      <w:r w:rsidRPr="006E448F">
        <w:rPr>
          <w:lang w:val="en-GB"/>
        </w:rPr>
        <w:t xml:space="preserve"> 411 </w:t>
      </w:r>
      <w:proofErr w:type="spellStart"/>
      <w:r w:rsidRPr="006E448F">
        <w:rPr>
          <w:lang w:val="en-GB"/>
        </w:rPr>
        <w:t>nuo</w:t>
      </w:r>
      <w:proofErr w:type="spellEnd"/>
      <w:r w:rsidRPr="006E448F">
        <w:rPr>
          <w:lang w:val="en-GB"/>
        </w:rPr>
        <w:t xml:space="preserve"> </w:t>
      </w:r>
      <w:proofErr w:type="spellStart"/>
      <w:r w:rsidRPr="006E448F">
        <w:rPr>
          <w:lang w:val="en-GB"/>
        </w:rPr>
        <w:t>tiesiosios</w:t>
      </w:r>
      <w:proofErr w:type="spellEnd"/>
      <w:r w:rsidRPr="006E448F">
        <w:rPr>
          <w:lang w:val="en-GB"/>
        </w:rPr>
        <w:t xml:space="preserve"> </w:t>
      </w:r>
      <w:proofErr w:type="spellStart"/>
      <w:r w:rsidRPr="006E448F">
        <w:rPr>
          <w:lang w:val="en-GB"/>
        </w:rPr>
        <w:t>žarnos</w:t>
      </w:r>
      <w:proofErr w:type="spellEnd"/>
      <w:r w:rsidRPr="006E448F">
        <w:rPr>
          <w:lang w:val="en-GB"/>
        </w:rPr>
        <w:t xml:space="preserve"> </w:t>
      </w:r>
      <w:proofErr w:type="spellStart"/>
      <w:r w:rsidRPr="006E448F">
        <w:rPr>
          <w:lang w:val="en-GB"/>
        </w:rPr>
        <w:t>piktybinio</w:t>
      </w:r>
      <w:proofErr w:type="spellEnd"/>
      <w:r w:rsidRPr="006E448F">
        <w:rPr>
          <w:lang w:val="en-GB"/>
        </w:rPr>
        <w:t xml:space="preserve"> </w:t>
      </w:r>
      <w:proofErr w:type="spellStart"/>
      <w:r w:rsidRPr="006E448F">
        <w:rPr>
          <w:lang w:val="en-GB"/>
        </w:rPr>
        <w:t>naviko</w:t>
      </w:r>
      <w:proofErr w:type="spellEnd"/>
      <w:r w:rsidRPr="006E448F">
        <w:rPr>
          <w:lang w:val="en-GB"/>
        </w:rPr>
        <w:t xml:space="preserve">). </w:t>
      </w:r>
      <w:proofErr w:type="spellStart"/>
      <w:r w:rsidRPr="006E448F">
        <w:rPr>
          <w:lang w:val="en-GB"/>
        </w:rPr>
        <w:t>Sergamumo</w:t>
      </w:r>
      <w:proofErr w:type="spellEnd"/>
      <w:r w:rsidRPr="006E448F">
        <w:rPr>
          <w:lang w:val="en-GB"/>
        </w:rPr>
        <w:t xml:space="preserve"> </w:t>
      </w:r>
      <w:proofErr w:type="spellStart"/>
      <w:r w:rsidRPr="006E448F">
        <w:rPr>
          <w:lang w:val="en-GB"/>
        </w:rPr>
        <w:t>ir</w:t>
      </w:r>
      <w:proofErr w:type="spellEnd"/>
      <w:r w:rsidRPr="006E448F">
        <w:rPr>
          <w:lang w:val="en-GB"/>
        </w:rPr>
        <w:t xml:space="preserve"> </w:t>
      </w:r>
      <w:proofErr w:type="spellStart"/>
      <w:r w:rsidRPr="006E448F">
        <w:rPr>
          <w:lang w:val="en-GB"/>
        </w:rPr>
        <w:t>mirštamumo</w:t>
      </w:r>
      <w:proofErr w:type="spellEnd"/>
      <w:r w:rsidRPr="006E448F">
        <w:rPr>
          <w:lang w:val="en-GB"/>
        </w:rPr>
        <w:t xml:space="preserve"> </w:t>
      </w:r>
      <w:proofErr w:type="spellStart"/>
      <w:r w:rsidRPr="006E448F">
        <w:rPr>
          <w:lang w:val="en-GB"/>
        </w:rPr>
        <w:t>rodikliai</w:t>
      </w:r>
      <w:proofErr w:type="spellEnd"/>
      <w:r w:rsidRPr="006E448F">
        <w:rPr>
          <w:lang w:val="en-GB"/>
        </w:rPr>
        <w:t xml:space="preserve"> </w:t>
      </w:r>
      <w:proofErr w:type="spellStart"/>
      <w:r w:rsidRPr="006E448F">
        <w:rPr>
          <w:lang w:val="en-GB"/>
        </w:rPr>
        <w:t>skirtinguose</w:t>
      </w:r>
      <w:proofErr w:type="spellEnd"/>
      <w:r w:rsidRPr="006E448F">
        <w:rPr>
          <w:lang w:val="en-GB"/>
        </w:rPr>
        <w:t xml:space="preserve"> Lietuvos </w:t>
      </w:r>
      <w:proofErr w:type="spellStart"/>
      <w:r w:rsidRPr="006E448F">
        <w:rPr>
          <w:lang w:val="en-GB"/>
        </w:rPr>
        <w:t>regionuose</w:t>
      </w:r>
      <w:proofErr w:type="spellEnd"/>
      <w:r w:rsidRPr="006E448F">
        <w:rPr>
          <w:lang w:val="en-GB"/>
        </w:rPr>
        <w:t xml:space="preserve"> </w:t>
      </w:r>
      <w:proofErr w:type="spellStart"/>
      <w:r w:rsidRPr="006E448F">
        <w:rPr>
          <w:lang w:val="en-GB"/>
        </w:rPr>
        <w:t>netolygūs</w:t>
      </w:r>
      <w:proofErr w:type="spellEnd"/>
      <w:r w:rsidRPr="006E448F">
        <w:rPr>
          <w:lang w:val="en-GB"/>
        </w:rPr>
        <w:t xml:space="preserve">, </w:t>
      </w:r>
      <w:proofErr w:type="spellStart"/>
      <w:r w:rsidRPr="006E448F">
        <w:rPr>
          <w:lang w:val="en-GB"/>
        </w:rPr>
        <w:t>tačiau</w:t>
      </w:r>
      <w:proofErr w:type="spellEnd"/>
      <w:r w:rsidRPr="006E448F">
        <w:rPr>
          <w:lang w:val="en-GB"/>
        </w:rPr>
        <w:t xml:space="preserve"> </w:t>
      </w:r>
      <w:proofErr w:type="spellStart"/>
      <w:r w:rsidRPr="006E448F">
        <w:rPr>
          <w:lang w:val="en-GB"/>
        </w:rPr>
        <w:t>stebima</w:t>
      </w:r>
      <w:proofErr w:type="spellEnd"/>
      <w:r w:rsidRPr="006E448F">
        <w:rPr>
          <w:lang w:val="en-GB"/>
        </w:rPr>
        <w:t xml:space="preserve"> </w:t>
      </w:r>
      <w:proofErr w:type="spellStart"/>
      <w:r w:rsidRPr="006E448F">
        <w:rPr>
          <w:lang w:val="en-GB"/>
        </w:rPr>
        <w:t>tolygiai</w:t>
      </w:r>
      <w:proofErr w:type="spellEnd"/>
      <w:r w:rsidRPr="006E448F">
        <w:rPr>
          <w:lang w:val="en-GB"/>
        </w:rPr>
        <w:t xml:space="preserve"> </w:t>
      </w:r>
      <w:proofErr w:type="spellStart"/>
      <w:r w:rsidRPr="006E448F">
        <w:rPr>
          <w:lang w:val="en-GB"/>
        </w:rPr>
        <w:t>didėjanti</w:t>
      </w:r>
      <w:proofErr w:type="spellEnd"/>
      <w:r w:rsidRPr="006E448F">
        <w:rPr>
          <w:lang w:val="en-GB"/>
        </w:rPr>
        <w:t xml:space="preserve"> </w:t>
      </w:r>
      <w:proofErr w:type="spellStart"/>
      <w:r w:rsidRPr="006E448F">
        <w:rPr>
          <w:lang w:val="en-GB"/>
        </w:rPr>
        <w:t>sergamumo</w:t>
      </w:r>
      <w:proofErr w:type="spellEnd"/>
      <w:r w:rsidRPr="006E448F">
        <w:rPr>
          <w:lang w:val="en-GB"/>
        </w:rPr>
        <w:t xml:space="preserve"> </w:t>
      </w:r>
      <w:proofErr w:type="spellStart"/>
      <w:r w:rsidRPr="006E448F">
        <w:rPr>
          <w:lang w:val="en-GB"/>
        </w:rPr>
        <w:t>tendencija</w:t>
      </w:r>
      <w:proofErr w:type="spellEnd"/>
      <w:r w:rsidRPr="006E448F">
        <w:rPr>
          <w:rFonts w:eastAsia="Arial"/>
        </w:rPr>
        <w:t xml:space="preserve">.  </w:t>
      </w:r>
    </w:p>
    <w:p w14:paraId="2ECBDD9D" w14:textId="77777777" w:rsidR="00D66CCF" w:rsidRPr="006E448F" w:rsidRDefault="00D66CCF" w:rsidP="00D66CCF">
      <w:pPr>
        <w:tabs>
          <w:tab w:val="left" w:pos="426"/>
        </w:tabs>
        <w:spacing w:line="276" w:lineRule="auto"/>
        <w:jc w:val="both"/>
        <w:rPr>
          <w:rFonts w:eastAsia="Arial"/>
        </w:rPr>
      </w:pPr>
      <w:r w:rsidRPr="006E448F">
        <w:rPr>
          <w:rFonts w:eastAsia="Arial"/>
        </w:rPr>
        <w:tab/>
        <w:t>Šiuo metu Lietuvoje plačiausiai rekomenduojami pirmos eilės (</w:t>
      </w:r>
      <w:r w:rsidRPr="006E448F">
        <w:rPr>
          <w:rFonts w:eastAsia="Arial"/>
          <w:lang w:val="en-US"/>
        </w:rPr>
        <w:t>1L</w:t>
      </w:r>
      <w:r w:rsidRPr="006E448F">
        <w:rPr>
          <w:rFonts w:eastAsia="Arial"/>
        </w:rPr>
        <w:t xml:space="preserve">) ir antros eilės (2L) mCRC gydymo būdai apima fluoropirimidino, oksaliplatinos ir (arba) irinotekano chemoterapiją, kuri gali būti derinama su tikslinėmis </w:t>
      </w:r>
      <w:r w:rsidRPr="006E448F">
        <w:t xml:space="preserve">anti–VEGF (angl. </w:t>
      </w:r>
      <w:r w:rsidRPr="006E448F">
        <w:rPr>
          <w:i/>
          <w:iCs/>
        </w:rPr>
        <w:t>vascular endothelial growth factor</w:t>
      </w:r>
      <w:r w:rsidRPr="006E448F">
        <w:t xml:space="preserve">) ir anti–EGFR (angl. </w:t>
      </w:r>
      <w:r w:rsidRPr="006E448F">
        <w:rPr>
          <w:i/>
          <w:iCs/>
        </w:rPr>
        <w:t>epidermal growth factor receptor</w:t>
      </w:r>
      <w:r w:rsidRPr="006E448F">
        <w:t xml:space="preserve">) </w:t>
      </w:r>
      <w:r w:rsidRPr="006E448F">
        <w:rPr>
          <w:rFonts w:eastAsia="Arial"/>
        </w:rPr>
        <w:t xml:space="preserve">terapijomis. Kiti tiksliniai gydymo būdai, anti-PD-1 / PD-L1 (angl. </w:t>
      </w:r>
      <w:r w:rsidRPr="006E448F">
        <w:rPr>
          <w:rFonts w:eastAsia="Arial"/>
          <w:i/>
          <w:iCs/>
        </w:rPr>
        <w:t>programmed death</w:t>
      </w:r>
      <w:r w:rsidRPr="006E448F">
        <w:rPr>
          <w:rFonts w:eastAsia="Arial"/>
        </w:rPr>
        <w:t xml:space="preserve">-1 / </w:t>
      </w:r>
      <w:r w:rsidRPr="006E448F">
        <w:rPr>
          <w:rFonts w:eastAsia="Arial"/>
          <w:i/>
          <w:iCs/>
        </w:rPr>
        <w:t>programmed death-ligand</w:t>
      </w:r>
      <w:r w:rsidRPr="006E448F">
        <w:rPr>
          <w:rFonts w:eastAsia="Arial"/>
        </w:rPr>
        <w:t xml:space="preserve"> 1) terapija pacientams, sergantiems dMMR / MSI  (angl. </w:t>
      </w:r>
      <w:r w:rsidRPr="006E448F">
        <w:rPr>
          <w:rFonts w:eastAsia="Arial"/>
          <w:i/>
          <w:iCs/>
        </w:rPr>
        <w:t>deficient mismatch repair / microsatellite instability</w:t>
      </w:r>
      <w:r w:rsidRPr="006E448F">
        <w:rPr>
          <w:rFonts w:eastAsia="Arial"/>
        </w:rPr>
        <w:t xml:space="preserve">) navikais, BRAF (angl. </w:t>
      </w:r>
      <w:r w:rsidRPr="006E448F">
        <w:rPr>
          <w:rFonts w:eastAsia="Arial"/>
          <w:i/>
          <w:iCs/>
        </w:rPr>
        <w:t>b-raf proto-oncogene, serine/threonine kinase</w:t>
      </w:r>
      <w:r w:rsidRPr="006E448F">
        <w:rPr>
          <w:rFonts w:eastAsia="Arial"/>
        </w:rPr>
        <w:t xml:space="preserve">) kinazės inhibitorių terapiją 2L arba 3L + pacientams, turintiems BRAF mutacijų, anti-HER2 (angl. </w:t>
      </w:r>
      <w:r w:rsidRPr="006E448F">
        <w:rPr>
          <w:rFonts w:eastAsia="Arial"/>
          <w:i/>
          <w:iCs/>
        </w:rPr>
        <w:t>human epidermal growth factor receptor</w:t>
      </w:r>
      <w:r w:rsidRPr="006E448F">
        <w:rPr>
          <w:rFonts w:eastAsia="Arial"/>
        </w:rPr>
        <w:t xml:space="preserve">-2) vaistiniai preparatai 2L arba 3L + pacientams, sergantiems HER2+ CRC,  ir tropomiozinkinazės inhibitoriai 2L pacientams, su NTRK+ (angl. </w:t>
      </w:r>
      <w:r w:rsidRPr="006E448F">
        <w:rPr>
          <w:rFonts w:eastAsia="Arial"/>
          <w:i/>
          <w:iCs/>
        </w:rPr>
        <w:t>neurotrophic tyrosine receptor kinase</w:t>
      </w:r>
      <w:r w:rsidRPr="006E448F">
        <w:rPr>
          <w:rFonts w:eastAsia="Arial"/>
        </w:rPr>
        <w:t>) CRC.</w:t>
      </w:r>
    </w:p>
    <w:p w14:paraId="5E0192A5" w14:textId="77777777" w:rsidR="00D66CCF" w:rsidRPr="006E448F" w:rsidRDefault="00D66CCF" w:rsidP="00D66CCF">
      <w:pPr>
        <w:tabs>
          <w:tab w:val="left" w:pos="426"/>
        </w:tabs>
        <w:spacing w:line="276" w:lineRule="auto"/>
        <w:jc w:val="both"/>
        <w:rPr>
          <w:bCs/>
          <w:iCs/>
          <w:lang w:eastAsia="lt-LT"/>
        </w:rPr>
      </w:pPr>
      <w:r w:rsidRPr="006E448F">
        <w:rPr>
          <w:rFonts w:eastAsia="Arial"/>
        </w:rPr>
        <w:tab/>
      </w:r>
      <w:r w:rsidRPr="006E448F">
        <w:rPr>
          <w:bCs/>
          <w:iCs/>
          <w:lang w:eastAsia="lt-LT"/>
        </w:rPr>
        <w:t xml:space="preserve">Palyginamasis gydymas, geriausias palaikomasis gydymas (angl. </w:t>
      </w:r>
      <w:r w:rsidRPr="006E448F">
        <w:rPr>
          <w:bCs/>
          <w:i/>
          <w:lang w:eastAsia="lt-LT"/>
        </w:rPr>
        <w:t>best supportive care</w:t>
      </w:r>
      <w:r w:rsidRPr="006E448F">
        <w:rPr>
          <w:bCs/>
          <w:iCs/>
          <w:lang w:eastAsia="lt-LT"/>
        </w:rPr>
        <w:t>) laikomas atitinkančiu Paraiškos įrašyti vaistinį preparatą į kompensavimo sąrašus rengimo taisyklių patvirtintų Lietuvos Respublikos sveikatos apsaugos ministro 2002 m. balandžio 5 d. įsakymu Nr. V-159 „Dėl vaistinių preparatų ir medicinos pagalbos priemonių įrašymo į kompensavimo sąrašus ir jų keitimo tvarkos aprašo patvirtinimo“ 116–119 punktus.</w:t>
      </w:r>
    </w:p>
    <w:p w14:paraId="7D63B022" w14:textId="77777777" w:rsidR="00D66CCF" w:rsidRPr="006E448F" w:rsidRDefault="00D66CCF" w:rsidP="00D66CCF">
      <w:pPr>
        <w:tabs>
          <w:tab w:val="left" w:pos="426"/>
        </w:tabs>
        <w:spacing w:line="276" w:lineRule="auto"/>
        <w:jc w:val="both"/>
        <w:rPr>
          <w:rFonts w:eastAsia="Arial"/>
        </w:rPr>
      </w:pPr>
    </w:p>
    <w:p w14:paraId="746913A4" w14:textId="77777777" w:rsidR="00D66CCF" w:rsidRPr="006E448F" w:rsidRDefault="00D66CCF" w:rsidP="00D66CCF">
      <w:pPr>
        <w:tabs>
          <w:tab w:val="left" w:pos="426"/>
        </w:tabs>
        <w:spacing w:line="276" w:lineRule="auto"/>
        <w:jc w:val="both"/>
        <w:rPr>
          <w:rFonts w:eastAsia="Arial"/>
        </w:rPr>
      </w:pPr>
      <w:r w:rsidRPr="006E448F">
        <w:rPr>
          <w:rFonts w:eastAsia="Arial"/>
        </w:rPr>
        <w:tab/>
      </w:r>
      <w:r w:rsidRPr="006E448F">
        <w:rPr>
          <w:rFonts w:eastAsia="Arial"/>
          <w:u w:val="single"/>
        </w:rPr>
        <w:t>Tiesioginis palyginimas</w:t>
      </w:r>
    </w:p>
    <w:p w14:paraId="7E236E30" w14:textId="77777777" w:rsidR="00D66CCF" w:rsidRPr="006E448F" w:rsidRDefault="00D66CCF" w:rsidP="00D66CCF">
      <w:pPr>
        <w:spacing w:line="276" w:lineRule="auto"/>
        <w:ind w:firstLine="720"/>
        <w:jc w:val="both"/>
        <w:rPr>
          <w:rFonts w:eastAsia="Arial"/>
          <w:bCs/>
          <w:color w:val="000000" w:themeColor="text1"/>
        </w:rPr>
      </w:pPr>
      <w:r w:rsidRPr="006E448F">
        <w:rPr>
          <w:rFonts w:eastAsia="Arial"/>
          <w:bCs/>
        </w:rPr>
        <w:t xml:space="preserve">Klinikinis frukvintinibo efektyvumas vertinamas remiantis paraiškoje pateikto daugiacentrio, </w:t>
      </w:r>
      <w:r w:rsidRPr="006E448F">
        <w:rPr>
          <w:rFonts w:eastAsia="Arial"/>
        </w:rPr>
        <w:t>dvigubai koduoto, placebu kontroliuoto</w:t>
      </w:r>
      <w:r w:rsidRPr="006E448F">
        <w:rPr>
          <w:rFonts w:eastAsia="Arial"/>
          <w:bCs/>
        </w:rPr>
        <w:t xml:space="preserve">, atsitiktinių imčių </w:t>
      </w:r>
      <w:r w:rsidRPr="006E448F">
        <w:rPr>
          <w:rFonts w:eastAsia="Arial"/>
        </w:rPr>
        <w:t xml:space="preserve">FRESCO-2 </w:t>
      </w:r>
      <w:r w:rsidRPr="006E448F">
        <w:rPr>
          <w:rFonts w:eastAsia="Arial"/>
          <w:bCs/>
        </w:rPr>
        <w:t xml:space="preserve">klinikinio </w:t>
      </w:r>
      <w:r w:rsidRPr="006E448F">
        <w:rPr>
          <w:rFonts w:eastAsia="Arial"/>
          <w:bCs/>
          <w:u w:val="single"/>
        </w:rPr>
        <w:t>tiesioginio palyginimo</w:t>
      </w:r>
      <w:r w:rsidRPr="006E448F">
        <w:rPr>
          <w:rFonts w:eastAsia="Arial"/>
          <w:bCs/>
        </w:rPr>
        <w:t xml:space="preserve"> tyrimo metu. </w:t>
      </w:r>
      <w:r w:rsidRPr="006E448F">
        <w:t xml:space="preserve">FRESCO-2 tai 3 fazės klinikinis tyrimas, kuriame </w:t>
      </w:r>
      <w:r w:rsidRPr="006E448F">
        <w:rPr>
          <w:rFonts w:eastAsia="Arial"/>
          <w:bCs/>
          <w:color w:val="000000" w:themeColor="text1"/>
        </w:rPr>
        <w:t xml:space="preserve">frukvintinibo derinio su geriausiu palaikomuoju gydymu, BSC, klinikinis veiksmingumas ir saugumas buvo palyginti su gydymu BSC ir placebo deriniu, gydant suaugusius pacientus, sergančius mCRC, kurie anksčiau gydyti standartiniais registruotais vaistiniais preparatais, įskaitant fluoropirimidino, oksaliplatinos ir </w:t>
      </w:r>
      <w:r w:rsidRPr="006E448F">
        <w:rPr>
          <w:rFonts w:eastAsia="Arial"/>
          <w:bCs/>
          <w:color w:val="000000" w:themeColor="text1"/>
        </w:rPr>
        <w:lastRenderedPageBreak/>
        <w:t>irinotekano chemoterapiją; anti-VEGF biologinę terapiją; gydymą anti-EGFR preparatu, kai rastas laukinio tipo RAS, ir kuriems liga progresavo arba pacientai netoleravo gydymo trifluridinu / tipiracilu ir (arba) regorafenibu.</w:t>
      </w:r>
    </w:p>
    <w:p w14:paraId="30473222" w14:textId="77777777" w:rsidR="00D66CCF" w:rsidRPr="006E448F" w:rsidRDefault="00D66CCF" w:rsidP="00D66CCF">
      <w:pPr>
        <w:tabs>
          <w:tab w:val="left" w:pos="426"/>
        </w:tabs>
        <w:spacing w:line="276" w:lineRule="auto"/>
        <w:jc w:val="both"/>
        <w:rPr>
          <w:rFonts w:eastAsia="Arial"/>
          <w:color w:val="000000" w:themeColor="text1"/>
        </w:rPr>
      </w:pPr>
      <w:r w:rsidRPr="006E448F">
        <w:rPr>
          <w:rFonts w:eastAsia="Arial"/>
          <w:color w:val="000000" w:themeColor="text1"/>
        </w:rPr>
        <w:tab/>
        <w:t>FRESCO-</w:t>
      </w:r>
      <w:r w:rsidRPr="006E448F">
        <w:rPr>
          <w:rFonts w:eastAsia="Arial"/>
          <w:color w:val="000000" w:themeColor="text1"/>
          <w:lang w:val="en-US"/>
        </w:rPr>
        <w:t>2</w:t>
      </w:r>
      <w:r w:rsidRPr="006E448F">
        <w:rPr>
          <w:rFonts w:eastAsia="Arial"/>
          <w:color w:val="000000" w:themeColor="text1"/>
        </w:rPr>
        <w:t xml:space="preserve"> (</w:t>
      </w:r>
      <w:r w:rsidRPr="006E448F">
        <w:rPr>
          <w:rFonts w:eastAsia="Arial"/>
          <w:color w:val="000000" w:themeColor="text1"/>
          <w:lang w:val="en-GB"/>
        </w:rPr>
        <w:t>NCT04322539</w:t>
      </w:r>
      <w:r w:rsidRPr="006E448F">
        <w:rPr>
          <w:rFonts w:eastAsia="Arial"/>
          <w:color w:val="000000" w:themeColor="text1"/>
        </w:rPr>
        <w:t xml:space="preserve">) tyrimo populiacija- 691 suaugę pacientai, sergantys mCRC, anksčiau gydyti standartiniais registruotais vaistiniais preparatais, įskaitant fluoropirimidino, oksaliplatinos ir irinotekano chemoterapiją; anti-VEGF biologinę terapiją; </w:t>
      </w:r>
      <w:r w:rsidRPr="006E448F">
        <w:rPr>
          <w:rFonts w:eastAsia="Arial"/>
          <w:bCs/>
          <w:color w:val="000000" w:themeColor="text1"/>
        </w:rPr>
        <w:t>gydymą anti-EGFR preparatu, kai rastas laukinio tipo RAS, ir kuriems liga progresavo arba pacientai netoleravo gydymo trifluridinu / tipiracilu ir (arba) regorafenibu</w:t>
      </w:r>
      <w:r w:rsidRPr="006E448F">
        <w:rPr>
          <w:rFonts w:eastAsia="Arial"/>
          <w:color w:val="000000" w:themeColor="text1"/>
        </w:rPr>
        <w:t>.</w:t>
      </w:r>
    </w:p>
    <w:p w14:paraId="365AFE38" w14:textId="77777777" w:rsidR="00D66CCF" w:rsidRPr="006E448F" w:rsidRDefault="00D66CCF" w:rsidP="00D66CCF">
      <w:pPr>
        <w:tabs>
          <w:tab w:val="left" w:pos="426"/>
        </w:tabs>
        <w:spacing w:line="276" w:lineRule="auto"/>
        <w:jc w:val="both"/>
        <w:rPr>
          <w:rFonts w:eastAsia="Arial"/>
        </w:rPr>
      </w:pPr>
      <w:r w:rsidRPr="006E448F">
        <w:rPr>
          <w:rFonts w:eastAsia="Arial"/>
        </w:rPr>
        <w:tab/>
        <w:t xml:space="preserve">Tyrimo pacientų populiacija atitinka egzistuojančią Lietuvos pacientų populiaciją, kuriai gydymas gali būti skiriamas pagal numatomas frukvintinibo skyrimo indikacijas ir siūlomas skyrimo sąlygas. </w:t>
      </w:r>
    </w:p>
    <w:p w14:paraId="5BD78934" w14:textId="77777777" w:rsidR="00D66CCF" w:rsidRPr="006E448F" w:rsidRDefault="00D66CCF" w:rsidP="00D66CCF">
      <w:pPr>
        <w:tabs>
          <w:tab w:val="left" w:pos="426"/>
        </w:tabs>
        <w:spacing w:line="276" w:lineRule="auto"/>
        <w:jc w:val="both"/>
        <w:rPr>
          <w:rFonts w:eastAsia="Arial"/>
          <w:iCs/>
        </w:rPr>
      </w:pPr>
      <w:r w:rsidRPr="006E448F">
        <w:rPr>
          <w:rFonts w:eastAsia="Arial"/>
        </w:rPr>
        <w:tab/>
        <w:t>Tyrime i</w:t>
      </w:r>
      <w:r w:rsidRPr="006E448F">
        <w:rPr>
          <w:rFonts w:eastAsia="Arial"/>
          <w:iCs/>
        </w:rPr>
        <w:t xml:space="preserve">š anksto numatyta 1 tarpinė analizė ir 1 galutinė analizė. </w:t>
      </w:r>
      <w:r w:rsidRPr="006E448F">
        <w:rPr>
          <w:rFonts w:eastAsia="Arial"/>
          <w:color w:val="000000" w:themeColor="text1"/>
        </w:rPr>
        <w:t>Buvo taikyta numatyta hierarchinė analizė, griežtai kontroliuojant I tipo klaidų lygį (≤ 0,05), vertinant BI ir IBLP</w:t>
      </w:r>
      <w:r w:rsidRPr="006E448F">
        <w:rPr>
          <w:rFonts w:eastAsia="Arial"/>
        </w:rPr>
        <w:t xml:space="preserve">. </w:t>
      </w:r>
      <w:r w:rsidRPr="006E448F">
        <w:rPr>
          <w:rFonts w:eastAsia="Arial"/>
          <w:color w:val="000000" w:themeColor="text1"/>
        </w:rPr>
        <w:t>Atliekant tarpinę analizę, nepriklausomas duomenų stebėsenos komitetas rekomendavo tęsti tyrimą, nes nebuvo peržengta iš anksto nustatyta RS riba. IA metu neprireikė nutraukti tyrimo dėl neefektyvumo, nes stratifikuoto testo vienpusė p reikšmė buvo mažesnė nei 0,772 (atitinkanti stebimą RS &lt; 1,133). Galutinė analizė buvo atlikta, kai ITT populiacijoje buvo užfiksuota bent 480 BI įvykių.</w:t>
      </w:r>
      <w:r w:rsidRPr="006E448F">
        <w:rPr>
          <w:rFonts w:eastAsia="Arial"/>
          <w:iCs/>
        </w:rPr>
        <w:t xml:space="preserve"> Atlikus galutinę analizę, pateikti atnaujinti duomenys. Galutinėje analizėje duomenų brandumas 90 proc., BI duomenys laikomi subrendusiais (490 iš 691 dalyvių). </w:t>
      </w:r>
    </w:p>
    <w:p w14:paraId="76B76814" w14:textId="77777777" w:rsidR="00D66CCF" w:rsidRPr="006E448F" w:rsidRDefault="00D66CCF" w:rsidP="00D66CCF">
      <w:pPr>
        <w:tabs>
          <w:tab w:val="left" w:pos="426"/>
        </w:tabs>
        <w:spacing w:line="276" w:lineRule="auto"/>
        <w:jc w:val="both"/>
        <w:rPr>
          <w:rFonts w:eastAsia="Arial"/>
          <w:iCs/>
        </w:rPr>
      </w:pPr>
    </w:p>
    <w:p w14:paraId="7520BF73" w14:textId="77777777" w:rsidR="00D66CCF" w:rsidRPr="006E448F" w:rsidRDefault="00D66CCF" w:rsidP="00D66CCF">
      <w:pPr>
        <w:spacing w:line="276" w:lineRule="auto"/>
        <w:ind w:firstLine="720"/>
        <w:jc w:val="both"/>
        <w:rPr>
          <w:rFonts w:eastAsia="Arial"/>
          <w:iCs/>
        </w:rPr>
      </w:pPr>
      <w:r w:rsidRPr="006E448F">
        <w:rPr>
          <w:rFonts w:eastAsia="Arial"/>
          <w:iCs/>
          <w:u w:val="single"/>
        </w:rPr>
        <w:t>Pirminė vertinamoji baigtis</w:t>
      </w:r>
      <w:r w:rsidRPr="006E448F">
        <w:rPr>
          <w:rFonts w:eastAsia="Arial"/>
          <w:iCs/>
        </w:rPr>
        <w:t>, bendras išgyvenamumas (BI) – laikas nuo atsitiktinės atrankos iki mirties nuo bet kokios priežasties datos. G</w:t>
      </w:r>
      <w:r w:rsidRPr="006E448F">
        <w:rPr>
          <w:iCs/>
        </w:rPr>
        <w:t xml:space="preserve">alutinė BI analizė parodė, kad vidutinis BI buvo atitinkamai </w:t>
      </w:r>
      <w:r w:rsidRPr="006E448F">
        <w:rPr>
          <w:rFonts w:eastAsia="Arial"/>
          <w:iCs/>
          <w:color w:val="000000" w:themeColor="text1"/>
        </w:rPr>
        <w:t>7,4 mėnesio (95 proc. PI 6,7–8,2) frukvintinibo grupėje, palyginti su 4,8 mėnesio (95 proc. PI 4,0–5,8) placebo grupėje (absoliutus skirtumas – 2,6 mėnesio; HR 0,66, 95 proc. PI 0,55–0,80; p &lt; 0,0001)</w:t>
      </w:r>
      <w:r w:rsidRPr="006E448F">
        <w:rPr>
          <w:rFonts w:eastAsia="Arial"/>
          <w:iCs/>
        </w:rPr>
        <w:t>.</w:t>
      </w:r>
    </w:p>
    <w:p w14:paraId="045D861C" w14:textId="77777777" w:rsidR="00D66CCF" w:rsidRPr="006E448F" w:rsidRDefault="00D66CCF" w:rsidP="00D66CCF">
      <w:pPr>
        <w:spacing w:line="276" w:lineRule="auto"/>
        <w:ind w:firstLine="720"/>
        <w:jc w:val="both"/>
        <w:rPr>
          <w:rFonts w:eastAsia="Arial"/>
          <w:iCs/>
        </w:rPr>
      </w:pPr>
      <w:r w:rsidRPr="006E448F">
        <w:rPr>
          <w:rFonts w:eastAsia="Arial"/>
          <w:iCs/>
        </w:rPr>
        <w:t xml:space="preserve">Pogrupių analizės metu, pacientams, sergantiems RAS mutavusiu mCRC, gydymas frukvintinibu lėmė statistiškai reikšmingą išgyvenamumo pranašumą, palyginti su placebo grupe. Frukvintinibo grupėje vidutinė bendra išgyvenimo trukmė buvo 7,7 mėnesio, o placebo grupėje - 4,4 mėnesio (RS 0,68, 95 proc. CI: 0,53–0,86). Pacientams, kurie anksčiau vartojo VEGF inhibitorius, gydymas frukvintinibu taip pat buvo pranašesnis, nei placebu: 7,4 mėnesio (frukvintinibas) ir 4,6 mėnesio (placebo) (RS 0,68, 95 proc. CI: 0,56–0,82). Tačiau, pacientų, anksčiau negavusių gydymo VEGFR inhibitoriais pogrupyje, BI rezultatai buvo ženkliai pranašesni frukvintinibo grupėje, BI frukvintinibo grupėje mediana </w:t>
      </w:r>
      <w:r w:rsidRPr="006E448F">
        <w:rPr>
          <w:rFonts w:eastAsia="Arial"/>
          <w:iCs/>
          <w:lang w:val="en-US"/>
        </w:rPr>
        <w:t xml:space="preserve">10 </w:t>
      </w:r>
      <w:r w:rsidRPr="006E448F">
        <w:rPr>
          <w:rFonts w:eastAsia="Arial"/>
          <w:iCs/>
        </w:rPr>
        <w:t xml:space="preserve">mėn., tuo tarpu placebo grupėje </w:t>
      </w:r>
      <w:r w:rsidRPr="006E448F">
        <w:rPr>
          <w:rFonts w:eastAsia="Arial"/>
          <w:iCs/>
          <w:lang w:val="en-US"/>
        </w:rPr>
        <w:t xml:space="preserve">3,5 </w:t>
      </w:r>
      <w:r w:rsidRPr="006E448F">
        <w:rPr>
          <w:rFonts w:eastAsia="Arial"/>
          <w:iCs/>
        </w:rPr>
        <w:t xml:space="preserve">mėn., tačiau pažymėtina, kad ši imtis yra nedidelė, viso </w:t>
      </w:r>
      <w:r w:rsidRPr="006E448F">
        <w:rPr>
          <w:rFonts w:eastAsia="Arial"/>
          <w:iCs/>
          <w:lang w:val="en-US"/>
        </w:rPr>
        <w:t>25</w:t>
      </w:r>
      <w:r w:rsidRPr="006E448F">
        <w:rPr>
          <w:rFonts w:eastAsia="Arial"/>
          <w:iCs/>
        </w:rPr>
        <w:t xml:space="preserve"> pacientai.</w:t>
      </w:r>
    </w:p>
    <w:p w14:paraId="12EE7FDF" w14:textId="77777777" w:rsidR="00D66CCF" w:rsidRPr="006E448F" w:rsidRDefault="00D66CCF" w:rsidP="00D66CCF">
      <w:pPr>
        <w:spacing w:line="276" w:lineRule="auto"/>
        <w:jc w:val="both"/>
        <w:rPr>
          <w:rFonts w:eastAsia="Arial"/>
          <w:iCs/>
        </w:rPr>
      </w:pPr>
    </w:p>
    <w:p w14:paraId="62AC3B1E" w14:textId="77777777" w:rsidR="00D66CCF" w:rsidRPr="006E448F" w:rsidRDefault="00D66CCF" w:rsidP="00D66CCF">
      <w:pPr>
        <w:spacing w:line="276" w:lineRule="auto"/>
        <w:jc w:val="both"/>
        <w:rPr>
          <w:rFonts w:eastAsia="Arial"/>
          <w:iCs/>
        </w:rPr>
      </w:pPr>
      <w:r w:rsidRPr="006E448F">
        <w:rPr>
          <w:rFonts w:eastAsia="Arial"/>
          <w:iCs/>
        </w:rPr>
        <w:tab/>
      </w:r>
      <w:r w:rsidRPr="006E448F">
        <w:rPr>
          <w:rFonts w:eastAsia="Arial"/>
          <w:iCs/>
          <w:u w:val="single"/>
        </w:rPr>
        <w:t>Antrinės vertinamosios baigtys,</w:t>
      </w:r>
      <w:r w:rsidRPr="006E448F">
        <w:rPr>
          <w:rFonts w:eastAsia="Arial"/>
          <w:iCs/>
        </w:rPr>
        <w:t xml:space="preserve"> išgyvenamumas be ligos progresavimo (IBLP arba PFS, </w:t>
      </w:r>
      <w:r w:rsidRPr="006E448F">
        <w:rPr>
          <w:rFonts w:eastAsia="Arial"/>
          <w:i/>
        </w:rPr>
        <w:t>angl. progression free survival</w:t>
      </w:r>
      <w:r w:rsidRPr="006E448F">
        <w:rPr>
          <w:rFonts w:eastAsia="Arial"/>
          <w:iCs/>
        </w:rPr>
        <w:t xml:space="preserve">), apibrėžiamas kaip laikas nuo atsitiktinių imčių sudarymo datos iki pirmojo radiologiniu tyrimu patvirtinto ligos progresavimo ar mirties dėl bet kokios priežasties, atsižvelgiant į tai, kas įvyksta anksčiau; visiškas ir dalinis atsakas; atsako trukmė; ligos valdymo dažnis; pacientų praneštos baigtys (vertinami naudojant EORTC QLQ-C30 klausimyną). </w:t>
      </w:r>
    </w:p>
    <w:p w14:paraId="0464D514" w14:textId="77777777" w:rsidR="00D66CCF" w:rsidRPr="006E448F" w:rsidRDefault="00D66CCF" w:rsidP="00D66CCF">
      <w:pPr>
        <w:spacing w:line="276" w:lineRule="auto"/>
        <w:ind w:firstLine="720"/>
        <w:jc w:val="both"/>
        <w:rPr>
          <w:rFonts w:eastAsia="Arial"/>
          <w:iCs/>
          <w:color w:val="000000" w:themeColor="text1"/>
        </w:rPr>
      </w:pPr>
      <w:r w:rsidRPr="006E448F">
        <w:t xml:space="preserve">Bendroje populiacijoje gydymas </w:t>
      </w:r>
      <w:r w:rsidRPr="006E448F">
        <w:rPr>
          <w:rFonts w:eastAsia="Arial"/>
          <w:iCs/>
          <w:color w:val="000000" w:themeColor="text1"/>
        </w:rPr>
        <w:t xml:space="preserve">IBLP trukmė buvo 3,7 mėnesio (95 proc. PI 3,5–3,8) frukvintinibo grupėje, palyginti su 1,8 mėnesio (1,8–1,9) placebo grupėje (absoliutus skirtumas – 1,9 mėnesio; RS 0,32, 95 proc. PI 0,27–0,39; p&lt;0,0001). </w:t>
      </w:r>
    </w:p>
    <w:p w14:paraId="2B4F1850" w14:textId="77777777" w:rsidR="00D66CCF" w:rsidRPr="006E448F" w:rsidRDefault="00D66CCF" w:rsidP="00D66CCF">
      <w:pPr>
        <w:spacing w:line="276" w:lineRule="auto"/>
        <w:ind w:firstLine="720"/>
        <w:jc w:val="both"/>
        <w:rPr>
          <w:rFonts w:eastAsia="Arial"/>
          <w:iCs/>
          <w:color w:val="000000" w:themeColor="text1"/>
        </w:rPr>
      </w:pPr>
      <w:r w:rsidRPr="006E448F">
        <w:t xml:space="preserve">Vertinant iš anksto numatytus pogrupius, </w:t>
      </w:r>
      <w:r w:rsidRPr="006E448F">
        <w:rPr>
          <w:iCs/>
          <w:color w:val="000000" w:themeColor="text1"/>
        </w:rPr>
        <w:t>geresni IBLP rodikliai iš anksto numatytuose pogrupiuose išliko tolygiai geresni frukvintinibo + BSC grupėje, lyginant su placebo + BSC grupe. Ženklus IBLP pranašumas stebimas</w:t>
      </w:r>
      <w:r w:rsidRPr="006E448F">
        <w:rPr>
          <w:rFonts w:eastAsia="Arial"/>
          <w:iCs/>
          <w:color w:val="000000" w:themeColor="text1"/>
        </w:rPr>
        <w:t xml:space="preserve"> pacientų, anksčiau negavusių gydymo VEGFR inhibitoriais </w:t>
      </w:r>
      <w:r w:rsidRPr="006E448F">
        <w:rPr>
          <w:rFonts w:eastAsia="Arial"/>
          <w:iCs/>
          <w:color w:val="000000" w:themeColor="text1"/>
        </w:rPr>
        <w:lastRenderedPageBreak/>
        <w:t xml:space="preserve">pogrupyje, IBLP frukvintinibo grupėje mediana </w:t>
      </w:r>
      <w:r w:rsidRPr="006E448F">
        <w:rPr>
          <w:rFonts w:eastAsia="Arial"/>
          <w:iCs/>
          <w:color w:val="000000" w:themeColor="text1"/>
          <w:lang w:val="en-US"/>
        </w:rPr>
        <w:t xml:space="preserve">5,9 </w:t>
      </w:r>
      <w:r w:rsidRPr="006E448F">
        <w:rPr>
          <w:rFonts w:eastAsia="Arial"/>
          <w:iCs/>
          <w:color w:val="000000" w:themeColor="text1"/>
        </w:rPr>
        <w:t xml:space="preserve">mėn., tuo tarpu placebo grupėje </w:t>
      </w:r>
      <w:r w:rsidRPr="006E448F">
        <w:rPr>
          <w:rFonts w:eastAsia="Arial"/>
          <w:iCs/>
          <w:color w:val="000000" w:themeColor="text1"/>
          <w:lang w:val="en-US"/>
        </w:rPr>
        <w:t xml:space="preserve">1,6 </w:t>
      </w:r>
      <w:r w:rsidRPr="006E448F">
        <w:rPr>
          <w:rFonts w:eastAsia="Arial"/>
          <w:iCs/>
          <w:color w:val="000000" w:themeColor="text1"/>
        </w:rPr>
        <w:t xml:space="preserve">mėn., tačiau pažymėtina, kad ši imtis yra nedidelė, viso </w:t>
      </w:r>
      <w:r w:rsidRPr="006E448F">
        <w:rPr>
          <w:rFonts w:eastAsia="Arial"/>
          <w:iCs/>
          <w:color w:val="000000" w:themeColor="text1"/>
          <w:lang w:val="en-US"/>
        </w:rPr>
        <w:t>25</w:t>
      </w:r>
      <w:r w:rsidRPr="006E448F">
        <w:rPr>
          <w:rFonts w:eastAsia="Arial"/>
          <w:iCs/>
          <w:color w:val="000000" w:themeColor="text1"/>
        </w:rPr>
        <w:t xml:space="preserve"> pacientai.</w:t>
      </w:r>
    </w:p>
    <w:p w14:paraId="146489CF" w14:textId="77777777" w:rsidR="00D66CCF" w:rsidRPr="006E448F" w:rsidRDefault="00D66CCF" w:rsidP="00D66CCF">
      <w:pPr>
        <w:tabs>
          <w:tab w:val="left" w:pos="284"/>
        </w:tabs>
        <w:spacing w:line="276" w:lineRule="auto"/>
        <w:jc w:val="both"/>
        <w:rPr>
          <w:rFonts w:eastAsia="Arial"/>
        </w:rPr>
      </w:pPr>
      <w:r w:rsidRPr="006E448F">
        <w:rPr>
          <w:rFonts w:eastAsia="Arial"/>
        </w:rPr>
        <w:tab/>
        <w:t>Vertinant nepageidaujamus reiškiniu, g</w:t>
      </w:r>
      <w:r w:rsidRPr="006E448F">
        <w:t xml:space="preserve">ydymas frukvintinibu + BSC, lyginant su placebu + BCS, neparodė statistiškai reikšmingai blogesnių ar geresnių gyvenimo kokybės, skausmo ar nuovargio rodiklių, vertinant </w:t>
      </w:r>
      <w:r w:rsidRPr="006E448F">
        <w:rPr>
          <w:u w:val="single"/>
        </w:rPr>
        <w:t>pacientų praneštas baigtis</w:t>
      </w:r>
      <w:r w:rsidRPr="006E448F">
        <w:t xml:space="preserve">. </w:t>
      </w:r>
      <w:r w:rsidRPr="006E448F">
        <w:rPr>
          <w:rFonts w:eastAsia="Arial"/>
        </w:rPr>
        <w:t xml:space="preserve">NP atitiko PCS </w:t>
      </w:r>
      <w:r w:rsidRPr="006E448F">
        <w:rPr>
          <w:rFonts w:eastAsia="Arial"/>
          <w:u w:val="single"/>
        </w:rPr>
        <w:t>saugumo</w:t>
      </w:r>
      <w:r w:rsidRPr="006E448F">
        <w:rPr>
          <w:rFonts w:eastAsia="Arial"/>
        </w:rPr>
        <w:t xml:space="preserve"> duomenis, FRESCO-</w:t>
      </w:r>
      <w:r w:rsidRPr="006E448F">
        <w:rPr>
          <w:rFonts w:eastAsia="Arial"/>
          <w:lang w:val="en-US"/>
        </w:rPr>
        <w:t>2</w:t>
      </w:r>
      <w:r w:rsidRPr="006E448F">
        <w:rPr>
          <w:rFonts w:eastAsia="Arial"/>
        </w:rPr>
        <w:t xml:space="preserve"> esant registraciniam tyrimui.</w:t>
      </w:r>
    </w:p>
    <w:p w14:paraId="70078E62" w14:textId="77777777" w:rsidR="00D66CCF" w:rsidRPr="006E448F" w:rsidRDefault="00D66CCF" w:rsidP="00D66CCF">
      <w:pPr>
        <w:spacing w:line="276" w:lineRule="auto"/>
        <w:ind w:firstLine="720"/>
        <w:jc w:val="both"/>
        <w:rPr>
          <w:color w:val="000000" w:themeColor="text1"/>
        </w:rPr>
      </w:pPr>
      <w:r w:rsidRPr="006E448F">
        <w:rPr>
          <w:rFonts w:eastAsia="Arial"/>
        </w:rPr>
        <w:t xml:space="preserve">Apibendrinant, detalus klinikinis vertinimas, parodė, kad frukvintibas, skiriamas kombinacijoje su geriausiu palaikomuoju gydymu, skirtas </w:t>
      </w:r>
      <w:r w:rsidRPr="006E448F">
        <w:rPr>
          <w:color w:val="000000" w:themeColor="text1"/>
        </w:rPr>
        <w:t xml:space="preserve">suaugusiems pacientams, sergantiems metastaziniu storosios (gaubtinės) ir tiesiosios žarnos vėžiu (angl. </w:t>
      </w:r>
      <w:r w:rsidRPr="006E448F">
        <w:rPr>
          <w:i/>
          <w:iCs/>
          <w:color w:val="000000" w:themeColor="text1"/>
        </w:rPr>
        <w:t>metastatic colorectal cancer</w:t>
      </w:r>
      <w:r w:rsidRPr="006E448F">
        <w:rPr>
          <w:color w:val="000000" w:themeColor="text1"/>
        </w:rPr>
        <w:t xml:space="preserve">, mCRC), kurie anksčiau buvo gydyti esamais standartiniais gydymo būdais, įskaitant chemoterapiją fluoropirimidino, oksaliplatinos ir irinotekano pagrindu, kraujagyslių endotelio augimo faktoriaus inhibitorius (angl. </w:t>
      </w:r>
      <w:r w:rsidRPr="006E448F">
        <w:rPr>
          <w:i/>
          <w:iCs/>
          <w:color w:val="000000" w:themeColor="text1"/>
        </w:rPr>
        <w:t>anti VEGF</w:t>
      </w:r>
      <w:r w:rsidRPr="006E448F">
        <w:rPr>
          <w:color w:val="000000" w:themeColor="text1"/>
        </w:rPr>
        <w:t xml:space="preserve">) ir epidermio augimo faktoriaus receptorių inhibitorius (angl. </w:t>
      </w:r>
      <w:r w:rsidRPr="006E448F">
        <w:rPr>
          <w:i/>
          <w:iCs/>
          <w:color w:val="000000" w:themeColor="text1"/>
        </w:rPr>
        <w:t>anti-EGFR</w:t>
      </w:r>
      <w:r w:rsidRPr="006E448F">
        <w:rPr>
          <w:color w:val="000000" w:themeColor="text1"/>
        </w:rPr>
        <w:t>), ir kurių liga progresavo gydant trifluridinu-tipiracilu arba regorafenibu arba kurie netoleruoja bet kurio iš pastarųjų gydymo būdų</w:t>
      </w:r>
      <w:r w:rsidRPr="006E448F">
        <w:rPr>
          <w:rFonts w:eastAsia="Arial"/>
        </w:rPr>
        <w:t xml:space="preserve">, pasižymėjo kliniškai geresniais rezultatais. </w:t>
      </w:r>
      <w:r w:rsidRPr="006E448F">
        <w:t xml:space="preserve">BI buvo vidutiniškai 2,6 mėnesio ilgesnis frukvintinibo + BSC grupėje (PI medianos intervalas 6,7-8,2), palyginus su placebo + BSC grupe (PI intervalas 0,55-0,80), šis skirtumas </w:t>
      </w:r>
      <w:r w:rsidRPr="006E448F">
        <w:rPr>
          <w:color w:val="000000" w:themeColor="text1"/>
        </w:rPr>
        <w:t>laikomas statistiškai reikšmingu</w:t>
      </w:r>
      <w:r w:rsidRPr="006E448F">
        <w:t xml:space="preserve">. Mirties rizika, taikant gydymą frukvintinibu + BSC yra mažesnė 34 proc., lyginant su gydymu placebu + BSC. </w:t>
      </w:r>
      <w:r w:rsidRPr="006E448F">
        <w:rPr>
          <w:color w:val="000000" w:themeColor="text1"/>
        </w:rPr>
        <w:t>gydymas frukvintinibu + BSC 68 proc. statistiškai reikšmingai sumažino IBPL įvykių tikimybę (ligos progresijos ir mirties dėl bet kokios priežasties tikimybę), lyginant su gydymu placebu + BSC.</w:t>
      </w:r>
    </w:p>
    <w:p w14:paraId="6CEE2AAD" w14:textId="448C15BE" w:rsidR="00D66CCF" w:rsidRPr="006E448F" w:rsidRDefault="00D66CCF" w:rsidP="00D66CCF">
      <w:pPr>
        <w:spacing w:line="276" w:lineRule="auto"/>
        <w:ind w:firstLine="720"/>
        <w:jc w:val="both"/>
        <w:rPr>
          <w:iCs/>
        </w:rPr>
      </w:pPr>
      <w:r w:rsidRPr="006E448F">
        <w:rPr>
          <w:rFonts w:eastAsia="Arial"/>
          <w:iCs/>
        </w:rPr>
        <w:t xml:space="preserve">Remiantis šiais duomenimis, frukvintinibo palyginamasis </w:t>
      </w:r>
      <w:r w:rsidR="005C672F" w:rsidRPr="006E448F">
        <w:rPr>
          <w:rFonts w:eastAsia="Arial"/>
          <w:iCs/>
        </w:rPr>
        <w:t>veiksmingumas</w:t>
      </w:r>
      <w:r w:rsidRPr="006E448F">
        <w:rPr>
          <w:rFonts w:eastAsia="Arial"/>
          <w:iCs/>
        </w:rPr>
        <w:t xml:space="preserve"> yra įvertintas, kaip didesnis, o klinikinis veiksmingumas </w:t>
      </w:r>
      <w:r w:rsidRPr="006E448F">
        <w:rPr>
          <w:iCs/>
        </w:rPr>
        <w:t>yra įvertintas kaip pagrindžiantis papildomos naudos pacientų sveikatai sukūrimą, lyginant su įprasta klinikine praktika.</w:t>
      </w:r>
    </w:p>
    <w:p w14:paraId="489A2E3C" w14:textId="07E83067" w:rsidR="004537D0" w:rsidRPr="006E448F" w:rsidRDefault="004537D0" w:rsidP="00D66CCF">
      <w:pPr>
        <w:tabs>
          <w:tab w:val="left" w:pos="426"/>
        </w:tabs>
        <w:spacing w:line="276" w:lineRule="auto"/>
        <w:jc w:val="both"/>
        <w:rPr>
          <w:b/>
          <w:bCs/>
          <w:caps/>
        </w:rPr>
      </w:pPr>
    </w:p>
    <w:p w14:paraId="574D3486" w14:textId="77777777" w:rsidR="004537D0" w:rsidRPr="006E448F" w:rsidRDefault="004537D0" w:rsidP="004537D0">
      <w:pPr>
        <w:tabs>
          <w:tab w:val="left" w:pos="567"/>
        </w:tabs>
        <w:rPr>
          <w:b/>
          <w:bCs/>
          <w:caps/>
        </w:rPr>
      </w:pPr>
    </w:p>
    <w:p w14:paraId="7DE09EB5" w14:textId="69E9DD74" w:rsidR="00E03C3F" w:rsidRPr="006E448F" w:rsidRDefault="00CC7832" w:rsidP="00CC09D4">
      <w:pPr>
        <w:pStyle w:val="ListParagraph"/>
        <w:numPr>
          <w:ilvl w:val="0"/>
          <w:numId w:val="12"/>
        </w:numPr>
        <w:tabs>
          <w:tab w:val="left" w:pos="567"/>
        </w:tabs>
        <w:ind w:hanging="720"/>
        <w:rPr>
          <w:b/>
          <w:bCs/>
          <w:caps/>
        </w:rPr>
      </w:pPr>
      <w:r w:rsidRPr="006E448F">
        <w:rPr>
          <w:b/>
          <w:bCs/>
          <w:caps/>
        </w:rPr>
        <w:t xml:space="preserve">ekonominio vertinimo </w:t>
      </w:r>
      <w:r w:rsidR="002F0E4F" w:rsidRPr="006E448F">
        <w:rPr>
          <w:b/>
          <w:bCs/>
          <w:caps/>
        </w:rPr>
        <w:t>apibendrinimas</w:t>
      </w:r>
    </w:p>
    <w:p w14:paraId="46DD2F8E" w14:textId="31E52BD7" w:rsidR="000D70C0" w:rsidRPr="006E448F" w:rsidRDefault="000D70C0" w:rsidP="000D70C0">
      <w:pPr>
        <w:tabs>
          <w:tab w:val="left" w:pos="426"/>
        </w:tabs>
        <w:rPr>
          <w:i/>
          <w:color w:val="00B050"/>
          <w:sz w:val="22"/>
          <w:szCs w:val="22"/>
        </w:rPr>
      </w:pPr>
    </w:p>
    <w:p w14:paraId="2E762CEF" w14:textId="77777777" w:rsidR="000D70C0" w:rsidRPr="006E448F" w:rsidRDefault="000D70C0" w:rsidP="005C672F">
      <w:pPr>
        <w:pStyle w:val="Text"/>
        <w:spacing w:line="276" w:lineRule="auto"/>
      </w:pPr>
      <w:r w:rsidRPr="006E448F">
        <w:rPr>
          <w:rFonts w:eastAsia="Arial"/>
        </w:rPr>
        <w:t xml:space="preserve">Vertinimui pateikta kaštų naudingumo analizė, kurioje nagrinėjami pacientai, sergantys </w:t>
      </w:r>
      <w:r w:rsidRPr="006E448F">
        <w:t>mCRC, kurie buvo gydyti fluorpirimidinu, oksaliplatina, chemoterapija irinotekano pagrindu, anti-VEGF biologinė terapija ir, jei nustatyta laukinio tipo RAS, anti-EGFR terapija, taip pat anksčiau gavo gydymą regorafenibu ir/arba trifluoridinu/tipiracilu. Pacientų populiacija analizėje atitinka FRESCO-2 klinikinio tyrimo populiaciją. Palyginamasis gydymas analizėje yra BSC – geriausia prieinama priežiūra, o intervenciją sudarė terapija fruzaquintinibu.</w:t>
      </w:r>
    </w:p>
    <w:p w14:paraId="06A69835" w14:textId="77777777" w:rsidR="000D70C0" w:rsidRPr="006E448F" w:rsidRDefault="000D70C0" w:rsidP="005C672F">
      <w:pPr>
        <w:tabs>
          <w:tab w:val="left" w:pos="567"/>
        </w:tabs>
        <w:spacing w:line="276" w:lineRule="auto"/>
        <w:jc w:val="both"/>
      </w:pPr>
      <w:r w:rsidRPr="006E448F">
        <w:t xml:space="preserve">Analizėje taikomas modeliavimas - padalintos kohotos išgyvenamumo modelis su 1 sav. ciklo trukme. Nagrinėjama viso gyvenimo laiko perspektyva. Modeliavimas grįstas tiesioginio palyginimo brandžiais įrodymais iš FRESCO-2 klinikinio tyrimo. </w:t>
      </w:r>
      <w:r w:rsidRPr="006E448F">
        <w:rPr>
          <w:bCs/>
          <w:lang w:eastAsia="lt-LT"/>
        </w:rPr>
        <w:t xml:space="preserve">Atsižvelgiant į tai, jog analizė grįsta brandžiais tiesioginio palyginimo įrodymais, vertinant BI ir IBLP naudojami KM duomenys, kurie toliau ekstrapoliuojami, taikant parametrines išgyvenamumo kreives. Poveikis sveikatai vertinamas taikant FRESCO -2 tyrimo </w:t>
      </w:r>
      <w:r w:rsidRPr="006E448F">
        <w:t>EQ-5D-5L duomenis, konvertuotus į 3L.</w:t>
      </w:r>
    </w:p>
    <w:p w14:paraId="4029D264" w14:textId="77777777" w:rsidR="000D70C0" w:rsidRPr="006E448F" w:rsidRDefault="000D70C0" w:rsidP="005C672F">
      <w:pPr>
        <w:pStyle w:val="Text"/>
        <w:spacing w:after="0" w:line="276" w:lineRule="auto"/>
      </w:pPr>
      <w:r w:rsidRPr="006E448F">
        <w:t xml:space="preserve">Pareiškėjas analizėje taikė dozės intensyvumo prielaidą. Vis dėlto, Tarnybai nėra aišku, koks būtų Lietuvos pacientų dozės intensyvumas, todėl pagrindinio atvejo analizėje taikomas 100 proc. dozės intensyvumas visoms terapijoms. </w:t>
      </w:r>
    </w:p>
    <w:p w14:paraId="1F791574" w14:textId="77777777" w:rsidR="000D70C0" w:rsidRPr="006E448F" w:rsidRDefault="000D70C0" w:rsidP="005C672F">
      <w:pPr>
        <w:pStyle w:val="Text"/>
        <w:spacing w:after="0" w:line="276" w:lineRule="auto"/>
      </w:pPr>
      <w:r w:rsidRPr="006E448F">
        <w:rPr>
          <w:iCs/>
          <w:lang w:eastAsia="lt-LT"/>
        </w:rPr>
        <w:t>Analizėje nėra pilnai pagrįstas ASPP poreikis, todėl Tarnyba negali pilnai įvertinti ar ASPP poreikis atitinka Lietuvos praktiką. Vis dėlto, atsižvelgiant į ASPP poreikio įtaką analizės rezultatui, laikoma, jog analizės rezultatą galima interpretuoti.</w:t>
      </w:r>
    </w:p>
    <w:p w14:paraId="0338D5CA" w14:textId="77777777" w:rsidR="000D70C0" w:rsidRPr="006E448F" w:rsidRDefault="000D70C0" w:rsidP="005C672F">
      <w:pPr>
        <w:tabs>
          <w:tab w:val="left" w:pos="567"/>
        </w:tabs>
        <w:spacing w:line="276" w:lineRule="auto"/>
        <w:jc w:val="both"/>
        <w:rPr>
          <w:iCs/>
          <w:lang w:eastAsia="lt-LT"/>
        </w:rPr>
      </w:pPr>
      <w:r w:rsidRPr="006E448F">
        <w:rPr>
          <w:iCs/>
          <w:lang w:eastAsia="lt-LT"/>
        </w:rPr>
        <w:t>Pareiškėjas analizėje negrindė sekančių eilių terapijų pasirinkimo. Vis dėlto, atsižvelgiant į sekančių terapijų kaštų įtaką analizės rezultatui, laikoma, jog analizės rezultatą galima interpretuoti.</w:t>
      </w:r>
    </w:p>
    <w:p w14:paraId="366E6746" w14:textId="5F36228F" w:rsidR="000D70C0" w:rsidRPr="006E448F" w:rsidRDefault="000D70C0" w:rsidP="005C672F">
      <w:pPr>
        <w:spacing w:line="276" w:lineRule="auto"/>
        <w:jc w:val="both"/>
        <w:rPr>
          <w:rFonts w:eastAsia="Arial"/>
        </w:rPr>
      </w:pPr>
      <w:r w:rsidRPr="006E448F">
        <w:rPr>
          <w:rFonts w:eastAsia="Arial"/>
        </w:rPr>
        <w:lastRenderedPageBreak/>
        <w:t xml:space="preserve">Vertinant analizės rezultatą, nustatyta, </w:t>
      </w:r>
      <w:r w:rsidR="00FA17A2" w:rsidRPr="006E448F">
        <w:rPr>
          <w:rFonts w:eastAsia="Arial"/>
        </w:rPr>
        <w:t>****</w:t>
      </w:r>
      <w:r w:rsidR="00FA17A2" w:rsidRPr="006E448F">
        <w:rPr>
          <w:rFonts w:eastAsia="Arial"/>
        </w:rPr>
        <w:t>************************</w:t>
      </w:r>
      <w:r w:rsidR="00F6642D" w:rsidRPr="006E448F">
        <w:rPr>
          <w:rFonts w:eastAsia="Arial"/>
        </w:rPr>
        <w:t>************</w:t>
      </w:r>
      <w:r w:rsidR="00FA17A2" w:rsidRPr="006E448F">
        <w:rPr>
          <w:rFonts w:eastAsia="Arial"/>
        </w:rPr>
        <w:t xml:space="preserve"> </w:t>
      </w:r>
      <w:r w:rsidR="00F6642D" w:rsidRPr="006E448F">
        <w:rPr>
          <w:rFonts w:eastAsia="Arial"/>
        </w:rPr>
        <w:t>*******************************************</w:t>
      </w:r>
      <w:r w:rsidR="00FA17A2" w:rsidRPr="006E448F">
        <w:rPr>
          <w:rFonts w:eastAsia="Arial"/>
        </w:rPr>
        <w:t>********************************************************************************************************</w:t>
      </w:r>
      <w:r w:rsidR="0069033A" w:rsidRPr="006E448F">
        <w:rPr>
          <w:rFonts w:eastAsia="Arial"/>
        </w:rPr>
        <w:t>****************************************.</w:t>
      </w:r>
      <w:r w:rsidRPr="006E448F">
        <w:rPr>
          <w:rFonts w:eastAsia="Arial"/>
        </w:rPr>
        <w:t xml:space="preserve"> </w:t>
      </w:r>
    </w:p>
    <w:p w14:paraId="447CA772" w14:textId="77777777" w:rsidR="000D70C0" w:rsidRPr="006E448F" w:rsidRDefault="000D70C0" w:rsidP="000D70C0">
      <w:pPr>
        <w:tabs>
          <w:tab w:val="left" w:pos="426"/>
        </w:tabs>
        <w:rPr>
          <w:b/>
          <w:bCs/>
          <w:caps/>
        </w:rPr>
      </w:pPr>
    </w:p>
    <w:p w14:paraId="7D30A809" w14:textId="77777777" w:rsidR="000D70C0" w:rsidRPr="006E448F" w:rsidRDefault="000D70C0" w:rsidP="000D70C0">
      <w:pPr>
        <w:tabs>
          <w:tab w:val="left" w:pos="426"/>
        </w:tabs>
        <w:rPr>
          <w:b/>
          <w:lang w:eastAsia="lt-LT"/>
        </w:rPr>
      </w:pPr>
      <w:r w:rsidRPr="006E448F">
        <w:rPr>
          <w:b/>
          <w:lang w:eastAsia="lt-LT"/>
        </w:rPr>
        <w:t>Ekonominės analizės rezultatas</w:t>
      </w:r>
    </w:p>
    <w:p w14:paraId="4EAB697D" w14:textId="77777777" w:rsidR="000D70C0" w:rsidRPr="006E448F" w:rsidRDefault="000D70C0" w:rsidP="000D70C0">
      <w:pPr>
        <w:tabs>
          <w:tab w:val="left" w:pos="426"/>
        </w:tabs>
        <w:rPr>
          <w:b/>
          <w:lang w:eastAsia="lt-LT"/>
        </w:rPr>
      </w:pPr>
    </w:p>
    <w:tbl>
      <w:tblPr>
        <w:tblStyle w:val="TableGrid"/>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88"/>
        <w:gridCol w:w="1657"/>
        <w:gridCol w:w="2006"/>
        <w:gridCol w:w="3557"/>
      </w:tblGrid>
      <w:tr w:rsidR="000D70C0" w:rsidRPr="006E448F" w14:paraId="4F156BEB" w14:textId="77777777" w:rsidTr="00A56680">
        <w:trPr>
          <w:trHeight w:val="364"/>
          <w:jc w:val="center"/>
        </w:trPr>
        <w:tc>
          <w:tcPr>
            <w:tcW w:w="9908" w:type="dxa"/>
            <w:gridSpan w:val="4"/>
            <w:tcBorders>
              <w:top w:val="single" w:sz="12" w:space="0" w:color="auto"/>
              <w:bottom w:val="single" w:sz="4" w:space="0" w:color="auto"/>
            </w:tcBorders>
            <w:vAlign w:val="center"/>
          </w:tcPr>
          <w:p w14:paraId="20FAC2F1" w14:textId="77777777" w:rsidR="000D70C0" w:rsidRPr="006E448F" w:rsidRDefault="000D70C0" w:rsidP="00A56680">
            <w:pPr>
              <w:tabs>
                <w:tab w:val="left" w:pos="567"/>
              </w:tabs>
              <w:spacing w:line="276" w:lineRule="auto"/>
              <w:jc w:val="both"/>
              <w:rPr>
                <w:b/>
                <w:i/>
                <w:iCs/>
                <w:sz w:val="22"/>
                <w:szCs w:val="22"/>
                <w:lang w:eastAsia="lt-LT"/>
              </w:rPr>
            </w:pPr>
            <w:r w:rsidRPr="006E448F">
              <w:rPr>
                <w:b/>
                <w:lang w:eastAsia="lt-LT"/>
              </w:rPr>
              <w:t>Kaštai</w:t>
            </w:r>
          </w:p>
        </w:tc>
      </w:tr>
      <w:tr w:rsidR="000D70C0" w:rsidRPr="006E448F" w14:paraId="244A4A6A" w14:textId="77777777" w:rsidTr="00A56680">
        <w:trPr>
          <w:jc w:val="center"/>
        </w:trPr>
        <w:tc>
          <w:tcPr>
            <w:tcW w:w="2688" w:type="dxa"/>
            <w:tcBorders>
              <w:top w:val="single" w:sz="4" w:space="0" w:color="auto"/>
              <w:bottom w:val="single" w:sz="4" w:space="0" w:color="auto"/>
            </w:tcBorders>
          </w:tcPr>
          <w:p w14:paraId="03DA0472" w14:textId="77777777" w:rsidR="000D70C0" w:rsidRPr="006E448F" w:rsidRDefault="000D70C0" w:rsidP="00A56680">
            <w:pPr>
              <w:tabs>
                <w:tab w:val="left" w:pos="567"/>
              </w:tabs>
              <w:spacing w:line="276" w:lineRule="auto"/>
              <w:jc w:val="both"/>
              <w:rPr>
                <w:lang w:eastAsia="lt-LT"/>
              </w:rPr>
            </w:pPr>
          </w:p>
        </w:tc>
        <w:tc>
          <w:tcPr>
            <w:tcW w:w="1657" w:type="dxa"/>
            <w:tcBorders>
              <w:top w:val="single" w:sz="4" w:space="0" w:color="auto"/>
              <w:bottom w:val="single" w:sz="4" w:space="0" w:color="auto"/>
            </w:tcBorders>
          </w:tcPr>
          <w:p w14:paraId="5DE9365F" w14:textId="77777777" w:rsidR="000D70C0" w:rsidRPr="006E448F" w:rsidRDefault="000D70C0" w:rsidP="00A56680">
            <w:pPr>
              <w:tabs>
                <w:tab w:val="left" w:pos="567"/>
              </w:tabs>
              <w:spacing w:line="276" w:lineRule="auto"/>
              <w:jc w:val="both"/>
              <w:rPr>
                <w:i/>
                <w:iCs/>
                <w:lang w:eastAsia="lt-LT"/>
              </w:rPr>
            </w:pPr>
            <w:r w:rsidRPr="006E448F">
              <w:rPr>
                <w:i/>
                <w:iCs/>
                <w:lang w:eastAsia="lt-LT"/>
              </w:rPr>
              <w:t>Fruzaquintinib</w:t>
            </w:r>
          </w:p>
        </w:tc>
        <w:tc>
          <w:tcPr>
            <w:tcW w:w="2006" w:type="dxa"/>
            <w:tcBorders>
              <w:top w:val="single" w:sz="4" w:space="0" w:color="auto"/>
              <w:bottom w:val="single" w:sz="4" w:space="0" w:color="auto"/>
            </w:tcBorders>
          </w:tcPr>
          <w:p w14:paraId="56D7B3C0" w14:textId="77777777" w:rsidR="000D70C0" w:rsidRPr="006E448F" w:rsidRDefault="000D70C0" w:rsidP="00A56680">
            <w:pPr>
              <w:tabs>
                <w:tab w:val="left" w:pos="567"/>
              </w:tabs>
              <w:spacing w:line="276" w:lineRule="auto"/>
              <w:jc w:val="both"/>
              <w:rPr>
                <w:i/>
                <w:iCs/>
                <w:lang w:eastAsia="lt-LT"/>
              </w:rPr>
            </w:pPr>
            <w:r w:rsidRPr="006E448F">
              <w:rPr>
                <w:i/>
                <w:iCs/>
                <w:lang w:eastAsia="lt-LT"/>
              </w:rPr>
              <w:t>BSC</w:t>
            </w:r>
          </w:p>
        </w:tc>
        <w:tc>
          <w:tcPr>
            <w:tcW w:w="3557" w:type="dxa"/>
            <w:tcBorders>
              <w:top w:val="single" w:sz="4" w:space="0" w:color="auto"/>
              <w:bottom w:val="single" w:sz="4" w:space="0" w:color="auto"/>
            </w:tcBorders>
          </w:tcPr>
          <w:p w14:paraId="2C17B367" w14:textId="77777777" w:rsidR="000D70C0" w:rsidRPr="006E448F" w:rsidRDefault="000D70C0" w:rsidP="00A56680">
            <w:pPr>
              <w:tabs>
                <w:tab w:val="left" w:pos="567"/>
              </w:tabs>
              <w:spacing w:line="276" w:lineRule="auto"/>
              <w:jc w:val="both"/>
              <w:rPr>
                <w:i/>
                <w:lang w:eastAsia="lt-LT"/>
              </w:rPr>
            </w:pPr>
            <w:r w:rsidRPr="006E448F">
              <w:rPr>
                <w:i/>
                <w:lang w:eastAsia="lt-LT"/>
              </w:rPr>
              <w:t>Skirtumas</w:t>
            </w:r>
          </w:p>
        </w:tc>
      </w:tr>
      <w:tr w:rsidR="000D70C0" w:rsidRPr="006E448F" w14:paraId="48CC5767" w14:textId="77777777" w:rsidTr="00A56680">
        <w:trPr>
          <w:jc w:val="center"/>
        </w:trPr>
        <w:tc>
          <w:tcPr>
            <w:tcW w:w="2688" w:type="dxa"/>
            <w:tcBorders>
              <w:top w:val="single" w:sz="4" w:space="0" w:color="auto"/>
              <w:bottom w:val="single" w:sz="4" w:space="0" w:color="auto"/>
            </w:tcBorders>
          </w:tcPr>
          <w:p w14:paraId="51158FBC" w14:textId="77777777" w:rsidR="000D70C0" w:rsidRPr="006E448F" w:rsidRDefault="000D70C0" w:rsidP="00A56680">
            <w:pPr>
              <w:tabs>
                <w:tab w:val="left" w:pos="567"/>
              </w:tabs>
              <w:spacing w:line="276" w:lineRule="auto"/>
              <w:jc w:val="both"/>
              <w:rPr>
                <w:iCs/>
                <w:lang w:eastAsia="lt-LT"/>
              </w:rPr>
            </w:pPr>
            <w:r w:rsidRPr="006E448F">
              <w:rPr>
                <w:iCs/>
                <w:lang w:eastAsia="lt-LT"/>
              </w:rPr>
              <w:t>Vaistinių preparatų įsigijimo kaštai</w:t>
            </w:r>
          </w:p>
        </w:tc>
        <w:tc>
          <w:tcPr>
            <w:tcW w:w="1657" w:type="dxa"/>
            <w:tcBorders>
              <w:top w:val="single" w:sz="4" w:space="0" w:color="auto"/>
              <w:bottom w:val="single" w:sz="4" w:space="0" w:color="auto"/>
            </w:tcBorders>
          </w:tcPr>
          <w:p w14:paraId="43380739" w14:textId="3B667EED" w:rsidR="000D70C0" w:rsidRPr="006E448F" w:rsidRDefault="00FB22B0" w:rsidP="00A56680">
            <w:pPr>
              <w:tabs>
                <w:tab w:val="left" w:pos="567"/>
              </w:tabs>
              <w:spacing w:line="276" w:lineRule="auto"/>
              <w:jc w:val="both"/>
              <w:rPr>
                <w:i/>
                <w:iCs/>
                <w:lang w:eastAsia="lt-LT"/>
              </w:rPr>
            </w:pPr>
            <w:r w:rsidRPr="006E448F">
              <w:rPr>
                <w:i/>
                <w:iCs/>
                <w:lang w:eastAsia="lt-LT"/>
              </w:rPr>
              <w:t>****</w:t>
            </w:r>
          </w:p>
        </w:tc>
        <w:tc>
          <w:tcPr>
            <w:tcW w:w="2006" w:type="dxa"/>
            <w:tcBorders>
              <w:top w:val="single" w:sz="4" w:space="0" w:color="auto"/>
              <w:bottom w:val="single" w:sz="4" w:space="0" w:color="auto"/>
            </w:tcBorders>
          </w:tcPr>
          <w:p w14:paraId="5779ED13" w14:textId="2ED89007" w:rsidR="000D70C0" w:rsidRPr="006E448F" w:rsidRDefault="00FB22B0" w:rsidP="00A56680">
            <w:pPr>
              <w:tabs>
                <w:tab w:val="left" w:pos="567"/>
              </w:tabs>
              <w:spacing w:line="276" w:lineRule="auto"/>
              <w:jc w:val="both"/>
              <w:rPr>
                <w:i/>
                <w:iCs/>
                <w:lang w:eastAsia="lt-LT"/>
              </w:rPr>
            </w:pPr>
            <w:r w:rsidRPr="006E448F">
              <w:rPr>
                <w:i/>
                <w:iCs/>
                <w:lang w:eastAsia="lt-LT"/>
              </w:rPr>
              <w:t>****</w:t>
            </w:r>
          </w:p>
        </w:tc>
        <w:tc>
          <w:tcPr>
            <w:tcW w:w="3557" w:type="dxa"/>
            <w:tcBorders>
              <w:top w:val="single" w:sz="4" w:space="0" w:color="auto"/>
              <w:bottom w:val="single" w:sz="4" w:space="0" w:color="auto"/>
            </w:tcBorders>
          </w:tcPr>
          <w:p w14:paraId="7B88C3CC" w14:textId="3AD3180D" w:rsidR="000D70C0" w:rsidRPr="006E448F" w:rsidRDefault="00FB22B0" w:rsidP="00A56680">
            <w:pPr>
              <w:tabs>
                <w:tab w:val="left" w:pos="567"/>
              </w:tabs>
              <w:spacing w:line="276" w:lineRule="auto"/>
              <w:jc w:val="both"/>
              <w:rPr>
                <w:lang w:eastAsia="lt-LT"/>
              </w:rPr>
            </w:pPr>
            <w:r w:rsidRPr="006E448F">
              <w:rPr>
                <w:i/>
                <w:iCs/>
                <w:lang w:eastAsia="lt-LT"/>
              </w:rPr>
              <w:t>****</w:t>
            </w:r>
          </w:p>
        </w:tc>
      </w:tr>
      <w:tr w:rsidR="000D70C0" w:rsidRPr="006E448F" w14:paraId="2CD7BD6E" w14:textId="77777777" w:rsidTr="00A56680">
        <w:trPr>
          <w:jc w:val="center"/>
        </w:trPr>
        <w:tc>
          <w:tcPr>
            <w:tcW w:w="2688" w:type="dxa"/>
            <w:tcBorders>
              <w:top w:val="single" w:sz="4" w:space="0" w:color="auto"/>
              <w:bottom w:val="single" w:sz="4" w:space="0" w:color="auto"/>
            </w:tcBorders>
          </w:tcPr>
          <w:p w14:paraId="6241F2A4" w14:textId="77777777" w:rsidR="000D70C0" w:rsidRPr="006E448F" w:rsidRDefault="000D70C0" w:rsidP="00A56680">
            <w:pPr>
              <w:tabs>
                <w:tab w:val="left" w:pos="567"/>
              </w:tabs>
              <w:spacing w:line="276" w:lineRule="auto"/>
              <w:jc w:val="both"/>
              <w:rPr>
                <w:iCs/>
                <w:lang w:eastAsia="lt-LT"/>
              </w:rPr>
            </w:pPr>
            <w:r w:rsidRPr="006E448F">
              <w:rPr>
                <w:iCs/>
                <w:lang w:eastAsia="lt-LT"/>
              </w:rPr>
              <w:t>Nepageidaujamų reiškinių valdymo kaštai</w:t>
            </w:r>
          </w:p>
        </w:tc>
        <w:tc>
          <w:tcPr>
            <w:tcW w:w="1657" w:type="dxa"/>
            <w:tcBorders>
              <w:top w:val="single" w:sz="4" w:space="0" w:color="auto"/>
              <w:bottom w:val="single" w:sz="4" w:space="0" w:color="auto"/>
            </w:tcBorders>
          </w:tcPr>
          <w:p w14:paraId="170670D2" w14:textId="0F7A59EE" w:rsidR="000D70C0" w:rsidRPr="006E448F" w:rsidRDefault="00FB22B0" w:rsidP="00A56680">
            <w:pPr>
              <w:tabs>
                <w:tab w:val="left" w:pos="567"/>
              </w:tabs>
              <w:spacing w:line="276" w:lineRule="auto"/>
              <w:jc w:val="both"/>
              <w:rPr>
                <w:i/>
                <w:iCs/>
                <w:lang w:eastAsia="lt-LT"/>
              </w:rPr>
            </w:pPr>
            <w:r w:rsidRPr="006E448F">
              <w:rPr>
                <w:i/>
                <w:iCs/>
                <w:lang w:eastAsia="lt-LT"/>
              </w:rPr>
              <w:t>****</w:t>
            </w:r>
          </w:p>
        </w:tc>
        <w:tc>
          <w:tcPr>
            <w:tcW w:w="2006" w:type="dxa"/>
            <w:tcBorders>
              <w:top w:val="single" w:sz="4" w:space="0" w:color="auto"/>
              <w:bottom w:val="single" w:sz="4" w:space="0" w:color="auto"/>
            </w:tcBorders>
          </w:tcPr>
          <w:p w14:paraId="6D22E9B3" w14:textId="0E54F055" w:rsidR="000D70C0" w:rsidRPr="006E448F" w:rsidRDefault="00FB22B0" w:rsidP="00A56680">
            <w:pPr>
              <w:tabs>
                <w:tab w:val="left" w:pos="567"/>
              </w:tabs>
              <w:spacing w:line="276" w:lineRule="auto"/>
              <w:jc w:val="both"/>
              <w:rPr>
                <w:i/>
                <w:iCs/>
                <w:lang w:eastAsia="lt-LT"/>
              </w:rPr>
            </w:pPr>
            <w:r w:rsidRPr="006E448F">
              <w:rPr>
                <w:i/>
                <w:iCs/>
                <w:lang w:eastAsia="lt-LT"/>
              </w:rPr>
              <w:t>****</w:t>
            </w:r>
          </w:p>
        </w:tc>
        <w:tc>
          <w:tcPr>
            <w:tcW w:w="3557" w:type="dxa"/>
            <w:tcBorders>
              <w:top w:val="single" w:sz="4" w:space="0" w:color="auto"/>
              <w:bottom w:val="single" w:sz="4" w:space="0" w:color="auto"/>
            </w:tcBorders>
          </w:tcPr>
          <w:p w14:paraId="6F6C67D1" w14:textId="419BE06D" w:rsidR="000D70C0" w:rsidRPr="006E448F" w:rsidRDefault="00FB22B0" w:rsidP="00A56680">
            <w:pPr>
              <w:tabs>
                <w:tab w:val="left" w:pos="567"/>
              </w:tabs>
              <w:spacing w:line="276" w:lineRule="auto"/>
              <w:jc w:val="both"/>
              <w:rPr>
                <w:i/>
                <w:iCs/>
                <w:lang w:eastAsia="lt-LT"/>
              </w:rPr>
            </w:pPr>
            <w:r w:rsidRPr="006E448F">
              <w:rPr>
                <w:i/>
                <w:iCs/>
                <w:lang w:eastAsia="lt-LT"/>
              </w:rPr>
              <w:t>****</w:t>
            </w:r>
          </w:p>
        </w:tc>
      </w:tr>
      <w:tr w:rsidR="000D70C0" w:rsidRPr="006E448F" w14:paraId="422EFF55" w14:textId="77777777" w:rsidTr="00A56680">
        <w:trPr>
          <w:jc w:val="center"/>
        </w:trPr>
        <w:tc>
          <w:tcPr>
            <w:tcW w:w="2688" w:type="dxa"/>
            <w:tcBorders>
              <w:top w:val="single" w:sz="4" w:space="0" w:color="auto"/>
              <w:bottom w:val="single" w:sz="4" w:space="0" w:color="auto"/>
            </w:tcBorders>
          </w:tcPr>
          <w:p w14:paraId="6B8AEC37" w14:textId="77777777" w:rsidR="000D70C0" w:rsidRPr="006E448F" w:rsidRDefault="000D70C0" w:rsidP="00A56680">
            <w:pPr>
              <w:tabs>
                <w:tab w:val="left" w:pos="567"/>
              </w:tabs>
              <w:spacing w:line="276" w:lineRule="auto"/>
              <w:jc w:val="both"/>
              <w:rPr>
                <w:iCs/>
                <w:lang w:eastAsia="lt-LT"/>
              </w:rPr>
            </w:pPr>
            <w:r w:rsidRPr="006E448F">
              <w:rPr>
                <w:iCs/>
                <w:lang w:eastAsia="lt-LT"/>
              </w:rPr>
              <w:t>Vaistų vartojimo kaštai</w:t>
            </w:r>
          </w:p>
        </w:tc>
        <w:tc>
          <w:tcPr>
            <w:tcW w:w="1657" w:type="dxa"/>
            <w:tcBorders>
              <w:top w:val="single" w:sz="4" w:space="0" w:color="auto"/>
              <w:bottom w:val="single" w:sz="4" w:space="0" w:color="auto"/>
            </w:tcBorders>
          </w:tcPr>
          <w:p w14:paraId="4B94F038" w14:textId="022C8516" w:rsidR="000D70C0" w:rsidRPr="006E448F" w:rsidRDefault="00FB22B0" w:rsidP="00A56680">
            <w:pPr>
              <w:tabs>
                <w:tab w:val="left" w:pos="567"/>
              </w:tabs>
              <w:spacing w:line="276" w:lineRule="auto"/>
              <w:jc w:val="both"/>
              <w:rPr>
                <w:i/>
                <w:iCs/>
                <w:lang w:eastAsia="lt-LT"/>
              </w:rPr>
            </w:pPr>
            <w:r w:rsidRPr="006E448F">
              <w:rPr>
                <w:i/>
                <w:iCs/>
                <w:lang w:eastAsia="lt-LT"/>
              </w:rPr>
              <w:t>****</w:t>
            </w:r>
          </w:p>
        </w:tc>
        <w:tc>
          <w:tcPr>
            <w:tcW w:w="2006" w:type="dxa"/>
            <w:tcBorders>
              <w:top w:val="single" w:sz="4" w:space="0" w:color="auto"/>
              <w:bottom w:val="single" w:sz="4" w:space="0" w:color="auto"/>
            </w:tcBorders>
          </w:tcPr>
          <w:p w14:paraId="2BD06019" w14:textId="1E9495C5" w:rsidR="000D70C0" w:rsidRPr="006E448F" w:rsidRDefault="00FB22B0" w:rsidP="00A56680">
            <w:pPr>
              <w:tabs>
                <w:tab w:val="left" w:pos="567"/>
              </w:tabs>
              <w:spacing w:line="276" w:lineRule="auto"/>
              <w:jc w:val="both"/>
              <w:rPr>
                <w:i/>
                <w:iCs/>
                <w:lang w:eastAsia="lt-LT"/>
              </w:rPr>
            </w:pPr>
            <w:r w:rsidRPr="006E448F">
              <w:rPr>
                <w:i/>
                <w:iCs/>
                <w:lang w:eastAsia="lt-LT"/>
              </w:rPr>
              <w:t>****</w:t>
            </w:r>
          </w:p>
        </w:tc>
        <w:tc>
          <w:tcPr>
            <w:tcW w:w="3557" w:type="dxa"/>
            <w:tcBorders>
              <w:top w:val="single" w:sz="4" w:space="0" w:color="auto"/>
              <w:bottom w:val="single" w:sz="4" w:space="0" w:color="auto"/>
            </w:tcBorders>
          </w:tcPr>
          <w:p w14:paraId="74036B0E" w14:textId="1F92F87F" w:rsidR="000D70C0" w:rsidRPr="006E448F" w:rsidRDefault="00FB22B0" w:rsidP="00A56680">
            <w:pPr>
              <w:tabs>
                <w:tab w:val="left" w:pos="567"/>
              </w:tabs>
              <w:spacing w:line="276" w:lineRule="auto"/>
              <w:jc w:val="both"/>
              <w:rPr>
                <w:i/>
                <w:iCs/>
                <w:lang w:eastAsia="lt-LT"/>
              </w:rPr>
            </w:pPr>
            <w:r w:rsidRPr="006E448F">
              <w:rPr>
                <w:i/>
                <w:iCs/>
                <w:lang w:eastAsia="lt-LT"/>
              </w:rPr>
              <w:t>****</w:t>
            </w:r>
          </w:p>
        </w:tc>
      </w:tr>
      <w:tr w:rsidR="000D70C0" w:rsidRPr="006E448F" w14:paraId="49A79216" w14:textId="77777777" w:rsidTr="00A56680">
        <w:trPr>
          <w:jc w:val="center"/>
        </w:trPr>
        <w:tc>
          <w:tcPr>
            <w:tcW w:w="2688" w:type="dxa"/>
            <w:tcBorders>
              <w:top w:val="single" w:sz="4" w:space="0" w:color="auto"/>
              <w:bottom w:val="single" w:sz="4" w:space="0" w:color="auto"/>
            </w:tcBorders>
          </w:tcPr>
          <w:p w14:paraId="2006347A" w14:textId="77777777" w:rsidR="000D70C0" w:rsidRPr="006E448F" w:rsidRDefault="000D70C0" w:rsidP="00A56680">
            <w:pPr>
              <w:tabs>
                <w:tab w:val="left" w:pos="567"/>
              </w:tabs>
              <w:spacing w:line="276" w:lineRule="auto"/>
              <w:jc w:val="both"/>
              <w:rPr>
                <w:iCs/>
                <w:lang w:eastAsia="lt-LT"/>
              </w:rPr>
            </w:pPr>
            <w:r w:rsidRPr="006E448F">
              <w:rPr>
                <w:iCs/>
                <w:lang w:eastAsia="lt-LT"/>
              </w:rPr>
              <w:t>Ligos valdymo kaštai</w:t>
            </w:r>
          </w:p>
        </w:tc>
        <w:tc>
          <w:tcPr>
            <w:tcW w:w="1657" w:type="dxa"/>
            <w:tcBorders>
              <w:top w:val="single" w:sz="4" w:space="0" w:color="auto"/>
              <w:bottom w:val="single" w:sz="4" w:space="0" w:color="auto"/>
            </w:tcBorders>
          </w:tcPr>
          <w:p w14:paraId="2917E292" w14:textId="015403E8" w:rsidR="000D70C0" w:rsidRPr="006E448F" w:rsidRDefault="00FB22B0" w:rsidP="00A56680">
            <w:pPr>
              <w:tabs>
                <w:tab w:val="left" w:pos="567"/>
              </w:tabs>
              <w:spacing w:line="276" w:lineRule="auto"/>
              <w:jc w:val="both"/>
              <w:rPr>
                <w:i/>
                <w:iCs/>
                <w:lang w:eastAsia="lt-LT"/>
              </w:rPr>
            </w:pPr>
            <w:r w:rsidRPr="006E448F">
              <w:rPr>
                <w:i/>
                <w:iCs/>
                <w:lang w:eastAsia="lt-LT"/>
              </w:rPr>
              <w:t>****</w:t>
            </w:r>
          </w:p>
        </w:tc>
        <w:tc>
          <w:tcPr>
            <w:tcW w:w="2006" w:type="dxa"/>
            <w:tcBorders>
              <w:top w:val="single" w:sz="4" w:space="0" w:color="auto"/>
              <w:bottom w:val="single" w:sz="4" w:space="0" w:color="auto"/>
            </w:tcBorders>
          </w:tcPr>
          <w:p w14:paraId="145BC200" w14:textId="54A16143" w:rsidR="000D70C0" w:rsidRPr="006E448F" w:rsidRDefault="00FB22B0" w:rsidP="00A56680">
            <w:pPr>
              <w:tabs>
                <w:tab w:val="left" w:pos="567"/>
              </w:tabs>
              <w:spacing w:line="276" w:lineRule="auto"/>
              <w:jc w:val="both"/>
              <w:rPr>
                <w:i/>
                <w:iCs/>
                <w:lang w:eastAsia="lt-LT"/>
              </w:rPr>
            </w:pPr>
            <w:r w:rsidRPr="006E448F">
              <w:rPr>
                <w:i/>
                <w:iCs/>
                <w:lang w:eastAsia="lt-LT"/>
              </w:rPr>
              <w:t>****</w:t>
            </w:r>
          </w:p>
        </w:tc>
        <w:tc>
          <w:tcPr>
            <w:tcW w:w="3557" w:type="dxa"/>
            <w:tcBorders>
              <w:top w:val="single" w:sz="4" w:space="0" w:color="auto"/>
              <w:bottom w:val="single" w:sz="4" w:space="0" w:color="auto"/>
            </w:tcBorders>
          </w:tcPr>
          <w:p w14:paraId="1F2E2E01" w14:textId="4FAF9659" w:rsidR="000D70C0" w:rsidRPr="006E448F" w:rsidRDefault="00FB22B0" w:rsidP="00A56680">
            <w:pPr>
              <w:tabs>
                <w:tab w:val="left" w:pos="567"/>
              </w:tabs>
              <w:spacing w:line="276" w:lineRule="auto"/>
              <w:jc w:val="both"/>
              <w:rPr>
                <w:i/>
                <w:iCs/>
                <w:lang w:eastAsia="lt-LT"/>
              </w:rPr>
            </w:pPr>
            <w:r w:rsidRPr="006E448F">
              <w:rPr>
                <w:i/>
                <w:iCs/>
                <w:lang w:eastAsia="lt-LT"/>
              </w:rPr>
              <w:t>****</w:t>
            </w:r>
          </w:p>
        </w:tc>
      </w:tr>
      <w:tr w:rsidR="000D70C0" w:rsidRPr="006E448F" w14:paraId="723BDA3D" w14:textId="77777777" w:rsidTr="00A56680">
        <w:trPr>
          <w:jc w:val="center"/>
        </w:trPr>
        <w:tc>
          <w:tcPr>
            <w:tcW w:w="2688" w:type="dxa"/>
            <w:tcBorders>
              <w:top w:val="single" w:sz="4" w:space="0" w:color="auto"/>
              <w:bottom w:val="single" w:sz="4" w:space="0" w:color="auto"/>
            </w:tcBorders>
          </w:tcPr>
          <w:p w14:paraId="3C9C38E6" w14:textId="77777777" w:rsidR="000D70C0" w:rsidRPr="006E448F" w:rsidRDefault="000D70C0" w:rsidP="00A56680">
            <w:pPr>
              <w:tabs>
                <w:tab w:val="left" w:pos="567"/>
              </w:tabs>
              <w:spacing w:line="276" w:lineRule="auto"/>
              <w:jc w:val="both"/>
              <w:rPr>
                <w:iCs/>
                <w:lang w:eastAsia="lt-LT"/>
              </w:rPr>
            </w:pPr>
            <w:r w:rsidRPr="006E448F">
              <w:rPr>
                <w:iCs/>
                <w:lang w:eastAsia="lt-LT"/>
              </w:rPr>
              <w:t>Terminalinės priežiūros kaštai</w:t>
            </w:r>
          </w:p>
        </w:tc>
        <w:tc>
          <w:tcPr>
            <w:tcW w:w="1657" w:type="dxa"/>
            <w:tcBorders>
              <w:top w:val="single" w:sz="4" w:space="0" w:color="auto"/>
              <w:bottom w:val="single" w:sz="4" w:space="0" w:color="auto"/>
            </w:tcBorders>
          </w:tcPr>
          <w:p w14:paraId="503FA067" w14:textId="73E718EE" w:rsidR="000D70C0" w:rsidRPr="006E448F" w:rsidRDefault="00FB22B0" w:rsidP="00A56680">
            <w:pPr>
              <w:tabs>
                <w:tab w:val="left" w:pos="567"/>
              </w:tabs>
              <w:spacing w:line="276" w:lineRule="auto"/>
              <w:jc w:val="both"/>
              <w:rPr>
                <w:i/>
                <w:iCs/>
                <w:lang w:eastAsia="lt-LT"/>
              </w:rPr>
            </w:pPr>
            <w:r w:rsidRPr="006E448F">
              <w:rPr>
                <w:i/>
                <w:iCs/>
                <w:lang w:eastAsia="lt-LT"/>
              </w:rPr>
              <w:t>****</w:t>
            </w:r>
          </w:p>
        </w:tc>
        <w:tc>
          <w:tcPr>
            <w:tcW w:w="2006" w:type="dxa"/>
            <w:tcBorders>
              <w:top w:val="single" w:sz="4" w:space="0" w:color="auto"/>
              <w:bottom w:val="single" w:sz="4" w:space="0" w:color="auto"/>
            </w:tcBorders>
          </w:tcPr>
          <w:p w14:paraId="33F968E2" w14:textId="36CA4D14" w:rsidR="000D70C0" w:rsidRPr="006E448F" w:rsidRDefault="00FB22B0" w:rsidP="00A56680">
            <w:pPr>
              <w:tabs>
                <w:tab w:val="left" w:pos="567"/>
              </w:tabs>
              <w:spacing w:line="276" w:lineRule="auto"/>
              <w:jc w:val="both"/>
              <w:rPr>
                <w:i/>
                <w:iCs/>
                <w:lang w:eastAsia="lt-LT"/>
              </w:rPr>
            </w:pPr>
            <w:r w:rsidRPr="006E448F">
              <w:rPr>
                <w:i/>
                <w:iCs/>
                <w:lang w:eastAsia="lt-LT"/>
              </w:rPr>
              <w:t>****</w:t>
            </w:r>
          </w:p>
        </w:tc>
        <w:tc>
          <w:tcPr>
            <w:tcW w:w="3557" w:type="dxa"/>
            <w:tcBorders>
              <w:top w:val="single" w:sz="4" w:space="0" w:color="auto"/>
              <w:bottom w:val="single" w:sz="4" w:space="0" w:color="auto"/>
            </w:tcBorders>
          </w:tcPr>
          <w:p w14:paraId="02397B4D" w14:textId="1CF484C4" w:rsidR="000D70C0" w:rsidRPr="006E448F" w:rsidRDefault="00FB22B0" w:rsidP="00A56680">
            <w:pPr>
              <w:tabs>
                <w:tab w:val="left" w:pos="567"/>
              </w:tabs>
              <w:spacing w:line="276" w:lineRule="auto"/>
              <w:jc w:val="both"/>
              <w:rPr>
                <w:i/>
                <w:iCs/>
                <w:lang w:eastAsia="lt-LT"/>
              </w:rPr>
            </w:pPr>
            <w:r w:rsidRPr="006E448F">
              <w:rPr>
                <w:i/>
                <w:iCs/>
                <w:lang w:eastAsia="lt-LT"/>
              </w:rPr>
              <w:t>****</w:t>
            </w:r>
          </w:p>
        </w:tc>
      </w:tr>
      <w:tr w:rsidR="000D70C0" w:rsidRPr="006E448F" w14:paraId="335D6558" w14:textId="77777777" w:rsidTr="00A56680">
        <w:trPr>
          <w:jc w:val="center"/>
        </w:trPr>
        <w:tc>
          <w:tcPr>
            <w:tcW w:w="2688" w:type="dxa"/>
            <w:tcBorders>
              <w:top w:val="single" w:sz="4" w:space="0" w:color="auto"/>
              <w:bottom w:val="single" w:sz="12" w:space="0" w:color="auto"/>
            </w:tcBorders>
          </w:tcPr>
          <w:p w14:paraId="7D3048E0" w14:textId="77777777" w:rsidR="000D70C0" w:rsidRPr="006E448F" w:rsidRDefault="000D70C0" w:rsidP="00A56680">
            <w:pPr>
              <w:tabs>
                <w:tab w:val="left" w:pos="567"/>
              </w:tabs>
              <w:spacing w:line="276" w:lineRule="auto"/>
              <w:jc w:val="both"/>
              <w:rPr>
                <w:iCs/>
                <w:lang w:eastAsia="lt-LT"/>
              </w:rPr>
            </w:pPr>
            <w:r w:rsidRPr="006E448F">
              <w:rPr>
                <w:iCs/>
                <w:lang w:eastAsia="lt-LT"/>
              </w:rPr>
              <w:t>Viso:</w:t>
            </w:r>
          </w:p>
        </w:tc>
        <w:tc>
          <w:tcPr>
            <w:tcW w:w="1657" w:type="dxa"/>
            <w:tcBorders>
              <w:top w:val="single" w:sz="4" w:space="0" w:color="auto"/>
              <w:bottom w:val="single" w:sz="12" w:space="0" w:color="auto"/>
            </w:tcBorders>
          </w:tcPr>
          <w:p w14:paraId="4068ADBD" w14:textId="79C10262" w:rsidR="000D70C0" w:rsidRPr="006E448F" w:rsidRDefault="00FB22B0" w:rsidP="00A56680">
            <w:pPr>
              <w:tabs>
                <w:tab w:val="left" w:pos="567"/>
              </w:tabs>
              <w:spacing w:line="276" w:lineRule="auto"/>
              <w:jc w:val="both"/>
              <w:rPr>
                <w:i/>
                <w:iCs/>
                <w:lang w:eastAsia="lt-LT"/>
              </w:rPr>
            </w:pPr>
            <w:r w:rsidRPr="006E448F">
              <w:rPr>
                <w:i/>
                <w:iCs/>
                <w:lang w:eastAsia="lt-LT"/>
              </w:rPr>
              <w:t>****</w:t>
            </w:r>
          </w:p>
        </w:tc>
        <w:tc>
          <w:tcPr>
            <w:tcW w:w="2006" w:type="dxa"/>
            <w:tcBorders>
              <w:top w:val="single" w:sz="4" w:space="0" w:color="auto"/>
              <w:bottom w:val="single" w:sz="12" w:space="0" w:color="auto"/>
            </w:tcBorders>
          </w:tcPr>
          <w:p w14:paraId="0ADE08F3" w14:textId="2389A8FC" w:rsidR="000D70C0" w:rsidRPr="006E448F" w:rsidRDefault="00FB22B0" w:rsidP="00A56680">
            <w:pPr>
              <w:tabs>
                <w:tab w:val="left" w:pos="567"/>
              </w:tabs>
              <w:spacing w:line="276" w:lineRule="auto"/>
              <w:jc w:val="both"/>
              <w:rPr>
                <w:i/>
                <w:iCs/>
                <w:lang w:eastAsia="lt-LT"/>
              </w:rPr>
            </w:pPr>
            <w:r w:rsidRPr="006E448F">
              <w:rPr>
                <w:i/>
                <w:iCs/>
                <w:lang w:eastAsia="lt-LT"/>
              </w:rPr>
              <w:t>****</w:t>
            </w:r>
          </w:p>
        </w:tc>
        <w:tc>
          <w:tcPr>
            <w:tcW w:w="3557" w:type="dxa"/>
            <w:tcBorders>
              <w:top w:val="single" w:sz="4" w:space="0" w:color="auto"/>
              <w:bottom w:val="single" w:sz="12" w:space="0" w:color="auto"/>
            </w:tcBorders>
          </w:tcPr>
          <w:p w14:paraId="030A0B3A" w14:textId="5BCD87F8" w:rsidR="000D70C0" w:rsidRPr="006E448F" w:rsidRDefault="00FB22B0" w:rsidP="00A56680">
            <w:pPr>
              <w:tabs>
                <w:tab w:val="left" w:pos="567"/>
              </w:tabs>
              <w:spacing w:line="276" w:lineRule="auto"/>
              <w:jc w:val="both"/>
              <w:rPr>
                <w:i/>
                <w:iCs/>
                <w:lang w:eastAsia="lt-LT"/>
              </w:rPr>
            </w:pPr>
            <w:r w:rsidRPr="006E448F">
              <w:rPr>
                <w:i/>
                <w:iCs/>
                <w:lang w:eastAsia="lt-LT"/>
              </w:rPr>
              <w:t>****</w:t>
            </w:r>
          </w:p>
        </w:tc>
      </w:tr>
      <w:tr w:rsidR="000D70C0" w:rsidRPr="006E448F" w14:paraId="74B4162C" w14:textId="77777777" w:rsidTr="00A56680">
        <w:trPr>
          <w:jc w:val="center"/>
        </w:trPr>
        <w:tc>
          <w:tcPr>
            <w:tcW w:w="9908" w:type="dxa"/>
            <w:gridSpan w:val="4"/>
            <w:tcBorders>
              <w:top w:val="single" w:sz="12" w:space="0" w:color="auto"/>
              <w:bottom w:val="single" w:sz="4" w:space="0" w:color="auto"/>
            </w:tcBorders>
          </w:tcPr>
          <w:p w14:paraId="2105C06F" w14:textId="77777777" w:rsidR="000D70C0" w:rsidRPr="006E448F" w:rsidRDefault="000D70C0" w:rsidP="00A56680">
            <w:pPr>
              <w:tabs>
                <w:tab w:val="left" w:pos="567"/>
              </w:tabs>
              <w:spacing w:line="276" w:lineRule="auto"/>
              <w:jc w:val="both"/>
              <w:rPr>
                <w:iCs/>
                <w:lang w:eastAsia="lt-LT"/>
              </w:rPr>
            </w:pPr>
            <w:r w:rsidRPr="006E448F">
              <w:rPr>
                <w:lang w:eastAsia="lt-LT"/>
              </w:rPr>
              <w:t>Papildomi gyvenimo metai (LY)</w:t>
            </w:r>
          </w:p>
        </w:tc>
      </w:tr>
      <w:tr w:rsidR="000D70C0" w:rsidRPr="006E448F" w14:paraId="43AA34CC" w14:textId="77777777" w:rsidTr="00A56680">
        <w:trPr>
          <w:jc w:val="center"/>
        </w:trPr>
        <w:tc>
          <w:tcPr>
            <w:tcW w:w="2688" w:type="dxa"/>
            <w:tcBorders>
              <w:top w:val="single" w:sz="4" w:space="0" w:color="auto"/>
              <w:bottom w:val="single" w:sz="4" w:space="0" w:color="auto"/>
            </w:tcBorders>
          </w:tcPr>
          <w:p w14:paraId="3BC38A80" w14:textId="77777777" w:rsidR="000D70C0" w:rsidRPr="006E448F" w:rsidRDefault="000D70C0" w:rsidP="00A56680">
            <w:pPr>
              <w:tabs>
                <w:tab w:val="left" w:pos="567"/>
              </w:tabs>
              <w:spacing w:line="276" w:lineRule="auto"/>
              <w:jc w:val="both"/>
              <w:rPr>
                <w:lang w:eastAsia="lt-LT"/>
              </w:rPr>
            </w:pPr>
            <w:r w:rsidRPr="006E448F">
              <w:rPr>
                <w:iCs/>
                <w:lang w:eastAsia="lt-LT"/>
              </w:rPr>
              <w:t>Fruzaquintinib</w:t>
            </w:r>
          </w:p>
        </w:tc>
        <w:tc>
          <w:tcPr>
            <w:tcW w:w="3663" w:type="dxa"/>
            <w:gridSpan w:val="2"/>
            <w:tcBorders>
              <w:top w:val="single" w:sz="4" w:space="0" w:color="auto"/>
              <w:bottom w:val="single" w:sz="4" w:space="0" w:color="auto"/>
            </w:tcBorders>
          </w:tcPr>
          <w:p w14:paraId="57A5155C" w14:textId="74982451" w:rsidR="000D70C0" w:rsidRPr="006E448F" w:rsidRDefault="00FB22B0" w:rsidP="00A56680">
            <w:pPr>
              <w:tabs>
                <w:tab w:val="left" w:pos="567"/>
              </w:tabs>
              <w:spacing w:line="276" w:lineRule="auto"/>
              <w:jc w:val="both"/>
              <w:rPr>
                <w:i/>
                <w:iCs/>
                <w:lang w:eastAsia="lt-LT"/>
              </w:rPr>
            </w:pPr>
            <w:r w:rsidRPr="006E448F">
              <w:rPr>
                <w:i/>
                <w:iCs/>
                <w:lang w:eastAsia="lt-LT"/>
              </w:rPr>
              <w:t>****</w:t>
            </w:r>
          </w:p>
        </w:tc>
        <w:tc>
          <w:tcPr>
            <w:tcW w:w="3557" w:type="dxa"/>
            <w:vMerge w:val="restart"/>
            <w:tcBorders>
              <w:top w:val="single" w:sz="4" w:space="0" w:color="auto"/>
            </w:tcBorders>
          </w:tcPr>
          <w:p w14:paraId="7331417C" w14:textId="4EFE1B69" w:rsidR="000D70C0" w:rsidRPr="006E448F" w:rsidRDefault="00FB22B0" w:rsidP="00A56680">
            <w:pPr>
              <w:tabs>
                <w:tab w:val="left" w:pos="567"/>
              </w:tabs>
              <w:spacing w:line="276" w:lineRule="auto"/>
              <w:jc w:val="both"/>
              <w:rPr>
                <w:lang w:eastAsia="lt-LT"/>
              </w:rPr>
            </w:pPr>
            <w:r w:rsidRPr="006E448F">
              <w:rPr>
                <w:i/>
                <w:iCs/>
                <w:lang w:eastAsia="lt-LT"/>
              </w:rPr>
              <w:t>****</w:t>
            </w:r>
          </w:p>
        </w:tc>
      </w:tr>
      <w:tr w:rsidR="000D70C0" w:rsidRPr="006E448F" w14:paraId="2527FFB3" w14:textId="77777777" w:rsidTr="00A56680">
        <w:trPr>
          <w:jc w:val="center"/>
        </w:trPr>
        <w:tc>
          <w:tcPr>
            <w:tcW w:w="2688" w:type="dxa"/>
            <w:tcBorders>
              <w:top w:val="single" w:sz="4" w:space="0" w:color="auto"/>
              <w:bottom w:val="single" w:sz="12" w:space="0" w:color="auto"/>
            </w:tcBorders>
          </w:tcPr>
          <w:p w14:paraId="73B84E99" w14:textId="77777777" w:rsidR="000D70C0" w:rsidRPr="006E448F" w:rsidRDefault="000D70C0" w:rsidP="00A56680">
            <w:pPr>
              <w:tabs>
                <w:tab w:val="left" w:pos="567"/>
              </w:tabs>
              <w:spacing w:line="276" w:lineRule="auto"/>
              <w:jc w:val="both"/>
              <w:rPr>
                <w:lang w:eastAsia="lt-LT"/>
              </w:rPr>
            </w:pPr>
            <w:r w:rsidRPr="006E448F">
              <w:rPr>
                <w:iCs/>
                <w:lang w:eastAsia="lt-LT"/>
              </w:rPr>
              <w:t>BSC</w:t>
            </w:r>
          </w:p>
        </w:tc>
        <w:tc>
          <w:tcPr>
            <w:tcW w:w="3663" w:type="dxa"/>
            <w:gridSpan w:val="2"/>
            <w:tcBorders>
              <w:top w:val="single" w:sz="4" w:space="0" w:color="auto"/>
              <w:bottom w:val="single" w:sz="12" w:space="0" w:color="auto"/>
            </w:tcBorders>
          </w:tcPr>
          <w:p w14:paraId="00AC3148" w14:textId="69D9DDB7" w:rsidR="000D70C0" w:rsidRPr="006E448F" w:rsidRDefault="00FB22B0" w:rsidP="00A56680">
            <w:pPr>
              <w:tabs>
                <w:tab w:val="left" w:pos="567"/>
              </w:tabs>
              <w:spacing w:line="276" w:lineRule="auto"/>
              <w:jc w:val="both"/>
              <w:rPr>
                <w:i/>
                <w:iCs/>
                <w:lang w:eastAsia="lt-LT"/>
              </w:rPr>
            </w:pPr>
            <w:r w:rsidRPr="006E448F">
              <w:rPr>
                <w:i/>
                <w:iCs/>
                <w:lang w:eastAsia="lt-LT"/>
              </w:rPr>
              <w:t>****</w:t>
            </w:r>
          </w:p>
        </w:tc>
        <w:tc>
          <w:tcPr>
            <w:tcW w:w="3557" w:type="dxa"/>
            <w:vMerge/>
            <w:tcBorders>
              <w:bottom w:val="single" w:sz="12" w:space="0" w:color="auto"/>
            </w:tcBorders>
          </w:tcPr>
          <w:p w14:paraId="68EB47A2" w14:textId="77777777" w:rsidR="000D70C0" w:rsidRPr="006E448F" w:rsidRDefault="000D70C0" w:rsidP="00A56680">
            <w:pPr>
              <w:tabs>
                <w:tab w:val="left" w:pos="567"/>
              </w:tabs>
              <w:spacing w:line="276" w:lineRule="auto"/>
              <w:jc w:val="both"/>
              <w:rPr>
                <w:i/>
                <w:iCs/>
                <w:lang w:eastAsia="lt-LT"/>
              </w:rPr>
            </w:pPr>
          </w:p>
        </w:tc>
      </w:tr>
      <w:tr w:rsidR="000D70C0" w:rsidRPr="006E448F" w14:paraId="4E6584DE" w14:textId="77777777" w:rsidTr="00A56680">
        <w:trPr>
          <w:jc w:val="center"/>
        </w:trPr>
        <w:tc>
          <w:tcPr>
            <w:tcW w:w="9908" w:type="dxa"/>
            <w:gridSpan w:val="4"/>
            <w:tcBorders>
              <w:top w:val="single" w:sz="12" w:space="0" w:color="auto"/>
              <w:bottom w:val="single" w:sz="4" w:space="0" w:color="auto"/>
            </w:tcBorders>
          </w:tcPr>
          <w:p w14:paraId="0A893FE9" w14:textId="77777777" w:rsidR="000D70C0" w:rsidRPr="006E448F" w:rsidRDefault="000D70C0" w:rsidP="00A56680">
            <w:pPr>
              <w:tabs>
                <w:tab w:val="left" w:pos="567"/>
              </w:tabs>
              <w:spacing w:line="276" w:lineRule="auto"/>
              <w:jc w:val="both"/>
              <w:rPr>
                <w:iCs/>
                <w:lang w:eastAsia="lt-LT"/>
              </w:rPr>
            </w:pPr>
            <w:r w:rsidRPr="006E448F">
              <w:rPr>
                <w:lang w:eastAsia="lt-LT"/>
              </w:rPr>
              <w:t>Kokybiški gyvenimo metai (QALY)</w:t>
            </w:r>
          </w:p>
        </w:tc>
      </w:tr>
      <w:tr w:rsidR="000D70C0" w:rsidRPr="006E448F" w14:paraId="5EF04274" w14:textId="77777777" w:rsidTr="00A56680">
        <w:trPr>
          <w:jc w:val="center"/>
        </w:trPr>
        <w:tc>
          <w:tcPr>
            <w:tcW w:w="2688" w:type="dxa"/>
            <w:tcBorders>
              <w:top w:val="single" w:sz="4" w:space="0" w:color="auto"/>
              <w:bottom w:val="single" w:sz="4" w:space="0" w:color="auto"/>
            </w:tcBorders>
          </w:tcPr>
          <w:p w14:paraId="27A70D78" w14:textId="77777777" w:rsidR="000D70C0" w:rsidRPr="006E448F" w:rsidRDefault="000D70C0" w:rsidP="00A56680">
            <w:pPr>
              <w:tabs>
                <w:tab w:val="left" w:pos="567"/>
              </w:tabs>
              <w:spacing w:line="276" w:lineRule="auto"/>
              <w:jc w:val="both"/>
              <w:rPr>
                <w:iCs/>
                <w:lang w:eastAsia="lt-LT"/>
              </w:rPr>
            </w:pPr>
            <w:r w:rsidRPr="006E448F">
              <w:rPr>
                <w:iCs/>
                <w:lang w:eastAsia="lt-LT"/>
              </w:rPr>
              <w:t>Fruzaquintinib</w:t>
            </w:r>
          </w:p>
        </w:tc>
        <w:tc>
          <w:tcPr>
            <w:tcW w:w="3663" w:type="dxa"/>
            <w:gridSpan w:val="2"/>
            <w:tcBorders>
              <w:top w:val="single" w:sz="4" w:space="0" w:color="auto"/>
              <w:bottom w:val="single" w:sz="4" w:space="0" w:color="auto"/>
            </w:tcBorders>
          </w:tcPr>
          <w:p w14:paraId="4EBC7FBF" w14:textId="4BF11BF8" w:rsidR="000D70C0" w:rsidRPr="006E448F" w:rsidRDefault="00FB22B0" w:rsidP="00A56680">
            <w:pPr>
              <w:tabs>
                <w:tab w:val="left" w:pos="567"/>
              </w:tabs>
              <w:spacing w:line="276" w:lineRule="auto"/>
              <w:jc w:val="both"/>
              <w:rPr>
                <w:i/>
                <w:iCs/>
                <w:lang w:eastAsia="lt-LT"/>
              </w:rPr>
            </w:pPr>
            <w:r w:rsidRPr="006E448F">
              <w:rPr>
                <w:i/>
                <w:iCs/>
                <w:lang w:eastAsia="lt-LT"/>
              </w:rPr>
              <w:t>****</w:t>
            </w:r>
          </w:p>
        </w:tc>
        <w:tc>
          <w:tcPr>
            <w:tcW w:w="3557" w:type="dxa"/>
            <w:vMerge w:val="restart"/>
            <w:tcBorders>
              <w:top w:val="single" w:sz="4" w:space="0" w:color="auto"/>
            </w:tcBorders>
          </w:tcPr>
          <w:p w14:paraId="307DA358" w14:textId="777B2556" w:rsidR="000D70C0" w:rsidRPr="006E448F" w:rsidRDefault="00FB22B0" w:rsidP="00A56680">
            <w:pPr>
              <w:tabs>
                <w:tab w:val="left" w:pos="567"/>
              </w:tabs>
              <w:spacing w:line="276" w:lineRule="auto"/>
              <w:jc w:val="both"/>
              <w:rPr>
                <w:lang w:eastAsia="lt-LT"/>
              </w:rPr>
            </w:pPr>
            <w:r w:rsidRPr="006E448F">
              <w:rPr>
                <w:i/>
                <w:iCs/>
                <w:lang w:eastAsia="lt-LT"/>
              </w:rPr>
              <w:t>****</w:t>
            </w:r>
          </w:p>
        </w:tc>
      </w:tr>
      <w:tr w:rsidR="000D70C0" w:rsidRPr="006E448F" w14:paraId="47BF02D0" w14:textId="77777777" w:rsidTr="00A56680">
        <w:trPr>
          <w:jc w:val="center"/>
        </w:trPr>
        <w:tc>
          <w:tcPr>
            <w:tcW w:w="2688" w:type="dxa"/>
            <w:tcBorders>
              <w:top w:val="single" w:sz="4" w:space="0" w:color="auto"/>
              <w:bottom w:val="single" w:sz="12" w:space="0" w:color="auto"/>
            </w:tcBorders>
          </w:tcPr>
          <w:p w14:paraId="42325407" w14:textId="77777777" w:rsidR="000D70C0" w:rsidRPr="006E448F" w:rsidRDefault="000D70C0" w:rsidP="00A56680">
            <w:pPr>
              <w:tabs>
                <w:tab w:val="left" w:pos="567"/>
              </w:tabs>
              <w:spacing w:line="276" w:lineRule="auto"/>
              <w:jc w:val="both"/>
              <w:rPr>
                <w:iCs/>
                <w:lang w:eastAsia="lt-LT"/>
              </w:rPr>
            </w:pPr>
            <w:r w:rsidRPr="006E448F">
              <w:rPr>
                <w:iCs/>
                <w:lang w:eastAsia="lt-LT"/>
              </w:rPr>
              <w:t>BSC</w:t>
            </w:r>
          </w:p>
        </w:tc>
        <w:tc>
          <w:tcPr>
            <w:tcW w:w="3663" w:type="dxa"/>
            <w:gridSpan w:val="2"/>
            <w:tcBorders>
              <w:top w:val="single" w:sz="4" w:space="0" w:color="auto"/>
              <w:bottom w:val="single" w:sz="12" w:space="0" w:color="auto"/>
            </w:tcBorders>
          </w:tcPr>
          <w:p w14:paraId="1FCE5C00" w14:textId="2CE5E533" w:rsidR="000D70C0" w:rsidRPr="006E448F" w:rsidRDefault="00FB22B0" w:rsidP="00A56680">
            <w:pPr>
              <w:tabs>
                <w:tab w:val="left" w:pos="567"/>
              </w:tabs>
              <w:spacing w:line="276" w:lineRule="auto"/>
              <w:jc w:val="both"/>
              <w:rPr>
                <w:i/>
                <w:iCs/>
                <w:lang w:eastAsia="lt-LT"/>
              </w:rPr>
            </w:pPr>
            <w:r w:rsidRPr="006E448F">
              <w:rPr>
                <w:i/>
                <w:iCs/>
                <w:lang w:eastAsia="lt-LT"/>
              </w:rPr>
              <w:t>****</w:t>
            </w:r>
          </w:p>
        </w:tc>
        <w:tc>
          <w:tcPr>
            <w:tcW w:w="3557" w:type="dxa"/>
            <w:vMerge/>
            <w:tcBorders>
              <w:bottom w:val="single" w:sz="12" w:space="0" w:color="auto"/>
            </w:tcBorders>
          </w:tcPr>
          <w:p w14:paraId="4AAC1C1B" w14:textId="77777777" w:rsidR="000D70C0" w:rsidRPr="006E448F" w:rsidRDefault="000D70C0" w:rsidP="00A56680">
            <w:pPr>
              <w:tabs>
                <w:tab w:val="left" w:pos="567"/>
              </w:tabs>
              <w:spacing w:line="276" w:lineRule="auto"/>
              <w:jc w:val="both"/>
              <w:rPr>
                <w:i/>
                <w:iCs/>
                <w:lang w:eastAsia="lt-LT"/>
              </w:rPr>
            </w:pPr>
          </w:p>
        </w:tc>
      </w:tr>
      <w:tr w:rsidR="000D70C0" w:rsidRPr="006E448F" w14:paraId="59450FDB" w14:textId="77777777" w:rsidTr="00A56680">
        <w:trPr>
          <w:trHeight w:val="347"/>
          <w:jc w:val="center"/>
        </w:trPr>
        <w:tc>
          <w:tcPr>
            <w:tcW w:w="9908" w:type="dxa"/>
            <w:gridSpan w:val="4"/>
            <w:tcBorders>
              <w:top w:val="single" w:sz="12" w:space="0" w:color="auto"/>
            </w:tcBorders>
            <w:vAlign w:val="center"/>
          </w:tcPr>
          <w:p w14:paraId="05DBB896" w14:textId="77777777" w:rsidR="000D70C0" w:rsidRPr="006E448F" w:rsidRDefault="000D70C0" w:rsidP="00A56680">
            <w:pPr>
              <w:tabs>
                <w:tab w:val="left" w:pos="567"/>
              </w:tabs>
              <w:spacing w:line="276" w:lineRule="auto"/>
              <w:jc w:val="both"/>
              <w:rPr>
                <w:b/>
                <w:bCs/>
                <w:sz w:val="26"/>
                <w:szCs w:val="26"/>
                <w:lang w:eastAsia="lt-LT"/>
              </w:rPr>
            </w:pPr>
            <w:r w:rsidRPr="006E448F">
              <w:rPr>
                <w:b/>
                <w:bCs/>
                <w:sz w:val="26"/>
                <w:szCs w:val="26"/>
                <w:lang w:eastAsia="lt-LT"/>
              </w:rPr>
              <w:t>Rezultatai</w:t>
            </w:r>
          </w:p>
        </w:tc>
      </w:tr>
      <w:tr w:rsidR="000D70C0" w:rsidRPr="006E448F" w14:paraId="3FF17436" w14:textId="77777777" w:rsidTr="00A56680">
        <w:trPr>
          <w:jc w:val="center"/>
        </w:trPr>
        <w:tc>
          <w:tcPr>
            <w:tcW w:w="6351" w:type="dxa"/>
            <w:gridSpan w:val="3"/>
          </w:tcPr>
          <w:p w14:paraId="497E3BB2" w14:textId="77777777" w:rsidR="000D70C0" w:rsidRPr="006E448F" w:rsidRDefault="000D70C0" w:rsidP="00A56680">
            <w:pPr>
              <w:tabs>
                <w:tab w:val="left" w:pos="567"/>
              </w:tabs>
              <w:spacing w:line="276" w:lineRule="auto"/>
              <w:jc w:val="both"/>
              <w:rPr>
                <w:iCs/>
                <w:lang w:eastAsia="lt-LT"/>
              </w:rPr>
            </w:pPr>
            <w:r w:rsidRPr="006E448F">
              <w:rPr>
                <w:iCs/>
                <w:lang w:eastAsia="lt-LT"/>
              </w:rPr>
              <w:t>ICER už LY</w:t>
            </w:r>
          </w:p>
        </w:tc>
        <w:tc>
          <w:tcPr>
            <w:tcW w:w="3557" w:type="dxa"/>
          </w:tcPr>
          <w:p w14:paraId="0AC4EE2A" w14:textId="1EDF7AAF" w:rsidR="000D70C0" w:rsidRPr="006E448F" w:rsidRDefault="00FB22B0" w:rsidP="00A56680">
            <w:pPr>
              <w:tabs>
                <w:tab w:val="left" w:pos="567"/>
              </w:tabs>
              <w:spacing w:line="276" w:lineRule="auto"/>
              <w:jc w:val="both"/>
              <w:rPr>
                <w:i/>
                <w:iCs/>
                <w:lang w:eastAsia="lt-LT"/>
              </w:rPr>
            </w:pPr>
            <w:r w:rsidRPr="006E448F">
              <w:rPr>
                <w:i/>
                <w:iCs/>
                <w:lang w:eastAsia="lt-LT"/>
              </w:rPr>
              <w:t>****</w:t>
            </w:r>
          </w:p>
        </w:tc>
      </w:tr>
      <w:tr w:rsidR="000D70C0" w:rsidRPr="006E448F" w14:paraId="28F531DB" w14:textId="77777777" w:rsidTr="00A56680">
        <w:trPr>
          <w:jc w:val="center"/>
        </w:trPr>
        <w:tc>
          <w:tcPr>
            <w:tcW w:w="6351" w:type="dxa"/>
            <w:gridSpan w:val="3"/>
          </w:tcPr>
          <w:p w14:paraId="2D0402E0" w14:textId="77777777" w:rsidR="000D70C0" w:rsidRPr="006E448F" w:rsidRDefault="000D70C0" w:rsidP="00A56680">
            <w:pPr>
              <w:tabs>
                <w:tab w:val="left" w:pos="567"/>
              </w:tabs>
              <w:spacing w:line="276" w:lineRule="auto"/>
              <w:jc w:val="both"/>
              <w:rPr>
                <w:iCs/>
                <w:lang w:eastAsia="lt-LT"/>
              </w:rPr>
            </w:pPr>
            <w:r w:rsidRPr="006E448F">
              <w:rPr>
                <w:iCs/>
                <w:lang w:eastAsia="lt-LT"/>
              </w:rPr>
              <w:t>ICER už QALY</w:t>
            </w:r>
          </w:p>
        </w:tc>
        <w:tc>
          <w:tcPr>
            <w:tcW w:w="3557" w:type="dxa"/>
          </w:tcPr>
          <w:p w14:paraId="0DEF1B40" w14:textId="0042C364" w:rsidR="000D70C0" w:rsidRPr="006E448F" w:rsidRDefault="00FB22B0" w:rsidP="00A56680">
            <w:pPr>
              <w:tabs>
                <w:tab w:val="left" w:pos="567"/>
              </w:tabs>
              <w:spacing w:line="276" w:lineRule="auto"/>
              <w:jc w:val="both"/>
              <w:rPr>
                <w:i/>
                <w:iCs/>
                <w:lang w:eastAsia="lt-LT"/>
              </w:rPr>
            </w:pPr>
            <w:r w:rsidRPr="006E448F">
              <w:rPr>
                <w:i/>
                <w:iCs/>
                <w:lang w:eastAsia="lt-LT"/>
              </w:rPr>
              <w:t>****</w:t>
            </w:r>
          </w:p>
        </w:tc>
      </w:tr>
      <w:tr w:rsidR="000D70C0" w:rsidRPr="006E448F" w14:paraId="315AED86" w14:textId="77777777" w:rsidTr="00A56680">
        <w:trPr>
          <w:trHeight w:val="58"/>
          <w:jc w:val="center"/>
        </w:trPr>
        <w:tc>
          <w:tcPr>
            <w:tcW w:w="6351" w:type="dxa"/>
            <w:gridSpan w:val="3"/>
          </w:tcPr>
          <w:p w14:paraId="61865C99" w14:textId="77777777" w:rsidR="000D70C0" w:rsidRPr="006E448F" w:rsidRDefault="000D70C0" w:rsidP="00A56680">
            <w:pPr>
              <w:tabs>
                <w:tab w:val="left" w:pos="567"/>
              </w:tabs>
              <w:spacing w:line="276" w:lineRule="auto"/>
              <w:jc w:val="both"/>
              <w:rPr>
                <w:iCs/>
                <w:lang w:eastAsia="lt-LT"/>
              </w:rPr>
            </w:pPr>
            <w:r w:rsidRPr="006E448F">
              <w:rPr>
                <w:iCs/>
                <w:lang w:eastAsia="lt-LT"/>
              </w:rPr>
              <w:t>Referencinė kaštų naudingumo vertė</w:t>
            </w:r>
          </w:p>
        </w:tc>
        <w:tc>
          <w:tcPr>
            <w:tcW w:w="3557" w:type="dxa"/>
          </w:tcPr>
          <w:p w14:paraId="7A9B42B4" w14:textId="09A23504" w:rsidR="000D70C0" w:rsidRPr="006E448F" w:rsidRDefault="00FB22B0" w:rsidP="00A56680">
            <w:pPr>
              <w:tabs>
                <w:tab w:val="left" w:pos="567"/>
              </w:tabs>
              <w:spacing w:line="276" w:lineRule="auto"/>
              <w:jc w:val="both"/>
              <w:rPr>
                <w:i/>
                <w:iCs/>
                <w:lang w:eastAsia="lt-LT"/>
              </w:rPr>
            </w:pPr>
            <w:r w:rsidRPr="006E448F">
              <w:rPr>
                <w:i/>
                <w:iCs/>
                <w:lang w:eastAsia="lt-LT"/>
              </w:rPr>
              <w:t>****</w:t>
            </w:r>
          </w:p>
        </w:tc>
      </w:tr>
    </w:tbl>
    <w:p w14:paraId="08570A85" w14:textId="77777777" w:rsidR="000D70C0" w:rsidRPr="006E448F" w:rsidRDefault="000D70C0" w:rsidP="000D70C0">
      <w:pPr>
        <w:tabs>
          <w:tab w:val="left" w:pos="567"/>
        </w:tabs>
        <w:jc w:val="both"/>
        <w:rPr>
          <w:iCs/>
          <w:sz w:val="20"/>
          <w:lang w:eastAsia="lt-LT"/>
        </w:rPr>
      </w:pPr>
      <w:r w:rsidRPr="006E448F">
        <w:rPr>
          <w:iCs/>
          <w:sz w:val="20"/>
          <w:lang w:eastAsia="lt-LT"/>
        </w:rPr>
        <w:t>ICER – (</w:t>
      </w:r>
      <w:r w:rsidRPr="006E448F">
        <w:rPr>
          <w:i/>
          <w:sz w:val="20"/>
          <w:lang w:eastAsia="lt-LT"/>
        </w:rPr>
        <w:t>angl. incremental cost-effectiveness ratio</w:t>
      </w:r>
      <w:r w:rsidRPr="006E448F">
        <w:rPr>
          <w:iCs/>
          <w:sz w:val="20"/>
          <w:lang w:eastAsia="lt-LT"/>
        </w:rPr>
        <w:t>) inkrementinis kaštų naudingumo koeficientas; LY – (</w:t>
      </w:r>
      <w:r w:rsidRPr="006E448F">
        <w:rPr>
          <w:i/>
          <w:sz w:val="20"/>
          <w:lang w:eastAsia="lt-LT"/>
        </w:rPr>
        <w:t>angl. life years</w:t>
      </w:r>
      <w:r w:rsidRPr="006E448F">
        <w:rPr>
          <w:iCs/>
          <w:sz w:val="20"/>
          <w:lang w:eastAsia="lt-LT"/>
        </w:rPr>
        <w:t>) gyvenimo metai; QALY- (</w:t>
      </w:r>
      <w:r w:rsidRPr="006E448F">
        <w:rPr>
          <w:i/>
          <w:sz w:val="20"/>
          <w:lang w:eastAsia="lt-LT"/>
        </w:rPr>
        <w:t xml:space="preserve">angl. quality adjusted life years) </w:t>
      </w:r>
      <w:r w:rsidRPr="006E448F">
        <w:rPr>
          <w:iCs/>
          <w:sz w:val="20"/>
          <w:lang w:eastAsia="lt-LT"/>
        </w:rPr>
        <w:t>kokybiški gyvenimo metai.</w:t>
      </w:r>
    </w:p>
    <w:p w14:paraId="0E3B45D2" w14:textId="77777777" w:rsidR="000D70C0" w:rsidRPr="006E448F" w:rsidRDefault="000D70C0" w:rsidP="000D70C0">
      <w:pPr>
        <w:tabs>
          <w:tab w:val="left" w:pos="426"/>
        </w:tabs>
        <w:rPr>
          <w:b/>
          <w:bCs/>
          <w:caps/>
        </w:rPr>
      </w:pPr>
    </w:p>
    <w:p w14:paraId="12F230EE" w14:textId="77777777" w:rsidR="000D70C0" w:rsidRPr="006E448F" w:rsidRDefault="000D70C0" w:rsidP="000D70C0">
      <w:pPr>
        <w:pStyle w:val="ListParagraph"/>
        <w:numPr>
          <w:ilvl w:val="0"/>
          <w:numId w:val="12"/>
        </w:numPr>
        <w:tabs>
          <w:tab w:val="left" w:pos="567"/>
        </w:tabs>
        <w:ind w:hanging="720"/>
        <w:rPr>
          <w:b/>
          <w:bCs/>
          <w:caps/>
        </w:rPr>
      </w:pPr>
      <w:r w:rsidRPr="006E448F">
        <w:rPr>
          <w:b/>
          <w:bCs/>
          <w:caps/>
        </w:rPr>
        <w:t xml:space="preserve">Pacientų organizacijų pateikti duomenys </w:t>
      </w:r>
    </w:p>
    <w:p w14:paraId="704BD14E" w14:textId="77777777" w:rsidR="000D70C0" w:rsidRPr="006E448F" w:rsidRDefault="00000000" w:rsidP="000D70C0">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0D70C0" w:rsidRPr="006E448F">
            <w:rPr>
              <w:rStyle w:val="Style2"/>
              <w:rFonts w:ascii="MS Gothic" w:eastAsia="MS Gothic" w:hAnsi="MS Gothic" w:hint="eastAsia"/>
              <w:sz w:val="24"/>
            </w:rPr>
            <w:t>☐</w:t>
          </w:r>
        </w:sdtContent>
      </w:sdt>
      <w:r w:rsidR="000D70C0" w:rsidRPr="006E448F">
        <w:t xml:space="preserve"> Pacientų organizacijos pozicija pateikta. Žr. priedą.</w:t>
      </w:r>
    </w:p>
    <w:p w14:paraId="27A99C0B" w14:textId="77777777" w:rsidR="000D70C0" w:rsidRPr="006E448F" w:rsidRDefault="00000000" w:rsidP="000D70C0">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0D70C0" w:rsidRPr="006E448F">
            <w:rPr>
              <w:rStyle w:val="Style2"/>
              <w:rFonts w:ascii="MS Gothic" w:eastAsia="MS Gothic" w:hAnsi="MS Gothic" w:hint="eastAsia"/>
              <w:sz w:val="24"/>
            </w:rPr>
            <w:t>☒</w:t>
          </w:r>
        </w:sdtContent>
      </w:sdt>
      <w:r w:rsidR="000D70C0" w:rsidRPr="006E448F">
        <w:t xml:space="preserve"> Pacientų organizacijos pozicija nepateikta.</w:t>
      </w:r>
    </w:p>
    <w:p w14:paraId="30D40B78" w14:textId="77777777" w:rsidR="000D70C0" w:rsidRPr="006E448F" w:rsidRDefault="000D70C0" w:rsidP="000D70C0">
      <w:pPr>
        <w:spacing w:after="120"/>
        <w:jc w:val="both"/>
      </w:pPr>
    </w:p>
    <w:p w14:paraId="51C8BA48" w14:textId="77777777" w:rsidR="000D70C0" w:rsidRPr="006E448F" w:rsidRDefault="000D70C0" w:rsidP="000D70C0">
      <w:pPr>
        <w:pStyle w:val="ListParagraph"/>
        <w:numPr>
          <w:ilvl w:val="0"/>
          <w:numId w:val="12"/>
        </w:numPr>
        <w:tabs>
          <w:tab w:val="left" w:pos="567"/>
        </w:tabs>
        <w:ind w:hanging="720"/>
        <w:rPr>
          <w:b/>
          <w:bCs/>
          <w:caps/>
        </w:rPr>
      </w:pPr>
      <w:r w:rsidRPr="006E448F">
        <w:rPr>
          <w:b/>
          <w:bCs/>
          <w:caps/>
        </w:rPr>
        <w:t>Gydytojų organizacijų pateikti duomenys</w:t>
      </w:r>
    </w:p>
    <w:p w14:paraId="1C9F4522" w14:textId="77777777" w:rsidR="000D70C0" w:rsidRPr="006E448F" w:rsidRDefault="00000000" w:rsidP="000D70C0">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0D70C0" w:rsidRPr="006E448F">
            <w:rPr>
              <w:rStyle w:val="Style2"/>
              <w:rFonts w:ascii="MS Gothic" w:eastAsia="MS Gothic" w:hAnsi="MS Gothic" w:hint="eastAsia"/>
              <w:sz w:val="24"/>
            </w:rPr>
            <w:t>☐</w:t>
          </w:r>
        </w:sdtContent>
      </w:sdt>
      <w:r w:rsidR="000D70C0" w:rsidRPr="006E448F">
        <w:t xml:space="preserve"> Gydytojų specialistų organizacijos pozicija pateikta. Žr. priedą.</w:t>
      </w:r>
    </w:p>
    <w:p w14:paraId="252BEF30" w14:textId="77777777" w:rsidR="000D70C0" w:rsidRPr="006E448F" w:rsidRDefault="00000000" w:rsidP="000D70C0">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0D70C0" w:rsidRPr="006E448F">
            <w:rPr>
              <w:rStyle w:val="Style2"/>
              <w:rFonts w:ascii="MS Gothic" w:eastAsia="MS Gothic" w:hAnsi="MS Gothic" w:hint="eastAsia"/>
              <w:sz w:val="24"/>
            </w:rPr>
            <w:t>☒</w:t>
          </w:r>
        </w:sdtContent>
      </w:sdt>
      <w:r w:rsidR="000D70C0" w:rsidRPr="006E448F">
        <w:t xml:space="preserve"> Gydytojų specialistų organizacijos pozicija nepateikta.</w:t>
      </w:r>
    </w:p>
    <w:p w14:paraId="2183C301" w14:textId="77777777" w:rsidR="000D70C0" w:rsidRPr="006E448F" w:rsidRDefault="000D70C0" w:rsidP="000D70C0">
      <w:pPr>
        <w:spacing w:after="120"/>
        <w:jc w:val="both"/>
      </w:pPr>
    </w:p>
    <w:p w14:paraId="50050D22" w14:textId="77777777" w:rsidR="00B62026" w:rsidRPr="006E448F" w:rsidRDefault="00B62026" w:rsidP="000D70C0">
      <w:pPr>
        <w:spacing w:after="120"/>
        <w:jc w:val="both"/>
      </w:pPr>
    </w:p>
    <w:p w14:paraId="5C9F4243" w14:textId="77777777" w:rsidR="00B62026" w:rsidRPr="006E448F" w:rsidRDefault="00B62026" w:rsidP="000D70C0">
      <w:pPr>
        <w:spacing w:after="120"/>
        <w:jc w:val="both"/>
      </w:pPr>
    </w:p>
    <w:p w14:paraId="67CFA507" w14:textId="77777777" w:rsidR="00B62026" w:rsidRPr="006E448F" w:rsidRDefault="00B62026" w:rsidP="000D70C0">
      <w:pPr>
        <w:spacing w:after="120"/>
        <w:jc w:val="both"/>
      </w:pPr>
    </w:p>
    <w:p w14:paraId="6EF69948" w14:textId="77777777" w:rsidR="00B62026" w:rsidRPr="006E448F" w:rsidRDefault="00B62026" w:rsidP="000D70C0">
      <w:pPr>
        <w:spacing w:after="120"/>
        <w:jc w:val="both"/>
      </w:pPr>
    </w:p>
    <w:p w14:paraId="56DCCA8A" w14:textId="77777777" w:rsidR="000D70C0" w:rsidRPr="006E448F" w:rsidRDefault="000D70C0" w:rsidP="000D70C0">
      <w:pPr>
        <w:pStyle w:val="ListParagraph"/>
        <w:numPr>
          <w:ilvl w:val="0"/>
          <w:numId w:val="12"/>
        </w:numPr>
        <w:tabs>
          <w:tab w:val="left" w:pos="567"/>
        </w:tabs>
        <w:ind w:hanging="720"/>
        <w:rPr>
          <w:b/>
          <w:bCs/>
          <w:caps/>
        </w:rPr>
      </w:pPr>
      <w:r w:rsidRPr="006E448F">
        <w:rPr>
          <w:b/>
          <w:bCs/>
          <w:caps/>
        </w:rPr>
        <w:lastRenderedPageBreak/>
        <w:t xml:space="preserve">Išvada </w:t>
      </w:r>
    </w:p>
    <w:p w14:paraId="6F52ED6A" w14:textId="77777777" w:rsidR="000D70C0" w:rsidRPr="006E448F" w:rsidRDefault="000D70C0" w:rsidP="000D70C0">
      <w:pPr>
        <w:ind w:left="360"/>
        <w:rPr>
          <w:i/>
          <w:color w:val="000000" w:themeColor="text1"/>
          <w:szCs w:val="22"/>
        </w:rPr>
      </w:pPr>
    </w:p>
    <w:p w14:paraId="33191D59" w14:textId="77777777" w:rsidR="000D70C0" w:rsidRPr="006E448F" w:rsidRDefault="000D70C0" w:rsidP="000D70C0">
      <w:pPr>
        <w:rPr>
          <w:i/>
          <w:color w:val="00B050"/>
          <w:szCs w:val="22"/>
        </w:rPr>
      </w:pPr>
    </w:p>
    <w:p w14:paraId="6587BECA" w14:textId="77777777" w:rsidR="000D70C0" w:rsidRPr="006E448F" w:rsidRDefault="000D70C0" w:rsidP="000D70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Arial"/>
          <w:bCs/>
          <w:iCs/>
        </w:rPr>
      </w:pPr>
    </w:p>
    <w:tbl>
      <w:tblPr>
        <w:tblStyle w:val="TableGrid"/>
        <w:tblW w:w="9918" w:type="dxa"/>
        <w:jc w:val="center"/>
        <w:tblLook w:val="04A0" w:firstRow="1" w:lastRow="0" w:firstColumn="1" w:lastColumn="0" w:noHBand="0" w:noVBand="1"/>
      </w:tblPr>
      <w:tblGrid>
        <w:gridCol w:w="4886"/>
        <w:gridCol w:w="5032"/>
      </w:tblGrid>
      <w:tr w:rsidR="000D70C0" w:rsidRPr="006E448F" w14:paraId="138F7239" w14:textId="77777777" w:rsidTr="00A56680">
        <w:trPr>
          <w:trHeight w:val="494"/>
          <w:jc w:val="center"/>
        </w:trPr>
        <w:tc>
          <w:tcPr>
            <w:tcW w:w="9918" w:type="dxa"/>
            <w:gridSpan w:val="2"/>
            <w:vAlign w:val="center"/>
          </w:tcPr>
          <w:p w14:paraId="23AF34F5" w14:textId="77777777" w:rsidR="000D70C0" w:rsidRPr="006E448F" w:rsidRDefault="000D70C0" w:rsidP="00A5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Style w:val="Style2"/>
                <w:rFonts w:eastAsia="MS Gothic"/>
                <w:b/>
                <w:bCs/>
                <w:sz w:val="24"/>
              </w:rPr>
            </w:pPr>
            <w:r w:rsidRPr="006E448F">
              <w:rPr>
                <w:rStyle w:val="Style2"/>
                <w:rFonts w:eastAsia="MS Gothic"/>
                <w:b/>
                <w:bCs/>
                <w:sz w:val="24"/>
              </w:rPr>
              <w:t>Palyginamasis veiksmingumas</w:t>
            </w:r>
          </w:p>
        </w:tc>
      </w:tr>
      <w:tr w:rsidR="000D70C0" w:rsidRPr="006E448F" w14:paraId="00314C08" w14:textId="77777777" w:rsidTr="00A56680">
        <w:trPr>
          <w:trHeight w:val="1546"/>
          <w:jc w:val="center"/>
        </w:trPr>
        <w:tc>
          <w:tcPr>
            <w:tcW w:w="4886" w:type="dxa"/>
          </w:tcPr>
          <w:p w14:paraId="011DB8AC" w14:textId="77777777" w:rsidR="000D70C0" w:rsidRPr="006E448F" w:rsidRDefault="00000000" w:rsidP="00A5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rPr>
                <w:id w:val="-253974781"/>
                <w15:color w:val="FFCC00"/>
                <w14:checkbox>
                  <w14:checked w14:val="1"/>
                  <w14:checkedState w14:val="2612" w14:font="MS Gothic"/>
                  <w14:uncheckedState w14:val="2610" w14:font="MS Gothic"/>
                </w14:checkbox>
              </w:sdtPr>
              <w:sdtContent>
                <w:r w:rsidR="000D70C0" w:rsidRPr="006E448F">
                  <w:rPr>
                    <w:rStyle w:val="Style2"/>
                    <w:rFonts w:ascii="MS Gothic" w:eastAsia="MS Gothic" w:hAnsi="MS Gothic" w:hint="eastAsia"/>
                  </w:rPr>
                  <w:t>☒</w:t>
                </w:r>
              </w:sdtContent>
            </w:sdt>
            <w:r w:rsidR="000D70C0" w:rsidRPr="006E448F">
              <w:t xml:space="preserve"> 29.1.1 yra didesnis, lyginant su įprasta klinikine praktika</w:t>
            </w:r>
          </w:p>
          <w:p w14:paraId="6C42484B" w14:textId="77777777" w:rsidR="000D70C0" w:rsidRPr="006E448F" w:rsidRDefault="000D70C0" w:rsidP="00A5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5DC4CB9" w14:textId="77777777" w:rsidR="000D70C0" w:rsidRPr="006E448F" w:rsidRDefault="00000000" w:rsidP="00A5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Pr>
            </w:pPr>
            <w:sdt>
              <w:sdtPr>
                <w:rPr>
                  <w:rStyle w:val="Style2"/>
                </w:rPr>
                <w:id w:val="-2042735340"/>
                <w15:color w:val="FFCC00"/>
                <w14:checkbox>
                  <w14:checked w14:val="0"/>
                  <w14:checkedState w14:val="2612" w14:font="MS Gothic"/>
                  <w14:uncheckedState w14:val="2610" w14:font="MS Gothic"/>
                </w14:checkbox>
              </w:sdtPr>
              <w:sdtContent>
                <w:r w:rsidR="000D70C0" w:rsidRPr="006E448F">
                  <w:rPr>
                    <w:rStyle w:val="Style2"/>
                    <w:rFonts w:ascii="Segoe UI Symbol" w:eastAsia="MS Gothic" w:hAnsi="Segoe UI Symbol" w:cs="Segoe UI Symbol"/>
                  </w:rPr>
                  <w:t>☐</w:t>
                </w:r>
              </w:sdtContent>
            </w:sdt>
            <w:r w:rsidR="000D70C0" w:rsidRPr="006E448F">
              <w:t xml:space="preserve"> 29.1.2 iš esmės nesiskiria, lyginant su įprasta klinikine praktika</w:t>
            </w:r>
          </w:p>
        </w:tc>
        <w:tc>
          <w:tcPr>
            <w:tcW w:w="5032" w:type="dxa"/>
          </w:tcPr>
          <w:p w14:paraId="2F7834BE" w14:textId="77777777" w:rsidR="000D70C0" w:rsidRPr="006E448F" w:rsidRDefault="00000000" w:rsidP="00A5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rPr>
                <w:id w:val="1223253010"/>
                <w15:color w:val="FFCC00"/>
                <w14:checkbox>
                  <w14:checked w14:val="0"/>
                  <w14:checkedState w14:val="2612" w14:font="MS Gothic"/>
                  <w14:uncheckedState w14:val="2610" w14:font="MS Gothic"/>
                </w14:checkbox>
              </w:sdtPr>
              <w:sdtContent>
                <w:r w:rsidR="000D70C0" w:rsidRPr="006E448F">
                  <w:rPr>
                    <w:rStyle w:val="Style2"/>
                    <w:rFonts w:ascii="Segoe UI Symbol" w:eastAsia="MS Gothic" w:hAnsi="Segoe UI Symbol" w:cs="Segoe UI Symbol"/>
                  </w:rPr>
                  <w:t>☐</w:t>
                </w:r>
              </w:sdtContent>
            </w:sdt>
            <w:r w:rsidR="000D70C0" w:rsidRPr="006E448F">
              <w:t xml:space="preserve"> 29.1.3 yra neįrodytas kaip didesnis  ar iš esmės nesiskiriantis, lyginant su įprasta klinikine praktika  </w:t>
            </w:r>
          </w:p>
          <w:p w14:paraId="318C2734" w14:textId="77777777" w:rsidR="000D70C0" w:rsidRPr="006E448F" w:rsidRDefault="000D70C0" w:rsidP="00A5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8C8C8FC" w14:textId="77777777" w:rsidR="000D70C0" w:rsidRPr="006E448F" w:rsidRDefault="00000000" w:rsidP="00A5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rPr>
                <w:id w:val="-2100856797"/>
                <w15:color w:val="FFCC00"/>
                <w14:checkbox>
                  <w14:checked w14:val="0"/>
                  <w14:checkedState w14:val="2612" w14:font="MS Gothic"/>
                  <w14:uncheckedState w14:val="2610" w14:font="MS Gothic"/>
                </w14:checkbox>
              </w:sdtPr>
              <w:sdtContent>
                <w:r w:rsidR="000D70C0" w:rsidRPr="006E448F">
                  <w:rPr>
                    <w:rStyle w:val="Style2"/>
                    <w:rFonts w:ascii="Segoe UI Symbol" w:eastAsia="MS Gothic" w:hAnsi="Segoe UI Symbol" w:cs="Segoe UI Symbol"/>
                  </w:rPr>
                  <w:t>☐</w:t>
                </w:r>
              </w:sdtContent>
            </w:sdt>
            <w:r w:rsidR="000D70C0" w:rsidRPr="006E448F">
              <w:t xml:space="preserve"> 29.1.4 yra mažesnis, lyginant su įprasta klinikine praktika</w:t>
            </w:r>
          </w:p>
          <w:p w14:paraId="79D3563E" w14:textId="77777777" w:rsidR="000D70C0" w:rsidRPr="006E448F" w:rsidRDefault="000D70C0" w:rsidP="00A5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BA07B8A" w14:textId="77777777" w:rsidR="000D70C0" w:rsidRPr="006E448F" w:rsidRDefault="00000000" w:rsidP="00A5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sdt>
              <w:sdtPr>
                <w:rPr>
                  <w:rStyle w:val="Style2"/>
                </w:rPr>
                <w:id w:val="-1085991623"/>
                <w15:color w:val="FFCC00"/>
                <w14:checkbox>
                  <w14:checked w14:val="0"/>
                  <w14:checkedState w14:val="2612" w14:font="MS Gothic"/>
                  <w14:uncheckedState w14:val="2610" w14:font="MS Gothic"/>
                </w14:checkbox>
              </w:sdtPr>
              <w:sdtContent>
                <w:r w:rsidR="000D70C0" w:rsidRPr="006E448F">
                  <w:rPr>
                    <w:rStyle w:val="Style2"/>
                    <w:rFonts w:ascii="Segoe UI Symbol" w:eastAsia="MS Gothic" w:hAnsi="Segoe UI Symbol" w:cs="Segoe UI Symbol"/>
                  </w:rPr>
                  <w:t>☐</w:t>
                </w:r>
              </w:sdtContent>
            </w:sdt>
            <w:r w:rsidR="000D70C0" w:rsidRPr="006E448F">
              <w:t xml:space="preserve"> 29.1.5 pateikti duomenys apie palyginamąjį veiksmingumą yra netinkami vertinti</w:t>
            </w:r>
          </w:p>
          <w:p w14:paraId="16B03015" w14:textId="77777777" w:rsidR="000D70C0" w:rsidRPr="006E448F" w:rsidRDefault="000D70C0" w:rsidP="00A5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Style2"/>
                <w:rFonts w:eastAsia="MS Gothic"/>
              </w:rPr>
            </w:pPr>
          </w:p>
        </w:tc>
      </w:tr>
    </w:tbl>
    <w:tbl>
      <w:tblPr>
        <w:tblStyle w:val="Keymessagesbox1"/>
        <w:tblW w:w="9923" w:type="dxa"/>
        <w:tblInd w:w="-147" w:type="dxa"/>
        <w:tblLook w:val="04A0" w:firstRow="1" w:lastRow="0" w:firstColumn="1" w:lastColumn="0" w:noHBand="0" w:noVBand="1"/>
      </w:tblPr>
      <w:tblGrid>
        <w:gridCol w:w="4962"/>
        <w:gridCol w:w="4961"/>
      </w:tblGrid>
      <w:tr w:rsidR="000D70C0" w:rsidRPr="006E448F" w14:paraId="3E5F03D0" w14:textId="77777777" w:rsidTr="00A56680">
        <w:trPr>
          <w:trHeight w:val="510"/>
        </w:trPr>
        <w:tc>
          <w:tcPr>
            <w:tcW w:w="9923" w:type="dxa"/>
            <w:gridSpan w:val="2"/>
            <w:vAlign w:val="center"/>
          </w:tcPr>
          <w:p w14:paraId="7E3E7D6F" w14:textId="77777777" w:rsidR="000D70C0" w:rsidRPr="006E448F" w:rsidRDefault="000D70C0" w:rsidP="00A5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6E448F">
              <w:rPr>
                <w:rStyle w:val="Style2"/>
                <w:rFonts w:eastAsia="MS Gothic"/>
                <w:b/>
                <w:bCs/>
                <w:sz w:val="23"/>
                <w:szCs w:val="23"/>
              </w:rPr>
              <w:t>Kaštų naudingumas</w:t>
            </w:r>
          </w:p>
        </w:tc>
      </w:tr>
      <w:tr w:rsidR="000D70C0" w:rsidRPr="006E448F" w14:paraId="21219247" w14:textId="77777777" w:rsidTr="00A56680">
        <w:tc>
          <w:tcPr>
            <w:tcW w:w="4962" w:type="dxa"/>
          </w:tcPr>
          <w:p w14:paraId="5E22076C" w14:textId="77777777" w:rsidR="000D70C0" w:rsidRPr="006E448F" w:rsidRDefault="00000000" w:rsidP="00A5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Content>
                <w:r w:rsidR="000D70C0" w:rsidRPr="006E448F">
                  <w:rPr>
                    <w:rStyle w:val="Style2"/>
                    <w:rFonts w:ascii="Segoe UI Symbol" w:eastAsia="MS Gothic" w:hAnsi="Segoe UI Symbol" w:cs="Segoe UI Symbol"/>
                    <w:sz w:val="23"/>
                    <w:szCs w:val="23"/>
                  </w:rPr>
                  <w:t>☐</w:t>
                </w:r>
              </w:sdtContent>
            </w:sdt>
            <w:r w:rsidR="000D70C0" w:rsidRPr="006E448F">
              <w:rPr>
                <w:sz w:val="23"/>
                <w:szCs w:val="23"/>
              </w:rPr>
              <w:t xml:space="preserve"> 29.2.1 atitinka referencinę naudingumo vertę taikant arba netaikant</w:t>
            </w:r>
            <w:r w:rsidR="000D70C0" w:rsidRPr="006E448F">
              <w:rPr>
                <w:b/>
                <w:bCs/>
                <w:sz w:val="23"/>
                <w:szCs w:val="23"/>
              </w:rPr>
              <w:t> </w:t>
            </w:r>
            <w:r w:rsidR="000D70C0" w:rsidRPr="006E448F">
              <w:rPr>
                <w:sz w:val="23"/>
                <w:szCs w:val="23"/>
              </w:rPr>
              <w:t>PGS</w:t>
            </w:r>
          </w:p>
          <w:p w14:paraId="5A83914D" w14:textId="77777777" w:rsidR="000D70C0" w:rsidRPr="006E448F" w:rsidRDefault="000D70C0" w:rsidP="00A5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046A135D" w14:textId="77777777" w:rsidR="000D70C0" w:rsidRPr="006E448F" w:rsidRDefault="000D70C0" w:rsidP="00A5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961" w:type="dxa"/>
          </w:tcPr>
          <w:p w14:paraId="747588D6" w14:textId="77777777" w:rsidR="000D70C0" w:rsidRPr="006E448F" w:rsidRDefault="00000000" w:rsidP="00A5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791860283"/>
                <w15:color w:val="FFCC00"/>
                <w14:checkbox>
                  <w14:checked w14:val="1"/>
                  <w14:checkedState w14:val="2612" w14:font="MS Gothic"/>
                  <w14:uncheckedState w14:val="2610" w14:font="MS Gothic"/>
                </w14:checkbox>
              </w:sdtPr>
              <w:sdtContent>
                <w:r w:rsidR="000D70C0" w:rsidRPr="006E448F">
                  <w:rPr>
                    <w:rStyle w:val="Style2"/>
                    <w:rFonts w:ascii="MS Gothic" w:eastAsia="MS Gothic" w:hAnsi="MS Gothic" w:hint="eastAsia"/>
                    <w:sz w:val="23"/>
                    <w:szCs w:val="23"/>
                  </w:rPr>
                  <w:t>☒</w:t>
                </w:r>
              </w:sdtContent>
            </w:sdt>
            <w:r w:rsidR="000D70C0" w:rsidRPr="006E448F">
              <w:rPr>
                <w:sz w:val="23"/>
                <w:szCs w:val="23"/>
              </w:rPr>
              <w:t xml:space="preserve"> 29.2.3 neatitinka referencinės naudingumo vertės taikant arba netaikant PGS</w:t>
            </w:r>
          </w:p>
          <w:p w14:paraId="5C0F6078" w14:textId="77777777" w:rsidR="000D70C0" w:rsidRPr="006E448F" w:rsidRDefault="000D70C0" w:rsidP="00A5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p>
          <w:p w14:paraId="54F4B6A1" w14:textId="77777777" w:rsidR="000D70C0" w:rsidRPr="006E448F" w:rsidRDefault="00000000" w:rsidP="00A5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Content>
                <w:r w:rsidR="000D70C0" w:rsidRPr="006E448F">
                  <w:rPr>
                    <w:rStyle w:val="Style2"/>
                    <w:rFonts w:ascii="Segoe UI Symbol" w:eastAsia="MS Gothic" w:hAnsi="Segoe UI Symbol" w:cs="Segoe UI Symbol"/>
                    <w:sz w:val="23"/>
                    <w:szCs w:val="23"/>
                  </w:rPr>
                  <w:t>☐</w:t>
                </w:r>
              </w:sdtContent>
            </w:sdt>
            <w:r w:rsidR="000D70C0" w:rsidRPr="006E448F">
              <w:rPr>
                <w:sz w:val="23"/>
                <w:szCs w:val="23"/>
              </w:rPr>
              <w:t xml:space="preserve"> 29.2.5 pateikti duomenys apie kaštų naudingumą yra netinkami vertinti</w:t>
            </w:r>
          </w:p>
          <w:p w14:paraId="4B0F32ED" w14:textId="77777777" w:rsidR="000D70C0" w:rsidRPr="006E448F" w:rsidRDefault="000D70C0" w:rsidP="00A5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0D70C0" w:rsidRPr="006E448F" w14:paraId="28898D39" w14:textId="77777777" w:rsidTr="00A56680">
        <w:tc>
          <w:tcPr>
            <w:tcW w:w="9923" w:type="dxa"/>
            <w:gridSpan w:val="2"/>
          </w:tcPr>
          <w:p w14:paraId="1FF58204" w14:textId="77777777" w:rsidR="000D70C0" w:rsidRPr="006E448F" w:rsidRDefault="00000000" w:rsidP="00A56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0"/>
                  <w14:checkedState w14:val="2612" w14:font="MS Gothic"/>
                  <w14:uncheckedState w14:val="2610" w14:font="MS Gothic"/>
                </w14:checkbox>
              </w:sdtPr>
              <w:sdtContent>
                <w:r w:rsidR="000D70C0" w:rsidRPr="006E448F">
                  <w:rPr>
                    <w:rStyle w:val="Style2"/>
                    <w:rFonts w:ascii="Segoe UI Symbol" w:eastAsia="MS Gothic" w:hAnsi="Segoe UI Symbol" w:cs="Segoe UI Symbol"/>
                    <w:sz w:val="23"/>
                    <w:szCs w:val="23"/>
                  </w:rPr>
                  <w:t>☐</w:t>
                </w:r>
              </w:sdtContent>
            </w:sdt>
            <w:r w:rsidR="000D70C0" w:rsidRPr="006E448F">
              <w:rPr>
                <w:sz w:val="23"/>
                <w:szCs w:val="23"/>
              </w:rPr>
              <w:t xml:space="preserve"> Vykdant Aprašo &lt;17</w:t>
            </w:r>
            <w:r w:rsidR="000D70C0" w:rsidRPr="006E448F">
              <w:rPr>
                <w:sz w:val="23"/>
                <w:szCs w:val="23"/>
                <w:vertAlign w:val="superscript"/>
              </w:rPr>
              <w:t>3</w:t>
            </w:r>
            <w:r w:rsidR="000D70C0" w:rsidRPr="006E448F">
              <w:rPr>
                <w:sz w:val="23"/>
                <w:szCs w:val="23"/>
              </w:rPr>
              <w:t>.1&gt;&lt;17</w:t>
            </w:r>
            <w:r w:rsidR="000D70C0" w:rsidRPr="006E448F">
              <w:rPr>
                <w:sz w:val="23"/>
                <w:szCs w:val="23"/>
                <w:vertAlign w:val="superscript"/>
              </w:rPr>
              <w:t>3</w:t>
            </w:r>
            <w:r w:rsidR="000D70C0" w:rsidRPr="006E448F">
              <w:rPr>
                <w:sz w:val="23"/>
                <w:szCs w:val="23"/>
              </w:rPr>
              <w:t>.2&gt;&lt;17</w:t>
            </w:r>
            <w:r w:rsidR="000D70C0" w:rsidRPr="006E448F">
              <w:rPr>
                <w:sz w:val="23"/>
                <w:szCs w:val="23"/>
                <w:vertAlign w:val="superscript"/>
              </w:rPr>
              <w:t>3</w:t>
            </w:r>
            <w:r w:rsidR="000D70C0" w:rsidRPr="006E448F">
              <w:rPr>
                <w:sz w:val="23"/>
                <w:szCs w:val="23"/>
              </w:rPr>
              <w:t xml:space="preserve">.3&gt; punktą vaistinio (-ų) preparato (-ų) ekonominis vertinimas neatliekamas, išvados dėl kaštų naudingumo neteikiamos </w:t>
            </w:r>
          </w:p>
        </w:tc>
      </w:tr>
    </w:tbl>
    <w:p w14:paraId="057B1F49" w14:textId="593046ED" w:rsidR="000D70C0" w:rsidRPr="006E448F" w:rsidRDefault="000D70C0" w:rsidP="000D70C0">
      <w:pPr>
        <w:rPr>
          <w:iCs/>
          <w:color w:val="00B050"/>
          <w:szCs w:val="22"/>
        </w:rPr>
      </w:pPr>
    </w:p>
    <w:p w14:paraId="5F6BE3FF" w14:textId="77777777" w:rsidR="000D70C0" w:rsidRPr="006E448F" w:rsidRDefault="000D70C0" w:rsidP="000D70C0"/>
    <w:p w14:paraId="49169B7B" w14:textId="77777777" w:rsidR="000D70C0" w:rsidRPr="006E448F" w:rsidRDefault="000D70C0" w:rsidP="000D70C0">
      <w:pPr>
        <w:pStyle w:val="ListParagraph"/>
        <w:numPr>
          <w:ilvl w:val="0"/>
          <w:numId w:val="12"/>
        </w:numPr>
        <w:ind w:left="567" w:hanging="567"/>
      </w:pPr>
      <w:r w:rsidRPr="006E448F">
        <w:rPr>
          <w:b/>
        </w:rPr>
        <w:t>REKOMENDACIJA</w:t>
      </w:r>
    </w:p>
    <w:p w14:paraId="0357A277" w14:textId="77777777" w:rsidR="000D70C0" w:rsidRPr="006E448F" w:rsidRDefault="000D70C0" w:rsidP="000D70C0">
      <w:pPr>
        <w:pStyle w:val="ListParagraph"/>
        <w:ind w:left="426"/>
      </w:pPr>
    </w:p>
    <w:p w14:paraId="54006E78" w14:textId="77777777" w:rsidR="000D70C0" w:rsidRPr="006E448F" w:rsidRDefault="000D70C0" w:rsidP="000D70C0">
      <w:pPr>
        <w:jc w:val="both"/>
        <w:rPr>
          <w:lang w:eastAsia="lt-LT"/>
        </w:rPr>
      </w:pPr>
      <w:r w:rsidRPr="006E448F">
        <w:t xml:space="preserve">Vadovaujantis Aprašo </w:t>
      </w:r>
      <w:bookmarkStart w:id="0" w:name="_Hlk190784826"/>
      <w:r w:rsidRPr="006E448F">
        <w:rPr>
          <w:lang w:eastAsia="lt-LT"/>
        </w:rPr>
        <w:t>30</w:t>
      </w:r>
      <w:r w:rsidRPr="006E448F">
        <w:rPr>
          <w:vertAlign w:val="superscript"/>
          <w:lang w:eastAsia="lt-LT"/>
        </w:rPr>
        <w:t>1</w:t>
      </w:r>
      <w:r w:rsidRPr="006E448F">
        <w:rPr>
          <w:lang w:eastAsia="lt-LT"/>
        </w:rPr>
        <w:t>.2. papunkčiu rekomenduojama kompensuoti vaistinį preparatą pagal paraiškoje nurodytą indikaciją (arba jos dalį) su arba be skyrimo sąlygų, jei, pateikus naują ar atnaujintą PGS, kaštų naudingumas atitinka referencinę naudingumo vertę, kai vertinimo išvados atitinka Aprašo 29.1.1 ir 29.2.3 papunkčiuose numatytas sąlygas.</w:t>
      </w:r>
    </w:p>
    <w:bookmarkEnd w:id="0"/>
    <w:p w14:paraId="499CA17B" w14:textId="77777777" w:rsidR="000D70C0" w:rsidRPr="006E448F" w:rsidRDefault="000D70C0" w:rsidP="00A93AA6">
      <w:pPr>
        <w:tabs>
          <w:tab w:val="left" w:pos="426"/>
        </w:tabs>
        <w:rPr>
          <w:i/>
          <w:color w:val="00B050"/>
          <w:sz w:val="22"/>
          <w:szCs w:val="22"/>
        </w:rPr>
      </w:pPr>
    </w:p>
    <w:p w14:paraId="18B4292E" w14:textId="52B7A138" w:rsidR="000723FF" w:rsidRPr="006E448F" w:rsidRDefault="00CC09D4" w:rsidP="00CC09D4">
      <w:pPr>
        <w:tabs>
          <w:tab w:val="left" w:pos="567"/>
        </w:tabs>
        <w:ind w:left="567" w:hanging="567"/>
        <w:jc w:val="both"/>
        <w:rPr>
          <w:b/>
          <w:color w:val="000000"/>
          <w:lang w:eastAsia="lt-LT"/>
        </w:rPr>
      </w:pPr>
      <w:r w:rsidRPr="006E448F">
        <w:rPr>
          <w:b/>
          <w:color w:val="000000"/>
          <w:lang w:eastAsia="lt-LT"/>
        </w:rPr>
        <w:t>8.</w:t>
      </w:r>
      <w:r w:rsidRPr="006E448F">
        <w:rPr>
          <w:b/>
          <w:color w:val="000000"/>
          <w:lang w:eastAsia="lt-LT"/>
        </w:rPr>
        <w:tab/>
      </w:r>
      <w:r w:rsidR="000723FF" w:rsidRPr="006E448F">
        <w:rPr>
          <w:b/>
          <w:color w:val="000000"/>
          <w:lang w:eastAsia="lt-LT"/>
        </w:rPr>
        <w:t>SIŪLOMOS KOMPENSUOTI TERAPINĖS INDIKACIJOS IR SKYRIMO SĄLYGOS</w:t>
      </w:r>
    </w:p>
    <w:p w14:paraId="691340BB" w14:textId="77777777" w:rsidR="000723FF" w:rsidRPr="006E448F" w:rsidRDefault="000723FF" w:rsidP="000723FF">
      <w:pPr>
        <w:tabs>
          <w:tab w:val="left" w:pos="426"/>
        </w:tabs>
        <w:jc w:val="both"/>
        <w:rPr>
          <w:b/>
          <w:color w:val="000000"/>
          <w:lang w:eastAsia="lt-LT"/>
        </w:rPr>
      </w:pPr>
    </w:p>
    <w:p w14:paraId="529C92C4" w14:textId="152E5FB4" w:rsidR="000723FF" w:rsidRPr="006E448F" w:rsidRDefault="000723FF" w:rsidP="00824B92">
      <w:pPr>
        <w:rPr>
          <w:b/>
          <w:lang w:eastAsia="lt-LT"/>
        </w:rPr>
      </w:pPr>
      <w:r w:rsidRPr="006E448F">
        <w:rPr>
          <w:b/>
          <w:lang w:eastAsia="lt-LT"/>
        </w:rPr>
        <w:t>Terapinės indikacijos</w:t>
      </w:r>
    </w:p>
    <w:p w14:paraId="5BB746DD" w14:textId="3EC16C73" w:rsidR="000723FF" w:rsidRPr="006E448F" w:rsidRDefault="00000000" w:rsidP="00824B92">
      <w:sdt>
        <w:sdtPr>
          <w:rPr>
            <w:rStyle w:val="Style2"/>
          </w:rPr>
          <w:id w:val="1146316688"/>
          <w15:color w:val="FFCC00"/>
          <w14:checkbox>
            <w14:checked w14:val="1"/>
            <w14:checkedState w14:val="2612" w14:font="MS Gothic"/>
            <w14:uncheckedState w14:val="2610" w14:font="MS Gothic"/>
          </w14:checkbox>
        </w:sdtPr>
        <w:sdtContent>
          <w:r w:rsidR="00973567" w:rsidRPr="006E448F">
            <w:rPr>
              <w:rStyle w:val="Style2"/>
              <w:rFonts w:ascii="MS Gothic" w:eastAsia="MS Gothic" w:hAnsi="MS Gothic" w:hint="eastAsia"/>
            </w:rPr>
            <w:t>☒</w:t>
          </w:r>
        </w:sdtContent>
      </w:sdt>
      <w:r w:rsidR="000723FF" w:rsidRPr="006E448F">
        <w:t xml:space="preserve"> Siūloma kompensuoti Pareiškėjo teikiamą indikaciją be pakeitimų.</w:t>
      </w:r>
    </w:p>
    <w:p w14:paraId="65424C89" w14:textId="77777777" w:rsidR="001C22F6" w:rsidRPr="006E448F" w:rsidRDefault="00D66CCF" w:rsidP="005C672F">
      <w:pPr>
        <w:rPr>
          <w:rFonts w:eastAsia="Calibri"/>
        </w:rPr>
      </w:pPr>
      <w:r w:rsidRPr="006E448F">
        <w:rPr>
          <w:rFonts w:eastAsia="Calibri"/>
        </w:rPr>
        <w:t>Frukvintinibo monoterapija skirta suaugusiems pacientams, sergantiems metastaziniu storosios (gaubtinės) ir tiesiosios žarnos vėžiu (angl. metastatic colorectal cancer, mCRC), kurie anksčiau buvo gydyti esamais standartiniais gydymo būdais, įskaitant chemoterapiją fluoropirimidino, oksaliplatinos ir irinotekano pagrindu, kraujagyslių endotelio augimo faktoriaus inhibitorius (angl. anti VEGF) ir epidermio augimo faktoriaus receptorių inhibitorius (angl. anti-EGFR), ir kurių liga progresavo gydant trifluridinu-tipiracilu arba regorafenibu arba kurie netoleruoja bet kurio iš pastarųjų gydymo būdų.</w:t>
      </w:r>
    </w:p>
    <w:p w14:paraId="395F5056" w14:textId="5E047FD1" w:rsidR="005C672F" w:rsidRPr="006E448F" w:rsidRDefault="005C672F" w:rsidP="005C672F">
      <w:pPr>
        <w:rPr>
          <w:rFonts w:eastAsia="Calibri"/>
        </w:rPr>
      </w:pPr>
      <w:r w:rsidRPr="006E448F">
        <w:rPr>
          <w:color w:val="000000" w:themeColor="text1"/>
        </w:rPr>
        <w:t>TLK-10 AM kodas - C18–C20</w:t>
      </w:r>
      <w:r w:rsidRPr="006E448F">
        <w:rPr>
          <w:color w:val="000000" w:themeColor="text1"/>
          <w:lang w:val="en-US"/>
        </w:rPr>
        <w:t>.</w:t>
      </w:r>
    </w:p>
    <w:p w14:paraId="7DD65F7E" w14:textId="77777777" w:rsidR="000723FF" w:rsidRPr="006E448F" w:rsidRDefault="000723FF" w:rsidP="00824B92"/>
    <w:p w14:paraId="241A6E6B" w14:textId="77777777" w:rsidR="000723FF" w:rsidRPr="006E448F" w:rsidRDefault="000723FF" w:rsidP="00824B92">
      <w:pPr>
        <w:rPr>
          <w:b/>
        </w:rPr>
      </w:pPr>
      <w:r w:rsidRPr="006E448F">
        <w:rPr>
          <w:b/>
        </w:rPr>
        <w:lastRenderedPageBreak/>
        <w:t>Skyrimo sąlygos</w:t>
      </w:r>
    </w:p>
    <w:p w14:paraId="6F56E0AB" w14:textId="77777777" w:rsidR="001C22F6" w:rsidRPr="006E448F" w:rsidRDefault="001C22F6" w:rsidP="00824B92">
      <w:pPr>
        <w:rPr>
          <w:b/>
        </w:rPr>
      </w:pPr>
    </w:p>
    <w:p w14:paraId="43A4A26E" w14:textId="77777777" w:rsidR="001C22F6" w:rsidRPr="006E448F" w:rsidRDefault="001C22F6" w:rsidP="001C22F6">
      <w:pPr>
        <w:rPr>
          <w:rStyle w:val="Style2"/>
          <w:sz w:val="24"/>
        </w:rPr>
      </w:pPr>
      <w:r w:rsidRPr="006E448F">
        <w:rPr>
          <w:rStyle w:val="Style2"/>
          <w:rFonts w:ascii="Segoe UI Symbol" w:hAnsi="Segoe UI Symbol" w:cs="Segoe UI Symbol"/>
          <w:sz w:val="24"/>
        </w:rPr>
        <w:t>☒</w:t>
      </w:r>
      <w:r w:rsidRPr="006E448F">
        <w:rPr>
          <w:rStyle w:val="Style2"/>
          <w:sz w:val="24"/>
        </w:rPr>
        <w:t xml:space="preserve"> Pareiškėjo siūlomos skyrimo sąlygos nepriimtinos. </w:t>
      </w:r>
    </w:p>
    <w:p w14:paraId="1DF841A3" w14:textId="77777777" w:rsidR="001C22F6" w:rsidRPr="006E448F" w:rsidRDefault="001C22F6" w:rsidP="001C22F6">
      <w:pPr>
        <w:rPr>
          <w:rStyle w:val="Style2"/>
          <w:sz w:val="24"/>
        </w:rPr>
      </w:pPr>
      <w:r w:rsidRPr="006E448F">
        <w:rPr>
          <w:rStyle w:val="Style2"/>
          <w:sz w:val="24"/>
        </w:rPr>
        <w:t>Siūloma skyrimo sąlygų formuluotė:</w:t>
      </w:r>
    </w:p>
    <w:p w14:paraId="7CDFF220" w14:textId="70D4A742" w:rsidR="000723FF" w:rsidRPr="005C672F" w:rsidRDefault="0069033A" w:rsidP="001C22F6">
      <w:pPr>
        <w:rPr>
          <w:b/>
        </w:rPr>
      </w:pPr>
      <w:r w:rsidRPr="006E448F">
        <w:rPr>
          <w:rFonts w:eastAsia="Arial"/>
        </w:rPr>
        <w:t>***************************************************************************************************************************************************************</w:t>
      </w:r>
      <w:r w:rsidR="001C22F6" w:rsidRPr="006E448F">
        <w:rPr>
          <w:rStyle w:val="Style2"/>
          <w:sz w:val="24"/>
        </w:rPr>
        <w:t>.</w:t>
      </w:r>
    </w:p>
    <w:sectPr w:rsidR="000723FF" w:rsidRPr="005C672F" w:rsidSect="005D30E1">
      <w:headerReference w:type="first" r:id="rId8"/>
      <w:footerReference w:type="first" r:id="rId9"/>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710E" w14:textId="77777777" w:rsidR="00391F53" w:rsidRDefault="00391F53">
      <w:r>
        <w:separator/>
      </w:r>
    </w:p>
  </w:endnote>
  <w:endnote w:type="continuationSeparator" w:id="0">
    <w:p w14:paraId="396AD369" w14:textId="77777777" w:rsidR="00391F53" w:rsidRDefault="00391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34C41" w14:textId="77777777" w:rsidR="00391F53" w:rsidRDefault="00391F53">
      <w:r>
        <w:separator/>
      </w:r>
    </w:p>
  </w:footnote>
  <w:footnote w:type="continuationSeparator" w:id="0">
    <w:p w14:paraId="086B1331" w14:textId="77777777" w:rsidR="00391F53" w:rsidRDefault="00391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multilevel"/>
    <w:tmpl w:val="79D2DBD2"/>
    <w:lvl w:ilvl="0">
      <w:start w:val="1"/>
      <w:numFmt w:val="decimal"/>
      <w:lvlText w:val="%1."/>
      <w:lvlJc w:val="left"/>
      <w:pPr>
        <w:ind w:left="360" w:hanging="360"/>
      </w:pPr>
      <w:rPr>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6" w15:restartNumberingAfterBreak="0">
    <w:nsid w:val="3FB4173D"/>
    <w:multiLevelType w:val="hybridMultilevel"/>
    <w:tmpl w:val="45BEFCF4"/>
    <w:lvl w:ilvl="0" w:tplc="7CEC0E98">
      <w:numFmt w:val="bullet"/>
      <w:lvlText w:val="-"/>
      <w:lvlJc w:val="left"/>
      <w:pPr>
        <w:ind w:left="720" w:hanging="360"/>
      </w:pPr>
      <w:rPr>
        <w:rFonts w:ascii="Times New Roman" w:eastAsia="Arial"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55331448">
    <w:abstractNumId w:val="7"/>
  </w:num>
  <w:num w:numId="2" w16cid:durableId="1372612116">
    <w:abstractNumId w:val="1"/>
  </w:num>
  <w:num w:numId="3" w16cid:durableId="330988059">
    <w:abstractNumId w:val="9"/>
  </w:num>
  <w:num w:numId="4" w16cid:durableId="1144548057">
    <w:abstractNumId w:val="8"/>
  </w:num>
  <w:num w:numId="5" w16cid:durableId="1972901767">
    <w:abstractNumId w:val="5"/>
  </w:num>
  <w:num w:numId="6" w16cid:durableId="988360323">
    <w:abstractNumId w:val="4"/>
  </w:num>
  <w:num w:numId="7" w16cid:durableId="959187641">
    <w:abstractNumId w:val="3"/>
  </w:num>
  <w:num w:numId="8" w16cid:durableId="581836384">
    <w:abstractNumId w:val="12"/>
  </w:num>
  <w:num w:numId="9" w16cid:durableId="1572420381">
    <w:abstractNumId w:val="0"/>
  </w:num>
  <w:num w:numId="10" w16cid:durableId="4938288">
    <w:abstractNumId w:val="10"/>
  </w:num>
  <w:num w:numId="11" w16cid:durableId="915435903">
    <w:abstractNumId w:val="11"/>
  </w:num>
  <w:num w:numId="12" w16cid:durableId="25453835">
    <w:abstractNumId w:val="2"/>
  </w:num>
  <w:num w:numId="13" w16cid:durableId="1338967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723FF"/>
    <w:rsid w:val="000736B8"/>
    <w:rsid w:val="0008190F"/>
    <w:rsid w:val="00081D9C"/>
    <w:rsid w:val="00082907"/>
    <w:rsid w:val="0008378D"/>
    <w:rsid w:val="000908A5"/>
    <w:rsid w:val="00092805"/>
    <w:rsid w:val="00097195"/>
    <w:rsid w:val="000C454C"/>
    <w:rsid w:val="000D5038"/>
    <w:rsid w:val="000D70C0"/>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0105"/>
    <w:rsid w:val="00164146"/>
    <w:rsid w:val="0017369C"/>
    <w:rsid w:val="00175D57"/>
    <w:rsid w:val="00180C39"/>
    <w:rsid w:val="00180D96"/>
    <w:rsid w:val="00184BD3"/>
    <w:rsid w:val="001921F3"/>
    <w:rsid w:val="001B3C5B"/>
    <w:rsid w:val="001C22F6"/>
    <w:rsid w:val="001C2727"/>
    <w:rsid w:val="001D746F"/>
    <w:rsid w:val="001E4BBB"/>
    <w:rsid w:val="001E6304"/>
    <w:rsid w:val="00200C53"/>
    <w:rsid w:val="0020381E"/>
    <w:rsid w:val="00213471"/>
    <w:rsid w:val="00215906"/>
    <w:rsid w:val="00241CD8"/>
    <w:rsid w:val="00244B09"/>
    <w:rsid w:val="002519CB"/>
    <w:rsid w:val="0025697F"/>
    <w:rsid w:val="00260258"/>
    <w:rsid w:val="0026588E"/>
    <w:rsid w:val="00272428"/>
    <w:rsid w:val="00272948"/>
    <w:rsid w:val="00292392"/>
    <w:rsid w:val="00292B2B"/>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02825"/>
    <w:rsid w:val="00317B0E"/>
    <w:rsid w:val="00347FAA"/>
    <w:rsid w:val="0035172D"/>
    <w:rsid w:val="0036187D"/>
    <w:rsid w:val="00367EDB"/>
    <w:rsid w:val="00381024"/>
    <w:rsid w:val="00386307"/>
    <w:rsid w:val="003874DE"/>
    <w:rsid w:val="00391F53"/>
    <w:rsid w:val="00393E9F"/>
    <w:rsid w:val="0039696E"/>
    <w:rsid w:val="003B211A"/>
    <w:rsid w:val="003C141F"/>
    <w:rsid w:val="003C6B0E"/>
    <w:rsid w:val="003C7257"/>
    <w:rsid w:val="003C7E35"/>
    <w:rsid w:val="003D1877"/>
    <w:rsid w:val="003D1E99"/>
    <w:rsid w:val="003D6208"/>
    <w:rsid w:val="00404E8A"/>
    <w:rsid w:val="0040622F"/>
    <w:rsid w:val="00413F24"/>
    <w:rsid w:val="00422853"/>
    <w:rsid w:val="00423160"/>
    <w:rsid w:val="00425088"/>
    <w:rsid w:val="00431C47"/>
    <w:rsid w:val="0043241E"/>
    <w:rsid w:val="00435A8D"/>
    <w:rsid w:val="004537D0"/>
    <w:rsid w:val="00453862"/>
    <w:rsid w:val="0045469B"/>
    <w:rsid w:val="00461338"/>
    <w:rsid w:val="004677DB"/>
    <w:rsid w:val="0047414A"/>
    <w:rsid w:val="00476256"/>
    <w:rsid w:val="0048630F"/>
    <w:rsid w:val="00490C09"/>
    <w:rsid w:val="004947A1"/>
    <w:rsid w:val="0049482A"/>
    <w:rsid w:val="004979D3"/>
    <w:rsid w:val="004A00E7"/>
    <w:rsid w:val="004A3A61"/>
    <w:rsid w:val="004B205D"/>
    <w:rsid w:val="004B59BA"/>
    <w:rsid w:val="004B5A03"/>
    <w:rsid w:val="004C263A"/>
    <w:rsid w:val="004D44A4"/>
    <w:rsid w:val="004D48A6"/>
    <w:rsid w:val="004D7B8F"/>
    <w:rsid w:val="004E6458"/>
    <w:rsid w:val="004E6E7D"/>
    <w:rsid w:val="004F1AAC"/>
    <w:rsid w:val="004F1AE2"/>
    <w:rsid w:val="004F34F0"/>
    <w:rsid w:val="004F3B2B"/>
    <w:rsid w:val="004F6050"/>
    <w:rsid w:val="005005EF"/>
    <w:rsid w:val="005039A0"/>
    <w:rsid w:val="005123C2"/>
    <w:rsid w:val="0052144B"/>
    <w:rsid w:val="00524066"/>
    <w:rsid w:val="00534E11"/>
    <w:rsid w:val="005378D8"/>
    <w:rsid w:val="005400D9"/>
    <w:rsid w:val="005476A4"/>
    <w:rsid w:val="0055019B"/>
    <w:rsid w:val="00556E63"/>
    <w:rsid w:val="005601A4"/>
    <w:rsid w:val="005669BD"/>
    <w:rsid w:val="00566DBB"/>
    <w:rsid w:val="0056705C"/>
    <w:rsid w:val="005767DB"/>
    <w:rsid w:val="005815E6"/>
    <w:rsid w:val="0058712F"/>
    <w:rsid w:val="005976CE"/>
    <w:rsid w:val="005A23D4"/>
    <w:rsid w:val="005A2D1E"/>
    <w:rsid w:val="005B129D"/>
    <w:rsid w:val="005B3756"/>
    <w:rsid w:val="005C493F"/>
    <w:rsid w:val="005C672F"/>
    <w:rsid w:val="005C6BF7"/>
    <w:rsid w:val="005C71BF"/>
    <w:rsid w:val="005D002C"/>
    <w:rsid w:val="005D30E1"/>
    <w:rsid w:val="005D6555"/>
    <w:rsid w:val="005D7BDF"/>
    <w:rsid w:val="005E4870"/>
    <w:rsid w:val="005F2A8E"/>
    <w:rsid w:val="005F71D9"/>
    <w:rsid w:val="005F7602"/>
    <w:rsid w:val="006031C8"/>
    <w:rsid w:val="006062BE"/>
    <w:rsid w:val="00613143"/>
    <w:rsid w:val="00613501"/>
    <w:rsid w:val="0061611B"/>
    <w:rsid w:val="006166A8"/>
    <w:rsid w:val="006174A1"/>
    <w:rsid w:val="00621D6C"/>
    <w:rsid w:val="00633B49"/>
    <w:rsid w:val="0064297F"/>
    <w:rsid w:val="00645102"/>
    <w:rsid w:val="00646CF3"/>
    <w:rsid w:val="00653D11"/>
    <w:rsid w:val="00662983"/>
    <w:rsid w:val="006834D3"/>
    <w:rsid w:val="0069033A"/>
    <w:rsid w:val="00692625"/>
    <w:rsid w:val="00695CD3"/>
    <w:rsid w:val="006A38B6"/>
    <w:rsid w:val="006B1987"/>
    <w:rsid w:val="006B5B71"/>
    <w:rsid w:val="006B6CB0"/>
    <w:rsid w:val="006C0296"/>
    <w:rsid w:val="006C0950"/>
    <w:rsid w:val="006C2B64"/>
    <w:rsid w:val="006D4C85"/>
    <w:rsid w:val="006D66AC"/>
    <w:rsid w:val="006E29DE"/>
    <w:rsid w:val="006E33F6"/>
    <w:rsid w:val="006E448F"/>
    <w:rsid w:val="006F1251"/>
    <w:rsid w:val="006F1C23"/>
    <w:rsid w:val="00702C18"/>
    <w:rsid w:val="00703166"/>
    <w:rsid w:val="00704571"/>
    <w:rsid w:val="007127F3"/>
    <w:rsid w:val="00721275"/>
    <w:rsid w:val="007301CF"/>
    <w:rsid w:val="007316FB"/>
    <w:rsid w:val="00734DF9"/>
    <w:rsid w:val="007374D0"/>
    <w:rsid w:val="00737E2D"/>
    <w:rsid w:val="007424D5"/>
    <w:rsid w:val="00750A88"/>
    <w:rsid w:val="007523DD"/>
    <w:rsid w:val="00757B7E"/>
    <w:rsid w:val="007656B2"/>
    <w:rsid w:val="0077016F"/>
    <w:rsid w:val="007713AD"/>
    <w:rsid w:val="00795DC5"/>
    <w:rsid w:val="00797153"/>
    <w:rsid w:val="007A21F7"/>
    <w:rsid w:val="007A2B68"/>
    <w:rsid w:val="007B0DDA"/>
    <w:rsid w:val="007C0875"/>
    <w:rsid w:val="007C6794"/>
    <w:rsid w:val="007C7519"/>
    <w:rsid w:val="007D3347"/>
    <w:rsid w:val="007E5466"/>
    <w:rsid w:val="007F1949"/>
    <w:rsid w:val="007F2592"/>
    <w:rsid w:val="00800A08"/>
    <w:rsid w:val="00817A84"/>
    <w:rsid w:val="008225A4"/>
    <w:rsid w:val="00824899"/>
    <w:rsid w:val="00824B92"/>
    <w:rsid w:val="00826D5E"/>
    <w:rsid w:val="00832013"/>
    <w:rsid w:val="00832DB7"/>
    <w:rsid w:val="00834732"/>
    <w:rsid w:val="0085200C"/>
    <w:rsid w:val="00857C52"/>
    <w:rsid w:val="00860D5F"/>
    <w:rsid w:val="00880A44"/>
    <w:rsid w:val="0088345E"/>
    <w:rsid w:val="0088656F"/>
    <w:rsid w:val="00891EF6"/>
    <w:rsid w:val="008A0303"/>
    <w:rsid w:val="008A5FDD"/>
    <w:rsid w:val="008C3947"/>
    <w:rsid w:val="008E473B"/>
    <w:rsid w:val="008E51A6"/>
    <w:rsid w:val="008E7329"/>
    <w:rsid w:val="008F2ED5"/>
    <w:rsid w:val="00900207"/>
    <w:rsid w:val="009017F0"/>
    <w:rsid w:val="009122E1"/>
    <w:rsid w:val="0092297E"/>
    <w:rsid w:val="00923651"/>
    <w:rsid w:val="00927B56"/>
    <w:rsid w:val="009341BF"/>
    <w:rsid w:val="00937907"/>
    <w:rsid w:val="00941739"/>
    <w:rsid w:val="00943E06"/>
    <w:rsid w:val="00951573"/>
    <w:rsid w:val="00963003"/>
    <w:rsid w:val="0096589A"/>
    <w:rsid w:val="00966EEF"/>
    <w:rsid w:val="00971B28"/>
    <w:rsid w:val="00973567"/>
    <w:rsid w:val="00983471"/>
    <w:rsid w:val="009909AB"/>
    <w:rsid w:val="00997A8D"/>
    <w:rsid w:val="009B37DB"/>
    <w:rsid w:val="009C793D"/>
    <w:rsid w:val="009C7A8C"/>
    <w:rsid w:val="009D23F9"/>
    <w:rsid w:val="009D4FA8"/>
    <w:rsid w:val="009E44AE"/>
    <w:rsid w:val="009E6CD6"/>
    <w:rsid w:val="009F4D66"/>
    <w:rsid w:val="00A00C3C"/>
    <w:rsid w:val="00A01091"/>
    <w:rsid w:val="00A042B9"/>
    <w:rsid w:val="00A06DBB"/>
    <w:rsid w:val="00A22ADF"/>
    <w:rsid w:val="00A31E86"/>
    <w:rsid w:val="00A4193D"/>
    <w:rsid w:val="00A54D87"/>
    <w:rsid w:val="00A5553C"/>
    <w:rsid w:val="00A67712"/>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3C00"/>
    <w:rsid w:val="00B04415"/>
    <w:rsid w:val="00B06509"/>
    <w:rsid w:val="00B11D60"/>
    <w:rsid w:val="00B13D65"/>
    <w:rsid w:val="00B21805"/>
    <w:rsid w:val="00B3072E"/>
    <w:rsid w:val="00B36E15"/>
    <w:rsid w:val="00B37245"/>
    <w:rsid w:val="00B4017A"/>
    <w:rsid w:val="00B4468D"/>
    <w:rsid w:val="00B62026"/>
    <w:rsid w:val="00B71C72"/>
    <w:rsid w:val="00B81E92"/>
    <w:rsid w:val="00B908D7"/>
    <w:rsid w:val="00B915AB"/>
    <w:rsid w:val="00B935E8"/>
    <w:rsid w:val="00B93B30"/>
    <w:rsid w:val="00B94CB5"/>
    <w:rsid w:val="00BA0DD9"/>
    <w:rsid w:val="00BA5DBC"/>
    <w:rsid w:val="00BB6312"/>
    <w:rsid w:val="00BC4D06"/>
    <w:rsid w:val="00BD18D3"/>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517D2"/>
    <w:rsid w:val="00C5772E"/>
    <w:rsid w:val="00C62B36"/>
    <w:rsid w:val="00C630AE"/>
    <w:rsid w:val="00C7012C"/>
    <w:rsid w:val="00C712EA"/>
    <w:rsid w:val="00C8605C"/>
    <w:rsid w:val="00CA217D"/>
    <w:rsid w:val="00CC09D4"/>
    <w:rsid w:val="00CC668D"/>
    <w:rsid w:val="00CC7832"/>
    <w:rsid w:val="00CF0C1C"/>
    <w:rsid w:val="00CF27FD"/>
    <w:rsid w:val="00CF5F12"/>
    <w:rsid w:val="00D00D8F"/>
    <w:rsid w:val="00D21F3A"/>
    <w:rsid w:val="00D23808"/>
    <w:rsid w:val="00D3016A"/>
    <w:rsid w:val="00D31225"/>
    <w:rsid w:val="00D417D2"/>
    <w:rsid w:val="00D42960"/>
    <w:rsid w:val="00D43BD7"/>
    <w:rsid w:val="00D4485B"/>
    <w:rsid w:val="00D4708D"/>
    <w:rsid w:val="00D4744C"/>
    <w:rsid w:val="00D521DE"/>
    <w:rsid w:val="00D5470B"/>
    <w:rsid w:val="00D63068"/>
    <w:rsid w:val="00D6498C"/>
    <w:rsid w:val="00D66CCF"/>
    <w:rsid w:val="00D76A70"/>
    <w:rsid w:val="00D83182"/>
    <w:rsid w:val="00D8521E"/>
    <w:rsid w:val="00D9144E"/>
    <w:rsid w:val="00D9291C"/>
    <w:rsid w:val="00D93A97"/>
    <w:rsid w:val="00D970E4"/>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1A32"/>
    <w:rsid w:val="00E745A1"/>
    <w:rsid w:val="00E81529"/>
    <w:rsid w:val="00E83A13"/>
    <w:rsid w:val="00E85FEE"/>
    <w:rsid w:val="00EA2612"/>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2734D"/>
    <w:rsid w:val="00F36972"/>
    <w:rsid w:val="00F42426"/>
    <w:rsid w:val="00F456BC"/>
    <w:rsid w:val="00F50666"/>
    <w:rsid w:val="00F6642D"/>
    <w:rsid w:val="00F70C9E"/>
    <w:rsid w:val="00F74A74"/>
    <w:rsid w:val="00F7572C"/>
    <w:rsid w:val="00F8382C"/>
    <w:rsid w:val="00F855D7"/>
    <w:rsid w:val="00F92035"/>
    <w:rsid w:val="00F92748"/>
    <w:rsid w:val="00FA17A2"/>
    <w:rsid w:val="00FA4169"/>
    <w:rsid w:val="00FB0D41"/>
    <w:rsid w:val="00FB2030"/>
    <w:rsid w:val="00FB22B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aliases w:val="Summary box,Dossier Table,Dossier table,Section 3- footnotes,Legemiddelverket 3,Summary Table,ASD Table,Key messages box"/>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Summary Bullets,Bullet 1,Bullet1,Bullet List,Section 5,List Paragraph CCT minutes,Table Legend,Bullets Points,Use Case List Paragraph,List Paragraph1,Body Bullet,Table Number Paragraph,Colorful List - Accent 11,List Paragraph 1,Ref,B1"/>
    <w:basedOn w:val="Normal"/>
    <w:link w:val="ListParagraphChar"/>
    <w:uiPriority w:val="1"/>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Summary Bullets Char,Bullet 1 Char,Bullet1 Char,Bullet List Char,Section 5 Char,List Paragraph CCT minutes Char,Table Legend Char,Bullets Points Char,Use Case List Paragraph Char,List Paragraph1 Char,Body Bullet Char,Ref Char,B1 Char"/>
    <w:basedOn w:val="DefaultParagraphFont"/>
    <w:link w:val="ListParagraph"/>
    <w:uiPriority w:val="34"/>
    <w:rsid w:val="003D1877"/>
    <w:rPr>
      <w:sz w:val="24"/>
      <w:szCs w:val="24"/>
      <w:lang w:eastAsia="en-US"/>
    </w:rPr>
  </w:style>
  <w:style w:type="paragraph" w:customStyle="1" w:styleId="Tekstas">
    <w:name w:val="Tekstas"/>
    <w:basedOn w:val="Normal"/>
    <w:link w:val="TekstasChar"/>
    <w:qFormat/>
    <w:rsid w:val="00704571"/>
    <w:pPr>
      <w:spacing w:after="120"/>
      <w:jc w:val="both"/>
    </w:pPr>
  </w:style>
  <w:style w:type="character" w:customStyle="1" w:styleId="TekstasChar">
    <w:name w:val="Tekstas Char"/>
    <w:link w:val="Tekstas"/>
    <w:rsid w:val="00704571"/>
    <w:rPr>
      <w:sz w:val="24"/>
      <w:szCs w:val="24"/>
      <w:lang w:eastAsia="en-US"/>
    </w:rPr>
  </w:style>
  <w:style w:type="paragraph" w:customStyle="1" w:styleId="Text">
    <w:name w:val="Text"/>
    <w:basedOn w:val="Normal"/>
    <w:link w:val="TextChar"/>
    <w:qFormat/>
    <w:rsid w:val="000D70C0"/>
    <w:pPr>
      <w:spacing w:after="120"/>
      <w:jc w:val="both"/>
    </w:pPr>
  </w:style>
  <w:style w:type="character" w:customStyle="1" w:styleId="TextChar">
    <w:name w:val="Text Char"/>
    <w:link w:val="Text"/>
    <w:rsid w:val="000D70C0"/>
    <w:rPr>
      <w:sz w:val="24"/>
      <w:szCs w:val="24"/>
      <w:lang w:eastAsia="en-US"/>
    </w:rPr>
  </w:style>
  <w:style w:type="table" w:customStyle="1" w:styleId="Keymessagesbox1">
    <w:name w:val="Key messages box1"/>
    <w:basedOn w:val="TableNormal"/>
    <w:next w:val="TableGrid"/>
    <w:rsid w:val="000D70C0"/>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45035241065E4EBF5D1E0C3914DF50"/>
        <w:category>
          <w:name w:val="General"/>
          <w:gallery w:val="placeholder"/>
        </w:category>
        <w:types>
          <w:type w:val="bbPlcHdr"/>
        </w:types>
        <w:behaviors>
          <w:behavior w:val="content"/>
        </w:behaviors>
        <w:guid w:val="{9E1B94E2-7AA3-C446-A090-D85DFACA3C54}"/>
      </w:docPartPr>
      <w:docPartBody>
        <w:p w:rsidR="008B31DC" w:rsidRDefault="00E456CB" w:rsidP="00E456CB">
          <w:pPr>
            <w:pStyle w:val="7A45035241065E4EBF5D1E0C3914DF50"/>
          </w:pPr>
          <w:r>
            <w:rPr>
              <w:rStyle w:val="PlaceholderText"/>
            </w:rPr>
            <w:t>Click here to enter a date.</w:t>
          </w:r>
        </w:p>
      </w:docPartBody>
    </w:docPart>
    <w:docPart>
      <w:docPartPr>
        <w:name w:val="5E632FB43076C44B9F17026BD83E6F8E"/>
        <w:category>
          <w:name w:val="General"/>
          <w:gallery w:val="placeholder"/>
        </w:category>
        <w:types>
          <w:type w:val="bbPlcHdr"/>
        </w:types>
        <w:behaviors>
          <w:behavior w:val="content"/>
        </w:behaviors>
        <w:guid w:val="{E0B923CE-310C-9B43-88AC-09EE9C58F9B9}"/>
      </w:docPartPr>
      <w:docPartBody>
        <w:p w:rsidR="008B31DC" w:rsidRDefault="00E456CB" w:rsidP="00E456CB">
          <w:pPr>
            <w:pStyle w:val="5E632FB43076C44B9F17026BD83E6F8E"/>
          </w:pPr>
          <w:r>
            <w:rPr>
              <w:rStyle w:val="PlaceholderText"/>
            </w:rPr>
            <w:t>Click here to enter a date.</w:t>
          </w:r>
        </w:p>
      </w:docPartBody>
    </w:docPart>
    <w:docPart>
      <w:docPartPr>
        <w:name w:val="5D4400608B93B744B3635189ABFE28F3"/>
        <w:category>
          <w:name w:val="General"/>
          <w:gallery w:val="placeholder"/>
        </w:category>
        <w:types>
          <w:type w:val="bbPlcHdr"/>
        </w:types>
        <w:behaviors>
          <w:behavior w:val="content"/>
        </w:behaviors>
        <w:guid w:val="{33F47AEE-56DC-F349-AE6C-50D5062688CA}"/>
      </w:docPartPr>
      <w:docPartBody>
        <w:p w:rsidR="008B31DC" w:rsidRDefault="00E456CB" w:rsidP="00E456CB">
          <w:pPr>
            <w:pStyle w:val="5D4400608B93B744B3635189ABFE28F3"/>
          </w:pPr>
          <w:r w:rsidRPr="00546469">
            <w:rPr>
              <w:rStyle w:val="PlaceholderText"/>
            </w:rPr>
            <w:t>Click or tap here to enter text.</w:t>
          </w:r>
        </w:p>
      </w:docPartBody>
    </w:docPart>
    <w:docPart>
      <w:docPartPr>
        <w:name w:val="4ADC47E27268CE4DB8E725BE6DDBBAFA"/>
        <w:category>
          <w:name w:val="General"/>
          <w:gallery w:val="placeholder"/>
        </w:category>
        <w:types>
          <w:type w:val="bbPlcHdr"/>
        </w:types>
        <w:behaviors>
          <w:behavior w:val="content"/>
        </w:behaviors>
        <w:guid w:val="{BDB25B07-7CF6-5D4C-AC0F-50C004804B1B}"/>
      </w:docPartPr>
      <w:docPartBody>
        <w:p w:rsidR="008B31DC" w:rsidRDefault="00E456CB" w:rsidP="00E456CB">
          <w:pPr>
            <w:pStyle w:val="4ADC47E27268CE4DB8E725BE6DDBBAFA"/>
          </w:pPr>
          <w:r>
            <w:rPr>
              <w:rStyle w:val="PlaceholderText"/>
            </w:rPr>
            <w:t>Click here to enter a date.</w:t>
          </w:r>
        </w:p>
      </w:docPartBody>
    </w:docPart>
    <w:docPart>
      <w:docPartPr>
        <w:name w:val="E477024ECC96F3449F3ED282DC6DE953"/>
        <w:category>
          <w:name w:val="General"/>
          <w:gallery w:val="placeholder"/>
        </w:category>
        <w:types>
          <w:type w:val="bbPlcHdr"/>
        </w:types>
        <w:behaviors>
          <w:behavior w:val="content"/>
        </w:behaviors>
        <w:guid w:val="{49514574-6C12-4946-AA9C-9B45CA9963BD}"/>
      </w:docPartPr>
      <w:docPartBody>
        <w:p w:rsidR="008B31DC" w:rsidRDefault="00E456CB" w:rsidP="00E456CB">
          <w:pPr>
            <w:pStyle w:val="E477024ECC96F3449F3ED282DC6DE953"/>
          </w:pPr>
          <w:r>
            <w:rPr>
              <w:rStyle w:val="PlaceholderText"/>
            </w:rPr>
            <w:t>Click here to enter a date.</w:t>
          </w:r>
        </w:p>
      </w:docPartBody>
    </w:docPart>
    <w:docPart>
      <w:docPartPr>
        <w:name w:val="C6E02B3330E92B4580ABEDE3780D5FFB"/>
        <w:category>
          <w:name w:val="General"/>
          <w:gallery w:val="placeholder"/>
        </w:category>
        <w:types>
          <w:type w:val="bbPlcHdr"/>
        </w:types>
        <w:behaviors>
          <w:behavior w:val="content"/>
        </w:behaviors>
        <w:guid w:val="{DCA81488-1FB3-174E-AEE6-1EDE0D7C870D}"/>
      </w:docPartPr>
      <w:docPartBody>
        <w:p w:rsidR="008B31DC" w:rsidRDefault="00E456CB" w:rsidP="00E456CB">
          <w:pPr>
            <w:pStyle w:val="C6E02B3330E92B4580ABEDE3780D5FFB"/>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6720C"/>
    <w:rsid w:val="001C2727"/>
    <w:rsid w:val="001C35A9"/>
    <w:rsid w:val="001F47C5"/>
    <w:rsid w:val="00237556"/>
    <w:rsid w:val="00252976"/>
    <w:rsid w:val="00292B2B"/>
    <w:rsid w:val="0039303B"/>
    <w:rsid w:val="004144A3"/>
    <w:rsid w:val="004160E7"/>
    <w:rsid w:val="00425088"/>
    <w:rsid w:val="0043241E"/>
    <w:rsid w:val="004416C6"/>
    <w:rsid w:val="00483CD7"/>
    <w:rsid w:val="004F5AB2"/>
    <w:rsid w:val="005074B9"/>
    <w:rsid w:val="005B129D"/>
    <w:rsid w:val="005E40DD"/>
    <w:rsid w:val="007219C1"/>
    <w:rsid w:val="0074261C"/>
    <w:rsid w:val="00753462"/>
    <w:rsid w:val="00772325"/>
    <w:rsid w:val="007810F2"/>
    <w:rsid w:val="00794574"/>
    <w:rsid w:val="007A2FE0"/>
    <w:rsid w:val="007C6D1D"/>
    <w:rsid w:val="008B31DC"/>
    <w:rsid w:val="00900207"/>
    <w:rsid w:val="0090074D"/>
    <w:rsid w:val="009017F0"/>
    <w:rsid w:val="00955401"/>
    <w:rsid w:val="0096589A"/>
    <w:rsid w:val="009A330E"/>
    <w:rsid w:val="009B3BF0"/>
    <w:rsid w:val="009C793D"/>
    <w:rsid w:val="009D5E5E"/>
    <w:rsid w:val="009F1BB4"/>
    <w:rsid w:val="00AB6ED4"/>
    <w:rsid w:val="00B14210"/>
    <w:rsid w:val="00B23DC0"/>
    <w:rsid w:val="00B96656"/>
    <w:rsid w:val="00BE29C1"/>
    <w:rsid w:val="00C2401D"/>
    <w:rsid w:val="00C53A68"/>
    <w:rsid w:val="00C8605C"/>
    <w:rsid w:val="00CA5BB4"/>
    <w:rsid w:val="00CB4BD1"/>
    <w:rsid w:val="00CE2DA9"/>
    <w:rsid w:val="00CE44BE"/>
    <w:rsid w:val="00D107CD"/>
    <w:rsid w:val="00D4356B"/>
    <w:rsid w:val="00D7162F"/>
    <w:rsid w:val="00E3528B"/>
    <w:rsid w:val="00E44A86"/>
    <w:rsid w:val="00E456CB"/>
    <w:rsid w:val="00E522EB"/>
    <w:rsid w:val="00E60827"/>
    <w:rsid w:val="00E73FF6"/>
    <w:rsid w:val="00EE2F5D"/>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456CB"/>
    <w:rPr>
      <w:color w:val="808080"/>
    </w:rPr>
  </w:style>
  <w:style w:type="paragraph" w:customStyle="1" w:styleId="7A45035241065E4EBF5D1E0C3914DF50">
    <w:name w:val="7A45035241065E4EBF5D1E0C3914DF50"/>
    <w:rsid w:val="00E456CB"/>
    <w:pPr>
      <w:spacing w:line="278" w:lineRule="auto"/>
    </w:pPr>
    <w:rPr>
      <w:kern w:val="2"/>
      <w:sz w:val="24"/>
      <w:szCs w:val="24"/>
      <w:lang w:eastAsia="en-GB"/>
      <w14:ligatures w14:val="standardContextual"/>
    </w:rPr>
  </w:style>
  <w:style w:type="paragraph" w:customStyle="1" w:styleId="5E632FB43076C44B9F17026BD83E6F8E">
    <w:name w:val="5E632FB43076C44B9F17026BD83E6F8E"/>
    <w:rsid w:val="00E456CB"/>
    <w:pPr>
      <w:spacing w:line="278" w:lineRule="auto"/>
    </w:pPr>
    <w:rPr>
      <w:kern w:val="2"/>
      <w:sz w:val="24"/>
      <w:szCs w:val="24"/>
      <w:lang w:eastAsia="en-GB"/>
      <w14:ligatures w14:val="standardContextual"/>
    </w:rPr>
  </w:style>
  <w:style w:type="paragraph" w:customStyle="1" w:styleId="5D4400608B93B744B3635189ABFE28F3">
    <w:name w:val="5D4400608B93B744B3635189ABFE28F3"/>
    <w:rsid w:val="00E456CB"/>
    <w:pPr>
      <w:spacing w:line="278" w:lineRule="auto"/>
    </w:pPr>
    <w:rPr>
      <w:kern w:val="2"/>
      <w:sz w:val="24"/>
      <w:szCs w:val="24"/>
      <w:lang w:eastAsia="en-GB"/>
      <w14:ligatures w14:val="standardContextual"/>
    </w:rPr>
  </w:style>
  <w:style w:type="paragraph" w:customStyle="1" w:styleId="4ADC47E27268CE4DB8E725BE6DDBBAFA">
    <w:name w:val="4ADC47E27268CE4DB8E725BE6DDBBAFA"/>
    <w:rsid w:val="00E456CB"/>
    <w:pPr>
      <w:spacing w:line="278" w:lineRule="auto"/>
    </w:pPr>
    <w:rPr>
      <w:kern w:val="2"/>
      <w:sz w:val="24"/>
      <w:szCs w:val="24"/>
      <w:lang w:eastAsia="en-GB"/>
      <w14:ligatures w14:val="standardContextual"/>
    </w:rPr>
  </w:style>
  <w:style w:type="paragraph" w:customStyle="1" w:styleId="E477024ECC96F3449F3ED282DC6DE953">
    <w:name w:val="E477024ECC96F3449F3ED282DC6DE953"/>
    <w:rsid w:val="00E456CB"/>
    <w:pPr>
      <w:spacing w:line="278" w:lineRule="auto"/>
    </w:pPr>
    <w:rPr>
      <w:kern w:val="2"/>
      <w:sz w:val="24"/>
      <w:szCs w:val="24"/>
      <w:lang w:eastAsia="en-GB"/>
      <w14:ligatures w14:val="standardContextual"/>
    </w:rPr>
  </w:style>
  <w:style w:type="paragraph" w:customStyle="1" w:styleId="C6E02B3330E92B4580ABEDE3780D5FFB">
    <w:name w:val="C6E02B3330E92B4580ABEDE3780D5FFB"/>
    <w:rsid w:val="00E456CB"/>
    <w:pPr>
      <w:spacing w:line="278"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6BBAB-35DB-4884-B1A4-9EB592D97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2588</Words>
  <Characters>14758</Characters>
  <Application>Microsoft Office Word</Application>
  <DocSecurity>0</DocSecurity>
  <Lines>122</Lines>
  <Paragraphs>34</Paragraphs>
  <ScaleCrop>false</ScaleCrop>
  <Company/>
  <LinksUpToDate>false</LinksUpToDate>
  <CharactersWithSpaces>17312</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2025-10-07T10:46:00Z</dcterms:created>
  <dcterms:modified xsi:type="dcterms:W3CDTF">2025-10-07T13:15:00Z</dcterms:modified>
</cp:coreProperties>
</file>