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E5EB3" w14:textId="1955ADE3" w:rsidR="005F7602" w:rsidRPr="000203E1" w:rsidRDefault="005F7602" w:rsidP="002946C7">
      <w:pPr>
        <w:ind w:left="5529"/>
      </w:pPr>
    </w:p>
    <w:p w14:paraId="12FA4B9E" w14:textId="77777777" w:rsidR="001B3C5B" w:rsidRPr="00FE42AF" w:rsidRDefault="001B3C5B" w:rsidP="001B3C5B">
      <w:pPr>
        <w:ind w:left="6096"/>
      </w:pPr>
      <w:r w:rsidRPr="00FE42AF">
        <w:t>Forma patvirtinta</w:t>
      </w:r>
    </w:p>
    <w:p w14:paraId="7206970B" w14:textId="70E9BD2E" w:rsidR="004C263A" w:rsidRPr="00FE42AF" w:rsidRDefault="001B3C5B" w:rsidP="001B3C5B">
      <w:pPr>
        <w:ind w:left="6096"/>
      </w:pPr>
      <w:r w:rsidRPr="00FE42AF">
        <w:t>Valstybinės vaistų kontrolės tarnybos prie Lietuvos Respublikos sveikatos apsaugos ministerijos viršininko 2021 m</w:t>
      </w:r>
      <w:r w:rsidR="004C263A" w:rsidRPr="00FE42AF">
        <w:t xml:space="preserve">. lapkričio 12 </w:t>
      </w:r>
      <w:r w:rsidRPr="00FE42AF">
        <w:t>d. įsakymu Nr.</w:t>
      </w:r>
      <w:r w:rsidR="004C263A" w:rsidRPr="00FE42AF">
        <w:t xml:space="preserve"> (1.72E)1A-1418</w:t>
      </w:r>
    </w:p>
    <w:p w14:paraId="5B219AA6" w14:textId="520B9136" w:rsidR="001B3C5B" w:rsidRPr="00FE42AF" w:rsidRDefault="004C263A" w:rsidP="001B3C5B">
      <w:pPr>
        <w:ind w:left="6096"/>
      </w:pPr>
      <w:r w:rsidRPr="00FE42AF">
        <w:t>(Valstybinės vaistų kontrolės tarnybos prie Lietuvos Respublikos sveikatos apsaugos ministerijos viršininko 2022 m.                         d. įsakymo Nr.                    redakcija)</w:t>
      </w:r>
    </w:p>
    <w:p w14:paraId="3336BD74" w14:textId="77777777" w:rsidR="001B3C5B" w:rsidRPr="00FE42AF" w:rsidRDefault="001B3C5B" w:rsidP="00FA4169"/>
    <w:p w14:paraId="77AFB67E" w14:textId="16397257" w:rsidR="00613501" w:rsidRPr="00FE42AF" w:rsidRDefault="002F0E4F" w:rsidP="003B211A">
      <w:pPr>
        <w:jc w:val="center"/>
        <w:rPr>
          <w:b/>
          <w:bCs/>
          <w:caps/>
        </w:rPr>
      </w:pPr>
      <w:r w:rsidRPr="00FE42AF">
        <w:rPr>
          <w:b/>
        </w:rPr>
        <w:t xml:space="preserve">REKOMENDACIJA DĖL VAISTINIO PREPARATO </w:t>
      </w:r>
      <w:r w:rsidRPr="00FE42AF">
        <w:rPr>
          <w:b/>
          <w:bCs/>
          <w:caps/>
        </w:rPr>
        <w:t>Lietuvos Respublikos Sveikatos apsaugos ministerijos vaistinių preparatų ir medicinos pagalbos priemonių kompensavimo komisijai</w:t>
      </w:r>
    </w:p>
    <w:p w14:paraId="34E4395D" w14:textId="15FB10DF" w:rsidR="00B13D65" w:rsidRPr="00FE42AF" w:rsidRDefault="00B13D65" w:rsidP="003B211A">
      <w:pPr>
        <w:jc w:val="center"/>
        <w:rPr>
          <w:b/>
        </w:rPr>
      </w:pPr>
    </w:p>
    <w:p w14:paraId="7F7513EA" w14:textId="77777777" w:rsidR="008E329C" w:rsidRPr="00FE42AF" w:rsidRDefault="008E329C" w:rsidP="008E329C">
      <w:pPr>
        <w:jc w:val="center"/>
        <w:rPr>
          <w:b/>
        </w:rPr>
      </w:pPr>
      <w:proofErr w:type="spellStart"/>
      <w:r w:rsidRPr="00FE42AF">
        <w:rPr>
          <w:b/>
        </w:rPr>
        <w:t>Camzyos</w:t>
      </w:r>
      <w:proofErr w:type="spellEnd"/>
      <w:r w:rsidRPr="00FE42AF">
        <w:rPr>
          <w:b/>
        </w:rPr>
        <w:t xml:space="preserve"> </w:t>
      </w:r>
      <w:bookmarkStart w:id="0" w:name="_Hlk179906976"/>
      <w:r w:rsidRPr="00FE42AF">
        <w:rPr>
          <w:b/>
        </w:rPr>
        <w:t>2,5/5/10/15 mg kietosios kapsulės</w:t>
      </w:r>
      <w:bookmarkEnd w:id="0"/>
    </w:p>
    <w:p w14:paraId="498A0480" w14:textId="77777777" w:rsidR="008E329C" w:rsidRPr="00FE42AF" w:rsidRDefault="008E329C" w:rsidP="008E329C">
      <w:pPr>
        <w:jc w:val="center"/>
      </w:pPr>
    </w:p>
    <w:p w14:paraId="4EDB6C27" w14:textId="77777777" w:rsidR="008E329C" w:rsidRPr="00FE42AF" w:rsidRDefault="008E329C" w:rsidP="008E329C">
      <w:pPr>
        <w:jc w:val="center"/>
        <w:rPr>
          <w:b/>
          <w:bCs/>
        </w:rPr>
      </w:pPr>
      <w:proofErr w:type="spellStart"/>
      <w:r w:rsidRPr="00FE42AF">
        <w:rPr>
          <w:b/>
          <w:bCs/>
        </w:rPr>
        <w:t>Mavakamtenas</w:t>
      </w:r>
      <w:proofErr w:type="spellEnd"/>
    </w:p>
    <w:p w14:paraId="52D10336" w14:textId="77777777" w:rsidR="008E329C" w:rsidRPr="00FE42AF" w:rsidRDefault="008E329C" w:rsidP="008E329C">
      <w:pPr>
        <w:jc w:val="center"/>
      </w:pPr>
    </w:p>
    <w:p w14:paraId="37750FCD" w14:textId="77777777" w:rsidR="008E329C" w:rsidRPr="00FE42AF" w:rsidRDefault="008E329C" w:rsidP="008E329C">
      <w:pPr>
        <w:jc w:val="center"/>
        <w:rPr>
          <w:b/>
        </w:rPr>
      </w:pPr>
      <w:r w:rsidRPr="00FE42AF">
        <w:rPr>
          <w:b/>
        </w:rPr>
        <w:t>STV-199</w:t>
      </w:r>
    </w:p>
    <w:p w14:paraId="453197C8" w14:textId="77777777" w:rsidR="00D4708D" w:rsidRPr="00FE42AF" w:rsidRDefault="00D4708D" w:rsidP="003B211A">
      <w:pPr>
        <w:jc w:val="center"/>
        <w:rPr>
          <w:b/>
        </w:rPr>
      </w:pPr>
    </w:p>
    <w:p w14:paraId="78C89D1C" w14:textId="0DEFFAA5" w:rsidR="00D4485B" w:rsidRPr="00FE42AF" w:rsidRDefault="00B13D65" w:rsidP="00CC09D4">
      <w:pPr>
        <w:pStyle w:val="ListParagraph"/>
        <w:numPr>
          <w:ilvl w:val="0"/>
          <w:numId w:val="12"/>
        </w:numPr>
        <w:tabs>
          <w:tab w:val="left" w:pos="567"/>
        </w:tabs>
        <w:ind w:left="567" w:hanging="567"/>
        <w:rPr>
          <w:b/>
          <w:bCs/>
          <w:caps/>
        </w:rPr>
      </w:pPr>
      <w:r w:rsidRPr="00FE42AF">
        <w:rPr>
          <w:b/>
          <w:bCs/>
          <w:caps/>
        </w:rPr>
        <w:t>Bendroji dalis</w:t>
      </w:r>
    </w:p>
    <w:p w14:paraId="04A7C7A7" w14:textId="77777777" w:rsidR="00B13D65" w:rsidRPr="00FE42AF" w:rsidRDefault="00B13D65" w:rsidP="00E03C3F">
      <w:pPr>
        <w:pStyle w:val="ListParagraph"/>
        <w:tabs>
          <w:tab w:val="left" w:pos="284"/>
        </w:tabs>
        <w:ind w:left="0"/>
        <w:rPr>
          <w:b/>
          <w:bCs/>
          <w:caps/>
        </w:rPr>
      </w:pPr>
    </w:p>
    <w:tbl>
      <w:tblPr>
        <w:tblStyle w:val="TableGrid"/>
        <w:tblW w:w="9493" w:type="dxa"/>
        <w:tblLook w:val="04A0" w:firstRow="1" w:lastRow="0" w:firstColumn="1" w:lastColumn="0" w:noHBand="0" w:noVBand="1"/>
      </w:tblPr>
      <w:tblGrid>
        <w:gridCol w:w="632"/>
        <w:gridCol w:w="3694"/>
        <w:gridCol w:w="5167"/>
      </w:tblGrid>
      <w:tr w:rsidR="00BC22A0" w:rsidRPr="00FE42AF" w14:paraId="18A83EC2" w14:textId="77777777" w:rsidTr="00BE7489">
        <w:trPr>
          <w:trHeight w:val="538"/>
        </w:trPr>
        <w:tc>
          <w:tcPr>
            <w:tcW w:w="632" w:type="dxa"/>
          </w:tcPr>
          <w:p w14:paraId="0646FBEA" w14:textId="77777777" w:rsidR="00BC22A0" w:rsidRPr="00FE42AF" w:rsidRDefault="00BC22A0" w:rsidP="00BC22A0">
            <w:pPr>
              <w:rPr>
                <w:rFonts w:eastAsia="Arial"/>
              </w:rPr>
            </w:pPr>
            <w:r w:rsidRPr="00FE42AF">
              <w:rPr>
                <w:rFonts w:eastAsia="Arial"/>
              </w:rPr>
              <w:t>1.1</w:t>
            </w:r>
          </w:p>
        </w:tc>
        <w:tc>
          <w:tcPr>
            <w:tcW w:w="3694" w:type="dxa"/>
          </w:tcPr>
          <w:p w14:paraId="6C3AE864" w14:textId="77777777" w:rsidR="00BC22A0" w:rsidRPr="00FE42AF" w:rsidRDefault="00BC22A0" w:rsidP="00BC22A0">
            <w:pPr>
              <w:rPr>
                <w:rFonts w:eastAsia="Arial"/>
              </w:rPr>
            </w:pPr>
            <w:r w:rsidRPr="00FE42AF">
              <w:rPr>
                <w:rFonts w:eastAsia="Arial"/>
              </w:rPr>
              <w:t>Pareiškėjas</w:t>
            </w:r>
          </w:p>
          <w:p w14:paraId="2AF240DC" w14:textId="77777777" w:rsidR="00BC22A0" w:rsidRPr="00FE42AF" w:rsidRDefault="00BC22A0" w:rsidP="00BC22A0">
            <w:pPr>
              <w:rPr>
                <w:rFonts w:eastAsia="Arial"/>
              </w:rPr>
            </w:pPr>
          </w:p>
        </w:tc>
        <w:tc>
          <w:tcPr>
            <w:tcW w:w="5167" w:type="dxa"/>
          </w:tcPr>
          <w:p w14:paraId="2AAF0D91" w14:textId="57AB2042" w:rsidR="00BC22A0" w:rsidRPr="00FE42AF" w:rsidRDefault="00BC22A0" w:rsidP="00BC22A0">
            <w:pPr>
              <w:rPr>
                <w:rFonts w:eastAsia="Arial"/>
              </w:rPr>
            </w:pPr>
            <w:r w:rsidRPr="00FE42AF">
              <w:t xml:space="preserve">UAB </w:t>
            </w:r>
            <w:r w:rsidR="00FE42AF" w:rsidRPr="00FE42AF">
              <w:t>„</w:t>
            </w:r>
            <w:r w:rsidRPr="00FE42AF">
              <w:t xml:space="preserve">Swixx </w:t>
            </w:r>
            <w:proofErr w:type="spellStart"/>
            <w:r w:rsidRPr="00FE42AF">
              <w:t>Biopharma</w:t>
            </w:r>
            <w:proofErr w:type="spellEnd"/>
            <w:r w:rsidR="00FE42AF" w:rsidRPr="00FE42AF">
              <w:t>“</w:t>
            </w:r>
          </w:p>
        </w:tc>
      </w:tr>
      <w:tr w:rsidR="008E329C" w:rsidRPr="00FE42AF" w14:paraId="31998B0D" w14:textId="77777777" w:rsidTr="00BE7489">
        <w:trPr>
          <w:trHeight w:val="538"/>
        </w:trPr>
        <w:tc>
          <w:tcPr>
            <w:tcW w:w="632" w:type="dxa"/>
          </w:tcPr>
          <w:p w14:paraId="2005EC67" w14:textId="662300D0" w:rsidR="008E329C" w:rsidRPr="00FE42AF" w:rsidRDefault="008E329C" w:rsidP="008E329C">
            <w:pPr>
              <w:rPr>
                <w:rFonts w:eastAsia="Arial"/>
              </w:rPr>
            </w:pPr>
            <w:r w:rsidRPr="00FE42AF">
              <w:rPr>
                <w:rFonts w:eastAsia="Arial"/>
              </w:rPr>
              <w:t>1.2</w:t>
            </w:r>
          </w:p>
        </w:tc>
        <w:tc>
          <w:tcPr>
            <w:tcW w:w="3694" w:type="dxa"/>
          </w:tcPr>
          <w:p w14:paraId="1E4AE3B1" w14:textId="77777777" w:rsidR="008E329C" w:rsidRPr="00FE42AF" w:rsidRDefault="008E329C" w:rsidP="008E329C">
            <w:pPr>
              <w:rPr>
                <w:bCs/>
                <w:lang w:eastAsia="lt-LT"/>
              </w:rPr>
            </w:pPr>
            <w:r w:rsidRPr="00FE42AF">
              <w:rPr>
                <w:bCs/>
                <w:lang w:eastAsia="lt-LT"/>
              </w:rPr>
              <w:t xml:space="preserve">Registracijos data </w:t>
            </w:r>
          </w:p>
          <w:p w14:paraId="3A0DC096" w14:textId="77777777" w:rsidR="008E329C" w:rsidRPr="00FE42AF" w:rsidRDefault="008E329C" w:rsidP="008E329C">
            <w:pPr>
              <w:rPr>
                <w:bCs/>
                <w:lang w:eastAsia="lt-LT"/>
              </w:rPr>
            </w:pPr>
          </w:p>
        </w:tc>
        <w:tc>
          <w:tcPr>
            <w:tcW w:w="5167" w:type="dxa"/>
          </w:tcPr>
          <w:p w14:paraId="3CA218AD" w14:textId="271C0333" w:rsidR="008E329C" w:rsidRPr="00FE42AF" w:rsidRDefault="008E329C" w:rsidP="008E329C">
            <w:pPr>
              <w:rPr>
                <w:rStyle w:val="Style2"/>
              </w:rPr>
            </w:pPr>
            <w:r w:rsidRPr="00FE42AF">
              <w:t>2023 m. birželio 26 d.</w:t>
            </w:r>
          </w:p>
        </w:tc>
      </w:tr>
      <w:tr w:rsidR="008E329C" w:rsidRPr="00FE42AF" w14:paraId="15968AE1" w14:textId="77777777" w:rsidTr="00BE7489">
        <w:trPr>
          <w:trHeight w:val="1500"/>
        </w:trPr>
        <w:tc>
          <w:tcPr>
            <w:tcW w:w="632" w:type="dxa"/>
          </w:tcPr>
          <w:p w14:paraId="6A784245" w14:textId="1E461489" w:rsidR="008E329C" w:rsidRPr="00FE42AF" w:rsidRDefault="008E329C" w:rsidP="008E329C">
            <w:pPr>
              <w:rPr>
                <w:rFonts w:eastAsia="Arial"/>
              </w:rPr>
            </w:pPr>
            <w:r w:rsidRPr="00FE42AF">
              <w:rPr>
                <w:rFonts w:eastAsia="Arial"/>
              </w:rPr>
              <w:t>1.3</w:t>
            </w:r>
          </w:p>
        </w:tc>
        <w:tc>
          <w:tcPr>
            <w:tcW w:w="3694" w:type="dxa"/>
          </w:tcPr>
          <w:p w14:paraId="22933506" w14:textId="77777777" w:rsidR="008E329C" w:rsidRPr="00FE42AF" w:rsidRDefault="008E329C" w:rsidP="008E329C">
            <w:r w:rsidRPr="00FE42AF">
              <w:t xml:space="preserve">Paraiškos tipas </w:t>
            </w:r>
          </w:p>
          <w:p w14:paraId="0465E680" w14:textId="7F0A0714" w:rsidR="008E329C" w:rsidRPr="00FE42AF" w:rsidRDefault="008E329C" w:rsidP="008E329C">
            <w:r w:rsidRPr="00FE42AF">
              <w:t xml:space="preserve">(pagal </w:t>
            </w:r>
            <w:r w:rsidRPr="00FE42AF">
              <w:rPr>
                <w:shd w:val="clear" w:color="auto" w:fill="FFFFFF"/>
              </w:rPr>
              <w:t>vaistinio preparato registracijos tipą, įtvirtintą</w:t>
            </w:r>
            <w:r w:rsidRPr="00FE42AF">
              <w:t xml:space="preserve"> Direktyvos 2001/83/EB </w:t>
            </w:r>
            <w:proofErr w:type="spellStart"/>
            <w:r w:rsidRPr="00FE42AF">
              <w:t>straipsiuose</w:t>
            </w:r>
            <w:proofErr w:type="spellEnd"/>
            <w:r w:rsidRPr="00FE42AF">
              <w:t>)</w:t>
            </w:r>
          </w:p>
          <w:p w14:paraId="77089D80" w14:textId="6681D72A" w:rsidR="008E329C" w:rsidRPr="00FE42AF" w:rsidRDefault="008E329C" w:rsidP="008E329C">
            <w:pPr>
              <w:rPr>
                <w:bCs/>
                <w:lang w:eastAsia="lt-LT"/>
              </w:rPr>
            </w:pPr>
          </w:p>
        </w:tc>
        <w:tc>
          <w:tcPr>
            <w:tcW w:w="5167" w:type="dxa"/>
          </w:tcPr>
          <w:p w14:paraId="18D59298" w14:textId="77777777" w:rsidR="008E329C" w:rsidRPr="00FE42AF" w:rsidRDefault="00830AF7" w:rsidP="008E329C">
            <w:sdt>
              <w:sdtPr>
                <w:rPr>
                  <w:rStyle w:val="Style2"/>
                </w:rPr>
                <w:id w:val="-366596377"/>
                <w15:color w:val="FFCC00"/>
                <w14:checkbox>
                  <w14:checked w14:val="1"/>
                  <w14:checkedState w14:val="2612" w14:font="MS Gothic"/>
                  <w14:uncheckedState w14:val="2610" w14:font="MS Gothic"/>
                </w14:checkbox>
              </w:sdtPr>
              <w:sdtEndPr>
                <w:rPr>
                  <w:rStyle w:val="Style2"/>
                </w:rPr>
              </w:sdtEndPr>
              <w:sdtContent>
                <w:r w:rsidR="008E329C" w:rsidRPr="00FE42AF">
                  <w:rPr>
                    <w:rStyle w:val="Style2"/>
                    <w:rFonts w:ascii="MS Gothic" w:eastAsia="MS Gothic" w:hAnsi="MS Gothic" w:hint="eastAsia"/>
                  </w:rPr>
                  <w:t>☒</w:t>
                </w:r>
              </w:sdtContent>
            </w:sdt>
            <w:r w:rsidR="008E329C" w:rsidRPr="00FE42AF">
              <w:t xml:space="preserve"> 8.3 str. (pilna byla, pagrįsta savais tyrimais) </w:t>
            </w:r>
          </w:p>
          <w:p w14:paraId="54659F11" w14:textId="77777777" w:rsidR="008E329C" w:rsidRPr="00FE42AF" w:rsidRDefault="00830AF7" w:rsidP="008E329C">
            <w:sdt>
              <w:sdtPr>
                <w:rPr>
                  <w:rStyle w:val="Style2"/>
                </w:rPr>
                <w:id w:val="675462298"/>
                <w15:color w:val="FFCC00"/>
                <w14:checkbox>
                  <w14:checked w14:val="0"/>
                  <w14:checkedState w14:val="2612" w14:font="MS Gothic"/>
                  <w14:uncheckedState w14:val="2610" w14:font="MS Gothic"/>
                </w14:checkbox>
              </w:sdtPr>
              <w:sdtEndPr>
                <w:rPr>
                  <w:rStyle w:val="Style2"/>
                </w:rPr>
              </w:sdtEndPr>
              <w:sdtContent>
                <w:r w:rsidR="008E329C" w:rsidRPr="00FE42AF">
                  <w:rPr>
                    <w:rStyle w:val="Style2"/>
                    <w:rFonts w:ascii="Segoe UI Symbol" w:eastAsia="MS Gothic" w:hAnsi="Segoe UI Symbol" w:cs="Segoe UI Symbol"/>
                  </w:rPr>
                  <w:t>☐</w:t>
                </w:r>
              </w:sdtContent>
            </w:sdt>
            <w:r w:rsidR="008E329C" w:rsidRPr="00FE42AF">
              <w:t xml:space="preserve"> 10 a str. (pripažintas medicininis vartojimas) </w:t>
            </w:r>
          </w:p>
          <w:p w14:paraId="599444D0" w14:textId="77777777" w:rsidR="008E329C" w:rsidRPr="00FE42AF" w:rsidRDefault="00830AF7" w:rsidP="008E329C">
            <w:sdt>
              <w:sdtPr>
                <w:rPr>
                  <w:rStyle w:val="Style2"/>
                </w:rPr>
                <w:id w:val="-1290435890"/>
                <w15:color w:val="FFCC00"/>
                <w14:checkbox>
                  <w14:checked w14:val="0"/>
                  <w14:checkedState w14:val="2612" w14:font="MS Gothic"/>
                  <w14:uncheckedState w14:val="2610" w14:font="MS Gothic"/>
                </w14:checkbox>
              </w:sdtPr>
              <w:sdtEndPr>
                <w:rPr>
                  <w:rStyle w:val="Style2"/>
                </w:rPr>
              </w:sdtEndPr>
              <w:sdtContent>
                <w:r w:rsidR="008E329C" w:rsidRPr="00FE42AF">
                  <w:rPr>
                    <w:rStyle w:val="Style2"/>
                    <w:rFonts w:ascii="MS Gothic" w:eastAsia="MS Gothic" w:hAnsi="MS Gothic" w:hint="eastAsia"/>
                  </w:rPr>
                  <w:t>☐</w:t>
                </w:r>
              </w:sdtContent>
            </w:sdt>
            <w:r w:rsidR="008E329C" w:rsidRPr="00FE42AF">
              <w:t xml:space="preserve"> 10.1 str. (</w:t>
            </w:r>
            <w:proofErr w:type="spellStart"/>
            <w:r w:rsidR="008E329C" w:rsidRPr="00FE42AF">
              <w:t>generinis</w:t>
            </w:r>
            <w:proofErr w:type="spellEnd"/>
            <w:r w:rsidR="008E329C" w:rsidRPr="00FE42AF">
              <w:t>)</w:t>
            </w:r>
          </w:p>
          <w:p w14:paraId="3B0A4F72" w14:textId="2820C026" w:rsidR="008E329C" w:rsidRPr="00FE42AF" w:rsidRDefault="00830AF7" w:rsidP="008E329C">
            <w:pPr>
              <w:rPr>
                <w:rStyle w:val="Style2"/>
                <w:sz w:val="24"/>
              </w:rPr>
            </w:pPr>
            <w:sdt>
              <w:sdtPr>
                <w:rPr>
                  <w:rStyle w:val="Style2"/>
                </w:rPr>
                <w:id w:val="-124545030"/>
                <w15:color w:val="FFCC00"/>
                <w14:checkbox>
                  <w14:checked w14:val="0"/>
                  <w14:checkedState w14:val="2612" w14:font="MS Gothic"/>
                  <w14:uncheckedState w14:val="2610" w14:font="MS Gothic"/>
                </w14:checkbox>
              </w:sdtPr>
              <w:sdtEndPr>
                <w:rPr>
                  <w:rStyle w:val="Style2"/>
                </w:rPr>
              </w:sdtEndPr>
              <w:sdtContent>
                <w:r w:rsidR="008E329C" w:rsidRPr="00FE42AF">
                  <w:rPr>
                    <w:rStyle w:val="Style2"/>
                    <w:rFonts w:ascii="Segoe UI Symbol" w:eastAsia="MS Gothic" w:hAnsi="Segoe UI Symbol" w:cs="Segoe UI Symbol"/>
                  </w:rPr>
                  <w:t>☐</w:t>
                </w:r>
              </w:sdtContent>
            </w:sdt>
            <w:r w:rsidR="008E329C" w:rsidRPr="00FE42AF">
              <w:t xml:space="preserve"> 10.3 str. (hibridinis)</w:t>
            </w:r>
          </w:p>
        </w:tc>
      </w:tr>
      <w:tr w:rsidR="008E329C" w:rsidRPr="00FE42AF" w14:paraId="310E9662" w14:textId="77777777" w:rsidTr="00BE7489">
        <w:trPr>
          <w:trHeight w:val="1442"/>
        </w:trPr>
        <w:tc>
          <w:tcPr>
            <w:tcW w:w="632" w:type="dxa"/>
          </w:tcPr>
          <w:p w14:paraId="4B5A91A2" w14:textId="561B5E5F" w:rsidR="008E329C" w:rsidRPr="00FE42AF" w:rsidRDefault="008E329C" w:rsidP="008E329C">
            <w:pPr>
              <w:rPr>
                <w:rFonts w:eastAsia="Arial"/>
              </w:rPr>
            </w:pPr>
            <w:r w:rsidRPr="00FE42AF">
              <w:rPr>
                <w:rFonts w:eastAsia="Arial"/>
              </w:rPr>
              <w:t>1.4</w:t>
            </w:r>
          </w:p>
        </w:tc>
        <w:tc>
          <w:tcPr>
            <w:tcW w:w="3694" w:type="dxa"/>
          </w:tcPr>
          <w:p w14:paraId="6C91E105" w14:textId="77777777" w:rsidR="008E329C" w:rsidRPr="00FE42AF" w:rsidRDefault="008E329C" w:rsidP="008E329C">
            <w:pPr>
              <w:rPr>
                <w:bCs/>
                <w:lang w:eastAsia="lt-LT"/>
              </w:rPr>
            </w:pPr>
            <w:r w:rsidRPr="00FE42AF">
              <w:rPr>
                <w:bCs/>
                <w:lang w:eastAsia="lt-LT"/>
              </w:rPr>
              <w:t xml:space="preserve">Ar vaistinis preparatas įrašytas į Bendrijos retųjų vaistinių preparatų registrą? </w:t>
            </w:r>
          </w:p>
          <w:p w14:paraId="33726F9C" w14:textId="77777777" w:rsidR="008E329C" w:rsidRPr="00FE42AF" w:rsidRDefault="008E329C" w:rsidP="008E329C">
            <w:pPr>
              <w:rPr>
                <w:bCs/>
                <w:i/>
                <w:lang w:eastAsia="lt-LT"/>
              </w:rPr>
            </w:pPr>
          </w:p>
          <w:p w14:paraId="483071A3" w14:textId="0F633FFC" w:rsidR="008E329C" w:rsidRPr="00FE42AF" w:rsidRDefault="008E329C" w:rsidP="008E329C">
            <w:pPr>
              <w:rPr>
                <w:bCs/>
                <w:lang w:eastAsia="lt-LT"/>
              </w:rPr>
            </w:pPr>
            <w:r w:rsidRPr="00FE42AF">
              <w:rPr>
                <w:bCs/>
                <w:i/>
                <w:sz w:val="20"/>
                <w:lang w:eastAsia="lt-LT"/>
              </w:rPr>
              <w:t>Jei taip, nurodykite įrašymo datą ir numerį</w:t>
            </w:r>
          </w:p>
        </w:tc>
        <w:tc>
          <w:tcPr>
            <w:tcW w:w="5167" w:type="dxa"/>
          </w:tcPr>
          <w:p w14:paraId="1C0163E8" w14:textId="77777777" w:rsidR="008E329C" w:rsidRPr="00FE42AF" w:rsidRDefault="00830AF7" w:rsidP="008E329C">
            <w:sdt>
              <w:sdtPr>
                <w:rPr>
                  <w:rStyle w:val="Style2"/>
                </w:rPr>
                <w:id w:val="2024432173"/>
                <w15:color w:val="FFCC00"/>
                <w14:checkbox>
                  <w14:checked w14:val="0"/>
                  <w14:checkedState w14:val="2612" w14:font="MS Gothic"/>
                  <w14:uncheckedState w14:val="2610" w14:font="MS Gothic"/>
                </w14:checkbox>
              </w:sdtPr>
              <w:sdtEndPr>
                <w:rPr>
                  <w:rStyle w:val="Style2"/>
                </w:rPr>
              </w:sdtEndPr>
              <w:sdtContent>
                <w:r w:rsidR="008E329C" w:rsidRPr="00FE42AF">
                  <w:rPr>
                    <w:rStyle w:val="Style2"/>
                    <w:rFonts w:ascii="Segoe UI Symbol" w:eastAsia="MS Gothic" w:hAnsi="Segoe UI Symbol" w:cs="Segoe UI Symbol"/>
                  </w:rPr>
                  <w:t>☐</w:t>
                </w:r>
              </w:sdtContent>
            </w:sdt>
            <w:r w:rsidR="008E329C" w:rsidRPr="00FE42AF">
              <w:t xml:space="preserve"> Taip</w:t>
            </w:r>
          </w:p>
          <w:p w14:paraId="7C6284DC" w14:textId="77777777" w:rsidR="008E329C" w:rsidRPr="00FE42AF" w:rsidRDefault="00830AF7" w:rsidP="008E329C">
            <w:sdt>
              <w:sdtPr>
                <w:rPr>
                  <w:rStyle w:val="Style2"/>
                </w:rPr>
                <w:id w:val="-970507926"/>
                <w15:color w:val="FFCC00"/>
                <w14:checkbox>
                  <w14:checked w14:val="1"/>
                  <w14:checkedState w14:val="2612" w14:font="MS Gothic"/>
                  <w14:uncheckedState w14:val="2610" w14:font="MS Gothic"/>
                </w14:checkbox>
              </w:sdtPr>
              <w:sdtEndPr>
                <w:rPr>
                  <w:rStyle w:val="Style2"/>
                </w:rPr>
              </w:sdtEndPr>
              <w:sdtContent>
                <w:r w:rsidR="008E329C" w:rsidRPr="00FE42AF">
                  <w:rPr>
                    <w:rStyle w:val="Style2"/>
                    <w:rFonts w:ascii="MS Gothic" w:eastAsia="MS Gothic" w:hAnsi="MS Gothic" w:hint="eastAsia"/>
                  </w:rPr>
                  <w:t>☒</w:t>
                </w:r>
              </w:sdtContent>
            </w:sdt>
            <w:r w:rsidR="008E329C" w:rsidRPr="00FE42AF">
              <w:t xml:space="preserve"> Ne</w:t>
            </w:r>
          </w:p>
          <w:p w14:paraId="29C2CBBB" w14:textId="6A8FD3FF" w:rsidR="008E329C" w:rsidRPr="00FE42AF" w:rsidRDefault="00830AF7" w:rsidP="008E329C">
            <w:pPr>
              <w:rPr>
                <w:rFonts w:eastAsia="Arial"/>
              </w:rPr>
            </w:pPr>
            <w:sdt>
              <w:sdtPr>
                <w:alias w:val="Nurodykite konkrečią dieną"/>
                <w:tag w:val="Nurodykite pradžios datą"/>
                <w:id w:val="693498901"/>
                <w:placeholder>
                  <w:docPart w:val="68C40E6C1D394B76AE242DE22317CAE9"/>
                </w:placeholder>
                <w:showingPlcHdr/>
                <w15:color w:val="FFCC99"/>
                <w:date w:fullDate="2022-05-18T00:00:00Z">
                  <w:dateFormat w:val="yyyy 'm.' MMMM d 'd.'"/>
                  <w:lid w:val="lt-LT"/>
                  <w:storeMappedDataAs w:val="dateTime"/>
                  <w:calendar w:val="gregorian"/>
                </w:date>
              </w:sdtPr>
              <w:sdtEndPr/>
              <w:sdtContent>
                <w:r w:rsidR="008E329C" w:rsidRPr="00FE42AF">
                  <w:rPr>
                    <w:rStyle w:val="PlaceholderText"/>
                  </w:rPr>
                  <w:t>Click here to enter a date.</w:t>
                </w:r>
              </w:sdtContent>
            </w:sdt>
          </w:p>
        </w:tc>
      </w:tr>
      <w:tr w:rsidR="000203E1" w:rsidRPr="00FE42AF" w14:paraId="7841E5F8" w14:textId="77777777" w:rsidTr="00BE7489">
        <w:trPr>
          <w:trHeight w:val="476"/>
        </w:trPr>
        <w:tc>
          <w:tcPr>
            <w:tcW w:w="632" w:type="dxa"/>
          </w:tcPr>
          <w:p w14:paraId="109D2861" w14:textId="73BF27DF" w:rsidR="00D417D2" w:rsidRPr="00FE42AF" w:rsidRDefault="00D417D2" w:rsidP="00824B92">
            <w:pPr>
              <w:rPr>
                <w:rFonts w:eastAsia="Arial"/>
              </w:rPr>
            </w:pPr>
            <w:r w:rsidRPr="00FE42AF">
              <w:rPr>
                <w:rFonts w:eastAsia="Arial"/>
              </w:rPr>
              <w:t>1.5</w:t>
            </w:r>
          </w:p>
        </w:tc>
        <w:tc>
          <w:tcPr>
            <w:tcW w:w="3694" w:type="dxa"/>
          </w:tcPr>
          <w:p w14:paraId="7822D63E" w14:textId="68C38334" w:rsidR="00D417D2" w:rsidRPr="00FE42AF" w:rsidRDefault="00D417D2" w:rsidP="00824B92">
            <w:pPr>
              <w:rPr>
                <w:bCs/>
                <w:lang w:eastAsia="lt-LT"/>
              </w:rPr>
            </w:pPr>
            <w:r w:rsidRPr="00FE42AF">
              <w:t>STV paraiškos pobūdis</w:t>
            </w:r>
          </w:p>
        </w:tc>
        <w:tc>
          <w:tcPr>
            <w:tcW w:w="5167" w:type="dxa"/>
          </w:tcPr>
          <w:p w14:paraId="403461B9" w14:textId="671ADAEE" w:rsidR="00D417D2" w:rsidRPr="00FE42AF" w:rsidRDefault="00830AF7" w:rsidP="00824B92">
            <w:sdt>
              <w:sdtPr>
                <w:rPr>
                  <w:rStyle w:val="Style2"/>
                  <w:sz w:val="24"/>
                </w:rPr>
                <w:id w:val="-468433535"/>
                <w15:color w:val="FFCC00"/>
                <w14:checkbox>
                  <w14:checked w14:val="1"/>
                  <w14:checkedState w14:val="2612" w14:font="MS Gothic"/>
                  <w14:uncheckedState w14:val="2610" w14:font="MS Gothic"/>
                </w14:checkbox>
              </w:sdtPr>
              <w:sdtEndPr>
                <w:rPr>
                  <w:rStyle w:val="Style2"/>
                </w:rPr>
              </w:sdtEndPr>
              <w:sdtContent>
                <w:r w:rsidR="00016F32" w:rsidRPr="00FE42AF">
                  <w:rPr>
                    <w:rStyle w:val="Style2"/>
                    <w:rFonts w:ascii="MS Gothic" w:eastAsia="MS Gothic" w:hAnsi="MS Gothic" w:hint="eastAsia"/>
                    <w:sz w:val="24"/>
                  </w:rPr>
                  <w:t>☒</w:t>
                </w:r>
              </w:sdtContent>
            </w:sdt>
            <w:r w:rsidR="00D417D2" w:rsidRPr="00FE42AF">
              <w:t xml:space="preserve"> Pilna paraiška</w:t>
            </w:r>
          </w:p>
          <w:p w14:paraId="6B8213E3" w14:textId="3495CDF4" w:rsidR="00D417D2" w:rsidRPr="00FE42AF" w:rsidRDefault="00830AF7" w:rsidP="00824B92">
            <w:sdt>
              <w:sdtPr>
                <w:rPr>
                  <w:rStyle w:val="Style2"/>
                  <w:sz w:val="24"/>
                </w:rPr>
                <w:id w:val="-1489014904"/>
                <w15:color w:val="FFCC00"/>
                <w14:checkbox>
                  <w14:checked w14:val="0"/>
                  <w14:checkedState w14:val="2612" w14:font="MS Gothic"/>
                  <w14:uncheckedState w14:val="2610" w14:font="MS Gothic"/>
                </w14:checkbox>
              </w:sdtPr>
              <w:sdtEndPr>
                <w:rPr>
                  <w:rStyle w:val="Style2"/>
                </w:rPr>
              </w:sdtEndPr>
              <w:sdtContent>
                <w:r w:rsidR="00D417D2" w:rsidRPr="00FE42AF">
                  <w:rPr>
                    <w:rStyle w:val="Style2"/>
                    <w:rFonts w:ascii="MS Gothic" w:eastAsia="MS Gothic" w:hAnsi="MS Gothic" w:hint="eastAsia"/>
                    <w:sz w:val="24"/>
                  </w:rPr>
                  <w:t>☐</w:t>
                </w:r>
              </w:sdtContent>
            </w:sdt>
            <w:r w:rsidR="00D417D2" w:rsidRPr="00FE42AF">
              <w:t xml:space="preserve"> Supaprastinta paraiška</w:t>
            </w:r>
          </w:p>
        </w:tc>
      </w:tr>
      <w:tr w:rsidR="008E329C" w:rsidRPr="00FE42AF" w14:paraId="274D1DAF" w14:textId="77777777" w:rsidTr="00BE7489">
        <w:trPr>
          <w:trHeight w:val="1922"/>
        </w:trPr>
        <w:tc>
          <w:tcPr>
            <w:tcW w:w="632" w:type="dxa"/>
          </w:tcPr>
          <w:p w14:paraId="17ABF217" w14:textId="14AC00D7" w:rsidR="008E329C" w:rsidRPr="00FE42AF" w:rsidRDefault="008E329C" w:rsidP="008E329C">
            <w:pPr>
              <w:rPr>
                <w:rFonts w:eastAsia="Arial"/>
              </w:rPr>
            </w:pPr>
            <w:r w:rsidRPr="00FE42AF">
              <w:rPr>
                <w:rFonts w:eastAsia="Arial"/>
              </w:rPr>
              <w:t>1.6</w:t>
            </w:r>
          </w:p>
        </w:tc>
        <w:tc>
          <w:tcPr>
            <w:tcW w:w="3694" w:type="dxa"/>
          </w:tcPr>
          <w:p w14:paraId="4D49DBF5" w14:textId="77777777" w:rsidR="008E329C" w:rsidRPr="00FE42AF" w:rsidRDefault="008E329C" w:rsidP="008E329C">
            <w:pPr>
              <w:rPr>
                <w:bCs/>
                <w:lang w:eastAsia="lt-LT"/>
              </w:rPr>
            </w:pPr>
            <w:r w:rsidRPr="00FE42AF">
              <w:rPr>
                <w:bCs/>
                <w:lang w:eastAsia="lt-LT"/>
              </w:rPr>
              <w:t>Pareiškėjo teikiama (-</w:t>
            </w:r>
            <w:proofErr w:type="spellStart"/>
            <w:r w:rsidRPr="00FE42AF">
              <w:rPr>
                <w:bCs/>
                <w:lang w:eastAsia="lt-LT"/>
              </w:rPr>
              <w:t>os</w:t>
            </w:r>
            <w:proofErr w:type="spellEnd"/>
            <w:r w:rsidRPr="00FE42AF">
              <w:rPr>
                <w:bCs/>
                <w:lang w:eastAsia="lt-LT"/>
              </w:rPr>
              <w:t>) kompensuoti vaistinio preparato indikacija (-</w:t>
            </w:r>
            <w:proofErr w:type="spellStart"/>
            <w:r w:rsidRPr="00FE42AF">
              <w:rPr>
                <w:bCs/>
                <w:lang w:eastAsia="lt-LT"/>
              </w:rPr>
              <w:t>os</w:t>
            </w:r>
            <w:proofErr w:type="spellEnd"/>
            <w:r w:rsidRPr="00FE42AF">
              <w:rPr>
                <w:bCs/>
                <w:lang w:eastAsia="lt-LT"/>
              </w:rPr>
              <w:t>)</w:t>
            </w:r>
          </w:p>
          <w:p w14:paraId="6B4FEEC1" w14:textId="6A619694" w:rsidR="008E329C" w:rsidRPr="00FE42AF" w:rsidRDefault="008E329C" w:rsidP="008E329C">
            <w:pPr>
              <w:rPr>
                <w:bCs/>
                <w:lang w:eastAsia="lt-LT"/>
              </w:rPr>
            </w:pPr>
            <w:r w:rsidRPr="00FE42AF">
              <w:rPr>
                <w:bCs/>
                <w:lang w:eastAsia="lt-LT"/>
              </w:rPr>
              <w:t>Kodas pagal TLK-10 AM</w:t>
            </w:r>
          </w:p>
        </w:tc>
        <w:tc>
          <w:tcPr>
            <w:tcW w:w="5167" w:type="dxa"/>
          </w:tcPr>
          <w:p w14:paraId="09BA53CB" w14:textId="77777777" w:rsidR="008E329C" w:rsidRPr="00FE42AF" w:rsidRDefault="008E329C" w:rsidP="008E329C">
            <w:pPr>
              <w:spacing w:after="120"/>
              <w:rPr>
                <w:bCs/>
              </w:rPr>
            </w:pPr>
            <w:proofErr w:type="spellStart"/>
            <w:r w:rsidRPr="00FE42AF">
              <w:rPr>
                <w:bCs/>
              </w:rPr>
              <w:t>Hipertrofinė</w:t>
            </w:r>
            <w:proofErr w:type="spellEnd"/>
            <w:r w:rsidRPr="00FE42AF">
              <w:rPr>
                <w:bCs/>
              </w:rPr>
              <w:t xml:space="preserve"> obstrukcinė kardiomiopatija (HOKMP).</w:t>
            </w:r>
          </w:p>
          <w:p w14:paraId="13F7DFB0" w14:textId="4C2D4300" w:rsidR="008E329C" w:rsidRPr="00FE42AF" w:rsidRDefault="008E329C" w:rsidP="008E329C">
            <w:pPr>
              <w:pStyle w:val="ListParagraph"/>
              <w:spacing w:after="120" w:line="276" w:lineRule="auto"/>
              <w:ind w:left="0"/>
              <w:jc w:val="both"/>
            </w:pPr>
            <w:r w:rsidRPr="00FE42AF">
              <w:rPr>
                <w:bCs/>
              </w:rPr>
              <w:t>TLK-10-AM kodas: I42.1</w:t>
            </w:r>
          </w:p>
        </w:tc>
      </w:tr>
      <w:tr w:rsidR="008E329C" w:rsidRPr="00FE42AF" w14:paraId="2F79DC08" w14:textId="77777777" w:rsidTr="00BE7489">
        <w:trPr>
          <w:trHeight w:val="378"/>
        </w:trPr>
        <w:tc>
          <w:tcPr>
            <w:tcW w:w="632" w:type="dxa"/>
          </w:tcPr>
          <w:p w14:paraId="547885A2" w14:textId="2EE70237" w:rsidR="008E329C" w:rsidRPr="00FE42AF" w:rsidRDefault="008E329C" w:rsidP="008E329C">
            <w:pPr>
              <w:rPr>
                <w:rFonts w:eastAsia="Arial"/>
              </w:rPr>
            </w:pPr>
            <w:r w:rsidRPr="00FE42AF">
              <w:rPr>
                <w:rFonts w:eastAsia="Arial"/>
              </w:rPr>
              <w:t>1.7</w:t>
            </w:r>
          </w:p>
        </w:tc>
        <w:tc>
          <w:tcPr>
            <w:tcW w:w="3694" w:type="dxa"/>
          </w:tcPr>
          <w:p w14:paraId="2EAB877F" w14:textId="39A36941" w:rsidR="008E329C" w:rsidRPr="00FE42AF" w:rsidRDefault="008E329C" w:rsidP="008E329C">
            <w:pPr>
              <w:rPr>
                <w:bCs/>
                <w:u w:val="single"/>
                <w:lang w:eastAsia="lt-LT"/>
              </w:rPr>
            </w:pPr>
            <w:r w:rsidRPr="00FE42AF">
              <w:rPr>
                <w:bCs/>
                <w:lang w:eastAsia="lt-LT"/>
              </w:rPr>
              <w:t xml:space="preserve">Pareiškėjo teikiamos skyrimo sąlygos </w:t>
            </w:r>
          </w:p>
        </w:tc>
        <w:tc>
          <w:tcPr>
            <w:tcW w:w="5167" w:type="dxa"/>
          </w:tcPr>
          <w:p w14:paraId="0579DF58" w14:textId="0DEBFB55" w:rsidR="008E329C" w:rsidRPr="00FE42AF" w:rsidRDefault="008E329C" w:rsidP="008E329C">
            <w:r w:rsidRPr="00FE42AF">
              <w:t xml:space="preserve">Suaugusių pacientų simptominės </w:t>
            </w:r>
            <w:proofErr w:type="spellStart"/>
            <w:r w:rsidRPr="00FE42AF">
              <w:t>hipertrofinės</w:t>
            </w:r>
            <w:proofErr w:type="spellEnd"/>
            <w:r w:rsidRPr="00FE42AF">
              <w:t xml:space="preserve"> obstrukcinės kardiomiopatijos (HOKMP) (II-III </w:t>
            </w:r>
            <w:r w:rsidRPr="00FE42AF">
              <w:lastRenderedPageBreak/>
              <w:t xml:space="preserve">klasės pagal Niujorko širdies asociacijos, angl. </w:t>
            </w:r>
            <w:proofErr w:type="spellStart"/>
            <w:r w:rsidRPr="00FE42AF">
              <w:t>New</w:t>
            </w:r>
            <w:proofErr w:type="spellEnd"/>
            <w:r w:rsidRPr="00FE42AF">
              <w:t xml:space="preserve"> York </w:t>
            </w:r>
            <w:proofErr w:type="spellStart"/>
            <w:r w:rsidRPr="00FE42AF">
              <w:t>Heart</w:t>
            </w:r>
            <w:proofErr w:type="spellEnd"/>
            <w:r w:rsidRPr="00FE42AF">
              <w:t xml:space="preserve"> </w:t>
            </w:r>
            <w:proofErr w:type="spellStart"/>
            <w:r w:rsidRPr="00FE42AF">
              <w:t>Association</w:t>
            </w:r>
            <w:proofErr w:type="spellEnd"/>
            <w:r w:rsidRPr="00FE42AF">
              <w:t>, NYHA, klasifikaciją) gydymui.</w:t>
            </w:r>
          </w:p>
        </w:tc>
      </w:tr>
      <w:tr w:rsidR="00B13D65" w:rsidRPr="00FE42AF" w14:paraId="3B125269" w14:textId="77777777" w:rsidTr="00BE7489">
        <w:trPr>
          <w:trHeight w:val="378"/>
        </w:trPr>
        <w:tc>
          <w:tcPr>
            <w:tcW w:w="632" w:type="dxa"/>
          </w:tcPr>
          <w:p w14:paraId="0058E11F" w14:textId="3C0D7626" w:rsidR="00B13D65" w:rsidRPr="00FE42AF" w:rsidRDefault="00B13D65" w:rsidP="00164D64">
            <w:pPr>
              <w:rPr>
                <w:rFonts w:eastAsia="Arial"/>
              </w:rPr>
            </w:pPr>
            <w:r w:rsidRPr="00FE42AF">
              <w:rPr>
                <w:rFonts w:eastAsia="Arial"/>
              </w:rPr>
              <w:lastRenderedPageBreak/>
              <w:t>1.</w:t>
            </w:r>
            <w:r w:rsidR="00164D64" w:rsidRPr="00FE42AF">
              <w:rPr>
                <w:rFonts w:eastAsia="Arial"/>
              </w:rPr>
              <w:t>8</w:t>
            </w:r>
          </w:p>
        </w:tc>
        <w:tc>
          <w:tcPr>
            <w:tcW w:w="3694" w:type="dxa"/>
          </w:tcPr>
          <w:p w14:paraId="738E1926" w14:textId="77777777" w:rsidR="00B13D65" w:rsidRPr="00FE42AF" w:rsidRDefault="007656B2" w:rsidP="00824B92">
            <w:pPr>
              <w:rPr>
                <w:bCs/>
                <w:lang w:eastAsia="lt-LT"/>
              </w:rPr>
            </w:pPr>
            <w:r w:rsidRPr="00FE42AF">
              <w:rPr>
                <w:bCs/>
                <w:lang w:eastAsia="lt-LT"/>
              </w:rPr>
              <w:t>Pareiškėjo teikiamas p</w:t>
            </w:r>
            <w:r w:rsidR="00B13D65" w:rsidRPr="00FE42AF">
              <w:rPr>
                <w:bCs/>
                <w:lang w:eastAsia="lt-LT"/>
              </w:rPr>
              <w:t>alyginamasis</w:t>
            </w:r>
            <w:r w:rsidR="005B3756" w:rsidRPr="00FE42AF">
              <w:rPr>
                <w:bCs/>
                <w:lang w:eastAsia="lt-LT"/>
              </w:rPr>
              <w:t xml:space="preserve"> </w:t>
            </w:r>
            <w:r w:rsidR="00B13D65" w:rsidRPr="00FE42AF">
              <w:rPr>
                <w:bCs/>
                <w:lang w:eastAsia="lt-LT"/>
              </w:rPr>
              <w:t xml:space="preserve">gydymas </w:t>
            </w:r>
          </w:p>
          <w:p w14:paraId="61EC5BBD" w14:textId="7A8BD8B4" w:rsidR="009F4D66" w:rsidRPr="00FE42AF" w:rsidRDefault="009F4D66" w:rsidP="00824B92">
            <w:pPr>
              <w:rPr>
                <w:bCs/>
                <w:lang w:eastAsia="lt-LT"/>
              </w:rPr>
            </w:pPr>
          </w:p>
          <w:p w14:paraId="62057D94" w14:textId="77777777" w:rsidR="00413F24" w:rsidRPr="00FE42AF" w:rsidRDefault="00413F24" w:rsidP="00824B92">
            <w:pPr>
              <w:rPr>
                <w:bCs/>
                <w:lang w:eastAsia="lt-LT"/>
              </w:rPr>
            </w:pPr>
          </w:p>
          <w:p w14:paraId="6CC1022E" w14:textId="2B6BCEE1" w:rsidR="009F4D66" w:rsidRPr="00FE42AF" w:rsidRDefault="009F4D66" w:rsidP="00824B92">
            <w:pPr>
              <w:rPr>
                <w:bCs/>
                <w:lang w:eastAsia="lt-LT"/>
              </w:rPr>
            </w:pPr>
          </w:p>
        </w:tc>
        <w:tc>
          <w:tcPr>
            <w:tcW w:w="5167" w:type="dxa"/>
          </w:tcPr>
          <w:p w14:paraId="1F113AC0" w14:textId="6319257A" w:rsidR="009F4D66" w:rsidRPr="00FE42AF" w:rsidRDefault="00830AF7" w:rsidP="00824B92">
            <w:sdt>
              <w:sdtPr>
                <w:rPr>
                  <w:rStyle w:val="Style2"/>
                  <w:sz w:val="24"/>
                </w:rPr>
                <w:id w:val="1480955706"/>
                <w15:color w:val="FFCC00"/>
                <w14:checkbox>
                  <w14:checked w14:val="1"/>
                  <w14:checkedState w14:val="2612" w14:font="MS Gothic"/>
                  <w14:uncheckedState w14:val="2610" w14:font="MS Gothic"/>
                </w14:checkbox>
              </w:sdtPr>
              <w:sdtEndPr>
                <w:rPr>
                  <w:rStyle w:val="Style2"/>
                </w:rPr>
              </w:sdtEndPr>
              <w:sdtContent>
                <w:r w:rsidR="00BC22A0" w:rsidRPr="00FE42AF">
                  <w:rPr>
                    <w:rStyle w:val="Style2"/>
                    <w:rFonts w:ascii="MS Gothic" w:eastAsia="MS Gothic" w:hAnsi="MS Gothic" w:hint="eastAsia"/>
                    <w:sz w:val="24"/>
                  </w:rPr>
                  <w:t>☒</w:t>
                </w:r>
              </w:sdtContent>
            </w:sdt>
            <w:r w:rsidR="009F4D66" w:rsidRPr="00FE42AF">
              <w:t xml:space="preserve"> Tinkamas</w:t>
            </w:r>
            <w:r w:rsidR="00BC22A0" w:rsidRPr="00FE42AF">
              <w:t xml:space="preserve"> (</w:t>
            </w:r>
            <w:r w:rsidR="008E329C" w:rsidRPr="00FE42AF">
              <w:t>BAB/</w:t>
            </w:r>
            <w:proofErr w:type="spellStart"/>
            <w:r w:rsidR="008E329C" w:rsidRPr="00FE42AF">
              <w:t>KKB+placebo</w:t>
            </w:r>
            <w:proofErr w:type="spellEnd"/>
            <w:r w:rsidR="00BC22A0" w:rsidRPr="00FE42AF">
              <w:t>)</w:t>
            </w:r>
          </w:p>
          <w:p w14:paraId="41B44044" w14:textId="1634A51D" w:rsidR="00B13D65" w:rsidRPr="00FE42AF" w:rsidRDefault="00830AF7" w:rsidP="00824B92">
            <w:sdt>
              <w:sdtPr>
                <w:rPr>
                  <w:rStyle w:val="Style2"/>
                  <w:sz w:val="24"/>
                </w:rPr>
                <w:id w:val="-352420698"/>
                <w15:color w:val="FFCC00"/>
                <w14:checkbox>
                  <w14:checked w14:val="0"/>
                  <w14:checkedState w14:val="2612" w14:font="MS Gothic"/>
                  <w14:uncheckedState w14:val="2610" w14:font="MS Gothic"/>
                </w14:checkbox>
              </w:sdtPr>
              <w:sdtEndPr>
                <w:rPr>
                  <w:rStyle w:val="Style2"/>
                </w:rPr>
              </w:sdtEndPr>
              <w:sdtContent>
                <w:r w:rsidR="00BC22A0" w:rsidRPr="00FE42AF">
                  <w:rPr>
                    <w:rStyle w:val="Style2"/>
                    <w:rFonts w:ascii="MS Gothic" w:eastAsia="MS Gothic" w:hAnsi="MS Gothic" w:hint="eastAsia"/>
                    <w:sz w:val="24"/>
                  </w:rPr>
                  <w:t>☐</w:t>
                </w:r>
              </w:sdtContent>
            </w:sdt>
            <w:r w:rsidR="009F4D66" w:rsidRPr="00FE42AF">
              <w:t xml:space="preserve"> Netinkama</w:t>
            </w:r>
            <w:r w:rsidR="00016F32" w:rsidRPr="00FE42AF">
              <w:t>s</w:t>
            </w:r>
          </w:p>
        </w:tc>
      </w:tr>
    </w:tbl>
    <w:p w14:paraId="108176F7" w14:textId="640C6F75" w:rsidR="00F70C9E" w:rsidRPr="00FE42AF" w:rsidRDefault="00F70C9E" w:rsidP="00E03C3F">
      <w:pPr>
        <w:pStyle w:val="ListParagraph"/>
        <w:tabs>
          <w:tab w:val="left" w:pos="426"/>
        </w:tabs>
        <w:ind w:left="0"/>
        <w:rPr>
          <w:b/>
          <w:bCs/>
          <w:caps/>
        </w:rPr>
      </w:pPr>
    </w:p>
    <w:p w14:paraId="2871CA7F" w14:textId="3B173597" w:rsidR="00F70C9E" w:rsidRPr="00FE42AF" w:rsidRDefault="00F70C9E" w:rsidP="00880A44">
      <w:pPr>
        <w:spacing w:line="276" w:lineRule="auto"/>
        <w:jc w:val="both"/>
        <w:rPr>
          <w:rFonts w:eastAsia="Arial"/>
          <w:b/>
        </w:rPr>
      </w:pPr>
      <w:r w:rsidRPr="00FE42AF">
        <w:rPr>
          <w:rFonts w:eastAsia="Arial"/>
          <w:b/>
        </w:rPr>
        <w:t>1.</w:t>
      </w:r>
      <w:r w:rsidR="00164D64" w:rsidRPr="00FE42AF">
        <w:rPr>
          <w:rFonts w:eastAsia="Arial"/>
          <w:b/>
        </w:rPr>
        <w:t>9</w:t>
      </w:r>
      <w:r w:rsidRPr="00FE42AF">
        <w:rPr>
          <w:rFonts w:eastAsia="Arial"/>
          <w:b/>
        </w:rPr>
        <w:t xml:space="preserve"> Kitų </w:t>
      </w:r>
      <w:r w:rsidR="00DF583C" w:rsidRPr="00FE42AF">
        <w:rPr>
          <w:rFonts w:eastAsia="Arial"/>
          <w:b/>
        </w:rPr>
        <w:t xml:space="preserve">valstybių </w:t>
      </w:r>
      <w:r w:rsidRPr="00FE42AF">
        <w:rPr>
          <w:rFonts w:eastAsia="Arial"/>
          <w:b/>
        </w:rPr>
        <w:t xml:space="preserve">atsakingų institucijų atlikto </w:t>
      </w:r>
      <w:r w:rsidR="00DF583C" w:rsidRPr="00FE42AF">
        <w:rPr>
          <w:rFonts w:eastAsia="Arial"/>
          <w:b/>
        </w:rPr>
        <w:t>Sveikatos technologijų vertinimo (toliau – STV)</w:t>
      </w:r>
      <w:r w:rsidRPr="00FE42AF">
        <w:rPr>
          <w:rFonts w:eastAsia="Arial"/>
          <w:b/>
        </w:rPr>
        <w:t xml:space="preserve"> išvados</w:t>
      </w:r>
    </w:p>
    <w:p w14:paraId="30721FDD" w14:textId="77777777" w:rsidR="00F70C9E" w:rsidRPr="00FE42AF" w:rsidRDefault="00F70C9E" w:rsidP="00F70C9E">
      <w:pPr>
        <w:spacing w:line="276" w:lineRule="auto"/>
        <w:rPr>
          <w:rFonts w:eastAsia="Arial"/>
        </w:rPr>
      </w:pPr>
    </w:p>
    <w:tbl>
      <w:tblPr>
        <w:tblStyle w:val="TableGrid"/>
        <w:tblW w:w="10060" w:type="dxa"/>
        <w:tblInd w:w="-781" w:type="dxa"/>
        <w:tblLook w:val="04A0" w:firstRow="1" w:lastRow="0" w:firstColumn="1" w:lastColumn="0" w:noHBand="0" w:noVBand="1"/>
      </w:tblPr>
      <w:tblGrid>
        <w:gridCol w:w="2804"/>
        <w:gridCol w:w="2153"/>
        <w:gridCol w:w="2551"/>
        <w:gridCol w:w="2552"/>
      </w:tblGrid>
      <w:tr w:rsidR="008E329C" w:rsidRPr="00FE42AF" w14:paraId="67907FD1" w14:textId="77777777" w:rsidTr="00BC22A0">
        <w:trPr>
          <w:trHeight w:val="924"/>
        </w:trPr>
        <w:tc>
          <w:tcPr>
            <w:tcW w:w="2804" w:type="dxa"/>
            <w:tcBorders>
              <w:top w:val="single" w:sz="4" w:space="0" w:color="auto"/>
              <w:left w:val="single" w:sz="4" w:space="0" w:color="auto"/>
              <w:bottom w:val="single" w:sz="4" w:space="0" w:color="auto"/>
              <w:right w:val="single" w:sz="4" w:space="0" w:color="auto"/>
            </w:tcBorders>
            <w:hideMark/>
          </w:tcPr>
          <w:p w14:paraId="5E9BCE85" w14:textId="268290EC" w:rsidR="008E329C" w:rsidRPr="00FE42AF" w:rsidRDefault="008E329C" w:rsidP="008E329C">
            <w:pPr>
              <w:spacing w:line="276" w:lineRule="auto"/>
              <w:rPr>
                <w:rFonts w:eastAsia="Arial"/>
              </w:rPr>
            </w:pPr>
            <w:r w:rsidRPr="00FE42AF">
              <w:rPr>
                <w:rFonts w:eastAsia="Arial"/>
              </w:rPr>
              <w:t>STV agentūros pavadinimas, šalis</w:t>
            </w:r>
          </w:p>
        </w:tc>
        <w:tc>
          <w:tcPr>
            <w:tcW w:w="2153" w:type="dxa"/>
            <w:tcBorders>
              <w:top w:val="single" w:sz="4" w:space="0" w:color="auto"/>
              <w:left w:val="single" w:sz="4" w:space="0" w:color="auto"/>
              <w:bottom w:val="single" w:sz="4" w:space="0" w:color="auto"/>
              <w:right w:val="single" w:sz="4" w:space="0" w:color="auto"/>
            </w:tcBorders>
            <w:hideMark/>
          </w:tcPr>
          <w:p w14:paraId="1A4EB4DC" w14:textId="349E3B56" w:rsidR="008E329C" w:rsidRPr="00FE42AF" w:rsidRDefault="008E329C" w:rsidP="008E329C">
            <w:pPr>
              <w:spacing w:line="276" w:lineRule="auto"/>
              <w:rPr>
                <w:rFonts w:eastAsia="Arial"/>
              </w:rPr>
            </w:pPr>
            <w:r w:rsidRPr="00FE42AF">
              <w:rPr>
                <w:rFonts w:eastAsia="Arial"/>
              </w:rPr>
              <w:t>STV vertinimas atliktas</w:t>
            </w:r>
          </w:p>
        </w:tc>
        <w:tc>
          <w:tcPr>
            <w:tcW w:w="2551" w:type="dxa"/>
            <w:tcBorders>
              <w:top w:val="single" w:sz="4" w:space="0" w:color="auto"/>
              <w:left w:val="single" w:sz="4" w:space="0" w:color="auto"/>
              <w:bottom w:val="single" w:sz="4" w:space="0" w:color="auto"/>
              <w:right w:val="single" w:sz="4" w:space="0" w:color="auto"/>
            </w:tcBorders>
            <w:hideMark/>
          </w:tcPr>
          <w:p w14:paraId="587D2F04" w14:textId="6C14F55E" w:rsidR="008E329C" w:rsidRPr="00FE42AF" w:rsidRDefault="008E329C" w:rsidP="008E329C">
            <w:pPr>
              <w:spacing w:line="276" w:lineRule="auto"/>
              <w:rPr>
                <w:rFonts w:eastAsia="Arial"/>
              </w:rPr>
            </w:pPr>
            <w:r w:rsidRPr="00FE42AF">
              <w:rPr>
                <w:rFonts w:eastAsia="Arial"/>
              </w:rPr>
              <w:t>Klinikinio vertinimo išvada</w:t>
            </w:r>
          </w:p>
        </w:tc>
        <w:tc>
          <w:tcPr>
            <w:tcW w:w="2552" w:type="dxa"/>
            <w:tcBorders>
              <w:top w:val="single" w:sz="4" w:space="0" w:color="auto"/>
              <w:left w:val="single" w:sz="4" w:space="0" w:color="auto"/>
              <w:bottom w:val="single" w:sz="4" w:space="0" w:color="auto"/>
              <w:right w:val="single" w:sz="4" w:space="0" w:color="auto"/>
            </w:tcBorders>
            <w:hideMark/>
          </w:tcPr>
          <w:p w14:paraId="55819726" w14:textId="17DB7CD8" w:rsidR="008E329C" w:rsidRPr="00FE42AF" w:rsidRDefault="008E329C" w:rsidP="008E329C">
            <w:pPr>
              <w:spacing w:line="276" w:lineRule="auto"/>
              <w:rPr>
                <w:rFonts w:eastAsia="Arial"/>
              </w:rPr>
            </w:pPr>
            <w:proofErr w:type="spellStart"/>
            <w:r w:rsidRPr="00FE42AF">
              <w:rPr>
                <w:rFonts w:eastAsia="Arial"/>
              </w:rPr>
              <w:t>Farmakoekonominio</w:t>
            </w:r>
            <w:proofErr w:type="spellEnd"/>
            <w:r w:rsidRPr="00FE42AF">
              <w:rPr>
                <w:rFonts w:eastAsia="Arial"/>
              </w:rPr>
              <w:t xml:space="preserve"> vertinimo išvada</w:t>
            </w:r>
          </w:p>
        </w:tc>
      </w:tr>
      <w:tr w:rsidR="008E329C" w:rsidRPr="00FE42AF" w14:paraId="0AC40637" w14:textId="77777777" w:rsidTr="00BC22A0">
        <w:trPr>
          <w:trHeight w:val="1765"/>
        </w:trPr>
        <w:tc>
          <w:tcPr>
            <w:tcW w:w="2804" w:type="dxa"/>
            <w:tcBorders>
              <w:top w:val="single" w:sz="4" w:space="0" w:color="auto"/>
              <w:left w:val="single" w:sz="4" w:space="0" w:color="auto"/>
              <w:bottom w:val="single" w:sz="4" w:space="0" w:color="auto"/>
              <w:right w:val="single" w:sz="4" w:space="0" w:color="auto"/>
            </w:tcBorders>
            <w:hideMark/>
          </w:tcPr>
          <w:p w14:paraId="769A4BB4" w14:textId="77777777" w:rsidR="008E329C" w:rsidRPr="00FE42AF" w:rsidRDefault="008E329C" w:rsidP="008E329C">
            <w:pPr>
              <w:autoSpaceDE w:val="0"/>
              <w:autoSpaceDN w:val="0"/>
              <w:adjustRightInd w:val="0"/>
              <w:rPr>
                <w:bCs/>
              </w:rPr>
            </w:pPr>
            <w:r w:rsidRPr="00FE42AF">
              <w:rPr>
                <w:bCs/>
              </w:rPr>
              <w:t>Nacionalinis sveikatos ir klinikinės kompetencijos institutas, Didžioji Britanija</w:t>
            </w:r>
          </w:p>
          <w:p w14:paraId="4C82F0B0" w14:textId="18571DEC" w:rsidR="008E329C" w:rsidRPr="00FE42AF" w:rsidRDefault="008E329C" w:rsidP="008E329C">
            <w:pPr>
              <w:spacing w:line="276" w:lineRule="auto"/>
              <w:rPr>
                <w:rFonts w:eastAsia="Arial"/>
              </w:rPr>
            </w:pPr>
            <w:r w:rsidRPr="00FE42AF">
              <w:rPr>
                <w:rFonts w:eastAsia="Arial"/>
              </w:rPr>
              <w:t xml:space="preserve">(angl. </w:t>
            </w:r>
            <w:proofErr w:type="spellStart"/>
            <w:r w:rsidRPr="00FE42AF">
              <w:rPr>
                <w:rFonts w:eastAsia="Arial"/>
                <w:i/>
              </w:rPr>
              <w:t>National</w:t>
            </w:r>
            <w:proofErr w:type="spellEnd"/>
            <w:r w:rsidRPr="00FE42AF">
              <w:rPr>
                <w:rFonts w:eastAsia="Arial"/>
                <w:i/>
              </w:rPr>
              <w:t xml:space="preserve"> Institute </w:t>
            </w:r>
            <w:proofErr w:type="spellStart"/>
            <w:r w:rsidRPr="00FE42AF">
              <w:rPr>
                <w:rFonts w:eastAsia="Arial"/>
                <w:i/>
              </w:rPr>
              <w:t>for</w:t>
            </w:r>
            <w:proofErr w:type="spellEnd"/>
            <w:r w:rsidRPr="00FE42AF">
              <w:rPr>
                <w:rFonts w:eastAsia="Arial"/>
                <w:i/>
              </w:rPr>
              <w:t xml:space="preserve"> </w:t>
            </w:r>
            <w:proofErr w:type="spellStart"/>
            <w:r w:rsidRPr="00FE42AF">
              <w:rPr>
                <w:rFonts w:eastAsia="Arial"/>
                <w:i/>
              </w:rPr>
              <w:t>Health</w:t>
            </w:r>
            <w:proofErr w:type="spellEnd"/>
            <w:r w:rsidRPr="00FE42AF">
              <w:rPr>
                <w:rFonts w:eastAsia="Arial"/>
                <w:i/>
              </w:rPr>
              <w:t xml:space="preserve"> </w:t>
            </w:r>
            <w:proofErr w:type="spellStart"/>
            <w:r w:rsidRPr="00FE42AF">
              <w:rPr>
                <w:rFonts w:eastAsia="Arial"/>
                <w:i/>
              </w:rPr>
              <w:t>and</w:t>
            </w:r>
            <w:proofErr w:type="spellEnd"/>
            <w:r w:rsidRPr="00FE42AF">
              <w:rPr>
                <w:rFonts w:eastAsia="Arial"/>
                <w:i/>
              </w:rPr>
              <w:t xml:space="preserve"> Care </w:t>
            </w:r>
            <w:proofErr w:type="spellStart"/>
            <w:r w:rsidRPr="00FE42AF">
              <w:rPr>
                <w:rFonts w:eastAsia="Arial"/>
                <w:i/>
              </w:rPr>
              <w:t>Excellence</w:t>
            </w:r>
            <w:proofErr w:type="spellEnd"/>
            <w:r w:rsidRPr="00FE42AF">
              <w:rPr>
                <w:rFonts w:eastAsia="Arial"/>
                <w:i/>
              </w:rPr>
              <w:t>, NICE</w:t>
            </w:r>
            <w:r w:rsidRPr="00FE42AF">
              <w:rPr>
                <w:rFonts w:eastAsia="Arial"/>
              </w:rPr>
              <w:t>)</w:t>
            </w:r>
          </w:p>
        </w:tc>
        <w:tc>
          <w:tcPr>
            <w:tcW w:w="2153" w:type="dxa"/>
            <w:tcBorders>
              <w:top w:val="single" w:sz="4" w:space="0" w:color="auto"/>
              <w:left w:val="single" w:sz="4" w:space="0" w:color="auto"/>
              <w:bottom w:val="single" w:sz="4" w:space="0" w:color="auto"/>
              <w:right w:val="single" w:sz="4" w:space="0" w:color="auto"/>
            </w:tcBorders>
            <w:hideMark/>
          </w:tcPr>
          <w:p w14:paraId="2E97D303" w14:textId="77777777" w:rsidR="008E329C" w:rsidRPr="00FE42AF" w:rsidRDefault="00830AF7" w:rsidP="008E329C">
            <w:sdt>
              <w:sdtPr>
                <w:rPr>
                  <w:rStyle w:val="Style2"/>
                </w:rPr>
                <w:id w:val="1558205022"/>
                <w15:color w:val="FFCC00"/>
                <w14:checkbox>
                  <w14:checked w14:val="1"/>
                  <w14:checkedState w14:val="2612" w14:font="MS Gothic"/>
                  <w14:uncheckedState w14:val="2610" w14:font="MS Gothic"/>
                </w14:checkbox>
              </w:sdtPr>
              <w:sdtEndPr>
                <w:rPr>
                  <w:rStyle w:val="Style2"/>
                </w:rPr>
              </w:sdtEndPr>
              <w:sdtContent>
                <w:r w:rsidR="008E329C" w:rsidRPr="00FE42AF">
                  <w:rPr>
                    <w:rStyle w:val="Style2"/>
                    <w:rFonts w:ascii="MS Gothic" w:eastAsia="MS Gothic" w:hAnsi="MS Gothic" w:hint="eastAsia"/>
                  </w:rPr>
                  <w:t>☒</w:t>
                </w:r>
              </w:sdtContent>
            </w:sdt>
            <w:r w:rsidR="008E329C" w:rsidRPr="00FE42AF">
              <w:t xml:space="preserve"> Taip</w:t>
            </w:r>
          </w:p>
          <w:p w14:paraId="1186F847" w14:textId="77777777" w:rsidR="008E329C" w:rsidRPr="00FE42AF" w:rsidRDefault="00830AF7" w:rsidP="008E329C">
            <w:sdt>
              <w:sdtPr>
                <w:rPr>
                  <w:rStyle w:val="Style2"/>
                </w:rPr>
                <w:id w:val="866029625"/>
                <w15:color w:val="FFCC00"/>
                <w14:checkbox>
                  <w14:checked w14:val="0"/>
                  <w14:checkedState w14:val="2612" w14:font="MS Gothic"/>
                  <w14:uncheckedState w14:val="2610" w14:font="MS Gothic"/>
                </w14:checkbox>
              </w:sdtPr>
              <w:sdtEndPr>
                <w:rPr>
                  <w:rStyle w:val="Style2"/>
                </w:rPr>
              </w:sdtEndPr>
              <w:sdtContent>
                <w:r w:rsidR="008E329C" w:rsidRPr="00FE42AF">
                  <w:rPr>
                    <w:rStyle w:val="Style2"/>
                    <w:rFonts w:ascii="MS Gothic" w:eastAsia="MS Gothic" w:hAnsi="MS Gothic" w:hint="eastAsia"/>
                  </w:rPr>
                  <w:t>☐</w:t>
                </w:r>
              </w:sdtContent>
            </w:sdt>
            <w:r w:rsidR="008E329C" w:rsidRPr="00FE42AF">
              <w:t xml:space="preserve"> Ne</w:t>
            </w:r>
          </w:p>
          <w:p w14:paraId="78C9F852" w14:textId="01EF7BA3" w:rsidR="008E329C" w:rsidRPr="00FE42AF" w:rsidRDefault="00830AF7" w:rsidP="008E329C">
            <w:pPr>
              <w:spacing w:line="276" w:lineRule="auto"/>
              <w:rPr>
                <w:rFonts w:eastAsia="Arial"/>
              </w:rPr>
            </w:pPr>
            <w:sdt>
              <w:sdtPr>
                <w:alias w:val="Nurodykite konkrečią dieną"/>
                <w:tag w:val="Nurodykite pradžios datą"/>
                <w:id w:val="922837954"/>
                <w:placeholder>
                  <w:docPart w:val="F7BD57A9B894475482A804C24841927C"/>
                </w:placeholder>
                <w15:color w:val="FFCC99"/>
                <w:date>
                  <w:dateFormat w:val="yyyy 'm.' MMMM d 'd.'"/>
                  <w:lid w:val="lt-LT"/>
                  <w:storeMappedDataAs w:val="dateTime"/>
                  <w:calendar w:val="gregorian"/>
                </w:date>
              </w:sdtPr>
              <w:sdtEndPr/>
              <w:sdtContent>
                <w:r w:rsidR="008E329C" w:rsidRPr="00FE42AF">
                  <w:t>2023 m. rugsėjo 6 d.</w:t>
                </w:r>
              </w:sdtContent>
            </w:sdt>
          </w:p>
        </w:tc>
        <w:tc>
          <w:tcPr>
            <w:tcW w:w="5103" w:type="dxa"/>
            <w:gridSpan w:val="2"/>
            <w:tcBorders>
              <w:top w:val="single" w:sz="4" w:space="0" w:color="auto"/>
              <w:left w:val="single" w:sz="4" w:space="0" w:color="auto"/>
              <w:bottom w:val="single" w:sz="4" w:space="0" w:color="auto"/>
              <w:right w:val="single" w:sz="4" w:space="0" w:color="auto"/>
            </w:tcBorders>
          </w:tcPr>
          <w:p w14:paraId="2C887A2E" w14:textId="7EBD2BC2" w:rsidR="008E329C" w:rsidRPr="00FE42AF" w:rsidRDefault="008E329C" w:rsidP="008E329C">
            <w:pPr>
              <w:spacing w:line="276" w:lineRule="auto"/>
              <w:jc w:val="both"/>
              <w:rPr>
                <w:rFonts w:eastAsia="Arial"/>
              </w:rPr>
            </w:pPr>
            <w:proofErr w:type="spellStart"/>
            <w:r w:rsidRPr="00FE42AF">
              <w:t>Mavakamtenas</w:t>
            </w:r>
            <w:proofErr w:type="spellEnd"/>
            <w:r w:rsidRPr="00FE42AF">
              <w:t xml:space="preserve"> rekomenduojamas suaugusių pacientų simptominės </w:t>
            </w:r>
            <w:proofErr w:type="spellStart"/>
            <w:r w:rsidRPr="00FE42AF">
              <w:t>hipertrofinės</w:t>
            </w:r>
            <w:proofErr w:type="spellEnd"/>
            <w:r w:rsidRPr="00FE42AF">
              <w:t xml:space="preserve"> obstrukcinės kardiomiopatijos (HOKMP) (II-III klasės pagal Niujorko širdies asociacijos, angl. </w:t>
            </w:r>
            <w:proofErr w:type="spellStart"/>
            <w:r w:rsidRPr="00FE42AF">
              <w:t>New</w:t>
            </w:r>
            <w:proofErr w:type="spellEnd"/>
            <w:r w:rsidRPr="00FE42AF">
              <w:t xml:space="preserve"> York </w:t>
            </w:r>
            <w:proofErr w:type="spellStart"/>
            <w:r w:rsidRPr="00FE42AF">
              <w:t>Heart</w:t>
            </w:r>
            <w:proofErr w:type="spellEnd"/>
            <w:r w:rsidRPr="00FE42AF">
              <w:t xml:space="preserve"> </w:t>
            </w:r>
            <w:proofErr w:type="spellStart"/>
            <w:r w:rsidRPr="00FE42AF">
              <w:t>Association</w:t>
            </w:r>
            <w:proofErr w:type="spellEnd"/>
            <w:r w:rsidRPr="00FE42AF">
              <w:t xml:space="preserve">, NYHA, klasifikaciją) gydymui su skyrimo sąlyga: skiriamas kaip papildomas (angl. </w:t>
            </w:r>
            <w:proofErr w:type="spellStart"/>
            <w:r w:rsidRPr="00FE42AF">
              <w:rPr>
                <w:i/>
                <w:iCs/>
              </w:rPr>
              <w:t>add-on</w:t>
            </w:r>
            <w:proofErr w:type="spellEnd"/>
            <w:r w:rsidRPr="00FE42AF">
              <w:t xml:space="preserve">) gydymas, kai skiriamas gydymas beta-blokatoriais, </w:t>
            </w:r>
            <w:proofErr w:type="spellStart"/>
            <w:r w:rsidRPr="00FE42AF">
              <w:t>nedihidropiridininiais</w:t>
            </w:r>
            <w:proofErr w:type="spellEnd"/>
            <w:r w:rsidRPr="00FE42AF">
              <w:t xml:space="preserve"> kalcio kanalo blokatoriais arba </w:t>
            </w:r>
            <w:proofErr w:type="spellStart"/>
            <w:r w:rsidRPr="00FE42AF">
              <w:t>disopiramidu</w:t>
            </w:r>
            <w:proofErr w:type="spellEnd"/>
            <w:r w:rsidRPr="00FE42AF">
              <w:t xml:space="preserve">, arba gydymas šiais vaistiniais preparatais </w:t>
            </w:r>
            <w:proofErr w:type="spellStart"/>
            <w:r w:rsidRPr="00FE42AF">
              <w:t>kontraindikuotinas</w:t>
            </w:r>
            <w:proofErr w:type="spellEnd"/>
            <w:r w:rsidRPr="00FE42AF">
              <w:t>.</w:t>
            </w:r>
          </w:p>
        </w:tc>
      </w:tr>
      <w:tr w:rsidR="008E329C" w:rsidRPr="00FE42AF" w14:paraId="222DD496" w14:textId="77777777" w:rsidTr="00BC22A0">
        <w:trPr>
          <w:trHeight w:val="1547"/>
        </w:trPr>
        <w:tc>
          <w:tcPr>
            <w:tcW w:w="2804" w:type="dxa"/>
            <w:tcBorders>
              <w:top w:val="single" w:sz="4" w:space="0" w:color="auto"/>
              <w:left w:val="single" w:sz="4" w:space="0" w:color="auto"/>
              <w:bottom w:val="single" w:sz="4" w:space="0" w:color="auto"/>
              <w:right w:val="single" w:sz="4" w:space="0" w:color="auto"/>
            </w:tcBorders>
            <w:hideMark/>
          </w:tcPr>
          <w:p w14:paraId="776FBCD1" w14:textId="77777777" w:rsidR="008E329C" w:rsidRPr="00FE42AF" w:rsidRDefault="008E329C" w:rsidP="008E329C">
            <w:pPr>
              <w:spacing w:line="276" w:lineRule="auto"/>
              <w:rPr>
                <w:rFonts w:eastAsia="Arial"/>
              </w:rPr>
            </w:pPr>
            <w:r w:rsidRPr="00FE42AF">
              <w:rPr>
                <w:rFonts w:eastAsia="Arial"/>
              </w:rPr>
              <w:t>Kanados sveikatos technologijų agentūra</w:t>
            </w:r>
          </w:p>
          <w:p w14:paraId="323B8FAC" w14:textId="14ABA58D" w:rsidR="008E329C" w:rsidRPr="00FE42AF" w:rsidRDefault="008E329C" w:rsidP="008E329C">
            <w:pPr>
              <w:spacing w:line="276" w:lineRule="auto"/>
              <w:rPr>
                <w:rFonts w:eastAsia="Arial"/>
              </w:rPr>
            </w:pPr>
            <w:r w:rsidRPr="00FE42AF">
              <w:rPr>
                <w:rFonts w:eastAsia="Arial"/>
              </w:rPr>
              <w:t xml:space="preserve">(angl. </w:t>
            </w:r>
            <w:proofErr w:type="spellStart"/>
            <w:r w:rsidRPr="00FE42AF">
              <w:rPr>
                <w:rFonts w:eastAsia="Arial"/>
                <w:i/>
              </w:rPr>
              <w:t>Canadian</w:t>
            </w:r>
            <w:proofErr w:type="spellEnd"/>
            <w:r w:rsidRPr="00FE42AF">
              <w:rPr>
                <w:rFonts w:eastAsia="Arial"/>
                <w:i/>
              </w:rPr>
              <w:t xml:space="preserve"> </w:t>
            </w:r>
            <w:proofErr w:type="spellStart"/>
            <w:r w:rsidRPr="00FE42AF">
              <w:rPr>
                <w:rFonts w:eastAsia="Arial"/>
                <w:i/>
              </w:rPr>
              <w:t>health</w:t>
            </w:r>
            <w:proofErr w:type="spellEnd"/>
            <w:r w:rsidRPr="00FE42AF">
              <w:rPr>
                <w:rFonts w:eastAsia="Arial"/>
                <w:i/>
              </w:rPr>
              <w:t xml:space="preserve"> </w:t>
            </w:r>
            <w:proofErr w:type="spellStart"/>
            <w:r w:rsidRPr="00FE42AF">
              <w:rPr>
                <w:rFonts w:eastAsia="Arial"/>
                <w:i/>
              </w:rPr>
              <w:t>Technology</w:t>
            </w:r>
            <w:proofErr w:type="spellEnd"/>
            <w:r w:rsidRPr="00FE42AF">
              <w:rPr>
                <w:rFonts w:eastAsia="Arial"/>
                <w:i/>
              </w:rPr>
              <w:t xml:space="preserve"> </w:t>
            </w:r>
            <w:proofErr w:type="spellStart"/>
            <w:r w:rsidRPr="00FE42AF">
              <w:rPr>
                <w:rFonts w:eastAsia="Arial"/>
                <w:i/>
              </w:rPr>
              <w:t>Assessment</w:t>
            </w:r>
            <w:proofErr w:type="spellEnd"/>
            <w:r w:rsidRPr="00FE42AF">
              <w:rPr>
                <w:rFonts w:eastAsia="Arial"/>
                <w:i/>
              </w:rPr>
              <w:t xml:space="preserve"> </w:t>
            </w:r>
            <w:proofErr w:type="spellStart"/>
            <w:r w:rsidRPr="00FE42AF">
              <w:rPr>
                <w:rFonts w:eastAsia="Arial"/>
                <w:i/>
              </w:rPr>
              <w:t>agency</w:t>
            </w:r>
            <w:proofErr w:type="spellEnd"/>
            <w:r w:rsidRPr="00FE42AF">
              <w:rPr>
                <w:rFonts w:eastAsia="Arial"/>
                <w:i/>
              </w:rPr>
              <w:t>, CADTH</w:t>
            </w:r>
            <w:r w:rsidRPr="00FE42AF">
              <w:rPr>
                <w:rFonts w:eastAsia="Arial"/>
              </w:rPr>
              <w:t>)</w:t>
            </w:r>
          </w:p>
        </w:tc>
        <w:tc>
          <w:tcPr>
            <w:tcW w:w="2153" w:type="dxa"/>
            <w:tcBorders>
              <w:top w:val="single" w:sz="4" w:space="0" w:color="auto"/>
              <w:left w:val="single" w:sz="4" w:space="0" w:color="auto"/>
              <w:bottom w:val="single" w:sz="4" w:space="0" w:color="auto"/>
              <w:right w:val="single" w:sz="4" w:space="0" w:color="auto"/>
            </w:tcBorders>
            <w:hideMark/>
          </w:tcPr>
          <w:p w14:paraId="0931C4B4" w14:textId="77777777" w:rsidR="008E329C" w:rsidRPr="00FE42AF" w:rsidRDefault="00830AF7" w:rsidP="008E329C">
            <w:sdt>
              <w:sdtPr>
                <w:rPr>
                  <w:rStyle w:val="Style2"/>
                </w:rPr>
                <w:id w:val="-372539057"/>
                <w15:color w:val="FFCC00"/>
                <w14:checkbox>
                  <w14:checked w14:val="1"/>
                  <w14:checkedState w14:val="2612" w14:font="MS Gothic"/>
                  <w14:uncheckedState w14:val="2610" w14:font="MS Gothic"/>
                </w14:checkbox>
              </w:sdtPr>
              <w:sdtEndPr>
                <w:rPr>
                  <w:rStyle w:val="Style2"/>
                </w:rPr>
              </w:sdtEndPr>
              <w:sdtContent>
                <w:r w:rsidR="008E329C" w:rsidRPr="00FE42AF">
                  <w:rPr>
                    <w:rStyle w:val="Style2"/>
                    <w:rFonts w:ascii="MS Gothic" w:eastAsia="MS Gothic" w:hAnsi="MS Gothic" w:hint="eastAsia"/>
                  </w:rPr>
                  <w:t>☒</w:t>
                </w:r>
              </w:sdtContent>
            </w:sdt>
            <w:r w:rsidR="008E329C" w:rsidRPr="00FE42AF">
              <w:t xml:space="preserve"> Taip</w:t>
            </w:r>
          </w:p>
          <w:p w14:paraId="5553F219" w14:textId="77777777" w:rsidR="008E329C" w:rsidRPr="00FE42AF" w:rsidRDefault="00830AF7" w:rsidP="008E329C">
            <w:sdt>
              <w:sdtPr>
                <w:rPr>
                  <w:rStyle w:val="Style2"/>
                </w:rPr>
                <w:id w:val="594442222"/>
                <w15:color w:val="FFCC00"/>
                <w14:checkbox>
                  <w14:checked w14:val="0"/>
                  <w14:checkedState w14:val="2612" w14:font="MS Gothic"/>
                  <w14:uncheckedState w14:val="2610" w14:font="MS Gothic"/>
                </w14:checkbox>
              </w:sdtPr>
              <w:sdtEndPr>
                <w:rPr>
                  <w:rStyle w:val="Style2"/>
                </w:rPr>
              </w:sdtEndPr>
              <w:sdtContent>
                <w:r w:rsidR="008E329C" w:rsidRPr="00FE42AF">
                  <w:rPr>
                    <w:rStyle w:val="Style2"/>
                    <w:rFonts w:ascii="Segoe UI Symbol" w:eastAsia="MS Gothic" w:hAnsi="Segoe UI Symbol" w:cs="Segoe UI Symbol"/>
                  </w:rPr>
                  <w:t>☐</w:t>
                </w:r>
              </w:sdtContent>
            </w:sdt>
            <w:r w:rsidR="008E329C" w:rsidRPr="00FE42AF">
              <w:t xml:space="preserve"> Ne</w:t>
            </w:r>
          </w:p>
          <w:p w14:paraId="56BCC273" w14:textId="107B9894" w:rsidR="008E329C" w:rsidRPr="00FE42AF" w:rsidRDefault="00830AF7" w:rsidP="008E329C">
            <w:pPr>
              <w:spacing w:line="276" w:lineRule="auto"/>
              <w:rPr>
                <w:rFonts w:eastAsia="Arial"/>
              </w:rPr>
            </w:pPr>
            <w:sdt>
              <w:sdtPr>
                <w:alias w:val="Nurodykite konkrečią dieną"/>
                <w:tag w:val="Nurodykite pradžios datą"/>
                <w:id w:val="1072468416"/>
                <w:placeholder>
                  <w:docPart w:val="49B116BB49E94086BE02B54E8CAC72F9"/>
                </w:placeholder>
                <w15:color w:val="FFCC99"/>
                <w:date>
                  <w:dateFormat w:val="yyyy 'm.' MMMM d 'd.'"/>
                  <w:lid w:val="lt-LT"/>
                  <w:storeMappedDataAs w:val="dateTime"/>
                  <w:calendar w:val="gregorian"/>
                </w:date>
              </w:sdtPr>
              <w:sdtEndPr/>
              <w:sdtContent>
                <w:r w:rsidR="008E329C" w:rsidRPr="00FE42AF">
                  <w:t>2023 m. gegužės 3 d.</w:t>
                </w:r>
              </w:sdtContent>
            </w:sdt>
          </w:p>
        </w:tc>
        <w:tc>
          <w:tcPr>
            <w:tcW w:w="5103" w:type="dxa"/>
            <w:gridSpan w:val="2"/>
            <w:tcBorders>
              <w:top w:val="single" w:sz="4" w:space="0" w:color="auto"/>
              <w:left w:val="single" w:sz="4" w:space="0" w:color="auto"/>
              <w:bottom w:val="single" w:sz="4" w:space="0" w:color="auto"/>
              <w:right w:val="single" w:sz="4" w:space="0" w:color="auto"/>
            </w:tcBorders>
          </w:tcPr>
          <w:p w14:paraId="6AD05BBE" w14:textId="77777777" w:rsidR="008E329C" w:rsidRPr="00FE42AF" w:rsidRDefault="008E329C" w:rsidP="008E329C">
            <w:pPr>
              <w:spacing w:line="276" w:lineRule="auto"/>
            </w:pPr>
            <w:proofErr w:type="spellStart"/>
            <w:r w:rsidRPr="00FE42AF">
              <w:t>Mavakamtenas</w:t>
            </w:r>
            <w:proofErr w:type="spellEnd"/>
            <w:r w:rsidRPr="00FE42AF">
              <w:t xml:space="preserve"> rekomenduojamas suaugusių pacientų simptominės </w:t>
            </w:r>
            <w:proofErr w:type="spellStart"/>
            <w:r w:rsidRPr="00FE42AF">
              <w:t>hipertrofinės</w:t>
            </w:r>
            <w:proofErr w:type="spellEnd"/>
            <w:r w:rsidRPr="00FE42AF">
              <w:t xml:space="preserve"> obstrukcinės kardiomiopatijos (HOKMP) (II-III klasės pagal Niujorko širdies asociacijos, angl. </w:t>
            </w:r>
            <w:proofErr w:type="spellStart"/>
            <w:r w:rsidRPr="00FE42AF">
              <w:t>New</w:t>
            </w:r>
            <w:proofErr w:type="spellEnd"/>
            <w:r w:rsidRPr="00FE42AF">
              <w:t xml:space="preserve"> York </w:t>
            </w:r>
            <w:proofErr w:type="spellStart"/>
            <w:r w:rsidRPr="00FE42AF">
              <w:t>Heart</w:t>
            </w:r>
            <w:proofErr w:type="spellEnd"/>
            <w:r w:rsidRPr="00FE42AF">
              <w:t xml:space="preserve"> </w:t>
            </w:r>
            <w:proofErr w:type="spellStart"/>
            <w:r w:rsidRPr="00FE42AF">
              <w:t>Association</w:t>
            </w:r>
            <w:proofErr w:type="spellEnd"/>
            <w:r w:rsidRPr="00FE42AF">
              <w:t>, NYHA, klasifikaciją) gydymui su skyrimo sąlygomis:</w:t>
            </w:r>
          </w:p>
          <w:p w14:paraId="565C89F3" w14:textId="77777777" w:rsidR="008E329C" w:rsidRPr="00FE42AF" w:rsidRDefault="008E329C" w:rsidP="008E329C">
            <w:pPr>
              <w:pStyle w:val="NoSpacing"/>
              <w:numPr>
                <w:ilvl w:val="0"/>
                <w:numId w:val="14"/>
              </w:numPr>
              <w:rPr>
                <w:rFonts w:ascii="Times New Roman" w:hAnsi="Times New Roman"/>
                <w:sz w:val="24"/>
                <w:szCs w:val="24"/>
              </w:rPr>
            </w:pPr>
            <w:r w:rsidRPr="00FE42AF">
              <w:rPr>
                <w:rFonts w:ascii="Times New Roman" w:hAnsi="Times New Roman"/>
                <w:sz w:val="24"/>
                <w:szCs w:val="24"/>
              </w:rPr>
              <w:t>Kairiojo skilvelio išstūmimo frakcija ≥ 55%;</w:t>
            </w:r>
          </w:p>
          <w:p w14:paraId="372507EB" w14:textId="77777777" w:rsidR="008E329C" w:rsidRPr="00FE42AF" w:rsidRDefault="008E329C" w:rsidP="008E329C">
            <w:pPr>
              <w:pStyle w:val="NoSpacing"/>
              <w:numPr>
                <w:ilvl w:val="0"/>
                <w:numId w:val="14"/>
              </w:numPr>
              <w:rPr>
                <w:rFonts w:ascii="Times New Roman" w:hAnsi="Times New Roman"/>
                <w:sz w:val="24"/>
                <w:szCs w:val="24"/>
              </w:rPr>
            </w:pPr>
            <w:r w:rsidRPr="00FE42AF">
              <w:rPr>
                <w:rFonts w:ascii="Times New Roman" w:hAnsi="Times New Roman"/>
                <w:sz w:val="24"/>
                <w:szCs w:val="24"/>
              </w:rPr>
              <w:t xml:space="preserve">Kairiojo skilvelio sienelės storis ≥ 15 mm (arba ≥ 13 mm esant teigiamai šeiminei </w:t>
            </w:r>
            <w:proofErr w:type="spellStart"/>
            <w:r w:rsidRPr="00FE42AF">
              <w:rPr>
                <w:rFonts w:ascii="Times New Roman" w:hAnsi="Times New Roman"/>
                <w:sz w:val="24"/>
                <w:szCs w:val="24"/>
              </w:rPr>
              <w:t>hipertrofinės</w:t>
            </w:r>
            <w:proofErr w:type="spellEnd"/>
            <w:r w:rsidRPr="00FE42AF">
              <w:rPr>
                <w:rFonts w:ascii="Times New Roman" w:hAnsi="Times New Roman"/>
                <w:sz w:val="24"/>
                <w:szCs w:val="24"/>
              </w:rPr>
              <w:t xml:space="preserve"> kardiomiopatijos anamnezei);</w:t>
            </w:r>
          </w:p>
          <w:p w14:paraId="22AD97A4" w14:textId="77777777" w:rsidR="008E329C" w:rsidRPr="00FE42AF" w:rsidRDefault="008E329C" w:rsidP="008E329C">
            <w:pPr>
              <w:pStyle w:val="NoSpacing"/>
              <w:numPr>
                <w:ilvl w:val="0"/>
                <w:numId w:val="14"/>
              </w:numPr>
              <w:rPr>
                <w:rFonts w:ascii="Times New Roman" w:hAnsi="Times New Roman"/>
                <w:sz w:val="24"/>
                <w:szCs w:val="24"/>
              </w:rPr>
            </w:pPr>
            <w:r w:rsidRPr="00FE42AF">
              <w:rPr>
                <w:rFonts w:ascii="Times New Roman" w:hAnsi="Times New Roman"/>
                <w:sz w:val="24"/>
                <w:szCs w:val="24"/>
              </w:rPr>
              <w:t xml:space="preserve">Skiriant beta-blokatorius ar </w:t>
            </w:r>
            <w:proofErr w:type="spellStart"/>
            <w:r w:rsidRPr="00FE42AF">
              <w:rPr>
                <w:rFonts w:ascii="Times New Roman" w:hAnsi="Times New Roman"/>
                <w:sz w:val="24"/>
                <w:szCs w:val="24"/>
              </w:rPr>
              <w:t>nedihidropiridininius</w:t>
            </w:r>
            <w:proofErr w:type="spellEnd"/>
            <w:r w:rsidRPr="00FE42AF">
              <w:rPr>
                <w:rFonts w:ascii="Times New Roman" w:hAnsi="Times New Roman"/>
                <w:sz w:val="24"/>
                <w:szCs w:val="24"/>
              </w:rPr>
              <w:t xml:space="preserve"> kalcio kanalo blokatorius, išlieka simptomai ir blogėja </w:t>
            </w:r>
            <w:proofErr w:type="spellStart"/>
            <w:r w:rsidRPr="00FE42AF">
              <w:rPr>
                <w:rFonts w:ascii="Times New Roman" w:hAnsi="Times New Roman"/>
                <w:sz w:val="24"/>
                <w:szCs w:val="24"/>
              </w:rPr>
              <w:t>echokardiografiniai</w:t>
            </w:r>
            <w:proofErr w:type="spellEnd"/>
            <w:r w:rsidRPr="00FE42AF">
              <w:rPr>
                <w:rFonts w:ascii="Times New Roman" w:hAnsi="Times New Roman"/>
                <w:sz w:val="24"/>
                <w:szCs w:val="24"/>
              </w:rPr>
              <w:t xml:space="preserve"> parametrai;</w:t>
            </w:r>
          </w:p>
          <w:p w14:paraId="227CA0B4" w14:textId="789F3D2D" w:rsidR="008E329C" w:rsidRPr="00FE42AF" w:rsidRDefault="008E329C" w:rsidP="008E329C">
            <w:pPr>
              <w:spacing w:line="276" w:lineRule="auto"/>
              <w:jc w:val="both"/>
            </w:pPr>
            <w:r w:rsidRPr="00FE42AF">
              <w:t>Gydymas nutraukiamas, jei atliekama intervencinė ar chirurginė pertvaros redukcijos procedūra arba kairiojo skilvelio išstūmimo frakcija sumažėja ≤ 30%.</w:t>
            </w:r>
          </w:p>
        </w:tc>
      </w:tr>
    </w:tbl>
    <w:p w14:paraId="2EB7FD31" w14:textId="4D2A8479" w:rsidR="007A2B68" w:rsidRPr="00FE42AF" w:rsidRDefault="007A2B68" w:rsidP="00E03C3F">
      <w:pPr>
        <w:pStyle w:val="ListParagraph"/>
        <w:tabs>
          <w:tab w:val="left" w:pos="426"/>
        </w:tabs>
        <w:ind w:left="0"/>
        <w:rPr>
          <w:b/>
          <w:bCs/>
          <w:caps/>
        </w:rPr>
      </w:pPr>
    </w:p>
    <w:p w14:paraId="73290081" w14:textId="77777777" w:rsidR="007A2B68" w:rsidRPr="00FE42AF" w:rsidRDefault="007A2B68">
      <w:pPr>
        <w:rPr>
          <w:b/>
          <w:bCs/>
          <w:caps/>
        </w:rPr>
      </w:pPr>
      <w:r w:rsidRPr="00FE42AF">
        <w:rPr>
          <w:b/>
          <w:bCs/>
          <w:caps/>
        </w:rPr>
        <w:br w:type="page"/>
      </w:r>
    </w:p>
    <w:p w14:paraId="5055E8A8" w14:textId="471A9757" w:rsidR="002E6F80" w:rsidRPr="00FE42AF" w:rsidRDefault="00CC7832" w:rsidP="00CC09D4">
      <w:pPr>
        <w:pStyle w:val="ListParagraph"/>
        <w:numPr>
          <w:ilvl w:val="0"/>
          <w:numId w:val="12"/>
        </w:numPr>
        <w:tabs>
          <w:tab w:val="left" w:pos="567"/>
        </w:tabs>
        <w:ind w:hanging="720"/>
        <w:rPr>
          <w:b/>
          <w:bCs/>
          <w:caps/>
        </w:rPr>
      </w:pPr>
      <w:r w:rsidRPr="00FE42AF">
        <w:rPr>
          <w:b/>
          <w:bCs/>
          <w:caps/>
        </w:rPr>
        <w:t>Klinikinio vertinimo a</w:t>
      </w:r>
      <w:r w:rsidR="00D4485B" w:rsidRPr="00FE42AF">
        <w:rPr>
          <w:b/>
          <w:bCs/>
          <w:caps/>
        </w:rPr>
        <w:t>pibendrinimas</w:t>
      </w:r>
    </w:p>
    <w:p w14:paraId="25F89291" w14:textId="5C45C8FC" w:rsidR="00D4485B" w:rsidRPr="00FE42AF" w:rsidRDefault="00D4485B" w:rsidP="00A93AA6">
      <w:pPr>
        <w:pStyle w:val="ListParagraph"/>
        <w:tabs>
          <w:tab w:val="left" w:pos="426"/>
        </w:tabs>
        <w:ind w:left="0"/>
        <w:rPr>
          <w:b/>
          <w:bCs/>
          <w:caps/>
        </w:rPr>
      </w:pPr>
    </w:p>
    <w:p w14:paraId="6AD69253" w14:textId="0A287EE4" w:rsidR="008E329C" w:rsidRPr="00FE42AF" w:rsidRDefault="002A3E57" w:rsidP="008E329C">
      <w:pPr>
        <w:tabs>
          <w:tab w:val="left" w:pos="426"/>
        </w:tabs>
        <w:spacing w:line="276" w:lineRule="auto"/>
        <w:jc w:val="both"/>
        <w:rPr>
          <w:rFonts w:eastAsia="Arial"/>
          <w:iCs/>
        </w:rPr>
      </w:pPr>
      <w:r w:rsidRPr="00FE42AF">
        <w:rPr>
          <w:rFonts w:eastAsia="Arial"/>
          <w:iCs/>
        </w:rPr>
        <w:tab/>
      </w:r>
      <w:r w:rsidRPr="00FE42AF">
        <w:rPr>
          <w:rFonts w:eastAsia="Arial"/>
          <w:iCs/>
        </w:rPr>
        <w:tab/>
      </w:r>
      <w:proofErr w:type="spellStart"/>
      <w:r w:rsidR="008E329C" w:rsidRPr="00FE42AF">
        <w:rPr>
          <w:rFonts w:eastAsia="Arial"/>
          <w:iCs/>
        </w:rPr>
        <w:t>Hipertrofinė</w:t>
      </w:r>
      <w:proofErr w:type="spellEnd"/>
      <w:r w:rsidR="008E329C" w:rsidRPr="00FE42AF">
        <w:rPr>
          <w:rFonts w:eastAsia="Arial"/>
          <w:iCs/>
        </w:rPr>
        <w:t xml:space="preserve"> kardiomiopatija (HKMP) – </w:t>
      </w:r>
      <w:proofErr w:type="spellStart"/>
      <w:r w:rsidR="008E329C" w:rsidRPr="00FE42AF">
        <w:rPr>
          <w:rFonts w:eastAsia="Arial"/>
          <w:iCs/>
        </w:rPr>
        <w:t>autosominiu</w:t>
      </w:r>
      <w:proofErr w:type="spellEnd"/>
      <w:r w:rsidR="008E329C" w:rsidRPr="00FE42AF">
        <w:rPr>
          <w:rFonts w:eastAsia="Arial"/>
          <w:iCs/>
        </w:rPr>
        <w:t xml:space="preserve"> dominantiniu būdu paveldima </w:t>
      </w:r>
      <w:proofErr w:type="spellStart"/>
      <w:r w:rsidR="008E329C" w:rsidRPr="00FE42AF">
        <w:rPr>
          <w:rFonts w:eastAsia="Arial"/>
          <w:iCs/>
        </w:rPr>
        <w:t>kardiomiocitų</w:t>
      </w:r>
      <w:proofErr w:type="spellEnd"/>
      <w:r w:rsidR="008E329C" w:rsidRPr="00FE42AF">
        <w:rPr>
          <w:rFonts w:eastAsia="Arial"/>
          <w:iCs/>
        </w:rPr>
        <w:t xml:space="preserve"> liga, kurią sukelia </w:t>
      </w:r>
      <w:proofErr w:type="spellStart"/>
      <w:r w:rsidR="008E329C" w:rsidRPr="00FE42AF">
        <w:rPr>
          <w:rFonts w:eastAsia="Arial"/>
          <w:iCs/>
        </w:rPr>
        <w:t>sarkomerinių</w:t>
      </w:r>
      <w:proofErr w:type="spellEnd"/>
      <w:r w:rsidR="008E329C" w:rsidRPr="00FE42AF">
        <w:rPr>
          <w:rFonts w:eastAsia="Arial"/>
          <w:iCs/>
        </w:rPr>
        <w:t xml:space="preserve"> (dažniausi – MYH7 ir MYBPC9, sudarantys 75% pacientų, kuriems nustatyta HKMP bei teigiamas ligos genotipas, angl. </w:t>
      </w:r>
      <w:proofErr w:type="spellStart"/>
      <w:r w:rsidR="008E329C" w:rsidRPr="00FE42AF">
        <w:rPr>
          <w:rFonts w:eastAsia="Arial"/>
          <w:iCs/>
        </w:rPr>
        <w:t>genotype-positive</w:t>
      </w:r>
      <w:proofErr w:type="spellEnd"/>
      <w:r w:rsidR="008E329C" w:rsidRPr="00FE42AF">
        <w:rPr>
          <w:rFonts w:eastAsia="Arial"/>
          <w:iCs/>
        </w:rPr>
        <w:t xml:space="preserve">) ir su </w:t>
      </w:r>
      <w:proofErr w:type="spellStart"/>
      <w:r w:rsidR="008E329C" w:rsidRPr="00FE42AF">
        <w:rPr>
          <w:rFonts w:eastAsia="Arial"/>
          <w:iCs/>
        </w:rPr>
        <w:t>sarkomerais</w:t>
      </w:r>
      <w:proofErr w:type="spellEnd"/>
      <w:r w:rsidR="008E329C" w:rsidRPr="00FE42AF">
        <w:rPr>
          <w:rFonts w:eastAsia="Arial"/>
          <w:iCs/>
        </w:rPr>
        <w:t xml:space="preserve"> susijusių baltymų mutacijos. Mutacijos nustatomos iki 60% atvejų, likusiems nustatomi nežinomos reikšmės genetiniai variantai (angl. </w:t>
      </w:r>
      <w:proofErr w:type="spellStart"/>
      <w:r w:rsidR="008E329C" w:rsidRPr="00FE42AF">
        <w:rPr>
          <w:rFonts w:eastAsia="Arial"/>
          <w:iCs/>
        </w:rPr>
        <w:t>variant</w:t>
      </w:r>
      <w:proofErr w:type="spellEnd"/>
      <w:r w:rsidR="008E329C" w:rsidRPr="00FE42AF">
        <w:rPr>
          <w:rFonts w:eastAsia="Arial"/>
          <w:iCs/>
        </w:rPr>
        <w:t xml:space="preserve"> </w:t>
      </w:r>
      <w:proofErr w:type="spellStart"/>
      <w:r w:rsidR="008E329C" w:rsidRPr="00FE42AF">
        <w:rPr>
          <w:rFonts w:eastAsia="Arial"/>
          <w:iCs/>
        </w:rPr>
        <w:t>of</w:t>
      </w:r>
      <w:proofErr w:type="spellEnd"/>
      <w:r w:rsidR="008E329C" w:rsidRPr="00FE42AF">
        <w:rPr>
          <w:rFonts w:eastAsia="Arial"/>
          <w:iCs/>
        </w:rPr>
        <w:t xml:space="preserve"> </w:t>
      </w:r>
      <w:proofErr w:type="spellStart"/>
      <w:r w:rsidR="008E329C" w:rsidRPr="00FE42AF">
        <w:rPr>
          <w:rFonts w:eastAsia="Arial"/>
          <w:iCs/>
        </w:rPr>
        <w:t>unknown</w:t>
      </w:r>
      <w:proofErr w:type="spellEnd"/>
      <w:r w:rsidR="008E329C" w:rsidRPr="00FE42AF">
        <w:rPr>
          <w:rFonts w:eastAsia="Arial"/>
          <w:iCs/>
        </w:rPr>
        <w:t xml:space="preserve"> </w:t>
      </w:r>
      <w:proofErr w:type="spellStart"/>
      <w:r w:rsidR="008E329C" w:rsidRPr="00FE42AF">
        <w:rPr>
          <w:rFonts w:eastAsia="Arial"/>
          <w:iCs/>
        </w:rPr>
        <w:t>significance</w:t>
      </w:r>
      <w:proofErr w:type="spellEnd"/>
      <w:r w:rsidR="008E329C" w:rsidRPr="00FE42AF">
        <w:rPr>
          <w:rFonts w:eastAsia="Arial"/>
          <w:iCs/>
        </w:rPr>
        <w:t xml:space="preserve">) arba nenustatoma jokia žinoma genetinė mutacija (angl. </w:t>
      </w:r>
      <w:proofErr w:type="spellStart"/>
      <w:r w:rsidR="008E329C" w:rsidRPr="00FE42AF">
        <w:rPr>
          <w:rFonts w:eastAsia="Arial"/>
          <w:iCs/>
        </w:rPr>
        <w:t>genotype-negative</w:t>
      </w:r>
      <w:proofErr w:type="spellEnd"/>
      <w:r w:rsidR="008E329C" w:rsidRPr="00FE42AF">
        <w:rPr>
          <w:rFonts w:eastAsia="Arial"/>
          <w:iCs/>
        </w:rPr>
        <w:t>).</w:t>
      </w:r>
      <w:r w:rsidR="004841A2" w:rsidRPr="00FE42AF">
        <w:rPr>
          <w:rFonts w:eastAsia="Arial"/>
          <w:bCs/>
        </w:rPr>
        <w:t xml:space="preserve"> Išskiriami du funkciniai HKMP tipai – su (obstrukcinė HKMP, toliau – </w:t>
      </w:r>
      <w:proofErr w:type="spellStart"/>
      <w:r w:rsidR="004841A2" w:rsidRPr="00FE42AF">
        <w:rPr>
          <w:rFonts w:eastAsia="Arial"/>
          <w:bCs/>
        </w:rPr>
        <w:t>oHKMP</w:t>
      </w:r>
      <w:proofErr w:type="spellEnd"/>
      <w:r w:rsidR="004841A2" w:rsidRPr="00FE42AF">
        <w:rPr>
          <w:rFonts w:eastAsia="Arial"/>
          <w:bCs/>
        </w:rPr>
        <w:t>) ir be KSIT obstrukcijos.</w:t>
      </w:r>
    </w:p>
    <w:p w14:paraId="44B87004" w14:textId="3162F886" w:rsidR="008E329C" w:rsidRPr="00FE42AF" w:rsidRDefault="008E329C" w:rsidP="004841A2">
      <w:pPr>
        <w:tabs>
          <w:tab w:val="left" w:pos="426"/>
        </w:tabs>
        <w:spacing w:line="276" w:lineRule="auto"/>
        <w:jc w:val="both"/>
        <w:rPr>
          <w:rFonts w:eastAsia="Arial"/>
          <w:bCs/>
        </w:rPr>
      </w:pPr>
      <w:r w:rsidRPr="00FE42AF">
        <w:rPr>
          <w:rFonts w:eastAsia="Arial"/>
          <w:iCs/>
        </w:rPr>
        <w:tab/>
      </w:r>
      <w:r w:rsidRPr="00FE42AF">
        <w:rPr>
          <w:rFonts w:eastAsia="Arial"/>
          <w:iCs/>
        </w:rPr>
        <w:tab/>
      </w:r>
      <w:r w:rsidR="004841A2" w:rsidRPr="00FE42AF">
        <w:rPr>
          <w:rFonts w:eastAsia="Arial"/>
          <w:bCs/>
        </w:rPr>
        <w:t xml:space="preserve">2025 m. išpublikuotoje DARWIN EU inicijuotoje realaus pasaulio duomenų (angl. </w:t>
      </w:r>
      <w:proofErr w:type="spellStart"/>
      <w:r w:rsidR="004841A2" w:rsidRPr="00FE42AF">
        <w:rPr>
          <w:rFonts w:eastAsia="Arial"/>
          <w:bCs/>
          <w:i/>
          <w:iCs/>
        </w:rPr>
        <w:t>real</w:t>
      </w:r>
      <w:proofErr w:type="spellEnd"/>
      <w:r w:rsidR="004841A2" w:rsidRPr="00FE42AF">
        <w:rPr>
          <w:rFonts w:eastAsia="Arial"/>
          <w:bCs/>
          <w:i/>
          <w:iCs/>
        </w:rPr>
        <w:t xml:space="preserve"> </w:t>
      </w:r>
      <w:proofErr w:type="spellStart"/>
      <w:r w:rsidR="004841A2" w:rsidRPr="00FE42AF">
        <w:rPr>
          <w:rFonts w:eastAsia="Arial"/>
          <w:bCs/>
          <w:i/>
          <w:iCs/>
        </w:rPr>
        <w:t>world</w:t>
      </w:r>
      <w:proofErr w:type="spellEnd"/>
      <w:r w:rsidR="004841A2" w:rsidRPr="00FE42AF">
        <w:rPr>
          <w:rFonts w:eastAsia="Arial"/>
          <w:bCs/>
          <w:i/>
          <w:iCs/>
        </w:rPr>
        <w:t xml:space="preserve"> data</w:t>
      </w:r>
      <w:r w:rsidR="004841A2" w:rsidRPr="00FE42AF">
        <w:rPr>
          <w:rFonts w:eastAsia="Arial"/>
          <w:bCs/>
        </w:rPr>
        <w:t xml:space="preserve">) epidemiologinėje studijoje nustatyta, jog HKMP paplitimas bendrojoje populiacijoje varijuoja nuo 0,04% iki 0,24%, </w:t>
      </w:r>
      <w:proofErr w:type="spellStart"/>
      <w:r w:rsidR="004841A2" w:rsidRPr="00FE42AF">
        <w:rPr>
          <w:rFonts w:eastAsia="Arial"/>
          <w:bCs/>
        </w:rPr>
        <w:t>oHKMP</w:t>
      </w:r>
      <w:proofErr w:type="spellEnd"/>
      <w:r w:rsidR="004841A2" w:rsidRPr="00FE42AF">
        <w:rPr>
          <w:rFonts w:eastAsia="Arial"/>
          <w:bCs/>
        </w:rPr>
        <w:t xml:space="preserve"> – nuo 0,03% iki 0,07%. Abu funkciniai tipai dažniau nustatomi vyrams. HKMP gali būti nustatoma bet kuriame amžiuje, tačiau didžiausias ligos paplitimas tarp 80 metų ir vyresnių pacientų.</w:t>
      </w:r>
    </w:p>
    <w:p w14:paraId="72AE18A6" w14:textId="77777777" w:rsidR="008E329C" w:rsidRPr="00FE42AF" w:rsidRDefault="008E329C" w:rsidP="008E329C">
      <w:pPr>
        <w:tabs>
          <w:tab w:val="left" w:pos="426"/>
        </w:tabs>
        <w:spacing w:line="276" w:lineRule="auto"/>
        <w:jc w:val="both"/>
        <w:rPr>
          <w:rFonts w:eastAsia="Arial"/>
          <w:bCs/>
        </w:rPr>
      </w:pPr>
      <w:r w:rsidRPr="00FE42AF">
        <w:rPr>
          <w:rFonts w:eastAsia="Arial"/>
          <w:bCs/>
        </w:rPr>
        <w:tab/>
      </w:r>
      <w:r w:rsidRPr="00FE42AF">
        <w:rPr>
          <w:rFonts w:eastAsia="Arial"/>
          <w:bCs/>
        </w:rPr>
        <w:tab/>
        <w:t xml:space="preserve">2023 m. Europos kardiologų draugijos (EKD) </w:t>
      </w:r>
      <w:proofErr w:type="spellStart"/>
      <w:r w:rsidRPr="00FE42AF">
        <w:rPr>
          <w:rFonts w:eastAsia="Arial"/>
          <w:bCs/>
        </w:rPr>
        <w:t>kardiomiopatijų</w:t>
      </w:r>
      <w:proofErr w:type="spellEnd"/>
      <w:r w:rsidRPr="00FE42AF">
        <w:rPr>
          <w:rFonts w:eastAsia="Arial"/>
          <w:bCs/>
        </w:rPr>
        <w:t xml:space="preserve"> diagnostikos ir gydymo gairėse medikamentinis HKMP gydymas priklauso nuo to, ar nustatoma reikšminga KSIT obstrukcija (KSIT gradientas ≥ 50 </w:t>
      </w:r>
      <w:proofErr w:type="spellStart"/>
      <w:r w:rsidRPr="00FE42AF">
        <w:rPr>
          <w:rFonts w:eastAsia="Arial"/>
          <w:bCs/>
        </w:rPr>
        <w:t>mmHg</w:t>
      </w:r>
      <w:proofErr w:type="spellEnd"/>
      <w:r w:rsidRPr="00FE42AF">
        <w:rPr>
          <w:rFonts w:eastAsia="Arial"/>
          <w:bCs/>
        </w:rPr>
        <w:t xml:space="preserve">). Jei nustatoma </w:t>
      </w:r>
      <w:proofErr w:type="spellStart"/>
      <w:r w:rsidRPr="00FE42AF">
        <w:rPr>
          <w:rFonts w:eastAsia="Arial"/>
          <w:bCs/>
        </w:rPr>
        <w:t>oHKMP</w:t>
      </w:r>
      <w:proofErr w:type="spellEnd"/>
      <w:r w:rsidRPr="00FE42AF">
        <w:rPr>
          <w:rFonts w:eastAsia="Arial"/>
          <w:bCs/>
        </w:rPr>
        <w:t xml:space="preserve">, skiriamas pirmos eilės gydymas – maksimaliai toleruojamos </w:t>
      </w:r>
      <w:proofErr w:type="spellStart"/>
      <w:r w:rsidRPr="00FE42AF">
        <w:rPr>
          <w:rFonts w:eastAsia="Arial"/>
          <w:bCs/>
        </w:rPr>
        <w:t>nevazodilatacinių</w:t>
      </w:r>
      <w:proofErr w:type="spellEnd"/>
      <w:r w:rsidRPr="00FE42AF">
        <w:rPr>
          <w:rFonts w:eastAsia="Arial"/>
          <w:bCs/>
        </w:rPr>
        <w:t xml:space="preserve"> (pvz., </w:t>
      </w:r>
      <w:proofErr w:type="spellStart"/>
      <w:r w:rsidRPr="00FE42AF">
        <w:rPr>
          <w:rFonts w:eastAsia="Arial"/>
          <w:bCs/>
        </w:rPr>
        <w:t>metoprololis</w:t>
      </w:r>
      <w:proofErr w:type="spellEnd"/>
      <w:r w:rsidRPr="00FE42AF">
        <w:rPr>
          <w:rFonts w:eastAsia="Arial"/>
          <w:bCs/>
        </w:rPr>
        <w:t xml:space="preserve">, </w:t>
      </w:r>
      <w:proofErr w:type="spellStart"/>
      <w:r w:rsidRPr="00FE42AF">
        <w:rPr>
          <w:rFonts w:eastAsia="Arial"/>
          <w:bCs/>
        </w:rPr>
        <w:t>bisoprololis</w:t>
      </w:r>
      <w:proofErr w:type="spellEnd"/>
      <w:r w:rsidRPr="00FE42AF">
        <w:rPr>
          <w:rFonts w:eastAsia="Arial"/>
          <w:bCs/>
        </w:rPr>
        <w:t xml:space="preserve">, </w:t>
      </w:r>
      <w:proofErr w:type="spellStart"/>
      <w:r w:rsidRPr="00FE42AF">
        <w:rPr>
          <w:rFonts w:eastAsia="Arial"/>
          <w:bCs/>
        </w:rPr>
        <w:t>atenololis</w:t>
      </w:r>
      <w:proofErr w:type="spellEnd"/>
      <w:r w:rsidRPr="00FE42AF">
        <w:rPr>
          <w:rFonts w:eastAsia="Arial"/>
          <w:bCs/>
        </w:rPr>
        <w:t xml:space="preserve">, </w:t>
      </w:r>
      <w:proofErr w:type="spellStart"/>
      <w:r w:rsidRPr="00FE42AF">
        <w:rPr>
          <w:rFonts w:eastAsia="Arial"/>
          <w:bCs/>
        </w:rPr>
        <w:t>propranololis</w:t>
      </w:r>
      <w:proofErr w:type="spellEnd"/>
      <w:r w:rsidRPr="00FE42AF">
        <w:rPr>
          <w:rFonts w:eastAsia="Arial"/>
          <w:bCs/>
        </w:rPr>
        <w:t xml:space="preserve">) beta </w:t>
      </w:r>
      <w:proofErr w:type="spellStart"/>
      <w:r w:rsidRPr="00FE42AF">
        <w:rPr>
          <w:rFonts w:eastAsia="Arial"/>
          <w:bCs/>
        </w:rPr>
        <w:t>adrenoblokatorių</w:t>
      </w:r>
      <w:proofErr w:type="spellEnd"/>
      <w:r w:rsidRPr="00FE42AF">
        <w:rPr>
          <w:rFonts w:eastAsia="Arial"/>
          <w:bCs/>
        </w:rPr>
        <w:t xml:space="preserve"> (BAB) dozės (IB rekomendacija). Jei pacientas netoleruoja BAB ar gydymas jais </w:t>
      </w:r>
      <w:proofErr w:type="spellStart"/>
      <w:r w:rsidRPr="00FE42AF">
        <w:rPr>
          <w:rFonts w:eastAsia="Arial"/>
          <w:bCs/>
        </w:rPr>
        <w:t>kontraindikuotinas</w:t>
      </w:r>
      <w:proofErr w:type="spellEnd"/>
      <w:r w:rsidRPr="00FE42AF">
        <w:rPr>
          <w:rFonts w:eastAsia="Arial"/>
          <w:bCs/>
        </w:rPr>
        <w:t xml:space="preserve">, BAB rekomenduojama keisti į </w:t>
      </w:r>
      <w:proofErr w:type="spellStart"/>
      <w:r w:rsidRPr="00FE42AF">
        <w:rPr>
          <w:rFonts w:eastAsia="Arial"/>
          <w:bCs/>
        </w:rPr>
        <w:t>nedihidropiridininius</w:t>
      </w:r>
      <w:proofErr w:type="spellEnd"/>
      <w:r w:rsidRPr="00FE42AF">
        <w:rPr>
          <w:rFonts w:eastAsia="Arial"/>
          <w:bCs/>
        </w:rPr>
        <w:t xml:space="preserve"> kalcio kanalų blokatorius (KKB) – </w:t>
      </w:r>
      <w:proofErr w:type="spellStart"/>
      <w:r w:rsidRPr="00FE42AF">
        <w:rPr>
          <w:rFonts w:eastAsia="Arial"/>
          <w:bCs/>
        </w:rPr>
        <w:t>verapamilį</w:t>
      </w:r>
      <w:proofErr w:type="spellEnd"/>
      <w:r w:rsidRPr="00FE42AF">
        <w:rPr>
          <w:rFonts w:eastAsia="Arial"/>
          <w:bCs/>
        </w:rPr>
        <w:t xml:space="preserve"> ar </w:t>
      </w:r>
      <w:proofErr w:type="spellStart"/>
      <w:r w:rsidRPr="00FE42AF">
        <w:rPr>
          <w:rFonts w:eastAsia="Arial"/>
          <w:bCs/>
        </w:rPr>
        <w:t>diltiazemą</w:t>
      </w:r>
      <w:proofErr w:type="spellEnd"/>
      <w:r w:rsidRPr="00FE42AF">
        <w:rPr>
          <w:rFonts w:eastAsia="Arial"/>
          <w:bCs/>
        </w:rPr>
        <w:t xml:space="preserve"> (IB  rekomendacija). Jei gydant BAB ar KKB </w:t>
      </w:r>
      <w:proofErr w:type="spellStart"/>
      <w:r w:rsidRPr="00FE42AF">
        <w:rPr>
          <w:rFonts w:eastAsia="Arial"/>
          <w:bCs/>
        </w:rPr>
        <w:t>nepasiekama</w:t>
      </w:r>
      <w:proofErr w:type="spellEnd"/>
      <w:r w:rsidRPr="00FE42AF">
        <w:rPr>
          <w:rFonts w:eastAsia="Arial"/>
          <w:bCs/>
        </w:rPr>
        <w:t xml:space="preserve"> adekvati simptomų kontrolė, rekomenduojama pridėti </w:t>
      </w:r>
      <w:proofErr w:type="spellStart"/>
      <w:r w:rsidRPr="00FE42AF">
        <w:rPr>
          <w:rFonts w:eastAsia="Arial"/>
          <w:bCs/>
        </w:rPr>
        <w:t>disopiramidą</w:t>
      </w:r>
      <w:proofErr w:type="spellEnd"/>
      <w:r w:rsidRPr="00FE42AF">
        <w:rPr>
          <w:rFonts w:eastAsia="Arial"/>
          <w:bCs/>
        </w:rPr>
        <w:t xml:space="preserve"> (IB rekomendacija) arba </w:t>
      </w:r>
      <w:proofErr w:type="spellStart"/>
      <w:r w:rsidRPr="00FE42AF">
        <w:rPr>
          <w:rFonts w:eastAsia="Arial"/>
          <w:bCs/>
        </w:rPr>
        <w:t>mavakamteną</w:t>
      </w:r>
      <w:proofErr w:type="spellEnd"/>
      <w:r w:rsidRPr="00FE42AF">
        <w:rPr>
          <w:rFonts w:eastAsia="Arial"/>
          <w:bCs/>
        </w:rPr>
        <w:t xml:space="preserve"> (</w:t>
      </w:r>
      <w:proofErr w:type="spellStart"/>
      <w:r w:rsidRPr="00FE42AF">
        <w:rPr>
          <w:rFonts w:eastAsia="Arial"/>
          <w:bCs/>
        </w:rPr>
        <w:t>IIaA</w:t>
      </w:r>
      <w:proofErr w:type="spellEnd"/>
      <w:r w:rsidRPr="00FE42AF">
        <w:rPr>
          <w:rFonts w:eastAsia="Arial"/>
          <w:bCs/>
        </w:rPr>
        <w:t xml:space="preserve"> rekomendacija). Jei gydant BAB/KKB ir </w:t>
      </w:r>
      <w:proofErr w:type="spellStart"/>
      <w:r w:rsidRPr="00FE42AF">
        <w:rPr>
          <w:rFonts w:eastAsia="Arial"/>
          <w:bCs/>
        </w:rPr>
        <w:t>disopiramido</w:t>
      </w:r>
      <w:proofErr w:type="spellEnd"/>
      <w:r w:rsidRPr="00FE42AF">
        <w:rPr>
          <w:rFonts w:eastAsia="Arial"/>
          <w:bCs/>
        </w:rPr>
        <w:t>/</w:t>
      </w:r>
      <w:proofErr w:type="spellStart"/>
      <w:r w:rsidRPr="00FE42AF">
        <w:rPr>
          <w:rFonts w:eastAsia="Arial"/>
          <w:bCs/>
        </w:rPr>
        <w:t>mavakamteno</w:t>
      </w:r>
      <w:proofErr w:type="spellEnd"/>
      <w:r w:rsidRPr="00FE42AF">
        <w:rPr>
          <w:rFonts w:eastAsia="Arial"/>
          <w:bCs/>
        </w:rPr>
        <w:t xml:space="preserve"> deriniais nepasiekiama adekvati simptomų kontrolė, rekomenduojama pertvaros redukcijos procedūros (</w:t>
      </w:r>
      <w:proofErr w:type="spellStart"/>
      <w:r w:rsidRPr="00FE42AF">
        <w:t>tarpskilvelinės</w:t>
      </w:r>
      <w:proofErr w:type="spellEnd"/>
      <w:r w:rsidRPr="00FE42AF">
        <w:t xml:space="preserve"> pertvaros </w:t>
      </w:r>
      <w:proofErr w:type="spellStart"/>
      <w:r w:rsidRPr="00FE42AF">
        <w:t>rezekcija</w:t>
      </w:r>
      <w:proofErr w:type="spellEnd"/>
      <w:r w:rsidRPr="00FE42AF">
        <w:t xml:space="preserve"> arba alkoholinė pertvaros </w:t>
      </w:r>
      <w:proofErr w:type="spellStart"/>
      <w:r w:rsidRPr="00FE42AF">
        <w:t>abliacija</w:t>
      </w:r>
      <w:proofErr w:type="spellEnd"/>
      <w:r w:rsidRPr="00FE42AF">
        <w:t>; IB rekomendacija).</w:t>
      </w:r>
    </w:p>
    <w:p w14:paraId="1BF49849" w14:textId="77777777" w:rsidR="008E329C" w:rsidRPr="00FE42AF" w:rsidRDefault="008E329C" w:rsidP="008E329C">
      <w:pPr>
        <w:tabs>
          <w:tab w:val="left" w:pos="426"/>
        </w:tabs>
        <w:spacing w:line="276" w:lineRule="auto"/>
        <w:jc w:val="both"/>
      </w:pPr>
      <w:r w:rsidRPr="00FE42AF">
        <w:rPr>
          <w:rFonts w:eastAsia="Arial"/>
          <w:iCs/>
        </w:rPr>
        <w:tab/>
      </w:r>
      <w:r w:rsidRPr="00FE42AF">
        <w:rPr>
          <w:rFonts w:eastAsia="Arial"/>
          <w:iCs/>
        </w:rPr>
        <w:tab/>
      </w:r>
      <w:r w:rsidRPr="00FE42AF">
        <w:t>Lietuvoje HKMP su KSIT obstrukcija specifiniam gydymui gali būti kompensuojami BAB (</w:t>
      </w:r>
      <w:proofErr w:type="spellStart"/>
      <w:r w:rsidRPr="00FE42AF">
        <w:t>bisoprololis</w:t>
      </w:r>
      <w:proofErr w:type="spellEnd"/>
      <w:r w:rsidRPr="00FE42AF">
        <w:t xml:space="preserve">, </w:t>
      </w:r>
      <w:proofErr w:type="spellStart"/>
      <w:r w:rsidRPr="00FE42AF">
        <w:t>metoprololis</w:t>
      </w:r>
      <w:proofErr w:type="spellEnd"/>
      <w:r w:rsidRPr="00FE42AF">
        <w:t xml:space="preserve">, </w:t>
      </w:r>
      <w:proofErr w:type="spellStart"/>
      <w:r w:rsidRPr="00FE42AF">
        <w:t>karvedilolis</w:t>
      </w:r>
      <w:proofErr w:type="spellEnd"/>
      <w:r w:rsidRPr="00FE42AF">
        <w:t xml:space="preserve">, </w:t>
      </w:r>
      <w:proofErr w:type="spellStart"/>
      <w:r w:rsidRPr="00FE42AF">
        <w:t>nebivololis</w:t>
      </w:r>
      <w:proofErr w:type="spellEnd"/>
      <w:r w:rsidRPr="00FE42AF">
        <w:t>) pagal ŠN TLK-10 AM kodą (I50). KKB (</w:t>
      </w:r>
      <w:proofErr w:type="spellStart"/>
      <w:r w:rsidRPr="00FE42AF">
        <w:t>verapamilis</w:t>
      </w:r>
      <w:proofErr w:type="spellEnd"/>
      <w:r w:rsidRPr="00FE42AF">
        <w:t xml:space="preserve">, </w:t>
      </w:r>
      <w:proofErr w:type="spellStart"/>
      <w:r w:rsidRPr="00FE42AF">
        <w:t>diltiazemas</w:t>
      </w:r>
      <w:proofErr w:type="spellEnd"/>
      <w:r w:rsidRPr="00FE42AF">
        <w:t>) ir kiti BAB (</w:t>
      </w:r>
      <w:proofErr w:type="spellStart"/>
      <w:r w:rsidRPr="00FE42AF">
        <w:t>atenololis</w:t>
      </w:r>
      <w:proofErr w:type="spellEnd"/>
      <w:r w:rsidRPr="00FE42AF">
        <w:t xml:space="preserve">, </w:t>
      </w:r>
      <w:proofErr w:type="spellStart"/>
      <w:r w:rsidRPr="00FE42AF">
        <w:t>betaksololis</w:t>
      </w:r>
      <w:proofErr w:type="spellEnd"/>
      <w:r w:rsidRPr="00FE42AF">
        <w:t xml:space="preserve">) gali būti kompensuojami esant kitoms gretutinėms ligoms, kurios neretai nustatomos kartu (I10 – I11, I15, </w:t>
      </w:r>
      <w:r w:rsidRPr="00FE42AF">
        <w:rPr>
          <w:rFonts w:eastAsia="Arial"/>
          <w:iCs/>
        </w:rPr>
        <w:t>I47, I48, I49</w:t>
      </w:r>
      <w:r w:rsidRPr="00FE42AF">
        <w:t>).</w:t>
      </w:r>
    </w:p>
    <w:p w14:paraId="1182E54A" w14:textId="3C3E223E" w:rsidR="008E329C" w:rsidRPr="00FE42AF" w:rsidRDefault="008E329C" w:rsidP="008E329C">
      <w:pPr>
        <w:tabs>
          <w:tab w:val="left" w:pos="426"/>
        </w:tabs>
        <w:spacing w:line="276" w:lineRule="auto"/>
        <w:jc w:val="both"/>
      </w:pPr>
      <w:r w:rsidRPr="00FE42AF">
        <w:tab/>
      </w:r>
      <w:r w:rsidRPr="00FE42AF">
        <w:tab/>
        <w:t xml:space="preserve">Nors pareiškėjas </w:t>
      </w:r>
      <w:r w:rsidR="00830AF7">
        <w:t>*******</w:t>
      </w:r>
      <w:r w:rsidRPr="00FE42AF">
        <w:t xml:space="preserve">, kurioje eilėje turėtų būti paskirtas gydymas, pagal pateiktą ekonominę analizę padaryta prielaida, jog </w:t>
      </w:r>
      <w:proofErr w:type="spellStart"/>
      <w:r w:rsidRPr="00FE42AF">
        <w:t>mavakamtenas</w:t>
      </w:r>
      <w:proofErr w:type="spellEnd"/>
      <w:r w:rsidRPr="00FE42AF">
        <w:t xml:space="preserve"> šiuo metu Lietuvoje taikomoje gydymo schemoje turėtų papildyti standartinį pacientams skiriamą medikamentinį </w:t>
      </w:r>
      <w:proofErr w:type="spellStart"/>
      <w:r w:rsidRPr="00FE42AF">
        <w:t>oHKMP</w:t>
      </w:r>
      <w:proofErr w:type="spellEnd"/>
      <w:r w:rsidRPr="00FE42AF">
        <w:t xml:space="preserve"> gydymą, </w:t>
      </w:r>
      <w:proofErr w:type="spellStart"/>
      <w:r w:rsidRPr="00FE42AF">
        <w:t>t.y</w:t>
      </w:r>
      <w:proofErr w:type="spellEnd"/>
      <w:r w:rsidRPr="00FE42AF">
        <w:t xml:space="preserve">. būti skiriamas kartu su </w:t>
      </w:r>
      <w:proofErr w:type="spellStart"/>
      <w:r w:rsidRPr="00FE42AF">
        <w:t>nevazodilataciniais</w:t>
      </w:r>
      <w:proofErr w:type="spellEnd"/>
      <w:r w:rsidRPr="00FE42AF">
        <w:t xml:space="preserve"> BAB (</w:t>
      </w:r>
      <w:proofErr w:type="spellStart"/>
      <w:r w:rsidRPr="00FE42AF">
        <w:t>metoprololiu</w:t>
      </w:r>
      <w:proofErr w:type="spellEnd"/>
      <w:r w:rsidRPr="00FE42AF">
        <w:t xml:space="preserve">, </w:t>
      </w:r>
      <w:proofErr w:type="spellStart"/>
      <w:r w:rsidRPr="00FE42AF">
        <w:t>bisoprololiu</w:t>
      </w:r>
      <w:proofErr w:type="spellEnd"/>
      <w:r w:rsidRPr="00FE42AF">
        <w:t xml:space="preserve"> ar </w:t>
      </w:r>
      <w:proofErr w:type="spellStart"/>
      <w:r w:rsidRPr="00FE42AF">
        <w:t>atenololiu</w:t>
      </w:r>
      <w:proofErr w:type="spellEnd"/>
      <w:r w:rsidRPr="00FE42AF">
        <w:t xml:space="preserve">; </w:t>
      </w:r>
      <w:proofErr w:type="spellStart"/>
      <w:r w:rsidRPr="00FE42AF">
        <w:t>propranololis</w:t>
      </w:r>
      <w:proofErr w:type="spellEnd"/>
      <w:r w:rsidRPr="00FE42AF">
        <w:t xml:space="preserve"> Lietuvoje šiai būklei nekompensuojamas) arba </w:t>
      </w:r>
      <w:proofErr w:type="spellStart"/>
      <w:r w:rsidRPr="00FE42AF">
        <w:t>nedihidropiridiniais</w:t>
      </w:r>
      <w:proofErr w:type="spellEnd"/>
      <w:r w:rsidRPr="00FE42AF">
        <w:t xml:space="preserve"> KKB (</w:t>
      </w:r>
      <w:proofErr w:type="spellStart"/>
      <w:r w:rsidRPr="00FE42AF">
        <w:t>verapamiliu</w:t>
      </w:r>
      <w:proofErr w:type="spellEnd"/>
      <w:r w:rsidRPr="00FE42AF">
        <w:t xml:space="preserve"> ar </w:t>
      </w:r>
      <w:proofErr w:type="spellStart"/>
      <w:r w:rsidRPr="00FE42AF">
        <w:t>diltiazemu</w:t>
      </w:r>
      <w:proofErr w:type="spellEnd"/>
      <w:r w:rsidRPr="00FE42AF">
        <w:t>), kas atitinka įprastą klinikinę praktiką.</w:t>
      </w:r>
    </w:p>
    <w:p w14:paraId="65A30745" w14:textId="7E2108BF" w:rsidR="008E329C" w:rsidRPr="00FE42AF" w:rsidRDefault="008E329C" w:rsidP="008E329C">
      <w:pPr>
        <w:tabs>
          <w:tab w:val="left" w:pos="426"/>
        </w:tabs>
        <w:spacing w:line="276" w:lineRule="auto"/>
        <w:jc w:val="both"/>
      </w:pPr>
      <w:r w:rsidRPr="00FE42AF">
        <w:rPr>
          <w:bCs/>
          <w:color w:val="000000"/>
          <w:lang w:eastAsia="lt-LT"/>
        </w:rPr>
        <w:tab/>
      </w:r>
      <w:r w:rsidRPr="00FE42AF">
        <w:rPr>
          <w:bCs/>
          <w:color w:val="000000"/>
          <w:lang w:eastAsia="lt-LT"/>
        </w:rPr>
        <w:tab/>
        <w:t xml:space="preserve">Palyginamasis veiksmingumas grindžiami klinikinių tyrimų EXPLORER-HCM ir VALOR-HCM duomenimis. Abiejų tyrimų populiacijos atitinka vertinamą indikaciją, tačiau nustatyta, jog EXPLORER-HCM tyrimo populiacija yra </w:t>
      </w:r>
      <w:r w:rsidR="00830AF7">
        <w:rPr>
          <w:bCs/>
          <w:color w:val="000000"/>
          <w:lang w:eastAsia="lt-LT"/>
        </w:rPr>
        <w:t xml:space="preserve">********* </w:t>
      </w:r>
      <w:r w:rsidRPr="00FE42AF">
        <w:rPr>
          <w:bCs/>
          <w:color w:val="000000"/>
          <w:lang w:eastAsia="lt-LT"/>
        </w:rPr>
        <w:t xml:space="preserve">vertinant rezultatų pritaikomumą Lietuvos populiacijai (didžioji dauguma pacientų vartojo BAB arba KKB </w:t>
      </w:r>
      <w:proofErr w:type="spellStart"/>
      <w:r w:rsidRPr="00FE42AF">
        <w:rPr>
          <w:bCs/>
          <w:color w:val="000000"/>
          <w:lang w:eastAsia="lt-LT"/>
        </w:rPr>
        <w:t>monoterapiją</w:t>
      </w:r>
      <w:proofErr w:type="spellEnd"/>
      <w:r w:rsidRPr="00FE42AF">
        <w:rPr>
          <w:bCs/>
          <w:color w:val="000000"/>
          <w:lang w:eastAsia="lt-LT"/>
        </w:rPr>
        <w:t>).</w:t>
      </w:r>
    </w:p>
    <w:p w14:paraId="3A5AD588" w14:textId="77777777" w:rsidR="008E329C" w:rsidRPr="00FE42AF" w:rsidRDefault="008E329C" w:rsidP="008E329C">
      <w:pPr>
        <w:tabs>
          <w:tab w:val="left" w:pos="426"/>
        </w:tabs>
        <w:spacing w:line="276" w:lineRule="auto"/>
        <w:jc w:val="both"/>
        <w:rPr>
          <w:rFonts w:eastAsia="Arial"/>
          <w:iCs/>
        </w:rPr>
      </w:pPr>
    </w:p>
    <w:p w14:paraId="49BE98B9" w14:textId="77777777" w:rsidR="008E329C" w:rsidRPr="00FE42AF" w:rsidRDefault="008E329C" w:rsidP="008E329C">
      <w:pPr>
        <w:widowControl w:val="0"/>
        <w:jc w:val="both"/>
        <w:rPr>
          <w:bCs/>
          <w:i/>
          <w:iCs/>
          <w:color w:val="000000"/>
          <w:lang w:eastAsia="lt-LT"/>
        </w:rPr>
      </w:pPr>
      <w:r w:rsidRPr="00FE42AF">
        <w:rPr>
          <w:bCs/>
          <w:i/>
          <w:iCs/>
          <w:color w:val="000000"/>
          <w:lang w:eastAsia="lt-LT"/>
        </w:rPr>
        <w:t>Tiesioginis palyginimas</w:t>
      </w:r>
    </w:p>
    <w:p w14:paraId="2FF5D4A3" w14:textId="77777777" w:rsidR="008E329C" w:rsidRPr="00FE42AF" w:rsidRDefault="008E329C" w:rsidP="008E329C">
      <w:pPr>
        <w:widowControl w:val="0"/>
        <w:jc w:val="both"/>
        <w:rPr>
          <w:bCs/>
          <w:i/>
          <w:iCs/>
          <w:color w:val="000000"/>
          <w:lang w:eastAsia="lt-LT"/>
        </w:rPr>
      </w:pPr>
    </w:p>
    <w:p w14:paraId="04EB4C7B" w14:textId="77777777" w:rsidR="008E329C" w:rsidRPr="00FE42AF" w:rsidRDefault="008E329C" w:rsidP="008E329C">
      <w:pPr>
        <w:widowControl w:val="0"/>
        <w:spacing w:line="276" w:lineRule="auto"/>
        <w:ind w:firstLine="720"/>
        <w:jc w:val="both"/>
        <w:rPr>
          <w:bCs/>
          <w:color w:val="000000"/>
          <w:lang w:eastAsia="lt-LT"/>
        </w:rPr>
      </w:pPr>
      <w:r w:rsidRPr="00FE42AF">
        <w:rPr>
          <w:bCs/>
          <w:color w:val="000000"/>
          <w:lang w:eastAsia="lt-LT"/>
        </w:rPr>
        <w:t xml:space="preserve">Klinikinis tyrimas EXPLORER-HCM </w:t>
      </w:r>
      <w:r w:rsidRPr="00FE42AF">
        <w:rPr>
          <w:rFonts w:eastAsia="Arial"/>
          <w:bCs/>
        </w:rPr>
        <w:t xml:space="preserve">yra </w:t>
      </w:r>
      <w:proofErr w:type="spellStart"/>
      <w:r w:rsidRPr="00FE42AF">
        <w:rPr>
          <w:rFonts w:eastAsia="Arial"/>
          <w:bCs/>
        </w:rPr>
        <w:t>daugiacentrinis</w:t>
      </w:r>
      <w:proofErr w:type="spellEnd"/>
      <w:r w:rsidRPr="00FE42AF">
        <w:rPr>
          <w:rFonts w:eastAsia="Arial"/>
          <w:bCs/>
        </w:rPr>
        <w:t xml:space="preserve">, 3 fazės, atsitiktinių imčių, dvigubai maskuotas, placebo kontroliuojami tyrimas, kuriame buvo vertinamas </w:t>
      </w:r>
      <w:proofErr w:type="spellStart"/>
      <w:r w:rsidRPr="00FE42AF">
        <w:rPr>
          <w:rFonts w:eastAsia="Arial"/>
          <w:bCs/>
        </w:rPr>
        <w:t>mavakamteno</w:t>
      </w:r>
      <w:proofErr w:type="spellEnd"/>
      <w:r w:rsidRPr="00FE42AF">
        <w:rPr>
          <w:rFonts w:eastAsia="Arial"/>
          <w:bCs/>
        </w:rPr>
        <w:t xml:space="preserve"> efektyvumas ir saugumas gydant 18 metų ir vyresnius pacientus, kuriems nustatyta simptominė </w:t>
      </w:r>
      <w:proofErr w:type="spellStart"/>
      <w:r w:rsidRPr="00FE42AF">
        <w:rPr>
          <w:rFonts w:eastAsia="Arial"/>
          <w:bCs/>
        </w:rPr>
        <w:t>oHKMP</w:t>
      </w:r>
      <w:proofErr w:type="spellEnd"/>
      <w:r w:rsidRPr="00FE42AF">
        <w:rPr>
          <w:rFonts w:eastAsia="Arial"/>
          <w:bCs/>
        </w:rPr>
        <w:t>.</w:t>
      </w:r>
    </w:p>
    <w:p w14:paraId="51E1C74D" w14:textId="77777777" w:rsidR="008E329C" w:rsidRPr="00FE42AF" w:rsidRDefault="008E329C" w:rsidP="008E329C">
      <w:pPr>
        <w:widowControl w:val="0"/>
        <w:spacing w:line="276" w:lineRule="auto"/>
        <w:ind w:firstLine="720"/>
        <w:jc w:val="both"/>
        <w:rPr>
          <w:bCs/>
          <w:color w:val="000000"/>
          <w:lang w:eastAsia="lt-LT"/>
        </w:rPr>
      </w:pPr>
      <w:r w:rsidRPr="00FE42AF">
        <w:rPr>
          <w:bCs/>
          <w:color w:val="000000"/>
          <w:lang w:eastAsia="lt-LT"/>
        </w:rPr>
        <w:t xml:space="preserve">Vertinant pirminės baigties rezultatus, nustatyta, kad </w:t>
      </w:r>
      <w:proofErr w:type="spellStart"/>
      <w:r w:rsidRPr="00FE42AF">
        <w:rPr>
          <w:bCs/>
          <w:color w:val="000000"/>
          <w:lang w:eastAsia="lt-LT"/>
        </w:rPr>
        <w:t>mavakamteno</w:t>
      </w:r>
      <w:proofErr w:type="spellEnd"/>
      <w:r w:rsidRPr="00FE42AF">
        <w:rPr>
          <w:bCs/>
          <w:color w:val="000000"/>
          <w:lang w:eastAsia="lt-LT"/>
        </w:rPr>
        <w:t xml:space="preserve"> grupėje kliniškai reikšmingas pacientų funkcinės būklės pagerėjimas (</w:t>
      </w:r>
      <w:r w:rsidRPr="00FE42AF">
        <w:rPr>
          <w:rFonts w:eastAsia="Arial"/>
          <w:bCs/>
        </w:rPr>
        <w:t>VO</w:t>
      </w:r>
      <w:r w:rsidRPr="00FE42AF">
        <w:rPr>
          <w:rFonts w:eastAsia="Arial"/>
          <w:bCs/>
          <w:vertAlign w:val="subscript"/>
        </w:rPr>
        <w:t>2</w:t>
      </w:r>
      <w:r w:rsidRPr="00FE42AF">
        <w:rPr>
          <w:rFonts w:eastAsia="Arial"/>
          <w:bCs/>
        </w:rPr>
        <w:t xml:space="preserve"> padidėjimas ≥ 1,5 ml/kg/min ir funkcinės būklės pagerėjimas ≥ 1 klase arba VO</w:t>
      </w:r>
      <w:r w:rsidRPr="00FE42AF">
        <w:rPr>
          <w:rFonts w:eastAsia="Arial"/>
          <w:bCs/>
          <w:vertAlign w:val="subscript"/>
        </w:rPr>
        <w:t>2</w:t>
      </w:r>
      <w:r w:rsidRPr="00FE42AF">
        <w:rPr>
          <w:rFonts w:eastAsia="Arial"/>
          <w:bCs/>
        </w:rPr>
        <w:t xml:space="preserve"> padidėjimas ≥ 3,0 ml/kg/min ir stabili funkcinė būklė – pirminė sudėtinė baigtis) pasiektas dažniau, lyginant su placebo (atitinkamai 37% ir 17%, p &lt; 0,0005). Vertinant sudėtinės baigties komponentus atskirai, abi baigtys </w:t>
      </w:r>
      <w:proofErr w:type="spellStart"/>
      <w:r w:rsidRPr="00FE42AF">
        <w:rPr>
          <w:rFonts w:eastAsia="Arial"/>
          <w:bCs/>
        </w:rPr>
        <w:t>mavakamteno</w:t>
      </w:r>
      <w:proofErr w:type="spellEnd"/>
      <w:r w:rsidRPr="00FE42AF">
        <w:rPr>
          <w:rFonts w:eastAsia="Arial"/>
          <w:bCs/>
        </w:rPr>
        <w:t xml:space="preserve"> grupėje buvo pasiekiamos dažniau nei placebo grupėje. Panašios tendencijos išliko ir iš anksto numatytų pogrupių analizėje. </w:t>
      </w:r>
      <w:r w:rsidRPr="00FE42AF">
        <w:rPr>
          <w:bCs/>
          <w:color w:val="000000"/>
          <w:lang w:eastAsia="lt-LT"/>
        </w:rPr>
        <w:t xml:space="preserve">Pagal Europos komisijos išleistas lėtinio ŠN gydymui skirtų vaistinių preparatų vertinimo gaires (CPMP/EWP/235/95 Rev.2), specifinėse pacientų populiacijose (šioje grupėje išskiriami pacientai, kuriems nustatyta HKMP), kuriose gydymo poreikis yra nepatenkintas (angl. </w:t>
      </w:r>
      <w:proofErr w:type="spellStart"/>
      <w:r w:rsidRPr="00FE42AF">
        <w:rPr>
          <w:bCs/>
          <w:i/>
          <w:iCs/>
          <w:color w:val="000000"/>
          <w:lang w:eastAsia="lt-LT"/>
        </w:rPr>
        <w:t>unmet</w:t>
      </w:r>
      <w:proofErr w:type="spellEnd"/>
      <w:r w:rsidRPr="00FE42AF">
        <w:rPr>
          <w:bCs/>
          <w:i/>
          <w:iCs/>
          <w:color w:val="000000"/>
          <w:lang w:eastAsia="lt-LT"/>
        </w:rPr>
        <w:t xml:space="preserve"> </w:t>
      </w:r>
      <w:proofErr w:type="spellStart"/>
      <w:r w:rsidRPr="00FE42AF">
        <w:rPr>
          <w:bCs/>
          <w:i/>
          <w:iCs/>
          <w:color w:val="000000"/>
          <w:lang w:eastAsia="lt-LT"/>
        </w:rPr>
        <w:t>medical</w:t>
      </w:r>
      <w:proofErr w:type="spellEnd"/>
      <w:r w:rsidRPr="00FE42AF">
        <w:rPr>
          <w:bCs/>
          <w:i/>
          <w:iCs/>
          <w:color w:val="000000"/>
          <w:lang w:eastAsia="lt-LT"/>
        </w:rPr>
        <w:t xml:space="preserve"> </w:t>
      </w:r>
      <w:proofErr w:type="spellStart"/>
      <w:r w:rsidRPr="00FE42AF">
        <w:rPr>
          <w:bCs/>
          <w:i/>
          <w:iCs/>
          <w:color w:val="000000"/>
          <w:lang w:eastAsia="lt-LT"/>
        </w:rPr>
        <w:t>need</w:t>
      </w:r>
      <w:proofErr w:type="spellEnd"/>
      <w:r w:rsidRPr="00FE42AF">
        <w:rPr>
          <w:bCs/>
          <w:color w:val="000000"/>
          <w:lang w:eastAsia="lt-LT"/>
        </w:rPr>
        <w:t>), gydymo poveikis fizinio krūvio tolerancijai gali būti laikoma tinkama pirmine vertinamąja baigtimi, tačiau vaistinio preparato poveikis turi būti kliniškai reikšmingas ir gerinti pacientų gyvenimo kokybę.</w:t>
      </w:r>
    </w:p>
    <w:p w14:paraId="5DA7ACCA" w14:textId="77777777" w:rsidR="008E329C" w:rsidRPr="00FE42AF" w:rsidRDefault="008E329C" w:rsidP="008E329C">
      <w:pPr>
        <w:widowControl w:val="0"/>
        <w:spacing w:line="276" w:lineRule="auto"/>
        <w:ind w:firstLine="720"/>
        <w:jc w:val="both"/>
        <w:rPr>
          <w:rFonts w:eastAsia="Arial"/>
          <w:bCs/>
        </w:rPr>
      </w:pPr>
      <w:proofErr w:type="spellStart"/>
      <w:r w:rsidRPr="00FE42AF">
        <w:rPr>
          <w:bCs/>
          <w:color w:val="000000"/>
          <w:lang w:val="en-US" w:eastAsia="lt-LT"/>
        </w:rPr>
        <w:t>Vertinant</w:t>
      </w:r>
      <w:proofErr w:type="spellEnd"/>
      <w:r w:rsidRPr="00FE42AF">
        <w:rPr>
          <w:bCs/>
          <w:color w:val="000000"/>
          <w:lang w:val="en-US" w:eastAsia="lt-LT"/>
        </w:rPr>
        <w:t xml:space="preserve"> </w:t>
      </w:r>
      <w:proofErr w:type="spellStart"/>
      <w:r w:rsidRPr="00FE42AF">
        <w:rPr>
          <w:bCs/>
          <w:color w:val="000000"/>
          <w:lang w:val="en-US" w:eastAsia="lt-LT"/>
        </w:rPr>
        <w:t>antrines</w:t>
      </w:r>
      <w:proofErr w:type="spellEnd"/>
      <w:r w:rsidRPr="00FE42AF">
        <w:rPr>
          <w:bCs/>
          <w:color w:val="000000"/>
          <w:lang w:val="en-US" w:eastAsia="lt-LT"/>
        </w:rPr>
        <w:t xml:space="preserve"> </w:t>
      </w:r>
      <w:proofErr w:type="spellStart"/>
      <w:r w:rsidRPr="00FE42AF">
        <w:rPr>
          <w:bCs/>
          <w:color w:val="000000"/>
          <w:lang w:val="en-US" w:eastAsia="lt-LT"/>
        </w:rPr>
        <w:t>baigtis</w:t>
      </w:r>
      <w:proofErr w:type="spellEnd"/>
      <w:r w:rsidRPr="00FE42AF">
        <w:rPr>
          <w:bCs/>
          <w:color w:val="000000"/>
          <w:lang w:val="en-US" w:eastAsia="lt-LT"/>
        </w:rPr>
        <w:t xml:space="preserve">, </w:t>
      </w:r>
      <w:proofErr w:type="spellStart"/>
      <w:r w:rsidRPr="00FE42AF">
        <w:rPr>
          <w:bCs/>
          <w:color w:val="000000"/>
          <w:lang w:val="en-US" w:eastAsia="lt-LT"/>
        </w:rPr>
        <w:t>echokardiografiniai</w:t>
      </w:r>
      <w:proofErr w:type="spellEnd"/>
      <w:r w:rsidRPr="00FE42AF">
        <w:rPr>
          <w:bCs/>
          <w:color w:val="000000"/>
          <w:lang w:val="en-US" w:eastAsia="lt-LT"/>
        </w:rPr>
        <w:t xml:space="preserve"> </w:t>
      </w:r>
      <w:proofErr w:type="spellStart"/>
      <w:r w:rsidRPr="00FE42AF">
        <w:rPr>
          <w:bCs/>
          <w:color w:val="000000"/>
          <w:lang w:val="en-US" w:eastAsia="lt-LT"/>
        </w:rPr>
        <w:t>obstrukcijos</w:t>
      </w:r>
      <w:proofErr w:type="spellEnd"/>
      <w:r w:rsidRPr="00FE42AF">
        <w:rPr>
          <w:bCs/>
          <w:color w:val="000000"/>
          <w:lang w:val="en-US" w:eastAsia="lt-LT"/>
        </w:rPr>
        <w:t xml:space="preserve"> </w:t>
      </w:r>
      <w:proofErr w:type="spellStart"/>
      <w:r w:rsidRPr="00FE42AF">
        <w:rPr>
          <w:bCs/>
          <w:color w:val="000000"/>
          <w:lang w:val="en-US" w:eastAsia="lt-LT"/>
        </w:rPr>
        <w:t>parametrai</w:t>
      </w:r>
      <w:proofErr w:type="spellEnd"/>
      <w:r w:rsidRPr="00FE42AF">
        <w:rPr>
          <w:bCs/>
          <w:color w:val="000000"/>
          <w:lang w:val="en-US" w:eastAsia="lt-LT"/>
        </w:rPr>
        <w:t xml:space="preserve"> </w:t>
      </w:r>
      <w:proofErr w:type="spellStart"/>
      <w:r w:rsidRPr="00FE42AF">
        <w:rPr>
          <w:bCs/>
          <w:color w:val="000000"/>
          <w:lang w:val="en-US" w:eastAsia="lt-LT"/>
        </w:rPr>
        <w:t>mavakamteno</w:t>
      </w:r>
      <w:proofErr w:type="spellEnd"/>
      <w:r w:rsidRPr="00FE42AF">
        <w:rPr>
          <w:bCs/>
          <w:color w:val="000000"/>
          <w:lang w:val="en-US" w:eastAsia="lt-LT"/>
        </w:rPr>
        <w:t xml:space="preserve"> </w:t>
      </w:r>
      <w:proofErr w:type="spellStart"/>
      <w:r w:rsidRPr="00FE42AF">
        <w:rPr>
          <w:bCs/>
          <w:color w:val="000000"/>
          <w:lang w:val="en-US" w:eastAsia="lt-LT"/>
        </w:rPr>
        <w:t>grupėje</w:t>
      </w:r>
      <w:proofErr w:type="spellEnd"/>
      <w:r w:rsidRPr="00FE42AF">
        <w:rPr>
          <w:bCs/>
          <w:color w:val="000000"/>
          <w:lang w:val="en-US" w:eastAsia="lt-LT"/>
        </w:rPr>
        <w:t xml:space="preserve"> </w:t>
      </w:r>
      <w:proofErr w:type="spellStart"/>
      <w:r w:rsidRPr="00FE42AF">
        <w:rPr>
          <w:bCs/>
          <w:color w:val="000000"/>
          <w:lang w:val="en-US" w:eastAsia="lt-LT"/>
        </w:rPr>
        <w:t>statistiškai</w:t>
      </w:r>
      <w:proofErr w:type="spellEnd"/>
      <w:r w:rsidRPr="00FE42AF">
        <w:rPr>
          <w:bCs/>
          <w:color w:val="000000"/>
          <w:lang w:val="en-US" w:eastAsia="lt-LT"/>
        </w:rPr>
        <w:t xml:space="preserve"> </w:t>
      </w:r>
      <w:proofErr w:type="spellStart"/>
      <w:r w:rsidRPr="00FE42AF">
        <w:rPr>
          <w:bCs/>
          <w:color w:val="000000"/>
          <w:lang w:val="en-US" w:eastAsia="lt-LT"/>
        </w:rPr>
        <w:t>reikšmingai</w:t>
      </w:r>
      <w:proofErr w:type="spellEnd"/>
      <w:r w:rsidRPr="00FE42AF">
        <w:rPr>
          <w:bCs/>
          <w:color w:val="000000"/>
          <w:lang w:val="en-US" w:eastAsia="lt-LT"/>
        </w:rPr>
        <w:t xml:space="preserve"> </w:t>
      </w:r>
      <w:proofErr w:type="spellStart"/>
      <w:r w:rsidRPr="00FE42AF">
        <w:rPr>
          <w:bCs/>
          <w:color w:val="000000"/>
          <w:lang w:val="en-US" w:eastAsia="lt-LT"/>
        </w:rPr>
        <w:t>sumažėjo</w:t>
      </w:r>
      <w:proofErr w:type="spellEnd"/>
      <w:r w:rsidRPr="00FE42AF">
        <w:rPr>
          <w:bCs/>
          <w:color w:val="000000"/>
          <w:lang w:val="en-US" w:eastAsia="lt-LT"/>
        </w:rPr>
        <w:t xml:space="preserve"> </w:t>
      </w:r>
      <w:proofErr w:type="spellStart"/>
      <w:r w:rsidRPr="00FE42AF">
        <w:rPr>
          <w:bCs/>
          <w:color w:val="000000"/>
          <w:lang w:val="en-US" w:eastAsia="lt-LT"/>
        </w:rPr>
        <w:t>daugiau</w:t>
      </w:r>
      <w:proofErr w:type="spellEnd"/>
      <w:r w:rsidRPr="00FE42AF">
        <w:rPr>
          <w:bCs/>
          <w:color w:val="000000"/>
          <w:lang w:val="en-US" w:eastAsia="lt-LT"/>
        </w:rPr>
        <w:t xml:space="preserve"> (– 35,6; 95% PI – 43,2 – – 28,1; p &lt; 0,0001), </w:t>
      </w:r>
      <w:proofErr w:type="spellStart"/>
      <w:r w:rsidRPr="00FE42AF">
        <w:rPr>
          <w:bCs/>
          <w:color w:val="000000"/>
          <w:lang w:val="en-US" w:eastAsia="lt-LT"/>
        </w:rPr>
        <w:t>fizinio</w:t>
      </w:r>
      <w:proofErr w:type="spellEnd"/>
      <w:r w:rsidRPr="00FE42AF">
        <w:rPr>
          <w:bCs/>
          <w:color w:val="000000"/>
          <w:lang w:val="en-US" w:eastAsia="lt-LT"/>
        </w:rPr>
        <w:t xml:space="preserve"> </w:t>
      </w:r>
      <w:proofErr w:type="spellStart"/>
      <w:r w:rsidRPr="00FE42AF">
        <w:rPr>
          <w:bCs/>
          <w:color w:val="000000"/>
          <w:lang w:val="en-US" w:eastAsia="lt-LT"/>
        </w:rPr>
        <w:t>krūvio</w:t>
      </w:r>
      <w:proofErr w:type="spellEnd"/>
      <w:r w:rsidRPr="00FE42AF">
        <w:rPr>
          <w:bCs/>
          <w:color w:val="000000"/>
          <w:lang w:val="en-US" w:eastAsia="lt-LT"/>
        </w:rPr>
        <w:t xml:space="preserve"> </w:t>
      </w:r>
      <w:proofErr w:type="spellStart"/>
      <w:r w:rsidRPr="00FE42AF">
        <w:rPr>
          <w:bCs/>
          <w:color w:val="000000"/>
          <w:lang w:val="en-US" w:eastAsia="lt-LT"/>
        </w:rPr>
        <w:t>tolerancija</w:t>
      </w:r>
      <w:proofErr w:type="spellEnd"/>
      <w:r w:rsidRPr="00FE42AF">
        <w:rPr>
          <w:bCs/>
          <w:color w:val="000000"/>
          <w:lang w:val="en-US" w:eastAsia="lt-LT"/>
        </w:rPr>
        <w:t xml:space="preserve"> </w:t>
      </w:r>
      <w:proofErr w:type="spellStart"/>
      <w:r w:rsidRPr="00FE42AF">
        <w:rPr>
          <w:bCs/>
          <w:color w:val="000000"/>
          <w:lang w:val="en-US" w:eastAsia="lt-LT"/>
        </w:rPr>
        <w:t>pagal</w:t>
      </w:r>
      <w:proofErr w:type="spellEnd"/>
      <w:r w:rsidRPr="00FE42AF">
        <w:rPr>
          <w:bCs/>
          <w:color w:val="000000"/>
          <w:lang w:val="en-US" w:eastAsia="lt-LT"/>
        </w:rPr>
        <w:t xml:space="preserve"> </w:t>
      </w:r>
      <w:r w:rsidRPr="00FE42AF">
        <w:rPr>
          <w:rFonts w:eastAsia="Arial"/>
          <w:bCs/>
        </w:rPr>
        <w:t>VO</w:t>
      </w:r>
      <w:r w:rsidRPr="00FE42AF">
        <w:rPr>
          <w:rFonts w:eastAsia="Arial"/>
          <w:bCs/>
          <w:vertAlign w:val="subscript"/>
        </w:rPr>
        <w:t>2</w:t>
      </w:r>
      <w:r w:rsidRPr="00FE42AF">
        <w:rPr>
          <w:rFonts w:eastAsia="Arial"/>
          <w:bCs/>
        </w:rPr>
        <w:t xml:space="preserve"> rodiklį</w:t>
      </w:r>
      <w:r w:rsidRPr="00FE42AF">
        <w:rPr>
          <w:bCs/>
          <w:color w:val="000000"/>
          <w:lang w:val="en-US" w:eastAsia="lt-LT"/>
        </w:rPr>
        <w:t xml:space="preserve"> (</w:t>
      </w:r>
      <w:r w:rsidRPr="00FE42AF">
        <w:rPr>
          <w:rFonts w:eastAsia="Arial"/>
          <w:bCs/>
        </w:rPr>
        <w:t>1,4; 95% PI 0,6 – 2,1; p = 0,0006) padidėjo daugiau ir funkcinė būklė pagerėjo dažniau (34; 95% PI 22 – 45; p &lt; 0,0001), lyginant su placebo.</w:t>
      </w:r>
    </w:p>
    <w:p w14:paraId="049C96BB" w14:textId="77777777" w:rsidR="008E329C" w:rsidRPr="00FE42AF" w:rsidRDefault="008E329C" w:rsidP="008E329C">
      <w:pPr>
        <w:widowControl w:val="0"/>
        <w:spacing w:line="276" w:lineRule="auto"/>
        <w:ind w:firstLine="720"/>
        <w:jc w:val="both"/>
        <w:rPr>
          <w:bCs/>
          <w:color w:val="000000"/>
          <w:lang w:eastAsia="lt-LT"/>
        </w:rPr>
      </w:pPr>
      <w:r w:rsidRPr="00FE42AF">
        <w:rPr>
          <w:rFonts w:eastAsia="Arial"/>
          <w:iCs/>
        </w:rPr>
        <w:t xml:space="preserve">Pacientų praneštos baigtys buvo įvertintos pacientams užpildant </w:t>
      </w:r>
      <w:r w:rsidRPr="00FE42AF">
        <w:rPr>
          <w:rFonts w:eastAsia="Arial"/>
        </w:rPr>
        <w:t xml:space="preserve">KCCQ-CCS, HCMSQ </w:t>
      </w:r>
      <w:proofErr w:type="spellStart"/>
      <w:r w:rsidRPr="00FE42AF">
        <w:rPr>
          <w:rFonts w:eastAsia="Arial"/>
        </w:rPr>
        <w:t>SoB</w:t>
      </w:r>
      <w:proofErr w:type="spellEnd"/>
      <w:r w:rsidRPr="00FE42AF">
        <w:rPr>
          <w:rFonts w:eastAsia="Arial"/>
        </w:rPr>
        <w:t>, EQ-5D-5L ir EQ-VAS</w:t>
      </w:r>
      <w:r w:rsidRPr="00FE42AF">
        <w:rPr>
          <w:rFonts w:eastAsia="Arial"/>
          <w:bCs/>
        </w:rPr>
        <w:t xml:space="preserve"> </w:t>
      </w:r>
      <w:r w:rsidRPr="00FE42AF">
        <w:rPr>
          <w:rFonts w:eastAsia="Arial"/>
          <w:iCs/>
        </w:rPr>
        <w:t xml:space="preserve">klausimynus. Vertinant visus klausimynus, </w:t>
      </w:r>
      <w:proofErr w:type="spellStart"/>
      <w:r w:rsidRPr="00FE42AF">
        <w:rPr>
          <w:rFonts w:eastAsia="Arial"/>
          <w:bCs/>
        </w:rPr>
        <w:t>mavakamteno</w:t>
      </w:r>
      <w:proofErr w:type="spellEnd"/>
      <w:r w:rsidRPr="00FE42AF">
        <w:rPr>
          <w:rFonts w:eastAsia="Arial"/>
          <w:bCs/>
        </w:rPr>
        <w:t xml:space="preserve"> grupėje gyvenimo kokybė pagerėjo statistiškai ir kliniškai reikšmingai daugiau, lyginant su placebo. </w:t>
      </w:r>
      <w:r w:rsidRPr="00FE42AF">
        <w:rPr>
          <w:iCs/>
        </w:rPr>
        <w:t>Reikšmingų</w:t>
      </w:r>
      <w:r w:rsidRPr="00FE42AF">
        <w:rPr>
          <w:bCs/>
          <w:iCs/>
          <w:lang w:eastAsia="lt-LT"/>
        </w:rPr>
        <w:t xml:space="preserve"> saugumo problemų ar įvykių nenustatyta</w:t>
      </w:r>
      <w:r w:rsidRPr="00FE42AF">
        <w:rPr>
          <w:bCs/>
          <w:color w:val="000000"/>
          <w:lang w:eastAsia="lt-LT"/>
        </w:rPr>
        <w:t>.</w:t>
      </w:r>
    </w:p>
    <w:p w14:paraId="064F3324" w14:textId="77777777" w:rsidR="008E329C" w:rsidRPr="00FE42AF" w:rsidRDefault="008E329C" w:rsidP="008E329C">
      <w:pPr>
        <w:widowControl w:val="0"/>
        <w:spacing w:line="276" w:lineRule="auto"/>
        <w:ind w:firstLine="720"/>
        <w:jc w:val="both"/>
        <w:rPr>
          <w:bCs/>
          <w:color w:val="000000"/>
          <w:lang w:eastAsia="lt-LT"/>
        </w:rPr>
      </w:pPr>
      <w:r w:rsidRPr="00FE42AF">
        <w:rPr>
          <w:bCs/>
          <w:color w:val="000000"/>
          <w:lang w:eastAsia="lt-LT"/>
        </w:rPr>
        <w:t xml:space="preserve">Klinikinis tyrimas VALOR-HCM taip pat </w:t>
      </w:r>
      <w:r w:rsidRPr="00FE42AF">
        <w:rPr>
          <w:rFonts w:eastAsia="Arial"/>
          <w:bCs/>
        </w:rPr>
        <w:t xml:space="preserve">yra </w:t>
      </w:r>
      <w:proofErr w:type="spellStart"/>
      <w:r w:rsidRPr="00FE42AF">
        <w:rPr>
          <w:rFonts w:eastAsia="Arial"/>
          <w:bCs/>
        </w:rPr>
        <w:t>daugiacentrinis</w:t>
      </w:r>
      <w:proofErr w:type="spellEnd"/>
      <w:r w:rsidRPr="00FE42AF">
        <w:rPr>
          <w:rFonts w:eastAsia="Arial"/>
          <w:bCs/>
        </w:rPr>
        <w:t xml:space="preserve">, 3 fazės, atsitiktinių imčių, dvigubai maskuotas, placebo kontroliuojami tyrimas, kuriame buvo vertinamas </w:t>
      </w:r>
      <w:proofErr w:type="spellStart"/>
      <w:r w:rsidRPr="00FE42AF">
        <w:rPr>
          <w:rFonts w:eastAsia="Arial"/>
          <w:bCs/>
        </w:rPr>
        <w:t>mavakamteno</w:t>
      </w:r>
      <w:proofErr w:type="spellEnd"/>
      <w:r w:rsidRPr="00FE42AF">
        <w:rPr>
          <w:rFonts w:eastAsia="Arial"/>
          <w:bCs/>
        </w:rPr>
        <w:t xml:space="preserve"> efektyvumas ir saugumas gydant 18 metų ir vyresnius pacientus, kuriems nustatyta simptominė </w:t>
      </w:r>
      <w:proofErr w:type="spellStart"/>
      <w:r w:rsidRPr="00FE42AF">
        <w:rPr>
          <w:rFonts w:eastAsia="Arial"/>
          <w:bCs/>
        </w:rPr>
        <w:t>oHKMP</w:t>
      </w:r>
      <w:proofErr w:type="spellEnd"/>
      <w:r w:rsidRPr="00FE42AF">
        <w:rPr>
          <w:rFonts w:eastAsia="Arial"/>
          <w:bCs/>
        </w:rPr>
        <w:t xml:space="preserve"> ir jie atitinka pertvaros redukcijos procedūrų atlikimo kriterijus. Jame įrodyta, jog </w:t>
      </w:r>
      <w:proofErr w:type="spellStart"/>
      <w:r w:rsidRPr="00FE42AF">
        <w:rPr>
          <w:rFonts w:eastAsia="Arial"/>
          <w:bCs/>
        </w:rPr>
        <w:t>mavakamteno</w:t>
      </w:r>
      <w:proofErr w:type="spellEnd"/>
      <w:r w:rsidRPr="00FE42AF">
        <w:rPr>
          <w:rFonts w:eastAsia="Arial"/>
          <w:bCs/>
        </w:rPr>
        <w:t xml:space="preserve"> grupėje pacientai po 16 savaičių rečiau atitiko pertvaros redukcijos procedūros kriterijus, lyginant su placebo (p &lt; 0,001). Analogiški rezultatai gauti visuose iš anksto numatytuose pogrupiuose. E</w:t>
      </w:r>
      <w:proofErr w:type="spellStart"/>
      <w:r w:rsidRPr="00FE42AF">
        <w:rPr>
          <w:bCs/>
          <w:color w:val="000000"/>
          <w:lang w:val="en-US" w:eastAsia="lt-LT"/>
        </w:rPr>
        <w:t>chokardiografiniai</w:t>
      </w:r>
      <w:proofErr w:type="spellEnd"/>
      <w:r w:rsidRPr="00FE42AF">
        <w:rPr>
          <w:bCs/>
          <w:color w:val="000000"/>
          <w:lang w:val="en-US" w:eastAsia="lt-LT"/>
        </w:rPr>
        <w:t xml:space="preserve"> </w:t>
      </w:r>
      <w:proofErr w:type="spellStart"/>
      <w:r w:rsidRPr="00FE42AF">
        <w:rPr>
          <w:bCs/>
          <w:color w:val="000000"/>
          <w:lang w:val="en-US" w:eastAsia="lt-LT"/>
        </w:rPr>
        <w:t>obstrukcijos</w:t>
      </w:r>
      <w:proofErr w:type="spellEnd"/>
      <w:r w:rsidRPr="00FE42AF">
        <w:rPr>
          <w:bCs/>
          <w:color w:val="000000"/>
          <w:lang w:val="en-US" w:eastAsia="lt-LT"/>
        </w:rPr>
        <w:t xml:space="preserve"> </w:t>
      </w:r>
      <w:proofErr w:type="spellStart"/>
      <w:r w:rsidRPr="00FE42AF">
        <w:rPr>
          <w:bCs/>
          <w:color w:val="000000"/>
          <w:lang w:val="en-US" w:eastAsia="lt-LT"/>
        </w:rPr>
        <w:t>parametrai</w:t>
      </w:r>
      <w:proofErr w:type="spellEnd"/>
      <w:r w:rsidRPr="00FE42AF">
        <w:rPr>
          <w:bCs/>
          <w:color w:val="000000"/>
          <w:lang w:val="en-US" w:eastAsia="lt-LT"/>
        </w:rPr>
        <w:t xml:space="preserve"> </w:t>
      </w:r>
      <w:proofErr w:type="spellStart"/>
      <w:r w:rsidRPr="00FE42AF">
        <w:rPr>
          <w:bCs/>
          <w:color w:val="000000"/>
          <w:lang w:val="en-US" w:eastAsia="lt-LT"/>
        </w:rPr>
        <w:t>sumažėjo</w:t>
      </w:r>
      <w:proofErr w:type="spellEnd"/>
      <w:r w:rsidRPr="00FE42AF">
        <w:rPr>
          <w:bCs/>
          <w:color w:val="000000"/>
          <w:lang w:val="en-US" w:eastAsia="lt-LT"/>
        </w:rPr>
        <w:t xml:space="preserve"> (</w:t>
      </w:r>
      <w:r w:rsidRPr="00FE42AF">
        <w:rPr>
          <w:rFonts w:eastAsia="Arial"/>
          <w:bCs/>
        </w:rPr>
        <w:t xml:space="preserve">37,2 </w:t>
      </w:r>
      <w:proofErr w:type="spellStart"/>
      <w:r w:rsidRPr="00FE42AF">
        <w:rPr>
          <w:rFonts w:eastAsia="Arial"/>
          <w:bCs/>
        </w:rPr>
        <w:t>mmHg</w:t>
      </w:r>
      <w:proofErr w:type="spellEnd"/>
      <w:r w:rsidRPr="00FE42AF">
        <w:rPr>
          <w:rFonts w:eastAsia="Arial"/>
          <w:bCs/>
        </w:rPr>
        <w:t>; 95% PI –48,1 – – 26,2, p &lt; 0,001)</w:t>
      </w:r>
      <w:r w:rsidRPr="00FE42AF">
        <w:rPr>
          <w:bCs/>
          <w:color w:val="000000"/>
          <w:lang w:val="en-US" w:eastAsia="lt-LT"/>
        </w:rPr>
        <w:t xml:space="preserve"> </w:t>
      </w:r>
      <w:proofErr w:type="spellStart"/>
      <w:r w:rsidRPr="00FE42AF">
        <w:rPr>
          <w:bCs/>
          <w:color w:val="000000"/>
          <w:lang w:val="en-US" w:eastAsia="lt-LT"/>
        </w:rPr>
        <w:t>ir</w:t>
      </w:r>
      <w:proofErr w:type="spellEnd"/>
      <w:r w:rsidRPr="00FE42AF">
        <w:rPr>
          <w:bCs/>
          <w:color w:val="000000"/>
          <w:lang w:val="en-US" w:eastAsia="lt-LT"/>
        </w:rPr>
        <w:t xml:space="preserve"> </w:t>
      </w:r>
      <w:proofErr w:type="spellStart"/>
      <w:r w:rsidRPr="00FE42AF">
        <w:rPr>
          <w:bCs/>
          <w:color w:val="000000"/>
          <w:lang w:val="en-US" w:eastAsia="lt-LT"/>
        </w:rPr>
        <w:t>pacientų</w:t>
      </w:r>
      <w:proofErr w:type="spellEnd"/>
      <w:r w:rsidRPr="00FE42AF">
        <w:rPr>
          <w:bCs/>
          <w:color w:val="000000"/>
          <w:lang w:val="en-US" w:eastAsia="lt-LT"/>
        </w:rPr>
        <w:t xml:space="preserve"> </w:t>
      </w:r>
      <w:proofErr w:type="spellStart"/>
      <w:r w:rsidRPr="00FE42AF">
        <w:rPr>
          <w:bCs/>
          <w:color w:val="000000"/>
          <w:lang w:val="en-US" w:eastAsia="lt-LT"/>
        </w:rPr>
        <w:t>gyvenimo</w:t>
      </w:r>
      <w:proofErr w:type="spellEnd"/>
      <w:r w:rsidRPr="00FE42AF">
        <w:rPr>
          <w:bCs/>
          <w:color w:val="000000"/>
          <w:lang w:val="en-US" w:eastAsia="lt-LT"/>
        </w:rPr>
        <w:t xml:space="preserve"> </w:t>
      </w:r>
      <w:proofErr w:type="spellStart"/>
      <w:r w:rsidRPr="00FE42AF">
        <w:rPr>
          <w:bCs/>
          <w:color w:val="000000"/>
          <w:lang w:val="en-US" w:eastAsia="lt-LT"/>
        </w:rPr>
        <w:t>kokybė</w:t>
      </w:r>
      <w:proofErr w:type="spellEnd"/>
      <w:r w:rsidRPr="00FE42AF">
        <w:rPr>
          <w:bCs/>
          <w:color w:val="000000"/>
          <w:lang w:val="en-US" w:eastAsia="lt-LT"/>
        </w:rPr>
        <w:t xml:space="preserve"> </w:t>
      </w:r>
      <w:proofErr w:type="spellStart"/>
      <w:r w:rsidRPr="00FE42AF">
        <w:rPr>
          <w:bCs/>
          <w:color w:val="000000"/>
          <w:lang w:val="en-US" w:eastAsia="lt-LT"/>
        </w:rPr>
        <w:t>pagerėjo</w:t>
      </w:r>
      <w:proofErr w:type="spellEnd"/>
      <w:r w:rsidRPr="00FE42AF">
        <w:rPr>
          <w:bCs/>
          <w:color w:val="000000"/>
          <w:lang w:val="en-US" w:eastAsia="lt-LT"/>
        </w:rPr>
        <w:t xml:space="preserve"> (</w:t>
      </w:r>
      <w:r w:rsidRPr="00FE42AF">
        <w:rPr>
          <w:rFonts w:eastAsia="Arial"/>
          <w:bCs/>
        </w:rPr>
        <w:t>9,4 balais; 95% PI 4,9 – 14,0; p &lt; 0,001)</w:t>
      </w:r>
      <w:r w:rsidRPr="00FE42AF">
        <w:rPr>
          <w:bCs/>
          <w:color w:val="000000"/>
          <w:lang w:val="en-US" w:eastAsia="lt-LT"/>
        </w:rPr>
        <w:t xml:space="preserve"> </w:t>
      </w:r>
      <w:proofErr w:type="spellStart"/>
      <w:r w:rsidRPr="00FE42AF">
        <w:rPr>
          <w:bCs/>
          <w:color w:val="000000"/>
          <w:lang w:val="en-US" w:eastAsia="lt-LT"/>
        </w:rPr>
        <w:t>mavakamteno</w:t>
      </w:r>
      <w:proofErr w:type="spellEnd"/>
      <w:r w:rsidRPr="00FE42AF">
        <w:rPr>
          <w:bCs/>
          <w:color w:val="000000"/>
          <w:lang w:val="en-US" w:eastAsia="lt-LT"/>
        </w:rPr>
        <w:t xml:space="preserve"> </w:t>
      </w:r>
      <w:proofErr w:type="spellStart"/>
      <w:r w:rsidRPr="00FE42AF">
        <w:rPr>
          <w:bCs/>
          <w:color w:val="000000"/>
          <w:lang w:val="en-US" w:eastAsia="lt-LT"/>
        </w:rPr>
        <w:t>grupėje</w:t>
      </w:r>
      <w:proofErr w:type="spellEnd"/>
      <w:r w:rsidRPr="00FE42AF">
        <w:rPr>
          <w:bCs/>
          <w:color w:val="000000"/>
          <w:lang w:val="en-US" w:eastAsia="lt-LT"/>
        </w:rPr>
        <w:t xml:space="preserve"> </w:t>
      </w:r>
      <w:proofErr w:type="spellStart"/>
      <w:r w:rsidRPr="00FE42AF">
        <w:rPr>
          <w:bCs/>
          <w:color w:val="000000"/>
          <w:lang w:val="en-US" w:eastAsia="lt-LT"/>
        </w:rPr>
        <w:t>statistiškai</w:t>
      </w:r>
      <w:proofErr w:type="spellEnd"/>
      <w:r w:rsidRPr="00FE42AF">
        <w:rPr>
          <w:bCs/>
          <w:color w:val="000000"/>
          <w:lang w:val="en-US" w:eastAsia="lt-LT"/>
        </w:rPr>
        <w:t xml:space="preserve"> </w:t>
      </w:r>
      <w:proofErr w:type="spellStart"/>
      <w:r w:rsidRPr="00FE42AF">
        <w:rPr>
          <w:bCs/>
          <w:color w:val="000000"/>
          <w:lang w:val="en-US" w:eastAsia="lt-LT"/>
        </w:rPr>
        <w:t>ir</w:t>
      </w:r>
      <w:proofErr w:type="spellEnd"/>
      <w:r w:rsidRPr="00FE42AF">
        <w:rPr>
          <w:bCs/>
          <w:color w:val="000000"/>
          <w:lang w:val="en-US" w:eastAsia="lt-LT"/>
        </w:rPr>
        <w:t xml:space="preserve"> </w:t>
      </w:r>
      <w:proofErr w:type="spellStart"/>
      <w:r w:rsidRPr="00FE42AF">
        <w:rPr>
          <w:bCs/>
          <w:color w:val="000000"/>
          <w:lang w:val="en-US" w:eastAsia="lt-LT"/>
        </w:rPr>
        <w:t>kliniškai</w:t>
      </w:r>
      <w:proofErr w:type="spellEnd"/>
      <w:r w:rsidRPr="00FE42AF">
        <w:rPr>
          <w:bCs/>
          <w:color w:val="000000"/>
          <w:lang w:val="en-US" w:eastAsia="lt-LT"/>
        </w:rPr>
        <w:t xml:space="preserve"> </w:t>
      </w:r>
      <w:proofErr w:type="spellStart"/>
      <w:r w:rsidRPr="00FE42AF">
        <w:rPr>
          <w:bCs/>
          <w:color w:val="000000"/>
          <w:lang w:val="en-US" w:eastAsia="lt-LT"/>
        </w:rPr>
        <w:t>reikšmingai</w:t>
      </w:r>
      <w:proofErr w:type="spellEnd"/>
      <w:r w:rsidRPr="00FE42AF">
        <w:rPr>
          <w:bCs/>
          <w:color w:val="000000"/>
          <w:lang w:val="en-US" w:eastAsia="lt-LT"/>
        </w:rPr>
        <w:t xml:space="preserve"> </w:t>
      </w:r>
      <w:proofErr w:type="spellStart"/>
      <w:r w:rsidRPr="00FE42AF">
        <w:rPr>
          <w:bCs/>
          <w:color w:val="000000"/>
          <w:lang w:val="en-US" w:eastAsia="lt-LT"/>
        </w:rPr>
        <w:t>daugiau</w:t>
      </w:r>
      <w:proofErr w:type="spellEnd"/>
      <w:r w:rsidRPr="00FE42AF">
        <w:rPr>
          <w:bCs/>
          <w:color w:val="000000"/>
          <w:lang w:val="en-US" w:eastAsia="lt-LT"/>
        </w:rPr>
        <w:t xml:space="preserve">, </w:t>
      </w:r>
      <w:proofErr w:type="spellStart"/>
      <w:r w:rsidRPr="00FE42AF">
        <w:rPr>
          <w:bCs/>
          <w:color w:val="000000"/>
          <w:lang w:val="en-US" w:eastAsia="lt-LT"/>
        </w:rPr>
        <w:t>lyginant</w:t>
      </w:r>
      <w:proofErr w:type="spellEnd"/>
      <w:r w:rsidRPr="00FE42AF">
        <w:rPr>
          <w:bCs/>
          <w:color w:val="000000"/>
          <w:lang w:val="en-US" w:eastAsia="lt-LT"/>
        </w:rPr>
        <w:t xml:space="preserve"> </w:t>
      </w:r>
      <w:proofErr w:type="spellStart"/>
      <w:r w:rsidRPr="00FE42AF">
        <w:rPr>
          <w:bCs/>
          <w:color w:val="000000"/>
          <w:lang w:val="en-US" w:eastAsia="lt-LT"/>
        </w:rPr>
        <w:t>su</w:t>
      </w:r>
      <w:proofErr w:type="spellEnd"/>
      <w:r w:rsidRPr="00FE42AF">
        <w:rPr>
          <w:bCs/>
          <w:color w:val="000000"/>
          <w:lang w:val="en-US" w:eastAsia="lt-LT"/>
        </w:rPr>
        <w:t xml:space="preserve"> placebo.</w:t>
      </w:r>
    </w:p>
    <w:p w14:paraId="01B0D747" w14:textId="40F9B37C" w:rsidR="00931A54" w:rsidRPr="00FE42AF" w:rsidRDefault="008E329C" w:rsidP="008E329C">
      <w:pPr>
        <w:widowControl w:val="0"/>
        <w:spacing w:line="276" w:lineRule="auto"/>
        <w:ind w:firstLine="720"/>
        <w:jc w:val="both"/>
        <w:rPr>
          <w:rFonts w:eastAsia="Arial"/>
          <w:bCs/>
        </w:rPr>
      </w:pPr>
      <w:r w:rsidRPr="00FE42AF">
        <w:rPr>
          <w:rFonts w:eastAsia="Arial"/>
          <w:bCs/>
        </w:rPr>
        <w:t>Apibendrinant tiesioginio palyginimo analizėje pateiktus duomenis</w:t>
      </w:r>
      <w:r w:rsidRPr="00FE42AF">
        <w:rPr>
          <w:bCs/>
          <w:color w:val="000000"/>
          <w:lang w:eastAsia="lt-LT"/>
        </w:rPr>
        <w:t xml:space="preserve">, </w:t>
      </w:r>
      <w:proofErr w:type="spellStart"/>
      <w:r w:rsidRPr="00FE42AF">
        <w:rPr>
          <w:bCs/>
          <w:color w:val="000000"/>
          <w:lang w:eastAsia="lt-LT"/>
        </w:rPr>
        <w:t>mavakamtenas</w:t>
      </w:r>
      <w:proofErr w:type="spellEnd"/>
      <w:r w:rsidRPr="00FE42AF">
        <w:rPr>
          <w:bCs/>
          <w:color w:val="000000"/>
          <w:lang w:eastAsia="lt-LT"/>
        </w:rPr>
        <w:t xml:space="preserve"> gerina simptomų kontrolę, funkcinę būklę ir gyvenimo kokybę bei mažina pertvaros redukcijos procedūrų poreikį arba jas atideda, tačiau </w:t>
      </w:r>
      <w:r w:rsidR="006D59DE">
        <w:rPr>
          <w:bCs/>
          <w:color w:val="000000"/>
          <w:lang w:eastAsia="lt-LT"/>
        </w:rPr>
        <w:t xml:space="preserve">******** </w:t>
      </w:r>
      <w:r w:rsidRPr="00FE42AF">
        <w:rPr>
          <w:bCs/>
          <w:color w:val="000000"/>
          <w:lang w:eastAsia="lt-LT"/>
        </w:rPr>
        <w:t xml:space="preserve"> vaistinio preparato įtaka pacientų </w:t>
      </w:r>
      <w:r w:rsidR="006D59DE">
        <w:rPr>
          <w:bCs/>
          <w:color w:val="000000"/>
          <w:lang w:eastAsia="lt-LT"/>
        </w:rPr>
        <w:t>*******</w:t>
      </w:r>
      <w:r w:rsidRPr="00FE42AF">
        <w:rPr>
          <w:bCs/>
          <w:color w:val="000000"/>
          <w:lang w:eastAsia="lt-LT"/>
        </w:rPr>
        <w:t xml:space="preserve">; Europos komisijos Žmonėms skirtų vaistinių preparatų komiteto </w:t>
      </w:r>
      <w:proofErr w:type="spellStart"/>
      <w:r w:rsidRPr="00FE42AF">
        <w:rPr>
          <w:bCs/>
          <w:color w:val="000000"/>
          <w:lang w:eastAsia="lt-LT"/>
        </w:rPr>
        <w:t>mavakamteno</w:t>
      </w:r>
      <w:proofErr w:type="spellEnd"/>
      <w:r w:rsidRPr="00FE42AF">
        <w:rPr>
          <w:bCs/>
          <w:color w:val="000000"/>
          <w:lang w:eastAsia="lt-LT"/>
        </w:rPr>
        <w:t xml:space="preserve"> vertinimo ataskaitoje (EMA/311929/2023) nurodoma, jog kardiovaskulinių įvykių dažnis yra</w:t>
      </w:r>
      <w:r w:rsidR="008A7180">
        <w:rPr>
          <w:bCs/>
          <w:color w:val="000000"/>
          <w:lang w:eastAsia="lt-LT"/>
        </w:rPr>
        <w:t>****</w:t>
      </w:r>
      <w:r w:rsidRPr="00FE42AF">
        <w:rPr>
          <w:bCs/>
          <w:color w:val="000000"/>
          <w:lang w:eastAsia="lt-LT"/>
        </w:rPr>
        <w:t xml:space="preserve"> daryti</w:t>
      </w:r>
      <w:r w:rsidR="008A7180">
        <w:rPr>
          <w:bCs/>
          <w:color w:val="000000"/>
          <w:lang w:eastAsia="lt-LT"/>
        </w:rPr>
        <w:t>*****</w:t>
      </w:r>
      <w:r w:rsidRPr="00FE42AF">
        <w:rPr>
          <w:bCs/>
          <w:color w:val="000000"/>
          <w:lang w:eastAsia="lt-LT"/>
        </w:rPr>
        <w:t xml:space="preserve">, o atskiras kardiovaskulinių baigčių tyrimas būtų neįmanomas ir neetiškas; </w:t>
      </w:r>
      <w:r w:rsidR="00B96507">
        <w:rPr>
          <w:bCs/>
          <w:color w:val="000000"/>
          <w:lang w:eastAsia="lt-LT"/>
        </w:rPr>
        <w:t xml:space="preserve">*******   </w:t>
      </w:r>
      <w:r w:rsidR="008A7180">
        <w:rPr>
          <w:bCs/>
          <w:color w:val="000000"/>
          <w:lang w:eastAsia="lt-LT"/>
        </w:rPr>
        <w:t xml:space="preserve">*****  </w:t>
      </w:r>
      <w:r w:rsidRPr="00FE42AF">
        <w:rPr>
          <w:bCs/>
          <w:color w:val="000000"/>
          <w:lang w:eastAsia="lt-LT"/>
        </w:rPr>
        <w:t>vaistinio preparato stebėsena ir baigčių meta-analizė.</w:t>
      </w:r>
      <w:r w:rsidR="00B96507">
        <w:rPr>
          <w:bCs/>
          <w:color w:val="000000"/>
          <w:lang w:eastAsia="lt-LT"/>
        </w:rPr>
        <w:t>*****   ********</w:t>
      </w:r>
      <w:r w:rsidRPr="00FE42AF">
        <w:rPr>
          <w:bCs/>
          <w:color w:val="000000"/>
          <w:lang w:eastAsia="lt-LT"/>
        </w:rPr>
        <w:t xml:space="preserve">, kadangi </w:t>
      </w:r>
      <w:proofErr w:type="spellStart"/>
      <w:r w:rsidRPr="00FE42AF">
        <w:rPr>
          <w:bCs/>
          <w:color w:val="000000"/>
          <w:lang w:eastAsia="lt-LT"/>
        </w:rPr>
        <w:t>mavakamtenas</w:t>
      </w:r>
      <w:proofErr w:type="spellEnd"/>
      <w:r w:rsidRPr="00FE42AF">
        <w:rPr>
          <w:bCs/>
          <w:color w:val="000000"/>
          <w:lang w:eastAsia="lt-LT"/>
        </w:rPr>
        <w:t xml:space="preserve"> statistiškai ir kliniškai reikšmingai gerina pacientų funkcinę būklę ir gyvenimo kokybę, gydymo BAB/KKB papildymo </w:t>
      </w:r>
      <w:proofErr w:type="spellStart"/>
      <w:r w:rsidRPr="00FE42AF">
        <w:rPr>
          <w:bCs/>
          <w:color w:val="000000"/>
          <w:lang w:eastAsia="lt-LT"/>
        </w:rPr>
        <w:t>mavakamtenu</w:t>
      </w:r>
      <w:proofErr w:type="spellEnd"/>
      <w:r w:rsidRPr="00FE42AF">
        <w:rPr>
          <w:bCs/>
          <w:color w:val="000000"/>
          <w:lang w:eastAsia="lt-LT"/>
        </w:rPr>
        <w:t xml:space="preserve"> </w:t>
      </w:r>
      <w:r w:rsidRPr="00FE42AF">
        <w:rPr>
          <w:rFonts w:eastAsia="Arial"/>
          <w:bCs/>
        </w:rPr>
        <w:t>palyginamasis veiksmingumas vertinamas kaip didesnis, palyginus su įprasta klinikine praktika.</w:t>
      </w:r>
    </w:p>
    <w:p w14:paraId="2EE68526" w14:textId="77777777" w:rsidR="00D64441" w:rsidRPr="00FE42AF" w:rsidRDefault="00D64441" w:rsidP="00434D0C">
      <w:pPr>
        <w:pStyle w:val="ListParagraph"/>
        <w:tabs>
          <w:tab w:val="left" w:pos="426"/>
        </w:tabs>
        <w:spacing w:line="276" w:lineRule="auto"/>
        <w:ind w:left="0"/>
        <w:jc w:val="both"/>
        <w:rPr>
          <w:bCs/>
          <w:color w:val="000000"/>
          <w:lang w:eastAsia="lt-LT"/>
        </w:rPr>
      </w:pPr>
    </w:p>
    <w:p w14:paraId="7DE09EB5" w14:textId="69E9DD74" w:rsidR="00E03C3F" w:rsidRPr="00FE42AF" w:rsidRDefault="00CC7832" w:rsidP="00434D0C">
      <w:pPr>
        <w:pStyle w:val="ListParagraph"/>
        <w:numPr>
          <w:ilvl w:val="0"/>
          <w:numId w:val="12"/>
        </w:numPr>
        <w:tabs>
          <w:tab w:val="left" w:pos="567"/>
        </w:tabs>
        <w:spacing w:line="276" w:lineRule="auto"/>
        <w:ind w:hanging="720"/>
        <w:rPr>
          <w:b/>
          <w:bCs/>
          <w:caps/>
        </w:rPr>
      </w:pPr>
      <w:r w:rsidRPr="00FE42AF">
        <w:rPr>
          <w:b/>
          <w:bCs/>
          <w:caps/>
        </w:rPr>
        <w:t xml:space="preserve">ekonominio vertinimo </w:t>
      </w:r>
      <w:r w:rsidR="002F0E4F" w:rsidRPr="00FE42AF">
        <w:rPr>
          <w:b/>
          <w:bCs/>
          <w:caps/>
        </w:rPr>
        <w:t>apibendrinimas</w:t>
      </w:r>
    </w:p>
    <w:p w14:paraId="33875138" w14:textId="77777777" w:rsidR="0035172D" w:rsidRPr="00FE42AF" w:rsidRDefault="0035172D" w:rsidP="00434D0C">
      <w:pPr>
        <w:tabs>
          <w:tab w:val="left" w:pos="426"/>
        </w:tabs>
        <w:spacing w:line="276" w:lineRule="auto"/>
        <w:rPr>
          <w:b/>
          <w:bCs/>
          <w:caps/>
        </w:rPr>
      </w:pPr>
    </w:p>
    <w:p w14:paraId="63388F0C" w14:textId="77777777" w:rsidR="00065999" w:rsidRPr="00FE42AF" w:rsidRDefault="00065999" w:rsidP="00065999">
      <w:pPr>
        <w:spacing w:line="276" w:lineRule="auto"/>
        <w:ind w:firstLine="360"/>
        <w:jc w:val="both"/>
      </w:pPr>
      <w:r w:rsidRPr="00FE42AF">
        <w:t xml:space="preserve">KNA įtraukiami </w:t>
      </w:r>
      <w:proofErr w:type="spellStart"/>
      <w:r w:rsidRPr="00FE42AF">
        <w:t>populiaciniai</w:t>
      </w:r>
      <w:proofErr w:type="spellEnd"/>
      <w:r w:rsidRPr="00FE42AF">
        <w:t xml:space="preserve"> duomenys pagrįsti </w:t>
      </w:r>
      <w:r w:rsidRPr="00FE42AF">
        <w:rPr>
          <w:lang w:eastAsia="nl-NL"/>
        </w:rPr>
        <w:t>EXPLORER-HCM klinikiniu tyrimu (ITT populiacija) ir atitinka k</w:t>
      </w:r>
      <w:r w:rsidRPr="00FE42AF">
        <w:t xml:space="preserve">ompensavimui teikiamą indikaciją: suaugusių pacientų simptominės </w:t>
      </w:r>
      <w:proofErr w:type="spellStart"/>
      <w:r w:rsidRPr="00FE42AF">
        <w:t>hipertrofinės</w:t>
      </w:r>
      <w:proofErr w:type="spellEnd"/>
      <w:r w:rsidRPr="00FE42AF">
        <w:t xml:space="preserve"> obstrukcinės kardiomiopatijos (HOKMP) (II-III klasės pagal Niujorko širdies asociacijos, angl. </w:t>
      </w:r>
      <w:proofErr w:type="spellStart"/>
      <w:r w:rsidRPr="00FE42AF">
        <w:t>New</w:t>
      </w:r>
      <w:proofErr w:type="spellEnd"/>
      <w:r w:rsidRPr="00FE42AF">
        <w:t xml:space="preserve"> York </w:t>
      </w:r>
      <w:proofErr w:type="spellStart"/>
      <w:r w:rsidRPr="00FE42AF">
        <w:t>Heart</w:t>
      </w:r>
      <w:proofErr w:type="spellEnd"/>
      <w:r w:rsidRPr="00FE42AF">
        <w:t xml:space="preserve"> </w:t>
      </w:r>
      <w:proofErr w:type="spellStart"/>
      <w:r w:rsidRPr="00FE42AF">
        <w:t>Association</w:t>
      </w:r>
      <w:proofErr w:type="spellEnd"/>
      <w:r w:rsidRPr="00FE42AF">
        <w:t>, NYHA, klasifikaciją, TLK-10-AM kodas: I42.1) gydymui. Pacientai ≥18 metų amžiaus su LVEF ≥55% ir turintys simptomų naštą, suskirstytą pagal NYHA II/III klasę (pagal EXPLORER-HCM tyrimo įtraukimo kriterijus).</w:t>
      </w:r>
    </w:p>
    <w:p w14:paraId="0BD49AB3" w14:textId="639E43FF" w:rsidR="00065999" w:rsidRPr="00FE42AF" w:rsidRDefault="00065999" w:rsidP="00065999">
      <w:pPr>
        <w:spacing w:line="276" w:lineRule="auto"/>
        <w:ind w:firstLine="360"/>
        <w:jc w:val="both"/>
      </w:pPr>
      <w:r w:rsidRPr="00FE42AF">
        <w:t xml:space="preserve">Aktyvaus gydymo su kuriuo galėtų būti lyginamas </w:t>
      </w:r>
      <w:proofErr w:type="spellStart"/>
      <w:r w:rsidRPr="00FE42AF">
        <w:t>mavakamtenas</w:t>
      </w:r>
      <w:proofErr w:type="spellEnd"/>
      <w:r w:rsidRPr="00FE42AF">
        <w:t xml:space="preserve"> Lietuvos klinikinėje praktikoje nėra. Ekonominė analizė atliekama </w:t>
      </w:r>
      <w:proofErr w:type="spellStart"/>
      <w:r w:rsidRPr="00FE42AF">
        <w:t>mavakamteną</w:t>
      </w:r>
      <w:proofErr w:type="spellEnd"/>
      <w:r w:rsidRPr="00FE42AF">
        <w:t xml:space="preserve"> (</w:t>
      </w:r>
      <w:proofErr w:type="spellStart"/>
      <w:r w:rsidRPr="00FE42AF">
        <w:t>Camzyos</w:t>
      </w:r>
      <w:proofErr w:type="spellEnd"/>
      <w:r w:rsidRPr="00FE42AF">
        <w:t xml:space="preserve">) skiriant kaip </w:t>
      </w:r>
      <w:r w:rsidR="00B96507">
        <w:t xml:space="preserve">********* </w:t>
      </w:r>
      <w:r w:rsidRPr="00FE42AF">
        <w:t xml:space="preserve">gydymą </w:t>
      </w:r>
      <w:r w:rsidR="00B96507">
        <w:t xml:space="preserve">***** ***** **** </w:t>
      </w:r>
      <w:r w:rsidRPr="00FE42AF">
        <w:t xml:space="preserve">lyginant su placebo (standartinis optimalus gydymas – beta blokatoriai (BB) ir kalcio kanalų blokatoriai (CCB). </w:t>
      </w:r>
      <w:r w:rsidRPr="00FE42AF">
        <w:rPr>
          <w:lang w:eastAsia="nl-NL"/>
        </w:rPr>
        <w:t xml:space="preserve">KNA taikomos prielaidos, kad </w:t>
      </w:r>
      <w:proofErr w:type="spellStart"/>
      <w:r w:rsidRPr="00FE42AF">
        <w:rPr>
          <w:lang w:eastAsia="nl-NL"/>
        </w:rPr>
        <w:t>propranololas</w:t>
      </w:r>
      <w:proofErr w:type="spellEnd"/>
      <w:r w:rsidRPr="00FE42AF">
        <w:rPr>
          <w:lang w:eastAsia="nl-NL"/>
        </w:rPr>
        <w:t xml:space="preserve"> priskiriamas beta blokatorių (BB) klasei ir </w:t>
      </w:r>
      <w:proofErr w:type="spellStart"/>
      <w:r w:rsidRPr="00FE42AF">
        <w:t>verapamilis</w:t>
      </w:r>
      <w:proofErr w:type="spellEnd"/>
      <w:r w:rsidRPr="00FE42AF">
        <w:t xml:space="preserve">, </w:t>
      </w:r>
      <w:proofErr w:type="spellStart"/>
      <w:r w:rsidRPr="00FE42AF">
        <w:t>diltiazemas</w:t>
      </w:r>
      <w:proofErr w:type="spellEnd"/>
      <w:r w:rsidRPr="00FE42AF">
        <w:t xml:space="preserve"> – kalcio kanalų blokatoriams (CCB). Atkreiptinas dėmesys, kad </w:t>
      </w:r>
      <w:r w:rsidR="00B96507">
        <w:t xml:space="preserve">********** </w:t>
      </w:r>
      <w:r w:rsidRPr="00FE42AF">
        <w:t xml:space="preserve">gydymo </w:t>
      </w:r>
      <w:r w:rsidR="00144F08">
        <w:t xml:space="preserve">** </w:t>
      </w:r>
      <w:r w:rsidRPr="00FE42AF">
        <w:t xml:space="preserve"> Pareiškėjo kompensavimui teikiamai indikacijai (TLK-10-AM: I42.1) yra</w:t>
      </w:r>
      <w:r w:rsidR="00144F08">
        <w:t xml:space="preserve"> </w:t>
      </w:r>
      <w:r w:rsidR="00B96507">
        <w:t xml:space="preserve">********** </w:t>
      </w:r>
      <w:r w:rsidRPr="00FE42AF">
        <w:t xml:space="preserve">. Tarnyba, atsižvelgdama, kad pagal </w:t>
      </w:r>
      <w:r w:rsidR="00144F08">
        <w:t xml:space="preserve">**** **** **** </w:t>
      </w:r>
      <w:r w:rsidRPr="00FE42AF">
        <w:t xml:space="preserve">minėti </w:t>
      </w:r>
      <w:r w:rsidR="00144F08">
        <w:t>**</w:t>
      </w:r>
      <w:r w:rsidRPr="00FE42AF">
        <w:t xml:space="preserve"> skiriami per </w:t>
      </w:r>
      <w:r w:rsidR="00144F08">
        <w:t xml:space="preserve">*** ***** </w:t>
      </w:r>
      <w:r w:rsidRPr="00FE42AF">
        <w:t xml:space="preserve">bei tai, kad specifinių BB ar CCB taikymas KNA </w:t>
      </w:r>
      <w:r w:rsidR="00144F08">
        <w:t xml:space="preserve">**** ***** **** </w:t>
      </w:r>
      <w:r w:rsidRPr="00FE42AF">
        <w:t xml:space="preserve">KNA rezultatui atsižvelgiant į </w:t>
      </w:r>
      <w:r w:rsidR="0000079D">
        <w:t xml:space="preserve">**** **** ****** </w:t>
      </w:r>
      <w:r w:rsidRPr="00FE42AF">
        <w:t xml:space="preserve">laiko, kad palyginamasis yra tinkamas </w:t>
      </w:r>
      <w:r w:rsidRPr="00FE42AF">
        <w:rPr>
          <w:bCs/>
          <w:szCs w:val="22"/>
        </w:rPr>
        <w:t>ir atitinka įprastą Lietuvos klinikinę praktiką.</w:t>
      </w:r>
    </w:p>
    <w:p w14:paraId="763F889C" w14:textId="77777777" w:rsidR="00065999" w:rsidRPr="00FE42AF" w:rsidRDefault="00065999" w:rsidP="00065999">
      <w:pPr>
        <w:spacing w:line="276" w:lineRule="auto"/>
        <w:ind w:firstLine="360"/>
        <w:jc w:val="both"/>
      </w:pPr>
      <w:r w:rsidRPr="00FE42AF">
        <w:rPr>
          <w:bCs/>
          <w:lang w:eastAsia="lt-LT"/>
        </w:rPr>
        <w:t xml:space="preserve">KNA taikomas </w:t>
      </w:r>
      <w:proofErr w:type="spellStart"/>
      <w:r w:rsidRPr="00FE42AF">
        <w:rPr>
          <w:bCs/>
          <w:lang w:eastAsia="lt-LT"/>
        </w:rPr>
        <w:t>Markovo</w:t>
      </w:r>
      <w:proofErr w:type="spellEnd"/>
      <w:r w:rsidRPr="00FE42AF">
        <w:rPr>
          <w:bCs/>
          <w:lang w:eastAsia="lt-LT"/>
        </w:rPr>
        <w:t xml:space="preserve"> grandinių modelis </w:t>
      </w:r>
      <w:r w:rsidRPr="00FE42AF">
        <w:t xml:space="preserve">pagrįstas pagrindiniu sudėtiniu EXPLORER-HCM tyrimo baigties rodikliu (t. y. NYHA klase ir </w:t>
      </w:r>
      <w:proofErr w:type="spellStart"/>
      <w:r w:rsidRPr="00FE42AF">
        <w:t>pVO</w:t>
      </w:r>
      <w:proofErr w:type="spellEnd"/>
      <w:r w:rsidRPr="00FE42AF">
        <w:t xml:space="preserve">₂), apima 5 sveikatos būkles (NYHA klasė I, II,III,IV ir mirtis) su modeliuojamu sekančių eilių gydymu ir yra laikomas tinkamu. Analizė atlikta iš PSDF biudžeto perspektyvos, įtraukti tiesiogiai su sveikatos sistema susiję kaštai: VP įsigijimo, stebėsenos, ligos valdymo (sveikatos būklių), nepageidaujamo poveikio ir gyvenimo pabaigos kaštai. </w:t>
      </w:r>
      <w:r w:rsidRPr="00FE42AF">
        <w:rPr>
          <w:iCs/>
          <w:lang w:eastAsia="lt-LT"/>
        </w:rPr>
        <w:t>Kaštai adaptuoti pagal Lietuvos sveikatos priežiūros paslaugų įkainius, t</w:t>
      </w:r>
      <w:r w:rsidRPr="00FE42AF">
        <w:t>ai atitinka teisės aktuose nustatytus paraiškos rengimo taisyklių reikalavimus</w:t>
      </w:r>
      <w:r w:rsidRPr="00FE42AF">
        <w:rPr>
          <w:iCs/>
        </w:rPr>
        <w:t>.</w:t>
      </w:r>
    </w:p>
    <w:p w14:paraId="7E68C2BA" w14:textId="77777777" w:rsidR="00065999" w:rsidRPr="00FE42AF" w:rsidRDefault="00065999" w:rsidP="00065999">
      <w:pPr>
        <w:spacing w:line="276" w:lineRule="auto"/>
        <w:ind w:firstLine="360"/>
        <w:jc w:val="both"/>
      </w:pPr>
      <w:r w:rsidRPr="00FE42AF">
        <w:rPr>
          <w:bCs/>
        </w:rPr>
        <w:t xml:space="preserve">Kaštų naudingumo analizėje sveikatai sukuriama nauda buvo vertinama pagal su sveikata susijusią gyvenimo kokybę (angl. </w:t>
      </w:r>
      <w:proofErr w:type="spellStart"/>
      <w:r w:rsidRPr="00FE42AF">
        <w:rPr>
          <w:bCs/>
          <w:iCs/>
        </w:rPr>
        <w:t>Health</w:t>
      </w:r>
      <w:proofErr w:type="spellEnd"/>
      <w:r w:rsidRPr="00FE42AF">
        <w:rPr>
          <w:bCs/>
          <w:iCs/>
        </w:rPr>
        <w:t xml:space="preserve"> </w:t>
      </w:r>
      <w:proofErr w:type="spellStart"/>
      <w:r w:rsidRPr="00FE42AF">
        <w:rPr>
          <w:bCs/>
          <w:iCs/>
        </w:rPr>
        <w:t>realated</w:t>
      </w:r>
      <w:proofErr w:type="spellEnd"/>
      <w:r w:rsidRPr="00FE42AF">
        <w:rPr>
          <w:bCs/>
          <w:iCs/>
        </w:rPr>
        <w:t xml:space="preserve"> </w:t>
      </w:r>
      <w:proofErr w:type="spellStart"/>
      <w:r w:rsidRPr="00FE42AF">
        <w:rPr>
          <w:bCs/>
          <w:iCs/>
        </w:rPr>
        <w:t>quality</w:t>
      </w:r>
      <w:proofErr w:type="spellEnd"/>
      <w:r w:rsidRPr="00FE42AF">
        <w:rPr>
          <w:bCs/>
          <w:iCs/>
        </w:rPr>
        <w:t xml:space="preserve"> </w:t>
      </w:r>
      <w:proofErr w:type="spellStart"/>
      <w:r w:rsidRPr="00FE42AF">
        <w:rPr>
          <w:bCs/>
          <w:iCs/>
        </w:rPr>
        <w:t>of</w:t>
      </w:r>
      <w:proofErr w:type="spellEnd"/>
      <w:r w:rsidRPr="00FE42AF">
        <w:rPr>
          <w:bCs/>
          <w:iCs/>
        </w:rPr>
        <w:t xml:space="preserve"> </w:t>
      </w:r>
      <w:proofErr w:type="spellStart"/>
      <w:r w:rsidRPr="00FE42AF">
        <w:rPr>
          <w:bCs/>
          <w:iCs/>
        </w:rPr>
        <w:t>life</w:t>
      </w:r>
      <w:proofErr w:type="spellEnd"/>
      <w:r w:rsidRPr="00FE42AF">
        <w:rPr>
          <w:bCs/>
          <w:iCs/>
        </w:rPr>
        <w:t xml:space="preserve">, </w:t>
      </w:r>
      <w:proofErr w:type="spellStart"/>
      <w:r w:rsidRPr="00FE42AF">
        <w:rPr>
          <w:bCs/>
        </w:rPr>
        <w:t>HRQoL</w:t>
      </w:r>
      <w:proofErr w:type="spellEnd"/>
      <w:r w:rsidRPr="00FE42AF">
        <w:rPr>
          <w:bCs/>
        </w:rPr>
        <w:t xml:space="preserve">). </w:t>
      </w:r>
      <w:r w:rsidRPr="00FE42AF">
        <w:t xml:space="preserve">Siekiant nustatyti </w:t>
      </w:r>
      <w:proofErr w:type="spellStart"/>
      <w:r w:rsidRPr="00FE42AF">
        <w:rPr>
          <w:rFonts w:eastAsia="Arial"/>
          <w:bCs/>
        </w:rPr>
        <w:t>oHKMP</w:t>
      </w:r>
      <w:proofErr w:type="spellEnd"/>
      <w:r w:rsidRPr="00FE42AF">
        <w:rPr>
          <w:rFonts w:eastAsia="Arial"/>
          <w:bCs/>
        </w:rPr>
        <w:t xml:space="preserve"> gyvenimo kokybės įverčius Pareiškėjo pateikta SLA.</w:t>
      </w:r>
      <w:r w:rsidRPr="00FE42AF">
        <w:rPr>
          <w:iCs/>
          <w:lang w:eastAsia="lt-LT"/>
        </w:rPr>
        <w:t xml:space="preserve"> Įprastinėje atvejo analizėje taikomi </w:t>
      </w:r>
      <w:r w:rsidRPr="00FE42AF">
        <w:t xml:space="preserve">EXPLORER-HCM klinikinio tyrimo metu obstrukcine HCM sergančių pacientų, gydomų </w:t>
      </w:r>
      <w:proofErr w:type="spellStart"/>
      <w:r w:rsidRPr="00FE42AF">
        <w:t>mavakamtenu</w:t>
      </w:r>
      <w:proofErr w:type="spellEnd"/>
      <w:r w:rsidRPr="00FE42AF">
        <w:t xml:space="preserve"> ir/arba BB/CCB </w:t>
      </w:r>
      <w:proofErr w:type="spellStart"/>
      <w:r w:rsidRPr="00FE42AF">
        <w:t>monoterapija</w:t>
      </w:r>
      <w:proofErr w:type="spellEnd"/>
      <w:r w:rsidRPr="00FE42AF">
        <w:t xml:space="preserve">, skirtingose NYHA klasėse vertinti gyvenimo kokybės įverčiai vienodi </w:t>
      </w:r>
      <w:proofErr w:type="spellStart"/>
      <w:r w:rsidRPr="00FE42AF">
        <w:t>abiems</w:t>
      </w:r>
      <w:proofErr w:type="spellEnd"/>
      <w:r w:rsidRPr="00FE42AF">
        <w:t xml:space="preserve"> grupėms (tinkamiausias šaltinis), </w:t>
      </w:r>
      <w:r w:rsidRPr="00FE42AF">
        <w:rPr>
          <w:bCs/>
        </w:rPr>
        <w:t xml:space="preserve">naudojant </w:t>
      </w:r>
      <w:proofErr w:type="spellStart"/>
      <w:r w:rsidRPr="00FE42AF">
        <w:rPr>
          <w:bCs/>
        </w:rPr>
        <w:t>EuroQoL</w:t>
      </w:r>
      <w:proofErr w:type="spellEnd"/>
      <w:r w:rsidRPr="00FE42AF">
        <w:rPr>
          <w:bCs/>
        </w:rPr>
        <w:t xml:space="preserve"> EQ-5D-3L klausimyną. </w:t>
      </w:r>
      <w:r w:rsidRPr="00FE42AF">
        <w:t xml:space="preserve">Tarnyba sutinka ir laiko, kad </w:t>
      </w:r>
      <w:proofErr w:type="spellStart"/>
      <w:r w:rsidRPr="00FE42AF">
        <w:t>mavakamteno</w:t>
      </w:r>
      <w:proofErr w:type="spellEnd"/>
      <w:r w:rsidRPr="00FE42AF">
        <w:t xml:space="preserve"> pagrindinio klinikinio tyrimo metu vertinti gyvenimo kokybės įverčiai yra tinkamiausias šaltinis.</w:t>
      </w:r>
    </w:p>
    <w:p w14:paraId="140355BB" w14:textId="6AECCE33" w:rsidR="00065999" w:rsidRPr="00FE42AF" w:rsidRDefault="00065999" w:rsidP="00065999">
      <w:pPr>
        <w:spacing w:line="276" w:lineRule="auto"/>
        <w:ind w:firstLine="360"/>
        <w:jc w:val="both"/>
      </w:pPr>
      <w:r w:rsidRPr="00FE42AF">
        <w:rPr>
          <w:rFonts w:eastAsia="Arial"/>
          <w:bCs/>
        </w:rPr>
        <w:t>Ekonominėje dalyje klinikinio veiksmingumo duomenys pagrįsti tais pačiais šaltiniais kaip ir klinikinėje dalyje (EXPLORER-HCM).</w:t>
      </w:r>
      <w:r w:rsidRPr="00FE42AF">
        <w:t xml:space="preserve"> </w:t>
      </w:r>
      <w:r w:rsidRPr="00FE42AF">
        <w:rPr>
          <w:rFonts w:eastAsia="Arial"/>
          <w:bCs/>
        </w:rPr>
        <w:t xml:space="preserve">Pareiškėjas tiesioginio palyginimo analizėje pateikė du </w:t>
      </w:r>
      <w:proofErr w:type="spellStart"/>
      <w:r w:rsidRPr="00FE42AF">
        <w:rPr>
          <w:rFonts w:eastAsia="Arial"/>
          <w:bCs/>
        </w:rPr>
        <w:t>daugiacentrinius</w:t>
      </w:r>
      <w:proofErr w:type="spellEnd"/>
      <w:r w:rsidRPr="00FE42AF">
        <w:rPr>
          <w:rFonts w:eastAsia="Arial"/>
          <w:bCs/>
        </w:rPr>
        <w:t xml:space="preserve"> 3 fazės, atsitiktinių imčių, dvigubai maskuotus klinikinius tyrimus (EXPLORER-HCM ir VALOR-HCM), kuriuose buvo vertinimas </w:t>
      </w:r>
      <w:proofErr w:type="spellStart"/>
      <w:r w:rsidRPr="00FE42AF">
        <w:rPr>
          <w:rFonts w:eastAsia="Arial"/>
          <w:bCs/>
        </w:rPr>
        <w:t>mavakamteno</w:t>
      </w:r>
      <w:proofErr w:type="spellEnd"/>
      <w:r w:rsidRPr="00FE42AF">
        <w:rPr>
          <w:rFonts w:eastAsia="Arial"/>
          <w:bCs/>
        </w:rPr>
        <w:t xml:space="preserve"> efektyvumas ir saugumas gydant pacientus, kuriems nustatyta simptominė </w:t>
      </w:r>
      <w:proofErr w:type="spellStart"/>
      <w:r w:rsidRPr="00FE42AF">
        <w:rPr>
          <w:rFonts w:eastAsia="Arial"/>
          <w:bCs/>
        </w:rPr>
        <w:t>oHKMP</w:t>
      </w:r>
      <w:proofErr w:type="spellEnd"/>
      <w:r w:rsidRPr="00FE42AF">
        <w:rPr>
          <w:rFonts w:eastAsia="Arial"/>
          <w:bCs/>
        </w:rPr>
        <w:t xml:space="preserve">. Vertinama, kad BAB ar KKB </w:t>
      </w:r>
      <w:proofErr w:type="spellStart"/>
      <w:r w:rsidRPr="00FE42AF">
        <w:rPr>
          <w:rFonts w:eastAsia="Arial"/>
          <w:bCs/>
        </w:rPr>
        <w:t>monoterapijos</w:t>
      </w:r>
      <w:proofErr w:type="spellEnd"/>
      <w:r w:rsidRPr="00FE42AF">
        <w:rPr>
          <w:rFonts w:eastAsia="Arial"/>
          <w:bCs/>
        </w:rPr>
        <w:t xml:space="preserve"> papildymas </w:t>
      </w:r>
      <w:proofErr w:type="spellStart"/>
      <w:r w:rsidRPr="00FE42AF">
        <w:rPr>
          <w:rFonts w:eastAsia="Arial"/>
          <w:bCs/>
        </w:rPr>
        <w:t>mavakamtenu</w:t>
      </w:r>
      <w:proofErr w:type="spellEnd"/>
      <w:r w:rsidRPr="00FE42AF">
        <w:rPr>
          <w:rFonts w:eastAsia="Arial"/>
          <w:bCs/>
        </w:rPr>
        <w:t xml:space="preserve"> statistiškai ir kliniškai reikšmingai pagerino pacientų fizinio krūvio toleranciją ir gyvenimo kokybę. </w:t>
      </w:r>
      <w:r w:rsidRPr="00FE42AF">
        <w:rPr>
          <w:bCs/>
          <w:lang w:eastAsia="lt-LT"/>
        </w:rPr>
        <w:t xml:space="preserve">Modelyje taikoma </w:t>
      </w:r>
      <w:r w:rsidR="0000079D">
        <w:rPr>
          <w:bCs/>
          <w:lang w:eastAsia="lt-LT"/>
        </w:rPr>
        <w:t xml:space="preserve">*********   </w:t>
      </w:r>
      <w:r w:rsidRPr="00FE42AF">
        <w:rPr>
          <w:bCs/>
          <w:lang w:eastAsia="lt-LT"/>
        </w:rPr>
        <w:t xml:space="preserve">laiko perspektyva, besitęsianti po klinikinio tyrimo stebėsenos pabaigos (taikoma </w:t>
      </w:r>
      <w:r w:rsidR="0000079D">
        <w:rPr>
          <w:bCs/>
          <w:lang w:eastAsia="lt-LT"/>
        </w:rPr>
        <w:t xml:space="preserve">***** ***** </w:t>
      </w:r>
      <w:r w:rsidRPr="00FE42AF">
        <w:rPr>
          <w:bCs/>
          <w:lang w:eastAsia="lt-LT"/>
        </w:rPr>
        <w:t xml:space="preserve">perspektyva). Vertinant efektyvumo skirtumus tarp siūlomo ir palyginamojo gydymo </w:t>
      </w:r>
      <w:r w:rsidR="00830AF7">
        <w:rPr>
          <w:bCs/>
          <w:lang w:eastAsia="lt-LT"/>
        </w:rPr>
        <w:t>******</w:t>
      </w:r>
      <w:r w:rsidRPr="00FE42AF">
        <w:rPr>
          <w:bCs/>
          <w:lang w:eastAsia="lt-LT"/>
        </w:rPr>
        <w:t xml:space="preserve"> laikotarpyje, </w:t>
      </w:r>
      <w:r w:rsidR="00830AF7">
        <w:rPr>
          <w:bCs/>
          <w:lang w:eastAsia="lt-LT"/>
        </w:rPr>
        <w:t xml:space="preserve">********* </w:t>
      </w:r>
      <w:r w:rsidRPr="00FE42AF">
        <w:rPr>
          <w:bCs/>
          <w:lang w:eastAsia="lt-LT"/>
        </w:rPr>
        <w:t xml:space="preserve"> įtaką ekonominės analizės rezultatui turėjo šios prielaidos:</w:t>
      </w:r>
    </w:p>
    <w:p w14:paraId="5EFC99A9" w14:textId="767908C9" w:rsidR="00065999" w:rsidRPr="00FE42AF" w:rsidRDefault="00065999" w:rsidP="00065999">
      <w:pPr>
        <w:pStyle w:val="ListParagraph"/>
        <w:numPr>
          <w:ilvl w:val="0"/>
          <w:numId w:val="15"/>
        </w:numPr>
        <w:tabs>
          <w:tab w:val="left" w:pos="270"/>
        </w:tabs>
        <w:spacing w:line="276" w:lineRule="auto"/>
        <w:ind w:left="0" w:firstLine="0"/>
        <w:jc w:val="both"/>
        <w:rPr>
          <w:rFonts w:eastAsia="SimSun"/>
        </w:rPr>
      </w:pPr>
      <w:r w:rsidRPr="00FE42AF">
        <w:rPr>
          <w:bCs/>
          <w:lang w:eastAsia="en-GB"/>
        </w:rPr>
        <w:t>Sveikatos būklių perėjimo tikimybės trumpuoju laikotarpiu (pagrindimo šaltinis ir laikotarpis): Tarnyba taikė prielaidą</w:t>
      </w:r>
      <w:r w:rsidRPr="00FE42AF">
        <w:rPr>
          <w:rFonts w:eastAsia="SimSun"/>
        </w:rPr>
        <w:t xml:space="preserve">, kad abiejų gydymo grupių klinikiniai duomenys trumpuoju laikotarpiu pagrįsti tuo pačiu šaltiniu ir laikotarpiu: EXPLORER-HCM </w:t>
      </w:r>
      <w:r w:rsidR="0000079D">
        <w:rPr>
          <w:rFonts w:eastAsia="SimSun"/>
        </w:rPr>
        <w:t>***</w:t>
      </w:r>
      <w:r w:rsidRPr="00FE42AF">
        <w:rPr>
          <w:rFonts w:eastAsia="SimSun"/>
        </w:rPr>
        <w:t xml:space="preserve"> sav.; 2) </w:t>
      </w:r>
      <w:proofErr w:type="spellStart"/>
      <w:r w:rsidRPr="00FE42AF">
        <w:rPr>
          <w:rFonts w:eastAsia="SimSun"/>
        </w:rPr>
        <w:t>Mavakamteno</w:t>
      </w:r>
      <w:proofErr w:type="spellEnd"/>
      <w:r w:rsidRPr="00FE42AF">
        <w:rPr>
          <w:rFonts w:eastAsia="SimSun"/>
        </w:rPr>
        <w:t xml:space="preserve"> gydymo nutraukimo prielaida dėl atsako trūkumo: </w:t>
      </w:r>
      <w:r w:rsidRPr="00FE42AF">
        <w:rPr>
          <w:rFonts w:eastAsia="SimSun"/>
          <w:bCs/>
        </w:rPr>
        <w:t>Tarnyba gydymo nutraukimo dėl atsako trūkumo (</w:t>
      </w:r>
      <w:r w:rsidRPr="00FE42AF">
        <w:rPr>
          <w:rFonts w:eastAsia="SimSun"/>
        </w:rPr>
        <w:t xml:space="preserve">jei nestebima NYHA klasės pagerėjimo nuo gydymo pradžios </w:t>
      </w:r>
      <w:r w:rsidR="003979E3">
        <w:rPr>
          <w:rFonts w:eastAsia="SimSun"/>
        </w:rPr>
        <w:t xml:space="preserve">** </w:t>
      </w:r>
      <w:r w:rsidRPr="00FE42AF">
        <w:rPr>
          <w:rFonts w:eastAsia="SimSun"/>
        </w:rPr>
        <w:t xml:space="preserve"> sav. trumpuoju laikotarpiu ir suprastėja NYHA klasė nuo ankstesnio ciklo ilguoju laikotarpiu)</w:t>
      </w:r>
      <w:r w:rsidRPr="00FE42AF">
        <w:rPr>
          <w:rFonts w:eastAsia="SimSun"/>
          <w:bCs/>
        </w:rPr>
        <w:t xml:space="preserve"> KNA</w:t>
      </w:r>
      <w:r w:rsidR="003979E3">
        <w:rPr>
          <w:rFonts w:eastAsia="SimSun"/>
          <w:bCs/>
        </w:rPr>
        <w:t xml:space="preserve"> ******</w:t>
      </w:r>
      <w:r w:rsidRPr="00FE42AF">
        <w:rPr>
          <w:rFonts w:eastAsia="SimSun"/>
          <w:bCs/>
        </w:rPr>
        <w:t xml:space="preserve">; 3) Papildomos mirčių rizikos NYHA klasėse įtraukimo (RS pagal literatūros šaltinius: </w:t>
      </w:r>
      <w:proofErr w:type="spellStart"/>
      <w:r w:rsidRPr="00FE42AF">
        <w:rPr>
          <w:rFonts w:eastAsia="SimSun"/>
          <w:bCs/>
        </w:rPr>
        <w:t>Lakdawala</w:t>
      </w:r>
      <w:proofErr w:type="spellEnd"/>
      <w:r w:rsidRPr="00FE42AF">
        <w:rPr>
          <w:rFonts w:eastAsia="SimSun"/>
          <w:bCs/>
        </w:rPr>
        <w:t xml:space="preserve"> et al.): Laikoma, kad mirčių rizika </w:t>
      </w:r>
      <w:r w:rsidR="003979E3">
        <w:rPr>
          <w:rFonts w:eastAsia="SimSun"/>
          <w:bCs/>
        </w:rPr>
        <w:t xml:space="preserve">***** </w:t>
      </w:r>
      <w:r w:rsidRPr="00FE42AF">
        <w:rPr>
          <w:rFonts w:eastAsia="SimSun"/>
          <w:bCs/>
        </w:rPr>
        <w:t xml:space="preserve"> visose NYHA klasėse (RS=</w:t>
      </w:r>
      <w:r w:rsidR="00830AF7">
        <w:rPr>
          <w:rFonts w:eastAsia="SimSun"/>
          <w:bCs/>
        </w:rPr>
        <w:t>**</w:t>
      </w:r>
      <w:r w:rsidRPr="00FE42AF">
        <w:rPr>
          <w:rFonts w:eastAsia="SimSun"/>
          <w:bCs/>
        </w:rPr>
        <w:t>).</w:t>
      </w:r>
    </w:p>
    <w:p w14:paraId="1B9FC11D" w14:textId="23927092" w:rsidR="00065999" w:rsidRPr="00FE42AF" w:rsidRDefault="00065999" w:rsidP="00065999">
      <w:pPr>
        <w:pStyle w:val="ListParagraph"/>
        <w:tabs>
          <w:tab w:val="left" w:pos="270"/>
        </w:tabs>
        <w:spacing w:line="276" w:lineRule="auto"/>
        <w:ind w:left="0"/>
        <w:jc w:val="both"/>
      </w:pPr>
      <w:r w:rsidRPr="00FE42AF">
        <w:rPr>
          <w:rFonts w:eastAsia="SimSun"/>
          <w:bCs/>
        </w:rPr>
        <w:tab/>
      </w:r>
      <w:r w:rsidRPr="00FE42AF">
        <w:t xml:space="preserve">Tarnyba įprastinėje atvejo analizėje vertina, kad </w:t>
      </w:r>
      <w:r w:rsidR="003979E3">
        <w:t>******</w:t>
      </w:r>
      <w:r w:rsidRPr="00FE42AF">
        <w:t xml:space="preserve">nauda, prognozuojama </w:t>
      </w:r>
      <w:proofErr w:type="spellStart"/>
      <w:r w:rsidRPr="00FE42AF">
        <w:t>mavakamtenui</w:t>
      </w:r>
      <w:proofErr w:type="spellEnd"/>
      <w:r w:rsidRPr="00FE42AF">
        <w:t xml:space="preserve"> yra</w:t>
      </w:r>
      <w:r w:rsidR="003979E3">
        <w:t xml:space="preserve"> ************</w:t>
      </w:r>
      <w:r w:rsidRPr="00FE42AF">
        <w:t xml:space="preserve">, kadangi Pareiškėjo bazinis scenarijus prognozuoja </w:t>
      </w:r>
      <w:r w:rsidR="003979E3">
        <w:rPr>
          <w:color w:val="000000"/>
          <w:lang w:val="en-US" w:eastAsia="lt-LT"/>
        </w:rPr>
        <w:t xml:space="preserve">***** </w:t>
      </w:r>
      <w:r w:rsidRPr="00FE42AF">
        <w:t xml:space="preserve">papildomų gyvenimo metų pranašumą pacientams gydomiems </w:t>
      </w:r>
      <w:proofErr w:type="spellStart"/>
      <w:r w:rsidRPr="00FE42AF">
        <w:t>mavakamtenu</w:t>
      </w:r>
      <w:proofErr w:type="spellEnd"/>
      <w:r w:rsidRPr="00FE42AF">
        <w:t xml:space="preserve"> + BB/CCB palyginti su vien tik BB/CCB ir </w:t>
      </w:r>
      <w:r w:rsidRPr="00FE42AF">
        <w:rPr>
          <w:color w:val="000000"/>
          <w:lang w:val="en-US" w:eastAsia="lt-LT"/>
        </w:rPr>
        <w:t>LYs.</w:t>
      </w:r>
      <w:r w:rsidRPr="00FE42AF">
        <w:t xml:space="preserve"> Svarbu tai, kad toks rezultatas klinikiniuose tyrimuose</w:t>
      </w:r>
      <w:r w:rsidR="003979E3">
        <w:t xml:space="preserve"> *****8** </w:t>
      </w:r>
      <w:r w:rsidRPr="00FE42AF">
        <w:t xml:space="preserve">. EXPLORER-HCM tyrime išgyvenamumas </w:t>
      </w:r>
      <w:r w:rsidR="003979E3">
        <w:t>*****</w:t>
      </w:r>
      <w:r w:rsidRPr="00FE42AF">
        <w:t xml:space="preserve"> vertinamas kaip baigtinis rezultatas ir </w:t>
      </w:r>
      <w:r w:rsidR="00D5632F">
        <w:t>**********************</w:t>
      </w:r>
      <w:r w:rsidRPr="00FE42AF">
        <w:t xml:space="preserve"> vertinant </w:t>
      </w:r>
      <w:r w:rsidR="00D5632F">
        <w:t xml:space="preserve">***  ******** </w:t>
      </w:r>
      <w:r w:rsidRPr="00FE42AF">
        <w:t>.</w:t>
      </w:r>
      <w:r w:rsidRPr="00FE42AF">
        <w:rPr>
          <w:lang w:val="en-US"/>
        </w:rPr>
        <w:t xml:space="preserve"> </w:t>
      </w:r>
      <w:proofErr w:type="spellStart"/>
      <w:r w:rsidRPr="00FE42AF">
        <w:rPr>
          <w:lang w:val="en-US"/>
        </w:rPr>
        <w:t>Pagal</w:t>
      </w:r>
      <w:proofErr w:type="spellEnd"/>
      <w:r w:rsidRPr="00FE42AF">
        <w:rPr>
          <w:lang w:val="en-US"/>
        </w:rPr>
        <w:t xml:space="preserve"> k</w:t>
      </w:r>
      <w:proofErr w:type="spellStart"/>
      <w:r w:rsidRPr="00FE42AF">
        <w:t>linikinių</w:t>
      </w:r>
      <w:proofErr w:type="spellEnd"/>
      <w:r w:rsidRPr="00FE42AF">
        <w:t xml:space="preserve"> ekspertų nuomonę, pacientai, sergantys obstrukcine HCM, esant dabartinėms standartinėms gydymo priemonėms (BB/CCB), paprastai turi </w:t>
      </w:r>
      <w:r w:rsidR="00D5632F">
        <w:t xml:space="preserve">********** </w:t>
      </w:r>
      <w:r w:rsidRPr="00FE42AF">
        <w:t xml:space="preserve">gyvenimo trukmę, todėl </w:t>
      </w:r>
      <w:r w:rsidR="00D5632F">
        <w:t>********* *******</w:t>
      </w:r>
      <w:proofErr w:type="gramStart"/>
      <w:r w:rsidR="00D5632F">
        <w:t xml:space="preserve">* </w:t>
      </w:r>
      <w:r w:rsidR="004B2F81">
        <w:t xml:space="preserve"> *</w:t>
      </w:r>
      <w:proofErr w:type="gramEnd"/>
      <w:r w:rsidR="004B2F81">
        <w:t>***** r</w:t>
      </w:r>
      <w:r w:rsidRPr="00FE42AF">
        <w:t>ezultatas vertinant naują (</w:t>
      </w:r>
      <w:proofErr w:type="spellStart"/>
      <w:r w:rsidRPr="00FE42AF">
        <w:t>mavakamtenas</w:t>
      </w:r>
      <w:proofErr w:type="spellEnd"/>
      <w:r w:rsidRPr="00FE42AF">
        <w:t xml:space="preserve"> + BB/CCB) </w:t>
      </w:r>
      <w:proofErr w:type="spellStart"/>
      <w:r w:rsidRPr="00FE42AF">
        <w:t>oHCM</w:t>
      </w:r>
      <w:proofErr w:type="spellEnd"/>
      <w:r w:rsidRPr="00FE42AF">
        <w:t xml:space="preserve"> gydymą. Netaikant papildomo </w:t>
      </w:r>
      <w:r w:rsidR="004B2F81">
        <w:t>***</w:t>
      </w:r>
      <w:r w:rsidRPr="00FE42AF">
        <w:t xml:space="preserve"> dėl mirčių NYHA klasėse </w:t>
      </w:r>
      <w:proofErr w:type="spellStart"/>
      <w:r w:rsidRPr="00FE42AF">
        <w:t>inkrementiniai</w:t>
      </w:r>
      <w:proofErr w:type="spellEnd"/>
      <w:r w:rsidRPr="00FE42AF">
        <w:t xml:space="preserve"> papildomi gyvenimo metai </w:t>
      </w:r>
      <w:r w:rsidR="004B2F81">
        <w:t xml:space="preserve">**** </w:t>
      </w:r>
      <w:r w:rsidRPr="00FE42AF">
        <w:t xml:space="preserve"> (</w:t>
      </w:r>
      <w:proofErr w:type="spellStart"/>
      <w:r w:rsidRPr="00FE42AF">
        <w:t>inkr</w:t>
      </w:r>
      <w:proofErr w:type="spellEnd"/>
      <w:r w:rsidRPr="00FE42AF">
        <w:t xml:space="preserve">. </w:t>
      </w:r>
      <w:proofErr w:type="spellStart"/>
      <w:r w:rsidRPr="00FE42AF">
        <w:t>LYs</w:t>
      </w:r>
      <w:proofErr w:type="spellEnd"/>
      <w:r w:rsidRPr="00FE42AF">
        <w:t xml:space="preserve"> </w:t>
      </w:r>
      <w:r w:rsidRPr="00FE42AF">
        <w:rPr>
          <w:lang w:val="en-US"/>
        </w:rPr>
        <w:t xml:space="preserve">= </w:t>
      </w:r>
      <w:r w:rsidR="004B2F81">
        <w:rPr>
          <w:lang w:val="en-US"/>
        </w:rPr>
        <w:t xml:space="preserve">** </w:t>
      </w:r>
      <w:r w:rsidRPr="00FE42AF">
        <w:rPr>
          <w:lang w:val="en-US"/>
        </w:rPr>
        <w:t xml:space="preserve">). </w:t>
      </w:r>
      <w:proofErr w:type="spellStart"/>
      <w:r w:rsidRPr="00FE42AF">
        <w:rPr>
          <w:lang w:val="en-US"/>
        </w:rPr>
        <w:t>Tarnybai</w:t>
      </w:r>
      <w:proofErr w:type="spellEnd"/>
      <w:r w:rsidRPr="00FE42AF">
        <w:rPr>
          <w:lang w:val="en-US"/>
        </w:rPr>
        <w:t xml:space="preserve"> </w:t>
      </w:r>
      <w:proofErr w:type="spellStart"/>
      <w:r w:rsidRPr="00FE42AF">
        <w:rPr>
          <w:lang w:val="en-US"/>
        </w:rPr>
        <w:t>taikant</w:t>
      </w:r>
      <w:proofErr w:type="spellEnd"/>
      <w:r w:rsidRPr="00FE42AF">
        <w:rPr>
          <w:lang w:val="en-US"/>
        </w:rPr>
        <w:t xml:space="preserve"> </w:t>
      </w:r>
      <w:proofErr w:type="spellStart"/>
      <w:r w:rsidRPr="00FE42AF">
        <w:rPr>
          <w:lang w:val="en-US"/>
        </w:rPr>
        <w:t>prielaid</w:t>
      </w:r>
      <w:proofErr w:type="spellEnd"/>
      <w:r w:rsidRPr="00FE42AF">
        <w:t xml:space="preserve">ą, kad </w:t>
      </w:r>
      <w:r w:rsidR="004B2F81">
        <w:t xml:space="preserve">****** </w:t>
      </w:r>
      <w:r w:rsidRPr="00FE42AF">
        <w:t xml:space="preserve">rizika pagal NYHA klases </w:t>
      </w:r>
      <w:r w:rsidR="004B2F81">
        <w:t>**</w:t>
      </w:r>
      <w:proofErr w:type="gramStart"/>
      <w:r w:rsidR="004B2F81">
        <w:t xml:space="preserve">* </w:t>
      </w:r>
      <w:r w:rsidRPr="00FE42AF">
        <w:t xml:space="preserve"> (</w:t>
      </w:r>
      <w:proofErr w:type="gramEnd"/>
      <w:r w:rsidRPr="00FE42AF">
        <w:t>RS</w:t>
      </w:r>
      <w:r w:rsidRPr="00FE42AF">
        <w:rPr>
          <w:lang w:val="en-US"/>
        </w:rPr>
        <w:t>=</w:t>
      </w:r>
      <w:r w:rsidR="004B2F81">
        <w:rPr>
          <w:lang w:val="en-US"/>
        </w:rPr>
        <w:t>**</w:t>
      </w:r>
      <w:r w:rsidRPr="00FE42AF">
        <w:rPr>
          <w:lang w:val="en-US"/>
        </w:rPr>
        <w:t xml:space="preserve">), </w:t>
      </w:r>
      <w:r w:rsidRPr="00FE42AF">
        <w:t xml:space="preserve">dabartinio gydymo sukuriami </w:t>
      </w:r>
      <w:r w:rsidR="00830AF7">
        <w:t>*******</w:t>
      </w:r>
      <w:r w:rsidRPr="00FE42AF">
        <w:t xml:space="preserve"> kokybiški gyvenimo metai – </w:t>
      </w:r>
      <w:r w:rsidR="004B2F81">
        <w:t xml:space="preserve">***** </w:t>
      </w:r>
      <w:r w:rsidRPr="00FE42AF">
        <w:t xml:space="preserve">(vidutinis pacientų amžius – </w:t>
      </w:r>
      <w:r w:rsidR="00830AF7">
        <w:t>**</w:t>
      </w:r>
      <w:r w:rsidRPr="00FE42AF">
        <w:t xml:space="preserve"> m., </w:t>
      </w:r>
      <w:r w:rsidR="00830AF7">
        <w:t>***</w:t>
      </w:r>
      <w:r w:rsidRPr="00FE42AF">
        <w:t xml:space="preserve"> proc. moterų), apskaičiuotas santykinis kokybiškos gyvenimo trukmės praradimas - </w:t>
      </w:r>
      <w:r w:rsidR="004B2F81">
        <w:t>***</w:t>
      </w:r>
      <w:proofErr w:type="gramStart"/>
      <w:r w:rsidR="004B2F81">
        <w:t xml:space="preserve">* </w:t>
      </w:r>
      <w:r w:rsidRPr="00FE42AF">
        <w:t>.</w:t>
      </w:r>
      <w:proofErr w:type="gramEnd"/>
      <w:r w:rsidRPr="00FE42AF">
        <w:t xml:space="preserve"> </w:t>
      </w:r>
      <w:r w:rsidRPr="00FE42AF">
        <w:rPr>
          <w:color w:val="000000"/>
        </w:rPr>
        <w:t>Vadovaujantis 2020 m. vasario 12 d. Nr. V-158 įsakymu „</w:t>
      </w:r>
      <w:r w:rsidRPr="00FE42AF">
        <w:rPr>
          <w:bCs/>
          <w:shd w:val="clear" w:color="auto" w:fill="FFFFFF"/>
        </w:rPr>
        <w:t xml:space="preserve">Dėl referencinės kaštų naudingumo vertės dydžio patvirtinimo“ apskaičiuota ligos našta yra </w:t>
      </w:r>
      <w:r w:rsidR="004B2F81">
        <w:rPr>
          <w:bCs/>
          <w:shd w:val="clear" w:color="auto" w:fill="FFFFFF"/>
        </w:rPr>
        <w:t>******</w:t>
      </w:r>
      <w:r w:rsidRPr="00FE42AF">
        <w:rPr>
          <w:bCs/>
          <w:shd w:val="clear" w:color="auto" w:fill="FFFFFF"/>
        </w:rPr>
        <w:t xml:space="preserve"> (</w:t>
      </w:r>
      <w:r w:rsidR="004B2F81">
        <w:rPr>
          <w:bCs/>
          <w:shd w:val="clear" w:color="auto" w:fill="FFFFFF"/>
        </w:rPr>
        <w:t>*</w:t>
      </w:r>
      <w:r w:rsidRPr="00FE42AF">
        <w:rPr>
          <w:bCs/>
          <w:shd w:val="clear" w:color="auto" w:fill="FFFFFF"/>
        </w:rPr>
        <w:t xml:space="preserve"> BVP) ir </w:t>
      </w:r>
      <w:r w:rsidRPr="00FE42AF">
        <w:t xml:space="preserve">taikomas referencinės kaštų naudingumo vertės dydis – </w:t>
      </w:r>
      <w:r w:rsidR="004B2F81">
        <w:t>*********</w:t>
      </w:r>
      <w:r w:rsidRPr="00FE42AF">
        <w:t xml:space="preserve"> Eur.</w:t>
      </w:r>
    </w:p>
    <w:p w14:paraId="039D87BE" w14:textId="085E8AA4" w:rsidR="00065999" w:rsidRPr="00FE42AF" w:rsidRDefault="00065999" w:rsidP="00065999">
      <w:pPr>
        <w:pStyle w:val="ListParagraph"/>
        <w:tabs>
          <w:tab w:val="left" w:pos="270"/>
        </w:tabs>
        <w:spacing w:line="276" w:lineRule="auto"/>
        <w:ind w:left="0"/>
        <w:jc w:val="both"/>
      </w:pPr>
    </w:p>
    <w:p w14:paraId="007D40AD" w14:textId="77777777" w:rsidR="00065999" w:rsidRPr="00FE42AF" w:rsidRDefault="00065999" w:rsidP="00065999">
      <w:pPr>
        <w:tabs>
          <w:tab w:val="left" w:pos="426"/>
        </w:tabs>
        <w:jc w:val="center"/>
        <w:rPr>
          <w:b/>
          <w:lang w:eastAsia="lt-LT"/>
        </w:rPr>
      </w:pPr>
      <w:r w:rsidRPr="00FE42AF">
        <w:rPr>
          <w:b/>
          <w:lang w:eastAsia="lt-LT"/>
        </w:rPr>
        <w:t>Ekonominės analizės rezultatas</w:t>
      </w:r>
    </w:p>
    <w:p w14:paraId="6026CFD6" w14:textId="77777777" w:rsidR="00065999" w:rsidRPr="00FE42AF" w:rsidRDefault="00065999" w:rsidP="00065999">
      <w:pPr>
        <w:tabs>
          <w:tab w:val="left" w:pos="426"/>
        </w:tabs>
        <w:rPr>
          <w:b/>
          <w:lang w:eastAsia="lt-LT"/>
        </w:rPr>
      </w:pPr>
    </w:p>
    <w:tbl>
      <w:tblPr>
        <w:tblStyle w:val="Lentelstinklelis1"/>
        <w:tblW w:w="9439"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200"/>
        <w:gridCol w:w="3239"/>
      </w:tblGrid>
      <w:tr w:rsidR="00065999" w:rsidRPr="00FE42AF" w14:paraId="4062008F" w14:textId="77777777" w:rsidTr="00943136">
        <w:trPr>
          <w:trHeight w:val="344"/>
          <w:jc w:val="center"/>
        </w:trPr>
        <w:tc>
          <w:tcPr>
            <w:tcW w:w="9439" w:type="dxa"/>
            <w:gridSpan w:val="2"/>
            <w:tcBorders>
              <w:top w:val="single" w:sz="12" w:space="0" w:color="auto"/>
              <w:left w:val="single" w:sz="4" w:space="0" w:color="auto"/>
              <w:right w:val="single" w:sz="4" w:space="0" w:color="auto"/>
            </w:tcBorders>
            <w:vAlign w:val="center"/>
          </w:tcPr>
          <w:p w14:paraId="4C003E47" w14:textId="77777777" w:rsidR="00065999" w:rsidRPr="00FE42AF" w:rsidRDefault="00065999" w:rsidP="00943136">
            <w:pPr>
              <w:tabs>
                <w:tab w:val="left" w:pos="567"/>
              </w:tabs>
              <w:jc w:val="center"/>
              <w:rPr>
                <w:b/>
                <w:bCs/>
                <w:sz w:val="26"/>
                <w:szCs w:val="26"/>
                <w:lang w:eastAsia="lt-LT"/>
              </w:rPr>
            </w:pPr>
            <w:r w:rsidRPr="00FE42AF">
              <w:rPr>
                <w:b/>
                <w:bCs/>
                <w:sz w:val="26"/>
                <w:szCs w:val="26"/>
                <w:lang w:eastAsia="lt-LT"/>
              </w:rPr>
              <w:t>Rezultatai</w:t>
            </w:r>
          </w:p>
        </w:tc>
      </w:tr>
      <w:tr w:rsidR="00065999" w:rsidRPr="00FE42AF" w14:paraId="3A3B0574" w14:textId="77777777" w:rsidTr="00943136">
        <w:trPr>
          <w:trHeight w:val="267"/>
          <w:jc w:val="center"/>
        </w:trPr>
        <w:tc>
          <w:tcPr>
            <w:tcW w:w="6200" w:type="dxa"/>
            <w:tcBorders>
              <w:left w:val="single" w:sz="4" w:space="0" w:color="auto"/>
            </w:tcBorders>
          </w:tcPr>
          <w:p w14:paraId="0ABC54D4" w14:textId="77777777" w:rsidR="00065999" w:rsidRPr="00FE42AF" w:rsidRDefault="00065999" w:rsidP="00943136">
            <w:pPr>
              <w:tabs>
                <w:tab w:val="left" w:pos="567"/>
              </w:tabs>
              <w:jc w:val="right"/>
              <w:rPr>
                <w:iCs/>
                <w:lang w:eastAsia="lt-LT"/>
              </w:rPr>
            </w:pPr>
            <w:r w:rsidRPr="00FE42AF">
              <w:rPr>
                <w:iCs/>
                <w:lang w:eastAsia="lt-LT"/>
              </w:rPr>
              <w:t>Kaštų skirtumas</w:t>
            </w:r>
          </w:p>
        </w:tc>
        <w:tc>
          <w:tcPr>
            <w:tcW w:w="3239" w:type="dxa"/>
            <w:tcBorders>
              <w:right w:val="single" w:sz="4" w:space="0" w:color="auto"/>
            </w:tcBorders>
          </w:tcPr>
          <w:p w14:paraId="760F0B8D" w14:textId="38C32136" w:rsidR="00065999" w:rsidRPr="00FE42AF" w:rsidRDefault="004B2F81" w:rsidP="00943136">
            <w:pPr>
              <w:tabs>
                <w:tab w:val="left" w:pos="567"/>
              </w:tabs>
              <w:jc w:val="both"/>
              <w:rPr>
                <w:i/>
                <w:iCs/>
                <w:lang w:eastAsia="lt-LT"/>
              </w:rPr>
            </w:pPr>
            <w:r>
              <w:rPr>
                <w:bCs/>
              </w:rPr>
              <w:t xml:space="preserve">******* </w:t>
            </w:r>
            <w:r w:rsidR="00065999" w:rsidRPr="00FE42AF">
              <w:t>Eur.</w:t>
            </w:r>
          </w:p>
        </w:tc>
      </w:tr>
      <w:tr w:rsidR="00065999" w:rsidRPr="00FE42AF" w14:paraId="4B76A6A0" w14:textId="77777777" w:rsidTr="00943136">
        <w:trPr>
          <w:trHeight w:val="267"/>
          <w:jc w:val="center"/>
        </w:trPr>
        <w:tc>
          <w:tcPr>
            <w:tcW w:w="6200" w:type="dxa"/>
            <w:tcBorders>
              <w:left w:val="single" w:sz="4" w:space="0" w:color="auto"/>
            </w:tcBorders>
          </w:tcPr>
          <w:p w14:paraId="054CF5E8" w14:textId="77777777" w:rsidR="00065999" w:rsidRPr="00FE42AF" w:rsidRDefault="00065999" w:rsidP="00943136">
            <w:pPr>
              <w:tabs>
                <w:tab w:val="left" w:pos="567"/>
              </w:tabs>
              <w:jc w:val="right"/>
              <w:rPr>
                <w:iCs/>
                <w:lang w:eastAsia="lt-LT"/>
              </w:rPr>
            </w:pPr>
            <w:r w:rsidRPr="00FE42AF">
              <w:rPr>
                <w:iCs/>
                <w:lang w:eastAsia="lt-LT"/>
              </w:rPr>
              <w:t>Papildomi gyvenimo metai (LY)</w:t>
            </w:r>
          </w:p>
        </w:tc>
        <w:tc>
          <w:tcPr>
            <w:tcW w:w="3239" w:type="dxa"/>
            <w:tcBorders>
              <w:right w:val="single" w:sz="4" w:space="0" w:color="auto"/>
            </w:tcBorders>
          </w:tcPr>
          <w:p w14:paraId="748272AF" w14:textId="03088309" w:rsidR="00065999" w:rsidRPr="00FE42AF" w:rsidRDefault="004B2F81" w:rsidP="00943136">
            <w:pPr>
              <w:tabs>
                <w:tab w:val="left" w:pos="567"/>
              </w:tabs>
              <w:jc w:val="both"/>
              <w:rPr>
                <w:i/>
                <w:iCs/>
                <w:lang w:eastAsia="lt-LT"/>
              </w:rPr>
            </w:pPr>
            <w:r>
              <w:rPr>
                <w:i/>
                <w:iCs/>
              </w:rPr>
              <w:t>*****</w:t>
            </w:r>
          </w:p>
        </w:tc>
      </w:tr>
      <w:tr w:rsidR="00065999" w:rsidRPr="00FE42AF" w14:paraId="3C113815" w14:textId="77777777" w:rsidTr="00943136">
        <w:trPr>
          <w:trHeight w:val="267"/>
          <w:jc w:val="center"/>
        </w:trPr>
        <w:tc>
          <w:tcPr>
            <w:tcW w:w="6200" w:type="dxa"/>
            <w:tcBorders>
              <w:left w:val="single" w:sz="4" w:space="0" w:color="auto"/>
            </w:tcBorders>
          </w:tcPr>
          <w:p w14:paraId="21E31621" w14:textId="77777777" w:rsidR="00065999" w:rsidRPr="00FE42AF" w:rsidRDefault="00065999" w:rsidP="00943136">
            <w:pPr>
              <w:tabs>
                <w:tab w:val="left" w:pos="567"/>
              </w:tabs>
              <w:jc w:val="right"/>
              <w:rPr>
                <w:iCs/>
                <w:lang w:eastAsia="lt-LT"/>
              </w:rPr>
            </w:pPr>
            <w:r w:rsidRPr="00FE42AF">
              <w:rPr>
                <w:iCs/>
                <w:lang w:eastAsia="lt-LT"/>
              </w:rPr>
              <w:t>Papildomi kokybiški gyvenimo metai (QALY)</w:t>
            </w:r>
          </w:p>
        </w:tc>
        <w:tc>
          <w:tcPr>
            <w:tcW w:w="3239" w:type="dxa"/>
            <w:tcBorders>
              <w:right w:val="single" w:sz="4" w:space="0" w:color="auto"/>
            </w:tcBorders>
          </w:tcPr>
          <w:p w14:paraId="1FD4A6D7" w14:textId="1E3C1BF0" w:rsidR="00065999" w:rsidRPr="00FE42AF" w:rsidRDefault="00F725EC" w:rsidP="00943136">
            <w:pPr>
              <w:tabs>
                <w:tab w:val="left" w:pos="567"/>
              </w:tabs>
              <w:jc w:val="both"/>
              <w:rPr>
                <w:iCs/>
                <w:lang w:eastAsia="lt-LT"/>
              </w:rPr>
            </w:pPr>
            <w:r>
              <w:rPr>
                <w:iCs/>
                <w:lang w:eastAsia="lt-LT"/>
              </w:rPr>
              <w:t>*****</w:t>
            </w:r>
          </w:p>
        </w:tc>
      </w:tr>
      <w:tr w:rsidR="00065999" w:rsidRPr="00FE42AF" w14:paraId="27587F88" w14:textId="77777777" w:rsidTr="00943136">
        <w:trPr>
          <w:trHeight w:val="267"/>
          <w:jc w:val="center"/>
        </w:trPr>
        <w:tc>
          <w:tcPr>
            <w:tcW w:w="6200" w:type="dxa"/>
            <w:tcBorders>
              <w:left w:val="single" w:sz="4" w:space="0" w:color="auto"/>
            </w:tcBorders>
          </w:tcPr>
          <w:p w14:paraId="7BA15D62" w14:textId="77777777" w:rsidR="00065999" w:rsidRPr="00FE42AF" w:rsidRDefault="00065999" w:rsidP="00943136">
            <w:pPr>
              <w:tabs>
                <w:tab w:val="left" w:pos="567"/>
              </w:tabs>
              <w:jc w:val="right"/>
              <w:rPr>
                <w:iCs/>
                <w:lang w:eastAsia="lt-LT"/>
              </w:rPr>
            </w:pPr>
            <w:r w:rsidRPr="00FE42AF">
              <w:rPr>
                <w:iCs/>
                <w:lang w:eastAsia="lt-LT"/>
              </w:rPr>
              <w:t>ICER už LY</w:t>
            </w:r>
          </w:p>
        </w:tc>
        <w:tc>
          <w:tcPr>
            <w:tcW w:w="3239" w:type="dxa"/>
            <w:tcBorders>
              <w:right w:val="single" w:sz="4" w:space="0" w:color="auto"/>
            </w:tcBorders>
          </w:tcPr>
          <w:p w14:paraId="78887E0C" w14:textId="18C55B9C" w:rsidR="00065999" w:rsidRPr="00FE42AF" w:rsidRDefault="00F725EC" w:rsidP="00943136">
            <w:pPr>
              <w:jc w:val="both"/>
              <w:rPr>
                <w:bCs/>
              </w:rPr>
            </w:pPr>
            <w:r>
              <w:rPr>
                <w:bCs/>
              </w:rPr>
              <w:t>*****</w:t>
            </w:r>
          </w:p>
        </w:tc>
      </w:tr>
      <w:tr w:rsidR="00065999" w:rsidRPr="00FE42AF" w14:paraId="02A76ECE" w14:textId="77777777" w:rsidTr="00943136">
        <w:trPr>
          <w:trHeight w:val="267"/>
          <w:jc w:val="center"/>
        </w:trPr>
        <w:tc>
          <w:tcPr>
            <w:tcW w:w="6200" w:type="dxa"/>
            <w:tcBorders>
              <w:left w:val="single" w:sz="4" w:space="0" w:color="auto"/>
            </w:tcBorders>
          </w:tcPr>
          <w:p w14:paraId="092150E9" w14:textId="77777777" w:rsidR="00065999" w:rsidRPr="00FE42AF" w:rsidRDefault="00065999" w:rsidP="00943136">
            <w:pPr>
              <w:tabs>
                <w:tab w:val="left" w:pos="567"/>
              </w:tabs>
              <w:jc w:val="right"/>
              <w:rPr>
                <w:b/>
                <w:iCs/>
                <w:lang w:eastAsia="lt-LT"/>
              </w:rPr>
            </w:pPr>
            <w:r w:rsidRPr="00FE42AF">
              <w:rPr>
                <w:b/>
                <w:iCs/>
                <w:lang w:eastAsia="lt-LT"/>
              </w:rPr>
              <w:t>ICER už QALY</w:t>
            </w:r>
          </w:p>
        </w:tc>
        <w:tc>
          <w:tcPr>
            <w:tcW w:w="3239" w:type="dxa"/>
            <w:tcBorders>
              <w:right w:val="single" w:sz="4" w:space="0" w:color="auto"/>
            </w:tcBorders>
          </w:tcPr>
          <w:p w14:paraId="5E29BF94" w14:textId="54E581FB" w:rsidR="00065999" w:rsidRPr="00FE42AF" w:rsidRDefault="00F725EC" w:rsidP="00943136">
            <w:pPr>
              <w:tabs>
                <w:tab w:val="left" w:pos="567"/>
              </w:tabs>
              <w:jc w:val="both"/>
              <w:rPr>
                <w:b/>
                <w:i/>
                <w:iCs/>
                <w:lang w:eastAsia="lt-LT"/>
              </w:rPr>
            </w:pPr>
            <w:r>
              <w:rPr>
                <w:b/>
              </w:rPr>
              <w:t>*****</w:t>
            </w:r>
            <w:r w:rsidR="00065999" w:rsidRPr="00FE42AF">
              <w:rPr>
                <w:b/>
              </w:rPr>
              <w:t xml:space="preserve"> </w:t>
            </w:r>
            <w:r w:rsidR="00065999" w:rsidRPr="00FE42AF">
              <w:rPr>
                <w:b/>
                <w:color w:val="000000"/>
              </w:rPr>
              <w:t>Eur/QALY</w:t>
            </w:r>
          </w:p>
        </w:tc>
      </w:tr>
      <w:tr w:rsidR="00065999" w:rsidRPr="00FE42AF" w14:paraId="092E0AFD" w14:textId="77777777" w:rsidTr="00943136">
        <w:trPr>
          <w:trHeight w:val="267"/>
          <w:jc w:val="center"/>
        </w:trPr>
        <w:tc>
          <w:tcPr>
            <w:tcW w:w="6200" w:type="dxa"/>
            <w:tcBorders>
              <w:left w:val="single" w:sz="4" w:space="0" w:color="auto"/>
              <w:bottom w:val="single" w:sz="4" w:space="0" w:color="auto"/>
              <w:right w:val="single" w:sz="4" w:space="0" w:color="auto"/>
            </w:tcBorders>
          </w:tcPr>
          <w:p w14:paraId="6C5286BC" w14:textId="77777777" w:rsidR="00065999" w:rsidRPr="00FE42AF" w:rsidRDefault="00065999" w:rsidP="00943136">
            <w:pPr>
              <w:tabs>
                <w:tab w:val="left" w:pos="567"/>
              </w:tabs>
              <w:jc w:val="right"/>
              <w:rPr>
                <w:iCs/>
                <w:lang w:eastAsia="lt-LT"/>
              </w:rPr>
            </w:pPr>
            <w:r w:rsidRPr="00FE42AF">
              <w:rPr>
                <w:iCs/>
                <w:lang w:eastAsia="lt-LT"/>
              </w:rPr>
              <w:t>Referentinė kaštų naudingumo vertė</w:t>
            </w:r>
          </w:p>
        </w:tc>
        <w:tc>
          <w:tcPr>
            <w:tcW w:w="3239" w:type="dxa"/>
            <w:tcBorders>
              <w:left w:val="single" w:sz="4" w:space="0" w:color="auto"/>
              <w:bottom w:val="single" w:sz="4" w:space="0" w:color="auto"/>
              <w:right w:val="single" w:sz="4" w:space="0" w:color="auto"/>
            </w:tcBorders>
          </w:tcPr>
          <w:p w14:paraId="3507D974" w14:textId="0A8C6160" w:rsidR="00065999" w:rsidRPr="00FE42AF" w:rsidRDefault="00F725EC" w:rsidP="00943136">
            <w:pPr>
              <w:tabs>
                <w:tab w:val="left" w:pos="567"/>
              </w:tabs>
              <w:jc w:val="both"/>
              <w:rPr>
                <w:i/>
                <w:iCs/>
                <w:lang w:eastAsia="lt-LT"/>
              </w:rPr>
            </w:pPr>
            <w:r>
              <w:rPr>
                <w:i/>
                <w:color w:val="000000"/>
              </w:rPr>
              <w:t xml:space="preserve">***** </w:t>
            </w:r>
            <w:r w:rsidR="00065999" w:rsidRPr="00FE42AF">
              <w:rPr>
                <w:i/>
                <w:color w:val="000000"/>
              </w:rPr>
              <w:t xml:space="preserve"> Eur.</w:t>
            </w:r>
          </w:p>
        </w:tc>
      </w:tr>
    </w:tbl>
    <w:p w14:paraId="46684934" w14:textId="77777777" w:rsidR="00065999" w:rsidRPr="00FE42AF" w:rsidRDefault="00065999" w:rsidP="00065999">
      <w:pPr>
        <w:tabs>
          <w:tab w:val="left" w:pos="567"/>
        </w:tabs>
        <w:jc w:val="both"/>
        <w:rPr>
          <w:iCs/>
          <w:sz w:val="20"/>
          <w:lang w:eastAsia="lt-LT"/>
        </w:rPr>
      </w:pPr>
      <w:r w:rsidRPr="00FE42AF">
        <w:rPr>
          <w:iCs/>
          <w:sz w:val="20"/>
          <w:lang w:eastAsia="lt-LT"/>
        </w:rPr>
        <w:t>ICER – (</w:t>
      </w:r>
      <w:r w:rsidRPr="00FE42AF">
        <w:rPr>
          <w:i/>
          <w:sz w:val="20"/>
          <w:lang w:eastAsia="lt-LT"/>
        </w:rPr>
        <w:t xml:space="preserve">angl. </w:t>
      </w:r>
      <w:proofErr w:type="spellStart"/>
      <w:r w:rsidRPr="00FE42AF">
        <w:rPr>
          <w:i/>
          <w:sz w:val="20"/>
          <w:lang w:eastAsia="lt-LT"/>
        </w:rPr>
        <w:t>incremental</w:t>
      </w:r>
      <w:proofErr w:type="spellEnd"/>
      <w:r w:rsidRPr="00FE42AF">
        <w:rPr>
          <w:i/>
          <w:sz w:val="20"/>
          <w:lang w:eastAsia="lt-LT"/>
        </w:rPr>
        <w:t xml:space="preserve"> </w:t>
      </w:r>
      <w:proofErr w:type="spellStart"/>
      <w:r w:rsidRPr="00FE42AF">
        <w:rPr>
          <w:i/>
          <w:sz w:val="20"/>
          <w:lang w:eastAsia="lt-LT"/>
        </w:rPr>
        <w:t>cost-effectiveness</w:t>
      </w:r>
      <w:proofErr w:type="spellEnd"/>
      <w:r w:rsidRPr="00FE42AF">
        <w:rPr>
          <w:i/>
          <w:sz w:val="20"/>
          <w:lang w:eastAsia="lt-LT"/>
        </w:rPr>
        <w:t xml:space="preserve"> </w:t>
      </w:r>
      <w:proofErr w:type="spellStart"/>
      <w:r w:rsidRPr="00FE42AF">
        <w:rPr>
          <w:i/>
          <w:sz w:val="20"/>
          <w:lang w:eastAsia="lt-LT"/>
        </w:rPr>
        <w:t>ratio</w:t>
      </w:r>
      <w:proofErr w:type="spellEnd"/>
      <w:r w:rsidRPr="00FE42AF">
        <w:rPr>
          <w:iCs/>
          <w:sz w:val="20"/>
          <w:lang w:eastAsia="lt-LT"/>
        </w:rPr>
        <w:t xml:space="preserve">) </w:t>
      </w:r>
      <w:proofErr w:type="spellStart"/>
      <w:r w:rsidRPr="00FE42AF">
        <w:rPr>
          <w:iCs/>
          <w:sz w:val="20"/>
          <w:lang w:eastAsia="lt-LT"/>
        </w:rPr>
        <w:t>inkrementinis</w:t>
      </w:r>
      <w:proofErr w:type="spellEnd"/>
      <w:r w:rsidRPr="00FE42AF">
        <w:rPr>
          <w:iCs/>
          <w:sz w:val="20"/>
          <w:lang w:eastAsia="lt-LT"/>
        </w:rPr>
        <w:t xml:space="preserve"> kaštų naudingumo koeficientas; LY – (</w:t>
      </w:r>
      <w:r w:rsidRPr="00FE42AF">
        <w:rPr>
          <w:i/>
          <w:sz w:val="20"/>
          <w:lang w:eastAsia="lt-LT"/>
        </w:rPr>
        <w:t xml:space="preserve">angl. </w:t>
      </w:r>
      <w:proofErr w:type="spellStart"/>
      <w:r w:rsidRPr="00FE42AF">
        <w:rPr>
          <w:i/>
          <w:sz w:val="20"/>
          <w:lang w:eastAsia="lt-LT"/>
        </w:rPr>
        <w:t>life</w:t>
      </w:r>
      <w:proofErr w:type="spellEnd"/>
      <w:r w:rsidRPr="00FE42AF">
        <w:rPr>
          <w:i/>
          <w:sz w:val="20"/>
          <w:lang w:eastAsia="lt-LT"/>
        </w:rPr>
        <w:t xml:space="preserve"> </w:t>
      </w:r>
      <w:proofErr w:type="spellStart"/>
      <w:r w:rsidRPr="00FE42AF">
        <w:rPr>
          <w:i/>
          <w:sz w:val="20"/>
          <w:lang w:eastAsia="lt-LT"/>
        </w:rPr>
        <w:t>years</w:t>
      </w:r>
      <w:proofErr w:type="spellEnd"/>
      <w:r w:rsidRPr="00FE42AF">
        <w:rPr>
          <w:iCs/>
          <w:sz w:val="20"/>
          <w:lang w:eastAsia="lt-LT"/>
        </w:rPr>
        <w:t>) gyvenimo metai; QALY- (</w:t>
      </w:r>
      <w:r w:rsidRPr="00FE42AF">
        <w:rPr>
          <w:i/>
          <w:sz w:val="20"/>
          <w:lang w:eastAsia="lt-LT"/>
        </w:rPr>
        <w:t xml:space="preserve">angl. </w:t>
      </w:r>
      <w:proofErr w:type="spellStart"/>
      <w:r w:rsidRPr="00FE42AF">
        <w:rPr>
          <w:i/>
          <w:sz w:val="20"/>
          <w:lang w:eastAsia="lt-LT"/>
        </w:rPr>
        <w:t>quality</w:t>
      </w:r>
      <w:proofErr w:type="spellEnd"/>
      <w:r w:rsidRPr="00FE42AF">
        <w:rPr>
          <w:i/>
          <w:sz w:val="20"/>
          <w:lang w:eastAsia="lt-LT"/>
        </w:rPr>
        <w:t xml:space="preserve"> </w:t>
      </w:r>
      <w:proofErr w:type="spellStart"/>
      <w:r w:rsidRPr="00FE42AF">
        <w:rPr>
          <w:i/>
          <w:sz w:val="20"/>
          <w:lang w:eastAsia="lt-LT"/>
        </w:rPr>
        <w:t>adjusted</w:t>
      </w:r>
      <w:proofErr w:type="spellEnd"/>
      <w:r w:rsidRPr="00FE42AF">
        <w:rPr>
          <w:i/>
          <w:sz w:val="20"/>
          <w:lang w:eastAsia="lt-LT"/>
        </w:rPr>
        <w:t xml:space="preserve"> </w:t>
      </w:r>
      <w:proofErr w:type="spellStart"/>
      <w:r w:rsidRPr="00FE42AF">
        <w:rPr>
          <w:i/>
          <w:sz w:val="20"/>
          <w:lang w:eastAsia="lt-LT"/>
        </w:rPr>
        <w:t>life</w:t>
      </w:r>
      <w:proofErr w:type="spellEnd"/>
      <w:r w:rsidRPr="00FE42AF">
        <w:rPr>
          <w:i/>
          <w:sz w:val="20"/>
          <w:lang w:eastAsia="lt-LT"/>
        </w:rPr>
        <w:t xml:space="preserve"> </w:t>
      </w:r>
      <w:proofErr w:type="spellStart"/>
      <w:r w:rsidRPr="00FE42AF">
        <w:rPr>
          <w:i/>
          <w:sz w:val="20"/>
          <w:lang w:eastAsia="lt-LT"/>
        </w:rPr>
        <w:t>years</w:t>
      </w:r>
      <w:proofErr w:type="spellEnd"/>
      <w:r w:rsidRPr="00FE42AF">
        <w:rPr>
          <w:i/>
          <w:sz w:val="20"/>
          <w:lang w:eastAsia="lt-LT"/>
        </w:rPr>
        <w:t xml:space="preserve">) </w:t>
      </w:r>
      <w:r w:rsidRPr="00FE42AF">
        <w:rPr>
          <w:iCs/>
          <w:sz w:val="20"/>
          <w:lang w:eastAsia="lt-LT"/>
        </w:rPr>
        <w:t>kokybiški gyvenimo metai.</w:t>
      </w:r>
    </w:p>
    <w:p w14:paraId="2DF96E73" w14:textId="77777777" w:rsidR="00065999" w:rsidRPr="00FE42AF" w:rsidRDefault="00065999" w:rsidP="00065999">
      <w:pPr>
        <w:pStyle w:val="ListParagraph"/>
        <w:tabs>
          <w:tab w:val="left" w:pos="270"/>
        </w:tabs>
        <w:spacing w:line="276" w:lineRule="auto"/>
        <w:ind w:left="0"/>
        <w:jc w:val="both"/>
      </w:pPr>
    </w:p>
    <w:p w14:paraId="5AC02B68" w14:textId="75237C69" w:rsidR="00065999" w:rsidRPr="00FE42AF" w:rsidRDefault="00065999" w:rsidP="00065999">
      <w:pPr>
        <w:pStyle w:val="ListParagraph"/>
        <w:tabs>
          <w:tab w:val="left" w:pos="270"/>
        </w:tabs>
        <w:spacing w:line="276" w:lineRule="auto"/>
        <w:ind w:left="0"/>
        <w:jc w:val="both"/>
        <w:rPr>
          <w:lang w:eastAsia="lt-LT"/>
        </w:rPr>
      </w:pPr>
      <w:r w:rsidRPr="00FE42AF">
        <w:tab/>
      </w:r>
      <w:r w:rsidRPr="00FE42AF">
        <w:rPr>
          <w:rFonts w:eastAsia="Arial"/>
        </w:rPr>
        <w:t xml:space="preserve">Iš ekonominės analizės rezultatų matyti, kad </w:t>
      </w:r>
      <w:proofErr w:type="spellStart"/>
      <w:r w:rsidRPr="00FE42AF">
        <w:rPr>
          <w:rFonts w:eastAsia="Arial"/>
        </w:rPr>
        <w:t>mavakamteną</w:t>
      </w:r>
      <w:proofErr w:type="spellEnd"/>
      <w:r w:rsidRPr="00FE42AF">
        <w:rPr>
          <w:rFonts w:eastAsia="Arial"/>
        </w:rPr>
        <w:t xml:space="preserve"> + BB/CCB lyginant su įprastiniu gydymu (BB/CCB) sveikatai sukuriama papildoma nauda (</w:t>
      </w:r>
      <w:proofErr w:type="spellStart"/>
      <w:r w:rsidRPr="00FE42AF">
        <w:rPr>
          <w:rFonts w:eastAsia="Arial"/>
        </w:rPr>
        <w:t>inkrementiniai</w:t>
      </w:r>
      <w:proofErr w:type="spellEnd"/>
      <w:r w:rsidRPr="00FE42AF">
        <w:rPr>
          <w:rFonts w:eastAsia="Arial"/>
        </w:rPr>
        <w:t xml:space="preserve"> QALYS) – </w:t>
      </w:r>
      <w:r w:rsidR="00F725EC">
        <w:rPr>
          <w:rFonts w:eastAsia="Arial"/>
        </w:rPr>
        <w:t>***</w:t>
      </w:r>
      <w:r w:rsidRPr="00FE42AF">
        <w:rPr>
          <w:rFonts w:eastAsia="Arial"/>
        </w:rPr>
        <w:t xml:space="preserve">, </w:t>
      </w:r>
      <w:r w:rsidRPr="00FE42AF">
        <w:t xml:space="preserve">o gydymo </w:t>
      </w:r>
      <w:proofErr w:type="spellStart"/>
      <w:r w:rsidRPr="00FE42AF">
        <w:t>mavakamtenu</w:t>
      </w:r>
      <w:proofErr w:type="spellEnd"/>
      <w:r w:rsidRPr="00FE42AF">
        <w:t xml:space="preserve"> kaštai yra </w:t>
      </w:r>
      <w:r w:rsidR="00F725EC">
        <w:rPr>
          <w:bCs/>
        </w:rPr>
        <w:t>******</w:t>
      </w:r>
      <w:r w:rsidRPr="00FE42AF">
        <w:rPr>
          <w:lang w:eastAsia="lt-LT"/>
        </w:rPr>
        <w:t xml:space="preserve"> Eur. </w:t>
      </w:r>
      <w:r w:rsidR="00F725EC">
        <w:t xml:space="preserve">**** </w:t>
      </w:r>
      <w:r w:rsidRPr="00FE42AF">
        <w:t xml:space="preserve"> nei standartinio šiuo metu Lietuvoje taikomo gydymo.</w:t>
      </w:r>
      <w:r w:rsidRPr="00FE42AF">
        <w:rPr>
          <w:lang w:eastAsia="lt-LT"/>
        </w:rPr>
        <w:t xml:space="preserve"> Apskaičiuotas ICER –</w:t>
      </w:r>
      <w:r w:rsidR="00DA0EBD">
        <w:rPr>
          <w:lang w:eastAsia="lt-LT"/>
        </w:rPr>
        <w:t xml:space="preserve"> **********</w:t>
      </w:r>
      <w:r w:rsidRPr="00FE42AF">
        <w:rPr>
          <w:bCs/>
        </w:rPr>
        <w:t xml:space="preserve"> </w:t>
      </w:r>
      <w:r w:rsidRPr="00FE42AF">
        <w:rPr>
          <w:color w:val="000000"/>
        </w:rPr>
        <w:t>Eur./QALY</w:t>
      </w:r>
      <w:r w:rsidRPr="00FE42AF">
        <w:rPr>
          <w:color w:val="000000"/>
          <w:lang w:eastAsia="lt-LT"/>
        </w:rPr>
        <w:t xml:space="preserve"> (lentelė 15.1.1) </w:t>
      </w:r>
      <w:r w:rsidRPr="00FE42AF">
        <w:rPr>
          <w:lang w:eastAsia="lt-LT"/>
        </w:rPr>
        <w:t xml:space="preserve">viršija </w:t>
      </w:r>
      <w:r w:rsidR="00DA0EBD">
        <w:rPr>
          <w:lang w:eastAsia="lt-LT"/>
        </w:rPr>
        <w:t>*******</w:t>
      </w:r>
      <w:r w:rsidRPr="00FE42AF">
        <w:rPr>
          <w:lang w:eastAsia="lt-LT"/>
        </w:rPr>
        <w:t xml:space="preserve"> ligos naštai taikomą referencinę kaštų naudingumo vertę.</w:t>
      </w:r>
    </w:p>
    <w:p w14:paraId="194E25A0" w14:textId="0B87B5CB" w:rsidR="00065999" w:rsidRPr="00FE42AF" w:rsidRDefault="00065999" w:rsidP="00065999">
      <w:pPr>
        <w:pStyle w:val="ListParagraph"/>
        <w:tabs>
          <w:tab w:val="left" w:pos="270"/>
        </w:tabs>
        <w:spacing w:line="276" w:lineRule="auto"/>
        <w:ind w:left="0"/>
        <w:jc w:val="both"/>
        <w:rPr>
          <w:rFonts w:eastAsia="SimSun"/>
        </w:rPr>
      </w:pPr>
      <w:r w:rsidRPr="00FE42AF">
        <w:rPr>
          <w:lang w:eastAsia="lt-LT"/>
        </w:rPr>
        <w:tab/>
        <w:t xml:space="preserve">Jautrumo analizės rezultatai patvirtina gautus ekonominės analizės rezultatus: Visais atvejais apskaičiuotas galutinės ekonominės analizės rezultatas (ICER) viršija </w:t>
      </w:r>
      <w:r w:rsidR="00DA0EBD">
        <w:rPr>
          <w:lang w:eastAsia="lt-LT"/>
        </w:rPr>
        <w:t>******</w:t>
      </w:r>
      <w:r w:rsidRPr="00FE42AF">
        <w:rPr>
          <w:lang w:eastAsia="lt-LT"/>
        </w:rPr>
        <w:t xml:space="preserve"> ligos naštai taikomą referencinės kaštų naudingumo vertės slenkstį </w:t>
      </w:r>
      <w:r w:rsidRPr="00FE42AF">
        <w:rPr>
          <w:rFonts w:eastAsia="Arial"/>
          <w:lang w:eastAsia="lt-LT"/>
        </w:rPr>
        <w:t>(</w:t>
      </w:r>
      <w:r w:rsidR="00DA0EBD">
        <w:rPr>
          <w:rFonts w:eastAsia="Arial"/>
          <w:lang w:eastAsia="lt-LT"/>
        </w:rPr>
        <w:t>***********888</w:t>
      </w:r>
      <w:r w:rsidRPr="00FE42AF">
        <w:t xml:space="preserve"> </w:t>
      </w:r>
      <w:r w:rsidRPr="00FE42AF">
        <w:rPr>
          <w:lang w:eastAsia="lt-LT"/>
        </w:rPr>
        <w:t xml:space="preserve">Eur./QALY). Pagrindinių prielaidų, kurias Tarnyba keitė scenarijų analizė parodė, kad </w:t>
      </w:r>
      <w:r w:rsidR="00DA0EBD">
        <w:rPr>
          <w:lang w:eastAsia="lt-LT"/>
        </w:rPr>
        <w:t>*******</w:t>
      </w:r>
      <w:r w:rsidRPr="00FE42AF">
        <w:rPr>
          <w:lang w:eastAsia="lt-LT"/>
        </w:rPr>
        <w:t xml:space="preserve"> prielaidų įtaka </w:t>
      </w:r>
      <w:r w:rsidR="00DA0EBD">
        <w:rPr>
          <w:lang w:eastAsia="lt-LT"/>
        </w:rPr>
        <w:t xml:space="preserve">********* </w:t>
      </w:r>
      <w:r w:rsidRPr="00FE42AF">
        <w:rPr>
          <w:lang w:eastAsia="lt-LT"/>
        </w:rPr>
        <w:t>galutinį ekonominės analizės rezultatą (</w:t>
      </w:r>
      <w:r w:rsidRPr="00FE42AF">
        <w:rPr>
          <w:u w:val="single"/>
          <w:lang w:eastAsia="lt-LT"/>
        </w:rPr>
        <w:t xml:space="preserve">iki </w:t>
      </w:r>
      <w:r w:rsidR="00DA0EBD">
        <w:rPr>
          <w:u w:val="single"/>
          <w:lang w:eastAsia="lt-LT"/>
        </w:rPr>
        <w:t xml:space="preserve">*** </w:t>
      </w:r>
      <w:r w:rsidRPr="00FE42AF">
        <w:rPr>
          <w:u w:val="single"/>
          <w:lang w:eastAsia="lt-LT"/>
        </w:rPr>
        <w:t>proc. ICER pokytis</w:t>
      </w:r>
      <w:r w:rsidRPr="00FE42AF">
        <w:rPr>
          <w:lang w:eastAsia="lt-LT"/>
        </w:rPr>
        <w:t xml:space="preserve">), kas rodo </w:t>
      </w:r>
      <w:r w:rsidR="00DA0EBD">
        <w:rPr>
          <w:lang w:eastAsia="lt-LT"/>
        </w:rPr>
        <w:t xml:space="preserve">**** </w:t>
      </w:r>
      <w:r w:rsidRPr="00FE42AF">
        <w:rPr>
          <w:lang w:eastAsia="lt-LT"/>
        </w:rPr>
        <w:t>modelio tvarumą ir patikimumą.</w:t>
      </w:r>
    </w:p>
    <w:p w14:paraId="660633BB" w14:textId="38E1EB60" w:rsidR="00065999" w:rsidRPr="00FE42AF" w:rsidRDefault="00065999" w:rsidP="00065999">
      <w:pPr>
        <w:spacing w:line="276" w:lineRule="auto"/>
        <w:ind w:firstLine="360"/>
        <w:jc w:val="both"/>
        <w:rPr>
          <w:i/>
          <w:lang w:eastAsia="lt-LT"/>
        </w:rPr>
      </w:pPr>
      <w:r w:rsidRPr="00FE42AF">
        <w:rPr>
          <w:i/>
          <w:lang w:eastAsia="lt-LT"/>
        </w:rPr>
        <w:t xml:space="preserve">Siekiant, kad apskaičiuotas galutinis ekonominės analizės rezultatas (ICER) </w:t>
      </w:r>
      <w:r w:rsidR="00B82ABF">
        <w:rPr>
          <w:i/>
          <w:lang w:eastAsia="lt-LT"/>
        </w:rPr>
        <w:t>****** ****</w:t>
      </w:r>
      <w:r w:rsidRPr="00FE42AF">
        <w:rPr>
          <w:i/>
          <w:lang w:eastAsia="lt-LT"/>
        </w:rPr>
        <w:t xml:space="preserve"> ligos naštai taikomos referencinės kaštų naudingumo vertės, </w:t>
      </w:r>
      <w:proofErr w:type="spellStart"/>
      <w:r w:rsidRPr="00FE42AF">
        <w:rPr>
          <w:i/>
          <w:lang w:eastAsia="lt-LT"/>
        </w:rPr>
        <w:t>mavakamteno</w:t>
      </w:r>
      <w:proofErr w:type="spellEnd"/>
      <w:r w:rsidRPr="00FE42AF">
        <w:rPr>
          <w:i/>
          <w:lang w:eastAsia="lt-LT"/>
        </w:rPr>
        <w:t xml:space="preserve"> pakuotės kainą reikalinga sumažinti</w:t>
      </w:r>
      <w:r w:rsidR="00DA0EBD">
        <w:rPr>
          <w:i/>
          <w:lang w:eastAsia="lt-LT"/>
        </w:rPr>
        <w:t xml:space="preserve"> *** </w:t>
      </w:r>
      <w:r w:rsidRPr="00FE42AF">
        <w:rPr>
          <w:i/>
          <w:lang w:eastAsia="lt-LT"/>
        </w:rPr>
        <w:t xml:space="preserve"> proc. (reikalinga pakuotės kaina – </w:t>
      </w:r>
      <w:r w:rsidR="00DA0EBD">
        <w:rPr>
          <w:i/>
          <w:lang w:eastAsia="lt-LT"/>
        </w:rPr>
        <w:t>****</w:t>
      </w:r>
      <w:r w:rsidRPr="00FE42AF">
        <w:rPr>
          <w:i/>
          <w:lang w:eastAsia="lt-LT"/>
        </w:rPr>
        <w:t xml:space="preserve"> Eur.).</w:t>
      </w:r>
    </w:p>
    <w:p w14:paraId="0A7CA11B" w14:textId="77777777" w:rsidR="00AB6C7B" w:rsidRPr="00FE42AF" w:rsidRDefault="00AB6C7B" w:rsidP="00434D0C">
      <w:pPr>
        <w:tabs>
          <w:tab w:val="left" w:pos="426"/>
        </w:tabs>
        <w:spacing w:line="276" w:lineRule="auto"/>
        <w:rPr>
          <w:b/>
          <w:bCs/>
          <w:caps/>
        </w:rPr>
      </w:pPr>
    </w:p>
    <w:p w14:paraId="4FC424F9" w14:textId="4E767245" w:rsidR="00C62B36" w:rsidRPr="00FE42AF" w:rsidRDefault="00C62B36" w:rsidP="00434D0C">
      <w:pPr>
        <w:pStyle w:val="ListParagraph"/>
        <w:numPr>
          <w:ilvl w:val="0"/>
          <w:numId w:val="12"/>
        </w:numPr>
        <w:tabs>
          <w:tab w:val="left" w:pos="567"/>
        </w:tabs>
        <w:spacing w:line="276" w:lineRule="auto"/>
        <w:ind w:hanging="720"/>
        <w:rPr>
          <w:b/>
          <w:bCs/>
          <w:caps/>
        </w:rPr>
      </w:pPr>
      <w:r w:rsidRPr="00FE42AF">
        <w:rPr>
          <w:b/>
          <w:bCs/>
          <w:caps/>
        </w:rPr>
        <w:t xml:space="preserve">Pacientų organizacijų pateikti duomenys </w:t>
      </w:r>
    </w:p>
    <w:p w14:paraId="79BCFF40" w14:textId="3B292590" w:rsidR="00937907" w:rsidRPr="00FE42AF" w:rsidRDefault="00830AF7" w:rsidP="00434D0C">
      <w:pPr>
        <w:spacing w:after="120" w:line="276" w:lineRule="auto"/>
        <w:jc w:val="both"/>
      </w:pPr>
      <w:sdt>
        <w:sdtPr>
          <w:rPr>
            <w:rStyle w:val="Style2"/>
            <w:rFonts w:ascii="MS Gothic" w:eastAsia="MS Gothic" w:hAnsi="MS Gothic"/>
            <w:sz w:val="24"/>
          </w:rPr>
          <w:id w:val="1150014178"/>
          <w15:color w:val="FFCC00"/>
          <w14:checkbox>
            <w14:checked w14:val="0"/>
            <w14:checkedState w14:val="2612" w14:font="MS Gothic"/>
            <w14:uncheckedState w14:val="2610" w14:font="MS Gothic"/>
          </w14:checkbox>
        </w:sdtPr>
        <w:sdtEndPr>
          <w:rPr>
            <w:rStyle w:val="Style2"/>
          </w:rPr>
        </w:sdtEndPr>
        <w:sdtContent>
          <w:r w:rsidR="00937907" w:rsidRPr="00FE42AF">
            <w:rPr>
              <w:rStyle w:val="Style2"/>
              <w:rFonts w:ascii="MS Gothic" w:eastAsia="MS Gothic" w:hAnsi="MS Gothic" w:hint="eastAsia"/>
              <w:sz w:val="24"/>
            </w:rPr>
            <w:t>☐</w:t>
          </w:r>
        </w:sdtContent>
      </w:sdt>
      <w:r w:rsidR="00937907" w:rsidRPr="00FE42AF">
        <w:t xml:space="preserve"> Pacientų organizacijos pozicija pateikta</w:t>
      </w:r>
      <w:r w:rsidR="00016F32" w:rsidRPr="00FE42AF">
        <w:t>.</w:t>
      </w:r>
    </w:p>
    <w:p w14:paraId="62992180" w14:textId="1624820D" w:rsidR="00937907" w:rsidRPr="00FE42AF" w:rsidRDefault="00830AF7" w:rsidP="00434D0C">
      <w:pPr>
        <w:spacing w:after="120" w:line="276" w:lineRule="auto"/>
        <w:jc w:val="both"/>
      </w:pPr>
      <w:sdt>
        <w:sdtPr>
          <w:rPr>
            <w:rStyle w:val="Style2"/>
            <w:rFonts w:ascii="MS Gothic" w:eastAsia="MS Gothic" w:hAnsi="MS Gothic"/>
            <w:sz w:val="24"/>
          </w:rPr>
          <w:id w:val="-1545513810"/>
          <w15:color w:val="FFCC00"/>
          <w14:checkbox>
            <w14:checked w14:val="1"/>
            <w14:checkedState w14:val="2612" w14:font="MS Gothic"/>
            <w14:uncheckedState w14:val="2610" w14:font="MS Gothic"/>
          </w14:checkbox>
        </w:sdtPr>
        <w:sdtEndPr>
          <w:rPr>
            <w:rStyle w:val="Style2"/>
          </w:rPr>
        </w:sdtEndPr>
        <w:sdtContent>
          <w:r w:rsidR="008E329C" w:rsidRPr="00FE42AF">
            <w:rPr>
              <w:rStyle w:val="Style2"/>
              <w:rFonts w:ascii="MS Gothic" w:eastAsia="MS Gothic" w:hAnsi="MS Gothic" w:hint="eastAsia"/>
              <w:sz w:val="24"/>
            </w:rPr>
            <w:t>☒</w:t>
          </w:r>
        </w:sdtContent>
      </w:sdt>
      <w:r w:rsidR="00937907" w:rsidRPr="00FE42AF">
        <w:t xml:space="preserve"> Pacientų organizacijos pozicija </w:t>
      </w:r>
      <w:r w:rsidR="00880A44" w:rsidRPr="00FE42AF">
        <w:t>ne</w:t>
      </w:r>
      <w:r w:rsidR="00937907" w:rsidRPr="00FE42AF">
        <w:t>pateikta.</w:t>
      </w:r>
    </w:p>
    <w:p w14:paraId="03E73D82" w14:textId="77777777" w:rsidR="00D417D2" w:rsidRPr="00FE42AF" w:rsidRDefault="00D417D2" w:rsidP="00434D0C">
      <w:pPr>
        <w:spacing w:after="120" w:line="276" w:lineRule="auto"/>
        <w:jc w:val="both"/>
      </w:pPr>
    </w:p>
    <w:p w14:paraId="3D3277FA" w14:textId="3CEEB2D2" w:rsidR="00C62B36" w:rsidRPr="00FE42AF" w:rsidRDefault="00C62B36" w:rsidP="00434D0C">
      <w:pPr>
        <w:pStyle w:val="ListParagraph"/>
        <w:numPr>
          <w:ilvl w:val="0"/>
          <w:numId w:val="12"/>
        </w:numPr>
        <w:tabs>
          <w:tab w:val="left" w:pos="567"/>
        </w:tabs>
        <w:spacing w:line="276" w:lineRule="auto"/>
        <w:ind w:hanging="720"/>
        <w:rPr>
          <w:b/>
          <w:bCs/>
          <w:caps/>
        </w:rPr>
      </w:pPr>
      <w:r w:rsidRPr="00FE42AF">
        <w:rPr>
          <w:b/>
          <w:bCs/>
          <w:caps/>
        </w:rPr>
        <w:t>Gydytojų organizacijų pateikti duomenys</w:t>
      </w:r>
    </w:p>
    <w:p w14:paraId="389A346C" w14:textId="21FF3A6D" w:rsidR="00937907" w:rsidRPr="00FE42AF" w:rsidRDefault="00830AF7" w:rsidP="00434D0C">
      <w:pPr>
        <w:spacing w:after="120" w:line="276" w:lineRule="auto"/>
        <w:jc w:val="both"/>
      </w:pPr>
      <w:sdt>
        <w:sdtPr>
          <w:rPr>
            <w:rStyle w:val="Style2"/>
            <w:rFonts w:ascii="MS Gothic" w:eastAsia="MS Gothic" w:hAnsi="MS Gothic"/>
            <w:sz w:val="24"/>
          </w:rPr>
          <w:id w:val="1613862788"/>
          <w15:color w:val="FFCC00"/>
          <w14:checkbox>
            <w14:checked w14:val="1"/>
            <w14:checkedState w14:val="2612" w14:font="MS Gothic"/>
            <w14:uncheckedState w14:val="2610" w14:font="MS Gothic"/>
          </w14:checkbox>
        </w:sdtPr>
        <w:sdtEndPr>
          <w:rPr>
            <w:rStyle w:val="Style2"/>
          </w:rPr>
        </w:sdtEndPr>
        <w:sdtContent>
          <w:r w:rsidR="008E329C" w:rsidRPr="00FE42AF">
            <w:rPr>
              <w:rStyle w:val="Style2"/>
              <w:rFonts w:ascii="MS Gothic" w:eastAsia="MS Gothic" w:hAnsi="MS Gothic" w:hint="eastAsia"/>
              <w:sz w:val="24"/>
            </w:rPr>
            <w:t>☒</w:t>
          </w:r>
        </w:sdtContent>
      </w:sdt>
      <w:r w:rsidR="00662983" w:rsidRPr="00FE42AF">
        <w:t xml:space="preserve"> </w:t>
      </w:r>
      <w:r w:rsidR="00937907" w:rsidRPr="00FE42AF">
        <w:t>Gydytojų specialistų organizacijos pozicija pateikta.</w:t>
      </w:r>
    </w:p>
    <w:p w14:paraId="3701D46A" w14:textId="7186465C" w:rsidR="00A042B9" w:rsidRPr="00FE42AF" w:rsidRDefault="00830AF7" w:rsidP="00434D0C">
      <w:pPr>
        <w:spacing w:after="120" w:line="276" w:lineRule="auto"/>
        <w:jc w:val="both"/>
      </w:pPr>
      <w:sdt>
        <w:sdtPr>
          <w:rPr>
            <w:rStyle w:val="Style2"/>
            <w:rFonts w:ascii="MS Gothic" w:eastAsia="MS Gothic" w:hAnsi="MS Gothic"/>
            <w:sz w:val="24"/>
          </w:rPr>
          <w:id w:val="-41988141"/>
          <w15:color w:val="FFCC00"/>
          <w14:checkbox>
            <w14:checked w14:val="0"/>
            <w14:checkedState w14:val="2612" w14:font="MS Gothic"/>
            <w14:uncheckedState w14:val="2610" w14:font="MS Gothic"/>
          </w14:checkbox>
        </w:sdtPr>
        <w:sdtEndPr>
          <w:rPr>
            <w:rStyle w:val="Style2"/>
          </w:rPr>
        </w:sdtEndPr>
        <w:sdtContent>
          <w:r w:rsidR="008E329C" w:rsidRPr="00FE42AF">
            <w:rPr>
              <w:rStyle w:val="Style2"/>
              <w:rFonts w:ascii="MS Gothic" w:eastAsia="MS Gothic" w:hAnsi="MS Gothic" w:hint="eastAsia"/>
              <w:sz w:val="24"/>
            </w:rPr>
            <w:t>☐</w:t>
          </w:r>
        </w:sdtContent>
      </w:sdt>
      <w:r w:rsidR="00662983" w:rsidRPr="00FE42AF">
        <w:t xml:space="preserve"> </w:t>
      </w:r>
      <w:r w:rsidR="00937907" w:rsidRPr="00FE42AF">
        <w:t xml:space="preserve">Gydytojų specialistų organizacijos pozicija </w:t>
      </w:r>
      <w:r w:rsidR="00880A44" w:rsidRPr="00FE42AF">
        <w:t>ne</w:t>
      </w:r>
      <w:r w:rsidR="00937907" w:rsidRPr="00FE42AF">
        <w:t>pateikta.</w:t>
      </w:r>
    </w:p>
    <w:p w14:paraId="6B18CF25" w14:textId="77777777" w:rsidR="00F533A8" w:rsidRPr="00FE42AF" w:rsidRDefault="00F533A8" w:rsidP="00434D0C">
      <w:pPr>
        <w:spacing w:after="120" w:line="276" w:lineRule="auto"/>
        <w:jc w:val="both"/>
      </w:pPr>
    </w:p>
    <w:p w14:paraId="78F23ECB" w14:textId="23A3A002" w:rsidR="002F0E4F" w:rsidRPr="00FE42AF" w:rsidRDefault="002F0E4F" w:rsidP="00434D0C">
      <w:pPr>
        <w:pStyle w:val="ListParagraph"/>
        <w:numPr>
          <w:ilvl w:val="0"/>
          <w:numId w:val="12"/>
        </w:numPr>
        <w:tabs>
          <w:tab w:val="left" w:pos="567"/>
        </w:tabs>
        <w:spacing w:line="276" w:lineRule="auto"/>
        <w:ind w:hanging="720"/>
        <w:rPr>
          <w:b/>
          <w:bCs/>
          <w:caps/>
        </w:rPr>
      </w:pPr>
      <w:r w:rsidRPr="00FE42AF">
        <w:rPr>
          <w:b/>
          <w:bCs/>
          <w:caps/>
        </w:rPr>
        <w:t xml:space="preserve">Išvada </w:t>
      </w:r>
    </w:p>
    <w:p w14:paraId="08D5B3B6" w14:textId="3492CFB8" w:rsidR="0061611B" w:rsidRPr="00FE42AF" w:rsidRDefault="0061611B" w:rsidP="00045709">
      <w:pPr>
        <w:spacing w:line="276" w:lineRule="auto"/>
        <w:ind w:firstLine="720"/>
        <w:rPr>
          <w:i/>
          <w:szCs w:val="22"/>
        </w:rPr>
      </w:pPr>
    </w:p>
    <w:tbl>
      <w:tblPr>
        <w:tblStyle w:val="TableGrid"/>
        <w:tblW w:w="0" w:type="auto"/>
        <w:tblLook w:val="04A0" w:firstRow="1" w:lastRow="0" w:firstColumn="1" w:lastColumn="0" w:noHBand="0" w:noVBand="1"/>
      </w:tblPr>
      <w:tblGrid>
        <w:gridCol w:w="4815"/>
        <w:gridCol w:w="4814"/>
      </w:tblGrid>
      <w:tr w:rsidR="00931A54" w:rsidRPr="00FE42AF" w14:paraId="5BF2B94B" w14:textId="77777777" w:rsidTr="00427779">
        <w:trPr>
          <w:trHeight w:val="510"/>
        </w:trPr>
        <w:tc>
          <w:tcPr>
            <w:tcW w:w="9629" w:type="dxa"/>
            <w:gridSpan w:val="2"/>
            <w:tcBorders>
              <w:top w:val="single" w:sz="4" w:space="0" w:color="auto"/>
              <w:left w:val="single" w:sz="4" w:space="0" w:color="auto"/>
              <w:bottom w:val="single" w:sz="4" w:space="0" w:color="auto"/>
              <w:right w:val="single" w:sz="4" w:space="0" w:color="auto"/>
            </w:tcBorders>
            <w:vAlign w:val="center"/>
            <w:hideMark/>
          </w:tcPr>
          <w:p w14:paraId="301CCD0A" w14:textId="77777777" w:rsidR="00931A54" w:rsidRPr="00FE42AF" w:rsidRDefault="00931A54" w:rsidP="00931A54">
            <w:pPr>
              <w:spacing w:line="276" w:lineRule="auto"/>
              <w:jc w:val="center"/>
              <w:rPr>
                <w:rFonts w:eastAsia="Arial"/>
                <w:b/>
                <w:bCs/>
                <w:iCs/>
              </w:rPr>
            </w:pPr>
            <w:r w:rsidRPr="00FE42AF">
              <w:rPr>
                <w:rFonts w:eastAsia="Arial"/>
                <w:b/>
                <w:bCs/>
                <w:iCs/>
              </w:rPr>
              <w:t>Palyginamasis veiksmingumas</w:t>
            </w:r>
          </w:p>
        </w:tc>
      </w:tr>
      <w:tr w:rsidR="00931A54" w:rsidRPr="00FE42AF" w14:paraId="147A875A" w14:textId="77777777" w:rsidTr="00427779">
        <w:tc>
          <w:tcPr>
            <w:tcW w:w="4815" w:type="dxa"/>
            <w:tcBorders>
              <w:top w:val="single" w:sz="4" w:space="0" w:color="auto"/>
              <w:left w:val="single" w:sz="4" w:space="0" w:color="auto"/>
              <w:bottom w:val="single" w:sz="4" w:space="0" w:color="auto"/>
              <w:right w:val="single" w:sz="4" w:space="0" w:color="auto"/>
            </w:tcBorders>
          </w:tcPr>
          <w:p w14:paraId="09BB6916" w14:textId="77777777" w:rsidR="00931A54" w:rsidRPr="00FE42AF" w:rsidRDefault="00830AF7" w:rsidP="00427779">
            <w:pPr>
              <w:spacing w:line="276" w:lineRule="auto"/>
              <w:rPr>
                <w:rFonts w:eastAsia="Arial"/>
                <w:bCs/>
                <w:iCs/>
              </w:rPr>
            </w:pPr>
            <w:sdt>
              <w:sdtPr>
                <w:rPr>
                  <w:rFonts w:eastAsia="Arial"/>
                  <w:bCs/>
                  <w:iCs/>
                </w:rPr>
                <w:id w:val="1397324644"/>
                <w14:checkbox>
                  <w14:checked w14:val="1"/>
                  <w14:checkedState w14:val="2612" w14:font="MS Gothic"/>
                  <w14:uncheckedState w14:val="2610" w14:font="MS Gothic"/>
                </w14:checkbox>
              </w:sdtPr>
              <w:sdtEndPr/>
              <w:sdtContent>
                <w:r w:rsidR="00931A54" w:rsidRPr="00FE42AF">
                  <w:rPr>
                    <w:rFonts w:ascii="MS Gothic" w:eastAsia="MS Gothic" w:hAnsi="MS Gothic" w:hint="eastAsia"/>
                    <w:bCs/>
                    <w:iCs/>
                  </w:rPr>
                  <w:t>☒</w:t>
                </w:r>
              </w:sdtContent>
            </w:sdt>
            <w:r w:rsidR="00931A54" w:rsidRPr="00FE42AF">
              <w:rPr>
                <w:rFonts w:eastAsia="Arial"/>
                <w:bCs/>
                <w:iCs/>
              </w:rPr>
              <w:t xml:space="preserve"> 29.1.1 yra didesnis, lyginant su įprasta klinikine praktika</w:t>
            </w:r>
          </w:p>
          <w:p w14:paraId="75BB279D" w14:textId="77777777" w:rsidR="00931A54" w:rsidRPr="00FE42AF" w:rsidRDefault="00931A54" w:rsidP="00427779">
            <w:pPr>
              <w:spacing w:line="276" w:lineRule="auto"/>
              <w:rPr>
                <w:rFonts w:eastAsia="Arial"/>
                <w:bCs/>
                <w:iCs/>
              </w:rPr>
            </w:pPr>
          </w:p>
          <w:p w14:paraId="27EB9BD6" w14:textId="77777777" w:rsidR="00931A54" w:rsidRPr="00FE42AF" w:rsidRDefault="00830AF7" w:rsidP="00427779">
            <w:pPr>
              <w:spacing w:line="276" w:lineRule="auto"/>
              <w:rPr>
                <w:rFonts w:eastAsia="Arial"/>
                <w:bCs/>
                <w:iCs/>
              </w:rPr>
            </w:pPr>
            <w:sdt>
              <w:sdtPr>
                <w:rPr>
                  <w:rFonts w:eastAsia="Arial"/>
                  <w:bCs/>
                  <w:iCs/>
                </w:rPr>
                <w:id w:val="418297090"/>
                <w14:checkbox>
                  <w14:checked w14:val="0"/>
                  <w14:checkedState w14:val="2612" w14:font="MS Gothic"/>
                  <w14:uncheckedState w14:val="2610" w14:font="MS Gothic"/>
                </w14:checkbox>
              </w:sdtPr>
              <w:sdtEndPr/>
              <w:sdtContent>
                <w:r w:rsidR="00931A54" w:rsidRPr="00FE42AF">
                  <w:rPr>
                    <w:rFonts w:ascii="MS Gothic" w:eastAsia="MS Gothic" w:hAnsi="MS Gothic" w:hint="eastAsia"/>
                    <w:bCs/>
                    <w:iCs/>
                  </w:rPr>
                  <w:t>☐</w:t>
                </w:r>
              </w:sdtContent>
            </w:sdt>
            <w:r w:rsidR="00931A54" w:rsidRPr="00FE42AF">
              <w:rPr>
                <w:rFonts w:eastAsia="Arial"/>
                <w:bCs/>
                <w:iCs/>
              </w:rPr>
              <w:t xml:space="preserve"> 29.1.2 iš esmės nesiskiria, lyginant su įprasta klinikine praktika</w:t>
            </w:r>
          </w:p>
        </w:tc>
        <w:tc>
          <w:tcPr>
            <w:tcW w:w="4814" w:type="dxa"/>
            <w:tcBorders>
              <w:top w:val="single" w:sz="4" w:space="0" w:color="auto"/>
              <w:left w:val="single" w:sz="4" w:space="0" w:color="auto"/>
              <w:bottom w:val="single" w:sz="4" w:space="0" w:color="auto"/>
              <w:right w:val="single" w:sz="4" w:space="0" w:color="auto"/>
            </w:tcBorders>
          </w:tcPr>
          <w:p w14:paraId="14C62681" w14:textId="77777777" w:rsidR="00931A54" w:rsidRPr="00FE42AF" w:rsidRDefault="00830AF7" w:rsidP="00427779">
            <w:pPr>
              <w:spacing w:line="276" w:lineRule="auto"/>
              <w:rPr>
                <w:rFonts w:eastAsia="Arial"/>
                <w:bCs/>
                <w:iCs/>
              </w:rPr>
            </w:pPr>
            <w:sdt>
              <w:sdtPr>
                <w:rPr>
                  <w:rFonts w:eastAsia="Arial"/>
                  <w:bCs/>
                  <w:iCs/>
                </w:rPr>
                <w:id w:val="-724755596"/>
                <w14:checkbox>
                  <w14:checked w14:val="0"/>
                  <w14:checkedState w14:val="2612" w14:font="MS Gothic"/>
                  <w14:uncheckedState w14:val="2610" w14:font="MS Gothic"/>
                </w14:checkbox>
              </w:sdtPr>
              <w:sdtEndPr/>
              <w:sdtContent>
                <w:r w:rsidR="00931A54" w:rsidRPr="00FE42AF">
                  <w:rPr>
                    <w:rFonts w:ascii="Segoe UI Symbol" w:eastAsia="Arial" w:hAnsi="Segoe UI Symbol" w:cs="Segoe UI Symbol"/>
                    <w:bCs/>
                    <w:iCs/>
                  </w:rPr>
                  <w:t>☐</w:t>
                </w:r>
              </w:sdtContent>
            </w:sdt>
            <w:r w:rsidR="00931A54" w:rsidRPr="00FE42AF">
              <w:rPr>
                <w:rFonts w:eastAsia="Arial"/>
                <w:bCs/>
                <w:iCs/>
              </w:rPr>
              <w:t xml:space="preserve"> 29.1.3 yra neįrodytas kaip didesnis  ar iš esmės nesiskiriantis, lyginant su įprasta klinikine praktika  </w:t>
            </w:r>
          </w:p>
          <w:p w14:paraId="10BFDA77" w14:textId="77777777" w:rsidR="00931A54" w:rsidRPr="00FE42AF" w:rsidRDefault="00931A54" w:rsidP="00427779">
            <w:pPr>
              <w:spacing w:line="276" w:lineRule="auto"/>
              <w:rPr>
                <w:rFonts w:eastAsia="Arial"/>
                <w:bCs/>
                <w:iCs/>
              </w:rPr>
            </w:pPr>
          </w:p>
          <w:p w14:paraId="2B2CB22A" w14:textId="77777777" w:rsidR="00931A54" w:rsidRPr="00FE42AF" w:rsidRDefault="00830AF7" w:rsidP="00427779">
            <w:pPr>
              <w:spacing w:line="276" w:lineRule="auto"/>
              <w:rPr>
                <w:rFonts w:eastAsia="Arial"/>
                <w:bCs/>
                <w:iCs/>
              </w:rPr>
            </w:pPr>
            <w:sdt>
              <w:sdtPr>
                <w:rPr>
                  <w:rFonts w:eastAsia="Arial"/>
                  <w:bCs/>
                  <w:iCs/>
                </w:rPr>
                <w:id w:val="1862168479"/>
                <w14:checkbox>
                  <w14:checked w14:val="0"/>
                  <w14:checkedState w14:val="2612" w14:font="MS Gothic"/>
                  <w14:uncheckedState w14:val="2610" w14:font="MS Gothic"/>
                </w14:checkbox>
              </w:sdtPr>
              <w:sdtEndPr/>
              <w:sdtContent>
                <w:r w:rsidR="00931A54" w:rsidRPr="00FE42AF">
                  <w:rPr>
                    <w:rFonts w:ascii="Segoe UI Symbol" w:eastAsia="Arial" w:hAnsi="Segoe UI Symbol" w:cs="Segoe UI Symbol"/>
                    <w:bCs/>
                    <w:iCs/>
                  </w:rPr>
                  <w:t>☐</w:t>
                </w:r>
              </w:sdtContent>
            </w:sdt>
            <w:r w:rsidR="00931A54" w:rsidRPr="00FE42AF">
              <w:rPr>
                <w:rFonts w:eastAsia="Arial"/>
                <w:bCs/>
                <w:iCs/>
              </w:rPr>
              <w:t xml:space="preserve"> 29.1.4 yra mažesnis, lyginant su įprasta klinikine praktika</w:t>
            </w:r>
          </w:p>
          <w:p w14:paraId="6CBBD22B" w14:textId="77777777" w:rsidR="00931A54" w:rsidRPr="00FE42AF" w:rsidRDefault="00931A54" w:rsidP="00427779">
            <w:pPr>
              <w:spacing w:line="276" w:lineRule="auto"/>
              <w:rPr>
                <w:rFonts w:eastAsia="Arial"/>
                <w:bCs/>
                <w:iCs/>
              </w:rPr>
            </w:pPr>
          </w:p>
          <w:p w14:paraId="7C7A9E73" w14:textId="77777777" w:rsidR="00931A54" w:rsidRPr="00FE42AF" w:rsidRDefault="00830AF7" w:rsidP="00427779">
            <w:pPr>
              <w:spacing w:line="276" w:lineRule="auto"/>
              <w:rPr>
                <w:rFonts w:eastAsia="Arial"/>
                <w:bCs/>
                <w:iCs/>
              </w:rPr>
            </w:pPr>
            <w:sdt>
              <w:sdtPr>
                <w:rPr>
                  <w:rFonts w:eastAsia="Arial"/>
                  <w:bCs/>
                  <w:iCs/>
                </w:rPr>
                <w:id w:val="-1857960180"/>
                <w14:checkbox>
                  <w14:checked w14:val="0"/>
                  <w14:checkedState w14:val="2612" w14:font="MS Gothic"/>
                  <w14:uncheckedState w14:val="2610" w14:font="MS Gothic"/>
                </w14:checkbox>
              </w:sdtPr>
              <w:sdtEndPr/>
              <w:sdtContent>
                <w:r w:rsidR="00931A54" w:rsidRPr="00FE42AF">
                  <w:rPr>
                    <w:rFonts w:ascii="Segoe UI Symbol" w:eastAsia="Arial" w:hAnsi="Segoe UI Symbol" w:cs="Segoe UI Symbol"/>
                    <w:bCs/>
                    <w:iCs/>
                  </w:rPr>
                  <w:t>☐</w:t>
                </w:r>
              </w:sdtContent>
            </w:sdt>
            <w:r w:rsidR="00931A54" w:rsidRPr="00FE42AF">
              <w:rPr>
                <w:rFonts w:eastAsia="Arial"/>
                <w:bCs/>
                <w:iCs/>
              </w:rPr>
              <w:t xml:space="preserve">  29.1.5 pateikti duomenys apie palyginamąjį veiksmingumą yra netinkami vertinti</w:t>
            </w:r>
          </w:p>
          <w:p w14:paraId="071D9219" w14:textId="77777777" w:rsidR="00931A54" w:rsidRPr="00FE42AF" w:rsidRDefault="00931A54" w:rsidP="00427779">
            <w:pPr>
              <w:spacing w:line="276" w:lineRule="auto"/>
              <w:rPr>
                <w:rFonts w:eastAsia="Arial"/>
                <w:bCs/>
                <w:iCs/>
              </w:rPr>
            </w:pPr>
          </w:p>
        </w:tc>
      </w:tr>
    </w:tbl>
    <w:tbl>
      <w:tblPr>
        <w:tblStyle w:val="DossierTable1"/>
        <w:tblW w:w="0" w:type="auto"/>
        <w:tblInd w:w="-5" w:type="dxa"/>
        <w:tblLook w:val="04A0" w:firstRow="1" w:lastRow="0" w:firstColumn="1" w:lastColumn="0" w:noHBand="0" w:noVBand="1"/>
      </w:tblPr>
      <w:tblGrid>
        <w:gridCol w:w="4820"/>
        <w:gridCol w:w="4814"/>
      </w:tblGrid>
      <w:tr w:rsidR="00AB6C7B" w:rsidRPr="00FE42AF" w14:paraId="723C0DAD" w14:textId="77777777" w:rsidTr="008E0D5B">
        <w:trPr>
          <w:trHeight w:val="510"/>
        </w:trPr>
        <w:tc>
          <w:tcPr>
            <w:tcW w:w="9634" w:type="dxa"/>
            <w:gridSpan w:val="2"/>
            <w:vAlign w:val="center"/>
          </w:tcPr>
          <w:p w14:paraId="1DEEEE63" w14:textId="77777777" w:rsidR="00AB6C7B" w:rsidRPr="00FE42AF" w:rsidRDefault="00AB6C7B" w:rsidP="008E0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3"/>
                <w:szCs w:val="23"/>
              </w:rPr>
            </w:pPr>
            <w:r w:rsidRPr="00FE42AF">
              <w:rPr>
                <w:rStyle w:val="Style2"/>
                <w:rFonts w:eastAsia="MS Gothic"/>
                <w:b/>
                <w:bCs/>
                <w:sz w:val="23"/>
                <w:szCs w:val="23"/>
              </w:rPr>
              <w:t>Kaštų naudingumas</w:t>
            </w:r>
          </w:p>
        </w:tc>
      </w:tr>
      <w:tr w:rsidR="00AB6C7B" w:rsidRPr="00FE42AF" w14:paraId="2B14E2A9" w14:textId="77777777" w:rsidTr="008E0D5B">
        <w:tc>
          <w:tcPr>
            <w:tcW w:w="4820" w:type="dxa"/>
          </w:tcPr>
          <w:p w14:paraId="04E58B28" w14:textId="1709E441" w:rsidR="00AB6C7B" w:rsidRPr="00FE42AF" w:rsidRDefault="00830AF7" w:rsidP="008E0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301657889"/>
                <w15:color w:val="FFCC00"/>
                <w14:checkbox>
                  <w14:checked w14:val="0"/>
                  <w14:checkedState w14:val="2612" w14:font="MS Gothic"/>
                  <w14:uncheckedState w14:val="2610" w14:font="MS Gothic"/>
                </w14:checkbox>
              </w:sdtPr>
              <w:sdtEndPr>
                <w:rPr>
                  <w:rStyle w:val="Style2"/>
                </w:rPr>
              </w:sdtEndPr>
              <w:sdtContent>
                <w:r w:rsidR="00F533A8" w:rsidRPr="00FE42AF">
                  <w:rPr>
                    <w:rStyle w:val="Style2"/>
                    <w:rFonts w:ascii="MS Gothic" w:eastAsia="MS Gothic" w:hAnsi="MS Gothic" w:hint="eastAsia"/>
                    <w:sz w:val="23"/>
                    <w:szCs w:val="23"/>
                  </w:rPr>
                  <w:t>☐</w:t>
                </w:r>
              </w:sdtContent>
            </w:sdt>
            <w:r w:rsidR="00AB6C7B" w:rsidRPr="00FE42AF">
              <w:rPr>
                <w:sz w:val="23"/>
                <w:szCs w:val="23"/>
              </w:rPr>
              <w:t xml:space="preserve"> 29.2.1 atitinka referencinę naudingumo vertę taikant arba netaikant</w:t>
            </w:r>
            <w:r w:rsidR="00AB6C7B" w:rsidRPr="00FE42AF">
              <w:rPr>
                <w:b/>
                <w:bCs/>
                <w:sz w:val="23"/>
                <w:szCs w:val="23"/>
              </w:rPr>
              <w:t> </w:t>
            </w:r>
            <w:r w:rsidR="00AB6C7B" w:rsidRPr="00FE42AF">
              <w:rPr>
                <w:sz w:val="23"/>
                <w:szCs w:val="23"/>
              </w:rPr>
              <w:t>PGS</w:t>
            </w:r>
          </w:p>
          <w:p w14:paraId="751820D2" w14:textId="77777777" w:rsidR="00AB6C7B" w:rsidRPr="00FE42AF" w:rsidRDefault="00AB6C7B" w:rsidP="008E0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39B00755" w14:textId="77777777" w:rsidR="00AB6C7B" w:rsidRPr="00FE42AF" w:rsidRDefault="00830AF7" w:rsidP="008E0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3"/>
                <w:szCs w:val="23"/>
              </w:rPr>
            </w:pPr>
            <w:sdt>
              <w:sdtPr>
                <w:rPr>
                  <w:rStyle w:val="Style2"/>
                  <w:sz w:val="23"/>
                  <w:szCs w:val="23"/>
                </w:rPr>
                <w:id w:val="865947106"/>
                <w15:color w:val="FFCC00"/>
                <w14:checkbox>
                  <w14:checked w14:val="0"/>
                  <w14:checkedState w14:val="2612" w14:font="MS Gothic"/>
                  <w14:uncheckedState w14:val="2610" w14:font="MS Gothic"/>
                </w14:checkbox>
              </w:sdtPr>
              <w:sdtEndPr>
                <w:rPr>
                  <w:rStyle w:val="Style2"/>
                </w:rPr>
              </w:sdtEndPr>
              <w:sdtContent>
                <w:r w:rsidR="00AB6C7B" w:rsidRPr="00FE42AF">
                  <w:rPr>
                    <w:rStyle w:val="Style2"/>
                    <w:rFonts w:ascii="Segoe UI Symbol" w:eastAsia="MS Gothic" w:hAnsi="Segoe UI Symbol" w:cs="Segoe UI Symbol"/>
                    <w:sz w:val="23"/>
                    <w:szCs w:val="23"/>
                  </w:rPr>
                  <w:t>☐</w:t>
                </w:r>
              </w:sdtContent>
            </w:sdt>
            <w:r w:rsidR="00AB6C7B" w:rsidRPr="00FE42AF">
              <w:rPr>
                <w:sz w:val="23"/>
                <w:szCs w:val="23"/>
              </w:rPr>
              <w:t xml:space="preserve"> 29.2.2 gydymo juo kaštai yra mažesni ar tokie patys esant iš esmės nesiskiriančiam palyginamajam efektyvumui, taikant arba netaikant PGS</w:t>
            </w:r>
          </w:p>
        </w:tc>
        <w:tc>
          <w:tcPr>
            <w:tcW w:w="4814" w:type="dxa"/>
          </w:tcPr>
          <w:p w14:paraId="31162936" w14:textId="6165D7D0" w:rsidR="00AB6C7B" w:rsidRPr="00FE42AF" w:rsidRDefault="00830AF7" w:rsidP="008E0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3"/>
                <w:szCs w:val="23"/>
              </w:rPr>
            </w:pPr>
            <w:sdt>
              <w:sdtPr>
                <w:rPr>
                  <w:rStyle w:val="Style2"/>
                  <w:sz w:val="23"/>
                  <w:szCs w:val="23"/>
                </w:rPr>
                <w:id w:val="791860283"/>
                <w15:color w:val="FFCC00"/>
                <w14:checkbox>
                  <w14:checked w14:val="1"/>
                  <w14:checkedState w14:val="2612" w14:font="MS Gothic"/>
                  <w14:uncheckedState w14:val="2610" w14:font="MS Gothic"/>
                </w14:checkbox>
              </w:sdtPr>
              <w:sdtEndPr>
                <w:rPr>
                  <w:rStyle w:val="Style2"/>
                </w:rPr>
              </w:sdtEndPr>
              <w:sdtContent>
                <w:r w:rsidR="00F533A8" w:rsidRPr="00FE42AF">
                  <w:rPr>
                    <w:rStyle w:val="Style2"/>
                    <w:rFonts w:ascii="MS Gothic" w:eastAsia="MS Gothic" w:hAnsi="MS Gothic" w:hint="eastAsia"/>
                    <w:sz w:val="23"/>
                    <w:szCs w:val="23"/>
                  </w:rPr>
                  <w:t>☒</w:t>
                </w:r>
              </w:sdtContent>
            </w:sdt>
            <w:r w:rsidR="00AB6C7B" w:rsidRPr="00FE42AF">
              <w:rPr>
                <w:sz w:val="23"/>
                <w:szCs w:val="23"/>
              </w:rPr>
              <w:t xml:space="preserve"> 29.2.3 neatitinka referencinės naudingumo vertės taikant arba netaikant PGS</w:t>
            </w:r>
          </w:p>
          <w:p w14:paraId="3A37D495" w14:textId="77777777" w:rsidR="00AB6C7B" w:rsidRPr="00FE42AF" w:rsidRDefault="00AB6C7B" w:rsidP="008E0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3"/>
                <w:szCs w:val="23"/>
              </w:rPr>
            </w:pPr>
          </w:p>
          <w:p w14:paraId="0AE33B6A" w14:textId="77777777" w:rsidR="00AB6C7B" w:rsidRPr="00FE42AF" w:rsidRDefault="00830AF7" w:rsidP="008E0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3"/>
                <w:szCs w:val="23"/>
              </w:rPr>
            </w:pPr>
            <w:sdt>
              <w:sdtPr>
                <w:rPr>
                  <w:rStyle w:val="Style2"/>
                  <w:sz w:val="23"/>
                  <w:szCs w:val="23"/>
                </w:rPr>
                <w:id w:val="1118650590"/>
                <w15:color w:val="FFCC00"/>
                <w14:checkbox>
                  <w14:checked w14:val="0"/>
                  <w14:checkedState w14:val="2612" w14:font="MS Gothic"/>
                  <w14:uncheckedState w14:val="2610" w14:font="MS Gothic"/>
                </w14:checkbox>
              </w:sdtPr>
              <w:sdtEndPr>
                <w:rPr>
                  <w:rStyle w:val="Style2"/>
                </w:rPr>
              </w:sdtEndPr>
              <w:sdtContent>
                <w:r w:rsidR="00AB6C7B" w:rsidRPr="00FE42AF">
                  <w:rPr>
                    <w:rStyle w:val="Style2"/>
                    <w:rFonts w:ascii="Segoe UI Symbol" w:eastAsia="MS Gothic" w:hAnsi="Segoe UI Symbol" w:cs="Segoe UI Symbol"/>
                    <w:sz w:val="23"/>
                    <w:szCs w:val="23"/>
                  </w:rPr>
                  <w:t>☐</w:t>
                </w:r>
              </w:sdtContent>
            </w:sdt>
            <w:r w:rsidR="00AB6C7B" w:rsidRPr="00FE42AF">
              <w:rPr>
                <w:sz w:val="23"/>
                <w:szCs w:val="23"/>
              </w:rPr>
              <w:t xml:space="preserve"> 29.2.4 gydymo juo kaštai yra didesni esant iš esmės nesiskiriančiam palyginamajam veiksmingumui, taikant arba netaikant PGS</w:t>
            </w:r>
          </w:p>
          <w:p w14:paraId="4A6AF878" w14:textId="77777777" w:rsidR="00AB6C7B" w:rsidRPr="00FE42AF" w:rsidRDefault="00AB6C7B" w:rsidP="008E0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3"/>
                <w:szCs w:val="23"/>
              </w:rPr>
            </w:pPr>
          </w:p>
          <w:p w14:paraId="04CAFED2" w14:textId="77777777" w:rsidR="00AB6C7B" w:rsidRPr="00FE42AF" w:rsidRDefault="00830AF7" w:rsidP="008E0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3"/>
                <w:szCs w:val="23"/>
              </w:rPr>
            </w:pPr>
            <w:sdt>
              <w:sdtPr>
                <w:rPr>
                  <w:rStyle w:val="Style2"/>
                  <w:sz w:val="23"/>
                  <w:szCs w:val="23"/>
                </w:rPr>
                <w:id w:val="-943849855"/>
                <w15:color w:val="FFCC00"/>
                <w14:checkbox>
                  <w14:checked w14:val="0"/>
                  <w14:checkedState w14:val="2612" w14:font="MS Gothic"/>
                  <w14:uncheckedState w14:val="2610" w14:font="MS Gothic"/>
                </w14:checkbox>
              </w:sdtPr>
              <w:sdtEndPr>
                <w:rPr>
                  <w:rStyle w:val="Style2"/>
                </w:rPr>
              </w:sdtEndPr>
              <w:sdtContent>
                <w:r w:rsidR="00AB6C7B" w:rsidRPr="00FE42AF">
                  <w:rPr>
                    <w:rStyle w:val="Style2"/>
                    <w:rFonts w:ascii="Segoe UI Symbol" w:eastAsia="MS Gothic" w:hAnsi="Segoe UI Symbol" w:cs="Segoe UI Symbol"/>
                    <w:sz w:val="23"/>
                    <w:szCs w:val="23"/>
                  </w:rPr>
                  <w:t>☐</w:t>
                </w:r>
              </w:sdtContent>
            </w:sdt>
            <w:r w:rsidR="00AB6C7B" w:rsidRPr="00FE42AF">
              <w:rPr>
                <w:sz w:val="23"/>
                <w:szCs w:val="23"/>
              </w:rPr>
              <w:t xml:space="preserve"> 29.2.5 pateikti duomenys apie kaštų naudingumą yra netinkami vertinti</w:t>
            </w:r>
          </w:p>
          <w:p w14:paraId="7A9E6EFD" w14:textId="77777777" w:rsidR="00AB6C7B" w:rsidRPr="00FE42AF" w:rsidRDefault="00AB6C7B" w:rsidP="008E0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3"/>
                <w:szCs w:val="23"/>
              </w:rPr>
            </w:pPr>
          </w:p>
        </w:tc>
      </w:tr>
    </w:tbl>
    <w:p w14:paraId="1B85C083" w14:textId="77777777" w:rsidR="009E44AE" w:rsidRPr="00FE42AF" w:rsidRDefault="009E44AE" w:rsidP="00434D0C">
      <w:pPr>
        <w:spacing w:line="276" w:lineRule="auto"/>
      </w:pPr>
    </w:p>
    <w:p w14:paraId="25D5B97D" w14:textId="3A9FA88D" w:rsidR="00835324" w:rsidRPr="00FE42AF" w:rsidRDefault="000001B0" w:rsidP="00835324">
      <w:pPr>
        <w:pStyle w:val="ListParagraph"/>
        <w:numPr>
          <w:ilvl w:val="0"/>
          <w:numId w:val="12"/>
        </w:numPr>
        <w:spacing w:line="276" w:lineRule="auto"/>
        <w:ind w:left="567" w:hanging="567"/>
      </w:pPr>
      <w:r w:rsidRPr="00FE42AF">
        <w:rPr>
          <w:b/>
        </w:rPr>
        <w:t>REKOME</w:t>
      </w:r>
      <w:r w:rsidR="00D83182" w:rsidRPr="00FE42AF">
        <w:rPr>
          <w:b/>
        </w:rPr>
        <w:t>N</w:t>
      </w:r>
      <w:r w:rsidRPr="00FE42AF">
        <w:rPr>
          <w:b/>
        </w:rPr>
        <w:t>DACIJA</w:t>
      </w:r>
    </w:p>
    <w:p w14:paraId="1339C2E9" w14:textId="77777777" w:rsidR="00835324" w:rsidRPr="00FE42AF" w:rsidRDefault="00835324" w:rsidP="00835324">
      <w:pPr>
        <w:spacing w:line="276" w:lineRule="auto"/>
        <w:jc w:val="both"/>
      </w:pPr>
      <w:r w:rsidRPr="00FE42AF">
        <w:t xml:space="preserve">Vadovaujantis 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 punktu </w:t>
      </w:r>
      <w:r w:rsidRPr="00FE42AF">
        <w:rPr>
          <w:color w:val="000000"/>
          <w:lang w:eastAsia="lt-LT"/>
        </w:rPr>
        <w:t>30</w:t>
      </w:r>
      <w:r w:rsidRPr="00FE42AF">
        <w:rPr>
          <w:color w:val="000000"/>
          <w:vertAlign w:val="superscript"/>
          <w:lang w:eastAsia="lt-LT"/>
        </w:rPr>
        <w:t>1</w:t>
      </w:r>
      <w:r w:rsidRPr="00FE42AF">
        <w:rPr>
          <w:color w:val="000000"/>
          <w:lang w:eastAsia="lt-LT"/>
        </w:rPr>
        <w:t>.2. rekomenduojama kompensuoti vaistinį preparatą pagal paraiškoje nurodytą indikaciją (arba jos dalį) su arba be skyrimo sąlygų, jei, pateikus naują ar atnaujintą PGS, kaštų naudingumas atitinka referencinę naudingumo vertę, kai vertinimo išvados atitinka Aprašo 29.1.1 ir 29.2.3 papunkčiuose numatytas sąlygas.</w:t>
      </w:r>
    </w:p>
    <w:p w14:paraId="7D5C6700" w14:textId="77777777" w:rsidR="00D5470B" w:rsidRPr="00FE42AF" w:rsidRDefault="00D5470B" w:rsidP="00C712EA">
      <w:pPr>
        <w:pStyle w:val="ListParagraph"/>
        <w:ind w:left="426"/>
      </w:pPr>
    </w:p>
    <w:p w14:paraId="562A1372" w14:textId="77777777" w:rsidR="00283E59" w:rsidRPr="00FE42AF" w:rsidRDefault="00283E59" w:rsidP="00283E59">
      <w:pPr>
        <w:jc w:val="both"/>
        <w:rPr>
          <w:b/>
          <w:sz w:val="20"/>
        </w:rPr>
      </w:pPr>
    </w:p>
    <w:p w14:paraId="308CB783" w14:textId="77777777" w:rsidR="008B1FBC" w:rsidRPr="00FE42AF" w:rsidRDefault="008B1FBC" w:rsidP="008B1FBC">
      <w:pPr>
        <w:pStyle w:val="NoSpacing"/>
        <w:rPr>
          <w:rFonts w:ascii="Times New Roman" w:hAnsi="Times New Roman"/>
          <w:b/>
          <w:sz w:val="24"/>
          <w:szCs w:val="24"/>
          <w:lang w:eastAsia="lt-LT"/>
        </w:rPr>
      </w:pPr>
      <w:r w:rsidRPr="00FE42AF">
        <w:rPr>
          <w:rFonts w:ascii="Times New Roman" w:hAnsi="Times New Roman"/>
          <w:b/>
          <w:sz w:val="24"/>
          <w:szCs w:val="24"/>
          <w:lang w:eastAsia="lt-LT"/>
        </w:rPr>
        <w:t>Terapinės indikacijos</w:t>
      </w:r>
    </w:p>
    <w:p w14:paraId="2168E6FF" w14:textId="77777777" w:rsidR="008B1FBC" w:rsidRPr="00FE42AF" w:rsidRDefault="00830AF7" w:rsidP="008B1FBC">
      <w:pPr>
        <w:pStyle w:val="NoSpacing"/>
        <w:rPr>
          <w:rFonts w:ascii="Times New Roman" w:hAnsi="Times New Roman"/>
          <w:sz w:val="24"/>
          <w:szCs w:val="24"/>
        </w:rPr>
      </w:pPr>
      <w:sdt>
        <w:sdtPr>
          <w:rPr>
            <w:rStyle w:val="Style2"/>
            <w:rFonts w:ascii="Times New Roman" w:hAnsi="Times New Roman"/>
            <w:sz w:val="24"/>
            <w:szCs w:val="24"/>
          </w:rPr>
          <w:id w:val="1146316688"/>
          <w15:color w:val="FFCC00"/>
          <w14:checkbox>
            <w14:checked w14:val="0"/>
            <w14:checkedState w14:val="2612" w14:font="MS Gothic"/>
            <w14:uncheckedState w14:val="2610" w14:font="MS Gothic"/>
          </w14:checkbox>
        </w:sdtPr>
        <w:sdtEndPr>
          <w:rPr>
            <w:rStyle w:val="Style2"/>
          </w:rPr>
        </w:sdtEndPr>
        <w:sdtContent>
          <w:r w:rsidR="008B1FBC" w:rsidRPr="00FE42AF">
            <w:rPr>
              <w:rStyle w:val="Style2"/>
              <w:rFonts w:ascii="MS Gothic" w:eastAsia="MS Gothic" w:hAnsi="MS Gothic" w:hint="eastAsia"/>
              <w:sz w:val="24"/>
              <w:szCs w:val="24"/>
            </w:rPr>
            <w:t>☐</w:t>
          </w:r>
        </w:sdtContent>
      </w:sdt>
      <w:r w:rsidR="008B1FBC" w:rsidRPr="00FE42AF">
        <w:rPr>
          <w:rFonts w:ascii="Times New Roman" w:hAnsi="Times New Roman"/>
          <w:sz w:val="24"/>
          <w:szCs w:val="24"/>
        </w:rPr>
        <w:t xml:space="preserve"> Siūloma kompensuoti Pareiškėjo teikiamą indikaciją be pakeitimų.</w:t>
      </w:r>
    </w:p>
    <w:p w14:paraId="50728646" w14:textId="77777777" w:rsidR="008B1FBC" w:rsidRPr="00FE42AF" w:rsidRDefault="00830AF7" w:rsidP="008B1FBC">
      <w:pPr>
        <w:pStyle w:val="NoSpacing"/>
        <w:rPr>
          <w:rFonts w:ascii="Times New Roman" w:hAnsi="Times New Roman"/>
          <w:sz w:val="24"/>
          <w:szCs w:val="24"/>
        </w:rPr>
      </w:pPr>
      <w:sdt>
        <w:sdtPr>
          <w:rPr>
            <w:rStyle w:val="Style2"/>
            <w:rFonts w:ascii="Times New Roman" w:hAnsi="Times New Roman"/>
            <w:sz w:val="24"/>
            <w:szCs w:val="24"/>
          </w:rPr>
          <w:id w:val="1467245146"/>
          <w15:color w:val="FFCC00"/>
          <w14:checkbox>
            <w14:checked w14:val="1"/>
            <w14:checkedState w14:val="2612" w14:font="MS Gothic"/>
            <w14:uncheckedState w14:val="2610" w14:font="MS Gothic"/>
          </w14:checkbox>
        </w:sdtPr>
        <w:sdtEndPr>
          <w:rPr>
            <w:rStyle w:val="Style2"/>
          </w:rPr>
        </w:sdtEndPr>
        <w:sdtContent>
          <w:r w:rsidR="008B1FBC" w:rsidRPr="00FE42AF">
            <w:rPr>
              <w:rStyle w:val="Style2"/>
              <w:rFonts w:ascii="MS Gothic" w:eastAsia="MS Gothic" w:hAnsi="MS Gothic" w:hint="eastAsia"/>
              <w:sz w:val="24"/>
              <w:szCs w:val="24"/>
            </w:rPr>
            <w:t>☒</w:t>
          </w:r>
        </w:sdtContent>
      </w:sdt>
      <w:r w:rsidR="008B1FBC" w:rsidRPr="00FE42AF">
        <w:rPr>
          <w:rFonts w:ascii="Times New Roman" w:hAnsi="Times New Roman"/>
          <w:sz w:val="24"/>
          <w:szCs w:val="24"/>
        </w:rPr>
        <w:t xml:space="preserve"> Siūloma kompensuoti Pareiškėjo teikiamą indikaciją su pakeitimais.</w:t>
      </w:r>
    </w:p>
    <w:p w14:paraId="549609C3" w14:textId="77777777" w:rsidR="008B1FBC" w:rsidRPr="00FE42AF" w:rsidRDefault="008B1FBC" w:rsidP="008B1FBC">
      <w:pPr>
        <w:pStyle w:val="NoSpacing"/>
        <w:jc w:val="both"/>
        <w:rPr>
          <w:rFonts w:ascii="Times New Roman" w:hAnsi="Times New Roman"/>
          <w:sz w:val="24"/>
          <w:szCs w:val="24"/>
        </w:rPr>
      </w:pPr>
      <w:r w:rsidRPr="00FE42AF">
        <w:rPr>
          <w:rFonts w:ascii="Times New Roman" w:hAnsi="Times New Roman"/>
          <w:sz w:val="24"/>
          <w:szCs w:val="24"/>
        </w:rPr>
        <w:t xml:space="preserve">CAMZYOS skirtas suaugusių pacientų simptominės </w:t>
      </w:r>
      <w:proofErr w:type="spellStart"/>
      <w:r w:rsidRPr="00FE42AF">
        <w:rPr>
          <w:rFonts w:ascii="Times New Roman" w:hAnsi="Times New Roman"/>
          <w:sz w:val="24"/>
          <w:szCs w:val="24"/>
        </w:rPr>
        <w:t>hipertrofinės</w:t>
      </w:r>
      <w:proofErr w:type="spellEnd"/>
      <w:r w:rsidRPr="00FE42AF">
        <w:rPr>
          <w:rFonts w:ascii="Times New Roman" w:hAnsi="Times New Roman"/>
          <w:sz w:val="24"/>
          <w:szCs w:val="24"/>
        </w:rPr>
        <w:t xml:space="preserve"> obstrukcinės kardiomiopatijos (HOKMP) (II-III klasės pagal Niujorko širdies asociacijos, angl. </w:t>
      </w:r>
      <w:proofErr w:type="spellStart"/>
      <w:r w:rsidRPr="00FE42AF">
        <w:rPr>
          <w:rFonts w:ascii="Times New Roman" w:hAnsi="Times New Roman"/>
          <w:sz w:val="24"/>
          <w:szCs w:val="24"/>
        </w:rPr>
        <w:t>New</w:t>
      </w:r>
      <w:proofErr w:type="spellEnd"/>
      <w:r w:rsidRPr="00FE42AF">
        <w:rPr>
          <w:rFonts w:ascii="Times New Roman" w:hAnsi="Times New Roman"/>
          <w:sz w:val="24"/>
          <w:szCs w:val="24"/>
        </w:rPr>
        <w:t xml:space="preserve"> York </w:t>
      </w:r>
      <w:proofErr w:type="spellStart"/>
      <w:r w:rsidRPr="00FE42AF">
        <w:rPr>
          <w:rFonts w:ascii="Times New Roman" w:hAnsi="Times New Roman"/>
          <w:sz w:val="24"/>
          <w:szCs w:val="24"/>
        </w:rPr>
        <w:t>Heart</w:t>
      </w:r>
      <w:proofErr w:type="spellEnd"/>
      <w:r w:rsidRPr="00FE42AF">
        <w:rPr>
          <w:rFonts w:ascii="Times New Roman" w:hAnsi="Times New Roman"/>
          <w:sz w:val="24"/>
          <w:szCs w:val="24"/>
        </w:rPr>
        <w:t xml:space="preserve"> </w:t>
      </w:r>
      <w:proofErr w:type="spellStart"/>
      <w:r w:rsidRPr="00FE42AF">
        <w:rPr>
          <w:rFonts w:ascii="Times New Roman" w:hAnsi="Times New Roman"/>
          <w:sz w:val="24"/>
          <w:szCs w:val="24"/>
        </w:rPr>
        <w:t>Association</w:t>
      </w:r>
      <w:proofErr w:type="spellEnd"/>
      <w:r w:rsidRPr="00FE42AF">
        <w:rPr>
          <w:rFonts w:ascii="Times New Roman" w:hAnsi="Times New Roman"/>
          <w:sz w:val="24"/>
          <w:szCs w:val="24"/>
        </w:rPr>
        <w:t>, NYHA, klasifikaciją) gydymui.</w:t>
      </w:r>
    </w:p>
    <w:p w14:paraId="1B0171FB" w14:textId="77777777" w:rsidR="008B1FBC" w:rsidRPr="00FE42AF" w:rsidRDefault="008B1FBC" w:rsidP="008B1FBC">
      <w:pPr>
        <w:pStyle w:val="NoSpacing"/>
        <w:jc w:val="both"/>
        <w:rPr>
          <w:rFonts w:ascii="Times New Roman" w:hAnsi="Times New Roman"/>
          <w:sz w:val="24"/>
          <w:szCs w:val="24"/>
        </w:rPr>
      </w:pPr>
    </w:p>
    <w:p w14:paraId="217E727E" w14:textId="77777777" w:rsidR="008B1FBC" w:rsidRPr="00FE42AF" w:rsidRDefault="008B1FBC" w:rsidP="008B1FBC">
      <w:pPr>
        <w:pStyle w:val="NoSpacing"/>
        <w:jc w:val="both"/>
        <w:rPr>
          <w:rFonts w:ascii="Times New Roman" w:hAnsi="Times New Roman"/>
          <w:sz w:val="24"/>
          <w:szCs w:val="24"/>
        </w:rPr>
      </w:pPr>
      <w:r w:rsidRPr="00FE42AF">
        <w:rPr>
          <w:rFonts w:ascii="Times New Roman" w:hAnsi="Times New Roman"/>
          <w:sz w:val="24"/>
          <w:szCs w:val="24"/>
        </w:rPr>
        <w:t>TLK-10-AM kodas: I42.1</w:t>
      </w:r>
    </w:p>
    <w:p w14:paraId="0AFB0A1E" w14:textId="77777777" w:rsidR="008B1FBC" w:rsidRPr="00FE42AF" w:rsidRDefault="008B1FBC" w:rsidP="008B1FBC">
      <w:pPr>
        <w:pStyle w:val="NoSpacing"/>
        <w:rPr>
          <w:rFonts w:ascii="Times New Roman" w:hAnsi="Times New Roman"/>
          <w:sz w:val="24"/>
          <w:szCs w:val="24"/>
        </w:rPr>
      </w:pPr>
    </w:p>
    <w:p w14:paraId="5BBFD92B" w14:textId="77777777" w:rsidR="008B1FBC" w:rsidRPr="00FE42AF" w:rsidRDefault="008B1FBC" w:rsidP="008B1FBC">
      <w:pPr>
        <w:pStyle w:val="NoSpacing"/>
        <w:rPr>
          <w:rFonts w:ascii="Times New Roman" w:hAnsi="Times New Roman"/>
          <w:b/>
          <w:sz w:val="24"/>
          <w:szCs w:val="24"/>
        </w:rPr>
      </w:pPr>
      <w:r w:rsidRPr="00FE42AF">
        <w:rPr>
          <w:rFonts w:ascii="Times New Roman" w:hAnsi="Times New Roman"/>
          <w:b/>
          <w:sz w:val="24"/>
          <w:szCs w:val="24"/>
        </w:rPr>
        <w:t>Skyrimo sąlygos</w:t>
      </w:r>
    </w:p>
    <w:p w14:paraId="69FB3045" w14:textId="77777777" w:rsidR="008B1FBC" w:rsidRPr="00FE42AF" w:rsidRDefault="00830AF7" w:rsidP="008B1FBC">
      <w:pPr>
        <w:pStyle w:val="NoSpacing"/>
        <w:rPr>
          <w:rFonts w:ascii="Times New Roman" w:hAnsi="Times New Roman"/>
          <w:sz w:val="24"/>
          <w:szCs w:val="24"/>
        </w:rPr>
      </w:pPr>
      <w:sdt>
        <w:sdtPr>
          <w:rPr>
            <w:rStyle w:val="Style2"/>
            <w:rFonts w:ascii="Times New Roman" w:hAnsi="Times New Roman"/>
            <w:sz w:val="24"/>
            <w:szCs w:val="24"/>
          </w:rPr>
          <w:id w:val="169305347"/>
          <w15:color w:val="FFCC00"/>
          <w14:checkbox>
            <w14:checked w14:val="0"/>
            <w14:checkedState w14:val="2612" w14:font="MS Gothic"/>
            <w14:uncheckedState w14:val="2610" w14:font="MS Gothic"/>
          </w14:checkbox>
        </w:sdtPr>
        <w:sdtEndPr>
          <w:rPr>
            <w:rStyle w:val="Style2"/>
          </w:rPr>
        </w:sdtEndPr>
        <w:sdtContent>
          <w:r w:rsidR="008B1FBC" w:rsidRPr="00FE42AF">
            <w:rPr>
              <w:rStyle w:val="Style2"/>
              <w:rFonts w:ascii="Segoe UI Symbol" w:eastAsia="MS Gothic" w:hAnsi="Segoe UI Symbol" w:cs="Segoe UI Symbol"/>
              <w:sz w:val="24"/>
              <w:szCs w:val="24"/>
            </w:rPr>
            <w:t>☐</w:t>
          </w:r>
        </w:sdtContent>
      </w:sdt>
      <w:r w:rsidR="008B1FBC" w:rsidRPr="00FE42AF">
        <w:rPr>
          <w:rFonts w:ascii="Times New Roman" w:hAnsi="Times New Roman"/>
          <w:sz w:val="24"/>
          <w:szCs w:val="24"/>
        </w:rPr>
        <w:t xml:space="preserve"> Pareiškėjo siūlomos skyrimo sąlygos priimtinos. </w:t>
      </w:r>
    </w:p>
    <w:p w14:paraId="6477A540" w14:textId="77777777" w:rsidR="008B1FBC" w:rsidRPr="00FE42AF" w:rsidRDefault="00830AF7" w:rsidP="008B1FBC">
      <w:pPr>
        <w:pStyle w:val="NoSpacing"/>
        <w:rPr>
          <w:rFonts w:ascii="Times New Roman" w:hAnsi="Times New Roman"/>
          <w:sz w:val="24"/>
          <w:szCs w:val="24"/>
        </w:rPr>
      </w:pPr>
      <w:sdt>
        <w:sdtPr>
          <w:rPr>
            <w:rStyle w:val="Style2"/>
            <w:rFonts w:ascii="Times New Roman" w:hAnsi="Times New Roman"/>
            <w:sz w:val="24"/>
            <w:szCs w:val="24"/>
          </w:rPr>
          <w:id w:val="1823936883"/>
          <w15:color w:val="FFCC00"/>
          <w14:checkbox>
            <w14:checked w14:val="1"/>
            <w14:checkedState w14:val="2612" w14:font="MS Gothic"/>
            <w14:uncheckedState w14:val="2610" w14:font="MS Gothic"/>
          </w14:checkbox>
        </w:sdtPr>
        <w:sdtEndPr>
          <w:rPr>
            <w:rStyle w:val="Style2"/>
          </w:rPr>
        </w:sdtEndPr>
        <w:sdtContent>
          <w:r w:rsidR="008B1FBC" w:rsidRPr="00FE42AF">
            <w:rPr>
              <w:rStyle w:val="Style2"/>
              <w:rFonts w:ascii="MS Gothic" w:eastAsia="MS Gothic" w:hAnsi="MS Gothic" w:hint="eastAsia"/>
              <w:sz w:val="24"/>
              <w:szCs w:val="24"/>
            </w:rPr>
            <w:t>☒</w:t>
          </w:r>
        </w:sdtContent>
      </w:sdt>
      <w:r w:rsidR="008B1FBC" w:rsidRPr="00FE42AF">
        <w:rPr>
          <w:rFonts w:ascii="Times New Roman" w:hAnsi="Times New Roman"/>
          <w:sz w:val="24"/>
          <w:szCs w:val="24"/>
        </w:rPr>
        <w:t xml:space="preserve"> Pareiškėjo siūlomos skyrimo sąlygos nepriimtinos.</w:t>
      </w:r>
    </w:p>
    <w:p w14:paraId="5D0B6E73" w14:textId="77777777" w:rsidR="008B1FBC" w:rsidRPr="00FE42AF" w:rsidRDefault="008B1FBC" w:rsidP="008B1FBC">
      <w:pPr>
        <w:pStyle w:val="NoSpacing"/>
        <w:rPr>
          <w:rFonts w:ascii="Times New Roman" w:hAnsi="Times New Roman"/>
          <w:sz w:val="24"/>
          <w:szCs w:val="24"/>
        </w:rPr>
      </w:pPr>
      <w:r w:rsidRPr="00FE42AF">
        <w:rPr>
          <w:rFonts w:ascii="Times New Roman" w:hAnsi="Times New Roman"/>
          <w:sz w:val="24"/>
          <w:szCs w:val="24"/>
        </w:rPr>
        <w:t>Siūlomos skyrimo sąlygos:</w:t>
      </w:r>
    </w:p>
    <w:p w14:paraId="1A9928B1" w14:textId="77777777" w:rsidR="008B1FBC" w:rsidRDefault="008B1FBC" w:rsidP="008B1FBC">
      <w:pPr>
        <w:pStyle w:val="NoSpacing"/>
        <w:jc w:val="both"/>
        <w:rPr>
          <w:rFonts w:ascii="Times New Roman" w:hAnsi="Times New Roman"/>
          <w:sz w:val="24"/>
          <w:szCs w:val="24"/>
        </w:rPr>
      </w:pPr>
      <w:bookmarkStart w:id="1" w:name="_Hlk179904031"/>
      <w:r w:rsidRPr="00FE42AF">
        <w:rPr>
          <w:rFonts w:ascii="Times New Roman" w:hAnsi="Times New Roman"/>
          <w:sz w:val="24"/>
          <w:szCs w:val="24"/>
        </w:rPr>
        <w:t xml:space="preserve">Skiria gydytojas kardiologas, teikiantis tretinio lygio asmens sveikatos priežiūros paslaugas, </w:t>
      </w:r>
      <w:r w:rsidRPr="00FE42AF">
        <w:rPr>
          <w:rFonts w:ascii="Times New Roman" w:hAnsi="Times New Roman"/>
          <w:bCs/>
          <w:sz w:val="24"/>
          <w:szCs w:val="24"/>
        </w:rPr>
        <w:t>18 metų ir vyresniems pacientams, kuriems s</w:t>
      </w:r>
      <w:r w:rsidRPr="00FE42AF">
        <w:rPr>
          <w:rFonts w:ascii="Times New Roman" w:hAnsi="Times New Roman"/>
          <w:sz w:val="24"/>
          <w:szCs w:val="24"/>
        </w:rPr>
        <w:t xml:space="preserve">kiriant maksimaliai toleruojamas </w:t>
      </w:r>
      <w:proofErr w:type="spellStart"/>
      <w:r w:rsidRPr="00FE42AF">
        <w:rPr>
          <w:rFonts w:ascii="Times New Roman" w:hAnsi="Times New Roman"/>
          <w:sz w:val="24"/>
          <w:szCs w:val="24"/>
        </w:rPr>
        <w:t>nevazodilatacinių</w:t>
      </w:r>
      <w:proofErr w:type="spellEnd"/>
      <w:r w:rsidRPr="00FE42AF">
        <w:rPr>
          <w:rFonts w:ascii="Times New Roman" w:hAnsi="Times New Roman"/>
          <w:sz w:val="24"/>
          <w:szCs w:val="24"/>
        </w:rPr>
        <w:t xml:space="preserve"> beta </w:t>
      </w:r>
      <w:proofErr w:type="spellStart"/>
      <w:r w:rsidRPr="00FE42AF">
        <w:rPr>
          <w:rFonts w:ascii="Times New Roman" w:hAnsi="Times New Roman"/>
          <w:sz w:val="24"/>
          <w:szCs w:val="24"/>
        </w:rPr>
        <w:t>adrenoblokatorių</w:t>
      </w:r>
      <w:proofErr w:type="spellEnd"/>
      <w:r w:rsidRPr="00FE42AF">
        <w:rPr>
          <w:rFonts w:ascii="Times New Roman" w:hAnsi="Times New Roman"/>
          <w:sz w:val="24"/>
          <w:szCs w:val="24"/>
        </w:rPr>
        <w:t xml:space="preserve">, </w:t>
      </w:r>
      <w:proofErr w:type="spellStart"/>
      <w:r w:rsidRPr="00FE42AF">
        <w:rPr>
          <w:rFonts w:ascii="Times New Roman" w:hAnsi="Times New Roman"/>
          <w:sz w:val="24"/>
          <w:szCs w:val="24"/>
        </w:rPr>
        <w:t>verapamilio</w:t>
      </w:r>
      <w:proofErr w:type="spellEnd"/>
      <w:r w:rsidRPr="00FE42AF">
        <w:rPr>
          <w:rFonts w:ascii="Times New Roman" w:hAnsi="Times New Roman"/>
          <w:sz w:val="24"/>
          <w:szCs w:val="24"/>
        </w:rPr>
        <w:t xml:space="preserve"> ar </w:t>
      </w:r>
      <w:proofErr w:type="spellStart"/>
      <w:r w:rsidRPr="00FE42AF">
        <w:rPr>
          <w:rFonts w:ascii="Times New Roman" w:hAnsi="Times New Roman"/>
          <w:sz w:val="24"/>
          <w:szCs w:val="24"/>
        </w:rPr>
        <w:t>diltiazemo</w:t>
      </w:r>
      <w:proofErr w:type="spellEnd"/>
      <w:r w:rsidRPr="00FE42AF">
        <w:rPr>
          <w:rFonts w:ascii="Times New Roman" w:hAnsi="Times New Roman"/>
          <w:sz w:val="24"/>
          <w:szCs w:val="24"/>
        </w:rPr>
        <w:t xml:space="preserve"> dozes išlieka simptomai ir blogėja </w:t>
      </w:r>
      <w:proofErr w:type="spellStart"/>
      <w:r w:rsidRPr="00FE42AF">
        <w:rPr>
          <w:rFonts w:ascii="Times New Roman" w:hAnsi="Times New Roman"/>
          <w:sz w:val="24"/>
          <w:szCs w:val="24"/>
        </w:rPr>
        <w:t>echokardiografiniai</w:t>
      </w:r>
      <w:proofErr w:type="spellEnd"/>
      <w:r w:rsidRPr="00FE42AF">
        <w:rPr>
          <w:rFonts w:ascii="Times New Roman" w:hAnsi="Times New Roman"/>
          <w:sz w:val="24"/>
          <w:szCs w:val="24"/>
        </w:rPr>
        <w:t xml:space="preserve"> obstrukcijos parametrai.</w:t>
      </w:r>
      <w:bookmarkEnd w:id="1"/>
    </w:p>
    <w:p w14:paraId="7CDFF220" w14:textId="58191D98" w:rsidR="000723FF" w:rsidRPr="000203E1" w:rsidRDefault="000723FF" w:rsidP="00824B92">
      <w:pPr>
        <w:rPr>
          <w:b/>
        </w:rPr>
      </w:pPr>
    </w:p>
    <w:sectPr w:rsidR="000723FF" w:rsidRPr="000203E1" w:rsidSect="005D30E1">
      <w:headerReference w:type="first" r:id="rId8"/>
      <w:footerReference w:type="first" r:id="rId9"/>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52295" w14:textId="77777777" w:rsidR="00240F5D" w:rsidRDefault="00240F5D">
      <w:r>
        <w:separator/>
      </w:r>
    </w:p>
  </w:endnote>
  <w:endnote w:type="continuationSeparator" w:id="0">
    <w:p w14:paraId="59D81255" w14:textId="77777777" w:rsidR="00240F5D" w:rsidRDefault="00240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D3368" w14:textId="77777777" w:rsidR="00347FAA" w:rsidRDefault="00347FAA">
    <w:pPr>
      <w:pStyle w:val="Footer"/>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4647B" w14:textId="77777777" w:rsidR="00240F5D" w:rsidRDefault="00240F5D">
      <w:r>
        <w:separator/>
      </w:r>
    </w:p>
  </w:footnote>
  <w:footnote w:type="continuationSeparator" w:id="0">
    <w:p w14:paraId="56049EA7" w14:textId="77777777" w:rsidR="00240F5D" w:rsidRDefault="00240F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E1C8F" w14:textId="77777777" w:rsidR="00347FAA" w:rsidRDefault="00347FAA" w:rsidP="00FD793C">
    <w:pPr>
      <w:pStyle w:val="Header"/>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BA2A34"/>
    <w:multiLevelType w:val="hybridMultilevel"/>
    <w:tmpl w:val="2E500B54"/>
    <w:lvl w:ilvl="0" w:tplc="04270011">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5"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7"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0"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CB85A00"/>
    <w:multiLevelType w:val="hybridMultilevel"/>
    <w:tmpl w:val="E2B4AC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5111115"/>
    <w:multiLevelType w:val="hybridMultilevel"/>
    <w:tmpl w:val="22EAE5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28490693">
    <w:abstractNumId w:val="7"/>
  </w:num>
  <w:num w:numId="2" w16cid:durableId="357630182">
    <w:abstractNumId w:val="1"/>
  </w:num>
  <w:num w:numId="3" w16cid:durableId="1769811340">
    <w:abstractNumId w:val="9"/>
  </w:num>
  <w:num w:numId="4" w16cid:durableId="724256788">
    <w:abstractNumId w:val="8"/>
  </w:num>
  <w:num w:numId="5" w16cid:durableId="936597441">
    <w:abstractNumId w:val="6"/>
  </w:num>
  <w:num w:numId="6" w16cid:durableId="905648174">
    <w:abstractNumId w:val="5"/>
  </w:num>
  <w:num w:numId="7" w16cid:durableId="696547388">
    <w:abstractNumId w:val="4"/>
  </w:num>
  <w:num w:numId="8" w16cid:durableId="1277057008">
    <w:abstractNumId w:val="14"/>
  </w:num>
  <w:num w:numId="9" w16cid:durableId="1466702025">
    <w:abstractNumId w:val="0"/>
  </w:num>
  <w:num w:numId="10" w16cid:durableId="2039700309">
    <w:abstractNumId w:val="10"/>
  </w:num>
  <w:num w:numId="11" w16cid:durableId="2065593690">
    <w:abstractNumId w:val="13"/>
  </w:num>
  <w:num w:numId="12" w16cid:durableId="1831361611">
    <w:abstractNumId w:val="3"/>
  </w:num>
  <w:num w:numId="13" w16cid:durableId="10354220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72759904">
    <w:abstractNumId w:val="11"/>
  </w:num>
  <w:num w:numId="15" w16cid:durableId="12927840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01B0"/>
    <w:rsid w:val="0000079D"/>
    <w:rsid w:val="00003F5B"/>
    <w:rsid w:val="000114DD"/>
    <w:rsid w:val="000136F7"/>
    <w:rsid w:val="00016F32"/>
    <w:rsid w:val="000203E1"/>
    <w:rsid w:val="0002686C"/>
    <w:rsid w:val="00031D0E"/>
    <w:rsid w:val="000337E6"/>
    <w:rsid w:val="0003402E"/>
    <w:rsid w:val="00034EAE"/>
    <w:rsid w:val="00042924"/>
    <w:rsid w:val="00045709"/>
    <w:rsid w:val="00053975"/>
    <w:rsid w:val="00057A2B"/>
    <w:rsid w:val="000606BE"/>
    <w:rsid w:val="00065999"/>
    <w:rsid w:val="000723FF"/>
    <w:rsid w:val="000736B8"/>
    <w:rsid w:val="0008190F"/>
    <w:rsid w:val="00081D9C"/>
    <w:rsid w:val="00082907"/>
    <w:rsid w:val="0008378D"/>
    <w:rsid w:val="000908A5"/>
    <w:rsid w:val="0009140B"/>
    <w:rsid w:val="00092805"/>
    <w:rsid w:val="000A2144"/>
    <w:rsid w:val="000C454C"/>
    <w:rsid w:val="000D5038"/>
    <w:rsid w:val="000E29D4"/>
    <w:rsid w:val="000F0099"/>
    <w:rsid w:val="000F3540"/>
    <w:rsid w:val="00100491"/>
    <w:rsid w:val="00104E2E"/>
    <w:rsid w:val="00107287"/>
    <w:rsid w:val="00117406"/>
    <w:rsid w:val="00121EF0"/>
    <w:rsid w:val="00124A9E"/>
    <w:rsid w:val="00130703"/>
    <w:rsid w:val="0013153F"/>
    <w:rsid w:val="001408B8"/>
    <w:rsid w:val="00144F08"/>
    <w:rsid w:val="001478D2"/>
    <w:rsid w:val="001517E2"/>
    <w:rsid w:val="001521D9"/>
    <w:rsid w:val="001554E2"/>
    <w:rsid w:val="00164146"/>
    <w:rsid w:val="00164D64"/>
    <w:rsid w:val="0017369C"/>
    <w:rsid w:val="00175D57"/>
    <w:rsid w:val="00180C39"/>
    <w:rsid w:val="00180D96"/>
    <w:rsid w:val="00184BD3"/>
    <w:rsid w:val="00184F42"/>
    <w:rsid w:val="001921F3"/>
    <w:rsid w:val="001A35F9"/>
    <w:rsid w:val="001A5428"/>
    <w:rsid w:val="001B3C5B"/>
    <w:rsid w:val="001D1DCA"/>
    <w:rsid w:val="001D5B91"/>
    <w:rsid w:val="001D746F"/>
    <w:rsid w:val="001E4BBB"/>
    <w:rsid w:val="001E6304"/>
    <w:rsid w:val="0020381E"/>
    <w:rsid w:val="00213471"/>
    <w:rsid w:val="00215906"/>
    <w:rsid w:val="00240F5D"/>
    <w:rsid w:val="00241CD8"/>
    <w:rsid w:val="00244B09"/>
    <w:rsid w:val="002519CB"/>
    <w:rsid w:val="0025697F"/>
    <w:rsid w:val="00260258"/>
    <w:rsid w:val="0026519C"/>
    <w:rsid w:val="0026588E"/>
    <w:rsid w:val="00272428"/>
    <w:rsid w:val="00272948"/>
    <w:rsid w:val="00283E59"/>
    <w:rsid w:val="00292392"/>
    <w:rsid w:val="002946C7"/>
    <w:rsid w:val="002A3E57"/>
    <w:rsid w:val="002B3CC1"/>
    <w:rsid w:val="002C09E0"/>
    <w:rsid w:val="002C1BB1"/>
    <w:rsid w:val="002C2786"/>
    <w:rsid w:val="002C3A10"/>
    <w:rsid w:val="002C4A90"/>
    <w:rsid w:val="002C4ED5"/>
    <w:rsid w:val="002D02EF"/>
    <w:rsid w:val="002E0702"/>
    <w:rsid w:val="002E57AD"/>
    <w:rsid w:val="002E6F80"/>
    <w:rsid w:val="002F0E4F"/>
    <w:rsid w:val="002F1053"/>
    <w:rsid w:val="0030069A"/>
    <w:rsid w:val="00314816"/>
    <w:rsid w:val="00317B0E"/>
    <w:rsid w:val="003450D7"/>
    <w:rsid w:val="00347FAA"/>
    <w:rsid w:val="0035172D"/>
    <w:rsid w:val="003579F8"/>
    <w:rsid w:val="0036187D"/>
    <w:rsid w:val="00367EDB"/>
    <w:rsid w:val="0037543E"/>
    <w:rsid w:val="00381024"/>
    <w:rsid w:val="00386307"/>
    <w:rsid w:val="003874DE"/>
    <w:rsid w:val="00393E9F"/>
    <w:rsid w:val="0039696E"/>
    <w:rsid w:val="003979E3"/>
    <w:rsid w:val="003B211A"/>
    <w:rsid w:val="003C141F"/>
    <w:rsid w:val="003C6B0E"/>
    <w:rsid w:val="003C7257"/>
    <w:rsid w:val="003C7E35"/>
    <w:rsid w:val="003D1E99"/>
    <w:rsid w:val="003D6208"/>
    <w:rsid w:val="00404E8A"/>
    <w:rsid w:val="0040622F"/>
    <w:rsid w:val="00407189"/>
    <w:rsid w:val="00413F24"/>
    <w:rsid w:val="00422853"/>
    <w:rsid w:val="00423160"/>
    <w:rsid w:val="00434D0C"/>
    <w:rsid w:val="00453862"/>
    <w:rsid w:val="0045469B"/>
    <w:rsid w:val="00457F19"/>
    <w:rsid w:val="00461338"/>
    <w:rsid w:val="004677DB"/>
    <w:rsid w:val="00476256"/>
    <w:rsid w:val="004841A2"/>
    <w:rsid w:val="0048630F"/>
    <w:rsid w:val="0048680D"/>
    <w:rsid w:val="004947A1"/>
    <w:rsid w:val="0049482A"/>
    <w:rsid w:val="004979D3"/>
    <w:rsid w:val="004A00E7"/>
    <w:rsid w:val="004A3A61"/>
    <w:rsid w:val="004B2F81"/>
    <w:rsid w:val="004B59BA"/>
    <w:rsid w:val="004B5A03"/>
    <w:rsid w:val="004C263A"/>
    <w:rsid w:val="004D48A6"/>
    <w:rsid w:val="004D7B8F"/>
    <w:rsid w:val="004E241F"/>
    <w:rsid w:val="004E6458"/>
    <w:rsid w:val="004E6E7D"/>
    <w:rsid w:val="004F1AAC"/>
    <w:rsid w:val="004F1AE2"/>
    <w:rsid w:val="004F34F0"/>
    <w:rsid w:val="004F3B2B"/>
    <w:rsid w:val="004F6050"/>
    <w:rsid w:val="005005EF"/>
    <w:rsid w:val="005123C2"/>
    <w:rsid w:val="0052144B"/>
    <w:rsid w:val="00524066"/>
    <w:rsid w:val="0053001B"/>
    <w:rsid w:val="00534E11"/>
    <w:rsid w:val="005378D8"/>
    <w:rsid w:val="005400D9"/>
    <w:rsid w:val="005476A4"/>
    <w:rsid w:val="0055019B"/>
    <w:rsid w:val="00556E63"/>
    <w:rsid w:val="005601A4"/>
    <w:rsid w:val="00566DBB"/>
    <w:rsid w:val="00571D03"/>
    <w:rsid w:val="005767DB"/>
    <w:rsid w:val="005815E6"/>
    <w:rsid w:val="0058712F"/>
    <w:rsid w:val="005976CE"/>
    <w:rsid w:val="005A23D4"/>
    <w:rsid w:val="005A2D1E"/>
    <w:rsid w:val="005A4698"/>
    <w:rsid w:val="005B3756"/>
    <w:rsid w:val="005C493F"/>
    <w:rsid w:val="005C6BF7"/>
    <w:rsid w:val="005C71BF"/>
    <w:rsid w:val="005D002C"/>
    <w:rsid w:val="005D30E1"/>
    <w:rsid w:val="005D6555"/>
    <w:rsid w:val="005D7BDF"/>
    <w:rsid w:val="005E4870"/>
    <w:rsid w:val="005F71D9"/>
    <w:rsid w:val="005F7602"/>
    <w:rsid w:val="006062BE"/>
    <w:rsid w:val="00613143"/>
    <w:rsid w:val="00613501"/>
    <w:rsid w:val="0061611B"/>
    <w:rsid w:val="006166A8"/>
    <w:rsid w:val="006174A1"/>
    <w:rsid w:val="00621D6C"/>
    <w:rsid w:val="006334AA"/>
    <w:rsid w:val="00633B49"/>
    <w:rsid w:val="0064297F"/>
    <w:rsid w:val="00645102"/>
    <w:rsid w:val="00646CF3"/>
    <w:rsid w:val="00653D11"/>
    <w:rsid w:val="00662983"/>
    <w:rsid w:val="0066796B"/>
    <w:rsid w:val="0067524F"/>
    <w:rsid w:val="006834D3"/>
    <w:rsid w:val="00687DC7"/>
    <w:rsid w:val="00692625"/>
    <w:rsid w:val="00695CD3"/>
    <w:rsid w:val="006A38B6"/>
    <w:rsid w:val="006B1987"/>
    <w:rsid w:val="006B5B71"/>
    <w:rsid w:val="006B5D3E"/>
    <w:rsid w:val="006B6CB0"/>
    <w:rsid w:val="006C2B64"/>
    <w:rsid w:val="006C6F33"/>
    <w:rsid w:val="006D1BF3"/>
    <w:rsid w:val="006D4C85"/>
    <w:rsid w:val="006D59DE"/>
    <w:rsid w:val="006D66AC"/>
    <w:rsid w:val="006E33F6"/>
    <w:rsid w:val="006F1251"/>
    <w:rsid w:val="006F1C23"/>
    <w:rsid w:val="00702C18"/>
    <w:rsid w:val="00703166"/>
    <w:rsid w:val="007127F3"/>
    <w:rsid w:val="007301CF"/>
    <w:rsid w:val="007316FB"/>
    <w:rsid w:val="00737E2D"/>
    <w:rsid w:val="007424D5"/>
    <w:rsid w:val="00750A88"/>
    <w:rsid w:val="007523DD"/>
    <w:rsid w:val="00757B7E"/>
    <w:rsid w:val="007656B2"/>
    <w:rsid w:val="0077016F"/>
    <w:rsid w:val="007713AD"/>
    <w:rsid w:val="00795DC5"/>
    <w:rsid w:val="00797153"/>
    <w:rsid w:val="007A21F7"/>
    <w:rsid w:val="007A2B68"/>
    <w:rsid w:val="007B0DDA"/>
    <w:rsid w:val="007B6CE3"/>
    <w:rsid w:val="007C5D3B"/>
    <w:rsid w:val="007D3347"/>
    <w:rsid w:val="007E2C2F"/>
    <w:rsid w:val="007E5466"/>
    <w:rsid w:val="007F1949"/>
    <w:rsid w:val="007F2592"/>
    <w:rsid w:val="00800A08"/>
    <w:rsid w:val="0080146E"/>
    <w:rsid w:val="00817A84"/>
    <w:rsid w:val="008225A4"/>
    <w:rsid w:val="00824B92"/>
    <w:rsid w:val="00826D5E"/>
    <w:rsid w:val="00830AF7"/>
    <w:rsid w:val="00832013"/>
    <w:rsid w:val="00832DB7"/>
    <w:rsid w:val="00834732"/>
    <w:rsid w:val="00835324"/>
    <w:rsid w:val="00843FB8"/>
    <w:rsid w:val="0085200C"/>
    <w:rsid w:val="00857C52"/>
    <w:rsid w:val="00860D5F"/>
    <w:rsid w:val="00880A44"/>
    <w:rsid w:val="0088345E"/>
    <w:rsid w:val="0088656F"/>
    <w:rsid w:val="00891EF6"/>
    <w:rsid w:val="00893C9F"/>
    <w:rsid w:val="008A0303"/>
    <w:rsid w:val="008A5FDD"/>
    <w:rsid w:val="008A7180"/>
    <w:rsid w:val="008B1FBC"/>
    <w:rsid w:val="008C01DC"/>
    <w:rsid w:val="008C3947"/>
    <w:rsid w:val="008E329C"/>
    <w:rsid w:val="008E473B"/>
    <w:rsid w:val="008E51A6"/>
    <w:rsid w:val="008E7329"/>
    <w:rsid w:val="008F2ED5"/>
    <w:rsid w:val="009017F0"/>
    <w:rsid w:val="0092297E"/>
    <w:rsid w:val="00923651"/>
    <w:rsid w:val="00927B56"/>
    <w:rsid w:val="00931A54"/>
    <w:rsid w:val="009341BF"/>
    <w:rsid w:val="00937907"/>
    <w:rsid w:val="00941739"/>
    <w:rsid w:val="00951573"/>
    <w:rsid w:val="00962900"/>
    <w:rsid w:val="00963003"/>
    <w:rsid w:val="00966EEF"/>
    <w:rsid w:val="00971B28"/>
    <w:rsid w:val="00983471"/>
    <w:rsid w:val="009909AB"/>
    <w:rsid w:val="009A33BF"/>
    <w:rsid w:val="009A69EC"/>
    <w:rsid w:val="009B37DB"/>
    <w:rsid w:val="009C7A8C"/>
    <w:rsid w:val="009D23F9"/>
    <w:rsid w:val="009D4FA8"/>
    <w:rsid w:val="009E44AE"/>
    <w:rsid w:val="009E6CD6"/>
    <w:rsid w:val="009F4D66"/>
    <w:rsid w:val="00A00C3C"/>
    <w:rsid w:val="00A01091"/>
    <w:rsid w:val="00A042B9"/>
    <w:rsid w:val="00A06DBB"/>
    <w:rsid w:val="00A22ADF"/>
    <w:rsid w:val="00A31E86"/>
    <w:rsid w:val="00A54D87"/>
    <w:rsid w:val="00A5553C"/>
    <w:rsid w:val="00A701C9"/>
    <w:rsid w:val="00A81785"/>
    <w:rsid w:val="00A84803"/>
    <w:rsid w:val="00A84C51"/>
    <w:rsid w:val="00A86F2B"/>
    <w:rsid w:val="00A91366"/>
    <w:rsid w:val="00A92F91"/>
    <w:rsid w:val="00A93AA6"/>
    <w:rsid w:val="00AA4E48"/>
    <w:rsid w:val="00AA6202"/>
    <w:rsid w:val="00AA7B57"/>
    <w:rsid w:val="00AB2806"/>
    <w:rsid w:val="00AB6C7B"/>
    <w:rsid w:val="00AC1486"/>
    <w:rsid w:val="00AC26FC"/>
    <w:rsid w:val="00AC4A99"/>
    <w:rsid w:val="00AC64D2"/>
    <w:rsid w:val="00AD02E7"/>
    <w:rsid w:val="00AE0FE8"/>
    <w:rsid w:val="00AE3B31"/>
    <w:rsid w:val="00AF60D5"/>
    <w:rsid w:val="00B00959"/>
    <w:rsid w:val="00B04415"/>
    <w:rsid w:val="00B06509"/>
    <w:rsid w:val="00B11D60"/>
    <w:rsid w:val="00B13D65"/>
    <w:rsid w:val="00B21805"/>
    <w:rsid w:val="00B3072E"/>
    <w:rsid w:val="00B33E91"/>
    <w:rsid w:val="00B33FA8"/>
    <w:rsid w:val="00B36E15"/>
    <w:rsid w:val="00B37245"/>
    <w:rsid w:val="00B4017A"/>
    <w:rsid w:val="00B4468D"/>
    <w:rsid w:val="00B71C72"/>
    <w:rsid w:val="00B72A0A"/>
    <w:rsid w:val="00B81E92"/>
    <w:rsid w:val="00B82ABF"/>
    <w:rsid w:val="00B908D7"/>
    <w:rsid w:val="00B935E8"/>
    <w:rsid w:val="00B93B30"/>
    <w:rsid w:val="00B94CB5"/>
    <w:rsid w:val="00B96507"/>
    <w:rsid w:val="00BA0DD9"/>
    <w:rsid w:val="00BA5DBC"/>
    <w:rsid w:val="00BA6584"/>
    <w:rsid w:val="00BB6312"/>
    <w:rsid w:val="00BC22A0"/>
    <w:rsid w:val="00BC4D06"/>
    <w:rsid w:val="00BD585E"/>
    <w:rsid w:val="00BD6919"/>
    <w:rsid w:val="00BE1EA7"/>
    <w:rsid w:val="00BE7489"/>
    <w:rsid w:val="00BF2E0D"/>
    <w:rsid w:val="00BF3927"/>
    <w:rsid w:val="00BF3F8B"/>
    <w:rsid w:val="00BF76DA"/>
    <w:rsid w:val="00C07C7B"/>
    <w:rsid w:val="00C16245"/>
    <w:rsid w:val="00C1763F"/>
    <w:rsid w:val="00C22DC5"/>
    <w:rsid w:val="00C24479"/>
    <w:rsid w:val="00C273F2"/>
    <w:rsid w:val="00C37B53"/>
    <w:rsid w:val="00C434EB"/>
    <w:rsid w:val="00C517D2"/>
    <w:rsid w:val="00C5772E"/>
    <w:rsid w:val="00C62B36"/>
    <w:rsid w:val="00C7012C"/>
    <w:rsid w:val="00C712EA"/>
    <w:rsid w:val="00C80E90"/>
    <w:rsid w:val="00CA217D"/>
    <w:rsid w:val="00CC09D4"/>
    <w:rsid w:val="00CC668D"/>
    <w:rsid w:val="00CC7832"/>
    <w:rsid w:val="00CD488E"/>
    <w:rsid w:val="00CF0C1C"/>
    <w:rsid w:val="00CF27FD"/>
    <w:rsid w:val="00CF5F12"/>
    <w:rsid w:val="00D00D8F"/>
    <w:rsid w:val="00D118FB"/>
    <w:rsid w:val="00D21F3A"/>
    <w:rsid w:val="00D23808"/>
    <w:rsid w:val="00D3016A"/>
    <w:rsid w:val="00D417D2"/>
    <w:rsid w:val="00D42960"/>
    <w:rsid w:val="00D43BD7"/>
    <w:rsid w:val="00D4485B"/>
    <w:rsid w:val="00D46CCD"/>
    <w:rsid w:val="00D4708D"/>
    <w:rsid w:val="00D4744C"/>
    <w:rsid w:val="00D51824"/>
    <w:rsid w:val="00D521DE"/>
    <w:rsid w:val="00D5470B"/>
    <w:rsid w:val="00D5632F"/>
    <w:rsid w:val="00D63068"/>
    <w:rsid w:val="00D64441"/>
    <w:rsid w:val="00D6498C"/>
    <w:rsid w:val="00D76A70"/>
    <w:rsid w:val="00D8151D"/>
    <w:rsid w:val="00D83182"/>
    <w:rsid w:val="00D8521E"/>
    <w:rsid w:val="00D9291C"/>
    <w:rsid w:val="00D93A97"/>
    <w:rsid w:val="00DA0EBD"/>
    <w:rsid w:val="00DA410D"/>
    <w:rsid w:val="00DB1F64"/>
    <w:rsid w:val="00DC2F53"/>
    <w:rsid w:val="00DC5BAC"/>
    <w:rsid w:val="00DC6816"/>
    <w:rsid w:val="00DC76C2"/>
    <w:rsid w:val="00DD1CF2"/>
    <w:rsid w:val="00DD72FA"/>
    <w:rsid w:val="00DE4484"/>
    <w:rsid w:val="00DF380D"/>
    <w:rsid w:val="00DF41B7"/>
    <w:rsid w:val="00DF4A4A"/>
    <w:rsid w:val="00DF583C"/>
    <w:rsid w:val="00E03C3F"/>
    <w:rsid w:val="00E06FD7"/>
    <w:rsid w:val="00E07417"/>
    <w:rsid w:val="00E24D45"/>
    <w:rsid w:val="00E300BD"/>
    <w:rsid w:val="00E33DB8"/>
    <w:rsid w:val="00E33EFF"/>
    <w:rsid w:val="00E34387"/>
    <w:rsid w:val="00E348BA"/>
    <w:rsid w:val="00E36132"/>
    <w:rsid w:val="00E369FE"/>
    <w:rsid w:val="00E37C6F"/>
    <w:rsid w:val="00E475F8"/>
    <w:rsid w:val="00E5102E"/>
    <w:rsid w:val="00E549A3"/>
    <w:rsid w:val="00E5721C"/>
    <w:rsid w:val="00E619C6"/>
    <w:rsid w:val="00E666D8"/>
    <w:rsid w:val="00E745A1"/>
    <w:rsid w:val="00E81529"/>
    <w:rsid w:val="00E83A13"/>
    <w:rsid w:val="00EB437A"/>
    <w:rsid w:val="00EB6FC5"/>
    <w:rsid w:val="00EC2356"/>
    <w:rsid w:val="00EC2582"/>
    <w:rsid w:val="00EC337C"/>
    <w:rsid w:val="00ED0CFF"/>
    <w:rsid w:val="00ED2708"/>
    <w:rsid w:val="00ED31D2"/>
    <w:rsid w:val="00EE0EAC"/>
    <w:rsid w:val="00EE3322"/>
    <w:rsid w:val="00EE33CB"/>
    <w:rsid w:val="00F0061A"/>
    <w:rsid w:val="00F02834"/>
    <w:rsid w:val="00F04EEB"/>
    <w:rsid w:val="00F05467"/>
    <w:rsid w:val="00F055D2"/>
    <w:rsid w:val="00F07CD7"/>
    <w:rsid w:val="00F127E9"/>
    <w:rsid w:val="00F14B5D"/>
    <w:rsid w:val="00F167B5"/>
    <w:rsid w:val="00F259FC"/>
    <w:rsid w:val="00F36972"/>
    <w:rsid w:val="00F37DBD"/>
    <w:rsid w:val="00F42426"/>
    <w:rsid w:val="00F456BC"/>
    <w:rsid w:val="00F50666"/>
    <w:rsid w:val="00F533A8"/>
    <w:rsid w:val="00F70731"/>
    <w:rsid w:val="00F70C9E"/>
    <w:rsid w:val="00F725EC"/>
    <w:rsid w:val="00F74A74"/>
    <w:rsid w:val="00F7572C"/>
    <w:rsid w:val="00F8382C"/>
    <w:rsid w:val="00F855D7"/>
    <w:rsid w:val="00F92035"/>
    <w:rsid w:val="00F92748"/>
    <w:rsid w:val="00FA4169"/>
    <w:rsid w:val="00FB0D41"/>
    <w:rsid w:val="00FB2030"/>
    <w:rsid w:val="00FC22D9"/>
    <w:rsid w:val="00FC3102"/>
    <w:rsid w:val="00FD0E46"/>
    <w:rsid w:val="00FD1CF2"/>
    <w:rsid w:val="00FD3EDF"/>
    <w:rsid w:val="00FD793C"/>
    <w:rsid w:val="00FE0FD5"/>
    <w:rsid w:val="00FE20E6"/>
    <w:rsid w:val="00FE3E3B"/>
    <w:rsid w:val="00FE42AF"/>
    <w:rsid w:val="00FF4032"/>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1529"/>
    <w:rPr>
      <w:sz w:val="24"/>
      <w:szCs w:val="24"/>
      <w:lang w:eastAsia="en-US"/>
    </w:rPr>
  </w:style>
  <w:style w:type="paragraph" w:styleId="Heading1">
    <w:name w:val="heading 1"/>
    <w:basedOn w:val="Normal"/>
    <w:next w:val="Normal"/>
    <w:qFormat/>
    <w:rsid w:val="00A84C51"/>
    <w:pPr>
      <w:keepNext/>
      <w:jc w:val="center"/>
      <w:outlineLvl w:val="0"/>
    </w:pPr>
    <w:rPr>
      <w:b/>
      <w:bCs/>
      <w:caps/>
    </w:rPr>
  </w:style>
  <w:style w:type="paragraph" w:styleId="Heading2">
    <w:name w:val="heading 2"/>
    <w:basedOn w:val="Normal"/>
    <w:next w:val="Normal"/>
    <w:qFormat/>
    <w:rsid w:val="00A84C51"/>
    <w:pPr>
      <w:keepNext/>
      <w:jc w:val="center"/>
      <w:outlineLvl w:val="1"/>
    </w:pPr>
    <w:rPr>
      <w:b/>
      <w:bCs/>
      <w: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4C51"/>
    <w:pPr>
      <w:tabs>
        <w:tab w:val="center" w:pos="4986"/>
        <w:tab w:val="right" w:pos="9972"/>
      </w:tabs>
    </w:pPr>
  </w:style>
  <w:style w:type="paragraph" w:styleId="Footer">
    <w:name w:val="footer"/>
    <w:basedOn w:val="Normal"/>
    <w:link w:val="FooterChar"/>
    <w:rsid w:val="00A84C51"/>
    <w:pPr>
      <w:tabs>
        <w:tab w:val="center" w:pos="4986"/>
        <w:tab w:val="right" w:pos="9972"/>
      </w:tabs>
    </w:pPr>
  </w:style>
  <w:style w:type="character" w:styleId="PageNumber">
    <w:name w:val="page number"/>
    <w:basedOn w:val="DefaultParagraphFont"/>
    <w:rsid w:val="00A84C51"/>
  </w:style>
  <w:style w:type="character" w:styleId="Hyperlink">
    <w:name w:val="Hyperlink"/>
    <w:basedOn w:val="DefaultParagraphFont"/>
    <w:rsid w:val="00A84C51"/>
    <w:rPr>
      <w:color w:val="0000FF"/>
      <w:u w:val="single"/>
    </w:rPr>
  </w:style>
  <w:style w:type="paragraph" w:styleId="BalloonText">
    <w:name w:val="Balloon Text"/>
    <w:basedOn w:val="Normal"/>
    <w:semiHidden/>
    <w:rsid w:val="00EC2356"/>
    <w:rPr>
      <w:rFonts w:ascii="Tahoma" w:hAnsi="Tahoma" w:cs="Tahoma"/>
      <w:sz w:val="16"/>
      <w:szCs w:val="16"/>
    </w:rPr>
  </w:style>
  <w:style w:type="character" w:customStyle="1" w:styleId="FooterChar">
    <w:name w:val="Footer Char"/>
    <w:basedOn w:val="DefaultParagraphFont"/>
    <w:link w:val="Footer"/>
    <w:rsid w:val="00737E2D"/>
    <w:rPr>
      <w:sz w:val="24"/>
      <w:szCs w:val="24"/>
      <w:lang w:eastAsia="en-US"/>
    </w:rPr>
  </w:style>
  <w:style w:type="character" w:customStyle="1" w:styleId="Neapdorotaspaminjimas1">
    <w:name w:val="Neapdorotas paminėjimas1"/>
    <w:basedOn w:val="DefaultParagraphFont"/>
    <w:uiPriority w:val="99"/>
    <w:semiHidden/>
    <w:unhideWhenUsed/>
    <w:rsid w:val="00A31E86"/>
    <w:rPr>
      <w:color w:val="605E5C"/>
      <w:shd w:val="clear" w:color="auto" w:fill="E1DFDD"/>
    </w:rPr>
  </w:style>
  <w:style w:type="character" w:styleId="FollowedHyperlink">
    <w:name w:val="FollowedHyperlink"/>
    <w:basedOn w:val="DefaultParagraphFont"/>
    <w:semiHidden/>
    <w:unhideWhenUsed/>
    <w:rsid w:val="00A31E86"/>
    <w:rPr>
      <w:color w:val="800080" w:themeColor="followedHyperlink"/>
      <w:u w:val="single"/>
    </w:rPr>
  </w:style>
  <w:style w:type="table" w:styleId="TableGrid">
    <w:name w:val="Table Grid"/>
    <w:aliases w:val="Summary box,Dossier Table"/>
    <w:basedOn w:val="TableNorma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C7012C"/>
    <w:rPr>
      <w:sz w:val="16"/>
      <w:szCs w:val="16"/>
    </w:rPr>
  </w:style>
  <w:style w:type="paragraph" w:styleId="CommentText">
    <w:name w:val="annotation text"/>
    <w:basedOn w:val="Normal"/>
    <w:link w:val="CommentTextChar"/>
    <w:unhideWhenUsed/>
    <w:rsid w:val="00C7012C"/>
    <w:rPr>
      <w:sz w:val="20"/>
      <w:szCs w:val="20"/>
    </w:rPr>
  </w:style>
  <w:style w:type="character" w:customStyle="1" w:styleId="CommentTextChar">
    <w:name w:val="Comment Text Char"/>
    <w:basedOn w:val="DefaultParagraphFont"/>
    <w:link w:val="CommentText"/>
    <w:rsid w:val="00C7012C"/>
    <w:rPr>
      <w:lang w:eastAsia="en-US"/>
    </w:rPr>
  </w:style>
  <w:style w:type="paragraph" w:styleId="CommentSubject">
    <w:name w:val="annotation subject"/>
    <w:basedOn w:val="CommentText"/>
    <w:next w:val="CommentText"/>
    <w:link w:val="CommentSubjectChar"/>
    <w:semiHidden/>
    <w:unhideWhenUsed/>
    <w:rsid w:val="00C7012C"/>
    <w:rPr>
      <w:b/>
      <w:bCs/>
    </w:rPr>
  </w:style>
  <w:style w:type="character" w:customStyle="1" w:styleId="CommentSubjectChar">
    <w:name w:val="Comment Subject Char"/>
    <w:basedOn w:val="CommentTextChar"/>
    <w:link w:val="CommentSubject"/>
    <w:semiHidden/>
    <w:rsid w:val="00C7012C"/>
    <w:rPr>
      <w:b/>
      <w:bCs/>
      <w:lang w:eastAsia="en-US"/>
    </w:rPr>
  </w:style>
  <w:style w:type="paragraph" w:styleId="ListParagraph">
    <w:name w:val="List Paragraph"/>
    <w:aliases w:val="Bullets Points,Table Header Row,Bullet Paragraph,Bullet Point,Dairy Paragraphe,Table Legend,Bullet List,Bullet1,List Paragraph CCT minutes,Bullet 1,Section 5,1. Bullet Blank,Bulleted - 2,FooterText,List Paragraph1,numbered,列出段落,Ref,B1"/>
    <w:basedOn w:val="Normal"/>
    <w:link w:val="ListParagraphChar"/>
    <w:uiPriority w:val="34"/>
    <w:qFormat/>
    <w:rsid w:val="00104E2E"/>
    <w:pPr>
      <w:ind w:left="720"/>
      <w:contextualSpacing/>
    </w:pPr>
  </w:style>
  <w:style w:type="character" w:customStyle="1" w:styleId="Style2">
    <w:name w:val="Style2"/>
    <w:basedOn w:val="DefaultParagraphFont"/>
    <w:uiPriority w:val="1"/>
    <w:rsid w:val="00D6498C"/>
    <w:rPr>
      <w:sz w:val="32"/>
    </w:rPr>
  </w:style>
  <w:style w:type="character" w:styleId="PlaceholderText">
    <w:name w:val="Placeholder Text"/>
    <w:basedOn w:val="DefaultParagraphFont"/>
    <w:uiPriority w:val="99"/>
    <w:rsid w:val="00B13D65"/>
    <w:rPr>
      <w:color w:val="808080"/>
    </w:rPr>
  </w:style>
  <w:style w:type="paragraph" w:styleId="NoSpacing">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TableNormal"/>
    <w:next w:val="TableGrid"/>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76256"/>
    <w:rPr>
      <w:sz w:val="24"/>
      <w:szCs w:val="24"/>
      <w:lang w:eastAsia="en-US"/>
    </w:rPr>
  </w:style>
  <w:style w:type="character" w:customStyle="1" w:styleId="ListParagraphChar">
    <w:name w:val="List Paragraph Char"/>
    <w:aliases w:val="Bullets Points Char,Table Header Row Char,Bullet Paragraph Char,Bullet Point Char,Dairy Paragraphe Char,Table Legend Char,Bullet List Char,Bullet1 Char,List Paragraph CCT minutes Char,Bullet 1 Char,Section 5 Char,1. Bullet Blank Char"/>
    <w:link w:val="ListParagraph"/>
    <w:uiPriority w:val="34"/>
    <w:qFormat/>
    <w:locked/>
    <w:rsid w:val="00016F32"/>
    <w:rPr>
      <w:sz w:val="24"/>
      <w:szCs w:val="24"/>
      <w:lang w:eastAsia="en-US"/>
    </w:rPr>
  </w:style>
  <w:style w:type="paragraph" w:customStyle="1" w:styleId="Tekstas">
    <w:name w:val="Tekstas"/>
    <w:basedOn w:val="Normal"/>
    <w:link w:val="TekstasChar"/>
    <w:qFormat/>
    <w:rsid w:val="00931A54"/>
    <w:pPr>
      <w:spacing w:after="120"/>
      <w:jc w:val="both"/>
    </w:pPr>
  </w:style>
  <w:style w:type="character" w:customStyle="1" w:styleId="TekstasChar">
    <w:name w:val="Tekstas Char"/>
    <w:link w:val="Tekstas"/>
    <w:locked/>
    <w:rsid w:val="00931A54"/>
    <w:rPr>
      <w:sz w:val="24"/>
      <w:szCs w:val="24"/>
      <w:lang w:eastAsia="en-US"/>
    </w:rPr>
  </w:style>
  <w:style w:type="character" w:styleId="Emphasis">
    <w:name w:val="Emphasis"/>
    <w:basedOn w:val="DefaultParagraphFont"/>
    <w:qFormat/>
    <w:rsid w:val="00AB6C7B"/>
    <w:rPr>
      <w:i/>
      <w:iCs/>
    </w:rPr>
  </w:style>
  <w:style w:type="table" w:customStyle="1" w:styleId="DossierTable1">
    <w:name w:val="Dossier Table1"/>
    <w:basedOn w:val="TableNormal"/>
    <w:next w:val="TableGrid"/>
    <w:rsid w:val="00AB6C7B"/>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8C40E6C1D394B76AE242DE22317CAE9"/>
        <w:category>
          <w:name w:val="Bendrosios nuostatos"/>
          <w:gallery w:val="placeholder"/>
        </w:category>
        <w:types>
          <w:type w:val="bbPlcHdr"/>
        </w:types>
        <w:behaviors>
          <w:behavior w:val="content"/>
        </w:behaviors>
        <w:guid w:val="{D70F5792-64E9-4294-8A51-F92FD0B642B4}"/>
      </w:docPartPr>
      <w:docPartBody>
        <w:p w:rsidR="00512455" w:rsidRDefault="00512455" w:rsidP="00512455">
          <w:pPr>
            <w:pStyle w:val="68C40E6C1D394B76AE242DE22317CAE9"/>
          </w:pPr>
          <w:r>
            <w:rPr>
              <w:rStyle w:val="PlaceholderText"/>
            </w:rPr>
            <w:t>Click here to enter a date.</w:t>
          </w:r>
        </w:p>
      </w:docPartBody>
    </w:docPart>
    <w:docPart>
      <w:docPartPr>
        <w:name w:val="F7BD57A9B894475482A804C24841927C"/>
        <w:category>
          <w:name w:val="Bendrosios nuostatos"/>
          <w:gallery w:val="placeholder"/>
        </w:category>
        <w:types>
          <w:type w:val="bbPlcHdr"/>
        </w:types>
        <w:behaviors>
          <w:behavior w:val="content"/>
        </w:behaviors>
        <w:guid w:val="{D354CFEE-3C7A-41B8-B24A-3AC9FE9F668C}"/>
      </w:docPartPr>
      <w:docPartBody>
        <w:p w:rsidR="00512455" w:rsidRDefault="00512455" w:rsidP="00512455">
          <w:pPr>
            <w:pStyle w:val="F7BD57A9B894475482A804C24841927C"/>
          </w:pPr>
          <w:r>
            <w:rPr>
              <w:rStyle w:val="PlaceholderText"/>
            </w:rPr>
            <w:t>Click here to enter a date.</w:t>
          </w:r>
        </w:p>
      </w:docPartBody>
    </w:docPart>
    <w:docPart>
      <w:docPartPr>
        <w:name w:val="49B116BB49E94086BE02B54E8CAC72F9"/>
        <w:category>
          <w:name w:val="Bendrosios nuostatos"/>
          <w:gallery w:val="placeholder"/>
        </w:category>
        <w:types>
          <w:type w:val="bbPlcHdr"/>
        </w:types>
        <w:behaviors>
          <w:behavior w:val="content"/>
        </w:behaviors>
        <w:guid w:val="{2E1304FE-D833-48B6-AD57-888A97FC29B0}"/>
      </w:docPartPr>
      <w:docPartBody>
        <w:p w:rsidR="00512455" w:rsidRDefault="00512455" w:rsidP="00512455">
          <w:pPr>
            <w:pStyle w:val="49B116BB49E94086BE02B54E8CAC72F9"/>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DD"/>
    <w:rsid w:val="0001247F"/>
    <w:rsid w:val="00061157"/>
    <w:rsid w:val="00065284"/>
    <w:rsid w:val="000937FE"/>
    <w:rsid w:val="000A559A"/>
    <w:rsid w:val="000D24D4"/>
    <w:rsid w:val="001A35F9"/>
    <w:rsid w:val="001C35A9"/>
    <w:rsid w:val="001C3BD0"/>
    <w:rsid w:val="001D1DCA"/>
    <w:rsid w:val="00237556"/>
    <w:rsid w:val="003450D7"/>
    <w:rsid w:val="0039303B"/>
    <w:rsid w:val="00407189"/>
    <w:rsid w:val="004144A3"/>
    <w:rsid w:val="004160E7"/>
    <w:rsid w:val="004416C6"/>
    <w:rsid w:val="00456E96"/>
    <w:rsid w:val="0048680D"/>
    <w:rsid w:val="004F5AB2"/>
    <w:rsid w:val="005074B9"/>
    <w:rsid w:val="00512455"/>
    <w:rsid w:val="0053001B"/>
    <w:rsid w:val="005C62E5"/>
    <w:rsid w:val="005E40DD"/>
    <w:rsid w:val="006328CD"/>
    <w:rsid w:val="007219C1"/>
    <w:rsid w:val="00753462"/>
    <w:rsid w:val="00772325"/>
    <w:rsid w:val="007A2FE0"/>
    <w:rsid w:val="007C5D3B"/>
    <w:rsid w:val="007C6D1D"/>
    <w:rsid w:val="007C76AC"/>
    <w:rsid w:val="007F014A"/>
    <w:rsid w:val="008526F7"/>
    <w:rsid w:val="00893C9F"/>
    <w:rsid w:val="008D5053"/>
    <w:rsid w:val="0090074D"/>
    <w:rsid w:val="009017F0"/>
    <w:rsid w:val="009A33BF"/>
    <w:rsid w:val="009B3BF0"/>
    <w:rsid w:val="009D5E5E"/>
    <w:rsid w:val="009F1BB4"/>
    <w:rsid w:val="00A92BBA"/>
    <w:rsid w:val="00AB6ED4"/>
    <w:rsid w:val="00AC1486"/>
    <w:rsid w:val="00AE3B31"/>
    <w:rsid w:val="00AE762B"/>
    <w:rsid w:val="00B14210"/>
    <w:rsid w:val="00B22ED6"/>
    <w:rsid w:val="00B23DC0"/>
    <w:rsid w:val="00B96656"/>
    <w:rsid w:val="00BE0C79"/>
    <w:rsid w:val="00C2401D"/>
    <w:rsid w:val="00C250D7"/>
    <w:rsid w:val="00C53A68"/>
    <w:rsid w:val="00CA5BB4"/>
    <w:rsid w:val="00CB4BD1"/>
    <w:rsid w:val="00CD139C"/>
    <w:rsid w:val="00CE2DA9"/>
    <w:rsid w:val="00CE44BE"/>
    <w:rsid w:val="00D0142D"/>
    <w:rsid w:val="00D4356B"/>
    <w:rsid w:val="00D51824"/>
    <w:rsid w:val="00D7162F"/>
    <w:rsid w:val="00D90870"/>
    <w:rsid w:val="00DA410D"/>
    <w:rsid w:val="00DB4DB5"/>
    <w:rsid w:val="00DE4D10"/>
    <w:rsid w:val="00E44A86"/>
    <w:rsid w:val="00E522EB"/>
    <w:rsid w:val="00E60827"/>
    <w:rsid w:val="00EB437A"/>
    <w:rsid w:val="00EF395F"/>
    <w:rsid w:val="00EF6E0C"/>
    <w:rsid w:val="00F55028"/>
    <w:rsid w:val="00F77BEF"/>
    <w:rsid w:val="00FC755C"/>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12455"/>
    <w:rPr>
      <w:color w:val="808080"/>
    </w:rPr>
  </w:style>
  <w:style w:type="paragraph" w:customStyle="1" w:styleId="68C40E6C1D394B76AE242DE22317CAE9">
    <w:name w:val="68C40E6C1D394B76AE242DE22317CAE9"/>
    <w:rsid w:val="00512455"/>
    <w:pPr>
      <w:spacing w:line="278" w:lineRule="auto"/>
    </w:pPr>
    <w:rPr>
      <w:kern w:val="2"/>
      <w:sz w:val="24"/>
      <w:szCs w:val="24"/>
      <w14:ligatures w14:val="standardContextual"/>
    </w:rPr>
  </w:style>
  <w:style w:type="paragraph" w:customStyle="1" w:styleId="F7BD57A9B894475482A804C24841927C">
    <w:name w:val="F7BD57A9B894475482A804C24841927C"/>
    <w:rsid w:val="00512455"/>
    <w:pPr>
      <w:spacing w:line="278" w:lineRule="auto"/>
    </w:pPr>
    <w:rPr>
      <w:kern w:val="2"/>
      <w:sz w:val="24"/>
      <w:szCs w:val="24"/>
      <w14:ligatures w14:val="standardContextual"/>
    </w:rPr>
  </w:style>
  <w:style w:type="paragraph" w:customStyle="1" w:styleId="49B116BB49E94086BE02B54E8CAC72F9">
    <w:name w:val="49B116BB49E94086BE02B54E8CAC72F9"/>
    <w:rsid w:val="0051245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35501-1480-4831-AE0F-4AC6CBC65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2481</Words>
  <Characters>18134</Characters>
  <Application>Microsoft Office Word</Application>
  <DocSecurity>0</DocSecurity>
  <Lines>151</Lines>
  <Paragraphs>41</Paragraphs>
  <ScaleCrop>false</ScaleCrop>
  <Company/>
  <LinksUpToDate>false</LinksUpToDate>
  <CharactersWithSpaces>20574</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2025-09-30T06:19:00Z</dcterms:created>
  <dcterms:modified xsi:type="dcterms:W3CDTF">2025-10-07T15:01:00Z</dcterms:modified>
</cp:coreProperties>
</file>